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BBA5" w14:textId="3424B3DE" w:rsidR="00986636" w:rsidRPr="008F511F" w:rsidRDefault="00986636" w:rsidP="00986636">
      <w:pPr>
        <w:spacing w:before="240" w:line="360" w:lineRule="auto"/>
        <w:jc w:val="center"/>
        <w:rPr>
          <w:rFonts w:ascii="Times New Roman" w:hAnsi="Times New Roman" w:cs="Times New Roman"/>
          <w:b/>
          <w:bCs/>
          <w:sz w:val="28"/>
          <w:szCs w:val="28"/>
          <w:lang w:eastAsia="ko-KR"/>
        </w:rPr>
      </w:pPr>
      <w:r w:rsidRPr="008F511F">
        <w:rPr>
          <w:rFonts w:ascii="Times New Roman" w:hAnsi="Times New Roman" w:cs="Times New Roman"/>
          <w:b/>
          <w:bCs/>
          <w:sz w:val="28"/>
          <w:szCs w:val="28"/>
          <w:lang w:eastAsia="ko-KR"/>
        </w:rPr>
        <w:t xml:space="preserve">The relationship between </w:t>
      </w:r>
      <w:r w:rsidR="00352FDB" w:rsidRPr="008F511F">
        <w:rPr>
          <w:rFonts w:ascii="Times New Roman" w:hAnsi="Times New Roman" w:cs="Times New Roman"/>
          <w:b/>
          <w:bCs/>
          <w:sz w:val="28"/>
          <w:szCs w:val="28"/>
          <w:lang w:eastAsia="ko-KR"/>
        </w:rPr>
        <w:t>t</w:t>
      </w:r>
      <w:r w:rsidRPr="008F511F">
        <w:rPr>
          <w:rFonts w:ascii="Times New Roman" w:hAnsi="Times New Roman" w:cs="Times New Roman"/>
          <w:b/>
          <w:bCs/>
          <w:sz w:val="28"/>
          <w:szCs w:val="28"/>
          <w:lang w:eastAsia="ko-KR"/>
        </w:rPr>
        <w:t xml:space="preserve">rading </w:t>
      </w:r>
      <w:r w:rsidR="00352FDB" w:rsidRPr="008F511F">
        <w:rPr>
          <w:rFonts w:ascii="Times New Roman" w:hAnsi="Times New Roman" w:cs="Times New Roman"/>
          <w:b/>
          <w:bCs/>
          <w:sz w:val="28"/>
          <w:szCs w:val="28"/>
          <w:lang w:eastAsia="ko-KR"/>
        </w:rPr>
        <w:t>v</w:t>
      </w:r>
      <w:r w:rsidRPr="008F511F">
        <w:rPr>
          <w:rFonts w:ascii="Times New Roman" w:hAnsi="Times New Roman" w:cs="Times New Roman"/>
          <w:b/>
          <w:bCs/>
          <w:sz w:val="28"/>
          <w:szCs w:val="28"/>
          <w:lang w:eastAsia="ko-KR"/>
        </w:rPr>
        <w:t xml:space="preserve">olume, </w:t>
      </w:r>
      <w:r w:rsidR="00352FDB" w:rsidRPr="008F511F">
        <w:rPr>
          <w:rFonts w:ascii="Times New Roman" w:hAnsi="Times New Roman" w:cs="Times New Roman"/>
          <w:b/>
          <w:bCs/>
          <w:sz w:val="28"/>
          <w:szCs w:val="28"/>
          <w:lang w:eastAsia="ko-KR"/>
        </w:rPr>
        <w:t>v</w:t>
      </w:r>
      <w:r w:rsidRPr="008F511F">
        <w:rPr>
          <w:rFonts w:ascii="Times New Roman" w:hAnsi="Times New Roman" w:cs="Times New Roman"/>
          <w:b/>
          <w:bCs/>
          <w:sz w:val="28"/>
          <w:szCs w:val="28"/>
          <w:lang w:eastAsia="ko-KR"/>
        </w:rPr>
        <w:t xml:space="preserve">olatility and </w:t>
      </w:r>
      <w:r w:rsidR="00352FDB" w:rsidRPr="008F511F">
        <w:rPr>
          <w:rFonts w:ascii="Times New Roman" w:hAnsi="Times New Roman" w:cs="Times New Roman"/>
          <w:b/>
          <w:bCs/>
          <w:sz w:val="28"/>
          <w:szCs w:val="28"/>
          <w:lang w:eastAsia="ko-KR"/>
        </w:rPr>
        <w:t>r</w:t>
      </w:r>
      <w:r w:rsidRPr="008F511F">
        <w:rPr>
          <w:rFonts w:ascii="Times New Roman" w:hAnsi="Times New Roman" w:cs="Times New Roman"/>
          <w:b/>
          <w:bCs/>
          <w:sz w:val="28"/>
          <w:szCs w:val="28"/>
          <w:lang w:eastAsia="ko-KR"/>
        </w:rPr>
        <w:t xml:space="preserve">eturns </w:t>
      </w:r>
      <w:r w:rsidR="00352FDB" w:rsidRPr="008F511F">
        <w:rPr>
          <w:rFonts w:ascii="Times New Roman" w:hAnsi="Times New Roman" w:cs="Times New Roman"/>
          <w:b/>
          <w:bCs/>
          <w:sz w:val="28"/>
          <w:szCs w:val="28"/>
          <w:lang w:eastAsia="ko-KR"/>
        </w:rPr>
        <w:t xml:space="preserve">of </w:t>
      </w:r>
      <w:r w:rsidRPr="008F511F">
        <w:rPr>
          <w:rFonts w:ascii="Times New Roman" w:hAnsi="Times New Roman" w:cs="Times New Roman"/>
          <w:b/>
          <w:bCs/>
          <w:sz w:val="28"/>
          <w:szCs w:val="28"/>
          <w:lang w:eastAsia="ko-KR"/>
        </w:rPr>
        <w:t xml:space="preserve">Non-Fungible Tokens: </w:t>
      </w:r>
      <w:r w:rsidR="00352FDB" w:rsidRPr="008F511F">
        <w:rPr>
          <w:rFonts w:ascii="Times New Roman" w:hAnsi="Times New Roman" w:cs="Times New Roman"/>
          <w:b/>
          <w:bCs/>
          <w:sz w:val="28"/>
          <w:szCs w:val="28"/>
          <w:lang w:eastAsia="ko-KR"/>
        </w:rPr>
        <w:t>e</w:t>
      </w:r>
      <w:r w:rsidRPr="008F511F">
        <w:rPr>
          <w:rFonts w:ascii="Times New Roman" w:hAnsi="Times New Roman" w:cs="Times New Roman"/>
          <w:b/>
          <w:bCs/>
          <w:sz w:val="28"/>
          <w:szCs w:val="28"/>
          <w:lang w:eastAsia="ko-KR"/>
        </w:rPr>
        <w:t xml:space="preserve">vidence from a </w:t>
      </w:r>
      <w:r w:rsidR="00352FDB" w:rsidRPr="008F511F">
        <w:rPr>
          <w:rFonts w:ascii="Times New Roman" w:hAnsi="Times New Roman" w:cs="Times New Roman"/>
          <w:b/>
          <w:bCs/>
          <w:sz w:val="28"/>
          <w:szCs w:val="28"/>
          <w:lang w:eastAsia="ko-KR"/>
        </w:rPr>
        <w:t>q</w:t>
      </w:r>
      <w:r w:rsidRPr="008F511F">
        <w:rPr>
          <w:rFonts w:ascii="Times New Roman" w:hAnsi="Times New Roman" w:cs="Times New Roman"/>
          <w:b/>
          <w:bCs/>
          <w:sz w:val="28"/>
          <w:szCs w:val="28"/>
          <w:lang w:eastAsia="ko-KR"/>
        </w:rPr>
        <w:t xml:space="preserve">uantile </w:t>
      </w:r>
      <w:r w:rsidR="00352FDB" w:rsidRPr="008F511F">
        <w:rPr>
          <w:rFonts w:ascii="Times New Roman" w:hAnsi="Times New Roman" w:cs="Times New Roman"/>
          <w:b/>
          <w:bCs/>
          <w:sz w:val="28"/>
          <w:szCs w:val="28"/>
          <w:lang w:eastAsia="ko-KR"/>
        </w:rPr>
        <w:t>a</w:t>
      </w:r>
      <w:r w:rsidRPr="008F511F">
        <w:rPr>
          <w:rFonts w:ascii="Times New Roman" w:hAnsi="Times New Roman" w:cs="Times New Roman"/>
          <w:b/>
          <w:bCs/>
          <w:sz w:val="28"/>
          <w:szCs w:val="28"/>
          <w:lang w:eastAsia="ko-KR"/>
        </w:rPr>
        <w:t>pproach</w:t>
      </w:r>
    </w:p>
    <w:p w14:paraId="2C12FE1F" w14:textId="77777777" w:rsidR="00986636" w:rsidRPr="008F511F" w:rsidRDefault="00986636" w:rsidP="00CA33FC">
      <w:pPr>
        <w:spacing w:after="0" w:line="240" w:lineRule="auto"/>
        <w:jc w:val="center"/>
        <w:rPr>
          <w:rFonts w:ascii="Times New Roman" w:hAnsi="Times New Roman" w:cs="Times New Roman"/>
          <w:sz w:val="24"/>
          <w:szCs w:val="24"/>
          <w:lang w:eastAsia="ko-KR"/>
        </w:rPr>
      </w:pPr>
    </w:p>
    <w:p w14:paraId="32BED450" w14:textId="7026DBF1" w:rsidR="00DD6E21" w:rsidRPr="008F511F" w:rsidRDefault="00DD6E21" w:rsidP="00BD21A4">
      <w:pPr>
        <w:spacing w:before="240" w:line="360" w:lineRule="auto"/>
        <w:jc w:val="center"/>
        <w:rPr>
          <w:rFonts w:ascii="Times New Roman" w:hAnsi="Times New Roman" w:cs="Times New Roman"/>
          <w:b/>
          <w:bCs/>
          <w:sz w:val="28"/>
          <w:szCs w:val="28"/>
          <w:lang w:eastAsia="ko-KR"/>
        </w:rPr>
      </w:pPr>
      <w:r w:rsidRPr="008F511F">
        <w:rPr>
          <w:rFonts w:ascii="Times New Roman" w:hAnsi="Times New Roman" w:cs="Times New Roman"/>
          <w:b/>
          <w:bCs/>
          <w:sz w:val="28"/>
          <w:szCs w:val="28"/>
          <w:lang w:eastAsia="ko-KR"/>
        </w:rPr>
        <w:t>Abstract</w:t>
      </w:r>
    </w:p>
    <w:p w14:paraId="1807F916" w14:textId="64F57D8C" w:rsidR="00864628" w:rsidRPr="008F511F" w:rsidRDefault="00A62223" w:rsidP="00BD21A4">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 xml:space="preserve">This is the first study to </w:t>
      </w:r>
      <w:r w:rsidR="002B5740" w:rsidRPr="008F511F">
        <w:rPr>
          <w:rFonts w:ascii="Times New Roman" w:hAnsi="Times New Roman" w:cs="Times New Roman"/>
          <w:sz w:val="24"/>
          <w:szCs w:val="24"/>
          <w:lang w:eastAsia="ko-KR"/>
        </w:rPr>
        <w:t xml:space="preserve">examine the quantile connectedness for returns-volume and volatility-volume </w:t>
      </w:r>
      <w:r w:rsidR="00986636" w:rsidRPr="008F511F">
        <w:rPr>
          <w:rFonts w:ascii="Times New Roman" w:hAnsi="Times New Roman" w:cs="Times New Roman"/>
          <w:sz w:val="24"/>
          <w:szCs w:val="24"/>
          <w:lang w:eastAsia="ko-KR"/>
        </w:rPr>
        <w:t>pairs</w:t>
      </w:r>
      <w:r w:rsidR="002B5740" w:rsidRPr="008F511F">
        <w:rPr>
          <w:rFonts w:ascii="Times New Roman" w:hAnsi="Times New Roman" w:cs="Times New Roman"/>
          <w:sz w:val="24"/>
          <w:szCs w:val="24"/>
          <w:lang w:eastAsia="ko-KR"/>
        </w:rPr>
        <w:t xml:space="preserve"> for the three non-fungible tokens (THETA, </w:t>
      </w:r>
      <w:proofErr w:type="spellStart"/>
      <w:r w:rsidR="002B5740" w:rsidRPr="008F511F">
        <w:rPr>
          <w:rFonts w:ascii="Times New Roman" w:hAnsi="Times New Roman" w:cs="Times New Roman"/>
          <w:sz w:val="24"/>
          <w:szCs w:val="24"/>
          <w:lang w:eastAsia="ko-KR"/>
        </w:rPr>
        <w:t>Tezos</w:t>
      </w:r>
      <w:proofErr w:type="spellEnd"/>
      <w:r w:rsidR="002B5740" w:rsidRPr="008F511F">
        <w:rPr>
          <w:rFonts w:ascii="Times New Roman" w:hAnsi="Times New Roman" w:cs="Times New Roman"/>
          <w:sz w:val="24"/>
          <w:szCs w:val="24"/>
          <w:lang w:eastAsia="ko-KR"/>
        </w:rPr>
        <w:t xml:space="preserve">, and </w:t>
      </w:r>
      <w:proofErr w:type="spellStart"/>
      <w:r w:rsidR="002B5740" w:rsidRPr="008F511F">
        <w:rPr>
          <w:rFonts w:ascii="Times New Roman" w:eastAsia="Malgun Gothic" w:hAnsi="Times New Roman" w:cs="Times New Roman"/>
          <w:iCs/>
          <w:sz w:val="24"/>
          <w:szCs w:val="24"/>
          <w:lang w:eastAsia="ko-KR"/>
        </w:rPr>
        <w:t>Enjin</w:t>
      </w:r>
      <w:proofErr w:type="spellEnd"/>
      <w:r w:rsidR="002B5740" w:rsidRPr="008F511F">
        <w:rPr>
          <w:rFonts w:ascii="Times New Roman" w:eastAsia="Malgun Gothic" w:hAnsi="Times New Roman" w:cs="Times New Roman"/>
          <w:iCs/>
          <w:sz w:val="24"/>
          <w:szCs w:val="24"/>
          <w:lang w:eastAsia="ko-KR"/>
        </w:rPr>
        <w:t xml:space="preserve"> Coin</w:t>
      </w:r>
      <w:r w:rsidR="002B5740" w:rsidRPr="008F511F">
        <w:rPr>
          <w:rFonts w:ascii="Times New Roman" w:hAnsi="Times New Roman" w:cs="Times New Roman"/>
          <w:sz w:val="24"/>
          <w:szCs w:val="24"/>
          <w:lang w:eastAsia="ko-KR"/>
        </w:rPr>
        <w:t>) using the quantile VAR approach. The results report the highest connectedness of volume with returns and volatility in the extreme upper quantile compared to other quantiles, implying the asymmetric connectedness. The spillover effect is observed from volume to returns and volatilities in extreme upper and lower market conditions, whereas opposite direction of spillovers is evident for the selected non-fungible tokens at median quantile. Our findings are useful for investors in predicting the returns and risk of NFTs using trading volume in the extreme market conditions.</w:t>
      </w:r>
    </w:p>
    <w:p w14:paraId="470DD446" w14:textId="2CFB2142" w:rsidR="000B75BD" w:rsidRPr="008F511F" w:rsidRDefault="00F60C51" w:rsidP="00BD21A4">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 xml:space="preserve">JEL code: </w:t>
      </w:r>
      <w:r w:rsidR="000B1BB6" w:rsidRPr="008F511F">
        <w:rPr>
          <w:rFonts w:ascii="Times New Roman" w:hAnsi="Times New Roman" w:cs="Times New Roman"/>
          <w:sz w:val="24"/>
          <w:szCs w:val="24"/>
          <w:lang w:eastAsia="ko-KR"/>
        </w:rPr>
        <w:t xml:space="preserve">C12, </w:t>
      </w:r>
      <w:r w:rsidR="000B5DD0" w:rsidRPr="008F511F">
        <w:rPr>
          <w:rFonts w:ascii="Times New Roman" w:hAnsi="Times New Roman" w:cs="Times New Roman"/>
          <w:sz w:val="24"/>
          <w:szCs w:val="24"/>
          <w:lang w:eastAsia="ko-KR"/>
        </w:rPr>
        <w:t xml:space="preserve">C22, </w:t>
      </w:r>
      <w:r w:rsidR="000B1BB6" w:rsidRPr="008F511F">
        <w:rPr>
          <w:rFonts w:ascii="Times New Roman" w:hAnsi="Times New Roman" w:cs="Times New Roman"/>
          <w:sz w:val="24"/>
          <w:szCs w:val="24"/>
          <w:lang w:eastAsia="ko-KR"/>
        </w:rPr>
        <w:t>G14</w:t>
      </w:r>
      <w:r w:rsidR="000B5DD0" w:rsidRPr="008F511F">
        <w:rPr>
          <w:rFonts w:ascii="Times New Roman" w:hAnsi="Times New Roman" w:cs="Times New Roman"/>
          <w:sz w:val="24"/>
          <w:szCs w:val="24"/>
          <w:lang w:eastAsia="ko-KR"/>
        </w:rPr>
        <w:t>, G15</w:t>
      </w:r>
    </w:p>
    <w:p w14:paraId="30D85B4E" w14:textId="6C9C509A" w:rsidR="00F60C51" w:rsidRPr="008F511F" w:rsidRDefault="00F60C51" w:rsidP="00BD21A4">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Keywords: non-fungible tokens (NFTs),</w:t>
      </w:r>
      <w:r w:rsidR="002B5740" w:rsidRPr="008F511F">
        <w:rPr>
          <w:rFonts w:ascii="Times New Roman" w:hAnsi="Times New Roman" w:cs="Times New Roman"/>
          <w:sz w:val="24"/>
          <w:szCs w:val="24"/>
          <w:lang w:eastAsia="ko-KR"/>
        </w:rPr>
        <w:t xml:space="preserve"> NFT blockchains,</w:t>
      </w:r>
      <w:r w:rsidRPr="008F511F">
        <w:rPr>
          <w:rFonts w:ascii="Times New Roman" w:hAnsi="Times New Roman" w:cs="Times New Roman"/>
          <w:sz w:val="24"/>
          <w:szCs w:val="24"/>
          <w:lang w:eastAsia="ko-KR"/>
        </w:rPr>
        <w:t xml:space="preserve"> </w:t>
      </w:r>
      <w:r w:rsidR="000B5DD0" w:rsidRPr="008F511F">
        <w:rPr>
          <w:rFonts w:ascii="Times New Roman" w:hAnsi="Times New Roman" w:cs="Times New Roman"/>
          <w:sz w:val="24"/>
          <w:szCs w:val="24"/>
          <w:lang w:eastAsia="ko-KR"/>
        </w:rPr>
        <w:t>trading volume</w:t>
      </w:r>
      <w:r w:rsidRPr="008F511F">
        <w:rPr>
          <w:rFonts w:ascii="Times New Roman" w:hAnsi="Times New Roman" w:cs="Times New Roman"/>
          <w:sz w:val="24"/>
          <w:szCs w:val="24"/>
          <w:lang w:eastAsia="ko-KR"/>
        </w:rPr>
        <w:t xml:space="preserve">, quantile spillovers, </w:t>
      </w:r>
      <w:r w:rsidR="00AB2A4E" w:rsidRPr="008F511F">
        <w:rPr>
          <w:rFonts w:ascii="Times New Roman" w:hAnsi="Times New Roman" w:cs="Times New Roman"/>
          <w:sz w:val="24"/>
          <w:szCs w:val="24"/>
          <w:lang w:eastAsia="ko-KR"/>
        </w:rPr>
        <w:t>cryptocurrency</w:t>
      </w:r>
      <w:r w:rsidRPr="008F511F">
        <w:rPr>
          <w:rFonts w:ascii="Times New Roman" w:hAnsi="Times New Roman" w:cs="Times New Roman"/>
          <w:sz w:val="24"/>
          <w:szCs w:val="24"/>
          <w:lang w:eastAsia="ko-KR"/>
        </w:rPr>
        <w:t>.</w:t>
      </w:r>
    </w:p>
    <w:p w14:paraId="61C58FF2" w14:textId="5DAE81E0" w:rsidR="00BA266E" w:rsidRPr="008F511F" w:rsidRDefault="00BA266E" w:rsidP="00BD21A4">
      <w:pPr>
        <w:spacing w:before="240" w:line="360" w:lineRule="auto"/>
        <w:jc w:val="both"/>
        <w:rPr>
          <w:rFonts w:ascii="Times New Roman" w:hAnsi="Times New Roman" w:cs="Times New Roman"/>
          <w:sz w:val="24"/>
          <w:szCs w:val="24"/>
          <w:lang w:eastAsia="ko-KR"/>
        </w:rPr>
      </w:pPr>
    </w:p>
    <w:p w14:paraId="0AB9448C" w14:textId="00875DFE" w:rsidR="007A7D05" w:rsidRPr="008F511F" w:rsidRDefault="007A7D05" w:rsidP="00BD21A4">
      <w:pPr>
        <w:spacing w:before="240" w:line="360" w:lineRule="auto"/>
        <w:jc w:val="both"/>
        <w:rPr>
          <w:rFonts w:ascii="Times New Roman" w:hAnsi="Times New Roman" w:cs="Times New Roman"/>
          <w:sz w:val="24"/>
          <w:szCs w:val="24"/>
          <w:lang w:eastAsia="ko-KR"/>
        </w:rPr>
      </w:pPr>
    </w:p>
    <w:p w14:paraId="06DE489B" w14:textId="22639FE9" w:rsidR="00CA33FC" w:rsidRPr="008F511F" w:rsidRDefault="00CA33FC" w:rsidP="00BD21A4">
      <w:pPr>
        <w:spacing w:before="240" w:line="360" w:lineRule="auto"/>
        <w:jc w:val="both"/>
        <w:rPr>
          <w:rFonts w:ascii="Times New Roman" w:hAnsi="Times New Roman" w:cs="Times New Roman"/>
          <w:sz w:val="24"/>
          <w:szCs w:val="24"/>
          <w:lang w:eastAsia="ko-KR"/>
        </w:rPr>
      </w:pPr>
    </w:p>
    <w:p w14:paraId="62FA63E4" w14:textId="3FEA5FDF" w:rsidR="00A514E4" w:rsidRPr="008F511F" w:rsidRDefault="00A514E4" w:rsidP="00BD21A4">
      <w:pPr>
        <w:spacing w:before="240" w:line="360" w:lineRule="auto"/>
        <w:jc w:val="both"/>
        <w:rPr>
          <w:rFonts w:ascii="Times New Roman" w:hAnsi="Times New Roman" w:cs="Times New Roman"/>
          <w:sz w:val="24"/>
          <w:szCs w:val="24"/>
          <w:lang w:eastAsia="ko-KR"/>
        </w:rPr>
      </w:pPr>
    </w:p>
    <w:p w14:paraId="1D6CBB91" w14:textId="6F645D13" w:rsidR="00DD17AF" w:rsidRPr="008F511F" w:rsidRDefault="00DD17AF" w:rsidP="00BD21A4">
      <w:pPr>
        <w:spacing w:before="240" w:line="360" w:lineRule="auto"/>
        <w:jc w:val="both"/>
        <w:rPr>
          <w:rFonts w:ascii="Times New Roman" w:hAnsi="Times New Roman" w:cs="Times New Roman"/>
          <w:sz w:val="24"/>
          <w:szCs w:val="24"/>
          <w:lang w:eastAsia="ko-KR"/>
        </w:rPr>
      </w:pPr>
    </w:p>
    <w:p w14:paraId="785392F7" w14:textId="393A11AE" w:rsidR="00DD17AF" w:rsidRPr="008F511F" w:rsidRDefault="00DD17AF" w:rsidP="00BD21A4">
      <w:pPr>
        <w:spacing w:before="240" w:line="360" w:lineRule="auto"/>
        <w:jc w:val="both"/>
        <w:rPr>
          <w:rFonts w:ascii="Times New Roman" w:hAnsi="Times New Roman" w:cs="Times New Roman"/>
          <w:sz w:val="24"/>
          <w:szCs w:val="24"/>
          <w:lang w:eastAsia="ko-KR"/>
        </w:rPr>
      </w:pPr>
    </w:p>
    <w:p w14:paraId="03C5151C" w14:textId="3AC77EEE" w:rsidR="00DD17AF" w:rsidRPr="008F511F" w:rsidRDefault="00DD17AF" w:rsidP="00BD21A4">
      <w:pPr>
        <w:spacing w:before="240" w:line="360" w:lineRule="auto"/>
        <w:jc w:val="both"/>
        <w:rPr>
          <w:rFonts w:ascii="Times New Roman" w:hAnsi="Times New Roman" w:cs="Times New Roman"/>
          <w:sz w:val="24"/>
          <w:szCs w:val="24"/>
          <w:lang w:eastAsia="ko-KR"/>
        </w:rPr>
      </w:pPr>
    </w:p>
    <w:p w14:paraId="125D4D4D" w14:textId="77777777" w:rsidR="00DD17AF" w:rsidRPr="008F511F" w:rsidRDefault="00DD17AF" w:rsidP="00BD21A4">
      <w:pPr>
        <w:spacing w:before="240" w:line="360" w:lineRule="auto"/>
        <w:jc w:val="both"/>
        <w:rPr>
          <w:rFonts w:ascii="Times New Roman" w:hAnsi="Times New Roman" w:cs="Times New Roman"/>
          <w:sz w:val="24"/>
          <w:szCs w:val="24"/>
          <w:lang w:eastAsia="ko-KR"/>
        </w:rPr>
      </w:pPr>
    </w:p>
    <w:p w14:paraId="5B6A5B4B" w14:textId="1EE35636" w:rsidR="00B005AC" w:rsidRPr="008F511F" w:rsidRDefault="006211A0" w:rsidP="00BD21A4">
      <w:pPr>
        <w:pStyle w:val="ListParagraph"/>
        <w:numPr>
          <w:ilvl w:val="0"/>
          <w:numId w:val="3"/>
        </w:numPr>
        <w:spacing w:before="240" w:line="360" w:lineRule="auto"/>
        <w:rPr>
          <w:rFonts w:ascii="Times New Roman" w:hAnsi="Times New Roman" w:cs="Times New Roman"/>
          <w:b/>
          <w:bCs/>
          <w:sz w:val="28"/>
          <w:szCs w:val="28"/>
          <w:lang w:eastAsia="ko-KR"/>
        </w:rPr>
      </w:pPr>
      <w:r w:rsidRPr="008F511F">
        <w:rPr>
          <w:rFonts w:ascii="Times New Roman" w:hAnsi="Times New Roman" w:cs="Times New Roman"/>
          <w:b/>
          <w:bCs/>
          <w:sz w:val="28"/>
          <w:szCs w:val="28"/>
          <w:lang w:eastAsia="ko-KR"/>
        </w:rPr>
        <w:lastRenderedPageBreak/>
        <w:t>Introduction</w:t>
      </w:r>
    </w:p>
    <w:p w14:paraId="21434FC4" w14:textId="7FE0121C" w:rsidR="00712A6A" w:rsidRPr="008F511F" w:rsidRDefault="00712A6A" w:rsidP="00BD21A4">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 xml:space="preserve">How can a piece of digital art be worth several millions of dollars? It has become possible since the introduction of so-called Non-Fungible tokens (NFTs). NFTs are unique digital tokens representing the ownership of certain unique digital objects, </w:t>
      </w:r>
      <w:r w:rsidR="00842731" w:rsidRPr="008F511F">
        <w:rPr>
          <w:rFonts w:ascii="Times New Roman" w:hAnsi="Times New Roman" w:cs="Times New Roman"/>
          <w:sz w:val="24"/>
          <w:szCs w:val="24"/>
          <w:lang w:eastAsia="ko-KR"/>
        </w:rPr>
        <w:t>e.g.,</w:t>
      </w:r>
      <w:r w:rsidRPr="008F511F">
        <w:rPr>
          <w:rFonts w:ascii="Times New Roman" w:hAnsi="Times New Roman" w:cs="Times New Roman"/>
          <w:sz w:val="24"/>
          <w:szCs w:val="24"/>
          <w:lang w:eastAsia="ko-KR"/>
        </w:rPr>
        <w:t xml:space="preserve"> artworks, images, videos or similar. The astonishing popularity of conventional cryptocurrencies, such as Bitcoin and Ethereum, has attracted the attention of investors to new and non-interchangeable type of digital assets. While a wide variety of digital assets have been introduced in the last decade, disrupting global financial markets in terms of payments, investments and financial services (E.g., </w:t>
      </w:r>
      <w:proofErr w:type="spellStart"/>
      <w:r w:rsidRPr="008F511F">
        <w:rPr>
          <w:rFonts w:ascii="Times New Roman" w:hAnsi="Times New Roman" w:cs="Times New Roman"/>
          <w:sz w:val="24"/>
          <w:szCs w:val="24"/>
          <w:lang w:eastAsia="ko-KR"/>
        </w:rPr>
        <w:t>Böhme</w:t>
      </w:r>
      <w:proofErr w:type="spellEnd"/>
      <w:r w:rsidRPr="008F511F">
        <w:rPr>
          <w:rFonts w:ascii="Times New Roman" w:hAnsi="Times New Roman" w:cs="Times New Roman"/>
          <w:sz w:val="24"/>
          <w:szCs w:val="24"/>
          <w:lang w:eastAsia="ko-KR"/>
        </w:rPr>
        <w:t xml:space="preserve"> et al., 2015; Cong et al., 2021; Ante et al., 2021), NFTs are the most recent innovation and relatively under-researched investment instrument to date (</w:t>
      </w:r>
      <w:r w:rsidR="00842731" w:rsidRPr="008F511F">
        <w:rPr>
          <w:rFonts w:ascii="Times New Roman" w:hAnsi="Times New Roman" w:cs="Times New Roman"/>
          <w:sz w:val="24"/>
          <w:szCs w:val="24"/>
          <w:lang w:eastAsia="ko-KR"/>
        </w:rPr>
        <w:t>e.g.,</w:t>
      </w:r>
      <w:r w:rsidRPr="008F511F">
        <w:rPr>
          <w:rFonts w:ascii="Times New Roman" w:hAnsi="Times New Roman" w:cs="Times New Roman"/>
          <w:sz w:val="24"/>
          <w:szCs w:val="24"/>
          <w:lang w:eastAsia="ko-KR"/>
        </w:rPr>
        <w:t xml:space="preserve"> Dowling, 2021a; </w:t>
      </w:r>
      <w:proofErr w:type="spellStart"/>
      <w:r w:rsidRPr="008F511F">
        <w:rPr>
          <w:rFonts w:ascii="Times New Roman" w:hAnsi="Times New Roman" w:cs="Times New Roman"/>
          <w:sz w:val="24"/>
          <w:szCs w:val="24"/>
          <w:lang w:eastAsia="ko-KR"/>
        </w:rPr>
        <w:t>Kireyev</w:t>
      </w:r>
      <w:proofErr w:type="spellEnd"/>
      <w:r w:rsidRPr="008F511F">
        <w:rPr>
          <w:rFonts w:ascii="Times New Roman" w:hAnsi="Times New Roman" w:cs="Times New Roman"/>
          <w:sz w:val="24"/>
          <w:szCs w:val="24"/>
          <w:lang w:eastAsia="ko-KR"/>
        </w:rPr>
        <w:t xml:space="preserve"> and Evans, 2021</w:t>
      </w:r>
      <w:r w:rsidR="00917F1E" w:rsidRPr="008F511F">
        <w:rPr>
          <w:rFonts w:ascii="Times New Roman" w:hAnsi="Times New Roman" w:cs="Times New Roman"/>
          <w:sz w:val="24"/>
          <w:szCs w:val="24"/>
          <w:lang w:eastAsia="ko-KR"/>
        </w:rPr>
        <w:t>; Baals et al., 2022</w:t>
      </w:r>
      <w:r w:rsidRPr="008F511F">
        <w:rPr>
          <w:rFonts w:ascii="Times New Roman" w:hAnsi="Times New Roman" w:cs="Times New Roman"/>
          <w:sz w:val="24"/>
          <w:szCs w:val="24"/>
          <w:lang w:eastAsia="ko-KR"/>
        </w:rPr>
        <w:t xml:space="preserve">). </w:t>
      </w:r>
    </w:p>
    <w:p w14:paraId="5223AE37" w14:textId="7FFD23D6" w:rsidR="006A7BCB" w:rsidRPr="008F511F" w:rsidRDefault="006A7BCB" w:rsidP="006A7BCB">
      <w:pPr>
        <w:spacing w:before="240" w:line="360" w:lineRule="auto"/>
        <w:ind w:firstLine="720"/>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The prices and trading volume of NFTs have dramatically increased in the last three years, i.e., the total trading volume of THETA was $3.31 billion in first semi-annual of 2018 and it increased to $74.12 billion in first semi-annual of 2021.  Moreover, the price of THETA was increased from $0.18 on 17 January 2018 to $6.48 on 20 November 2021. There is a variation in price and volume growth over time as well in the THETA. These prices and volume hikes were also observed in other NFTs blockchains (i.e., XTZ and ENJ) but with higher volatility as well (Wilson et al., 2021). Specifically, Ante (2021) reports that the trading volume of NFTs increase 23 folds from 2018 to 2021. These unprecedented hikes of prices, volume, and their associated volatility motivate us to examine the linkages among them. A very important research question is that whether volume affect the returns and volatility or vice versa? These directions of relationships are important in understanding the information arrival process, price spikes, and crashes (Marsh and Wagner, 2004).</w:t>
      </w:r>
    </w:p>
    <w:p w14:paraId="4B82F261" w14:textId="187819E7" w:rsidR="002A20C4" w:rsidRPr="008F511F" w:rsidRDefault="00D37644" w:rsidP="005825E5">
      <w:pPr>
        <w:spacing w:before="240" w:line="360" w:lineRule="auto"/>
        <w:ind w:firstLine="720"/>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 xml:space="preserve">The background literature includes </w:t>
      </w:r>
      <w:r w:rsidR="00AA33DB" w:rsidRPr="008F511F">
        <w:rPr>
          <w:rFonts w:ascii="Times New Roman" w:hAnsi="Times New Roman" w:cs="Times New Roman"/>
          <w:sz w:val="24"/>
          <w:szCs w:val="24"/>
          <w:lang w:eastAsia="ko-KR"/>
        </w:rPr>
        <w:t>Dowling (2021a)</w:t>
      </w:r>
      <w:r w:rsidRPr="008F511F">
        <w:rPr>
          <w:rFonts w:ascii="Times New Roman" w:hAnsi="Times New Roman" w:cs="Times New Roman"/>
          <w:sz w:val="24"/>
          <w:szCs w:val="24"/>
          <w:lang w:eastAsia="ko-KR"/>
        </w:rPr>
        <w:t xml:space="preserve"> who assessed </w:t>
      </w:r>
      <w:r w:rsidR="00BB09FC" w:rsidRPr="008F511F">
        <w:rPr>
          <w:rFonts w:ascii="Times New Roman" w:hAnsi="Times New Roman" w:cs="Times New Roman"/>
          <w:sz w:val="24"/>
          <w:szCs w:val="24"/>
          <w:lang w:eastAsia="ko-KR"/>
        </w:rPr>
        <w:t xml:space="preserve">the pricing efficiency of </w:t>
      </w:r>
      <w:r w:rsidR="00B60D6A" w:rsidRPr="008F511F">
        <w:rPr>
          <w:rFonts w:ascii="Times New Roman" w:hAnsi="Times New Roman" w:cs="Times New Roman"/>
          <w:sz w:val="24"/>
          <w:szCs w:val="24"/>
          <w:lang w:eastAsia="ko-KR"/>
        </w:rPr>
        <w:t>one virtual world based NFT, namely Decentraland.</w:t>
      </w:r>
      <w:r w:rsidRPr="008F511F">
        <w:rPr>
          <w:rFonts w:ascii="Times New Roman" w:hAnsi="Times New Roman" w:cs="Times New Roman"/>
          <w:sz w:val="24"/>
          <w:szCs w:val="24"/>
          <w:lang w:eastAsia="ko-KR"/>
        </w:rPr>
        <w:t xml:space="preserve"> In his further work,</w:t>
      </w:r>
      <w:r w:rsidR="00B60D6A" w:rsidRPr="008F511F">
        <w:rPr>
          <w:rFonts w:ascii="Times New Roman" w:hAnsi="Times New Roman" w:cs="Times New Roman"/>
          <w:sz w:val="24"/>
          <w:szCs w:val="24"/>
          <w:lang w:eastAsia="ko-KR"/>
        </w:rPr>
        <w:t xml:space="preserve"> Dowling (2021b) examines the volatility spillover between cryptocurrencies and NFTs</w:t>
      </w:r>
      <w:r w:rsidRPr="008F511F">
        <w:rPr>
          <w:rFonts w:ascii="Times New Roman" w:hAnsi="Times New Roman" w:cs="Times New Roman"/>
          <w:sz w:val="24"/>
          <w:szCs w:val="24"/>
          <w:lang w:eastAsia="ko-KR"/>
        </w:rPr>
        <w:t xml:space="preserve"> reporting diversification potential of new digital assets</w:t>
      </w:r>
      <w:r w:rsidR="00B60D6A" w:rsidRPr="008F511F">
        <w:rPr>
          <w:rFonts w:ascii="Times New Roman" w:hAnsi="Times New Roman" w:cs="Times New Roman"/>
          <w:sz w:val="24"/>
          <w:szCs w:val="24"/>
          <w:lang w:eastAsia="ko-KR"/>
        </w:rPr>
        <w:t xml:space="preserve">. </w:t>
      </w:r>
      <w:r w:rsidR="00883B9B" w:rsidRPr="008F511F">
        <w:rPr>
          <w:rFonts w:ascii="Times New Roman" w:hAnsi="Times New Roman" w:cs="Times New Roman"/>
          <w:sz w:val="24"/>
          <w:szCs w:val="24"/>
          <w:lang w:eastAsia="ko-KR"/>
        </w:rPr>
        <w:t xml:space="preserve">Ante (2021) </w:t>
      </w:r>
      <w:r w:rsidRPr="008F511F">
        <w:rPr>
          <w:rFonts w:ascii="Times New Roman" w:hAnsi="Times New Roman" w:cs="Times New Roman"/>
          <w:sz w:val="24"/>
          <w:szCs w:val="24"/>
          <w:lang w:eastAsia="ko-KR"/>
        </w:rPr>
        <w:t xml:space="preserve">also </w:t>
      </w:r>
      <w:r w:rsidR="00883B9B" w:rsidRPr="008F511F">
        <w:rPr>
          <w:rFonts w:ascii="Times New Roman" w:hAnsi="Times New Roman" w:cs="Times New Roman"/>
          <w:sz w:val="24"/>
          <w:szCs w:val="24"/>
          <w:lang w:eastAsia="ko-KR"/>
        </w:rPr>
        <w:t>explores the connect</w:t>
      </w:r>
      <w:r w:rsidRPr="008F511F">
        <w:rPr>
          <w:rFonts w:ascii="Times New Roman" w:hAnsi="Times New Roman" w:cs="Times New Roman"/>
          <w:sz w:val="24"/>
          <w:szCs w:val="24"/>
          <w:lang w:eastAsia="ko-KR"/>
        </w:rPr>
        <w:t>edness</w:t>
      </w:r>
      <w:r w:rsidR="00883B9B" w:rsidRPr="008F511F">
        <w:rPr>
          <w:rFonts w:ascii="Times New Roman" w:hAnsi="Times New Roman" w:cs="Times New Roman"/>
          <w:sz w:val="24"/>
          <w:szCs w:val="24"/>
          <w:lang w:eastAsia="ko-KR"/>
        </w:rPr>
        <w:t xml:space="preserve"> of NFT wallets with traditional cryptocurrencies Bitcoin and Ethereum</w:t>
      </w:r>
      <w:r w:rsidRPr="008F511F">
        <w:rPr>
          <w:rFonts w:ascii="Times New Roman" w:hAnsi="Times New Roman" w:cs="Times New Roman"/>
          <w:sz w:val="24"/>
          <w:szCs w:val="24"/>
          <w:lang w:eastAsia="ko-KR"/>
        </w:rPr>
        <w:t xml:space="preserve"> reporting the investment opportunities of NFTs</w:t>
      </w:r>
      <w:r w:rsidR="00883B9B" w:rsidRPr="008F511F">
        <w:rPr>
          <w:rFonts w:ascii="Times New Roman" w:hAnsi="Times New Roman" w:cs="Times New Roman"/>
          <w:sz w:val="24"/>
          <w:szCs w:val="24"/>
          <w:lang w:eastAsia="ko-KR"/>
        </w:rPr>
        <w:t xml:space="preserve">. </w:t>
      </w:r>
      <w:r w:rsidR="002A20C4" w:rsidRPr="008F511F">
        <w:rPr>
          <w:rFonts w:ascii="Times New Roman" w:hAnsi="Times New Roman" w:cs="Times New Roman"/>
          <w:sz w:val="24"/>
          <w:szCs w:val="24"/>
          <w:lang w:eastAsia="ko-KR"/>
        </w:rPr>
        <w:t>Yousaf and Yarovaya (2021)</w:t>
      </w:r>
      <w:r w:rsidR="006511CC" w:rsidRPr="008F511F">
        <w:rPr>
          <w:rFonts w:ascii="Times New Roman" w:hAnsi="Times New Roman" w:cs="Times New Roman"/>
          <w:sz w:val="24"/>
          <w:szCs w:val="24"/>
          <w:lang w:eastAsia="ko-KR"/>
        </w:rPr>
        <w:t xml:space="preserve">, Karim et al. (2021), </w:t>
      </w:r>
      <w:proofErr w:type="spellStart"/>
      <w:r w:rsidR="006511CC" w:rsidRPr="008F511F">
        <w:rPr>
          <w:rFonts w:ascii="Times New Roman" w:hAnsi="Times New Roman" w:cs="Times New Roman"/>
          <w:sz w:val="24"/>
          <w:szCs w:val="24"/>
          <w:lang w:eastAsia="ko-KR"/>
        </w:rPr>
        <w:t>Aharon</w:t>
      </w:r>
      <w:proofErr w:type="spellEnd"/>
      <w:r w:rsidR="006511CC" w:rsidRPr="008F511F">
        <w:rPr>
          <w:rFonts w:ascii="Times New Roman" w:hAnsi="Times New Roman" w:cs="Times New Roman"/>
          <w:sz w:val="24"/>
          <w:szCs w:val="24"/>
          <w:lang w:eastAsia="ko-KR"/>
        </w:rPr>
        <w:t xml:space="preserve"> and Demir (2021), and Umar et al. </w:t>
      </w:r>
      <w:r w:rsidR="006511CC" w:rsidRPr="008F511F">
        <w:rPr>
          <w:rFonts w:ascii="Times New Roman" w:hAnsi="Times New Roman" w:cs="Times New Roman"/>
          <w:sz w:val="24"/>
          <w:szCs w:val="24"/>
          <w:lang w:eastAsia="ko-KR"/>
        </w:rPr>
        <w:lastRenderedPageBreak/>
        <w:t xml:space="preserve">(2022) investigate the connectedness between NFT and other assets classes like gold, oil, Bitcoin, fiat currency, bonds, and stocks, concluding that </w:t>
      </w:r>
      <w:r w:rsidR="005825E5" w:rsidRPr="008F511F">
        <w:rPr>
          <w:rFonts w:ascii="Times New Roman" w:hAnsi="Times New Roman" w:cs="Times New Roman"/>
          <w:sz w:val="24"/>
          <w:szCs w:val="24"/>
          <w:lang w:eastAsia="ko-KR"/>
        </w:rPr>
        <w:t xml:space="preserve">NFTs are decoupled from other asset classes. </w:t>
      </w:r>
      <w:r w:rsidR="000B5A97" w:rsidRPr="008F511F">
        <w:rPr>
          <w:rFonts w:ascii="Times New Roman" w:hAnsi="Times New Roman" w:cs="Times New Roman"/>
          <w:sz w:val="24"/>
          <w:szCs w:val="24"/>
          <w:lang w:eastAsia="ko-KR"/>
        </w:rPr>
        <w:t>Ko et al., (2022) report that the performance of traditional portfolios (i.e., stock, oil, bond, and currency) improves after adding NFTs in it.</w:t>
      </w:r>
      <w:r w:rsidR="00CC7FA1" w:rsidRPr="008F511F">
        <w:rPr>
          <w:rFonts w:ascii="Times New Roman" w:hAnsi="Times New Roman" w:cs="Times New Roman"/>
          <w:sz w:val="24"/>
          <w:szCs w:val="24"/>
          <w:lang w:eastAsia="ko-KR"/>
        </w:rPr>
        <w:t xml:space="preserve"> </w:t>
      </w:r>
      <w:proofErr w:type="spellStart"/>
      <w:r w:rsidR="00476A37" w:rsidRPr="008F511F">
        <w:rPr>
          <w:rFonts w:ascii="Times New Roman" w:hAnsi="Times New Roman" w:cs="Times New Roman"/>
          <w:sz w:val="24"/>
          <w:szCs w:val="24"/>
          <w:lang w:eastAsia="ko-KR"/>
        </w:rPr>
        <w:t>Maouchi</w:t>
      </w:r>
      <w:proofErr w:type="spellEnd"/>
      <w:r w:rsidR="00476A37" w:rsidRPr="008F511F">
        <w:rPr>
          <w:rFonts w:ascii="Times New Roman" w:hAnsi="Times New Roman" w:cs="Times New Roman"/>
          <w:sz w:val="24"/>
          <w:szCs w:val="24"/>
          <w:lang w:eastAsia="ko-KR"/>
        </w:rPr>
        <w:t xml:space="preserve"> et al. (2021) identify the large but less frequent bubbles in NFT and Defi assets compare to traditional cryptocurrencies.</w:t>
      </w:r>
      <w:r w:rsidR="00E73497" w:rsidRPr="008F511F">
        <w:rPr>
          <w:rFonts w:ascii="Times New Roman" w:hAnsi="Times New Roman" w:cs="Times New Roman"/>
          <w:sz w:val="24"/>
          <w:szCs w:val="24"/>
          <w:lang w:eastAsia="ko-KR"/>
        </w:rPr>
        <w:t xml:space="preserve"> Wang et al., (2022) provide the evidence of speculative bubbles in NFTs and Defi assets, but bubbles magnitude is higher in NFTs compared to Defi.</w:t>
      </w:r>
      <w:r w:rsidR="00476A37" w:rsidRPr="008F511F">
        <w:rPr>
          <w:rFonts w:ascii="Times New Roman" w:hAnsi="Times New Roman" w:cs="Times New Roman"/>
          <w:sz w:val="24"/>
          <w:szCs w:val="24"/>
          <w:lang w:eastAsia="ko-KR"/>
        </w:rPr>
        <w:t xml:space="preserve"> </w:t>
      </w:r>
      <w:proofErr w:type="spellStart"/>
      <w:r w:rsidR="00764B75" w:rsidRPr="008F511F">
        <w:rPr>
          <w:rFonts w:ascii="Times New Roman" w:hAnsi="Times New Roman" w:cs="Times New Roman"/>
          <w:sz w:val="24"/>
          <w:szCs w:val="24"/>
          <w:lang w:eastAsia="ko-KR"/>
        </w:rPr>
        <w:t>Nadini</w:t>
      </w:r>
      <w:proofErr w:type="spellEnd"/>
      <w:r w:rsidR="00764B75" w:rsidRPr="008F511F">
        <w:rPr>
          <w:rFonts w:ascii="Times New Roman" w:hAnsi="Times New Roman" w:cs="Times New Roman"/>
          <w:sz w:val="24"/>
          <w:szCs w:val="24"/>
          <w:lang w:eastAsia="ko-KR"/>
        </w:rPr>
        <w:t xml:space="preserve"> et al., (2021) forecast the sales of NFTs using the using the machine learning algorithm. </w:t>
      </w:r>
      <w:r w:rsidR="007C5C58" w:rsidRPr="008F511F">
        <w:rPr>
          <w:rFonts w:ascii="Times New Roman" w:hAnsi="Times New Roman" w:cs="Times New Roman"/>
          <w:sz w:val="24"/>
          <w:szCs w:val="24"/>
          <w:lang w:eastAsia="ko-KR"/>
        </w:rPr>
        <w:t>While p</w:t>
      </w:r>
      <w:r w:rsidR="00F5074E" w:rsidRPr="008F511F">
        <w:rPr>
          <w:rFonts w:ascii="Times New Roman" w:hAnsi="Times New Roman" w:cs="Times New Roman"/>
          <w:sz w:val="24"/>
          <w:szCs w:val="24"/>
          <w:lang w:eastAsia="ko-KR"/>
        </w:rPr>
        <w:t>revious studies focus</w:t>
      </w:r>
      <w:r w:rsidR="007C5C58" w:rsidRPr="008F511F">
        <w:rPr>
          <w:rFonts w:ascii="Times New Roman" w:hAnsi="Times New Roman" w:cs="Times New Roman"/>
          <w:sz w:val="24"/>
          <w:szCs w:val="24"/>
          <w:lang w:eastAsia="ko-KR"/>
        </w:rPr>
        <w:t>ed</w:t>
      </w:r>
      <w:r w:rsidR="00F5074E" w:rsidRPr="008F511F">
        <w:rPr>
          <w:rFonts w:ascii="Times New Roman" w:hAnsi="Times New Roman" w:cs="Times New Roman"/>
          <w:sz w:val="24"/>
          <w:szCs w:val="24"/>
          <w:lang w:eastAsia="ko-KR"/>
        </w:rPr>
        <w:t xml:space="preserve"> on the return/volatility spillover</w:t>
      </w:r>
      <w:r w:rsidR="007C5C58" w:rsidRPr="008F511F">
        <w:rPr>
          <w:rFonts w:ascii="Times New Roman" w:hAnsi="Times New Roman" w:cs="Times New Roman"/>
          <w:sz w:val="24"/>
          <w:szCs w:val="24"/>
          <w:lang w:eastAsia="ko-KR"/>
        </w:rPr>
        <w:t>s</w:t>
      </w:r>
      <w:r w:rsidR="00F5074E" w:rsidRPr="008F511F">
        <w:rPr>
          <w:rFonts w:ascii="Times New Roman" w:hAnsi="Times New Roman" w:cs="Times New Roman"/>
          <w:sz w:val="24"/>
          <w:szCs w:val="24"/>
          <w:lang w:eastAsia="ko-KR"/>
        </w:rPr>
        <w:t xml:space="preserve"> between NFTs and other assets classes</w:t>
      </w:r>
      <w:r w:rsidR="007C5C58" w:rsidRPr="008F511F">
        <w:rPr>
          <w:rFonts w:ascii="Times New Roman" w:hAnsi="Times New Roman" w:cs="Times New Roman"/>
          <w:sz w:val="24"/>
          <w:szCs w:val="24"/>
          <w:lang w:eastAsia="ko-KR"/>
        </w:rPr>
        <w:t>,</w:t>
      </w:r>
      <w:r w:rsidR="00957367" w:rsidRPr="008F511F">
        <w:rPr>
          <w:rFonts w:ascii="Times New Roman" w:hAnsi="Times New Roman" w:cs="Times New Roman"/>
          <w:sz w:val="24"/>
          <w:szCs w:val="24"/>
          <w:lang w:eastAsia="ko-KR"/>
        </w:rPr>
        <w:t xml:space="preserve"> bubbles in NFTs, and forecasting the NFTs,</w:t>
      </w:r>
      <w:r w:rsidR="007C5C58" w:rsidRPr="008F511F">
        <w:rPr>
          <w:rFonts w:ascii="Times New Roman" w:hAnsi="Times New Roman" w:cs="Times New Roman"/>
          <w:sz w:val="24"/>
          <w:szCs w:val="24"/>
          <w:lang w:eastAsia="ko-KR"/>
        </w:rPr>
        <w:t xml:space="preserve"> no emphasis to date has been placed on</w:t>
      </w:r>
      <w:r w:rsidR="00F5074E" w:rsidRPr="008F511F">
        <w:rPr>
          <w:rFonts w:ascii="Times New Roman" w:hAnsi="Times New Roman" w:cs="Times New Roman"/>
          <w:sz w:val="24"/>
          <w:szCs w:val="24"/>
          <w:lang w:eastAsia="ko-KR"/>
        </w:rPr>
        <w:t xml:space="preserve"> return-volume and volatility-volume nexus of NFTs.</w:t>
      </w:r>
      <w:r w:rsidR="00852494" w:rsidRPr="008F511F">
        <w:rPr>
          <w:rFonts w:ascii="Times New Roman" w:hAnsi="Times New Roman" w:cs="Times New Roman"/>
          <w:sz w:val="24"/>
          <w:szCs w:val="24"/>
          <w:lang w:eastAsia="ko-KR"/>
        </w:rPr>
        <w:t xml:space="preserve"> </w:t>
      </w:r>
      <w:r w:rsidR="007C5C58" w:rsidRPr="008F511F">
        <w:rPr>
          <w:rFonts w:ascii="Times New Roman" w:hAnsi="Times New Roman" w:cs="Times New Roman"/>
          <w:sz w:val="24"/>
          <w:szCs w:val="24"/>
          <w:lang w:eastAsia="ko-KR"/>
        </w:rPr>
        <w:t xml:space="preserve">Therefore, this </w:t>
      </w:r>
      <w:r w:rsidR="008D37B8" w:rsidRPr="008F511F">
        <w:rPr>
          <w:rFonts w:ascii="Times New Roman" w:hAnsi="Times New Roman" w:cs="Times New Roman"/>
          <w:sz w:val="24"/>
          <w:szCs w:val="24"/>
          <w:lang w:eastAsia="ko-KR"/>
        </w:rPr>
        <w:t>is the first study which</w:t>
      </w:r>
      <w:r w:rsidR="007C5C58" w:rsidRPr="008F511F">
        <w:rPr>
          <w:rFonts w:ascii="Times New Roman" w:hAnsi="Times New Roman" w:cs="Times New Roman"/>
          <w:sz w:val="24"/>
          <w:szCs w:val="24"/>
          <w:lang w:eastAsia="ko-KR"/>
        </w:rPr>
        <w:t xml:space="preserve"> sheds the light on the relationships between trading volumes, returns and volatility</w:t>
      </w:r>
      <w:r w:rsidR="008D37B8" w:rsidRPr="008F511F">
        <w:rPr>
          <w:rFonts w:ascii="Times New Roman" w:hAnsi="Times New Roman" w:cs="Times New Roman"/>
          <w:sz w:val="24"/>
          <w:szCs w:val="24"/>
          <w:lang w:eastAsia="ko-KR"/>
        </w:rPr>
        <w:t xml:space="preserve"> for NFTs</w:t>
      </w:r>
      <w:r w:rsidR="007C5C58" w:rsidRPr="008F511F">
        <w:rPr>
          <w:rFonts w:ascii="Times New Roman" w:hAnsi="Times New Roman" w:cs="Times New Roman"/>
          <w:sz w:val="24"/>
          <w:szCs w:val="24"/>
          <w:lang w:eastAsia="ko-KR"/>
        </w:rPr>
        <w:t xml:space="preserve">, contributing to the large body of literature </w:t>
      </w:r>
      <w:r w:rsidR="00712A6A" w:rsidRPr="008F511F">
        <w:rPr>
          <w:rFonts w:ascii="Times New Roman" w:hAnsi="Times New Roman" w:cs="Times New Roman"/>
          <w:sz w:val="24"/>
          <w:szCs w:val="24"/>
          <w:lang w:eastAsia="ko-KR"/>
        </w:rPr>
        <w:t>examining the role of trading volumes in cryptocurrencies (</w:t>
      </w:r>
      <w:r w:rsidR="00842731" w:rsidRPr="008F511F">
        <w:rPr>
          <w:rFonts w:ascii="Times New Roman" w:hAnsi="Times New Roman" w:cs="Times New Roman"/>
          <w:sz w:val="24"/>
          <w:szCs w:val="24"/>
          <w:lang w:eastAsia="ko-KR"/>
        </w:rPr>
        <w:t>e.g.,</w:t>
      </w:r>
      <w:r w:rsidR="00712A6A" w:rsidRPr="008F511F">
        <w:rPr>
          <w:rFonts w:ascii="Times New Roman" w:hAnsi="Times New Roman" w:cs="Times New Roman"/>
          <w:sz w:val="24"/>
          <w:szCs w:val="24"/>
          <w:lang w:eastAsia="ko-KR"/>
        </w:rPr>
        <w:t xml:space="preserve"> </w:t>
      </w:r>
      <w:proofErr w:type="spellStart"/>
      <w:r w:rsidR="00712A6A" w:rsidRPr="008F511F">
        <w:rPr>
          <w:rFonts w:ascii="Times New Roman" w:hAnsi="Times New Roman" w:cs="Times New Roman"/>
          <w:sz w:val="24"/>
          <w:szCs w:val="24"/>
          <w:lang w:eastAsia="ko-KR"/>
        </w:rPr>
        <w:t>Bouraoui</w:t>
      </w:r>
      <w:proofErr w:type="spellEnd"/>
      <w:r w:rsidR="00712A6A" w:rsidRPr="008F511F">
        <w:rPr>
          <w:rFonts w:ascii="Times New Roman" w:hAnsi="Times New Roman" w:cs="Times New Roman"/>
          <w:sz w:val="24"/>
          <w:szCs w:val="24"/>
          <w:lang w:eastAsia="ko-KR"/>
        </w:rPr>
        <w:t>, 2020, Zhang and Li, 2020;</w:t>
      </w:r>
      <w:r w:rsidR="00712A6A" w:rsidRPr="008F511F">
        <w:t xml:space="preserve"> </w:t>
      </w:r>
      <w:proofErr w:type="spellStart"/>
      <w:r w:rsidR="00712A6A" w:rsidRPr="008F511F">
        <w:rPr>
          <w:rFonts w:ascii="Times New Roman" w:hAnsi="Times New Roman" w:cs="Times New Roman"/>
          <w:sz w:val="24"/>
          <w:szCs w:val="24"/>
          <w:lang w:eastAsia="ko-KR"/>
        </w:rPr>
        <w:t>Khuntia</w:t>
      </w:r>
      <w:proofErr w:type="spellEnd"/>
      <w:r w:rsidR="00712A6A" w:rsidRPr="008F511F">
        <w:rPr>
          <w:rFonts w:ascii="Times New Roman" w:hAnsi="Times New Roman" w:cs="Times New Roman"/>
          <w:sz w:val="24"/>
          <w:szCs w:val="24"/>
          <w:lang w:eastAsia="ko-KR"/>
        </w:rPr>
        <w:t xml:space="preserve"> and </w:t>
      </w:r>
      <w:proofErr w:type="spellStart"/>
      <w:r w:rsidR="00712A6A" w:rsidRPr="008F511F">
        <w:rPr>
          <w:rFonts w:ascii="Times New Roman" w:hAnsi="Times New Roman" w:cs="Times New Roman"/>
          <w:sz w:val="24"/>
          <w:szCs w:val="24"/>
          <w:lang w:eastAsia="ko-KR"/>
        </w:rPr>
        <w:t>Pattanayak</w:t>
      </w:r>
      <w:proofErr w:type="spellEnd"/>
      <w:r w:rsidR="00712A6A" w:rsidRPr="008F511F">
        <w:rPr>
          <w:rFonts w:ascii="Times New Roman" w:hAnsi="Times New Roman" w:cs="Times New Roman"/>
          <w:sz w:val="24"/>
          <w:szCs w:val="24"/>
          <w:lang w:eastAsia="ko-KR"/>
        </w:rPr>
        <w:t xml:space="preserve">, 2020; Yarovaya and </w:t>
      </w:r>
      <w:proofErr w:type="spellStart"/>
      <w:r w:rsidR="00712A6A" w:rsidRPr="008F511F">
        <w:rPr>
          <w:rFonts w:ascii="Times New Roman" w:hAnsi="Times New Roman" w:cs="Times New Roman"/>
          <w:sz w:val="24"/>
          <w:szCs w:val="24"/>
          <w:lang w:eastAsia="ko-KR"/>
        </w:rPr>
        <w:t>Zięba</w:t>
      </w:r>
      <w:proofErr w:type="spellEnd"/>
      <w:r w:rsidR="00712A6A" w:rsidRPr="008F511F">
        <w:rPr>
          <w:rFonts w:ascii="Times New Roman" w:hAnsi="Times New Roman" w:cs="Times New Roman"/>
          <w:sz w:val="24"/>
          <w:szCs w:val="24"/>
          <w:lang w:eastAsia="ko-KR"/>
        </w:rPr>
        <w:t>, 2021).</w:t>
      </w:r>
    </w:p>
    <w:p w14:paraId="06CF0195" w14:textId="42D1F492" w:rsidR="00DE6EBB" w:rsidRPr="008F511F" w:rsidRDefault="00247903" w:rsidP="003B5159">
      <w:pPr>
        <w:spacing w:before="120" w:after="120" w:line="360" w:lineRule="auto"/>
        <w:ind w:firstLine="720"/>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 xml:space="preserve">Our research based on the literature </w:t>
      </w:r>
      <w:r w:rsidR="00DE6EBB" w:rsidRPr="008F511F">
        <w:rPr>
          <w:rFonts w:ascii="Times New Roman" w:hAnsi="Times New Roman" w:cs="Times New Roman"/>
          <w:sz w:val="24"/>
          <w:szCs w:val="24"/>
          <w:lang w:eastAsia="ko-KR"/>
        </w:rPr>
        <w:t>assessing</w:t>
      </w:r>
      <w:r w:rsidRPr="008F511F">
        <w:rPr>
          <w:rFonts w:ascii="Times New Roman" w:hAnsi="Times New Roman" w:cs="Times New Roman"/>
          <w:sz w:val="24"/>
          <w:szCs w:val="24"/>
          <w:lang w:eastAsia="ko-KR"/>
        </w:rPr>
        <w:t xml:space="preserve"> return-v</w:t>
      </w:r>
      <w:r w:rsidR="00DE6EBB" w:rsidRPr="008F511F">
        <w:rPr>
          <w:rFonts w:ascii="Times New Roman" w:hAnsi="Times New Roman" w:cs="Times New Roman"/>
          <w:sz w:val="24"/>
          <w:szCs w:val="24"/>
          <w:lang w:eastAsia="ko-KR"/>
        </w:rPr>
        <w:t>o</w:t>
      </w:r>
      <w:r w:rsidRPr="008F511F">
        <w:rPr>
          <w:rFonts w:ascii="Times New Roman" w:hAnsi="Times New Roman" w:cs="Times New Roman"/>
          <w:sz w:val="24"/>
          <w:szCs w:val="24"/>
          <w:lang w:eastAsia="ko-KR"/>
        </w:rPr>
        <w:t>lume</w:t>
      </w:r>
      <w:r w:rsidR="00DE6EBB" w:rsidRPr="008F511F">
        <w:rPr>
          <w:rFonts w:ascii="Times New Roman" w:hAnsi="Times New Roman" w:cs="Times New Roman"/>
          <w:sz w:val="24"/>
          <w:szCs w:val="24"/>
          <w:lang w:eastAsia="ko-KR"/>
        </w:rPr>
        <w:t xml:space="preserve"> relationships between digital assets. </w:t>
      </w:r>
      <w:proofErr w:type="spellStart"/>
      <w:r w:rsidR="008049F0" w:rsidRPr="008F511F">
        <w:rPr>
          <w:rFonts w:ascii="Times New Roman" w:hAnsi="Times New Roman" w:cs="Times New Roman"/>
          <w:sz w:val="24"/>
          <w:szCs w:val="24"/>
          <w:lang w:eastAsia="ko-KR"/>
        </w:rPr>
        <w:t>Balcilar</w:t>
      </w:r>
      <w:proofErr w:type="spellEnd"/>
      <w:r w:rsidR="008049F0" w:rsidRPr="008F511F">
        <w:rPr>
          <w:rFonts w:ascii="Times New Roman" w:hAnsi="Times New Roman" w:cs="Times New Roman"/>
          <w:sz w:val="24"/>
          <w:szCs w:val="24"/>
          <w:lang w:eastAsia="ko-KR"/>
        </w:rPr>
        <w:t xml:space="preserve"> et al. (2017) </w:t>
      </w:r>
      <w:r w:rsidR="00157DF1" w:rsidRPr="008F511F">
        <w:rPr>
          <w:rFonts w:ascii="Times New Roman" w:hAnsi="Times New Roman" w:cs="Times New Roman"/>
          <w:sz w:val="24"/>
          <w:szCs w:val="24"/>
          <w:lang w:eastAsia="ko-KR"/>
        </w:rPr>
        <w:t xml:space="preserve">explore the </w:t>
      </w:r>
      <w:r w:rsidR="00BC451C" w:rsidRPr="008F511F">
        <w:rPr>
          <w:rFonts w:ascii="Times New Roman" w:hAnsi="Times New Roman" w:cs="Times New Roman"/>
          <w:sz w:val="24"/>
          <w:szCs w:val="24"/>
          <w:lang w:eastAsia="ko-KR"/>
        </w:rPr>
        <w:t>effect of volume on returns and volatility in</w:t>
      </w:r>
      <w:r w:rsidR="008049F0" w:rsidRPr="008F511F">
        <w:rPr>
          <w:rFonts w:ascii="Times New Roman" w:hAnsi="Times New Roman" w:cs="Times New Roman"/>
          <w:sz w:val="24"/>
          <w:szCs w:val="24"/>
          <w:lang w:eastAsia="ko-KR"/>
        </w:rPr>
        <w:t xml:space="preserve"> Bitcoin market using the causality in quantiles </w:t>
      </w:r>
      <w:r w:rsidR="00E9380A" w:rsidRPr="008F511F">
        <w:rPr>
          <w:rFonts w:ascii="Times New Roman" w:hAnsi="Times New Roman" w:cs="Times New Roman"/>
          <w:sz w:val="24"/>
          <w:szCs w:val="24"/>
          <w:lang w:eastAsia="ko-KR"/>
        </w:rPr>
        <w:t>approach and</w:t>
      </w:r>
      <w:r w:rsidR="00D231E2" w:rsidRPr="008F511F">
        <w:rPr>
          <w:rFonts w:ascii="Times New Roman" w:hAnsi="Times New Roman" w:cs="Times New Roman"/>
          <w:sz w:val="24"/>
          <w:szCs w:val="24"/>
          <w:lang w:eastAsia="ko-KR"/>
        </w:rPr>
        <w:t xml:space="preserve"> find that the </w:t>
      </w:r>
      <w:r w:rsidR="00E9380A" w:rsidRPr="008F511F">
        <w:rPr>
          <w:rFonts w:ascii="Times New Roman" w:hAnsi="Times New Roman" w:cs="Times New Roman"/>
          <w:sz w:val="24"/>
          <w:szCs w:val="24"/>
          <w:lang w:eastAsia="ko-KR"/>
        </w:rPr>
        <w:t xml:space="preserve">volume influences the returns between 0.25 and 0.75 quantiles. </w:t>
      </w:r>
      <w:r w:rsidR="00157DF1" w:rsidRPr="008F511F">
        <w:rPr>
          <w:rFonts w:ascii="Times New Roman" w:hAnsi="Times New Roman" w:cs="Times New Roman"/>
          <w:sz w:val="24"/>
          <w:szCs w:val="24"/>
          <w:lang w:eastAsia="ko-KR"/>
        </w:rPr>
        <w:t xml:space="preserve">Further, </w:t>
      </w:r>
      <w:r w:rsidR="00C12E5F" w:rsidRPr="008F511F">
        <w:rPr>
          <w:rFonts w:ascii="Times New Roman" w:hAnsi="Times New Roman" w:cs="Times New Roman"/>
          <w:sz w:val="24"/>
          <w:szCs w:val="24"/>
          <w:lang w:eastAsia="ko-KR"/>
        </w:rPr>
        <w:t xml:space="preserve">this study concludes that the </w:t>
      </w:r>
      <w:r w:rsidR="003B7BF8" w:rsidRPr="008F511F">
        <w:rPr>
          <w:rFonts w:ascii="Times New Roman" w:hAnsi="Times New Roman" w:cs="Times New Roman"/>
          <w:sz w:val="24"/>
          <w:szCs w:val="24"/>
          <w:lang w:eastAsia="ko-KR"/>
        </w:rPr>
        <w:t>trading volume does not affect the volatility of Bitcoin in all quantiles.</w:t>
      </w:r>
      <w:r w:rsidR="00C12E5F" w:rsidRPr="008F511F">
        <w:rPr>
          <w:rFonts w:ascii="Times New Roman" w:hAnsi="Times New Roman" w:cs="Times New Roman"/>
          <w:sz w:val="24"/>
          <w:szCs w:val="24"/>
          <w:lang w:eastAsia="ko-KR"/>
        </w:rPr>
        <w:t xml:space="preserve"> </w:t>
      </w:r>
      <w:proofErr w:type="spellStart"/>
      <w:r w:rsidR="00701706" w:rsidRPr="008F511F">
        <w:rPr>
          <w:rFonts w:ascii="Times New Roman" w:hAnsi="Times New Roman" w:cs="Times New Roman"/>
          <w:sz w:val="24"/>
          <w:szCs w:val="24"/>
          <w:lang w:eastAsia="ko-KR"/>
        </w:rPr>
        <w:t>Fousekis</w:t>
      </w:r>
      <w:proofErr w:type="spellEnd"/>
      <w:r w:rsidR="00701706" w:rsidRPr="008F511F">
        <w:rPr>
          <w:rFonts w:ascii="Times New Roman" w:hAnsi="Times New Roman" w:cs="Times New Roman"/>
          <w:sz w:val="24"/>
          <w:szCs w:val="24"/>
          <w:lang w:eastAsia="ko-KR"/>
        </w:rPr>
        <w:t xml:space="preserve"> and </w:t>
      </w:r>
      <w:proofErr w:type="spellStart"/>
      <w:r w:rsidR="00701706" w:rsidRPr="008F511F">
        <w:rPr>
          <w:rFonts w:ascii="Times New Roman" w:hAnsi="Times New Roman" w:cs="Times New Roman"/>
          <w:sz w:val="24"/>
          <w:szCs w:val="24"/>
          <w:lang w:eastAsia="ko-KR"/>
        </w:rPr>
        <w:t>Tzaferi</w:t>
      </w:r>
      <w:proofErr w:type="spellEnd"/>
      <w:r w:rsidR="00701706" w:rsidRPr="008F511F">
        <w:rPr>
          <w:rFonts w:ascii="Times New Roman" w:hAnsi="Times New Roman" w:cs="Times New Roman"/>
          <w:sz w:val="24"/>
          <w:szCs w:val="24"/>
          <w:lang w:eastAsia="ko-KR"/>
        </w:rPr>
        <w:t xml:space="preserve"> (2021) </w:t>
      </w:r>
      <w:r w:rsidR="00BB0490" w:rsidRPr="008F511F">
        <w:rPr>
          <w:rFonts w:ascii="Times New Roman" w:hAnsi="Times New Roman" w:cs="Times New Roman"/>
          <w:sz w:val="24"/>
          <w:szCs w:val="24"/>
          <w:lang w:eastAsia="ko-KR"/>
        </w:rPr>
        <w:t>examine the positive and negative spillover between volume and returns of four traditional cryptocurrencies (i.e., Bitcoin, Ethereum, XRP, Litecoin) in shorter and longer horizons</w:t>
      </w:r>
      <w:r w:rsidR="008E6D50" w:rsidRPr="008F511F">
        <w:rPr>
          <w:rFonts w:ascii="Times New Roman" w:hAnsi="Times New Roman" w:cs="Times New Roman"/>
          <w:sz w:val="24"/>
          <w:szCs w:val="24"/>
          <w:lang w:eastAsia="ko-KR"/>
        </w:rPr>
        <w:t xml:space="preserve"> using the frequency connectedness approach of </w:t>
      </w:r>
      <w:proofErr w:type="spellStart"/>
      <w:r w:rsidR="008E6D50" w:rsidRPr="008F511F">
        <w:rPr>
          <w:rFonts w:ascii="Times New Roman" w:hAnsi="Times New Roman" w:cs="Times New Roman"/>
          <w:sz w:val="24"/>
          <w:szCs w:val="24"/>
          <w:lang w:eastAsia="ko-KR"/>
        </w:rPr>
        <w:t>Baruník</w:t>
      </w:r>
      <w:proofErr w:type="spellEnd"/>
      <w:r w:rsidR="008E6D50" w:rsidRPr="008F511F">
        <w:rPr>
          <w:rFonts w:ascii="Times New Roman" w:hAnsi="Times New Roman" w:cs="Times New Roman"/>
          <w:sz w:val="24"/>
          <w:szCs w:val="24"/>
          <w:lang w:eastAsia="ko-KR"/>
        </w:rPr>
        <w:t xml:space="preserve"> and </w:t>
      </w:r>
      <w:proofErr w:type="spellStart"/>
      <w:r w:rsidR="008E6D50" w:rsidRPr="008F511F">
        <w:rPr>
          <w:rFonts w:ascii="Times New Roman" w:hAnsi="Times New Roman" w:cs="Times New Roman"/>
          <w:sz w:val="24"/>
          <w:szCs w:val="24"/>
          <w:lang w:eastAsia="ko-KR"/>
        </w:rPr>
        <w:t>Křehlík</w:t>
      </w:r>
      <w:proofErr w:type="spellEnd"/>
      <w:r w:rsidR="008E6D50" w:rsidRPr="008F511F">
        <w:rPr>
          <w:rFonts w:ascii="Times New Roman" w:hAnsi="Times New Roman" w:cs="Times New Roman"/>
          <w:sz w:val="24"/>
          <w:szCs w:val="24"/>
          <w:lang w:eastAsia="ko-KR"/>
        </w:rPr>
        <w:t xml:space="preserve"> (2018)</w:t>
      </w:r>
      <w:r w:rsidR="00BB0490" w:rsidRPr="008F511F">
        <w:rPr>
          <w:rFonts w:ascii="Times New Roman" w:hAnsi="Times New Roman" w:cs="Times New Roman"/>
          <w:sz w:val="24"/>
          <w:szCs w:val="24"/>
          <w:lang w:eastAsia="ko-KR"/>
        </w:rPr>
        <w:t xml:space="preserve">. </w:t>
      </w:r>
      <w:r w:rsidR="00441B43" w:rsidRPr="008F511F">
        <w:rPr>
          <w:rFonts w:ascii="Times New Roman" w:hAnsi="Times New Roman" w:cs="Times New Roman"/>
          <w:sz w:val="24"/>
          <w:szCs w:val="24"/>
          <w:lang w:eastAsia="ko-KR"/>
        </w:rPr>
        <w:t>They report the bi-directional causal relationships between volume and returns. In long run, spillovers are</w:t>
      </w:r>
      <w:r w:rsidR="008E6D50" w:rsidRPr="008F511F">
        <w:rPr>
          <w:rFonts w:ascii="Times New Roman" w:hAnsi="Times New Roman" w:cs="Times New Roman"/>
          <w:sz w:val="24"/>
          <w:szCs w:val="24"/>
          <w:lang w:eastAsia="ko-KR"/>
        </w:rPr>
        <w:t xml:space="preserve"> found to be</w:t>
      </w:r>
      <w:r w:rsidR="00441B43" w:rsidRPr="008F511F">
        <w:rPr>
          <w:rFonts w:ascii="Times New Roman" w:hAnsi="Times New Roman" w:cs="Times New Roman"/>
          <w:sz w:val="24"/>
          <w:szCs w:val="24"/>
          <w:lang w:eastAsia="ko-KR"/>
        </w:rPr>
        <w:t xml:space="preserve"> stronger from returns to volume compared to the spil</w:t>
      </w:r>
      <w:r w:rsidR="00567609" w:rsidRPr="008F511F">
        <w:rPr>
          <w:rFonts w:ascii="Times New Roman" w:hAnsi="Times New Roman" w:cs="Times New Roman"/>
          <w:sz w:val="24"/>
          <w:szCs w:val="24"/>
          <w:lang w:eastAsia="ko-KR"/>
        </w:rPr>
        <w:t xml:space="preserve">lovers from volume to returns. </w:t>
      </w:r>
      <w:r w:rsidR="00374E41" w:rsidRPr="008F511F">
        <w:rPr>
          <w:rFonts w:ascii="Times New Roman" w:hAnsi="Times New Roman" w:cs="Times New Roman"/>
          <w:sz w:val="24"/>
          <w:szCs w:val="24"/>
          <w:lang w:eastAsia="ko-KR"/>
        </w:rPr>
        <w:t xml:space="preserve">Moreover, </w:t>
      </w:r>
      <w:r w:rsidR="00733024" w:rsidRPr="008F511F">
        <w:rPr>
          <w:rFonts w:ascii="Times New Roman" w:hAnsi="Times New Roman" w:cs="Times New Roman"/>
          <w:sz w:val="24"/>
          <w:szCs w:val="24"/>
          <w:lang w:eastAsia="ko-KR"/>
        </w:rPr>
        <w:t xml:space="preserve">positive spillover </w:t>
      </w:r>
      <w:r w:rsidR="00CF0F23" w:rsidRPr="008F511F">
        <w:rPr>
          <w:rFonts w:ascii="Times New Roman" w:hAnsi="Times New Roman" w:cs="Times New Roman"/>
          <w:sz w:val="24"/>
          <w:szCs w:val="24"/>
          <w:lang w:eastAsia="ko-KR"/>
        </w:rPr>
        <w:t>is</w:t>
      </w:r>
      <w:r w:rsidR="00733024" w:rsidRPr="008F511F">
        <w:rPr>
          <w:rFonts w:ascii="Times New Roman" w:hAnsi="Times New Roman" w:cs="Times New Roman"/>
          <w:sz w:val="24"/>
          <w:szCs w:val="24"/>
          <w:lang w:eastAsia="ko-KR"/>
        </w:rPr>
        <w:t xml:space="preserve"> stronger than the negative spillovers between volume and returns.</w:t>
      </w:r>
      <w:r w:rsidR="00D7230C" w:rsidRPr="008F511F">
        <w:t xml:space="preserve"> </w:t>
      </w:r>
      <w:proofErr w:type="spellStart"/>
      <w:r w:rsidR="00D7230C" w:rsidRPr="008F511F">
        <w:rPr>
          <w:rFonts w:ascii="Times New Roman" w:hAnsi="Times New Roman" w:cs="Times New Roman"/>
          <w:sz w:val="24"/>
          <w:szCs w:val="24"/>
          <w:lang w:eastAsia="ko-KR"/>
        </w:rPr>
        <w:t>Borri</w:t>
      </w:r>
      <w:proofErr w:type="spellEnd"/>
      <w:r w:rsidR="00D7230C" w:rsidRPr="008F511F">
        <w:rPr>
          <w:rFonts w:ascii="Times New Roman" w:hAnsi="Times New Roman" w:cs="Times New Roman"/>
          <w:sz w:val="24"/>
          <w:szCs w:val="24"/>
          <w:lang w:eastAsia="ko-KR"/>
        </w:rPr>
        <w:t xml:space="preserve"> and </w:t>
      </w:r>
      <w:proofErr w:type="spellStart"/>
      <w:r w:rsidR="00D7230C" w:rsidRPr="008F511F">
        <w:rPr>
          <w:rFonts w:ascii="Times New Roman" w:hAnsi="Times New Roman" w:cs="Times New Roman"/>
          <w:sz w:val="24"/>
          <w:szCs w:val="24"/>
          <w:lang w:eastAsia="ko-KR"/>
        </w:rPr>
        <w:t>Shakhnov</w:t>
      </w:r>
      <w:proofErr w:type="spellEnd"/>
      <w:r w:rsidR="00D7230C" w:rsidRPr="008F511F">
        <w:rPr>
          <w:rFonts w:ascii="Times New Roman" w:hAnsi="Times New Roman" w:cs="Times New Roman"/>
          <w:sz w:val="24"/>
          <w:szCs w:val="24"/>
          <w:lang w:eastAsia="ko-KR"/>
        </w:rPr>
        <w:t xml:space="preserve"> (2020) provide the evidence of simultaneous increase in volume and prices of Bitcoin in exchange for the various exchanges.</w:t>
      </w:r>
      <w:r w:rsidR="00733024" w:rsidRPr="008F511F">
        <w:rPr>
          <w:rFonts w:ascii="Times New Roman" w:hAnsi="Times New Roman" w:cs="Times New Roman"/>
          <w:sz w:val="24"/>
          <w:szCs w:val="24"/>
          <w:lang w:eastAsia="ko-KR"/>
        </w:rPr>
        <w:t xml:space="preserve"> </w:t>
      </w:r>
      <w:r w:rsidR="001D5444" w:rsidRPr="008F511F">
        <w:rPr>
          <w:rFonts w:ascii="Times New Roman" w:hAnsi="Times New Roman" w:cs="Times New Roman"/>
          <w:sz w:val="24"/>
          <w:szCs w:val="24"/>
          <w:lang w:eastAsia="ko-KR"/>
        </w:rPr>
        <w:t>Using</w:t>
      </w:r>
      <w:r w:rsidR="001D5444" w:rsidRPr="008F511F">
        <w:t xml:space="preserve"> </w:t>
      </w:r>
      <w:r w:rsidR="001D5444" w:rsidRPr="008F511F">
        <w:rPr>
          <w:rFonts w:ascii="Times New Roman" w:hAnsi="Times New Roman" w:cs="Times New Roman"/>
          <w:sz w:val="24"/>
          <w:szCs w:val="24"/>
          <w:lang w:eastAsia="ko-KR"/>
        </w:rPr>
        <w:t xml:space="preserve">copula-quantile causality approach, </w:t>
      </w:r>
      <w:proofErr w:type="spellStart"/>
      <w:r w:rsidR="001D5444" w:rsidRPr="008F511F">
        <w:rPr>
          <w:rFonts w:ascii="Times New Roman" w:hAnsi="Times New Roman" w:cs="Times New Roman"/>
          <w:sz w:val="24"/>
          <w:szCs w:val="24"/>
          <w:lang w:eastAsia="ko-KR"/>
        </w:rPr>
        <w:t>Bouri</w:t>
      </w:r>
      <w:proofErr w:type="spellEnd"/>
      <w:r w:rsidR="001D5444" w:rsidRPr="008F511F">
        <w:rPr>
          <w:rFonts w:ascii="Times New Roman" w:hAnsi="Times New Roman" w:cs="Times New Roman"/>
          <w:sz w:val="24"/>
          <w:szCs w:val="24"/>
          <w:lang w:eastAsia="ko-KR"/>
        </w:rPr>
        <w:t xml:space="preserve"> et al. (2019) estimate the impact of </w:t>
      </w:r>
      <w:r w:rsidR="000B0A21" w:rsidRPr="008F511F">
        <w:rPr>
          <w:rFonts w:ascii="Times New Roman" w:hAnsi="Times New Roman" w:cs="Times New Roman"/>
          <w:sz w:val="24"/>
          <w:szCs w:val="24"/>
          <w:lang w:eastAsia="ko-KR"/>
        </w:rPr>
        <w:t xml:space="preserve">volume on returns and volatility of seven traditional cryptocurrencies and find that trading volume influences the extreme positive and negative returns of all cryptocurrencies, whereas volume affects the </w:t>
      </w:r>
      <w:r w:rsidR="004A05B9" w:rsidRPr="008F511F">
        <w:rPr>
          <w:rFonts w:ascii="Times New Roman" w:hAnsi="Times New Roman" w:cs="Times New Roman"/>
          <w:sz w:val="24"/>
          <w:szCs w:val="24"/>
          <w:lang w:eastAsia="ko-KR"/>
        </w:rPr>
        <w:t xml:space="preserve">volatility of </w:t>
      </w:r>
      <w:r w:rsidR="000B0A21" w:rsidRPr="008F511F">
        <w:rPr>
          <w:rFonts w:ascii="Times New Roman" w:hAnsi="Times New Roman" w:cs="Times New Roman"/>
          <w:sz w:val="24"/>
          <w:szCs w:val="24"/>
          <w:lang w:eastAsia="ko-KR"/>
        </w:rPr>
        <w:t xml:space="preserve">few cryptocurrencies. </w:t>
      </w:r>
      <w:r w:rsidR="00582509" w:rsidRPr="008F511F">
        <w:rPr>
          <w:rFonts w:ascii="Times New Roman" w:hAnsi="Times New Roman" w:cs="Times New Roman"/>
          <w:sz w:val="24"/>
          <w:szCs w:val="24"/>
          <w:lang w:eastAsia="ko-KR"/>
        </w:rPr>
        <w:t xml:space="preserve">Using </w:t>
      </w:r>
      <w:proofErr w:type="spellStart"/>
      <w:r w:rsidR="00582509" w:rsidRPr="008F511F">
        <w:rPr>
          <w:rFonts w:ascii="Times New Roman" w:hAnsi="Times New Roman" w:cs="Times New Roman"/>
          <w:sz w:val="24"/>
          <w:szCs w:val="24"/>
          <w:lang w:eastAsia="ko-KR"/>
        </w:rPr>
        <w:t>Garch</w:t>
      </w:r>
      <w:proofErr w:type="spellEnd"/>
      <w:r w:rsidR="00582509" w:rsidRPr="008F511F">
        <w:rPr>
          <w:rFonts w:ascii="Times New Roman" w:hAnsi="Times New Roman" w:cs="Times New Roman"/>
          <w:sz w:val="24"/>
          <w:szCs w:val="24"/>
          <w:lang w:eastAsia="ko-KR"/>
        </w:rPr>
        <w:t xml:space="preserve">-Copula based approaches, Naeem et al. (2020) examine the extreme quantile dependencies between trading volume and returns of Bitcoin, </w:t>
      </w:r>
      <w:r w:rsidR="00582509" w:rsidRPr="008F511F">
        <w:rPr>
          <w:rFonts w:ascii="Times New Roman" w:hAnsi="Times New Roman" w:cs="Times New Roman"/>
          <w:sz w:val="24"/>
          <w:szCs w:val="24"/>
          <w:lang w:eastAsia="ko-KR"/>
        </w:rPr>
        <w:lastRenderedPageBreak/>
        <w:t xml:space="preserve">Ethereum, and Litecoin and report that tail connectedness is higher in presence of higher volumes and returns. </w:t>
      </w:r>
      <w:r w:rsidR="00C1733D" w:rsidRPr="008F511F">
        <w:rPr>
          <w:rFonts w:ascii="Times New Roman" w:hAnsi="Times New Roman" w:cs="Times New Roman"/>
          <w:sz w:val="24"/>
          <w:szCs w:val="24"/>
          <w:lang w:eastAsia="ko-KR"/>
        </w:rPr>
        <w:t xml:space="preserve">The variation of results in above-mentioned studies over various quantiles highlights the importance of investigating the extreme tail dependence </w:t>
      </w:r>
      <w:r w:rsidR="007032B2" w:rsidRPr="008F511F">
        <w:rPr>
          <w:rFonts w:ascii="Times New Roman" w:hAnsi="Times New Roman" w:cs="Times New Roman"/>
          <w:sz w:val="24"/>
          <w:szCs w:val="24"/>
          <w:lang w:eastAsia="ko-KR"/>
        </w:rPr>
        <w:t>instead of average dependence</w:t>
      </w:r>
      <w:r w:rsidR="00C1733D" w:rsidRPr="008F511F">
        <w:rPr>
          <w:rFonts w:ascii="Times New Roman" w:hAnsi="Times New Roman" w:cs="Times New Roman"/>
          <w:sz w:val="24"/>
          <w:szCs w:val="24"/>
          <w:lang w:eastAsia="ko-KR"/>
        </w:rPr>
        <w:t>.</w:t>
      </w:r>
      <w:r w:rsidR="00D37644" w:rsidRPr="008F511F">
        <w:rPr>
          <w:rFonts w:ascii="Times New Roman" w:hAnsi="Times New Roman" w:cs="Times New Roman"/>
          <w:sz w:val="24"/>
          <w:szCs w:val="24"/>
          <w:lang w:eastAsia="ko-KR"/>
        </w:rPr>
        <w:t xml:space="preserve"> Yarovaya and </w:t>
      </w:r>
      <w:bookmarkStart w:id="0" w:name="baut0010"/>
      <w:r w:rsidR="00D37644" w:rsidRPr="008F511F">
        <w:rPr>
          <w:rFonts w:ascii="Times New Roman" w:hAnsi="Times New Roman" w:cs="Times New Roman"/>
          <w:sz w:val="24"/>
          <w:szCs w:val="24"/>
          <w:lang w:eastAsia="ko-KR"/>
        </w:rPr>
        <w:fldChar w:fldCharType="begin"/>
      </w:r>
      <w:r w:rsidR="00D37644" w:rsidRPr="008F511F">
        <w:rPr>
          <w:rFonts w:ascii="Times New Roman" w:hAnsi="Times New Roman" w:cs="Times New Roman"/>
          <w:sz w:val="24"/>
          <w:szCs w:val="24"/>
          <w:lang w:eastAsia="ko-KR"/>
        </w:rPr>
        <w:instrText xml:space="preserve"> HYPERLINK "https://www.sciencedirect.com/science/article/abs/pii/S0275531921002130" \l "!" </w:instrText>
      </w:r>
      <w:r w:rsidR="00D37644" w:rsidRPr="008F511F">
        <w:rPr>
          <w:rFonts w:ascii="Times New Roman" w:hAnsi="Times New Roman" w:cs="Times New Roman"/>
          <w:sz w:val="24"/>
          <w:szCs w:val="24"/>
          <w:lang w:eastAsia="ko-KR"/>
        </w:rPr>
        <w:fldChar w:fldCharType="separate"/>
      </w:r>
      <w:proofErr w:type="spellStart"/>
      <w:r w:rsidR="00D37644" w:rsidRPr="008F511F">
        <w:rPr>
          <w:rFonts w:ascii="Times New Roman" w:hAnsi="Times New Roman" w:cs="Times New Roman"/>
          <w:sz w:val="24"/>
          <w:szCs w:val="24"/>
          <w:lang w:eastAsia="ko-KR"/>
        </w:rPr>
        <w:t>Zięba</w:t>
      </w:r>
      <w:proofErr w:type="spellEnd"/>
      <w:r w:rsidR="00D37644" w:rsidRPr="008F511F">
        <w:rPr>
          <w:rFonts w:ascii="Times New Roman" w:hAnsi="Times New Roman" w:cs="Times New Roman"/>
          <w:sz w:val="24"/>
          <w:szCs w:val="24"/>
          <w:lang w:eastAsia="ko-KR"/>
        </w:rPr>
        <w:fldChar w:fldCharType="end"/>
      </w:r>
      <w:bookmarkEnd w:id="0"/>
      <w:r w:rsidR="00D37644" w:rsidRPr="008F511F">
        <w:rPr>
          <w:rFonts w:ascii="Times New Roman" w:hAnsi="Times New Roman" w:cs="Times New Roman"/>
          <w:sz w:val="24"/>
          <w:szCs w:val="24"/>
          <w:lang w:eastAsia="ko-KR"/>
        </w:rPr>
        <w:t xml:space="preserve"> (2021) </w:t>
      </w:r>
      <w:r w:rsidR="00712A6A" w:rsidRPr="008F511F">
        <w:rPr>
          <w:rFonts w:ascii="Times New Roman" w:hAnsi="Times New Roman" w:cs="Times New Roman"/>
          <w:sz w:val="24"/>
          <w:szCs w:val="24"/>
          <w:lang w:eastAsia="ko-KR"/>
        </w:rPr>
        <w:t>analyzed</w:t>
      </w:r>
      <w:r w:rsidR="00D37644" w:rsidRPr="008F511F">
        <w:rPr>
          <w:rFonts w:ascii="Times New Roman" w:hAnsi="Times New Roman" w:cs="Times New Roman"/>
          <w:sz w:val="24"/>
          <w:szCs w:val="24"/>
          <w:lang w:eastAsia="ko-KR"/>
        </w:rPr>
        <w:t xml:space="preserve"> return-volume relations between top 30 most tradable cryptocurrencies using high-frequency data and found that return-volume bidirectional causality is weakening with decreasing data frequencies.</w:t>
      </w:r>
    </w:p>
    <w:p w14:paraId="7C3B9537" w14:textId="5CFA0A43" w:rsidR="003B5159" w:rsidRPr="008F511F" w:rsidRDefault="006F1D8C" w:rsidP="00D162CA">
      <w:pPr>
        <w:spacing w:before="120" w:after="120" w:line="360" w:lineRule="auto"/>
        <w:ind w:firstLine="720"/>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 xml:space="preserve">While return-volume relationships has been examined in </w:t>
      </w:r>
      <w:r w:rsidR="006A7BCB" w:rsidRPr="008F511F">
        <w:rPr>
          <w:rFonts w:ascii="Times New Roman" w:hAnsi="Times New Roman" w:cs="Times New Roman"/>
          <w:sz w:val="24"/>
          <w:szCs w:val="24"/>
          <w:lang w:eastAsia="ko-KR"/>
        </w:rPr>
        <w:t xml:space="preserve">the cryptocurrency </w:t>
      </w:r>
      <w:r w:rsidRPr="008F511F">
        <w:rPr>
          <w:rFonts w:ascii="Times New Roman" w:hAnsi="Times New Roman" w:cs="Times New Roman"/>
          <w:sz w:val="24"/>
          <w:szCs w:val="24"/>
          <w:lang w:eastAsia="ko-KR"/>
        </w:rPr>
        <w:t xml:space="preserve">literature already, NFT blockchain are significantly different from the pioneer cryptocurrencies due to their technological characteristics and </w:t>
      </w:r>
      <w:r w:rsidR="006A7BCB" w:rsidRPr="008F511F">
        <w:rPr>
          <w:rFonts w:ascii="Times New Roman" w:hAnsi="Times New Roman" w:cs="Times New Roman"/>
          <w:sz w:val="24"/>
          <w:szCs w:val="24"/>
          <w:lang w:eastAsia="ko-KR"/>
        </w:rPr>
        <w:t xml:space="preserve">their </w:t>
      </w:r>
      <w:r w:rsidRPr="008F511F">
        <w:rPr>
          <w:rFonts w:ascii="Times New Roman" w:hAnsi="Times New Roman" w:cs="Times New Roman"/>
          <w:sz w:val="24"/>
          <w:szCs w:val="24"/>
          <w:lang w:eastAsia="ko-KR"/>
        </w:rPr>
        <w:t>purpose. In contrast to ‘conventional’, mineable cryptocurrencies, like Bitcoin</w:t>
      </w:r>
      <w:r w:rsidR="00D162CA" w:rsidRPr="008F511F">
        <w:rPr>
          <w:rFonts w:ascii="Times New Roman" w:hAnsi="Times New Roman" w:cs="Times New Roman"/>
          <w:sz w:val="24"/>
          <w:szCs w:val="24"/>
          <w:lang w:eastAsia="ko-KR"/>
        </w:rPr>
        <w:t xml:space="preserve">, the main </w:t>
      </w:r>
      <w:r w:rsidR="006A7BCB" w:rsidRPr="008F511F">
        <w:rPr>
          <w:rFonts w:ascii="Times New Roman" w:hAnsi="Times New Roman" w:cs="Times New Roman"/>
          <w:sz w:val="24"/>
          <w:szCs w:val="24"/>
          <w:lang w:eastAsia="ko-KR"/>
        </w:rPr>
        <w:t>function</w:t>
      </w:r>
      <w:r w:rsidR="00D162CA" w:rsidRPr="008F511F">
        <w:rPr>
          <w:rFonts w:ascii="Times New Roman" w:hAnsi="Times New Roman" w:cs="Times New Roman"/>
          <w:sz w:val="24"/>
          <w:szCs w:val="24"/>
          <w:lang w:eastAsia="ko-KR"/>
        </w:rPr>
        <w:t xml:space="preserve"> of NFTs is </w:t>
      </w:r>
      <w:r w:rsidR="006A7BCB" w:rsidRPr="008F511F">
        <w:rPr>
          <w:rFonts w:ascii="Times New Roman" w:hAnsi="Times New Roman" w:cs="Times New Roman"/>
          <w:sz w:val="24"/>
          <w:szCs w:val="24"/>
          <w:lang w:eastAsia="ko-KR"/>
        </w:rPr>
        <w:t xml:space="preserve">not a </w:t>
      </w:r>
      <w:r w:rsidR="00D162CA" w:rsidRPr="008F511F">
        <w:rPr>
          <w:rFonts w:ascii="Times New Roman" w:hAnsi="Times New Roman" w:cs="Times New Roman"/>
          <w:sz w:val="24"/>
          <w:szCs w:val="24"/>
          <w:lang w:eastAsia="ko-KR"/>
        </w:rPr>
        <w:t>money transfer, but</w:t>
      </w:r>
      <w:r w:rsidR="006A7BCB" w:rsidRPr="008F511F">
        <w:rPr>
          <w:rFonts w:ascii="Times New Roman" w:hAnsi="Times New Roman" w:cs="Times New Roman"/>
          <w:sz w:val="24"/>
          <w:szCs w:val="24"/>
          <w:lang w:eastAsia="ko-KR"/>
        </w:rPr>
        <w:t xml:space="preserve"> a</w:t>
      </w:r>
      <w:r w:rsidR="00D162CA" w:rsidRPr="008F511F">
        <w:rPr>
          <w:rFonts w:ascii="Times New Roman" w:hAnsi="Times New Roman" w:cs="Times New Roman"/>
          <w:sz w:val="24"/>
          <w:szCs w:val="24"/>
          <w:lang w:eastAsia="ko-KR"/>
        </w:rPr>
        <w:t xml:space="preserve"> provision of a database system in which the participants can record and update the information on the secured ledger establish</w:t>
      </w:r>
      <w:r w:rsidR="006A7BCB" w:rsidRPr="008F511F">
        <w:rPr>
          <w:rFonts w:ascii="Times New Roman" w:hAnsi="Times New Roman" w:cs="Times New Roman"/>
          <w:sz w:val="24"/>
          <w:szCs w:val="24"/>
          <w:lang w:eastAsia="ko-KR"/>
        </w:rPr>
        <w:t>ing the system trust in their communities</w:t>
      </w:r>
      <w:r w:rsidR="00D162CA" w:rsidRPr="008F511F">
        <w:rPr>
          <w:rFonts w:ascii="Times New Roman" w:hAnsi="Times New Roman" w:cs="Times New Roman"/>
          <w:sz w:val="24"/>
          <w:szCs w:val="24"/>
          <w:lang w:eastAsia="ko-KR"/>
        </w:rPr>
        <w:t>. Katrisampa et al. (2022) discuss the differences in co</w:t>
      </w:r>
      <w:r w:rsidR="006A7BCB" w:rsidRPr="008F511F">
        <w:rPr>
          <w:rFonts w:ascii="Times New Roman" w:hAnsi="Times New Roman" w:cs="Times New Roman"/>
          <w:sz w:val="24"/>
          <w:szCs w:val="24"/>
          <w:lang w:eastAsia="ko-KR"/>
        </w:rPr>
        <w:t>-</w:t>
      </w:r>
      <w:r w:rsidR="00D162CA" w:rsidRPr="008F511F">
        <w:rPr>
          <w:rFonts w:ascii="Times New Roman" w:hAnsi="Times New Roman" w:cs="Times New Roman"/>
          <w:sz w:val="24"/>
          <w:szCs w:val="24"/>
          <w:lang w:eastAsia="ko-KR"/>
        </w:rPr>
        <w:t>mo</w:t>
      </w:r>
      <w:r w:rsidR="006A7BCB" w:rsidRPr="008F511F">
        <w:rPr>
          <w:rFonts w:ascii="Times New Roman" w:hAnsi="Times New Roman" w:cs="Times New Roman"/>
          <w:sz w:val="24"/>
          <w:szCs w:val="24"/>
          <w:lang w:eastAsia="ko-KR"/>
        </w:rPr>
        <w:t>vements between three different</w:t>
      </w:r>
      <w:r w:rsidR="00D162CA" w:rsidRPr="008F511F">
        <w:rPr>
          <w:rFonts w:ascii="Times New Roman" w:hAnsi="Times New Roman" w:cs="Times New Roman"/>
          <w:sz w:val="24"/>
          <w:szCs w:val="24"/>
          <w:lang w:eastAsia="ko-KR"/>
        </w:rPr>
        <w:t xml:space="preserve"> types of digital assets, i.e. cryptocurrencies, protocols, and </w:t>
      </w:r>
      <w:proofErr w:type="spellStart"/>
      <w:r w:rsidR="00D162CA" w:rsidRPr="008F511F">
        <w:rPr>
          <w:rFonts w:ascii="Times New Roman" w:hAnsi="Times New Roman" w:cs="Times New Roman"/>
          <w:sz w:val="24"/>
          <w:szCs w:val="24"/>
          <w:lang w:eastAsia="ko-KR"/>
        </w:rPr>
        <w:t>dApps</w:t>
      </w:r>
      <w:proofErr w:type="spellEnd"/>
      <w:r w:rsidR="00D162CA" w:rsidRPr="008F511F">
        <w:rPr>
          <w:rFonts w:ascii="Times New Roman" w:hAnsi="Times New Roman" w:cs="Times New Roman"/>
          <w:sz w:val="24"/>
          <w:szCs w:val="24"/>
          <w:lang w:eastAsia="ko-KR"/>
        </w:rPr>
        <w:t>. Usi</w:t>
      </w:r>
      <w:r w:rsidR="00D36AF4" w:rsidRPr="008F511F">
        <w:rPr>
          <w:rFonts w:ascii="Times New Roman" w:hAnsi="Times New Roman" w:cs="Times New Roman"/>
          <w:sz w:val="24"/>
          <w:szCs w:val="24"/>
          <w:lang w:eastAsia="ko-KR"/>
        </w:rPr>
        <w:t xml:space="preserve">ng similar classification, the </w:t>
      </w:r>
      <w:r w:rsidR="00D162CA" w:rsidRPr="008F511F">
        <w:rPr>
          <w:rFonts w:ascii="Times New Roman" w:hAnsi="Times New Roman" w:cs="Times New Roman"/>
          <w:sz w:val="24"/>
          <w:szCs w:val="24"/>
          <w:lang w:eastAsia="ko-KR"/>
        </w:rPr>
        <w:t xml:space="preserve">NFT blockchains could allocated to ‘protocols’ category, </w:t>
      </w:r>
      <w:r w:rsidR="00D36AF4" w:rsidRPr="008F511F">
        <w:rPr>
          <w:rFonts w:ascii="Times New Roman" w:hAnsi="Times New Roman" w:cs="Times New Roman"/>
          <w:sz w:val="24"/>
          <w:szCs w:val="24"/>
          <w:lang w:eastAsia="ko-KR"/>
        </w:rPr>
        <w:t>while NFTs tokens to applications. I</w:t>
      </w:r>
      <w:r w:rsidR="00D162CA" w:rsidRPr="008F511F">
        <w:rPr>
          <w:rFonts w:ascii="Times New Roman" w:hAnsi="Times New Roman" w:cs="Times New Roman"/>
          <w:sz w:val="24"/>
          <w:szCs w:val="24"/>
          <w:lang w:eastAsia="ko-KR"/>
        </w:rPr>
        <w:t>n comparison to the</w:t>
      </w:r>
      <w:r w:rsidR="006A7BCB" w:rsidRPr="008F511F">
        <w:rPr>
          <w:rFonts w:ascii="Times New Roman" w:hAnsi="Times New Roman" w:cs="Times New Roman"/>
          <w:sz w:val="24"/>
          <w:szCs w:val="24"/>
          <w:lang w:eastAsia="ko-KR"/>
        </w:rPr>
        <w:t xml:space="preserve"> m</w:t>
      </w:r>
      <w:r w:rsidR="00D162CA" w:rsidRPr="008F511F">
        <w:rPr>
          <w:rFonts w:ascii="Times New Roman" w:hAnsi="Times New Roman" w:cs="Times New Roman"/>
          <w:sz w:val="24"/>
          <w:szCs w:val="24"/>
          <w:lang w:eastAsia="ko-KR"/>
        </w:rPr>
        <w:t>ost popu</w:t>
      </w:r>
      <w:r w:rsidR="00D36AF4" w:rsidRPr="008F511F">
        <w:rPr>
          <w:rFonts w:ascii="Times New Roman" w:hAnsi="Times New Roman" w:cs="Times New Roman"/>
          <w:sz w:val="24"/>
          <w:szCs w:val="24"/>
          <w:lang w:eastAsia="ko-KR"/>
        </w:rPr>
        <w:t>lar NFT protocol Ethereum, the NFT</w:t>
      </w:r>
      <w:r w:rsidR="00D162CA" w:rsidRPr="008F511F">
        <w:rPr>
          <w:rFonts w:ascii="Times New Roman" w:hAnsi="Times New Roman" w:cs="Times New Roman"/>
          <w:sz w:val="24"/>
          <w:szCs w:val="24"/>
          <w:lang w:eastAsia="ko-KR"/>
        </w:rPr>
        <w:t xml:space="preserve"> </w:t>
      </w:r>
      <w:r w:rsidR="00D36AF4" w:rsidRPr="008F511F">
        <w:rPr>
          <w:rFonts w:ascii="Times New Roman" w:hAnsi="Times New Roman" w:cs="Times New Roman"/>
          <w:sz w:val="24"/>
          <w:szCs w:val="24"/>
          <w:lang w:eastAsia="ko-KR"/>
        </w:rPr>
        <w:t>blockchains</w:t>
      </w:r>
      <w:r w:rsidR="00D162CA" w:rsidRPr="008F511F">
        <w:rPr>
          <w:rFonts w:ascii="Times New Roman" w:hAnsi="Times New Roman" w:cs="Times New Roman"/>
          <w:sz w:val="24"/>
          <w:szCs w:val="24"/>
          <w:lang w:eastAsia="ko-KR"/>
        </w:rPr>
        <w:t xml:space="preserve"> </w:t>
      </w:r>
      <w:r w:rsidR="00D36AF4" w:rsidRPr="008F511F">
        <w:rPr>
          <w:rFonts w:ascii="Times New Roman" w:hAnsi="Times New Roman" w:cs="Times New Roman"/>
          <w:sz w:val="24"/>
          <w:szCs w:val="24"/>
          <w:lang w:eastAsia="ko-KR"/>
        </w:rPr>
        <w:t xml:space="preserve">analyzed in our paper </w:t>
      </w:r>
      <w:r w:rsidR="00D162CA" w:rsidRPr="008F511F">
        <w:rPr>
          <w:rFonts w:ascii="Times New Roman" w:hAnsi="Times New Roman" w:cs="Times New Roman"/>
          <w:sz w:val="24"/>
          <w:szCs w:val="24"/>
          <w:lang w:eastAsia="ko-KR"/>
        </w:rPr>
        <w:t>claim to be much less energy consuming and more environmental friendly, hence</w:t>
      </w:r>
      <w:r w:rsidR="00D36AF4" w:rsidRPr="008F511F">
        <w:rPr>
          <w:rFonts w:ascii="Times New Roman" w:hAnsi="Times New Roman" w:cs="Times New Roman"/>
          <w:sz w:val="24"/>
          <w:szCs w:val="24"/>
          <w:lang w:eastAsia="ko-KR"/>
        </w:rPr>
        <w:t xml:space="preserve"> might be more attractive</w:t>
      </w:r>
      <w:r w:rsidR="00D162CA" w:rsidRPr="008F511F">
        <w:rPr>
          <w:rFonts w:ascii="Times New Roman" w:hAnsi="Times New Roman" w:cs="Times New Roman"/>
          <w:sz w:val="24"/>
          <w:szCs w:val="24"/>
          <w:lang w:eastAsia="ko-KR"/>
        </w:rPr>
        <w:t xml:space="preserve"> for NFT communities and investors</w:t>
      </w:r>
      <w:r w:rsidR="00D36AF4" w:rsidRPr="008F511F">
        <w:rPr>
          <w:rFonts w:ascii="Times New Roman" w:hAnsi="Times New Roman" w:cs="Times New Roman"/>
          <w:sz w:val="24"/>
          <w:szCs w:val="24"/>
          <w:lang w:eastAsia="ko-KR"/>
        </w:rPr>
        <w:t>. This can result in occurrence of the different patterns in return-volume relationships in NFTs in comparison to other types of digital assets</w:t>
      </w:r>
      <w:r w:rsidR="00D162CA" w:rsidRPr="008F511F">
        <w:rPr>
          <w:rFonts w:ascii="Times New Roman" w:hAnsi="Times New Roman" w:cs="Times New Roman"/>
          <w:sz w:val="24"/>
          <w:szCs w:val="24"/>
          <w:lang w:eastAsia="ko-KR"/>
        </w:rPr>
        <w:t xml:space="preserve">. Therefore, our </w:t>
      </w:r>
      <w:r w:rsidR="00C1733D" w:rsidRPr="008F511F">
        <w:rPr>
          <w:rFonts w:ascii="Times New Roman" w:hAnsi="Times New Roman" w:cs="Times New Roman"/>
          <w:sz w:val="24"/>
          <w:szCs w:val="24"/>
          <w:lang w:eastAsia="ko-KR"/>
        </w:rPr>
        <w:t xml:space="preserve">study </w:t>
      </w:r>
      <w:r w:rsidR="00273325" w:rsidRPr="008F511F">
        <w:rPr>
          <w:rFonts w:ascii="Times New Roman" w:hAnsi="Times New Roman" w:cs="Times New Roman"/>
          <w:sz w:val="24"/>
          <w:szCs w:val="24"/>
          <w:lang w:eastAsia="ko-KR"/>
        </w:rPr>
        <w:t xml:space="preserve">contributes to </w:t>
      </w:r>
      <w:r w:rsidR="00D162CA" w:rsidRPr="008F511F">
        <w:rPr>
          <w:rFonts w:ascii="Times New Roman" w:hAnsi="Times New Roman" w:cs="Times New Roman"/>
          <w:sz w:val="24"/>
          <w:szCs w:val="24"/>
          <w:lang w:eastAsia="ko-KR"/>
        </w:rPr>
        <w:t xml:space="preserve">the </w:t>
      </w:r>
      <w:r w:rsidR="00273325" w:rsidRPr="008F511F">
        <w:rPr>
          <w:rFonts w:ascii="Times New Roman" w:hAnsi="Times New Roman" w:cs="Times New Roman"/>
          <w:sz w:val="24"/>
          <w:szCs w:val="24"/>
          <w:lang w:eastAsia="ko-KR"/>
        </w:rPr>
        <w:t xml:space="preserve">existing literature by </w:t>
      </w:r>
      <w:bookmarkStart w:id="1" w:name="_Hlk103697789"/>
      <w:r w:rsidR="00C1733D" w:rsidRPr="008F511F">
        <w:rPr>
          <w:rFonts w:ascii="Times New Roman" w:hAnsi="Times New Roman" w:cs="Times New Roman"/>
          <w:sz w:val="24"/>
          <w:szCs w:val="24"/>
          <w:lang w:eastAsia="ko-KR"/>
        </w:rPr>
        <w:t>examin</w:t>
      </w:r>
      <w:r w:rsidR="00273325" w:rsidRPr="008F511F">
        <w:rPr>
          <w:rFonts w:ascii="Times New Roman" w:hAnsi="Times New Roman" w:cs="Times New Roman"/>
          <w:sz w:val="24"/>
          <w:szCs w:val="24"/>
          <w:lang w:eastAsia="ko-KR"/>
        </w:rPr>
        <w:t>ing</w:t>
      </w:r>
      <w:r w:rsidR="00C1733D" w:rsidRPr="008F511F">
        <w:rPr>
          <w:rFonts w:ascii="Times New Roman" w:hAnsi="Times New Roman" w:cs="Times New Roman"/>
          <w:sz w:val="24"/>
          <w:szCs w:val="24"/>
          <w:lang w:eastAsia="ko-KR"/>
        </w:rPr>
        <w:t xml:space="preserve"> the </w:t>
      </w:r>
      <w:r w:rsidR="00B62E03" w:rsidRPr="008F511F">
        <w:rPr>
          <w:rFonts w:ascii="Times New Roman" w:hAnsi="Times New Roman" w:cs="Times New Roman"/>
          <w:sz w:val="24"/>
          <w:szCs w:val="24"/>
          <w:lang w:eastAsia="ko-KR"/>
        </w:rPr>
        <w:t xml:space="preserve">static and dynamic </w:t>
      </w:r>
      <w:r w:rsidR="00C1733D" w:rsidRPr="008F511F">
        <w:rPr>
          <w:rFonts w:ascii="Times New Roman" w:hAnsi="Times New Roman" w:cs="Times New Roman"/>
          <w:sz w:val="24"/>
          <w:szCs w:val="24"/>
          <w:lang w:eastAsia="ko-KR"/>
        </w:rPr>
        <w:t>relationship for the pairs of returns-volume and volatility-volume at median and extreme</w:t>
      </w:r>
      <w:r w:rsidR="00273325" w:rsidRPr="008F511F">
        <w:rPr>
          <w:rFonts w:ascii="Times New Roman" w:hAnsi="Times New Roman" w:cs="Times New Roman"/>
          <w:sz w:val="24"/>
          <w:szCs w:val="24"/>
          <w:lang w:eastAsia="ko-KR"/>
        </w:rPr>
        <w:t xml:space="preserve"> upper and lower</w:t>
      </w:r>
      <w:r w:rsidR="00C1733D" w:rsidRPr="008F511F">
        <w:rPr>
          <w:rFonts w:ascii="Times New Roman" w:hAnsi="Times New Roman" w:cs="Times New Roman"/>
          <w:sz w:val="24"/>
          <w:szCs w:val="24"/>
          <w:lang w:eastAsia="ko-KR"/>
        </w:rPr>
        <w:t xml:space="preserve"> quantiles </w:t>
      </w:r>
      <w:r w:rsidR="00B62E03" w:rsidRPr="008F511F">
        <w:rPr>
          <w:rFonts w:ascii="Times New Roman" w:hAnsi="Times New Roman" w:cs="Times New Roman"/>
          <w:sz w:val="24"/>
          <w:szCs w:val="24"/>
          <w:lang w:eastAsia="ko-KR"/>
        </w:rPr>
        <w:t>for</w:t>
      </w:r>
      <w:r w:rsidRPr="008F511F">
        <w:rPr>
          <w:rFonts w:ascii="Times New Roman" w:hAnsi="Times New Roman" w:cs="Times New Roman"/>
          <w:sz w:val="24"/>
          <w:szCs w:val="24"/>
          <w:lang w:eastAsia="ko-KR"/>
        </w:rPr>
        <w:t xml:space="preserve"> three</w:t>
      </w:r>
      <w:r w:rsidR="00D162CA" w:rsidRPr="008F511F">
        <w:rPr>
          <w:rFonts w:ascii="Times New Roman" w:hAnsi="Times New Roman" w:cs="Times New Roman"/>
          <w:sz w:val="24"/>
          <w:szCs w:val="24"/>
          <w:lang w:eastAsia="ko-KR"/>
        </w:rPr>
        <w:t xml:space="preserve"> NFT blockchains, other than Ethereum, offering a novel evidence useful for the cryptocurrency researchers</w:t>
      </w:r>
      <w:r w:rsidR="006F31BD" w:rsidRPr="008F511F">
        <w:rPr>
          <w:rFonts w:ascii="Times New Roman" w:hAnsi="Times New Roman" w:cs="Times New Roman"/>
          <w:sz w:val="24"/>
          <w:szCs w:val="24"/>
          <w:lang w:eastAsia="ko-KR"/>
        </w:rPr>
        <w:t>, NFT communities and investors</w:t>
      </w:r>
      <w:r w:rsidR="00D162CA" w:rsidRPr="008F511F">
        <w:rPr>
          <w:rFonts w:ascii="Times New Roman" w:hAnsi="Times New Roman" w:cs="Times New Roman"/>
          <w:sz w:val="24"/>
          <w:szCs w:val="24"/>
          <w:lang w:eastAsia="ko-KR"/>
        </w:rPr>
        <w:t>.</w:t>
      </w:r>
      <w:bookmarkEnd w:id="1"/>
    </w:p>
    <w:p w14:paraId="307754E1" w14:textId="66E12368" w:rsidR="00FF2C94" w:rsidRPr="008F511F" w:rsidRDefault="00FF2C94" w:rsidP="00BD21A4">
      <w:pPr>
        <w:pStyle w:val="ListParagraph"/>
        <w:numPr>
          <w:ilvl w:val="0"/>
          <w:numId w:val="3"/>
        </w:numPr>
        <w:spacing w:before="240" w:line="480" w:lineRule="auto"/>
        <w:jc w:val="both"/>
        <w:rPr>
          <w:rFonts w:ascii="Times New Roman" w:eastAsia="Malgun Gothic" w:hAnsi="Times New Roman" w:cs="Times New Roman"/>
          <w:b/>
          <w:bCs/>
          <w:iCs/>
          <w:sz w:val="28"/>
          <w:szCs w:val="28"/>
          <w:lang w:eastAsia="ko-KR"/>
        </w:rPr>
      </w:pPr>
      <w:r w:rsidRPr="008F511F">
        <w:rPr>
          <w:rFonts w:ascii="Times New Roman" w:eastAsia="Malgun Gothic" w:hAnsi="Times New Roman" w:cs="Times New Roman"/>
          <w:b/>
          <w:bCs/>
          <w:iCs/>
          <w:sz w:val="28"/>
          <w:szCs w:val="28"/>
          <w:lang w:eastAsia="ko-KR"/>
        </w:rPr>
        <w:t>Data and Methodology</w:t>
      </w:r>
    </w:p>
    <w:p w14:paraId="0C6625B8" w14:textId="453EE7C6" w:rsidR="00FF2C94" w:rsidRPr="008F511F" w:rsidRDefault="00FF2C94" w:rsidP="00BD21A4">
      <w:pPr>
        <w:pStyle w:val="ListParagraph"/>
        <w:numPr>
          <w:ilvl w:val="1"/>
          <w:numId w:val="3"/>
        </w:numPr>
        <w:spacing w:before="240" w:line="360" w:lineRule="auto"/>
        <w:jc w:val="both"/>
        <w:rPr>
          <w:rFonts w:ascii="Times New Roman" w:eastAsia="Malgun Gothic" w:hAnsi="Times New Roman" w:cs="Times New Roman"/>
          <w:b/>
          <w:bCs/>
          <w:iCs/>
          <w:sz w:val="24"/>
          <w:szCs w:val="24"/>
          <w:lang w:eastAsia="ko-KR"/>
        </w:rPr>
      </w:pPr>
      <w:r w:rsidRPr="008F511F">
        <w:rPr>
          <w:rFonts w:ascii="Times New Roman" w:eastAsia="Malgun Gothic" w:hAnsi="Times New Roman" w:cs="Times New Roman"/>
          <w:b/>
          <w:bCs/>
          <w:iCs/>
          <w:sz w:val="24"/>
          <w:szCs w:val="24"/>
          <w:lang w:eastAsia="ko-KR"/>
        </w:rPr>
        <w:t>Data description</w:t>
      </w:r>
    </w:p>
    <w:p w14:paraId="6350C1E8" w14:textId="43A852FA" w:rsidR="0096521F" w:rsidRPr="008F511F" w:rsidRDefault="00FF2C94" w:rsidP="0096521F">
      <w:pPr>
        <w:spacing w:before="240" w:line="360" w:lineRule="auto"/>
        <w:jc w:val="both"/>
        <w:rPr>
          <w:rFonts w:ascii="Times New Roman" w:hAnsi="Times New Roman" w:cs="Times New Roman"/>
          <w:sz w:val="24"/>
          <w:szCs w:val="24"/>
        </w:rPr>
      </w:pPr>
      <w:r w:rsidRPr="008F511F">
        <w:rPr>
          <w:rFonts w:ascii="Times New Roman" w:eastAsia="Malgun Gothic" w:hAnsi="Times New Roman" w:cs="Times New Roman"/>
          <w:iCs/>
          <w:sz w:val="24"/>
          <w:szCs w:val="24"/>
          <w:lang w:eastAsia="ko-KR"/>
        </w:rPr>
        <w:t>We use daily data of volume and prices of three NFT</w:t>
      </w:r>
      <w:r w:rsidR="00CB314C" w:rsidRPr="008F511F">
        <w:rPr>
          <w:rFonts w:ascii="Times New Roman" w:eastAsia="Malgun Gothic" w:hAnsi="Times New Roman" w:cs="Times New Roman"/>
          <w:iCs/>
          <w:sz w:val="24"/>
          <w:szCs w:val="24"/>
          <w:lang w:eastAsia="ko-KR"/>
        </w:rPr>
        <w:t>s</w:t>
      </w:r>
      <w:r w:rsidRPr="008F511F">
        <w:rPr>
          <w:rFonts w:ascii="Times New Roman" w:eastAsia="Malgun Gothic" w:hAnsi="Times New Roman" w:cs="Times New Roman"/>
          <w:iCs/>
          <w:sz w:val="24"/>
          <w:szCs w:val="24"/>
          <w:lang w:eastAsia="ko-KR"/>
        </w:rPr>
        <w:t>, including THETA,</w:t>
      </w:r>
      <w:r w:rsidR="00CB314C" w:rsidRPr="008F511F">
        <w:t xml:space="preserve"> </w:t>
      </w:r>
      <w:proofErr w:type="spellStart"/>
      <w:r w:rsidR="00CB314C" w:rsidRPr="008F511F">
        <w:rPr>
          <w:rFonts w:ascii="Times New Roman" w:eastAsia="Malgun Gothic" w:hAnsi="Times New Roman" w:cs="Times New Roman"/>
          <w:iCs/>
          <w:sz w:val="24"/>
          <w:szCs w:val="24"/>
          <w:lang w:eastAsia="ko-KR"/>
        </w:rPr>
        <w:t>Tezos</w:t>
      </w:r>
      <w:proofErr w:type="spellEnd"/>
      <w:r w:rsidRPr="008F511F">
        <w:rPr>
          <w:rFonts w:ascii="Times New Roman" w:eastAsia="Malgun Gothic" w:hAnsi="Times New Roman" w:cs="Times New Roman"/>
          <w:iCs/>
          <w:sz w:val="24"/>
          <w:szCs w:val="24"/>
          <w:lang w:eastAsia="ko-KR"/>
        </w:rPr>
        <w:t xml:space="preserve"> (</w:t>
      </w:r>
      <w:r w:rsidR="00CB314C" w:rsidRPr="008F511F">
        <w:rPr>
          <w:rFonts w:ascii="Times New Roman" w:eastAsia="Malgun Gothic" w:hAnsi="Times New Roman" w:cs="Times New Roman"/>
          <w:iCs/>
          <w:sz w:val="24"/>
          <w:szCs w:val="24"/>
          <w:lang w:eastAsia="ko-KR"/>
        </w:rPr>
        <w:t>XTZ</w:t>
      </w:r>
      <w:r w:rsidRPr="008F511F">
        <w:rPr>
          <w:rFonts w:ascii="Times New Roman" w:eastAsia="Malgun Gothic" w:hAnsi="Times New Roman" w:cs="Times New Roman"/>
          <w:iCs/>
          <w:sz w:val="24"/>
          <w:szCs w:val="24"/>
          <w:lang w:eastAsia="ko-KR"/>
        </w:rPr>
        <w:t xml:space="preserve">), </w:t>
      </w:r>
      <w:proofErr w:type="spellStart"/>
      <w:r w:rsidR="00CB314C" w:rsidRPr="008F511F">
        <w:rPr>
          <w:rFonts w:ascii="Times New Roman" w:eastAsia="Malgun Gothic" w:hAnsi="Times New Roman" w:cs="Times New Roman"/>
          <w:iCs/>
          <w:sz w:val="24"/>
          <w:szCs w:val="24"/>
          <w:lang w:eastAsia="ko-KR"/>
        </w:rPr>
        <w:t>Enjin</w:t>
      </w:r>
      <w:proofErr w:type="spellEnd"/>
      <w:r w:rsidR="00CB314C" w:rsidRPr="008F511F">
        <w:rPr>
          <w:rFonts w:ascii="Times New Roman" w:eastAsia="Malgun Gothic" w:hAnsi="Times New Roman" w:cs="Times New Roman"/>
          <w:iCs/>
          <w:sz w:val="24"/>
          <w:szCs w:val="24"/>
          <w:lang w:eastAsia="ko-KR"/>
        </w:rPr>
        <w:t xml:space="preserve"> Coin</w:t>
      </w:r>
      <w:r w:rsidRPr="008F511F">
        <w:rPr>
          <w:rFonts w:ascii="Times New Roman" w:eastAsia="Malgun Gothic" w:hAnsi="Times New Roman" w:cs="Times New Roman"/>
          <w:iCs/>
          <w:sz w:val="24"/>
          <w:szCs w:val="24"/>
          <w:lang w:eastAsia="ko-KR"/>
        </w:rPr>
        <w:t xml:space="preserve"> (</w:t>
      </w:r>
      <w:r w:rsidR="00CB314C" w:rsidRPr="008F511F">
        <w:rPr>
          <w:rFonts w:ascii="Times New Roman" w:eastAsia="Malgun Gothic" w:hAnsi="Times New Roman" w:cs="Times New Roman"/>
          <w:iCs/>
          <w:sz w:val="24"/>
          <w:szCs w:val="24"/>
          <w:lang w:eastAsia="ko-KR"/>
        </w:rPr>
        <w:t>ENJ</w:t>
      </w:r>
      <w:r w:rsidRPr="008F511F">
        <w:rPr>
          <w:rFonts w:ascii="Times New Roman" w:eastAsia="Malgun Gothic" w:hAnsi="Times New Roman" w:cs="Times New Roman"/>
          <w:iCs/>
          <w:sz w:val="24"/>
          <w:szCs w:val="24"/>
          <w:lang w:eastAsia="ko-KR"/>
        </w:rPr>
        <w:t xml:space="preserve">). The sample period starts from 17 January 2018 and ends on 20 </w:t>
      </w:r>
      <w:r w:rsidR="008D399F" w:rsidRPr="008F511F">
        <w:rPr>
          <w:rFonts w:ascii="Times New Roman" w:eastAsia="Malgun Gothic" w:hAnsi="Times New Roman" w:cs="Times New Roman"/>
          <w:iCs/>
          <w:sz w:val="24"/>
          <w:szCs w:val="24"/>
          <w:lang w:eastAsia="ko-KR"/>
        </w:rPr>
        <w:t xml:space="preserve">November </w:t>
      </w:r>
      <w:r w:rsidRPr="008F511F">
        <w:rPr>
          <w:rFonts w:ascii="Times New Roman" w:eastAsia="Malgun Gothic" w:hAnsi="Times New Roman" w:cs="Times New Roman"/>
          <w:iCs/>
          <w:sz w:val="24"/>
          <w:szCs w:val="24"/>
          <w:lang w:eastAsia="ko-KR"/>
        </w:rPr>
        <w:t>2021.</w:t>
      </w:r>
      <w:r w:rsidR="00C3513F" w:rsidRPr="008F511F">
        <w:rPr>
          <w:rStyle w:val="FootnoteReference"/>
          <w:rFonts w:ascii="Times New Roman" w:eastAsia="Malgun Gothic" w:hAnsi="Times New Roman" w:cs="Times New Roman"/>
          <w:iCs/>
          <w:sz w:val="24"/>
          <w:szCs w:val="24"/>
          <w:lang w:eastAsia="ko-KR"/>
        </w:rPr>
        <w:footnoteReference w:id="1"/>
      </w:r>
      <w:r w:rsidR="00C3513F" w:rsidRPr="008F511F">
        <w:rPr>
          <w:rFonts w:ascii="Times New Roman" w:eastAsia="Malgun Gothic" w:hAnsi="Times New Roman" w:cs="Times New Roman"/>
          <w:iCs/>
          <w:sz w:val="24"/>
          <w:szCs w:val="24"/>
          <w:lang w:eastAsia="ko-KR"/>
        </w:rPr>
        <w:t xml:space="preserve"> </w:t>
      </w:r>
      <w:r w:rsidRPr="008F511F">
        <w:rPr>
          <w:rFonts w:ascii="Times New Roman" w:eastAsia="Malgun Gothic" w:hAnsi="Times New Roman" w:cs="Times New Roman"/>
          <w:iCs/>
          <w:sz w:val="24"/>
          <w:szCs w:val="24"/>
          <w:lang w:eastAsia="ko-KR"/>
        </w:rPr>
        <w:t xml:space="preserve"> The </w:t>
      </w:r>
      <w:r w:rsidRPr="008F511F">
        <w:rPr>
          <w:rFonts w:ascii="Times New Roman" w:eastAsia="Malgun Gothic" w:hAnsi="Times New Roman" w:cs="Times New Roman"/>
          <w:iCs/>
          <w:sz w:val="24"/>
          <w:szCs w:val="24"/>
          <w:lang w:eastAsia="ko-KR"/>
        </w:rPr>
        <w:lastRenderedPageBreak/>
        <w:t xml:space="preserve">selection of NFTs is based on the longer time-frame data and high capitalization. We collect the data of NFTs from the website of coinmarketcap.com. Returns are calculated using the formula: </w:t>
      </w:r>
      <m:oMath>
        <m:sSub>
          <m:sSubPr>
            <m:ctrlPr>
              <w:rPr>
                <w:rFonts w:ascii="Cambria Math" w:eastAsia="Malgun Gothic" w:hAnsi="Cambria Math" w:cs="Times New Roman"/>
                <w:i/>
                <w:iCs/>
                <w:sz w:val="24"/>
                <w:szCs w:val="24"/>
                <w:lang w:eastAsia="ko-KR"/>
              </w:rPr>
            </m:ctrlPr>
          </m:sSubPr>
          <m:e>
            <m:r>
              <w:rPr>
                <w:rFonts w:ascii="Cambria Math" w:eastAsia="Malgun Gothic" w:hAnsi="Cambria Math" w:cs="Times New Roman"/>
                <w:sz w:val="24"/>
                <w:szCs w:val="24"/>
                <w:lang w:eastAsia="ko-KR"/>
              </w:rPr>
              <m:t>R</m:t>
            </m:r>
          </m:e>
          <m:sub>
            <m:r>
              <w:rPr>
                <w:rFonts w:ascii="Cambria Math" w:eastAsia="Malgun Gothic" w:hAnsi="Cambria Math" w:cs="Times New Roman"/>
                <w:sz w:val="24"/>
                <w:szCs w:val="24"/>
                <w:lang w:eastAsia="ko-KR"/>
              </w:rPr>
              <m:t>t</m:t>
            </m:r>
          </m:sub>
        </m:sSub>
        <m:r>
          <w:rPr>
            <w:rFonts w:ascii="Cambria Math" w:eastAsia="Malgun Gothic" w:hAnsi="Cambria Math" w:cs="Times New Roman"/>
            <w:sz w:val="24"/>
            <w:szCs w:val="24"/>
            <w:lang w:eastAsia="ko-KR"/>
          </w:rPr>
          <m:t>=</m:t>
        </m:r>
        <m:r>
          <m:rPr>
            <m:sty m:val="p"/>
          </m:rPr>
          <w:rPr>
            <w:rFonts w:ascii="Cambria Math" w:eastAsia="Malgun Gothic" w:hAnsi="Cambria Math" w:cs="Times New Roman"/>
            <w:sz w:val="24"/>
            <w:szCs w:val="24"/>
            <w:lang w:eastAsia="ko-KR"/>
          </w:rPr>
          <m:t>ln⁡</m:t>
        </m:r>
        <m:d>
          <m:dPr>
            <m:ctrlPr>
              <w:rPr>
                <w:rFonts w:ascii="Cambria Math" w:eastAsia="Malgun Gothic" w:hAnsi="Cambria Math" w:cs="Times New Roman"/>
                <w:i/>
                <w:iCs/>
                <w:sz w:val="24"/>
                <w:szCs w:val="24"/>
                <w:lang w:eastAsia="ko-KR"/>
              </w:rPr>
            </m:ctrlPr>
          </m:dPr>
          <m:e>
            <m:f>
              <m:fPr>
                <m:type m:val="skw"/>
                <m:ctrlPr>
                  <w:rPr>
                    <w:rFonts w:ascii="Cambria Math" w:eastAsia="Malgun Gothic" w:hAnsi="Cambria Math" w:cs="Times New Roman"/>
                    <w:i/>
                    <w:iCs/>
                    <w:sz w:val="24"/>
                    <w:szCs w:val="24"/>
                    <w:lang w:eastAsia="ko-KR"/>
                  </w:rPr>
                </m:ctrlPr>
              </m:fPr>
              <m:num>
                <m:sSub>
                  <m:sSubPr>
                    <m:ctrlPr>
                      <w:rPr>
                        <w:rFonts w:ascii="Cambria Math" w:eastAsia="Malgun Gothic" w:hAnsi="Cambria Math" w:cs="Times New Roman"/>
                        <w:i/>
                        <w:iCs/>
                        <w:sz w:val="24"/>
                        <w:szCs w:val="24"/>
                        <w:lang w:eastAsia="ko-KR"/>
                      </w:rPr>
                    </m:ctrlPr>
                  </m:sSubPr>
                  <m:e>
                    <m:r>
                      <w:rPr>
                        <w:rFonts w:ascii="Cambria Math" w:eastAsia="Malgun Gothic" w:hAnsi="Cambria Math" w:cs="Times New Roman"/>
                        <w:sz w:val="24"/>
                        <w:szCs w:val="24"/>
                        <w:lang w:eastAsia="ko-KR"/>
                      </w:rPr>
                      <m:t>P</m:t>
                    </m:r>
                  </m:e>
                  <m:sub>
                    <m:r>
                      <w:rPr>
                        <w:rFonts w:ascii="Cambria Math" w:eastAsia="Malgun Gothic" w:hAnsi="Cambria Math" w:cs="Times New Roman"/>
                        <w:sz w:val="24"/>
                        <w:szCs w:val="24"/>
                        <w:lang w:eastAsia="ko-KR"/>
                      </w:rPr>
                      <m:t>t</m:t>
                    </m:r>
                  </m:sub>
                </m:sSub>
              </m:num>
              <m:den>
                <m:sSub>
                  <m:sSubPr>
                    <m:ctrlPr>
                      <w:rPr>
                        <w:rFonts w:ascii="Cambria Math" w:eastAsia="Malgun Gothic" w:hAnsi="Cambria Math" w:cs="Times New Roman"/>
                        <w:i/>
                        <w:iCs/>
                        <w:sz w:val="24"/>
                        <w:szCs w:val="24"/>
                        <w:lang w:eastAsia="ko-KR"/>
                      </w:rPr>
                    </m:ctrlPr>
                  </m:sSubPr>
                  <m:e>
                    <m:r>
                      <w:rPr>
                        <w:rFonts w:ascii="Cambria Math" w:eastAsia="Malgun Gothic" w:hAnsi="Cambria Math" w:cs="Times New Roman"/>
                        <w:sz w:val="24"/>
                        <w:szCs w:val="24"/>
                        <w:lang w:eastAsia="ko-KR"/>
                      </w:rPr>
                      <m:t>P</m:t>
                    </m:r>
                  </m:e>
                  <m:sub>
                    <m:r>
                      <w:rPr>
                        <w:rFonts w:ascii="Cambria Math" w:eastAsia="Malgun Gothic" w:hAnsi="Cambria Math" w:cs="Times New Roman"/>
                        <w:sz w:val="24"/>
                        <w:szCs w:val="24"/>
                        <w:lang w:eastAsia="ko-KR"/>
                      </w:rPr>
                      <m:t>t-1</m:t>
                    </m:r>
                  </m:sub>
                </m:sSub>
              </m:den>
            </m:f>
          </m:e>
        </m:d>
      </m:oMath>
      <w:r w:rsidRPr="008F511F">
        <w:rPr>
          <w:rFonts w:ascii="Times New Roman" w:eastAsia="Malgun Gothic" w:hAnsi="Times New Roman" w:cs="Times New Roman"/>
          <w:iCs/>
          <w:sz w:val="24"/>
          <w:szCs w:val="24"/>
          <w:lang w:eastAsia="ko-KR"/>
        </w:rPr>
        <w:t xml:space="preserve">, whereas </w:t>
      </w:r>
      <m:oMath>
        <m:sSub>
          <m:sSubPr>
            <m:ctrlPr>
              <w:rPr>
                <w:rFonts w:ascii="Cambria Math" w:eastAsia="Malgun Gothic" w:hAnsi="Cambria Math" w:cs="Times New Roman"/>
                <w:i/>
                <w:iCs/>
                <w:sz w:val="24"/>
                <w:szCs w:val="24"/>
                <w:lang w:eastAsia="ko-KR"/>
              </w:rPr>
            </m:ctrlPr>
          </m:sSubPr>
          <m:e>
            <m:r>
              <w:rPr>
                <w:rFonts w:ascii="Cambria Math" w:eastAsia="Malgun Gothic" w:hAnsi="Cambria Math" w:cs="Times New Roman"/>
                <w:sz w:val="24"/>
                <w:szCs w:val="24"/>
                <w:lang w:eastAsia="ko-KR"/>
              </w:rPr>
              <m:t>P</m:t>
            </m:r>
          </m:e>
          <m:sub>
            <m:r>
              <w:rPr>
                <w:rFonts w:ascii="Cambria Math" w:eastAsia="Malgun Gothic" w:hAnsi="Cambria Math" w:cs="Times New Roman"/>
                <w:sz w:val="24"/>
                <w:szCs w:val="24"/>
                <w:lang w:eastAsia="ko-KR"/>
              </w:rPr>
              <m:t>t</m:t>
            </m:r>
          </m:sub>
        </m:sSub>
      </m:oMath>
      <w:r w:rsidRPr="008F511F">
        <w:rPr>
          <w:rFonts w:ascii="Times New Roman" w:eastAsia="Malgun Gothic" w:hAnsi="Times New Roman" w:cs="Times New Roman"/>
          <w:iCs/>
          <w:sz w:val="24"/>
          <w:szCs w:val="24"/>
          <w:lang w:eastAsia="ko-KR"/>
        </w:rPr>
        <w:t xml:space="preserve"> denotes the today’s price. Following the </w:t>
      </w:r>
      <w:proofErr w:type="spellStart"/>
      <w:r w:rsidRPr="008F511F">
        <w:rPr>
          <w:rFonts w:ascii="Times New Roman" w:eastAsia="Malgun Gothic" w:hAnsi="Times New Roman" w:cs="Times New Roman"/>
          <w:iCs/>
          <w:sz w:val="24"/>
          <w:szCs w:val="24"/>
          <w:lang w:eastAsia="ko-KR"/>
        </w:rPr>
        <w:t>Balcilar</w:t>
      </w:r>
      <w:proofErr w:type="spellEnd"/>
      <w:r w:rsidRPr="008F511F">
        <w:rPr>
          <w:rFonts w:ascii="Times New Roman" w:eastAsia="Malgun Gothic" w:hAnsi="Times New Roman" w:cs="Times New Roman"/>
          <w:iCs/>
          <w:sz w:val="24"/>
          <w:szCs w:val="24"/>
          <w:lang w:eastAsia="ko-KR"/>
        </w:rPr>
        <w:t xml:space="preserve"> et al. (2017),</w:t>
      </w:r>
      <w:r w:rsidR="00E27730" w:rsidRPr="008F511F">
        <w:rPr>
          <w:rFonts w:ascii="Times New Roman" w:eastAsia="Malgun Gothic" w:hAnsi="Times New Roman" w:cs="Times New Roman"/>
          <w:iCs/>
          <w:sz w:val="24"/>
          <w:szCs w:val="24"/>
          <w:lang w:eastAsia="ko-KR"/>
        </w:rPr>
        <w:t xml:space="preserve"> </w:t>
      </w:r>
      <w:r w:rsidRPr="008F511F">
        <w:rPr>
          <w:rFonts w:ascii="Times New Roman" w:eastAsia="Malgun Gothic" w:hAnsi="Times New Roman" w:cs="Times New Roman"/>
          <w:iCs/>
          <w:sz w:val="24"/>
          <w:szCs w:val="24"/>
          <w:lang w:eastAsia="ko-KR"/>
        </w:rPr>
        <w:t xml:space="preserve">volatility is estimated through square of returns. </w:t>
      </w:r>
      <w:r w:rsidR="00931FDC" w:rsidRPr="008F511F">
        <w:rPr>
          <w:rFonts w:ascii="Times New Roman" w:eastAsia="Malgun Gothic" w:hAnsi="Times New Roman" w:cs="Times New Roman"/>
          <w:iCs/>
          <w:sz w:val="24"/>
          <w:szCs w:val="24"/>
          <w:lang w:eastAsia="ko-KR"/>
        </w:rPr>
        <w:t xml:space="preserve">Due to the presence of </w:t>
      </w:r>
      <w:r w:rsidR="0096521F" w:rsidRPr="008F511F">
        <w:rPr>
          <w:rFonts w:ascii="Times New Roman" w:eastAsia="Malgun Gothic" w:hAnsi="Times New Roman" w:cs="Times New Roman"/>
          <w:iCs/>
          <w:sz w:val="24"/>
          <w:szCs w:val="24"/>
          <w:lang w:eastAsia="ko-KR"/>
        </w:rPr>
        <w:t>deterministic</w:t>
      </w:r>
      <w:r w:rsidR="00931FDC" w:rsidRPr="008F511F">
        <w:rPr>
          <w:rFonts w:ascii="Times New Roman" w:eastAsia="Malgun Gothic" w:hAnsi="Times New Roman" w:cs="Times New Roman"/>
          <w:iCs/>
          <w:sz w:val="24"/>
          <w:szCs w:val="24"/>
          <w:lang w:eastAsia="ko-KR"/>
        </w:rPr>
        <w:t xml:space="preserve"> time trends (linear and non-linear) in the volume data, w</w:t>
      </w:r>
      <w:r w:rsidRPr="008F511F">
        <w:rPr>
          <w:rFonts w:ascii="Times New Roman" w:eastAsia="Malgun Gothic" w:hAnsi="Times New Roman" w:cs="Times New Roman"/>
          <w:iCs/>
          <w:sz w:val="24"/>
          <w:szCs w:val="24"/>
          <w:lang w:eastAsia="ko-KR"/>
        </w:rPr>
        <w:t xml:space="preserve">e use and calculate the detrended volume following the </w:t>
      </w:r>
      <w:proofErr w:type="spellStart"/>
      <w:r w:rsidRPr="008F511F">
        <w:rPr>
          <w:rFonts w:ascii="Times New Roman" w:eastAsia="Malgun Gothic" w:hAnsi="Times New Roman" w:cs="Times New Roman"/>
          <w:iCs/>
          <w:sz w:val="24"/>
          <w:szCs w:val="24"/>
          <w:lang w:eastAsia="ko-KR"/>
        </w:rPr>
        <w:t>Balcilar</w:t>
      </w:r>
      <w:proofErr w:type="spellEnd"/>
      <w:r w:rsidRPr="008F511F">
        <w:rPr>
          <w:rFonts w:ascii="Times New Roman" w:eastAsia="Malgun Gothic" w:hAnsi="Times New Roman" w:cs="Times New Roman"/>
          <w:iCs/>
          <w:sz w:val="24"/>
          <w:szCs w:val="24"/>
          <w:lang w:eastAsia="ko-KR"/>
        </w:rPr>
        <w:t xml:space="preserve"> et al. (2017) and </w:t>
      </w:r>
      <w:proofErr w:type="spellStart"/>
      <w:r w:rsidRPr="008F511F">
        <w:rPr>
          <w:rFonts w:ascii="Times New Roman" w:eastAsia="Malgun Gothic" w:hAnsi="Times New Roman" w:cs="Times New Roman"/>
          <w:iCs/>
          <w:sz w:val="24"/>
          <w:szCs w:val="24"/>
          <w:lang w:eastAsia="ko-KR"/>
        </w:rPr>
        <w:t>Bouri</w:t>
      </w:r>
      <w:proofErr w:type="spellEnd"/>
      <w:r w:rsidRPr="008F511F">
        <w:rPr>
          <w:rFonts w:ascii="Times New Roman" w:eastAsia="Malgun Gothic" w:hAnsi="Times New Roman" w:cs="Times New Roman"/>
          <w:iCs/>
          <w:sz w:val="24"/>
          <w:szCs w:val="24"/>
          <w:lang w:eastAsia="ko-KR"/>
        </w:rPr>
        <w:t xml:space="preserve"> et al. (2019).</w:t>
      </w:r>
      <w:r w:rsidR="0096521F" w:rsidRPr="008F511F">
        <w:rPr>
          <w:rStyle w:val="FootnoteReference"/>
          <w:rFonts w:ascii="Times New Roman" w:eastAsia="Malgun Gothic" w:hAnsi="Times New Roman" w:cs="Times New Roman"/>
          <w:iCs/>
          <w:sz w:val="24"/>
          <w:szCs w:val="24"/>
          <w:lang w:eastAsia="ko-KR"/>
        </w:rPr>
        <w:footnoteReference w:id="2"/>
      </w:r>
      <w:r w:rsidRPr="008F511F">
        <w:rPr>
          <w:rFonts w:ascii="Times New Roman" w:eastAsia="Malgun Gothic" w:hAnsi="Times New Roman" w:cs="Times New Roman"/>
          <w:iCs/>
          <w:sz w:val="24"/>
          <w:szCs w:val="24"/>
          <w:lang w:eastAsia="ko-KR"/>
        </w:rPr>
        <w:t xml:space="preserve"> </w:t>
      </w:r>
      <w:r w:rsidR="000C4B8C" w:rsidRPr="008F511F">
        <w:rPr>
          <w:rFonts w:ascii="Times New Roman" w:eastAsia="Malgun Gothic" w:hAnsi="Times New Roman" w:cs="Times New Roman"/>
          <w:iCs/>
          <w:sz w:val="24"/>
          <w:szCs w:val="24"/>
          <w:lang w:eastAsia="ko-KR"/>
        </w:rPr>
        <w:t xml:space="preserve">We take the natural log of the volume series and remove its trend by regressing it on </w:t>
      </w:r>
      <w:r w:rsidR="000C4B8C" w:rsidRPr="008F511F">
        <w:rPr>
          <w:rFonts w:ascii="Times New Roman" w:hAnsi="Times New Roman" w:cs="Times New Roman"/>
          <w:sz w:val="24"/>
          <w:szCs w:val="24"/>
        </w:rPr>
        <w:t xml:space="preserve">a constant, (t/T) and </w:t>
      </w:r>
      <m:oMath>
        <m:sSup>
          <m:sSupPr>
            <m:ctrlPr>
              <w:rPr>
                <w:rFonts w:ascii="Cambria Math" w:hAnsi="Cambria Math" w:cs="Times New Roman"/>
                <w:sz w:val="24"/>
                <w:szCs w:val="24"/>
              </w:rPr>
            </m:ctrlPr>
          </m:sSupPr>
          <m:e>
            <m:r>
              <w:rPr>
                <w:rFonts w:ascii="Cambria Math" w:hAnsi="Cambria Math" w:cs="Times New Roman"/>
                <w:sz w:val="24"/>
                <w:szCs w:val="24"/>
              </w:rPr>
              <m:t>(</m:t>
            </m:r>
            <m:r>
              <m:rPr>
                <m:sty m:val="p"/>
              </m:rPr>
              <w:rPr>
                <w:rFonts w:ascii="Cambria Math" w:hAnsi="Cambria Math" w:cs="Times New Roman"/>
                <w:sz w:val="24"/>
                <w:szCs w:val="24"/>
              </w:rPr>
              <m:t>t/T</m:t>
            </m:r>
            <m:r>
              <w:rPr>
                <w:rFonts w:ascii="Cambria Math" w:hAnsi="Cambria Math" w:cs="Times New Roman"/>
                <w:sz w:val="24"/>
                <w:szCs w:val="24"/>
              </w:rPr>
              <m:t>)</m:t>
            </m:r>
          </m:e>
          <m:sup>
            <m:r>
              <w:rPr>
                <w:rFonts w:ascii="Cambria Math" w:hAnsi="Cambria Math" w:cs="Times New Roman"/>
                <w:sz w:val="24"/>
                <w:szCs w:val="24"/>
              </w:rPr>
              <m:t>2</m:t>
            </m:r>
          </m:sup>
        </m:sSup>
      </m:oMath>
      <w:r w:rsidR="000C4B8C" w:rsidRPr="008F511F">
        <w:rPr>
          <w:rFonts w:ascii="Times New Roman" w:hAnsi="Times New Roman" w:cs="Times New Roman"/>
          <w:sz w:val="24"/>
          <w:szCs w:val="24"/>
        </w:rPr>
        <w:t>, where T is the total sample size.</w:t>
      </w:r>
    </w:p>
    <w:p w14:paraId="64EA4D09" w14:textId="5D346590" w:rsidR="00761501" w:rsidRPr="008F511F" w:rsidRDefault="00761501" w:rsidP="0096521F">
      <w:pPr>
        <w:spacing w:before="240" w:line="360" w:lineRule="auto"/>
        <w:jc w:val="both"/>
        <w:rPr>
          <w:rFonts w:ascii="Times New Roman" w:eastAsia="Malgun Gothic" w:hAnsi="Times New Roman" w:cs="Times New Roman"/>
          <w:iCs/>
          <w:sz w:val="24"/>
          <w:szCs w:val="24"/>
          <w:lang w:eastAsia="ko-KR"/>
        </w:rPr>
      </w:pPr>
      <w:r w:rsidRPr="008F511F">
        <w:rPr>
          <w:rFonts w:ascii="Times New Roman" w:eastAsia="Malgun Gothic" w:hAnsi="Times New Roman" w:cs="Times New Roman"/>
          <w:iCs/>
          <w:sz w:val="24"/>
          <w:szCs w:val="24"/>
          <w:lang w:eastAsia="ko-KR"/>
        </w:rPr>
        <w:t xml:space="preserve">Table 1 presents the descriptive statistics of returns, volatility, </w:t>
      </w:r>
      <w:r w:rsidR="007231B6" w:rsidRPr="008F511F">
        <w:rPr>
          <w:rFonts w:ascii="Times New Roman" w:eastAsia="Malgun Gothic" w:hAnsi="Times New Roman" w:cs="Times New Roman"/>
          <w:iCs/>
          <w:sz w:val="24"/>
          <w:szCs w:val="24"/>
          <w:lang w:eastAsia="ko-KR"/>
        </w:rPr>
        <w:t xml:space="preserve">volume, </w:t>
      </w:r>
      <w:r w:rsidRPr="008F511F">
        <w:rPr>
          <w:rFonts w:ascii="Times New Roman" w:eastAsia="Malgun Gothic" w:hAnsi="Times New Roman" w:cs="Times New Roman"/>
          <w:iCs/>
          <w:sz w:val="24"/>
          <w:szCs w:val="24"/>
          <w:lang w:eastAsia="ko-KR"/>
        </w:rPr>
        <w:t>and detrended volume of NFTs, while Figure 1 illustrates the time-varying prices, returns, volatility, and detrended volatility.</w:t>
      </w:r>
    </w:p>
    <w:p w14:paraId="19D4E76D" w14:textId="6307930A" w:rsidR="00761501" w:rsidRPr="008F511F" w:rsidRDefault="00815386" w:rsidP="00815386">
      <w:pPr>
        <w:spacing w:before="240" w:line="360" w:lineRule="auto"/>
        <w:ind w:firstLine="720"/>
        <w:jc w:val="center"/>
        <w:rPr>
          <w:rFonts w:ascii="Times New Roman" w:eastAsia="Malgun Gothic" w:hAnsi="Times New Roman" w:cs="Times New Roman"/>
          <w:iCs/>
          <w:sz w:val="24"/>
          <w:szCs w:val="24"/>
          <w:lang w:eastAsia="ko-KR"/>
        </w:rPr>
      </w:pPr>
      <w:r w:rsidRPr="008F511F">
        <w:rPr>
          <w:rFonts w:ascii="Times New Roman" w:eastAsia="Malgun Gothic" w:hAnsi="Times New Roman" w:cs="Times New Roman"/>
          <w:iCs/>
          <w:sz w:val="24"/>
          <w:szCs w:val="24"/>
          <w:lang w:eastAsia="ko-KR"/>
        </w:rPr>
        <w:t>[Table 1 and Figure 1 are here]</w:t>
      </w:r>
    </w:p>
    <w:p w14:paraId="14AC7BA9" w14:textId="5E957D02" w:rsidR="001B46C5" w:rsidRPr="008F511F" w:rsidRDefault="001B46C5" w:rsidP="00BD21A4">
      <w:pPr>
        <w:pStyle w:val="ListParagraph"/>
        <w:numPr>
          <w:ilvl w:val="1"/>
          <w:numId w:val="3"/>
        </w:numPr>
        <w:spacing w:before="240" w:line="360" w:lineRule="auto"/>
        <w:jc w:val="both"/>
        <w:rPr>
          <w:rFonts w:ascii="Times New Roman" w:hAnsi="Times New Roman" w:cs="Times New Roman"/>
          <w:b/>
          <w:bCs/>
          <w:sz w:val="24"/>
          <w:szCs w:val="24"/>
          <w:lang w:eastAsia="ko-KR"/>
        </w:rPr>
      </w:pPr>
      <w:r w:rsidRPr="008F511F">
        <w:rPr>
          <w:rFonts w:ascii="Times New Roman" w:hAnsi="Times New Roman" w:cs="Times New Roman"/>
          <w:b/>
          <w:bCs/>
          <w:sz w:val="24"/>
          <w:szCs w:val="24"/>
          <w:lang w:eastAsia="ko-KR"/>
        </w:rPr>
        <w:t>Methodology</w:t>
      </w:r>
    </w:p>
    <w:p w14:paraId="6B984032" w14:textId="20E6E540" w:rsidR="00E641E7" w:rsidRPr="008F511F" w:rsidRDefault="006F1D8C" w:rsidP="00E641E7">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The existence of return-volume and volatility-volume connectedness provides insightful information about market</w:t>
      </w:r>
      <w:r w:rsidR="00E641E7" w:rsidRPr="008F511F">
        <w:rPr>
          <w:rFonts w:ascii="Times New Roman" w:hAnsi="Times New Roman" w:cs="Times New Roman"/>
          <w:sz w:val="24"/>
          <w:szCs w:val="24"/>
          <w:lang w:eastAsia="ko-KR"/>
        </w:rPr>
        <w:t xml:space="preserve"> efficiency (</w:t>
      </w:r>
      <w:proofErr w:type="spellStart"/>
      <w:r w:rsidR="00E641E7" w:rsidRPr="008F511F">
        <w:rPr>
          <w:rFonts w:ascii="Times New Roman" w:hAnsi="Times New Roman" w:cs="Times New Roman"/>
          <w:sz w:val="24"/>
          <w:szCs w:val="24"/>
          <w:lang w:eastAsia="ko-KR"/>
        </w:rPr>
        <w:t>Fama</w:t>
      </w:r>
      <w:proofErr w:type="spellEnd"/>
      <w:r w:rsidR="00E641E7" w:rsidRPr="008F511F">
        <w:rPr>
          <w:rFonts w:ascii="Times New Roman" w:hAnsi="Times New Roman" w:cs="Times New Roman"/>
          <w:sz w:val="24"/>
          <w:szCs w:val="24"/>
          <w:lang w:eastAsia="ko-KR"/>
        </w:rPr>
        <w:t xml:space="preserve">, 1970), i.e. </w:t>
      </w:r>
      <w:r w:rsidRPr="008F511F">
        <w:rPr>
          <w:rFonts w:ascii="Times New Roman" w:hAnsi="Times New Roman" w:cs="Times New Roman"/>
          <w:sz w:val="24"/>
          <w:szCs w:val="24"/>
          <w:lang w:eastAsia="ko-KR"/>
        </w:rPr>
        <w:t xml:space="preserve">if the spillover effect is observed from the volume to returns and volatility then the NFTs’ returns and volatility can be forecasted using trading volumes data which contradict the proposition of efficient market hypothesis. The anti-efficiency market hypothesis results also imply that investors can get abnormal returns by adding volume as predictor of returns in their technical analysis of NFTs. Furthermore, the sequential information arrival hypothesis (SIAH) claims that the arrival of new information affects the trading volume and then trading volume influences the volatility (Copeland, 1976). SIAH proposes the positive impact of volume on volatility of market. Hence, </w:t>
      </w:r>
      <w:r w:rsidR="00E641E7" w:rsidRPr="008F511F">
        <w:rPr>
          <w:rFonts w:ascii="Times New Roman" w:hAnsi="Times New Roman" w:cs="Times New Roman"/>
          <w:sz w:val="24"/>
          <w:szCs w:val="24"/>
          <w:lang w:eastAsia="ko-KR"/>
        </w:rPr>
        <w:t xml:space="preserve">to add to the empirical evidence of these seminar hypotheses, we formulate the following two research hypotheses. </w:t>
      </w:r>
    </w:p>
    <w:p w14:paraId="4AE3B380" w14:textId="77777777" w:rsidR="00E641E7" w:rsidRPr="008F511F" w:rsidRDefault="00E641E7" w:rsidP="00E641E7">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H1: NFTs trading volumes are connected to NFTs returns and volatilities in extreme market conditions.</w:t>
      </w:r>
    </w:p>
    <w:p w14:paraId="6E603405" w14:textId="2C185808" w:rsidR="006F1D8C" w:rsidRPr="008F511F" w:rsidRDefault="00E641E7" w:rsidP="00BD21A4">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H2: The volume-return and volume-volatility connectedness is asymmetric and time-varying.</w:t>
      </w:r>
    </w:p>
    <w:p w14:paraId="22D3488F" w14:textId="13C1016B" w:rsidR="001B46C5" w:rsidRPr="008F511F" w:rsidRDefault="00FD1FB5" w:rsidP="00BD21A4">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lastRenderedPageBreak/>
        <w:t>To investigate the quantile connectedness for the pairs of returns-volume and volatility-volume of the NFTs, we use quantile connectedness approach proposed by Ando et al. (20</w:t>
      </w:r>
      <w:r w:rsidR="0094185C" w:rsidRPr="008F511F">
        <w:rPr>
          <w:rFonts w:ascii="Times New Roman" w:hAnsi="Times New Roman" w:cs="Times New Roman"/>
          <w:sz w:val="24"/>
          <w:szCs w:val="24"/>
          <w:lang w:eastAsia="ko-KR"/>
        </w:rPr>
        <w:t>22</w:t>
      </w:r>
      <w:r w:rsidRPr="008F511F">
        <w:rPr>
          <w:rFonts w:ascii="Times New Roman" w:hAnsi="Times New Roman" w:cs="Times New Roman"/>
          <w:sz w:val="24"/>
          <w:szCs w:val="24"/>
          <w:lang w:eastAsia="ko-KR"/>
        </w:rPr>
        <w:t>)</w:t>
      </w:r>
      <w:r w:rsidR="00F363E8" w:rsidRPr="008F511F">
        <w:rPr>
          <w:rFonts w:ascii="Times New Roman" w:hAnsi="Times New Roman" w:cs="Times New Roman"/>
          <w:sz w:val="24"/>
          <w:szCs w:val="24"/>
          <w:lang w:eastAsia="ko-KR"/>
        </w:rPr>
        <w:t xml:space="preserve"> and </w:t>
      </w:r>
      <w:proofErr w:type="spellStart"/>
      <w:r w:rsidR="000146D4" w:rsidRPr="008F511F">
        <w:rPr>
          <w:rFonts w:ascii="Times New Roman" w:hAnsi="Times New Roman" w:cs="Times New Roman"/>
          <w:sz w:val="24"/>
          <w:szCs w:val="24"/>
          <w:lang w:eastAsia="ko-KR"/>
        </w:rPr>
        <w:t>Bouri</w:t>
      </w:r>
      <w:proofErr w:type="spellEnd"/>
      <w:r w:rsidR="000146D4" w:rsidRPr="008F511F">
        <w:rPr>
          <w:rFonts w:ascii="Times New Roman" w:hAnsi="Times New Roman" w:cs="Times New Roman"/>
          <w:sz w:val="24"/>
          <w:szCs w:val="24"/>
          <w:lang w:eastAsia="ko-KR"/>
        </w:rPr>
        <w:t xml:space="preserve"> et al. (2021)</w:t>
      </w:r>
      <w:r w:rsidR="00F363E8" w:rsidRPr="008F511F">
        <w:rPr>
          <w:rFonts w:ascii="Times New Roman" w:hAnsi="Times New Roman" w:cs="Times New Roman"/>
          <w:sz w:val="24"/>
          <w:szCs w:val="24"/>
          <w:lang w:eastAsia="ko-KR"/>
        </w:rPr>
        <w:t xml:space="preserve">. </w:t>
      </w:r>
      <w:r w:rsidRPr="008F511F">
        <w:rPr>
          <w:rFonts w:ascii="Times New Roman" w:hAnsi="Times New Roman" w:cs="Times New Roman"/>
          <w:sz w:val="24"/>
          <w:szCs w:val="24"/>
          <w:lang w:eastAsia="ko-KR"/>
        </w:rPr>
        <w:t xml:space="preserve">In order to compute metrices of the quantile </w:t>
      </w:r>
      <w:r w:rsidR="000339B0" w:rsidRPr="008F511F">
        <w:rPr>
          <w:rFonts w:ascii="Times New Roman" w:hAnsi="Times New Roman" w:cs="Times New Roman"/>
          <w:sz w:val="24"/>
          <w:szCs w:val="24"/>
          <w:lang w:eastAsia="ko-KR"/>
        </w:rPr>
        <w:t>spillover</w:t>
      </w:r>
      <w:r w:rsidRPr="008F511F">
        <w:rPr>
          <w:rFonts w:ascii="Times New Roman" w:hAnsi="Times New Roman" w:cs="Times New Roman"/>
          <w:sz w:val="24"/>
          <w:szCs w:val="24"/>
          <w:lang w:eastAsia="ko-KR"/>
        </w:rPr>
        <w:t xml:space="preserve">, </w:t>
      </w:r>
      <w:r w:rsidR="000339B0" w:rsidRPr="008F511F">
        <w:rPr>
          <w:rFonts w:ascii="Times New Roman" w:hAnsi="Times New Roman" w:cs="Times New Roman"/>
          <w:sz w:val="24"/>
          <w:szCs w:val="24"/>
          <w:lang w:eastAsia="ko-KR"/>
        </w:rPr>
        <w:t xml:space="preserve">the infinite </w:t>
      </w:r>
      <w:r w:rsidR="00971D89" w:rsidRPr="008F511F">
        <w:rPr>
          <w:rFonts w:ascii="Times New Roman" w:hAnsi="Times New Roman" w:cs="Times New Roman"/>
          <w:sz w:val="24"/>
          <w:szCs w:val="24"/>
          <w:lang w:eastAsia="ko-KR"/>
        </w:rPr>
        <w:t>order-based</w:t>
      </w:r>
      <w:r w:rsidR="000339B0" w:rsidRPr="008F511F">
        <w:rPr>
          <w:rFonts w:ascii="Times New Roman" w:hAnsi="Times New Roman" w:cs="Times New Roman"/>
          <w:sz w:val="24"/>
          <w:szCs w:val="24"/>
          <w:lang w:eastAsia="ko-KR"/>
        </w:rPr>
        <w:t xml:space="preserve"> vector moving average specifications of QVAR are defined as:</w:t>
      </w:r>
      <w:r w:rsidR="001B46C5" w:rsidRPr="008F511F">
        <w:rPr>
          <w:rFonts w:ascii="Times New Roman" w:hAnsi="Times New Roman" w:cs="Times New Roman"/>
          <w:sz w:val="24"/>
          <w:szCs w:val="24"/>
          <w:lang w:eastAsia="ko-KR"/>
        </w:rPr>
        <w:t xml:space="preserve"> </w:t>
      </w:r>
    </w:p>
    <w:p w14:paraId="1E9357D0" w14:textId="662E21D1" w:rsidR="001B46C5" w:rsidRPr="008F511F" w:rsidRDefault="001B46C5" w:rsidP="00BD21A4">
      <w:pPr>
        <w:spacing w:before="240" w:line="360" w:lineRule="auto"/>
        <w:ind w:firstLine="709"/>
        <w:rPr>
          <w:rFonts w:ascii="Times New Roman" w:hAnsi="Times New Roman" w:cs="Times New Roman"/>
          <w:sz w:val="24"/>
          <w:szCs w:val="24"/>
          <w:lang w:eastAsia="ko-KR"/>
        </w:rPr>
      </w:pPr>
      <w:r w:rsidRPr="008F511F">
        <w:rPr>
          <w:rFonts w:ascii="Times New Roman" w:hAnsi="Times New Roman" w:cs="Times New Roman" w:hint="eastAsia"/>
          <w:sz w:val="24"/>
          <w:szCs w:val="24"/>
          <w:lang w:eastAsia="ko-KR"/>
        </w:rPr>
        <w:t xml:space="preserve"> </w:t>
      </w: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y</m:t>
            </m:r>
          </m:e>
          <m:sub>
            <m:r>
              <w:rPr>
                <w:rFonts w:ascii="Cambria Math" w:hAnsi="Cambria Math" w:cs="Times New Roman"/>
                <w:sz w:val="24"/>
                <w:szCs w:val="24"/>
                <w:lang w:eastAsia="ko-KR"/>
              </w:rPr>
              <m:t>t</m:t>
            </m:r>
          </m:sub>
        </m:sSub>
        <m:r>
          <w:rPr>
            <w:rFonts w:ascii="Cambria Math" w:hAnsi="Cambria Math" w:cs="Times New Roman"/>
            <w:sz w:val="24"/>
            <w:szCs w:val="24"/>
            <w:lang w:eastAsia="ko-KR"/>
          </w:rPr>
          <m:t>=μ</m:t>
        </m:r>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r>
          <w:rPr>
            <w:rFonts w:ascii="Cambria Math" w:hAnsi="Cambria Math" w:cs="Times New Roman"/>
            <w:sz w:val="24"/>
            <w:szCs w:val="24"/>
            <w:lang w:eastAsia="ko-KR"/>
          </w:rPr>
          <m:t>+</m:t>
        </m:r>
        <m:nary>
          <m:naryPr>
            <m:chr m:val="∑"/>
            <m:limLoc m:val="subSup"/>
            <m:ctrlPr>
              <w:rPr>
                <w:rFonts w:ascii="Cambria Math" w:hAnsi="Cambria Math" w:cs="Times New Roman"/>
                <w:i/>
                <w:sz w:val="24"/>
                <w:szCs w:val="24"/>
                <w:lang w:eastAsia="ko-KR"/>
              </w:rPr>
            </m:ctrlPr>
          </m:naryPr>
          <m:sub>
            <m:r>
              <w:rPr>
                <w:rFonts w:ascii="Cambria Math" w:hAnsi="Cambria Math" w:cs="Times New Roman"/>
                <w:sz w:val="24"/>
                <w:szCs w:val="24"/>
                <w:lang w:eastAsia="ko-KR"/>
              </w:rPr>
              <m:t>j</m:t>
            </m:r>
          </m:sub>
          <m:sup>
            <m:r>
              <w:rPr>
                <w:rFonts w:ascii="Cambria Math" w:hAnsi="Cambria Math" w:cs="Times New Roman"/>
                <w:sz w:val="24"/>
                <w:szCs w:val="24"/>
                <w:lang w:eastAsia="ko-KR"/>
              </w:rPr>
              <m:t>p</m:t>
            </m:r>
          </m:sup>
          <m:e>
            <m:sSub>
              <m:sSubPr>
                <m:ctrlPr>
                  <w:rPr>
                    <w:rFonts w:ascii="Cambria Math" w:hAnsi="Cambria Math" w:cs="Times New Roman"/>
                    <w:i/>
                    <w:sz w:val="24"/>
                    <w:szCs w:val="24"/>
                    <w:lang w:eastAsia="ko-KR"/>
                  </w:rPr>
                </m:ctrlPr>
              </m:sSubPr>
              <m:e>
                <m:r>
                  <m:rPr>
                    <m:sty m:val="p"/>
                  </m:rPr>
                  <w:rPr>
                    <w:rFonts w:ascii="Cambria Math" w:hAnsi="Cambria Math" w:cs="Times New Roman"/>
                    <w:sz w:val="24"/>
                    <w:szCs w:val="24"/>
                    <w:lang w:eastAsia="ko-KR"/>
                  </w:rPr>
                  <m:t>Φ</m:t>
                </m:r>
              </m:e>
              <m:sub>
                <m:r>
                  <w:rPr>
                    <w:rFonts w:ascii="Cambria Math" w:hAnsi="Cambria Math" w:cs="Times New Roman"/>
                    <w:sz w:val="24"/>
                    <w:szCs w:val="24"/>
                    <w:lang w:eastAsia="ko-KR"/>
                  </w:rPr>
                  <m:t>j</m:t>
                </m:r>
              </m:sub>
            </m:sSub>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e>
        </m:nary>
        <m:sSub>
          <m:sSubPr>
            <m:ctrlPr>
              <w:rPr>
                <w:rFonts w:ascii="Cambria Math" w:hAnsi="Cambria Math" w:cs="Times New Roman"/>
                <w:i/>
                <w:sz w:val="24"/>
                <w:szCs w:val="24"/>
                <w:lang w:eastAsia="ko-KR"/>
              </w:rPr>
            </m:ctrlPr>
          </m:sSubPr>
          <m:e>
            <m:r>
              <w:rPr>
                <w:rFonts w:ascii="Cambria Math" w:hAnsi="Cambria Math" w:cs="Times New Roman"/>
                <w:sz w:val="24"/>
                <w:szCs w:val="24"/>
                <w:lang w:eastAsia="ko-KR"/>
              </w:rPr>
              <m:t>y</m:t>
            </m:r>
          </m:e>
          <m:sub>
            <m:r>
              <w:rPr>
                <w:rFonts w:ascii="Cambria Math" w:hAnsi="Cambria Math" w:cs="Times New Roman"/>
                <w:sz w:val="24"/>
                <w:szCs w:val="24"/>
                <w:lang w:eastAsia="ko-KR"/>
              </w:rPr>
              <m:t>t-j</m:t>
            </m:r>
          </m:sub>
        </m:sSub>
        <m:r>
          <w:rPr>
            <w:rFonts w:ascii="Cambria Math" w:hAnsi="Cambria Math" w:cs="Times New Roman"/>
            <w:sz w:val="24"/>
            <w:szCs w:val="24"/>
            <w:lang w:eastAsia="ko-KR"/>
          </w:rPr>
          <m:t>+</m:t>
        </m:r>
        <m:sSub>
          <m:sSubPr>
            <m:ctrlPr>
              <w:rPr>
                <w:rFonts w:ascii="Cambria Math" w:hAnsi="Cambria Math" w:cs="Times New Roman"/>
                <w:i/>
                <w:sz w:val="24"/>
                <w:szCs w:val="24"/>
                <w:lang w:eastAsia="ko-KR"/>
              </w:rPr>
            </m:ctrlPr>
          </m:sSubPr>
          <m:e>
            <m:r>
              <w:rPr>
                <w:rFonts w:ascii="Cambria Math" w:hAnsi="Cambria Math" w:cs="Times New Roman"/>
                <w:sz w:val="24"/>
                <w:szCs w:val="24"/>
                <w:lang w:eastAsia="ko-KR"/>
              </w:rPr>
              <m:t>u</m:t>
            </m:r>
          </m:e>
          <m:sub>
            <m:r>
              <w:rPr>
                <w:rFonts w:ascii="Cambria Math" w:hAnsi="Cambria Math" w:cs="Times New Roman"/>
                <w:sz w:val="24"/>
                <w:szCs w:val="24"/>
                <w:lang w:eastAsia="ko-KR"/>
              </w:rPr>
              <m:t>t</m:t>
            </m:r>
          </m:sub>
        </m:sSub>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r>
          <w:rPr>
            <w:rFonts w:ascii="Cambria Math" w:hAnsi="Cambria Math" w:cs="Times New Roman"/>
            <w:sz w:val="24"/>
            <w:szCs w:val="24"/>
            <w:lang w:eastAsia="ko-KR"/>
          </w:rPr>
          <m:t>=μ</m:t>
        </m:r>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r>
          <w:rPr>
            <w:rFonts w:ascii="Cambria Math" w:hAnsi="Cambria Math" w:cs="Times New Roman"/>
            <w:sz w:val="24"/>
            <w:szCs w:val="24"/>
            <w:lang w:eastAsia="ko-KR"/>
          </w:rPr>
          <m:t>+</m:t>
        </m:r>
        <m:nary>
          <m:naryPr>
            <m:chr m:val="∑"/>
            <m:limLoc m:val="subSup"/>
            <m:ctrlPr>
              <w:rPr>
                <w:rFonts w:ascii="Cambria Math" w:hAnsi="Cambria Math" w:cs="Times New Roman"/>
                <w:i/>
                <w:sz w:val="24"/>
                <w:szCs w:val="24"/>
                <w:lang w:eastAsia="ko-KR"/>
              </w:rPr>
            </m:ctrlPr>
          </m:naryPr>
          <m:sub>
            <m:r>
              <w:rPr>
                <w:rFonts w:ascii="Cambria Math" w:hAnsi="Cambria Math" w:cs="Times New Roman"/>
                <w:sz w:val="24"/>
                <w:szCs w:val="24"/>
                <w:lang w:eastAsia="ko-KR"/>
              </w:rPr>
              <m:t>i=0</m:t>
            </m:r>
          </m:sub>
          <m:sup>
            <m:r>
              <w:rPr>
                <w:rFonts w:ascii="Cambria Math" w:hAnsi="Cambria Math" w:cs="Times New Roman"/>
                <w:sz w:val="24"/>
                <w:szCs w:val="24"/>
                <w:lang w:eastAsia="ko-KR"/>
              </w:rPr>
              <m:t>∞</m:t>
            </m:r>
          </m:sup>
          <m:e>
            <m:sSub>
              <m:sSubPr>
                <m:ctrlPr>
                  <w:rPr>
                    <w:rFonts w:ascii="Cambria Math" w:hAnsi="Cambria Math" w:cs="Times New Roman"/>
                    <w:i/>
                    <w:sz w:val="24"/>
                    <w:szCs w:val="24"/>
                    <w:lang w:eastAsia="ko-KR"/>
                  </w:rPr>
                </m:ctrlPr>
              </m:sSubPr>
              <m:e>
                <m:r>
                  <m:rPr>
                    <m:sty m:val="p"/>
                  </m:rPr>
                  <w:rPr>
                    <w:rFonts w:ascii="Cambria Math" w:hAnsi="Cambria Math" w:cs="Times New Roman"/>
                    <w:sz w:val="24"/>
                    <w:szCs w:val="24"/>
                    <w:lang w:eastAsia="ko-KR"/>
                  </w:rPr>
                  <m:t>Ω</m:t>
                </m:r>
              </m:e>
              <m:sub>
                <m:r>
                  <w:rPr>
                    <w:rFonts w:ascii="Cambria Math" w:hAnsi="Cambria Math" w:cs="Times New Roman"/>
                    <w:sz w:val="24"/>
                    <w:szCs w:val="24"/>
                    <w:lang w:eastAsia="ko-KR"/>
                  </w:rPr>
                  <m:t>i</m:t>
                </m:r>
              </m:sub>
            </m:sSub>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sSub>
              <m:sSubPr>
                <m:ctrlPr>
                  <w:rPr>
                    <w:rFonts w:ascii="Cambria Math" w:hAnsi="Cambria Math" w:cs="Times New Roman"/>
                    <w:i/>
                    <w:sz w:val="24"/>
                    <w:szCs w:val="24"/>
                    <w:lang w:eastAsia="ko-KR"/>
                  </w:rPr>
                </m:ctrlPr>
              </m:sSubPr>
              <m:e>
                <m:r>
                  <w:rPr>
                    <w:rFonts w:ascii="Cambria Math" w:hAnsi="Cambria Math" w:cs="Times New Roman"/>
                    <w:sz w:val="24"/>
                    <w:szCs w:val="24"/>
                    <w:lang w:eastAsia="ko-KR"/>
                  </w:rPr>
                  <m:t>u</m:t>
                </m:r>
              </m:e>
              <m:sub>
                <m:r>
                  <w:rPr>
                    <w:rFonts w:ascii="Cambria Math" w:hAnsi="Cambria Math" w:cs="Times New Roman"/>
                    <w:sz w:val="24"/>
                    <w:szCs w:val="24"/>
                    <w:lang w:eastAsia="ko-KR"/>
                  </w:rPr>
                  <m:t>t-i</m:t>
                </m:r>
              </m:sub>
            </m:sSub>
          </m:e>
        </m:nary>
      </m:oMath>
      <w:r w:rsidRPr="008F511F">
        <w:rPr>
          <w:rFonts w:ascii="Times New Roman" w:hAnsi="Times New Roman" w:cs="Times New Roman" w:hint="eastAsia"/>
          <w:sz w:val="24"/>
          <w:szCs w:val="24"/>
          <w:lang w:eastAsia="ko-KR"/>
        </w:rPr>
        <w:t xml:space="preserve"> </w:t>
      </w:r>
      <w:r w:rsidRPr="008F511F">
        <w:rPr>
          <w:rFonts w:ascii="Times New Roman" w:hAnsi="Times New Roman" w:cs="Times New Roman"/>
          <w:sz w:val="24"/>
          <w:szCs w:val="24"/>
          <w:lang w:eastAsia="ko-KR"/>
        </w:rPr>
        <w:t xml:space="preserve">             </w:t>
      </w:r>
      <w:r w:rsidR="00712A6A" w:rsidRPr="008F511F">
        <w:rPr>
          <w:rFonts w:ascii="Times New Roman" w:hAnsi="Times New Roman" w:cs="Times New Roman"/>
          <w:sz w:val="24"/>
          <w:szCs w:val="24"/>
          <w:lang w:eastAsia="ko-KR"/>
        </w:rPr>
        <w:t xml:space="preserve">                        </w:t>
      </w:r>
      <w:r w:rsidRPr="008F511F">
        <w:rPr>
          <w:rFonts w:ascii="Times New Roman" w:hAnsi="Times New Roman" w:cs="Times New Roman"/>
          <w:sz w:val="24"/>
          <w:szCs w:val="24"/>
          <w:lang w:eastAsia="ko-KR"/>
        </w:rPr>
        <w:t>(1)</w:t>
      </w:r>
    </w:p>
    <w:p w14:paraId="159C9371" w14:textId="7B996427" w:rsidR="001B46C5" w:rsidRPr="008F511F" w:rsidRDefault="001B46C5" w:rsidP="00BD21A4">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hint="eastAsia"/>
          <w:sz w:val="24"/>
          <w:szCs w:val="24"/>
          <w:lang w:eastAsia="ko-KR"/>
        </w:rPr>
        <w:t xml:space="preserve">Following </w:t>
      </w:r>
      <w:proofErr w:type="spellStart"/>
      <w:r w:rsidR="00F73853" w:rsidRPr="008F511F">
        <w:rPr>
          <w:rFonts w:ascii="Times New Roman" w:hAnsi="Times New Roman" w:cs="Times New Roman" w:hint="eastAsia"/>
          <w:sz w:val="24"/>
          <w:szCs w:val="24"/>
          <w:lang w:eastAsia="ko-KR"/>
        </w:rPr>
        <w:t>Pesaran</w:t>
      </w:r>
      <w:proofErr w:type="spellEnd"/>
      <w:r w:rsidR="00F73853" w:rsidRPr="008F511F">
        <w:rPr>
          <w:rFonts w:ascii="Times New Roman" w:hAnsi="Times New Roman" w:cs="Times New Roman" w:hint="eastAsia"/>
          <w:sz w:val="24"/>
          <w:szCs w:val="24"/>
          <w:lang w:eastAsia="ko-KR"/>
        </w:rPr>
        <w:t xml:space="preserve"> and Shin</w:t>
      </w:r>
      <w:r w:rsidR="00F73853" w:rsidRPr="008F511F">
        <w:rPr>
          <w:rFonts w:ascii="Times New Roman" w:hAnsi="Times New Roman" w:cs="Times New Roman"/>
          <w:sz w:val="24"/>
          <w:szCs w:val="24"/>
          <w:lang w:eastAsia="ko-KR"/>
        </w:rPr>
        <w:t xml:space="preserve"> (1998) and </w:t>
      </w:r>
      <w:r w:rsidRPr="008F511F">
        <w:rPr>
          <w:rFonts w:ascii="Times New Roman" w:hAnsi="Times New Roman" w:cs="Times New Roman" w:hint="eastAsia"/>
          <w:sz w:val="24"/>
          <w:szCs w:val="24"/>
          <w:lang w:eastAsia="ko-KR"/>
        </w:rPr>
        <w:t>Koop et al. (1996)</w:t>
      </w:r>
      <w:r w:rsidRPr="008F511F">
        <w:rPr>
          <w:rFonts w:ascii="Times New Roman" w:hAnsi="Times New Roman" w:cs="Times New Roman"/>
          <w:sz w:val="24"/>
          <w:szCs w:val="24"/>
          <w:lang w:eastAsia="ko-KR"/>
        </w:rPr>
        <w:t xml:space="preserve">, the </w:t>
      </w:r>
      <w:r w:rsidR="009B436A" w:rsidRPr="008F511F">
        <w:rPr>
          <w:rFonts w:ascii="Times New Roman" w:hAnsi="Times New Roman" w:cs="Times New Roman"/>
          <w:sz w:val="24"/>
          <w:szCs w:val="24"/>
          <w:lang w:eastAsia="ko-KR"/>
        </w:rPr>
        <w:t>“</w:t>
      </w:r>
      <w:r w:rsidRPr="008F511F">
        <w:rPr>
          <w:rFonts w:ascii="Times New Roman" w:hAnsi="Times New Roman" w:cs="Times New Roman"/>
          <w:sz w:val="24"/>
          <w:szCs w:val="24"/>
          <w:lang w:eastAsia="ko-KR"/>
        </w:rPr>
        <w:t>generalized forecast error variance decomposition (GFEVD)</w:t>
      </w:r>
      <w:r w:rsidR="009B436A" w:rsidRPr="008F511F">
        <w:rPr>
          <w:rFonts w:ascii="Times New Roman" w:hAnsi="Times New Roman" w:cs="Times New Roman"/>
          <w:sz w:val="24"/>
          <w:szCs w:val="24"/>
          <w:lang w:eastAsia="ko-KR"/>
        </w:rPr>
        <w:t>”</w:t>
      </w:r>
      <w:r w:rsidRPr="008F511F">
        <w:rPr>
          <w:rFonts w:ascii="Times New Roman" w:hAnsi="Times New Roman" w:cs="Times New Roman"/>
          <w:sz w:val="24"/>
          <w:szCs w:val="24"/>
          <w:lang w:eastAsia="ko-KR"/>
        </w:rPr>
        <w:t xml:space="preserve"> with forecast horizon</w:t>
      </w:r>
      <w:r w:rsidR="009B436A" w:rsidRPr="008F511F">
        <w:rPr>
          <w:rFonts w:ascii="Times New Roman" w:hAnsi="Times New Roman" w:cs="Times New Roman"/>
          <w:sz w:val="24"/>
          <w:szCs w:val="24"/>
          <w:lang w:eastAsia="ko-KR"/>
        </w:rPr>
        <w:t xml:space="preserve"> of</w:t>
      </w:r>
      <w:r w:rsidRPr="008F511F">
        <w:rPr>
          <w:rFonts w:ascii="Times New Roman" w:hAnsi="Times New Roman" w:cs="Times New Roman"/>
          <w:sz w:val="24"/>
          <w:szCs w:val="24"/>
          <w:lang w:eastAsia="ko-KR"/>
        </w:rPr>
        <w:t xml:space="preserve"> </w:t>
      </w:r>
      <m:oMath>
        <m:r>
          <m:rPr>
            <m:sty m:val="p"/>
          </m:rPr>
          <w:rPr>
            <w:rFonts w:ascii="Cambria Math" w:hAnsi="Cambria Math" w:cs="Times New Roman"/>
            <w:sz w:val="24"/>
            <w:szCs w:val="24"/>
            <w:lang w:eastAsia="ko-KR"/>
          </w:rPr>
          <m:t>H</m:t>
        </m:r>
      </m:oMath>
      <w:r w:rsidRPr="008F511F">
        <w:rPr>
          <w:rFonts w:ascii="Times New Roman" w:hAnsi="Times New Roman" w:cs="Times New Roman"/>
          <w:sz w:val="24"/>
          <w:szCs w:val="24"/>
          <w:lang w:eastAsia="ko-KR"/>
        </w:rPr>
        <w:t xml:space="preserve"> </w:t>
      </w:r>
      <w:r w:rsidR="009B436A" w:rsidRPr="008F511F">
        <w:rPr>
          <w:rFonts w:ascii="Times New Roman" w:hAnsi="Times New Roman" w:cs="Times New Roman"/>
          <w:sz w:val="24"/>
          <w:szCs w:val="24"/>
          <w:lang w:eastAsia="ko-KR"/>
        </w:rPr>
        <w:t xml:space="preserve">is </w:t>
      </w:r>
      <w:r w:rsidR="00F97E91" w:rsidRPr="008F511F">
        <w:rPr>
          <w:rFonts w:ascii="Times New Roman" w:hAnsi="Times New Roman" w:cs="Times New Roman"/>
          <w:sz w:val="24"/>
          <w:szCs w:val="24"/>
          <w:lang w:eastAsia="ko-KR"/>
        </w:rPr>
        <w:t xml:space="preserve">defined </w:t>
      </w:r>
      <w:r w:rsidR="00EB3CCC" w:rsidRPr="008F511F">
        <w:rPr>
          <w:rFonts w:ascii="Times New Roman" w:hAnsi="Times New Roman" w:cs="Times New Roman"/>
          <w:sz w:val="24"/>
          <w:szCs w:val="24"/>
          <w:lang w:eastAsia="ko-KR"/>
        </w:rPr>
        <w:t>as</w:t>
      </w:r>
      <w:r w:rsidR="00F73853" w:rsidRPr="008F511F">
        <w:rPr>
          <w:rFonts w:ascii="Times New Roman" w:hAnsi="Times New Roman" w:cs="Times New Roman"/>
          <w:sz w:val="24"/>
          <w:szCs w:val="24"/>
          <w:lang w:eastAsia="ko-KR"/>
        </w:rPr>
        <w:t xml:space="preserve"> follows</w:t>
      </w:r>
      <w:r w:rsidRPr="008F511F">
        <w:rPr>
          <w:rFonts w:ascii="Times New Roman" w:hAnsi="Times New Roman" w:cs="Times New Roman"/>
          <w:sz w:val="24"/>
          <w:szCs w:val="24"/>
          <w:lang w:eastAsia="ko-KR"/>
        </w:rPr>
        <w:t>:</w:t>
      </w:r>
    </w:p>
    <w:p w14:paraId="32D11777" w14:textId="4EC08910" w:rsidR="001B46C5" w:rsidRPr="008F511F" w:rsidRDefault="008F511F" w:rsidP="00BD21A4">
      <w:pPr>
        <w:spacing w:before="240" w:line="360" w:lineRule="auto"/>
        <w:ind w:firstLine="709"/>
        <w:rPr>
          <w:rFonts w:ascii="Times New Roman" w:hAnsi="Times New Roman" w:cs="Times New Roman"/>
          <w:sz w:val="24"/>
          <w:szCs w:val="24"/>
          <w:lang w:eastAsia="ko-KR"/>
        </w:rPr>
      </w:pPr>
      <m:oMath>
        <m:sSubSup>
          <m:sSubSupPr>
            <m:ctrlPr>
              <w:rPr>
                <w:rFonts w:ascii="Cambria Math" w:hAnsi="Cambria Math" w:cs="Times New Roman"/>
                <w:sz w:val="24"/>
                <w:szCs w:val="24"/>
                <w:lang w:eastAsia="ko-KR"/>
              </w:rPr>
            </m:ctrlPr>
          </m:sSubSupPr>
          <m:e>
            <m:r>
              <m:rPr>
                <m:sty m:val="p"/>
              </m:rPr>
              <w:rPr>
                <w:rFonts w:ascii="Cambria Math" w:hAnsi="Cambria Math" w:cs="Times New Roman"/>
                <w:sz w:val="24"/>
                <w:szCs w:val="24"/>
                <w:lang w:eastAsia="ko-KR"/>
              </w:rPr>
              <m:t>Θ</m:t>
            </m:r>
          </m:e>
          <m:sub>
            <m:r>
              <w:rPr>
                <w:rFonts w:ascii="Cambria Math" w:hAnsi="Cambria Math" w:cs="Times New Roman"/>
                <w:sz w:val="24"/>
                <w:szCs w:val="24"/>
                <w:lang w:eastAsia="ko-KR"/>
              </w:rPr>
              <m:t>ij</m:t>
            </m:r>
          </m:sub>
          <m:sup>
            <m:r>
              <w:rPr>
                <w:rFonts w:ascii="Cambria Math" w:hAnsi="Cambria Math" w:cs="Times New Roman"/>
                <w:sz w:val="24"/>
                <w:szCs w:val="24"/>
                <w:lang w:eastAsia="ko-KR"/>
              </w:rPr>
              <m:t>g</m:t>
            </m:r>
          </m:sup>
        </m:sSubSup>
        <m:d>
          <m:dPr>
            <m:ctrlPr>
              <w:rPr>
                <w:rFonts w:ascii="Cambria Math" w:hAnsi="Cambria Math" w:cs="Times New Roman"/>
                <w:i/>
                <w:sz w:val="24"/>
                <w:szCs w:val="24"/>
                <w:lang w:eastAsia="ko-KR"/>
              </w:rPr>
            </m:ctrlPr>
          </m:dPr>
          <m:e>
            <m:r>
              <w:rPr>
                <w:rFonts w:ascii="Cambria Math" w:hAnsi="Cambria Math" w:cs="Times New Roman"/>
                <w:sz w:val="24"/>
                <w:szCs w:val="24"/>
                <w:lang w:eastAsia="ko-KR"/>
              </w:rPr>
              <m:t>H</m:t>
            </m:r>
          </m:e>
        </m:d>
        <m:r>
          <w:rPr>
            <w:rFonts w:ascii="Cambria Math" w:hAnsi="Cambria Math" w:cs="Times New Roman"/>
            <w:sz w:val="24"/>
            <w:szCs w:val="24"/>
            <w:lang w:eastAsia="ko-KR"/>
          </w:rPr>
          <m:t>=</m:t>
        </m:r>
        <m:f>
          <m:fPr>
            <m:ctrlPr>
              <w:rPr>
                <w:rFonts w:ascii="Cambria Math" w:hAnsi="Cambria Math" w:cs="Times New Roman"/>
                <w:i/>
                <w:sz w:val="24"/>
                <w:szCs w:val="24"/>
                <w:lang w:eastAsia="ko-KR"/>
              </w:rPr>
            </m:ctrlPr>
          </m:fPr>
          <m:num>
            <m:nary>
              <m:naryPr>
                <m:chr m:val="∑"/>
                <m:limLoc m:val="undOvr"/>
                <m:subHide m:val="1"/>
                <m:supHide m:val="1"/>
                <m:ctrlPr>
                  <w:rPr>
                    <w:rFonts w:ascii="Cambria Math" w:hAnsi="Cambria Math" w:cs="Times New Roman"/>
                    <w:i/>
                    <w:sz w:val="24"/>
                    <w:szCs w:val="24"/>
                    <w:lang w:eastAsia="ko-KR"/>
                  </w:rPr>
                </m:ctrlPr>
              </m:naryPr>
              <m:sub/>
              <m:sup/>
              <m:e>
                <m:sSubSup>
                  <m:sSubSupPr>
                    <m:ctrlPr>
                      <w:rPr>
                        <w:rFonts w:ascii="Cambria Math" w:hAnsi="Cambria Math" w:cs="Times New Roman"/>
                        <w:i/>
                        <w:sz w:val="24"/>
                        <w:szCs w:val="24"/>
                        <w:lang w:eastAsia="ko-KR"/>
                      </w:rPr>
                    </m:ctrlPr>
                  </m:sSubSupPr>
                  <m:e>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e>
                  <m:sub>
                    <m:r>
                      <w:rPr>
                        <w:rFonts w:ascii="Cambria Math" w:hAnsi="Cambria Math" w:cs="Times New Roman"/>
                        <w:sz w:val="24"/>
                        <w:szCs w:val="24"/>
                        <w:lang w:eastAsia="ko-KR"/>
                      </w:rPr>
                      <m:t>jj</m:t>
                    </m:r>
                  </m:sub>
                  <m:sup>
                    <m:r>
                      <w:rPr>
                        <w:rFonts w:ascii="Cambria Math" w:hAnsi="Cambria Math" w:cs="Times New Roman"/>
                        <w:sz w:val="24"/>
                        <w:szCs w:val="24"/>
                        <w:lang w:eastAsia="ko-KR"/>
                      </w:rPr>
                      <m:t>-1</m:t>
                    </m:r>
                  </m:sup>
                </m:sSubSup>
                <m:nary>
                  <m:naryPr>
                    <m:chr m:val="∑"/>
                    <m:limLoc m:val="subSup"/>
                    <m:ctrlPr>
                      <w:rPr>
                        <w:rFonts w:ascii="Cambria Math" w:hAnsi="Cambria Math" w:cs="Times New Roman"/>
                        <w:i/>
                        <w:sz w:val="24"/>
                        <w:szCs w:val="24"/>
                        <w:lang w:eastAsia="ko-KR"/>
                      </w:rPr>
                    </m:ctrlPr>
                  </m:naryPr>
                  <m:sub>
                    <m:r>
                      <w:rPr>
                        <w:rFonts w:ascii="Cambria Math" w:hAnsi="Cambria Math" w:cs="Times New Roman"/>
                        <w:sz w:val="24"/>
                        <w:szCs w:val="24"/>
                        <w:lang w:eastAsia="ko-KR"/>
                      </w:rPr>
                      <m:t>h=0</m:t>
                    </m:r>
                  </m:sub>
                  <m:sup>
                    <m:r>
                      <w:rPr>
                        <w:rFonts w:ascii="Cambria Math" w:hAnsi="Cambria Math" w:cs="Times New Roman"/>
                        <w:sz w:val="24"/>
                        <w:szCs w:val="24"/>
                        <w:lang w:eastAsia="ko-KR"/>
                      </w:rPr>
                      <m:t>H-1</m:t>
                    </m:r>
                  </m:sup>
                  <m:e>
                    <m:sSup>
                      <m:sSupPr>
                        <m:ctrlPr>
                          <w:rPr>
                            <w:rFonts w:ascii="Cambria Math" w:hAnsi="Cambria Math" w:cs="Times New Roman"/>
                            <w:i/>
                            <w:sz w:val="24"/>
                            <w:szCs w:val="24"/>
                            <w:lang w:eastAsia="ko-KR"/>
                          </w:rPr>
                        </m:ctrlPr>
                      </m:sSupPr>
                      <m:e>
                        <m:d>
                          <m:dPr>
                            <m:ctrlPr>
                              <w:rPr>
                                <w:rFonts w:ascii="Cambria Math" w:hAnsi="Cambria Math" w:cs="Times New Roman"/>
                                <w:i/>
                                <w:sz w:val="24"/>
                                <w:szCs w:val="24"/>
                                <w:lang w:eastAsia="ko-KR"/>
                              </w:rPr>
                            </m:ctrlPr>
                          </m:dPr>
                          <m:e>
                            <m:sSubSup>
                              <m:sSubSupPr>
                                <m:ctrlPr>
                                  <w:rPr>
                                    <w:rFonts w:ascii="Cambria Math" w:hAnsi="Cambria Math" w:cs="Times New Roman"/>
                                    <w:i/>
                                    <w:sz w:val="24"/>
                                    <w:szCs w:val="24"/>
                                    <w:lang w:eastAsia="ko-KR"/>
                                  </w:rPr>
                                </m:ctrlPr>
                              </m:sSubSupPr>
                              <m:e>
                                <m:r>
                                  <w:rPr>
                                    <w:rFonts w:ascii="Cambria Math" w:hAnsi="Cambria Math" w:cs="Times New Roman"/>
                                    <w:sz w:val="24"/>
                                    <w:szCs w:val="24"/>
                                    <w:lang w:eastAsia="ko-KR"/>
                                  </w:rPr>
                                  <m:t>e</m:t>
                                </m:r>
                              </m:e>
                              <m:sub>
                                <m:r>
                                  <w:rPr>
                                    <w:rFonts w:ascii="Cambria Math" w:hAnsi="Cambria Math" w:cs="Times New Roman"/>
                                    <w:sz w:val="24"/>
                                    <w:szCs w:val="24"/>
                                    <w:lang w:eastAsia="ko-KR"/>
                                  </w:rPr>
                                  <m:t>i</m:t>
                                </m:r>
                              </m:sub>
                              <m:sup>
                                <m:r>
                                  <w:rPr>
                                    <w:rFonts w:ascii="Cambria Math" w:hAnsi="Cambria Math" w:cs="Times New Roman"/>
                                    <w:sz w:val="24"/>
                                    <w:szCs w:val="24"/>
                                    <w:lang w:eastAsia="ko-KR"/>
                                  </w:rPr>
                                  <m:t>'</m:t>
                                </m:r>
                              </m:sup>
                            </m:sSubSup>
                            <m:sSub>
                              <m:sSubPr>
                                <m:ctrlPr>
                                  <w:rPr>
                                    <w:rFonts w:ascii="Cambria Math" w:hAnsi="Cambria Math" w:cs="Times New Roman"/>
                                    <w:i/>
                                    <w:sz w:val="24"/>
                                    <w:szCs w:val="24"/>
                                    <w:lang w:eastAsia="ko-KR"/>
                                  </w:rPr>
                                </m:ctrlPr>
                              </m:sSubPr>
                              <m:e>
                                <m:r>
                                  <m:rPr>
                                    <m:sty m:val="p"/>
                                  </m:rPr>
                                  <w:rPr>
                                    <w:rFonts w:ascii="Cambria Math" w:hAnsi="Cambria Math" w:cs="Times New Roman"/>
                                    <w:sz w:val="24"/>
                                    <w:szCs w:val="24"/>
                                    <w:lang w:eastAsia="ko-KR"/>
                                  </w:rPr>
                                  <m:t>Ω</m:t>
                                </m:r>
                              </m:e>
                              <m:sub>
                                <m:r>
                                  <w:rPr>
                                    <w:rFonts w:ascii="Cambria Math" w:hAnsi="Cambria Math" w:cs="Times New Roman"/>
                                    <w:sz w:val="24"/>
                                    <w:szCs w:val="24"/>
                                    <w:lang w:eastAsia="ko-KR"/>
                                  </w:rPr>
                                  <m:t>h</m:t>
                                </m:r>
                              </m:sub>
                            </m:sSub>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nary>
                              <m:naryPr>
                                <m:chr m:val="∑"/>
                                <m:limLoc m:val="undOvr"/>
                                <m:subHide m:val="1"/>
                                <m:supHide m:val="1"/>
                                <m:ctrlPr>
                                  <w:rPr>
                                    <w:rFonts w:ascii="Cambria Math" w:hAnsi="Cambria Math" w:cs="Times New Roman"/>
                                    <w:i/>
                                    <w:sz w:val="24"/>
                                    <w:szCs w:val="24"/>
                                    <w:lang w:eastAsia="ko-KR"/>
                                  </w:rPr>
                                </m:ctrlPr>
                              </m:naryPr>
                              <m:sub/>
                              <m:sup/>
                              <m:e>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e>
                            </m:nary>
                            <m:sSub>
                              <m:sSubPr>
                                <m:ctrlPr>
                                  <w:rPr>
                                    <w:rFonts w:ascii="Cambria Math" w:hAnsi="Cambria Math" w:cs="Times New Roman"/>
                                    <w:i/>
                                    <w:sz w:val="24"/>
                                    <w:szCs w:val="24"/>
                                    <w:lang w:eastAsia="ko-KR"/>
                                  </w:rPr>
                                </m:ctrlPr>
                              </m:sSubPr>
                              <m:e>
                                <m:r>
                                  <w:rPr>
                                    <w:rFonts w:ascii="Cambria Math" w:hAnsi="Cambria Math" w:cs="Times New Roman"/>
                                    <w:sz w:val="24"/>
                                    <w:szCs w:val="24"/>
                                    <w:lang w:eastAsia="ko-KR"/>
                                  </w:rPr>
                                  <m:t>e</m:t>
                                </m:r>
                              </m:e>
                              <m:sub>
                                <m:r>
                                  <w:rPr>
                                    <w:rFonts w:ascii="Cambria Math" w:hAnsi="Cambria Math" w:cs="Times New Roman"/>
                                    <w:sz w:val="24"/>
                                    <w:szCs w:val="24"/>
                                    <w:lang w:eastAsia="ko-KR"/>
                                  </w:rPr>
                                  <m:t>j</m:t>
                                </m:r>
                              </m:sub>
                            </m:sSub>
                          </m:e>
                        </m:d>
                      </m:e>
                      <m:sup>
                        <m:r>
                          <w:rPr>
                            <w:rFonts w:ascii="Cambria Math" w:hAnsi="Cambria Math" w:cs="Times New Roman"/>
                            <w:sz w:val="24"/>
                            <w:szCs w:val="24"/>
                            <w:lang w:eastAsia="ko-KR"/>
                          </w:rPr>
                          <m:t>2</m:t>
                        </m:r>
                      </m:sup>
                    </m:sSup>
                  </m:e>
                </m:nary>
              </m:e>
            </m:nary>
          </m:num>
          <m:den>
            <m:nary>
              <m:naryPr>
                <m:chr m:val="∑"/>
                <m:limLoc m:val="subSup"/>
                <m:ctrlPr>
                  <w:rPr>
                    <w:rFonts w:ascii="Cambria Math" w:hAnsi="Cambria Math" w:cs="Times New Roman"/>
                    <w:i/>
                    <w:sz w:val="24"/>
                    <w:szCs w:val="24"/>
                    <w:lang w:eastAsia="ko-KR"/>
                  </w:rPr>
                </m:ctrlPr>
              </m:naryPr>
              <m:sub>
                <m:r>
                  <w:rPr>
                    <w:rFonts w:ascii="Cambria Math" w:hAnsi="Cambria Math" w:cs="Times New Roman"/>
                    <w:sz w:val="24"/>
                    <w:szCs w:val="24"/>
                    <w:lang w:eastAsia="ko-KR"/>
                  </w:rPr>
                  <m:t>h=0</m:t>
                </m:r>
              </m:sub>
              <m:sup>
                <m:r>
                  <w:rPr>
                    <w:rFonts w:ascii="Cambria Math" w:hAnsi="Cambria Math" w:cs="Times New Roman"/>
                    <w:sz w:val="24"/>
                    <w:szCs w:val="24"/>
                    <w:lang w:eastAsia="ko-KR"/>
                  </w:rPr>
                  <m:t>H-1</m:t>
                </m:r>
              </m:sup>
              <m:e>
                <m:d>
                  <m:dPr>
                    <m:ctrlPr>
                      <w:rPr>
                        <w:rFonts w:ascii="Cambria Math" w:hAnsi="Cambria Math" w:cs="Times New Roman"/>
                        <w:i/>
                        <w:sz w:val="24"/>
                        <w:szCs w:val="24"/>
                        <w:lang w:eastAsia="ko-KR"/>
                      </w:rPr>
                    </m:ctrlPr>
                  </m:dPr>
                  <m:e>
                    <m:sSubSup>
                      <m:sSubSupPr>
                        <m:ctrlPr>
                          <w:rPr>
                            <w:rFonts w:ascii="Cambria Math" w:hAnsi="Cambria Math" w:cs="Times New Roman"/>
                            <w:i/>
                            <w:sz w:val="24"/>
                            <w:szCs w:val="24"/>
                            <w:lang w:eastAsia="ko-KR"/>
                          </w:rPr>
                        </m:ctrlPr>
                      </m:sSubSupPr>
                      <m:e>
                        <m:r>
                          <w:rPr>
                            <w:rFonts w:ascii="Cambria Math" w:hAnsi="Cambria Math" w:cs="Times New Roman"/>
                            <w:sz w:val="24"/>
                            <w:szCs w:val="24"/>
                            <w:lang w:eastAsia="ko-KR"/>
                          </w:rPr>
                          <m:t>e</m:t>
                        </m:r>
                      </m:e>
                      <m:sub>
                        <m:r>
                          <w:rPr>
                            <w:rFonts w:ascii="Cambria Math" w:hAnsi="Cambria Math" w:cs="Times New Roman"/>
                            <w:sz w:val="24"/>
                            <w:szCs w:val="24"/>
                            <w:lang w:eastAsia="ko-KR"/>
                          </w:rPr>
                          <m:t>i</m:t>
                        </m:r>
                      </m:sub>
                      <m:sup>
                        <m:r>
                          <w:rPr>
                            <w:rFonts w:ascii="Cambria Math" w:hAnsi="Cambria Math" w:cs="Times New Roman"/>
                            <w:sz w:val="24"/>
                            <w:szCs w:val="24"/>
                            <w:lang w:eastAsia="ko-KR"/>
                          </w:rPr>
                          <m:t>'</m:t>
                        </m:r>
                      </m:sup>
                    </m:sSubSup>
                    <m:sSub>
                      <m:sSubPr>
                        <m:ctrlPr>
                          <w:rPr>
                            <w:rFonts w:ascii="Cambria Math" w:hAnsi="Cambria Math" w:cs="Times New Roman"/>
                            <w:i/>
                            <w:sz w:val="24"/>
                            <w:szCs w:val="24"/>
                            <w:lang w:eastAsia="ko-KR"/>
                          </w:rPr>
                        </m:ctrlPr>
                      </m:sSubPr>
                      <m:e>
                        <m:r>
                          <m:rPr>
                            <m:sty m:val="p"/>
                          </m:rPr>
                          <w:rPr>
                            <w:rFonts w:ascii="Cambria Math" w:hAnsi="Cambria Math" w:cs="Times New Roman"/>
                            <w:sz w:val="24"/>
                            <w:szCs w:val="24"/>
                            <w:lang w:eastAsia="ko-KR"/>
                          </w:rPr>
                          <m:t>Ω</m:t>
                        </m:r>
                      </m:e>
                      <m:sub>
                        <m:r>
                          <w:rPr>
                            <w:rFonts w:ascii="Cambria Math" w:hAnsi="Cambria Math" w:cs="Times New Roman"/>
                            <w:sz w:val="24"/>
                            <w:szCs w:val="24"/>
                            <w:lang w:eastAsia="ko-KR"/>
                          </w:rPr>
                          <m:t>h</m:t>
                        </m:r>
                      </m:sub>
                    </m:sSub>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nary>
                      <m:naryPr>
                        <m:chr m:val="∑"/>
                        <m:limLoc m:val="undOvr"/>
                        <m:subHide m:val="1"/>
                        <m:supHide m:val="1"/>
                        <m:ctrlPr>
                          <w:rPr>
                            <w:rFonts w:ascii="Cambria Math" w:hAnsi="Cambria Math" w:cs="Times New Roman"/>
                            <w:i/>
                            <w:sz w:val="24"/>
                            <w:szCs w:val="24"/>
                            <w:lang w:eastAsia="ko-KR"/>
                          </w:rPr>
                        </m:ctrlPr>
                      </m:naryPr>
                      <m:sub/>
                      <m:sup/>
                      <m:e>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sSub>
                          <m:sSubPr>
                            <m:ctrlPr>
                              <w:rPr>
                                <w:rFonts w:ascii="Cambria Math" w:hAnsi="Cambria Math" w:cs="Times New Roman"/>
                                <w:i/>
                                <w:sz w:val="24"/>
                                <w:szCs w:val="24"/>
                                <w:lang w:eastAsia="ko-KR"/>
                              </w:rPr>
                            </m:ctrlPr>
                          </m:sSubPr>
                          <m:e>
                            <m:r>
                              <m:rPr>
                                <m:sty m:val="p"/>
                              </m:rPr>
                              <w:rPr>
                                <w:rFonts w:ascii="Cambria Math" w:hAnsi="Cambria Math" w:cs="Times New Roman"/>
                                <w:sz w:val="24"/>
                                <w:szCs w:val="24"/>
                                <w:lang w:eastAsia="ko-KR"/>
                              </w:rPr>
                              <m:t>Ω</m:t>
                            </m:r>
                          </m:e>
                          <m:sub>
                            <m:r>
                              <w:rPr>
                                <w:rFonts w:ascii="Cambria Math" w:hAnsi="Cambria Math" w:cs="Times New Roman"/>
                                <w:sz w:val="24"/>
                                <w:szCs w:val="24"/>
                                <w:lang w:eastAsia="ko-KR"/>
                              </w:rPr>
                              <m:t>h</m:t>
                            </m:r>
                          </m:sub>
                        </m:sSub>
                        <m:sSup>
                          <m:sSupPr>
                            <m:ctrlPr>
                              <w:rPr>
                                <w:rFonts w:ascii="Cambria Math" w:hAnsi="Cambria Math" w:cs="Times New Roman"/>
                                <w:i/>
                                <w:sz w:val="24"/>
                                <w:szCs w:val="24"/>
                                <w:lang w:eastAsia="ko-KR"/>
                              </w:rPr>
                            </m:ctrlPr>
                          </m:sSupPr>
                          <m:e>
                            <m:d>
                              <m:dPr>
                                <m:ctrlPr>
                                  <w:rPr>
                                    <w:rFonts w:ascii="Cambria Math" w:hAnsi="Cambria Math" w:cs="Times New Roman"/>
                                    <w:i/>
                                    <w:sz w:val="24"/>
                                    <w:szCs w:val="24"/>
                                    <w:lang w:eastAsia="ko-KR"/>
                                  </w:rPr>
                                </m:ctrlPr>
                              </m:dPr>
                              <m:e>
                                <m:r>
                                  <w:rPr>
                                    <w:rFonts w:ascii="Cambria Math" w:hAnsi="Cambria Math" w:cs="Times New Roman"/>
                                    <w:sz w:val="24"/>
                                    <w:szCs w:val="24"/>
                                    <w:lang w:eastAsia="ko-KR"/>
                                  </w:rPr>
                                  <m:t>τ</m:t>
                                </m:r>
                              </m:e>
                            </m:d>
                          </m:e>
                          <m:sup>
                            <m:r>
                              <w:rPr>
                                <w:rFonts w:ascii="Cambria Math" w:hAnsi="Cambria Math" w:cs="Times New Roman"/>
                                <w:sz w:val="24"/>
                                <w:szCs w:val="24"/>
                                <w:lang w:eastAsia="ko-KR"/>
                              </w:rPr>
                              <m:t>'</m:t>
                            </m:r>
                          </m:sup>
                        </m:sSup>
                        <m:sSub>
                          <m:sSubPr>
                            <m:ctrlPr>
                              <w:rPr>
                                <w:rFonts w:ascii="Cambria Math" w:hAnsi="Cambria Math" w:cs="Times New Roman"/>
                                <w:i/>
                                <w:sz w:val="24"/>
                                <w:szCs w:val="24"/>
                                <w:lang w:eastAsia="ko-KR"/>
                              </w:rPr>
                            </m:ctrlPr>
                          </m:sSubPr>
                          <m:e>
                            <m:r>
                              <w:rPr>
                                <w:rFonts w:ascii="Cambria Math" w:hAnsi="Cambria Math" w:cs="Times New Roman"/>
                                <w:sz w:val="24"/>
                                <w:szCs w:val="24"/>
                                <w:lang w:eastAsia="ko-KR"/>
                              </w:rPr>
                              <m:t>e</m:t>
                            </m:r>
                          </m:e>
                          <m:sub>
                            <m:r>
                              <w:rPr>
                                <w:rFonts w:ascii="Cambria Math" w:hAnsi="Cambria Math" w:cs="Times New Roman"/>
                                <w:sz w:val="24"/>
                                <w:szCs w:val="24"/>
                                <w:lang w:eastAsia="ko-KR"/>
                              </w:rPr>
                              <m:t>i</m:t>
                            </m:r>
                          </m:sub>
                        </m:sSub>
                      </m:e>
                    </m:nary>
                  </m:e>
                </m:d>
              </m:e>
            </m:nary>
          </m:den>
        </m:f>
      </m:oMath>
      <w:r w:rsidR="001B46C5" w:rsidRPr="008F511F">
        <w:rPr>
          <w:rFonts w:ascii="Times New Roman" w:hAnsi="Times New Roman" w:cs="Times New Roman" w:hint="eastAsia"/>
          <w:sz w:val="24"/>
          <w:szCs w:val="24"/>
          <w:lang w:eastAsia="ko-KR"/>
        </w:rPr>
        <w:t xml:space="preserve"> </w:t>
      </w:r>
      <w:r w:rsidR="001B46C5" w:rsidRPr="008F511F">
        <w:rPr>
          <w:rFonts w:ascii="Times New Roman" w:hAnsi="Times New Roman" w:cs="Times New Roman"/>
          <w:sz w:val="24"/>
          <w:szCs w:val="24"/>
          <w:lang w:eastAsia="ko-KR"/>
        </w:rPr>
        <w:t xml:space="preserve">                                                </w:t>
      </w:r>
      <w:r w:rsidR="00712A6A" w:rsidRPr="008F511F">
        <w:rPr>
          <w:rFonts w:ascii="Times New Roman" w:hAnsi="Times New Roman" w:cs="Times New Roman"/>
          <w:sz w:val="24"/>
          <w:szCs w:val="24"/>
          <w:lang w:eastAsia="ko-KR"/>
        </w:rPr>
        <w:t xml:space="preserve">                         </w:t>
      </w:r>
      <w:r w:rsidR="001B46C5" w:rsidRPr="008F511F">
        <w:rPr>
          <w:rFonts w:ascii="Times New Roman" w:hAnsi="Times New Roman" w:cs="Times New Roman"/>
          <w:sz w:val="24"/>
          <w:szCs w:val="24"/>
          <w:lang w:eastAsia="ko-KR"/>
        </w:rPr>
        <w:t xml:space="preserve">        (2)</w:t>
      </w:r>
    </w:p>
    <w:p w14:paraId="1A7DF9AA" w14:textId="1A3F80E6" w:rsidR="001B46C5" w:rsidRPr="008F511F" w:rsidRDefault="001B46C5" w:rsidP="00BD21A4">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w</w:t>
      </w:r>
      <w:r w:rsidRPr="008F511F">
        <w:rPr>
          <w:rFonts w:ascii="Times New Roman" w:hAnsi="Times New Roman" w:cs="Times New Roman" w:hint="eastAsia"/>
          <w:sz w:val="24"/>
          <w:szCs w:val="24"/>
          <w:lang w:eastAsia="ko-KR"/>
        </w:rPr>
        <w:t>h</w:t>
      </w:r>
      <w:r w:rsidRPr="008F511F">
        <w:rPr>
          <w:rFonts w:ascii="Times New Roman" w:hAnsi="Times New Roman" w:cs="Times New Roman"/>
          <w:sz w:val="24"/>
          <w:szCs w:val="24"/>
          <w:lang w:eastAsia="ko-KR"/>
        </w:rPr>
        <w:t xml:space="preserve">ere </w:t>
      </w: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e</m:t>
            </m:r>
          </m:e>
          <m:sub>
            <m:r>
              <w:rPr>
                <w:rFonts w:ascii="Cambria Math" w:hAnsi="Cambria Math" w:cs="Times New Roman"/>
                <w:sz w:val="24"/>
                <w:szCs w:val="24"/>
                <w:lang w:eastAsia="ko-KR"/>
              </w:rPr>
              <m:t>i</m:t>
            </m:r>
          </m:sub>
        </m:sSub>
      </m:oMath>
      <w:r w:rsidRPr="008F511F">
        <w:rPr>
          <w:rFonts w:ascii="Times New Roman" w:hAnsi="Times New Roman" w:cs="Times New Roman" w:hint="eastAsia"/>
          <w:sz w:val="24"/>
          <w:szCs w:val="24"/>
          <w:lang w:eastAsia="ko-KR"/>
        </w:rPr>
        <w:t xml:space="preserve"> </w:t>
      </w:r>
      <w:r w:rsidR="00EB3CCC" w:rsidRPr="008F511F">
        <w:rPr>
          <w:rFonts w:ascii="Times New Roman" w:hAnsi="Times New Roman" w:cs="Times New Roman"/>
          <w:sz w:val="24"/>
          <w:szCs w:val="24"/>
          <w:lang w:eastAsia="ko-KR"/>
        </w:rPr>
        <w:t>denotes</w:t>
      </w:r>
      <w:r w:rsidRPr="008F511F">
        <w:rPr>
          <w:rFonts w:ascii="Times New Roman" w:hAnsi="Times New Roman" w:cs="Times New Roman" w:hint="eastAsia"/>
          <w:sz w:val="24"/>
          <w:szCs w:val="24"/>
          <w:lang w:eastAsia="ko-KR"/>
        </w:rPr>
        <w:t xml:space="preserve"> </w:t>
      </w:r>
      <w:r w:rsidRPr="008F511F">
        <w:rPr>
          <w:rFonts w:ascii="Times New Roman" w:hAnsi="Times New Roman" w:cs="Times New Roman"/>
          <w:sz w:val="24"/>
          <w:szCs w:val="24"/>
          <w:lang w:eastAsia="ko-KR"/>
        </w:rPr>
        <w:t>a zero vector with</w:t>
      </w:r>
      <w:r w:rsidR="00F73853" w:rsidRPr="008F511F">
        <w:rPr>
          <w:rFonts w:ascii="Times New Roman" w:hAnsi="Times New Roman" w:cs="Times New Roman"/>
          <w:sz w:val="24"/>
          <w:szCs w:val="24"/>
          <w:lang w:eastAsia="ko-KR"/>
        </w:rPr>
        <w:t xml:space="preserve"> the</w:t>
      </w:r>
      <w:r w:rsidRPr="008F511F">
        <w:rPr>
          <w:rFonts w:ascii="Times New Roman" w:hAnsi="Times New Roman" w:cs="Times New Roman"/>
          <w:sz w:val="24"/>
          <w:szCs w:val="24"/>
          <w:lang w:eastAsia="ko-KR"/>
        </w:rPr>
        <w:t xml:space="preserve"> unity on </w:t>
      </w:r>
      <m:oMath>
        <m:r>
          <m:rPr>
            <m:sty m:val="p"/>
          </m:rPr>
          <w:rPr>
            <w:rFonts w:ascii="Cambria Math" w:hAnsi="Cambria Math" w:cs="Times New Roman"/>
            <w:sz w:val="24"/>
            <w:szCs w:val="24"/>
            <w:lang w:eastAsia="ko-KR"/>
          </w:rPr>
          <m:t>i</m:t>
        </m:r>
      </m:oMath>
      <w:r w:rsidRPr="008F511F">
        <w:rPr>
          <w:rFonts w:ascii="Times New Roman" w:hAnsi="Times New Roman" w:cs="Times New Roman" w:hint="eastAsia"/>
          <w:sz w:val="24"/>
          <w:szCs w:val="24"/>
          <w:lang w:eastAsia="ko-KR"/>
        </w:rPr>
        <w:t xml:space="preserve">th position. </w:t>
      </w:r>
      <w:r w:rsidR="00F73853" w:rsidRPr="008F511F">
        <w:rPr>
          <w:rFonts w:ascii="Times New Roman" w:hAnsi="Times New Roman" w:cs="Times New Roman"/>
          <w:sz w:val="24"/>
          <w:szCs w:val="24"/>
          <w:lang w:eastAsia="ko-KR"/>
        </w:rPr>
        <w:t xml:space="preserve">In the de-composition matrix, the normalization of </w:t>
      </w:r>
      <w:r w:rsidR="006E011F" w:rsidRPr="008F511F">
        <w:rPr>
          <w:rFonts w:ascii="Times New Roman" w:hAnsi="Times New Roman" w:cs="Times New Roman"/>
          <w:sz w:val="24"/>
          <w:szCs w:val="24"/>
          <w:lang w:eastAsia="ko-KR"/>
        </w:rPr>
        <w:t>elements is given as</w:t>
      </w:r>
      <w:r w:rsidRPr="008F511F">
        <w:rPr>
          <w:rFonts w:ascii="Times New Roman" w:hAnsi="Times New Roman" w:cs="Times New Roman"/>
          <w:sz w:val="24"/>
          <w:szCs w:val="24"/>
          <w:lang w:eastAsia="ko-KR"/>
        </w:rPr>
        <w:t>:</w:t>
      </w:r>
    </w:p>
    <w:p w14:paraId="6DDFA288" w14:textId="3958DEF0" w:rsidR="001B46C5" w:rsidRPr="008F511F" w:rsidRDefault="008F511F" w:rsidP="00BD21A4">
      <w:pPr>
        <w:spacing w:before="240" w:line="360" w:lineRule="auto"/>
        <w:ind w:firstLine="709"/>
        <w:rPr>
          <w:rFonts w:ascii="Times New Roman" w:hAnsi="Times New Roman" w:cs="Times New Roman"/>
          <w:sz w:val="24"/>
          <w:szCs w:val="24"/>
          <w:lang w:eastAsia="ko-KR"/>
        </w:rPr>
      </w:pPr>
      <m:oMath>
        <m:sSubSup>
          <m:sSubSupPr>
            <m:ctrlPr>
              <w:rPr>
                <w:rFonts w:ascii="Cambria Math" w:hAnsi="Cambria Math" w:cs="Times New Roman"/>
                <w:sz w:val="24"/>
                <w:szCs w:val="24"/>
                <w:lang w:eastAsia="ko-KR"/>
              </w:rPr>
            </m:ctrlPr>
          </m:sSubSupPr>
          <m:e>
            <m:acc>
              <m:accPr>
                <m:chr m:val="̃"/>
                <m:ctrlPr>
                  <w:rPr>
                    <w:rFonts w:ascii="Cambria Math" w:hAnsi="Cambria Math" w:cs="Times New Roman"/>
                    <w:i/>
                    <w:sz w:val="24"/>
                    <w:szCs w:val="24"/>
                    <w:lang w:eastAsia="ko-KR"/>
                  </w:rPr>
                </m:ctrlPr>
              </m:accPr>
              <m:e>
                <m:r>
                  <m:rPr>
                    <m:sty m:val="p"/>
                  </m:rPr>
                  <w:rPr>
                    <w:rFonts w:ascii="Cambria Math" w:hAnsi="Cambria Math" w:cs="Times New Roman"/>
                    <w:sz w:val="24"/>
                    <w:szCs w:val="24"/>
                    <w:lang w:eastAsia="ko-KR"/>
                  </w:rPr>
                  <m:t>Θ</m:t>
                </m:r>
              </m:e>
            </m:acc>
          </m:e>
          <m:sub>
            <m:r>
              <w:rPr>
                <w:rFonts w:ascii="Cambria Math" w:hAnsi="Cambria Math" w:cs="Times New Roman"/>
                <w:sz w:val="24"/>
                <w:szCs w:val="24"/>
                <w:lang w:eastAsia="ko-KR"/>
              </w:rPr>
              <m:t>ij</m:t>
            </m:r>
          </m:sub>
          <m:sup>
            <m:r>
              <w:rPr>
                <w:rFonts w:ascii="Cambria Math" w:hAnsi="Cambria Math" w:cs="Times New Roman"/>
                <w:sz w:val="24"/>
                <w:szCs w:val="24"/>
                <w:lang w:eastAsia="ko-KR"/>
              </w:rPr>
              <m:t>g</m:t>
            </m:r>
          </m:sup>
        </m:sSubSup>
        <m:d>
          <m:dPr>
            <m:ctrlPr>
              <w:rPr>
                <w:rFonts w:ascii="Cambria Math" w:hAnsi="Cambria Math" w:cs="Times New Roman"/>
                <w:i/>
                <w:sz w:val="24"/>
                <w:szCs w:val="24"/>
                <w:lang w:eastAsia="ko-KR"/>
              </w:rPr>
            </m:ctrlPr>
          </m:dPr>
          <m:e>
            <m:r>
              <w:rPr>
                <w:rFonts w:ascii="Cambria Math" w:hAnsi="Cambria Math" w:cs="Times New Roman"/>
                <w:sz w:val="24"/>
                <w:szCs w:val="24"/>
                <w:lang w:eastAsia="ko-KR"/>
              </w:rPr>
              <m:t>H</m:t>
            </m:r>
          </m:e>
        </m:d>
        <m:r>
          <w:rPr>
            <w:rFonts w:ascii="Cambria Math" w:hAnsi="Cambria Math" w:cs="Times New Roman"/>
            <w:sz w:val="24"/>
            <w:szCs w:val="24"/>
            <w:lang w:eastAsia="ko-KR"/>
          </w:rPr>
          <m:t>=</m:t>
        </m:r>
        <m:f>
          <m:fPr>
            <m:ctrlPr>
              <w:rPr>
                <w:rFonts w:ascii="Cambria Math" w:hAnsi="Cambria Math" w:cs="Times New Roman"/>
                <w:i/>
                <w:sz w:val="24"/>
                <w:szCs w:val="24"/>
                <w:lang w:eastAsia="ko-KR"/>
              </w:rPr>
            </m:ctrlPr>
          </m:fPr>
          <m:num>
            <m:sSubSup>
              <m:sSubSupPr>
                <m:ctrlPr>
                  <w:rPr>
                    <w:rFonts w:ascii="Cambria Math" w:hAnsi="Cambria Math" w:cs="Times New Roman"/>
                    <w:i/>
                    <w:sz w:val="24"/>
                    <w:szCs w:val="24"/>
                    <w:lang w:eastAsia="ko-KR"/>
                  </w:rPr>
                </m:ctrlPr>
              </m:sSubSupPr>
              <m:e>
                <m:r>
                  <m:rPr>
                    <m:sty m:val="p"/>
                  </m:rPr>
                  <w:rPr>
                    <w:rFonts w:ascii="Cambria Math" w:hAnsi="Cambria Math" w:cs="Times New Roman"/>
                    <w:sz w:val="24"/>
                    <w:szCs w:val="24"/>
                    <w:lang w:eastAsia="ko-KR"/>
                  </w:rPr>
                  <m:t>Θ</m:t>
                </m:r>
              </m:e>
              <m:sub>
                <m:r>
                  <w:rPr>
                    <w:rFonts w:ascii="Cambria Math" w:hAnsi="Cambria Math" w:cs="Times New Roman"/>
                    <w:sz w:val="24"/>
                    <w:szCs w:val="24"/>
                    <w:lang w:eastAsia="ko-KR"/>
                  </w:rPr>
                  <m:t>ij</m:t>
                </m:r>
              </m:sub>
              <m:sup>
                <m:r>
                  <w:rPr>
                    <w:rFonts w:ascii="Cambria Math" w:hAnsi="Cambria Math" w:cs="Times New Roman"/>
                    <w:sz w:val="24"/>
                    <w:szCs w:val="24"/>
                    <w:lang w:eastAsia="ko-KR"/>
                  </w:rPr>
                  <m:t>g</m:t>
                </m:r>
              </m:sup>
            </m:sSubSup>
            <m:d>
              <m:dPr>
                <m:ctrlPr>
                  <w:rPr>
                    <w:rFonts w:ascii="Cambria Math" w:hAnsi="Cambria Math" w:cs="Times New Roman"/>
                    <w:i/>
                    <w:sz w:val="24"/>
                    <w:szCs w:val="24"/>
                    <w:lang w:eastAsia="ko-KR"/>
                  </w:rPr>
                </m:ctrlPr>
              </m:dPr>
              <m:e>
                <m:r>
                  <w:rPr>
                    <w:rFonts w:ascii="Cambria Math" w:hAnsi="Cambria Math" w:cs="Times New Roman"/>
                    <w:sz w:val="24"/>
                    <w:szCs w:val="24"/>
                    <w:lang w:eastAsia="ko-KR"/>
                  </w:rPr>
                  <m:t>H</m:t>
                </m:r>
              </m:e>
            </m:d>
          </m:num>
          <m:den>
            <m:nary>
              <m:naryPr>
                <m:chr m:val="∑"/>
                <m:limLoc m:val="subSup"/>
                <m:ctrlPr>
                  <w:rPr>
                    <w:rFonts w:ascii="Cambria Math" w:hAnsi="Cambria Math" w:cs="Times New Roman"/>
                    <w:i/>
                    <w:sz w:val="24"/>
                    <w:szCs w:val="24"/>
                    <w:lang w:eastAsia="ko-KR"/>
                  </w:rPr>
                </m:ctrlPr>
              </m:naryPr>
              <m:sub>
                <m:r>
                  <w:rPr>
                    <w:rFonts w:ascii="Cambria Math" w:hAnsi="Cambria Math" w:cs="Times New Roman"/>
                    <w:sz w:val="24"/>
                    <w:szCs w:val="24"/>
                    <w:lang w:eastAsia="ko-KR"/>
                  </w:rPr>
                  <m:t>j=1</m:t>
                </m:r>
              </m:sub>
              <m:sup>
                <m:r>
                  <w:rPr>
                    <w:rFonts w:ascii="Cambria Math" w:hAnsi="Cambria Math" w:cs="Times New Roman"/>
                    <w:sz w:val="24"/>
                    <w:szCs w:val="24"/>
                    <w:lang w:eastAsia="ko-KR"/>
                  </w:rPr>
                  <m:t>k</m:t>
                </m:r>
              </m:sup>
              <m:e>
                <m:sSubSup>
                  <m:sSubSupPr>
                    <m:ctrlPr>
                      <w:rPr>
                        <w:rFonts w:ascii="Cambria Math" w:hAnsi="Cambria Math" w:cs="Times New Roman"/>
                        <w:i/>
                        <w:sz w:val="24"/>
                        <w:szCs w:val="24"/>
                        <w:lang w:eastAsia="ko-KR"/>
                      </w:rPr>
                    </m:ctrlPr>
                  </m:sSubSupPr>
                  <m:e>
                    <m:r>
                      <m:rPr>
                        <m:sty m:val="p"/>
                      </m:rPr>
                      <w:rPr>
                        <w:rFonts w:ascii="Cambria Math" w:hAnsi="Cambria Math" w:cs="Times New Roman"/>
                        <w:sz w:val="24"/>
                        <w:szCs w:val="24"/>
                        <w:lang w:eastAsia="ko-KR"/>
                      </w:rPr>
                      <m:t>Θ</m:t>
                    </m:r>
                  </m:e>
                  <m:sub>
                    <m:r>
                      <w:rPr>
                        <w:rFonts w:ascii="Cambria Math" w:hAnsi="Cambria Math" w:cs="Times New Roman"/>
                        <w:sz w:val="24"/>
                        <w:szCs w:val="24"/>
                        <w:lang w:eastAsia="ko-KR"/>
                      </w:rPr>
                      <m:t>ij</m:t>
                    </m:r>
                  </m:sub>
                  <m:sup>
                    <m:r>
                      <w:rPr>
                        <w:rFonts w:ascii="Cambria Math" w:hAnsi="Cambria Math" w:cs="Times New Roman"/>
                        <w:sz w:val="24"/>
                        <w:szCs w:val="24"/>
                        <w:lang w:eastAsia="ko-KR"/>
                      </w:rPr>
                      <m:t>g</m:t>
                    </m:r>
                  </m:sup>
                </m:sSubSup>
                <m:d>
                  <m:dPr>
                    <m:ctrlPr>
                      <w:rPr>
                        <w:rFonts w:ascii="Cambria Math" w:hAnsi="Cambria Math" w:cs="Times New Roman"/>
                        <w:i/>
                        <w:sz w:val="24"/>
                        <w:szCs w:val="24"/>
                        <w:lang w:eastAsia="ko-KR"/>
                      </w:rPr>
                    </m:ctrlPr>
                  </m:dPr>
                  <m:e>
                    <m:r>
                      <w:rPr>
                        <w:rFonts w:ascii="Cambria Math" w:hAnsi="Cambria Math" w:cs="Times New Roman"/>
                        <w:sz w:val="24"/>
                        <w:szCs w:val="24"/>
                        <w:lang w:eastAsia="ko-KR"/>
                      </w:rPr>
                      <m:t>H</m:t>
                    </m:r>
                  </m:e>
                </m:d>
              </m:e>
            </m:nary>
          </m:den>
        </m:f>
      </m:oMath>
      <w:r w:rsidR="001B46C5" w:rsidRPr="008F511F">
        <w:rPr>
          <w:rFonts w:ascii="Times New Roman" w:hAnsi="Times New Roman" w:cs="Times New Roman" w:hint="eastAsia"/>
          <w:sz w:val="24"/>
          <w:szCs w:val="24"/>
          <w:lang w:eastAsia="ko-KR"/>
        </w:rPr>
        <w:t xml:space="preserve"> , </w:t>
      </w:r>
      <w:r w:rsidR="001B46C5" w:rsidRPr="008F511F">
        <w:rPr>
          <w:rFonts w:ascii="Times New Roman" w:hAnsi="Times New Roman" w:cs="Times New Roman"/>
          <w:sz w:val="24"/>
          <w:szCs w:val="24"/>
          <w:lang w:eastAsia="ko-KR"/>
        </w:rPr>
        <w:t xml:space="preserve">with </w:t>
      </w:r>
      <m:oMath>
        <m:nary>
          <m:naryPr>
            <m:chr m:val="∑"/>
            <m:limLoc m:val="subSup"/>
            <m:ctrlPr>
              <w:rPr>
                <w:rFonts w:ascii="Cambria Math" w:hAnsi="Cambria Math" w:cs="Times New Roman"/>
                <w:sz w:val="24"/>
                <w:szCs w:val="24"/>
                <w:lang w:eastAsia="ko-KR"/>
              </w:rPr>
            </m:ctrlPr>
          </m:naryPr>
          <m:sub>
            <m:r>
              <w:rPr>
                <w:rFonts w:ascii="Cambria Math" w:hAnsi="Cambria Math" w:cs="Times New Roman"/>
                <w:sz w:val="24"/>
                <w:szCs w:val="24"/>
                <w:lang w:eastAsia="ko-KR"/>
              </w:rPr>
              <m:t>j=1</m:t>
            </m:r>
          </m:sub>
          <m:sup>
            <m:r>
              <w:rPr>
                <w:rFonts w:ascii="Cambria Math" w:hAnsi="Cambria Math" w:cs="Times New Roman"/>
                <w:sz w:val="24"/>
                <w:szCs w:val="24"/>
                <w:lang w:eastAsia="ko-KR"/>
              </w:rPr>
              <m:t>k</m:t>
            </m:r>
          </m:sup>
          <m:e>
            <m:sSubSup>
              <m:sSubSupPr>
                <m:ctrlPr>
                  <w:rPr>
                    <w:rFonts w:ascii="Cambria Math" w:hAnsi="Cambria Math" w:cs="Times New Roman"/>
                    <w:i/>
                    <w:sz w:val="24"/>
                    <w:szCs w:val="24"/>
                    <w:lang w:eastAsia="ko-KR"/>
                  </w:rPr>
                </m:ctrlPr>
              </m:sSubSupPr>
              <m:e>
                <m:acc>
                  <m:accPr>
                    <m:chr m:val="̃"/>
                    <m:ctrlPr>
                      <w:rPr>
                        <w:rFonts w:ascii="Cambria Math" w:hAnsi="Cambria Math" w:cs="Times New Roman"/>
                        <w:i/>
                        <w:sz w:val="24"/>
                        <w:szCs w:val="24"/>
                        <w:lang w:eastAsia="ko-KR"/>
                      </w:rPr>
                    </m:ctrlPr>
                  </m:accPr>
                  <m:e>
                    <m:r>
                      <m:rPr>
                        <m:sty m:val="p"/>
                      </m:rPr>
                      <w:rPr>
                        <w:rFonts w:ascii="Cambria Math" w:hAnsi="Cambria Math" w:cs="Times New Roman"/>
                        <w:sz w:val="24"/>
                        <w:szCs w:val="24"/>
                        <w:lang w:eastAsia="ko-KR"/>
                      </w:rPr>
                      <m:t>Θ</m:t>
                    </m:r>
                  </m:e>
                </m:acc>
              </m:e>
              <m:sub>
                <m:r>
                  <w:rPr>
                    <w:rFonts w:ascii="Cambria Math" w:hAnsi="Cambria Math" w:cs="Times New Roman"/>
                    <w:sz w:val="24"/>
                    <w:szCs w:val="24"/>
                    <w:lang w:eastAsia="ko-KR"/>
                  </w:rPr>
                  <m:t>ij</m:t>
                </m:r>
              </m:sub>
              <m:sup>
                <m:r>
                  <w:rPr>
                    <w:rFonts w:ascii="Cambria Math" w:hAnsi="Cambria Math" w:cs="Times New Roman"/>
                    <w:sz w:val="24"/>
                    <w:szCs w:val="24"/>
                    <w:lang w:eastAsia="ko-KR"/>
                  </w:rPr>
                  <m:t>g</m:t>
                </m:r>
              </m:sup>
            </m:sSubSup>
            <m:r>
              <w:rPr>
                <w:rFonts w:ascii="Cambria Math" w:hAnsi="Cambria Math" w:cs="Times New Roman"/>
                <w:sz w:val="24"/>
                <w:szCs w:val="24"/>
                <w:lang w:eastAsia="ko-KR"/>
              </w:rPr>
              <m:t>.1</m:t>
            </m:r>
          </m:e>
        </m:nary>
      </m:oMath>
      <w:r w:rsidR="001B46C5" w:rsidRPr="008F511F">
        <w:rPr>
          <w:rFonts w:ascii="Times New Roman" w:hAnsi="Times New Roman" w:cs="Times New Roman" w:hint="eastAsia"/>
          <w:sz w:val="24"/>
          <w:szCs w:val="24"/>
          <w:lang w:eastAsia="ko-KR"/>
        </w:rPr>
        <w:t xml:space="preserve"> and </w:t>
      </w:r>
      <m:oMath>
        <m:nary>
          <m:naryPr>
            <m:chr m:val="∑"/>
            <m:limLoc m:val="subSup"/>
            <m:ctrlPr>
              <w:rPr>
                <w:rFonts w:ascii="Cambria Math" w:hAnsi="Cambria Math" w:cs="Times New Roman"/>
                <w:sz w:val="24"/>
                <w:szCs w:val="24"/>
                <w:lang w:eastAsia="ko-KR"/>
              </w:rPr>
            </m:ctrlPr>
          </m:naryPr>
          <m:sub>
            <m:r>
              <w:rPr>
                <w:rFonts w:ascii="Cambria Math" w:hAnsi="Cambria Math" w:cs="Times New Roman"/>
                <w:sz w:val="24"/>
                <w:szCs w:val="24"/>
                <w:lang w:eastAsia="ko-KR"/>
              </w:rPr>
              <m:t>i,j=1</m:t>
            </m:r>
          </m:sub>
          <m:sup>
            <m:r>
              <w:rPr>
                <w:rFonts w:ascii="Cambria Math" w:hAnsi="Cambria Math" w:cs="Times New Roman"/>
                <w:sz w:val="24"/>
                <w:szCs w:val="24"/>
                <w:lang w:eastAsia="ko-KR"/>
              </w:rPr>
              <m:t>k</m:t>
            </m:r>
          </m:sup>
          <m:e>
            <m:sSubSup>
              <m:sSubSupPr>
                <m:ctrlPr>
                  <w:rPr>
                    <w:rFonts w:ascii="Cambria Math" w:hAnsi="Cambria Math" w:cs="Times New Roman"/>
                    <w:i/>
                    <w:sz w:val="24"/>
                    <w:szCs w:val="24"/>
                    <w:lang w:eastAsia="ko-KR"/>
                  </w:rPr>
                </m:ctrlPr>
              </m:sSubSupPr>
              <m:e>
                <m:acc>
                  <m:accPr>
                    <m:chr m:val="̃"/>
                    <m:ctrlPr>
                      <w:rPr>
                        <w:rFonts w:ascii="Cambria Math" w:hAnsi="Cambria Math" w:cs="Times New Roman"/>
                        <w:i/>
                        <w:sz w:val="24"/>
                        <w:szCs w:val="24"/>
                        <w:lang w:eastAsia="ko-KR"/>
                      </w:rPr>
                    </m:ctrlPr>
                  </m:accPr>
                  <m:e>
                    <m:r>
                      <m:rPr>
                        <m:sty m:val="p"/>
                      </m:rPr>
                      <w:rPr>
                        <w:rFonts w:ascii="Cambria Math" w:hAnsi="Cambria Math" w:cs="Times New Roman"/>
                        <w:sz w:val="24"/>
                        <w:szCs w:val="24"/>
                        <w:lang w:eastAsia="ko-KR"/>
                      </w:rPr>
                      <m:t>Θ</m:t>
                    </m:r>
                  </m:e>
                </m:acc>
              </m:e>
              <m:sub>
                <m:r>
                  <w:rPr>
                    <w:rFonts w:ascii="Cambria Math" w:hAnsi="Cambria Math" w:cs="Times New Roman"/>
                    <w:sz w:val="24"/>
                    <w:szCs w:val="24"/>
                    <w:lang w:eastAsia="ko-KR"/>
                  </w:rPr>
                  <m:t>ij</m:t>
                </m:r>
              </m:sub>
              <m:sup>
                <m:r>
                  <w:rPr>
                    <w:rFonts w:ascii="Cambria Math" w:hAnsi="Cambria Math" w:cs="Times New Roman"/>
                    <w:sz w:val="24"/>
                    <w:szCs w:val="24"/>
                    <w:lang w:eastAsia="ko-KR"/>
                  </w:rPr>
                  <m:t>g</m:t>
                </m:r>
              </m:sup>
            </m:sSubSup>
            <m:d>
              <m:dPr>
                <m:ctrlPr>
                  <w:rPr>
                    <w:rFonts w:ascii="Cambria Math" w:hAnsi="Cambria Math" w:cs="Times New Roman"/>
                    <w:i/>
                    <w:sz w:val="24"/>
                    <w:szCs w:val="24"/>
                    <w:lang w:eastAsia="ko-KR"/>
                  </w:rPr>
                </m:ctrlPr>
              </m:dPr>
              <m:e>
                <m:r>
                  <w:rPr>
                    <w:rFonts w:ascii="Cambria Math" w:hAnsi="Cambria Math" w:cs="Times New Roman"/>
                    <w:sz w:val="24"/>
                    <w:szCs w:val="24"/>
                    <w:lang w:eastAsia="ko-KR"/>
                  </w:rPr>
                  <m:t>H</m:t>
                </m:r>
              </m:e>
            </m:d>
            <m:r>
              <w:rPr>
                <w:rFonts w:ascii="Cambria Math" w:hAnsi="Cambria Math" w:cs="Times New Roman"/>
                <w:sz w:val="24"/>
                <w:szCs w:val="24"/>
                <w:lang w:eastAsia="ko-KR"/>
              </w:rPr>
              <m:t>=1</m:t>
            </m:r>
          </m:e>
        </m:nary>
        <m:r>
          <w:rPr>
            <w:rFonts w:ascii="Cambria Math" w:hAnsi="Cambria Math" w:cs="Times New Roman"/>
            <w:sz w:val="24"/>
            <w:szCs w:val="24"/>
            <w:lang w:eastAsia="ko-KR"/>
          </w:rPr>
          <m:t xml:space="preserve">  </m:t>
        </m:r>
      </m:oMath>
      <w:r w:rsidR="001B46C5" w:rsidRPr="008F511F">
        <w:rPr>
          <w:rFonts w:ascii="Times New Roman" w:hAnsi="Times New Roman" w:cs="Times New Roman" w:hint="eastAsia"/>
          <w:sz w:val="24"/>
          <w:szCs w:val="24"/>
          <w:lang w:eastAsia="ko-KR"/>
        </w:rPr>
        <w:t xml:space="preserve">       </w:t>
      </w:r>
      <w:r w:rsidR="00712A6A" w:rsidRPr="008F511F">
        <w:rPr>
          <w:rFonts w:ascii="Times New Roman" w:hAnsi="Times New Roman" w:cs="Times New Roman"/>
          <w:sz w:val="24"/>
          <w:szCs w:val="24"/>
          <w:lang w:eastAsia="ko-KR"/>
        </w:rPr>
        <w:t xml:space="preserve">                            </w:t>
      </w:r>
      <w:r w:rsidR="001B46C5" w:rsidRPr="008F511F">
        <w:rPr>
          <w:rFonts w:ascii="Times New Roman" w:hAnsi="Times New Roman" w:cs="Times New Roman" w:hint="eastAsia"/>
          <w:sz w:val="24"/>
          <w:szCs w:val="24"/>
          <w:lang w:eastAsia="ko-KR"/>
        </w:rPr>
        <w:t xml:space="preserve">    (3)</w:t>
      </w:r>
    </w:p>
    <w:p w14:paraId="376B28F4" w14:textId="1FED62BF" w:rsidR="001B46C5" w:rsidRPr="008F511F" w:rsidRDefault="006E011F" w:rsidP="00BD21A4">
      <w:pPr>
        <w:spacing w:before="240" w:line="36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The GFEVD based spillover measure</w:t>
      </w:r>
      <w:r w:rsidR="00E23BE3" w:rsidRPr="008F511F">
        <w:rPr>
          <w:rFonts w:ascii="Times New Roman" w:hAnsi="Times New Roman" w:cs="Times New Roman"/>
          <w:sz w:val="24"/>
          <w:szCs w:val="24"/>
          <w:lang w:eastAsia="ko-KR"/>
        </w:rPr>
        <w:t>s</w:t>
      </w:r>
      <w:r w:rsidRPr="008F511F">
        <w:rPr>
          <w:rFonts w:ascii="Times New Roman" w:hAnsi="Times New Roman" w:cs="Times New Roman"/>
          <w:sz w:val="24"/>
          <w:szCs w:val="24"/>
          <w:lang w:eastAsia="ko-KR"/>
        </w:rPr>
        <w:t xml:space="preserve"> are defined below f</w:t>
      </w:r>
      <w:r w:rsidR="001B46C5" w:rsidRPr="008F511F">
        <w:rPr>
          <w:rFonts w:ascii="Times New Roman" w:hAnsi="Times New Roman" w:cs="Times New Roman"/>
          <w:sz w:val="24"/>
          <w:szCs w:val="24"/>
          <w:lang w:eastAsia="ko-KR"/>
        </w:rPr>
        <w:t xml:space="preserve">ollowing </w:t>
      </w:r>
      <w:r w:rsidRPr="008F511F">
        <w:rPr>
          <w:rFonts w:ascii="Times New Roman" w:hAnsi="Times New Roman" w:cs="Times New Roman"/>
          <w:sz w:val="24"/>
          <w:szCs w:val="24"/>
          <w:lang w:eastAsia="ko-KR"/>
        </w:rPr>
        <w:t xml:space="preserve">the </w:t>
      </w:r>
      <w:r w:rsidR="001B46C5" w:rsidRPr="008F511F">
        <w:rPr>
          <w:rFonts w:ascii="Times New Roman" w:hAnsi="Times New Roman" w:cs="Times New Roman"/>
          <w:sz w:val="24"/>
          <w:szCs w:val="24"/>
          <w:lang w:eastAsia="ko-KR"/>
        </w:rPr>
        <w:t>Diebold and Yilmaz (2012</w:t>
      </w:r>
      <w:r w:rsidRPr="008F511F">
        <w:rPr>
          <w:rFonts w:ascii="Times New Roman" w:hAnsi="Times New Roman" w:cs="Times New Roman"/>
          <w:sz w:val="24"/>
          <w:szCs w:val="24"/>
          <w:lang w:eastAsia="ko-KR"/>
        </w:rPr>
        <w:t>)</w:t>
      </w:r>
      <w:r w:rsidR="00E23BE3" w:rsidRPr="008F511F">
        <w:rPr>
          <w:rFonts w:ascii="Times New Roman" w:hAnsi="Times New Roman" w:cs="Times New Roman"/>
          <w:sz w:val="24"/>
          <w:szCs w:val="24"/>
          <w:lang w:eastAsia="ko-KR"/>
        </w:rPr>
        <w:t xml:space="preserve"> approach</w:t>
      </w:r>
      <w:r w:rsidR="001B46C5" w:rsidRPr="008F511F">
        <w:rPr>
          <w:rFonts w:ascii="Times New Roman" w:hAnsi="Times New Roman" w:cs="Times New Roman" w:hint="eastAsia"/>
          <w:sz w:val="24"/>
          <w:szCs w:val="24"/>
          <w:lang w:eastAsia="ko-KR"/>
        </w:rPr>
        <w:t>:</w:t>
      </w:r>
    </w:p>
    <w:p w14:paraId="250EE1B3" w14:textId="1734CA9F" w:rsidR="001B46C5" w:rsidRPr="008F511F" w:rsidRDefault="001B46C5" w:rsidP="00BD21A4">
      <w:pPr>
        <w:spacing w:before="240" w:line="360" w:lineRule="auto"/>
        <w:ind w:firstLine="709"/>
        <w:jc w:val="both"/>
        <w:rPr>
          <w:rFonts w:ascii="Times New Roman" w:hAnsi="Times New Roman" w:cs="Times New Roman"/>
          <w:sz w:val="24"/>
          <w:szCs w:val="24"/>
          <w:lang w:eastAsia="ko-KR"/>
        </w:rPr>
      </w:pPr>
      <w:r w:rsidRPr="008F511F">
        <w:rPr>
          <w:rFonts w:ascii="Times New Roman" w:eastAsiaTheme="minorEastAsia" w:hAnsi="Times New Roman" w:cs="Times New Roman"/>
          <w:sz w:val="24"/>
          <w:szCs w:val="24"/>
          <w:lang w:eastAsia="ko-KR"/>
        </w:rPr>
        <w:t xml:space="preserve">  </w:t>
      </w: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TO</m:t>
            </m:r>
          </m:e>
          <m:sub>
            <m:r>
              <w:rPr>
                <w:rFonts w:ascii="Cambria Math" w:hAnsi="Cambria Math" w:cs="Times New Roman"/>
                <w:sz w:val="24"/>
                <w:szCs w:val="24"/>
                <w:lang w:eastAsia="ko-KR"/>
              </w:rPr>
              <m:t>j,t</m:t>
            </m:r>
          </m:sub>
        </m:sSub>
        <m:r>
          <w:rPr>
            <w:rFonts w:ascii="Cambria Math" w:hAnsi="Cambria Math" w:cs="Times New Roman"/>
            <w:sz w:val="24"/>
            <w:szCs w:val="24"/>
            <w:lang w:eastAsia="ko-KR"/>
          </w:rPr>
          <m:t>=</m:t>
        </m:r>
        <m:nary>
          <m:naryPr>
            <m:chr m:val="∑"/>
            <m:limLoc m:val="subSup"/>
            <m:ctrlPr>
              <w:rPr>
                <w:rFonts w:ascii="Cambria Math" w:hAnsi="Cambria Math" w:cs="Times New Roman"/>
                <w:i/>
                <w:sz w:val="24"/>
                <w:szCs w:val="24"/>
                <w:lang w:eastAsia="ko-KR"/>
              </w:rPr>
            </m:ctrlPr>
          </m:naryPr>
          <m:sub>
            <m:r>
              <w:rPr>
                <w:rFonts w:ascii="Cambria Math" w:hAnsi="Cambria Math" w:cs="Times New Roman"/>
                <w:sz w:val="24"/>
                <w:szCs w:val="24"/>
                <w:lang w:eastAsia="ko-KR"/>
              </w:rPr>
              <m:t>i=1, i≠j</m:t>
            </m:r>
          </m:sub>
          <m:sup>
            <m:r>
              <w:rPr>
                <w:rFonts w:ascii="Cambria Math" w:hAnsi="Cambria Math" w:cs="Times New Roman"/>
                <w:sz w:val="24"/>
                <w:szCs w:val="24"/>
                <w:lang w:eastAsia="ko-KR"/>
              </w:rPr>
              <m:t>k</m:t>
            </m:r>
          </m:sup>
          <m:e>
            <m:sSubSup>
              <m:sSubSupPr>
                <m:ctrlPr>
                  <w:rPr>
                    <w:rFonts w:ascii="Cambria Math" w:hAnsi="Cambria Math" w:cs="Times New Roman"/>
                    <w:i/>
                    <w:sz w:val="24"/>
                    <w:szCs w:val="24"/>
                    <w:lang w:eastAsia="ko-KR"/>
                  </w:rPr>
                </m:ctrlPr>
              </m:sSubSupPr>
              <m:e>
                <m:acc>
                  <m:accPr>
                    <m:chr m:val="̃"/>
                    <m:ctrlPr>
                      <w:rPr>
                        <w:rFonts w:ascii="Cambria Math" w:hAnsi="Cambria Math" w:cs="Times New Roman"/>
                        <w:i/>
                        <w:sz w:val="24"/>
                        <w:szCs w:val="24"/>
                        <w:lang w:eastAsia="ko-KR"/>
                      </w:rPr>
                    </m:ctrlPr>
                  </m:accPr>
                  <m:e>
                    <m:r>
                      <m:rPr>
                        <m:sty m:val="p"/>
                      </m:rPr>
                      <w:rPr>
                        <w:rFonts w:ascii="Cambria Math" w:hAnsi="Cambria Math" w:cs="Times New Roman"/>
                        <w:sz w:val="24"/>
                        <w:szCs w:val="24"/>
                        <w:lang w:eastAsia="ko-KR"/>
                      </w:rPr>
                      <m:t>Θ</m:t>
                    </m:r>
                  </m:e>
                </m:acc>
              </m:e>
              <m:sub>
                <m:r>
                  <w:rPr>
                    <w:rFonts w:ascii="Cambria Math" w:hAnsi="Cambria Math" w:cs="Times New Roman"/>
                    <w:sz w:val="24"/>
                    <w:szCs w:val="24"/>
                    <w:lang w:eastAsia="ko-KR"/>
                  </w:rPr>
                  <m:t>ij,t</m:t>
                </m:r>
              </m:sub>
              <m:sup>
                <m:r>
                  <w:rPr>
                    <w:rFonts w:ascii="Cambria Math" w:hAnsi="Cambria Math" w:cs="Times New Roman"/>
                    <w:sz w:val="24"/>
                    <w:szCs w:val="24"/>
                    <w:lang w:eastAsia="ko-KR"/>
                  </w:rPr>
                  <m:t>g</m:t>
                </m:r>
              </m:sup>
            </m:sSubSup>
          </m:e>
        </m:nary>
        <m:d>
          <m:dPr>
            <m:ctrlPr>
              <w:rPr>
                <w:rFonts w:ascii="Cambria Math" w:hAnsi="Cambria Math" w:cs="Times New Roman"/>
                <w:i/>
                <w:sz w:val="24"/>
                <w:szCs w:val="24"/>
                <w:lang w:eastAsia="ko-KR"/>
              </w:rPr>
            </m:ctrlPr>
          </m:dPr>
          <m:e>
            <m:r>
              <w:rPr>
                <w:rFonts w:ascii="Cambria Math" w:hAnsi="Cambria Math" w:cs="Times New Roman"/>
                <w:sz w:val="24"/>
                <w:szCs w:val="24"/>
                <w:lang w:eastAsia="ko-KR"/>
              </w:rPr>
              <m:t>H</m:t>
            </m:r>
          </m:e>
        </m:d>
        <m:r>
          <w:rPr>
            <w:rFonts w:ascii="Cambria Math" w:hAnsi="Cambria Math" w:cs="Times New Roman"/>
            <w:sz w:val="24"/>
            <w:szCs w:val="24"/>
            <w:lang w:eastAsia="ko-KR"/>
          </w:rPr>
          <m:t>,</m:t>
        </m:r>
      </m:oMath>
      <w:r w:rsidRPr="008F511F">
        <w:rPr>
          <w:rFonts w:ascii="Times New Roman" w:hAnsi="Times New Roman" w:cs="Times New Roman" w:hint="eastAsia"/>
          <w:sz w:val="24"/>
          <w:szCs w:val="24"/>
          <w:lang w:eastAsia="ko-KR"/>
        </w:rPr>
        <w:t xml:space="preserve">                                         </w:t>
      </w:r>
      <w:r w:rsidRPr="008F511F">
        <w:rPr>
          <w:rFonts w:ascii="Times New Roman" w:hAnsi="Times New Roman" w:cs="Times New Roman"/>
          <w:sz w:val="24"/>
          <w:szCs w:val="24"/>
          <w:lang w:eastAsia="ko-KR"/>
        </w:rPr>
        <w:t xml:space="preserve">                       </w:t>
      </w:r>
      <w:r w:rsidRPr="008F511F">
        <w:rPr>
          <w:rFonts w:ascii="Times New Roman" w:hAnsi="Times New Roman" w:cs="Times New Roman" w:hint="eastAsia"/>
          <w:sz w:val="24"/>
          <w:szCs w:val="24"/>
          <w:lang w:eastAsia="ko-KR"/>
        </w:rPr>
        <w:t xml:space="preserve">        (4)</w:t>
      </w:r>
    </w:p>
    <w:p w14:paraId="46F54753" w14:textId="01B4D697" w:rsidR="001B46C5" w:rsidRPr="008F511F" w:rsidRDefault="00611B40" w:rsidP="00BD21A4">
      <w:pPr>
        <w:spacing w:before="240" w:line="360" w:lineRule="auto"/>
        <w:ind w:firstLine="709"/>
        <w:jc w:val="both"/>
        <w:rPr>
          <w:rFonts w:ascii="Times New Roman" w:hAnsi="Times New Roman" w:cs="Times New Roman"/>
          <w:sz w:val="24"/>
          <w:szCs w:val="24"/>
          <w:lang w:eastAsia="ko-KR"/>
        </w:rPr>
      </w:pPr>
      <w:r w:rsidRPr="008F511F">
        <w:rPr>
          <w:rFonts w:ascii="Times New Roman" w:eastAsiaTheme="minorEastAsia" w:hAnsi="Times New Roman" w:cs="Times New Roman"/>
          <w:sz w:val="24"/>
          <w:szCs w:val="24"/>
          <w:lang w:eastAsia="ko-KR"/>
        </w:rPr>
        <w:t xml:space="preserve"> </w:t>
      </w: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FROM</m:t>
            </m:r>
          </m:e>
          <m:sub>
            <m:r>
              <w:rPr>
                <w:rFonts w:ascii="Cambria Math" w:hAnsi="Cambria Math" w:cs="Times New Roman"/>
                <w:sz w:val="24"/>
                <w:szCs w:val="24"/>
                <w:lang w:eastAsia="ko-KR"/>
              </w:rPr>
              <m:t>j,t</m:t>
            </m:r>
          </m:sub>
        </m:sSub>
        <m:r>
          <w:rPr>
            <w:rFonts w:ascii="Cambria Math" w:hAnsi="Cambria Math" w:cs="Times New Roman"/>
            <w:sz w:val="24"/>
            <w:szCs w:val="24"/>
            <w:lang w:eastAsia="ko-KR"/>
          </w:rPr>
          <m:t>=</m:t>
        </m:r>
        <m:nary>
          <m:naryPr>
            <m:chr m:val="∑"/>
            <m:limLoc m:val="subSup"/>
            <m:ctrlPr>
              <w:rPr>
                <w:rFonts w:ascii="Cambria Math" w:hAnsi="Cambria Math" w:cs="Times New Roman"/>
                <w:i/>
                <w:sz w:val="24"/>
                <w:szCs w:val="24"/>
                <w:lang w:eastAsia="ko-KR"/>
              </w:rPr>
            </m:ctrlPr>
          </m:naryPr>
          <m:sub>
            <m:r>
              <w:rPr>
                <w:rFonts w:ascii="Cambria Math" w:hAnsi="Cambria Math" w:cs="Times New Roman"/>
                <w:sz w:val="24"/>
                <w:szCs w:val="24"/>
                <w:lang w:eastAsia="ko-KR"/>
              </w:rPr>
              <m:t>i=1, i≠j</m:t>
            </m:r>
          </m:sub>
          <m:sup>
            <m:r>
              <w:rPr>
                <w:rFonts w:ascii="Cambria Math" w:hAnsi="Cambria Math" w:cs="Times New Roman"/>
                <w:sz w:val="24"/>
                <w:szCs w:val="24"/>
                <w:lang w:eastAsia="ko-KR"/>
              </w:rPr>
              <m:t>k</m:t>
            </m:r>
          </m:sup>
          <m:e>
            <m:sSubSup>
              <m:sSubSupPr>
                <m:ctrlPr>
                  <w:rPr>
                    <w:rFonts w:ascii="Cambria Math" w:hAnsi="Cambria Math" w:cs="Times New Roman"/>
                    <w:i/>
                    <w:sz w:val="24"/>
                    <w:szCs w:val="24"/>
                    <w:lang w:eastAsia="ko-KR"/>
                  </w:rPr>
                </m:ctrlPr>
              </m:sSubSupPr>
              <m:e>
                <m:acc>
                  <m:accPr>
                    <m:chr m:val="̃"/>
                    <m:ctrlPr>
                      <w:rPr>
                        <w:rFonts w:ascii="Cambria Math" w:hAnsi="Cambria Math" w:cs="Times New Roman"/>
                        <w:i/>
                        <w:sz w:val="24"/>
                        <w:szCs w:val="24"/>
                        <w:lang w:eastAsia="ko-KR"/>
                      </w:rPr>
                    </m:ctrlPr>
                  </m:accPr>
                  <m:e>
                    <m:r>
                      <m:rPr>
                        <m:sty m:val="p"/>
                      </m:rPr>
                      <w:rPr>
                        <w:rFonts w:ascii="Cambria Math" w:hAnsi="Cambria Math" w:cs="Times New Roman"/>
                        <w:sz w:val="24"/>
                        <w:szCs w:val="24"/>
                        <w:lang w:eastAsia="ko-KR"/>
                      </w:rPr>
                      <m:t>Θ</m:t>
                    </m:r>
                  </m:e>
                </m:acc>
              </m:e>
              <m:sub>
                <m:r>
                  <w:rPr>
                    <w:rFonts w:ascii="Cambria Math" w:hAnsi="Cambria Math" w:cs="Times New Roman"/>
                    <w:sz w:val="24"/>
                    <w:szCs w:val="24"/>
                    <w:lang w:eastAsia="ko-KR"/>
                  </w:rPr>
                  <m:t>ji,t</m:t>
                </m:r>
              </m:sub>
              <m:sup>
                <m:r>
                  <w:rPr>
                    <w:rFonts w:ascii="Cambria Math" w:hAnsi="Cambria Math" w:cs="Times New Roman"/>
                    <w:sz w:val="24"/>
                    <w:szCs w:val="24"/>
                    <w:lang w:eastAsia="ko-KR"/>
                  </w:rPr>
                  <m:t>g</m:t>
                </m:r>
              </m:sup>
            </m:sSubSup>
          </m:e>
        </m:nary>
        <m:d>
          <m:dPr>
            <m:ctrlPr>
              <w:rPr>
                <w:rFonts w:ascii="Cambria Math" w:hAnsi="Cambria Math" w:cs="Times New Roman"/>
                <w:i/>
                <w:sz w:val="24"/>
                <w:szCs w:val="24"/>
                <w:lang w:eastAsia="ko-KR"/>
              </w:rPr>
            </m:ctrlPr>
          </m:dPr>
          <m:e>
            <m:r>
              <w:rPr>
                <w:rFonts w:ascii="Cambria Math" w:hAnsi="Cambria Math" w:cs="Times New Roman"/>
                <w:sz w:val="24"/>
                <w:szCs w:val="24"/>
                <w:lang w:eastAsia="ko-KR"/>
              </w:rPr>
              <m:t>H</m:t>
            </m:r>
          </m:e>
        </m:d>
      </m:oMath>
      <w:r w:rsidR="00966B03" w:rsidRPr="008F511F">
        <w:rPr>
          <w:rFonts w:ascii="Times New Roman" w:hAnsi="Times New Roman" w:cs="Times New Roman"/>
          <w:sz w:val="24"/>
          <w:szCs w:val="24"/>
          <w:lang w:eastAsia="ko-KR"/>
        </w:rPr>
        <w:t xml:space="preserve">,  </w:t>
      </w:r>
      <w:r w:rsidR="001B46C5" w:rsidRPr="008F511F">
        <w:rPr>
          <w:rFonts w:ascii="Times New Roman" w:hAnsi="Times New Roman" w:cs="Times New Roman" w:hint="eastAsia"/>
          <w:sz w:val="24"/>
          <w:szCs w:val="24"/>
          <w:lang w:eastAsia="ko-KR"/>
        </w:rPr>
        <w:t xml:space="preserve">                                                                 (5)</w:t>
      </w:r>
    </w:p>
    <w:p w14:paraId="4ABE16F0" w14:textId="58F50F7B" w:rsidR="001B46C5" w:rsidRPr="008F511F" w:rsidRDefault="00611B40" w:rsidP="00BD21A4">
      <w:pPr>
        <w:spacing w:before="240" w:line="360" w:lineRule="auto"/>
        <w:ind w:firstLine="709"/>
        <w:jc w:val="both"/>
        <w:rPr>
          <w:rFonts w:ascii="Times New Roman" w:hAnsi="Times New Roman" w:cs="Times New Roman"/>
          <w:sz w:val="24"/>
          <w:szCs w:val="24"/>
          <w:lang w:eastAsia="ko-KR"/>
        </w:rPr>
      </w:pPr>
      <w:r w:rsidRPr="008F511F">
        <w:rPr>
          <w:rFonts w:ascii="Times New Roman" w:eastAsiaTheme="minorEastAsia" w:hAnsi="Times New Roman" w:cs="Times New Roman"/>
          <w:sz w:val="24"/>
          <w:szCs w:val="24"/>
          <w:lang w:eastAsia="ko-KR"/>
        </w:rPr>
        <w:t xml:space="preserve"> </w:t>
      </w: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NET</m:t>
            </m:r>
          </m:e>
          <m:sub>
            <m:r>
              <w:rPr>
                <w:rFonts w:ascii="Cambria Math" w:hAnsi="Cambria Math" w:cs="Times New Roman"/>
                <w:sz w:val="24"/>
                <w:szCs w:val="24"/>
                <w:lang w:eastAsia="ko-KR"/>
              </w:rPr>
              <m:t>j,t</m:t>
            </m:r>
          </m:sub>
        </m:sSub>
        <m:r>
          <w:rPr>
            <w:rFonts w:ascii="Cambria Math" w:hAnsi="Cambria Math" w:cs="Times New Roman"/>
            <w:sz w:val="24"/>
            <w:szCs w:val="24"/>
            <w:lang w:eastAsia="ko-KR"/>
          </w:rPr>
          <m:t>=</m:t>
        </m:r>
        <m:sSub>
          <m:sSubPr>
            <m:ctrlPr>
              <w:rPr>
                <w:rFonts w:ascii="Cambria Math" w:hAnsi="Cambria Math" w:cs="Times New Roman"/>
                <w:i/>
                <w:sz w:val="24"/>
                <w:szCs w:val="24"/>
                <w:lang w:eastAsia="ko-KR"/>
              </w:rPr>
            </m:ctrlPr>
          </m:sSubPr>
          <m:e>
            <m:r>
              <w:rPr>
                <w:rFonts w:ascii="Cambria Math" w:hAnsi="Cambria Math" w:cs="Times New Roman"/>
                <w:sz w:val="24"/>
                <w:szCs w:val="24"/>
                <w:lang w:eastAsia="ko-KR"/>
              </w:rPr>
              <m:t>TO</m:t>
            </m:r>
          </m:e>
          <m:sub>
            <m:r>
              <w:rPr>
                <w:rFonts w:ascii="Cambria Math" w:hAnsi="Cambria Math" w:cs="Times New Roman"/>
                <w:sz w:val="24"/>
                <w:szCs w:val="24"/>
                <w:lang w:eastAsia="ko-KR"/>
              </w:rPr>
              <m:t>j,t</m:t>
            </m:r>
          </m:sub>
        </m:sSub>
        <m:r>
          <w:rPr>
            <w:rFonts w:ascii="Cambria Math" w:hAnsi="Cambria Math" w:cs="Times New Roman"/>
            <w:sz w:val="24"/>
            <w:szCs w:val="24"/>
            <w:lang w:eastAsia="ko-KR"/>
          </w:rPr>
          <m:t>-</m:t>
        </m:r>
        <m:sSub>
          <m:sSubPr>
            <m:ctrlPr>
              <w:rPr>
                <w:rFonts w:ascii="Cambria Math" w:hAnsi="Cambria Math" w:cs="Times New Roman"/>
                <w:i/>
                <w:sz w:val="24"/>
                <w:szCs w:val="24"/>
                <w:lang w:eastAsia="ko-KR"/>
              </w:rPr>
            </m:ctrlPr>
          </m:sSubPr>
          <m:e>
            <m:r>
              <w:rPr>
                <w:rFonts w:ascii="Cambria Math" w:hAnsi="Cambria Math" w:cs="Times New Roman"/>
                <w:sz w:val="24"/>
                <w:szCs w:val="24"/>
                <w:lang w:eastAsia="ko-KR"/>
              </w:rPr>
              <m:t>FROM</m:t>
            </m:r>
          </m:e>
          <m:sub>
            <m:r>
              <w:rPr>
                <w:rFonts w:ascii="Cambria Math" w:hAnsi="Cambria Math" w:cs="Times New Roman"/>
                <w:sz w:val="24"/>
                <w:szCs w:val="24"/>
                <w:lang w:eastAsia="ko-KR"/>
              </w:rPr>
              <m:t>j,t</m:t>
            </m:r>
          </m:sub>
        </m:sSub>
        <m:r>
          <w:rPr>
            <w:rFonts w:ascii="Cambria Math" w:hAnsi="Cambria Math" w:cs="Times New Roman"/>
            <w:sz w:val="24"/>
            <w:szCs w:val="24"/>
            <w:lang w:eastAsia="ko-KR"/>
          </w:rPr>
          <m:t>,</m:t>
        </m:r>
      </m:oMath>
      <w:r w:rsidR="001B46C5" w:rsidRPr="008F511F">
        <w:rPr>
          <w:rFonts w:ascii="Times New Roman" w:hAnsi="Times New Roman" w:cs="Times New Roman" w:hint="eastAsia"/>
          <w:sz w:val="24"/>
          <w:szCs w:val="24"/>
          <w:lang w:eastAsia="ko-KR"/>
        </w:rPr>
        <w:t xml:space="preserve">                                                                      (6)</w:t>
      </w:r>
    </w:p>
    <w:p w14:paraId="7982E294" w14:textId="7E0A0D08" w:rsidR="001B46C5" w:rsidRPr="008F511F" w:rsidRDefault="00611B40" w:rsidP="00BD21A4">
      <w:pPr>
        <w:spacing w:before="240" w:line="360" w:lineRule="auto"/>
        <w:ind w:firstLine="709"/>
        <w:jc w:val="both"/>
        <w:rPr>
          <w:rFonts w:ascii="Times New Roman" w:hAnsi="Times New Roman" w:cs="Times New Roman"/>
          <w:sz w:val="24"/>
          <w:szCs w:val="24"/>
          <w:lang w:eastAsia="ko-KR"/>
        </w:rPr>
      </w:pPr>
      <w:r w:rsidRPr="008F511F">
        <w:rPr>
          <w:rFonts w:ascii="Times New Roman" w:eastAsiaTheme="minorEastAsia" w:hAnsi="Times New Roman" w:cs="Times New Roman"/>
          <w:sz w:val="24"/>
          <w:szCs w:val="24"/>
          <w:lang w:eastAsia="ko-KR"/>
        </w:rPr>
        <w:t xml:space="preserve"> </w:t>
      </w: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TCI</m:t>
            </m:r>
          </m:e>
          <m:sub>
            <m:r>
              <w:rPr>
                <w:rFonts w:ascii="Cambria Math" w:hAnsi="Cambria Math" w:cs="Times New Roman"/>
                <w:sz w:val="24"/>
                <w:szCs w:val="24"/>
                <w:lang w:eastAsia="ko-KR"/>
              </w:rPr>
              <m:t>t</m:t>
            </m:r>
          </m:sub>
        </m:sSub>
        <m:r>
          <w:rPr>
            <w:rFonts w:ascii="Cambria Math" w:hAnsi="Cambria Math" w:cs="Times New Roman"/>
            <w:sz w:val="24"/>
            <w:szCs w:val="24"/>
            <w:lang w:eastAsia="ko-KR"/>
          </w:rPr>
          <m:t>=</m:t>
        </m:r>
        <m:f>
          <m:fPr>
            <m:ctrlPr>
              <w:rPr>
                <w:rFonts w:ascii="Cambria Math" w:hAnsi="Cambria Math" w:cs="Times New Roman"/>
                <w:i/>
                <w:sz w:val="24"/>
                <w:szCs w:val="24"/>
                <w:lang w:eastAsia="ko-KR"/>
              </w:rPr>
            </m:ctrlPr>
          </m:fPr>
          <m:num>
            <m:nary>
              <m:naryPr>
                <m:chr m:val="∑"/>
                <m:limLoc m:val="subSup"/>
                <m:ctrlPr>
                  <w:rPr>
                    <w:rFonts w:ascii="Cambria Math" w:hAnsi="Cambria Math" w:cs="Times New Roman"/>
                    <w:i/>
                    <w:sz w:val="24"/>
                    <w:szCs w:val="24"/>
                    <w:lang w:eastAsia="ko-KR"/>
                  </w:rPr>
                </m:ctrlPr>
              </m:naryPr>
              <m:sub>
                <m:r>
                  <w:rPr>
                    <w:rFonts w:ascii="Cambria Math" w:hAnsi="Cambria Math" w:cs="Times New Roman"/>
                    <w:sz w:val="24"/>
                    <w:szCs w:val="24"/>
                    <w:lang w:eastAsia="ko-KR"/>
                  </w:rPr>
                  <m:t>i,j=1, i≠j</m:t>
                </m:r>
              </m:sub>
              <m:sup>
                <m:r>
                  <w:rPr>
                    <w:rFonts w:ascii="Cambria Math" w:hAnsi="Cambria Math" w:cs="Times New Roman"/>
                    <w:sz w:val="24"/>
                    <w:szCs w:val="24"/>
                    <w:lang w:eastAsia="ko-KR"/>
                  </w:rPr>
                  <m:t>k</m:t>
                </m:r>
              </m:sup>
              <m:e>
                <m:sSubSup>
                  <m:sSubSupPr>
                    <m:ctrlPr>
                      <w:rPr>
                        <w:rFonts w:ascii="Cambria Math" w:hAnsi="Cambria Math" w:cs="Times New Roman"/>
                        <w:i/>
                        <w:sz w:val="24"/>
                        <w:szCs w:val="24"/>
                        <w:lang w:eastAsia="ko-KR"/>
                      </w:rPr>
                    </m:ctrlPr>
                  </m:sSubSupPr>
                  <m:e>
                    <m:acc>
                      <m:accPr>
                        <m:chr m:val="̃"/>
                        <m:ctrlPr>
                          <w:rPr>
                            <w:rFonts w:ascii="Cambria Math" w:hAnsi="Cambria Math" w:cs="Times New Roman"/>
                            <w:i/>
                            <w:sz w:val="24"/>
                            <w:szCs w:val="24"/>
                            <w:lang w:eastAsia="ko-KR"/>
                          </w:rPr>
                        </m:ctrlPr>
                      </m:accPr>
                      <m:e>
                        <m:r>
                          <m:rPr>
                            <m:sty m:val="p"/>
                          </m:rPr>
                          <w:rPr>
                            <w:rFonts w:ascii="Cambria Math" w:hAnsi="Cambria Math" w:cs="Times New Roman"/>
                            <w:sz w:val="24"/>
                            <w:szCs w:val="24"/>
                            <w:lang w:eastAsia="ko-KR"/>
                          </w:rPr>
                          <m:t>Θ</m:t>
                        </m:r>
                      </m:e>
                    </m:acc>
                  </m:e>
                  <m:sub>
                    <m:r>
                      <w:rPr>
                        <w:rFonts w:ascii="Cambria Math" w:hAnsi="Cambria Math" w:cs="Times New Roman"/>
                        <w:sz w:val="24"/>
                        <w:szCs w:val="24"/>
                        <w:lang w:eastAsia="ko-KR"/>
                      </w:rPr>
                      <m:t>ij</m:t>
                    </m:r>
                  </m:sub>
                  <m:sup>
                    <m:r>
                      <w:rPr>
                        <w:rFonts w:ascii="Cambria Math" w:hAnsi="Cambria Math" w:cs="Times New Roman"/>
                        <w:sz w:val="24"/>
                        <w:szCs w:val="24"/>
                        <w:lang w:eastAsia="ko-KR"/>
                      </w:rPr>
                      <m:t>g</m:t>
                    </m:r>
                  </m:sup>
                </m:sSubSup>
                <m:d>
                  <m:dPr>
                    <m:ctrlPr>
                      <w:rPr>
                        <w:rFonts w:ascii="Cambria Math" w:hAnsi="Cambria Math" w:cs="Times New Roman"/>
                        <w:i/>
                        <w:sz w:val="24"/>
                        <w:szCs w:val="24"/>
                        <w:lang w:eastAsia="ko-KR"/>
                      </w:rPr>
                    </m:ctrlPr>
                  </m:dPr>
                  <m:e>
                    <m:r>
                      <w:rPr>
                        <w:rFonts w:ascii="Cambria Math" w:hAnsi="Cambria Math" w:cs="Times New Roman"/>
                        <w:sz w:val="24"/>
                        <w:szCs w:val="24"/>
                        <w:lang w:eastAsia="ko-KR"/>
                      </w:rPr>
                      <m:t>H</m:t>
                    </m:r>
                  </m:e>
                </m:d>
              </m:e>
            </m:nary>
          </m:num>
          <m:den>
            <m:r>
              <w:rPr>
                <w:rFonts w:ascii="Cambria Math" w:hAnsi="Cambria Math" w:cs="Times New Roman"/>
                <w:sz w:val="24"/>
                <w:szCs w:val="24"/>
                <w:lang w:eastAsia="ko-KR"/>
              </w:rPr>
              <m:t>k-1</m:t>
            </m:r>
          </m:den>
        </m:f>
      </m:oMath>
      <w:r w:rsidR="001B46C5" w:rsidRPr="008F511F">
        <w:rPr>
          <w:rFonts w:ascii="Times New Roman" w:hAnsi="Times New Roman" w:cs="Times New Roman" w:hint="eastAsia"/>
          <w:sz w:val="24"/>
          <w:szCs w:val="24"/>
          <w:lang w:eastAsia="ko-KR"/>
        </w:rPr>
        <w:t xml:space="preserve"> </w:t>
      </w:r>
      <w:r w:rsidR="00966B03" w:rsidRPr="008F511F">
        <w:rPr>
          <w:rFonts w:ascii="Times New Roman" w:hAnsi="Times New Roman" w:cs="Times New Roman"/>
          <w:sz w:val="24"/>
          <w:szCs w:val="24"/>
          <w:lang w:eastAsia="ko-KR"/>
        </w:rPr>
        <w:t>,</w:t>
      </w:r>
      <w:r w:rsidR="001B46C5" w:rsidRPr="008F511F">
        <w:rPr>
          <w:rFonts w:ascii="Times New Roman" w:hAnsi="Times New Roman" w:cs="Times New Roman" w:hint="eastAsia"/>
          <w:sz w:val="24"/>
          <w:szCs w:val="24"/>
          <w:lang w:eastAsia="ko-KR"/>
        </w:rPr>
        <w:t xml:space="preserve">                                                                                (7)</w:t>
      </w:r>
    </w:p>
    <w:p w14:paraId="13300D87" w14:textId="0F0A82F0" w:rsidR="00761501" w:rsidRPr="008F511F" w:rsidRDefault="008F511F" w:rsidP="00BD21A4">
      <w:pPr>
        <w:spacing w:before="240" w:line="360" w:lineRule="auto"/>
        <w:jc w:val="both"/>
        <w:rPr>
          <w:rFonts w:ascii="Times New Roman" w:hAnsi="Times New Roman" w:cs="Times New Roman"/>
          <w:sz w:val="24"/>
          <w:szCs w:val="24"/>
          <w:lang w:eastAsia="ko-KR"/>
        </w:rPr>
      </w:pP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TO</m:t>
            </m:r>
          </m:e>
          <m:sub>
            <m:r>
              <w:rPr>
                <w:rFonts w:ascii="Cambria Math" w:hAnsi="Cambria Math" w:cs="Times New Roman"/>
                <w:sz w:val="24"/>
                <w:szCs w:val="24"/>
                <w:lang w:eastAsia="ko-KR"/>
              </w:rPr>
              <m:t>j,t</m:t>
            </m:r>
          </m:sub>
        </m:sSub>
      </m:oMath>
      <w:r w:rsidR="0009384A" w:rsidRPr="008F511F">
        <w:rPr>
          <w:rFonts w:ascii="Times New Roman" w:hAnsi="Times New Roman" w:cs="Times New Roman"/>
          <w:sz w:val="24"/>
          <w:szCs w:val="24"/>
          <w:lang w:eastAsia="ko-KR"/>
        </w:rPr>
        <w:t xml:space="preserve"> </w:t>
      </w:r>
      <w:r w:rsidR="00FD1FB5" w:rsidRPr="008F511F">
        <w:rPr>
          <w:rFonts w:ascii="Times New Roman" w:hAnsi="Times New Roman" w:cs="Times New Roman"/>
          <w:sz w:val="24"/>
          <w:szCs w:val="24"/>
          <w:lang w:eastAsia="ko-KR"/>
        </w:rPr>
        <w:t>indicates</w:t>
      </w:r>
      <w:r w:rsidR="0009384A" w:rsidRPr="008F511F">
        <w:rPr>
          <w:rFonts w:ascii="Times New Roman" w:hAnsi="Times New Roman" w:cs="Times New Roman"/>
          <w:sz w:val="24"/>
          <w:szCs w:val="24"/>
          <w:lang w:eastAsia="ko-KR"/>
        </w:rPr>
        <w:t xml:space="preserve"> the </w:t>
      </w:r>
      <w:r w:rsidR="000B4149" w:rsidRPr="008F511F">
        <w:rPr>
          <w:rFonts w:ascii="Times New Roman" w:hAnsi="Times New Roman" w:cs="Times New Roman"/>
          <w:sz w:val="24"/>
          <w:szCs w:val="24"/>
          <w:lang w:eastAsia="ko-KR"/>
        </w:rPr>
        <w:t xml:space="preserve">effect of variable </w:t>
      </w:r>
      <m:oMath>
        <m:r>
          <w:rPr>
            <w:rFonts w:ascii="Cambria Math" w:hAnsi="Cambria Math" w:cs="Times New Roman"/>
            <w:sz w:val="24"/>
            <w:szCs w:val="24"/>
            <w:lang w:eastAsia="ko-KR"/>
          </w:rPr>
          <m:t>j</m:t>
        </m:r>
      </m:oMath>
      <w:r w:rsidR="0009384A" w:rsidRPr="008F511F">
        <w:rPr>
          <w:rFonts w:ascii="Times New Roman" w:hAnsi="Times New Roman" w:cs="Times New Roman"/>
          <w:sz w:val="24"/>
          <w:szCs w:val="24"/>
          <w:lang w:eastAsia="ko-KR"/>
        </w:rPr>
        <w:t xml:space="preserve"> on variable </w:t>
      </w:r>
      <w:proofErr w:type="spellStart"/>
      <w:r w:rsidR="0009384A" w:rsidRPr="008F511F">
        <w:rPr>
          <w:rFonts w:ascii="Times New Roman" w:hAnsi="Times New Roman" w:cs="Times New Roman"/>
          <w:i/>
          <w:iCs/>
          <w:sz w:val="24"/>
          <w:szCs w:val="24"/>
          <w:lang w:eastAsia="ko-KR"/>
        </w:rPr>
        <w:t>i</w:t>
      </w:r>
      <w:proofErr w:type="spellEnd"/>
      <w:r w:rsidR="0009384A" w:rsidRPr="008F511F">
        <w:rPr>
          <w:rFonts w:ascii="Times New Roman" w:hAnsi="Times New Roman" w:cs="Times New Roman"/>
          <w:sz w:val="24"/>
          <w:szCs w:val="24"/>
          <w:lang w:eastAsia="ko-KR"/>
        </w:rPr>
        <w:t xml:space="preserve">, whereas </w:t>
      </w: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FROM</m:t>
            </m:r>
          </m:e>
          <m:sub>
            <m:r>
              <w:rPr>
                <w:rFonts w:ascii="Cambria Math" w:hAnsi="Cambria Math" w:cs="Times New Roman"/>
                <w:sz w:val="24"/>
                <w:szCs w:val="24"/>
                <w:lang w:eastAsia="ko-KR"/>
              </w:rPr>
              <m:t>j,t</m:t>
            </m:r>
          </m:sub>
        </m:sSub>
      </m:oMath>
      <w:r w:rsidR="0009384A" w:rsidRPr="008F511F">
        <w:rPr>
          <w:rFonts w:ascii="Times New Roman" w:hAnsi="Times New Roman" w:cs="Times New Roman"/>
          <w:sz w:val="24"/>
          <w:szCs w:val="24"/>
          <w:lang w:eastAsia="ko-KR"/>
        </w:rPr>
        <w:t xml:space="preserve"> </w:t>
      </w:r>
      <w:r w:rsidR="00EB3CCC" w:rsidRPr="008F511F">
        <w:rPr>
          <w:rFonts w:ascii="Times New Roman" w:hAnsi="Times New Roman" w:cs="Times New Roman"/>
          <w:sz w:val="24"/>
          <w:szCs w:val="24"/>
          <w:lang w:eastAsia="ko-KR"/>
        </w:rPr>
        <w:t>represents</w:t>
      </w:r>
      <w:r w:rsidR="0009384A" w:rsidRPr="008F511F">
        <w:rPr>
          <w:rFonts w:ascii="Times New Roman" w:hAnsi="Times New Roman" w:cs="Times New Roman"/>
          <w:sz w:val="24"/>
          <w:szCs w:val="24"/>
          <w:lang w:eastAsia="ko-KR"/>
        </w:rPr>
        <w:t xml:space="preserve"> the</w:t>
      </w:r>
      <w:r w:rsidR="000B4149" w:rsidRPr="008F511F">
        <w:rPr>
          <w:rFonts w:ascii="Times New Roman" w:hAnsi="Times New Roman" w:cs="Times New Roman"/>
          <w:sz w:val="24"/>
          <w:szCs w:val="24"/>
          <w:lang w:eastAsia="ko-KR"/>
        </w:rPr>
        <w:t xml:space="preserve"> impact of </w:t>
      </w:r>
      <w:proofErr w:type="spellStart"/>
      <w:r w:rsidR="0009384A" w:rsidRPr="008F511F">
        <w:rPr>
          <w:rFonts w:ascii="Times New Roman" w:hAnsi="Times New Roman" w:cs="Times New Roman"/>
          <w:i/>
          <w:iCs/>
          <w:sz w:val="24"/>
          <w:szCs w:val="24"/>
          <w:lang w:eastAsia="ko-KR"/>
        </w:rPr>
        <w:t>i</w:t>
      </w:r>
      <w:proofErr w:type="spellEnd"/>
      <w:r w:rsidR="0009384A" w:rsidRPr="008F511F">
        <w:rPr>
          <w:rFonts w:ascii="Times New Roman" w:hAnsi="Times New Roman" w:cs="Times New Roman"/>
          <w:sz w:val="24"/>
          <w:szCs w:val="24"/>
          <w:lang w:eastAsia="ko-KR"/>
        </w:rPr>
        <w:t xml:space="preserve"> on </w:t>
      </w:r>
      <m:oMath>
        <m:r>
          <w:rPr>
            <w:rFonts w:ascii="Cambria Math" w:hAnsi="Cambria Math" w:cs="Times New Roman"/>
            <w:sz w:val="24"/>
            <w:szCs w:val="24"/>
            <w:lang w:eastAsia="ko-KR"/>
          </w:rPr>
          <m:t>j</m:t>
        </m:r>
      </m:oMath>
      <w:r w:rsidR="0009384A" w:rsidRPr="008F511F">
        <w:rPr>
          <w:rFonts w:ascii="Times New Roman" w:hAnsi="Times New Roman" w:cs="Times New Roman"/>
          <w:sz w:val="24"/>
          <w:szCs w:val="24"/>
          <w:lang w:eastAsia="ko-KR"/>
        </w:rPr>
        <w:t xml:space="preserve">. </w:t>
      </w:r>
      <m:oMath>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NET</m:t>
            </m:r>
          </m:e>
          <m:sub>
            <m:r>
              <w:rPr>
                <w:rFonts w:ascii="Cambria Math" w:hAnsi="Cambria Math" w:cs="Times New Roman"/>
                <w:sz w:val="24"/>
                <w:szCs w:val="24"/>
                <w:lang w:eastAsia="ko-KR"/>
              </w:rPr>
              <m:t>j,t</m:t>
            </m:r>
          </m:sub>
        </m:sSub>
      </m:oMath>
      <w:r w:rsidR="0009384A" w:rsidRPr="008F511F">
        <w:rPr>
          <w:rFonts w:ascii="Times New Roman" w:hAnsi="Times New Roman" w:cs="Times New Roman"/>
          <w:sz w:val="24"/>
          <w:szCs w:val="24"/>
          <w:lang w:eastAsia="ko-KR"/>
        </w:rPr>
        <w:t xml:space="preserve"> </w:t>
      </w:r>
      <w:r w:rsidR="00EB3CCC" w:rsidRPr="008F511F">
        <w:rPr>
          <w:rFonts w:ascii="Times New Roman" w:hAnsi="Times New Roman" w:cs="Times New Roman"/>
          <w:sz w:val="24"/>
          <w:szCs w:val="24"/>
          <w:lang w:eastAsia="ko-KR"/>
        </w:rPr>
        <w:t>shows</w:t>
      </w:r>
      <w:r w:rsidR="0009384A" w:rsidRPr="008F511F">
        <w:rPr>
          <w:rFonts w:ascii="Times New Roman" w:hAnsi="Times New Roman" w:cs="Times New Roman"/>
          <w:iCs/>
          <w:sz w:val="24"/>
          <w:szCs w:val="24"/>
        </w:rPr>
        <w:t xml:space="preserve"> </w:t>
      </w:r>
      <w:r w:rsidR="0009384A" w:rsidRPr="008F511F">
        <w:rPr>
          <w:rFonts w:ascii="Times New Roman" w:eastAsia="Malgun Gothic" w:hAnsi="Times New Roman" w:cs="Times New Roman"/>
          <w:iCs/>
          <w:sz w:val="24"/>
          <w:szCs w:val="24"/>
          <w:lang w:eastAsia="ko-KR"/>
        </w:rPr>
        <w:t xml:space="preserve">the </w:t>
      </w:r>
      <w:r w:rsidR="00264790" w:rsidRPr="008F511F">
        <w:rPr>
          <w:rFonts w:ascii="Times New Roman" w:eastAsia="Malgun Gothic" w:hAnsi="Times New Roman" w:cs="Times New Roman"/>
          <w:iCs/>
          <w:sz w:val="24"/>
          <w:szCs w:val="24"/>
          <w:lang w:eastAsia="ko-KR"/>
        </w:rPr>
        <w:t>disparity</w:t>
      </w:r>
      <w:r w:rsidR="0009384A" w:rsidRPr="008F511F">
        <w:rPr>
          <w:rFonts w:ascii="Times New Roman" w:eastAsia="Malgun Gothic" w:hAnsi="Times New Roman" w:cs="Times New Roman"/>
          <w:iCs/>
          <w:sz w:val="24"/>
          <w:szCs w:val="24"/>
          <w:lang w:eastAsia="ko-KR"/>
        </w:rPr>
        <w:t xml:space="preserve"> between “TO” and “FROM,” </w:t>
      </w:r>
      <w:r w:rsidR="00264790" w:rsidRPr="008F511F">
        <w:rPr>
          <w:rFonts w:ascii="Times New Roman" w:eastAsia="Malgun Gothic" w:hAnsi="Times New Roman" w:cs="Times New Roman"/>
          <w:iCs/>
          <w:sz w:val="24"/>
          <w:szCs w:val="24"/>
          <w:lang w:eastAsia="ko-KR"/>
        </w:rPr>
        <w:t xml:space="preserve">the negative (positive) value refers to the net recipient (transmitter) of spillover. </w:t>
      </w:r>
      <m:oMath>
        <m:r>
          <m:rPr>
            <m:sty m:val="p"/>
          </m:rPr>
          <w:rPr>
            <w:rFonts w:ascii="Cambria Math" w:hAnsi="Cambria Math" w:cs="Times New Roman"/>
            <w:sz w:val="24"/>
            <w:szCs w:val="24"/>
            <w:lang w:eastAsia="ko-KR"/>
          </w:rPr>
          <m:t xml:space="preserve"> </m:t>
        </m:r>
        <m:sSub>
          <m:sSubPr>
            <m:ctrlPr>
              <w:rPr>
                <w:rFonts w:ascii="Cambria Math" w:hAnsi="Cambria Math" w:cs="Times New Roman"/>
                <w:sz w:val="24"/>
                <w:szCs w:val="24"/>
                <w:lang w:eastAsia="ko-KR"/>
              </w:rPr>
            </m:ctrlPr>
          </m:sSubPr>
          <m:e>
            <m:r>
              <w:rPr>
                <w:rFonts w:ascii="Cambria Math" w:hAnsi="Cambria Math" w:cs="Times New Roman"/>
                <w:sz w:val="24"/>
                <w:szCs w:val="24"/>
                <w:lang w:eastAsia="ko-KR"/>
              </w:rPr>
              <m:t>TCI</m:t>
            </m:r>
          </m:e>
          <m:sub>
            <m:r>
              <w:rPr>
                <w:rFonts w:ascii="Cambria Math" w:hAnsi="Cambria Math" w:cs="Times New Roman"/>
                <w:sz w:val="24"/>
                <w:szCs w:val="24"/>
                <w:lang w:eastAsia="ko-KR"/>
              </w:rPr>
              <m:t>t</m:t>
            </m:r>
          </m:sub>
        </m:sSub>
      </m:oMath>
      <w:r w:rsidR="0009384A" w:rsidRPr="008F511F">
        <w:rPr>
          <w:rFonts w:ascii="Times New Roman" w:hAnsi="Times New Roman" w:cs="Times New Roman"/>
          <w:sz w:val="24"/>
          <w:szCs w:val="24"/>
          <w:lang w:eastAsia="ko-KR"/>
        </w:rPr>
        <w:t xml:space="preserve"> represents average level of total connectedness.</w:t>
      </w:r>
    </w:p>
    <w:p w14:paraId="3735EAB4" w14:textId="479EECEA" w:rsidR="008620D7" w:rsidRPr="008F511F" w:rsidRDefault="00601FCD" w:rsidP="00BD21A4">
      <w:pPr>
        <w:pStyle w:val="ListParagraph"/>
        <w:numPr>
          <w:ilvl w:val="0"/>
          <w:numId w:val="3"/>
        </w:numPr>
        <w:spacing w:before="240" w:line="360" w:lineRule="auto"/>
        <w:jc w:val="both"/>
        <w:rPr>
          <w:rFonts w:ascii="Times New Roman" w:eastAsia="Malgun Gothic" w:hAnsi="Times New Roman" w:cs="Times New Roman"/>
          <w:b/>
          <w:bCs/>
          <w:iCs/>
          <w:sz w:val="24"/>
          <w:szCs w:val="24"/>
          <w:lang w:eastAsia="ko-KR"/>
        </w:rPr>
      </w:pPr>
      <w:r w:rsidRPr="008F511F">
        <w:rPr>
          <w:rFonts w:ascii="Times New Roman" w:eastAsia="Malgun Gothic" w:hAnsi="Times New Roman" w:cs="Times New Roman"/>
          <w:b/>
          <w:bCs/>
          <w:iCs/>
          <w:sz w:val="24"/>
          <w:szCs w:val="24"/>
          <w:lang w:eastAsia="ko-KR"/>
        </w:rPr>
        <w:t>Empirical r</w:t>
      </w:r>
      <w:r w:rsidR="008620D7" w:rsidRPr="008F511F">
        <w:rPr>
          <w:rFonts w:ascii="Times New Roman" w:eastAsia="Malgun Gothic" w:hAnsi="Times New Roman" w:cs="Times New Roman"/>
          <w:b/>
          <w:bCs/>
          <w:iCs/>
          <w:sz w:val="24"/>
          <w:szCs w:val="24"/>
          <w:lang w:eastAsia="ko-KR"/>
        </w:rPr>
        <w:t xml:space="preserve">esults </w:t>
      </w:r>
    </w:p>
    <w:p w14:paraId="53C21D6C" w14:textId="65515ED3" w:rsidR="00D735E2" w:rsidRPr="008F511F" w:rsidRDefault="0062017E" w:rsidP="007F7F54">
      <w:pPr>
        <w:spacing w:after="0" w:line="360" w:lineRule="auto"/>
        <w:jc w:val="both"/>
        <w:rPr>
          <w:rFonts w:ascii="Times New Roman" w:eastAsia="Malgun Gothic" w:hAnsi="Times New Roman" w:cs="Times New Roman"/>
          <w:iCs/>
          <w:sz w:val="24"/>
          <w:szCs w:val="24"/>
          <w:lang w:eastAsia="ko-KR"/>
        </w:rPr>
      </w:pPr>
      <w:r w:rsidRPr="008F511F">
        <w:rPr>
          <w:rFonts w:ascii="Times New Roman" w:eastAsia="Malgun Gothic" w:hAnsi="Times New Roman" w:cs="Times New Roman"/>
          <w:iCs/>
          <w:sz w:val="24"/>
          <w:szCs w:val="24"/>
          <w:lang w:eastAsia="ko-KR"/>
        </w:rPr>
        <w:lastRenderedPageBreak/>
        <w:t>Our results provide three important pieces of evidence.</w:t>
      </w:r>
      <w:r w:rsidR="000E0C12" w:rsidRPr="008F511F">
        <w:rPr>
          <w:rFonts w:ascii="Times New Roman" w:eastAsia="Malgun Gothic" w:hAnsi="Times New Roman" w:cs="Times New Roman"/>
          <w:iCs/>
          <w:sz w:val="24"/>
          <w:szCs w:val="24"/>
          <w:lang w:eastAsia="ko-KR"/>
        </w:rPr>
        <w:t xml:space="preserve"> </w:t>
      </w:r>
      <w:r w:rsidRPr="008F511F">
        <w:rPr>
          <w:rFonts w:ascii="Times New Roman" w:eastAsia="Malgun Gothic" w:hAnsi="Times New Roman" w:cs="Times New Roman"/>
          <w:iCs/>
          <w:sz w:val="24"/>
          <w:szCs w:val="24"/>
          <w:lang w:eastAsia="ko-KR"/>
        </w:rPr>
        <w:t>First,</w:t>
      </w:r>
      <w:r w:rsidR="008B278D" w:rsidRPr="008F511F">
        <w:rPr>
          <w:rFonts w:ascii="Times New Roman" w:eastAsia="Malgun Gothic" w:hAnsi="Times New Roman" w:cs="Times New Roman"/>
          <w:iCs/>
          <w:sz w:val="24"/>
          <w:szCs w:val="24"/>
          <w:lang w:eastAsia="ko-KR"/>
        </w:rPr>
        <w:t xml:space="preserve"> </w:t>
      </w:r>
      <w:r w:rsidRPr="008F511F">
        <w:rPr>
          <w:rFonts w:ascii="Times New Roman" w:eastAsia="Malgun Gothic" w:hAnsi="Times New Roman" w:cs="Times New Roman"/>
          <w:iCs/>
          <w:sz w:val="24"/>
          <w:szCs w:val="24"/>
          <w:lang w:eastAsia="ko-KR"/>
        </w:rPr>
        <w:t>according to the results from</w:t>
      </w:r>
      <w:r w:rsidR="008B278D" w:rsidRPr="008F511F">
        <w:rPr>
          <w:rFonts w:ascii="Times New Roman" w:eastAsia="Malgun Gothic" w:hAnsi="Times New Roman" w:cs="Times New Roman"/>
          <w:iCs/>
          <w:sz w:val="24"/>
          <w:szCs w:val="24"/>
          <w:lang w:eastAsia="ko-KR"/>
        </w:rPr>
        <w:t xml:space="preserve"> static </w:t>
      </w:r>
      <w:r w:rsidR="00B87C16" w:rsidRPr="008F511F">
        <w:rPr>
          <w:rFonts w:ascii="Times New Roman" w:eastAsia="Malgun Gothic" w:hAnsi="Times New Roman" w:cs="Times New Roman"/>
          <w:iCs/>
          <w:sz w:val="24"/>
          <w:szCs w:val="24"/>
          <w:lang w:eastAsia="ko-KR"/>
        </w:rPr>
        <w:t>quantile-based</w:t>
      </w:r>
      <w:r w:rsidR="008B278D" w:rsidRPr="008F511F">
        <w:rPr>
          <w:rFonts w:ascii="Times New Roman" w:eastAsia="Malgun Gothic" w:hAnsi="Times New Roman" w:cs="Times New Roman"/>
          <w:iCs/>
          <w:sz w:val="24"/>
          <w:szCs w:val="24"/>
          <w:lang w:eastAsia="ko-KR"/>
        </w:rPr>
        <w:t xml:space="preserve"> spillover</w:t>
      </w:r>
      <w:r w:rsidRPr="008F511F">
        <w:rPr>
          <w:rFonts w:ascii="Times New Roman" w:eastAsia="Malgun Gothic" w:hAnsi="Times New Roman" w:cs="Times New Roman"/>
          <w:iCs/>
          <w:sz w:val="24"/>
          <w:szCs w:val="24"/>
          <w:lang w:eastAsia="ko-KR"/>
        </w:rPr>
        <w:t xml:space="preserve"> analysis</w:t>
      </w:r>
      <w:r w:rsidR="008B278D" w:rsidRPr="008F511F">
        <w:rPr>
          <w:rFonts w:ascii="Times New Roman" w:eastAsia="Malgun Gothic" w:hAnsi="Times New Roman" w:cs="Times New Roman"/>
          <w:iCs/>
          <w:sz w:val="24"/>
          <w:szCs w:val="24"/>
          <w:lang w:eastAsia="ko-KR"/>
        </w:rPr>
        <w:t xml:space="preserve"> </w:t>
      </w:r>
      <w:r w:rsidRPr="008F511F">
        <w:rPr>
          <w:rFonts w:ascii="Times New Roman" w:eastAsia="Malgun Gothic" w:hAnsi="Times New Roman" w:cs="Times New Roman"/>
          <w:iCs/>
          <w:sz w:val="24"/>
          <w:szCs w:val="24"/>
          <w:lang w:eastAsia="ko-KR"/>
        </w:rPr>
        <w:t>presented in</w:t>
      </w:r>
      <w:r w:rsidR="0010748A" w:rsidRPr="008F511F">
        <w:rPr>
          <w:rFonts w:ascii="Times New Roman" w:eastAsia="Malgun Gothic" w:hAnsi="Times New Roman" w:cs="Times New Roman"/>
          <w:iCs/>
          <w:sz w:val="24"/>
          <w:szCs w:val="24"/>
          <w:lang w:eastAsia="ko-KR"/>
        </w:rPr>
        <w:t xml:space="preserve"> Table 2</w:t>
      </w:r>
      <w:r w:rsidRPr="008F511F">
        <w:rPr>
          <w:rFonts w:ascii="Times New Roman" w:eastAsia="Malgun Gothic" w:hAnsi="Times New Roman" w:cs="Times New Roman"/>
          <w:iCs/>
          <w:sz w:val="24"/>
          <w:szCs w:val="24"/>
          <w:lang w:eastAsia="ko-KR"/>
        </w:rPr>
        <w:t>, t</w:t>
      </w:r>
      <w:r w:rsidR="00B87C16" w:rsidRPr="008F511F">
        <w:rPr>
          <w:rFonts w:ascii="Times New Roman" w:eastAsia="Malgun Gothic" w:hAnsi="Times New Roman" w:cs="Times New Roman"/>
          <w:iCs/>
          <w:sz w:val="24"/>
          <w:szCs w:val="24"/>
          <w:lang w:eastAsia="ko-KR"/>
        </w:rPr>
        <w:t xml:space="preserve">he total connectedness between return and volume is </w:t>
      </w:r>
      <w:r w:rsidRPr="008F511F">
        <w:rPr>
          <w:rFonts w:ascii="Times New Roman" w:eastAsia="Malgun Gothic" w:hAnsi="Times New Roman" w:cs="Times New Roman"/>
          <w:iCs/>
          <w:sz w:val="24"/>
          <w:szCs w:val="24"/>
          <w:lang w:eastAsia="ko-KR"/>
        </w:rPr>
        <w:t xml:space="preserve">the </w:t>
      </w:r>
      <w:r w:rsidR="00B87C16" w:rsidRPr="008F511F">
        <w:rPr>
          <w:rFonts w:ascii="Times New Roman" w:eastAsia="Malgun Gothic" w:hAnsi="Times New Roman" w:cs="Times New Roman"/>
          <w:iCs/>
          <w:sz w:val="24"/>
          <w:szCs w:val="24"/>
          <w:lang w:eastAsia="ko-KR"/>
        </w:rPr>
        <w:t>highest in the upper quantile, whereas lowest in the median quantile for all three NFTs</w:t>
      </w:r>
      <w:r w:rsidRPr="008F511F">
        <w:rPr>
          <w:rFonts w:ascii="Times New Roman" w:eastAsia="Malgun Gothic" w:hAnsi="Times New Roman" w:cs="Times New Roman"/>
          <w:iCs/>
          <w:sz w:val="24"/>
          <w:szCs w:val="24"/>
          <w:lang w:eastAsia="ko-KR"/>
        </w:rPr>
        <w:t>. These</w:t>
      </w:r>
      <w:r w:rsidR="00A320AA" w:rsidRPr="008F511F">
        <w:rPr>
          <w:rFonts w:ascii="Times New Roman" w:eastAsia="Malgun Gothic" w:hAnsi="Times New Roman" w:cs="Times New Roman"/>
          <w:iCs/>
          <w:sz w:val="24"/>
          <w:szCs w:val="24"/>
          <w:lang w:eastAsia="ko-KR"/>
        </w:rPr>
        <w:t xml:space="preserve"> results</w:t>
      </w:r>
      <w:r w:rsidR="00B87C16" w:rsidRPr="008F511F">
        <w:rPr>
          <w:rFonts w:ascii="Times New Roman" w:eastAsia="Malgun Gothic" w:hAnsi="Times New Roman" w:cs="Times New Roman"/>
          <w:iCs/>
          <w:sz w:val="24"/>
          <w:szCs w:val="24"/>
          <w:lang w:eastAsia="ko-KR"/>
        </w:rPr>
        <w:t xml:space="preserve"> indicat</w:t>
      </w:r>
      <w:r w:rsidRPr="008F511F">
        <w:rPr>
          <w:rFonts w:ascii="Times New Roman" w:eastAsia="Malgun Gothic" w:hAnsi="Times New Roman" w:cs="Times New Roman"/>
          <w:iCs/>
          <w:sz w:val="24"/>
          <w:szCs w:val="24"/>
          <w:lang w:eastAsia="ko-KR"/>
        </w:rPr>
        <w:t>e</w:t>
      </w:r>
      <w:r w:rsidR="00B87C16" w:rsidRPr="008F511F">
        <w:rPr>
          <w:rFonts w:ascii="Times New Roman" w:eastAsia="Malgun Gothic" w:hAnsi="Times New Roman" w:cs="Times New Roman"/>
          <w:iCs/>
          <w:sz w:val="24"/>
          <w:szCs w:val="24"/>
          <w:lang w:eastAsia="ko-KR"/>
        </w:rPr>
        <w:t xml:space="preserve"> th</w:t>
      </w:r>
      <w:r w:rsidR="00B161C0" w:rsidRPr="008F511F">
        <w:rPr>
          <w:rFonts w:ascii="Times New Roman" w:eastAsia="Malgun Gothic" w:hAnsi="Times New Roman" w:cs="Times New Roman"/>
          <w:iCs/>
          <w:sz w:val="24"/>
          <w:szCs w:val="24"/>
          <w:lang w:eastAsia="ko-KR"/>
        </w:rPr>
        <w:t>e asymmetric spillovers between return and volume, suggesting that investors should formulate different strategies during normal and extreme bullish and extreme bearish market conditions of NFTs.</w:t>
      </w:r>
      <w:r w:rsidRPr="008F511F">
        <w:rPr>
          <w:rFonts w:ascii="Times New Roman" w:eastAsia="Malgun Gothic" w:hAnsi="Times New Roman" w:cs="Times New Roman"/>
          <w:iCs/>
          <w:sz w:val="24"/>
          <w:szCs w:val="24"/>
          <w:lang w:eastAsia="ko-KR"/>
        </w:rPr>
        <w:t xml:space="preserve"> These findings are in line with</w:t>
      </w:r>
      <w:r w:rsidR="00B161C0" w:rsidRPr="008F511F">
        <w:rPr>
          <w:rFonts w:ascii="Times New Roman" w:eastAsia="Malgun Gothic" w:hAnsi="Times New Roman" w:cs="Times New Roman"/>
          <w:iCs/>
          <w:sz w:val="24"/>
          <w:szCs w:val="24"/>
          <w:lang w:eastAsia="ko-KR"/>
        </w:rPr>
        <w:t xml:space="preserve"> </w:t>
      </w:r>
      <w:r w:rsidR="00BD1656" w:rsidRPr="008F511F">
        <w:rPr>
          <w:rFonts w:ascii="Times New Roman" w:eastAsia="Malgun Gothic" w:hAnsi="Times New Roman" w:cs="Times New Roman"/>
          <w:iCs/>
          <w:sz w:val="24"/>
          <w:szCs w:val="24"/>
          <w:lang w:eastAsia="ko-KR"/>
        </w:rPr>
        <w:t xml:space="preserve">Naeem et al. (2020) </w:t>
      </w:r>
      <w:r w:rsidRPr="008F511F">
        <w:rPr>
          <w:rFonts w:ascii="Times New Roman" w:eastAsia="Malgun Gothic" w:hAnsi="Times New Roman" w:cs="Times New Roman"/>
          <w:iCs/>
          <w:sz w:val="24"/>
          <w:szCs w:val="24"/>
          <w:lang w:eastAsia="ko-KR"/>
        </w:rPr>
        <w:t xml:space="preserve">who </w:t>
      </w:r>
      <w:r w:rsidR="00BD1656" w:rsidRPr="008F511F">
        <w:rPr>
          <w:rFonts w:ascii="Times New Roman" w:eastAsia="Malgun Gothic" w:hAnsi="Times New Roman" w:cs="Times New Roman"/>
          <w:iCs/>
          <w:sz w:val="24"/>
          <w:szCs w:val="24"/>
          <w:lang w:eastAsia="ko-KR"/>
        </w:rPr>
        <w:t xml:space="preserve">also provide the evidence of asymmetric tail connectedness between volume and returns of </w:t>
      </w:r>
      <w:r w:rsidR="00665635" w:rsidRPr="008F511F">
        <w:rPr>
          <w:rFonts w:ascii="Times New Roman" w:eastAsia="Malgun Gothic" w:hAnsi="Times New Roman" w:cs="Times New Roman"/>
          <w:iCs/>
          <w:sz w:val="24"/>
          <w:szCs w:val="24"/>
          <w:lang w:eastAsia="ko-KR"/>
        </w:rPr>
        <w:t xml:space="preserve">fungible cryptocurrencies, like </w:t>
      </w:r>
      <w:r w:rsidR="00BD1656" w:rsidRPr="008F511F">
        <w:rPr>
          <w:rFonts w:ascii="Times New Roman" w:eastAsia="Malgun Gothic" w:hAnsi="Times New Roman" w:cs="Times New Roman"/>
          <w:iCs/>
          <w:sz w:val="24"/>
          <w:szCs w:val="24"/>
          <w:lang w:eastAsia="ko-KR"/>
        </w:rPr>
        <w:t xml:space="preserve">Bitcoin, Ethereum, and Litecoin. </w:t>
      </w:r>
      <w:r w:rsidR="00634DCA" w:rsidRPr="008F511F">
        <w:rPr>
          <w:rFonts w:ascii="Times New Roman" w:eastAsia="Malgun Gothic" w:hAnsi="Times New Roman" w:cs="Times New Roman"/>
          <w:iCs/>
          <w:sz w:val="24"/>
          <w:szCs w:val="24"/>
          <w:lang w:eastAsia="ko-KR"/>
        </w:rPr>
        <w:t xml:space="preserve">The </w:t>
      </w:r>
      <w:r w:rsidR="00304B6F" w:rsidRPr="008F511F">
        <w:rPr>
          <w:rFonts w:ascii="Times New Roman" w:eastAsia="Malgun Gothic" w:hAnsi="Times New Roman" w:cs="Times New Roman"/>
          <w:iCs/>
          <w:sz w:val="24"/>
          <w:szCs w:val="24"/>
          <w:lang w:eastAsia="ko-KR"/>
        </w:rPr>
        <w:t>net spillover of returns is positive at median quantile in three NFTs, showing that the direction of spillovers is from return to volume in three NFTs</w:t>
      </w:r>
      <w:r w:rsidRPr="008F511F">
        <w:rPr>
          <w:rFonts w:ascii="Times New Roman" w:eastAsia="Malgun Gothic" w:hAnsi="Times New Roman" w:cs="Times New Roman"/>
          <w:iCs/>
          <w:sz w:val="24"/>
          <w:szCs w:val="24"/>
          <w:lang w:eastAsia="ko-KR"/>
        </w:rPr>
        <w:t xml:space="preserve"> analyzed</w:t>
      </w:r>
      <w:r w:rsidR="00304B6F" w:rsidRPr="008F511F">
        <w:rPr>
          <w:rFonts w:ascii="Times New Roman" w:eastAsia="Malgun Gothic" w:hAnsi="Times New Roman" w:cs="Times New Roman"/>
          <w:iCs/>
          <w:sz w:val="24"/>
          <w:szCs w:val="24"/>
          <w:lang w:eastAsia="ko-KR"/>
        </w:rPr>
        <w:t>. However, the net spillover of returns is negative at extreme lower (upper) quantile in three NFTs (XTZ and ENJ)</w:t>
      </w:r>
      <w:r w:rsidR="001F0850" w:rsidRPr="008F511F">
        <w:rPr>
          <w:rFonts w:ascii="Times New Roman" w:eastAsia="Malgun Gothic" w:hAnsi="Times New Roman" w:cs="Times New Roman"/>
          <w:iCs/>
          <w:sz w:val="24"/>
          <w:szCs w:val="24"/>
          <w:lang w:eastAsia="ko-KR"/>
        </w:rPr>
        <w:t>, therefore the direction of spillover is from volume to returns in extreme upper and lower quantiles</w:t>
      </w:r>
      <w:r w:rsidR="00030D94" w:rsidRPr="008F511F">
        <w:rPr>
          <w:rFonts w:ascii="Times New Roman" w:eastAsia="Malgun Gothic" w:hAnsi="Times New Roman" w:cs="Times New Roman"/>
          <w:iCs/>
          <w:sz w:val="24"/>
          <w:szCs w:val="24"/>
          <w:lang w:eastAsia="ko-KR"/>
        </w:rPr>
        <w:t xml:space="preserve">, </w:t>
      </w:r>
      <w:bookmarkStart w:id="2" w:name="_Hlk89086892"/>
      <w:r w:rsidR="00030D94" w:rsidRPr="008F511F">
        <w:rPr>
          <w:rFonts w:ascii="Times New Roman" w:eastAsia="Malgun Gothic" w:hAnsi="Times New Roman" w:cs="Times New Roman"/>
          <w:iCs/>
          <w:sz w:val="24"/>
          <w:szCs w:val="24"/>
          <w:lang w:eastAsia="ko-KR"/>
        </w:rPr>
        <w:t>in line with anti-efficiency market hypothesis</w:t>
      </w:r>
      <w:r w:rsidR="001F0850" w:rsidRPr="008F511F">
        <w:rPr>
          <w:rFonts w:ascii="Times New Roman" w:eastAsia="Malgun Gothic" w:hAnsi="Times New Roman" w:cs="Times New Roman"/>
          <w:iCs/>
          <w:sz w:val="24"/>
          <w:szCs w:val="24"/>
          <w:lang w:eastAsia="ko-KR"/>
        </w:rPr>
        <w:t>.</w:t>
      </w:r>
      <w:bookmarkEnd w:id="2"/>
      <w:r w:rsidR="001F0850" w:rsidRPr="008F511F">
        <w:rPr>
          <w:rFonts w:ascii="Times New Roman" w:eastAsia="Malgun Gothic" w:hAnsi="Times New Roman" w:cs="Times New Roman"/>
          <w:iCs/>
          <w:sz w:val="24"/>
          <w:szCs w:val="24"/>
          <w:lang w:eastAsia="ko-KR"/>
        </w:rPr>
        <w:t xml:space="preserve"> These results suggest that the volume has predictive power for returns only in extreme bullish and bearish market conditions</w:t>
      </w:r>
      <w:r w:rsidR="0083726A" w:rsidRPr="008F511F">
        <w:rPr>
          <w:rFonts w:ascii="Times New Roman" w:eastAsia="Malgun Gothic" w:hAnsi="Times New Roman" w:cs="Times New Roman"/>
          <w:iCs/>
          <w:sz w:val="24"/>
          <w:szCs w:val="24"/>
          <w:lang w:eastAsia="ko-KR"/>
        </w:rPr>
        <w:t>, which indicates the NFT market as inefficient market</w:t>
      </w:r>
      <w:r w:rsidR="001F0850" w:rsidRPr="008F511F">
        <w:rPr>
          <w:rFonts w:ascii="Times New Roman" w:eastAsia="Malgun Gothic" w:hAnsi="Times New Roman" w:cs="Times New Roman"/>
          <w:iCs/>
          <w:sz w:val="24"/>
          <w:szCs w:val="24"/>
          <w:lang w:eastAsia="ko-KR"/>
        </w:rPr>
        <w:t xml:space="preserve">. </w:t>
      </w:r>
      <w:r w:rsidR="002229BE" w:rsidRPr="008F511F">
        <w:rPr>
          <w:rFonts w:ascii="Times New Roman" w:eastAsia="Malgun Gothic" w:hAnsi="Times New Roman" w:cs="Times New Roman"/>
          <w:iCs/>
          <w:sz w:val="24"/>
          <w:szCs w:val="24"/>
          <w:lang w:eastAsia="ko-KR"/>
        </w:rPr>
        <w:t xml:space="preserve">This predictive power of volume for returns in extreme market conditions is also useful to make trading decisions. </w:t>
      </w:r>
      <w:proofErr w:type="spellStart"/>
      <w:r w:rsidR="0060145D" w:rsidRPr="008F511F">
        <w:rPr>
          <w:rFonts w:ascii="Times New Roman" w:eastAsia="Malgun Gothic" w:hAnsi="Times New Roman" w:cs="Times New Roman"/>
          <w:iCs/>
          <w:sz w:val="24"/>
          <w:szCs w:val="24"/>
          <w:lang w:eastAsia="ko-KR"/>
        </w:rPr>
        <w:t>Bouri</w:t>
      </w:r>
      <w:proofErr w:type="spellEnd"/>
      <w:r w:rsidR="0060145D" w:rsidRPr="008F511F">
        <w:rPr>
          <w:rFonts w:ascii="Times New Roman" w:eastAsia="Malgun Gothic" w:hAnsi="Times New Roman" w:cs="Times New Roman"/>
          <w:iCs/>
          <w:sz w:val="24"/>
          <w:szCs w:val="24"/>
          <w:lang w:eastAsia="ko-KR"/>
        </w:rPr>
        <w:t xml:space="preserve"> et al. (2019) report the volume as predictor of positive and negative returns </w:t>
      </w:r>
      <w:r w:rsidR="00980D23" w:rsidRPr="008F511F">
        <w:rPr>
          <w:rFonts w:ascii="Times New Roman" w:eastAsia="Malgun Gothic" w:hAnsi="Times New Roman" w:cs="Times New Roman"/>
          <w:iCs/>
          <w:sz w:val="24"/>
          <w:szCs w:val="24"/>
          <w:lang w:eastAsia="ko-KR"/>
        </w:rPr>
        <w:t xml:space="preserve">in </w:t>
      </w:r>
      <w:r w:rsidR="008C7056" w:rsidRPr="008F511F">
        <w:rPr>
          <w:rFonts w:ascii="Times New Roman" w:eastAsia="Malgun Gothic" w:hAnsi="Times New Roman" w:cs="Times New Roman"/>
          <w:iCs/>
          <w:sz w:val="24"/>
          <w:szCs w:val="24"/>
          <w:lang w:eastAsia="ko-KR"/>
        </w:rPr>
        <w:t xml:space="preserve">leading </w:t>
      </w:r>
      <w:r w:rsidR="00980D23" w:rsidRPr="008F511F">
        <w:rPr>
          <w:rFonts w:ascii="Times New Roman" w:eastAsia="Malgun Gothic" w:hAnsi="Times New Roman" w:cs="Times New Roman"/>
          <w:iCs/>
          <w:sz w:val="24"/>
          <w:szCs w:val="24"/>
          <w:lang w:eastAsia="ko-KR"/>
        </w:rPr>
        <w:t>(</w:t>
      </w:r>
      <w:r w:rsidR="008C7056" w:rsidRPr="008F511F">
        <w:rPr>
          <w:rFonts w:ascii="Times New Roman" w:eastAsia="Malgun Gothic" w:hAnsi="Times New Roman" w:cs="Times New Roman"/>
          <w:iCs/>
          <w:sz w:val="24"/>
          <w:szCs w:val="24"/>
          <w:lang w:eastAsia="ko-KR"/>
        </w:rPr>
        <w:t>fungible</w:t>
      </w:r>
      <w:r w:rsidR="00980D23" w:rsidRPr="008F511F">
        <w:rPr>
          <w:rFonts w:ascii="Times New Roman" w:eastAsia="Malgun Gothic" w:hAnsi="Times New Roman" w:cs="Times New Roman"/>
          <w:iCs/>
          <w:sz w:val="24"/>
          <w:szCs w:val="24"/>
          <w:lang w:eastAsia="ko-KR"/>
        </w:rPr>
        <w:t xml:space="preserve">) </w:t>
      </w:r>
      <w:r w:rsidR="008C7056" w:rsidRPr="008F511F">
        <w:rPr>
          <w:rFonts w:ascii="Times New Roman" w:eastAsia="Malgun Gothic" w:hAnsi="Times New Roman" w:cs="Times New Roman"/>
          <w:iCs/>
          <w:sz w:val="24"/>
          <w:szCs w:val="24"/>
          <w:lang w:eastAsia="ko-KR"/>
        </w:rPr>
        <w:t>cryptocurrencies</w:t>
      </w:r>
      <w:r w:rsidR="0060145D" w:rsidRPr="008F511F">
        <w:rPr>
          <w:rFonts w:ascii="Times New Roman" w:eastAsia="Malgun Gothic" w:hAnsi="Times New Roman" w:cs="Times New Roman"/>
          <w:iCs/>
          <w:sz w:val="24"/>
          <w:szCs w:val="24"/>
          <w:lang w:eastAsia="ko-KR"/>
        </w:rPr>
        <w:t xml:space="preserve">. </w:t>
      </w:r>
      <w:r w:rsidR="00151FA0" w:rsidRPr="008F511F">
        <w:rPr>
          <w:rFonts w:ascii="Times New Roman" w:eastAsia="Malgun Gothic" w:hAnsi="Times New Roman" w:cs="Times New Roman"/>
          <w:iCs/>
          <w:sz w:val="24"/>
          <w:szCs w:val="24"/>
          <w:lang w:eastAsia="ko-KR"/>
        </w:rPr>
        <w:t>Further, volume is not the predictor for returns in the extreme bullish market condition for THETA because the net spillover of returns is positive for THETA in upper quantile.</w:t>
      </w:r>
    </w:p>
    <w:p w14:paraId="2B9EA19F" w14:textId="1436F386" w:rsidR="00814B30" w:rsidRPr="008F511F" w:rsidRDefault="00814B30" w:rsidP="007F7F54">
      <w:pPr>
        <w:spacing w:after="0" w:line="360" w:lineRule="auto"/>
        <w:jc w:val="center"/>
        <w:rPr>
          <w:rFonts w:ascii="Times New Roman" w:eastAsia="Malgun Gothic" w:hAnsi="Times New Roman" w:cs="Times New Roman"/>
          <w:iCs/>
          <w:sz w:val="24"/>
          <w:szCs w:val="24"/>
          <w:lang w:eastAsia="ko-KR"/>
        </w:rPr>
      </w:pPr>
      <w:r w:rsidRPr="008F511F">
        <w:rPr>
          <w:rFonts w:ascii="Times New Roman" w:eastAsia="Malgun Gothic" w:hAnsi="Times New Roman" w:cs="Times New Roman"/>
          <w:iCs/>
          <w:sz w:val="24"/>
          <w:szCs w:val="24"/>
          <w:lang w:eastAsia="ko-KR"/>
        </w:rPr>
        <w:t>[Table 2 here]</w:t>
      </w:r>
    </w:p>
    <w:p w14:paraId="10AEDB3D" w14:textId="71CB1EC6" w:rsidR="00814B30" w:rsidRPr="008F511F" w:rsidRDefault="00135F1C" w:rsidP="007F7F54">
      <w:pPr>
        <w:spacing w:after="0" w:line="360" w:lineRule="auto"/>
        <w:ind w:firstLine="720"/>
        <w:jc w:val="both"/>
        <w:rPr>
          <w:rFonts w:ascii="Times New Roman" w:eastAsia="Malgun Gothic" w:hAnsi="Times New Roman" w:cs="Times New Roman"/>
          <w:iCs/>
          <w:sz w:val="24"/>
          <w:szCs w:val="24"/>
          <w:lang w:eastAsia="ko-KR"/>
        </w:rPr>
      </w:pPr>
      <w:r w:rsidRPr="008F511F">
        <w:rPr>
          <w:rFonts w:ascii="Times New Roman" w:eastAsia="Malgun Gothic" w:hAnsi="Times New Roman" w:cs="Times New Roman"/>
          <w:iCs/>
          <w:sz w:val="24"/>
          <w:szCs w:val="24"/>
          <w:lang w:eastAsia="ko-KR"/>
        </w:rPr>
        <w:t>Second, the results of static quantile-based spillovers between volatility and volume</w:t>
      </w:r>
      <w:r w:rsidR="0062017E" w:rsidRPr="008F511F">
        <w:rPr>
          <w:rFonts w:ascii="Times New Roman" w:eastAsia="Malgun Gothic" w:hAnsi="Times New Roman" w:cs="Times New Roman"/>
          <w:iCs/>
          <w:sz w:val="24"/>
          <w:szCs w:val="24"/>
          <w:lang w:eastAsia="ko-KR"/>
        </w:rPr>
        <w:t xml:space="preserve"> presented in</w:t>
      </w:r>
      <w:r w:rsidR="00814B30" w:rsidRPr="008F511F">
        <w:rPr>
          <w:rFonts w:ascii="Times New Roman" w:eastAsia="Malgun Gothic" w:hAnsi="Times New Roman" w:cs="Times New Roman"/>
          <w:iCs/>
          <w:sz w:val="24"/>
          <w:szCs w:val="24"/>
          <w:lang w:eastAsia="ko-KR"/>
        </w:rPr>
        <w:t xml:space="preserve"> Table 3</w:t>
      </w:r>
      <w:r w:rsidR="0062017E" w:rsidRPr="008F511F">
        <w:rPr>
          <w:rFonts w:ascii="Times New Roman" w:eastAsia="Malgun Gothic" w:hAnsi="Times New Roman" w:cs="Times New Roman"/>
          <w:iCs/>
          <w:sz w:val="24"/>
          <w:szCs w:val="24"/>
          <w:lang w:eastAsia="ko-KR"/>
        </w:rPr>
        <w:t xml:space="preserve"> show that t</w:t>
      </w:r>
      <w:r w:rsidRPr="008F511F">
        <w:rPr>
          <w:rFonts w:ascii="Times New Roman" w:eastAsia="Malgun Gothic" w:hAnsi="Times New Roman" w:cs="Times New Roman"/>
          <w:iCs/>
          <w:sz w:val="24"/>
          <w:szCs w:val="24"/>
          <w:lang w:eastAsia="ko-KR"/>
        </w:rPr>
        <w:t xml:space="preserve">he total connectedness index is higher in upper quantile compared to the lower and median quantiles, providing the evidence of asymmetric connectedness between volatility and volume of three NFTs. </w:t>
      </w:r>
      <w:r w:rsidR="009E2179" w:rsidRPr="008F511F">
        <w:rPr>
          <w:rFonts w:ascii="Times New Roman" w:eastAsia="Malgun Gothic" w:hAnsi="Times New Roman" w:cs="Times New Roman"/>
          <w:iCs/>
          <w:sz w:val="24"/>
          <w:szCs w:val="24"/>
          <w:lang w:eastAsia="ko-KR"/>
        </w:rPr>
        <w:t>At median quantile, the net spillover of volatility is negative in THETA and XTZ but positive in ENJ, indicating th</w:t>
      </w:r>
      <w:r w:rsidR="00945B5E" w:rsidRPr="008F511F">
        <w:rPr>
          <w:rFonts w:ascii="Times New Roman" w:eastAsia="Malgun Gothic" w:hAnsi="Times New Roman" w:cs="Times New Roman"/>
          <w:iCs/>
          <w:sz w:val="24"/>
          <w:szCs w:val="24"/>
          <w:lang w:eastAsia="ko-KR"/>
        </w:rPr>
        <w:t xml:space="preserve">at volume can be used to forecast </w:t>
      </w:r>
      <w:r w:rsidR="00851707" w:rsidRPr="008F511F">
        <w:rPr>
          <w:rFonts w:ascii="Times New Roman" w:eastAsia="Malgun Gothic" w:hAnsi="Times New Roman" w:cs="Times New Roman"/>
          <w:iCs/>
          <w:sz w:val="24"/>
          <w:szCs w:val="24"/>
          <w:lang w:eastAsia="ko-KR"/>
        </w:rPr>
        <w:t>volatility</w:t>
      </w:r>
      <w:r w:rsidR="00945B5E" w:rsidRPr="008F511F">
        <w:rPr>
          <w:rFonts w:ascii="Times New Roman" w:eastAsia="Malgun Gothic" w:hAnsi="Times New Roman" w:cs="Times New Roman"/>
          <w:iCs/>
          <w:sz w:val="24"/>
          <w:szCs w:val="24"/>
          <w:lang w:eastAsia="ko-KR"/>
        </w:rPr>
        <w:t xml:space="preserve"> of THETA and XTZ in normal or average market conditions. </w:t>
      </w:r>
      <w:proofErr w:type="spellStart"/>
      <w:r w:rsidR="00465289" w:rsidRPr="008F511F">
        <w:rPr>
          <w:rFonts w:ascii="Times New Roman" w:eastAsia="Malgun Gothic" w:hAnsi="Times New Roman" w:cs="Times New Roman"/>
          <w:iCs/>
          <w:sz w:val="24"/>
          <w:szCs w:val="24"/>
          <w:lang w:eastAsia="ko-KR"/>
        </w:rPr>
        <w:t>Bouri</w:t>
      </w:r>
      <w:proofErr w:type="spellEnd"/>
      <w:r w:rsidR="00465289" w:rsidRPr="008F511F">
        <w:rPr>
          <w:rFonts w:ascii="Times New Roman" w:eastAsia="Malgun Gothic" w:hAnsi="Times New Roman" w:cs="Times New Roman"/>
          <w:iCs/>
          <w:sz w:val="24"/>
          <w:szCs w:val="24"/>
          <w:lang w:eastAsia="ko-KR"/>
        </w:rPr>
        <w:t xml:space="preserve"> et al. (2019) report that volume can forec</w:t>
      </w:r>
      <w:r w:rsidR="0005245C" w:rsidRPr="008F511F">
        <w:rPr>
          <w:rFonts w:ascii="Times New Roman" w:eastAsia="Malgun Gothic" w:hAnsi="Times New Roman" w:cs="Times New Roman"/>
          <w:iCs/>
          <w:sz w:val="24"/>
          <w:szCs w:val="24"/>
          <w:lang w:eastAsia="ko-KR"/>
        </w:rPr>
        <w:t>a</w:t>
      </w:r>
      <w:r w:rsidR="00465289" w:rsidRPr="008F511F">
        <w:rPr>
          <w:rFonts w:ascii="Times New Roman" w:eastAsia="Malgun Gothic" w:hAnsi="Times New Roman" w:cs="Times New Roman"/>
          <w:iCs/>
          <w:sz w:val="24"/>
          <w:szCs w:val="24"/>
          <w:lang w:eastAsia="ko-KR"/>
        </w:rPr>
        <w:t xml:space="preserve">st volatility of only few traditional </w:t>
      </w:r>
      <w:r w:rsidR="00665635" w:rsidRPr="008F511F">
        <w:rPr>
          <w:rFonts w:ascii="Times New Roman" w:eastAsia="Malgun Gothic" w:hAnsi="Times New Roman" w:cs="Times New Roman"/>
          <w:iCs/>
          <w:sz w:val="24"/>
          <w:szCs w:val="24"/>
          <w:lang w:eastAsia="ko-KR"/>
        </w:rPr>
        <w:t xml:space="preserve">fungible </w:t>
      </w:r>
      <w:r w:rsidR="00465289" w:rsidRPr="008F511F">
        <w:rPr>
          <w:rFonts w:ascii="Times New Roman" w:eastAsia="Malgun Gothic" w:hAnsi="Times New Roman" w:cs="Times New Roman"/>
          <w:iCs/>
          <w:sz w:val="24"/>
          <w:szCs w:val="24"/>
          <w:lang w:eastAsia="ko-KR"/>
        </w:rPr>
        <w:t>cryptocurrencies</w:t>
      </w:r>
      <w:r w:rsidR="0062017E" w:rsidRPr="008F511F">
        <w:rPr>
          <w:rFonts w:ascii="Times New Roman" w:eastAsia="Malgun Gothic" w:hAnsi="Times New Roman" w:cs="Times New Roman"/>
          <w:iCs/>
          <w:sz w:val="24"/>
          <w:szCs w:val="24"/>
          <w:lang w:eastAsia="ko-KR"/>
        </w:rPr>
        <w:t xml:space="preserve">, and our results add to their findings providing </w:t>
      </w:r>
      <w:r w:rsidR="00665635" w:rsidRPr="008F511F">
        <w:rPr>
          <w:rFonts w:ascii="Times New Roman" w:eastAsia="Malgun Gothic" w:hAnsi="Times New Roman" w:cs="Times New Roman"/>
          <w:iCs/>
          <w:sz w:val="24"/>
          <w:szCs w:val="24"/>
          <w:lang w:eastAsia="ko-KR"/>
        </w:rPr>
        <w:t>novel evidence</w:t>
      </w:r>
      <w:r w:rsidR="0062017E" w:rsidRPr="008F511F">
        <w:rPr>
          <w:rFonts w:ascii="Times New Roman" w:eastAsia="Malgun Gothic" w:hAnsi="Times New Roman" w:cs="Times New Roman"/>
          <w:iCs/>
          <w:sz w:val="24"/>
          <w:szCs w:val="24"/>
          <w:lang w:eastAsia="ko-KR"/>
        </w:rPr>
        <w:t xml:space="preserve"> from </w:t>
      </w:r>
      <w:r w:rsidR="00665635" w:rsidRPr="008F511F">
        <w:rPr>
          <w:rFonts w:ascii="Times New Roman" w:eastAsia="Malgun Gothic" w:hAnsi="Times New Roman" w:cs="Times New Roman"/>
          <w:iCs/>
          <w:sz w:val="24"/>
          <w:szCs w:val="24"/>
          <w:lang w:eastAsia="ko-KR"/>
        </w:rPr>
        <w:t>non-fungible cryptocurrencies</w:t>
      </w:r>
      <w:r w:rsidR="00567609" w:rsidRPr="008F511F">
        <w:rPr>
          <w:rFonts w:ascii="Times New Roman" w:eastAsia="Malgun Gothic" w:hAnsi="Times New Roman" w:cs="Times New Roman"/>
          <w:iCs/>
          <w:sz w:val="24"/>
          <w:szCs w:val="24"/>
          <w:lang w:eastAsia="ko-KR"/>
        </w:rPr>
        <w:t xml:space="preserve">. </w:t>
      </w:r>
      <w:r w:rsidR="00945B5E" w:rsidRPr="008F511F">
        <w:rPr>
          <w:rFonts w:ascii="Times New Roman" w:eastAsia="Malgun Gothic" w:hAnsi="Times New Roman" w:cs="Times New Roman"/>
          <w:iCs/>
          <w:sz w:val="24"/>
          <w:szCs w:val="24"/>
          <w:lang w:eastAsia="ko-KR"/>
        </w:rPr>
        <w:t xml:space="preserve">In the upper and lower quantiles, the net spillover of volatility is negative in three NFTs therefore volatility is the net recipient of spillover from </w:t>
      </w:r>
      <w:r w:rsidR="00851707" w:rsidRPr="008F511F">
        <w:rPr>
          <w:rFonts w:ascii="Times New Roman" w:eastAsia="Malgun Gothic" w:hAnsi="Times New Roman" w:cs="Times New Roman"/>
          <w:iCs/>
          <w:sz w:val="24"/>
          <w:szCs w:val="24"/>
          <w:lang w:eastAsia="ko-KR"/>
        </w:rPr>
        <w:t>volume</w:t>
      </w:r>
      <w:r w:rsidR="00C1202D" w:rsidRPr="008F511F">
        <w:rPr>
          <w:rFonts w:ascii="Times New Roman" w:eastAsia="Malgun Gothic" w:hAnsi="Times New Roman" w:cs="Times New Roman"/>
          <w:iCs/>
          <w:sz w:val="24"/>
          <w:szCs w:val="24"/>
          <w:lang w:eastAsia="ko-KR"/>
        </w:rPr>
        <w:t xml:space="preserve">, implying that the information content of volume is useful in forecasting the </w:t>
      </w:r>
      <w:r w:rsidR="00A1078B" w:rsidRPr="008F511F">
        <w:rPr>
          <w:rFonts w:ascii="Times New Roman" w:eastAsia="Malgun Gothic" w:hAnsi="Times New Roman" w:cs="Times New Roman"/>
          <w:iCs/>
          <w:sz w:val="24"/>
          <w:szCs w:val="24"/>
          <w:lang w:eastAsia="ko-KR"/>
        </w:rPr>
        <w:t>volatility</w:t>
      </w:r>
      <w:r w:rsidR="00C1202D" w:rsidRPr="008F511F">
        <w:rPr>
          <w:rFonts w:ascii="Times New Roman" w:eastAsia="Malgun Gothic" w:hAnsi="Times New Roman" w:cs="Times New Roman"/>
          <w:iCs/>
          <w:sz w:val="24"/>
          <w:szCs w:val="24"/>
          <w:lang w:eastAsia="ko-KR"/>
        </w:rPr>
        <w:t xml:space="preserve"> of three NFTs in extreme bearish and extreme bullish market conditions.</w:t>
      </w:r>
      <w:r w:rsidR="00030D94" w:rsidRPr="008F511F">
        <w:rPr>
          <w:rFonts w:ascii="Times New Roman" w:eastAsia="Malgun Gothic" w:hAnsi="Times New Roman" w:cs="Times New Roman"/>
          <w:iCs/>
          <w:sz w:val="24"/>
          <w:szCs w:val="24"/>
          <w:lang w:eastAsia="ko-KR"/>
        </w:rPr>
        <w:t xml:space="preserve"> </w:t>
      </w:r>
      <w:r w:rsidR="005B337E" w:rsidRPr="008F511F">
        <w:rPr>
          <w:rFonts w:ascii="Times New Roman" w:eastAsia="Malgun Gothic" w:hAnsi="Times New Roman" w:cs="Times New Roman"/>
          <w:iCs/>
          <w:sz w:val="24"/>
          <w:szCs w:val="24"/>
          <w:lang w:eastAsia="ko-KR"/>
        </w:rPr>
        <w:t>T</w:t>
      </w:r>
      <w:r w:rsidR="00030D94" w:rsidRPr="008F511F">
        <w:rPr>
          <w:rFonts w:ascii="Times New Roman" w:eastAsia="Malgun Gothic" w:hAnsi="Times New Roman" w:cs="Times New Roman"/>
          <w:iCs/>
          <w:sz w:val="24"/>
          <w:szCs w:val="24"/>
          <w:lang w:eastAsia="ko-KR"/>
        </w:rPr>
        <w:t xml:space="preserve">hese findings are in line with anti-efficiency market hypothesis and sequential information arrival </w:t>
      </w:r>
      <w:r w:rsidR="00030D94" w:rsidRPr="008F511F">
        <w:rPr>
          <w:rFonts w:ascii="Times New Roman" w:eastAsia="Malgun Gothic" w:hAnsi="Times New Roman" w:cs="Times New Roman"/>
          <w:iCs/>
          <w:sz w:val="24"/>
          <w:szCs w:val="24"/>
          <w:lang w:eastAsia="ko-KR"/>
        </w:rPr>
        <w:lastRenderedPageBreak/>
        <w:t>hypothesis.</w:t>
      </w:r>
      <w:r w:rsidR="00302B87" w:rsidRPr="008F511F">
        <w:rPr>
          <w:rFonts w:ascii="Times New Roman" w:eastAsia="Malgun Gothic" w:hAnsi="Times New Roman" w:cs="Times New Roman"/>
          <w:iCs/>
          <w:sz w:val="24"/>
          <w:szCs w:val="24"/>
          <w:lang w:eastAsia="ko-KR"/>
        </w:rPr>
        <w:t xml:space="preserve"> We check the robustness of static results by changing the sample period</w:t>
      </w:r>
      <w:r w:rsidR="00302B87" w:rsidRPr="008F511F">
        <w:rPr>
          <w:rStyle w:val="FootnoteReference"/>
          <w:rFonts w:ascii="Times New Roman" w:eastAsia="Malgun Gothic" w:hAnsi="Times New Roman" w:cs="Times New Roman"/>
          <w:iCs/>
          <w:sz w:val="24"/>
          <w:szCs w:val="24"/>
          <w:lang w:eastAsia="ko-KR"/>
        </w:rPr>
        <w:footnoteReference w:id="3"/>
      </w:r>
      <w:r w:rsidR="00302B87" w:rsidRPr="008F511F">
        <w:rPr>
          <w:rFonts w:ascii="Times New Roman" w:eastAsia="Malgun Gothic" w:hAnsi="Times New Roman" w:cs="Times New Roman"/>
          <w:iCs/>
          <w:sz w:val="24"/>
          <w:szCs w:val="24"/>
          <w:lang w:eastAsia="ko-KR"/>
        </w:rPr>
        <w:t xml:space="preserve"> and empirical method</w:t>
      </w:r>
      <w:r w:rsidR="00DF1A49" w:rsidRPr="008F511F">
        <w:rPr>
          <w:rStyle w:val="FootnoteReference"/>
          <w:rFonts w:ascii="Times New Roman" w:eastAsia="Malgun Gothic" w:hAnsi="Times New Roman" w:cs="Times New Roman"/>
          <w:iCs/>
          <w:sz w:val="24"/>
          <w:szCs w:val="24"/>
          <w:lang w:eastAsia="ko-KR"/>
        </w:rPr>
        <w:footnoteReference w:id="4"/>
      </w:r>
      <w:r w:rsidR="00302B87" w:rsidRPr="008F511F">
        <w:rPr>
          <w:rFonts w:ascii="Times New Roman" w:eastAsia="Malgun Gothic" w:hAnsi="Times New Roman" w:cs="Times New Roman"/>
          <w:iCs/>
          <w:sz w:val="24"/>
          <w:szCs w:val="24"/>
          <w:lang w:eastAsia="ko-KR"/>
        </w:rPr>
        <w:t>, see Table A1, A2, and A3.</w:t>
      </w:r>
    </w:p>
    <w:p w14:paraId="69FAB08C" w14:textId="2C40FD48" w:rsidR="00151FA0" w:rsidRPr="008F511F" w:rsidRDefault="00814B30" w:rsidP="00BD21A4">
      <w:pPr>
        <w:spacing w:before="240" w:line="360" w:lineRule="auto"/>
        <w:jc w:val="center"/>
        <w:rPr>
          <w:rFonts w:ascii="Times New Roman" w:eastAsia="Malgun Gothic" w:hAnsi="Times New Roman" w:cs="Times New Roman"/>
          <w:iCs/>
          <w:sz w:val="24"/>
          <w:szCs w:val="24"/>
          <w:lang w:eastAsia="ko-KR"/>
        </w:rPr>
      </w:pPr>
      <w:r w:rsidRPr="008F511F">
        <w:rPr>
          <w:rFonts w:ascii="Times New Roman" w:eastAsia="Malgun Gothic" w:hAnsi="Times New Roman" w:cs="Times New Roman"/>
          <w:iCs/>
          <w:sz w:val="24"/>
          <w:szCs w:val="24"/>
          <w:lang w:eastAsia="ko-KR"/>
        </w:rPr>
        <w:t>[Table 3 here]</w:t>
      </w:r>
      <w:r w:rsidR="00C1202D" w:rsidRPr="008F511F">
        <w:rPr>
          <w:rFonts w:ascii="Times New Roman" w:eastAsia="Malgun Gothic" w:hAnsi="Times New Roman" w:cs="Times New Roman"/>
          <w:iCs/>
          <w:sz w:val="24"/>
          <w:szCs w:val="24"/>
          <w:lang w:eastAsia="ko-KR"/>
        </w:rPr>
        <w:t xml:space="preserve"> </w:t>
      </w:r>
    </w:p>
    <w:p w14:paraId="5CABB648" w14:textId="38C9EB2F" w:rsidR="00D74018" w:rsidRPr="008F511F" w:rsidRDefault="00C1202D" w:rsidP="00D13DA1">
      <w:pPr>
        <w:spacing w:before="240" w:line="360" w:lineRule="auto"/>
        <w:ind w:firstLine="720"/>
        <w:jc w:val="both"/>
        <w:rPr>
          <w:rFonts w:ascii="Times New Roman" w:eastAsia="Malgun Gothic" w:hAnsi="Times New Roman" w:cs="Times New Roman"/>
          <w:iCs/>
          <w:sz w:val="24"/>
          <w:szCs w:val="24"/>
          <w:lang w:eastAsia="ko-KR"/>
        </w:rPr>
      </w:pPr>
      <w:r w:rsidRPr="008F511F">
        <w:rPr>
          <w:rFonts w:ascii="Times New Roman" w:eastAsia="Malgun Gothic" w:hAnsi="Times New Roman" w:cs="Times New Roman"/>
          <w:iCs/>
          <w:sz w:val="24"/>
          <w:szCs w:val="24"/>
          <w:lang w:eastAsia="ko-KR"/>
        </w:rPr>
        <w:t xml:space="preserve">Third, we </w:t>
      </w:r>
      <w:r w:rsidR="00777294" w:rsidRPr="008F511F">
        <w:rPr>
          <w:rFonts w:ascii="Times New Roman" w:eastAsia="Malgun Gothic" w:hAnsi="Times New Roman" w:cs="Times New Roman"/>
          <w:iCs/>
          <w:sz w:val="24"/>
          <w:szCs w:val="24"/>
          <w:lang w:eastAsia="ko-KR"/>
        </w:rPr>
        <w:t>illustrate</w:t>
      </w:r>
      <w:r w:rsidRPr="008F511F">
        <w:rPr>
          <w:rFonts w:ascii="Times New Roman" w:eastAsia="Malgun Gothic" w:hAnsi="Times New Roman" w:cs="Times New Roman"/>
          <w:iCs/>
          <w:sz w:val="24"/>
          <w:szCs w:val="24"/>
          <w:lang w:eastAsia="ko-KR"/>
        </w:rPr>
        <w:t xml:space="preserve"> the time-varying spillover between returns and volume for three NFTs in Figure </w:t>
      </w:r>
      <w:r w:rsidR="00665635" w:rsidRPr="008F511F">
        <w:rPr>
          <w:rFonts w:ascii="Times New Roman" w:eastAsia="Malgun Gothic" w:hAnsi="Times New Roman" w:cs="Times New Roman"/>
          <w:iCs/>
          <w:sz w:val="24"/>
          <w:szCs w:val="24"/>
          <w:lang w:eastAsia="ko-KR"/>
        </w:rPr>
        <w:t>2, and</w:t>
      </w:r>
      <w:r w:rsidR="0062017E" w:rsidRPr="008F511F">
        <w:rPr>
          <w:rFonts w:ascii="Times New Roman" w:eastAsia="Malgun Gothic" w:hAnsi="Times New Roman" w:cs="Times New Roman"/>
          <w:iCs/>
          <w:sz w:val="24"/>
          <w:szCs w:val="24"/>
          <w:lang w:eastAsia="ko-KR"/>
        </w:rPr>
        <w:t xml:space="preserve"> show that</w:t>
      </w:r>
      <w:r w:rsidR="005A3E55" w:rsidRPr="008F511F">
        <w:rPr>
          <w:rFonts w:ascii="Times New Roman" w:eastAsia="Malgun Gothic" w:hAnsi="Times New Roman" w:cs="Times New Roman"/>
          <w:iCs/>
          <w:sz w:val="24"/>
          <w:szCs w:val="24"/>
          <w:lang w:eastAsia="ko-KR"/>
        </w:rPr>
        <w:t xml:space="preserve"> </w:t>
      </w:r>
      <w:r w:rsidR="0062017E" w:rsidRPr="008F511F">
        <w:rPr>
          <w:rFonts w:ascii="Times New Roman" w:eastAsia="Malgun Gothic" w:hAnsi="Times New Roman" w:cs="Times New Roman"/>
          <w:iCs/>
          <w:sz w:val="24"/>
          <w:szCs w:val="24"/>
          <w:lang w:eastAsia="ko-KR"/>
        </w:rPr>
        <w:t>r</w:t>
      </w:r>
      <w:r w:rsidR="005A3E55" w:rsidRPr="008F511F">
        <w:rPr>
          <w:rFonts w:ascii="Times New Roman" w:eastAsia="Malgun Gothic" w:hAnsi="Times New Roman" w:cs="Times New Roman"/>
          <w:iCs/>
          <w:sz w:val="24"/>
          <w:szCs w:val="24"/>
          <w:lang w:eastAsia="ko-KR"/>
        </w:rPr>
        <w:t>eturns are net transmitters to volume</w:t>
      </w:r>
      <w:r w:rsidR="00333B76" w:rsidRPr="008F511F">
        <w:rPr>
          <w:rFonts w:ascii="Times New Roman" w:eastAsia="Malgun Gothic" w:hAnsi="Times New Roman" w:cs="Times New Roman"/>
          <w:iCs/>
          <w:sz w:val="24"/>
          <w:szCs w:val="24"/>
          <w:lang w:eastAsia="ko-KR"/>
        </w:rPr>
        <w:t xml:space="preserve"> throughout</w:t>
      </w:r>
      <w:r w:rsidR="005A3E55" w:rsidRPr="008F511F">
        <w:rPr>
          <w:rFonts w:ascii="Times New Roman" w:eastAsia="Malgun Gothic" w:hAnsi="Times New Roman" w:cs="Times New Roman"/>
          <w:iCs/>
          <w:sz w:val="24"/>
          <w:szCs w:val="24"/>
          <w:lang w:eastAsia="ko-KR"/>
        </w:rPr>
        <w:t xml:space="preserve"> the</w:t>
      </w:r>
      <w:r w:rsidR="00333B76" w:rsidRPr="008F511F">
        <w:rPr>
          <w:rFonts w:ascii="Times New Roman" w:eastAsia="Malgun Gothic" w:hAnsi="Times New Roman" w:cs="Times New Roman"/>
          <w:iCs/>
          <w:sz w:val="24"/>
          <w:szCs w:val="24"/>
          <w:lang w:eastAsia="ko-KR"/>
        </w:rPr>
        <w:t xml:space="preserve"> whole</w:t>
      </w:r>
      <w:r w:rsidR="005A3E55" w:rsidRPr="008F511F">
        <w:rPr>
          <w:rFonts w:ascii="Times New Roman" w:eastAsia="Malgun Gothic" w:hAnsi="Times New Roman" w:cs="Times New Roman"/>
          <w:iCs/>
          <w:sz w:val="24"/>
          <w:szCs w:val="24"/>
          <w:lang w:eastAsia="ko-KR"/>
        </w:rPr>
        <w:t xml:space="preserve"> </w:t>
      </w:r>
      <w:r w:rsidR="00333B76" w:rsidRPr="008F511F">
        <w:rPr>
          <w:rFonts w:ascii="Times New Roman" w:eastAsia="Malgun Gothic" w:hAnsi="Times New Roman" w:cs="Times New Roman"/>
          <w:iCs/>
          <w:sz w:val="24"/>
          <w:szCs w:val="24"/>
          <w:lang w:eastAsia="ko-KR"/>
        </w:rPr>
        <w:t xml:space="preserve">observation </w:t>
      </w:r>
      <w:r w:rsidR="005A3E55" w:rsidRPr="008F511F">
        <w:rPr>
          <w:rFonts w:ascii="Times New Roman" w:eastAsia="Malgun Gothic" w:hAnsi="Times New Roman" w:cs="Times New Roman"/>
          <w:iCs/>
          <w:sz w:val="24"/>
          <w:szCs w:val="24"/>
          <w:lang w:eastAsia="ko-KR"/>
        </w:rPr>
        <w:t xml:space="preserve">period in THETA and ENJ, whereas returns </w:t>
      </w:r>
      <w:r w:rsidR="0062017E" w:rsidRPr="008F511F">
        <w:rPr>
          <w:rFonts w:ascii="Times New Roman" w:eastAsia="Malgun Gothic" w:hAnsi="Times New Roman" w:cs="Times New Roman"/>
          <w:iCs/>
          <w:sz w:val="24"/>
          <w:szCs w:val="24"/>
          <w:lang w:eastAsia="ko-KR"/>
        </w:rPr>
        <w:t xml:space="preserve">were </w:t>
      </w:r>
      <w:r w:rsidR="005A3E55" w:rsidRPr="008F511F">
        <w:rPr>
          <w:rFonts w:ascii="Times New Roman" w:eastAsia="Malgun Gothic" w:hAnsi="Times New Roman" w:cs="Times New Roman"/>
          <w:iCs/>
          <w:sz w:val="24"/>
          <w:szCs w:val="24"/>
          <w:lang w:eastAsia="ko-KR"/>
        </w:rPr>
        <w:t>net recipient (transmitters) of spillover from (to) volume before (after) third quarter of 2020</w:t>
      </w:r>
      <w:r w:rsidR="0062017E" w:rsidRPr="008F511F">
        <w:rPr>
          <w:rFonts w:ascii="Times New Roman" w:eastAsia="Malgun Gothic" w:hAnsi="Times New Roman" w:cs="Times New Roman"/>
          <w:iCs/>
          <w:sz w:val="24"/>
          <w:szCs w:val="24"/>
          <w:lang w:eastAsia="ko-KR"/>
        </w:rPr>
        <w:t xml:space="preserve"> only</w:t>
      </w:r>
      <w:r w:rsidR="005A3E55" w:rsidRPr="008F511F">
        <w:rPr>
          <w:rFonts w:ascii="Times New Roman" w:eastAsia="Malgun Gothic" w:hAnsi="Times New Roman" w:cs="Times New Roman"/>
          <w:iCs/>
          <w:sz w:val="24"/>
          <w:szCs w:val="24"/>
          <w:lang w:eastAsia="ko-KR"/>
        </w:rPr>
        <w:t xml:space="preserve">. </w:t>
      </w:r>
      <w:r w:rsidR="00CF659C" w:rsidRPr="008F511F">
        <w:rPr>
          <w:rFonts w:ascii="Times New Roman" w:eastAsia="Malgun Gothic" w:hAnsi="Times New Roman" w:cs="Times New Roman"/>
          <w:iCs/>
          <w:sz w:val="24"/>
          <w:szCs w:val="24"/>
          <w:lang w:eastAsia="ko-KR"/>
        </w:rPr>
        <w:t xml:space="preserve"> </w:t>
      </w:r>
      <w:r w:rsidR="00F202B9" w:rsidRPr="008F511F">
        <w:rPr>
          <w:rFonts w:ascii="Times New Roman" w:eastAsia="Malgun Gothic" w:hAnsi="Times New Roman" w:cs="Times New Roman"/>
          <w:iCs/>
          <w:sz w:val="24"/>
          <w:szCs w:val="24"/>
          <w:lang w:eastAsia="ko-KR"/>
        </w:rPr>
        <w:t>In extreme upper and lower quantiles, the status of returns as net recipient or net transmitter varies frequently over time</w:t>
      </w:r>
      <w:r w:rsidR="001550F2" w:rsidRPr="008F511F">
        <w:rPr>
          <w:rFonts w:ascii="Times New Roman" w:eastAsia="Malgun Gothic" w:hAnsi="Times New Roman" w:cs="Times New Roman"/>
          <w:iCs/>
          <w:sz w:val="24"/>
          <w:szCs w:val="24"/>
          <w:lang w:eastAsia="ko-KR"/>
        </w:rPr>
        <w:t>, which is similar to the findings of Naeem et al. (2019) in traditional cryptocurrencies</w:t>
      </w:r>
      <w:r w:rsidR="00F202B9" w:rsidRPr="008F511F">
        <w:rPr>
          <w:rFonts w:ascii="Times New Roman" w:eastAsia="Malgun Gothic" w:hAnsi="Times New Roman" w:cs="Times New Roman"/>
          <w:iCs/>
          <w:sz w:val="24"/>
          <w:szCs w:val="24"/>
          <w:lang w:eastAsia="ko-KR"/>
        </w:rPr>
        <w:t xml:space="preserve">. Figure 3 demonstrates that </w:t>
      </w:r>
      <w:r w:rsidR="00346336" w:rsidRPr="008F511F">
        <w:rPr>
          <w:rFonts w:ascii="Times New Roman" w:eastAsia="Malgun Gothic" w:hAnsi="Times New Roman" w:cs="Times New Roman"/>
          <w:iCs/>
          <w:sz w:val="24"/>
          <w:szCs w:val="24"/>
          <w:lang w:eastAsia="ko-KR"/>
        </w:rPr>
        <w:t>volatility</w:t>
      </w:r>
      <w:r w:rsidR="00C31FA5" w:rsidRPr="008F511F">
        <w:rPr>
          <w:rFonts w:ascii="Times New Roman" w:eastAsia="Malgun Gothic" w:hAnsi="Times New Roman" w:cs="Times New Roman"/>
          <w:iCs/>
          <w:sz w:val="24"/>
          <w:szCs w:val="24"/>
          <w:lang w:eastAsia="ko-KR"/>
        </w:rPr>
        <w:t xml:space="preserve"> </w:t>
      </w:r>
      <w:r w:rsidR="00990766" w:rsidRPr="008F511F">
        <w:rPr>
          <w:rFonts w:ascii="Times New Roman" w:eastAsia="Malgun Gothic" w:hAnsi="Times New Roman" w:cs="Times New Roman"/>
          <w:iCs/>
          <w:sz w:val="24"/>
          <w:szCs w:val="24"/>
          <w:lang w:eastAsia="ko-KR"/>
        </w:rPr>
        <w:t>is</w:t>
      </w:r>
      <w:r w:rsidR="00C31FA5" w:rsidRPr="008F511F">
        <w:rPr>
          <w:rFonts w:ascii="Times New Roman" w:eastAsia="Malgun Gothic" w:hAnsi="Times New Roman" w:cs="Times New Roman"/>
          <w:iCs/>
          <w:sz w:val="24"/>
          <w:szCs w:val="24"/>
          <w:lang w:eastAsia="ko-KR"/>
        </w:rPr>
        <w:t xml:space="preserve"> net </w:t>
      </w:r>
      <w:r w:rsidR="007B50AE" w:rsidRPr="008F511F">
        <w:rPr>
          <w:rFonts w:ascii="Times New Roman" w:eastAsia="Malgun Gothic" w:hAnsi="Times New Roman" w:cs="Times New Roman"/>
          <w:iCs/>
          <w:sz w:val="24"/>
          <w:szCs w:val="24"/>
          <w:lang w:eastAsia="ko-KR"/>
        </w:rPr>
        <w:t>recipient of</w:t>
      </w:r>
      <w:r w:rsidR="00346336" w:rsidRPr="008F511F">
        <w:rPr>
          <w:rFonts w:ascii="Times New Roman" w:eastAsia="Malgun Gothic" w:hAnsi="Times New Roman" w:cs="Times New Roman"/>
          <w:iCs/>
          <w:sz w:val="24"/>
          <w:szCs w:val="24"/>
          <w:lang w:eastAsia="ko-KR"/>
        </w:rPr>
        <w:t xml:space="preserve"> spillover from volume </w:t>
      </w:r>
      <w:r w:rsidR="00C31FA5" w:rsidRPr="008F511F">
        <w:rPr>
          <w:rFonts w:ascii="Times New Roman" w:eastAsia="Malgun Gothic" w:hAnsi="Times New Roman" w:cs="Times New Roman"/>
          <w:iCs/>
          <w:sz w:val="24"/>
          <w:szCs w:val="24"/>
          <w:lang w:eastAsia="ko-KR"/>
        </w:rPr>
        <w:t>before mid of 2020</w:t>
      </w:r>
      <w:r w:rsidR="00346336" w:rsidRPr="008F511F">
        <w:rPr>
          <w:rFonts w:ascii="Times New Roman" w:eastAsia="Malgun Gothic" w:hAnsi="Times New Roman" w:cs="Times New Roman"/>
          <w:iCs/>
          <w:sz w:val="24"/>
          <w:szCs w:val="24"/>
          <w:lang w:eastAsia="ko-KR"/>
        </w:rPr>
        <w:t xml:space="preserve"> in THETA whereas patterns of net spillovers are mixed after that time at median quantile. The status of returns as net recipient or transmitter frequently varies in XTZ and ENJ. </w:t>
      </w:r>
      <w:r w:rsidR="00D74018" w:rsidRPr="008F511F">
        <w:rPr>
          <w:rFonts w:ascii="Times New Roman" w:eastAsia="Malgun Gothic" w:hAnsi="Times New Roman" w:cs="Times New Roman"/>
          <w:iCs/>
          <w:sz w:val="24"/>
          <w:szCs w:val="24"/>
          <w:lang w:eastAsia="ko-KR"/>
        </w:rPr>
        <w:t xml:space="preserve">In extreme bullish conditions, </w:t>
      </w:r>
      <w:r w:rsidR="00346336" w:rsidRPr="008F511F">
        <w:rPr>
          <w:rFonts w:ascii="Times New Roman" w:eastAsia="Malgun Gothic" w:hAnsi="Times New Roman" w:cs="Times New Roman"/>
          <w:iCs/>
          <w:sz w:val="24"/>
          <w:szCs w:val="24"/>
          <w:lang w:eastAsia="ko-KR"/>
        </w:rPr>
        <w:t>volatility is</w:t>
      </w:r>
      <w:r w:rsidR="00D74018" w:rsidRPr="008F511F">
        <w:rPr>
          <w:rFonts w:ascii="Times New Roman" w:eastAsia="Malgun Gothic" w:hAnsi="Times New Roman" w:cs="Times New Roman"/>
          <w:iCs/>
          <w:sz w:val="24"/>
          <w:szCs w:val="24"/>
          <w:lang w:eastAsia="ko-KR"/>
        </w:rPr>
        <w:t xml:space="preserve"> net recipients </w:t>
      </w:r>
      <w:r w:rsidR="00346336" w:rsidRPr="008F511F">
        <w:rPr>
          <w:rFonts w:ascii="Times New Roman" w:eastAsia="Malgun Gothic" w:hAnsi="Times New Roman" w:cs="Times New Roman"/>
          <w:iCs/>
          <w:sz w:val="24"/>
          <w:szCs w:val="24"/>
          <w:lang w:eastAsia="ko-KR"/>
        </w:rPr>
        <w:t xml:space="preserve">of spillover from volume </w:t>
      </w:r>
      <w:r w:rsidR="00D74018" w:rsidRPr="008F511F">
        <w:rPr>
          <w:rFonts w:ascii="Times New Roman" w:eastAsia="Malgun Gothic" w:hAnsi="Times New Roman" w:cs="Times New Roman"/>
          <w:iCs/>
          <w:sz w:val="24"/>
          <w:szCs w:val="24"/>
          <w:lang w:eastAsia="ko-KR"/>
        </w:rPr>
        <w:t xml:space="preserve">over majority sample period in THETA and ENJ, whereas the patterns of extreme upper spillovers are mixed in XTZ over time. </w:t>
      </w:r>
      <w:r w:rsidR="00C31FA5" w:rsidRPr="008F511F">
        <w:rPr>
          <w:rFonts w:ascii="Times New Roman" w:eastAsia="Malgun Gothic" w:hAnsi="Times New Roman" w:cs="Times New Roman"/>
          <w:iCs/>
          <w:sz w:val="24"/>
          <w:szCs w:val="24"/>
          <w:lang w:eastAsia="ko-KR"/>
        </w:rPr>
        <w:t xml:space="preserve">The net spillovers of returns frequently change in extreme lower quantile in three NFTs. </w:t>
      </w:r>
      <w:r w:rsidR="00333B76" w:rsidRPr="008F511F">
        <w:rPr>
          <w:rFonts w:ascii="Times New Roman" w:eastAsia="Malgun Gothic" w:hAnsi="Times New Roman" w:cs="Times New Roman"/>
          <w:iCs/>
          <w:sz w:val="24"/>
          <w:szCs w:val="24"/>
          <w:lang w:eastAsia="ko-KR"/>
        </w:rPr>
        <w:t>To summarize</w:t>
      </w:r>
      <w:r w:rsidR="00346336" w:rsidRPr="008F511F">
        <w:rPr>
          <w:rFonts w:ascii="Times New Roman" w:eastAsia="Malgun Gothic" w:hAnsi="Times New Roman" w:cs="Times New Roman"/>
          <w:iCs/>
          <w:sz w:val="24"/>
          <w:szCs w:val="24"/>
          <w:lang w:eastAsia="ko-KR"/>
        </w:rPr>
        <w:t xml:space="preserve">, </w:t>
      </w:r>
      <w:r w:rsidR="001550F2" w:rsidRPr="008F511F">
        <w:rPr>
          <w:rFonts w:ascii="Times New Roman" w:eastAsia="Malgun Gothic" w:hAnsi="Times New Roman" w:cs="Times New Roman"/>
          <w:iCs/>
          <w:sz w:val="24"/>
          <w:szCs w:val="24"/>
          <w:lang w:eastAsia="ko-KR"/>
        </w:rPr>
        <w:t>t</w:t>
      </w:r>
      <w:r w:rsidR="00346336" w:rsidRPr="008F511F">
        <w:rPr>
          <w:rFonts w:ascii="Times New Roman" w:eastAsia="Malgun Gothic" w:hAnsi="Times New Roman" w:cs="Times New Roman"/>
          <w:iCs/>
          <w:sz w:val="24"/>
          <w:szCs w:val="24"/>
          <w:lang w:eastAsia="ko-KR"/>
        </w:rPr>
        <w:t>he frequent</w:t>
      </w:r>
      <w:r w:rsidR="007B50AE" w:rsidRPr="008F511F">
        <w:rPr>
          <w:rFonts w:ascii="Times New Roman" w:eastAsia="Malgun Gothic" w:hAnsi="Times New Roman" w:cs="Times New Roman"/>
          <w:iCs/>
          <w:sz w:val="24"/>
          <w:szCs w:val="24"/>
          <w:lang w:eastAsia="ko-KR"/>
        </w:rPr>
        <w:t xml:space="preserve"> change in status of returns/volatility as net recipient or transmitter of spillover suggests that investors of NFTs should continuously monitor the movements of market’s trading volume and prices and adjust the investment strategy over time to get higher returns. </w:t>
      </w:r>
    </w:p>
    <w:p w14:paraId="21F8C9DE" w14:textId="08F90B60" w:rsidR="007F7F54" w:rsidRPr="008F511F" w:rsidRDefault="00814B30" w:rsidP="007F7F54">
      <w:pPr>
        <w:spacing w:before="240" w:line="360" w:lineRule="auto"/>
        <w:jc w:val="center"/>
        <w:rPr>
          <w:rFonts w:ascii="Times New Roman" w:eastAsia="Malgun Gothic" w:hAnsi="Times New Roman" w:cs="Times New Roman"/>
          <w:iCs/>
          <w:sz w:val="24"/>
          <w:szCs w:val="24"/>
          <w:lang w:eastAsia="ko-KR"/>
        </w:rPr>
      </w:pPr>
      <w:r w:rsidRPr="008F511F">
        <w:rPr>
          <w:rFonts w:ascii="Times New Roman" w:eastAsia="Malgun Gothic" w:hAnsi="Times New Roman" w:cs="Times New Roman"/>
          <w:iCs/>
          <w:sz w:val="24"/>
          <w:szCs w:val="24"/>
          <w:lang w:eastAsia="ko-KR"/>
        </w:rPr>
        <w:t>[Figure 2 and 3 here]</w:t>
      </w:r>
    </w:p>
    <w:p w14:paraId="6B1FB949" w14:textId="00A21C07" w:rsidR="00051CAE" w:rsidRPr="008F511F" w:rsidRDefault="00FF2C94" w:rsidP="00BD21A4">
      <w:pPr>
        <w:pStyle w:val="ListParagraph"/>
        <w:numPr>
          <w:ilvl w:val="0"/>
          <w:numId w:val="3"/>
        </w:numPr>
        <w:spacing w:before="240" w:line="360" w:lineRule="auto"/>
        <w:jc w:val="both"/>
        <w:rPr>
          <w:rFonts w:ascii="Times New Roman" w:eastAsia="Malgun Gothic" w:hAnsi="Times New Roman" w:cs="Times New Roman"/>
          <w:b/>
          <w:bCs/>
          <w:iCs/>
          <w:sz w:val="28"/>
          <w:szCs w:val="28"/>
          <w:lang w:eastAsia="ko-KR"/>
        </w:rPr>
      </w:pPr>
      <w:r w:rsidRPr="008F511F">
        <w:rPr>
          <w:rFonts w:ascii="Times New Roman" w:eastAsia="Malgun Gothic" w:hAnsi="Times New Roman" w:cs="Times New Roman"/>
          <w:b/>
          <w:bCs/>
          <w:iCs/>
          <w:sz w:val="28"/>
          <w:szCs w:val="28"/>
          <w:lang w:eastAsia="ko-KR"/>
        </w:rPr>
        <w:t>Conclusion</w:t>
      </w:r>
    </w:p>
    <w:p w14:paraId="21652B9F" w14:textId="6EDA1865" w:rsidR="001A20BF" w:rsidRPr="008F511F" w:rsidRDefault="00B572DE" w:rsidP="00B572DE">
      <w:pPr>
        <w:spacing w:before="240" w:line="360" w:lineRule="auto"/>
        <w:jc w:val="both"/>
        <w:rPr>
          <w:rFonts w:ascii="Times New Roman" w:eastAsia="Malgun Gothic" w:hAnsi="Times New Roman" w:cs="Times New Roman"/>
          <w:iCs/>
          <w:sz w:val="24"/>
          <w:szCs w:val="24"/>
          <w:lang w:eastAsia="ko-KR"/>
        </w:rPr>
      </w:pPr>
      <w:r w:rsidRPr="008F511F">
        <w:rPr>
          <w:rFonts w:ascii="Times New Roman" w:eastAsia="Malgun Gothic" w:hAnsi="Times New Roman" w:cs="Times New Roman"/>
          <w:iCs/>
          <w:sz w:val="24"/>
          <w:szCs w:val="24"/>
          <w:lang w:eastAsia="ko-KR"/>
        </w:rPr>
        <w:t>Previous studies</w:t>
      </w:r>
      <w:r w:rsidR="002049CD" w:rsidRPr="008F511F">
        <w:rPr>
          <w:rFonts w:ascii="Times New Roman" w:eastAsia="Malgun Gothic" w:hAnsi="Times New Roman" w:cs="Times New Roman"/>
          <w:iCs/>
          <w:sz w:val="24"/>
          <w:szCs w:val="24"/>
          <w:lang w:eastAsia="ko-KR"/>
        </w:rPr>
        <w:t xml:space="preserve"> have</w:t>
      </w:r>
      <w:r w:rsidRPr="008F511F">
        <w:rPr>
          <w:rFonts w:ascii="Times New Roman" w:eastAsia="Malgun Gothic" w:hAnsi="Times New Roman" w:cs="Times New Roman"/>
          <w:iCs/>
          <w:sz w:val="24"/>
          <w:szCs w:val="24"/>
          <w:lang w:eastAsia="ko-KR"/>
        </w:rPr>
        <w:t xml:space="preserve"> only focus</w:t>
      </w:r>
      <w:r w:rsidR="002049CD" w:rsidRPr="008F511F">
        <w:rPr>
          <w:rFonts w:ascii="Times New Roman" w:eastAsia="Malgun Gothic" w:hAnsi="Times New Roman" w:cs="Times New Roman"/>
          <w:iCs/>
          <w:sz w:val="24"/>
          <w:szCs w:val="24"/>
          <w:lang w:eastAsia="ko-KR"/>
        </w:rPr>
        <w:t>ed</w:t>
      </w:r>
      <w:r w:rsidRPr="008F511F">
        <w:rPr>
          <w:rFonts w:ascii="Times New Roman" w:eastAsia="Malgun Gothic" w:hAnsi="Times New Roman" w:cs="Times New Roman"/>
          <w:iCs/>
          <w:sz w:val="24"/>
          <w:szCs w:val="24"/>
          <w:lang w:eastAsia="ko-KR"/>
        </w:rPr>
        <w:t xml:space="preserve"> on </w:t>
      </w:r>
      <w:r w:rsidR="002049CD" w:rsidRPr="008F511F">
        <w:rPr>
          <w:rFonts w:ascii="Times New Roman" w:eastAsia="Malgun Gothic" w:hAnsi="Times New Roman" w:cs="Times New Roman"/>
          <w:iCs/>
          <w:sz w:val="24"/>
          <w:szCs w:val="24"/>
          <w:lang w:eastAsia="ko-KR"/>
        </w:rPr>
        <w:t xml:space="preserve">the </w:t>
      </w:r>
      <w:r w:rsidRPr="008F511F">
        <w:rPr>
          <w:rFonts w:ascii="Times New Roman" w:eastAsia="Malgun Gothic" w:hAnsi="Times New Roman" w:cs="Times New Roman"/>
          <w:iCs/>
          <w:sz w:val="24"/>
          <w:szCs w:val="24"/>
          <w:lang w:eastAsia="ko-KR"/>
        </w:rPr>
        <w:t xml:space="preserve">examining </w:t>
      </w:r>
      <w:r w:rsidR="002049CD" w:rsidRPr="008F511F">
        <w:rPr>
          <w:rFonts w:ascii="Times New Roman" w:eastAsia="Malgun Gothic" w:hAnsi="Times New Roman" w:cs="Times New Roman"/>
          <w:iCs/>
          <w:sz w:val="24"/>
          <w:szCs w:val="24"/>
          <w:lang w:eastAsia="ko-KR"/>
        </w:rPr>
        <w:t xml:space="preserve">of </w:t>
      </w:r>
      <w:r w:rsidRPr="008F511F">
        <w:rPr>
          <w:rFonts w:ascii="Times New Roman" w:eastAsia="Malgun Gothic" w:hAnsi="Times New Roman" w:cs="Times New Roman"/>
          <w:iCs/>
          <w:sz w:val="24"/>
          <w:szCs w:val="24"/>
          <w:lang w:eastAsia="ko-KR"/>
        </w:rPr>
        <w:t>the return-volume or volatility-volume nexus of fungible tokens</w:t>
      </w:r>
      <w:r w:rsidR="002049CD" w:rsidRPr="008F511F">
        <w:rPr>
          <w:rFonts w:ascii="Times New Roman" w:eastAsia="Malgun Gothic" w:hAnsi="Times New Roman" w:cs="Times New Roman"/>
          <w:iCs/>
          <w:sz w:val="24"/>
          <w:szCs w:val="24"/>
          <w:lang w:eastAsia="ko-KR"/>
        </w:rPr>
        <w:t>, such as Bitcoin and other ‘conventional’ cryptocurrencies</w:t>
      </w:r>
      <w:r w:rsidRPr="008F511F">
        <w:rPr>
          <w:rFonts w:ascii="Times New Roman" w:eastAsia="Malgun Gothic" w:hAnsi="Times New Roman" w:cs="Times New Roman"/>
          <w:iCs/>
          <w:sz w:val="24"/>
          <w:szCs w:val="24"/>
          <w:lang w:eastAsia="ko-KR"/>
        </w:rPr>
        <w:t xml:space="preserve">. </w:t>
      </w:r>
      <w:r w:rsidR="001A20BF" w:rsidRPr="008F511F">
        <w:rPr>
          <w:rFonts w:ascii="Times New Roman" w:eastAsia="Malgun Gothic" w:hAnsi="Times New Roman" w:cs="Times New Roman"/>
          <w:iCs/>
          <w:sz w:val="24"/>
          <w:szCs w:val="24"/>
          <w:lang w:eastAsia="ko-KR"/>
        </w:rPr>
        <w:t>Our results add to a better understanding of return-volume and vol</w:t>
      </w:r>
      <w:r w:rsidR="002049CD" w:rsidRPr="008F511F">
        <w:rPr>
          <w:rFonts w:ascii="Times New Roman" w:eastAsia="Malgun Gothic" w:hAnsi="Times New Roman" w:cs="Times New Roman"/>
          <w:iCs/>
          <w:sz w:val="24"/>
          <w:szCs w:val="24"/>
          <w:lang w:eastAsia="ko-KR"/>
        </w:rPr>
        <w:t>atility-volume relationships of the non-fungible tok</w:t>
      </w:r>
      <w:r w:rsidR="00D36AF4" w:rsidRPr="008F511F">
        <w:rPr>
          <w:rFonts w:ascii="Times New Roman" w:eastAsia="Malgun Gothic" w:hAnsi="Times New Roman" w:cs="Times New Roman"/>
          <w:iCs/>
          <w:sz w:val="24"/>
          <w:szCs w:val="24"/>
          <w:lang w:eastAsia="ko-KR"/>
        </w:rPr>
        <w:t xml:space="preserve">ens, i.e. THETA, </w:t>
      </w:r>
      <w:proofErr w:type="spellStart"/>
      <w:r w:rsidR="00D36AF4" w:rsidRPr="008F511F">
        <w:rPr>
          <w:rFonts w:ascii="Times New Roman" w:eastAsia="Malgun Gothic" w:hAnsi="Times New Roman" w:cs="Times New Roman"/>
          <w:iCs/>
          <w:sz w:val="24"/>
          <w:szCs w:val="24"/>
          <w:lang w:eastAsia="ko-KR"/>
        </w:rPr>
        <w:t>Tezos</w:t>
      </w:r>
      <w:proofErr w:type="spellEnd"/>
      <w:r w:rsidR="00D36AF4" w:rsidRPr="008F511F">
        <w:rPr>
          <w:rFonts w:ascii="Times New Roman" w:eastAsia="Malgun Gothic" w:hAnsi="Times New Roman" w:cs="Times New Roman"/>
          <w:iCs/>
          <w:sz w:val="24"/>
          <w:szCs w:val="24"/>
          <w:lang w:eastAsia="ko-KR"/>
        </w:rPr>
        <w:t xml:space="preserve">, and </w:t>
      </w:r>
      <w:proofErr w:type="spellStart"/>
      <w:r w:rsidR="00D36AF4" w:rsidRPr="008F511F">
        <w:rPr>
          <w:rFonts w:ascii="Times New Roman" w:eastAsia="Malgun Gothic" w:hAnsi="Times New Roman" w:cs="Times New Roman"/>
          <w:iCs/>
          <w:sz w:val="24"/>
          <w:szCs w:val="24"/>
          <w:lang w:eastAsia="ko-KR"/>
        </w:rPr>
        <w:t>Enjin</w:t>
      </w:r>
      <w:proofErr w:type="spellEnd"/>
      <w:r w:rsidR="00D36AF4" w:rsidRPr="008F511F">
        <w:rPr>
          <w:rFonts w:ascii="Times New Roman" w:eastAsia="Malgun Gothic" w:hAnsi="Times New Roman" w:cs="Times New Roman"/>
          <w:iCs/>
          <w:sz w:val="24"/>
          <w:szCs w:val="24"/>
          <w:lang w:eastAsia="ko-KR"/>
        </w:rPr>
        <w:t xml:space="preserve"> Coin that are built on alternative blockchain to increasingly popular among NFT communities Ethereum protocol.</w:t>
      </w:r>
      <w:r w:rsidRPr="008F511F">
        <w:rPr>
          <w:rFonts w:ascii="Times New Roman" w:eastAsia="Malgun Gothic" w:hAnsi="Times New Roman" w:cs="Times New Roman"/>
          <w:iCs/>
          <w:sz w:val="24"/>
          <w:szCs w:val="24"/>
          <w:lang w:eastAsia="ko-KR"/>
        </w:rPr>
        <w:t xml:space="preserve"> </w:t>
      </w:r>
      <w:bookmarkStart w:id="4" w:name="_Hlk99970289"/>
      <w:r w:rsidR="001A20BF" w:rsidRPr="008F511F">
        <w:rPr>
          <w:rFonts w:ascii="Times New Roman" w:eastAsia="Malgun Gothic" w:hAnsi="Times New Roman" w:cs="Times New Roman"/>
          <w:iCs/>
          <w:sz w:val="24"/>
          <w:szCs w:val="24"/>
          <w:lang w:eastAsia="ko-KR"/>
        </w:rPr>
        <w:t>Using Quantile VAR approac</w:t>
      </w:r>
      <w:bookmarkEnd w:id="4"/>
      <w:r w:rsidR="001A20BF" w:rsidRPr="008F511F">
        <w:rPr>
          <w:rFonts w:ascii="Times New Roman" w:eastAsia="Malgun Gothic" w:hAnsi="Times New Roman" w:cs="Times New Roman"/>
          <w:iCs/>
          <w:sz w:val="24"/>
          <w:szCs w:val="24"/>
          <w:lang w:eastAsia="ko-KR"/>
        </w:rPr>
        <w:t xml:space="preserve">h </w:t>
      </w:r>
      <w:r w:rsidR="001A20BF" w:rsidRPr="008F511F">
        <w:rPr>
          <w:rFonts w:ascii="Times New Roman" w:eastAsia="Malgun Gothic" w:hAnsi="Times New Roman" w:cs="Times New Roman"/>
          <w:iCs/>
          <w:sz w:val="24"/>
          <w:szCs w:val="24"/>
          <w:lang w:eastAsia="ko-KR"/>
        </w:rPr>
        <w:lastRenderedPageBreak/>
        <w:t xml:space="preserve">and daily data for three popular NFTs for the period from 17 January 2018 to 20 November 2021, we reveal </w:t>
      </w:r>
      <w:bookmarkStart w:id="5" w:name="_Hlk99970310"/>
      <w:r w:rsidR="001A20BF" w:rsidRPr="008F511F">
        <w:rPr>
          <w:rFonts w:ascii="Times New Roman" w:eastAsia="Malgun Gothic" w:hAnsi="Times New Roman" w:cs="Times New Roman"/>
          <w:iCs/>
          <w:sz w:val="24"/>
          <w:szCs w:val="24"/>
          <w:lang w:eastAsia="ko-KR"/>
        </w:rPr>
        <w:t>that trading volume is strongly connected to the returns and volatilities at extreme bullish market conditions compared to the other quantiles</w:t>
      </w:r>
      <w:bookmarkEnd w:id="5"/>
      <w:r w:rsidR="001A20BF" w:rsidRPr="008F511F">
        <w:rPr>
          <w:rFonts w:ascii="Times New Roman" w:eastAsia="Malgun Gothic" w:hAnsi="Times New Roman" w:cs="Times New Roman"/>
          <w:iCs/>
          <w:sz w:val="24"/>
          <w:szCs w:val="24"/>
          <w:lang w:eastAsia="ko-KR"/>
        </w:rPr>
        <w:t xml:space="preserve">. The results report </w:t>
      </w:r>
      <w:bookmarkStart w:id="6" w:name="_Hlk99970372"/>
      <w:r w:rsidR="001A20BF" w:rsidRPr="008F511F">
        <w:rPr>
          <w:rFonts w:ascii="Times New Roman" w:eastAsia="Malgun Gothic" w:hAnsi="Times New Roman" w:cs="Times New Roman"/>
          <w:iCs/>
          <w:sz w:val="24"/>
          <w:szCs w:val="24"/>
          <w:lang w:eastAsia="ko-KR"/>
        </w:rPr>
        <w:t>the asymmetric connectedness of trading volume with returns and volatilities</w:t>
      </w:r>
      <w:bookmarkEnd w:id="6"/>
      <w:r w:rsidR="001A20BF" w:rsidRPr="008F511F">
        <w:rPr>
          <w:rFonts w:ascii="Times New Roman" w:eastAsia="Malgun Gothic" w:hAnsi="Times New Roman" w:cs="Times New Roman"/>
          <w:iCs/>
          <w:sz w:val="24"/>
          <w:szCs w:val="24"/>
          <w:lang w:eastAsia="ko-KR"/>
        </w:rPr>
        <w:t xml:space="preserve">, where connectedness is also </w:t>
      </w:r>
      <w:r w:rsidR="00E273E1" w:rsidRPr="008F511F">
        <w:rPr>
          <w:rFonts w:ascii="Times New Roman" w:eastAsia="Malgun Gothic" w:hAnsi="Times New Roman" w:cs="Times New Roman"/>
          <w:iCs/>
          <w:sz w:val="24"/>
          <w:szCs w:val="24"/>
          <w:lang w:eastAsia="ko-KR"/>
        </w:rPr>
        <w:t>time varying</w:t>
      </w:r>
      <w:r w:rsidR="001A20BF" w:rsidRPr="008F511F">
        <w:rPr>
          <w:rFonts w:ascii="Times New Roman" w:eastAsia="Malgun Gothic" w:hAnsi="Times New Roman" w:cs="Times New Roman"/>
          <w:iCs/>
          <w:sz w:val="24"/>
          <w:szCs w:val="24"/>
          <w:lang w:eastAsia="ko-KR"/>
        </w:rPr>
        <w:t>. These findings are useful for</w:t>
      </w:r>
      <w:r w:rsidR="00D36AF4" w:rsidRPr="008F511F">
        <w:rPr>
          <w:rFonts w:ascii="Times New Roman" w:eastAsia="Malgun Gothic" w:hAnsi="Times New Roman" w:cs="Times New Roman"/>
          <w:iCs/>
          <w:sz w:val="24"/>
          <w:szCs w:val="24"/>
          <w:lang w:eastAsia="ko-KR"/>
        </w:rPr>
        <w:t xml:space="preserve"> cryptocurrency scholars aiming to understand the difference in return-volume and volatility-volume relationships among different types of digital assets</w:t>
      </w:r>
      <w:r w:rsidR="001A20BF" w:rsidRPr="008F511F">
        <w:rPr>
          <w:rFonts w:ascii="Times New Roman" w:eastAsia="Malgun Gothic" w:hAnsi="Times New Roman" w:cs="Times New Roman"/>
          <w:iCs/>
          <w:sz w:val="24"/>
          <w:szCs w:val="24"/>
          <w:lang w:eastAsia="ko-KR"/>
        </w:rPr>
        <w:t>.</w:t>
      </w:r>
      <w:r w:rsidR="00EE6100" w:rsidRPr="008F511F">
        <w:rPr>
          <w:rFonts w:ascii="Times New Roman" w:eastAsia="Malgun Gothic" w:hAnsi="Times New Roman" w:cs="Times New Roman"/>
          <w:iCs/>
          <w:sz w:val="24"/>
          <w:szCs w:val="24"/>
          <w:lang w:eastAsia="ko-KR"/>
        </w:rPr>
        <w:t xml:space="preserve"> In terms of future research directions, we suggest </w:t>
      </w:r>
      <w:r w:rsidR="00904D7C" w:rsidRPr="008F511F">
        <w:rPr>
          <w:rFonts w:ascii="Times New Roman" w:eastAsia="Malgun Gothic" w:hAnsi="Times New Roman" w:cs="Times New Roman"/>
          <w:iCs/>
          <w:sz w:val="24"/>
          <w:szCs w:val="24"/>
          <w:lang w:eastAsia="ko-KR"/>
        </w:rPr>
        <w:t>comparing</w:t>
      </w:r>
      <w:r w:rsidR="00EE6100" w:rsidRPr="008F511F">
        <w:rPr>
          <w:rFonts w:ascii="Times New Roman" w:eastAsia="Malgun Gothic" w:hAnsi="Times New Roman" w:cs="Times New Roman"/>
          <w:iCs/>
          <w:sz w:val="24"/>
          <w:szCs w:val="24"/>
          <w:lang w:eastAsia="ko-KR"/>
        </w:rPr>
        <w:t xml:space="preserve"> the return-volume and/or volatility-volume nexus for traditional cryptocurrencies, NFTs, and Defi assets simultaneously.</w:t>
      </w:r>
    </w:p>
    <w:p w14:paraId="6FD2F63A" w14:textId="2F847A02" w:rsidR="007E3E82" w:rsidRPr="008F511F" w:rsidRDefault="00587278" w:rsidP="00BD21A4">
      <w:pPr>
        <w:spacing w:before="240" w:line="360" w:lineRule="auto"/>
        <w:rPr>
          <w:rFonts w:ascii="Times New Roman" w:hAnsi="Times New Roman" w:cs="Times New Roman"/>
          <w:sz w:val="24"/>
          <w:szCs w:val="24"/>
          <w:lang w:eastAsia="ko-KR"/>
        </w:rPr>
      </w:pPr>
      <w:r w:rsidRPr="008F511F">
        <w:rPr>
          <w:rFonts w:ascii="Times New Roman" w:hAnsi="Times New Roman" w:cs="Times New Roman"/>
          <w:b/>
          <w:bCs/>
          <w:sz w:val="28"/>
          <w:szCs w:val="28"/>
          <w:lang w:eastAsia="ko-KR"/>
        </w:rPr>
        <w:t>References</w:t>
      </w:r>
      <w:r w:rsidR="00A320AA" w:rsidRPr="008F511F">
        <w:rPr>
          <w:rFonts w:ascii="Times New Roman" w:hAnsi="Times New Roman" w:cs="Times New Roman"/>
          <w:b/>
          <w:bCs/>
          <w:sz w:val="28"/>
          <w:szCs w:val="28"/>
          <w:lang w:eastAsia="ko-KR"/>
        </w:rPr>
        <w:t>.</w:t>
      </w:r>
    </w:p>
    <w:p w14:paraId="08582890" w14:textId="77777777" w:rsidR="003142CF" w:rsidRPr="008F511F" w:rsidRDefault="003142CF" w:rsidP="009C04D2">
      <w:pPr>
        <w:spacing w:before="240" w:after="0" w:line="240" w:lineRule="auto"/>
        <w:jc w:val="both"/>
        <w:rPr>
          <w:rFonts w:ascii="Times New Roman" w:hAnsi="Times New Roman" w:cs="Times New Roman"/>
          <w:sz w:val="24"/>
          <w:szCs w:val="24"/>
        </w:rPr>
      </w:pPr>
      <w:proofErr w:type="spellStart"/>
      <w:r w:rsidRPr="008F511F">
        <w:rPr>
          <w:rFonts w:ascii="Times New Roman" w:hAnsi="Times New Roman" w:cs="Times New Roman"/>
          <w:sz w:val="24"/>
          <w:szCs w:val="24"/>
        </w:rPr>
        <w:t>Aharon</w:t>
      </w:r>
      <w:proofErr w:type="spellEnd"/>
      <w:r w:rsidRPr="008F511F">
        <w:rPr>
          <w:rFonts w:ascii="Times New Roman" w:hAnsi="Times New Roman" w:cs="Times New Roman"/>
          <w:sz w:val="24"/>
          <w:szCs w:val="24"/>
        </w:rPr>
        <w:t>, D. Y., &amp; Demir, E. (2021). NFTs and Asset Class Spillovers: Lessons from the Period around the COVID-19 Pandemic. </w:t>
      </w:r>
      <w:r w:rsidRPr="008F511F">
        <w:rPr>
          <w:rFonts w:ascii="Times New Roman" w:hAnsi="Times New Roman" w:cs="Times New Roman"/>
          <w:i/>
          <w:iCs/>
          <w:sz w:val="24"/>
          <w:szCs w:val="24"/>
        </w:rPr>
        <w:t>Finance Research Letters</w:t>
      </w:r>
      <w:r w:rsidRPr="008F511F">
        <w:rPr>
          <w:rFonts w:ascii="Times New Roman" w:hAnsi="Times New Roman" w:cs="Times New Roman"/>
          <w:sz w:val="24"/>
          <w:szCs w:val="24"/>
        </w:rPr>
        <w:t>, 102515.</w:t>
      </w:r>
    </w:p>
    <w:p w14:paraId="3918CD04" w14:textId="77777777" w:rsidR="003142CF" w:rsidRPr="008F511F" w:rsidRDefault="003142CF" w:rsidP="009C04D2">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Ando, T., Greenwood-Nimmo, M., &amp; Shin, Y. (2022). Quantile Connectedness: Modeling Tail Behavior in the Topology of Financial Networks. Management Science. https://doi.org/10.1287/mnsc.2021.3984</w:t>
      </w:r>
    </w:p>
    <w:p w14:paraId="077DEED8" w14:textId="77777777" w:rsidR="003142CF" w:rsidRPr="008F511F" w:rsidRDefault="003142CF" w:rsidP="009C04D2">
      <w:pPr>
        <w:spacing w:before="240" w:after="0" w:line="24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shd w:val="clear" w:color="auto" w:fill="FFFFFF"/>
        </w:rPr>
        <w:t>Ante, L. (2021). Non-fungible token (NFT) markets on the Ethereum blockchain: Temporal development, cointegration and interrelations. </w:t>
      </w:r>
      <w:r w:rsidRPr="008F511F">
        <w:rPr>
          <w:rFonts w:ascii="Times New Roman" w:hAnsi="Times New Roman" w:cs="Times New Roman"/>
          <w:i/>
          <w:iCs/>
          <w:sz w:val="24"/>
          <w:szCs w:val="24"/>
          <w:shd w:val="clear" w:color="auto" w:fill="FFFFFF"/>
        </w:rPr>
        <w:t>Available at SSRN 3904683</w:t>
      </w:r>
      <w:r w:rsidRPr="008F511F">
        <w:rPr>
          <w:rFonts w:ascii="Times New Roman" w:hAnsi="Times New Roman" w:cs="Times New Roman"/>
          <w:sz w:val="24"/>
          <w:szCs w:val="24"/>
          <w:shd w:val="clear" w:color="auto" w:fill="FFFFFF"/>
        </w:rPr>
        <w:t>.</w:t>
      </w:r>
    </w:p>
    <w:p w14:paraId="05408686" w14:textId="77777777" w:rsidR="003142CF" w:rsidRPr="008F511F" w:rsidRDefault="003142CF" w:rsidP="009C04D2">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Ante, L. (2021). The non-fungible token (NFT) market and its relationship with Bitcoin and Ethereum. </w:t>
      </w:r>
      <w:r w:rsidRPr="008F511F">
        <w:rPr>
          <w:rFonts w:ascii="Times New Roman" w:hAnsi="Times New Roman" w:cs="Times New Roman"/>
          <w:i/>
          <w:iCs/>
          <w:sz w:val="24"/>
          <w:szCs w:val="24"/>
        </w:rPr>
        <w:t>Available at SSRN 3861106</w:t>
      </w:r>
      <w:r w:rsidRPr="008F511F">
        <w:rPr>
          <w:rFonts w:ascii="Times New Roman" w:hAnsi="Times New Roman" w:cs="Times New Roman"/>
          <w:sz w:val="24"/>
          <w:szCs w:val="24"/>
        </w:rPr>
        <w:t>.</w:t>
      </w:r>
    </w:p>
    <w:p w14:paraId="5AF2A5B8" w14:textId="77777777" w:rsidR="003142CF" w:rsidRPr="008F511F" w:rsidRDefault="003142CF" w:rsidP="003142CF">
      <w:pPr>
        <w:spacing w:before="240" w:after="0" w:line="240" w:lineRule="auto"/>
        <w:jc w:val="both"/>
        <w:rPr>
          <w:rFonts w:ascii="Times New Roman" w:hAnsi="Times New Roman" w:cs="Times New Roman"/>
          <w:sz w:val="24"/>
          <w:szCs w:val="24"/>
          <w:shd w:val="clear" w:color="auto" w:fill="FFFFFF"/>
        </w:rPr>
      </w:pPr>
      <w:bookmarkStart w:id="7" w:name="_Hlk88911349"/>
      <w:r w:rsidRPr="008F511F">
        <w:rPr>
          <w:rFonts w:ascii="Times New Roman" w:hAnsi="Times New Roman" w:cs="Times New Roman"/>
          <w:sz w:val="24"/>
          <w:szCs w:val="24"/>
          <w:shd w:val="clear" w:color="auto" w:fill="FFFFFF"/>
        </w:rPr>
        <w:t>Ante</w:t>
      </w:r>
      <w:bookmarkEnd w:id="7"/>
      <w:r w:rsidRPr="008F511F">
        <w:rPr>
          <w:rFonts w:ascii="Times New Roman" w:hAnsi="Times New Roman" w:cs="Times New Roman"/>
          <w:sz w:val="24"/>
          <w:szCs w:val="24"/>
          <w:shd w:val="clear" w:color="auto" w:fill="FFFFFF"/>
        </w:rPr>
        <w:t xml:space="preserve">, L., Fiedler, I., &amp; </w:t>
      </w:r>
      <w:proofErr w:type="spellStart"/>
      <w:r w:rsidRPr="008F511F">
        <w:rPr>
          <w:rFonts w:ascii="Times New Roman" w:hAnsi="Times New Roman" w:cs="Times New Roman"/>
          <w:sz w:val="24"/>
          <w:szCs w:val="24"/>
          <w:shd w:val="clear" w:color="auto" w:fill="FFFFFF"/>
        </w:rPr>
        <w:t>Strehle</w:t>
      </w:r>
      <w:proofErr w:type="spellEnd"/>
      <w:r w:rsidRPr="008F511F">
        <w:rPr>
          <w:rFonts w:ascii="Times New Roman" w:hAnsi="Times New Roman" w:cs="Times New Roman"/>
          <w:sz w:val="24"/>
          <w:szCs w:val="24"/>
          <w:shd w:val="clear" w:color="auto" w:fill="FFFFFF"/>
        </w:rPr>
        <w:t>, E. (2021). The impact of transparent money flows: Effects of stablecoin transfers on the returns and trading volume of Bitcoin. </w:t>
      </w:r>
      <w:r w:rsidRPr="008F511F">
        <w:rPr>
          <w:rFonts w:ascii="Times New Roman" w:hAnsi="Times New Roman" w:cs="Times New Roman"/>
          <w:i/>
          <w:iCs/>
          <w:sz w:val="24"/>
          <w:szCs w:val="24"/>
          <w:shd w:val="clear" w:color="auto" w:fill="FFFFFF"/>
        </w:rPr>
        <w:t>Technological Forecasting and Social Change</w:t>
      </w:r>
      <w:r w:rsidRPr="008F511F">
        <w:rPr>
          <w:rFonts w:ascii="Times New Roman" w:hAnsi="Times New Roman" w:cs="Times New Roman"/>
          <w:sz w:val="24"/>
          <w:szCs w:val="24"/>
          <w:shd w:val="clear" w:color="auto" w:fill="FFFFFF"/>
        </w:rPr>
        <w:t>, </w:t>
      </w:r>
      <w:r w:rsidRPr="008F511F">
        <w:rPr>
          <w:rFonts w:ascii="Times New Roman" w:hAnsi="Times New Roman" w:cs="Times New Roman"/>
          <w:i/>
          <w:iCs/>
          <w:sz w:val="24"/>
          <w:szCs w:val="24"/>
          <w:shd w:val="clear" w:color="auto" w:fill="FFFFFF"/>
        </w:rPr>
        <w:t>170</w:t>
      </w:r>
      <w:r w:rsidRPr="008F511F">
        <w:rPr>
          <w:rFonts w:ascii="Times New Roman" w:hAnsi="Times New Roman" w:cs="Times New Roman"/>
          <w:sz w:val="24"/>
          <w:szCs w:val="24"/>
          <w:shd w:val="clear" w:color="auto" w:fill="FFFFFF"/>
        </w:rPr>
        <w:t>, 120851.</w:t>
      </w:r>
    </w:p>
    <w:p w14:paraId="123117F6" w14:textId="4BC4E0D8" w:rsidR="003142CF" w:rsidRPr="008F511F" w:rsidRDefault="003142CF" w:rsidP="003142CF">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 xml:space="preserve">Baals, L. J., Lucey, B. M., </w:t>
      </w:r>
      <w:proofErr w:type="spellStart"/>
      <w:r w:rsidRPr="008F511F">
        <w:rPr>
          <w:rFonts w:ascii="Times New Roman" w:hAnsi="Times New Roman" w:cs="Times New Roman"/>
          <w:sz w:val="24"/>
          <w:szCs w:val="24"/>
        </w:rPr>
        <w:t>Vigne</w:t>
      </w:r>
      <w:proofErr w:type="spellEnd"/>
      <w:r w:rsidRPr="008F511F">
        <w:rPr>
          <w:rFonts w:ascii="Times New Roman" w:hAnsi="Times New Roman" w:cs="Times New Roman"/>
          <w:sz w:val="24"/>
          <w:szCs w:val="24"/>
        </w:rPr>
        <w:t>, S. A., &amp; Long, C. (2022). Towards a Research Agenda on the Financial Economics of NFT’s. Available at SSRN 4070710.</w:t>
      </w:r>
    </w:p>
    <w:p w14:paraId="0070FF7A" w14:textId="77777777" w:rsidR="003142CF" w:rsidRPr="008F511F" w:rsidRDefault="003142CF" w:rsidP="009C04D2">
      <w:pPr>
        <w:spacing w:before="240" w:after="0" w:line="240" w:lineRule="auto"/>
        <w:jc w:val="both"/>
        <w:rPr>
          <w:rFonts w:ascii="Times New Roman" w:hAnsi="Times New Roman" w:cs="Times New Roman"/>
          <w:sz w:val="24"/>
          <w:szCs w:val="24"/>
        </w:rPr>
      </w:pPr>
      <w:bookmarkStart w:id="8" w:name="_Hlk88655553"/>
      <w:proofErr w:type="spellStart"/>
      <w:r w:rsidRPr="008F511F">
        <w:rPr>
          <w:rFonts w:ascii="Times New Roman" w:hAnsi="Times New Roman" w:cs="Times New Roman"/>
          <w:sz w:val="24"/>
          <w:szCs w:val="24"/>
        </w:rPr>
        <w:t>Balcilar</w:t>
      </w:r>
      <w:bookmarkEnd w:id="8"/>
      <w:proofErr w:type="spellEnd"/>
      <w:r w:rsidRPr="008F511F">
        <w:rPr>
          <w:rFonts w:ascii="Times New Roman" w:hAnsi="Times New Roman" w:cs="Times New Roman"/>
          <w:sz w:val="24"/>
          <w:szCs w:val="24"/>
        </w:rPr>
        <w:t xml:space="preserve">, M., </w:t>
      </w:r>
      <w:proofErr w:type="spellStart"/>
      <w:r w:rsidRPr="008F511F">
        <w:rPr>
          <w:rFonts w:ascii="Times New Roman" w:hAnsi="Times New Roman" w:cs="Times New Roman"/>
          <w:sz w:val="24"/>
          <w:szCs w:val="24"/>
        </w:rPr>
        <w:t>Bouri</w:t>
      </w:r>
      <w:proofErr w:type="spellEnd"/>
      <w:r w:rsidRPr="008F511F">
        <w:rPr>
          <w:rFonts w:ascii="Times New Roman" w:hAnsi="Times New Roman" w:cs="Times New Roman"/>
          <w:sz w:val="24"/>
          <w:szCs w:val="24"/>
        </w:rPr>
        <w:t xml:space="preserve">, E., Gupta, R., &amp; </w:t>
      </w:r>
      <w:proofErr w:type="spellStart"/>
      <w:r w:rsidRPr="008F511F">
        <w:rPr>
          <w:rFonts w:ascii="Times New Roman" w:hAnsi="Times New Roman" w:cs="Times New Roman"/>
          <w:sz w:val="24"/>
          <w:szCs w:val="24"/>
        </w:rPr>
        <w:t>Roubaud</w:t>
      </w:r>
      <w:proofErr w:type="spellEnd"/>
      <w:r w:rsidRPr="008F511F">
        <w:rPr>
          <w:rFonts w:ascii="Times New Roman" w:hAnsi="Times New Roman" w:cs="Times New Roman"/>
          <w:sz w:val="24"/>
          <w:szCs w:val="24"/>
        </w:rPr>
        <w:t>, D. (2017). Can volume predict Bitcoin returns and volatility? A quantiles-based approach. Economic Modelling, 64, 74-81.</w:t>
      </w:r>
    </w:p>
    <w:p w14:paraId="0A05AD43" w14:textId="77777777" w:rsidR="003142CF" w:rsidRPr="008F511F" w:rsidRDefault="003142CF" w:rsidP="009C04D2">
      <w:pPr>
        <w:spacing w:before="240" w:after="0" w:line="240" w:lineRule="auto"/>
        <w:jc w:val="both"/>
        <w:rPr>
          <w:rFonts w:ascii="Times New Roman" w:hAnsi="Times New Roman" w:cs="Times New Roman"/>
          <w:sz w:val="24"/>
          <w:szCs w:val="24"/>
        </w:rPr>
      </w:pPr>
      <w:bookmarkStart w:id="9" w:name="_Hlk88658055"/>
      <w:proofErr w:type="spellStart"/>
      <w:r w:rsidRPr="008F511F">
        <w:rPr>
          <w:rFonts w:ascii="Times New Roman" w:hAnsi="Times New Roman" w:cs="Times New Roman"/>
          <w:sz w:val="24"/>
          <w:szCs w:val="24"/>
        </w:rPr>
        <w:t>Baruník</w:t>
      </w:r>
      <w:proofErr w:type="spellEnd"/>
      <w:r w:rsidRPr="008F511F">
        <w:rPr>
          <w:rFonts w:ascii="Times New Roman" w:hAnsi="Times New Roman" w:cs="Times New Roman"/>
          <w:sz w:val="24"/>
          <w:szCs w:val="24"/>
        </w:rPr>
        <w:t xml:space="preserve">, J., &amp; </w:t>
      </w:r>
      <w:proofErr w:type="spellStart"/>
      <w:r w:rsidRPr="008F511F">
        <w:rPr>
          <w:rFonts w:ascii="Times New Roman" w:hAnsi="Times New Roman" w:cs="Times New Roman"/>
          <w:sz w:val="24"/>
          <w:szCs w:val="24"/>
        </w:rPr>
        <w:t>Křehlík</w:t>
      </w:r>
      <w:proofErr w:type="spellEnd"/>
      <w:r w:rsidRPr="008F511F">
        <w:rPr>
          <w:rFonts w:ascii="Times New Roman" w:hAnsi="Times New Roman" w:cs="Times New Roman"/>
          <w:sz w:val="24"/>
          <w:szCs w:val="24"/>
        </w:rPr>
        <w:t>, T. (2018</w:t>
      </w:r>
      <w:bookmarkEnd w:id="9"/>
      <w:r w:rsidRPr="008F511F">
        <w:rPr>
          <w:rFonts w:ascii="Times New Roman" w:hAnsi="Times New Roman" w:cs="Times New Roman"/>
          <w:sz w:val="24"/>
          <w:szCs w:val="24"/>
        </w:rPr>
        <w:t>). Measuring the frequency dynamics of financial connectedness and systemic risk. </w:t>
      </w:r>
      <w:r w:rsidRPr="008F511F">
        <w:rPr>
          <w:rFonts w:ascii="Times New Roman" w:hAnsi="Times New Roman" w:cs="Times New Roman"/>
          <w:i/>
          <w:iCs/>
          <w:sz w:val="24"/>
          <w:szCs w:val="24"/>
        </w:rPr>
        <w:t>Journal of Financial Econometrics</w:t>
      </w:r>
      <w:r w:rsidRPr="008F511F">
        <w:rPr>
          <w:rFonts w:ascii="Times New Roman" w:hAnsi="Times New Roman" w:cs="Times New Roman"/>
          <w:sz w:val="24"/>
          <w:szCs w:val="24"/>
        </w:rPr>
        <w:t>, </w:t>
      </w:r>
      <w:r w:rsidRPr="008F511F">
        <w:rPr>
          <w:rFonts w:ascii="Times New Roman" w:hAnsi="Times New Roman" w:cs="Times New Roman"/>
          <w:i/>
          <w:iCs/>
          <w:sz w:val="24"/>
          <w:szCs w:val="24"/>
        </w:rPr>
        <w:t>16</w:t>
      </w:r>
      <w:r w:rsidRPr="008F511F">
        <w:rPr>
          <w:rFonts w:ascii="Times New Roman" w:hAnsi="Times New Roman" w:cs="Times New Roman"/>
          <w:sz w:val="24"/>
          <w:szCs w:val="24"/>
        </w:rPr>
        <w:t>(2), 271-296.</w:t>
      </w:r>
    </w:p>
    <w:p w14:paraId="16D490D3" w14:textId="77777777" w:rsidR="003142CF" w:rsidRPr="008F511F" w:rsidRDefault="003142CF" w:rsidP="009C04D2">
      <w:pPr>
        <w:spacing w:before="240" w:after="0" w:line="240" w:lineRule="auto"/>
        <w:jc w:val="both"/>
        <w:rPr>
          <w:rFonts w:ascii="Times New Roman" w:hAnsi="Times New Roman" w:cs="Times New Roman"/>
          <w:sz w:val="24"/>
          <w:szCs w:val="24"/>
          <w:shd w:val="clear" w:color="auto" w:fill="FFFFFF"/>
        </w:rPr>
      </w:pPr>
      <w:bookmarkStart w:id="10" w:name="_Hlk88911236"/>
      <w:proofErr w:type="spellStart"/>
      <w:r w:rsidRPr="008F511F">
        <w:rPr>
          <w:rFonts w:ascii="Times New Roman" w:hAnsi="Times New Roman" w:cs="Times New Roman"/>
          <w:sz w:val="24"/>
          <w:szCs w:val="24"/>
          <w:shd w:val="clear" w:color="auto" w:fill="FFFFFF"/>
        </w:rPr>
        <w:t>Böhme</w:t>
      </w:r>
      <w:bookmarkEnd w:id="10"/>
      <w:proofErr w:type="spellEnd"/>
      <w:r w:rsidRPr="008F511F">
        <w:rPr>
          <w:rFonts w:ascii="Times New Roman" w:hAnsi="Times New Roman" w:cs="Times New Roman"/>
          <w:sz w:val="24"/>
          <w:szCs w:val="24"/>
          <w:shd w:val="clear" w:color="auto" w:fill="FFFFFF"/>
        </w:rPr>
        <w:t>, R., Christin, N., Edelman, B., &amp; Moore, T. (2015). Bitcoin: Economics, technology, and governance. </w:t>
      </w:r>
      <w:r w:rsidRPr="008F511F">
        <w:rPr>
          <w:rFonts w:ascii="Times New Roman" w:hAnsi="Times New Roman" w:cs="Times New Roman"/>
          <w:i/>
          <w:iCs/>
          <w:sz w:val="24"/>
          <w:szCs w:val="24"/>
          <w:shd w:val="clear" w:color="auto" w:fill="FFFFFF"/>
        </w:rPr>
        <w:t>Journal of economic Perspectives</w:t>
      </w:r>
      <w:r w:rsidRPr="008F511F">
        <w:rPr>
          <w:rFonts w:ascii="Times New Roman" w:hAnsi="Times New Roman" w:cs="Times New Roman"/>
          <w:sz w:val="24"/>
          <w:szCs w:val="24"/>
          <w:shd w:val="clear" w:color="auto" w:fill="FFFFFF"/>
        </w:rPr>
        <w:t>, </w:t>
      </w:r>
      <w:r w:rsidRPr="008F511F">
        <w:rPr>
          <w:rFonts w:ascii="Times New Roman" w:hAnsi="Times New Roman" w:cs="Times New Roman"/>
          <w:i/>
          <w:iCs/>
          <w:sz w:val="24"/>
          <w:szCs w:val="24"/>
          <w:shd w:val="clear" w:color="auto" w:fill="FFFFFF"/>
        </w:rPr>
        <w:t>29</w:t>
      </w:r>
      <w:r w:rsidRPr="008F511F">
        <w:rPr>
          <w:rFonts w:ascii="Times New Roman" w:hAnsi="Times New Roman" w:cs="Times New Roman"/>
          <w:sz w:val="24"/>
          <w:szCs w:val="24"/>
          <w:shd w:val="clear" w:color="auto" w:fill="FFFFFF"/>
        </w:rPr>
        <w:t>(2), 213-38.</w:t>
      </w:r>
    </w:p>
    <w:p w14:paraId="73C4B771" w14:textId="77777777" w:rsidR="003142CF" w:rsidRPr="008F511F" w:rsidRDefault="003142CF" w:rsidP="009C04D2">
      <w:pPr>
        <w:spacing w:before="240" w:after="0" w:line="240" w:lineRule="auto"/>
        <w:jc w:val="both"/>
        <w:rPr>
          <w:rFonts w:ascii="Times New Roman" w:hAnsi="Times New Roman" w:cs="Times New Roman"/>
          <w:sz w:val="24"/>
          <w:szCs w:val="24"/>
          <w:lang w:eastAsia="ko-KR"/>
        </w:rPr>
      </w:pPr>
      <w:bookmarkStart w:id="11" w:name="_Hlk99924538"/>
      <w:proofErr w:type="spellStart"/>
      <w:r w:rsidRPr="008F511F">
        <w:rPr>
          <w:rFonts w:ascii="Times New Roman" w:hAnsi="Times New Roman" w:cs="Times New Roman"/>
          <w:sz w:val="24"/>
          <w:szCs w:val="24"/>
          <w:shd w:val="clear" w:color="auto" w:fill="FFFFFF"/>
        </w:rPr>
        <w:t>Borri</w:t>
      </w:r>
      <w:proofErr w:type="spellEnd"/>
      <w:r w:rsidRPr="008F511F">
        <w:rPr>
          <w:rFonts w:ascii="Times New Roman" w:hAnsi="Times New Roman" w:cs="Times New Roman"/>
          <w:sz w:val="24"/>
          <w:szCs w:val="24"/>
          <w:shd w:val="clear" w:color="auto" w:fill="FFFFFF"/>
        </w:rPr>
        <w:t xml:space="preserve">, N., &amp; </w:t>
      </w:r>
      <w:proofErr w:type="spellStart"/>
      <w:r w:rsidRPr="008F511F">
        <w:rPr>
          <w:rFonts w:ascii="Times New Roman" w:hAnsi="Times New Roman" w:cs="Times New Roman"/>
          <w:sz w:val="24"/>
          <w:szCs w:val="24"/>
          <w:shd w:val="clear" w:color="auto" w:fill="FFFFFF"/>
        </w:rPr>
        <w:t>Shakhnov</w:t>
      </w:r>
      <w:bookmarkEnd w:id="11"/>
      <w:proofErr w:type="spellEnd"/>
      <w:r w:rsidRPr="008F511F">
        <w:rPr>
          <w:rFonts w:ascii="Times New Roman" w:hAnsi="Times New Roman" w:cs="Times New Roman"/>
          <w:sz w:val="24"/>
          <w:szCs w:val="24"/>
          <w:shd w:val="clear" w:color="auto" w:fill="FFFFFF"/>
        </w:rPr>
        <w:t>, K. (2020). Regulation spillovers across cryptocurrency markets. </w:t>
      </w:r>
      <w:r w:rsidRPr="008F511F">
        <w:rPr>
          <w:rFonts w:ascii="Times New Roman" w:hAnsi="Times New Roman" w:cs="Times New Roman"/>
          <w:i/>
          <w:iCs/>
          <w:sz w:val="24"/>
          <w:szCs w:val="24"/>
          <w:shd w:val="clear" w:color="auto" w:fill="FFFFFF"/>
        </w:rPr>
        <w:t>Finance Research Letters</w:t>
      </w:r>
      <w:r w:rsidRPr="008F511F">
        <w:rPr>
          <w:rFonts w:ascii="Times New Roman" w:hAnsi="Times New Roman" w:cs="Times New Roman"/>
          <w:sz w:val="24"/>
          <w:szCs w:val="24"/>
          <w:shd w:val="clear" w:color="auto" w:fill="FFFFFF"/>
        </w:rPr>
        <w:t>, </w:t>
      </w:r>
      <w:r w:rsidRPr="008F511F">
        <w:rPr>
          <w:rFonts w:ascii="Times New Roman" w:hAnsi="Times New Roman" w:cs="Times New Roman"/>
          <w:i/>
          <w:iCs/>
          <w:sz w:val="24"/>
          <w:szCs w:val="24"/>
          <w:shd w:val="clear" w:color="auto" w:fill="FFFFFF"/>
        </w:rPr>
        <w:t>36</w:t>
      </w:r>
      <w:r w:rsidRPr="008F511F">
        <w:rPr>
          <w:rFonts w:ascii="Times New Roman" w:hAnsi="Times New Roman" w:cs="Times New Roman"/>
          <w:sz w:val="24"/>
          <w:szCs w:val="24"/>
          <w:shd w:val="clear" w:color="auto" w:fill="FFFFFF"/>
        </w:rPr>
        <w:t>, 101333.</w:t>
      </w:r>
    </w:p>
    <w:p w14:paraId="5CBE68DE" w14:textId="77777777" w:rsidR="003142CF" w:rsidRPr="008F511F" w:rsidRDefault="003142CF" w:rsidP="009C04D2">
      <w:pPr>
        <w:spacing w:before="240" w:after="0" w:line="240" w:lineRule="auto"/>
        <w:jc w:val="both"/>
        <w:rPr>
          <w:rFonts w:ascii="Times New Roman" w:hAnsi="Times New Roman" w:cs="Times New Roman"/>
          <w:sz w:val="24"/>
          <w:szCs w:val="24"/>
          <w:shd w:val="clear" w:color="auto" w:fill="FFFFFF"/>
        </w:rPr>
      </w:pPr>
      <w:proofErr w:type="spellStart"/>
      <w:r w:rsidRPr="008F511F">
        <w:rPr>
          <w:rFonts w:ascii="Times New Roman" w:hAnsi="Times New Roman" w:cs="Times New Roman"/>
          <w:sz w:val="24"/>
          <w:szCs w:val="24"/>
          <w:shd w:val="clear" w:color="auto" w:fill="FFFFFF"/>
        </w:rPr>
        <w:lastRenderedPageBreak/>
        <w:t>Bouraoui</w:t>
      </w:r>
      <w:proofErr w:type="spellEnd"/>
      <w:r w:rsidRPr="008F511F">
        <w:rPr>
          <w:rFonts w:ascii="Times New Roman" w:hAnsi="Times New Roman" w:cs="Times New Roman"/>
          <w:sz w:val="24"/>
          <w:szCs w:val="24"/>
          <w:shd w:val="clear" w:color="auto" w:fill="FFFFFF"/>
        </w:rPr>
        <w:t xml:space="preserve">, T. (2020). The drivers of Bitcoin trading volume in selected emerging countries. </w:t>
      </w:r>
      <w:r w:rsidRPr="008F511F">
        <w:rPr>
          <w:rFonts w:ascii="Times New Roman" w:hAnsi="Times New Roman" w:cs="Times New Roman"/>
          <w:i/>
          <w:iCs/>
          <w:sz w:val="24"/>
          <w:szCs w:val="24"/>
          <w:shd w:val="clear" w:color="auto" w:fill="FFFFFF"/>
        </w:rPr>
        <w:t>The Quarterly</w:t>
      </w:r>
      <w:r w:rsidRPr="008F511F">
        <w:rPr>
          <w:rFonts w:ascii="Times New Roman" w:hAnsi="Times New Roman" w:cs="Times New Roman"/>
          <w:sz w:val="24"/>
          <w:szCs w:val="24"/>
          <w:shd w:val="clear" w:color="auto" w:fill="FFFFFF"/>
        </w:rPr>
        <w:t xml:space="preserve"> </w:t>
      </w:r>
      <w:r w:rsidRPr="008F511F">
        <w:rPr>
          <w:rFonts w:ascii="Times New Roman" w:hAnsi="Times New Roman" w:cs="Times New Roman"/>
          <w:i/>
          <w:iCs/>
          <w:sz w:val="24"/>
          <w:szCs w:val="24"/>
          <w:shd w:val="clear" w:color="auto" w:fill="FFFFFF"/>
        </w:rPr>
        <w:t>Review of Economics and Finance, 76</w:t>
      </w:r>
      <w:r w:rsidRPr="008F511F">
        <w:rPr>
          <w:rFonts w:ascii="Times New Roman" w:hAnsi="Times New Roman" w:cs="Times New Roman"/>
          <w:sz w:val="24"/>
          <w:szCs w:val="24"/>
          <w:shd w:val="clear" w:color="auto" w:fill="FFFFFF"/>
        </w:rPr>
        <w:t xml:space="preserve">, 218-229. </w:t>
      </w:r>
      <w:hyperlink r:id="rId8" w:history="1">
        <w:r w:rsidRPr="008F511F">
          <w:rPr>
            <w:rStyle w:val="Hyperlink"/>
            <w:rFonts w:ascii="Times New Roman" w:hAnsi="Times New Roman" w:cs="Times New Roman"/>
            <w:color w:val="auto"/>
            <w:sz w:val="24"/>
            <w:szCs w:val="24"/>
            <w:shd w:val="clear" w:color="auto" w:fill="FFFFFF"/>
          </w:rPr>
          <w:t>https://doi.org/10.1016/j.qref.2019.07.003</w:t>
        </w:r>
      </w:hyperlink>
    </w:p>
    <w:p w14:paraId="0FC9E3CB" w14:textId="77777777" w:rsidR="003142CF" w:rsidRPr="008F511F" w:rsidRDefault="003142CF" w:rsidP="009C04D2">
      <w:pPr>
        <w:spacing w:before="240" w:after="0" w:line="240" w:lineRule="auto"/>
        <w:jc w:val="both"/>
        <w:rPr>
          <w:rFonts w:ascii="Times New Roman" w:hAnsi="Times New Roman" w:cs="Times New Roman"/>
          <w:sz w:val="24"/>
          <w:szCs w:val="24"/>
        </w:rPr>
      </w:pPr>
      <w:proofErr w:type="spellStart"/>
      <w:r w:rsidRPr="008F511F">
        <w:rPr>
          <w:rFonts w:ascii="Times New Roman" w:hAnsi="Times New Roman" w:cs="Times New Roman"/>
          <w:sz w:val="24"/>
          <w:szCs w:val="24"/>
        </w:rPr>
        <w:t>Bouri</w:t>
      </w:r>
      <w:proofErr w:type="spellEnd"/>
      <w:r w:rsidRPr="008F511F">
        <w:rPr>
          <w:rFonts w:ascii="Times New Roman" w:hAnsi="Times New Roman" w:cs="Times New Roman"/>
          <w:sz w:val="24"/>
          <w:szCs w:val="24"/>
        </w:rPr>
        <w:t xml:space="preserve">, E., Lau, C. K. M., Lucey, B., &amp; </w:t>
      </w:r>
      <w:proofErr w:type="spellStart"/>
      <w:r w:rsidRPr="008F511F">
        <w:rPr>
          <w:rFonts w:ascii="Times New Roman" w:hAnsi="Times New Roman" w:cs="Times New Roman"/>
          <w:sz w:val="24"/>
          <w:szCs w:val="24"/>
        </w:rPr>
        <w:t>Roubaud</w:t>
      </w:r>
      <w:proofErr w:type="spellEnd"/>
      <w:r w:rsidRPr="008F511F">
        <w:rPr>
          <w:rFonts w:ascii="Times New Roman" w:hAnsi="Times New Roman" w:cs="Times New Roman"/>
          <w:sz w:val="24"/>
          <w:szCs w:val="24"/>
        </w:rPr>
        <w:t>, D. (2019). Trading volume and the predictability of return and volatility in the cryptocurrency market. </w:t>
      </w:r>
      <w:r w:rsidRPr="008F511F">
        <w:rPr>
          <w:rFonts w:ascii="Times New Roman" w:hAnsi="Times New Roman" w:cs="Times New Roman"/>
          <w:i/>
          <w:iCs/>
          <w:sz w:val="24"/>
          <w:szCs w:val="24"/>
        </w:rPr>
        <w:t>Finance Research Letters</w:t>
      </w:r>
      <w:r w:rsidRPr="008F511F">
        <w:rPr>
          <w:rFonts w:ascii="Times New Roman" w:hAnsi="Times New Roman" w:cs="Times New Roman"/>
          <w:sz w:val="24"/>
          <w:szCs w:val="24"/>
        </w:rPr>
        <w:t>, </w:t>
      </w:r>
      <w:r w:rsidRPr="008F511F">
        <w:rPr>
          <w:rFonts w:ascii="Times New Roman" w:hAnsi="Times New Roman" w:cs="Times New Roman"/>
          <w:i/>
          <w:iCs/>
          <w:sz w:val="24"/>
          <w:szCs w:val="24"/>
        </w:rPr>
        <w:t>29</w:t>
      </w:r>
      <w:r w:rsidRPr="008F511F">
        <w:rPr>
          <w:rFonts w:ascii="Times New Roman" w:hAnsi="Times New Roman" w:cs="Times New Roman"/>
          <w:sz w:val="24"/>
          <w:szCs w:val="24"/>
        </w:rPr>
        <w:t>, 340-346.</w:t>
      </w:r>
    </w:p>
    <w:p w14:paraId="4F349FBD" w14:textId="77777777" w:rsidR="003142CF" w:rsidRPr="008F511F" w:rsidRDefault="003142CF" w:rsidP="009C04D2">
      <w:pPr>
        <w:spacing w:before="240" w:after="0" w:line="240" w:lineRule="auto"/>
        <w:jc w:val="both"/>
        <w:rPr>
          <w:rFonts w:ascii="Times New Roman" w:hAnsi="Times New Roman" w:cs="Times New Roman"/>
          <w:sz w:val="24"/>
          <w:szCs w:val="24"/>
          <w:lang w:eastAsia="ko-KR"/>
        </w:rPr>
      </w:pPr>
      <w:proofErr w:type="spellStart"/>
      <w:r w:rsidRPr="008F511F">
        <w:rPr>
          <w:rFonts w:ascii="Times New Roman" w:hAnsi="Times New Roman" w:cs="Times New Roman"/>
          <w:sz w:val="24"/>
          <w:szCs w:val="24"/>
          <w:shd w:val="clear" w:color="auto" w:fill="FFFFFF"/>
        </w:rPr>
        <w:t>Bouri</w:t>
      </w:r>
      <w:proofErr w:type="spellEnd"/>
      <w:r w:rsidRPr="008F511F">
        <w:rPr>
          <w:rFonts w:ascii="Times New Roman" w:hAnsi="Times New Roman" w:cs="Times New Roman"/>
          <w:sz w:val="24"/>
          <w:szCs w:val="24"/>
          <w:shd w:val="clear" w:color="auto" w:fill="FFFFFF"/>
        </w:rPr>
        <w:t xml:space="preserve">, E., Saeed, T., Vo, X. V., &amp; </w:t>
      </w:r>
      <w:proofErr w:type="spellStart"/>
      <w:r w:rsidRPr="008F511F">
        <w:rPr>
          <w:rFonts w:ascii="Times New Roman" w:hAnsi="Times New Roman" w:cs="Times New Roman"/>
          <w:sz w:val="24"/>
          <w:szCs w:val="24"/>
          <w:shd w:val="clear" w:color="auto" w:fill="FFFFFF"/>
        </w:rPr>
        <w:t>Roubaud</w:t>
      </w:r>
      <w:proofErr w:type="spellEnd"/>
      <w:r w:rsidRPr="008F511F">
        <w:rPr>
          <w:rFonts w:ascii="Times New Roman" w:hAnsi="Times New Roman" w:cs="Times New Roman"/>
          <w:sz w:val="24"/>
          <w:szCs w:val="24"/>
          <w:shd w:val="clear" w:color="auto" w:fill="FFFFFF"/>
        </w:rPr>
        <w:t>, D. (2021). Quantile connectedness in the cryptocurrency market. </w:t>
      </w:r>
      <w:r w:rsidRPr="008F511F">
        <w:rPr>
          <w:rFonts w:ascii="Times New Roman" w:hAnsi="Times New Roman" w:cs="Times New Roman"/>
          <w:i/>
          <w:iCs/>
          <w:sz w:val="24"/>
          <w:szCs w:val="24"/>
          <w:shd w:val="clear" w:color="auto" w:fill="FFFFFF"/>
        </w:rPr>
        <w:t>Journal of International Financial Markets, Institutions and Money</w:t>
      </w:r>
      <w:r w:rsidRPr="008F511F">
        <w:rPr>
          <w:rFonts w:ascii="Times New Roman" w:hAnsi="Times New Roman" w:cs="Times New Roman"/>
          <w:sz w:val="24"/>
          <w:szCs w:val="24"/>
          <w:shd w:val="clear" w:color="auto" w:fill="FFFFFF"/>
        </w:rPr>
        <w:t>, </w:t>
      </w:r>
      <w:r w:rsidRPr="008F511F">
        <w:rPr>
          <w:rFonts w:ascii="Times New Roman" w:hAnsi="Times New Roman" w:cs="Times New Roman"/>
          <w:i/>
          <w:iCs/>
          <w:sz w:val="24"/>
          <w:szCs w:val="24"/>
          <w:shd w:val="clear" w:color="auto" w:fill="FFFFFF"/>
        </w:rPr>
        <w:t>71</w:t>
      </w:r>
      <w:r w:rsidRPr="008F511F">
        <w:rPr>
          <w:rFonts w:ascii="Times New Roman" w:hAnsi="Times New Roman" w:cs="Times New Roman"/>
          <w:sz w:val="24"/>
          <w:szCs w:val="24"/>
          <w:shd w:val="clear" w:color="auto" w:fill="FFFFFF"/>
        </w:rPr>
        <w:t>, 101302.</w:t>
      </w:r>
    </w:p>
    <w:p w14:paraId="30E0E9F5" w14:textId="77777777" w:rsidR="003142CF" w:rsidRPr="008F511F" w:rsidRDefault="003142CF" w:rsidP="009C04D2">
      <w:pPr>
        <w:spacing w:before="240" w:after="0" w:line="24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shd w:val="clear" w:color="auto" w:fill="FFFFFF"/>
        </w:rPr>
        <w:t>Cong, L. W., Li, Y., &amp; Wang, N. (2021). Token-based platform finance. </w:t>
      </w:r>
      <w:r w:rsidRPr="008F511F">
        <w:rPr>
          <w:rFonts w:ascii="Times New Roman" w:hAnsi="Times New Roman" w:cs="Times New Roman"/>
          <w:i/>
          <w:iCs/>
          <w:sz w:val="24"/>
          <w:szCs w:val="24"/>
          <w:shd w:val="clear" w:color="auto" w:fill="FFFFFF"/>
        </w:rPr>
        <w:t>Journal of Financial Economics</w:t>
      </w:r>
      <w:r w:rsidRPr="008F511F">
        <w:rPr>
          <w:rFonts w:ascii="Times New Roman" w:hAnsi="Times New Roman" w:cs="Times New Roman"/>
          <w:sz w:val="24"/>
          <w:szCs w:val="24"/>
          <w:shd w:val="clear" w:color="auto" w:fill="FFFFFF"/>
        </w:rPr>
        <w:t>.</w:t>
      </w:r>
    </w:p>
    <w:p w14:paraId="3F7C1CBE" w14:textId="77777777" w:rsidR="003142CF" w:rsidRPr="008F511F" w:rsidRDefault="003142CF" w:rsidP="009C04D2">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Copeland, T. E. (1976). A model of asset trading under the assumption of sequential information arrival. </w:t>
      </w:r>
      <w:r w:rsidRPr="008F511F">
        <w:rPr>
          <w:rFonts w:ascii="Times New Roman" w:hAnsi="Times New Roman" w:cs="Times New Roman"/>
          <w:i/>
          <w:iCs/>
          <w:sz w:val="24"/>
          <w:szCs w:val="24"/>
        </w:rPr>
        <w:t>The Journal of Finance</w:t>
      </w:r>
      <w:r w:rsidRPr="008F511F">
        <w:rPr>
          <w:rFonts w:ascii="Times New Roman" w:hAnsi="Times New Roman" w:cs="Times New Roman"/>
          <w:sz w:val="24"/>
          <w:szCs w:val="24"/>
        </w:rPr>
        <w:t>, </w:t>
      </w:r>
      <w:r w:rsidRPr="008F511F">
        <w:rPr>
          <w:rFonts w:ascii="Times New Roman" w:hAnsi="Times New Roman" w:cs="Times New Roman"/>
          <w:i/>
          <w:iCs/>
          <w:sz w:val="24"/>
          <w:szCs w:val="24"/>
        </w:rPr>
        <w:t>31</w:t>
      </w:r>
      <w:r w:rsidRPr="008F511F">
        <w:rPr>
          <w:rFonts w:ascii="Times New Roman" w:hAnsi="Times New Roman" w:cs="Times New Roman"/>
          <w:sz w:val="24"/>
          <w:szCs w:val="24"/>
        </w:rPr>
        <w:t>(4), 1149-1168.</w:t>
      </w:r>
    </w:p>
    <w:p w14:paraId="17677C78" w14:textId="77777777" w:rsidR="003142CF" w:rsidRPr="008F511F" w:rsidRDefault="003142CF" w:rsidP="009C04D2">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Diebold, F. X., Yilmaz, K., 2012. Better to give than to receive: Predictive directional measurement of volatility spillovers. International Journal of Forecasting, 28(1), 57</w:t>
      </w:r>
      <w:r w:rsidRPr="008F511F">
        <w:rPr>
          <w:rFonts w:ascii="Times New Roman" w:hAnsi="Times New Roman" w:cs="Times New Roman"/>
          <w:sz w:val="24"/>
          <w:szCs w:val="24"/>
          <w:lang w:val="en-IN"/>
        </w:rPr>
        <w:t>–</w:t>
      </w:r>
      <w:r w:rsidRPr="008F511F">
        <w:rPr>
          <w:rFonts w:ascii="Times New Roman" w:hAnsi="Times New Roman" w:cs="Times New Roman"/>
          <w:sz w:val="24"/>
          <w:szCs w:val="24"/>
        </w:rPr>
        <w:t xml:space="preserve">66. </w:t>
      </w:r>
    </w:p>
    <w:p w14:paraId="781EBA18" w14:textId="77777777" w:rsidR="003142CF" w:rsidRPr="008F511F" w:rsidRDefault="003142CF" w:rsidP="009C04D2">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Dowling, M. (2021a). Fertile LAND: Pricing non-fungible tokens. </w:t>
      </w:r>
      <w:r w:rsidRPr="008F511F">
        <w:rPr>
          <w:rFonts w:ascii="Times New Roman" w:hAnsi="Times New Roman" w:cs="Times New Roman"/>
          <w:i/>
          <w:iCs/>
          <w:sz w:val="24"/>
          <w:szCs w:val="24"/>
        </w:rPr>
        <w:t>Finance Research Letters</w:t>
      </w:r>
      <w:r w:rsidRPr="008F511F">
        <w:rPr>
          <w:rFonts w:ascii="Times New Roman" w:hAnsi="Times New Roman" w:cs="Times New Roman"/>
          <w:sz w:val="24"/>
          <w:szCs w:val="24"/>
        </w:rPr>
        <w:t>, 102096.</w:t>
      </w:r>
    </w:p>
    <w:p w14:paraId="4DD614E4" w14:textId="77777777" w:rsidR="003142CF" w:rsidRPr="008F511F" w:rsidRDefault="003142CF" w:rsidP="009C04D2">
      <w:pPr>
        <w:spacing w:before="240" w:after="0" w:line="240" w:lineRule="auto"/>
        <w:jc w:val="both"/>
        <w:rPr>
          <w:rFonts w:ascii="Times New Roman" w:hAnsi="Times New Roman" w:cs="Times New Roman"/>
          <w:sz w:val="24"/>
          <w:szCs w:val="24"/>
        </w:rPr>
      </w:pPr>
      <w:bookmarkStart w:id="12" w:name="_Hlk88587723"/>
      <w:r w:rsidRPr="008F511F">
        <w:rPr>
          <w:rFonts w:ascii="Times New Roman" w:hAnsi="Times New Roman" w:cs="Times New Roman"/>
          <w:sz w:val="24"/>
          <w:szCs w:val="24"/>
        </w:rPr>
        <w:t>Dowling</w:t>
      </w:r>
      <w:bookmarkEnd w:id="12"/>
      <w:r w:rsidRPr="008F511F">
        <w:rPr>
          <w:rFonts w:ascii="Times New Roman" w:hAnsi="Times New Roman" w:cs="Times New Roman"/>
          <w:sz w:val="24"/>
          <w:szCs w:val="24"/>
        </w:rPr>
        <w:t xml:space="preserve">, M. (2021b). Is non-fungible token pricing driven by </w:t>
      </w:r>
      <w:proofErr w:type="gramStart"/>
      <w:r w:rsidRPr="008F511F">
        <w:rPr>
          <w:rFonts w:ascii="Times New Roman" w:hAnsi="Times New Roman" w:cs="Times New Roman"/>
          <w:sz w:val="24"/>
          <w:szCs w:val="24"/>
        </w:rPr>
        <w:t>cryptocurrencies?.</w:t>
      </w:r>
      <w:proofErr w:type="gramEnd"/>
      <w:r w:rsidRPr="008F511F">
        <w:rPr>
          <w:rFonts w:ascii="Times New Roman" w:hAnsi="Times New Roman" w:cs="Times New Roman"/>
          <w:sz w:val="24"/>
          <w:szCs w:val="24"/>
        </w:rPr>
        <w:t> </w:t>
      </w:r>
      <w:r w:rsidRPr="008F511F">
        <w:rPr>
          <w:rFonts w:ascii="Times New Roman" w:hAnsi="Times New Roman" w:cs="Times New Roman"/>
          <w:i/>
          <w:iCs/>
          <w:sz w:val="24"/>
          <w:szCs w:val="24"/>
        </w:rPr>
        <w:t>Finance Research Letters</w:t>
      </w:r>
      <w:r w:rsidRPr="008F511F">
        <w:rPr>
          <w:rFonts w:ascii="Times New Roman" w:hAnsi="Times New Roman" w:cs="Times New Roman"/>
          <w:sz w:val="24"/>
          <w:szCs w:val="24"/>
        </w:rPr>
        <w:t>, 102097.</w:t>
      </w:r>
    </w:p>
    <w:p w14:paraId="28EC5781" w14:textId="77777777" w:rsidR="003142CF" w:rsidRPr="008F511F" w:rsidRDefault="003142CF" w:rsidP="009C04D2">
      <w:pPr>
        <w:spacing w:before="240" w:after="0" w:line="240" w:lineRule="auto"/>
        <w:jc w:val="both"/>
        <w:rPr>
          <w:rFonts w:ascii="Times New Roman" w:hAnsi="Times New Roman" w:cs="Times New Roman"/>
          <w:sz w:val="24"/>
          <w:szCs w:val="24"/>
        </w:rPr>
      </w:pPr>
      <w:proofErr w:type="spellStart"/>
      <w:r w:rsidRPr="008F511F">
        <w:rPr>
          <w:rFonts w:ascii="Times New Roman" w:hAnsi="Times New Roman" w:cs="Times New Roman"/>
          <w:sz w:val="24"/>
          <w:szCs w:val="24"/>
        </w:rPr>
        <w:t>Fama</w:t>
      </w:r>
      <w:proofErr w:type="spellEnd"/>
      <w:r w:rsidRPr="008F511F">
        <w:rPr>
          <w:rFonts w:ascii="Times New Roman" w:hAnsi="Times New Roman" w:cs="Times New Roman"/>
          <w:sz w:val="24"/>
          <w:szCs w:val="24"/>
        </w:rPr>
        <w:t>, E. F. (1970). Efficient Capital Markets: A Review of Theory and Empirical Work. The Journal of Finance, 25(2), 383-417.</w:t>
      </w:r>
    </w:p>
    <w:p w14:paraId="0DE5C031" w14:textId="77777777" w:rsidR="003142CF" w:rsidRPr="008F511F" w:rsidRDefault="003142CF" w:rsidP="009C04D2">
      <w:pPr>
        <w:spacing w:before="240" w:after="0" w:line="240" w:lineRule="auto"/>
        <w:jc w:val="both"/>
        <w:rPr>
          <w:rFonts w:ascii="Times New Roman" w:hAnsi="Times New Roman" w:cs="Times New Roman"/>
          <w:sz w:val="24"/>
          <w:szCs w:val="24"/>
        </w:rPr>
      </w:pPr>
      <w:bookmarkStart w:id="13" w:name="_Hlk88657098"/>
      <w:proofErr w:type="spellStart"/>
      <w:r w:rsidRPr="008F511F">
        <w:rPr>
          <w:rFonts w:ascii="Times New Roman" w:hAnsi="Times New Roman" w:cs="Times New Roman"/>
          <w:sz w:val="24"/>
          <w:szCs w:val="24"/>
        </w:rPr>
        <w:t>Fousekis</w:t>
      </w:r>
      <w:proofErr w:type="spellEnd"/>
      <w:r w:rsidRPr="008F511F">
        <w:rPr>
          <w:rFonts w:ascii="Times New Roman" w:hAnsi="Times New Roman" w:cs="Times New Roman"/>
          <w:sz w:val="24"/>
          <w:szCs w:val="24"/>
        </w:rPr>
        <w:t xml:space="preserve">, P., &amp; </w:t>
      </w:r>
      <w:proofErr w:type="spellStart"/>
      <w:r w:rsidRPr="008F511F">
        <w:rPr>
          <w:rFonts w:ascii="Times New Roman" w:hAnsi="Times New Roman" w:cs="Times New Roman"/>
          <w:sz w:val="24"/>
          <w:szCs w:val="24"/>
        </w:rPr>
        <w:t>Tzaferi</w:t>
      </w:r>
      <w:proofErr w:type="spellEnd"/>
      <w:r w:rsidRPr="008F511F">
        <w:rPr>
          <w:rFonts w:ascii="Times New Roman" w:hAnsi="Times New Roman" w:cs="Times New Roman"/>
          <w:sz w:val="24"/>
          <w:szCs w:val="24"/>
        </w:rPr>
        <w:t>, D. (2021</w:t>
      </w:r>
      <w:bookmarkEnd w:id="13"/>
      <w:r w:rsidRPr="008F511F">
        <w:rPr>
          <w:rFonts w:ascii="Times New Roman" w:hAnsi="Times New Roman" w:cs="Times New Roman"/>
          <w:sz w:val="24"/>
          <w:szCs w:val="24"/>
        </w:rPr>
        <w:t>). Returns and volume: Frequency connectedness in cryptocurrency markets. Economic Modelling, 95, 13-20.</w:t>
      </w:r>
    </w:p>
    <w:p w14:paraId="420AC07D" w14:textId="77777777" w:rsidR="003142CF" w:rsidRPr="008F511F" w:rsidRDefault="003142CF" w:rsidP="009C04D2">
      <w:pPr>
        <w:spacing w:before="240" w:after="0" w:line="240" w:lineRule="auto"/>
        <w:jc w:val="both"/>
        <w:rPr>
          <w:rFonts w:ascii="Times New Roman" w:hAnsi="Times New Roman" w:cs="Times New Roman"/>
          <w:sz w:val="24"/>
          <w:szCs w:val="24"/>
          <w:shd w:val="clear" w:color="auto" w:fill="FFFFFF"/>
        </w:rPr>
      </w:pPr>
      <w:r w:rsidRPr="008F511F">
        <w:rPr>
          <w:rFonts w:ascii="Times New Roman" w:hAnsi="Times New Roman" w:cs="Times New Roman"/>
          <w:sz w:val="24"/>
          <w:szCs w:val="24"/>
          <w:shd w:val="clear" w:color="auto" w:fill="FFFFFF"/>
        </w:rPr>
        <w:t xml:space="preserve">Gallant, A. R., Rossi, P. E., &amp; </w:t>
      </w:r>
      <w:proofErr w:type="spellStart"/>
      <w:r w:rsidRPr="008F511F">
        <w:rPr>
          <w:rFonts w:ascii="Times New Roman" w:hAnsi="Times New Roman" w:cs="Times New Roman"/>
          <w:sz w:val="24"/>
          <w:szCs w:val="24"/>
          <w:shd w:val="clear" w:color="auto" w:fill="FFFFFF"/>
        </w:rPr>
        <w:t>Tauchen</w:t>
      </w:r>
      <w:proofErr w:type="spellEnd"/>
      <w:r w:rsidRPr="008F511F">
        <w:rPr>
          <w:rFonts w:ascii="Times New Roman" w:hAnsi="Times New Roman" w:cs="Times New Roman"/>
          <w:sz w:val="24"/>
          <w:szCs w:val="24"/>
          <w:shd w:val="clear" w:color="auto" w:fill="FFFFFF"/>
        </w:rPr>
        <w:t>, G. (1992). Stock prices and volume. </w:t>
      </w:r>
      <w:r w:rsidRPr="008F511F">
        <w:rPr>
          <w:rFonts w:ascii="Times New Roman" w:hAnsi="Times New Roman" w:cs="Times New Roman"/>
          <w:i/>
          <w:iCs/>
          <w:sz w:val="24"/>
          <w:szCs w:val="24"/>
          <w:shd w:val="clear" w:color="auto" w:fill="FFFFFF"/>
        </w:rPr>
        <w:t>The Review of Financial Studies</w:t>
      </w:r>
      <w:r w:rsidRPr="008F511F">
        <w:rPr>
          <w:rFonts w:ascii="Times New Roman" w:hAnsi="Times New Roman" w:cs="Times New Roman"/>
          <w:sz w:val="24"/>
          <w:szCs w:val="24"/>
          <w:shd w:val="clear" w:color="auto" w:fill="FFFFFF"/>
        </w:rPr>
        <w:t>, </w:t>
      </w:r>
      <w:r w:rsidRPr="008F511F">
        <w:rPr>
          <w:rFonts w:ascii="Times New Roman" w:hAnsi="Times New Roman" w:cs="Times New Roman"/>
          <w:i/>
          <w:iCs/>
          <w:sz w:val="24"/>
          <w:szCs w:val="24"/>
          <w:shd w:val="clear" w:color="auto" w:fill="FFFFFF"/>
        </w:rPr>
        <w:t>5</w:t>
      </w:r>
      <w:r w:rsidRPr="008F511F">
        <w:rPr>
          <w:rFonts w:ascii="Times New Roman" w:hAnsi="Times New Roman" w:cs="Times New Roman"/>
          <w:sz w:val="24"/>
          <w:szCs w:val="24"/>
          <w:shd w:val="clear" w:color="auto" w:fill="FFFFFF"/>
        </w:rPr>
        <w:t>(2), 199-242.</w:t>
      </w:r>
    </w:p>
    <w:p w14:paraId="31874717" w14:textId="77777777" w:rsidR="003142CF" w:rsidRPr="008F511F" w:rsidRDefault="003142CF" w:rsidP="009C04D2">
      <w:pPr>
        <w:spacing w:before="240" w:after="0" w:line="240" w:lineRule="auto"/>
        <w:jc w:val="both"/>
        <w:rPr>
          <w:rFonts w:ascii="Times New Roman" w:hAnsi="Times New Roman" w:cs="Times New Roman"/>
          <w:sz w:val="24"/>
          <w:szCs w:val="24"/>
          <w:shd w:val="clear" w:color="auto" w:fill="FFFFFF"/>
        </w:rPr>
      </w:pPr>
      <w:proofErr w:type="spellStart"/>
      <w:r w:rsidRPr="008F511F">
        <w:rPr>
          <w:rFonts w:ascii="Times New Roman" w:hAnsi="Times New Roman" w:cs="Times New Roman"/>
          <w:sz w:val="24"/>
          <w:szCs w:val="24"/>
          <w:shd w:val="clear" w:color="auto" w:fill="FFFFFF"/>
        </w:rPr>
        <w:t>Gębka</w:t>
      </w:r>
      <w:proofErr w:type="spellEnd"/>
      <w:r w:rsidRPr="008F511F">
        <w:rPr>
          <w:rFonts w:ascii="Times New Roman" w:hAnsi="Times New Roman" w:cs="Times New Roman"/>
          <w:sz w:val="24"/>
          <w:szCs w:val="24"/>
          <w:shd w:val="clear" w:color="auto" w:fill="FFFFFF"/>
        </w:rPr>
        <w:t>, B. (2012). The dynamic relation between returns, trading volume, and volatility: Lessons from spillovers between Asia and the United States. </w:t>
      </w:r>
      <w:r w:rsidRPr="008F511F">
        <w:rPr>
          <w:rFonts w:ascii="Times New Roman" w:hAnsi="Times New Roman" w:cs="Times New Roman"/>
          <w:i/>
          <w:iCs/>
          <w:sz w:val="24"/>
          <w:szCs w:val="24"/>
          <w:shd w:val="clear" w:color="auto" w:fill="FFFFFF"/>
        </w:rPr>
        <w:t>Bulletin of Economic Research</w:t>
      </w:r>
      <w:r w:rsidRPr="008F511F">
        <w:rPr>
          <w:rFonts w:ascii="Times New Roman" w:hAnsi="Times New Roman" w:cs="Times New Roman"/>
          <w:sz w:val="24"/>
          <w:szCs w:val="24"/>
          <w:shd w:val="clear" w:color="auto" w:fill="FFFFFF"/>
        </w:rPr>
        <w:t>, </w:t>
      </w:r>
      <w:r w:rsidRPr="008F511F">
        <w:rPr>
          <w:rFonts w:ascii="Times New Roman" w:hAnsi="Times New Roman" w:cs="Times New Roman"/>
          <w:i/>
          <w:iCs/>
          <w:sz w:val="24"/>
          <w:szCs w:val="24"/>
          <w:shd w:val="clear" w:color="auto" w:fill="FFFFFF"/>
        </w:rPr>
        <w:t>64</w:t>
      </w:r>
      <w:r w:rsidRPr="008F511F">
        <w:rPr>
          <w:rFonts w:ascii="Times New Roman" w:hAnsi="Times New Roman" w:cs="Times New Roman"/>
          <w:sz w:val="24"/>
          <w:szCs w:val="24"/>
          <w:shd w:val="clear" w:color="auto" w:fill="FFFFFF"/>
        </w:rPr>
        <w:t>(1), 65-90.</w:t>
      </w:r>
    </w:p>
    <w:p w14:paraId="13C4BBF3" w14:textId="5204D5BA" w:rsidR="00367B5B" w:rsidRPr="008F511F" w:rsidRDefault="00367B5B" w:rsidP="009C04D2">
      <w:pPr>
        <w:spacing w:before="240" w:after="0" w:line="240" w:lineRule="auto"/>
        <w:jc w:val="both"/>
        <w:rPr>
          <w:rFonts w:ascii="Times New Roman" w:hAnsi="Times New Roman" w:cs="Times New Roman"/>
          <w:sz w:val="24"/>
          <w:szCs w:val="24"/>
        </w:rPr>
      </w:pPr>
      <w:proofErr w:type="spellStart"/>
      <w:r w:rsidRPr="008F511F">
        <w:rPr>
          <w:rFonts w:ascii="Times New Roman" w:hAnsi="Times New Roman" w:cs="Times New Roman"/>
          <w:sz w:val="24"/>
          <w:szCs w:val="24"/>
        </w:rPr>
        <w:t>Katsiampa</w:t>
      </w:r>
      <w:proofErr w:type="spellEnd"/>
      <w:r w:rsidRPr="008F511F">
        <w:rPr>
          <w:rFonts w:ascii="Times New Roman" w:hAnsi="Times New Roman" w:cs="Times New Roman"/>
          <w:sz w:val="24"/>
          <w:szCs w:val="24"/>
        </w:rPr>
        <w:t xml:space="preserve">, P., Yarovaya, L., </w:t>
      </w:r>
      <w:hyperlink r:id="rId9" w:anchor="!" w:history="1">
        <w:r w:rsidRPr="008F511F">
          <w:rPr>
            <w:rFonts w:ascii="Times New Roman" w:hAnsi="Times New Roman" w:cs="Times New Roman"/>
            <w:sz w:val="24"/>
            <w:szCs w:val="24"/>
          </w:rPr>
          <w:t>Zięba</w:t>
        </w:r>
      </w:hyperlink>
      <w:r w:rsidRPr="008F511F">
        <w:rPr>
          <w:rFonts w:ascii="Times New Roman" w:hAnsi="Times New Roman" w:cs="Times New Roman"/>
          <w:sz w:val="24"/>
          <w:szCs w:val="24"/>
        </w:rPr>
        <w:t>, D. (2022).</w:t>
      </w:r>
      <w:r w:rsidR="00BC5480" w:rsidRPr="008F511F">
        <w:rPr>
          <w:rFonts w:ascii="Times New Roman" w:hAnsi="Times New Roman" w:cs="Times New Roman"/>
          <w:sz w:val="24"/>
          <w:szCs w:val="24"/>
        </w:rPr>
        <w:t xml:space="preserve"> High-frequency connectedness between Bitcoin and other top-traded crypto assets during the COVID-19 crisis. Journal of International Financial Market, Institutions &amp; Money, forthcoming. </w:t>
      </w:r>
      <w:hyperlink r:id="rId10" w:tgtFrame="_blank" w:tooltip="Persistent link using digital object identifier" w:history="1">
        <w:r w:rsidR="00BC5480" w:rsidRPr="008F511F">
          <w:rPr>
            <w:rStyle w:val="Hyperlink"/>
            <w:rFonts w:ascii="Arial" w:hAnsi="Arial" w:cs="Arial"/>
            <w:color w:val="auto"/>
            <w:sz w:val="21"/>
            <w:szCs w:val="21"/>
          </w:rPr>
          <w:t>https://doi.org/10.1016/j.intfin.2022.101578</w:t>
        </w:r>
      </w:hyperlink>
    </w:p>
    <w:p w14:paraId="2DBF025E" w14:textId="75F6AFD7" w:rsidR="003142CF" w:rsidRPr="008F511F" w:rsidRDefault="003142CF" w:rsidP="009C04D2">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 xml:space="preserve">Karim, S., Lucey, B. M., Naeem, M. A., &amp; Uddin, G. S. (2021). Examining the Interrelatedness of NFT’s, </w:t>
      </w:r>
      <w:proofErr w:type="spellStart"/>
      <w:r w:rsidRPr="008F511F">
        <w:rPr>
          <w:rFonts w:ascii="Times New Roman" w:hAnsi="Times New Roman" w:cs="Times New Roman"/>
          <w:sz w:val="24"/>
          <w:szCs w:val="24"/>
        </w:rPr>
        <w:t>DeFi</w:t>
      </w:r>
      <w:proofErr w:type="spellEnd"/>
      <w:r w:rsidRPr="008F511F">
        <w:rPr>
          <w:rFonts w:ascii="Times New Roman" w:hAnsi="Times New Roman" w:cs="Times New Roman"/>
          <w:sz w:val="24"/>
          <w:szCs w:val="24"/>
        </w:rPr>
        <w:t xml:space="preserve"> Tokens and Cryptocurrencies (November 20, 2021). Available at SSRN: </w:t>
      </w:r>
      <w:hyperlink r:id="rId11" w:tgtFrame="_blank" w:history="1">
        <w:r w:rsidRPr="008F511F">
          <w:rPr>
            <w:rStyle w:val="Hyperlink"/>
            <w:rFonts w:ascii="Times New Roman" w:hAnsi="Times New Roman" w:cs="Times New Roman"/>
            <w:color w:val="auto"/>
            <w:sz w:val="24"/>
            <w:szCs w:val="24"/>
          </w:rPr>
          <w:t>https://ssrn.com/abstract=3967960</w:t>
        </w:r>
      </w:hyperlink>
      <w:r w:rsidRPr="008F511F">
        <w:rPr>
          <w:rFonts w:ascii="Times New Roman" w:hAnsi="Times New Roman" w:cs="Times New Roman"/>
          <w:sz w:val="24"/>
          <w:szCs w:val="24"/>
        </w:rPr>
        <w:t xml:space="preserve">  </w:t>
      </w:r>
    </w:p>
    <w:p w14:paraId="13CA8ECB" w14:textId="77777777" w:rsidR="003142CF" w:rsidRPr="008F511F" w:rsidRDefault="003142CF" w:rsidP="009C04D2">
      <w:pPr>
        <w:spacing w:before="240" w:after="0" w:line="240" w:lineRule="auto"/>
        <w:jc w:val="both"/>
        <w:rPr>
          <w:rFonts w:ascii="Times New Roman" w:hAnsi="Times New Roman" w:cs="Times New Roman"/>
          <w:sz w:val="24"/>
          <w:szCs w:val="24"/>
        </w:rPr>
      </w:pPr>
      <w:proofErr w:type="spellStart"/>
      <w:r w:rsidRPr="008F511F">
        <w:rPr>
          <w:rFonts w:ascii="Times New Roman" w:hAnsi="Times New Roman" w:cs="Times New Roman"/>
          <w:sz w:val="24"/>
          <w:szCs w:val="24"/>
        </w:rPr>
        <w:lastRenderedPageBreak/>
        <w:t>Khuntia</w:t>
      </w:r>
      <w:proofErr w:type="spellEnd"/>
      <w:r w:rsidRPr="008F511F">
        <w:rPr>
          <w:rFonts w:ascii="Times New Roman" w:hAnsi="Times New Roman" w:cs="Times New Roman"/>
          <w:sz w:val="24"/>
          <w:szCs w:val="24"/>
        </w:rPr>
        <w:t xml:space="preserve">, S., &amp; </w:t>
      </w:r>
      <w:proofErr w:type="spellStart"/>
      <w:r w:rsidRPr="008F511F">
        <w:rPr>
          <w:rFonts w:ascii="Times New Roman" w:hAnsi="Times New Roman" w:cs="Times New Roman"/>
          <w:sz w:val="24"/>
          <w:szCs w:val="24"/>
        </w:rPr>
        <w:t>Pattanayak</w:t>
      </w:r>
      <w:proofErr w:type="spellEnd"/>
      <w:r w:rsidRPr="008F511F">
        <w:rPr>
          <w:rFonts w:ascii="Times New Roman" w:hAnsi="Times New Roman" w:cs="Times New Roman"/>
          <w:sz w:val="24"/>
          <w:szCs w:val="24"/>
        </w:rPr>
        <w:t xml:space="preserve">, J. K. (2020). Adaptive long memory in volatility of intra-day bitcoin returns and the impact of trading volume. </w:t>
      </w:r>
      <w:r w:rsidRPr="008F511F">
        <w:rPr>
          <w:rFonts w:ascii="Times New Roman" w:hAnsi="Times New Roman" w:cs="Times New Roman"/>
          <w:i/>
          <w:iCs/>
          <w:sz w:val="24"/>
          <w:szCs w:val="24"/>
        </w:rPr>
        <w:t>Finance Research Letters, 32</w:t>
      </w:r>
      <w:r w:rsidRPr="008F511F">
        <w:rPr>
          <w:rFonts w:ascii="Times New Roman" w:hAnsi="Times New Roman" w:cs="Times New Roman"/>
          <w:sz w:val="24"/>
          <w:szCs w:val="24"/>
        </w:rPr>
        <w:t xml:space="preserve">, 101077. </w:t>
      </w:r>
      <w:hyperlink r:id="rId12" w:history="1">
        <w:r w:rsidRPr="008F511F">
          <w:rPr>
            <w:rStyle w:val="Hyperlink"/>
            <w:rFonts w:ascii="Times New Roman" w:hAnsi="Times New Roman" w:cs="Times New Roman"/>
            <w:color w:val="auto"/>
            <w:sz w:val="24"/>
            <w:szCs w:val="24"/>
          </w:rPr>
          <w:t>https://doi.org/10.1016/j.frl.2018.12.025</w:t>
        </w:r>
      </w:hyperlink>
      <w:r w:rsidRPr="008F511F">
        <w:rPr>
          <w:rFonts w:ascii="Times New Roman" w:hAnsi="Times New Roman" w:cs="Times New Roman"/>
          <w:sz w:val="24"/>
          <w:szCs w:val="24"/>
        </w:rPr>
        <w:t xml:space="preserve"> </w:t>
      </w:r>
    </w:p>
    <w:p w14:paraId="5CD4AF87" w14:textId="77777777" w:rsidR="003142CF" w:rsidRPr="008F511F" w:rsidRDefault="003142CF" w:rsidP="009C04D2">
      <w:pPr>
        <w:spacing w:before="240" w:after="0" w:line="240" w:lineRule="auto"/>
        <w:jc w:val="both"/>
        <w:rPr>
          <w:rFonts w:ascii="Times New Roman" w:hAnsi="Times New Roman" w:cs="Times New Roman"/>
          <w:sz w:val="24"/>
          <w:szCs w:val="24"/>
          <w:lang w:eastAsia="ko-KR"/>
        </w:rPr>
      </w:pPr>
      <w:proofErr w:type="spellStart"/>
      <w:r w:rsidRPr="008F511F">
        <w:rPr>
          <w:rFonts w:ascii="Times New Roman" w:hAnsi="Times New Roman" w:cs="Times New Roman"/>
          <w:sz w:val="24"/>
          <w:szCs w:val="24"/>
          <w:lang w:eastAsia="ko-KR"/>
        </w:rPr>
        <w:t>Kireyev</w:t>
      </w:r>
      <w:proofErr w:type="spellEnd"/>
      <w:r w:rsidRPr="008F511F">
        <w:rPr>
          <w:rFonts w:ascii="Times New Roman" w:hAnsi="Times New Roman" w:cs="Times New Roman"/>
          <w:sz w:val="24"/>
          <w:szCs w:val="24"/>
          <w:lang w:eastAsia="ko-KR"/>
        </w:rPr>
        <w:t xml:space="preserve">, P., &amp; Evans, P, C. (2021). Making Sense of the NFT Marketplace. </w:t>
      </w:r>
      <w:r w:rsidRPr="008F511F">
        <w:rPr>
          <w:rFonts w:ascii="Times New Roman" w:hAnsi="Times New Roman" w:cs="Times New Roman"/>
          <w:i/>
          <w:iCs/>
          <w:sz w:val="24"/>
          <w:szCs w:val="24"/>
          <w:lang w:eastAsia="ko-KR"/>
        </w:rPr>
        <w:t>Harvard Business Review</w:t>
      </w:r>
      <w:r w:rsidRPr="008F511F">
        <w:rPr>
          <w:rFonts w:ascii="Times New Roman" w:hAnsi="Times New Roman" w:cs="Times New Roman"/>
          <w:sz w:val="24"/>
          <w:szCs w:val="24"/>
          <w:lang w:eastAsia="ko-KR"/>
        </w:rPr>
        <w:t xml:space="preserve">. </w:t>
      </w:r>
    </w:p>
    <w:p w14:paraId="665EA735" w14:textId="77777777" w:rsidR="003142CF" w:rsidRPr="008F511F" w:rsidRDefault="003142CF" w:rsidP="009C04D2">
      <w:pPr>
        <w:spacing w:before="240" w:after="0" w:line="240" w:lineRule="auto"/>
        <w:jc w:val="both"/>
        <w:rPr>
          <w:rFonts w:ascii="Times New Roman" w:hAnsi="Times New Roman" w:cs="Times New Roman"/>
          <w:sz w:val="24"/>
          <w:szCs w:val="24"/>
          <w:shd w:val="clear" w:color="auto" w:fill="FFFFFF"/>
        </w:rPr>
      </w:pPr>
      <w:r w:rsidRPr="008F511F">
        <w:rPr>
          <w:rFonts w:ascii="Times New Roman" w:hAnsi="Times New Roman" w:cs="Times New Roman"/>
          <w:sz w:val="24"/>
          <w:szCs w:val="24"/>
          <w:shd w:val="clear" w:color="auto" w:fill="FFFFFF"/>
        </w:rPr>
        <w:t>Ko, H., Son, B., Lee, Y., Jang, H., &amp; Lee, J. (2022). The economic value of NFT: Evidence from a portfolio analysis using mean-variance framework. </w:t>
      </w:r>
      <w:r w:rsidRPr="008F511F">
        <w:rPr>
          <w:rFonts w:ascii="Times New Roman" w:hAnsi="Times New Roman" w:cs="Times New Roman"/>
          <w:i/>
          <w:iCs/>
          <w:sz w:val="24"/>
          <w:szCs w:val="24"/>
          <w:shd w:val="clear" w:color="auto" w:fill="FFFFFF"/>
        </w:rPr>
        <w:t>Finance Research Letters</w:t>
      </w:r>
      <w:r w:rsidRPr="008F511F">
        <w:rPr>
          <w:rFonts w:ascii="Times New Roman" w:hAnsi="Times New Roman" w:cs="Times New Roman"/>
          <w:sz w:val="24"/>
          <w:szCs w:val="24"/>
          <w:shd w:val="clear" w:color="auto" w:fill="FFFFFF"/>
        </w:rPr>
        <w:t>, 102784.</w:t>
      </w:r>
    </w:p>
    <w:p w14:paraId="58417BF0" w14:textId="77777777" w:rsidR="003142CF" w:rsidRPr="008F511F" w:rsidRDefault="003142CF" w:rsidP="009C04D2">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 xml:space="preserve">Koop, G., </w:t>
      </w:r>
      <w:proofErr w:type="spellStart"/>
      <w:r w:rsidRPr="008F511F">
        <w:rPr>
          <w:rFonts w:ascii="Times New Roman" w:hAnsi="Times New Roman" w:cs="Times New Roman"/>
          <w:sz w:val="24"/>
          <w:szCs w:val="24"/>
        </w:rPr>
        <w:t>Pesaran</w:t>
      </w:r>
      <w:proofErr w:type="spellEnd"/>
      <w:r w:rsidRPr="008F511F">
        <w:rPr>
          <w:rFonts w:ascii="Times New Roman" w:hAnsi="Times New Roman" w:cs="Times New Roman"/>
          <w:sz w:val="24"/>
          <w:szCs w:val="24"/>
        </w:rPr>
        <w:t>, M.H., Potter, S.M., 1996. Impulse response analysis in nonlinear multivariate models. Journal of Econometrics, 74(1), 119</w:t>
      </w:r>
      <w:r w:rsidRPr="008F511F">
        <w:rPr>
          <w:rFonts w:ascii="Times New Roman" w:hAnsi="Times New Roman" w:cs="Times New Roman"/>
          <w:sz w:val="24"/>
          <w:szCs w:val="24"/>
          <w:lang w:val="en-IN"/>
        </w:rPr>
        <w:t>–</w:t>
      </w:r>
      <w:r w:rsidRPr="008F511F">
        <w:rPr>
          <w:rFonts w:ascii="Times New Roman" w:hAnsi="Times New Roman" w:cs="Times New Roman"/>
          <w:sz w:val="24"/>
          <w:szCs w:val="24"/>
        </w:rPr>
        <w:t xml:space="preserve">147. </w:t>
      </w:r>
    </w:p>
    <w:p w14:paraId="633C7E4D" w14:textId="77777777" w:rsidR="003142CF" w:rsidRPr="008F511F" w:rsidRDefault="003142CF" w:rsidP="009C04D2">
      <w:pPr>
        <w:spacing w:before="240" w:after="0" w:line="240" w:lineRule="auto"/>
        <w:jc w:val="both"/>
        <w:rPr>
          <w:rFonts w:ascii="Times New Roman" w:hAnsi="Times New Roman" w:cs="Times New Roman"/>
          <w:sz w:val="24"/>
          <w:szCs w:val="24"/>
          <w:lang w:eastAsia="ko-KR"/>
        </w:rPr>
      </w:pPr>
      <w:bookmarkStart w:id="14" w:name="_Hlk99920140"/>
      <w:proofErr w:type="spellStart"/>
      <w:r w:rsidRPr="008F511F">
        <w:rPr>
          <w:rFonts w:ascii="Times New Roman" w:hAnsi="Times New Roman" w:cs="Times New Roman"/>
          <w:sz w:val="24"/>
          <w:szCs w:val="24"/>
          <w:shd w:val="clear" w:color="auto" w:fill="FFFFFF"/>
        </w:rPr>
        <w:t>Maouchi</w:t>
      </w:r>
      <w:bookmarkEnd w:id="14"/>
      <w:proofErr w:type="spellEnd"/>
      <w:r w:rsidRPr="008F511F">
        <w:rPr>
          <w:rFonts w:ascii="Times New Roman" w:hAnsi="Times New Roman" w:cs="Times New Roman"/>
          <w:sz w:val="24"/>
          <w:szCs w:val="24"/>
          <w:shd w:val="clear" w:color="auto" w:fill="FFFFFF"/>
        </w:rPr>
        <w:t xml:space="preserve">, Y., </w:t>
      </w:r>
      <w:proofErr w:type="spellStart"/>
      <w:r w:rsidRPr="008F511F">
        <w:rPr>
          <w:rFonts w:ascii="Times New Roman" w:hAnsi="Times New Roman" w:cs="Times New Roman"/>
          <w:sz w:val="24"/>
          <w:szCs w:val="24"/>
          <w:shd w:val="clear" w:color="auto" w:fill="FFFFFF"/>
        </w:rPr>
        <w:t>Charfeddine</w:t>
      </w:r>
      <w:proofErr w:type="spellEnd"/>
      <w:r w:rsidRPr="008F511F">
        <w:rPr>
          <w:rFonts w:ascii="Times New Roman" w:hAnsi="Times New Roman" w:cs="Times New Roman"/>
          <w:sz w:val="24"/>
          <w:szCs w:val="24"/>
          <w:shd w:val="clear" w:color="auto" w:fill="FFFFFF"/>
        </w:rPr>
        <w:t xml:space="preserve">, L., &amp; El </w:t>
      </w:r>
      <w:proofErr w:type="spellStart"/>
      <w:r w:rsidRPr="008F511F">
        <w:rPr>
          <w:rFonts w:ascii="Times New Roman" w:hAnsi="Times New Roman" w:cs="Times New Roman"/>
          <w:sz w:val="24"/>
          <w:szCs w:val="24"/>
          <w:shd w:val="clear" w:color="auto" w:fill="FFFFFF"/>
        </w:rPr>
        <w:t>Montasser</w:t>
      </w:r>
      <w:proofErr w:type="spellEnd"/>
      <w:r w:rsidRPr="008F511F">
        <w:rPr>
          <w:rFonts w:ascii="Times New Roman" w:hAnsi="Times New Roman" w:cs="Times New Roman"/>
          <w:sz w:val="24"/>
          <w:szCs w:val="24"/>
          <w:shd w:val="clear" w:color="auto" w:fill="FFFFFF"/>
        </w:rPr>
        <w:t xml:space="preserve">, G. (2021). Understanding digital bubbles amidst the COVID-19 pandemic: Evidence from </w:t>
      </w:r>
      <w:proofErr w:type="spellStart"/>
      <w:r w:rsidRPr="008F511F">
        <w:rPr>
          <w:rFonts w:ascii="Times New Roman" w:hAnsi="Times New Roman" w:cs="Times New Roman"/>
          <w:sz w:val="24"/>
          <w:szCs w:val="24"/>
          <w:shd w:val="clear" w:color="auto" w:fill="FFFFFF"/>
        </w:rPr>
        <w:t>DeFi</w:t>
      </w:r>
      <w:proofErr w:type="spellEnd"/>
      <w:r w:rsidRPr="008F511F">
        <w:rPr>
          <w:rFonts w:ascii="Times New Roman" w:hAnsi="Times New Roman" w:cs="Times New Roman"/>
          <w:sz w:val="24"/>
          <w:szCs w:val="24"/>
          <w:shd w:val="clear" w:color="auto" w:fill="FFFFFF"/>
        </w:rPr>
        <w:t xml:space="preserve"> and NFTs. </w:t>
      </w:r>
      <w:r w:rsidRPr="008F511F">
        <w:rPr>
          <w:rFonts w:ascii="Times New Roman" w:hAnsi="Times New Roman" w:cs="Times New Roman"/>
          <w:i/>
          <w:iCs/>
          <w:sz w:val="24"/>
          <w:szCs w:val="24"/>
          <w:shd w:val="clear" w:color="auto" w:fill="FFFFFF"/>
        </w:rPr>
        <w:t>Finance Research Letters</w:t>
      </w:r>
      <w:r w:rsidRPr="008F511F">
        <w:rPr>
          <w:rFonts w:ascii="Times New Roman" w:hAnsi="Times New Roman" w:cs="Times New Roman"/>
          <w:sz w:val="24"/>
          <w:szCs w:val="24"/>
          <w:shd w:val="clear" w:color="auto" w:fill="FFFFFF"/>
        </w:rPr>
        <w:t>, 102584.</w:t>
      </w:r>
    </w:p>
    <w:p w14:paraId="2F610171" w14:textId="77777777" w:rsidR="003142CF" w:rsidRPr="008F511F" w:rsidRDefault="003142CF" w:rsidP="003142CF">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Marsh, T., N. Wagner (2004). Return-volume dependence and extremes in international equity markets. EFA 2003 Annual Conference Paper.</w:t>
      </w:r>
    </w:p>
    <w:p w14:paraId="2ABFB9E3" w14:textId="21ED8055" w:rsidR="003142CF" w:rsidRPr="008F511F" w:rsidRDefault="003142CF" w:rsidP="003142CF">
      <w:pPr>
        <w:spacing w:before="240" w:after="0" w:line="240" w:lineRule="auto"/>
        <w:jc w:val="both"/>
        <w:rPr>
          <w:rFonts w:ascii="Times New Roman" w:hAnsi="Times New Roman" w:cs="Times New Roman"/>
          <w:sz w:val="24"/>
          <w:szCs w:val="24"/>
        </w:rPr>
      </w:pPr>
      <w:proofErr w:type="spellStart"/>
      <w:r w:rsidRPr="008F511F">
        <w:rPr>
          <w:rFonts w:ascii="Times New Roman" w:hAnsi="Times New Roman" w:cs="Times New Roman"/>
          <w:sz w:val="24"/>
          <w:szCs w:val="24"/>
        </w:rPr>
        <w:t>Nadini</w:t>
      </w:r>
      <w:proofErr w:type="spellEnd"/>
      <w:r w:rsidRPr="008F511F">
        <w:rPr>
          <w:rFonts w:ascii="Times New Roman" w:hAnsi="Times New Roman" w:cs="Times New Roman"/>
          <w:sz w:val="24"/>
          <w:szCs w:val="24"/>
        </w:rPr>
        <w:t xml:space="preserve">, M., </w:t>
      </w:r>
      <w:proofErr w:type="spellStart"/>
      <w:r w:rsidRPr="008F511F">
        <w:rPr>
          <w:rFonts w:ascii="Times New Roman" w:hAnsi="Times New Roman" w:cs="Times New Roman"/>
          <w:sz w:val="24"/>
          <w:szCs w:val="24"/>
        </w:rPr>
        <w:t>Alessandretti</w:t>
      </w:r>
      <w:proofErr w:type="spellEnd"/>
      <w:r w:rsidRPr="008F511F">
        <w:rPr>
          <w:rFonts w:ascii="Times New Roman" w:hAnsi="Times New Roman" w:cs="Times New Roman"/>
          <w:sz w:val="24"/>
          <w:szCs w:val="24"/>
        </w:rPr>
        <w:t xml:space="preserve">, L., Di </w:t>
      </w:r>
      <w:proofErr w:type="spellStart"/>
      <w:r w:rsidRPr="008F511F">
        <w:rPr>
          <w:rFonts w:ascii="Times New Roman" w:hAnsi="Times New Roman" w:cs="Times New Roman"/>
          <w:sz w:val="24"/>
          <w:szCs w:val="24"/>
        </w:rPr>
        <w:t>Giacinto</w:t>
      </w:r>
      <w:proofErr w:type="spellEnd"/>
      <w:r w:rsidRPr="008F511F">
        <w:rPr>
          <w:rFonts w:ascii="Times New Roman" w:hAnsi="Times New Roman" w:cs="Times New Roman"/>
          <w:sz w:val="24"/>
          <w:szCs w:val="24"/>
        </w:rPr>
        <w:t xml:space="preserve">, F., Martino, M., Aiello, L. M., &amp; </w:t>
      </w:r>
      <w:proofErr w:type="spellStart"/>
      <w:r w:rsidRPr="008F511F">
        <w:rPr>
          <w:rFonts w:ascii="Times New Roman" w:hAnsi="Times New Roman" w:cs="Times New Roman"/>
          <w:sz w:val="24"/>
          <w:szCs w:val="24"/>
        </w:rPr>
        <w:t>Baronchelli</w:t>
      </w:r>
      <w:proofErr w:type="spellEnd"/>
      <w:r w:rsidRPr="008F511F">
        <w:rPr>
          <w:rFonts w:ascii="Times New Roman" w:hAnsi="Times New Roman" w:cs="Times New Roman"/>
          <w:sz w:val="24"/>
          <w:szCs w:val="24"/>
        </w:rPr>
        <w:t>, A. (2021). Mapping the NFT revolution: market trends, trade networks, and visual features. </w:t>
      </w:r>
      <w:r w:rsidRPr="008F511F">
        <w:rPr>
          <w:rFonts w:ascii="Times New Roman" w:hAnsi="Times New Roman" w:cs="Times New Roman"/>
          <w:i/>
          <w:iCs/>
          <w:sz w:val="24"/>
          <w:szCs w:val="24"/>
        </w:rPr>
        <w:t>Scientific reports</w:t>
      </w:r>
      <w:r w:rsidRPr="008F511F">
        <w:rPr>
          <w:rFonts w:ascii="Times New Roman" w:hAnsi="Times New Roman" w:cs="Times New Roman"/>
          <w:sz w:val="24"/>
          <w:szCs w:val="24"/>
        </w:rPr>
        <w:t>, </w:t>
      </w:r>
      <w:r w:rsidRPr="008F511F">
        <w:rPr>
          <w:rFonts w:ascii="Times New Roman" w:hAnsi="Times New Roman" w:cs="Times New Roman"/>
          <w:i/>
          <w:iCs/>
          <w:sz w:val="24"/>
          <w:szCs w:val="24"/>
        </w:rPr>
        <w:t>11</w:t>
      </w:r>
      <w:r w:rsidRPr="008F511F">
        <w:rPr>
          <w:rFonts w:ascii="Times New Roman" w:hAnsi="Times New Roman" w:cs="Times New Roman"/>
          <w:sz w:val="24"/>
          <w:szCs w:val="24"/>
        </w:rPr>
        <w:t>(1), 1-11.</w:t>
      </w:r>
    </w:p>
    <w:p w14:paraId="184AFF13" w14:textId="77777777" w:rsidR="003142CF" w:rsidRPr="008F511F" w:rsidRDefault="003142CF" w:rsidP="009C04D2">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 xml:space="preserve">Naeem, M., </w:t>
      </w:r>
      <w:proofErr w:type="spellStart"/>
      <w:r w:rsidRPr="008F511F">
        <w:rPr>
          <w:rFonts w:ascii="Times New Roman" w:hAnsi="Times New Roman" w:cs="Times New Roman"/>
          <w:sz w:val="24"/>
          <w:szCs w:val="24"/>
        </w:rPr>
        <w:t>Bouri</w:t>
      </w:r>
      <w:proofErr w:type="spellEnd"/>
      <w:r w:rsidRPr="008F511F">
        <w:rPr>
          <w:rFonts w:ascii="Times New Roman" w:hAnsi="Times New Roman" w:cs="Times New Roman"/>
          <w:sz w:val="24"/>
          <w:szCs w:val="24"/>
        </w:rPr>
        <w:t xml:space="preserve">, E., </w:t>
      </w:r>
      <w:proofErr w:type="spellStart"/>
      <w:r w:rsidRPr="008F511F">
        <w:rPr>
          <w:rFonts w:ascii="Times New Roman" w:hAnsi="Times New Roman" w:cs="Times New Roman"/>
          <w:sz w:val="24"/>
          <w:szCs w:val="24"/>
        </w:rPr>
        <w:t>Boako</w:t>
      </w:r>
      <w:proofErr w:type="spellEnd"/>
      <w:r w:rsidRPr="008F511F">
        <w:rPr>
          <w:rFonts w:ascii="Times New Roman" w:hAnsi="Times New Roman" w:cs="Times New Roman"/>
          <w:sz w:val="24"/>
          <w:szCs w:val="24"/>
        </w:rPr>
        <w:t xml:space="preserve">, G., &amp; </w:t>
      </w:r>
      <w:proofErr w:type="spellStart"/>
      <w:r w:rsidRPr="008F511F">
        <w:rPr>
          <w:rFonts w:ascii="Times New Roman" w:hAnsi="Times New Roman" w:cs="Times New Roman"/>
          <w:sz w:val="24"/>
          <w:szCs w:val="24"/>
        </w:rPr>
        <w:t>Roubaud</w:t>
      </w:r>
      <w:proofErr w:type="spellEnd"/>
      <w:r w:rsidRPr="008F511F">
        <w:rPr>
          <w:rFonts w:ascii="Times New Roman" w:hAnsi="Times New Roman" w:cs="Times New Roman"/>
          <w:sz w:val="24"/>
          <w:szCs w:val="24"/>
        </w:rPr>
        <w:t>, D. (2020). Tail dependence in the return-volume of leading cryptocurrencies. </w:t>
      </w:r>
      <w:r w:rsidRPr="008F511F">
        <w:rPr>
          <w:rFonts w:ascii="Times New Roman" w:hAnsi="Times New Roman" w:cs="Times New Roman"/>
          <w:i/>
          <w:iCs/>
          <w:sz w:val="24"/>
          <w:szCs w:val="24"/>
        </w:rPr>
        <w:t>Finance Research Letters</w:t>
      </w:r>
      <w:r w:rsidRPr="008F511F">
        <w:rPr>
          <w:rFonts w:ascii="Times New Roman" w:hAnsi="Times New Roman" w:cs="Times New Roman"/>
          <w:sz w:val="24"/>
          <w:szCs w:val="24"/>
        </w:rPr>
        <w:t>, </w:t>
      </w:r>
      <w:r w:rsidRPr="008F511F">
        <w:rPr>
          <w:rFonts w:ascii="Times New Roman" w:hAnsi="Times New Roman" w:cs="Times New Roman"/>
          <w:i/>
          <w:iCs/>
          <w:sz w:val="24"/>
          <w:szCs w:val="24"/>
        </w:rPr>
        <w:t>36</w:t>
      </w:r>
      <w:r w:rsidRPr="008F511F">
        <w:rPr>
          <w:rFonts w:ascii="Times New Roman" w:hAnsi="Times New Roman" w:cs="Times New Roman"/>
          <w:sz w:val="24"/>
          <w:szCs w:val="24"/>
        </w:rPr>
        <w:t>, 101326.</w:t>
      </w:r>
    </w:p>
    <w:p w14:paraId="10284BEE" w14:textId="77777777" w:rsidR="003142CF" w:rsidRPr="008F511F" w:rsidRDefault="003142CF" w:rsidP="009C04D2">
      <w:pPr>
        <w:spacing w:before="240" w:after="0" w:line="240" w:lineRule="auto"/>
        <w:jc w:val="both"/>
        <w:rPr>
          <w:rFonts w:ascii="Times New Roman" w:hAnsi="Times New Roman" w:cs="Times New Roman"/>
          <w:sz w:val="24"/>
          <w:szCs w:val="24"/>
        </w:rPr>
      </w:pPr>
      <w:proofErr w:type="spellStart"/>
      <w:r w:rsidRPr="008F511F">
        <w:rPr>
          <w:rFonts w:ascii="Times New Roman" w:hAnsi="Times New Roman" w:cs="Times New Roman"/>
          <w:sz w:val="24"/>
          <w:szCs w:val="24"/>
        </w:rPr>
        <w:t>Pesaran</w:t>
      </w:r>
      <w:proofErr w:type="spellEnd"/>
      <w:r w:rsidRPr="008F511F">
        <w:rPr>
          <w:rFonts w:ascii="Times New Roman" w:hAnsi="Times New Roman" w:cs="Times New Roman"/>
          <w:sz w:val="24"/>
          <w:szCs w:val="24"/>
        </w:rPr>
        <w:t>, H. H., Shin, Y., 1998. Generalized impulse response analysis in linear multivariate models. Economics Letters, 58 (1), 17–29.</w:t>
      </w:r>
    </w:p>
    <w:p w14:paraId="4DD1739C" w14:textId="77777777" w:rsidR="003142CF" w:rsidRPr="008F511F" w:rsidRDefault="003142CF" w:rsidP="003142CF">
      <w:pPr>
        <w:spacing w:before="240" w:after="0" w:line="24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lang w:eastAsia="ko-KR"/>
        </w:rPr>
        <w:t xml:space="preserve">Umar, Z., </w:t>
      </w:r>
      <w:proofErr w:type="spellStart"/>
      <w:r w:rsidRPr="008F511F">
        <w:rPr>
          <w:rFonts w:ascii="Times New Roman" w:hAnsi="Times New Roman" w:cs="Times New Roman"/>
          <w:sz w:val="24"/>
          <w:szCs w:val="24"/>
          <w:lang w:eastAsia="ko-KR"/>
        </w:rPr>
        <w:t>Gubareva</w:t>
      </w:r>
      <w:proofErr w:type="spellEnd"/>
      <w:r w:rsidRPr="008F511F">
        <w:rPr>
          <w:rFonts w:ascii="Times New Roman" w:hAnsi="Times New Roman" w:cs="Times New Roman"/>
          <w:sz w:val="24"/>
          <w:szCs w:val="24"/>
          <w:lang w:eastAsia="ko-KR"/>
        </w:rPr>
        <w:t xml:space="preserve">, M., </w:t>
      </w:r>
      <w:proofErr w:type="spellStart"/>
      <w:r w:rsidRPr="008F511F">
        <w:rPr>
          <w:rFonts w:ascii="Times New Roman" w:hAnsi="Times New Roman" w:cs="Times New Roman"/>
          <w:sz w:val="24"/>
          <w:szCs w:val="24"/>
          <w:lang w:eastAsia="ko-KR"/>
        </w:rPr>
        <w:t>Teplova</w:t>
      </w:r>
      <w:proofErr w:type="spellEnd"/>
      <w:r w:rsidRPr="008F511F">
        <w:rPr>
          <w:rFonts w:ascii="Times New Roman" w:hAnsi="Times New Roman" w:cs="Times New Roman"/>
          <w:sz w:val="24"/>
          <w:szCs w:val="24"/>
          <w:lang w:eastAsia="ko-KR"/>
        </w:rPr>
        <w:t>, T., &amp; Tran, D. K. (2022). Covid-19 impact on NFTs and major asset classes interrelations: Insights from the wavelet coherence analysis. </w:t>
      </w:r>
      <w:r w:rsidRPr="008F511F">
        <w:rPr>
          <w:rFonts w:ascii="Times New Roman" w:hAnsi="Times New Roman" w:cs="Times New Roman"/>
          <w:i/>
          <w:iCs/>
          <w:sz w:val="24"/>
          <w:szCs w:val="24"/>
          <w:lang w:eastAsia="ko-KR"/>
        </w:rPr>
        <w:t>Finance Research Letters</w:t>
      </w:r>
      <w:r w:rsidRPr="008F511F">
        <w:rPr>
          <w:rFonts w:ascii="Times New Roman" w:hAnsi="Times New Roman" w:cs="Times New Roman"/>
          <w:sz w:val="24"/>
          <w:szCs w:val="24"/>
          <w:lang w:eastAsia="ko-KR"/>
        </w:rPr>
        <w:t>, 102725.</w:t>
      </w:r>
    </w:p>
    <w:p w14:paraId="0D86F561" w14:textId="6BFFC264" w:rsidR="003142CF" w:rsidRPr="008F511F" w:rsidRDefault="003142CF" w:rsidP="003142CF">
      <w:pPr>
        <w:spacing w:before="240" w:after="0" w:line="240" w:lineRule="auto"/>
        <w:jc w:val="both"/>
        <w:rPr>
          <w:rFonts w:ascii="Times New Roman" w:hAnsi="Times New Roman" w:cs="Times New Roman"/>
          <w:sz w:val="24"/>
          <w:szCs w:val="24"/>
        </w:rPr>
      </w:pPr>
      <w:r w:rsidRPr="008F511F">
        <w:rPr>
          <w:rFonts w:ascii="Times New Roman" w:hAnsi="Times New Roman" w:cs="Times New Roman"/>
          <w:sz w:val="24"/>
          <w:szCs w:val="24"/>
        </w:rPr>
        <w:t xml:space="preserve">Wang, Y., Lucey, B. M., &amp; </w:t>
      </w:r>
      <w:proofErr w:type="spellStart"/>
      <w:r w:rsidRPr="008F511F">
        <w:rPr>
          <w:rFonts w:ascii="Times New Roman" w:hAnsi="Times New Roman" w:cs="Times New Roman"/>
          <w:sz w:val="24"/>
          <w:szCs w:val="24"/>
        </w:rPr>
        <w:t>Vigne</w:t>
      </w:r>
      <w:proofErr w:type="spellEnd"/>
      <w:r w:rsidRPr="008F511F">
        <w:rPr>
          <w:rFonts w:ascii="Times New Roman" w:hAnsi="Times New Roman" w:cs="Times New Roman"/>
          <w:sz w:val="24"/>
          <w:szCs w:val="24"/>
        </w:rPr>
        <w:t xml:space="preserve">, S. (2022). Bubbles all the way down? Detecting and date-stamping bubble </w:t>
      </w:r>
      <w:proofErr w:type="spellStart"/>
      <w:r w:rsidRPr="008F511F">
        <w:rPr>
          <w:rFonts w:ascii="Times New Roman" w:hAnsi="Times New Roman" w:cs="Times New Roman"/>
          <w:sz w:val="24"/>
          <w:szCs w:val="24"/>
        </w:rPr>
        <w:t>behaviour</w:t>
      </w:r>
      <w:proofErr w:type="spellEnd"/>
      <w:r w:rsidRPr="008F511F">
        <w:rPr>
          <w:rFonts w:ascii="Times New Roman" w:hAnsi="Times New Roman" w:cs="Times New Roman"/>
          <w:sz w:val="24"/>
          <w:szCs w:val="24"/>
        </w:rPr>
        <w:t xml:space="preserve"> in </w:t>
      </w:r>
      <w:proofErr w:type="spellStart"/>
      <w:r w:rsidRPr="008F511F">
        <w:rPr>
          <w:rFonts w:ascii="Times New Roman" w:hAnsi="Times New Roman" w:cs="Times New Roman"/>
          <w:sz w:val="24"/>
          <w:szCs w:val="24"/>
        </w:rPr>
        <w:t>DeFi</w:t>
      </w:r>
      <w:proofErr w:type="spellEnd"/>
      <w:r w:rsidRPr="008F511F">
        <w:rPr>
          <w:rFonts w:ascii="Times New Roman" w:hAnsi="Times New Roman" w:cs="Times New Roman"/>
          <w:sz w:val="24"/>
          <w:szCs w:val="24"/>
        </w:rPr>
        <w:t xml:space="preserve"> and NFT markets. </w:t>
      </w:r>
      <w:r w:rsidRPr="008F511F">
        <w:rPr>
          <w:rFonts w:ascii="Times New Roman" w:hAnsi="Times New Roman" w:cs="Times New Roman"/>
          <w:i/>
          <w:iCs/>
          <w:sz w:val="24"/>
          <w:szCs w:val="24"/>
        </w:rPr>
        <w:t xml:space="preserve">Detecting and date-stamping bubble </w:t>
      </w:r>
      <w:proofErr w:type="spellStart"/>
      <w:r w:rsidRPr="008F511F">
        <w:rPr>
          <w:rFonts w:ascii="Times New Roman" w:hAnsi="Times New Roman" w:cs="Times New Roman"/>
          <w:i/>
          <w:iCs/>
          <w:sz w:val="24"/>
          <w:szCs w:val="24"/>
        </w:rPr>
        <w:t>behaviour</w:t>
      </w:r>
      <w:proofErr w:type="spellEnd"/>
      <w:r w:rsidRPr="008F511F">
        <w:rPr>
          <w:rFonts w:ascii="Times New Roman" w:hAnsi="Times New Roman" w:cs="Times New Roman"/>
          <w:i/>
          <w:iCs/>
          <w:sz w:val="24"/>
          <w:szCs w:val="24"/>
        </w:rPr>
        <w:t xml:space="preserve"> in </w:t>
      </w:r>
      <w:proofErr w:type="spellStart"/>
      <w:r w:rsidRPr="008F511F">
        <w:rPr>
          <w:rFonts w:ascii="Times New Roman" w:hAnsi="Times New Roman" w:cs="Times New Roman"/>
          <w:i/>
          <w:iCs/>
          <w:sz w:val="24"/>
          <w:szCs w:val="24"/>
        </w:rPr>
        <w:t>DeFi</w:t>
      </w:r>
      <w:proofErr w:type="spellEnd"/>
      <w:r w:rsidRPr="008F511F">
        <w:rPr>
          <w:rFonts w:ascii="Times New Roman" w:hAnsi="Times New Roman" w:cs="Times New Roman"/>
          <w:i/>
          <w:iCs/>
          <w:sz w:val="24"/>
          <w:szCs w:val="24"/>
        </w:rPr>
        <w:t xml:space="preserve"> and NFT markets (February 18, 2022)</w:t>
      </w:r>
      <w:r w:rsidRPr="008F511F">
        <w:rPr>
          <w:rFonts w:ascii="Times New Roman" w:hAnsi="Times New Roman" w:cs="Times New Roman"/>
          <w:sz w:val="24"/>
          <w:szCs w:val="24"/>
        </w:rPr>
        <w:t>.</w:t>
      </w:r>
    </w:p>
    <w:p w14:paraId="0D804DE7" w14:textId="77777777" w:rsidR="003142CF" w:rsidRPr="008F511F" w:rsidRDefault="003142CF" w:rsidP="009C04D2">
      <w:pPr>
        <w:spacing w:before="240" w:after="0" w:line="240" w:lineRule="auto"/>
        <w:jc w:val="both"/>
        <w:rPr>
          <w:rFonts w:ascii="Times New Roman" w:hAnsi="Times New Roman" w:cs="Times New Roman"/>
          <w:sz w:val="24"/>
          <w:szCs w:val="24"/>
          <w:lang w:eastAsia="ko-KR"/>
        </w:rPr>
      </w:pPr>
      <w:r w:rsidRPr="008F511F">
        <w:rPr>
          <w:rFonts w:ascii="Times New Roman" w:hAnsi="Times New Roman" w:cs="Times New Roman"/>
          <w:sz w:val="24"/>
          <w:szCs w:val="24"/>
          <w:shd w:val="clear" w:color="auto" w:fill="FFFFFF"/>
        </w:rPr>
        <w:t xml:space="preserve">Wilson, K. B., </w:t>
      </w:r>
      <w:proofErr w:type="spellStart"/>
      <w:r w:rsidRPr="008F511F">
        <w:rPr>
          <w:rFonts w:ascii="Times New Roman" w:hAnsi="Times New Roman" w:cs="Times New Roman"/>
          <w:sz w:val="24"/>
          <w:szCs w:val="24"/>
          <w:shd w:val="clear" w:color="auto" w:fill="FFFFFF"/>
        </w:rPr>
        <w:t>Karg</w:t>
      </w:r>
      <w:proofErr w:type="spellEnd"/>
      <w:r w:rsidRPr="008F511F">
        <w:rPr>
          <w:rFonts w:ascii="Times New Roman" w:hAnsi="Times New Roman" w:cs="Times New Roman"/>
          <w:sz w:val="24"/>
          <w:szCs w:val="24"/>
          <w:shd w:val="clear" w:color="auto" w:fill="FFFFFF"/>
        </w:rPr>
        <w:t>, A., &amp; Ghaderi, H. (2021). Prospecting non-fungible tokens in the digital economy: Stakeholders and ecosystem, risk and opportunity. </w:t>
      </w:r>
      <w:r w:rsidRPr="008F511F">
        <w:rPr>
          <w:rFonts w:ascii="Times New Roman" w:hAnsi="Times New Roman" w:cs="Times New Roman"/>
          <w:i/>
          <w:iCs/>
          <w:sz w:val="24"/>
          <w:szCs w:val="24"/>
          <w:shd w:val="clear" w:color="auto" w:fill="FFFFFF"/>
        </w:rPr>
        <w:t>Business Horizons</w:t>
      </w:r>
      <w:r w:rsidRPr="008F511F">
        <w:rPr>
          <w:rFonts w:ascii="Times New Roman" w:hAnsi="Times New Roman" w:cs="Times New Roman"/>
          <w:sz w:val="24"/>
          <w:szCs w:val="24"/>
          <w:shd w:val="clear" w:color="auto" w:fill="FFFFFF"/>
        </w:rPr>
        <w:t>.</w:t>
      </w:r>
    </w:p>
    <w:p w14:paraId="0E394B39" w14:textId="77777777" w:rsidR="003142CF" w:rsidRPr="008F511F" w:rsidRDefault="003142CF" w:rsidP="009C04D2">
      <w:pPr>
        <w:spacing w:before="240" w:after="0" w:line="240" w:lineRule="auto"/>
        <w:jc w:val="both"/>
        <w:rPr>
          <w:rFonts w:ascii="Times New Roman" w:hAnsi="Times New Roman" w:cs="Times New Roman"/>
          <w:sz w:val="24"/>
          <w:szCs w:val="24"/>
        </w:rPr>
      </w:pPr>
      <w:bookmarkStart w:id="15" w:name="baut0005"/>
      <w:r w:rsidRPr="008F511F">
        <w:rPr>
          <w:rFonts w:ascii="Times New Roman" w:hAnsi="Times New Roman" w:cs="Times New Roman"/>
          <w:sz w:val="24"/>
          <w:szCs w:val="24"/>
        </w:rPr>
        <w:t>Yarovaya</w:t>
      </w:r>
      <w:bookmarkEnd w:id="15"/>
      <w:r w:rsidRPr="008F511F">
        <w:rPr>
          <w:rFonts w:ascii="Times New Roman" w:hAnsi="Times New Roman" w:cs="Times New Roman"/>
          <w:sz w:val="24"/>
          <w:szCs w:val="24"/>
        </w:rPr>
        <w:t xml:space="preserve">, L., &amp; </w:t>
      </w:r>
      <w:hyperlink r:id="rId13" w:anchor="!" w:history="1">
        <w:r w:rsidRPr="008F511F">
          <w:rPr>
            <w:rFonts w:ascii="Times New Roman" w:hAnsi="Times New Roman" w:cs="Times New Roman"/>
            <w:sz w:val="24"/>
            <w:szCs w:val="24"/>
          </w:rPr>
          <w:t>Zięba</w:t>
        </w:r>
      </w:hyperlink>
      <w:r w:rsidRPr="008F511F">
        <w:rPr>
          <w:rFonts w:ascii="Times New Roman" w:hAnsi="Times New Roman" w:cs="Times New Roman"/>
          <w:sz w:val="24"/>
          <w:szCs w:val="24"/>
        </w:rPr>
        <w:t xml:space="preserve">, D. (2021). Intraday volume-return nexus in cryptocurrency markets: novel evidence from cryptocurrency classification. </w:t>
      </w:r>
      <w:r w:rsidRPr="008F511F">
        <w:rPr>
          <w:rFonts w:ascii="Times New Roman" w:hAnsi="Times New Roman" w:cs="Times New Roman"/>
          <w:i/>
          <w:iCs/>
          <w:sz w:val="24"/>
          <w:szCs w:val="24"/>
        </w:rPr>
        <w:t>Research in International Business and Finance, in press</w:t>
      </w:r>
      <w:r w:rsidRPr="008F511F">
        <w:rPr>
          <w:rFonts w:ascii="Times New Roman" w:hAnsi="Times New Roman" w:cs="Times New Roman"/>
          <w:sz w:val="24"/>
          <w:szCs w:val="24"/>
        </w:rPr>
        <w:t xml:space="preserve">. </w:t>
      </w:r>
      <w:hyperlink r:id="rId14" w:history="1">
        <w:r w:rsidRPr="008F511F">
          <w:rPr>
            <w:rStyle w:val="Hyperlink"/>
            <w:rFonts w:ascii="Times New Roman" w:hAnsi="Times New Roman" w:cs="Times New Roman"/>
            <w:color w:val="auto"/>
            <w:sz w:val="24"/>
            <w:szCs w:val="24"/>
          </w:rPr>
          <w:t>https://doi.org/10.1016/j.ribaf.2021.101592</w:t>
        </w:r>
      </w:hyperlink>
    </w:p>
    <w:p w14:paraId="470774F1" w14:textId="77777777" w:rsidR="003142CF" w:rsidRPr="008F511F" w:rsidRDefault="003142CF" w:rsidP="009C04D2">
      <w:pPr>
        <w:spacing w:before="240" w:after="0" w:line="240" w:lineRule="auto"/>
        <w:jc w:val="both"/>
        <w:rPr>
          <w:rFonts w:ascii="Times New Roman" w:hAnsi="Times New Roman" w:cs="Times New Roman"/>
          <w:sz w:val="24"/>
          <w:szCs w:val="24"/>
        </w:rPr>
      </w:pPr>
      <w:bookmarkStart w:id="16" w:name="_Hlk88588693"/>
      <w:r w:rsidRPr="008F511F">
        <w:rPr>
          <w:rFonts w:ascii="Times New Roman" w:hAnsi="Times New Roman" w:cs="Times New Roman"/>
          <w:sz w:val="24"/>
          <w:szCs w:val="24"/>
          <w:shd w:val="clear" w:color="auto" w:fill="FFFFFF"/>
        </w:rPr>
        <w:t>Yousaf, I., &amp; Yarovaya, L. (2022). Static and dynamic connectedness between NFTs, Defi and other assets: Portfolio implication. </w:t>
      </w:r>
      <w:r w:rsidRPr="008F511F">
        <w:rPr>
          <w:rFonts w:ascii="Times New Roman" w:hAnsi="Times New Roman" w:cs="Times New Roman"/>
          <w:i/>
          <w:iCs/>
          <w:sz w:val="24"/>
          <w:szCs w:val="24"/>
          <w:shd w:val="clear" w:color="auto" w:fill="FFFFFF"/>
        </w:rPr>
        <w:t>Global Finance Journal</w:t>
      </w:r>
      <w:r w:rsidRPr="008F511F">
        <w:rPr>
          <w:rFonts w:ascii="Times New Roman" w:hAnsi="Times New Roman" w:cs="Times New Roman"/>
          <w:sz w:val="24"/>
          <w:szCs w:val="24"/>
          <w:shd w:val="clear" w:color="auto" w:fill="FFFFFF"/>
        </w:rPr>
        <w:t>, 100719.</w:t>
      </w:r>
    </w:p>
    <w:bookmarkEnd w:id="16"/>
    <w:p w14:paraId="041E13FA" w14:textId="77777777" w:rsidR="003142CF" w:rsidRPr="008F511F" w:rsidRDefault="003142CF" w:rsidP="009C04D2">
      <w:pPr>
        <w:spacing w:before="240" w:after="0" w:line="240" w:lineRule="auto"/>
        <w:jc w:val="both"/>
        <w:rPr>
          <w:rFonts w:ascii="Times New Roman" w:hAnsi="Times New Roman" w:cs="Times New Roman"/>
          <w:b/>
          <w:bCs/>
          <w:sz w:val="24"/>
          <w:szCs w:val="24"/>
        </w:rPr>
      </w:pPr>
      <w:r w:rsidRPr="008F511F">
        <w:rPr>
          <w:rFonts w:ascii="Times New Roman" w:hAnsi="Times New Roman" w:cs="Times New Roman"/>
          <w:sz w:val="24"/>
          <w:szCs w:val="24"/>
        </w:rPr>
        <w:lastRenderedPageBreak/>
        <w:t xml:space="preserve">Zhang, W., &amp; Li, Y., 2020. Is idiosyncratic volatility priced in cryptocurrency markets? </w:t>
      </w:r>
      <w:r w:rsidRPr="008F511F">
        <w:rPr>
          <w:rFonts w:ascii="Times New Roman" w:hAnsi="Times New Roman" w:cs="Times New Roman"/>
          <w:i/>
          <w:iCs/>
          <w:sz w:val="24"/>
          <w:szCs w:val="24"/>
        </w:rPr>
        <w:t>Research in International Business and Finance, 54</w:t>
      </w:r>
      <w:r w:rsidRPr="008F511F">
        <w:rPr>
          <w:rFonts w:ascii="Times New Roman" w:hAnsi="Times New Roman" w:cs="Times New Roman"/>
          <w:sz w:val="24"/>
          <w:szCs w:val="24"/>
        </w:rPr>
        <w:t>, 101252.</w:t>
      </w:r>
    </w:p>
    <w:p w14:paraId="6F721495" w14:textId="7041D89B" w:rsidR="00923147" w:rsidRPr="008F511F" w:rsidRDefault="00923147" w:rsidP="0009384A">
      <w:pPr>
        <w:spacing w:line="480" w:lineRule="auto"/>
        <w:rPr>
          <w:rFonts w:ascii="Times New Roman" w:hAnsi="Times New Roman" w:cs="Times New Roman"/>
          <w:b/>
          <w:bCs/>
          <w:sz w:val="24"/>
          <w:szCs w:val="24"/>
        </w:rPr>
        <w:sectPr w:rsidR="00923147" w:rsidRPr="008F511F" w:rsidSect="001B46C5">
          <w:headerReference w:type="default" r:id="rId15"/>
          <w:footerReference w:type="default" r:id="rId16"/>
          <w:pgSz w:w="12240" w:h="15840"/>
          <w:pgMar w:top="1440" w:right="1440" w:bottom="1440" w:left="1440" w:header="720" w:footer="720" w:gutter="0"/>
          <w:cols w:space="720"/>
          <w:docGrid w:linePitch="360"/>
        </w:sectPr>
      </w:pPr>
    </w:p>
    <w:p w14:paraId="694A2FAF" w14:textId="6940C195" w:rsidR="00724596" w:rsidRPr="008F511F" w:rsidRDefault="00724596" w:rsidP="001464CC">
      <w:pPr>
        <w:rPr>
          <w:rFonts w:ascii="Times New Roman" w:hAnsi="Times New Roman" w:cs="Times New Roman"/>
          <w:b/>
          <w:bCs/>
          <w:sz w:val="24"/>
          <w:szCs w:val="24"/>
        </w:rPr>
      </w:pPr>
      <w:r w:rsidRPr="008F511F">
        <w:rPr>
          <w:rFonts w:ascii="Times New Roman" w:hAnsi="Times New Roman" w:cs="Times New Roman"/>
          <w:b/>
          <w:bCs/>
          <w:sz w:val="24"/>
          <w:szCs w:val="24"/>
        </w:rPr>
        <w:lastRenderedPageBreak/>
        <w:t>Table 1.</w:t>
      </w:r>
      <w:r w:rsidRPr="008F511F">
        <w:rPr>
          <w:rFonts w:ascii="Times New Roman" w:hAnsi="Times New Roman" w:cs="Times New Roman"/>
          <w:sz w:val="24"/>
          <w:szCs w:val="24"/>
        </w:rPr>
        <w:t xml:space="preserve"> </w:t>
      </w:r>
      <w:r w:rsidRPr="008F511F">
        <w:rPr>
          <w:rFonts w:ascii="Times New Roman" w:hAnsi="Times New Roman" w:cs="Times New Roman"/>
          <w:b/>
          <w:bCs/>
          <w:sz w:val="24"/>
          <w:szCs w:val="24"/>
        </w:rPr>
        <w:t>Descriptive Statistics</w:t>
      </w:r>
    </w:p>
    <w:tbl>
      <w:tblPr>
        <w:tblStyle w:val="TableGrid"/>
        <w:tblW w:w="1315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294"/>
        <w:gridCol w:w="1081"/>
        <w:gridCol w:w="1081"/>
        <w:gridCol w:w="629"/>
        <w:gridCol w:w="1115"/>
        <w:gridCol w:w="1195"/>
        <w:gridCol w:w="1175"/>
        <w:gridCol w:w="653"/>
        <w:gridCol w:w="1064"/>
        <w:gridCol w:w="1200"/>
        <w:gridCol w:w="1056"/>
      </w:tblGrid>
      <w:tr w:rsidR="008F511F" w:rsidRPr="008F511F" w14:paraId="7B6698C3" w14:textId="77777777" w:rsidTr="00CF2FFF">
        <w:trPr>
          <w:trHeight w:val="540"/>
        </w:trPr>
        <w:tc>
          <w:tcPr>
            <w:tcW w:w="1611" w:type="dxa"/>
            <w:noWrap/>
            <w:vAlign w:val="center"/>
            <w:hideMark/>
          </w:tcPr>
          <w:p w14:paraId="41839ABE" w14:textId="77777777" w:rsidR="00CF2FFF" w:rsidRPr="008F511F" w:rsidRDefault="00CF2FFF">
            <w:pPr>
              <w:rPr>
                <w:rFonts w:ascii="Times New Roman" w:hAnsi="Times New Roman" w:cs="Times New Roman"/>
              </w:rPr>
            </w:pPr>
          </w:p>
        </w:tc>
        <w:tc>
          <w:tcPr>
            <w:tcW w:w="3456" w:type="dxa"/>
            <w:gridSpan w:val="3"/>
            <w:tcBorders>
              <w:top w:val="single" w:sz="4" w:space="0" w:color="auto"/>
              <w:bottom w:val="single" w:sz="4" w:space="0" w:color="auto"/>
            </w:tcBorders>
            <w:noWrap/>
            <w:vAlign w:val="center"/>
            <w:hideMark/>
          </w:tcPr>
          <w:p w14:paraId="2FFDD44B" w14:textId="4C550CFC" w:rsidR="00CF2FFF" w:rsidRPr="008F511F" w:rsidRDefault="00017991" w:rsidP="00CF2FFF">
            <w:pPr>
              <w:jc w:val="center"/>
              <w:rPr>
                <w:rFonts w:ascii="Times New Roman" w:hAnsi="Times New Roman" w:cs="Times New Roman"/>
              </w:rPr>
            </w:pPr>
            <w:r w:rsidRPr="008F511F">
              <w:rPr>
                <w:rFonts w:ascii="Times New Roman" w:hAnsi="Times New Roman" w:cs="Times New Roman"/>
              </w:rPr>
              <w:t xml:space="preserve">Panel A. </w:t>
            </w:r>
            <w:r w:rsidR="00CF2FFF" w:rsidRPr="008F511F">
              <w:rPr>
                <w:rFonts w:ascii="Times New Roman" w:hAnsi="Times New Roman" w:cs="Times New Roman"/>
              </w:rPr>
              <w:t>Returns</w:t>
            </w:r>
          </w:p>
        </w:tc>
        <w:tc>
          <w:tcPr>
            <w:tcW w:w="629" w:type="dxa"/>
            <w:noWrap/>
            <w:vAlign w:val="center"/>
            <w:hideMark/>
          </w:tcPr>
          <w:p w14:paraId="37C617B7" w14:textId="77777777" w:rsidR="00CF2FFF" w:rsidRPr="008F511F" w:rsidRDefault="00CF2FFF">
            <w:pPr>
              <w:rPr>
                <w:rFonts w:ascii="Times New Roman" w:hAnsi="Times New Roman" w:cs="Times New Roman"/>
              </w:rPr>
            </w:pPr>
          </w:p>
        </w:tc>
        <w:tc>
          <w:tcPr>
            <w:tcW w:w="3485" w:type="dxa"/>
            <w:gridSpan w:val="3"/>
            <w:tcBorders>
              <w:top w:val="single" w:sz="4" w:space="0" w:color="auto"/>
              <w:bottom w:val="single" w:sz="4" w:space="0" w:color="auto"/>
            </w:tcBorders>
            <w:noWrap/>
            <w:vAlign w:val="center"/>
            <w:hideMark/>
          </w:tcPr>
          <w:p w14:paraId="78ECD9E7" w14:textId="56C53113" w:rsidR="00CF2FFF" w:rsidRPr="008F511F" w:rsidRDefault="00017991" w:rsidP="00CF2FFF">
            <w:pPr>
              <w:jc w:val="center"/>
              <w:rPr>
                <w:rFonts w:ascii="Times New Roman" w:hAnsi="Times New Roman" w:cs="Times New Roman"/>
              </w:rPr>
            </w:pPr>
            <w:r w:rsidRPr="008F511F">
              <w:rPr>
                <w:rFonts w:ascii="Times New Roman" w:hAnsi="Times New Roman" w:cs="Times New Roman"/>
              </w:rPr>
              <w:t xml:space="preserve">Panel B. </w:t>
            </w:r>
            <w:r w:rsidR="00CF2FFF" w:rsidRPr="008F511F">
              <w:rPr>
                <w:rFonts w:ascii="Times New Roman" w:hAnsi="Times New Roman" w:cs="Times New Roman"/>
              </w:rPr>
              <w:t>Volatility</w:t>
            </w:r>
          </w:p>
        </w:tc>
        <w:tc>
          <w:tcPr>
            <w:tcW w:w="653" w:type="dxa"/>
            <w:noWrap/>
            <w:vAlign w:val="center"/>
            <w:hideMark/>
          </w:tcPr>
          <w:p w14:paraId="31706A0E" w14:textId="77777777" w:rsidR="00CF2FFF" w:rsidRPr="008F511F" w:rsidRDefault="00CF2FFF">
            <w:pPr>
              <w:rPr>
                <w:rFonts w:ascii="Times New Roman" w:hAnsi="Times New Roman" w:cs="Times New Roman"/>
              </w:rPr>
            </w:pPr>
          </w:p>
        </w:tc>
        <w:tc>
          <w:tcPr>
            <w:tcW w:w="3320" w:type="dxa"/>
            <w:gridSpan w:val="3"/>
            <w:tcBorders>
              <w:top w:val="single" w:sz="4" w:space="0" w:color="auto"/>
              <w:bottom w:val="single" w:sz="4" w:space="0" w:color="auto"/>
            </w:tcBorders>
            <w:noWrap/>
            <w:vAlign w:val="center"/>
            <w:hideMark/>
          </w:tcPr>
          <w:p w14:paraId="4B579E74" w14:textId="0FF56296" w:rsidR="00CF2FFF" w:rsidRPr="008F511F" w:rsidRDefault="00017991" w:rsidP="00CF2FFF">
            <w:pPr>
              <w:jc w:val="center"/>
              <w:rPr>
                <w:rFonts w:ascii="Times New Roman" w:hAnsi="Times New Roman" w:cs="Times New Roman"/>
              </w:rPr>
            </w:pPr>
            <w:r w:rsidRPr="008F511F">
              <w:rPr>
                <w:rFonts w:ascii="Times New Roman" w:hAnsi="Times New Roman" w:cs="Times New Roman"/>
              </w:rPr>
              <w:t xml:space="preserve">Panel C. </w:t>
            </w:r>
            <w:r w:rsidR="004F0E46" w:rsidRPr="008F511F">
              <w:rPr>
                <w:rFonts w:ascii="Times New Roman" w:hAnsi="Times New Roman" w:cs="Times New Roman"/>
              </w:rPr>
              <w:t xml:space="preserve">Detrended </w:t>
            </w:r>
            <w:r w:rsidR="00CF2FFF" w:rsidRPr="008F511F">
              <w:rPr>
                <w:rFonts w:ascii="Times New Roman" w:hAnsi="Times New Roman" w:cs="Times New Roman"/>
              </w:rPr>
              <w:t>Volume</w:t>
            </w:r>
          </w:p>
        </w:tc>
      </w:tr>
      <w:tr w:rsidR="008F511F" w:rsidRPr="008F511F" w14:paraId="2D13C47F" w14:textId="77777777" w:rsidTr="00CF2FFF">
        <w:trPr>
          <w:trHeight w:val="540"/>
        </w:trPr>
        <w:tc>
          <w:tcPr>
            <w:tcW w:w="1611" w:type="dxa"/>
            <w:noWrap/>
            <w:vAlign w:val="center"/>
            <w:hideMark/>
          </w:tcPr>
          <w:p w14:paraId="29FF5BC4" w14:textId="77777777" w:rsidR="00211BC5" w:rsidRPr="008F511F" w:rsidRDefault="00211BC5">
            <w:pPr>
              <w:rPr>
                <w:rFonts w:ascii="Times New Roman" w:hAnsi="Times New Roman" w:cs="Times New Roman"/>
              </w:rPr>
            </w:pPr>
          </w:p>
        </w:tc>
        <w:tc>
          <w:tcPr>
            <w:tcW w:w="1294" w:type="dxa"/>
            <w:tcBorders>
              <w:top w:val="single" w:sz="4" w:space="0" w:color="auto"/>
              <w:bottom w:val="single" w:sz="4" w:space="0" w:color="auto"/>
            </w:tcBorders>
            <w:noWrap/>
            <w:vAlign w:val="center"/>
            <w:hideMark/>
          </w:tcPr>
          <w:p w14:paraId="44702979" w14:textId="77777777" w:rsidR="00211BC5" w:rsidRPr="008F511F" w:rsidRDefault="00211BC5">
            <w:pPr>
              <w:rPr>
                <w:rFonts w:ascii="Times New Roman" w:hAnsi="Times New Roman" w:cs="Times New Roman"/>
              </w:rPr>
            </w:pPr>
            <w:r w:rsidRPr="008F511F">
              <w:rPr>
                <w:rFonts w:ascii="Times New Roman" w:hAnsi="Times New Roman" w:cs="Times New Roman"/>
              </w:rPr>
              <w:t>THETA</w:t>
            </w:r>
          </w:p>
        </w:tc>
        <w:tc>
          <w:tcPr>
            <w:tcW w:w="1081" w:type="dxa"/>
            <w:tcBorders>
              <w:top w:val="single" w:sz="4" w:space="0" w:color="auto"/>
              <w:bottom w:val="single" w:sz="4" w:space="0" w:color="auto"/>
            </w:tcBorders>
            <w:noWrap/>
            <w:vAlign w:val="center"/>
            <w:hideMark/>
          </w:tcPr>
          <w:p w14:paraId="1DF3D46F" w14:textId="77777777" w:rsidR="00211BC5" w:rsidRPr="008F511F" w:rsidRDefault="00211BC5">
            <w:pPr>
              <w:rPr>
                <w:rFonts w:ascii="Times New Roman" w:hAnsi="Times New Roman" w:cs="Times New Roman"/>
              </w:rPr>
            </w:pPr>
            <w:r w:rsidRPr="008F511F">
              <w:rPr>
                <w:rFonts w:ascii="Times New Roman" w:hAnsi="Times New Roman" w:cs="Times New Roman"/>
              </w:rPr>
              <w:t>XTZ</w:t>
            </w:r>
          </w:p>
        </w:tc>
        <w:tc>
          <w:tcPr>
            <w:tcW w:w="1081" w:type="dxa"/>
            <w:tcBorders>
              <w:top w:val="single" w:sz="4" w:space="0" w:color="auto"/>
              <w:bottom w:val="single" w:sz="4" w:space="0" w:color="auto"/>
            </w:tcBorders>
            <w:noWrap/>
            <w:vAlign w:val="center"/>
            <w:hideMark/>
          </w:tcPr>
          <w:p w14:paraId="2E29791F" w14:textId="77777777" w:rsidR="00211BC5" w:rsidRPr="008F511F" w:rsidRDefault="00211BC5">
            <w:pPr>
              <w:rPr>
                <w:rFonts w:ascii="Times New Roman" w:hAnsi="Times New Roman" w:cs="Times New Roman"/>
              </w:rPr>
            </w:pPr>
            <w:r w:rsidRPr="008F511F">
              <w:rPr>
                <w:rFonts w:ascii="Times New Roman" w:hAnsi="Times New Roman" w:cs="Times New Roman"/>
              </w:rPr>
              <w:t>ENJ</w:t>
            </w:r>
          </w:p>
        </w:tc>
        <w:tc>
          <w:tcPr>
            <w:tcW w:w="629" w:type="dxa"/>
            <w:tcBorders>
              <w:bottom w:val="single" w:sz="4" w:space="0" w:color="auto"/>
            </w:tcBorders>
            <w:noWrap/>
            <w:vAlign w:val="center"/>
            <w:hideMark/>
          </w:tcPr>
          <w:p w14:paraId="08186917" w14:textId="77777777" w:rsidR="00211BC5" w:rsidRPr="008F511F" w:rsidRDefault="00211BC5">
            <w:pPr>
              <w:rPr>
                <w:rFonts w:ascii="Times New Roman" w:hAnsi="Times New Roman" w:cs="Times New Roman"/>
              </w:rPr>
            </w:pPr>
          </w:p>
        </w:tc>
        <w:tc>
          <w:tcPr>
            <w:tcW w:w="1115" w:type="dxa"/>
            <w:tcBorders>
              <w:top w:val="single" w:sz="4" w:space="0" w:color="auto"/>
              <w:bottom w:val="single" w:sz="4" w:space="0" w:color="auto"/>
            </w:tcBorders>
            <w:noWrap/>
            <w:vAlign w:val="center"/>
            <w:hideMark/>
          </w:tcPr>
          <w:p w14:paraId="2B844E21" w14:textId="77777777" w:rsidR="00211BC5" w:rsidRPr="008F511F" w:rsidRDefault="00211BC5">
            <w:pPr>
              <w:rPr>
                <w:rFonts w:ascii="Times New Roman" w:hAnsi="Times New Roman" w:cs="Times New Roman"/>
              </w:rPr>
            </w:pPr>
            <w:r w:rsidRPr="008F511F">
              <w:rPr>
                <w:rFonts w:ascii="Times New Roman" w:hAnsi="Times New Roman" w:cs="Times New Roman"/>
              </w:rPr>
              <w:t>THETA</w:t>
            </w:r>
          </w:p>
        </w:tc>
        <w:tc>
          <w:tcPr>
            <w:tcW w:w="1195" w:type="dxa"/>
            <w:tcBorders>
              <w:top w:val="single" w:sz="4" w:space="0" w:color="auto"/>
              <w:bottom w:val="single" w:sz="4" w:space="0" w:color="auto"/>
            </w:tcBorders>
            <w:noWrap/>
            <w:vAlign w:val="center"/>
            <w:hideMark/>
          </w:tcPr>
          <w:p w14:paraId="0DB6195D" w14:textId="77777777" w:rsidR="00211BC5" w:rsidRPr="008F511F" w:rsidRDefault="00211BC5">
            <w:pPr>
              <w:rPr>
                <w:rFonts w:ascii="Times New Roman" w:hAnsi="Times New Roman" w:cs="Times New Roman"/>
              </w:rPr>
            </w:pPr>
            <w:r w:rsidRPr="008F511F">
              <w:rPr>
                <w:rFonts w:ascii="Times New Roman" w:hAnsi="Times New Roman" w:cs="Times New Roman"/>
              </w:rPr>
              <w:t>XTZ</w:t>
            </w:r>
          </w:p>
        </w:tc>
        <w:tc>
          <w:tcPr>
            <w:tcW w:w="1175" w:type="dxa"/>
            <w:tcBorders>
              <w:top w:val="single" w:sz="4" w:space="0" w:color="auto"/>
              <w:bottom w:val="single" w:sz="4" w:space="0" w:color="auto"/>
            </w:tcBorders>
            <w:noWrap/>
            <w:vAlign w:val="center"/>
            <w:hideMark/>
          </w:tcPr>
          <w:p w14:paraId="1DF7C24E" w14:textId="77777777" w:rsidR="00211BC5" w:rsidRPr="008F511F" w:rsidRDefault="00211BC5">
            <w:pPr>
              <w:rPr>
                <w:rFonts w:ascii="Times New Roman" w:hAnsi="Times New Roman" w:cs="Times New Roman"/>
              </w:rPr>
            </w:pPr>
            <w:r w:rsidRPr="008F511F">
              <w:rPr>
                <w:rFonts w:ascii="Times New Roman" w:hAnsi="Times New Roman" w:cs="Times New Roman"/>
              </w:rPr>
              <w:t>ENJ</w:t>
            </w:r>
          </w:p>
        </w:tc>
        <w:tc>
          <w:tcPr>
            <w:tcW w:w="653" w:type="dxa"/>
            <w:tcBorders>
              <w:bottom w:val="single" w:sz="4" w:space="0" w:color="auto"/>
            </w:tcBorders>
            <w:noWrap/>
            <w:vAlign w:val="center"/>
            <w:hideMark/>
          </w:tcPr>
          <w:p w14:paraId="44E5E2AF" w14:textId="77777777" w:rsidR="00211BC5" w:rsidRPr="008F511F" w:rsidRDefault="00211BC5">
            <w:pPr>
              <w:rPr>
                <w:rFonts w:ascii="Times New Roman" w:hAnsi="Times New Roman" w:cs="Times New Roman"/>
              </w:rPr>
            </w:pPr>
          </w:p>
        </w:tc>
        <w:tc>
          <w:tcPr>
            <w:tcW w:w="1064" w:type="dxa"/>
            <w:tcBorders>
              <w:top w:val="single" w:sz="4" w:space="0" w:color="auto"/>
              <w:bottom w:val="single" w:sz="4" w:space="0" w:color="auto"/>
            </w:tcBorders>
            <w:noWrap/>
            <w:vAlign w:val="center"/>
            <w:hideMark/>
          </w:tcPr>
          <w:p w14:paraId="42361DD4" w14:textId="77777777" w:rsidR="00211BC5" w:rsidRPr="008F511F" w:rsidRDefault="00211BC5">
            <w:pPr>
              <w:rPr>
                <w:rFonts w:ascii="Times New Roman" w:hAnsi="Times New Roman" w:cs="Times New Roman"/>
              </w:rPr>
            </w:pPr>
            <w:r w:rsidRPr="008F511F">
              <w:rPr>
                <w:rFonts w:ascii="Times New Roman" w:hAnsi="Times New Roman" w:cs="Times New Roman"/>
              </w:rPr>
              <w:t>THETA</w:t>
            </w:r>
          </w:p>
        </w:tc>
        <w:tc>
          <w:tcPr>
            <w:tcW w:w="1200" w:type="dxa"/>
            <w:tcBorders>
              <w:top w:val="single" w:sz="4" w:space="0" w:color="auto"/>
              <w:bottom w:val="single" w:sz="4" w:space="0" w:color="auto"/>
            </w:tcBorders>
            <w:noWrap/>
            <w:vAlign w:val="center"/>
            <w:hideMark/>
          </w:tcPr>
          <w:p w14:paraId="31232815" w14:textId="77777777" w:rsidR="00211BC5" w:rsidRPr="008F511F" w:rsidRDefault="00211BC5">
            <w:pPr>
              <w:rPr>
                <w:rFonts w:ascii="Times New Roman" w:hAnsi="Times New Roman" w:cs="Times New Roman"/>
              </w:rPr>
            </w:pPr>
            <w:r w:rsidRPr="008F511F">
              <w:rPr>
                <w:rFonts w:ascii="Times New Roman" w:hAnsi="Times New Roman" w:cs="Times New Roman"/>
              </w:rPr>
              <w:t>XTZ</w:t>
            </w:r>
          </w:p>
        </w:tc>
        <w:tc>
          <w:tcPr>
            <w:tcW w:w="1056" w:type="dxa"/>
            <w:tcBorders>
              <w:top w:val="single" w:sz="4" w:space="0" w:color="auto"/>
              <w:bottom w:val="single" w:sz="4" w:space="0" w:color="auto"/>
            </w:tcBorders>
            <w:noWrap/>
            <w:vAlign w:val="center"/>
            <w:hideMark/>
          </w:tcPr>
          <w:p w14:paraId="2CC56DD8" w14:textId="77777777" w:rsidR="00211BC5" w:rsidRPr="008F511F" w:rsidRDefault="00211BC5">
            <w:pPr>
              <w:rPr>
                <w:rFonts w:ascii="Times New Roman" w:hAnsi="Times New Roman" w:cs="Times New Roman"/>
              </w:rPr>
            </w:pPr>
            <w:r w:rsidRPr="008F511F">
              <w:rPr>
                <w:rFonts w:ascii="Times New Roman" w:hAnsi="Times New Roman" w:cs="Times New Roman"/>
              </w:rPr>
              <w:t>ENJ</w:t>
            </w:r>
          </w:p>
        </w:tc>
      </w:tr>
      <w:tr w:rsidR="008F511F" w:rsidRPr="008F511F" w14:paraId="378C3F38" w14:textId="77777777" w:rsidTr="00CF2FFF">
        <w:trPr>
          <w:trHeight w:val="540"/>
        </w:trPr>
        <w:tc>
          <w:tcPr>
            <w:tcW w:w="1611" w:type="dxa"/>
            <w:noWrap/>
            <w:vAlign w:val="center"/>
            <w:hideMark/>
          </w:tcPr>
          <w:p w14:paraId="6A660B7C" w14:textId="77777777" w:rsidR="00211BC5" w:rsidRPr="008F511F" w:rsidRDefault="00211BC5">
            <w:pPr>
              <w:rPr>
                <w:rFonts w:ascii="Times New Roman" w:hAnsi="Times New Roman" w:cs="Times New Roman"/>
              </w:rPr>
            </w:pPr>
            <w:r w:rsidRPr="008F511F">
              <w:rPr>
                <w:rFonts w:ascii="Times New Roman" w:hAnsi="Times New Roman" w:cs="Times New Roman"/>
              </w:rPr>
              <w:t xml:space="preserve"> Mean</w:t>
            </w:r>
          </w:p>
        </w:tc>
        <w:tc>
          <w:tcPr>
            <w:tcW w:w="1294" w:type="dxa"/>
            <w:tcBorders>
              <w:top w:val="single" w:sz="4" w:space="0" w:color="auto"/>
            </w:tcBorders>
            <w:noWrap/>
            <w:vAlign w:val="center"/>
            <w:hideMark/>
          </w:tcPr>
          <w:p w14:paraId="67D37B98"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0.0025</w:t>
            </w:r>
          </w:p>
        </w:tc>
        <w:tc>
          <w:tcPr>
            <w:tcW w:w="1081" w:type="dxa"/>
            <w:tcBorders>
              <w:top w:val="single" w:sz="4" w:space="0" w:color="auto"/>
            </w:tcBorders>
            <w:noWrap/>
            <w:vAlign w:val="center"/>
            <w:hideMark/>
          </w:tcPr>
          <w:p w14:paraId="37397779"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0.0001</w:t>
            </w:r>
          </w:p>
        </w:tc>
        <w:tc>
          <w:tcPr>
            <w:tcW w:w="1081" w:type="dxa"/>
            <w:tcBorders>
              <w:top w:val="single" w:sz="4" w:space="0" w:color="auto"/>
            </w:tcBorders>
            <w:noWrap/>
            <w:vAlign w:val="center"/>
            <w:hideMark/>
          </w:tcPr>
          <w:p w14:paraId="32A91D19"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0.0020</w:t>
            </w:r>
          </w:p>
        </w:tc>
        <w:tc>
          <w:tcPr>
            <w:tcW w:w="629" w:type="dxa"/>
            <w:tcBorders>
              <w:top w:val="single" w:sz="4" w:space="0" w:color="auto"/>
            </w:tcBorders>
            <w:noWrap/>
            <w:vAlign w:val="center"/>
            <w:hideMark/>
          </w:tcPr>
          <w:p w14:paraId="1CCE0E24" w14:textId="77777777" w:rsidR="00211BC5" w:rsidRPr="008F511F" w:rsidRDefault="00211BC5" w:rsidP="00211BC5">
            <w:pPr>
              <w:rPr>
                <w:rFonts w:ascii="Times New Roman" w:hAnsi="Times New Roman" w:cs="Times New Roman"/>
              </w:rPr>
            </w:pPr>
          </w:p>
        </w:tc>
        <w:tc>
          <w:tcPr>
            <w:tcW w:w="1115" w:type="dxa"/>
            <w:tcBorders>
              <w:top w:val="single" w:sz="4" w:space="0" w:color="auto"/>
            </w:tcBorders>
            <w:noWrap/>
            <w:vAlign w:val="center"/>
            <w:hideMark/>
          </w:tcPr>
          <w:p w14:paraId="28014E8D"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0.0061</w:t>
            </w:r>
          </w:p>
        </w:tc>
        <w:tc>
          <w:tcPr>
            <w:tcW w:w="1195" w:type="dxa"/>
            <w:tcBorders>
              <w:top w:val="single" w:sz="4" w:space="0" w:color="auto"/>
            </w:tcBorders>
            <w:noWrap/>
            <w:vAlign w:val="center"/>
            <w:hideMark/>
          </w:tcPr>
          <w:p w14:paraId="552F3809"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0.0048</w:t>
            </w:r>
          </w:p>
        </w:tc>
        <w:tc>
          <w:tcPr>
            <w:tcW w:w="1175" w:type="dxa"/>
            <w:tcBorders>
              <w:top w:val="single" w:sz="4" w:space="0" w:color="auto"/>
            </w:tcBorders>
            <w:noWrap/>
            <w:vAlign w:val="center"/>
            <w:hideMark/>
          </w:tcPr>
          <w:p w14:paraId="0F858FAF"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0.0065</w:t>
            </w:r>
          </w:p>
        </w:tc>
        <w:tc>
          <w:tcPr>
            <w:tcW w:w="653" w:type="dxa"/>
            <w:tcBorders>
              <w:top w:val="single" w:sz="4" w:space="0" w:color="auto"/>
            </w:tcBorders>
            <w:noWrap/>
            <w:vAlign w:val="center"/>
            <w:hideMark/>
          </w:tcPr>
          <w:p w14:paraId="11E5DAF5" w14:textId="77777777" w:rsidR="00211BC5" w:rsidRPr="008F511F" w:rsidRDefault="00211BC5" w:rsidP="00211BC5">
            <w:pPr>
              <w:rPr>
                <w:rFonts w:ascii="Times New Roman" w:hAnsi="Times New Roman" w:cs="Times New Roman"/>
              </w:rPr>
            </w:pPr>
          </w:p>
        </w:tc>
        <w:tc>
          <w:tcPr>
            <w:tcW w:w="1064" w:type="dxa"/>
            <w:tcBorders>
              <w:top w:val="single" w:sz="4" w:space="0" w:color="auto"/>
            </w:tcBorders>
            <w:noWrap/>
            <w:vAlign w:val="center"/>
            <w:hideMark/>
          </w:tcPr>
          <w:p w14:paraId="3A0DAD30"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0.0019</w:t>
            </w:r>
          </w:p>
        </w:tc>
        <w:tc>
          <w:tcPr>
            <w:tcW w:w="1200" w:type="dxa"/>
            <w:tcBorders>
              <w:top w:val="single" w:sz="4" w:space="0" w:color="auto"/>
            </w:tcBorders>
            <w:noWrap/>
            <w:vAlign w:val="center"/>
            <w:hideMark/>
          </w:tcPr>
          <w:p w14:paraId="39B9EF84"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-0.0007</w:t>
            </w:r>
          </w:p>
        </w:tc>
        <w:tc>
          <w:tcPr>
            <w:tcW w:w="1056" w:type="dxa"/>
            <w:tcBorders>
              <w:top w:val="single" w:sz="4" w:space="0" w:color="auto"/>
            </w:tcBorders>
            <w:noWrap/>
            <w:vAlign w:val="center"/>
            <w:hideMark/>
          </w:tcPr>
          <w:p w14:paraId="2D267611"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-0.0015</w:t>
            </w:r>
          </w:p>
        </w:tc>
      </w:tr>
      <w:tr w:rsidR="008F511F" w:rsidRPr="008F511F" w14:paraId="09C73F0A" w14:textId="77777777" w:rsidTr="00CF2FFF">
        <w:trPr>
          <w:trHeight w:val="540"/>
        </w:trPr>
        <w:tc>
          <w:tcPr>
            <w:tcW w:w="1611" w:type="dxa"/>
            <w:noWrap/>
            <w:vAlign w:val="center"/>
            <w:hideMark/>
          </w:tcPr>
          <w:p w14:paraId="1A622768" w14:textId="77777777" w:rsidR="00211BC5" w:rsidRPr="008F511F" w:rsidRDefault="00211BC5">
            <w:pPr>
              <w:rPr>
                <w:rFonts w:ascii="Times New Roman" w:hAnsi="Times New Roman" w:cs="Times New Roman"/>
              </w:rPr>
            </w:pPr>
            <w:r w:rsidRPr="008F511F">
              <w:rPr>
                <w:rFonts w:ascii="Times New Roman" w:hAnsi="Times New Roman" w:cs="Times New Roman"/>
              </w:rPr>
              <w:t xml:space="preserve"> Maximum</w:t>
            </w:r>
          </w:p>
        </w:tc>
        <w:tc>
          <w:tcPr>
            <w:tcW w:w="1294" w:type="dxa"/>
            <w:noWrap/>
            <w:vAlign w:val="center"/>
            <w:hideMark/>
          </w:tcPr>
          <w:p w14:paraId="428E6F03"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0.5105</w:t>
            </w:r>
          </w:p>
        </w:tc>
        <w:tc>
          <w:tcPr>
            <w:tcW w:w="1081" w:type="dxa"/>
            <w:noWrap/>
            <w:vAlign w:val="center"/>
            <w:hideMark/>
          </w:tcPr>
          <w:p w14:paraId="6D45A2B3"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0.2599</w:t>
            </w:r>
          </w:p>
        </w:tc>
        <w:tc>
          <w:tcPr>
            <w:tcW w:w="1081" w:type="dxa"/>
            <w:noWrap/>
            <w:vAlign w:val="center"/>
            <w:hideMark/>
          </w:tcPr>
          <w:p w14:paraId="237F9A5A"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0.7682</w:t>
            </w:r>
          </w:p>
        </w:tc>
        <w:tc>
          <w:tcPr>
            <w:tcW w:w="629" w:type="dxa"/>
            <w:noWrap/>
            <w:vAlign w:val="center"/>
            <w:hideMark/>
          </w:tcPr>
          <w:p w14:paraId="715122C5" w14:textId="77777777" w:rsidR="00211BC5" w:rsidRPr="008F511F" w:rsidRDefault="00211BC5" w:rsidP="00211BC5">
            <w:pPr>
              <w:rPr>
                <w:rFonts w:ascii="Times New Roman" w:hAnsi="Times New Roman" w:cs="Times New Roman"/>
              </w:rPr>
            </w:pPr>
          </w:p>
        </w:tc>
        <w:tc>
          <w:tcPr>
            <w:tcW w:w="1115" w:type="dxa"/>
            <w:noWrap/>
            <w:vAlign w:val="center"/>
            <w:hideMark/>
          </w:tcPr>
          <w:p w14:paraId="50AFC29F"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0.3647</w:t>
            </w:r>
          </w:p>
        </w:tc>
        <w:tc>
          <w:tcPr>
            <w:tcW w:w="1195" w:type="dxa"/>
            <w:noWrap/>
            <w:vAlign w:val="center"/>
            <w:hideMark/>
          </w:tcPr>
          <w:p w14:paraId="01CA2CB3"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0.3688</w:t>
            </w:r>
          </w:p>
        </w:tc>
        <w:tc>
          <w:tcPr>
            <w:tcW w:w="1175" w:type="dxa"/>
            <w:noWrap/>
            <w:vAlign w:val="center"/>
            <w:hideMark/>
          </w:tcPr>
          <w:p w14:paraId="442187D3"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0.5902</w:t>
            </w:r>
          </w:p>
        </w:tc>
        <w:tc>
          <w:tcPr>
            <w:tcW w:w="653" w:type="dxa"/>
            <w:noWrap/>
            <w:vAlign w:val="center"/>
            <w:hideMark/>
          </w:tcPr>
          <w:p w14:paraId="5564775B" w14:textId="77777777" w:rsidR="00211BC5" w:rsidRPr="008F511F" w:rsidRDefault="00211BC5" w:rsidP="00211BC5">
            <w:pPr>
              <w:rPr>
                <w:rFonts w:ascii="Times New Roman" w:hAnsi="Times New Roman" w:cs="Times New Roman"/>
              </w:rPr>
            </w:pPr>
          </w:p>
        </w:tc>
        <w:tc>
          <w:tcPr>
            <w:tcW w:w="1064" w:type="dxa"/>
            <w:noWrap/>
            <w:vAlign w:val="center"/>
            <w:hideMark/>
          </w:tcPr>
          <w:p w14:paraId="0A43B667"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3.6267</w:t>
            </w:r>
          </w:p>
        </w:tc>
        <w:tc>
          <w:tcPr>
            <w:tcW w:w="1200" w:type="dxa"/>
            <w:noWrap/>
            <w:vAlign w:val="center"/>
            <w:hideMark/>
          </w:tcPr>
          <w:p w14:paraId="62B946D0"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2.6156</w:t>
            </w:r>
          </w:p>
        </w:tc>
        <w:tc>
          <w:tcPr>
            <w:tcW w:w="1056" w:type="dxa"/>
            <w:noWrap/>
            <w:vAlign w:val="center"/>
            <w:hideMark/>
          </w:tcPr>
          <w:p w14:paraId="78DE78A5"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4.3198</w:t>
            </w:r>
          </w:p>
        </w:tc>
      </w:tr>
      <w:tr w:rsidR="008F511F" w:rsidRPr="008F511F" w14:paraId="78B234DC" w14:textId="77777777" w:rsidTr="00CF2FFF">
        <w:trPr>
          <w:trHeight w:val="540"/>
        </w:trPr>
        <w:tc>
          <w:tcPr>
            <w:tcW w:w="1611" w:type="dxa"/>
            <w:noWrap/>
            <w:vAlign w:val="center"/>
            <w:hideMark/>
          </w:tcPr>
          <w:p w14:paraId="3BCA2818" w14:textId="77777777" w:rsidR="00211BC5" w:rsidRPr="008F511F" w:rsidRDefault="00211BC5">
            <w:pPr>
              <w:rPr>
                <w:rFonts w:ascii="Times New Roman" w:hAnsi="Times New Roman" w:cs="Times New Roman"/>
              </w:rPr>
            </w:pPr>
            <w:r w:rsidRPr="008F511F">
              <w:rPr>
                <w:rFonts w:ascii="Times New Roman" w:hAnsi="Times New Roman" w:cs="Times New Roman"/>
              </w:rPr>
              <w:t xml:space="preserve"> Minimum</w:t>
            </w:r>
          </w:p>
        </w:tc>
        <w:tc>
          <w:tcPr>
            <w:tcW w:w="1294" w:type="dxa"/>
            <w:noWrap/>
            <w:vAlign w:val="center"/>
            <w:hideMark/>
          </w:tcPr>
          <w:p w14:paraId="5570E2CE"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-0.6039</w:t>
            </w:r>
          </w:p>
        </w:tc>
        <w:tc>
          <w:tcPr>
            <w:tcW w:w="1081" w:type="dxa"/>
            <w:noWrap/>
            <w:vAlign w:val="center"/>
            <w:hideMark/>
          </w:tcPr>
          <w:p w14:paraId="66B9DA9E"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-0.6073</w:t>
            </w:r>
          </w:p>
        </w:tc>
        <w:tc>
          <w:tcPr>
            <w:tcW w:w="1081" w:type="dxa"/>
            <w:noWrap/>
            <w:vAlign w:val="center"/>
            <w:hideMark/>
          </w:tcPr>
          <w:p w14:paraId="0304BAD1"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-0.6242</w:t>
            </w:r>
          </w:p>
        </w:tc>
        <w:tc>
          <w:tcPr>
            <w:tcW w:w="629" w:type="dxa"/>
            <w:noWrap/>
            <w:vAlign w:val="center"/>
            <w:hideMark/>
          </w:tcPr>
          <w:p w14:paraId="677F881D" w14:textId="77777777" w:rsidR="00211BC5" w:rsidRPr="008F511F" w:rsidRDefault="00211BC5" w:rsidP="00211BC5">
            <w:pPr>
              <w:rPr>
                <w:rFonts w:ascii="Times New Roman" w:hAnsi="Times New Roman" w:cs="Times New Roman"/>
              </w:rPr>
            </w:pPr>
          </w:p>
        </w:tc>
        <w:tc>
          <w:tcPr>
            <w:tcW w:w="1115" w:type="dxa"/>
            <w:noWrap/>
            <w:vAlign w:val="center"/>
            <w:hideMark/>
          </w:tcPr>
          <w:p w14:paraId="2295B67A"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0.0000</w:t>
            </w:r>
          </w:p>
        </w:tc>
        <w:tc>
          <w:tcPr>
            <w:tcW w:w="1195" w:type="dxa"/>
            <w:noWrap/>
            <w:vAlign w:val="center"/>
            <w:hideMark/>
          </w:tcPr>
          <w:p w14:paraId="64862D0D"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0.0000</w:t>
            </w:r>
          </w:p>
        </w:tc>
        <w:tc>
          <w:tcPr>
            <w:tcW w:w="1175" w:type="dxa"/>
            <w:noWrap/>
            <w:vAlign w:val="center"/>
            <w:hideMark/>
          </w:tcPr>
          <w:p w14:paraId="0A7B378C"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0.0000</w:t>
            </w:r>
          </w:p>
        </w:tc>
        <w:tc>
          <w:tcPr>
            <w:tcW w:w="653" w:type="dxa"/>
            <w:noWrap/>
            <w:vAlign w:val="center"/>
            <w:hideMark/>
          </w:tcPr>
          <w:p w14:paraId="340EB7F2" w14:textId="77777777" w:rsidR="00211BC5" w:rsidRPr="008F511F" w:rsidRDefault="00211BC5" w:rsidP="00211BC5">
            <w:pPr>
              <w:rPr>
                <w:rFonts w:ascii="Times New Roman" w:hAnsi="Times New Roman" w:cs="Times New Roman"/>
              </w:rPr>
            </w:pPr>
          </w:p>
        </w:tc>
        <w:tc>
          <w:tcPr>
            <w:tcW w:w="1064" w:type="dxa"/>
            <w:noWrap/>
            <w:vAlign w:val="center"/>
            <w:hideMark/>
          </w:tcPr>
          <w:p w14:paraId="33B3A0B2"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-2.5598</w:t>
            </w:r>
          </w:p>
        </w:tc>
        <w:tc>
          <w:tcPr>
            <w:tcW w:w="1200" w:type="dxa"/>
            <w:noWrap/>
            <w:vAlign w:val="center"/>
            <w:hideMark/>
          </w:tcPr>
          <w:p w14:paraId="0D28A814"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-2.3581</w:t>
            </w:r>
          </w:p>
        </w:tc>
        <w:tc>
          <w:tcPr>
            <w:tcW w:w="1056" w:type="dxa"/>
            <w:noWrap/>
            <w:vAlign w:val="center"/>
            <w:hideMark/>
          </w:tcPr>
          <w:p w14:paraId="6BC4D1D1"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-3.3491</w:t>
            </w:r>
          </w:p>
        </w:tc>
      </w:tr>
      <w:tr w:rsidR="008F511F" w:rsidRPr="008F511F" w14:paraId="3216DE63" w14:textId="77777777" w:rsidTr="00CF2FFF">
        <w:trPr>
          <w:trHeight w:val="540"/>
        </w:trPr>
        <w:tc>
          <w:tcPr>
            <w:tcW w:w="1611" w:type="dxa"/>
            <w:noWrap/>
            <w:vAlign w:val="center"/>
            <w:hideMark/>
          </w:tcPr>
          <w:p w14:paraId="67A2D887" w14:textId="77777777" w:rsidR="00211BC5" w:rsidRPr="008F511F" w:rsidRDefault="00211BC5">
            <w:pPr>
              <w:rPr>
                <w:rFonts w:ascii="Times New Roman" w:hAnsi="Times New Roman" w:cs="Times New Roman"/>
              </w:rPr>
            </w:pPr>
            <w:r w:rsidRPr="008F511F">
              <w:rPr>
                <w:rFonts w:ascii="Times New Roman" w:hAnsi="Times New Roman" w:cs="Times New Roman"/>
              </w:rPr>
              <w:t xml:space="preserve"> Std. Dev.</w:t>
            </w:r>
          </w:p>
        </w:tc>
        <w:tc>
          <w:tcPr>
            <w:tcW w:w="1294" w:type="dxa"/>
            <w:noWrap/>
            <w:vAlign w:val="center"/>
            <w:hideMark/>
          </w:tcPr>
          <w:p w14:paraId="6D598F94"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0.0782</w:t>
            </w:r>
          </w:p>
        </w:tc>
        <w:tc>
          <w:tcPr>
            <w:tcW w:w="1081" w:type="dxa"/>
            <w:noWrap/>
            <w:vAlign w:val="center"/>
            <w:hideMark/>
          </w:tcPr>
          <w:p w14:paraId="1FE6071F"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0.0692</w:t>
            </w:r>
          </w:p>
        </w:tc>
        <w:tc>
          <w:tcPr>
            <w:tcW w:w="1081" w:type="dxa"/>
            <w:noWrap/>
            <w:vAlign w:val="center"/>
            <w:hideMark/>
          </w:tcPr>
          <w:p w14:paraId="56ABE888"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0.0808</w:t>
            </w:r>
          </w:p>
        </w:tc>
        <w:tc>
          <w:tcPr>
            <w:tcW w:w="629" w:type="dxa"/>
            <w:noWrap/>
            <w:vAlign w:val="center"/>
            <w:hideMark/>
          </w:tcPr>
          <w:p w14:paraId="1C04930F" w14:textId="77777777" w:rsidR="00211BC5" w:rsidRPr="008F511F" w:rsidRDefault="00211BC5" w:rsidP="00211BC5">
            <w:pPr>
              <w:rPr>
                <w:rFonts w:ascii="Times New Roman" w:hAnsi="Times New Roman" w:cs="Times New Roman"/>
              </w:rPr>
            </w:pPr>
          </w:p>
        </w:tc>
        <w:tc>
          <w:tcPr>
            <w:tcW w:w="1115" w:type="dxa"/>
            <w:noWrap/>
            <w:vAlign w:val="center"/>
            <w:hideMark/>
          </w:tcPr>
          <w:p w14:paraId="768A5E45"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0.0183</w:t>
            </w:r>
          </w:p>
        </w:tc>
        <w:tc>
          <w:tcPr>
            <w:tcW w:w="1195" w:type="dxa"/>
            <w:noWrap/>
            <w:vAlign w:val="center"/>
            <w:hideMark/>
          </w:tcPr>
          <w:p w14:paraId="354F6345"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0.0148</w:t>
            </w:r>
          </w:p>
        </w:tc>
        <w:tc>
          <w:tcPr>
            <w:tcW w:w="1175" w:type="dxa"/>
            <w:noWrap/>
            <w:vAlign w:val="center"/>
            <w:hideMark/>
          </w:tcPr>
          <w:p w14:paraId="41A01E9D"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0.0284</w:t>
            </w:r>
          </w:p>
        </w:tc>
        <w:tc>
          <w:tcPr>
            <w:tcW w:w="653" w:type="dxa"/>
            <w:noWrap/>
            <w:vAlign w:val="center"/>
            <w:hideMark/>
          </w:tcPr>
          <w:p w14:paraId="36C350FE" w14:textId="77777777" w:rsidR="00211BC5" w:rsidRPr="008F511F" w:rsidRDefault="00211BC5" w:rsidP="00211BC5">
            <w:pPr>
              <w:rPr>
                <w:rFonts w:ascii="Times New Roman" w:hAnsi="Times New Roman" w:cs="Times New Roman"/>
              </w:rPr>
            </w:pPr>
          </w:p>
        </w:tc>
        <w:tc>
          <w:tcPr>
            <w:tcW w:w="1064" w:type="dxa"/>
            <w:noWrap/>
            <w:vAlign w:val="center"/>
            <w:hideMark/>
          </w:tcPr>
          <w:p w14:paraId="7E06DF96"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1.0234</w:t>
            </w:r>
          </w:p>
        </w:tc>
        <w:tc>
          <w:tcPr>
            <w:tcW w:w="1200" w:type="dxa"/>
            <w:noWrap/>
            <w:vAlign w:val="center"/>
            <w:hideMark/>
          </w:tcPr>
          <w:p w14:paraId="68BC69FC"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0.8068</w:t>
            </w:r>
          </w:p>
        </w:tc>
        <w:tc>
          <w:tcPr>
            <w:tcW w:w="1056" w:type="dxa"/>
            <w:noWrap/>
            <w:vAlign w:val="center"/>
            <w:hideMark/>
          </w:tcPr>
          <w:p w14:paraId="1F3AE95A"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1.1267</w:t>
            </w:r>
          </w:p>
        </w:tc>
      </w:tr>
      <w:tr w:rsidR="008F511F" w:rsidRPr="008F511F" w14:paraId="14920BB2" w14:textId="77777777" w:rsidTr="00CF2FFF">
        <w:trPr>
          <w:trHeight w:val="540"/>
        </w:trPr>
        <w:tc>
          <w:tcPr>
            <w:tcW w:w="1611" w:type="dxa"/>
            <w:noWrap/>
            <w:vAlign w:val="center"/>
            <w:hideMark/>
          </w:tcPr>
          <w:p w14:paraId="325E5AC0" w14:textId="77777777" w:rsidR="00211BC5" w:rsidRPr="008F511F" w:rsidRDefault="00211BC5">
            <w:pPr>
              <w:rPr>
                <w:rFonts w:ascii="Times New Roman" w:hAnsi="Times New Roman" w:cs="Times New Roman"/>
              </w:rPr>
            </w:pPr>
            <w:r w:rsidRPr="008F511F">
              <w:rPr>
                <w:rFonts w:ascii="Times New Roman" w:hAnsi="Times New Roman" w:cs="Times New Roman"/>
              </w:rPr>
              <w:t xml:space="preserve"> Skewness</w:t>
            </w:r>
          </w:p>
        </w:tc>
        <w:tc>
          <w:tcPr>
            <w:tcW w:w="1294" w:type="dxa"/>
            <w:noWrap/>
            <w:vAlign w:val="center"/>
            <w:hideMark/>
          </w:tcPr>
          <w:p w14:paraId="68CC48F8"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0.0096</w:t>
            </w:r>
          </w:p>
        </w:tc>
        <w:tc>
          <w:tcPr>
            <w:tcW w:w="1081" w:type="dxa"/>
            <w:noWrap/>
            <w:vAlign w:val="center"/>
            <w:hideMark/>
          </w:tcPr>
          <w:p w14:paraId="00184E67"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-0.7895</w:t>
            </w:r>
          </w:p>
        </w:tc>
        <w:tc>
          <w:tcPr>
            <w:tcW w:w="1081" w:type="dxa"/>
            <w:noWrap/>
            <w:vAlign w:val="center"/>
            <w:hideMark/>
          </w:tcPr>
          <w:p w14:paraId="3F848602"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1.2421</w:t>
            </w:r>
          </w:p>
        </w:tc>
        <w:tc>
          <w:tcPr>
            <w:tcW w:w="629" w:type="dxa"/>
            <w:noWrap/>
            <w:vAlign w:val="center"/>
            <w:hideMark/>
          </w:tcPr>
          <w:p w14:paraId="5A15C43B" w14:textId="77777777" w:rsidR="00211BC5" w:rsidRPr="008F511F" w:rsidRDefault="00211BC5" w:rsidP="00211BC5">
            <w:pPr>
              <w:rPr>
                <w:rFonts w:ascii="Times New Roman" w:hAnsi="Times New Roman" w:cs="Times New Roman"/>
              </w:rPr>
            </w:pPr>
          </w:p>
        </w:tc>
        <w:tc>
          <w:tcPr>
            <w:tcW w:w="1115" w:type="dxa"/>
            <w:noWrap/>
            <w:vAlign w:val="center"/>
            <w:hideMark/>
          </w:tcPr>
          <w:p w14:paraId="1015FA2E"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10.6764</w:t>
            </w:r>
          </w:p>
        </w:tc>
        <w:tc>
          <w:tcPr>
            <w:tcW w:w="1195" w:type="dxa"/>
            <w:noWrap/>
            <w:vAlign w:val="center"/>
            <w:hideMark/>
          </w:tcPr>
          <w:p w14:paraId="362B7C05"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14.1152</w:t>
            </w:r>
          </w:p>
        </w:tc>
        <w:tc>
          <w:tcPr>
            <w:tcW w:w="1175" w:type="dxa"/>
            <w:noWrap/>
            <w:vAlign w:val="center"/>
            <w:hideMark/>
          </w:tcPr>
          <w:p w14:paraId="3D41A655"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14.2829</w:t>
            </w:r>
          </w:p>
        </w:tc>
        <w:tc>
          <w:tcPr>
            <w:tcW w:w="653" w:type="dxa"/>
            <w:noWrap/>
            <w:vAlign w:val="center"/>
            <w:hideMark/>
          </w:tcPr>
          <w:p w14:paraId="1A96CE8B" w14:textId="77777777" w:rsidR="00211BC5" w:rsidRPr="008F511F" w:rsidRDefault="00211BC5" w:rsidP="00211BC5">
            <w:pPr>
              <w:rPr>
                <w:rFonts w:ascii="Times New Roman" w:hAnsi="Times New Roman" w:cs="Times New Roman"/>
              </w:rPr>
            </w:pPr>
          </w:p>
        </w:tc>
        <w:tc>
          <w:tcPr>
            <w:tcW w:w="1064" w:type="dxa"/>
            <w:noWrap/>
            <w:vAlign w:val="center"/>
            <w:hideMark/>
          </w:tcPr>
          <w:p w14:paraId="267E5ECC"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0.1411</w:t>
            </w:r>
          </w:p>
        </w:tc>
        <w:tc>
          <w:tcPr>
            <w:tcW w:w="1200" w:type="dxa"/>
            <w:noWrap/>
            <w:vAlign w:val="center"/>
            <w:hideMark/>
          </w:tcPr>
          <w:p w14:paraId="590789B5"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0.0806</w:t>
            </w:r>
          </w:p>
        </w:tc>
        <w:tc>
          <w:tcPr>
            <w:tcW w:w="1056" w:type="dxa"/>
            <w:noWrap/>
            <w:vAlign w:val="center"/>
            <w:hideMark/>
          </w:tcPr>
          <w:p w14:paraId="113AB72E"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0.4422</w:t>
            </w:r>
          </w:p>
        </w:tc>
      </w:tr>
      <w:tr w:rsidR="008F511F" w:rsidRPr="008F511F" w14:paraId="1A3F9495" w14:textId="77777777" w:rsidTr="00CF2FFF">
        <w:trPr>
          <w:trHeight w:val="540"/>
        </w:trPr>
        <w:tc>
          <w:tcPr>
            <w:tcW w:w="1611" w:type="dxa"/>
            <w:noWrap/>
            <w:vAlign w:val="center"/>
            <w:hideMark/>
          </w:tcPr>
          <w:p w14:paraId="41D7770B" w14:textId="77777777" w:rsidR="00211BC5" w:rsidRPr="008F511F" w:rsidRDefault="00211BC5">
            <w:pPr>
              <w:rPr>
                <w:rFonts w:ascii="Times New Roman" w:hAnsi="Times New Roman" w:cs="Times New Roman"/>
              </w:rPr>
            </w:pPr>
            <w:r w:rsidRPr="008F511F">
              <w:rPr>
                <w:rFonts w:ascii="Times New Roman" w:hAnsi="Times New Roman" w:cs="Times New Roman"/>
              </w:rPr>
              <w:t xml:space="preserve"> Kurtosis</w:t>
            </w:r>
          </w:p>
        </w:tc>
        <w:tc>
          <w:tcPr>
            <w:tcW w:w="1294" w:type="dxa"/>
            <w:noWrap/>
            <w:vAlign w:val="center"/>
            <w:hideMark/>
          </w:tcPr>
          <w:p w14:paraId="01FEB080"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9.9755</w:t>
            </w:r>
          </w:p>
        </w:tc>
        <w:tc>
          <w:tcPr>
            <w:tcW w:w="1081" w:type="dxa"/>
            <w:noWrap/>
            <w:vAlign w:val="center"/>
            <w:hideMark/>
          </w:tcPr>
          <w:p w14:paraId="22C5C743"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10.6369</w:t>
            </w:r>
          </w:p>
        </w:tc>
        <w:tc>
          <w:tcPr>
            <w:tcW w:w="1081" w:type="dxa"/>
            <w:noWrap/>
            <w:vAlign w:val="center"/>
            <w:hideMark/>
          </w:tcPr>
          <w:p w14:paraId="187A27FE"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19.8115</w:t>
            </w:r>
          </w:p>
        </w:tc>
        <w:tc>
          <w:tcPr>
            <w:tcW w:w="629" w:type="dxa"/>
            <w:noWrap/>
            <w:vAlign w:val="center"/>
            <w:hideMark/>
          </w:tcPr>
          <w:p w14:paraId="215CECCE" w14:textId="77777777" w:rsidR="00211BC5" w:rsidRPr="008F511F" w:rsidRDefault="00211BC5" w:rsidP="00211BC5">
            <w:pPr>
              <w:rPr>
                <w:rFonts w:ascii="Times New Roman" w:hAnsi="Times New Roman" w:cs="Times New Roman"/>
              </w:rPr>
            </w:pPr>
          </w:p>
        </w:tc>
        <w:tc>
          <w:tcPr>
            <w:tcW w:w="1115" w:type="dxa"/>
            <w:noWrap/>
            <w:vAlign w:val="center"/>
            <w:hideMark/>
          </w:tcPr>
          <w:p w14:paraId="04F550CA"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162.755</w:t>
            </w:r>
          </w:p>
        </w:tc>
        <w:tc>
          <w:tcPr>
            <w:tcW w:w="1195" w:type="dxa"/>
            <w:noWrap/>
            <w:vAlign w:val="center"/>
            <w:hideMark/>
          </w:tcPr>
          <w:p w14:paraId="52290077"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295.932</w:t>
            </w:r>
          </w:p>
        </w:tc>
        <w:tc>
          <w:tcPr>
            <w:tcW w:w="1175" w:type="dxa"/>
            <w:noWrap/>
            <w:vAlign w:val="center"/>
            <w:hideMark/>
          </w:tcPr>
          <w:p w14:paraId="0A03C015"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255.602</w:t>
            </w:r>
          </w:p>
        </w:tc>
        <w:tc>
          <w:tcPr>
            <w:tcW w:w="653" w:type="dxa"/>
            <w:noWrap/>
            <w:vAlign w:val="center"/>
            <w:hideMark/>
          </w:tcPr>
          <w:p w14:paraId="4CEC99DA" w14:textId="77777777" w:rsidR="00211BC5" w:rsidRPr="008F511F" w:rsidRDefault="00211BC5" w:rsidP="00211BC5">
            <w:pPr>
              <w:rPr>
                <w:rFonts w:ascii="Times New Roman" w:hAnsi="Times New Roman" w:cs="Times New Roman"/>
              </w:rPr>
            </w:pPr>
          </w:p>
        </w:tc>
        <w:tc>
          <w:tcPr>
            <w:tcW w:w="1064" w:type="dxa"/>
            <w:noWrap/>
            <w:vAlign w:val="center"/>
            <w:hideMark/>
          </w:tcPr>
          <w:p w14:paraId="2BD73130"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2.9304</w:t>
            </w:r>
          </w:p>
        </w:tc>
        <w:tc>
          <w:tcPr>
            <w:tcW w:w="1200" w:type="dxa"/>
            <w:noWrap/>
            <w:vAlign w:val="center"/>
            <w:hideMark/>
          </w:tcPr>
          <w:p w14:paraId="7986D4FA"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3.0123</w:t>
            </w:r>
          </w:p>
        </w:tc>
        <w:tc>
          <w:tcPr>
            <w:tcW w:w="1056" w:type="dxa"/>
            <w:noWrap/>
            <w:vAlign w:val="center"/>
            <w:hideMark/>
          </w:tcPr>
          <w:p w14:paraId="44A57328"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3.1378</w:t>
            </w:r>
          </w:p>
        </w:tc>
      </w:tr>
      <w:tr w:rsidR="008F511F" w:rsidRPr="008F511F" w14:paraId="57F43F8B" w14:textId="77777777" w:rsidTr="00CF2FFF">
        <w:trPr>
          <w:trHeight w:val="540"/>
        </w:trPr>
        <w:tc>
          <w:tcPr>
            <w:tcW w:w="1611" w:type="dxa"/>
            <w:noWrap/>
            <w:vAlign w:val="center"/>
            <w:hideMark/>
          </w:tcPr>
          <w:p w14:paraId="1433E3CF" w14:textId="77777777" w:rsidR="00211BC5" w:rsidRPr="008F511F" w:rsidRDefault="00211BC5">
            <w:pPr>
              <w:rPr>
                <w:rFonts w:ascii="Times New Roman" w:hAnsi="Times New Roman" w:cs="Times New Roman"/>
              </w:rPr>
            </w:pPr>
            <w:r w:rsidRPr="008F511F">
              <w:rPr>
                <w:rFonts w:ascii="Times New Roman" w:hAnsi="Times New Roman" w:cs="Times New Roman"/>
              </w:rPr>
              <w:t xml:space="preserve"> Jarque-</w:t>
            </w:r>
            <w:proofErr w:type="spellStart"/>
            <w:r w:rsidRPr="008F511F">
              <w:rPr>
                <w:rFonts w:ascii="Times New Roman" w:hAnsi="Times New Roman" w:cs="Times New Roman"/>
              </w:rPr>
              <w:t>Bera</w:t>
            </w:r>
            <w:proofErr w:type="spellEnd"/>
          </w:p>
        </w:tc>
        <w:tc>
          <w:tcPr>
            <w:tcW w:w="1294" w:type="dxa"/>
            <w:noWrap/>
            <w:vAlign w:val="center"/>
            <w:hideMark/>
          </w:tcPr>
          <w:p w14:paraId="25B74136" w14:textId="5133E464" w:rsidR="00211BC5" w:rsidRPr="008F511F" w:rsidRDefault="00211BC5" w:rsidP="00211BC5">
            <w:pPr>
              <w:rPr>
                <w:rFonts w:ascii="Times New Roman" w:hAnsi="Times New Roman" w:cs="Times New Roman"/>
                <w:vertAlign w:val="superscript"/>
              </w:rPr>
            </w:pPr>
            <w:r w:rsidRPr="008F511F">
              <w:rPr>
                <w:rFonts w:ascii="Times New Roman" w:hAnsi="Times New Roman" w:cs="Times New Roman"/>
              </w:rPr>
              <w:t>2842.5</w:t>
            </w:r>
            <w:r w:rsidR="003166E9" w:rsidRPr="008F511F">
              <w:rPr>
                <w:rFonts w:ascii="Times New Roman" w:hAnsi="Times New Roman" w:cs="Times New Roman"/>
                <w:vertAlign w:val="superscript"/>
              </w:rPr>
              <w:t>a</w:t>
            </w:r>
          </w:p>
        </w:tc>
        <w:tc>
          <w:tcPr>
            <w:tcW w:w="1081" w:type="dxa"/>
            <w:noWrap/>
            <w:vAlign w:val="center"/>
            <w:hideMark/>
          </w:tcPr>
          <w:p w14:paraId="024D7343" w14:textId="156E4ADD" w:rsidR="00211BC5" w:rsidRPr="008F511F" w:rsidRDefault="00211BC5" w:rsidP="00211BC5">
            <w:pPr>
              <w:rPr>
                <w:rFonts w:ascii="Times New Roman" w:hAnsi="Times New Roman" w:cs="Times New Roman"/>
              </w:rPr>
            </w:pPr>
            <w:r w:rsidRPr="008F511F">
              <w:rPr>
                <w:rFonts w:ascii="Times New Roman" w:hAnsi="Times New Roman" w:cs="Times New Roman"/>
              </w:rPr>
              <w:t>3552.6</w:t>
            </w:r>
            <w:r w:rsidR="003166E9" w:rsidRPr="008F511F">
              <w:rPr>
                <w:rFonts w:ascii="Times New Roman" w:hAnsi="Times New Roman" w:cs="Times New Roman"/>
                <w:vertAlign w:val="superscript"/>
              </w:rPr>
              <w:t>a</w:t>
            </w:r>
          </w:p>
        </w:tc>
        <w:tc>
          <w:tcPr>
            <w:tcW w:w="1081" w:type="dxa"/>
            <w:noWrap/>
            <w:vAlign w:val="center"/>
            <w:hideMark/>
          </w:tcPr>
          <w:p w14:paraId="704B7F1E" w14:textId="3293BCE0" w:rsidR="00211BC5" w:rsidRPr="008F511F" w:rsidRDefault="00211BC5" w:rsidP="00211BC5">
            <w:pPr>
              <w:rPr>
                <w:rFonts w:ascii="Times New Roman" w:hAnsi="Times New Roman" w:cs="Times New Roman"/>
              </w:rPr>
            </w:pPr>
            <w:r w:rsidRPr="008F511F">
              <w:rPr>
                <w:rFonts w:ascii="Times New Roman" w:hAnsi="Times New Roman" w:cs="Times New Roman"/>
              </w:rPr>
              <w:t>16870.7</w:t>
            </w:r>
            <w:r w:rsidR="003166E9" w:rsidRPr="008F511F">
              <w:rPr>
                <w:rFonts w:ascii="Times New Roman" w:hAnsi="Times New Roman" w:cs="Times New Roman"/>
                <w:vertAlign w:val="superscript"/>
              </w:rPr>
              <w:t>a</w:t>
            </w:r>
          </w:p>
        </w:tc>
        <w:tc>
          <w:tcPr>
            <w:tcW w:w="629" w:type="dxa"/>
            <w:noWrap/>
            <w:vAlign w:val="center"/>
            <w:hideMark/>
          </w:tcPr>
          <w:p w14:paraId="1B58A16E" w14:textId="77777777" w:rsidR="00211BC5" w:rsidRPr="008F511F" w:rsidRDefault="00211BC5" w:rsidP="00211BC5">
            <w:pPr>
              <w:rPr>
                <w:rFonts w:ascii="Times New Roman" w:hAnsi="Times New Roman" w:cs="Times New Roman"/>
              </w:rPr>
            </w:pPr>
          </w:p>
        </w:tc>
        <w:tc>
          <w:tcPr>
            <w:tcW w:w="1115" w:type="dxa"/>
            <w:noWrap/>
            <w:vAlign w:val="center"/>
            <w:hideMark/>
          </w:tcPr>
          <w:p w14:paraId="3235C95C" w14:textId="3E68688B" w:rsidR="00211BC5" w:rsidRPr="008F511F" w:rsidRDefault="00211BC5" w:rsidP="00211BC5">
            <w:pPr>
              <w:rPr>
                <w:rFonts w:ascii="Times New Roman" w:hAnsi="Times New Roman" w:cs="Times New Roman"/>
              </w:rPr>
            </w:pPr>
            <w:r w:rsidRPr="008F511F">
              <w:rPr>
                <w:rFonts w:ascii="Times New Roman" w:hAnsi="Times New Roman" w:cs="Times New Roman"/>
              </w:rPr>
              <w:t>1517518</w:t>
            </w:r>
            <w:r w:rsidR="003166E9" w:rsidRPr="008F511F">
              <w:rPr>
                <w:rFonts w:ascii="Times New Roman" w:hAnsi="Times New Roman" w:cs="Times New Roman"/>
                <w:vertAlign w:val="superscript"/>
              </w:rPr>
              <w:t>a</w:t>
            </w:r>
          </w:p>
        </w:tc>
        <w:tc>
          <w:tcPr>
            <w:tcW w:w="1195" w:type="dxa"/>
            <w:noWrap/>
            <w:vAlign w:val="center"/>
            <w:hideMark/>
          </w:tcPr>
          <w:p w14:paraId="547AA470" w14:textId="0D04F7DC" w:rsidR="00211BC5" w:rsidRPr="008F511F" w:rsidRDefault="00211BC5" w:rsidP="00211BC5">
            <w:pPr>
              <w:rPr>
                <w:rFonts w:ascii="Times New Roman" w:hAnsi="Times New Roman" w:cs="Times New Roman"/>
              </w:rPr>
            </w:pPr>
            <w:r w:rsidRPr="008F511F">
              <w:rPr>
                <w:rFonts w:ascii="Times New Roman" w:hAnsi="Times New Roman" w:cs="Times New Roman"/>
              </w:rPr>
              <w:t>5059249</w:t>
            </w:r>
            <w:r w:rsidR="003166E9" w:rsidRPr="008F511F">
              <w:rPr>
                <w:rFonts w:ascii="Times New Roman" w:hAnsi="Times New Roman" w:cs="Times New Roman"/>
                <w:vertAlign w:val="superscript"/>
              </w:rPr>
              <w:t>a</w:t>
            </w:r>
          </w:p>
        </w:tc>
        <w:tc>
          <w:tcPr>
            <w:tcW w:w="1175" w:type="dxa"/>
            <w:noWrap/>
            <w:vAlign w:val="center"/>
            <w:hideMark/>
          </w:tcPr>
          <w:p w14:paraId="00034A9D" w14:textId="1DD86D2E" w:rsidR="00211BC5" w:rsidRPr="008F511F" w:rsidRDefault="00211BC5" w:rsidP="00211BC5">
            <w:pPr>
              <w:rPr>
                <w:rFonts w:ascii="Times New Roman" w:hAnsi="Times New Roman" w:cs="Times New Roman"/>
              </w:rPr>
            </w:pPr>
            <w:r w:rsidRPr="008F511F">
              <w:rPr>
                <w:rFonts w:ascii="Times New Roman" w:hAnsi="Times New Roman" w:cs="Times New Roman"/>
              </w:rPr>
              <w:t>3775101</w:t>
            </w:r>
            <w:r w:rsidR="003166E9" w:rsidRPr="008F511F">
              <w:rPr>
                <w:rFonts w:ascii="Times New Roman" w:hAnsi="Times New Roman" w:cs="Times New Roman"/>
                <w:vertAlign w:val="superscript"/>
              </w:rPr>
              <w:t>a</w:t>
            </w:r>
          </w:p>
        </w:tc>
        <w:tc>
          <w:tcPr>
            <w:tcW w:w="653" w:type="dxa"/>
            <w:noWrap/>
            <w:vAlign w:val="center"/>
            <w:hideMark/>
          </w:tcPr>
          <w:p w14:paraId="1952080F" w14:textId="77777777" w:rsidR="00211BC5" w:rsidRPr="008F511F" w:rsidRDefault="00211BC5" w:rsidP="00211BC5">
            <w:pPr>
              <w:rPr>
                <w:rFonts w:ascii="Times New Roman" w:hAnsi="Times New Roman" w:cs="Times New Roman"/>
              </w:rPr>
            </w:pPr>
          </w:p>
        </w:tc>
        <w:tc>
          <w:tcPr>
            <w:tcW w:w="1064" w:type="dxa"/>
            <w:noWrap/>
            <w:vAlign w:val="center"/>
            <w:hideMark/>
          </w:tcPr>
          <w:p w14:paraId="7B0BE291" w14:textId="35E61796" w:rsidR="00211BC5" w:rsidRPr="008F511F" w:rsidRDefault="00211BC5" w:rsidP="00211BC5">
            <w:pPr>
              <w:rPr>
                <w:rFonts w:ascii="Times New Roman" w:hAnsi="Times New Roman" w:cs="Times New Roman"/>
                <w:vertAlign w:val="superscript"/>
              </w:rPr>
            </w:pPr>
            <w:r w:rsidRPr="008F511F">
              <w:rPr>
                <w:rFonts w:ascii="Times New Roman" w:hAnsi="Times New Roman" w:cs="Times New Roman"/>
              </w:rPr>
              <w:t>4.9340</w:t>
            </w:r>
            <w:r w:rsidR="003166E9" w:rsidRPr="008F511F">
              <w:rPr>
                <w:rFonts w:ascii="Times New Roman" w:hAnsi="Times New Roman" w:cs="Times New Roman"/>
                <w:vertAlign w:val="superscript"/>
              </w:rPr>
              <w:t>c</w:t>
            </w:r>
          </w:p>
        </w:tc>
        <w:tc>
          <w:tcPr>
            <w:tcW w:w="1200" w:type="dxa"/>
            <w:noWrap/>
            <w:vAlign w:val="center"/>
            <w:hideMark/>
          </w:tcPr>
          <w:p w14:paraId="11FFC868" w14:textId="77777777" w:rsidR="00211BC5" w:rsidRPr="008F511F" w:rsidRDefault="00211BC5" w:rsidP="00211BC5">
            <w:pPr>
              <w:rPr>
                <w:rFonts w:ascii="Times New Roman" w:hAnsi="Times New Roman" w:cs="Times New Roman"/>
              </w:rPr>
            </w:pPr>
            <w:r w:rsidRPr="008F511F">
              <w:rPr>
                <w:rFonts w:ascii="Times New Roman" w:hAnsi="Times New Roman" w:cs="Times New Roman"/>
              </w:rPr>
              <w:t>1.5269</w:t>
            </w:r>
          </w:p>
        </w:tc>
        <w:tc>
          <w:tcPr>
            <w:tcW w:w="1056" w:type="dxa"/>
            <w:noWrap/>
            <w:vAlign w:val="center"/>
            <w:hideMark/>
          </w:tcPr>
          <w:p w14:paraId="1CB7F30F" w14:textId="4198B1E2" w:rsidR="00211BC5" w:rsidRPr="008F511F" w:rsidRDefault="00211BC5" w:rsidP="00211BC5">
            <w:pPr>
              <w:rPr>
                <w:rFonts w:ascii="Times New Roman" w:hAnsi="Times New Roman" w:cs="Times New Roman"/>
              </w:rPr>
            </w:pPr>
            <w:r w:rsidRPr="008F511F">
              <w:rPr>
                <w:rFonts w:ascii="Times New Roman" w:hAnsi="Times New Roman" w:cs="Times New Roman"/>
              </w:rPr>
              <w:t>46.7923</w:t>
            </w:r>
            <w:r w:rsidR="003166E9" w:rsidRPr="008F511F">
              <w:rPr>
                <w:rFonts w:ascii="Times New Roman" w:hAnsi="Times New Roman" w:cs="Times New Roman"/>
                <w:vertAlign w:val="superscript"/>
              </w:rPr>
              <w:t>a</w:t>
            </w:r>
          </w:p>
        </w:tc>
      </w:tr>
      <w:tr w:rsidR="008F511F" w:rsidRPr="008F511F" w14:paraId="0285736B" w14:textId="77777777" w:rsidTr="00CF2FFF">
        <w:trPr>
          <w:trHeight w:val="540"/>
        </w:trPr>
        <w:tc>
          <w:tcPr>
            <w:tcW w:w="1611" w:type="dxa"/>
            <w:noWrap/>
            <w:vAlign w:val="center"/>
            <w:hideMark/>
          </w:tcPr>
          <w:p w14:paraId="5036A112" w14:textId="77777777" w:rsidR="00211BC5" w:rsidRPr="008F511F" w:rsidRDefault="00211BC5">
            <w:pPr>
              <w:rPr>
                <w:rFonts w:ascii="Times New Roman" w:hAnsi="Times New Roman" w:cs="Times New Roman"/>
              </w:rPr>
            </w:pPr>
            <w:r w:rsidRPr="008F511F">
              <w:rPr>
                <w:rFonts w:ascii="Times New Roman" w:hAnsi="Times New Roman" w:cs="Times New Roman"/>
              </w:rPr>
              <w:t>Q-stat (15)</w:t>
            </w:r>
          </w:p>
        </w:tc>
        <w:tc>
          <w:tcPr>
            <w:tcW w:w="1294" w:type="dxa"/>
            <w:noWrap/>
            <w:vAlign w:val="center"/>
            <w:hideMark/>
          </w:tcPr>
          <w:p w14:paraId="5ACE06C1" w14:textId="2AFE05AA" w:rsidR="00211BC5" w:rsidRPr="008F511F" w:rsidRDefault="00211BC5">
            <w:pPr>
              <w:rPr>
                <w:rFonts w:ascii="Times New Roman" w:hAnsi="Times New Roman" w:cs="Times New Roman"/>
                <w:vertAlign w:val="superscript"/>
              </w:rPr>
            </w:pPr>
            <w:r w:rsidRPr="008F511F">
              <w:rPr>
                <w:rFonts w:ascii="Times New Roman" w:hAnsi="Times New Roman" w:cs="Times New Roman"/>
              </w:rPr>
              <w:t>26.109</w:t>
            </w:r>
            <w:r w:rsidR="003166E9" w:rsidRPr="008F511F">
              <w:rPr>
                <w:rFonts w:ascii="Times New Roman" w:hAnsi="Times New Roman" w:cs="Times New Roman"/>
                <w:vertAlign w:val="superscript"/>
              </w:rPr>
              <w:t>b</w:t>
            </w:r>
          </w:p>
        </w:tc>
        <w:tc>
          <w:tcPr>
            <w:tcW w:w="1081" w:type="dxa"/>
            <w:noWrap/>
            <w:vAlign w:val="center"/>
            <w:hideMark/>
          </w:tcPr>
          <w:p w14:paraId="2CE60470" w14:textId="7BFCAF70" w:rsidR="00211BC5" w:rsidRPr="008F511F" w:rsidRDefault="00211BC5" w:rsidP="00211BC5">
            <w:pPr>
              <w:rPr>
                <w:rFonts w:ascii="Times New Roman" w:hAnsi="Times New Roman" w:cs="Times New Roman"/>
              </w:rPr>
            </w:pPr>
            <w:r w:rsidRPr="008F511F">
              <w:rPr>
                <w:rFonts w:ascii="Times New Roman" w:hAnsi="Times New Roman" w:cs="Times New Roman"/>
              </w:rPr>
              <w:t>44.5240</w:t>
            </w:r>
            <w:r w:rsidR="003166E9" w:rsidRPr="008F511F">
              <w:rPr>
                <w:rFonts w:ascii="Times New Roman" w:hAnsi="Times New Roman" w:cs="Times New Roman"/>
                <w:vertAlign w:val="superscript"/>
              </w:rPr>
              <w:t>a</w:t>
            </w:r>
          </w:p>
        </w:tc>
        <w:tc>
          <w:tcPr>
            <w:tcW w:w="1081" w:type="dxa"/>
            <w:noWrap/>
            <w:vAlign w:val="center"/>
            <w:hideMark/>
          </w:tcPr>
          <w:p w14:paraId="0F450CDD" w14:textId="2F702308" w:rsidR="00211BC5" w:rsidRPr="008F511F" w:rsidRDefault="00211BC5" w:rsidP="00211BC5">
            <w:pPr>
              <w:rPr>
                <w:rFonts w:ascii="Times New Roman" w:hAnsi="Times New Roman" w:cs="Times New Roman"/>
              </w:rPr>
            </w:pPr>
            <w:r w:rsidRPr="008F511F">
              <w:rPr>
                <w:rFonts w:ascii="Times New Roman" w:hAnsi="Times New Roman" w:cs="Times New Roman"/>
              </w:rPr>
              <w:t>32.6270</w:t>
            </w:r>
            <w:r w:rsidR="003166E9" w:rsidRPr="008F511F">
              <w:rPr>
                <w:rFonts w:ascii="Times New Roman" w:hAnsi="Times New Roman" w:cs="Times New Roman"/>
                <w:vertAlign w:val="superscript"/>
              </w:rPr>
              <w:t>a</w:t>
            </w:r>
          </w:p>
        </w:tc>
        <w:tc>
          <w:tcPr>
            <w:tcW w:w="629" w:type="dxa"/>
            <w:noWrap/>
            <w:vAlign w:val="center"/>
            <w:hideMark/>
          </w:tcPr>
          <w:p w14:paraId="670B3B65" w14:textId="77777777" w:rsidR="00211BC5" w:rsidRPr="008F511F" w:rsidRDefault="00211BC5" w:rsidP="00211BC5">
            <w:pPr>
              <w:rPr>
                <w:rFonts w:ascii="Times New Roman" w:hAnsi="Times New Roman" w:cs="Times New Roman"/>
              </w:rPr>
            </w:pPr>
          </w:p>
        </w:tc>
        <w:tc>
          <w:tcPr>
            <w:tcW w:w="1115" w:type="dxa"/>
            <w:noWrap/>
            <w:vAlign w:val="center"/>
            <w:hideMark/>
          </w:tcPr>
          <w:p w14:paraId="34F28BFA" w14:textId="07B13F41" w:rsidR="00211BC5" w:rsidRPr="008F511F" w:rsidRDefault="00211BC5" w:rsidP="00211BC5">
            <w:pPr>
              <w:rPr>
                <w:rFonts w:ascii="Times New Roman" w:hAnsi="Times New Roman" w:cs="Times New Roman"/>
              </w:rPr>
            </w:pPr>
            <w:r w:rsidRPr="008F511F">
              <w:rPr>
                <w:rFonts w:ascii="Times New Roman" w:hAnsi="Times New Roman" w:cs="Times New Roman"/>
              </w:rPr>
              <w:t>49.4540</w:t>
            </w:r>
            <w:r w:rsidR="003166E9" w:rsidRPr="008F511F">
              <w:rPr>
                <w:rFonts w:ascii="Times New Roman" w:hAnsi="Times New Roman" w:cs="Times New Roman"/>
                <w:vertAlign w:val="superscript"/>
              </w:rPr>
              <w:t>a</w:t>
            </w:r>
          </w:p>
        </w:tc>
        <w:tc>
          <w:tcPr>
            <w:tcW w:w="1195" w:type="dxa"/>
            <w:noWrap/>
            <w:vAlign w:val="center"/>
            <w:hideMark/>
          </w:tcPr>
          <w:p w14:paraId="57F0BA14" w14:textId="4871C369" w:rsidR="00211BC5" w:rsidRPr="008F511F" w:rsidRDefault="00211BC5" w:rsidP="00211BC5">
            <w:pPr>
              <w:rPr>
                <w:rFonts w:ascii="Times New Roman" w:hAnsi="Times New Roman" w:cs="Times New Roman"/>
              </w:rPr>
            </w:pPr>
            <w:r w:rsidRPr="008F511F">
              <w:rPr>
                <w:rFonts w:ascii="Times New Roman" w:hAnsi="Times New Roman" w:cs="Times New Roman"/>
              </w:rPr>
              <w:t>95.1100</w:t>
            </w:r>
            <w:r w:rsidR="003166E9" w:rsidRPr="008F511F">
              <w:rPr>
                <w:rFonts w:ascii="Times New Roman" w:hAnsi="Times New Roman" w:cs="Times New Roman"/>
                <w:vertAlign w:val="superscript"/>
              </w:rPr>
              <w:t>a</w:t>
            </w:r>
          </w:p>
        </w:tc>
        <w:tc>
          <w:tcPr>
            <w:tcW w:w="1175" w:type="dxa"/>
            <w:noWrap/>
            <w:vAlign w:val="center"/>
            <w:hideMark/>
          </w:tcPr>
          <w:p w14:paraId="491F7D50" w14:textId="00878E50" w:rsidR="00211BC5" w:rsidRPr="008F511F" w:rsidRDefault="00211BC5" w:rsidP="00211BC5">
            <w:pPr>
              <w:rPr>
                <w:rFonts w:ascii="Times New Roman" w:hAnsi="Times New Roman" w:cs="Times New Roman"/>
              </w:rPr>
            </w:pPr>
            <w:r w:rsidRPr="008F511F">
              <w:rPr>
                <w:rFonts w:ascii="Times New Roman" w:hAnsi="Times New Roman" w:cs="Times New Roman"/>
              </w:rPr>
              <w:t>156.830</w:t>
            </w:r>
            <w:r w:rsidR="003166E9" w:rsidRPr="008F511F">
              <w:rPr>
                <w:rFonts w:ascii="Times New Roman" w:hAnsi="Times New Roman" w:cs="Times New Roman"/>
                <w:vertAlign w:val="superscript"/>
              </w:rPr>
              <w:t>a</w:t>
            </w:r>
          </w:p>
        </w:tc>
        <w:tc>
          <w:tcPr>
            <w:tcW w:w="653" w:type="dxa"/>
            <w:noWrap/>
            <w:vAlign w:val="center"/>
            <w:hideMark/>
          </w:tcPr>
          <w:p w14:paraId="58173D0E" w14:textId="77777777" w:rsidR="00211BC5" w:rsidRPr="008F511F" w:rsidRDefault="00211BC5" w:rsidP="00211BC5">
            <w:pPr>
              <w:rPr>
                <w:rFonts w:ascii="Times New Roman" w:hAnsi="Times New Roman" w:cs="Times New Roman"/>
              </w:rPr>
            </w:pPr>
          </w:p>
        </w:tc>
        <w:tc>
          <w:tcPr>
            <w:tcW w:w="1064" w:type="dxa"/>
            <w:noWrap/>
            <w:vAlign w:val="center"/>
            <w:hideMark/>
          </w:tcPr>
          <w:p w14:paraId="0E8E1782" w14:textId="30D4A175" w:rsidR="00211BC5" w:rsidRPr="008F511F" w:rsidRDefault="00211BC5" w:rsidP="00211BC5">
            <w:pPr>
              <w:rPr>
                <w:rFonts w:ascii="Times New Roman" w:hAnsi="Times New Roman" w:cs="Times New Roman"/>
              </w:rPr>
            </w:pPr>
            <w:r w:rsidRPr="008F511F">
              <w:rPr>
                <w:rFonts w:ascii="Times New Roman" w:hAnsi="Times New Roman" w:cs="Times New Roman"/>
              </w:rPr>
              <w:t>8610.1</w:t>
            </w:r>
            <w:r w:rsidR="003166E9" w:rsidRPr="008F511F">
              <w:rPr>
                <w:rFonts w:ascii="Times New Roman" w:hAnsi="Times New Roman" w:cs="Times New Roman"/>
                <w:vertAlign w:val="superscript"/>
              </w:rPr>
              <w:t>a</w:t>
            </w:r>
          </w:p>
        </w:tc>
        <w:tc>
          <w:tcPr>
            <w:tcW w:w="1200" w:type="dxa"/>
            <w:noWrap/>
            <w:vAlign w:val="center"/>
            <w:hideMark/>
          </w:tcPr>
          <w:p w14:paraId="7C288C65" w14:textId="09FDB852" w:rsidR="00211BC5" w:rsidRPr="008F511F" w:rsidRDefault="00211BC5" w:rsidP="00211BC5">
            <w:pPr>
              <w:rPr>
                <w:rFonts w:ascii="Times New Roman" w:hAnsi="Times New Roman" w:cs="Times New Roman"/>
              </w:rPr>
            </w:pPr>
            <w:r w:rsidRPr="008F511F">
              <w:rPr>
                <w:rFonts w:ascii="Times New Roman" w:hAnsi="Times New Roman" w:cs="Times New Roman"/>
              </w:rPr>
              <w:t>10736.0</w:t>
            </w:r>
            <w:r w:rsidR="003166E9" w:rsidRPr="008F511F">
              <w:rPr>
                <w:rFonts w:ascii="Times New Roman" w:hAnsi="Times New Roman" w:cs="Times New Roman"/>
                <w:vertAlign w:val="superscript"/>
              </w:rPr>
              <w:t>a</w:t>
            </w:r>
          </w:p>
        </w:tc>
        <w:tc>
          <w:tcPr>
            <w:tcW w:w="1056" w:type="dxa"/>
            <w:noWrap/>
            <w:vAlign w:val="center"/>
            <w:hideMark/>
          </w:tcPr>
          <w:p w14:paraId="3A9F0B68" w14:textId="6343A302" w:rsidR="00211BC5" w:rsidRPr="008F511F" w:rsidRDefault="00211BC5" w:rsidP="00211BC5">
            <w:pPr>
              <w:rPr>
                <w:rFonts w:ascii="Times New Roman" w:hAnsi="Times New Roman" w:cs="Times New Roman"/>
              </w:rPr>
            </w:pPr>
            <w:r w:rsidRPr="008F511F">
              <w:rPr>
                <w:rFonts w:ascii="Times New Roman" w:hAnsi="Times New Roman" w:cs="Times New Roman"/>
              </w:rPr>
              <w:t>9743.1</w:t>
            </w:r>
            <w:r w:rsidR="003166E9" w:rsidRPr="008F511F">
              <w:rPr>
                <w:rFonts w:ascii="Times New Roman" w:hAnsi="Times New Roman" w:cs="Times New Roman"/>
                <w:vertAlign w:val="superscript"/>
              </w:rPr>
              <w:t>a</w:t>
            </w:r>
          </w:p>
        </w:tc>
      </w:tr>
      <w:tr w:rsidR="008F511F" w:rsidRPr="008F511F" w14:paraId="2E71C25F" w14:textId="77777777" w:rsidTr="00CF2FFF">
        <w:trPr>
          <w:trHeight w:val="540"/>
        </w:trPr>
        <w:tc>
          <w:tcPr>
            <w:tcW w:w="1611" w:type="dxa"/>
            <w:noWrap/>
            <w:vAlign w:val="center"/>
            <w:hideMark/>
          </w:tcPr>
          <w:p w14:paraId="54A99328" w14:textId="77777777" w:rsidR="00211BC5" w:rsidRPr="008F511F" w:rsidRDefault="00211BC5">
            <w:pPr>
              <w:rPr>
                <w:rFonts w:ascii="Times New Roman" w:hAnsi="Times New Roman" w:cs="Times New Roman"/>
              </w:rPr>
            </w:pPr>
            <w:r w:rsidRPr="008F511F">
              <w:rPr>
                <w:rFonts w:ascii="Times New Roman" w:hAnsi="Times New Roman" w:cs="Times New Roman"/>
              </w:rPr>
              <w:t>ADF</w:t>
            </w:r>
          </w:p>
        </w:tc>
        <w:tc>
          <w:tcPr>
            <w:tcW w:w="1294" w:type="dxa"/>
            <w:noWrap/>
            <w:vAlign w:val="center"/>
            <w:hideMark/>
          </w:tcPr>
          <w:p w14:paraId="087F43B9" w14:textId="3375B26E" w:rsidR="00211BC5" w:rsidRPr="008F511F" w:rsidRDefault="00211BC5" w:rsidP="00211BC5">
            <w:pPr>
              <w:rPr>
                <w:rFonts w:ascii="Times New Roman" w:hAnsi="Times New Roman" w:cs="Times New Roman"/>
              </w:rPr>
            </w:pPr>
            <w:r w:rsidRPr="008F511F">
              <w:rPr>
                <w:rFonts w:ascii="Times New Roman" w:hAnsi="Times New Roman" w:cs="Times New Roman"/>
              </w:rPr>
              <w:t>-40.7434</w:t>
            </w:r>
            <w:r w:rsidR="003166E9" w:rsidRPr="008F511F">
              <w:rPr>
                <w:rFonts w:ascii="Times New Roman" w:hAnsi="Times New Roman" w:cs="Times New Roman"/>
                <w:vertAlign w:val="superscript"/>
              </w:rPr>
              <w:t>a</w:t>
            </w:r>
          </w:p>
        </w:tc>
        <w:tc>
          <w:tcPr>
            <w:tcW w:w="1081" w:type="dxa"/>
            <w:noWrap/>
            <w:vAlign w:val="center"/>
            <w:hideMark/>
          </w:tcPr>
          <w:p w14:paraId="1555C0B0" w14:textId="10F9014E" w:rsidR="00211BC5" w:rsidRPr="008F511F" w:rsidRDefault="00211BC5" w:rsidP="00211BC5">
            <w:pPr>
              <w:rPr>
                <w:rFonts w:ascii="Times New Roman" w:hAnsi="Times New Roman" w:cs="Times New Roman"/>
              </w:rPr>
            </w:pPr>
            <w:r w:rsidRPr="008F511F">
              <w:rPr>
                <w:rFonts w:ascii="Times New Roman" w:hAnsi="Times New Roman" w:cs="Times New Roman"/>
              </w:rPr>
              <w:t>-39.4649</w:t>
            </w:r>
            <w:r w:rsidR="003166E9" w:rsidRPr="008F511F">
              <w:rPr>
                <w:rFonts w:ascii="Times New Roman" w:hAnsi="Times New Roman" w:cs="Times New Roman"/>
                <w:vertAlign w:val="superscript"/>
              </w:rPr>
              <w:t>a</w:t>
            </w:r>
          </w:p>
        </w:tc>
        <w:tc>
          <w:tcPr>
            <w:tcW w:w="1081" w:type="dxa"/>
            <w:noWrap/>
            <w:vAlign w:val="center"/>
            <w:hideMark/>
          </w:tcPr>
          <w:p w14:paraId="15CDE76C" w14:textId="1123B47F" w:rsidR="00211BC5" w:rsidRPr="008F511F" w:rsidRDefault="00211BC5" w:rsidP="00211BC5">
            <w:pPr>
              <w:rPr>
                <w:rFonts w:ascii="Times New Roman" w:hAnsi="Times New Roman" w:cs="Times New Roman"/>
              </w:rPr>
            </w:pPr>
            <w:r w:rsidRPr="008F511F">
              <w:rPr>
                <w:rFonts w:ascii="Times New Roman" w:hAnsi="Times New Roman" w:cs="Times New Roman"/>
              </w:rPr>
              <w:t>-41.1205</w:t>
            </w:r>
            <w:r w:rsidR="003166E9" w:rsidRPr="008F511F">
              <w:rPr>
                <w:rFonts w:ascii="Times New Roman" w:hAnsi="Times New Roman" w:cs="Times New Roman"/>
                <w:vertAlign w:val="superscript"/>
              </w:rPr>
              <w:t>a</w:t>
            </w:r>
          </w:p>
        </w:tc>
        <w:tc>
          <w:tcPr>
            <w:tcW w:w="629" w:type="dxa"/>
            <w:noWrap/>
            <w:vAlign w:val="center"/>
            <w:hideMark/>
          </w:tcPr>
          <w:p w14:paraId="1733D8A7" w14:textId="77777777" w:rsidR="00211BC5" w:rsidRPr="008F511F" w:rsidRDefault="00211BC5" w:rsidP="00211BC5">
            <w:pPr>
              <w:rPr>
                <w:rFonts w:ascii="Times New Roman" w:hAnsi="Times New Roman" w:cs="Times New Roman"/>
              </w:rPr>
            </w:pPr>
          </w:p>
        </w:tc>
        <w:tc>
          <w:tcPr>
            <w:tcW w:w="1115" w:type="dxa"/>
            <w:noWrap/>
            <w:vAlign w:val="center"/>
            <w:hideMark/>
          </w:tcPr>
          <w:p w14:paraId="3B0B3DE8" w14:textId="779DA094" w:rsidR="00211BC5" w:rsidRPr="008F511F" w:rsidRDefault="00211BC5" w:rsidP="00211BC5">
            <w:pPr>
              <w:rPr>
                <w:rFonts w:ascii="Times New Roman" w:hAnsi="Times New Roman" w:cs="Times New Roman"/>
              </w:rPr>
            </w:pPr>
            <w:r w:rsidRPr="008F511F">
              <w:rPr>
                <w:rFonts w:ascii="Times New Roman" w:hAnsi="Times New Roman" w:cs="Times New Roman"/>
              </w:rPr>
              <w:t>-33.0379</w:t>
            </w:r>
            <w:r w:rsidR="003166E9" w:rsidRPr="008F511F">
              <w:rPr>
                <w:rFonts w:ascii="Times New Roman" w:hAnsi="Times New Roman" w:cs="Times New Roman"/>
                <w:vertAlign w:val="superscript"/>
              </w:rPr>
              <w:t>a</w:t>
            </w:r>
          </w:p>
        </w:tc>
        <w:tc>
          <w:tcPr>
            <w:tcW w:w="1195" w:type="dxa"/>
            <w:noWrap/>
            <w:vAlign w:val="center"/>
            <w:hideMark/>
          </w:tcPr>
          <w:p w14:paraId="3952D2CF" w14:textId="2830CB39" w:rsidR="00211BC5" w:rsidRPr="008F511F" w:rsidRDefault="00211BC5" w:rsidP="00211BC5">
            <w:pPr>
              <w:rPr>
                <w:rFonts w:ascii="Times New Roman" w:hAnsi="Times New Roman" w:cs="Times New Roman"/>
              </w:rPr>
            </w:pPr>
            <w:r w:rsidRPr="008F511F">
              <w:rPr>
                <w:rFonts w:ascii="Times New Roman" w:hAnsi="Times New Roman" w:cs="Times New Roman"/>
              </w:rPr>
              <w:t>-31.5221</w:t>
            </w:r>
            <w:r w:rsidR="003166E9" w:rsidRPr="008F511F">
              <w:rPr>
                <w:rFonts w:ascii="Times New Roman" w:hAnsi="Times New Roman" w:cs="Times New Roman"/>
                <w:vertAlign w:val="superscript"/>
              </w:rPr>
              <w:t>a</w:t>
            </w:r>
          </w:p>
        </w:tc>
        <w:tc>
          <w:tcPr>
            <w:tcW w:w="1175" w:type="dxa"/>
            <w:noWrap/>
            <w:vAlign w:val="center"/>
            <w:hideMark/>
          </w:tcPr>
          <w:p w14:paraId="396E2DC2" w14:textId="719B6913" w:rsidR="00211BC5" w:rsidRPr="008F511F" w:rsidRDefault="00211BC5" w:rsidP="00211BC5">
            <w:pPr>
              <w:rPr>
                <w:rFonts w:ascii="Times New Roman" w:hAnsi="Times New Roman" w:cs="Times New Roman"/>
              </w:rPr>
            </w:pPr>
            <w:r w:rsidRPr="008F511F">
              <w:rPr>
                <w:rFonts w:ascii="Times New Roman" w:hAnsi="Times New Roman" w:cs="Times New Roman"/>
              </w:rPr>
              <w:t>-7.3701</w:t>
            </w:r>
            <w:r w:rsidR="003166E9" w:rsidRPr="008F511F">
              <w:rPr>
                <w:rFonts w:ascii="Times New Roman" w:hAnsi="Times New Roman" w:cs="Times New Roman"/>
                <w:vertAlign w:val="superscript"/>
              </w:rPr>
              <w:t>a</w:t>
            </w:r>
          </w:p>
        </w:tc>
        <w:tc>
          <w:tcPr>
            <w:tcW w:w="653" w:type="dxa"/>
            <w:noWrap/>
            <w:vAlign w:val="center"/>
            <w:hideMark/>
          </w:tcPr>
          <w:p w14:paraId="52DE4E28" w14:textId="77777777" w:rsidR="00211BC5" w:rsidRPr="008F511F" w:rsidRDefault="00211BC5" w:rsidP="00211BC5">
            <w:pPr>
              <w:rPr>
                <w:rFonts w:ascii="Times New Roman" w:hAnsi="Times New Roman" w:cs="Times New Roman"/>
              </w:rPr>
            </w:pPr>
          </w:p>
        </w:tc>
        <w:tc>
          <w:tcPr>
            <w:tcW w:w="1064" w:type="dxa"/>
            <w:noWrap/>
            <w:vAlign w:val="center"/>
            <w:hideMark/>
          </w:tcPr>
          <w:p w14:paraId="356936D7" w14:textId="15E6963D" w:rsidR="00211BC5" w:rsidRPr="008F511F" w:rsidRDefault="00211BC5" w:rsidP="00211BC5">
            <w:pPr>
              <w:rPr>
                <w:rFonts w:ascii="Times New Roman" w:hAnsi="Times New Roman" w:cs="Times New Roman"/>
              </w:rPr>
            </w:pPr>
            <w:r w:rsidRPr="008F511F">
              <w:rPr>
                <w:rFonts w:ascii="Times New Roman" w:hAnsi="Times New Roman" w:cs="Times New Roman"/>
              </w:rPr>
              <w:t>-4.9223</w:t>
            </w:r>
            <w:r w:rsidR="003166E9" w:rsidRPr="008F511F">
              <w:rPr>
                <w:rFonts w:ascii="Times New Roman" w:hAnsi="Times New Roman" w:cs="Times New Roman"/>
                <w:vertAlign w:val="superscript"/>
              </w:rPr>
              <w:t>a</w:t>
            </w:r>
          </w:p>
        </w:tc>
        <w:tc>
          <w:tcPr>
            <w:tcW w:w="1200" w:type="dxa"/>
            <w:noWrap/>
            <w:vAlign w:val="center"/>
            <w:hideMark/>
          </w:tcPr>
          <w:p w14:paraId="20699592" w14:textId="3307507A" w:rsidR="00211BC5" w:rsidRPr="008F511F" w:rsidRDefault="00211BC5" w:rsidP="00211BC5">
            <w:pPr>
              <w:rPr>
                <w:rFonts w:ascii="Times New Roman" w:hAnsi="Times New Roman" w:cs="Times New Roman"/>
              </w:rPr>
            </w:pPr>
            <w:r w:rsidRPr="008F511F">
              <w:rPr>
                <w:rFonts w:ascii="Times New Roman" w:hAnsi="Times New Roman" w:cs="Times New Roman"/>
              </w:rPr>
              <w:t>-5.6765</w:t>
            </w:r>
            <w:r w:rsidR="003166E9" w:rsidRPr="008F511F">
              <w:rPr>
                <w:rFonts w:ascii="Times New Roman" w:hAnsi="Times New Roman" w:cs="Times New Roman"/>
                <w:vertAlign w:val="superscript"/>
              </w:rPr>
              <w:t>a</w:t>
            </w:r>
          </w:p>
        </w:tc>
        <w:tc>
          <w:tcPr>
            <w:tcW w:w="1056" w:type="dxa"/>
            <w:noWrap/>
            <w:vAlign w:val="center"/>
            <w:hideMark/>
          </w:tcPr>
          <w:p w14:paraId="0D9BD61D" w14:textId="1E54AD12" w:rsidR="00211BC5" w:rsidRPr="008F511F" w:rsidRDefault="00211BC5" w:rsidP="00211BC5">
            <w:pPr>
              <w:rPr>
                <w:rFonts w:ascii="Times New Roman" w:hAnsi="Times New Roman" w:cs="Times New Roman"/>
              </w:rPr>
            </w:pPr>
            <w:r w:rsidRPr="008F511F">
              <w:rPr>
                <w:rFonts w:ascii="Times New Roman" w:hAnsi="Times New Roman" w:cs="Times New Roman"/>
              </w:rPr>
              <w:t>-4.5152</w:t>
            </w:r>
            <w:r w:rsidR="003166E9" w:rsidRPr="008F511F">
              <w:rPr>
                <w:rFonts w:ascii="Times New Roman" w:hAnsi="Times New Roman" w:cs="Times New Roman"/>
                <w:vertAlign w:val="superscript"/>
              </w:rPr>
              <w:t>a</w:t>
            </w:r>
          </w:p>
        </w:tc>
      </w:tr>
      <w:tr w:rsidR="008F511F" w:rsidRPr="008F511F" w14:paraId="2F7EAEF3" w14:textId="77777777" w:rsidTr="00CF2FFF">
        <w:trPr>
          <w:trHeight w:val="540"/>
        </w:trPr>
        <w:tc>
          <w:tcPr>
            <w:tcW w:w="1611" w:type="dxa"/>
            <w:noWrap/>
            <w:vAlign w:val="center"/>
            <w:hideMark/>
          </w:tcPr>
          <w:p w14:paraId="5D3A73F4" w14:textId="77777777" w:rsidR="00211BC5" w:rsidRPr="008F511F" w:rsidRDefault="00211BC5">
            <w:pPr>
              <w:rPr>
                <w:rFonts w:ascii="Times New Roman" w:hAnsi="Times New Roman" w:cs="Times New Roman"/>
              </w:rPr>
            </w:pPr>
            <w:r w:rsidRPr="008F511F">
              <w:rPr>
                <w:rFonts w:ascii="Times New Roman" w:hAnsi="Times New Roman" w:cs="Times New Roman"/>
              </w:rPr>
              <w:t>PP</w:t>
            </w:r>
          </w:p>
        </w:tc>
        <w:tc>
          <w:tcPr>
            <w:tcW w:w="1294" w:type="dxa"/>
            <w:noWrap/>
            <w:vAlign w:val="center"/>
            <w:hideMark/>
          </w:tcPr>
          <w:p w14:paraId="267F2F62" w14:textId="0D6A3AFA" w:rsidR="00211BC5" w:rsidRPr="008F511F" w:rsidRDefault="00211BC5" w:rsidP="00211BC5">
            <w:pPr>
              <w:rPr>
                <w:rFonts w:ascii="Times New Roman" w:hAnsi="Times New Roman" w:cs="Times New Roman"/>
              </w:rPr>
            </w:pPr>
            <w:r w:rsidRPr="008F511F">
              <w:rPr>
                <w:rFonts w:ascii="Times New Roman" w:hAnsi="Times New Roman" w:cs="Times New Roman"/>
              </w:rPr>
              <w:t>-40.7805</w:t>
            </w:r>
            <w:r w:rsidR="003166E9" w:rsidRPr="008F511F">
              <w:rPr>
                <w:rFonts w:ascii="Times New Roman" w:hAnsi="Times New Roman" w:cs="Times New Roman"/>
                <w:vertAlign w:val="superscript"/>
              </w:rPr>
              <w:t>a</w:t>
            </w:r>
          </w:p>
        </w:tc>
        <w:tc>
          <w:tcPr>
            <w:tcW w:w="1081" w:type="dxa"/>
            <w:noWrap/>
            <w:vAlign w:val="center"/>
            <w:hideMark/>
          </w:tcPr>
          <w:p w14:paraId="784990F9" w14:textId="61FE5B45" w:rsidR="00211BC5" w:rsidRPr="008F511F" w:rsidRDefault="00211BC5" w:rsidP="00211BC5">
            <w:pPr>
              <w:rPr>
                <w:rFonts w:ascii="Times New Roman" w:hAnsi="Times New Roman" w:cs="Times New Roman"/>
              </w:rPr>
            </w:pPr>
            <w:r w:rsidRPr="008F511F">
              <w:rPr>
                <w:rFonts w:ascii="Times New Roman" w:hAnsi="Times New Roman" w:cs="Times New Roman"/>
              </w:rPr>
              <w:t>-39.4348</w:t>
            </w:r>
            <w:r w:rsidR="003166E9" w:rsidRPr="008F511F">
              <w:rPr>
                <w:rFonts w:ascii="Times New Roman" w:hAnsi="Times New Roman" w:cs="Times New Roman"/>
                <w:vertAlign w:val="superscript"/>
              </w:rPr>
              <w:t>a</w:t>
            </w:r>
          </w:p>
        </w:tc>
        <w:tc>
          <w:tcPr>
            <w:tcW w:w="1081" w:type="dxa"/>
            <w:noWrap/>
            <w:vAlign w:val="center"/>
            <w:hideMark/>
          </w:tcPr>
          <w:p w14:paraId="394BA083" w14:textId="5D21E2A8" w:rsidR="00211BC5" w:rsidRPr="008F511F" w:rsidRDefault="00211BC5" w:rsidP="00211BC5">
            <w:pPr>
              <w:rPr>
                <w:rFonts w:ascii="Times New Roman" w:hAnsi="Times New Roman" w:cs="Times New Roman"/>
              </w:rPr>
            </w:pPr>
            <w:r w:rsidRPr="008F511F">
              <w:rPr>
                <w:rFonts w:ascii="Times New Roman" w:hAnsi="Times New Roman" w:cs="Times New Roman"/>
              </w:rPr>
              <w:t>-40.9505</w:t>
            </w:r>
            <w:r w:rsidR="003166E9" w:rsidRPr="008F511F">
              <w:rPr>
                <w:rFonts w:ascii="Times New Roman" w:hAnsi="Times New Roman" w:cs="Times New Roman"/>
                <w:vertAlign w:val="superscript"/>
              </w:rPr>
              <w:t>a</w:t>
            </w:r>
          </w:p>
        </w:tc>
        <w:tc>
          <w:tcPr>
            <w:tcW w:w="629" w:type="dxa"/>
            <w:noWrap/>
            <w:vAlign w:val="center"/>
            <w:hideMark/>
          </w:tcPr>
          <w:p w14:paraId="25598567" w14:textId="77777777" w:rsidR="00211BC5" w:rsidRPr="008F511F" w:rsidRDefault="00211BC5" w:rsidP="00211BC5">
            <w:pPr>
              <w:rPr>
                <w:rFonts w:ascii="Times New Roman" w:hAnsi="Times New Roman" w:cs="Times New Roman"/>
              </w:rPr>
            </w:pPr>
          </w:p>
        </w:tc>
        <w:tc>
          <w:tcPr>
            <w:tcW w:w="1115" w:type="dxa"/>
            <w:noWrap/>
            <w:vAlign w:val="center"/>
            <w:hideMark/>
          </w:tcPr>
          <w:p w14:paraId="765F82A7" w14:textId="6EA3F48E" w:rsidR="00211BC5" w:rsidRPr="008F511F" w:rsidRDefault="00211BC5" w:rsidP="00211BC5">
            <w:pPr>
              <w:rPr>
                <w:rFonts w:ascii="Times New Roman" w:hAnsi="Times New Roman" w:cs="Times New Roman"/>
              </w:rPr>
            </w:pPr>
            <w:r w:rsidRPr="008F511F">
              <w:rPr>
                <w:rFonts w:ascii="Times New Roman" w:hAnsi="Times New Roman" w:cs="Times New Roman"/>
              </w:rPr>
              <w:t>-34.0883</w:t>
            </w:r>
            <w:r w:rsidR="003166E9" w:rsidRPr="008F511F">
              <w:rPr>
                <w:rFonts w:ascii="Times New Roman" w:hAnsi="Times New Roman" w:cs="Times New Roman"/>
                <w:vertAlign w:val="superscript"/>
              </w:rPr>
              <w:t>a</w:t>
            </w:r>
          </w:p>
        </w:tc>
        <w:tc>
          <w:tcPr>
            <w:tcW w:w="1195" w:type="dxa"/>
            <w:noWrap/>
            <w:vAlign w:val="center"/>
            <w:hideMark/>
          </w:tcPr>
          <w:p w14:paraId="49243063" w14:textId="4AAD5C32" w:rsidR="00211BC5" w:rsidRPr="008F511F" w:rsidRDefault="00211BC5" w:rsidP="00211BC5">
            <w:pPr>
              <w:rPr>
                <w:rFonts w:ascii="Times New Roman" w:hAnsi="Times New Roman" w:cs="Times New Roman"/>
              </w:rPr>
            </w:pPr>
            <w:r w:rsidRPr="008F511F">
              <w:rPr>
                <w:rFonts w:ascii="Times New Roman" w:hAnsi="Times New Roman" w:cs="Times New Roman"/>
              </w:rPr>
              <w:t>-33.2966</w:t>
            </w:r>
            <w:r w:rsidR="00CF2FFF" w:rsidRPr="008F511F">
              <w:rPr>
                <w:rFonts w:ascii="Times New Roman" w:hAnsi="Times New Roman" w:cs="Times New Roman"/>
                <w:vertAlign w:val="superscript"/>
              </w:rPr>
              <w:t>a</w:t>
            </w:r>
          </w:p>
        </w:tc>
        <w:tc>
          <w:tcPr>
            <w:tcW w:w="1175" w:type="dxa"/>
            <w:noWrap/>
            <w:vAlign w:val="center"/>
            <w:hideMark/>
          </w:tcPr>
          <w:p w14:paraId="0C611937" w14:textId="0895F6F1" w:rsidR="00211BC5" w:rsidRPr="008F511F" w:rsidRDefault="00211BC5" w:rsidP="00211BC5">
            <w:pPr>
              <w:rPr>
                <w:rFonts w:ascii="Times New Roman" w:hAnsi="Times New Roman" w:cs="Times New Roman"/>
              </w:rPr>
            </w:pPr>
            <w:r w:rsidRPr="008F511F">
              <w:rPr>
                <w:rFonts w:ascii="Times New Roman" w:hAnsi="Times New Roman" w:cs="Times New Roman"/>
              </w:rPr>
              <w:t>-36.9716</w:t>
            </w:r>
            <w:r w:rsidR="00CF2FFF" w:rsidRPr="008F511F">
              <w:rPr>
                <w:rFonts w:ascii="Times New Roman" w:hAnsi="Times New Roman" w:cs="Times New Roman"/>
                <w:vertAlign w:val="superscript"/>
              </w:rPr>
              <w:t>a</w:t>
            </w:r>
          </w:p>
        </w:tc>
        <w:tc>
          <w:tcPr>
            <w:tcW w:w="653" w:type="dxa"/>
            <w:noWrap/>
            <w:vAlign w:val="center"/>
            <w:hideMark/>
          </w:tcPr>
          <w:p w14:paraId="0410FEE4" w14:textId="77777777" w:rsidR="00211BC5" w:rsidRPr="008F511F" w:rsidRDefault="00211BC5" w:rsidP="00211BC5">
            <w:pPr>
              <w:rPr>
                <w:rFonts w:ascii="Times New Roman" w:hAnsi="Times New Roman" w:cs="Times New Roman"/>
              </w:rPr>
            </w:pPr>
          </w:p>
        </w:tc>
        <w:tc>
          <w:tcPr>
            <w:tcW w:w="1064" w:type="dxa"/>
            <w:noWrap/>
            <w:vAlign w:val="center"/>
            <w:hideMark/>
          </w:tcPr>
          <w:p w14:paraId="1B0F353E" w14:textId="468997AD" w:rsidR="00211BC5" w:rsidRPr="008F511F" w:rsidRDefault="00211BC5" w:rsidP="00211BC5">
            <w:pPr>
              <w:rPr>
                <w:rFonts w:ascii="Times New Roman" w:hAnsi="Times New Roman" w:cs="Times New Roman"/>
              </w:rPr>
            </w:pPr>
            <w:r w:rsidRPr="008F511F">
              <w:rPr>
                <w:rFonts w:ascii="Times New Roman" w:hAnsi="Times New Roman" w:cs="Times New Roman"/>
              </w:rPr>
              <w:t>-11.741</w:t>
            </w:r>
            <w:r w:rsidR="00CF2FFF" w:rsidRPr="008F511F">
              <w:rPr>
                <w:rFonts w:ascii="Times New Roman" w:hAnsi="Times New Roman" w:cs="Times New Roman"/>
                <w:vertAlign w:val="superscript"/>
              </w:rPr>
              <w:t>a</w:t>
            </w:r>
          </w:p>
        </w:tc>
        <w:tc>
          <w:tcPr>
            <w:tcW w:w="1200" w:type="dxa"/>
            <w:noWrap/>
            <w:vAlign w:val="center"/>
            <w:hideMark/>
          </w:tcPr>
          <w:p w14:paraId="317A38C8" w14:textId="09CFB932" w:rsidR="00211BC5" w:rsidRPr="008F511F" w:rsidRDefault="00211BC5" w:rsidP="00211BC5">
            <w:pPr>
              <w:rPr>
                <w:rFonts w:ascii="Times New Roman" w:hAnsi="Times New Roman" w:cs="Times New Roman"/>
              </w:rPr>
            </w:pPr>
            <w:r w:rsidRPr="008F511F">
              <w:rPr>
                <w:rFonts w:ascii="Times New Roman" w:hAnsi="Times New Roman" w:cs="Times New Roman"/>
              </w:rPr>
              <w:t>-8.327</w:t>
            </w:r>
            <w:r w:rsidR="00CF2FFF" w:rsidRPr="008F511F">
              <w:rPr>
                <w:rFonts w:ascii="Times New Roman" w:hAnsi="Times New Roman" w:cs="Times New Roman"/>
                <w:vertAlign w:val="superscript"/>
              </w:rPr>
              <w:t>a</w:t>
            </w:r>
          </w:p>
        </w:tc>
        <w:tc>
          <w:tcPr>
            <w:tcW w:w="1056" w:type="dxa"/>
            <w:noWrap/>
            <w:vAlign w:val="center"/>
            <w:hideMark/>
          </w:tcPr>
          <w:p w14:paraId="38E11F68" w14:textId="13E10DC4" w:rsidR="00211BC5" w:rsidRPr="008F511F" w:rsidRDefault="00211BC5" w:rsidP="00211BC5">
            <w:pPr>
              <w:rPr>
                <w:rFonts w:ascii="Times New Roman" w:hAnsi="Times New Roman" w:cs="Times New Roman"/>
              </w:rPr>
            </w:pPr>
            <w:r w:rsidRPr="008F511F">
              <w:rPr>
                <w:rFonts w:ascii="Times New Roman" w:hAnsi="Times New Roman" w:cs="Times New Roman"/>
              </w:rPr>
              <w:t>-14.112</w:t>
            </w:r>
            <w:r w:rsidR="00CF2FFF" w:rsidRPr="008F511F">
              <w:rPr>
                <w:rFonts w:ascii="Times New Roman" w:hAnsi="Times New Roman" w:cs="Times New Roman"/>
                <w:vertAlign w:val="superscript"/>
              </w:rPr>
              <w:t>a</w:t>
            </w:r>
          </w:p>
        </w:tc>
      </w:tr>
    </w:tbl>
    <w:p w14:paraId="24643826" w14:textId="5B87E3D0" w:rsidR="003166E9" w:rsidRPr="008F511F" w:rsidRDefault="003166E9" w:rsidP="00AE2A2C">
      <w:pPr>
        <w:jc w:val="both"/>
        <w:rPr>
          <w:rFonts w:ascii="Times New Roman" w:hAnsi="Times New Roman" w:cs="Times New Roman"/>
          <w:sz w:val="18"/>
          <w:szCs w:val="18"/>
        </w:rPr>
        <w:sectPr w:rsidR="003166E9" w:rsidRPr="008F511F" w:rsidSect="003166E9">
          <w:pgSz w:w="15840" w:h="12240" w:orient="landscape"/>
          <w:pgMar w:top="1440" w:right="1440" w:bottom="1440" w:left="1440" w:header="720" w:footer="720" w:gutter="0"/>
          <w:cols w:space="720"/>
          <w:docGrid w:linePitch="360"/>
        </w:sectPr>
      </w:pPr>
      <w:r w:rsidRPr="008F511F">
        <w:rPr>
          <w:rFonts w:ascii="Times New Roman" w:hAnsi="Times New Roman" w:cs="Times New Roman"/>
          <w:sz w:val="18"/>
          <w:szCs w:val="18"/>
        </w:rPr>
        <w:t>Notes</w:t>
      </w:r>
      <w:r w:rsidR="009B418C" w:rsidRPr="008F511F">
        <w:rPr>
          <w:rFonts w:ascii="Times New Roman" w:hAnsi="Times New Roman" w:cs="Times New Roman"/>
          <w:sz w:val="18"/>
          <w:szCs w:val="18"/>
        </w:rPr>
        <w:t>:</w:t>
      </w:r>
      <w:r w:rsidR="00A84BE0" w:rsidRPr="008F511F">
        <w:rPr>
          <w:rFonts w:ascii="Times New Roman" w:hAnsi="Times New Roman" w:cs="Times New Roman"/>
          <w:sz w:val="18"/>
          <w:szCs w:val="18"/>
        </w:rPr>
        <w:t xml:space="preserve"> </w:t>
      </w:r>
      <w:bookmarkStart w:id="17" w:name="_Hlk88675032"/>
      <w:r w:rsidR="00DE346A" w:rsidRPr="008F511F">
        <w:rPr>
          <w:rFonts w:ascii="Times New Roman" w:hAnsi="Times New Roman" w:cs="Times New Roman"/>
          <w:sz w:val="18"/>
          <w:szCs w:val="18"/>
        </w:rPr>
        <w:t>“</w:t>
      </w:r>
      <w:r w:rsidR="00052370" w:rsidRPr="008F511F">
        <w:rPr>
          <w:rFonts w:ascii="Times New Roman" w:hAnsi="Times New Roman" w:cs="Times New Roman"/>
          <w:sz w:val="18"/>
          <w:szCs w:val="18"/>
        </w:rPr>
        <w:t>XTZ-</w:t>
      </w:r>
      <w:proofErr w:type="spellStart"/>
      <w:r w:rsidR="00052370" w:rsidRPr="008F511F">
        <w:rPr>
          <w:rFonts w:ascii="Times New Roman" w:hAnsi="Times New Roman" w:cs="Times New Roman"/>
          <w:sz w:val="18"/>
          <w:szCs w:val="18"/>
        </w:rPr>
        <w:t>Tezos</w:t>
      </w:r>
      <w:proofErr w:type="spellEnd"/>
      <w:r w:rsidR="00052370" w:rsidRPr="008F511F">
        <w:rPr>
          <w:rFonts w:ascii="Times New Roman" w:hAnsi="Times New Roman" w:cs="Times New Roman"/>
          <w:sz w:val="18"/>
          <w:szCs w:val="18"/>
        </w:rPr>
        <w:t>, ENJ-</w:t>
      </w:r>
      <w:proofErr w:type="spellStart"/>
      <w:r w:rsidR="00052370" w:rsidRPr="008F511F">
        <w:rPr>
          <w:rFonts w:ascii="Times New Roman" w:hAnsi="Times New Roman" w:cs="Times New Roman"/>
          <w:sz w:val="18"/>
          <w:szCs w:val="18"/>
        </w:rPr>
        <w:t>Enjin</w:t>
      </w:r>
      <w:proofErr w:type="spellEnd"/>
      <w:r w:rsidR="00052370" w:rsidRPr="008F511F">
        <w:rPr>
          <w:rFonts w:ascii="Times New Roman" w:hAnsi="Times New Roman" w:cs="Times New Roman"/>
          <w:sz w:val="18"/>
          <w:szCs w:val="18"/>
        </w:rPr>
        <w:t xml:space="preserve"> Coin</w:t>
      </w:r>
      <w:bookmarkEnd w:id="17"/>
      <w:r w:rsidR="00052370" w:rsidRPr="008F511F">
        <w:rPr>
          <w:rFonts w:ascii="Times New Roman" w:hAnsi="Times New Roman" w:cs="Times New Roman"/>
          <w:sz w:val="18"/>
          <w:szCs w:val="18"/>
        </w:rPr>
        <w:t xml:space="preserve">, </w:t>
      </w:r>
      <w:r w:rsidR="00AE2A2C" w:rsidRPr="008F511F">
        <w:rPr>
          <w:rFonts w:ascii="Times New Roman" w:hAnsi="Times New Roman" w:cs="Times New Roman"/>
          <w:sz w:val="18"/>
          <w:szCs w:val="18"/>
        </w:rPr>
        <w:t>Q stat-</w:t>
      </w:r>
      <w:proofErr w:type="spellStart"/>
      <w:r w:rsidR="00AE2A2C" w:rsidRPr="008F511F">
        <w:rPr>
          <w:rFonts w:ascii="Times New Roman" w:hAnsi="Times New Roman" w:cs="Times New Roman"/>
          <w:sz w:val="18"/>
          <w:szCs w:val="18"/>
        </w:rPr>
        <w:t>Ljung</w:t>
      </w:r>
      <w:proofErr w:type="spellEnd"/>
      <w:r w:rsidR="00AE2A2C" w:rsidRPr="008F511F">
        <w:rPr>
          <w:rFonts w:ascii="Times New Roman" w:hAnsi="Times New Roman" w:cs="Times New Roman"/>
          <w:sz w:val="18"/>
          <w:szCs w:val="18"/>
        </w:rPr>
        <w:t xml:space="preserve"> Box Q statistics, </w:t>
      </w:r>
      <w:r w:rsidR="00052370" w:rsidRPr="008F511F">
        <w:rPr>
          <w:rFonts w:ascii="Times New Roman" w:hAnsi="Times New Roman" w:cs="Times New Roman"/>
          <w:sz w:val="18"/>
          <w:szCs w:val="18"/>
        </w:rPr>
        <w:t xml:space="preserve">ADF-Augmented Dickey–Fuller </w:t>
      </w:r>
      <w:r w:rsidR="00AE2A2C" w:rsidRPr="008F511F">
        <w:rPr>
          <w:rFonts w:ascii="Times New Roman" w:hAnsi="Times New Roman" w:cs="Times New Roman"/>
          <w:sz w:val="18"/>
          <w:szCs w:val="18"/>
        </w:rPr>
        <w:t>test, PP</w:t>
      </w:r>
      <w:r w:rsidR="00052370" w:rsidRPr="008F511F">
        <w:rPr>
          <w:rFonts w:ascii="Times New Roman" w:hAnsi="Times New Roman" w:cs="Times New Roman"/>
          <w:sz w:val="18"/>
          <w:szCs w:val="18"/>
        </w:rPr>
        <w:t xml:space="preserve">-Phillips Perron test. </w:t>
      </w:r>
      <w:r w:rsidR="00AE2A2C" w:rsidRPr="008F511F">
        <w:rPr>
          <w:rFonts w:ascii="Times New Roman" w:hAnsi="Times New Roman" w:cs="Times New Roman"/>
          <w:sz w:val="18"/>
          <w:szCs w:val="18"/>
          <w:vertAlign w:val="superscript"/>
        </w:rPr>
        <w:t xml:space="preserve">a, b, c </w:t>
      </w:r>
      <w:proofErr w:type="gramStart"/>
      <w:r w:rsidR="00AE2A2C" w:rsidRPr="008F511F">
        <w:rPr>
          <w:rFonts w:ascii="Times New Roman" w:hAnsi="Times New Roman" w:cs="Times New Roman"/>
          <w:sz w:val="18"/>
          <w:szCs w:val="18"/>
        </w:rPr>
        <w:t>denote</w:t>
      </w:r>
      <w:proofErr w:type="gramEnd"/>
      <w:r w:rsidR="00AE2A2C" w:rsidRPr="008F511F">
        <w:rPr>
          <w:rFonts w:ascii="Times New Roman" w:hAnsi="Times New Roman" w:cs="Times New Roman"/>
          <w:sz w:val="18"/>
          <w:szCs w:val="18"/>
        </w:rPr>
        <w:t xml:space="preserve"> the 1%, 5%, and 10% level of significance</w:t>
      </w:r>
      <w:r w:rsidR="00DE346A" w:rsidRPr="008F511F">
        <w:rPr>
          <w:rFonts w:ascii="Times New Roman" w:hAnsi="Times New Roman" w:cs="Times New Roman"/>
          <w:sz w:val="18"/>
          <w:szCs w:val="18"/>
        </w:rPr>
        <w:t>”</w:t>
      </w:r>
      <w:r w:rsidR="00AE2A2C" w:rsidRPr="008F511F">
        <w:rPr>
          <w:rFonts w:ascii="Times New Roman" w:hAnsi="Times New Roman" w:cs="Times New Roman"/>
          <w:sz w:val="18"/>
          <w:szCs w:val="18"/>
        </w:rPr>
        <w:t>.</w:t>
      </w:r>
      <w:r w:rsidR="00761501" w:rsidRPr="008F511F">
        <w:t xml:space="preserve"> </w:t>
      </w:r>
      <w:r w:rsidR="00761501" w:rsidRPr="008F511F">
        <w:rPr>
          <w:rFonts w:ascii="Times New Roman" w:hAnsi="Times New Roman" w:cs="Times New Roman"/>
          <w:sz w:val="18"/>
          <w:szCs w:val="18"/>
        </w:rPr>
        <w:t>The Augmented Dicky Fuller test and Phillip-Perron test results are significant, indicating the stationarity of all series of returns, volatility, and detrended volume.</w:t>
      </w:r>
    </w:p>
    <w:p w14:paraId="69A1E2D3" w14:textId="5F680388" w:rsidR="00724596" w:rsidRPr="008F511F" w:rsidRDefault="0005008E" w:rsidP="001464CC">
      <w:pPr>
        <w:rPr>
          <w:rFonts w:ascii="Times New Roman" w:hAnsi="Times New Roman" w:cs="Times New Roman"/>
          <w:sz w:val="24"/>
          <w:szCs w:val="24"/>
        </w:rPr>
      </w:pPr>
      <w:r w:rsidRPr="008F511F">
        <w:rPr>
          <w:rFonts w:ascii="Times New Roman" w:hAnsi="Times New Roman" w:cs="Times New Roman"/>
          <w:sz w:val="24"/>
          <w:szCs w:val="24"/>
        </w:rPr>
        <w:lastRenderedPageBreak/>
        <w:t xml:space="preserve">Panel A. </w:t>
      </w:r>
      <w:r w:rsidR="00696C24" w:rsidRPr="008F511F">
        <w:rPr>
          <w:rFonts w:ascii="Times New Roman" w:hAnsi="Times New Roman" w:cs="Times New Roman"/>
          <w:sz w:val="24"/>
          <w:szCs w:val="24"/>
        </w:rPr>
        <w:t>Prices</w:t>
      </w:r>
    </w:p>
    <w:p w14:paraId="18FCB39D" w14:textId="64EBD181" w:rsidR="00696C24" w:rsidRPr="008F511F" w:rsidRDefault="008B1FC7" w:rsidP="001464CC">
      <w:pPr>
        <w:rPr>
          <w:rFonts w:ascii="Times New Roman" w:hAnsi="Times New Roman" w:cs="Times New Roman"/>
          <w:sz w:val="24"/>
          <w:szCs w:val="24"/>
        </w:rPr>
      </w:pPr>
      <w:r w:rsidRPr="008F511F">
        <w:object w:dxaOrig="10789" w:dyaOrig="2820" w14:anchorId="3E543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4.5pt" o:ole="">
            <v:imagedata r:id="rId17" o:title=""/>
          </v:shape>
          <o:OLEObject Type="Embed" ProgID="EViews.Workfile.2" ShapeID="_x0000_i1025" DrawAspect="Content" ObjectID="_1722244920" r:id="rId18"/>
        </w:object>
      </w:r>
    </w:p>
    <w:p w14:paraId="5F248A1F" w14:textId="148B0224" w:rsidR="00724596" w:rsidRPr="008F511F" w:rsidRDefault="0005008E" w:rsidP="001464CC">
      <w:r w:rsidRPr="008F511F">
        <w:rPr>
          <w:rFonts w:ascii="Times New Roman" w:hAnsi="Times New Roman" w:cs="Times New Roman"/>
          <w:sz w:val="24"/>
          <w:szCs w:val="24"/>
        </w:rPr>
        <w:t xml:space="preserve">Panel B. </w:t>
      </w:r>
      <w:r w:rsidR="00724596" w:rsidRPr="008F511F">
        <w:rPr>
          <w:rFonts w:ascii="Times New Roman" w:hAnsi="Times New Roman" w:cs="Times New Roman"/>
          <w:sz w:val="24"/>
          <w:szCs w:val="24"/>
        </w:rPr>
        <w:t>Returns</w:t>
      </w:r>
    </w:p>
    <w:p w14:paraId="33DDE1C4" w14:textId="73D39292" w:rsidR="0095715C" w:rsidRPr="008F511F" w:rsidRDefault="008B1FC7" w:rsidP="001464CC">
      <w:pPr>
        <w:rPr>
          <w:rFonts w:ascii="Times New Roman" w:hAnsi="Times New Roman" w:cs="Times New Roman"/>
          <w:sz w:val="24"/>
          <w:szCs w:val="24"/>
        </w:rPr>
      </w:pPr>
      <w:r w:rsidRPr="008F511F">
        <w:object w:dxaOrig="10789" w:dyaOrig="2820" w14:anchorId="2C9C8776">
          <v:shape id="_x0000_i1026" type="#_x0000_t75" style="width:468pt;height:96pt" o:ole="">
            <v:imagedata r:id="rId19" o:title=""/>
          </v:shape>
          <o:OLEObject Type="Embed" ProgID="EViews.Workfile.2" ShapeID="_x0000_i1026" DrawAspect="Content" ObjectID="_1722244921" r:id="rId20"/>
        </w:object>
      </w:r>
    </w:p>
    <w:p w14:paraId="6994578C" w14:textId="03EE399A" w:rsidR="00724596" w:rsidRPr="008F511F" w:rsidRDefault="0005008E" w:rsidP="001464CC">
      <w:r w:rsidRPr="008F511F">
        <w:rPr>
          <w:rFonts w:ascii="Times New Roman" w:hAnsi="Times New Roman" w:cs="Times New Roman"/>
          <w:sz w:val="24"/>
          <w:szCs w:val="24"/>
        </w:rPr>
        <w:t xml:space="preserve">Panel c. </w:t>
      </w:r>
      <w:r w:rsidR="00724596" w:rsidRPr="008F511F">
        <w:rPr>
          <w:rFonts w:ascii="Times New Roman" w:hAnsi="Times New Roman" w:cs="Times New Roman"/>
          <w:sz w:val="24"/>
          <w:szCs w:val="24"/>
        </w:rPr>
        <w:t>Volatility</w:t>
      </w:r>
    </w:p>
    <w:p w14:paraId="65248316" w14:textId="75DA107C" w:rsidR="0095715C" w:rsidRPr="008F511F" w:rsidRDefault="008B1FC7" w:rsidP="001464CC">
      <w:pPr>
        <w:rPr>
          <w:rFonts w:ascii="Times New Roman" w:hAnsi="Times New Roman" w:cs="Times New Roman"/>
          <w:sz w:val="24"/>
          <w:szCs w:val="24"/>
        </w:rPr>
      </w:pPr>
      <w:r w:rsidRPr="008F511F">
        <w:object w:dxaOrig="10789" w:dyaOrig="2809" w14:anchorId="25DEC206">
          <v:shape id="_x0000_i1027" type="#_x0000_t75" style="width:468pt;height:81.5pt" o:ole="">
            <v:imagedata r:id="rId21" o:title=""/>
          </v:shape>
          <o:OLEObject Type="Embed" ProgID="EViews.Workfile.2" ShapeID="_x0000_i1027" DrawAspect="Content" ObjectID="_1722244922" r:id="rId22"/>
        </w:object>
      </w:r>
    </w:p>
    <w:p w14:paraId="5D084E29" w14:textId="4A365A58" w:rsidR="008B1FC7" w:rsidRPr="008F511F" w:rsidRDefault="008B1FC7" w:rsidP="001464CC">
      <w:pPr>
        <w:rPr>
          <w:rFonts w:ascii="Times New Roman" w:hAnsi="Times New Roman" w:cs="Times New Roman"/>
          <w:sz w:val="24"/>
          <w:szCs w:val="24"/>
        </w:rPr>
      </w:pPr>
      <w:r w:rsidRPr="008F511F">
        <w:rPr>
          <w:rFonts w:ascii="Times New Roman" w:hAnsi="Times New Roman" w:cs="Times New Roman"/>
          <w:sz w:val="24"/>
          <w:szCs w:val="24"/>
        </w:rPr>
        <w:t>Panel D. Volume</w:t>
      </w:r>
    </w:p>
    <w:p w14:paraId="2234C8D9" w14:textId="79882411" w:rsidR="008B1FC7" w:rsidRPr="008F511F" w:rsidRDefault="008B1FC7" w:rsidP="001464CC">
      <w:pPr>
        <w:rPr>
          <w:rFonts w:ascii="Times New Roman" w:hAnsi="Times New Roman" w:cs="Times New Roman"/>
          <w:sz w:val="24"/>
          <w:szCs w:val="24"/>
        </w:rPr>
      </w:pPr>
      <w:r w:rsidRPr="008F511F">
        <w:object w:dxaOrig="10789" w:dyaOrig="2365" w14:anchorId="5BC45174">
          <v:shape id="_x0000_i1028" type="#_x0000_t75" style="width:468pt;height:102.5pt" o:ole="">
            <v:imagedata r:id="rId23" o:title=""/>
          </v:shape>
          <o:OLEObject Type="Embed" ProgID="EViews.Workfile.2" ShapeID="_x0000_i1028" DrawAspect="Content" ObjectID="_1722244923" r:id="rId24"/>
        </w:object>
      </w:r>
    </w:p>
    <w:p w14:paraId="7D1A1CE5" w14:textId="0A322D48" w:rsidR="00724596" w:rsidRPr="008F511F" w:rsidRDefault="0005008E" w:rsidP="001464CC">
      <w:pPr>
        <w:rPr>
          <w:rFonts w:ascii="Times New Roman" w:hAnsi="Times New Roman" w:cs="Times New Roman"/>
          <w:sz w:val="24"/>
          <w:szCs w:val="24"/>
        </w:rPr>
      </w:pPr>
      <w:r w:rsidRPr="008F511F">
        <w:rPr>
          <w:rFonts w:ascii="Times New Roman" w:hAnsi="Times New Roman" w:cs="Times New Roman"/>
          <w:sz w:val="24"/>
          <w:szCs w:val="24"/>
        </w:rPr>
        <w:t xml:space="preserve">Panel </w:t>
      </w:r>
      <w:r w:rsidR="008B1FC7" w:rsidRPr="008F511F">
        <w:rPr>
          <w:rFonts w:ascii="Times New Roman" w:hAnsi="Times New Roman" w:cs="Times New Roman"/>
          <w:sz w:val="24"/>
          <w:szCs w:val="24"/>
        </w:rPr>
        <w:t>E</w:t>
      </w:r>
      <w:r w:rsidRPr="008F511F">
        <w:rPr>
          <w:rFonts w:ascii="Times New Roman" w:hAnsi="Times New Roman" w:cs="Times New Roman"/>
          <w:sz w:val="24"/>
          <w:szCs w:val="24"/>
        </w:rPr>
        <w:t xml:space="preserve">. </w:t>
      </w:r>
      <w:r w:rsidR="00724596" w:rsidRPr="008F511F">
        <w:rPr>
          <w:rFonts w:ascii="Times New Roman" w:hAnsi="Times New Roman" w:cs="Times New Roman"/>
          <w:sz w:val="24"/>
          <w:szCs w:val="24"/>
        </w:rPr>
        <w:t>Volume</w:t>
      </w:r>
      <w:r w:rsidR="00211BC5" w:rsidRPr="008F511F">
        <w:rPr>
          <w:rFonts w:ascii="Times New Roman" w:hAnsi="Times New Roman" w:cs="Times New Roman"/>
          <w:sz w:val="24"/>
          <w:szCs w:val="24"/>
        </w:rPr>
        <w:t xml:space="preserve"> (De-trended)</w:t>
      </w:r>
    </w:p>
    <w:p w14:paraId="6B1D4279" w14:textId="1D15AA2B" w:rsidR="00724596" w:rsidRPr="008F511F" w:rsidRDefault="008B1FC7" w:rsidP="001464CC">
      <w:pPr>
        <w:rPr>
          <w:rFonts w:ascii="Times New Roman" w:hAnsi="Times New Roman" w:cs="Times New Roman"/>
          <w:sz w:val="24"/>
          <w:szCs w:val="24"/>
        </w:rPr>
      </w:pPr>
      <w:r w:rsidRPr="008F511F">
        <w:object w:dxaOrig="10789" w:dyaOrig="2820" w14:anchorId="0707763F">
          <v:shape id="_x0000_i1029" type="#_x0000_t75" style="width:468pt;height:104.5pt" o:ole="">
            <v:imagedata r:id="rId25" o:title=""/>
          </v:shape>
          <o:OLEObject Type="Embed" ProgID="EViews.Workfile.2" ShapeID="_x0000_i1029" DrawAspect="Content" ObjectID="_1722244924" r:id="rId26"/>
        </w:object>
      </w:r>
    </w:p>
    <w:p w14:paraId="2F91B8E9" w14:textId="5A3D04DB" w:rsidR="008B1FC7" w:rsidRPr="008F511F" w:rsidRDefault="0005008E" w:rsidP="001464CC">
      <w:pPr>
        <w:rPr>
          <w:rFonts w:ascii="Times New Roman" w:hAnsi="Times New Roman" w:cs="Times New Roman"/>
          <w:b/>
          <w:bCs/>
          <w:sz w:val="24"/>
          <w:szCs w:val="24"/>
        </w:rPr>
      </w:pPr>
      <w:r w:rsidRPr="008F511F">
        <w:rPr>
          <w:rFonts w:ascii="Times New Roman" w:hAnsi="Times New Roman" w:cs="Times New Roman"/>
          <w:b/>
          <w:bCs/>
          <w:sz w:val="24"/>
          <w:szCs w:val="24"/>
        </w:rPr>
        <w:t>Figure 1.</w:t>
      </w:r>
      <w:r w:rsidRPr="008F511F">
        <w:rPr>
          <w:rFonts w:ascii="Times New Roman" w:hAnsi="Times New Roman" w:cs="Times New Roman"/>
          <w:sz w:val="24"/>
          <w:szCs w:val="24"/>
        </w:rPr>
        <w:t xml:space="preserve"> Prices, returns, volatility</w:t>
      </w:r>
      <w:r w:rsidR="008B1FC7" w:rsidRPr="008F511F">
        <w:rPr>
          <w:rFonts w:ascii="Times New Roman" w:hAnsi="Times New Roman" w:cs="Times New Roman"/>
          <w:sz w:val="24"/>
          <w:szCs w:val="24"/>
        </w:rPr>
        <w:t>, volume,</w:t>
      </w:r>
      <w:r w:rsidRPr="008F511F">
        <w:rPr>
          <w:rFonts w:ascii="Times New Roman" w:hAnsi="Times New Roman" w:cs="Times New Roman"/>
          <w:sz w:val="24"/>
          <w:szCs w:val="24"/>
        </w:rPr>
        <w:t xml:space="preserve"> and De-trended Volume</w:t>
      </w:r>
    </w:p>
    <w:p w14:paraId="5911A97A" w14:textId="070A41FA" w:rsidR="00343425" w:rsidRPr="008F511F" w:rsidRDefault="004360DF" w:rsidP="001464CC">
      <w:pPr>
        <w:rPr>
          <w:rFonts w:ascii="Times New Roman" w:hAnsi="Times New Roman" w:cs="Times New Roman"/>
          <w:sz w:val="24"/>
          <w:szCs w:val="24"/>
        </w:rPr>
      </w:pPr>
      <w:r w:rsidRPr="008F511F">
        <w:rPr>
          <w:rFonts w:ascii="Times New Roman" w:hAnsi="Times New Roman" w:cs="Times New Roman"/>
          <w:b/>
          <w:bCs/>
          <w:sz w:val="24"/>
          <w:szCs w:val="24"/>
        </w:rPr>
        <w:lastRenderedPageBreak/>
        <w:t>Table 2.</w:t>
      </w:r>
      <w:r w:rsidRPr="008F511F">
        <w:rPr>
          <w:rFonts w:ascii="Times New Roman" w:hAnsi="Times New Roman" w:cs="Times New Roman"/>
          <w:sz w:val="24"/>
          <w:szCs w:val="24"/>
        </w:rPr>
        <w:t xml:space="preserve"> Static </w:t>
      </w:r>
      <w:r w:rsidR="000F7743" w:rsidRPr="008F511F">
        <w:rPr>
          <w:rFonts w:ascii="Times New Roman" w:hAnsi="Times New Roman" w:cs="Times New Roman"/>
          <w:sz w:val="24"/>
          <w:szCs w:val="24"/>
        </w:rPr>
        <w:t xml:space="preserve">quantile-based </w:t>
      </w:r>
      <w:r w:rsidRPr="008F511F">
        <w:rPr>
          <w:rFonts w:ascii="Times New Roman" w:hAnsi="Times New Roman" w:cs="Times New Roman"/>
          <w:sz w:val="24"/>
          <w:szCs w:val="24"/>
        </w:rPr>
        <w:t>spillovers between return and volume</w:t>
      </w:r>
    </w:p>
    <w:tbl>
      <w:tblPr>
        <w:tblStyle w:val="TableGrid"/>
        <w:tblW w:w="94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1863"/>
        <w:gridCol w:w="2428"/>
        <w:gridCol w:w="2352"/>
      </w:tblGrid>
      <w:tr w:rsidR="008F511F" w:rsidRPr="008F511F" w14:paraId="71CB76BE" w14:textId="77777777" w:rsidTr="00C132CE">
        <w:trPr>
          <w:trHeight w:val="336"/>
        </w:trPr>
        <w:tc>
          <w:tcPr>
            <w:tcW w:w="2792" w:type="dxa"/>
            <w:tcBorders>
              <w:top w:val="single" w:sz="4" w:space="0" w:color="auto"/>
              <w:bottom w:val="single" w:sz="4" w:space="0" w:color="auto"/>
            </w:tcBorders>
            <w:noWrap/>
            <w:hideMark/>
          </w:tcPr>
          <w:p w14:paraId="3DF05F5E" w14:textId="77777777" w:rsidR="001464CC" w:rsidRPr="008F511F" w:rsidRDefault="001464CC" w:rsidP="001464CC">
            <w:pPr>
              <w:rPr>
                <w:rFonts w:ascii="Times New Roman" w:hAnsi="Times New Roman" w:cs="Times New Roman"/>
                <w:sz w:val="24"/>
                <w:szCs w:val="24"/>
              </w:rPr>
            </w:pPr>
          </w:p>
        </w:tc>
        <w:tc>
          <w:tcPr>
            <w:tcW w:w="1863" w:type="dxa"/>
            <w:tcBorders>
              <w:top w:val="single" w:sz="4" w:space="0" w:color="auto"/>
              <w:bottom w:val="single" w:sz="4" w:space="0" w:color="auto"/>
            </w:tcBorders>
            <w:noWrap/>
            <w:hideMark/>
          </w:tcPr>
          <w:p w14:paraId="498762CD"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Median (0.50)</w:t>
            </w:r>
          </w:p>
        </w:tc>
        <w:tc>
          <w:tcPr>
            <w:tcW w:w="2428" w:type="dxa"/>
            <w:tcBorders>
              <w:top w:val="single" w:sz="4" w:space="0" w:color="auto"/>
              <w:bottom w:val="single" w:sz="4" w:space="0" w:color="auto"/>
            </w:tcBorders>
            <w:noWrap/>
            <w:hideMark/>
          </w:tcPr>
          <w:p w14:paraId="69E64184"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Lower Quantile (0.05)</w:t>
            </w:r>
          </w:p>
        </w:tc>
        <w:tc>
          <w:tcPr>
            <w:tcW w:w="2352" w:type="dxa"/>
            <w:tcBorders>
              <w:top w:val="single" w:sz="4" w:space="0" w:color="auto"/>
              <w:bottom w:val="single" w:sz="4" w:space="0" w:color="auto"/>
            </w:tcBorders>
            <w:noWrap/>
            <w:hideMark/>
          </w:tcPr>
          <w:p w14:paraId="416C4623"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Upper Quantile (0.95)</w:t>
            </w:r>
          </w:p>
        </w:tc>
      </w:tr>
      <w:tr w:rsidR="008F511F" w:rsidRPr="008F511F" w14:paraId="071EF96A" w14:textId="77777777" w:rsidTr="00C132CE">
        <w:trPr>
          <w:trHeight w:val="336"/>
        </w:trPr>
        <w:tc>
          <w:tcPr>
            <w:tcW w:w="2792" w:type="dxa"/>
            <w:tcBorders>
              <w:top w:val="single" w:sz="4" w:space="0" w:color="auto"/>
            </w:tcBorders>
            <w:noWrap/>
            <w:hideMark/>
          </w:tcPr>
          <w:p w14:paraId="2597428C"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1. THETA</w:t>
            </w:r>
          </w:p>
        </w:tc>
        <w:tc>
          <w:tcPr>
            <w:tcW w:w="1863" w:type="dxa"/>
            <w:tcBorders>
              <w:top w:val="single" w:sz="4" w:space="0" w:color="auto"/>
            </w:tcBorders>
            <w:noWrap/>
            <w:hideMark/>
          </w:tcPr>
          <w:p w14:paraId="36E0C183" w14:textId="77777777" w:rsidR="001464CC" w:rsidRPr="008F511F" w:rsidRDefault="001464CC" w:rsidP="001464CC">
            <w:pPr>
              <w:rPr>
                <w:rFonts w:ascii="Times New Roman" w:hAnsi="Times New Roman" w:cs="Times New Roman"/>
                <w:b/>
                <w:bCs/>
                <w:sz w:val="24"/>
                <w:szCs w:val="24"/>
              </w:rPr>
            </w:pPr>
          </w:p>
        </w:tc>
        <w:tc>
          <w:tcPr>
            <w:tcW w:w="2428" w:type="dxa"/>
            <w:tcBorders>
              <w:top w:val="single" w:sz="4" w:space="0" w:color="auto"/>
            </w:tcBorders>
            <w:noWrap/>
            <w:hideMark/>
          </w:tcPr>
          <w:p w14:paraId="676C9175" w14:textId="77777777" w:rsidR="001464CC" w:rsidRPr="008F511F" w:rsidRDefault="001464CC" w:rsidP="001464CC">
            <w:pPr>
              <w:rPr>
                <w:rFonts w:ascii="Times New Roman" w:hAnsi="Times New Roman" w:cs="Times New Roman"/>
                <w:sz w:val="24"/>
                <w:szCs w:val="24"/>
              </w:rPr>
            </w:pPr>
          </w:p>
        </w:tc>
        <w:tc>
          <w:tcPr>
            <w:tcW w:w="2352" w:type="dxa"/>
            <w:tcBorders>
              <w:top w:val="single" w:sz="4" w:space="0" w:color="auto"/>
            </w:tcBorders>
            <w:noWrap/>
            <w:hideMark/>
          </w:tcPr>
          <w:p w14:paraId="4B1531A9" w14:textId="77777777" w:rsidR="001464CC" w:rsidRPr="008F511F" w:rsidRDefault="001464CC" w:rsidP="001464CC">
            <w:pPr>
              <w:rPr>
                <w:rFonts w:ascii="Times New Roman" w:hAnsi="Times New Roman" w:cs="Times New Roman"/>
                <w:sz w:val="24"/>
                <w:szCs w:val="24"/>
              </w:rPr>
            </w:pPr>
          </w:p>
        </w:tc>
      </w:tr>
      <w:tr w:rsidR="008F511F" w:rsidRPr="008F511F" w14:paraId="12A253C6" w14:textId="77777777" w:rsidTr="00C132CE">
        <w:trPr>
          <w:trHeight w:val="336"/>
        </w:trPr>
        <w:tc>
          <w:tcPr>
            <w:tcW w:w="2792" w:type="dxa"/>
            <w:noWrap/>
          </w:tcPr>
          <w:p w14:paraId="0D13BDC6" w14:textId="77777777" w:rsidR="00185BFE" w:rsidRPr="008F511F" w:rsidRDefault="00185BFE" w:rsidP="001464CC">
            <w:pPr>
              <w:rPr>
                <w:rFonts w:ascii="Times New Roman" w:hAnsi="Times New Roman" w:cs="Times New Roman"/>
                <w:b/>
                <w:bCs/>
                <w:sz w:val="24"/>
                <w:szCs w:val="24"/>
              </w:rPr>
            </w:pPr>
          </w:p>
        </w:tc>
        <w:tc>
          <w:tcPr>
            <w:tcW w:w="1863" w:type="dxa"/>
            <w:noWrap/>
          </w:tcPr>
          <w:p w14:paraId="4963FBE4" w14:textId="77777777" w:rsidR="00185BFE" w:rsidRPr="008F511F" w:rsidRDefault="00185BFE" w:rsidP="001464CC">
            <w:pPr>
              <w:jc w:val="center"/>
              <w:rPr>
                <w:rFonts w:ascii="Times New Roman" w:hAnsi="Times New Roman" w:cs="Times New Roman"/>
                <w:sz w:val="24"/>
                <w:szCs w:val="24"/>
              </w:rPr>
            </w:pPr>
          </w:p>
        </w:tc>
        <w:tc>
          <w:tcPr>
            <w:tcW w:w="2428" w:type="dxa"/>
            <w:noWrap/>
          </w:tcPr>
          <w:p w14:paraId="1BC3450E" w14:textId="77777777" w:rsidR="00185BFE" w:rsidRPr="008F511F" w:rsidRDefault="00185BFE" w:rsidP="001464CC">
            <w:pPr>
              <w:jc w:val="center"/>
              <w:rPr>
                <w:rFonts w:ascii="Times New Roman" w:hAnsi="Times New Roman" w:cs="Times New Roman"/>
                <w:sz w:val="24"/>
                <w:szCs w:val="24"/>
              </w:rPr>
            </w:pPr>
          </w:p>
        </w:tc>
        <w:tc>
          <w:tcPr>
            <w:tcW w:w="2352" w:type="dxa"/>
            <w:noWrap/>
          </w:tcPr>
          <w:p w14:paraId="2D3CDACA" w14:textId="77777777" w:rsidR="00185BFE" w:rsidRPr="008F511F" w:rsidRDefault="00185BFE" w:rsidP="001464CC">
            <w:pPr>
              <w:jc w:val="center"/>
              <w:rPr>
                <w:rFonts w:ascii="Times New Roman" w:hAnsi="Times New Roman" w:cs="Times New Roman"/>
                <w:sz w:val="24"/>
                <w:szCs w:val="24"/>
              </w:rPr>
            </w:pPr>
          </w:p>
        </w:tc>
      </w:tr>
      <w:tr w:rsidR="008F511F" w:rsidRPr="008F511F" w14:paraId="6933AE73" w14:textId="77777777" w:rsidTr="00C132CE">
        <w:trPr>
          <w:trHeight w:val="336"/>
        </w:trPr>
        <w:tc>
          <w:tcPr>
            <w:tcW w:w="2792" w:type="dxa"/>
            <w:noWrap/>
            <w:hideMark/>
          </w:tcPr>
          <w:p w14:paraId="4A5302E4"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63" w:type="dxa"/>
            <w:noWrap/>
            <w:hideMark/>
          </w:tcPr>
          <w:p w14:paraId="6DA2C52F"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14.01</w:t>
            </w:r>
          </w:p>
        </w:tc>
        <w:tc>
          <w:tcPr>
            <w:tcW w:w="2428" w:type="dxa"/>
            <w:noWrap/>
            <w:hideMark/>
          </w:tcPr>
          <w:p w14:paraId="18738C8B"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38.86</w:t>
            </w:r>
          </w:p>
        </w:tc>
        <w:tc>
          <w:tcPr>
            <w:tcW w:w="2352" w:type="dxa"/>
            <w:noWrap/>
            <w:hideMark/>
          </w:tcPr>
          <w:p w14:paraId="23E37CB3"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40.36</w:t>
            </w:r>
          </w:p>
        </w:tc>
      </w:tr>
      <w:tr w:rsidR="008F511F" w:rsidRPr="008F511F" w14:paraId="4FEBB951" w14:textId="77777777" w:rsidTr="00C132CE">
        <w:trPr>
          <w:trHeight w:val="336"/>
        </w:trPr>
        <w:tc>
          <w:tcPr>
            <w:tcW w:w="2792" w:type="dxa"/>
            <w:noWrap/>
            <w:hideMark/>
          </w:tcPr>
          <w:p w14:paraId="7EB8604B"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63" w:type="dxa"/>
            <w:noWrap/>
            <w:hideMark/>
          </w:tcPr>
          <w:p w14:paraId="02531A61" w14:textId="77777777" w:rsidR="001464CC" w:rsidRPr="008F511F" w:rsidRDefault="001464CC" w:rsidP="001464CC">
            <w:pPr>
              <w:jc w:val="center"/>
              <w:rPr>
                <w:rFonts w:ascii="Times New Roman" w:hAnsi="Times New Roman" w:cs="Times New Roman"/>
                <w:b/>
                <w:bCs/>
                <w:sz w:val="24"/>
                <w:szCs w:val="24"/>
              </w:rPr>
            </w:pPr>
          </w:p>
        </w:tc>
        <w:tc>
          <w:tcPr>
            <w:tcW w:w="2428" w:type="dxa"/>
            <w:noWrap/>
            <w:hideMark/>
          </w:tcPr>
          <w:p w14:paraId="4927BBE7"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14605D65" w14:textId="77777777" w:rsidR="001464CC" w:rsidRPr="008F511F" w:rsidRDefault="001464CC" w:rsidP="001464CC">
            <w:pPr>
              <w:jc w:val="center"/>
              <w:rPr>
                <w:rFonts w:ascii="Times New Roman" w:hAnsi="Times New Roman" w:cs="Times New Roman"/>
                <w:sz w:val="24"/>
                <w:szCs w:val="24"/>
              </w:rPr>
            </w:pPr>
          </w:p>
        </w:tc>
      </w:tr>
      <w:tr w:rsidR="008F511F" w:rsidRPr="008F511F" w14:paraId="3107FA08" w14:textId="77777777" w:rsidTr="00C132CE">
        <w:trPr>
          <w:trHeight w:val="336"/>
        </w:trPr>
        <w:tc>
          <w:tcPr>
            <w:tcW w:w="2792" w:type="dxa"/>
            <w:noWrap/>
            <w:hideMark/>
          </w:tcPr>
          <w:p w14:paraId="21313929"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hideMark/>
          </w:tcPr>
          <w:p w14:paraId="786AA079"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14.5</w:t>
            </w:r>
          </w:p>
        </w:tc>
        <w:tc>
          <w:tcPr>
            <w:tcW w:w="2428" w:type="dxa"/>
            <w:noWrap/>
            <w:hideMark/>
          </w:tcPr>
          <w:p w14:paraId="2D9B4635"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38.4</w:t>
            </w:r>
          </w:p>
        </w:tc>
        <w:tc>
          <w:tcPr>
            <w:tcW w:w="2352" w:type="dxa"/>
            <w:noWrap/>
            <w:hideMark/>
          </w:tcPr>
          <w:p w14:paraId="38E129A9"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40.64</w:t>
            </w:r>
          </w:p>
        </w:tc>
      </w:tr>
      <w:tr w:rsidR="008F511F" w:rsidRPr="008F511F" w14:paraId="76FD5BA4" w14:textId="77777777" w:rsidTr="00C132CE">
        <w:trPr>
          <w:trHeight w:val="336"/>
        </w:trPr>
        <w:tc>
          <w:tcPr>
            <w:tcW w:w="2792" w:type="dxa"/>
            <w:noWrap/>
            <w:hideMark/>
          </w:tcPr>
          <w:p w14:paraId="1A0FE33E"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hideMark/>
          </w:tcPr>
          <w:p w14:paraId="6E8D8F4C"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13.49</w:t>
            </w:r>
          </w:p>
        </w:tc>
        <w:tc>
          <w:tcPr>
            <w:tcW w:w="2428" w:type="dxa"/>
            <w:noWrap/>
            <w:hideMark/>
          </w:tcPr>
          <w:p w14:paraId="47BF4547"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39.33</w:t>
            </w:r>
          </w:p>
        </w:tc>
        <w:tc>
          <w:tcPr>
            <w:tcW w:w="2352" w:type="dxa"/>
            <w:noWrap/>
            <w:hideMark/>
          </w:tcPr>
          <w:p w14:paraId="0FD19993"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40.08</w:t>
            </w:r>
          </w:p>
        </w:tc>
      </w:tr>
      <w:tr w:rsidR="008F511F" w:rsidRPr="008F511F" w14:paraId="50BFE6DC" w14:textId="77777777" w:rsidTr="00C132CE">
        <w:trPr>
          <w:trHeight w:val="336"/>
        </w:trPr>
        <w:tc>
          <w:tcPr>
            <w:tcW w:w="2792" w:type="dxa"/>
            <w:noWrap/>
            <w:hideMark/>
          </w:tcPr>
          <w:p w14:paraId="70B1881A"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63" w:type="dxa"/>
            <w:noWrap/>
            <w:hideMark/>
          </w:tcPr>
          <w:p w14:paraId="65BF5271" w14:textId="77777777" w:rsidR="001464CC" w:rsidRPr="008F511F" w:rsidRDefault="001464CC" w:rsidP="001464CC">
            <w:pPr>
              <w:jc w:val="center"/>
              <w:rPr>
                <w:rFonts w:ascii="Times New Roman" w:hAnsi="Times New Roman" w:cs="Times New Roman"/>
                <w:b/>
                <w:bCs/>
                <w:sz w:val="24"/>
                <w:szCs w:val="24"/>
              </w:rPr>
            </w:pPr>
          </w:p>
        </w:tc>
        <w:tc>
          <w:tcPr>
            <w:tcW w:w="2428" w:type="dxa"/>
            <w:noWrap/>
            <w:hideMark/>
          </w:tcPr>
          <w:p w14:paraId="77CAA2C6"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33D36B15" w14:textId="77777777" w:rsidR="001464CC" w:rsidRPr="008F511F" w:rsidRDefault="001464CC" w:rsidP="001464CC">
            <w:pPr>
              <w:jc w:val="center"/>
              <w:rPr>
                <w:rFonts w:ascii="Times New Roman" w:hAnsi="Times New Roman" w:cs="Times New Roman"/>
                <w:sz w:val="24"/>
                <w:szCs w:val="24"/>
              </w:rPr>
            </w:pPr>
          </w:p>
        </w:tc>
      </w:tr>
      <w:tr w:rsidR="008F511F" w:rsidRPr="008F511F" w14:paraId="4EF39961" w14:textId="77777777" w:rsidTr="00C132CE">
        <w:trPr>
          <w:trHeight w:val="336"/>
        </w:trPr>
        <w:tc>
          <w:tcPr>
            <w:tcW w:w="2792" w:type="dxa"/>
            <w:noWrap/>
            <w:hideMark/>
          </w:tcPr>
          <w:p w14:paraId="6D0864C7"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hideMark/>
          </w:tcPr>
          <w:p w14:paraId="760F24D8"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1.01</w:t>
            </w:r>
          </w:p>
        </w:tc>
        <w:tc>
          <w:tcPr>
            <w:tcW w:w="2428" w:type="dxa"/>
            <w:noWrap/>
            <w:hideMark/>
          </w:tcPr>
          <w:p w14:paraId="3E056ABB"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-0.93</w:t>
            </w:r>
          </w:p>
        </w:tc>
        <w:tc>
          <w:tcPr>
            <w:tcW w:w="2352" w:type="dxa"/>
            <w:noWrap/>
            <w:hideMark/>
          </w:tcPr>
          <w:p w14:paraId="70DC4FF0"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0.55</w:t>
            </w:r>
          </w:p>
        </w:tc>
      </w:tr>
      <w:tr w:rsidR="008F511F" w:rsidRPr="008F511F" w14:paraId="43E9A3C1" w14:textId="77777777" w:rsidTr="00C132CE">
        <w:trPr>
          <w:trHeight w:val="336"/>
        </w:trPr>
        <w:tc>
          <w:tcPr>
            <w:tcW w:w="2792" w:type="dxa"/>
            <w:noWrap/>
            <w:hideMark/>
          </w:tcPr>
          <w:p w14:paraId="72500D5B"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hideMark/>
          </w:tcPr>
          <w:p w14:paraId="041D4437"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-1.01</w:t>
            </w:r>
          </w:p>
        </w:tc>
        <w:tc>
          <w:tcPr>
            <w:tcW w:w="2428" w:type="dxa"/>
            <w:noWrap/>
            <w:hideMark/>
          </w:tcPr>
          <w:p w14:paraId="71CE91AC"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0.93</w:t>
            </w:r>
          </w:p>
        </w:tc>
        <w:tc>
          <w:tcPr>
            <w:tcW w:w="2352" w:type="dxa"/>
            <w:noWrap/>
            <w:hideMark/>
          </w:tcPr>
          <w:p w14:paraId="1CB76D52"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-0.55</w:t>
            </w:r>
          </w:p>
        </w:tc>
      </w:tr>
      <w:tr w:rsidR="008F511F" w:rsidRPr="008F511F" w14:paraId="035B7704" w14:textId="77777777" w:rsidTr="00C132CE">
        <w:trPr>
          <w:trHeight w:val="336"/>
        </w:trPr>
        <w:tc>
          <w:tcPr>
            <w:tcW w:w="2792" w:type="dxa"/>
            <w:noWrap/>
            <w:hideMark/>
          </w:tcPr>
          <w:p w14:paraId="753BE918" w14:textId="77777777" w:rsidR="001464CC" w:rsidRPr="008F511F" w:rsidRDefault="001464CC" w:rsidP="001464CC">
            <w:pPr>
              <w:rPr>
                <w:rFonts w:ascii="Times New Roman" w:hAnsi="Times New Roman" w:cs="Times New Roman"/>
                <w:sz w:val="24"/>
                <w:szCs w:val="24"/>
              </w:rPr>
            </w:pPr>
          </w:p>
        </w:tc>
        <w:tc>
          <w:tcPr>
            <w:tcW w:w="1863" w:type="dxa"/>
            <w:noWrap/>
            <w:hideMark/>
          </w:tcPr>
          <w:p w14:paraId="166A3096" w14:textId="77777777" w:rsidR="001464CC" w:rsidRPr="008F511F" w:rsidRDefault="001464CC" w:rsidP="001464CC">
            <w:pPr>
              <w:jc w:val="center"/>
              <w:rPr>
                <w:rFonts w:ascii="Times New Roman" w:hAnsi="Times New Roman" w:cs="Times New Roman"/>
                <w:sz w:val="24"/>
                <w:szCs w:val="24"/>
              </w:rPr>
            </w:pPr>
          </w:p>
        </w:tc>
        <w:tc>
          <w:tcPr>
            <w:tcW w:w="2428" w:type="dxa"/>
            <w:noWrap/>
            <w:hideMark/>
          </w:tcPr>
          <w:p w14:paraId="02D6AF81"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0117A682" w14:textId="77777777" w:rsidR="001464CC" w:rsidRPr="008F511F" w:rsidRDefault="001464CC" w:rsidP="001464CC">
            <w:pPr>
              <w:jc w:val="center"/>
              <w:rPr>
                <w:rFonts w:ascii="Times New Roman" w:hAnsi="Times New Roman" w:cs="Times New Roman"/>
                <w:sz w:val="24"/>
                <w:szCs w:val="24"/>
              </w:rPr>
            </w:pPr>
          </w:p>
        </w:tc>
      </w:tr>
      <w:tr w:rsidR="008F511F" w:rsidRPr="008F511F" w14:paraId="2C9B3BF0" w14:textId="77777777" w:rsidTr="00C132CE">
        <w:trPr>
          <w:trHeight w:val="336"/>
        </w:trPr>
        <w:tc>
          <w:tcPr>
            <w:tcW w:w="2792" w:type="dxa"/>
            <w:noWrap/>
            <w:hideMark/>
          </w:tcPr>
          <w:p w14:paraId="66F177E3"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2. XTZ</w:t>
            </w:r>
          </w:p>
        </w:tc>
        <w:tc>
          <w:tcPr>
            <w:tcW w:w="1863" w:type="dxa"/>
            <w:noWrap/>
            <w:hideMark/>
          </w:tcPr>
          <w:p w14:paraId="58912952" w14:textId="77777777" w:rsidR="001464CC" w:rsidRPr="008F511F" w:rsidRDefault="001464CC" w:rsidP="001464CC">
            <w:pPr>
              <w:jc w:val="center"/>
              <w:rPr>
                <w:rFonts w:ascii="Times New Roman" w:hAnsi="Times New Roman" w:cs="Times New Roman"/>
                <w:b/>
                <w:bCs/>
                <w:sz w:val="24"/>
                <w:szCs w:val="24"/>
              </w:rPr>
            </w:pPr>
          </w:p>
        </w:tc>
        <w:tc>
          <w:tcPr>
            <w:tcW w:w="2428" w:type="dxa"/>
            <w:noWrap/>
            <w:hideMark/>
          </w:tcPr>
          <w:p w14:paraId="53EB0362"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79EDA336" w14:textId="77777777" w:rsidR="001464CC" w:rsidRPr="008F511F" w:rsidRDefault="001464CC" w:rsidP="001464CC">
            <w:pPr>
              <w:jc w:val="center"/>
              <w:rPr>
                <w:rFonts w:ascii="Times New Roman" w:hAnsi="Times New Roman" w:cs="Times New Roman"/>
                <w:sz w:val="24"/>
                <w:szCs w:val="24"/>
              </w:rPr>
            </w:pPr>
          </w:p>
        </w:tc>
      </w:tr>
      <w:tr w:rsidR="008F511F" w:rsidRPr="008F511F" w14:paraId="7F12BDD3" w14:textId="77777777" w:rsidTr="00C132CE">
        <w:trPr>
          <w:trHeight w:val="336"/>
        </w:trPr>
        <w:tc>
          <w:tcPr>
            <w:tcW w:w="2792" w:type="dxa"/>
            <w:noWrap/>
          </w:tcPr>
          <w:p w14:paraId="0AE04F7D" w14:textId="77777777" w:rsidR="00185BFE" w:rsidRPr="008F511F" w:rsidRDefault="00185BFE" w:rsidP="001464CC">
            <w:pPr>
              <w:rPr>
                <w:rFonts w:ascii="Times New Roman" w:hAnsi="Times New Roman" w:cs="Times New Roman"/>
                <w:b/>
                <w:bCs/>
                <w:sz w:val="24"/>
                <w:szCs w:val="24"/>
              </w:rPr>
            </w:pPr>
          </w:p>
        </w:tc>
        <w:tc>
          <w:tcPr>
            <w:tcW w:w="1863" w:type="dxa"/>
            <w:noWrap/>
          </w:tcPr>
          <w:p w14:paraId="5A561C44" w14:textId="77777777" w:rsidR="00185BFE" w:rsidRPr="008F511F" w:rsidRDefault="00185BFE" w:rsidP="001464CC">
            <w:pPr>
              <w:jc w:val="center"/>
              <w:rPr>
                <w:rFonts w:ascii="Times New Roman" w:hAnsi="Times New Roman" w:cs="Times New Roman"/>
                <w:sz w:val="24"/>
                <w:szCs w:val="24"/>
              </w:rPr>
            </w:pPr>
          </w:p>
        </w:tc>
        <w:tc>
          <w:tcPr>
            <w:tcW w:w="2428" w:type="dxa"/>
            <w:noWrap/>
          </w:tcPr>
          <w:p w14:paraId="34873CD6" w14:textId="77777777" w:rsidR="00185BFE" w:rsidRPr="008F511F" w:rsidRDefault="00185BFE" w:rsidP="001464CC">
            <w:pPr>
              <w:jc w:val="center"/>
              <w:rPr>
                <w:rFonts w:ascii="Times New Roman" w:hAnsi="Times New Roman" w:cs="Times New Roman"/>
                <w:sz w:val="24"/>
                <w:szCs w:val="24"/>
              </w:rPr>
            </w:pPr>
          </w:p>
        </w:tc>
        <w:tc>
          <w:tcPr>
            <w:tcW w:w="2352" w:type="dxa"/>
            <w:noWrap/>
          </w:tcPr>
          <w:p w14:paraId="4335B94E" w14:textId="77777777" w:rsidR="00185BFE" w:rsidRPr="008F511F" w:rsidRDefault="00185BFE" w:rsidP="001464CC">
            <w:pPr>
              <w:jc w:val="center"/>
              <w:rPr>
                <w:rFonts w:ascii="Times New Roman" w:hAnsi="Times New Roman" w:cs="Times New Roman"/>
                <w:sz w:val="24"/>
                <w:szCs w:val="24"/>
              </w:rPr>
            </w:pPr>
          </w:p>
        </w:tc>
      </w:tr>
      <w:tr w:rsidR="008F511F" w:rsidRPr="008F511F" w14:paraId="5DB9205D" w14:textId="77777777" w:rsidTr="00C132CE">
        <w:trPr>
          <w:trHeight w:val="336"/>
        </w:trPr>
        <w:tc>
          <w:tcPr>
            <w:tcW w:w="2792" w:type="dxa"/>
            <w:noWrap/>
            <w:hideMark/>
          </w:tcPr>
          <w:p w14:paraId="5A5740A0"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63" w:type="dxa"/>
            <w:noWrap/>
            <w:hideMark/>
          </w:tcPr>
          <w:p w14:paraId="60571D2E"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5.82</w:t>
            </w:r>
          </w:p>
        </w:tc>
        <w:tc>
          <w:tcPr>
            <w:tcW w:w="2428" w:type="dxa"/>
            <w:noWrap/>
            <w:hideMark/>
          </w:tcPr>
          <w:p w14:paraId="09074C80"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36.42</w:t>
            </w:r>
          </w:p>
        </w:tc>
        <w:tc>
          <w:tcPr>
            <w:tcW w:w="2352" w:type="dxa"/>
            <w:noWrap/>
            <w:hideMark/>
          </w:tcPr>
          <w:p w14:paraId="780E755B"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38.27</w:t>
            </w:r>
          </w:p>
        </w:tc>
      </w:tr>
      <w:tr w:rsidR="008F511F" w:rsidRPr="008F511F" w14:paraId="12C8FB45" w14:textId="77777777" w:rsidTr="00C132CE">
        <w:trPr>
          <w:trHeight w:val="336"/>
        </w:trPr>
        <w:tc>
          <w:tcPr>
            <w:tcW w:w="2792" w:type="dxa"/>
            <w:noWrap/>
            <w:hideMark/>
          </w:tcPr>
          <w:p w14:paraId="221B76D0"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63" w:type="dxa"/>
            <w:noWrap/>
            <w:hideMark/>
          </w:tcPr>
          <w:p w14:paraId="12A9DA0A" w14:textId="77777777" w:rsidR="001464CC" w:rsidRPr="008F511F" w:rsidRDefault="001464CC" w:rsidP="001464CC">
            <w:pPr>
              <w:jc w:val="center"/>
              <w:rPr>
                <w:rFonts w:ascii="Times New Roman" w:hAnsi="Times New Roman" w:cs="Times New Roman"/>
                <w:b/>
                <w:bCs/>
                <w:sz w:val="24"/>
                <w:szCs w:val="24"/>
              </w:rPr>
            </w:pPr>
          </w:p>
        </w:tc>
        <w:tc>
          <w:tcPr>
            <w:tcW w:w="2428" w:type="dxa"/>
            <w:noWrap/>
            <w:hideMark/>
          </w:tcPr>
          <w:p w14:paraId="191E6842"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3E926F6A" w14:textId="77777777" w:rsidR="001464CC" w:rsidRPr="008F511F" w:rsidRDefault="001464CC" w:rsidP="001464CC">
            <w:pPr>
              <w:jc w:val="center"/>
              <w:rPr>
                <w:rFonts w:ascii="Times New Roman" w:hAnsi="Times New Roman" w:cs="Times New Roman"/>
                <w:sz w:val="24"/>
                <w:szCs w:val="24"/>
              </w:rPr>
            </w:pPr>
          </w:p>
        </w:tc>
      </w:tr>
      <w:tr w:rsidR="008F511F" w:rsidRPr="008F511F" w14:paraId="25347B7A" w14:textId="77777777" w:rsidTr="00C132CE">
        <w:trPr>
          <w:trHeight w:val="336"/>
        </w:trPr>
        <w:tc>
          <w:tcPr>
            <w:tcW w:w="2792" w:type="dxa"/>
            <w:noWrap/>
            <w:hideMark/>
          </w:tcPr>
          <w:p w14:paraId="435C3DAA"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hideMark/>
          </w:tcPr>
          <w:p w14:paraId="44B6740E" w14:textId="4C432C98"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6.70</w:t>
            </w:r>
          </w:p>
        </w:tc>
        <w:tc>
          <w:tcPr>
            <w:tcW w:w="2428" w:type="dxa"/>
            <w:noWrap/>
            <w:hideMark/>
          </w:tcPr>
          <w:p w14:paraId="268F1A00"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35.72</w:t>
            </w:r>
          </w:p>
        </w:tc>
        <w:tc>
          <w:tcPr>
            <w:tcW w:w="2352" w:type="dxa"/>
            <w:noWrap/>
            <w:hideMark/>
          </w:tcPr>
          <w:p w14:paraId="5AE52E77"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37.97</w:t>
            </w:r>
          </w:p>
        </w:tc>
      </w:tr>
      <w:tr w:rsidR="008F511F" w:rsidRPr="008F511F" w14:paraId="1CC2E3D9" w14:textId="77777777" w:rsidTr="00C132CE">
        <w:trPr>
          <w:trHeight w:val="336"/>
        </w:trPr>
        <w:tc>
          <w:tcPr>
            <w:tcW w:w="2792" w:type="dxa"/>
            <w:noWrap/>
            <w:hideMark/>
          </w:tcPr>
          <w:p w14:paraId="6971AE8A"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hideMark/>
          </w:tcPr>
          <w:p w14:paraId="4941DF51"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4.95</w:t>
            </w:r>
          </w:p>
        </w:tc>
        <w:tc>
          <w:tcPr>
            <w:tcW w:w="2428" w:type="dxa"/>
            <w:noWrap/>
            <w:hideMark/>
          </w:tcPr>
          <w:p w14:paraId="7F20F193"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37.12</w:t>
            </w:r>
          </w:p>
        </w:tc>
        <w:tc>
          <w:tcPr>
            <w:tcW w:w="2352" w:type="dxa"/>
            <w:noWrap/>
            <w:hideMark/>
          </w:tcPr>
          <w:p w14:paraId="2DE09BB9"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38.58</w:t>
            </w:r>
          </w:p>
        </w:tc>
      </w:tr>
      <w:tr w:rsidR="008F511F" w:rsidRPr="008F511F" w14:paraId="03CCB9C3" w14:textId="77777777" w:rsidTr="00C132CE">
        <w:trPr>
          <w:trHeight w:val="336"/>
        </w:trPr>
        <w:tc>
          <w:tcPr>
            <w:tcW w:w="2792" w:type="dxa"/>
            <w:noWrap/>
            <w:hideMark/>
          </w:tcPr>
          <w:p w14:paraId="7BABB4ED"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63" w:type="dxa"/>
            <w:noWrap/>
            <w:hideMark/>
          </w:tcPr>
          <w:p w14:paraId="0548D1AD" w14:textId="77777777" w:rsidR="001464CC" w:rsidRPr="008F511F" w:rsidRDefault="001464CC" w:rsidP="001464CC">
            <w:pPr>
              <w:jc w:val="center"/>
              <w:rPr>
                <w:rFonts w:ascii="Times New Roman" w:hAnsi="Times New Roman" w:cs="Times New Roman"/>
                <w:b/>
                <w:bCs/>
                <w:sz w:val="24"/>
                <w:szCs w:val="24"/>
              </w:rPr>
            </w:pPr>
          </w:p>
        </w:tc>
        <w:tc>
          <w:tcPr>
            <w:tcW w:w="2428" w:type="dxa"/>
            <w:noWrap/>
            <w:hideMark/>
          </w:tcPr>
          <w:p w14:paraId="55A08AC6"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0AF8BF3A" w14:textId="77777777" w:rsidR="001464CC" w:rsidRPr="008F511F" w:rsidRDefault="001464CC" w:rsidP="001464CC">
            <w:pPr>
              <w:jc w:val="center"/>
              <w:rPr>
                <w:rFonts w:ascii="Times New Roman" w:hAnsi="Times New Roman" w:cs="Times New Roman"/>
                <w:sz w:val="24"/>
                <w:szCs w:val="24"/>
              </w:rPr>
            </w:pPr>
          </w:p>
        </w:tc>
      </w:tr>
      <w:tr w:rsidR="008F511F" w:rsidRPr="008F511F" w14:paraId="68236AD4" w14:textId="77777777" w:rsidTr="00C132CE">
        <w:trPr>
          <w:trHeight w:val="336"/>
        </w:trPr>
        <w:tc>
          <w:tcPr>
            <w:tcW w:w="2792" w:type="dxa"/>
            <w:noWrap/>
            <w:hideMark/>
          </w:tcPr>
          <w:p w14:paraId="5FFF2F53"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hideMark/>
          </w:tcPr>
          <w:p w14:paraId="5BC779EA"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1.75</w:t>
            </w:r>
          </w:p>
        </w:tc>
        <w:tc>
          <w:tcPr>
            <w:tcW w:w="2428" w:type="dxa"/>
            <w:noWrap/>
            <w:hideMark/>
          </w:tcPr>
          <w:p w14:paraId="0E9CDC07" w14:textId="40670BF9"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-1.40</w:t>
            </w:r>
          </w:p>
        </w:tc>
        <w:tc>
          <w:tcPr>
            <w:tcW w:w="2352" w:type="dxa"/>
            <w:noWrap/>
            <w:hideMark/>
          </w:tcPr>
          <w:p w14:paraId="32B1C01A"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-0.62</w:t>
            </w:r>
          </w:p>
        </w:tc>
      </w:tr>
      <w:tr w:rsidR="008F511F" w:rsidRPr="008F511F" w14:paraId="2F430E48" w14:textId="77777777" w:rsidTr="00C132CE">
        <w:trPr>
          <w:trHeight w:val="336"/>
        </w:trPr>
        <w:tc>
          <w:tcPr>
            <w:tcW w:w="2792" w:type="dxa"/>
            <w:noWrap/>
            <w:hideMark/>
          </w:tcPr>
          <w:p w14:paraId="31C62880"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hideMark/>
          </w:tcPr>
          <w:p w14:paraId="1A0C760B"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-1.75</w:t>
            </w:r>
          </w:p>
        </w:tc>
        <w:tc>
          <w:tcPr>
            <w:tcW w:w="2428" w:type="dxa"/>
            <w:noWrap/>
            <w:hideMark/>
          </w:tcPr>
          <w:p w14:paraId="6B1938AB" w14:textId="7038717F"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1.40</w:t>
            </w:r>
          </w:p>
        </w:tc>
        <w:tc>
          <w:tcPr>
            <w:tcW w:w="2352" w:type="dxa"/>
            <w:noWrap/>
            <w:hideMark/>
          </w:tcPr>
          <w:p w14:paraId="419FEC8F"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0.62</w:t>
            </w:r>
          </w:p>
        </w:tc>
      </w:tr>
      <w:tr w:rsidR="008F511F" w:rsidRPr="008F511F" w14:paraId="4A6765EB" w14:textId="77777777" w:rsidTr="00C132CE">
        <w:trPr>
          <w:trHeight w:val="336"/>
        </w:trPr>
        <w:tc>
          <w:tcPr>
            <w:tcW w:w="2792" w:type="dxa"/>
            <w:noWrap/>
            <w:hideMark/>
          </w:tcPr>
          <w:p w14:paraId="3A879BF3" w14:textId="77777777" w:rsidR="001464CC" w:rsidRPr="008F511F" w:rsidRDefault="001464CC" w:rsidP="001464CC">
            <w:pPr>
              <w:rPr>
                <w:rFonts w:ascii="Times New Roman" w:hAnsi="Times New Roman" w:cs="Times New Roman"/>
                <w:sz w:val="24"/>
                <w:szCs w:val="24"/>
              </w:rPr>
            </w:pPr>
          </w:p>
        </w:tc>
        <w:tc>
          <w:tcPr>
            <w:tcW w:w="1863" w:type="dxa"/>
            <w:noWrap/>
            <w:hideMark/>
          </w:tcPr>
          <w:p w14:paraId="7F76912A" w14:textId="77777777" w:rsidR="001464CC" w:rsidRPr="008F511F" w:rsidRDefault="001464CC" w:rsidP="001464CC">
            <w:pPr>
              <w:jc w:val="center"/>
              <w:rPr>
                <w:rFonts w:ascii="Times New Roman" w:hAnsi="Times New Roman" w:cs="Times New Roman"/>
                <w:sz w:val="24"/>
                <w:szCs w:val="24"/>
              </w:rPr>
            </w:pPr>
          </w:p>
        </w:tc>
        <w:tc>
          <w:tcPr>
            <w:tcW w:w="2428" w:type="dxa"/>
            <w:noWrap/>
            <w:hideMark/>
          </w:tcPr>
          <w:p w14:paraId="02ABFAF0"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1AC67446" w14:textId="77777777" w:rsidR="001464CC" w:rsidRPr="008F511F" w:rsidRDefault="001464CC" w:rsidP="001464CC">
            <w:pPr>
              <w:jc w:val="center"/>
              <w:rPr>
                <w:rFonts w:ascii="Times New Roman" w:hAnsi="Times New Roman" w:cs="Times New Roman"/>
                <w:sz w:val="24"/>
                <w:szCs w:val="24"/>
              </w:rPr>
            </w:pPr>
          </w:p>
        </w:tc>
      </w:tr>
      <w:tr w:rsidR="008F511F" w:rsidRPr="008F511F" w14:paraId="52E5F3B8" w14:textId="77777777" w:rsidTr="00C132CE">
        <w:trPr>
          <w:trHeight w:val="336"/>
        </w:trPr>
        <w:tc>
          <w:tcPr>
            <w:tcW w:w="2792" w:type="dxa"/>
            <w:noWrap/>
            <w:hideMark/>
          </w:tcPr>
          <w:p w14:paraId="7BBDB399"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3. ENJ</w:t>
            </w:r>
          </w:p>
        </w:tc>
        <w:tc>
          <w:tcPr>
            <w:tcW w:w="1863" w:type="dxa"/>
            <w:noWrap/>
            <w:hideMark/>
          </w:tcPr>
          <w:p w14:paraId="379FDC82" w14:textId="77777777" w:rsidR="001464CC" w:rsidRPr="008F511F" w:rsidRDefault="001464CC" w:rsidP="001464CC">
            <w:pPr>
              <w:jc w:val="center"/>
              <w:rPr>
                <w:rFonts w:ascii="Times New Roman" w:hAnsi="Times New Roman" w:cs="Times New Roman"/>
                <w:b/>
                <w:bCs/>
                <w:sz w:val="24"/>
                <w:szCs w:val="24"/>
              </w:rPr>
            </w:pPr>
          </w:p>
        </w:tc>
        <w:tc>
          <w:tcPr>
            <w:tcW w:w="2428" w:type="dxa"/>
            <w:noWrap/>
            <w:hideMark/>
          </w:tcPr>
          <w:p w14:paraId="0ADB3EAC"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17FFFEFD" w14:textId="77777777" w:rsidR="001464CC" w:rsidRPr="008F511F" w:rsidRDefault="001464CC" w:rsidP="001464CC">
            <w:pPr>
              <w:jc w:val="center"/>
              <w:rPr>
                <w:rFonts w:ascii="Times New Roman" w:hAnsi="Times New Roman" w:cs="Times New Roman"/>
                <w:sz w:val="24"/>
                <w:szCs w:val="24"/>
              </w:rPr>
            </w:pPr>
          </w:p>
        </w:tc>
      </w:tr>
      <w:tr w:rsidR="008F511F" w:rsidRPr="008F511F" w14:paraId="74030517" w14:textId="77777777" w:rsidTr="00C132CE">
        <w:trPr>
          <w:trHeight w:val="336"/>
        </w:trPr>
        <w:tc>
          <w:tcPr>
            <w:tcW w:w="2792" w:type="dxa"/>
            <w:noWrap/>
          </w:tcPr>
          <w:p w14:paraId="0C81495A" w14:textId="77777777" w:rsidR="00185BFE" w:rsidRPr="008F511F" w:rsidRDefault="00185BFE" w:rsidP="001464CC">
            <w:pPr>
              <w:rPr>
                <w:rFonts w:ascii="Times New Roman" w:hAnsi="Times New Roman" w:cs="Times New Roman"/>
                <w:b/>
                <w:bCs/>
                <w:sz w:val="24"/>
                <w:szCs w:val="24"/>
              </w:rPr>
            </w:pPr>
          </w:p>
        </w:tc>
        <w:tc>
          <w:tcPr>
            <w:tcW w:w="1863" w:type="dxa"/>
            <w:noWrap/>
          </w:tcPr>
          <w:p w14:paraId="56E7C0DC" w14:textId="77777777" w:rsidR="00185BFE" w:rsidRPr="008F511F" w:rsidRDefault="00185BFE" w:rsidP="001464CC">
            <w:pPr>
              <w:jc w:val="center"/>
              <w:rPr>
                <w:rFonts w:ascii="Times New Roman" w:hAnsi="Times New Roman" w:cs="Times New Roman"/>
                <w:sz w:val="24"/>
                <w:szCs w:val="24"/>
              </w:rPr>
            </w:pPr>
          </w:p>
        </w:tc>
        <w:tc>
          <w:tcPr>
            <w:tcW w:w="2428" w:type="dxa"/>
            <w:noWrap/>
          </w:tcPr>
          <w:p w14:paraId="13DE967C" w14:textId="77777777" w:rsidR="00185BFE" w:rsidRPr="008F511F" w:rsidRDefault="00185BFE" w:rsidP="001464CC">
            <w:pPr>
              <w:jc w:val="center"/>
              <w:rPr>
                <w:rFonts w:ascii="Times New Roman" w:hAnsi="Times New Roman" w:cs="Times New Roman"/>
                <w:sz w:val="24"/>
                <w:szCs w:val="24"/>
              </w:rPr>
            </w:pPr>
          </w:p>
        </w:tc>
        <w:tc>
          <w:tcPr>
            <w:tcW w:w="2352" w:type="dxa"/>
            <w:noWrap/>
          </w:tcPr>
          <w:p w14:paraId="5D3FCF5D" w14:textId="77777777" w:rsidR="00185BFE" w:rsidRPr="008F511F" w:rsidRDefault="00185BFE" w:rsidP="001464CC">
            <w:pPr>
              <w:jc w:val="center"/>
              <w:rPr>
                <w:rFonts w:ascii="Times New Roman" w:hAnsi="Times New Roman" w:cs="Times New Roman"/>
                <w:sz w:val="24"/>
                <w:szCs w:val="24"/>
              </w:rPr>
            </w:pPr>
          </w:p>
        </w:tc>
      </w:tr>
      <w:tr w:rsidR="008F511F" w:rsidRPr="008F511F" w14:paraId="468B2556" w14:textId="77777777" w:rsidTr="00C132CE">
        <w:trPr>
          <w:trHeight w:val="336"/>
        </w:trPr>
        <w:tc>
          <w:tcPr>
            <w:tcW w:w="2792" w:type="dxa"/>
            <w:noWrap/>
            <w:hideMark/>
          </w:tcPr>
          <w:p w14:paraId="5AC3C271"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63" w:type="dxa"/>
            <w:noWrap/>
            <w:hideMark/>
          </w:tcPr>
          <w:p w14:paraId="230758C5"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14.26</w:t>
            </w:r>
          </w:p>
        </w:tc>
        <w:tc>
          <w:tcPr>
            <w:tcW w:w="2428" w:type="dxa"/>
            <w:noWrap/>
            <w:hideMark/>
          </w:tcPr>
          <w:p w14:paraId="6BE550BC"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37.44</w:t>
            </w:r>
          </w:p>
        </w:tc>
        <w:tc>
          <w:tcPr>
            <w:tcW w:w="2352" w:type="dxa"/>
            <w:noWrap/>
            <w:hideMark/>
          </w:tcPr>
          <w:p w14:paraId="57572DF6"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40.92</w:t>
            </w:r>
          </w:p>
        </w:tc>
      </w:tr>
      <w:tr w:rsidR="008F511F" w:rsidRPr="008F511F" w14:paraId="05B2556F" w14:textId="77777777" w:rsidTr="00C132CE">
        <w:trPr>
          <w:trHeight w:val="336"/>
        </w:trPr>
        <w:tc>
          <w:tcPr>
            <w:tcW w:w="2792" w:type="dxa"/>
            <w:noWrap/>
            <w:hideMark/>
          </w:tcPr>
          <w:p w14:paraId="63242E74"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63" w:type="dxa"/>
            <w:noWrap/>
            <w:hideMark/>
          </w:tcPr>
          <w:p w14:paraId="7E170CA7" w14:textId="77777777" w:rsidR="001464CC" w:rsidRPr="008F511F" w:rsidRDefault="001464CC" w:rsidP="001464CC">
            <w:pPr>
              <w:jc w:val="center"/>
              <w:rPr>
                <w:rFonts w:ascii="Times New Roman" w:hAnsi="Times New Roman" w:cs="Times New Roman"/>
                <w:b/>
                <w:bCs/>
                <w:sz w:val="24"/>
                <w:szCs w:val="24"/>
              </w:rPr>
            </w:pPr>
          </w:p>
        </w:tc>
        <w:tc>
          <w:tcPr>
            <w:tcW w:w="2428" w:type="dxa"/>
            <w:noWrap/>
            <w:hideMark/>
          </w:tcPr>
          <w:p w14:paraId="554D4DD1"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11AF1B2D" w14:textId="77777777" w:rsidR="001464CC" w:rsidRPr="008F511F" w:rsidRDefault="001464CC" w:rsidP="001464CC">
            <w:pPr>
              <w:jc w:val="center"/>
              <w:rPr>
                <w:rFonts w:ascii="Times New Roman" w:hAnsi="Times New Roman" w:cs="Times New Roman"/>
                <w:sz w:val="24"/>
                <w:szCs w:val="24"/>
              </w:rPr>
            </w:pPr>
          </w:p>
        </w:tc>
      </w:tr>
      <w:tr w:rsidR="008F511F" w:rsidRPr="008F511F" w14:paraId="7340CB9D" w14:textId="77777777" w:rsidTr="00C132CE">
        <w:trPr>
          <w:trHeight w:val="336"/>
        </w:trPr>
        <w:tc>
          <w:tcPr>
            <w:tcW w:w="2792" w:type="dxa"/>
            <w:noWrap/>
            <w:hideMark/>
          </w:tcPr>
          <w:p w14:paraId="25842CC3"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hideMark/>
          </w:tcPr>
          <w:p w14:paraId="5AB5F979"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14.77</w:t>
            </w:r>
          </w:p>
        </w:tc>
        <w:tc>
          <w:tcPr>
            <w:tcW w:w="2428" w:type="dxa"/>
            <w:noWrap/>
            <w:hideMark/>
          </w:tcPr>
          <w:p w14:paraId="12307F7C"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37.19</w:t>
            </w:r>
          </w:p>
        </w:tc>
        <w:tc>
          <w:tcPr>
            <w:tcW w:w="2352" w:type="dxa"/>
            <w:noWrap/>
            <w:hideMark/>
          </w:tcPr>
          <w:p w14:paraId="69977A6E"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40.14</w:t>
            </w:r>
          </w:p>
        </w:tc>
      </w:tr>
      <w:tr w:rsidR="008F511F" w:rsidRPr="008F511F" w14:paraId="54B8C711" w14:textId="77777777" w:rsidTr="00C132CE">
        <w:trPr>
          <w:trHeight w:val="336"/>
        </w:trPr>
        <w:tc>
          <w:tcPr>
            <w:tcW w:w="2792" w:type="dxa"/>
            <w:noWrap/>
            <w:hideMark/>
          </w:tcPr>
          <w:p w14:paraId="17D03754"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hideMark/>
          </w:tcPr>
          <w:p w14:paraId="29E75D92"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13.76</w:t>
            </w:r>
          </w:p>
        </w:tc>
        <w:tc>
          <w:tcPr>
            <w:tcW w:w="2428" w:type="dxa"/>
            <w:noWrap/>
            <w:hideMark/>
          </w:tcPr>
          <w:p w14:paraId="2BFD6B87"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37.68</w:t>
            </w:r>
          </w:p>
        </w:tc>
        <w:tc>
          <w:tcPr>
            <w:tcW w:w="2352" w:type="dxa"/>
            <w:noWrap/>
            <w:hideMark/>
          </w:tcPr>
          <w:p w14:paraId="3412EA71"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41.7</w:t>
            </w:r>
          </w:p>
        </w:tc>
      </w:tr>
      <w:tr w:rsidR="008F511F" w:rsidRPr="008F511F" w14:paraId="6007E5DA" w14:textId="77777777" w:rsidTr="00C132CE">
        <w:trPr>
          <w:trHeight w:val="336"/>
        </w:trPr>
        <w:tc>
          <w:tcPr>
            <w:tcW w:w="2792" w:type="dxa"/>
            <w:noWrap/>
            <w:hideMark/>
          </w:tcPr>
          <w:p w14:paraId="4FB9C518" w14:textId="77777777" w:rsidR="001464CC" w:rsidRPr="008F511F" w:rsidRDefault="001464CC" w:rsidP="001464CC">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63" w:type="dxa"/>
            <w:noWrap/>
            <w:hideMark/>
          </w:tcPr>
          <w:p w14:paraId="24CB1578" w14:textId="77777777" w:rsidR="001464CC" w:rsidRPr="008F511F" w:rsidRDefault="001464CC" w:rsidP="001464CC">
            <w:pPr>
              <w:jc w:val="center"/>
              <w:rPr>
                <w:rFonts w:ascii="Times New Roman" w:hAnsi="Times New Roman" w:cs="Times New Roman"/>
                <w:b/>
                <w:bCs/>
                <w:sz w:val="24"/>
                <w:szCs w:val="24"/>
              </w:rPr>
            </w:pPr>
          </w:p>
        </w:tc>
        <w:tc>
          <w:tcPr>
            <w:tcW w:w="2428" w:type="dxa"/>
            <w:noWrap/>
            <w:hideMark/>
          </w:tcPr>
          <w:p w14:paraId="1E0357B7" w14:textId="77777777" w:rsidR="001464CC" w:rsidRPr="008F511F" w:rsidRDefault="001464CC" w:rsidP="001464CC">
            <w:pPr>
              <w:jc w:val="center"/>
              <w:rPr>
                <w:rFonts w:ascii="Times New Roman" w:hAnsi="Times New Roman" w:cs="Times New Roman"/>
                <w:sz w:val="24"/>
                <w:szCs w:val="24"/>
              </w:rPr>
            </w:pPr>
          </w:p>
        </w:tc>
        <w:tc>
          <w:tcPr>
            <w:tcW w:w="2352" w:type="dxa"/>
            <w:noWrap/>
            <w:hideMark/>
          </w:tcPr>
          <w:p w14:paraId="0148C706" w14:textId="77777777" w:rsidR="001464CC" w:rsidRPr="008F511F" w:rsidRDefault="001464CC" w:rsidP="001464CC">
            <w:pPr>
              <w:jc w:val="center"/>
              <w:rPr>
                <w:rFonts w:ascii="Times New Roman" w:hAnsi="Times New Roman" w:cs="Times New Roman"/>
                <w:sz w:val="24"/>
                <w:szCs w:val="24"/>
              </w:rPr>
            </w:pPr>
          </w:p>
        </w:tc>
      </w:tr>
      <w:tr w:rsidR="008F511F" w:rsidRPr="008F511F" w14:paraId="21C62210" w14:textId="77777777" w:rsidTr="00C132CE">
        <w:trPr>
          <w:trHeight w:val="336"/>
        </w:trPr>
        <w:tc>
          <w:tcPr>
            <w:tcW w:w="2792" w:type="dxa"/>
            <w:noWrap/>
            <w:hideMark/>
          </w:tcPr>
          <w:p w14:paraId="2A09D0A3"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hideMark/>
          </w:tcPr>
          <w:p w14:paraId="5595C67E"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1.01</w:t>
            </w:r>
          </w:p>
        </w:tc>
        <w:tc>
          <w:tcPr>
            <w:tcW w:w="2428" w:type="dxa"/>
            <w:noWrap/>
            <w:hideMark/>
          </w:tcPr>
          <w:p w14:paraId="6DECC256" w14:textId="4812949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-0.50</w:t>
            </w:r>
          </w:p>
        </w:tc>
        <w:tc>
          <w:tcPr>
            <w:tcW w:w="2352" w:type="dxa"/>
            <w:noWrap/>
            <w:hideMark/>
          </w:tcPr>
          <w:p w14:paraId="2EE85308"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-1.55</w:t>
            </w:r>
          </w:p>
        </w:tc>
      </w:tr>
      <w:tr w:rsidR="008F511F" w:rsidRPr="008F511F" w14:paraId="1C6672E9" w14:textId="77777777" w:rsidTr="00C132CE">
        <w:trPr>
          <w:trHeight w:val="336"/>
        </w:trPr>
        <w:tc>
          <w:tcPr>
            <w:tcW w:w="2792" w:type="dxa"/>
            <w:noWrap/>
            <w:hideMark/>
          </w:tcPr>
          <w:p w14:paraId="49159694" w14:textId="77777777" w:rsidR="001464CC" w:rsidRPr="008F511F" w:rsidRDefault="001464CC" w:rsidP="001464CC">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hideMark/>
          </w:tcPr>
          <w:p w14:paraId="5C3E92A4"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-1.01</w:t>
            </w:r>
          </w:p>
        </w:tc>
        <w:tc>
          <w:tcPr>
            <w:tcW w:w="2428" w:type="dxa"/>
            <w:noWrap/>
            <w:hideMark/>
          </w:tcPr>
          <w:p w14:paraId="678C867A" w14:textId="0BDB48BD"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0.50</w:t>
            </w:r>
          </w:p>
        </w:tc>
        <w:tc>
          <w:tcPr>
            <w:tcW w:w="2352" w:type="dxa"/>
            <w:noWrap/>
            <w:hideMark/>
          </w:tcPr>
          <w:p w14:paraId="150FDB8D" w14:textId="77777777" w:rsidR="001464CC" w:rsidRPr="008F511F" w:rsidRDefault="001464CC" w:rsidP="001464CC">
            <w:pPr>
              <w:jc w:val="center"/>
              <w:rPr>
                <w:rFonts w:ascii="Times New Roman" w:hAnsi="Times New Roman" w:cs="Times New Roman"/>
                <w:sz w:val="24"/>
                <w:szCs w:val="24"/>
              </w:rPr>
            </w:pPr>
            <w:r w:rsidRPr="008F511F">
              <w:rPr>
                <w:rFonts w:ascii="Times New Roman" w:hAnsi="Times New Roman" w:cs="Times New Roman"/>
                <w:sz w:val="24"/>
                <w:szCs w:val="24"/>
              </w:rPr>
              <w:t>1.55</w:t>
            </w:r>
          </w:p>
        </w:tc>
      </w:tr>
    </w:tbl>
    <w:p w14:paraId="4138C387" w14:textId="298EEC6C" w:rsidR="004360DF" w:rsidRPr="008F511F" w:rsidRDefault="00185BFE" w:rsidP="00BD0D49">
      <w:pPr>
        <w:jc w:val="both"/>
        <w:rPr>
          <w:rFonts w:ascii="Times New Roman" w:hAnsi="Times New Roman" w:cs="Times New Roman"/>
          <w:sz w:val="18"/>
          <w:szCs w:val="18"/>
        </w:rPr>
      </w:pPr>
      <w:r w:rsidRPr="008F511F">
        <w:rPr>
          <w:rFonts w:ascii="Times New Roman" w:hAnsi="Times New Roman" w:cs="Times New Roman"/>
          <w:sz w:val="18"/>
          <w:szCs w:val="18"/>
        </w:rPr>
        <w:t>Notes:</w:t>
      </w:r>
      <w:r w:rsidR="00E66703" w:rsidRPr="008F511F">
        <w:rPr>
          <w:rFonts w:ascii="Times New Roman" w:hAnsi="Times New Roman" w:cs="Times New Roman"/>
          <w:sz w:val="18"/>
          <w:szCs w:val="18"/>
        </w:rPr>
        <w:t xml:space="preserve"> ‘Total spillover’ means the total connectedness between return and volume of NFT. ‘To returns’ indicates the spillover from volume to returns, whereas ‘To Volume’ represents the spillover from return to volume. </w:t>
      </w:r>
      <w:r w:rsidR="00BD0D49" w:rsidRPr="008F511F">
        <w:rPr>
          <w:rFonts w:ascii="Times New Roman" w:hAnsi="Times New Roman" w:cs="Times New Roman"/>
          <w:sz w:val="18"/>
          <w:szCs w:val="18"/>
        </w:rPr>
        <w:t xml:space="preserve">The positive </w:t>
      </w:r>
      <w:r w:rsidR="00E66703" w:rsidRPr="008F511F">
        <w:rPr>
          <w:rFonts w:ascii="Times New Roman" w:hAnsi="Times New Roman" w:cs="Times New Roman"/>
          <w:sz w:val="18"/>
          <w:szCs w:val="18"/>
        </w:rPr>
        <w:t>‘Net returns’ sp</w:t>
      </w:r>
      <w:r w:rsidR="00BD0D49" w:rsidRPr="008F511F">
        <w:rPr>
          <w:rFonts w:ascii="Times New Roman" w:hAnsi="Times New Roman" w:cs="Times New Roman"/>
          <w:sz w:val="18"/>
          <w:szCs w:val="18"/>
        </w:rPr>
        <w:t xml:space="preserve">illover shows the returns as net transmitter of spillover to volume, </w:t>
      </w:r>
      <w:r w:rsidR="00680128" w:rsidRPr="008F511F">
        <w:rPr>
          <w:rFonts w:ascii="Times New Roman" w:hAnsi="Times New Roman" w:cs="Times New Roman"/>
          <w:sz w:val="18"/>
          <w:szCs w:val="18"/>
        </w:rPr>
        <w:t>and vice versa.</w:t>
      </w:r>
      <w:r w:rsidR="00BD0D49" w:rsidRPr="008F511F">
        <w:rPr>
          <w:rFonts w:ascii="Times New Roman" w:hAnsi="Times New Roman" w:cs="Times New Roman"/>
          <w:sz w:val="18"/>
          <w:szCs w:val="18"/>
        </w:rPr>
        <w:t xml:space="preserve"> </w:t>
      </w:r>
      <w:r w:rsidR="00936533" w:rsidRPr="008F511F">
        <w:rPr>
          <w:rFonts w:ascii="Times New Roman" w:hAnsi="Times New Roman" w:cs="Times New Roman"/>
          <w:sz w:val="18"/>
          <w:szCs w:val="18"/>
        </w:rPr>
        <w:t>The length of rolling window is 200 days.</w:t>
      </w:r>
    </w:p>
    <w:p w14:paraId="253074A3" w14:textId="4EF74E22" w:rsidR="00343425" w:rsidRPr="008F511F" w:rsidRDefault="00343425"/>
    <w:p w14:paraId="007D3BAF" w14:textId="5F674712" w:rsidR="00343425" w:rsidRPr="008F511F" w:rsidRDefault="00343425"/>
    <w:p w14:paraId="181E549C" w14:textId="5EA0A628" w:rsidR="00343425" w:rsidRPr="008F511F" w:rsidRDefault="00343425"/>
    <w:p w14:paraId="3E3E7A43" w14:textId="6266744C" w:rsidR="00343425" w:rsidRPr="008F511F" w:rsidRDefault="00185BFE">
      <w:pPr>
        <w:rPr>
          <w:rFonts w:ascii="Times New Roman" w:hAnsi="Times New Roman" w:cs="Times New Roman"/>
          <w:sz w:val="24"/>
          <w:szCs w:val="24"/>
        </w:rPr>
      </w:pPr>
      <w:r w:rsidRPr="008F511F">
        <w:rPr>
          <w:rFonts w:ascii="Times New Roman" w:hAnsi="Times New Roman" w:cs="Times New Roman"/>
          <w:b/>
          <w:bCs/>
          <w:sz w:val="24"/>
          <w:szCs w:val="24"/>
        </w:rPr>
        <w:lastRenderedPageBreak/>
        <w:t>Table 3.</w:t>
      </w:r>
      <w:r w:rsidRPr="008F511F">
        <w:rPr>
          <w:rFonts w:ascii="Times New Roman" w:hAnsi="Times New Roman" w:cs="Times New Roman"/>
          <w:sz w:val="24"/>
          <w:szCs w:val="24"/>
        </w:rPr>
        <w:t xml:space="preserve"> Static </w:t>
      </w:r>
      <w:r w:rsidR="000F7743" w:rsidRPr="008F511F">
        <w:rPr>
          <w:rFonts w:ascii="Times New Roman" w:hAnsi="Times New Roman" w:cs="Times New Roman"/>
          <w:sz w:val="24"/>
          <w:szCs w:val="24"/>
        </w:rPr>
        <w:t xml:space="preserve">quantile-based </w:t>
      </w:r>
      <w:r w:rsidRPr="008F511F">
        <w:rPr>
          <w:rFonts w:ascii="Times New Roman" w:hAnsi="Times New Roman" w:cs="Times New Roman"/>
          <w:sz w:val="24"/>
          <w:szCs w:val="24"/>
        </w:rPr>
        <w:t xml:space="preserve">spillovers between </w:t>
      </w:r>
      <w:r w:rsidR="000F7743" w:rsidRPr="008F511F">
        <w:rPr>
          <w:rFonts w:ascii="Times New Roman" w:hAnsi="Times New Roman" w:cs="Times New Roman"/>
          <w:sz w:val="24"/>
          <w:szCs w:val="24"/>
        </w:rPr>
        <w:t>volatility and volume</w:t>
      </w:r>
    </w:p>
    <w:tbl>
      <w:tblPr>
        <w:tblStyle w:val="TableGrid"/>
        <w:tblW w:w="94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1806"/>
        <w:gridCol w:w="2632"/>
        <w:gridCol w:w="2604"/>
      </w:tblGrid>
      <w:tr w:rsidR="008F511F" w:rsidRPr="008F511F" w14:paraId="5FCF77B0" w14:textId="77777777" w:rsidTr="00C132CE">
        <w:trPr>
          <w:trHeight w:val="340"/>
        </w:trPr>
        <w:tc>
          <w:tcPr>
            <w:tcW w:w="2368" w:type="dxa"/>
            <w:tcBorders>
              <w:top w:val="single" w:sz="4" w:space="0" w:color="auto"/>
              <w:bottom w:val="single" w:sz="4" w:space="0" w:color="auto"/>
            </w:tcBorders>
            <w:noWrap/>
            <w:hideMark/>
          </w:tcPr>
          <w:p w14:paraId="2EDB0956" w14:textId="77777777" w:rsidR="007E3691" w:rsidRPr="008F511F" w:rsidRDefault="007E3691">
            <w:pPr>
              <w:rPr>
                <w:rFonts w:ascii="Times New Roman" w:hAnsi="Times New Roman" w:cs="Times New Roman"/>
                <w:sz w:val="24"/>
                <w:szCs w:val="24"/>
              </w:rPr>
            </w:pPr>
          </w:p>
        </w:tc>
        <w:tc>
          <w:tcPr>
            <w:tcW w:w="1806" w:type="dxa"/>
            <w:tcBorders>
              <w:top w:val="single" w:sz="4" w:space="0" w:color="auto"/>
              <w:bottom w:val="single" w:sz="4" w:space="0" w:color="auto"/>
            </w:tcBorders>
            <w:noWrap/>
            <w:hideMark/>
          </w:tcPr>
          <w:p w14:paraId="2401F3EC"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Median (0.50)</w:t>
            </w:r>
          </w:p>
        </w:tc>
        <w:tc>
          <w:tcPr>
            <w:tcW w:w="2632" w:type="dxa"/>
            <w:tcBorders>
              <w:top w:val="single" w:sz="4" w:space="0" w:color="auto"/>
              <w:bottom w:val="single" w:sz="4" w:space="0" w:color="auto"/>
            </w:tcBorders>
            <w:noWrap/>
            <w:hideMark/>
          </w:tcPr>
          <w:p w14:paraId="79F769BD"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Lower Quantile (0.05)</w:t>
            </w:r>
          </w:p>
        </w:tc>
        <w:tc>
          <w:tcPr>
            <w:tcW w:w="2604" w:type="dxa"/>
            <w:tcBorders>
              <w:top w:val="single" w:sz="4" w:space="0" w:color="auto"/>
              <w:bottom w:val="single" w:sz="4" w:space="0" w:color="auto"/>
            </w:tcBorders>
            <w:noWrap/>
            <w:hideMark/>
          </w:tcPr>
          <w:p w14:paraId="23A08307"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Upper Quantile (0.95)</w:t>
            </w:r>
          </w:p>
        </w:tc>
      </w:tr>
      <w:tr w:rsidR="008F511F" w:rsidRPr="008F511F" w14:paraId="0CC723D8" w14:textId="77777777" w:rsidTr="00C132CE">
        <w:trPr>
          <w:trHeight w:val="340"/>
        </w:trPr>
        <w:tc>
          <w:tcPr>
            <w:tcW w:w="2368" w:type="dxa"/>
            <w:tcBorders>
              <w:top w:val="single" w:sz="4" w:space="0" w:color="auto"/>
            </w:tcBorders>
            <w:noWrap/>
            <w:hideMark/>
          </w:tcPr>
          <w:p w14:paraId="352F741A"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1. THETA</w:t>
            </w:r>
          </w:p>
        </w:tc>
        <w:tc>
          <w:tcPr>
            <w:tcW w:w="1806" w:type="dxa"/>
            <w:tcBorders>
              <w:top w:val="single" w:sz="4" w:space="0" w:color="auto"/>
            </w:tcBorders>
            <w:noWrap/>
            <w:hideMark/>
          </w:tcPr>
          <w:p w14:paraId="7885E920" w14:textId="77777777" w:rsidR="007E3691" w:rsidRPr="008F511F" w:rsidRDefault="007E3691">
            <w:pPr>
              <w:rPr>
                <w:rFonts w:ascii="Times New Roman" w:hAnsi="Times New Roman" w:cs="Times New Roman"/>
                <w:b/>
                <w:bCs/>
                <w:sz w:val="24"/>
                <w:szCs w:val="24"/>
              </w:rPr>
            </w:pPr>
          </w:p>
        </w:tc>
        <w:tc>
          <w:tcPr>
            <w:tcW w:w="2632" w:type="dxa"/>
            <w:tcBorders>
              <w:top w:val="single" w:sz="4" w:space="0" w:color="auto"/>
            </w:tcBorders>
            <w:noWrap/>
            <w:hideMark/>
          </w:tcPr>
          <w:p w14:paraId="444D6F1B" w14:textId="77777777" w:rsidR="007E3691" w:rsidRPr="008F511F" w:rsidRDefault="007E3691">
            <w:pPr>
              <w:rPr>
                <w:rFonts w:ascii="Times New Roman" w:hAnsi="Times New Roman" w:cs="Times New Roman"/>
                <w:sz w:val="24"/>
                <w:szCs w:val="24"/>
              </w:rPr>
            </w:pPr>
          </w:p>
        </w:tc>
        <w:tc>
          <w:tcPr>
            <w:tcW w:w="2604" w:type="dxa"/>
            <w:tcBorders>
              <w:top w:val="single" w:sz="4" w:space="0" w:color="auto"/>
            </w:tcBorders>
            <w:noWrap/>
            <w:hideMark/>
          </w:tcPr>
          <w:p w14:paraId="69AC29A9" w14:textId="77777777" w:rsidR="007E3691" w:rsidRPr="008F511F" w:rsidRDefault="007E3691">
            <w:pPr>
              <w:rPr>
                <w:rFonts w:ascii="Times New Roman" w:hAnsi="Times New Roman" w:cs="Times New Roman"/>
                <w:sz w:val="24"/>
                <w:szCs w:val="24"/>
              </w:rPr>
            </w:pPr>
          </w:p>
        </w:tc>
      </w:tr>
      <w:tr w:rsidR="008F511F" w:rsidRPr="008F511F" w14:paraId="7D47EB3A" w14:textId="77777777" w:rsidTr="00C132CE">
        <w:trPr>
          <w:trHeight w:val="340"/>
        </w:trPr>
        <w:tc>
          <w:tcPr>
            <w:tcW w:w="2368" w:type="dxa"/>
            <w:noWrap/>
          </w:tcPr>
          <w:p w14:paraId="46DA5447" w14:textId="77777777" w:rsidR="007E3691" w:rsidRPr="008F511F" w:rsidRDefault="007E3691">
            <w:pPr>
              <w:rPr>
                <w:rFonts w:ascii="Times New Roman" w:hAnsi="Times New Roman" w:cs="Times New Roman"/>
                <w:b/>
                <w:bCs/>
                <w:sz w:val="24"/>
                <w:szCs w:val="24"/>
              </w:rPr>
            </w:pPr>
          </w:p>
        </w:tc>
        <w:tc>
          <w:tcPr>
            <w:tcW w:w="1806" w:type="dxa"/>
            <w:noWrap/>
          </w:tcPr>
          <w:p w14:paraId="40DFF891" w14:textId="77777777" w:rsidR="007E3691" w:rsidRPr="008F511F" w:rsidRDefault="007E3691" w:rsidP="007E3691">
            <w:pPr>
              <w:jc w:val="center"/>
              <w:rPr>
                <w:rFonts w:ascii="Times New Roman" w:hAnsi="Times New Roman" w:cs="Times New Roman"/>
                <w:sz w:val="24"/>
                <w:szCs w:val="24"/>
              </w:rPr>
            </w:pPr>
          </w:p>
        </w:tc>
        <w:tc>
          <w:tcPr>
            <w:tcW w:w="2632" w:type="dxa"/>
            <w:noWrap/>
          </w:tcPr>
          <w:p w14:paraId="6B4FA52B" w14:textId="77777777" w:rsidR="007E3691" w:rsidRPr="008F511F" w:rsidRDefault="007E3691" w:rsidP="007E3691">
            <w:pPr>
              <w:jc w:val="center"/>
              <w:rPr>
                <w:rFonts w:ascii="Times New Roman" w:hAnsi="Times New Roman" w:cs="Times New Roman"/>
                <w:sz w:val="24"/>
                <w:szCs w:val="24"/>
              </w:rPr>
            </w:pPr>
          </w:p>
        </w:tc>
        <w:tc>
          <w:tcPr>
            <w:tcW w:w="2604" w:type="dxa"/>
            <w:noWrap/>
          </w:tcPr>
          <w:p w14:paraId="6980624C" w14:textId="77777777" w:rsidR="007E3691" w:rsidRPr="008F511F" w:rsidRDefault="007E3691" w:rsidP="007E3691">
            <w:pPr>
              <w:jc w:val="center"/>
              <w:rPr>
                <w:rFonts w:ascii="Times New Roman" w:hAnsi="Times New Roman" w:cs="Times New Roman"/>
                <w:sz w:val="24"/>
                <w:szCs w:val="24"/>
              </w:rPr>
            </w:pPr>
          </w:p>
        </w:tc>
      </w:tr>
      <w:tr w:rsidR="008F511F" w:rsidRPr="008F511F" w14:paraId="79B351B6" w14:textId="77777777" w:rsidTr="00C132CE">
        <w:trPr>
          <w:trHeight w:val="340"/>
        </w:trPr>
        <w:tc>
          <w:tcPr>
            <w:tcW w:w="2368" w:type="dxa"/>
            <w:noWrap/>
            <w:hideMark/>
          </w:tcPr>
          <w:p w14:paraId="4EB6DB14"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06" w:type="dxa"/>
            <w:noWrap/>
            <w:hideMark/>
          </w:tcPr>
          <w:p w14:paraId="57FF5E4A"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13.03</w:t>
            </w:r>
          </w:p>
        </w:tc>
        <w:tc>
          <w:tcPr>
            <w:tcW w:w="2632" w:type="dxa"/>
            <w:noWrap/>
            <w:hideMark/>
          </w:tcPr>
          <w:p w14:paraId="7AD1166B"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18.41</w:t>
            </w:r>
          </w:p>
        </w:tc>
        <w:tc>
          <w:tcPr>
            <w:tcW w:w="2604" w:type="dxa"/>
            <w:noWrap/>
            <w:hideMark/>
          </w:tcPr>
          <w:p w14:paraId="42560965"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33.8</w:t>
            </w:r>
          </w:p>
        </w:tc>
      </w:tr>
      <w:tr w:rsidR="008F511F" w:rsidRPr="008F511F" w14:paraId="4A06FE26" w14:textId="77777777" w:rsidTr="00C132CE">
        <w:trPr>
          <w:trHeight w:val="340"/>
        </w:trPr>
        <w:tc>
          <w:tcPr>
            <w:tcW w:w="2368" w:type="dxa"/>
            <w:noWrap/>
            <w:hideMark/>
          </w:tcPr>
          <w:p w14:paraId="6F52B424"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06" w:type="dxa"/>
            <w:noWrap/>
            <w:hideMark/>
          </w:tcPr>
          <w:p w14:paraId="52D5C130" w14:textId="77777777" w:rsidR="007E3691" w:rsidRPr="008F511F" w:rsidRDefault="007E3691" w:rsidP="007E3691">
            <w:pPr>
              <w:jc w:val="center"/>
              <w:rPr>
                <w:rFonts w:ascii="Times New Roman" w:hAnsi="Times New Roman" w:cs="Times New Roman"/>
                <w:b/>
                <w:bCs/>
                <w:sz w:val="24"/>
                <w:szCs w:val="24"/>
              </w:rPr>
            </w:pPr>
          </w:p>
        </w:tc>
        <w:tc>
          <w:tcPr>
            <w:tcW w:w="2632" w:type="dxa"/>
            <w:noWrap/>
            <w:hideMark/>
          </w:tcPr>
          <w:p w14:paraId="6D612EDE"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444FF216" w14:textId="77777777" w:rsidR="007E3691" w:rsidRPr="008F511F" w:rsidRDefault="007E3691" w:rsidP="007E3691">
            <w:pPr>
              <w:jc w:val="center"/>
              <w:rPr>
                <w:rFonts w:ascii="Times New Roman" w:hAnsi="Times New Roman" w:cs="Times New Roman"/>
                <w:sz w:val="24"/>
                <w:szCs w:val="24"/>
              </w:rPr>
            </w:pPr>
          </w:p>
        </w:tc>
      </w:tr>
      <w:tr w:rsidR="008F511F" w:rsidRPr="008F511F" w14:paraId="2F065B47" w14:textId="77777777" w:rsidTr="00C132CE">
        <w:trPr>
          <w:trHeight w:val="340"/>
        </w:trPr>
        <w:tc>
          <w:tcPr>
            <w:tcW w:w="2368" w:type="dxa"/>
            <w:noWrap/>
            <w:hideMark/>
          </w:tcPr>
          <w:p w14:paraId="0950CE93"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hideMark/>
          </w:tcPr>
          <w:p w14:paraId="7C119DEA"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12.56</w:t>
            </w:r>
          </w:p>
        </w:tc>
        <w:tc>
          <w:tcPr>
            <w:tcW w:w="2632" w:type="dxa"/>
            <w:noWrap/>
            <w:hideMark/>
          </w:tcPr>
          <w:p w14:paraId="4AE402E8"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17.89</w:t>
            </w:r>
          </w:p>
        </w:tc>
        <w:tc>
          <w:tcPr>
            <w:tcW w:w="2604" w:type="dxa"/>
            <w:noWrap/>
            <w:hideMark/>
          </w:tcPr>
          <w:p w14:paraId="28506383"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30.72</w:t>
            </w:r>
          </w:p>
        </w:tc>
      </w:tr>
      <w:tr w:rsidR="008F511F" w:rsidRPr="008F511F" w14:paraId="73B4CA9E" w14:textId="77777777" w:rsidTr="00C132CE">
        <w:trPr>
          <w:trHeight w:val="340"/>
        </w:trPr>
        <w:tc>
          <w:tcPr>
            <w:tcW w:w="2368" w:type="dxa"/>
            <w:noWrap/>
            <w:hideMark/>
          </w:tcPr>
          <w:p w14:paraId="21E87F99"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hideMark/>
          </w:tcPr>
          <w:p w14:paraId="6F73CB06"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13.49</w:t>
            </w:r>
          </w:p>
        </w:tc>
        <w:tc>
          <w:tcPr>
            <w:tcW w:w="2632" w:type="dxa"/>
            <w:noWrap/>
            <w:hideMark/>
          </w:tcPr>
          <w:p w14:paraId="48409918"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18.93</w:t>
            </w:r>
          </w:p>
        </w:tc>
        <w:tc>
          <w:tcPr>
            <w:tcW w:w="2604" w:type="dxa"/>
            <w:noWrap/>
            <w:hideMark/>
          </w:tcPr>
          <w:p w14:paraId="713E078E"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36.88</w:t>
            </w:r>
          </w:p>
        </w:tc>
      </w:tr>
      <w:tr w:rsidR="008F511F" w:rsidRPr="008F511F" w14:paraId="01283DEB" w14:textId="77777777" w:rsidTr="00C132CE">
        <w:trPr>
          <w:trHeight w:val="340"/>
        </w:trPr>
        <w:tc>
          <w:tcPr>
            <w:tcW w:w="2368" w:type="dxa"/>
            <w:noWrap/>
            <w:hideMark/>
          </w:tcPr>
          <w:p w14:paraId="79CE0F4C"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06" w:type="dxa"/>
            <w:noWrap/>
            <w:hideMark/>
          </w:tcPr>
          <w:p w14:paraId="712DD935" w14:textId="77777777" w:rsidR="007E3691" w:rsidRPr="008F511F" w:rsidRDefault="007E3691" w:rsidP="007E3691">
            <w:pPr>
              <w:jc w:val="center"/>
              <w:rPr>
                <w:rFonts w:ascii="Times New Roman" w:hAnsi="Times New Roman" w:cs="Times New Roman"/>
                <w:b/>
                <w:bCs/>
                <w:sz w:val="24"/>
                <w:szCs w:val="24"/>
              </w:rPr>
            </w:pPr>
          </w:p>
        </w:tc>
        <w:tc>
          <w:tcPr>
            <w:tcW w:w="2632" w:type="dxa"/>
            <w:noWrap/>
            <w:hideMark/>
          </w:tcPr>
          <w:p w14:paraId="06F2B72D"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2869E2A3" w14:textId="77777777" w:rsidR="007E3691" w:rsidRPr="008F511F" w:rsidRDefault="007E3691" w:rsidP="007E3691">
            <w:pPr>
              <w:jc w:val="center"/>
              <w:rPr>
                <w:rFonts w:ascii="Times New Roman" w:hAnsi="Times New Roman" w:cs="Times New Roman"/>
                <w:sz w:val="24"/>
                <w:szCs w:val="24"/>
              </w:rPr>
            </w:pPr>
          </w:p>
        </w:tc>
      </w:tr>
      <w:tr w:rsidR="008F511F" w:rsidRPr="008F511F" w14:paraId="4F8B3702" w14:textId="77777777" w:rsidTr="00C132CE">
        <w:trPr>
          <w:trHeight w:val="340"/>
        </w:trPr>
        <w:tc>
          <w:tcPr>
            <w:tcW w:w="2368" w:type="dxa"/>
            <w:noWrap/>
            <w:hideMark/>
          </w:tcPr>
          <w:p w14:paraId="7FDC0468"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hideMark/>
          </w:tcPr>
          <w:p w14:paraId="36A21826"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-0.93</w:t>
            </w:r>
          </w:p>
        </w:tc>
        <w:tc>
          <w:tcPr>
            <w:tcW w:w="2632" w:type="dxa"/>
            <w:noWrap/>
            <w:hideMark/>
          </w:tcPr>
          <w:p w14:paraId="03852D52"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-1.05</w:t>
            </w:r>
          </w:p>
        </w:tc>
        <w:tc>
          <w:tcPr>
            <w:tcW w:w="2604" w:type="dxa"/>
            <w:noWrap/>
            <w:hideMark/>
          </w:tcPr>
          <w:p w14:paraId="27284927"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-6.16</w:t>
            </w:r>
          </w:p>
        </w:tc>
      </w:tr>
      <w:tr w:rsidR="008F511F" w:rsidRPr="008F511F" w14:paraId="22FF59DC" w14:textId="77777777" w:rsidTr="00C132CE">
        <w:trPr>
          <w:trHeight w:val="340"/>
        </w:trPr>
        <w:tc>
          <w:tcPr>
            <w:tcW w:w="2368" w:type="dxa"/>
            <w:noWrap/>
            <w:hideMark/>
          </w:tcPr>
          <w:p w14:paraId="2ACA1966"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hideMark/>
          </w:tcPr>
          <w:p w14:paraId="263D3772"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0.93</w:t>
            </w:r>
          </w:p>
        </w:tc>
        <w:tc>
          <w:tcPr>
            <w:tcW w:w="2632" w:type="dxa"/>
            <w:noWrap/>
            <w:hideMark/>
          </w:tcPr>
          <w:p w14:paraId="1584DEA4"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1.05</w:t>
            </w:r>
          </w:p>
        </w:tc>
        <w:tc>
          <w:tcPr>
            <w:tcW w:w="2604" w:type="dxa"/>
            <w:noWrap/>
            <w:hideMark/>
          </w:tcPr>
          <w:p w14:paraId="255E0555"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6.16</w:t>
            </w:r>
          </w:p>
        </w:tc>
      </w:tr>
      <w:tr w:rsidR="008F511F" w:rsidRPr="008F511F" w14:paraId="3923C0A8" w14:textId="77777777" w:rsidTr="00C132CE">
        <w:trPr>
          <w:trHeight w:val="340"/>
        </w:trPr>
        <w:tc>
          <w:tcPr>
            <w:tcW w:w="2368" w:type="dxa"/>
            <w:noWrap/>
            <w:hideMark/>
          </w:tcPr>
          <w:p w14:paraId="39270771" w14:textId="77777777" w:rsidR="007E3691" w:rsidRPr="008F511F" w:rsidRDefault="007E3691" w:rsidP="007E3691">
            <w:pPr>
              <w:rPr>
                <w:rFonts w:ascii="Times New Roman" w:hAnsi="Times New Roman" w:cs="Times New Roman"/>
                <w:sz w:val="24"/>
                <w:szCs w:val="24"/>
              </w:rPr>
            </w:pPr>
          </w:p>
        </w:tc>
        <w:tc>
          <w:tcPr>
            <w:tcW w:w="1806" w:type="dxa"/>
            <w:noWrap/>
            <w:hideMark/>
          </w:tcPr>
          <w:p w14:paraId="29554E92" w14:textId="77777777" w:rsidR="007E3691" w:rsidRPr="008F511F" w:rsidRDefault="007E3691" w:rsidP="007E3691">
            <w:pPr>
              <w:jc w:val="center"/>
              <w:rPr>
                <w:rFonts w:ascii="Times New Roman" w:hAnsi="Times New Roman" w:cs="Times New Roman"/>
                <w:sz w:val="24"/>
                <w:szCs w:val="24"/>
              </w:rPr>
            </w:pPr>
          </w:p>
        </w:tc>
        <w:tc>
          <w:tcPr>
            <w:tcW w:w="2632" w:type="dxa"/>
            <w:noWrap/>
            <w:hideMark/>
          </w:tcPr>
          <w:p w14:paraId="48B40CAF"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3E5760A7" w14:textId="77777777" w:rsidR="007E3691" w:rsidRPr="008F511F" w:rsidRDefault="007E3691" w:rsidP="007E3691">
            <w:pPr>
              <w:jc w:val="center"/>
              <w:rPr>
                <w:rFonts w:ascii="Times New Roman" w:hAnsi="Times New Roman" w:cs="Times New Roman"/>
                <w:sz w:val="24"/>
                <w:szCs w:val="24"/>
              </w:rPr>
            </w:pPr>
          </w:p>
        </w:tc>
      </w:tr>
      <w:tr w:rsidR="008F511F" w:rsidRPr="008F511F" w14:paraId="6FFD2B2B" w14:textId="77777777" w:rsidTr="00C132CE">
        <w:trPr>
          <w:trHeight w:val="340"/>
        </w:trPr>
        <w:tc>
          <w:tcPr>
            <w:tcW w:w="2368" w:type="dxa"/>
            <w:noWrap/>
            <w:hideMark/>
          </w:tcPr>
          <w:p w14:paraId="2BA2CCA4"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2. XTZ</w:t>
            </w:r>
          </w:p>
        </w:tc>
        <w:tc>
          <w:tcPr>
            <w:tcW w:w="1806" w:type="dxa"/>
            <w:noWrap/>
            <w:hideMark/>
          </w:tcPr>
          <w:p w14:paraId="1F9180BA" w14:textId="77777777" w:rsidR="007E3691" w:rsidRPr="008F511F" w:rsidRDefault="007E3691" w:rsidP="007E3691">
            <w:pPr>
              <w:jc w:val="center"/>
              <w:rPr>
                <w:rFonts w:ascii="Times New Roman" w:hAnsi="Times New Roman" w:cs="Times New Roman"/>
                <w:b/>
                <w:bCs/>
                <w:sz w:val="24"/>
                <w:szCs w:val="24"/>
              </w:rPr>
            </w:pPr>
          </w:p>
        </w:tc>
        <w:tc>
          <w:tcPr>
            <w:tcW w:w="2632" w:type="dxa"/>
            <w:noWrap/>
            <w:hideMark/>
          </w:tcPr>
          <w:p w14:paraId="2C042E8C"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377A7592" w14:textId="77777777" w:rsidR="007E3691" w:rsidRPr="008F511F" w:rsidRDefault="007E3691" w:rsidP="007E3691">
            <w:pPr>
              <w:jc w:val="center"/>
              <w:rPr>
                <w:rFonts w:ascii="Times New Roman" w:hAnsi="Times New Roman" w:cs="Times New Roman"/>
                <w:sz w:val="24"/>
                <w:szCs w:val="24"/>
              </w:rPr>
            </w:pPr>
          </w:p>
        </w:tc>
      </w:tr>
      <w:tr w:rsidR="008F511F" w:rsidRPr="008F511F" w14:paraId="0BC59772" w14:textId="77777777" w:rsidTr="00C132CE">
        <w:trPr>
          <w:trHeight w:val="340"/>
        </w:trPr>
        <w:tc>
          <w:tcPr>
            <w:tcW w:w="2368" w:type="dxa"/>
            <w:noWrap/>
          </w:tcPr>
          <w:p w14:paraId="6E543DEA" w14:textId="77777777" w:rsidR="007E3691" w:rsidRPr="008F511F" w:rsidRDefault="007E3691">
            <w:pPr>
              <w:rPr>
                <w:rFonts w:ascii="Times New Roman" w:hAnsi="Times New Roman" w:cs="Times New Roman"/>
                <w:b/>
                <w:bCs/>
                <w:sz w:val="24"/>
                <w:szCs w:val="24"/>
              </w:rPr>
            </w:pPr>
          </w:p>
        </w:tc>
        <w:tc>
          <w:tcPr>
            <w:tcW w:w="1806" w:type="dxa"/>
            <w:noWrap/>
          </w:tcPr>
          <w:p w14:paraId="30D82DEC" w14:textId="77777777" w:rsidR="007E3691" w:rsidRPr="008F511F" w:rsidRDefault="007E3691" w:rsidP="007E3691">
            <w:pPr>
              <w:jc w:val="center"/>
              <w:rPr>
                <w:rFonts w:ascii="Times New Roman" w:hAnsi="Times New Roman" w:cs="Times New Roman"/>
                <w:sz w:val="24"/>
                <w:szCs w:val="24"/>
              </w:rPr>
            </w:pPr>
          </w:p>
        </w:tc>
        <w:tc>
          <w:tcPr>
            <w:tcW w:w="2632" w:type="dxa"/>
            <w:noWrap/>
          </w:tcPr>
          <w:p w14:paraId="70669092" w14:textId="77777777" w:rsidR="007E3691" w:rsidRPr="008F511F" w:rsidRDefault="007E3691" w:rsidP="007E3691">
            <w:pPr>
              <w:jc w:val="center"/>
              <w:rPr>
                <w:rFonts w:ascii="Times New Roman" w:hAnsi="Times New Roman" w:cs="Times New Roman"/>
                <w:sz w:val="24"/>
                <w:szCs w:val="24"/>
              </w:rPr>
            </w:pPr>
          </w:p>
        </w:tc>
        <w:tc>
          <w:tcPr>
            <w:tcW w:w="2604" w:type="dxa"/>
            <w:noWrap/>
          </w:tcPr>
          <w:p w14:paraId="29C52913" w14:textId="77777777" w:rsidR="007E3691" w:rsidRPr="008F511F" w:rsidRDefault="007E3691" w:rsidP="007E3691">
            <w:pPr>
              <w:jc w:val="center"/>
              <w:rPr>
                <w:rFonts w:ascii="Times New Roman" w:hAnsi="Times New Roman" w:cs="Times New Roman"/>
                <w:sz w:val="24"/>
                <w:szCs w:val="24"/>
              </w:rPr>
            </w:pPr>
          </w:p>
        </w:tc>
      </w:tr>
      <w:tr w:rsidR="008F511F" w:rsidRPr="008F511F" w14:paraId="48EBA85F" w14:textId="77777777" w:rsidTr="00C132CE">
        <w:trPr>
          <w:trHeight w:val="340"/>
        </w:trPr>
        <w:tc>
          <w:tcPr>
            <w:tcW w:w="2368" w:type="dxa"/>
            <w:noWrap/>
            <w:hideMark/>
          </w:tcPr>
          <w:p w14:paraId="5E6DF540"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06" w:type="dxa"/>
            <w:noWrap/>
            <w:hideMark/>
          </w:tcPr>
          <w:p w14:paraId="3B666FFE"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12.38</w:t>
            </w:r>
          </w:p>
        </w:tc>
        <w:tc>
          <w:tcPr>
            <w:tcW w:w="2632" w:type="dxa"/>
            <w:noWrap/>
            <w:hideMark/>
          </w:tcPr>
          <w:p w14:paraId="63E331A6"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20.51</w:t>
            </w:r>
          </w:p>
        </w:tc>
        <w:tc>
          <w:tcPr>
            <w:tcW w:w="2604" w:type="dxa"/>
            <w:noWrap/>
            <w:hideMark/>
          </w:tcPr>
          <w:p w14:paraId="1DF486FF"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41.15</w:t>
            </w:r>
          </w:p>
        </w:tc>
      </w:tr>
      <w:tr w:rsidR="008F511F" w:rsidRPr="008F511F" w14:paraId="0291CA8E" w14:textId="77777777" w:rsidTr="00C132CE">
        <w:trPr>
          <w:trHeight w:val="340"/>
        </w:trPr>
        <w:tc>
          <w:tcPr>
            <w:tcW w:w="2368" w:type="dxa"/>
            <w:noWrap/>
            <w:hideMark/>
          </w:tcPr>
          <w:p w14:paraId="13A72625"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06" w:type="dxa"/>
            <w:noWrap/>
            <w:hideMark/>
          </w:tcPr>
          <w:p w14:paraId="0E6F26EC" w14:textId="77777777" w:rsidR="007E3691" w:rsidRPr="008F511F" w:rsidRDefault="007E3691" w:rsidP="007E3691">
            <w:pPr>
              <w:jc w:val="center"/>
              <w:rPr>
                <w:rFonts w:ascii="Times New Roman" w:hAnsi="Times New Roman" w:cs="Times New Roman"/>
                <w:b/>
                <w:bCs/>
                <w:sz w:val="24"/>
                <w:szCs w:val="24"/>
              </w:rPr>
            </w:pPr>
          </w:p>
        </w:tc>
        <w:tc>
          <w:tcPr>
            <w:tcW w:w="2632" w:type="dxa"/>
            <w:noWrap/>
            <w:hideMark/>
          </w:tcPr>
          <w:p w14:paraId="5934D82A"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5B55B872" w14:textId="77777777" w:rsidR="007E3691" w:rsidRPr="008F511F" w:rsidRDefault="007E3691" w:rsidP="007E3691">
            <w:pPr>
              <w:jc w:val="center"/>
              <w:rPr>
                <w:rFonts w:ascii="Times New Roman" w:hAnsi="Times New Roman" w:cs="Times New Roman"/>
                <w:sz w:val="24"/>
                <w:szCs w:val="24"/>
              </w:rPr>
            </w:pPr>
          </w:p>
        </w:tc>
      </w:tr>
      <w:tr w:rsidR="008F511F" w:rsidRPr="008F511F" w14:paraId="6BD7A47F" w14:textId="77777777" w:rsidTr="00C132CE">
        <w:trPr>
          <w:trHeight w:val="340"/>
        </w:trPr>
        <w:tc>
          <w:tcPr>
            <w:tcW w:w="2368" w:type="dxa"/>
            <w:noWrap/>
            <w:hideMark/>
          </w:tcPr>
          <w:p w14:paraId="2E145499"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hideMark/>
          </w:tcPr>
          <w:p w14:paraId="5CFE2F19"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11.91</w:t>
            </w:r>
          </w:p>
        </w:tc>
        <w:tc>
          <w:tcPr>
            <w:tcW w:w="2632" w:type="dxa"/>
            <w:noWrap/>
            <w:hideMark/>
          </w:tcPr>
          <w:p w14:paraId="1E61C7CC"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20.2</w:t>
            </w:r>
          </w:p>
        </w:tc>
        <w:tc>
          <w:tcPr>
            <w:tcW w:w="2604" w:type="dxa"/>
            <w:noWrap/>
            <w:hideMark/>
          </w:tcPr>
          <w:p w14:paraId="283A9E4C"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40.84</w:t>
            </w:r>
          </w:p>
        </w:tc>
      </w:tr>
      <w:tr w:rsidR="008F511F" w:rsidRPr="008F511F" w14:paraId="50CE22E6" w14:textId="77777777" w:rsidTr="00C132CE">
        <w:trPr>
          <w:trHeight w:val="340"/>
        </w:trPr>
        <w:tc>
          <w:tcPr>
            <w:tcW w:w="2368" w:type="dxa"/>
            <w:noWrap/>
            <w:hideMark/>
          </w:tcPr>
          <w:p w14:paraId="4ACE82A3"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hideMark/>
          </w:tcPr>
          <w:p w14:paraId="6F7693A2"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12.84</w:t>
            </w:r>
          </w:p>
        </w:tc>
        <w:tc>
          <w:tcPr>
            <w:tcW w:w="2632" w:type="dxa"/>
            <w:noWrap/>
            <w:hideMark/>
          </w:tcPr>
          <w:p w14:paraId="330AA7B0"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20.83</w:t>
            </w:r>
          </w:p>
        </w:tc>
        <w:tc>
          <w:tcPr>
            <w:tcW w:w="2604" w:type="dxa"/>
            <w:noWrap/>
            <w:hideMark/>
          </w:tcPr>
          <w:p w14:paraId="3ACFCBE7"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41.46</w:t>
            </w:r>
          </w:p>
        </w:tc>
      </w:tr>
      <w:tr w:rsidR="008F511F" w:rsidRPr="008F511F" w14:paraId="247BDC67" w14:textId="77777777" w:rsidTr="00C132CE">
        <w:trPr>
          <w:trHeight w:val="340"/>
        </w:trPr>
        <w:tc>
          <w:tcPr>
            <w:tcW w:w="2368" w:type="dxa"/>
            <w:noWrap/>
            <w:hideMark/>
          </w:tcPr>
          <w:p w14:paraId="0F1DC46C"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06" w:type="dxa"/>
            <w:noWrap/>
            <w:hideMark/>
          </w:tcPr>
          <w:p w14:paraId="0405282C" w14:textId="77777777" w:rsidR="007E3691" w:rsidRPr="008F511F" w:rsidRDefault="007E3691" w:rsidP="007E3691">
            <w:pPr>
              <w:jc w:val="center"/>
              <w:rPr>
                <w:rFonts w:ascii="Times New Roman" w:hAnsi="Times New Roman" w:cs="Times New Roman"/>
                <w:b/>
                <w:bCs/>
                <w:sz w:val="24"/>
                <w:szCs w:val="24"/>
              </w:rPr>
            </w:pPr>
          </w:p>
        </w:tc>
        <w:tc>
          <w:tcPr>
            <w:tcW w:w="2632" w:type="dxa"/>
            <w:noWrap/>
            <w:hideMark/>
          </w:tcPr>
          <w:p w14:paraId="54E2D7A8"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1D78204D" w14:textId="77777777" w:rsidR="007E3691" w:rsidRPr="008F511F" w:rsidRDefault="007E3691" w:rsidP="007E3691">
            <w:pPr>
              <w:jc w:val="center"/>
              <w:rPr>
                <w:rFonts w:ascii="Times New Roman" w:hAnsi="Times New Roman" w:cs="Times New Roman"/>
                <w:sz w:val="24"/>
                <w:szCs w:val="24"/>
              </w:rPr>
            </w:pPr>
          </w:p>
        </w:tc>
      </w:tr>
      <w:tr w:rsidR="008F511F" w:rsidRPr="008F511F" w14:paraId="5C3AC3C7" w14:textId="77777777" w:rsidTr="00C132CE">
        <w:trPr>
          <w:trHeight w:val="340"/>
        </w:trPr>
        <w:tc>
          <w:tcPr>
            <w:tcW w:w="2368" w:type="dxa"/>
            <w:noWrap/>
            <w:hideMark/>
          </w:tcPr>
          <w:p w14:paraId="3EC31843"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hideMark/>
          </w:tcPr>
          <w:p w14:paraId="5D8688B2"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-0.93</w:t>
            </w:r>
          </w:p>
        </w:tc>
        <w:tc>
          <w:tcPr>
            <w:tcW w:w="2632" w:type="dxa"/>
            <w:noWrap/>
            <w:hideMark/>
          </w:tcPr>
          <w:p w14:paraId="0D370403"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-0.63</w:t>
            </w:r>
          </w:p>
        </w:tc>
        <w:tc>
          <w:tcPr>
            <w:tcW w:w="2604" w:type="dxa"/>
            <w:noWrap/>
            <w:hideMark/>
          </w:tcPr>
          <w:p w14:paraId="12A1976C"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-0.62</w:t>
            </w:r>
          </w:p>
        </w:tc>
      </w:tr>
      <w:tr w:rsidR="008F511F" w:rsidRPr="008F511F" w14:paraId="731E69EA" w14:textId="77777777" w:rsidTr="00C132CE">
        <w:trPr>
          <w:trHeight w:val="340"/>
        </w:trPr>
        <w:tc>
          <w:tcPr>
            <w:tcW w:w="2368" w:type="dxa"/>
            <w:noWrap/>
            <w:hideMark/>
          </w:tcPr>
          <w:p w14:paraId="55759650"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hideMark/>
          </w:tcPr>
          <w:p w14:paraId="1B145FEB"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0.93</w:t>
            </w:r>
          </w:p>
        </w:tc>
        <w:tc>
          <w:tcPr>
            <w:tcW w:w="2632" w:type="dxa"/>
            <w:noWrap/>
            <w:hideMark/>
          </w:tcPr>
          <w:p w14:paraId="77B08093"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0.63</w:t>
            </w:r>
          </w:p>
        </w:tc>
        <w:tc>
          <w:tcPr>
            <w:tcW w:w="2604" w:type="dxa"/>
            <w:noWrap/>
            <w:hideMark/>
          </w:tcPr>
          <w:p w14:paraId="49418F2C"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0.62</w:t>
            </w:r>
          </w:p>
        </w:tc>
      </w:tr>
      <w:tr w:rsidR="008F511F" w:rsidRPr="008F511F" w14:paraId="0CFD1048" w14:textId="77777777" w:rsidTr="00C132CE">
        <w:trPr>
          <w:trHeight w:val="340"/>
        </w:trPr>
        <w:tc>
          <w:tcPr>
            <w:tcW w:w="2368" w:type="dxa"/>
            <w:noWrap/>
            <w:hideMark/>
          </w:tcPr>
          <w:p w14:paraId="70D23B87" w14:textId="77777777" w:rsidR="007E3691" w:rsidRPr="008F511F" w:rsidRDefault="007E3691" w:rsidP="007E3691">
            <w:pPr>
              <w:rPr>
                <w:rFonts w:ascii="Times New Roman" w:hAnsi="Times New Roman" w:cs="Times New Roman"/>
                <w:sz w:val="24"/>
                <w:szCs w:val="24"/>
              </w:rPr>
            </w:pPr>
          </w:p>
        </w:tc>
        <w:tc>
          <w:tcPr>
            <w:tcW w:w="1806" w:type="dxa"/>
            <w:noWrap/>
            <w:hideMark/>
          </w:tcPr>
          <w:p w14:paraId="4C429E42" w14:textId="77777777" w:rsidR="007E3691" w:rsidRPr="008F511F" w:rsidRDefault="007E3691" w:rsidP="007E3691">
            <w:pPr>
              <w:jc w:val="center"/>
              <w:rPr>
                <w:rFonts w:ascii="Times New Roman" w:hAnsi="Times New Roman" w:cs="Times New Roman"/>
                <w:sz w:val="24"/>
                <w:szCs w:val="24"/>
              </w:rPr>
            </w:pPr>
          </w:p>
        </w:tc>
        <w:tc>
          <w:tcPr>
            <w:tcW w:w="2632" w:type="dxa"/>
            <w:noWrap/>
            <w:hideMark/>
          </w:tcPr>
          <w:p w14:paraId="32BE1954"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41DE6CB4" w14:textId="77777777" w:rsidR="007E3691" w:rsidRPr="008F511F" w:rsidRDefault="007E3691" w:rsidP="007E3691">
            <w:pPr>
              <w:jc w:val="center"/>
              <w:rPr>
                <w:rFonts w:ascii="Times New Roman" w:hAnsi="Times New Roman" w:cs="Times New Roman"/>
                <w:sz w:val="24"/>
                <w:szCs w:val="24"/>
              </w:rPr>
            </w:pPr>
          </w:p>
        </w:tc>
      </w:tr>
      <w:tr w:rsidR="008F511F" w:rsidRPr="008F511F" w14:paraId="05840B52" w14:textId="77777777" w:rsidTr="00C132CE">
        <w:trPr>
          <w:trHeight w:val="340"/>
        </w:trPr>
        <w:tc>
          <w:tcPr>
            <w:tcW w:w="2368" w:type="dxa"/>
            <w:noWrap/>
            <w:hideMark/>
          </w:tcPr>
          <w:p w14:paraId="63665A4B"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3. ENJ</w:t>
            </w:r>
          </w:p>
        </w:tc>
        <w:tc>
          <w:tcPr>
            <w:tcW w:w="1806" w:type="dxa"/>
            <w:noWrap/>
            <w:hideMark/>
          </w:tcPr>
          <w:p w14:paraId="68A2DBAA" w14:textId="77777777" w:rsidR="007E3691" w:rsidRPr="008F511F" w:rsidRDefault="007E3691" w:rsidP="007E3691">
            <w:pPr>
              <w:jc w:val="center"/>
              <w:rPr>
                <w:rFonts w:ascii="Times New Roman" w:hAnsi="Times New Roman" w:cs="Times New Roman"/>
                <w:b/>
                <w:bCs/>
                <w:sz w:val="24"/>
                <w:szCs w:val="24"/>
              </w:rPr>
            </w:pPr>
          </w:p>
        </w:tc>
        <w:tc>
          <w:tcPr>
            <w:tcW w:w="2632" w:type="dxa"/>
            <w:noWrap/>
            <w:hideMark/>
          </w:tcPr>
          <w:p w14:paraId="4AD20297"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75BA4207" w14:textId="77777777" w:rsidR="007E3691" w:rsidRPr="008F511F" w:rsidRDefault="007E3691" w:rsidP="007E3691">
            <w:pPr>
              <w:jc w:val="center"/>
              <w:rPr>
                <w:rFonts w:ascii="Times New Roman" w:hAnsi="Times New Roman" w:cs="Times New Roman"/>
                <w:sz w:val="24"/>
                <w:szCs w:val="24"/>
              </w:rPr>
            </w:pPr>
          </w:p>
        </w:tc>
      </w:tr>
      <w:tr w:rsidR="008F511F" w:rsidRPr="008F511F" w14:paraId="51ED0A9F" w14:textId="77777777" w:rsidTr="00C132CE">
        <w:trPr>
          <w:trHeight w:val="340"/>
        </w:trPr>
        <w:tc>
          <w:tcPr>
            <w:tcW w:w="2368" w:type="dxa"/>
            <w:noWrap/>
          </w:tcPr>
          <w:p w14:paraId="1E43EC48" w14:textId="77777777" w:rsidR="007E3691" w:rsidRPr="008F511F" w:rsidRDefault="007E3691">
            <w:pPr>
              <w:rPr>
                <w:rFonts w:ascii="Times New Roman" w:hAnsi="Times New Roman" w:cs="Times New Roman"/>
                <w:b/>
                <w:bCs/>
                <w:sz w:val="24"/>
                <w:szCs w:val="24"/>
              </w:rPr>
            </w:pPr>
          </w:p>
        </w:tc>
        <w:tc>
          <w:tcPr>
            <w:tcW w:w="1806" w:type="dxa"/>
            <w:noWrap/>
          </w:tcPr>
          <w:p w14:paraId="2ECC392F" w14:textId="77777777" w:rsidR="007E3691" w:rsidRPr="008F511F" w:rsidRDefault="007E3691" w:rsidP="007E3691">
            <w:pPr>
              <w:jc w:val="center"/>
              <w:rPr>
                <w:rFonts w:ascii="Times New Roman" w:hAnsi="Times New Roman" w:cs="Times New Roman"/>
                <w:sz w:val="24"/>
                <w:szCs w:val="24"/>
              </w:rPr>
            </w:pPr>
          </w:p>
        </w:tc>
        <w:tc>
          <w:tcPr>
            <w:tcW w:w="2632" w:type="dxa"/>
            <w:noWrap/>
          </w:tcPr>
          <w:p w14:paraId="6BBA8E4C" w14:textId="77777777" w:rsidR="007E3691" w:rsidRPr="008F511F" w:rsidRDefault="007E3691" w:rsidP="007E3691">
            <w:pPr>
              <w:jc w:val="center"/>
              <w:rPr>
                <w:rFonts w:ascii="Times New Roman" w:hAnsi="Times New Roman" w:cs="Times New Roman"/>
                <w:sz w:val="24"/>
                <w:szCs w:val="24"/>
              </w:rPr>
            </w:pPr>
          </w:p>
        </w:tc>
        <w:tc>
          <w:tcPr>
            <w:tcW w:w="2604" w:type="dxa"/>
            <w:noWrap/>
          </w:tcPr>
          <w:p w14:paraId="6EF1EBB9" w14:textId="77777777" w:rsidR="007E3691" w:rsidRPr="008F511F" w:rsidRDefault="007E3691" w:rsidP="007E3691">
            <w:pPr>
              <w:jc w:val="center"/>
              <w:rPr>
                <w:rFonts w:ascii="Times New Roman" w:hAnsi="Times New Roman" w:cs="Times New Roman"/>
                <w:sz w:val="24"/>
                <w:szCs w:val="24"/>
              </w:rPr>
            </w:pPr>
          </w:p>
        </w:tc>
      </w:tr>
      <w:tr w:rsidR="008F511F" w:rsidRPr="008F511F" w14:paraId="42BA691F" w14:textId="77777777" w:rsidTr="00C132CE">
        <w:trPr>
          <w:trHeight w:val="340"/>
        </w:trPr>
        <w:tc>
          <w:tcPr>
            <w:tcW w:w="2368" w:type="dxa"/>
            <w:noWrap/>
            <w:hideMark/>
          </w:tcPr>
          <w:p w14:paraId="35B2F72C"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06" w:type="dxa"/>
            <w:noWrap/>
            <w:hideMark/>
          </w:tcPr>
          <w:p w14:paraId="2DC1172C"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12.68</w:t>
            </w:r>
          </w:p>
        </w:tc>
        <w:tc>
          <w:tcPr>
            <w:tcW w:w="2632" w:type="dxa"/>
            <w:noWrap/>
            <w:hideMark/>
          </w:tcPr>
          <w:p w14:paraId="63A2B1B3"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17.2</w:t>
            </w:r>
          </w:p>
        </w:tc>
        <w:tc>
          <w:tcPr>
            <w:tcW w:w="2604" w:type="dxa"/>
            <w:noWrap/>
            <w:hideMark/>
          </w:tcPr>
          <w:p w14:paraId="7387FB23"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30.17</w:t>
            </w:r>
          </w:p>
        </w:tc>
      </w:tr>
      <w:tr w:rsidR="008F511F" w:rsidRPr="008F511F" w14:paraId="5A7668EB" w14:textId="77777777" w:rsidTr="00C132CE">
        <w:trPr>
          <w:trHeight w:val="340"/>
        </w:trPr>
        <w:tc>
          <w:tcPr>
            <w:tcW w:w="2368" w:type="dxa"/>
            <w:noWrap/>
            <w:hideMark/>
          </w:tcPr>
          <w:p w14:paraId="045FAA66"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06" w:type="dxa"/>
            <w:noWrap/>
            <w:hideMark/>
          </w:tcPr>
          <w:p w14:paraId="6518C040" w14:textId="77777777" w:rsidR="007E3691" w:rsidRPr="008F511F" w:rsidRDefault="007E3691" w:rsidP="007E3691">
            <w:pPr>
              <w:jc w:val="center"/>
              <w:rPr>
                <w:rFonts w:ascii="Times New Roman" w:hAnsi="Times New Roman" w:cs="Times New Roman"/>
                <w:b/>
                <w:bCs/>
                <w:sz w:val="24"/>
                <w:szCs w:val="24"/>
              </w:rPr>
            </w:pPr>
          </w:p>
        </w:tc>
        <w:tc>
          <w:tcPr>
            <w:tcW w:w="2632" w:type="dxa"/>
            <w:noWrap/>
            <w:hideMark/>
          </w:tcPr>
          <w:p w14:paraId="0194561C"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32B81124" w14:textId="77777777" w:rsidR="007E3691" w:rsidRPr="008F511F" w:rsidRDefault="007E3691" w:rsidP="007E3691">
            <w:pPr>
              <w:jc w:val="center"/>
              <w:rPr>
                <w:rFonts w:ascii="Times New Roman" w:hAnsi="Times New Roman" w:cs="Times New Roman"/>
                <w:sz w:val="24"/>
                <w:szCs w:val="24"/>
              </w:rPr>
            </w:pPr>
          </w:p>
        </w:tc>
      </w:tr>
      <w:tr w:rsidR="008F511F" w:rsidRPr="008F511F" w14:paraId="00C8F859" w14:textId="77777777" w:rsidTr="00C132CE">
        <w:trPr>
          <w:trHeight w:val="340"/>
        </w:trPr>
        <w:tc>
          <w:tcPr>
            <w:tcW w:w="2368" w:type="dxa"/>
            <w:noWrap/>
            <w:hideMark/>
          </w:tcPr>
          <w:p w14:paraId="0BA3F8B9"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hideMark/>
          </w:tcPr>
          <w:p w14:paraId="2C8977DF"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12.76</w:t>
            </w:r>
          </w:p>
        </w:tc>
        <w:tc>
          <w:tcPr>
            <w:tcW w:w="2632" w:type="dxa"/>
            <w:noWrap/>
            <w:hideMark/>
          </w:tcPr>
          <w:p w14:paraId="30C8755D"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17.09</w:t>
            </w:r>
          </w:p>
        </w:tc>
        <w:tc>
          <w:tcPr>
            <w:tcW w:w="2604" w:type="dxa"/>
            <w:noWrap/>
            <w:hideMark/>
          </w:tcPr>
          <w:p w14:paraId="154B31FA"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26.58</w:t>
            </w:r>
          </w:p>
        </w:tc>
      </w:tr>
      <w:tr w:rsidR="008F511F" w:rsidRPr="008F511F" w14:paraId="6C59A879" w14:textId="77777777" w:rsidTr="00C132CE">
        <w:trPr>
          <w:trHeight w:val="340"/>
        </w:trPr>
        <w:tc>
          <w:tcPr>
            <w:tcW w:w="2368" w:type="dxa"/>
            <w:noWrap/>
            <w:hideMark/>
          </w:tcPr>
          <w:p w14:paraId="38EC2E79"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hideMark/>
          </w:tcPr>
          <w:p w14:paraId="57BF9E04" w14:textId="5C3F87BD"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12.60</w:t>
            </w:r>
          </w:p>
        </w:tc>
        <w:tc>
          <w:tcPr>
            <w:tcW w:w="2632" w:type="dxa"/>
            <w:noWrap/>
            <w:hideMark/>
          </w:tcPr>
          <w:p w14:paraId="6D1DDE63"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17.31</w:t>
            </w:r>
          </w:p>
        </w:tc>
        <w:tc>
          <w:tcPr>
            <w:tcW w:w="2604" w:type="dxa"/>
            <w:noWrap/>
            <w:hideMark/>
          </w:tcPr>
          <w:p w14:paraId="2DE95B20"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33.76</w:t>
            </w:r>
          </w:p>
        </w:tc>
      </w:tr>
      <w:tr w:rsidR="008F511F" w:rsidRPr="008F511F" w14:paraId="33803A8C" w14:textId="77777777" w:rsidTr="00C132CE">
        <w:trPr>
          <w:trHeight w:val="340"/>
        </w:trPr>
        <w:tc>
          <w:tcPr>
            <w:tcW w:w="2368" w:type="dxa"/>
            <w:noWrap/>
            <w:hideMark/>
          </w:tcPr>
          <w:p w14:paraId="46A11F98" w14:textId="77777777" w:rsidR="007E3691" w:rsidRPr="008F511F" w:rsidRDefault="007E3691">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06" w:type="dxa"/>
            <w:noWrap/>
            <w:hideMark/>
          </w:tcPr>
          <w:p w14:paraId="2E45EAF4" w14:textId="77777777" w:rsidR="007E3691" w:rsidRPr="008F511F" w:rsidRDefault="007E3691" w:rsidP="007E3691">
            <w:pPr>
              <w:jc w:val="center"/>
              <w:rPr>
                <w:rFonts w:ascii="Times New Roman" w:hAnsi="Times New Roman" w:cs="Times New Roman"/>
                <w:b/>
                <w:bCs/>
                <w:sz w:val="24"/>
                <w:szCs w:val="24"/>
              </w:rPr>
            </w:pPr>
          </w:p>
        </w:tc>
        <w:tc>
          <w:tcPr>
            <w:tcW w:w="2632" w:type="dxa"/>
            <w:noWrap/>
            <w:hideMark/>
          </w:tcPr>
          <w:p w14:paraId="4B535939" w14:textId="77777777" w:rsidR="007E3691" w:rsidRPr="008F511F" w:rsidRDefault="007E3691" w:rsidP="007E3691">
            <w:pPr>
              <w:jc w:val="center"/>
              <w:rPr>
                <w:rFonts w:ascii="Times New Roman" w:hAnsi="Times New Roman" w:cs="Times New Roman"/>
                <w:sz w:val="24"/>
                <w:szCs w:val="24"/>
              </w:rPr>
            </w:pPr>
          </w:p>
        </w:tc>
        <w:tc>
          <w:tcPr>
            <w:tcW w:w="2604" w:type="dxa"/>
            <w:noWrap/>
            <w:hideMark/>
          </w:tcPr>
          <w:p w14:paraId="5792BD97" w14:textId="77777777" w:rsidR="007E3691" w:rsidRPr="008F511F" w:rsidRDefault="007E3691" w:rsidP="007E3691">
            <w:pPr>
              <w:jc w:val="center"/>
              <w:rPr>
                <w:rFonts w:ascii="Times New Roman" w:hAnsi="Times New Roman" w:cs="Times New Roman"/>
                <w:sz w:val="24"/>
                <w:szCs w:val="24"/>
              </w:rPr>
            </w:pPr>
          </w:p>
        </w:tc>
      </w:tr>
      <w:tr w:rsidR="008F511F" w:rsidRPr="008F511F" w14:paraId="5C056F42" w14:textId="77777777" w:rsidTr="00C132CE">
        <w:trPr>
          <w:trHeight w:val="340"/>
        </w:trPr>
        <w:tc>
          <w:tcPr>
            <w:tcW w:w="2368" w:type="dxa"/>
            <w:noWrap/>
            <w:hideMark/>
          </w:tcPr>
          <w:p w14:paraId="5952EDE4"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hideMark/>
          </w:tcPr>
          <w:p w14:paraId="5D7D2648"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0.17</w:t>
            </w:r>
          </w:p>
        </w:tc>
        <w:tc>
          <w:tcPr>
            <w:tcW w:w="2632" w:type="dxa"/>
            <w:noWrap/>
            <w:hideMark/>
          </w:tcPr>
          <w:p w14:paraId="25328BEC"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-0.22</w:t>
            </w:r>
          </w:p>
        </w:tc>
        <w:tc>
          <w:tcPr>
            <w:tcW w:w="2604" w:type="dxa"/>
            <w:noWrap/>
            <w:hideMark/>
          </w:tcPr>
          <w:p w14:paraId="1F2EA890"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-7.18</w:t>
            </w:r>
          </w:p>
        </w:tc>
      </w:tr>
      <w:tr w:rsidR="008F511F" w:rsidRPr="008F511F" w14:paraId="41F0EFCB" w14:textId="77777777" w:rsidTr="00C132CE">
        <w:trPr>
          <w:trHeight w:val="340"/>
        </w:trPr>
        <w:tc>
          <w:tcPr>
            <w:tcW w:w="2368" w:type="dxa"/>
            <w:noWrap/>
            <w:hideMark/>
          </w:tcPr>
          <w:p w14:paraId="578A13BD" w14:textId="77777777" w:rsidR="007E3691" w:rsidRPr="008F511F" w:rsidRDefault="007E3691">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hideMark/>
          </w:tcPr>
          <w:p w14:paraId="67240E8D"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-0.17</w:t>
            </w:r>
          </w:p>
        </w:tc>
        <w:tc>
          <w:tcPr>
            <w:tcW w:w="2632" w:type="dxa"/>
            <w:noWrap/>
            <w:hideMark/>
          </w:tcPr>
          <w:p w14:paraId="6D4F2FB4"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0.22</w:t>
            </w:r>
          </w:p>
        </w:tc>
        <w:tc>
          <w:tcPr>
            <w:tcW w:w="2604" w:type="dxa"/>
            <w:noWrap/>
            <w:hideMark/>
          </w:tcPr>
          <w:p w14:paraId="11E60F98" w14:textId="77777777" w:rsidR="007E3691" w:rsidRPr="008F511F" w:rsidRDefault="007E3691" w:rsidP="007E3691">
            <w:pPr>
              <w:jc w:val="center"/>
              <w:rPr>
                <w:rFonts w:ascii="Times New Roman" w:hAnsi="Times New Roman" w:cs="Times New Roman"/>
                <w:sz w:val="24"/>
                <w:szCs w:val="24"/>
              </w:rPr>
            </w:pPr>
            <w:r w:rsidRPr="008F511F">
              <w:rPr>
                <w:rFonts w:ascii="Times New Roman" w:hAnsi="Times New Roman" w:cs="Times New Roman"/>
                <w:sz w:val="24"/>
                <w:szCs w:val="24"/>
              </w:rPr>
              <w:t>7.18</w:t>
            </w:r>
          </w:p>
        </w:tc>
      </w:tr>
    </w:tbl>
    <w:p w14:paraId="09B5633A" w14:textId="673B6AAF" w:rsidR="00BD0D49" w:rsidRPr="008F511F" w:rsidRDefault="00BD0D49" w:rsidP="00BD0D49">
      <w:pPr>
        <w:jc w:val="both"/>
        <w:rPr>
          <w:rFonts w:ascii="Times New Roman" w:hAnsi="Times New Roman" w:cs="Times New Roman"/>
          <w:sz w:val="18"/>
          <w:szCs w:val="18"/>
        </w:rPr>
      </w:pPr>
      <w:r w:rsidRPr="008F511F">
        <w:rPr>
          <w:rFonts w:ascii="Times New Roman" w:hAnsi="Times New Roman" w:cs="Times New Roman"/>
          <w:sz w:val="18"/>
          <w:szCs w:val="18"/>
        </w:rPr>
        <w:t xml:space="preserve">Notes: ‘Total spillover’ means the total connectedness between volatility and volume of NFT. ‘To volatility’ indicates the spillover from volume to </w:t>
      </w:r>
      <w:r w:rsidR="001C0025" w:rsidRPr="008F511F">
        <w:rPr>
          <w:rFonts w:ascii="Times New Roman" w:hAnsi="Times New Roman" w:cs="Times New Roman"/>
          <w:sz w:val="18"/>
          <w:szCs w:val="18"/>
        </w:rPr>
        <w:t>volatility</w:t>
      </w:r>
      <w:r w:rsidRPr="008F511F">
        <w:rPr>
          <w:rFonts w:ascii="Times New Roman" w:hAnsi="Times New Roman" w:cs="Times New Roman"/>
          <w:sz w:val="18"/>
          <w:szCs w:val="18"/>
        </w:rPr>
        <w:t xml:space="preserve">, whereas ‘To Volume’ represents the spillover from </w:t>
      </w:r>
      <w:r w:rsidR="001C0025" w:rsidRPr="008F511F">
        <w:rPr>
          <w:rFonts w:ascii="Times New Roman" w:hAnsi="Times New Roman" w:cs="Times New Roman"/>
          <w:sz w:val="18"/>
          <w:szCs w:val="18"/>
        </w:rPr>
        <w:t>volatility</w:t>
      </w:r>
      <w:r w:rsidRPr="008F511F">
        <w:rPr>
          <w:rFonts w:ascii="Times New Roman" w:hAnsi="Times New Roman" w:cs="Times New Roman"/>
          <w:sz w:val="18"/>
          <w:szCs w:val="18"/>
        </w:rPr>
        <w:t xml:space="preserve"> to volume. The positive ‘Net </w:t>
      </w:r>
      <w:r w:rsidR="001C0025" w:rsidRPr="008F511F">
        <w:rPr>
          <w:rFonts w:ascii="Times New Roman" w:hAnsi="Times New Roman" w:cs="Times New Roman"/>
          <w:sz w:val="18"/>
          <w:szCs w:val="18"/>
        </w:rPr>
        <w:t>volatility</w:t>
      </w:r>
      <w:r w:rsidRPr="008F511F">
        <w:rPr>
          <w:rFonts w:ascii="Times New Roman" w:hAnsi="Times New Roman" w:cs="Times New Roman"/>
          <w:sz w:val="18"/>
          <w:szCs w:val="18"/>
        </w:rPr>
        <w:t xml:space="preserve">’ spillover shows the </w:t>
      </w:r>
      <w:r w:rsidR="001C0025" w:rsidRPr="008F511F">
        <w:rPr>
          <w:rFonts w:ascii="Times New Roman" w:hAnsi="Times New Roman" w:cs="Times New Roman"/>
          <w:sz w:val="18"/>
          <w:szCs w:val="18"/>
        </w:rPr>
        <w:t>volatility</w:t>
      </w:r>
      <w:r w:rsidRPr="008F511F">
        <w:rPr>
          <w:rFonts w:ascii="Times New Roman" w:hAnsi="Times New Roman" w:cs="Times New Roman"/>
          <w:sz w:val="18"/>
          <w:szCs w:val="18"/>
        </w:rPr>
        <w:t xml:space="preserve"> as net transmitter of spillover to volume, </w:t>
      </w:r>
      <w:r w:rsidR="00680128" w:rsidRPr="008F511F">
        <w:rPr>
          <w:rFonts w:ascii="Times New Roman" w:hAnsi="Times New Roman" w:cs="Times New Roman"/>
          <w:sz w:val="18"/>
          <w:szCs w:val="18"/>
        </w:rPr>
        <w:t>and vice versa.</w:t>
      </w:r>
      <w:r w:rsidRPr="008F511F">
        <w:rPr>
          <w:rFonts w:ascii="Times New Roman" w:hAnsi="Times New Roman" w:cs="Times New Roman"/>
          <w:sz w:val="18"/>
          <w:szCs w:val="18"/>
        </w:rPr>
        <w:t xml:space="preserve"> </w:t>
      </w:r>
      <w:r w:rsidR="00936533" w:rsidRPr="008F511F">
        <w:rPr>
          <w:rFonts w:ascii="Times New Roman" w:hAnsi="Times New Roman" w:cs="Times New Roman"/>
          <w:sz w:val="18"/>
          <w:szCs w:val="18"/>
        </w:rPr>
        <w:t>The length of rolling window is 200 days.</w:t>
      </w:r>
    </w:p>
    <w:p w14:paraId="7BD8E0FC" w14:textId="0EAC5841" w:rsidR="00D74108" w:rsidRPr="008F511F" w:rsidRDefault="00D74108" w:rsidP="00D74108">
      <w:pPr>
        <w:rPr>
          <w:rFonts w:ascii="Times New Roman" w:hAnsi="Times New Roman" w:cs="Times New Roman"/>
        </w:rPr>
      </w:pPr>
    </w:p>
    <w:p w14:paraId="0F88808C" w14:textId="77777777" w:rsidR="000F7743" w:rsidRPr="008F511F" w:rsidRDefault="000F7743">
      <w:pPr>
        <w:rPr>
          <w:rFonts w:ascii="Times New Roman" w:hAnsi="Times New Roman" w:cs="Times New Roman"/>
          <w:sz w:val="24"/>
          <w:szCs w:val="24"/>
        </w:rPr>
      </w:pPr>
    </w:p>
    <w:p w14:paraId="7D71D269" w14:textId="12A204DA" w:rsidR="00343425" w:rsidRPr="008F511F" w:rsidRDefault="00343425"/>
    <w:p w14:paraId="44A46DF3" w14:textId="77777777" w:rsidR="0007464D" w:rsidRPr="008F511F" w:rsidRDefault="0007464D" w:rsidP="00914FC8">
      <w:pPr>
        <w:pStyle w:val="ListParagraph"/>
        <w:numPr>
          <w:ilvl w:val="0"/>
          <w:numId w:val="1"/>
        </w:numPr>
        <w:spacing w:after="0"/>
        <w:jc w:val="center"/>
        <w:rPr>
          <w:rFonts w:ascii="Times New Roman" w:hAnsi="Times New Roman" w:cs="Times New Roman"/>
        </w:rPr>
        <w:sectPr w:rsidR="0007464D" w:rsidRPr="008F511F">
          <w:pgSz w:w="12240" w:h="15840"/>
          <w:pgMar w:top="1440" w:right="1440" w:bottom="1440" w:left="1440" w:header="720" w:footer="720" w:gutter="0"/>
          <w:cols w:space="720"/>
          <w:docGrid w:linePitch="360"/>
        </w:sectPr>
      </w:pPr>
    </w:p>
    <w:p w14:paraId="7CC689BC" w14:textId="61DAFFB5" w:rsidR="00913CF2" w:rsidRPr="008F511F" w:rsidRDefault="00913CF2" w:rsidP="00914FC8">
      <w:pPr>
        <w:pStyle w:val="ListParagraph"/>
        <w:numPr>
          <w:ilvl w:val="0"/>
          <w:numId w:val="1"/>
        </w:numPr>
        <w:spacing w:after="0"/>
        <w:jc w:val="center"/>
        <w:rPr>
          <w:rFonts w:ascii="Times New Roman" w:hAnsi="Times New Roman" w:cs="Times New Roman"/>
        </w:rPr>
      </w:pPr>
      <w:r w:rsidRPr="008F511F">
        <w:rPr>
          <w:rFonts w:ascii="Times New Roman" w:hAnsi="Times New Roman" w:cs="Times New Roman"/>
        </w:rPr>
        <w:lastRenderedPageBreak/>
        <w:t>THETA</w:t>
      </w:r>
      <w:r w:rsidR="00EF4B35" w:rsidRPr="008F511F">
        <w:rPr>
          <w:rFonts w:ascii="Times New Roman" w:hAnsi="Times New Roman" w:cs="Times New Roman"/>
        </w:rPr>
        <w:t xml:space="preserve"> (Returns-Volume)</w:t>
      </w:r>
    </w:p>
    <w:p w14:paraId="566B5F87" w14:textId="652252F6" w:rsidR="00343425" w:rsidRPr="008F511F" w:rsidRDefault="0007464D" w:rsidP="00914FC8">
      <w:pPr>
        <w:spacing w:after="0"/>
        <w:jc w:val="center"/>
      </w:pPr>
      <w:r w:rsidRPr="008F511F">
        <w:object w:dxaOrig="8184" w:dyaOrig="5808" w14:anchorId="6DF1826A">
          <v:shape id="_x0000_i1030" type="#_x0000_t75" style="width:462pt;height:186pt" o:ole="">
            <v:imagedata r:id="rId27" o:title=""/>
          </v:shape>
          <o:OLEObject Type="Embed" ProgID="EViews.Workfile.2" ShapeID="_x0000_i1030" DrawAspect="Content" ObjectID="_1722244925" r:id="rId28"/>
        </w:object>
      </w:r>
    </w:p>
    <w:p w14:paraId="2C44A015" w14:textId="5AD13898" w:rsidR="00913CF2" w:rsidRPr="008F511F" w:rsidRDefault="00913CF2" w:rsidP="00914FC8">
      <w:pPr>
        <w:pStyle w:val="ListParagraph"/>
        <w:numPr>
          <w:ilvl w:val="0"/>
          <w:numId w:val="1"/>
        </w:numPr>
        <w:spacing w:after="0"/>
        <w:jc w:val="center"/>
        <w:rPr>
          <w:rFonts w:ascii="Times New Roman" w:hAnsi="Times New Roman" w:cs="Times New Roman"/>
          <w:sz w:val="24"/>
          <w:szCs w:val="24"/>
        </w:rPr>
      </w:pPr>
      <w:r w:rsidRPr="008F511F">
        <w:rPr>
          <w:rFonts w:ascii="Times New Roman" w:hAnsi="Times New Roman" w:cs="Times New Roman"/>
          <w:sz w:val="24"/>
          <w:szCs w:val="24"/>
        </w:rPr>
        <w:t>XTZ</w:t>
      </w:r>
      <w:r w:rsidR="00EF4B35" w:rsidRPr="008F511F">
        <w:rPr>
          <w:rFonts w:ascii="Times New Roman" w:hAnsi="Times New Roman" w:cs="Times New Roman"/>
          <w:sz w:val="24"/>
          <w:szCs w:val="24"/>
        </w:rPr>
        <w:t xml:space="preserve"> (Returns-Volume)</w:t>
      </w:r>
    </w:p>
    <w:p w14:paraId="2EFCBCFC" w14:textId="572AC30F" w:rsidR="00913CF2" w:rsidRPr="008F511F" w:rsidRDefault="003136AB" w:rsidP="00914FC8">
      <w:pPr>
        <w:spacing w:after="0"/>
      </w:pPr>
      <w:r w:rsidRPr="008F511F">
        <w:t xml:space="preserve"> </w:t>
      </w:r>
      <w:r w:rsidR="0007464D" w:rsidRPr="008F511F">
        <w:object w:dxaOrig="8185" w:dyaOrig="5809" w14:anchorId="2030E98D">
          <v:shape id="_x0000_i1031" type="#_x0000_t75" style="width:474pt;height:171pt" o:ole="">
            <v:imagedata r:id="rId29" o:title=""/>
          </v:shape>
          <o:OLEObject Type="Embed" ProgID="EViews.Workfile.2" ShapeID="_x0000_i1031" DrawAspect="Content" ObjectID="_1722244926" r:id="rId30"/>
        </w:object>
      </w:r>
    </w:p>
    <w:p w14:paraId="7AF933D0" w14:textId="0D53B13B" w:rsidR="00913CF2" w:rsidRPr="008F511F" w:rsidRDefault="00913CF2" w:rsidP="00914FC8">
      <w:pPr>
        <w:pStyle w:val="ListParagraph"/>
        <w:numPr>
          <w:ilvl w:val="0"/>
          <w:numId w:val="1"/>
        </w:numPr>
        <w:spacing w:after="0"/>
        <w:jc w:val="center"/>
        <w:rPr>
          <w:rFonts w:ascii="Times New Roman" w:hAnsi="Times New Roman" w:cs="Times New Roman"/>
          <w:sz w:val="24"/>
          <w:szCs w:val="24"/>
        </w:rPr>
      </w:pPr>
      <w:r w:rsidRPr="008F511F">
        <w:rPr>
          <w:rFonts w:ascii="Times New Roman" w:hAnsi="Times New Roman" w:cs="Times New Roman"/>
          <w:sz w:val="24"/>
          <w:szCs w:val="24"/>
        </w:rPr>
        <w:t>ENJ</w:t>
      </w:r>
      <w:r w:rsidR="00EF4B35" w:rsidRPr="008F511F">
        <w:rPr>
          <w:rFonts w:ascii="Times New Roman" w:hAnsi="Times New Roman" w:cs="Times New Roman"/>
          <w:sz w:val="24"/>
          <w:szCs w:val="24"/>
        </w:rPr>
        <w:t xml:space="preserve"> (Returns-Volume)</w:t>
      </w:r>
    </w:p>
    <w:p w14:paraId="4545B862" w14:textId="6F71316E" w:rsidR="00913CF2" w:rsidRPr="008F511F" w:rsidRDefault="00913CF2" w:rsidP="00914FC8">
      <w:pPr>
        <w:pStyle w:val="ListParagraph"/>
        <w:spacing w:after="0"/>
        <w:rPr>
          <w:rFonts w:ascii="Times New Roman" w:hAnsi="Times New Roman" w:cs="Times New Roman"/>
          <w:b/>
          <w:bCs/>
          <w:sz w:val="24"/>
          <w:szCs w:val="24"/>
        </w:rPr>
      </w:pPr>
    </w:p>
    <w:p w14:paraId="4AFAA8A2" w14:textId="2DD10D2D" w:rsidR="00913CF2" w:rsidRPr="008F511F" w:rsidRDefault="0007464D" w:rsidP="00914FC8">
      <w:pPr>
        <w:tabs>
          <w:tab w:val="left" w:pos="5232"/>
        </w:tabs>
        <w:spacing w:after="0"/>
        <w:jc w:val="center"/>
      </w:pPr>
      <w:r w:rsidRPr="008F511F">
        <w:object w:dxaOrig="8185" w:dyaOrig="5809" w14:anchorId="33147552">
          <v:shape id="_x0000_i1032" type="#_x0000_t75" style="width:480pt;height:182pt" o:ole="">
            <v:imagedata r:id="rId31" o:title=""/>
          </v:shape>
          <o:OLEObject Type="Embed" ProgID="EViews.Workfile.2" ShapeID="_x0000_i1032" DrawAspect="Content" ObjectID="_1722244927" r:id="rId32"/>
        </w:object>
      </w:r>
    </w:p>
    <w:p w14:paraId="05CB9676" w14:textId="7456CD9E" w:rsidR="00914FC8" w:rsidRPr="008F511F" w:rsidRDefault="00914FC8" w:rsidP="00EF4B35">
      <w:pPr>
        <w:tabs>
          <w:tab w:val="left" w:pos="2685"/>
        </w:tabs>
        <w:jc w:val="center"/>
        <w:rPr>
          <w:rFonts w:ascii="Times New Roman" w:hAnsi="Times New Roman" w:cs="Times New Roman"/>
          <w:sz w:val="24"/>
          <w:szCs w:val="24"/>
        </w:rPr>
      </w:pPr>
      <w:r w:rsidRPr="008F511F">
        <w:rPr>
          <w:rFonts w:ascii="Times New Roman" w:hAnsi="Times New Roman" w:cs="Times New Roman"/>
          <w:b/>
          <w:bCs/>
          <w:sz w:val="24"/>
          <w:szCs w:val="24"/>
        </w:rPr>
        <w:t>Figure</w:t>
      </w:r>
      <w:r w:rsidR="00CA642F" w:rsidRPr="008F511F">
        <w:rPr>
          <w:rFonts w:ascii="Times New Roman" w:hAnsi="Times New Roman" w:cs="Times New Roman"/>
          <w:b/>
          <w:bCs/>
          <w:sz w:val="24"/>
          <w:szCs w:val="24"/>
        </w:rPr>
        <w:t xml:space="preserve"> 2</w:t>
      </w:r>
      <w:r w:rsidRPr="008F511F">
        <w:rPr>
          <w:rFonts w:ascii="Times New Roman" w:hAnsi="Times New Roman" w:cs="Times New Roman"/>
          <w:b/>
          <w:bCs/>
          <w:sz w:val="24"/>
          <w:szCs w:val="24"/>
        </w:rPr>
        <w:t xml:space="preserve">. </w:t>
      </w:r>
      <w:bookmarkStart w:id="18" w:name="_Hlk88562429"/>
      <w:r w:rsidR="00240519" w:rsidRPr="008F511F">
        <w:rPr>
          <w:rFonts w:ascii="Times New Roman" w:hAnsi="Times New Roman" w:cs="Times New Roman"/>
          <w:sz w:val="24"/>
          <w:szCs w:val="24"/>
        </w:rPr>
        <w:t>Time-varying n</w:t>
      </w:r>
      <w:r w:rsidRPr="008F511F">
        <w:rPr>
          <w:rFonts w:ascii="Times New Roman" w:hAnsi="Times New Roman" w:cs="Times New Roman"/>
          <w:sz w:val="24"/>
          <w:szCs w:val="24"/>
        </w:rPr>
        <w:t>et spillovers</w:t>
      </w:r>
      <w:r w:rsidR="00EF4B35" w:rsidRPr="008F511F">
        <w:rPr>
          <w:rFonts w:ascii="Times New Roman" w:hAnsi="Times New Roman" w:cs="Times New Roman"/>
          <w:sz w:val="24"/>
          <w:szCs w:val="24"/>
        </w:rPr>
        <w:t xml:space="preserve"> in quantile VAR</w:t>
      </w:r>
      <w:r w:rsidRPr="008F511F">
        <w:rPr>
          <w:rFonts w:ascii="Times New Roman" w:hAnsi="Times New Roman" w:cs="Times New Roman"/>
          <w:sz w:val="24"/>
          <w:szCs w:val="24"/>
        </w:rPr>
        <w:t xml:space="preserve"> </w:t>
      </w:r>
      <w:r w:rsidR="00D3347C" w:rsidRPr="008F511F">
        <w:rPr>
          <w:rFonts w:ascii="Times New Roman" w:hAnsi="Times New Roman" w:cs="Times New Roman"/>
          <w:sz w:val="24"/>
          <w:szCs w:val="24"/>
        </w:rPr>
        <w:t>for r</w:t>
      </w:r>
      <w:r w:rsidRPr="008F511F">
        <w:rPr>
          <w:rFonts w:ascii="Times New Roman" w:hAnsi="Times New Roman" w:cs="Times New Roman"/>
          <w:sz w:val="24"/>
          <w:szCs w:val="24"/>
        </w:rPr>
        <w:t>eturns</w:t>
      </w:r>
      <w:r w:rsidR="00EF4B35" w:rsidRPr="008F511F">
        <w:rPr>
          <w:rFonts w:ascii="Times New Roman" w:hAnsi="Times New Roman" w:cs="Times New Roman"/>
          <w:sz w:val="24"/>
          <w:szCs w:val="24"/>
        </w:rPr>
        <w:t>-</w:t>
      </w:r>
      <w:r w:rsidR="00D3347C" w:rsidRPr="008F511F">
        <w:rPr>
          <w:rFonts w:ascii="Times New Roman" w:hAnsi="Times New Roman" w:cs="Times New Roman"/>
          <w:sz w:val="24"/>
          <w:szCs w:val="24"/>
        </w:rPr>
        <w:t>v</w:t>
      </w:r>
      <w:r w:rsidR="00EF4B35" w:rsidRPr="008F511F">
        <w:rPr>
          <w:rFonts w:ascii="Times New Roman" w:hAnsi="Times New Roman" w:cs="Times New Roman"/>
          <w:sz w:val="24"/>
          <w:szCs w:val="24"/>
        </w:rPr>
        <w:t>olume pairs</w:t>
      </w:r>
      <w:r w:rsidR="00D3347C" w:rsidRPr="008F511F">
        <w:rPr>
          <w:rFonts w:ascii="Times New Roman" w:hAnsi="Times New Roman" w:cs="Times New Roman"/>
          <w:sz w:val="24"/>
          <w:szCs w:val="24"/>
        </w:rPr>
        <w:t xml:space="preserve"> of NFTs [The positive value indicates that returns are the net transmitter of spillover to volume whereas negative value shows that returns are net recipient of spillover from volume</w:t>
      </w:r>
      <w:r w:rsidR="002A4E40" w:rsidRPr="008F511F">
        <w:rPr>
          <w:rFonts w:ascii="Times New Roman" w:hAnsi="Times New Roman" w:cs="Times New Roman"/>
          <w:sz w:val="24"/>
          <w:szCs w:val="24"/>
        </w:rPr>
        <w:t>.]</w:t>
      </w:r>
    </w:p>
    <w:bookmarkEnd w:id="18"/>
    <w:p w14:paraId="501099AF" w14:textId="70157E90" w:rsidR="00914FC8" w:rsidRPr="008F511F" w:rsidRDefault="00F379CC" w:rsidP="0057744F">
      <w:pPr>
        <w:pStyle w:val="ListParagraph"/>
        <w:numPr>
          <w:ilvl w:val="0"/>
          <w:numId w:val="2"/>
        </w:numPr>
        <w:tabs>
          <w:tab w:val="left" w:pos="2685"/>
        </w:tabs>
        <w:spacing w:after="0"/>
        <w:jc w:val="center"/>
        <w:rPr>
          <w:rFonts w:ascii="Times New Roman" w:hAnsi="Times New Roman" w:cs="Times New Roman"/>
        </w:rPr>
      </w:pPr>
      <w:r w:rsidRPr="008F511F">
        <w:rPr>
          <w:rFonts w:ascii="Times New Roman" w:hAnsi="Times New Roman" w:cs="Times New Roman"/>
        </w:rPr>
        <w:lastRenderedPageBreak/>
        <w:t>THETA</w:t>
      </w:r>
      <w:r w:rsidR="00EF4B35" w:rsidRPr="008F511F">
        <w:rPr>
          <w:rFonts w:ascii="Times New Roman" w:hAnsi="Times New Roman" w:cs="Times New Roman"/>
        </w:rPr>
        <w:t xml:space="preserve"> (Volatility-Volume)</w:t>
      </w:r>
    </w:p>
    <w:p w14:paraId="5D75751E" w14:textId="07297EB8" w:rsidR="00F379CC" w:rsidRPr="008F511F" w:rsidRDefault="0007464D" w:rsidP="0057744F">
      <w:pPr>
        <w:tabs>
          <w:tab w:val="left" w:pos="2685"/>
        </w:tabs>
        <w:spacing w:after="0"/>
      </w:pPr>
      <w:r w:rsidRPr="008F511F">
        <w:object w:dxaOrig="8185" w:dyaOrig="5809" w14:anchorId="79A91EA0">
          <v:shape id="_x0000_i1033" type="#_x0000_t75" style="width:480pt;height:179.5pt" o:ole="">
            <v:imagedata r:id="rId33" o:title=""/>
          </v:shape>
          <o:OLEObject Type="Embed" ProgID="EViews.Workfile.2" ShapeID="_x0000_i1033" DrawAspect="Content" ObjectID="_1722244928" r:id="rId34"/>
        </w:object>
      </w:r>
    </w:p>
    <w:p w14:paraId="5AD3A35A" w14:textId="682DBD21" w:rsidR="00F379CC" w:rsidRPr="008F511F" w:rsidRDefault="00F379CC" w:rsidP="0057744F">
      <w:pPr>
        <w:pStyle w:val="ListParagraph"/>
        <w:numPr>
          <w:ilvl w:val="0"/>
          <w:numId w:val="2"/>
        </w:numPr>
        <w:spacing w:after="0"/>
        <w:jc w:val="center"/>
        <w:rPr>
          <w:rFonts w:ascii="Times New Roman" w:hAnsi="Times New Roman" w:cs="Times New Roman"/>
        </w:rPr>
      </w:pPr>
      <w:r w:rsidRPr="008F511F">
        <w:rPr>
          <w:rFonts w:ascii="Times New Roman" w:hAnsi="Times New Roman" w:cs="Times New Roman"/>
        </w:rPr>
        <w:t>XTZ</w:t>
      </w:r>
      <w:r w:rsidR="00EF4B35" w:rsidRPr="008F511F">
        <w:rPr>
          <w:rFonts w:ascii="Times New Roman" w:hAnsi="Times New Roman" w:cs="Times New Roman"/>
        </w:rPr>
        <w:t xml:space="preserve"> (Volatility-Volume)</w:t>
      </w:r>
    </w:p>
    <w:p w14:paraId="4C7F88E0" w14:textId="385664D7" w:rsidR="00F379CC" w:rsidRPr="008F511F" w:rsidRDefault="0007464D" w:rsidP="0057744F">
      <w:pPr>
        <w:spacing w:after="0"/>
      </w:pPr>
      <w:r w:rsidRPr="008F511F">
        <w:object w:dxaOrig="8185" w:dyaOrig="5809" w14:anchorId="26C99E70">
          <v:shape id="_x0000_i1034" type="#_x0000_t75" style="width:480pt;height:177pt" o:ole="">
            <v:imagedata r:id="rId35" o:title=""/>
          </v:shape>
          <o:OLEObject Type="Embed" ProgID="EViews.Workfile.2" ShapeID="_x0000_i1034" DrawAspect="Content" ObjectID="_1722244929" r:id="rId36"/>
        </w:object>
      </w:r>
    </w:p>
    <w:p w14:paraId="02D2D1E4" w14:textId="161CC794" w:rsidR="00F379CC" w:rsidRPr="008F511F" w:rsidRDefault="00F379CC" w:rsidP="0057744F">
      <w:pPr>
        <w:pStyle w:val="ListParagraph"/>
        <w:numPr>
          <w:ilvl w:val="0"/>
          <w:numId w:val="2"/>
        </w:numPr>
        <w:spacing w:after="0"/>
        <w:jc w:val="center"/>
        <w:rPr>
          <w:rFonts w:ascii="Times New Roman" w:hAnsi="Times New Roman" w:cs="Times New Roman"/>
        </w:rPr>
      </w:pPr>
      <w:r w:rsidRPr="008F511F">
        <w:rPr>
          <w:rFonts w:ascii="Times New Roman" w:hAnsi="Times New Roman" w:cs="Times New Roman"/>
        </w:rPr>
        <w:t>ENJ</w:t>
      </w:r>
      <w:r w:rsidR="00EF4B35" w:rsidRPr="008F511F">
        <w:rPr>
          <w:rFonts w:ascii="Times New Roman" w:hAnsi="Times New Roman" w:cs="Times New Roman"/>
        </w:rPr>
        <w:t xml:space="preserve"> (Volatility-Volume)</w:t>
      </w:r>
    </w:p>
    <w:p w14:paraId="445F8819" w14:textId="4BF83772" w:rsidR="00F379CC" w:rsidRPr="008F511F" w:rsidRDefault="0007464D" w:rsidP="0057744F">
      <w:pPr>
        <w:spacing w:after="0"/>
      </w:pPr>
      <w:r w:rsidRPr="008F511F">
        <w:object w:dxaOrig="8185" w:dyaOrig="5809" w14:anchorId="7D0A22D2">
          <v:shape id="_x0000_i1035" type="#_x0000_t75" style="width:492pt;height:193pt" o:ole="">
            <v:imagedata r:id="rId37" o:title=""/>
          </v:shape>
          <o:OLEObject Type="Embed" ProgID="EViews.Workfile.2" ShapeID="_x0000_i1035" DrawAspect="Content" ObjectID="_1722244930" r:id="rId38"/>
        </w:object>
      </w:r>
    </w:p>
    <w:p w14:paraId="6FAE305A" w14:textId="0881F212" w:rsidR="0057744F" w:rsidRPr="008F511F" w:rsidRDefault="0057744F" w:rsidP="0057744F"/>
    <w:p w14:paraId="7C305C4D" w14:textId="7A2E0631" w:rsidR="0057744F" w:rsidRPr="008F511F" w:rsidRDefault="0057744F" w:rsidP="0057744F">
      <w:pPr>
        <w:jc w:val="center"/>
        <w:rPr>
          <w:rFonts w:ascii="Times New Roman" w:eastAsia="Malgun Gothic" w:hAnsi="Times New Roman" w:cs="Times New Roman"/>
          <w:iCs/>
          <w:sz w:val="24"/>
          <w:szCs w:val="24"/>
          <w:lang w:eastAsia="ko-KR"/>
        </w:rPr>
      </w:pPr>
      <w:r w:rsidRPr="008F511F">
        <w:rPr>
          <w:rFonts w:ascii="Times New Roman" w:hAnsi="Times New Roman" w:cs="Times New Roman"/>
          <w:b/>
          <w:bCs/>
          <w:sz w:val="24"/>
          <w:szCs w:val="24"/>
        </w:rPr>
        <w:t>Figure</w:t>
      </w:r>
      <w:r w:rsidR="00CA642F" w:rsidRPr="008F511F">
        <w:rPr>
          <w:rFonts w:ascii="Times New Roman" w:hAnsi="Times New Roman" w:cs="Times New Roman"/>
          <w:b/>
          <w:bCs/>
          <w:sz w:val="24"/>
          <w:szCs w:val="24"/>
        </w:rPr>
        <w:t xml:space="preserve"> 3</w:t>
      </w:r>
      <w:r w:rsidRPr="008F511F">
        <w:rPr>
          <w:rFonts w:ascii="Times New Roman" w:hAnsi="Times New Roman" w:cs="Times New Roman"/>
          <w:b/>
          <w:bCs/>
          <w:sz w:val="24"/>
          <w:szCs w:val="24"/>
        </w:rPr>
        <w:t>.</w:t>
      </w:r>
      <w:r w:rsidRPr="008F511F">
        <w:rPr>
          <w:rFonts w:ascii="Times New Roman" w:hAnsi="Times New Roman" w:cs="Times New Roman"/>
          <w:sz w:val="24"/>
          <w:szCs w:val="24"/>
        </w:rPr>
        <w:t xml:space="preserve"> </w:t>
      </w:r>
      <w:r w:rsidR="002A4E40" w:rsidRPr="008F511F">
        <w:rPr>
          <w:rFonts w:ascii="Times New Roman" w:eastAsia="Malgun Gothic" w:hAnsi="Times New Roman" w:cs="Times New Roman"/>
          <w:iCs/>
          <w:sz w:val="24"/>
          <w:szCs w:val="24"/>
          <w:lang w:eastAsia="ko-KR"/>
        </w:rPr>
        <w:t>Time-varying net spillovers in quantile VAR for volatility-volume pairs of NFTs [The positive value indicates that volatility is the net transmitter of spillover to volume whereas negative value shows that volatility is net recipient of spillover from volume.]</w:t>
      </w:r>
    </w:p>
    <w:p w14:paraId="731AE714" w14:textId="77777777" w:rsidR="0007464D" w:rsidRPr="008F511F" w:rsidRDefault="0007464D" w:rsidP="000932E6">
      <w:pPr>
        <w:jc w:val="center"/>
        <w:rPr>
          <w:rFonts w:ascii="Times New Roman" w:eastAsia="Malgun Gothic" w:hAnsi="Times New Roman" w:cs="Times New Roman"/>
          <w:b/>
          <w:bCs/>
          <w:iCs/>
          <w:sz w:val="28"/>
          <w:szCs w:val="28"/>
          <w:lang w:eastAsia="ko-KR"/>
        </w:rPr>
        <w:sectPr w:rsidR="0007464D" w:rsidRPr="008F511F" w:rsidSect="0007464D">
          <w:pgSz w:w="12240" w:h="15840"/>
          <w:pgMar w:top="720" w:right="1440" w:bottom="720" w:left="1440" w:header="720" w:footer="720" w:gutter="0"/>
          <w:cols w:space="720"/>
          <w:docGrid w:linePitch="360"/>
        </w:sectPr>
      </w:pPr>
    </w:p>
    <w:p w14:paraId="05F29871" w14:textId="77777777" w:rsidR="000932E6" w:rsidRPr="008F511F" w:rsidRDefault="000932E6" w:rsidP="000932E6">
      <w:pPr>
        <w:jc w:val="center"/>
        <w:rPr>
          <w:rFonts w:ascii="Times New Roman" w:eastAsia="Malgun Gothic" w:hAnsi="Times New Roman" w:cs="Times New Roman"/>
          <w:b/>
          <w:bCs/>
          <w:iCs/>
          <w:sz w:val="28"/>
          <w:szCs w:val="28"/>
          <w:lang w:eastAsia="ko-KR"/>
        </w:rPr>
      </w:pPr>
      <w:r w:rsidRPr="008F511F">
        <w:rPr>
          <w:rFonts w:ascii="Times New Roman" w:eastAsia="Malgun Gothic" w:hAnsi="Times New Roman" w:cs="Times New Roman"/>
          <w:b/>
          <w:bCs/>
          <w:iCs/>
          <w:sz w:val="28"/>
          <w:szCs w:val="28"/>
          <w:lang w:eastAsia="ko-KR"/>
        </w:rPr>
        <w:lastRenderedPageBreak/>
        <w:t>Appendix</w:t>
      </w:r>
    </w:p>
    <w:p w14:paraId="46CEE4CB" w14:textId="38A140FC" w:rsidR="000932E6" w:rsidRPr="008F511F" w:rsidRDefault="000932E6" w:rsidP="000932E6">
      <w:pPr>
        <w:rPr>
          <w:rFonts w:ascii="Times New Roman" w:hAnsi="Times New Roman" w:cs="Times New Roman"/>
          <w:sz w:val="24"/>
          <w:szCs w:val="24"/>
        </w:rPr>
      </w:pPr>
      <w:r w:rsidRPr="008F511F">
        <w:rPr>
          <w:rFonts w:ascii="Times New Roman" w:hAnsi="Times New Roman" w:cs="Times New Roman"/>
          <w:b/>
          <w:bCs/>
          <w:sz w:val="24"/>
          <w:szCs w:val="24"/>
        </w:rPr>
        <w:t>Table A1.</w:t>
      </w:r>
      <w:r w:rsidRPr="008F511F">
        <w:rPr>
          <w:rFonts w:ascii="Times New Roman" w:hAnsi="Times New Roman" w:cs="Times New Roman"/>
          <w:sz w:val="24"/>
          <w:szCs w:val="24"/>
        </w:rPr>
        <w:t xml:space="preserve"> Static quantile-based spillovers between return and volume </w:t>
      </w:r>
      <w:r w:rsidR="005576F5" w:rsidRPr="008F511F">
        <w:rPr>
          <w:rFonts w:ascii="Times New Roman" w:hAnsi="Times New Roman" w:cs="Times New Roman"/>
          <w:sz w:val="24"/>
          <w:szCs w:val="24"/>
        </w:rPr>
        <w:t>using sample period from 17 February 2018 to 20 November 2021.</w:t>
      </w:r>
    </w:p>
    <w:tbl>
      <w:tblPr>
        <w:tblStyle w:val="TableGrid"/>
        <w:tblW w:w="94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1863"/>
        <w:gridCol w:w="2428"/>
        <w:gridCol w:w="2352"/>
      </w:tblGrid>
      <w:tr w:rsidR="008F511F" w:rsidRPr="008F511F" w14:paraId="60D3362A" w14:textId="77777777" w:rsidTr="00D162CA">
        <w:trPr>
          <w:trHeight w:val="336"/>
        </w:trPr>
        <w:tc>
          <w:tcPr>
            <w:tcW w:w="2792" w:type="dxa"/>
            <w:tcBorders>
              <w:top w:val="single" w:sz="4" w:space="0" w:color="auto"/>
              <w:bottom w:val="single" w:sz="4" w:space="0" w:color="auto"/>
            </w:tcBorders>
            <w:noWrap/>
            <w:hideMark/>
          </w:tcPr>
          <w:p w14:paraId="0A2C0D00" w14:textId="77777777" w:rsidR="000932E6" w:rsidRPr="008F511F" w:rsidRDefault="000932E6" w:rsidP="00D162CA">
            <w:pPr>
              <w:rPr>
                <w:rFonts w:ascii="Times New Roman" w:hAnsi="Times New Roman" w:cs="Times New Roman"/>
                <w:sz w:val="24"/>
                <w:szCs w:val="24"/>
              </w:rPr>
            </w:pPr>
          </w:p>
        </w:tc>
        <w:tc>
          <w:tcPr>
            <w:tcW w:w="1863" w:type="dxa"/>
            <w:tcBorders>
              <w:top w:val="single" w:sz="4" w:space="0" w:color="auto"/>
              <w:bottom w:val="single" w:sz="4" w:space="0" w:color="auto"/>
            </w:tcBorders>
            <w:noWrap/>
            <w:hideMark/>
          </w:tcPr>
          <w:p w14:paraId="56FB76E4"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Median (0.50)</w:t>
            </w:r>
          </w:p>
        </w:tc>
        <w:tc>
          <w:tcPr>
            <w:tcW w:w="2428" w:type="dxa"/>
            <w:tcBorders>
              <w:top w:val="single" w:sz="4" w:space="0" w:color="auto"/>
              <w:bottom w:val="single" w:sz="4" w:space="0" w:color="auto"/>
            </w:tcBorders>
            <w:noWrap/>
            <w:hideMark/>
          </w:tcPr>
          <w:p w14:paraId="080CE405"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Lower Quantile (0.05)</w:t>
            </w:r>
          </w:p>
        </w:tc>
        <w:tc>
          <w:tcPr>
            <w:tcW w:w="2352" w:type="dxa"/>
            <w:tcBorders>
              <w:top w:val="single" w:sz="4" w:space="0" w:color="auto"/>
              <w:bottom w:val="single" w:sz="4" w:space="0" w:color="auto"/>
            </w:tcBorders>
            <w:noWrap/>
            <w:hideMark/>
          </w:tcPr>
          <w:p w14:paraId="71944976"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Upper Quantile (0.95)</w:t>
            </w:r>
          </w:p>
        </w:tc>
      </w:tr>
      <w:tr w:rsidR="008F511F" w:rsidRPr="008F511F" w14:paraId="032C8A6C" w14:textId="77777777" w:rsidTr="00D162CA">
        <w:trPr>
          <w:trHeight w:val="336"/>
        </w:trPr>
        <w:tc>
          <w:tcPr>
            <w:tcW w:w="2792" w:type="dxa"/>
            <w:tcBorders>
              <w:top w:val="single" w:sz="4" w:space="0" w:color="auto"/>
            </w:tcBorders>
            <w:noWrap/>
            <w:hideMark/>
          </w:tcPr>
          <w:p w14:paraId="21D1E4AB"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1. THETA</w:t>
            </w:r>
          </w:p>
        </w:tc>
        <w:tc>
          <w:tcPr>
            <w:tcW w:w="1863" w:type="dxa"/>
            <w:tcBorders>
              <w:top w:val="single" w:sz="4" w:space="0" w:color="auto"/>
            </w:tcBorders>
            <w:noWrap/>
            <w:hideMark/>
          </w:tcPr>
          <w:p w14:paraId="0C3E2DD2" w14:textId="77777777" w:rsidR="000932E6" w:rsidRPr="008F511F" w:rsidRDefault="000932E6" w:rsidP="00D162CA">
            <w:pPr>
              <w:rPr>
                <w:rFonts w:ascii="Times New Roman" w:hAnsi="Times New Roman" w:cs="Times New Roman"/>
                <w:b/>
                <w:bCs/>
                <w:sz w:val="24"/>
                <w:szCs w:val="24"/>
              </w:rPr>
            </w:pPr>
          </w:p>
        </w:tc>
        <w:tc>
          <w:tcPr>
            <w:tcW w:w="2428" w:type="dxa"/>
            <w:tcBorders>
              <w:top w:val="single" w:sz="4" w:space="0" w:color="auto"/>
            </w:tcBorders>
            <w:noWrap/>
            <w:hideMark/>
          </w:tcPr>
          <w:p w14:paraId="48707F85" w14:textId="77777777" w:rsidR="000932E6" w:rsidRPr="008F511F" w:rsidRDefault="000932E6" w:rsidP="00D162CA">
            <w:pPr>
              <w:rPr>
                <w:rFonts w:ascii="Times New Roman" w:hAnsi="Times New Roman" w:cs="Times New Roman"/>
                <w:sz w:val="24"/>
                <w:szCs w:val="24"/>
              </w:rPr>
            </w:pPr>
          </w:p>
        </w:tc>
        <w:tc>
          <w:tcPr>
            <w:tcW w:w="2352" w:type="dxa"/>
            <w:tcBorders>
              <w:top w:val="single" w:sz="4" w:space="0" w:color="auto"/>
            </w:tcBorders>
            <w:noWrap/>
            <w:hideMark/>
          </w:tcPr>
          <w:p w14:paraId="1ED8EDEE" w14:textId="77777777" w:rsidR="000932E6" w:rsidRPr="008F511F" w:rsidRDefault="000932E6" w:rsidP="00D162CA">
            <w:pPr>
              <w:rPr>
                <w:rFonts w:ascii="Times New Roman" w:hAnsi="Times New Roman" w:cs="Times New Roman"/>
                <w:sz w:val="24"/>
                <w:szCs w:val="24"/>
              </w:rPr>
            </w:pPr>
          </w:p>
        </w:tc>
      </w:tr>
      <w:tr w:rsidR="008F511F" w:rsidRPr="008F511F" w14:paraId="024B414E" w14:textId="77777777" w:rsidTr="00D162CA">
        <w:trPr>
          <w:trHeight w:val="336"/>
        </w:trPr>
        <w:tc>
          <w:tcPr>
            <w:tcW w:w="2792" w:type="dxa"/>
            <w:noWrap/>
          </w:tcPr>
          <w:p w14:paraId="5EC7053C" w14:textId="77777777" w:rsidR="000932E6" w:rsidRPr="008F511F" w:rsidRDefault="000932E6" w:rsidP="00D162CA">
            <w:pPr>
              <w:rPr>
                <w:rFonts w:ascii="Times New Roman" w:hAnsi="Times New Roman" w:cs="Times New Roman"/>
                <w:b/>
                <w:bCs/>
                <w:sz w:val="24"/>
                <w:szCs w:val="24"/>
              </w:rPr>
            </w:pPr>
          </w:p>
        </w:tc>
        <w:tc>
          <w:tcPr>
            <w:tcW w:w="1863" w:type="dxa"/>
            <w:noWrap/>
          </w:tcPr>
          <w:p w14:paraId="1420AAE4" w14:textId="77777777" w:rsidR="000932E6" w:rsidRPr="008F511F" w:rsidRDefault="000932E6" w:rsidP="00D162CA">
            <w:pPr>
              <w:jc w:val="center"/>
              <w:rPr>
                <w:rFonts w:ascii="Times New Roman" w:hAnsi="Times New Roman" w:cs="Times New Roman"/>
                <w:sz w:val="24"/>
                <w:szCs w:val="24"/>
              </w:rPr>
            </w:pPr>
          </w:p>
        </w:tc>
        <w:tc>
          <w:tcPr>
            <w:tcW w:w="2428" w:type="dxa"/>
            <w:noWrap/>
          </w:tcPr>
          <w:p w14:paraId="44489A03"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30492CDF" w14:textId="77777777" w:rsidR="000932E6" w:rsidRPr="008F511F" w:rsidRDefault="000932E6" w:rsidP="00D162CA">
            <w:pPr>
              <w:jc w:val="center"/>
              <w:rPr>
                <w:rFonts w:ascii="Times New Roman" w:hAnsi="Times New Roman" w:cs="Times New Roman"/>
                <w:sz w:val="24"/>
                <w:szCs w:val="24"/>
              </w:rPr>
            </w:pPr>
          </w:p>
        </w:tc>
      </w:tr>
      <w:tr w:rsidR="008F511F" w:rsidRPr="008F511F" w14:paraId="1FAC84A5" w14:textId="77777777" w:rsidTr="00D162CA">
        <w:trPr>
          <w:trHeight w:val="336"/>
        </w:trPr>
        <w:tc>
          <w:tcPr>
            <w:tcW w:w="2792" w:type="dxa"/>
            <w:noWrap/>
            <w:hideMark/>
          </w:tcPr>
          <w:p w14:paraId="1C14FC18"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63" w:type="dxa"/>
            <w:noWrap/>
            <w:hideMark/>
          </w:tcPr>
          <w:p w14:paraId="6C17E562"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13.83</w:t>
            </w:r>
          </w:p>
        </w:tc>
        <w:tc>
          <w:tcPr>
            <w:tcW w:w="2428" w:type="dxa"/>
            <w:noWrap/>
          </w:tcPr>
          <w:p w14:paraId="6BC7C81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38.79</w:t>
            </w:r>
          </w:p>
        </w:tc>
        <w:tc>
          <w:tcPr>
            <w:tcW w:w="2352" w:type="dxa"/>
            <w:noWrap/>
          </w:tcPr>
          <w:p w14:paraId="6A537B42"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40.27</w:t>
            </w:r>
          </w:p>
        </w:tc>
      </w:tr>
      <w:tr w:rsidR="008F511F" w:rsidRPr="008F511F" w14:paraId="45FB4ABE" w14:textId="77777777" w:rsidTr="00D162CA">
        <w:trPr>
          <w:trHeight w:val="336"/>
        </w:trPr>
        <w:tc>
          <w:tcPr>
            <w:tcW w:w="2792" w:type="dxa"/>
            <w:noWrap/>
            <w:hideMark/>
          </w:tcPr>
          <w:p w14:paraId="38697679"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63" w:type="dxa"/>
            <w:noWrap/>
            <w:hideMark/>
          </w:tcPr>
          <w:p w14:paraId="40F2D334" w14:textId="77777777" w:rsidR="000932E6" w:rsidRPr="008F511F" w:rsidRDefault="000932E6" w:rsidP="00D162CA">
            <w:pPr>
              <w:jc w:val="center"/>
              <w:rPr>
                <w:rFonts w:ascii="Times New Roman" w:hAnsi="Times New Roman" w:cs="Times New Roman"/>
                <w:b/>
                <w:bCs/>
                <w:sz w:val="24"/>
                <w:szCs w:val="24"/>
              </w:rPr>
            </w:pPr>
          </w:p>
        </w:tc>
        <w:tc>
          <w:tcPr>
            <w:tcW w:w="2428" w:type="dxa"/>
            <w:noWrap/>
          </w:tcPr>
          <w:p w14:paraId="3E9D442A"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324CC3AB" w14:textId="77777777" w:rsidR="000932E6" w:rsidRPr="008F511F" w:rsidRDefault="000932E6" w:rsidP="00D162CA">
            <w:pPr>
              <w:jc w:val="center"/>
              <w:rPr>
                <w:rFonts w:ascii="Times New Roman" w:hAnsi="Times New Roman" w:cs="Times New Roman"/>
                <w:sz w:val="24"/>
                <w:szCs w:val="24"/>
              </w:rPr>
            </w:pPr>
          </w:p>
        </w:tc>
      </w:tr>
      <w:tr w:rsidR="008F511F" w:rsidRPr="008F511F" w14:paraId="3A86DF83" w14:textId="77777777" w:rsidTr="00D162CA">
        <w:trPr>
          <w:trHeight w:val="336"/>
        </w:trPr>
        <w:tc>
          <w:tcPr>
            <w:tcW w:w="2792" w:type="dxa"/>
            <w:noWrap/>
            <w:hideMark/>
          </w:tcPr>
          <w:p w14:paraId="546F29C6"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tcPr>
          <w:p w14:paraId="47A26719"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14.34</w:t>
            </w:r>
          </w:p>
        </w:tc>
        <w:tc>
          <w:tcPr>
            <w:tcW w:w="2428" w:type="dxa"/>
            <w:noWrap/>
          </w:tcPr>
          <w:p w14:paraId="3C59FF9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38.31</w:t>
            </w:r>
          </w:p>
        </w:tc>
        <w:tc>
          <w:tcPr>
            <w:tcW w:w="2352" w:type="dxa"/>
            <w:noWrap/>
          </w:tcPr>
          <w:p w14:paraId="63AE8DE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40.53</w:t>
            </w:r>
          </w:p>
        </w:tc>
      </w:tr>
      <w:tr w:rsidR="008F511F" w:rsidRPr="008F511F" w14:paraId="54FB2639" w14:textId="77777777" w:rsidTr="00D162CA">
        <w:trPr>
          <w:trHeight w:val="336"/>
        </w:trPr>
        <w:tc>
          <w:tcPr>
            <w:tcW w:w="2792" w:type="dxa"/>
            <w:noWrap/>
            <w:hideMark/>
          </w:tcPr>
          <w:p w14:paraId="63398372"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tcPr>
          <w:p w14:paraId="3074AAF8"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 xml:space="preserve">          13.33</w:t>
            </w:r>
          </w:p>
        </w:tc>
        <w:tc>
          <w:tcPr>
            <w:tcW w:w="2428" w:type="dxa"/>
            <w:noWrap/>
          </w:tcPr>
          <w:p w14:paraId="06CFBDEB"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39.27</w:t>
            </w:r>
          </w:p>
        </w:tc>
        <w:tc>
          <w:tcPr>
            <w:tcW w:w="2352" w:type="dxa"/>
            <w:noWrap/>
          </w:tcPr>
          <w:p w14:paraId="6AB5A155"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40.01</w:t>
            </w:r>
          </w:p>
        </w:tc>
      </w:tr>
      <w:tr w:rsidR="008F511F" w:rsidRPr="008F511F" w14:paraId="6602E43D" w14:textId="77777777" w:rsidTr="00D162CA">
        <w:trPr>
          <w:trHeight w:val="336"/>
        </w:trPr>
        <w:tc>
          <w:tcPr>
            <w:tcW w:w="2792" w:type="dxa"/>
            <w:noWrap/>
            <w:hideMark/>
          </w:tcPr>
          <w:p w14:paraId="41F64B93"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63" w:type="dxa"/>
            <w:noWrap/>
            <w:hideMark/>
          </w:tcPr>
          <w:p w14:paraId="20BE0B57" w14:textId="77777777" w:rsidR="000932E6" w:rsidRPr="008F511F" w:rsidRDefault="000932E6" w:rsidP="00D162CA">
            <w:pPr>
              <w:jc w:val="center"/>
              <w:rPr>
                <w:rFonts w:ascii="Times New Roman" w:hAnsi="Times New Roman" w:cs="Times New Roman"/>
                <w:b/>
                <w:bCs/>
                <w:sz w:val="24"/>
                <w:szCs w:val="24"/>
              </w:rPr>
            </w:pPr>
          </w:p>
        </w:tc>
        <w:tc>
          <w:tcPr>
            <w:tcW w:w="2428" w:type="dxa"/>
            <w:noWrap/>
          </w:tcPr>
          <w:p w14:paraId="35C5C047"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7E6E3C0E" w14:textId="77777777" w:rsidR="000932E6" w:rsidRPr="008F511F" w:rsidRDefault="000932E6" w:rsidP="00D162CA">
            <w:pPr>
              <w:jc w:val="center"/>
              <w:rPr>
                <w:rFonts w:ascii="Times New Roman" w:hAnsi="Times New Roman" w:cs="Times New Roman"/>
                <w:sz w:val="24"/>
                <w:szCs w:val="24"/>
              </w:rPr>
            </w:pPr>
          </w:p>
        </w:tc>
      </w:tr>
      <w:tr w:rsidR="008F511F" w:rsidRPr="008F511F" w14:paraId="21C1C132" w14:textId="77777777" w:rsidTr="00D162CA">
        <w:trPr>
          <w:trHeight w:val="336"/>
        </w:trPr>
        <w:tc>
          <w:tcPr>
            <w:tcW w:w="2792" w:type="dxa"/>
            <w:noWrap/>
            <w:hideMark/>
          </w:tcPr>
          <w:p w14:paraId="17FADB71"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hideMark/>
          </w:tcPr>
          <w:p w14:paraId="0DC14B61"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1.01</w:t>
            </w:r>
          </w:p>
        </w:tc>
        <w:tc>
          <w:tcPr>
            <w:tcW w:w="2428" w:type="dxa"/>
            <w:noWrap/>
          </w:tcPr>
          <w:p w14:paraId="4B758D19"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-0.96</w:t>
            </w:r>
          </w:p>
        </w:tc>
        <w:tc>
          <w:tcPr>
            <w:tcW w:w="2352" w:type="dxa"/>
            <w:noWrap/>
          </w:tcPr>
          <w:p w14:paraId="77B2CF25"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0.52</w:t>
            </w:r>
          </w:p>
        </w:tc>
      </w:tr>
      <w:tr w:rsidR="008F511F" w:rsidRPr="008F511F" w14:paraId="031939D2" w14:textId="77777777" w:rsidTr="00D162CA">
        <w:trPr>
          <w:trHeight w:val="336"/>
        </w:trPr>
        <w:tc>
          <w:tcPr>
            <w:tcW w:w="2792" w:type="dxa"/>
            <w:noWrap/>
            <w:hideMark/>
          </w:tcPr>
          <w:p w14:paraId="211D4D4B"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hideMark/>
          </w:tcPr>
          <w:p w14:paraId="7C2AFD9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-1.01</w:t>
            </w:r>
          </w:p>
        </w:tc>
        <w:tc>
          <w:tcPr>
            <w:tcW w:w="2428" w:type="dxa"/>
            <w:noWrap/>
          </w:tcPr>
          <w:p w14:paraId="184EED9C"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0.96</w:t>
            </w:r>
          </w:p>
        </w:tc>
        <w:tc>
          <w:tcPr>
            <w:tcW w:w="2352" w:type="dxa"/>
            <w:noWrap/>
          </w:tcPr>
          <w:p w14:paraId="26FE413B"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-0.52</w:t>
            </w:r>
          </w:p>
        </w:tc>
      </w:tr>
      <w:tr w:rsidR="008F511F" w:rsidRPr="008F511F" w14:paraId="4282E0D3" w14:textId="77777777" w:rsidTr="00D162CA">
        <w:trPr>
          <w:trHeight w:val="336"/>
        </w:trPr>
        <w:tc>
          <w:tcPr>
            <w:tcW w:w="2792" w:type="dxa"/>
            <w:noWrap/>
            <w:hideMark/>
          </w:tcPr>
          <w:p w14:paraId="79CBE867" w14:textId="77777777" w:rsidR="000932E6" w:rsidRPr="008F511F" w:rsidRDefault="000932E6" w:rsidP="00D162CA">
            <w:pPr>
              <w:rPr>
                <w:rFonts w:ascii="Times New Roman" w:hAnsi="Times New Roman" w:cs="Times New Roman"/>
                <w:sz w:val="24"/>
                <w:szCs w:val="24"/>
              </w:rPr>
            </w:pPr>
          </w:p>
        </w:tc>
        <w:tc>
          <w:tcPr>
            <w:tcW w:w="1863" w:type="dxa"/>
            <w:noWrap/>
            <w:hideMark/>
          </w:tcPr>
          <w:p w14:paraId="1E9FC3B0" w14:textId="77777777" w:rsidR="000932E6" w:rsidRPr="008F511F" w:rsidRDefault="000932E6" w:rsidP="00D162CA">
            <w:pPr>
              <w:jc w:val="center"/>
              <w:rPr>
                <w:rFonts w:ascii="Times New Roman" w:hAnsi="Times New Roman" w:cs="Times New Roman"/>
                <w:sz w:val="24"/>
                <w:szCs w:val="24"/>
              </w:rPr>
            </w:pPr>
          </w:p>
        </w:tc>
        <w:tc>
          <w:tcPr>
            <w:tcW w:w="2428" w:type="dxa"/>
            <w:noWrap/>
          </w:tcPr>
          <w:p w14:paraId="722302B0"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442B0C47" w14:textId="77777777" w:rsidR="000932E6" w:rsidRPr="008F511F" w:rsidRDefault="000932E6" w:rsidP="00D162CA">
            <w:pPr>
              <w:jc w:val="center"/>
              <w:rPr>
                <w:rFonts w:ascii="Times New Roman" w:hAnsi="Times New Roman" w:cs="Times New Roman"/>
                <w:sz w:val="24"/>
                <w:szCs w:val="24"/>
              </w:rPr>
            </w:pPr>
          </w:p>
        </w:tc>
      </w:tr>
      <w:tr w:rsidR="008F511F" w:rsidRPr="008F511F" w14:paraId="3CC77F00" w14:textId="77777777" w:rsidTr="00D162CA">
        <w:trPr>
          <w:trHeight w:val="336"/>
        </w:trPr>
        <w:tc>
          <w:tcPr>
            <w:tcW w:w="2792" w:type="dxa"/>
            <w:noWrap/>
            <w:hideMark/>
          </w:tcPr>
          <w:p w14:paraId="31F7E11C"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2. XTZ</w:t>
            </w:r>
          </w:p>
        </w:tc>
        <w:tc>
          <w:tcPr>
            <w:tcW w:w="1863" w:type="dxa"/>
            <w:noWrap/>
            <w:hideMark/>
          </w:tcPr>
          <w:p w14:paraId="0D83BC94" w14:textId="77777777" w:rsidR="000932E6" w:rsidRPr="008F511F" w:rsidRDefault="000932E6" w:rsidP="00D162CA">
            <w:pPr>
              <w:jc w:val="center"/>
              <w:rPr>
                <w:rFonts w:ascii="Times New Roman" w:hAnsi="Times New Roman" w:cs="Times New Roman"/>
                <w:b/>
                <w:bCs/>
                <w:sz w:val="24"/>
                <w:szCs w:val="24"/>
              </w:rPr>
            </w:pPr>
          </w:p>
        </w:tc>
        <w:tc>
          <w:tcPr>
            <w:tcW w:w="2428" w:type="dxa"/>
            <w:noWrap/>
          </w:tcPr>
          <w:p w14:paraId="11E61F3C"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4448ED61" w14:textId="77777777" w:rsidR="000932E6" w:rsidRPr="008F511F" w:rsidRDefault="000932E6" w:rsidP="00D162CA">
            <w:pPr>
              <w:jc w:val="center"/>
              <w:rPr>
                <w:rFonts w:ascii="Times New Roman" w:hAnsi="Times New Roman" w:cs="Times New Roman"/>
                <w:sz w:val="24"/>
                <w:szCs w:val="24"/>
              </w:rPr>
            </w:pPr>
          </w:p>
        </w:tc>
      </w:tr>
      <w:tr w:rsidR="008F511F" w:rsidRPr="008F511F" w14:paraId="1254B4E0" w14:textId="77777777" w:rsidTr="00D162CA">
        <w:trPr>
          <w:trHeight w:val="336"/>
        </w:trPr>
        <w:tc>
          <w:tcPr>
            <w:tcW w:w="2792" w:type="dxa"/>
            <w:noWrap/>
          </w:tcPr>
          <w:p w14:paraId="4C5FF7E5" w14:textId="77777777" w:rsidR="000932E6" w:rsidRPr="008F511F" w:rsidRDefault="000932E6" w:rsidP="00D162CA">
            <w:pPr>
              <w:rPr>
                <w:rFonts w:ascii="Times New Roman" w:hAnsi="Times New Roman" w:cs="Times New Roman"/>
                <w:b/>
                <w:bCs/>
                <w:sz w:val="24"/>
                <w:szCs w:val="24"/>
              </w:rPr>
            </w:pPr>
          </w:p>
        </w:tc>
        <w:tc>
          <w:tcPr>
            <w:tcW w:w="1863" w:type="dxa"/>
            <w:noWrap/>
          </w:tcPr>
          <w:p w14:paraId="18B5DE51" w14:textId="77777777" w:rsidR="000932E6" w:rsidRPr="008F511F" w:rsidRDefault="000932E6" w:rsidP="00D162CA">
            <w:pPr>
              <w:jc w:val="center"/>
              <w:rPr>
                <w:rFonts w:ascii="Times New Roman" w:hAnsi="Times New Roman" w:cs="Times New Roman"/>
                <w:sz w:val="24"/>
                <w:szCs w:val="24"/>
              </w:rPr>
            </w:pPr>
          </w:p>
        </w:tc>
        <w:tc>
          <w:tcPr>
            <w:tcW w:w="2428" w:type="dxa"/>
            <w:noWrap/>
          </w:tcPr>
          <w:p w14:paraId="141E7FE7"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711D766A" w14:textId="77777777" w:rsidR="000932E6" w:rsidRPr="008F511F" w:rsidRDefault="000932E6" w:rsidP="00D162CA">
            <w:pPr>
              <w:jc w:val="center"/>
              <w:rPr>
                <w:rFonts w:ascii="Times New Roman" w:hAnsi="Times New Roman" w:cs="Times New Roman"/>
                <w:sz w:val="24"/>
                <w:szCs w:val="24"/>
              </w:rPr>
            </w:pPr>
          </w:p>
        </w:tc>
      </w:tr>
      <w:tr w:rsidR="008F511F" w:rsidRPr="008F511F" w14:paraId="1C8F91A7" w14:textId="77777777" w:rsidTr="00D162CA">
        <w:trPr>
          <w:trHeight w:val="336"/>
        </w:trPr>
        <w:tc>
          <w:tcPr>
            <w:tcW w:w="2792" w:type="dxa"/>
            <w:noWrap/>
            <w:hideMark/>
          </w:tcPr>
          <w:p w14:paraId="56ABAC4C"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63" w:type="dxa"/>
            <w:noWrap/>
          </w:tcPr>
          <w:p w14:paraId="12FDBEEC"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5.88</w:t>
            </w:r>
          </w:p>
        </w:tc>
        <w:tc>
          <w:tcPr>
            <w:tcW w:w="2428" w:type="dxa"/>
            <w:noWrap/>
          </w:tcPr>
          <w:p w14:paraId="2B92190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36.35</w:t>
            </w:r>
          </w:p>
        </w:tc>
        <w:tc>
          <w:tcPr>
            <w:tcW w:w="2352" w:type="dxa"/>
            <w:noWrap/>
          </w:tcPr>
          <w:p w14:paraId="1ED64130"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38.39</w:t>
            </w:r>
          </w:p>
        </w:tc>
      </w:tr>
      <w:tr w:rsidR="008F511F" w:rsidRPr="008F511F" w14:paraId="4C8DF4FD" w14:textId="77777777" w:rsidTr="00D162CA">
        <w:trPr>
          <w:trHeight w:val="336"/>
        </w:trPr>
        <w:tc>
          <w:tcPr>
            <w:tcW w:w="2792" w:type="dxa"/>
            <w:noWrap/>
            <w:hideMark/>
          </w:tcPr>
          <w:p w14:paraId="4AD36485"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63" w:type="dxa"/>
            <w:noWrap/>
          </w:tcPr>
          <w:p w14:paraId="2AC42CA4" w14:textId="77777777" w:rsidR="000932E6" w:rsidRPr="008F511F" w:rsidRDefault="000932E6" w:rsidP="00D162CA">
            <w:pPr>
              <w:jc w:val="center"/>
              <w:rPr>
                <w:rFonts w:ascii="Times New Roman" w:hAnsi="Times New Roman" w:cs="Times New Roman"/>
                <w:b/>
                <w:bCs/>
                <w:sz w:val="24"/>
                <w:szCs w:val="24"/>
              </w:rPr>
            </w:pPr>
          </w:p>
        </w:tc>
        <w:tc>
          <w:tcPr>
            <w:tcW w:w="2428" w:type="dxa"/>
            <w:noWrap/>
          </w:tcPr>
          <w:p w14:paraId="42F15FC0"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40F3303A" w14:textId="77777777" w:rsidR="000932E6" w:rsidRPr="008F511F" w:rsidRDefault="000932E6" w:rsidP="00D162CA">
            <w:pPr>
              <w:jc w:val="center"/>
              <w:rPr>
                <w:rFonts w:ascii="Times New Roman" w:hAnsi="Times New Roman" w:cs="Times New Roman"/>
                <w:sz w:val="24"/>
                <w:szCs w:val="24"/>
              </w:rPr>
            </w:pPr>
          </w:p>
        </w:tc>
      </w:tr>
      <w:tr w:rsidR="008F511F" w:rsidRPr="008F511F" w14:paraId="396F68D5" w14:textId="77777777" w:rsidTr="00D162CA">
        <w:trPr>
          <w:trHeight w:val="336"/>
        </w:trPr>
        <w:tc>
          <w:tcPr>
            <w:tcW w:w="2792" w:type="dxa"/>
            <w:noWrap/>
            <w:hideMark/>
          </w:tcPr>
          <w:p w14:paraId="7CFC7888"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tcPr>
          <w:p w14:paraId="7CA8E57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6.78</w:t>
            </w:r>
          </w:p>
        </w:tc>
        <w:tc>
          <w:tcPr>
            <w:tcW w:w="2428" w:type="dxa"/>
            <w:noWrap/>
          </w:tcPr>
          <w:p w14:paraId="76776A47"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35.59</w:t>
            </w:r>
          </w:p>
        </w:tc>
        <w:tc>
          <w:tcPr>
            <w:tcW w:w="2352" w:type="dxa"/>
            <w:noWrap/>
          </w:tcPr>
          <w:p w14:paraId="5E352F96"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38.15</w:t>
            </w:r>
          </w:p>
        </w:tc>
      </w:tr>
      <w:tr w:rsidR="008F511F" w:rsidRPr="008F511F" w14:paraId="5596611C" w14:textId="77777777" w:rsidTr="00D162CA">
        <w:trPr>
          <w:trHeight w:val="336"/>
        </w:trPr>
        <w:tc>
          <w:tcPr>
            <w:tcW w:w="2792" w:type="dxa"/>
            <w:noWrap/>
            <w:hideMark/>
          </w:tcPr>
          <w:p w14:paraId="021576F8"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tcPr>
          <w:p w14:paraId="0C81B56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4.98</w:t>
            </w:r>
          </w:p>
        </w:tc>
        <w:tc>
          <w:tcPr>
            <w:tcW w:w="2428" w:type="dxa"/>
            <w:noWrap/>
          </w:tcPr>
          <w:p w14:paraId="6719EC51"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37.11</w:t>
            </w:r>
          </w:p>
        </w:tc>
        <w:tc>
          <w:tcPr>
            <w:tcW w:w="2352" w:type="dxa"/>
            <w:noWrap/>
          </w:tcPr>
          <w:p w14:paraId="688BC877"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38.63</w:t>
            </w:r>
          </w:p>
        </w:tc>
      </w:tr>
      <w:tr w:rsidR="008F511F" w:rsidRPr="008F511F" w14:paraId="273ECE22" w14:textId="77777777" w:rsidTr="00D162CA">
        <w:trPr>
          <w:trHeight w:val="336"/>
        </w:trPr>
        <w:tc>
          <w:tcPr>
            <w:tcW w:w="2792" w:type="dxa"/>
            <w:noWrap/>
            <w:hideMark/>
          </w:tcPr>
          <w:p w14:paraId="05184DE3"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63" w:type="dxa"/>
            <w:noWrap/>
          </w:tcPr>
          <w:p w14:paraId="1070A15C" w14:textId="77777777" w:rsidR="000932E6" w:rsidRPr="008F511F" w:rsidRDefault="000932E6" w:rsidP="00D162CA">
            <w:pPr>
              <w:jc w:val="center"/>
              <w:rPr>
                <w:rFonts w:ascii="Times New Roman" w:hAnsi="Times New Roman" w:cs="Times New Roman"/>
                <w:b/>
                <w:bCs/>
                <w:sz w:val="24"/>
                <w:szCs w:val="24"/>
              </w:rPr>
            </w:pPr>
          </w:p>
        </w:tc>
        <w:tc>
          <w:tcPr>
            <w:tcW w:w="2428" w:type="dxa"/>
            <w:noWrap/>
          </w:tcPr>
          <w:p w14:paraId="4BEAFA1F"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108A5DD7" w14:textId="77777777" w:rsidR="000932E6" w:rsidRPr="008F511F" w:rsidRDefault="000932E6" w:rsidP="00D162CA">
            <w:pPr>
              <w:jc w:val="center"/>
              <w:rPr>
                <w:rFonts w:ascii="Times New Roman" w:hAnsi="Times New Roman" w:cs="Times New Roman"/>
                <w:sz w:val="24"/>
                <w:szCs w:val="24"/>
              </w:rPr>
            </w:pPr>
          </w:p>
        </w:tc>
      </w:tr>
      <w:tr w:rsidR="008F511F" w:rsidRPr="008F511F" w14:paraId="41868DEA" w14:textId="77777777" w:rsidTr="00D162CA">
        <w:trPr>
          <w:trHeight w:val="336"/>
        </w:trPr>
        <w:tc>
          <w:tcPr>
            <w:tcW w:w="2792" w:type="dxa"/>
            <w:noWrap/>
            <w:hideMark/>
          </w:tcPr>
          <w:p w14:paraId="2F76BDB4"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tcPr>
          <w:p w14:paraId="7958639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1.80</w:t>
            </w:r>
          </w:p>
        </w:tc>
        <w:tc>
          <w:tcPr>
            <w:tcW w:w="2428" w:type="dxa"/>
            <w:noWrap/>
          </w:tcPr>
          <w:p w14:paraId="4EF0FFA7"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-1.51</w:t>
            </w:r>
          </w:p>
        </w:tc>
        <w:tc>
          <w:tcPr>
            <w:tcW w:w="2352" w:type="dxa"/>
            <w:noWrap/>
          </w:tcPr>
          <w:p w14:paraId="0E8C9040"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-0.47</w:t>
            </w:r>
          </w:p>
        </w:tc>
      </w:tr>
      <w:tr w:rsidR="008F511F" w:rsidRPr="008F511F" w14:paraId="68B71A32" w14:textId="77777777" w:rsidTr="00D162CA">
        <w:trPr>
          <w:trHeight w:val="336"/>
        </w:trPr>
        <w:tc>
          <w:tcPr>
            <w:tcW w:w="2792" w:type="dxa"/>
            <w:noWrap/>
            <w:hideMark/>
          </w:tcPr>
          <w:p w14:paraId="61FF195B"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tcPr>
          <w:p w14:paraId="127C9F9D"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-1.80</w:t>
            </w:r>
          </w:p>
        </w:tc>
        <w:tc>
          <w:tcPr>
            <w:tcW w:w="2428" w:type="dxa"/>
            <w:noWrap/>
          </w:tcPr>
          <w:p w14:paraId="5203FE8F"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1.51</w:t>
            </w:r>
          </w:p>
        </w:tc>
        <w:tc>
          <w:tcPr>
            <w:tcW w:w="2352" w:type="dxa"/>
            <w:noWrap/>
          </w:tcPr>
          <w:p w14:paraId="7E499A7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0.47</w:t>
            </w:r>
          </w:p>
        </w:tc>
      </w:tr>
      <w:tr w:rsidR="008F511F" w:rsidRPr="008F511F" w14:paraId="2D7BB272" w14:textId="77777777" w:rsidTr="00D162CA">
        <w:trPr>
          <w:trHeight w:val="336"/>
        </w:trPr>
        <w:tc>
          <w:tcPr>
            <w:tcW w:w="2792" w:type="dxa"/>
            <w:noWrap/>
            <w:hideMark/>
          </w:tcPr>
          <w:p w14:paraId="5374EA12" w14:textId="77777777" w:rsidR="000932E6" w:rsidRPr="008F511F" w:rsidRDefault="000932E6" w:rsidP="00D162CA">
            <w:pPr>
              <w:rPr>
                <w:rFonts w:ascii="Times New Roman" w:hAnsi="Times New Roman" w:cs="Times New Roman"/>
                <w:sz w:val="24"/>
                <w:szCs w:val="24"/>
              </w:rPr>
            </w:pPr>
          </w:p>
        </w:tc>
        <w:tc>
          <w:tcPr>
            <w:tcW w:w="1863" w:type="dxa"/>
            <w:noWrap/>
          </w:tcPr>
          <w:p w14:paraId="4744A2AF" w14:textId="77777777" w:rsidR="000932E6" w:rsidRPr="008F511F" w:rsidRDefault="000932E6" w:rsidP="00D162CA">
            <w:pPr>
              <w:jc w:val="center"/>
              <w:rPr>
                <w:rFonts w:ascii="Times New Roman" w:hAnsi="Times New Roman" w:cs="Times New Roman"/>
                <w:sz w:val="24"/>
                <w:szCs w:val="24"/>
              </w:rPr>
            </w:pPr>
          </w:p>
        </w:tc>
        <w:tc>
          <w:tcPr>
            <w:tcW w:w="2428" w:type="dxa"/>
            <w:noWrap/>
          </w:tcPr>
          <w:p w14:paraId="2F21EDDD"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43AF0C67" w14:textId="77777777" w:rsidR="000932E6" w:rsidRPr="008F511F" w:rsidRDefault="000932E6" w:rsidP="00D162CA">
            <w:pPr>
              <w:jc w:val="center"/>
              <w:rPr>
                <w:rFonts w:ascii="Times New Roman" w:hAnsi="Times New Roman" w:cs="Times New Roman"/>
                <w:sz w:val="24"/>
                <w:szCs w:val="24"/>
              </w:rPr>
            </w:pPr>
          </w:p>
        </w:tc>
      </w:tr>
      <w:tr w:rsidR="008F511F" w:rsidRPr="008F511F" w14:paraId="0FA0D489" w14:textId="77777777" w:rsidTr="00D162CA">
        <w:trPr>
          <w:trHeight w:val="336"/>
        </w:trPr>
        <w:tc>
          <w:tcPr>
            <w:tcW w:w="2792" w:type="dxa"/>
            <w:noWrap/>
            <w:hideMark/>
          </w:tcPr>
          <w:p w14:paraId="7D798FE2"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3. ENJ</w:t>
            </w:r>
          </w:p>
        </w:tc>
        <w:tc>
          <w:tcPr>
            <w:tcW w:w="1863" w:type="dxa"/>
            <w:noWrap/>
          </w:tcPr>
          <w:p w14:paraId="3B91D474" w14:textId="77777777" w:rsidR="000932E6" w:rsidRPr="008F511F" w:rsidRDefault="000932E6" w:rsidP="00D162CA">
            <w:pPr>
              <w:jc w:val="center"/>
              <w:rPr>
                <w:rFonts w:ascii="Times New Roman" w:hAnsi="Times New Roman" w:cs="Times New Roman"/>
                <w:b/>
                <w:bCs/>
                <w:sz w:val="24"/>
                <w:szCs w:val="24"/>
              </w:rPr>
            </w:pPr>
          </w:p>
        </w:tc>
        <w:tc>
          <w:tcPr>
            <w:tcW w:w="2428" w:type="dxa"/>
            <w:noWrap/>
          </w:tcPr>
          <w:p w14:paraId="649029A6"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099AB866" w14:textId="77777777" w:rsidR="000932E6" w:rsidRPr="008F511F" w:rsidRDefault="000932E6" w:rsidP="00D162CA">
            <w:pPr>
              <w:jc w:val="center"/>
              <w:rPr>
                <w:rFonts w:ascii="Times New Roman" w:hAnsi="Times New Roman" w:cs="Times New Roman"/>
                <w:sz w:val="24"/>
                <w:szCs w:val="24"/>
              </w:rPr>
            </w:pPr>
          </w:p>
        </w:tc>
      </w:tr>
      <w:tr w:rsidR="008F511F" w:rsidRPr="008F511F" w14:paraId="6DC496E9" w14:textId="77777777" w:rsidTr="00D162CA">
        <w:trPr>
          <w:trHeight w:val="336"/>
        </w:trPr>
        <w:tc>
          <w:tcPr>
            <w:tcW w:w="2792" w:type="dxa"/>
            <w:noWrap/>
          </w:tcPr>
          <w:p w14:paraId="28063714" w14:textId="77777777" w:rsidR="000932E6" w:rsidRPr="008F511F" w:rsidRDefault="000932E6" w:rsidP="00D162CA">
            <w:pPr>
              <w:rPr>
                <w:rFonts w:ascii="Times New Roman" w:hAnsi="Times New Roman" w:cs="Times New Roman"/>
                <w:b/>
                <w:bCs/>
                <w:sz w:val="24"/>
                <w:szCs w:val="24"/>
              </w:rPr>
            </w:pPr>
          </w:p>
        </w:tc>
        <w:tc>
          <w:tcPr>
            <w:tcW w:w="1863" w:type="dxa"/>
            <w:noWrap/>
          </w:tcPr>
          <w:p w14:paraId="117BD3A9" w14:textId="77777777" w:rsidR="000932E6" w:rsidRPr="008F511F" w:rsidRDefault="000932E6" w:rsidP="00D162CA">
            <w:pPr>
              <w:jc w:val="center"/>
              <w:rPr>
                <w:rFonts w:ascii="Times New Roman" w:hAnsi="Times New Roman" w:cs="Times New Roman"/>
                <w:sz w:val="24"/>
                <w:szCs w:val="24"/>
              </w:rPr>
            </w:pPr>
          </w:p>
        </w:tc>
        <w:tc>
          <w:tcPr>
            <w:tcW w:w="2428" w:type="dxa"/>
            <w:noWrap/>
          </w:tcPr>
          <w:p w14:paraId="5673A241"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2D2489BB" w14:textId="77777777" w:rsidR="000932E6" w:rsidRPr="008F511F" w:rsidRDefault="000932E6" w:rsidP="00D162CA">
            <w:pPr>
              <w:jc w:val="center"/>
              <w:rPr>
                <w:rFonts w:ascii="Times New Roman" w:hAnsi="Times New Roman" w:cs="Times New Roman"/>
                <w:sz w:val="24"/>
                <w:szCs w:val="24"/>
              </w:rPr>
            </w:pPr>
          </w:p>
        </w:tc>
      </w:tr>
      <w:tr w:rsidR="008F511F" w:rsidRPr="008F511F" w14:paraId="5B63DED2" w14:textId="77777777" w:rsidTr="00D162CA">
        <w:trPr>
          <w:trHeight w:val="336"/>
        </w:trPr>
        <w:tc>
          <w:tcPr>
            <w:tcW w:w="2792" w:type="dxa"/>
            <w:noWrap/>
            <w:hideMark/>
          </w:tcPr>
          <w:p w14:paraId="29DE4987"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63" w:type="dxa"/>
            <w:noWrap/>
          </w:tcPr>
          <w:p w14:paraId="4FB794A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14.39</w:t>
            </w:r>
          </w:p>
        </w:tc>
        <w:tc>
          <w:tcPr>
            <w:tcW w:w="2428" w:type="dxa"/>
            <w:noWrap/>
          </w:tcPr>
          <w:p w14:paraId="50CE0DD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37.45</w:t>
            </w:r>
          </w:p>
        </w:tc>
        <w:tc>
          <w:tcPr>
            <w:tcW w:w="2352" w:type="dxa"/>
            <w:noWrap/>
          </w:tcPr>
          <w:p w14:paraId="0BF544F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41.00</w:t>
            </w:r>
          </w:p>
        </w:tc>
      </w:tr>
      <w:tr w:rsidR="008F511F" w:rsidRPr="008F511F" w14:paraId="2E8465B6" w14:textId="77777777" w:rsidTr="00D162CA">
        <w:trPr>
          <w:trHeight w:val="336"/>
        </w:trPr>
        <w:tc>
          <w:tcPr>
            <w:tcW w:w="2792" w:type="dxa"/>
            <w:noWrap/>
            <w:hideMark/>
          </w:tcPr>
          <w:p w14:paraId="2167FA61"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63" w:type="dxa"/>
            <w:noWrap/>
          </w:tcPr>
          <w:p w14:paraId="2CFD17C8" w14:textId="77777777" w:rsidR="000932E6" w:rsidRPr="008F511F" w:rsidRDefault="000932E6" w:rsidP="00D162CA">
            <w:pPr>
              <w:jc w:val="center"/>
              <w:rPr>
                <w:rFonts w:ascii="Times New Roman" w:hAnsi="Times New Roman" w:cs="Times New Roman"/>
                <w:b/>
                <w:bCs/>
                <w:sz w:val="24"/>
                <w:szCs w:val="24"/>
              </w:rPr>
            </w:pPr>
          </w:p>
        </w:tc>
        <w:tc>
          <w:tcPr>
            <w:tcW w:w="2428" w:type="dxa"/>
            <w:noWrap/>
          </w:tcPr>
          <w:p w14:paraId="04862482"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29334254" w14:textId="77777777" w:rsidR="000932E6" w:rsidRPr="008F511F" w:rsidRDefault="000932E6" w:rsidP="00D162CA">
            <w:pPr>
              <w:jc w:val="center"/>
              <w:rPr>
                <w:rFonts w:ascii="Times New Roman" w:hAnsi="Times New Roman" w:cs="Times New Roman"/>
                <w:sz w:val="24"/>
                <w:szCs w:val="24"/>
              </w:rPr>
            </w:pPr>
          </w:p>
        </w:tc>
      </w:tr>
      <w:tr w:rsidR="008F511F" w:rsidRPr="008F511F" w14:paraId="08230B0E" w14:textId="77777777" w:rsidTr="00D162CA">
        <w:trPr>
          <w:trHeight w:val="336"/>
        </w:trPr>
        <w:tc>
          <w:tcPr>
            <w:tcW w:w="2792" w:type="dxa"/>
            <w:noWrap/>
            <w:hideMark/>
          </w:tcPr>
          <w:p w14:paraId="283EBEC0"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tcPr>
          <w:p w14:paraId="0A28981B"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14.90</w:t>
            </w:r>
          </w:p>
        </w:tc>
        <w:tc>
          <w:tcPr>
            <w:tcW w:w="2428" w:type="dxa"/>
            <w:noWrap/>
          </w:tcPr>
          <w:p w14:paraId="525FFAC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37.21</w:t>
            </w:r>
          </w:p>
        </w:tc>
        <w:tc>
          <w:tcPr>
            <w:tcW w:w="2352" w:type="dxa"/>
            <w:noWrap/>
          </w:tcPr>
          <w:p w14:paraId="4725971D"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40.19</w:t>
            </w:r>
          </w:p>
        </w:tc>
      </w:tr>
      <w:tr w:rsidR="008F511F" w:rsidRPr="008F511F" w14:paraId="567FBCC8" w14:textId="77777777" w:rsidTr="00D162CA">
        <w:trPr>
          <w:trHeight w:val="336"/>
        </w:trPr>
        <w:tc>
          <w:tcPr>
            <w:tcW w:w="2792" w:type="dxa"/>
            <w:noWrap/>
            <w:hideMark/>
          </w:tcPr>
          <w:p w14:paraId="436BD18E"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tcPr>
          <w:p w14:paraId="1A531AA4"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13.88</w:t>
            </w:r>
          </w:p>
        </w:tc>
        <w:tc>
          <w:tcPr>
            <w:tcW w:w="2428" w:type="dxa"/>
            <w:noWrap/>
          </w:tcPr>
          <w:p w14:paraId="0131C832"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37.70</w:t>
            </w:r>
          </w:p>
        </w:tc>
        <w:tc>
          <w:tcPr>
            <w:tcW w:w="2352" w:type="dxa"/>
            <w:noWrap/>
          </w:tcPr>
          <w:p w14:paraId="6DD9C5A2"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41.80</w:t>
            </w:r>
          </w:p>
        </w:tc>
      </w:tr>
      <w:tr w:rsidR="008F511F" w:rsidRPr="008F511F" w14:paraId="4DE08637" w14:textId="77777777" w:rsidTr="00D162CA">
        <w:trPr>
          <w:trHeight w:val="336"/>
        </w:trPr>
        <w:tc>
          <w:tcPr>
            <w:tcW w:w="2792" w:type="dxa"/>
            <w:noWrap/>
            <w:hideMark/>
          </w:tcPr>
          <w:p w14:paraId="7D7A1D71"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63" w:type="dxa"/>
            <w:noWrap/>
          </w:tcPr>
          <w:p w14:paraId="50C8819E" w14:textId="77777777" w:rsidR="000932E6" w:rsidRPr="008F511F" w:rsidRDefault="000932E6" w:rsidP="00D162CA">
            <w:pPr>
              <w:jc w:val="center"/>
              <w:rPr>
                <w:rFonts w:ascii="Times New Roman" w:hAnsi="Times New Roman" w:cs="Times New Roman"/>
                <w:b/>
                <w:bCs/>
                <w:sz w:val="24"/>
                <w:szCs w:val="24"/>
              </w:rPr>
            </w:pPr>
          </w:p>
        </w:tc>
        <w:tc>
          <w:tcPr>
            <w:tcW w:w="2428" w:type="dxa"/>
            <w:noWrap/>
          </w:tcPr>
          <w:p w14:paraId="3721771F" w14:textId="77777777" w:rsidR="000932E6" w:rsidRPr="008F511F" w:rsidRDefault="000932E6" w:rsidP="00D162CA">
            <w:pPr>
              <w:jc w:val="center"/>
              <w:rPr>
                <w:rFonts w:ascii="Times New Roman" w:hAnsi="Times New Roman" w:cs="Times New Roman"/>
                <w:sz w:val="24"/>
                <w:szCs w:val="24"/>
              </w:rPr>
            </w:pPr>
          </w:p>
        </w:tc>
        <w:tc>
          <w:tcPr>
            <w:tcW w:w="2352" w:type="dxa"/>
            <w:noWrap/>
          </w:tcPr>
          <w:p w14:paraId="19E3A93F" w14:textId="77777777" w:rsidR="000932E6" w:rsidRPr="008F511F" w:rsidRDefault="000932E6" w:rsidP="00D162CA">
            <w:pPr>
              <w:jc w:val="center"/>
              <w:rPr>
                <w:rFonts w:ascii="Times New Roman" w:hAnsi="Times New Roman" w:cs="Times New Roman"/>
                <w:sz w:val="24"/>
                <w:szCs w:val="24"/>
              </w:rPr>
            </w:pPr>
          </w:p>
        </w:tc>
      </w:tr>
      <w:tr w:rsidR="008F511F" w:rsidRPr="008F511F" w14:paraId="749031C5" w14:textId="77777777" w:rsidTr="00D162CA">
        <w:trPr>
          <w:trHeight w:val="336"/>
        </w:trPr>
        <w:tc>
          <w:tcPr>
            <w:tcW w:w="2792" w:type="dxa"/>
            <w:noWrap/>
            <w:hideMark/>
          </w:tcPr>
          <w:p w14:paraId="3989CBE4"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Returns</w:t>
            </w:r>
          </w:p>
        </w:tc>
        <w:tc>
          <w:tcPr>
            <w:tcW w:w="1863" w:type="dxa"/>
            <w:noWrap/>
          </w:tcPr>
          <w:p w14:paraId="765FB07C"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1.03</w:t>
            </w:r>
          </w:p>
        </w:tc>
        <w:tc>
          <w:tcPr>
            <w:tcW w:w="2428" w:type="dxa"/>
            <w:noWrap/>
          </w:tcPr>
          <w:p w14:paraId="500269E6"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-0.49</w:t>
            </w:r>
          </w:p>
        </w:tc>
        <w:tc>
          <w:tcPr>
            <w:tcW w:w="2352" w:type="dxa"/>
            <w:noWrap/>
          </w:tcPr>
          <w:p w14:paraId="07A5894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-1.61</w:t>
            </w:r>
          </w:p>
        </w:tc>
      </w:tr>
      <w:tr w:rsidR="008F511F" w:rsidRPr="008F511F" w14:paraId="05601F50" w14:textId="77777777" w:rsidTr="00D162CA">
        <w:trPr>
          <w:trHeight w:val="336"/>
        </w:trPr>
        <w:tc>
          <w:tcPr>
            <w:tcW w:w="2792" w:type="dxa"/>
            <w:noWrap/>
            <w:hideMark/>
          </w:tcPr>
          <w:p w14:paraId="5AD24F9F"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63" w:type="dxa"/>
            <w:noWrap/>
          </w:tcPr>
          <w:p w14:paraId="514566B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-1.03</w:t>
            </w:r>
          </w:p>
        </w:tc>
        <w:tc>
          <w:tcPr>
            <w:tcW w:w="2428" w:type="dxa"/>
            <w:noWrap/>
          </w:tcPr>
          <w:p w14:paraId="6E837B0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0.49</w:t>
            </w:r>
          </w:p>
        </w:tc>
        <w:tc>
          <w:tcPr>
            <w:tcW w:w="2352" w:type="dxa"/>
            <w:noWrap/>
          </w:tcPr>
          <w:p w14:paraId="451302D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1.61</w:t>
            </w:r>
          </w:p>
        </w:tc>
      </w:tr>
    </w:tbl>
    <w:p w14:paraId="539DFE8D" w14:textId="6D78AEE3" w:rsidR="000932E6" w:rsidRPr="008F511F" w:rsidRDefault="000932E6" w:rsidP="000932E6">
      <w:pPr>
        <w:jc w:val="both"/>
        <w:rPr>
          <w:rFonts w:ascii="Times New Roman" w:hAnsi="Times New Roman" w:cs="Times New Roman"/>
          <w:sz w:val="18"/>
          <w:szCs w:val="18"/>
        </w:rPr>
      </w:pPr>
      <w:r w:rsidRPr="008F511F">
        <w:rPr>
          <w:rFonts w:ascii="Times New Roman" w:hAnsi="Times New Roman" w:cs="Times New Roman"/>
          <w:sz w:val="18"/>
          <w:szCs w:val="18"/>
        </w:rPr>
        <w:t xml:space="preserve">Notes: ‘Total spillover’ means the total connectedness between return and volume of NFT. ‘To returns’ indicates the spillover from volume to returns, whereas ‘To Volume’ represents the spillover from return to volume. The positive ‘Net returns’ spillover shows the returns as net transmitter of spillover to volume, whereas negative ‘Net returns’ spillover indicate the returns as net recipient of spillover from volume. </w:t>
      </w:r>
      <w:r w:rsidR="00936533" w:rsidRPr="008F511F">
        <w:rPr>
          <w:rFonts w:ascii="Times New Roman" w:hAnsi="Times New Roman" w:cs="Times New Roman"/>
          <w:sz w:val="18"/>
          <w:szCs w:val="18"/>
        </w:rPr>
        <w:t>The length of rolling window is 200 days.</w:t>
      </w:r>
    </w:p>
    <w:p w14:paraId="6F3B53CB" w14:textId="77777777" w:rsidR="000932E6" w:rsidRPr="008F511F" w:rsidRDefault="000932E6" w:rsidP="000932E6"/>
    <w:p w14:paraId="65E0539A" w14:textId="79F45745" w:rsidR="000932E6" w:rsidRPr="008F511F" w:rsidRDefault="000932E6" w:rsidP="000932E6">
      <w:pPr>
        <w:rPr>
          <w:rFonts w:ascii="Times New Roman" w:hAnsi="Times New Roman" w:cs="Times New Roman"/>
          <w:sz w:val="24"/>
          <w:szCs w:val="24"/>
        </w:rPr>
      </w:pPr>
      <w:r w:rsidRPr="008F511F">
        <w:rPr>
          <w:rFonts w:ascii="Times New Roman" w:hAnsi="Times New Roman" w:cs="Times New Roman"/>
          <w:b/>
          <w:bCs/>
          <w:sz w:val="24"/>
          <w:szCs w:val="24"/>
        </w:rPr>
        <w:lastRenderedPageBreak/>
        <w:t>Table A2.</w:t>
      </w:r>
      <w:r w:rsidRPr="008F511F">
        <w:rPr>
          <w:rFonts w:ascii="Times New Roman" w:hAnsi="Times New Roman" w:cs="Times New Roman"/>
          <w:sz w:val="24"/>
          <w:szCs w:val="24"/>
        </w:rPr>
        <w:t xml:space="preserve"> Static quantile-based spillovers between volatility and volume</w:t>
      </w:r>
      <w:r w:rsidR="005576F5" w:rsidRPr="008F511F">
        <w:rPr>
          <w:rFonts w:ascii="Times New Roman" w:hAnsi="Times New Roman" w:cs="Times New Roman"/>
          <w:sz w:val="24"/>
          <w:szCs w:val="24"/>
        </w:rPr>
        <w:t xml:space="preserve"> using sample period from 17 February 2018 to 20 November 2021.</w:t>
      </w:r>
    </w:p>
    <w:tbl>
      <w:tblPr>
        <w:tblStyle w:val="TableGrid"/>
        <w:tblW w:w="94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1806"/>
        <w:gridCol w:w="2632"/>
        <w:gridCol w:w="2604"/>
      </w:tblGrid>
      <w:tr w:rsidR="008F511F" w:rsidRPr="008F511F" w14:paraId="47BE47AF" w14:textId="77777777" w:rsidTr="00D162CA">
        <w:trPr>
          <w:trHeight w:val="340"/>
        </w:trPr>
        <w:tc>
          <w:tcPr>
            <w:tcW w:w="2368" w:type="dxa"/>
            <w:tcBorders>
              <w:top w:val="single" w:sz="4" w:space="0" w:color="auto"/>
              <w:bottom w:val="single" w:sz="4" w:space="0" w:color="auto"/>
            </w:tcBorders>
            <w:noWrap/>
            <w:hideMark/>
          </w:tcPr>
          <w:p w14:paraId="69F42F28" w14:textId="77777777" w:rsidR="000932E6" w:rsidRPr="008F511F" w:rsidRDefault="000932E6" w:rsidP="00D162CA">
            <w:pPr>
              <w:rPr>
                <w:rFonts w:ascii="Times New Roman" w:hAnsi="Times New Roman" w:cs="Times New Roman"/>
                <w:sz w:val="24"/>
                <w:szCs w:val="24"/>
              </w:rPr>
            </w:pPr>
          </w:p>
        </w:tc>
        <w:tc>
          <w:tcPr>
            <w:tcW w:w="1806" w:type="dxa"/>
            <w:tcBorders>
              <w:top w:val="single" w:sz="4" w:space="0" w:color="auto"/>
              <w:bottom w:val="single" w:sz="4" w:space="0" w:color="auto"/>
            </w:tcBorders>
            <w:noWrap/>
            <w:hideMark/>
          </w:tcPr>
          <w:p w14:paraId="57C2072B"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Median (0.50)</w:t>
            </w:r>
          </w:p>
        </w:tc>
        <w:tc>
          <w:tcPr>
            <w:tcW w:w="2632" w:type="dxa"/>
            <w:tcBorders>
              <w:top w:val="single" w:sz="4" w:space="0" w:color="auto"/>
              <w:bottom w:val="single" w:sz="4" w:space="0" w:color="auto"/>
            </w:tcBorders>
            <w:noWrap/>
            <w:hideMark/>
          </w:tcPr>
          <w:p w14:paraId="4999DD34"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Lower Quantile (0.05)</w:t>
            </w:r>
          </w:p>
        </w:tc>
        <w:tc>
          <w:tcPr>
            <w:tcW w:w="2604" w:type="dxa"/>
            <w:tcBorders>
              <w:top w:val="single" w:sz="4" w:space="0" w:color="auto"/>
              <w:bottom w:val="single" w:sz="4" w:space="0" w:color="auto"/>
            </w:tcBorders>
            <w:noWrap/>
            <w:hideMark/>
          </w:tcPr>
          <w:p w14:paraId="2EC7F2E7"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Upper Quantile (0.95)</w:t>
            </w:r>
          </w:p>
        </w:tc>
      </w:tr>
      <w:tr w:rsidR="008F511F" w:rsidRPr="008F511F" w14:paraId="613FFA2A" w14:textId="77777777" w:rsidTr="00D162CA">
        <w:trPr>
          <w:trHeight w:val="340"/>
        </w:trPr>
        <w:tc>
          <w:tcPr>
            <w:tcW w:w="2368" w:type="dxa"/>
            <w:tcBorders>
              <w:top w:val="single" w:sz="4" w:space="0" w:color="auto"/>
            </w:tcBorders>
            <w:noWrap/>
            <w:hideMark/>
          </w:tcPr>
          <w:p w14:paraId="69D0CE27"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1. THETA</w:t>
            </w:r>
          </w:p>
        </w:tc>
        <w:tc>
          <w:tcPr>
            <w:tcW w:w="1806" w:type="dxa"/>
            <w:tcBorders>
              <w:top w:val="single" w:sz="4" w:space="0" w:color="auto"/>
            </w:tcBorders>
            <w:noWrap/>
            <w:hideMark/>
          </w:tcPr>
          <w:p w14:paraId="0A81963F" w14:textId="77777777" w:rsidR="000932E6" w:rsidRPr="008F511F" w:rsidRDefault="000932E6" w:rsidP="00D162CA">
            <w:pPr>
              <w:rPr>
                <w:rFonts w:ascii="Times New Roman" w:hAnsi="Times New Roman" w:cs="Times New Roman"/>
                <w:b/>
                <w:bCs/>
                <w:sz w:val="24"/>
                <w:szCs w:val="24"/>
              </w:rPr>
            </w:pPr>
          </w:p>
        </w:tc>
        <w:tc>
          <w:tcPr>
            <w:tcW w:w="2632" w:type="dxa"/>
            <w:tcBorders>
              <w:top w:val="single" w:sz="4" w:space="0" w:color="auto"/>
            </w:tcBorders>
            <w:noWrap/>
            <w:hideMark/>
          </w:tcPr>
          <w:p w14:paraId="286DADD4" w14:textId="77777777" w:rsidR="000932E6" w:rsidRPr="008F511F" w:rsidRDefault="000932E6" w:rsidP="00D162CA">
            <w:pPr>
              <w:rPr>
                <w:rFonts w:ascii="Times New Roman" w:hAnsi="Times New Roman" w:cs="Times New Roman"/>
                <w:sz w:val="24"/>
                <w:szCs w:val="24"/>
              </w:rPr>
            </w:pPr>
          </w:p>
        </w:tc>
        <w:tc>
          <w:tcPr>
            <w:tcW w:w="2604" w:type="dxa"/>
            <w:tcBorders>
              <w:top w:val="single" w:sz="4" w:space="0" w:color="auto"/>
            </w:tcBorders>
            <w:noWrap/>
            <w:hideMark/>
          </w:tcPr>
          <w:p w14:paraId="12B267AC" w14:textId="77777777" w:rsidR="000932E6" w:rsidRPr="008F511F" w:rsidRDefault="000932E6" w:rsidP="00D162CA">
            <w:pPr>
              <w:rPr>
                <w:rFonts w:ascii="Times New Roman" w:hAnsi="Times New Roman" w:cs="Times New Roman"/>
                <w:sz w:val="24"/>
                <w:szCs w:val="24"/>
              </w:rPr>
            </w:pPr>
          </w:p>
        </w:tc>
      </w:tr>
      <w:tr w:rsidR="008F511F" w:rsidRPr="008F511F" w14:paraId="6FE78B44" w14:textId="77777777" w:rsidTr="00D162CA">
        <w:trPr>
          <w:trHeight w:val="340"/>
        </w:trPr>
        <w:tc>
          <w:tcPr>
            <w:tcW w:w="2368" w:type="dxa"/>
            <w:noWrap/>
          </w:tcPr>
          <w:p w14:paraId="6E6CFE70" w14:textId="77777777" w:rsidR="000932E6" w:rsidRPr="008F511F" w:rsidRDefault="000932E6" w:rsidP="00D162CA">
            <w:pPr>
              <w:rPr>
                <w:rFonts w:ascii="Times New Roman" w:hAnsi="Times New Roman" w:cs="Times New Roman"/>
                <w:b/>
                <w:bCs/>
                <w:sz w:val="24"/>
                <w:szCs w:val="24"/>
              </w:rPr>
            </w:pPr>
          </w:p>
        </w:tc>
        <w:tc>
          <w:tcPr>
            <w:tcW w:w="1806" w:type="dxa"/>
            <w:noWrap/>
          </w:tcPr>
          <w:p w14:paraId="6669FF14" w14:textId="77777777" w:rsidR="000932E6" w:rsidRPr="008F511F" w:rsidRDefault="000932E6" w:rsidP="00D162CA">
            <w:pPr>
              <w:jc w:val="center"/>
              <w:rPr>
                <w:rFonts w:ascii="Times New Roman" w:hAnsi="Times New Roman" w:cs="Times New Roman"/>
                <w:sz w:val="24"/>
                <w:szCs w:val="24"/>
              </w:rPr>
            </w:pPr>
          </w:p>
        </w:tc>
        <w:tc>
          <w:tcPr>
            <w:tcW w:w="2632" w:type="dxa"/>
            <w:noWrap/>
          </w:tcPr>
          <w:p w14:paraId="0B6B8DCB"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382B4AF6" w14:textId="77777777" w:rsidR="000932E6" w:rsidRPr="008F511F" w:rsidRDefault="000932E6" w:rsidP="00D162CA">
            <w:pPr>
              <w:jc w:val="center"/>
              <w:rPr>
                <w:rFonts w:ascii="Times New Roman" w:hAnsi="Times New Roman" w:cs="Times New Roman"/>
                <w:sz w:val="24"/>
                <w:szCs w:val="24"/>
              </w:rPr>
            </w:pPr>
          </w:p>
        </w:tc>
      </w:tr>
      <w:tr w:rsidR="008F511F" w:rsidRPr="008F511F" w14:paraId="08011A7A" w14:textId="77777777" w:rsidTr="00D162CA">
        <w:trPr>
          <w:trHeight w:val="340"/>
        </w:trPr>
        <w:tc>
          <w:tcPr>
            <w:tcW w:w="2368" w:type="dxa"/>
            <w:noWrap/>
            <w:hideMark/>
          </w:tcPr>
          <w:p w14:paraId="20D6AFFC"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06" w:type="dxa"/>
            <w:noWrap/>
          </w:tcPr>
          <w:p w14:paraId="672A08D2"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13.01</w:t>
            </w:r>
          </w:p>
        </w:tc>
        <w:tc>
          <w:tcPr>
            <w:tcW w:w="2632" w:type="dxa"/>
            <w:noWrap/>
          </w:tcPr>
          <w:p w14:paraId="52A15BEC"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18.34</w:t>
            </w:r>
          </w:p>
        </w:tc>
        <w:tc>
          <w:tcPr>
            <w:tcW w:w="2604" w:type="dxa"/>
            <w:noWrap/>
          </w:tcPr>
          <w:p w14:paraId="13503B56"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33.70</w:t>
            </w:r>
          </w:p>
        </w:tc>
      </w:tr>
      <w:tr w:rsidR="008F511F" w:rsidRPr="008F511F" w14:paraId="7837C56E" w14:textId="77777777" w:rsidTr="00D162CA">
        <w:trPr>
          <w:trHeight w:val="340"/>
        </w:trPr>
        <w:tc>
          <w:tcPr>
            <w:tcW w:w="2368" w:type="dxa"/>
            <w:noWrap/>
            <w:hideMark/>
          </w:tcPr>
          <w:p w14:paraId="2D6171B2"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06" w:type="dxa"/>
            <w:noWrap/>
          </w:tcPr>
          <w:p w14:paraId="0E53760F" w14:textId="77777777" w:rsidR="000932E6" w:rsidRPr="008F511F" w:rsidRDefault="000932E6" w:rsidP="00D162CA">
            <w:pPr>
              <w:jc w:val="center"/>
              <w:rPr>
                <w:rFonts w:ascii="Times New Roman" w:hAnsi="Times New Roman" w:cs="Times New Roman"/>
                <w:b/>
                <w:bCs/>
                <w:sz w:val="24"/>
                <w:szCs w:val="24"/>
              </w:rPr>
            </w:pPr>
          </w:p>
        </w:tc>
        <w:tc>
          <w:tcPr>
            <w:tcW w:w="2632" w:type="dxa"/>
            <w:noWrap/>
          </w:tcPr>
          <w:p w14:paraId="32E4E05C"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11800B22" w14:textId="77777777" w:rsidR="000932E6" w:rsidRPr="008F511F" w:rsidRDefault="000932E6" w:rsidP="00D162CA">
            <w:pPr>
              <w:jc w:val="center"/>
              <w:rPr>
                <w:rFonts w:ascii="Times New Roman" w:hAnsi="Times New Roman" w:cs="Times New Roman"/>
                <w:sz w:val="24"/>
                <w:szCs w:val="24"/>
              </w:rPr>
            </w:pPr>
          </w:p>
        </w:tc>
      </w:tr>
      <w:tr w:rsidR="008F511F" w:rsidRPr="008F511F" w14:paraId="7BE43A7C" w14:textId="77777777" w:rsidTr="00D162CA">
        <w:trPr>
          <w:trHeight w:val="340"/>
        </w:trPr>
        <w:tc>
          <w:tcPr>
            <w:tcW w:w="2368" w:type="dxa"/>
            <w:noWrap/>
            <w:hideMark/>
          </w:tcPr>
          <w:p w14:paraId="0E9E0201"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tcPr>
          <w:p w14:paraId="5EBF8959"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12.52</w:t>
            </w:r>
          </w:p>
        </w:tc>
        <w:tc>
          <w:tcPr>
            <w:tcW w:w="2632" w:type="dxa"/>
            <w:noWrap/>
          </w:tcPr>
          <w:p w14:paraId="750502E1"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17.80</w:t>
            </w:r>
          </w:p>
        </w:tc>
        <w:tc>
          <w:tcPr>
            <w:tcW w:w="2604" w:type="dxa"/>
            <w:noWrap/>
          </w:tcPr>
          <w:p w14:paraId="5C4C72FD"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30.68</w:t>
            </w:r>
          </w:p>
        </w:tc>
      </w:tr>
      <w:tr w:rsidR="008F511F" w:rsidRPr="008F511F" w14:paraId="7BE227E3" w14:textId="77777777" w:rsidTr="00D162CA">
        <w:trPr>
          <w:trHeight w:val="340"/>
        </w:trPr>
        <w:tc>
          <w:tcPr>
            <w:tcW w:w="2368" w:type="dxa"/>
            <w:noWrap/>
            <w:hideMark/>
          </w:tcPr>
          <w:p w14:paraId="7DA49A6F"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tcPr>
          <w:p w14:paraId="2EC58A0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13.51</w:t>
            </w:r>
          </w:p>
        </w:tc>
        <w:tc>
          <w:tcPr>
            <w:tcW w:w="2632" w:type="dxa"/>
            <w:noWrap/>
          </w:tcPr>
          <w:p w14:paraId="6B4D62E5"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18.88</w:t>
            </w:r>
          </w:p>
        </w:tc>
        <w:tc>
          <w:tcPr>
            <w:tcW w:w="2604" w:type="dxa"/>
            <w:noWrap/>
          </w:tcPr>
          <w:p w14:paraId="12D7CD0D"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36.71</w:t>
            </w:r>
          </w:p>
        </w:tc>
      </w:tr>
      <w:tr w:rsidR="008F511F" w:rsidRPr="008F511F" w14:paraId="19353CC6" w14:textId="77777777" w:rsidTr="00D162CA">
        <w:trPr>
          <w:trHeight w:val="340"/>
        </w:trPr>
        <w:tc>
          <w:tcPr>
            <w:tcW w:w="2368" w:type="dxa"/>
            <w:noWrap/>
            <w:hideMark/>
          </w:tcPr>
          <w:p w14:paraId="2E212A33"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06" w:type="dxa"/>
            <w:noWrap/>
          </w:tcPr>
          <w:p w14:paraId="495CAE62" w14:textId="77777777" w:rsidR="000932E6" w:rsidRPr="008F511F" w:rsidRDefault="000932E6" w:rsidP="00D162CA">
            <w:pPr>
              <w:jc w:val="center"/>
              <w:rPr>
                <w:rFonts w:ascii="Times New Roman" w:hAnsi="Times New Roman" w:cs="Times New Roman"/>
                <w:b/>
                <w:bCs/>
                <w:sz w:val="24"/>
                <w:szCs w:val="24"/>
              </w:rPr>
            </w:pPr>
          </w:p>
        </w:tc>
        <w:tc>
          <w:tcPr>
            <w:tcW w:w="2632" w:type="dxa"/>
            <w:noWrap/>
          </w:tcPr>
          <w:p w14:paraId="039AC6DD"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63CBB6EB" w14:textId="77777777" w:rsidR="000932E6" w:rsidRPr="008F511F" w:rsidRDefault="000932E6" w:rsidP="00D162CA">
            <w:pPr>
              <w:jc w:val="center"/>
              <w:rPr>
                <w:rFonts w:ascii="Times New Roman" w:hAnsi="Times New Roman" w:cs="Times New Roman"/>
                <w:sz w:val="24"/>
                <w:szCs w:val="24"/>
              </w:rPr>
            </w:pPr>
          </w:p>
        </w:tc>
      </w:tr>
      <w:tr w:rsidR="008F511F" w:rsidRPr="008F511F" w14:paraId="3F45A010" w14:textId="77777777" w:rsidTr="00D162CA">
        <w:trPr>
          <w:trHeight w:val="340"/>
        </w:trPr>
        <w:tc>
          <w:tcPr>
            <w:tcW w:w="2368" w:type="dxa"/>
            <w:noWrap/>
            <w:hideMark/>
          </w:tcPr>
          <w:p w14:paraId="2A6944E2"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tcPr>
          <w:p w14:paraId="23845A7C"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-0.99</w:t>
            </w:r>
          </w:p>
        </w:tc>
        <w:tc>
          <w:tcPr>
            <w:tcW w:w="2632" w:type="dxa"/>
            <w:noWrap/>
          </w:tcPr>
          <w:p w14:paraId="27900C5B"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-1.09</w:t>
            </w:r>
          </w:p>
        </w:tc>
        <w:tc>
          <w:tcPr>
            <w:tcW w:w="2604" w:type="dxa"/>
            <w:noWrap/>
          </w:tcPr>
          <w:p w14:paraId="5C36D992"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-6.03</w:t>
            </w:r>
          </w:p>
        </w:tc>
      </w:tr>
      <w:tr w:rsidR="008F511F" w:rsidRPr="008F511F" w14:paraId="76E841FC" w14:textId="77777777" w:rsidTr="00D162CA">
        <w:trPr>
          <w:trHeight w:val="340"/>
        </w:trPr>
        <w:tc>
          <w:tcPr>
            <w:tcW w:w="2368" w:type="dxa"/>
            <w:noWrap/>
            <w:hideMark/>
          </w:tcPr>
          <w:p w14:paraId="6D1A6079"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tcPr>
          <w:p w14:paraId="27F3F9EB"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0.99</w:t>
            </w:r>
          </w:p>
        </w:tc>
        <w:tc>
          <w:tcPr>
            <w:tcW w:w="2632" w:type="dxa"/>
            <w:noWrap/>
          </w:tcPr>
          <w:p w14:paraId="55C77ED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1.09</w:t>
            </w:r>
          </w:p>
        </w:tc>
        <w:tc>
          <w:tcPr>
            <w:tcW w:w="2604" w:type="dxa"/>
            <w:noWrap/>
          </w:tcPr>
          <w:p w14:paraId="615AE3F6"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6.03</w:t>
            </w:r>
          </w:p>
        </w:tc>
      </w:tr>
      <w:tr w:rsidR="008F511F" w:rsidRPr="008F511F" w14:paraId="015147C8" w14:textId="77777777" w:rsidTr="00D162CA">
        <w:trPr>
          <w:trHeight w:val="340"/>
        </w:trPr>
        <w:tc>
          <w:tcPr>
            <w:tcW w:w="2368" w:type="dxa"/>
            <w:noWrap/>
            <w:hideMark/>
          </w:tcPr>
          <w:p w14:paraId="473856C9" w14:textId="77777777" w:rsidR="000932E6" w:rsidRPr="008F511F" w:rsidRDefault="000932E6" w:rsidP="00D162CA">
            <w:pPr>
              <w:rPr>
                <w:rFonts w:ascii="Times New Roman" w:hAnsi="Times New Roman" w:cs="Times New Roman"/>
                <w:sz w:val="24"/>
                <w:szCs w:val="24"/>
              </w:rPr>
            </w:pPr>
          </w:p>
        </w:tc>
        <w:tc>
          <w:tcPr>
            <w:tcW w:w="1806" w:type="dxa"/>
            <w:noWrap/>
          </w:tcPr>
          <w:p w14:paraId="576628C5" w14:textId="77777777" w:rsidR="000932E6" w:rsidRPr="008F511F" w:rsidRDefault="000932E6" w:rsidP="00D162CA">
            <w:pPr>
              <w:jc w:val="center"/>
              <w:rPr>
                <w:rFonts w:ascii="Times New Roman" w:hAnsi="Times New Roman" w:cs="Times New Roman"/>
                <w:sz w:val="24"/>
                <w:szCs w:val="24"/>
              </w:rPr>
            </w:pPr>
          </w:p>
        </w:tc>
        <w:tc>
          <w:tcPr>
            <w:tcW w:w="2632" w:type="dxa"/>
            <w:noWrap/>
          </w:tcPr>
          <w:p w14:paraId="0536FFE9"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2A04482A" w14:textId="77777777" w:rsidR="000932E6" w:rsidRPr="008F511F" w:rsidRDefault="000932E6" w:rsidP="00D162CA">
            <w:pPr>
              <w:jc w:val="center"/>
              <w:rPr>
                <w:rFonts w:ascii="Times New Roman" w:hAnsi="Times New Roman" w:cs="Times New Roman"/>
                <w:sz w:val="24"/>
                <w:szCs w:val="24"/>
              </w:rPr>
            </w:pPr>
          </w:p>
        </w:tc>
      </w:tr>
      <w:tr w:rsidR="008F511F" w:rsidRPr="008F511F" w14:paraId="151A10F2" w14:textId="77777777" w:rsidTr="00D162CA">
        <w:trPr>
          <w:trHeight w:val="340"/>
        </w:trPr>
        <w:tc>
          <w:tcPr>
            <w:tcW w:w="2368" w:type="dxa"/>
            <w:noWrap/>
            <w:hideMark/>
          </w:tcPr>
          <w:p w14:paraId="263B72F0"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2. XTZ</w:t>
            </w:r>
          </w:p>
        </w:tc>
        <w:tc>
          <w:tcPr>
            <w:tcW w:w="1806" w:type="dxa"/>
            <w:noWrap/>
          </w:tcPr>
          <w:p w14:paraId="51B52C44" w14:textId="77777777" w:rsidR="000932E6" w:rsidRPr="008F511F" w:rsidRDefault="000932E6" w:rsidP="00D162CA">
            <w:pPr>
              <w:jc w:val="center"/>
              <w:rPr>
                <w:rFonts w:ascii="Times New Roman" w:hAnsi="Times New Roman" w:cs="Times New Roman"/>
                <w:b/>
                <w:bCs/>
                <w:sz w:val="24"/>
                <w:szCs w:val="24"/>
              </w:rPr>
            </w:pPr>
          </w:p>
        </w:tc>
        <w:tc>
          <w:tcPr>
            <w:tcW w:w="2632" w:type="dxa"/>
            <w:noWrap/>
          </w:tcPr>
          <w:p w14:paraId="2E701232"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1C76D019" w14:textId="77777777" w:rsidR="000932E6" w:rsidRPr="008F511F" w:rsidRDefault="000932E6" w:rsidP="00D162CA">
            <w:pPr>
              <w:jc w:val="center"/>
              <w:rPr>
                <w:rFonts w:ascii="Times New Roman" w:hAnsi="Times New Roman" w:cs="Times New Roman"/>
                <w:sz w:val="24"/>
                <w:szCs w:val="24"/>
              </w:rPr>
            </w:pPr>
          </w:p>
        </w:tc>
      </w:tr>
      <w:tr w:rsidR="008F511F" w:rsidRPr="008F511F" w14:paraId="5935856D" w14:textId="77777777" w:rsidTr="00D162CA">
        <w:trPr>
          <w:trHeight w:val="340"/>
        </w:trPr>
        <w:tc>
          <w:tcPr>
            <w:tcW w:w="2368" w:type="dxa"/>
            <w:noWrap/>
          </w:tcPr>
          <w:p w14:paraId="2408E0CB" w14:textId="77777777" w:rsidR="000932E6" w:rsidRPr="008F511F" w:rsidRDefault="000932E6" w:rsidP="00D162CA">
            <w:pPr>
              <w:rPr>
                <w:rFonts w:ascii="Times New Roman" w:hAnsi="Times New Roman" w:cs="Times New Roman"/>
                <w:b/>
                <w:bCs/>
                <w:sz w:val="24"/>
                <w:szCs w:val="24"/>
              </w:rPr>
            </w:pPr>
          </w:p>
        </w:tc>
        <w:tc>
          <w:tcPr>
            <w:tcW w:w="1806" w:type="dxa"/>
            <w:noWrap/>
          </w:tcPr>
          <w:p w14:paraId="03A48D2A" w14:textId="77777777" w:rsidR="000932E6" w:rsidRPr="008F511F" w:rsidRDefault="000932E6" w:rsidP="00D162CA">
            <w:pPr>
              <w:jc w:val="center"/>
              <w:rPr>
                <w:rFonts w:ascii="Times New Roman" w:hAnsi="Times New Roman" w:cs="Times New Roman"/>
                <w:sz w:val="24"/>
                <w:szCs w:val="24"/>
              </w:rPr>
            </w:pPr>
          </w:p>
        </w:tc>
        <w:tc>
          <w:tcPr>
            <w:tcW w:w="2632" w:type="dxa"/>
            <w:noWrap/>
          </w:tcPr>
          <w:p w14:paraId="5AC82753"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4B99754A" w14:textId="77777777" w:rsidR="000932E6" w:rsidRPr="008F511F" w:rsidRDefault="000932E6" w:rsidP="00D162CA">
            <w:pPr>
              <w:jc w:val="center"/>
              <w:rPr>
                <w:rFonts w:ascii="Times New Roman" w:hAnsi="Times New Roman" w:cs="Times New Roman"/>
                <w:sz w:val="24"/>
                <w:szCs w:val="24"/>
              </w:rPr>
            </w:pPr>
          </w:p>
        </w:tc>
      </w:tr>
      <w:tr w:rsidR="008F511F" w:rsidRPr="008F511F" w14:paraId="5926D5AB" w14:textId="77777777" w:rsidTr="00D162CA">
        <w:trPr>
          <w:trHeight w:val="340"/>
        </w:trPr>
        <w:tc>
          <w:tcPr>
            <w:tcW w:w="2368" w:type="dxa"/>
            <w:noWrap/>
            <w:hideMark/>
          </w:tcPr>
          <w:p w14:paraId="754C95DD"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06" w:type="dxa"/>
            <w:noWrap/>
          </w:tcPr>
          <w:p w14:paraId="161E3560"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12.28</w:t>
            </w:r>
          </w:p>
        </w:tc>
        <w:tc>
          <w:tcPr>
            <w:tcW w:w="2632" w:type="dxa"/>
            <w:noWrap/>
          </w:tcPr>
          <w:p w14:paraId="1FF2618B"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20.44</w:t>
            </w:r>
          </w:p>
        </w:tc>
        <w:tc>
          <w:tcPr>
            <w:tcW w:w="2604" w:type="dxa"/>
            <w:noWrap/>
          </w:tcPr>
          <w:p w14:paraId="3094D7C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41.00</w:t>
            </w:r>
          </w:p>
        </w:tc>
      </w:tr>
      <w:tr w:rsidR="008F511F" w:rsidRPr="008F511F" w14:paraId="3919FB55" w14:textId="77777777" w:rsidTr="00D162CA">
        <w:trPr>
          <w:trHeight w:val="340"/>
        </w:trPr>
        <w:tc>
          <w:tcPr>
            <w:tcW w:w="2368" w:type="dxa"/>
            <w:noWrap/>
            <w:hideMark/>
          </w:tcPr>
          <w:p w14:paraId="41DFDBEF"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06" w:type="dxa"/>
            <w:noWrap/>
          </w:tcPr>
          <w:p w14:paraId="44053F5C" w14:textId="77777777" w:rsidR="000932E6" w:rsidRPr="008F511F" w:rsidRDefault="000932E6" w:rsidP="00D162CA">
            <w:pPr>
              <w:jc w:val="center"/>
              <w:rPr>
                <w:rFonts w:ascii="Times New Roman" w:hAnsi="Times New Roman" w:cs="Times New Roman"/>
                <w:b/>
                <w:bCs/>
                <w:sz w:val="24"/>
                <w:szCs w:val="24"/>
              </w:rPr>
            </w:pPr>
          </w:p>
        </w:tc>
        <w:tc>
          <w:tcPr>
            <w:tcW w:w="2632" w:type="dxa"/>
            <w:noWrap/>
          </w:tcPr>
          <w:p w14:paraId="185C769B"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2E3EC50B" w14:textId="77777777" w:rsidR="000932E6" w:rsidRPr="008F511F" w:rsidRDefault="000932E6" w:rsidP="00D162CA">
            <w:pPr>
              <w:jc w:val="center"/>
              <w:rPr>
                <w:rFonts w:ascii="Times New Roman" w:hAnsi="Times New Roman" w:cs="Times New Roman"/>
                <w:sz w:val="24"/>
                <w:szCs w:val="24"/>
              </w:rPr>
            </w:pPr>
          </w:p>
        </w:tc>
      </w:tr>
      <w:tr w:rsidR="008F511F" w:rsidRPr="008F511F" w14:paraId="7BA9B0F8" w14:textId="77777777" w:rsidTr="00D162CA">
        <w:trPr>
          <w:trHeight w:val="340"/>
        </w:trPr>
        <w:tc>
          <w:tcPr>
            <w:tcW w:w="2368" w:type="dxa"/>
            <w:noWrap/>
            <w:hideMark/>
          </w:tcPr>
          <w:p w14:paraId="34CBB888"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tcPr>
          <w:p w14:paraId="06730C4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11.83</w:t>
            </w:r>
          </w:p>
        </w:tc>
        <w:tc>
          <w:tcPr>
            <w:tcW w:w="2632" w:type="dxa"/>
            <w:noWrap/>
          </w:tcPr>
          <w:p w14:paraId="06AAD597"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20.15</w:t>
            </w:r>
          </w:p>
        </w:tc>
        <w:tc>
          <w:tcPr>
            <w:tcW w:w="2604" w:type="dxa"/>
            <w:noWrap/>
          </w:tcPr>
          <w:p w14:paraId="62D0B481"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40.64</w:t>
            </w:r>
          </w:p>
        </w:tc>
      </w:tr>
      <w:tr w:rsidR="008F511F" w:rsidRPr="008F511F" w14:paraId="13672C42" w14:textId="77777777" w:rsidTr="00D162CA">
        <w:trPr>
          <w:trHeight w:val="340"/>
        </w:trPr>
        <w:tc>
          <w:tcPr>
            <w:tcW w:w="2368" w:type="dxa"/>
            <w:noWrap/>
            <w:hideMark/>
          </w:tcPr>
          <w:p w14:paraId="37F720D1"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tcPr>
          <w:p w14:paraId="1EB2BC2F"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12.73</w:t>
            </w:r>
          </w:p>
        </w:tc>
        <w:tc>
          <w:tcPr>
            <w:tcW w:w="2632" w:type="dxa"/>
            <w:noWrap/>
          </w:tcPr>
          <w:p w14:paraId="49EA0AC6"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20.73</w:t>
            </w:r>
          </w:p>
        </w:tc>
        <w:tc>
          <w:tcPr>
            <w:tcW w:w="2604" w:type="dxa"/>
            <w:noWrap/>
          </w:tcPr>
          <w:p w14:paraId="32AC3482"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41.36</w:t>
            </w:r>
          </w:p>
        </w:tc>
      </w:tr>
      <w:tr w:rsidR="008F511F" w:rsidRPr="008F511F" w14:paraId="3CA068AC" w14:textId="77777777" w:rsidTr="00D162CA">
        <w:trPr>
          <w:trHeight w:val="340"/>
        </w:trPr>
        <w:tc>
          <w:tcPr>
            <w:tcW w:w="2368" w:type="dxa"/>
            <w:noWrap/>
            <w:hideMark/>
          </w:tcPr>
          <w:p w14:paraId="781988F6"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06" w:type="dxa"/>
            <w:noWrap/>
          </w:tcPr>
          <w:p w14:paraId="06A82CEC" w14:textId="77777777" w:rsidR="000932E6" w:rsidRPr="008F511F" w:rsidRDefault="000932E6" w:rsidP="00D162CA">
            <w:pPr>
              <w:jc w:val="center"/>
              <w:rPr>
                <w:rFonts w:ascii="Times New Roman" w:hAnsi="Times New Roman" w:cs="Times New Roman"/>
                <w:b/>
                <w:bCs/>
                <w:sz w:val="24"/>
                <w:szCs w:val="24"/>
              </w:rPr>
            </w:pPr>
          </w:p>
        </w:tc>
        <w:tc>
          <w:tcPr>
            <w:tcW w:w="2632" w:type="dxa"/>
            <w:noWrap/>
          </w:tcPr>
          <w:p w14:paraId="7CD00E68"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54C5A038" w14:textId="77777777" w:rsidR="000932E6" w:rsidRPr="008F511F" w:rsidRDefault="000932E6" w:rsidP="00D162CA">
            <w:pPr>
              <w:jc w:val="center"/>
              <w:rPr>
                <w:rFonts w:ascii="Times New Roman" w:hAnsi="Times New Roman" w:cs="Times New Roman"/>
                <w:sz w:val="24"/>
                <w:szCs w:val="24"/>
              </w:rPr>
            </w:pPr>
          </w:p>
        </w:tc>
      </w:tr>
      <w:tr w:rsidR="008F511F" w:rsidRPr="008F511F" w14:paraId="3C22AB4F" w14:textId="77777777" w:rsidTr="00D162CA">
        <w:trPr>
          <w:trHeight w:val="340"/>
        </w:trPr>
        <w:tc>
          <w:tcPr>
            <w:tcW w:w="2368" w:type="dxa"/>
            <w:noWrap/>
            <w:hideMark/>
          </w:tcPr>
          <w:p w14:paraId="70DC70A3"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tcPr>
          <w:p w14:paraId="53DA1B7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-0.90</w:t>
            </w:r>
          </w:p>
        </w:tc>
        <w:tc>
          <w:tcPr>
            <w:tcW w:w="2632" w:type="dxa"/>
            <w:noWrap/>
          </w:tcPr>
          <w:p w14:paraId="715CA6F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-0.58</w:t>
            </w:r>
          </w:p>
        </w:tc>
        <w:tc>
          <w:tcPr>
            <w:tcW w:w="2604" w:type="dxa"/>
            <w:noWrap/>
          </w:tcPr>
          <w:p w14:paraId="0A7EC39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-0.72</w:t>
            </w:r>
          </w:p>
        </w:tc>
      </w:tr>
      <w:tr w:rsidR="008F511F" w:rsidRPr="008F511F" w14:paraId="33DCF9E7" w14:textId="77777777" w:rsidTr="00D162CA">
        <w:trPr>
          <w:trHeight w:val="340"/>
        </w:trPr>
        <w:tc>
          <w:tcPr>
            <w:tcW w:w="2368" w:type="dxa"/>
            <w:noWrap/>
            <w:hideMark/>
          </w:tcPr>
          <w:p w14:paraId="1912D0AA"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tcPr>
          <w:p w14:paraId="01DBD0D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0.90</w:t>
            </w:r>
          </w:p>
        </w:tc>
        <w:tc>
          <w:tcPr>
            <w:tcW w:w="2632" w:type="dxa"/>
            <w:noWrap/>
          </w:tcPr>
          <w:p w14:paraId="68E89695"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0.58</w:t>
            </w:r>
          </w:p>
        </w:tc>
        <w:tc>
          <w:tcPr>
            <w:tcW w:w="2604" w:type="dxa"/>
            <w:noWrap/>
          </w:tcPr>
          <w:p w14:paraId="3DE5CC57"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0.72</w:t>
            </w:r>
          </w:p>
        </w:tc>
      </w:tr>
      <w:tr w:rsidR="008F511F" w:rsidRPr="008F511F" w14:paraId="5078D28B" w14:textId="77777777" w:rsidTr="00D162CA">
        <w:trPr>
          <w:trHeight w:val="340"/>
        </w:trPr>
        <w:tc>
          <w:tcPr>
            <w:tcW w:w="2368" w:type="dxa"/>
            <w:noWrap/>
            <w:hideMark/>
          </w:tcPr>
          <w:p w14:paraId="3F6BD3A8" w14:textId="77777777" w:rsidR="000932E6" w:rsidRPr="008F511F" w:rsidRDefault="000932E6" w:rsidP="00D162CA">
            <w:pPr>
              <w:rPr>
                <w:rFonts w:ascii="Times New Roman" w:hAnsi="Times New Roman" w:cs="Times New Roman"/>
                <w:sz w:val="24"/>
                <w:szCs w:val="24"/>
              </w:rPr>
            </w:pPr>
          </w:p>
        </w:tc>
        <w:tc>
          <w:tcPr>
            <w:tcW w:w="1806" w:type="dxa"/>
            <w:noWrap/>
          </w:tcPr>
          <w:p w14:paraId="26A3AB79" w14:textId="77777777" w:rsidR="000932E6" w:rsidRPr="008F511F" w:rsidRDefault="000932E6" w:rsidP="00D162CA">
            <w:pPr>
              <w:jc w:val="center"/>
              <w:rPr>
                <w:rFonts w:ascii="Times New Roman" w:hAnsi="Times New Roman" w:cs="Times New Roman"/>
                <w:sz w:val="24"/>
                <w:szCs w:val="24"/>
              </w:rPr>
            </w:pPr>
          </w:p>
        </w:tc>
        <w:tc>
          <w:tcPr>
            <w:tcW w:w="2632" w:type="dxa"/>
            <w:noWrap/>
          </w:tcPr>
          <w:p w14:paraId="6FF619D2"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4F497776" w14:textId="77777777" w:rsidR="000932E6" w:rsidRPr="008F511F" w:rsidRDefault="000932E6" w:rsidP="00D162CA">
            <w:pPr>
              <w:jc w:val="center"/>
              <w:rPr>
                <w:rFonts w:ascii="Times New Roman" w:hAnsi="Times New Roman" w:cs="Times New Roman"/>
                <w:sz w:val="24"/>
                <w:szCs w:val="24"/>
              </w:rPr>
            </w:pPr>
          </w:p>
        </w:tc>
      </w:tr>
      <w:tr w:rsidR="008F511F" w:rsidRPr="008F511F" w14:paraId="05FFCF0D" w14:textId="77777777" w:rsidTr="00D162CA">
        <w:trPr>
          <w:trHeight w:val="340"/>
        </w:trPr>
        <w:tc>
          <w:tcPr>
            <w:tcW w:w="2368" w:type="dxa"/>
            <w:noWrap/>
            <w:hideMark/>
          </w:tcPr>
          <w:p w14:paraId="4631EED2"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3. ENJ</w:t>
            </w:r>
          </w:p>
        </w:tc>
        <w:tc>
          <w:tcPr>
            <w:tcW w:w="1806" w:type="dxa"/>
            <w:noWrap/>
          </w:tcPr>
          <w:p w14:paraId="04A3BD58" w14:textId="77777777" w:rsidR="000932E6" w:rsidRPr="008F511F" w:rsidRDefault="000932E6" w:rsidP="00D162CA">
            <w:pPr>
              <w:jc w:val="center"/>
              <w:rPr>
                <w:rFonts w:ascii="Times New Roman" w:hAnsi="Times New Roman" w:cs="Times New Roman"/>
                <w:b/>
                <w:bCs/>
                <w:sz w:val="24"/>
                <w:szCs w:val="24"/>
              </w:rPr>
            </w:pPr>
          </w:p>
        </w:tc>
        <w:tc>
          <w:tcPr>
            <w:tcW w:w="2632" w:type="dxa"/>
            <w:noWrap/>
          </w:tcPr>
          <w:p w14:paraId="18A37E49"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53307B87" w14:textId="77777777" w:rsidR="000932E6" w:rsidRPr="008F511F" w:rsidRDefault="000932E6" w:rsidP="00D162CA">
            <w:pPr>
              <w:jc w:val="center"/>
              <w:rPr>
                <w:rFonts w:ascii="Times New Roman" w:hAnsi="Times New Roman" w:cs="Times New Roman"/>
                <w:sz w:val="24"/>
                <w:szCs w:val="24"/>
              </w:rPr>
            </w:pPr>
          </w:p>
        </w:tc>
      </w:tr>
      <w:tr w:rsidR="008F511F" w:rsidRPr="008F511F" w14:paraId="681F364A" w14:textId="77777777" w:rsidTr="00D162CA">
        <w:trPr>
          <w:trHeight w:val="340"/>
        </w:trPr>
        <w:tc>
          <w:tcPr>
            <w:tcW w:w="2368" w:type="dxa"/>
            <w:noWrap/>
          </w:tcPr>
          <w:p w14:paraId="41B6D381" w14:textId="77777777" w:rsidR="000932E6" w:rsidRPr="008F511F" w:rsidRDefault="000932E6" w:rsidP="00D162CA">
            <w:pPr>
              <w:rPr>
                <w:rFonts w:ascii="Times New Roman" w:hAnsi="Times New Roman" w:cs="Times New Roman"/>
                <w:b/>
                <w:bCs/>
                <w:sz w:val="24"/>
                <w:szCs w:val="24"/>
              </w:rPr>
            </w:pPr>
          </w:p>
        </w:tc>
        <w:tc>
          <w:tcPr>
            <w:tcW w:w="1806" w:type="dxa"/>
            <w:noWrap/>
          </w:tcPr>
          <w:p w14:paraId="1DDCD508" w14:textId="77777777" w:rsidR="000932E6" w:rsidRPr="008F511F" w:rsidRDefault="000932E6" w:rsidP="00D162CA">
            <w:pPr>
              <w:jc w:val="center"/>
              <w:rPr>
                <w:rFonts w:ascii="Times New Roman" w:hAnsi="Times New Roman" w:cs="Times New Roman"/>
                <w:sz w:val="24"/>
                <w:szCs w:val="24"/>
              </w:rPr>
            </w:pPr>
          </w:p>
        </w:tc>
        <w:tc>
          <w:tcPr>
            <w:tcW w:w="2632" w:type="dxa"/>
            <w:noWrap/>
          </w:tcPr>
          <w:p w14:paraId="3BE54D3A"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66D0822F" w14:textId="77777777" w:rsidR="000932E6" w:rsidRPr="008F511F" w:rsidRDefault="000932E6" w:rsidP="00D162CA">
            <w:pPr>
              <w:jc w:val="center"/>
              <w:rPr>
                <w:rFonts w:ascii="Times New Roman" w:hAnsi="Times New Roman" w:cs="Times New Roman"/>
                <w:sz w:val="24"/>
                <w:szCs w:val="24"/>
              </w:rPr>
            </w:pPr>
          </w:p>
        </w:tc>
      </w:tr>
      <w:tr w:rsidR="008F511F" w:rsidRPr="008F511F" w14:paraId="468CF672" w14:textId="77777777" w:rsidTr="00D162CA">
        <w:trPr>
          <w:trHeight w:val="340"/>
        </w:trPr>
        <w:tc>
          <w:tcPr>
            <w:tcW w:w="2368" w:type="dxa"/>
            <w:noWrap/>
            <w:hideMark/>
          </w:tcPr>
          <w:p w14:paraId="1072A055"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1806" w:type="dxa"/>
            <w:noWrap/>
          </w:tcPr>
          <w:p w14:paraId="187DA27D"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12.85</w:t>
            </w:r>
          </w:p>
        </w:tc>
        <w:tc>
          <w:tcPr>
            <w:tcW w:w="2632" w:type="dxa"/>
            <w:noWrap/>
          </w:tcPr>
          <w:p w14:paraId="26CF656F"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17.26</w:t>
            </w:r>
          </w:p>
        </w:tc>
        <w:tc>
          <w:tcPr>
            <w:tcW w:w="2604" w:type="dxa"/>
            <w:noWrap/>
          </w:tcPr>
          <w:p w14:paraId="7D732CDC"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30.13</w:t>
            </w:r>
          </w:p>
        </w:tc>
      </w:tr>
      <w:tr w:rsidR="008F511F" w:rsidRPr="008F511F" w14:paraId="10853F78" w14:textId="77777777" w:rsidTr="00D162CA">
        <w:trPr>
          <w:trHeight w:val="340"/>
        </w:trPr>
        <w:tc>
          <w:tcPr>
            <w:tcW w:w="2368" w:type="dxa"/>
            <w:noWrap/>
            <w:hideMark/>
          </w:tcPr>
          <w:p w14:paraId="28D75D70"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1806" w:type="dxa"/>
            <w:noWrap/>
          </w:tcPr>
          <w:p w14:paraId="69286C59" w14:textId="77777777" w:rsidR="000932E6" w:rsidRPr="008F511F" w:rsidRDefault="000932E6" w:rsidP="00D162CA">
            <w:pPr>
              <w:jc w:val="center"/>
              <w:rPr>
                <w:rFonts w:ascii="Times New Roman" w:hAnsi="Times New Roman" w:cs="Times New Roman"/>
                <w:b/>
                <w:bCs/>
                <w:sz w:val="24"/>
                <w:szCs w:val="24"/>
              </w:rPr>
            </w:pPr>
          </w:p>
        </w:tc>
        <w:tc>
          <w:tcPr>
            <w:tcW w:w="2632" w:type="dxa"/>
            <w:noWrap/>
          </w:tcPr>
          <w:p w14:paraId="4ED18A4B"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57B331AB" w14:textId="77777777" w:rsidR="000932E6" w:rsidRPr="008F511F" w:rsidRDefault="000932E6" w:rsidP="00D162CA">
            <w:pPr>
              <w:jc w:val="center"/>
              <w:rPr>
                <w:rFonts w:ascii="Times New Roman" w:hAnsi="Times New Roman" w:cs="Times New Roman"/>
                <w:sz w:val="24"/>
                <w:szCs w:val="24"/>
              </w:rPr>
            </w:pPr>
          </w:p>
        </w:tc>
      </w:tr>
      <w:tr w:rsidR="008F511F" w:rsidRPr="008F511F" w14:paraId="721D2C1A" w14:textId="77777777" w:rsidTr="00D162CA">
        <w:trPr>
          <w:trHeight w:val="340"/>
        </w:trPr>
        <w:tc>
          <w:tcPr>
            <w:tcW w:w="2368" w:type="dxa"/>
            <w:noWrap/>
            <w:hideMark/>
          </w:tcPr>
          <w:p w14:paraId="62E0A9F8"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tcPr>
          <w:p w14:paraId="5FE584F4"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12.93</w:t>
            </w:r>
          </w:p>
        </w:tc>
        <w:tc>
          <w:tcPr>
            <w:tcW w:w="2632" w:type="dxa"/>
            <w:noWrap/>
          </w:tcPr>
          <w:p w14:paraId="032A7A22"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17.18</w:t>
            </w:r>
          </w:p>
        </w:tc>
        <w:tc>
          <w:tcPr>
            <w:tcW w:w="2604" w:type="dxa"/>
            <w:noWrap/>
          </w:tcPr>
          <w:p w14:paraId="0F9C16A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26.37</w:t>
            </w:r>
          </w:p>
        </w:tc>
      </w:tr>
      <w:tr w:rsidR="008F511F" w:rsidRPr="008F511F" w14:paraId="448C697A" w14:textId="77777777" w:rsidTr="00D162CA">
        <w:trPr>
          <w:trHeight w:val="340"/>
        </w:trPr>
        <w:tc>
          <w:tcPr>
            <w:tcW w:w="2368" w:type="dxa"/>
            <w:noWrap/>
            <w:hideMark/>
          </w:tcPr>
          <w:p w14:paraId="6431DDD3"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tcPr>
          <w:p w14:paraId="6817D592"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12.77</w:t>
            </w:r>
          </w:p>
        </w:tc>
        <w:tc>
          <w:tcPr>
            <w:tcW w:w="2632" w:type="dxa"/>
            <w:noWrap/>
          </w:tcPr>
          <w:p w14:paraId="75692DC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17.33</w:t>
            </w:r>
          </w:p>
        </w:tc>
        <w:tc>
          <w:tcPr>
            <w:tcW w:w="2604" w:type="dxa"/>
            <w:noWrap/>
          </w:tcPr>
          <w:p w14:paraId="5F0E5980"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33.90</w:t>
            </w:r>
          </w:p>
        </w:tc>
      </w:tr>
      <w:tr w:rsidR="008F511F" w:rsidRPr="008F511F" w14:paraId="40B29977" w14:textId="77777777" w:rsidTr="00D162CA">
        <w:trPr>
          <w:trHeight w:val="340"/>
        </w:trPr>
        <w:tc>
          <w:tcPr>
            <w:tcW w:w="2368" w:type="dxa"/>
            <w:noWrap/>
            <w:hideMark/>
          </w:tcPr>
          <w:p w14:paraId="59B74F53"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1806" w:type="dxa"/>
            <w:noWrap/>
          </w:tcPr>
          <w:p w14:paraId="686B1378" w14:textId="77777777" w:rsidR="000932E6" w:rsidRPr="008F511F" w:rsidRDefault="000932E6" w:rsidP="00D162CA">
            <w:pPr>
              <w:jc w:val="center"/>
              <w:rPr>
                <w:rFonts w:ascii="Times New Roman" w:hAnsi="Times New Roman" w:cs="Times New Roman"/>
                <w:b/>
                <w:bCs/>
                <w:sz w:val="24"/>
                <w:szCs w:val="24"/>
              </w:rPr>
            </w:pPr>
          </w:p>
        </w:tc>
        <w:tc>
          <w:tcPr>
            <w:tcW w:w="2632" w:type="dxa"/>
            <w:noWrap/>
          </w:tcPr>
          <w:p w14:paraId="6ED6C725" w14:textId="77777777" w:rsidR="000932E6" w:rsidRPr="008F511F" w:rsidRDefault="000932E6" w:rsidP="00D162CA">
            <w:pPr>
              <w:jc w:val="center"/>
              <w:rPr>
                <w:rFonts w:ascii="Times New Roman" w:hAnsi="Times New Roman" w:cs="Times New Roman"/>
                <w:sz w:val="24"/>
                <w:szCs w:val="24"/>
              </w:rPr>
            </w:pPr>
          </w:p>
        </w:tc>
        <w:tc>
          <w:tcPr>
            <w:tcW w:w="2604" w:type="dxa"/>
            <w:noWrap/>
          </w:tcPr>
          <w:p w14:paraId="40A2CD81" w14:textId="77777777" w:rsidR="000932E6" w:rsidRPr="008F511F" w:rsidRDefault="000932E6" w:rsidP="00D162CA">
            <w:pPr>
              <w:jc w:val="center"/>
              <w:rPr>
                <w:rFonts w:ascii="Times New Roman" w:hAnsi="Times New Roman" w:cs="Times New Roman"/>
                <w:sz w:val="24"/>
                <w:szCs w:val="24"/>
              </w:rPr>
            </w:pPr>
          </w:p>
        </w:tc>
      </w:tr>
      <w:tr w:rsidR="008F511F" w:rsidRPr="008F511F" w14:paraId="6A5BBE6B" w14:textId="77777777" w:rsidTr="00D162CA">
        <w:trPr>
          <w:trHeight w:val="340"/>
        </w:trPr>
        <w:tc>
          <w:tcPr>
            <w:tcW w:w="2368" w:type="dxa"/>
            <w:noWrap/>
            <w:hideMark/>
          </w:tcPr>
          <w:p w14:paraId="1EB64EA3"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1806" w:type="dxa"/>
            <w:noWrap/>
          </w:tcPr>
          <w:p w14:paraId="52F385F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0.16</w:t>
            </w:r>
          </w:p>
        </w:tc>
        <w:tc>
          <w:tcPr>
            <w:tcW w:w="2632" w:type="dxa"/>
            <w:noWrap/>
          </w:tcPr>
          <w:p w14:paraId="63679B97"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-0.16</w:t>
            </w:r>
          </w:p>
        </w:tc>
        <w:tc>
          <w:tcPr>
            <w:tcW w:w="2604" w:type="dxa"/>
            <w:noWrap/>
          </w:tcPr>
          <w:p w14:paraId="18C8CC8B"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-7.53</w:t>
            </w:r>
          </w:p>
        </w:tc>
      </w:tr>
      <w:tr w:rsidR="008F511F" w:rsidRPr="008F511F" w14:paraId="21DDE080" w14:textId="77777777" w:rsidTr="00D162CA">
        <w:trPr>
          <w:trHeight w:val="340"/>
        </w:trPr>
        <w:tc>
          <w:tcPr>
            <w:tcW w:w="2368" w:type="dxa"/>
            <w:noWrap/>
            <w:hideMark/>
          </w:tcPr>
          <w:p w14:paraId="5CA50B7A"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1806" w:type="dxa"/>
            <w:noWrap/>
          </w:tcPr>
          <w:p w14:paraId="42B623C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-0.16</w:t>
            </w:r>
          </w:p>
        </w:tc>
        <w:tc>
          <w:tcPr>
            <w:tcW w:w="2632" w:type="dxa"/>
            <w:noWrap/>
          </w:tcPr>
          <w:p w14:paraId="60878F0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0.16</w:t>
            </w:r>
          </w:p>
        </w:tc>
        <w:tc>
          <w:tcPr>
            <w:tcW w:w="2604" w:type="dxa"/>
            <w:noWrap/>
          </w:tcPr>
          <w:p w14:paraId="4B87553D"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7.53</w:t>
            </w:r>
          </w:p>
        </w:tc>
      </w:tr>
    </w:tbl>
    <w:p w14:paraId="57FA5216" w14:textId="49DA2935" w:rsidR="000932E6" w:rsidRPr="008F511F" w:rsidRDefault="000932E6" w:rsidP="000932E6">
      <w:pPr>
        <w:jc w:val="both"/>
        <w:rPr>
          <w:rFonts w:ascii="Times New Roman" w:hAnsi="Times New Roman" w:cs="Times New Roman"/>
          <w:sz w:val="18"/>
          <w:szCs w:val="18"/>
        </w:rPr>
      </w:pPr>
      <w:r w:rsidRPr="008F511F">
        <w:rPr>
          <w:rFonts w:ascii="Times New Roman" w:hAnsi="Times New Roman" w:cs="Times New Roman"/>
          <w:sz w:val="18"/>
          <w:szCs w:val="18"/>
        </w:rPr>
        <w:t xml:space="preserve">Notes: ‘Total spillover’ means the total connectedness between volatility and volume of NFT. ‘To volatility’ indicates the spillover from volume to volatility, whereas ‘To Volume’ represents the spillover from volatility to volume. The positive ‘Net volatility’ spillover shows the volatility as net transmitter of spillover to volume, whereas negative ‘Net volatility’ spillover indicate the volatility as net recipient of spillover from volume. </w:t>
      </w:r>
      <w:r w:rsidR="00936533" w:rsidRPr="008F511F">
        <w:rPr>
          <w:rFonts w:ascii="Times New Roman" w:hAnsi="Times New Roman" w:cs="Times New Roman"/>
          <w:sz w:val="18"/>
          <w:szCs w:val="18"/>
        </w:rPr>
        <w:t>The length of rolling window is 200 days.</w:t>
      </w:r>
    </w:p>
    <w:p w14:paraId="392BE9B0" w14:textId="77777777" w:rsidR="000932E6" w:rsidRPr="008F511F" w:rsidRDefault="000932E6" w:rsidP="000932E6">
      <w:pPr>
        <w:jc w:val="center"/>
        <w:rPr>
          <w:rFonts w:ascii="Times New Roman" w:eastAsia="Malgun Gothic" w:hAnsi="Times New Roman" w:cs="Times New Roman"/>
          <w:iCs/>
          <w:sz w:val="24"/>
          <w:szCs w:val="24"/>
          <w:lang w:eastAsia="ko-KR"/>
        </w:rPr>
      </w:pPr>
    </w:p>
    <w:p w14:paraId="64B0DAA7" w14:textId="77777777" w:rsidR="000932E6" w:rsidRPr="008F511F" w:rsidRDefault="000932E6" w:rsidP="000932E6">
      <w:pPr>
        <w:jc w:val="center"/>
        <w:rPr>
          <w:rFonts w:ascii="Times New Roman" w:eastAsia="Malgun Gothic" w:hAnsi="Times New Roman" w:cs="Times New Roman"/>
          <w:iCs/>
          <w:sz w:val="24"/>
          <w:szCs w:val="24"/>
          <w:lang w:eastAsia="ko-KR"/>
        </w:rPr>
      </w:pPr>
    </w:p>
    <w:p w14:paraId="6FC13113" w14:textId="77777777" w:rsidR="000932E6" w:rsidRPr="008F511F" w:rsidRDefault="000932E6" w:rsidP="000932E6">
      <w:pPr>
        <w:rPr>
          <w:rFonts w:ascii="Times New Roman" w:hAnsi="Times New Roman" w:cs="Times New Roman"/>
          <w:sz w:val="24"/>
          <w:szCs w:val="24"/>
        </w:rPr>
      </w:pPr>
      <w:r w:rsidRPr="008F511F">
        <w:rPr>
          <w:rFonts w:ascii="Times New Roman" w:hAnsi="Times New Roman" w:cs="Times New Roman"/>
          <w:b/>
          <w:bCs/>
          <w:sz w:val="24"/>
          <w:szCs w:val="24"/>
        </w:rPr>
        <w:lastRenderedPageBreak/>
        <w:t>Table A3.</w:t>
      </w:r>
      <w:r w:rsidRPr="008F511F">
        <w:rPr>
          <w:rFonts w:ascii="Times New Roman" w:hAnsi="Times New Roman" w:cs="Times New Roman"/>
          <w:sz w:val="24"/>
          <w:szCs w:val="24"/>
        </w:rPr>
        <w:t xml:space="preserve"> Static mean-based spillovers for the return-volume and volatility-volume using the Diebold and Yilmaz (2012) model</w:t>
      </w:r>
    </w:p>
    <w:tbl>
      <w:tblPr>
        <w:tblStyle w:val="TableGrid"/>
        <w:tblW w:w="94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2181"/>
        <w:gridCol w:w="290"/>
        <w:gridCol w:w="2224"/>
        <w:gridCol w:w="2528"/>
      </w:tblGrid>
      <w:tr w:rsidR="008F511F" w:rsidRPr="008F511F" w14:paraId="60984491" w14:textId="77777777" w:rsidTr="00D162CA">
        <w:trPr>
          <w:trHeight w:val="337"/>
        </w:trPr>
        <w:tc>
          <w:tcPr>
            <w:tcW w:w="0" w:type="auto"/>
            <w:tcBorders>
              <w:top w:val="single" w:sz="4" w:space="0" w:color="auto"/>
              <w:bottom w:val="single" w:sz="4" w:space="0" w:color="auto"/>
            </w:tcBorders>
            <w:noWrap/>
          </w:tcPr>
          <w:p w14:paraId="6184A222" w14:textId="77777777" w:rsidR="000932E6" w:rsidRPr="008F511F" w:rsidRDefault="000932E6" w:rsidP="00D162CA">
            <w:pPr>
              <w:rPr>
                <w:rFonts w:ascii="Times New Roman" w:hAnsi="Times New Roman" w:cs="Times New Roman"/>
                <w:sz w:val="24"/>
                <w:szCs w:val="24"/>
              </w:rPr>
            </w:pPr>
          </w:p>
        </w:tc>
        <w:tc>
          <w:tcPr>
            <w:tcW w:w="0" w:type="auto"/>
            <w:tcBorders>
              <w:top w:val="single" w:sz="4" w:space="0" w:color="auto"/>
              <w:bottom w:val="single" w:sz="4" w:space="0" w:color="auto"/>
            </w:tcBorders>
            <w:noWrap/>
          </w:tcPr>
          <w:p w14:paraId="384CD27C"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Return-volume</w:t>
            </w:r>
          </w:p>
        </w:tc>
        <w:tc>
          <w:tcPr>
            <w:tcW w:w="0" w:type="auto"/>
            <w:tcBorders>
              <w:top w:val="single" w:sz="4" w:space="0" w:color="auto"/>
              <w:bottom w:val="single" w:sz="4" w:space="0" w:color="auto"/>
            </w:tcBorders>
          </w:tcPr>
          <w:p w14:paraId="7633BA9B" w14:textId="77777777" w:rsidR="000932E6" w:rsidRPr="008F511F" w:rsidRDefault="000932E6" w:rsidP="00D162CA">
            <w:pPr>
              <w:jc w:val="center"/>
              <w:rPr>
                <w:rFonts w:ascii="Times New Roman" w:hAnsi="Times New Roman" w:cs="Times New Roman"/>
                <w:sz w:val="24"/>
                <w:szCs w:val="24"/>
              </w:rPr>
            </w:pPr>
          </w:p>
        </w:tc>
        <w:tc>
          <w:tcPr>
            <w:tcW w:w="0" w:type="auto"/>
            <w:tcBorders>
              <w:top w:val="single" w:sz="4" w:space="0" w:color="auto"/>
              <w:bottom w:val="single" w:sz="4" w:space="0" w:color="auto"/>
            </w:tcBorders>
          </w:tcPr>
          <w:p w14:paraId="398ACB2A" w14:textId="77777777" w:rsidR="000932E6" w:rsidRPr="008F511F" w:rsidRDefault="000932E6" w:rsidP="00D162CA">
            <w:pPr>
              <w:jc w:val="center"/>
              <w:rPr>
                <w:rFonts w:ascii="Times New Roman" w:hAnsi="Times New Roman" w:cs="Times New Roman"/>
                <w:sz w:val="24"/>
                <w:szCs w:val="24"/>
              </w:rPr>
            </w:pPr>
          </w:p>
        </w:tc>
        <w:tc>
          <w:tcPr>
            <w:tcW w:w="0" w:type="auto"/>
            <w:tcBorders>
              <w:top w:val="single" w:sz="4" w:space="0" w:color="auto"/>
              <w:bottom w:val="single" w:sz="4" w:space="0" w:color="auto"/>
            </w:tcBorders>
            <w:noWrap/>
          </w:tcPr>
          <w:p w14:paraId="1CA0D1AB"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Volatility-volume</w:t>
            </w:r>
          </w:p>
        </w:tc>
      </w:tr>
      <w:tr w:rsidR="008F511F" w:rsidRPr="008F511F" w14:paraId="45F66F60" w14:textId="77777777" w:rsidTr="00D162CA">
        <w:trPr>
          <w:trHeight w:val="337"/>
        </w:trPr>
        <w:tc>
          <w:tcPr>
            <w:tcW w:w="0" w:type="auto"/>
            <w:tcBorders>
              <w:top w:val="single" w:sz="4" w:space="0" w:color="auto"/>
            </w:tcBorders>
            <w:noWrap/>
            <w:hideMark/>
          </w:tcPr>
          <w:p w14:paraId="4C8B5866"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1. THETA</w:t>
            </w:r>
          </w:p>
        </w:tc>
        <w:tc>
          <w:tcPr>
            <w:tcW w:w="0" w:type="auto"/>
            <w:tcBorders>
              <w:top w:val="single" w:sz="4" w:space="0" w:color="auto"/>
            </w:tcBorders>
            <w:noWrap/>
            <w:hideMark/>
          </w:tcPr>
          <w:p w14:paraId="18CB2636" w14:textId="77777777" w:rsidR="000932E6" w:rsidRPr="008F511F" w:rsidRDefault="000932E6" w:rsidP="00D162CA">
            <w:pPr>
              <w:jc w:val="center"/>
              <w:rPr>
                <w:rFonts w:ascii="Times New Roman" w:hAnsi="Times New Roman" w:cs="Times New Roman"/>
                <w:b/>
                <w:bCs/>
                <w:sz w:val="24"/>
                <w:szCs w:val="24"/>
              </w:rPr>
            </w:pPr>
          </w:p>
        </w:tc>
        <w:tc>
          <w:tcPr>
            <w:tcW w:w="0" w:type="auto"/>
            <w:tcBorders>
              <w:top w:val="single" w:sz="4" w:space="0" w:color="auto"/>
            </w:tcBorders>
          </w:tcPr>
          <w:p w14:paraId="4485A156" w14:textId="77777777" w:rsidR="000932E6" w:rsidRPr="008F511F" w:rsidRDefault="000932E6" w:rsidP="00D162CA">
            <w:pPr>
              <w:rPr>
                <w:rFonts w:ascii="Times New Roman" w:hAnsi="Times New Roman" w:cs="Times New Roman"/>
                <w:b/>
                <w:bCs/>
                <w:sz w:val="24"/>
                <w:szCs w:val="24"/>
              </w:rPr>
            </w:pPr>
          </w:p>
        </w:tc>
        <w:tc>
          <w:tcPr>
            <w:tcW w:w="0" w:type="auto"/>
            <w:tcBorders>
              <w:top w:val="single" w:sz="4" w:space="0" w:color="auto"/>
            </w:tcBorders>
          </w:tcPr>
          <w:p w14:paraId="558B312A"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1. THETA</w:t>
            </w:r>
          </w:p>
        </w:tc>
        <w:tc>
          <w:tcPr>
            <w:tcW w:w="0" w:type="auto"/>
            <w:tcBorders>
              <w:top w:val="single" w:sz="4" w:space="0" w:color="auto"/>
            </w:tcBorders>
            <w:noWrap/>
            <w:hideMark/>
          </w:tcPr>
          <w:p w14:paraId="57E9F8B0" w14:textId="77777777" w:rsidR="000932E6" w:rsidRPr="008F511F" w:rsidRDefault="000932E6" w:rsidP="00D162CA">
            <w:pPr>
              <w:jc w:val="center"/>
              <w:rPr>
                <w:rFonts w:ascii="Times New Roman" w:hAnsi="Times New Roman" w:cs="Times New Roman"/>
                <w:sz w:val="24"/>
                <w:szCs w:val="24"/>
              </w:rPr>
            </w:pPr>
          </w:p>
        </w:tc>
      </w:tr>
      <w:tr w:rsidR="008F511F" w:rsidRPr="008F511F" w14:paraId="1CBFF16F" w14:textId="77777777" w:rsidTr="00D162CA">
        <w:trPr>
          <w:trHeight w:val="337"/>
        </w:trPr>
        <w:tc>
          <w:tcPr>
            <w:tcW w:w="0" w:type="auto"/>
            <w:noWrap/>
          </w:tcPr>
          <w:p w14:paraId="1A1B7DE2" w14:textId="77777777" w:rsidR="000932E6" w:rsidRPr="008F511F" w:rsidRDefault="000932E6" w:rsidP="00D162CA">
            <w:pPr>
              <w:rPr>
                <w:rFonts w:ascii="Times New Roman" w:hAnsi="Times New Roman" w:cs="Times New Roman"/>
                <w:b/>
                <w:bCs/>
                <w:sz w:val="24"/>
                <w:szCs w:val="24"/>
              </w:rPr>
            </w:pPr>
          </w:p>
        </w:tc>
        <w:tc>
          <w:tcPr>
            <w:tcW w:w="0" w:type="auto"/>
            <w:noWrap/>
          </w:tcPr>
          <w:p w14:paraId="2BB90FEF" w14:textId="77777777" w:rsidR="000932E6" w:rsidRPr="008F511F" w:rsidRDefault="000932E6" w:rsidP="00D162CA">
            <w:pPr>
              <w:jc w:val="center"/>
              <w:rPr>
                <w:rFonts w:ascii="Times New Roman" w:hAnsi="Times New Roman" w:cs="Times New Roman"/>
                <w:sz w:val="24"/>
                <w:szCs w:val="24"/>
              </w:rPr>
            </w:pPr>
          </w:p>
        </w:tc>
        <w:tc>
          <w:tcPr>
            <w:tcW w:w="0" w:type="auto"/>
          </w:tcPr>
          <w:p w14:paraId="75A50C94" w14:textId="77777777" w:rsidR="000932E6" w:rsidRPr="008F511F" w:rsidRDefault="000932E6" w:rsidP="00D162CA">
            <w:pPr>
              <w:rPr>
                <w:rFonts w:ascii="Times New Roman" w:hAnsi="Times New Roman" w:cs="Times New Roman"/>
                <w:sz w:val="24"/>
                <w:szCs w:val="24"/>
              </w:rPr>
            </w:pPr>
          </w:p>
        </w:tc>
        <w:tc>
          <w:tcPr>
            <w:tcW w:w="0" w:type="auto"/>
          </w:tcPr>
          <w:p w14:paraId="57E071EA" w14:textId="77777777" w:rsidR="000932E6" w:rsidRPr="008F511F" w:rsidRDefault="000932E6" w:rsidP="00D162CA">
            <w:pPr>
              <w:rPr>
                <w:rFonts w:ascii="Times New Roman" w:hAnsi="Times New Roman" w:cs="Times New Roman"/>
                <w:sz w:val="24"/>
                <w:szCs w:val="24"/>
              </w:rPr>
            </w:pPr>
          </w:p>
        </w:tc>
        <w:tc>
          <w:tcPr>
            <w:tcW w:w="0" w:type="auto"/>
            <w:noWrap/>
          </w:tcPr>
          <w:p w14:paraId="587F0A6E" w14:textId="77777777" w:rsidR="000932E6" w:rsidRPr="008F511F" w:rsidRDefault="000932E6" w:rsidP="00D162CA">
            <w:pPr>
              <w:jc w:val="center"/>
              <w:rPr>
                <w:rFonts w:ascii="Times New Roman" w:hAnsi="Times New Roman" w:cs="Times New Roman"/>
                <w:sz w:val="24"/>
                <w:szCs w:val="24"/>
              </w:rPr>
            </w:pPr>
          </w:p>
        </w:tc>
      </w:tr>
      <w:tr w:rsidR="008F511F" w:rsidRPr="008F511F" w14:paraId="2F85FE23" w14:textId="77777777" w:rsidTr="00D162CA">
        <w:trPr>
          <w:trHeight w:val="337"/>
        </w:trPr>
        <w:tc>
          <w:tcPr>
            <w:tcW w:w="0" w:type="auto"/>
            <w:noWrap/>
            <w:hideMark/>
          </w:tcPr>
          <w:p w14:paraId="0A9DF024"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0" w:type="auto"/>
            <w:noWrap/>
          </w:tcPr>
          <w:p w14:paraId="68124D1F"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14.41</w:t>
            </w:r>
          </w:p>
        </w:tc>
        <w:tc>
          <w:tcPr>
            <w:tcW w:w="0" w:type="auto"/>
          </w:tcPr>
          <w:p w14:paraId="2125995F" w14:textId="77777777" w:rsidR="000932E6" w:rsidRPr="008F511F" w:rsidRDefault="000932E6" w:rsidP="00D162CA">
            <w:pPr>
              <w:rPr>
                <w:rFonts w:ascii="Times New Roman" w:hAnsi="Times New Roman" w:cs="Times New Roman"/>
                <w:b/>
                <w:bCs/>
                <w:sz w:val="24"/>
                <w:szCs w:val="24"/>
              </w:rPr>
            </w:pPr>
          </w:p>
        </w:tc>
        <w:tc>
          <w:tcPr>
            <w:tcW w:w="0" w:type="auto"/>
          </w:tcPr>
          <w:p w14:paraId="3A7995B2"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Total spillover</w:t>
            </w:r>
          </w:p>
        </w:tc>
        <w:tc>
          <w:tcPr>
            <w:tcW w:w="0" w:type="auto"/>
            <w:noWrap/>
          </w:tcPr>
          <w:p w14:paraId="6570B2B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12.96</w:t>
            </w:r>
          </w:p>
        </w:tc>
      </w:tr>
      <w:tr w:rsidR="008F511F" w:rsidRPr="008F511F" w14:paraId="548E0C74" w14:textId="77777777" w:rsidTr="00D162CA">
        <w:trPr>
          <w:trHeight w:val="337"/>
        </w:trPr>
        <w:tc>
          <w:tcPr>
            <w:tcW w:w="0" w:type="auto"/>
            <w:noWrap/>
            <w:hideMark/>
          </w:tcPr>
          <w:p w14:paraId="427359C2"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0" w:type="auto"/>
            <w:noWrap/>
          </w:tcPr>
          <w:p w14:paraId="5E474788" w14:textId="77777777" w:rsidR="000932E6" w:rsidRPr="008F511F" w:rsidRDefault="000932E6" w:rsidP="00D162CA">
            <w:pPr>
              <w:jc w:val="center"/>
              <w:rPr>
                <w:rFonts w:ascii="Times New Roman" w:hAnsi="Times New Roman" w:cs="Times New Roman"/>
                <w:b/>
                <w:bCs/>
                <w:sz w:val="24"/>
                <w:szCs w:val="24"/>
              </w:rPr>
            </w:pPr>
          </w:p>
        </w:tc>
        <w:tc>
          <w:tcPr>
            <w:tcW w:w="0" w:type="auto"/>
          </w:tcPr>
          <w:p w14:paraId="6F90275C" w14:textId="77777777" w:rsidR="000932E6" w:rsidRPr="008F511F" w:rsidRDefault="000932E6" w:rsidP="00D162CA">
            <w:pPr>
              <w:rPr>
                <w:rFonts w:ascii="Times New Roman" w:hAnsi="Times New Roman" w:cs="Times New Roman"/>
                <w:b/>
                <w:bCs/>
                <w:sz w:val="24"/>
                <w:szCs w:val="24"/>
              </w:rPr>
            </w:pPr>
          </w:p>
        </w:tc>
        <w:tc>
          <w:tcPr>
            <w:tcW w:w="0" w:type="auto"/>
          </w:tcPr>
          <w:p w14:paraId="0842F766"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To:</w:t>
            </w:r>
          </w:p>
        </w:tc>
        <w:tc>
          <w:tcPr>
            <w:tcW w:w="0" w:type="auto"/>
            <w:noWrap/>
          </w:tcPr>
          <w:p w14:paraId="0C19CB04" w14:textId="77777777" w:rsidR="000932E6" w:rsidRPr="008F511F" w:rsidRDefault="000932E6" w:rsidP="00D162CA">
            <w:pPr>
              <w:jc w:val="center"/>
              <w:rPr>
                <w:rFonts w:ascii="Times New Roman" w:hAnsi="Times New Roman" w:cs="Times New Roman"/>
                <w:sz w:val="24"/>
                <w:szCs w:val="24"/>
              </w:rPr>
            </w:pPr>
          </w:p>
        </w:tc>
      </w:tr>
      <w:tr w:rsidR="008F511F" w:rsidRPr="008F511F" w14:paraId="0F9AD392" w14:textId="77777777" w:rsidTr="00D162CA">
        <w:trPr>
          <w:trHeight w:val="337"/>
        </w:trPr>
        <w:tc>
          <w:tcPr>
            <w:tcW w:w="0" w:type="auto"/>
            <w:noWrap/>
            <w:hideMark/>
          </w:tcPr>
          <w:p w14:paraId="68809A3A"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w:t>
            </w:r>
          </w:p>
        </w:tc>
        <w:tc>
          <w:tcPr>
            <w:tcW w:w="0" w:type="auto"/>
            <w:noWrap/>
          </w:tcPr>
          <w:p w14:paraId="28A985F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15.12</w:t>
            </w:r>
          </w:p>
        </w:tc>
        <w:tc>
          <w:tcPr>
            <w:tcW w:w="0" w:type="auto"/>
          </w:tcPr>
          <w:p w14:paraId="0A8598AC" w14:textId="77777777" w:rsidR="000932E6" w:rsidRPr="008F511F" w:rsidRDefault="000932E6" w:rsidP="00D162CA">
            <w:pPr>
              <w:rPr>
                <w:rFonts w:ascii="Times New Roman" w:hAnsi="Times New Roman" w:cs="Times New Roman"/>
                <w:sz w:val="24"/>
                <w:szCs w:val="24"/>
              </w:rPr>
            </w:pPr>
          </w:p>
        </w:tc>
        <w:tc>
          <w:tcPr>
            <w:tcW w:w="0" w:type="auto"/>
          </w:tcPr>
          <w:p w14:paraId="423EB196"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0" w:type="auto"/>
            <w:noWrap/>
          </w:tcPr>
          <w:p w14:paraId="7A2F9CAF"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11.80</w:t>
            </w:r>
          </w:p>
        </w:tc>
      </w:tr>
      <w:tr w:rsidR="008F511F" w:rsidRPr="008F511F" w14:paraId="2C55C326" w14:textId="77777777" w:rsidTr="00D162CA">
        <w:trPr>
          <w:trHeight w:val="337"/>
        </w:trPr>
        <w:tc>
          <w:tcPr>
            <w:tcW w:w="0" w:type="auto"/>
            <w:noWrap/>
            <w:hideMark/>
          </w:tcPr>
          <w:p w14:paraId="41B35464"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17B95DB1"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13.70</w:t>
            </w:r>
          </w:p>
        </w:tc>
        <w:tc>
          <w:tcPr>
            <w:tcW w:w="0" w:type="auto"/>
          </w:tcPr>
          <w:p w14:paraId="3D4C0F37" w14:textId="77777777" w:rsidR="000932E6" w:rsidRPr="008F511F" w:rsidRDefault="000932E6" w:rsidP="00D162CA">
            <w:pPr>
              <w:rPr>
                <w:rFonts w:ascii="Times New Roman" w:hAnsi="Times New Roman" w:cs="Times New Roman"/>
                <w:sz w:val="24"/>
                <w:szCs w:val="24"/>
              </w:rPr>
            </w:pPr>
          </w:p>
        </w:tc>
        <w:tc>
          <w:tcPr>
            <w:tcW w:w="0" w:type="auto"/>
          </w:tcPr>
          <w:p w14:paraId="29F08880"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0BB14FF9"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14.11</w:t>
            </w:r>
          </w:p>
        </w:tc>
      </w:tr>
      <w:tr w:rsidR="008F511F" w:rsidRPr="008F511F" w14:paraId="01356EC4" w14:textId="77777777" w:rsidTr="00D162CA">
        <w:trPr>
          <w:trHeight w:val="337"/>
        </w:trPr>
        <w:tc>
          <w:tcPr>
            <w:tcW w:w="0" w:type="auto"/>
            <w:noWrap/>
            <w:hideMark/>
          </w:tcPr>
          <w:p w14:paraId="712C4B6A"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0" w:type="auto"/>
            <w:noWrap/>
          </w:tcPr>
          <w:p w14:paraId="4B560DB4" w14:textId="77777777" w:rsidR="000932E6" w:rsidRPr="008F511F" w:rsidRDefault="000932E6" w:rsidP="00D162CA">
            <w:pPr>
              <w:jc w:val="center"/>
              <w:rPr>
                <w:rFonts w:ascii="Times New Roman" w:hAnsi="Times New Roman" w:cs="Times New Roman"/>
                <w:b/>
                <w:bCs/>
                <w:sz w:val="24"/>
                <w:szCs w:val="24"/>
              </w:rPr>
            </w:pPr>
          </w:p>
        </w:tc>
        <w:tc>
          <w:tcPr>
            <w:tcW w:w="0" w:type="auto"/>
          </w:tcPr>
          <w:p w14:paraId="3F589752" w14:textId="77777777" w:rsidR="000932E6" w:rsidRPr="008F511F" w:rsidRDefault="000932E6" w:rsidP="00D162CA">
            <w:pPr>
              <w:rPr>
                <w:rFonts w:ascii="Times New Roman" w:hAnsi="Times New Roman" w:cs="Times New Roman"/>
                <w:b/>
                <w:bCs/>
                <w:sz w:val="24"/>
                <w:szCs w:val="24"/>
              </w:rPr>
            </w:pPr>
          </w:p>
        </w:tc>
        <w:tc>
          <w:tcPr>
            <w:tcW w:w="0" w:type="auto"/>
          </w:tcPr>
          <w:p w14:paraId="44B1F1F7"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Net:</w:t>
            </w:r>
          </w:p>
        </w:tc>
        <w:tc>
          <w:tcPr>
            <w:tcW w:w="0" w:type="auto"/>
            <w:noWrap/>
          </w:tcPr>
          <w:p w14:paraId="799C6E03" w14:textId="77777777" w:rsidR="000932E6" w:rsidRPr="008F511F" w:rsidRDefault="000932E6" w:rsidP="00D162CA">
            <w:pPr>
              <w:jc w:val="center"/>
              <w:rPr>
                <w:rFonts w:ascii="Times New Roman" w:hAnsi="Times New Roman" w:cs="Times New Roman"/>
                <w:sz w:val="24"/>
                <w:szCs w:val="24"/>
              </w:rPr>
            </w:pPr>
          </w:p>
        </w:tc>
      </w:tr>
      <w:tr w:rsidR="008F511F" w:rsidRPr="008F511F" w14:paraId="3C614B12" w14:textId="77777777" w:rsidTr="00D162CA">
        <w:trPr>
          <w:trHeight w:val="337"/>
        </w:trPr>
        <w:tc>
          <w:tcPr>
            <w:tcW w:w="0" w:type="auto"/>
            <w:noWrap/>
            <w:hideMark/>
          </w:tcPr>
          <w:p w14:paraId="79E70A79"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w:t>
            </w:r>
          </w:p>
        </w:tc>
        <w:tc>
          <w:tcPr>
            <w:tcW w:w="0" w:type="auto"/>
            <w:noWrap/>
          </w:tcPr>
          <w:p w14:paraId="2F89C9C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1.42</w:t>
            </w:r>
          </w:p>
        </w:tc>
        <w:tc>
          <w:tcPr>
            <w:tcW w:w="0" w:type="auto"/>
          </w:tcPr>
          <w:p w14:paraId="540ECC68" w14:textId="77777777" w:rsidR="000932E6" w:rsidRPr="008F511F" w:rsidRDefault="000932E6" w:rsidP="00D162CA">
            <w:pPr>
              <w:rPr>
                <w:rFonts w:ascii="Times New Roman" w:hAnsi="Times New Roman" w:cs="Times New Roman"/>
                <w:sz w:val="24"/>
                <w:szCs w:val="24"/>
              </w:rPr>
            </w:pPr>
          </w:p>
        </w:tc>
        <w:tc>
          <w:tcPr>
            <w:tcW w:w="0" w:type="auto"/>
          </w:tcPr>
          <w:p w14:paraId="56C487F3"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0" w:type="auto"/>
            <w:noWrap/>
          </w:tcPr>
          <w:p w14:paraId="4CA04AC5"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-2.30</w:t>
            </w:r>
          </w:p>
        </w:tc>
      </w:tr>
      <w:tr w:rsidR="008F511F" w:rsidRPr="008F511F" w14:paraId="6BD5A97E" w14:textId="77777777" w:rsidTr="00D162CA">
        <w:trPr>
          <w:trHeight w:val="337"/>
        </w:trPr>
        <w:tc>
          <w:tcPr>
            <w:tcW w:w="0" w:type="auto"/>
            <w:noWrap/>
            <w:hideMark/>
          </w:tcPr>
          <w:p w14:paraId="7B89D3C4"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718E0B6C"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-1.42</w:t>
            </w:r>
          </w:p>
        </w:tc>
        <w:tc>
          <w:tcPr>
            <w:tcW w:w="0" w:type="auto"/>
          </w:tcPr>
          <w:p w14:paraId="71592CEF" w14:textId="77777777" w:rsidR="000932E6" w:rsidRPr="008F511F" w:rsidRDefault="000932E6" w:rsidP="00D162CA">
            <w:pPr>
              <w:rPr>
                <w:rFonts w:ascii="Times New Roman" w:hAnsi="Times New Roman" w:cs="Times New Roman"/>
                <w:sz w:val="24"/>
                <w:szCs w:val="24"/>
              </w:rPr>
            </w:pPr>
          </w:p>
        </w:tc>
        <w:tc>
          <w:tcPr>
            <w:tcW w:w="0" w:type="auto"/>
          </w:tcPr>
          <w:p w14:paraId="051DD306"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64354CF1"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2.30</w:t>
            </w:r>
          </w:p>
        </w:tc>
      </w:tr>
      <w:tr w:rsidR="008F511F" w:rsidRPr="008F511F" w14:paraId="5D3A4225" w14:textId="77777777" w:rsidTr="00D162CA">
        <w:trPr>
          <w:trHeight w:val="337"/>
        </w:trPr>
        <w:tc>
          <w:tcPr>
            <w:tcW w:w="0" w:type="auto"/>
            <w:noWrap/>
            <w:hideMark/>
          </w:tcPr>
          <w:p w14:paraId="7ED42ED8" w14:textId="77777777" w:rsidR="000932E6" w:rsidRPr="008F511F" w:rsidRDefault="000932E6" w:rsidP="00D162CA">
            <w:pPr>
              <w:rPr>
                <w:rFonts w:ascii="Times New Roman" w:hAnsi="Times New Roman" w:cs="Times New Roman"/>
                <w:sz w:val="24"/>
                <w:szCs w:val="24"/>
              </w:rPr>
            </w:pPr>
          </w:p>
        </w:tc>
        <w:tc>
          <w:tcPr>
            <w:tcW w:w="0" w:type="auto"/>
            <w:noWrap/>
          </w:tcPr>
          <w:p w14:paraId="2D162036" w14:textId="77777777" w:rsidR="000932E6" w:rsidRPr="008F511F" w:rsidRDefault="000932E6" w:rsidP="00D162CA">
            <w:pPr>
              <w:jc w:val="center"/>
              <w:rPr>
                <w:rFonts w:ascii="Times New Roman" w:hAnsi="Times New Roman" w:cs="Times New Roman"/>
                <w:sz w:val="24"/>
                <w:szCs w:val="24"/>
              </w:rPr>
            </w:pPr>
          </w:p>
        </w:tc>
        <w:tc>
          <w:tcPr>
            <w:tcW w:w="0" w:type="auto"/>
          </w:tcPr>
          <w:p w14:paraId="44DE8851" w14:textId="77777777" w:rsidR="000932E6" w:rsidRPr="008F511F" w:rsidRDefault="000932E6" w:rsidP="00D162CA">
            <w:pPr>
              <w:rPr>
                <w:rFonts w:ascii="Times New Roman" w:hAnsi="Times New Roman" w:cs="Times New Roman"/>
                <w:sz w:val="24"/>
                <w:szCs w:val="24"/>
              </w:rPr>
            </w:pPr>
          </w:p>
        </w:tc>
        <w:tc>
          <w:tcPr>
            <w:tcW w:w="0" w:type="auto"/>
          </w:tcPr>
          <w:p w14:paraId="282056F5" w14:textId="77777777" w:rsidR="000932E6" w:rsidRPr="008F511F" w:rsidRDefault="000932E6" w:rsidP="00D162CA">
            <w:pPr>
              <w:rPr>
                <w:rFonts w:ascii="Times New Roman" w:hAnsi="Times New Roman" w:cs="Times New Roman"/>
                <w:sz w:val="24"/>
                <w:szCs w:val="24"/>
              </w:rPr>
            </w:pPr>
          </w:p>
        </w:tc>
        <w:tc>
          <w:tcPr>
            <w:tcW w:w="0" w:type="auto"/>
            <w:noWrap/>
          </w:tcPr>
          <w:p w14:paraId="7BB4AC13" w14:textId="77777777" w:rsidR="000932E6" w:rsidRPr="008F511F" w:rsidRDefault="000932E6" w:rsidP="00D162CA">
            <w:pPr>
              <w:jc w:val="center"/>
              <w:rPr>
                <w:rFonts w:ascii="Times New Roman" w:hAnsi="Times New Roman" w:cs="Times New Roman"/>
                <w:sz w:val="24"/>
                <w:szCs w:val="24"/>
              </w:rPr>
            </w:pPr>
          </w:p>
        </w:tc>
      </w:tr>
      <w:tr w:rsidR="008F511F" w:rsidRPr="008F511F" w14:paraId="53FCE69E" w14:textId="77777777" w:rsidTr="00D162CA">
        <w:trPr>
          <w:trHeight w:val="337"/>
        </w:trPr>
        <w:tc>
          <w:tcPr>
            <w:tcW w:w="0" w:type="auto"/>
            <w:noWrap/>
            <w:hideMark/>
          </w:tcPr>
          <w:p w14:paraId="1F087F5A"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2. XTZ</w:t>
            </w:r>
          </w:p>
        </w:tc>
        <w:tc>
          <w:tcPr>
            <w:tcW w:w="0" w:type="auto"/>
            <w:noWrap/>
          </w:tcPr>
          <w:p w14:paraId="240A677B" w14:textId="77777777" w:rsidR="000932E6" w:rsidRPr="008F511F" w:rsidRDefault="000932E6" w:rsidP="00D162CA">
            <w:pPr>
              <w:jc w:val="center"/>
              <w:rPr>
                <w:rFonts w:ascii="Times New Roman" w:hAnsi="Times New Roman" w:cs="Times New Roman"/>
                <w:b/>
                <w:bCs/>
                <w:sz w:val="24"/>
                <w:szCs w:val="24"/>
              </w:rPr>
            </w:pPr>
          </w:p>
        </w:tc>
        <w:tc>
          <w:tcPr>
            <w:tcW w:w="0" w:type="auto"/>
          </w:tcPr>
          <w:p w14:paraId="3E308D9C" w14:textId="77777777" w:rsidR="000932E6" w:rsidRPr="008F511F" w:rsidRDefault="000932E6" w:rsidP="00D162CA">
            <w:pPr>
              <w:rPr>
                <w:rFonts w:ascii="Times New Roman" w:hAnsi="Times New Roman" w:cs="Times New Roman"/>
                <w:b/>
                <w:bCs/>
                <w:sz w:val="24"/>
                <w:szCs w:val="24"/>
              </w:rPr>
            </w:pPr>
          </w:p>
        </w:tc>
        <w:tc>
          <w:tcPr>
            <w:tcW w:w="0" w:type="auto"/>
          </w:tcPr>
          <w:p w14:paraId="67B56ECA"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2. XTZ</w:t>
            </w:r>
          </w:p>
        </w:tc>
        <w:tc>
          <w:tcPr>
            <w:tcW w:w="0" w:type="auto"/>
            <w:noWrap/>
          </w:tcPr>
          <w:p w14:paraId="36682269" w14:textId="77777777" w:rsidR="000932E6" w:rsidRPr="008F511F" w:rsidRDefault="000932E6" w:rsidP="00D162CA">
            <w:pPr>
              <w:jc w:val="center"/>
              <w:rPr>
                <w:rFonts w:ascii="Times New Roman" w:hAnsi="Times New Roman" w:cs="Times New Roman"/>
                <w:sz w:val="24"/>
                <w:szCs w:val="24"/>
              </w:rPr>
            </w:pPr>
          </w:p>
        </w:tc>
      </w:tr>
      <w:tr w:rsidR="008F511F" w:rsidRPr="008F511F" w14:paraId="474D648C" w14:textId="77777777" w:rsidTr="00D162CA">
        <w:trPr>
          <w:trHeight w:val="337"/>
        </w:trPr>
        <w:tc>
          <w:tcPr>
            <w:tcW w:w="0" w:type="auto"/>
            <w:noWrap/>
          </w:tcPr>
          <w:p w14:paraId="28281863" w14:textId="77777777" w:rsidR="000932E6" w:rsidRPr="008F511F" w:rsidRDefault="000932E6" w:rsidP="00D162CA">
            <w:pPr>
              <w:rPr>
                <w:rFonts w:ascii="Times New Roman" w:hAnsi="Times New Roman" w:cs="Times New Roman"/>
                <w:b/>
                <w:bCs/>
                <w:sz w:val="24"/>
                <w:szCs w:val="24"/>
              </w:rPr>
            </w:pPr>
          </w:p>
        </w:tc>
        <w:tc>
          <w:tcPr>
            <w:tcW w:w="0" w:type="auto"/>
            <w:noWrap/>
          </w:tcPr>
          <w:p w14:paraId="253C5167" w14:textId="77777777" w:rsidR="000932E6" w:rsidRPr="008F511F" w:rsidRDefault="000932E6" w:rsidP="00D162CA">
            <w:pPr>
              <w:jc w:val="center"/>
              <w:rPr>
                <w:rFonts w:ascii="Times New Roman" w:hAnsi="Times New Roman" w:cs="Times New Roman"/>
                <w:sz w:val="24"/>
                <w:szCs w:val="24"/>
              </w:rPr>
            </w:pPr>
          </w:p>
        </w:tc>
        <w:tc>
          <w:tcPr>
            <w:tcW w:w="0" w:type="auto"/>
          </w:tcPr>
          <w:p w14:paraId="160BA22E" w14:textId="77777777" w:rsidR="000932E6" w:rsidRPr="008F511F" w:rsidRDefault="000932E6" w:rsidP="00D162CA">
            <w:pPr>
              <w:rPr>
                <w:rFonts w:ascii="Times New Roman" w:hAnsi="Times New Roman" w:cs="Times New Roman"/>
                <w:sz w:val="24"/>
                <w:szCs w:val="24"/>
              </w:rPr>
            </w:pPr>
          </w:p>
        </w:tc>
        <w:tc>
          <w:tcPr>
            <w:tcW w:w="0" w:type="auto"/>
          </w:tcPr>
          <w:p w14:paraId="5759764E" w14:textId="77777777" w:rsidR="000932E6" w:rsidRPr="008F511F" w:rsidRDefault="000932E6" w:rsidP="00D162CA">
            <w:pPr>
              <w:rPr>
                <w:rFonts w:ascii="Times New Roman" w:hAnsi="Times New Roman" w:cs="Times New Roman"/>
                <w:sz w:val="24"/>
                <w:szCs w:val="24"/>
              </w:rPr>
            </w:pPr>
          </w:p>
        </w:tc>
        <w:tc>
          <w:tcPr>
            <w:tcW w:w="0" w:type="auto"/>
            <w:noWrap/>
          </w:tcPr>
          <w:p w14:paraId="1E1C8600" w14:textId="77777777" w:rsidR="000932E6" w:rsidRPr="008F511F" w:rsidRDefault="000932E6" w:rsidP="00D162CA">
            <w:pPr>
              <w:jc w:val="center"/>
              <w:rPr>
                <w:rFonts w:ascii="Times New Roman" w:hAnsi="Times New Roman" w:cs="Times New Roman"/>
                <w:sz w:val="24"/>
                <w:szCs w:val="24"/>
              </w:rPr>
            </w:pPr>
          </w:p>
        </w:tc>
      </w:tr>
      <w:tr w:rsidR="008F511F" w:rsidRPr="008F511F" w14:paraId="1AE213E7" w14:textId="77777777" w:rsidTr="00D162CA">
        <w:trPr>
          <w:trHeight w:val="337"/>
        </w:trPr>
        <w:tc>
          <w:tcPr>
            <w:tcW w:w="0" w:type="auto"/>
            <w:noWrap/>
            <w:hideMark/>
          </w:tcPr>
          <w:p w14:paraId="7F1731B0"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0" w:type="auto"/>
            <w:noWrap/>
          </w:tcPr>
          <w:p w14:paraId="37DA1D2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5.86</w:t>
            </w:r>
          </w:p>
        </w:tc>
        <w:tc>
          <w:tcPr>
            <w:tcW w:w="0" w:type="auto"/>
          </w:tcPr>
          <w:p w14:paraId="459E4B72" w14:textId="77777777" w:rsidR="000932E6" w:rsidRPr="008F511F" w:rsidRDefault="000932E6" w:rsidP="00D162CA">
            <w:pPr>
              <w:rPr>
                <w:rFonts w:ascii="Times New Roman" w:hAnsi="Times New Roman" w:cs="Times New Roman"/>
                <w:b/>
                <w:bCs/>
                <w:sz w:val="24"/>
                <w:szCs w:val="24"/>
              </w:rPr>
            </w:pPr>
          </w:p>
        </w:tc>
        <w:tc>
          <w:tcPr>
            <w:tcW w:w="0" w:type="auto"/>
          </w:tcPr>
          <w:p w14:paraId="64C1372B"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Total spillover</w:t>
            </w:r>
          </w:p>
        </w:tc>
        <w:tc>
          <w:tcPr>
            <w:tcW w:w="0" w:type="auto"/>
            <w:noWrap/>
          </w:tcPr>
          <w:p w14:paraId="636E55E5"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14.01</w:t>
            </w:r>
          </w:p>
        </w:tc>
      </w:tr>
      <w:tr w:rsidR="008F511F" w:rsidRPr="008F511F" w14:paraId="17F025A8" w14:textId="77777777" w:rsidTr="00D162CA">
        <w:trPr>
          <w:trHeight w:val="337"/>
        </w:trPr>
        <w:tc>
          <w:tcPr>
            <w:tcW w:w="0" w:type="auto"/>
            <w:noWrap/>
            <w:hideMark/>
          </w:tcPr>
          <w:p w14:paraId="6E2232FF"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0" w:type="auto"/>
            <w:noWrap/>
          </w:tcPr>
          <w:p w14:paraId="310B55AD" w14:textId="77777777" w:rsidR="000932E6" w:rsidRPr="008F511F" w:rsidRDefault="000932E6" w:rsidP="00D162CA">
            <w:pPr>
              <w:jc w:val="center"/>
              <w:rPr>
                <w:rFonts w:ascii="Times New Roman" w:hAnsi="Times New Roman" w:cs="Times New Roman"/>
                <w:b/>
                <w:bCs/>
                <w:sz w:val="24"/>
                <w:szCs w:val="24"/>
              </w:rPr>
            </w:pPr>
          </w:p>
        </w:tc>
        <w:tc>
          <w:tcPr>
            <w:tcW w:w="0" w:type="auto"/>
          </w:tcPr>
          <w:p w14:paraId="1AE29D33" w14:textId="77777777" w:rsidR="000932E6" w:rsidRPr="008F511F" w:rsidRDefault="000932E6" w:rsidP="00D162CA">
            <w:pPr>
              <w:rPr>
                <w:rFonts w:ascii="Times New Roman" w:hAnsi="Times New Roman" w:cs="Times New Roman"/>
                <w:b/>
                <w:bCs/>
                <w:sz w:val="24"/>
                <w:szCs w:val="24"/>
              </w:rPr>
            </w:pPr>
          </w:p>
        </w:tc>
        <w:tc>
          <w:tcPr>
            <w:tcW w:w="0" w:type="auto"/>
          </w:tcPr>
          <w:p w14:paraId="02B56EB8"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To:</w:t>
            </w:r>
          </w:p>
        </w:tc>
        <w:tc>
          <w:tcPr>
            <w:tcW w:w="0" w:type="auto"/>
            <w:noWrap/>
          </w:tcPr>
          <w:p w14:paraId="05653D5F" w14:textId="77777777" w:rsidR="000932E6" w:rsidRPr="008F511F" w:rsidRDefault="000932E6" w:rsidP="00D162CA">
            <w:pPr>
              <w:jc w:val="center"/>
              <w:rPr>
                <w:rFonts w:ascii="Times New Roman" w:hAnsi="Times New Roman" w:cs="Times New Roman"/>
                <w:sz w:val="24"/>
                <w:szCs w:val="24"/>
              </w:rPr>
            </w:pPr>
          </w:p>
        </w:tc>
      </w:tr>
      <w:tr w:rsidR="008F511F" w:rsidRPr="008F511F" w14:paraId="3AC699FE" w14:textId="77777777" w:rsidTr="00D162CA">
        <w:trPr>
          <w:trHeight w:val="337"/>
        </w:trPr>
        <w:tc>
          <w:tcPr>
            <w:tcW w:w="0" w:type="auto"/>
            <w:noWrap/>
            <w:hideMark/>
          </w:tcPr>
          <w:p w14:paraId="72E154B7"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w:t>
            </w:r>
          </w:p>
        </w:tc>
        <w:tc>
          <w:tcPr>
            <w:tcW w:w="0" w:type="auto"/>
            <w:noWrap/>
          </w:tcPr>
          <w:p w14:paraId="497BF85D"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6.92</w:t>
            </w:r>
          </w:p>
        </w:tc>
        <w:tc>
          <w:tcPr>
            <w:tcW w:w="0" w:type="auto"/>
          </w:tcPr>
          <w:p w14:paraId="33F3DE07" w14:textId="77777777" w:rsidR="000932E6" w:rsidRPr="008F511F" w:rsidRDefault="000932E6" w:rsidP="00D162CA">
            <w:pPr>
              <w:rPr>
                <w:rFonts w:ascii="Times New Roman" w:hAnsi="Times New Roman" w:cs="Times New Roman"/>
                <w:sz w:val="24"/>
                <w:szCs w:val="24"/>
              </w:rPr>
            </w:pPr>
          </w:p>
        </w:tc>
        <w:tc>
          <w:tcPr>
            <w:tcW w:w="0" w:type="auto"/>
          </w:tcPr>
          <w:p w14:paraId="2D998F02"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0" w:type="auto"/>
            <w:noWrap/>
          </w:tcPr>
          <w:p w14:paraId="770FF8B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13.87</w:t>
            </w:r>
          </w:p>
        </w:tc>
      </w:tr>
      <w:tr w:rsidR="008F511F" w:rsidRPr="008F511F" w14:paraId="1FB33348" w14:textId="77777777" w:rsidTr="00D162CA">
        <w:trPr>
          <w:trHeight w:val="337"/>
        </w:trPr>
        <w:tc>
          <w:tcPr>
            <w:tcW w:w="0" w:type="auto"/>
            <w:noWrap/>
            <w:hideMark/>
          </w:tcPr>
          <w:p w14:paraId="700E809C"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7768CA9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4.81</w:t>
            </w:r>
          </w:p>
        </w:tc>
        <w:tc>
          <w:tcPr>
            <w:tcW w:w="0" w:type="auto"/>
          </w:tcPr>
          <w:p w14:paraId="0A32099C" w14:textId="77777777" w:rsidR="000932E6" w:rsidRPr="008F511F" w:rsidRDefault="000932E6" w:rsidP="00D162CA">
            <w:pPr>
              <w:rPr>
                <w:rFonts w:ascii="Times New Roman" w:hAnsi="Times New Roman" w:cs="Times New Roman"/>
                <w:sz w:val="24"/>
                <w:szCs w:val="24"/>
              </w:rPr>
            </w:pPr>
          </w:p>
        </w:tc>
        <w:tc>
          <w:tcPr>
            <w:tcW w:w="0" w:type="auto"/>
          </w:tcPr>
          <w:p w14:paraId="3CA7630A"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7C8F4767"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14.14</w:t>
            </w:r>
          </w:p>
        </w:tc>
      </w:tr>
      <w:tr w:rsidR="008F511F" w:rsidRPr="008F511F" w14:paraId="3704A58B" w14:textId="77777777" w:rsidTr="00D162CA">
        <w:trPr>
          <w:trHeight w:val="337"/>
        </w:trPr>
        <w:tc>
          <w:tcPr>
            <w:tcW w:w="0" w:type="auto"/>
            <w:noWrap/>
            <w:hideMark/>
          </w:tcPr>
          <w:p w14:paraId="38C3042F"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0" w:type="auto"/>
            <w:noWrap/>
          </w:tcPr>
          <w:p w14:paraId="2C844D4D" w14:textId="77777777" w:rsidR="000932E6" w:rsidRPr="008F511F" w:rsidRDefault="000932E6" w:rsidP="00D162CA">
            <w:pPr>
              <w:jc w:val="center"/>
              <w:rPr>
                <w:rFonts w:ascii="Times New Roman" w:hAnsi="Times New Roman" w:cs="Times New Roman"/>
                <w:b/>
                <w:bCs/>
                <w:sz w:val="24"/>
                <w:szCs w:val="24"/>
              </w:rPr>
            </w:pPr>
          </w:p>
        </w:tc>
        <w:tc>
          <w:tcPr>
            <w:tcW w:w="0" w:type="auto"/>
          </w:tcPr>
          <w:p w14:paraId="6A964EB9" w14:textId="77777777" w:rsidR="000932E6" w:rsidRPr="008F511F" w:rsidRDefault="000932E6" w:rsidP="00D162CA">
            <w:pPr>
              <w:rPr>
                <w:rFonts w:ascii="Times New Roman" w:hAnsi="Times New Roman" w:cs="Times New Roman"/>
                <w:b/>
                <w:bCs/>
                <w:sz w:val="24"/>
                <w:szCs w:val="24"/>
              </w:rPr>
            </w:pPr>
          </w:p>
        </w:tc>
        <w:tc>
          <w:tcPr>
            <w:tcW w:w="0" w:type="auto"/>
          </w:tcPr>
          <w:p w14:paraId="2357018D"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Net:</w:t>
            </w:r>
          </w:p>
        </w:tc>
        <w:tc>
          <w:tcPr>
            <w:tcW w:w="0" w:type="auto"/>
            <w:noWrap/>
          </w:tcPr>
          <w:p w14:paraId="5BE338BE" w14:textId="77777777" w:rsidR="000932E6" w:rsidRPr="008F511F" w:rsidRDefault="000932E6" w:rsidP="00D162CA">
            <w:pPr>
              <w:jc w:val="center"/>
              <w:rPr>
                <w:rFonts w:ascii="Times New Roman" w:hAnsi="Times New Roman" w:cs="Times New Roman"/>
                <w:sz w:val="24"/>
                <w:szCs w:val="24"/>
              </w:rPr>
            </w:pPr>
          </w:p>
        </w:tc>
      </w:tr>
      <w:tr w:rsidR="008F511F" w:rsidRPr="008F511F" w14:paraId="142AFCDD" w14:textId="77777777" w:rsidTr="00D162CA">
        <w:trPr>
          <w:trHeight w:val="337"/>
        </w:trPr>
        <w:tc>
          <w:tcPr>
            <w:tcW w:w="0" w:type="auto"/>
            <w:noWrap/>
            <w:hideMark/>
          </w:tcPr>
          <w:p w14:paraId="484F9B24"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w:t>
            </w:r>
          </w:p>
        </w:tc>
        <w:tc>
          <w:tcPr>
            <w:tcW w:w="0" w:type="auto"/>
            <w:noWrap/>
          </w:tcPr>
          <w:p w14:paraId="30FF7F2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2.11</w:t>
            </w:r>
          </w:p>
        </w:tc>
        <w:tc>
          <w:tcPr>
            <w:tcW w:w="0" w:type="auto"/>
          </w:tcPr>
          <w:p w14:paraId="54BDFB85" w14:textId="77777777" w:rsidR="000932E6" w:rsidRPr="008F511F" w:rsidRDefault="000932E6" w:rsidP="00D162CA">
            <w:pPr>
              <w:rPr>
                <w:rFonts w:ascii="Times New Roman" w:hAnsi="Times New Roman" w:cs="Times New Roman"/>
                <w:sz w:val="24"/>
                <w:szCs w:val="24"/>
              </w:rPr>
            </w:pPr>
          </w:p>
        </w:tc>
        <w:tc>
          <w:tcPr>
            <w:tcW w:w="0" w:type="auto"/>
          </w:tcPr>
          <w:p w14:paraId="1766FCED"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0" w:type="auto"/>
            <w:noWrap/>
          </w:tcPr>
          <w:p w14:paraId="6501E13E"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-0.26</w:t>
            </w:r>
          </w:p>
        </w:tc>
      </w:tr>
      <w:tr w:rsidR="008F511F" w:rsidRPr="008F511F" w14:paraId="1F2F1304" w14:textId="77777777" w:rsidTr="00D162CA">
        <w:trPr>
          <w:trHeight w:val="337"/>
        </w:trPr>
        <w:tc>
          <w:tcPr>
            <w:tcW w:w="0" w:type="auto"/>
            <w:noWrap/>
            <w:hideMark/>
          </w:tcPr>
          <w:p w14:paraId="50336EFE"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6035F5C4"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-2.11</w:t>
            </w:r>
          </w:p>
        </w:tc>
        <w:tc>
          <w:tcPr>
            <w:tcW w:w="0" w:type="auto"/>
          </w:tcPr>
          <w:p w14:paraId="112244D6" w14:textId="77777777" w:rsidR="000932E6" w:rsidRPr="008F511F" w:rsidRDefault="000932E6" w:rsidP="00D162CA">
            <w:pPr>
              <w:rPr>
                <w:rFonts w:ascii="Times New Roman" w:hAnsi="Times New Roman" w:cs="Times New Roman"/>
                <w:sz w:val="24"/>
                <w:szCs w:val="24"/>
              </w:rPr>
            </w:pPr>
          </w:p>
        </w:tc>
        <w:tc>
          <w:tcPr>
            <w:tcW w:w="0" w:type="auto"/>
          </w:tcPr>
          <w:p w14:paraId="6AB7770B"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1B5ECEC5"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0.26</w:t>
            </w:r>
          </w:p>
        </w:tc>
      </w:tr>
      <w:tr w:rsidR="008F511F" w:rsidRPr="008F511F" w14:paraId="0A3FD8EA" w14:textId="77777777" w:rsidTr="00D162CA">
        <w:trPr>
          <w:trHeight w:val="337"/>
        </w:trPr>
        <w:tc>
          <w:tcPr>
            <w:tcW w:w="0" w:type="auto"/>
            <w:noWrap/>
            <w:hideMark/>
          </w:tcPr>
          <w:p w14:paraId="6BF943D0" w14:textId="77777777" w:rsidR="000932E6" w:rsidRPr="008F511F" w:rsidRDefault="000932E6" w:rsidP="00D162CA">
            <w:pPr>
              <w:rPr>
                <w:rFonts w:ascii="Times New Roman" w:hAnsi="Times New Roman" w:cs="Times New Roman"/>
                <w:sz w:val="24"/>
                <w:szCs w:val="24"/>
              </w:rPr>
            </w:pPr>
          </w:p>
        </w:tc>
        <w:tc>
          <w:tcPr>
            <w:tcW w:w="0" w:type="auto"/>
            <w:noWrap/>
          </w:tcPr>
          <w:p w14:paraId="54AB67B7" w14:textId="77777777" w:rsidR="000932E6" w:rsidRPr="008F511F" w:rsidRDefault="000932E6" w:rsidP="00D162CA">
            <w:pPr>
              <w:jc w:val="center"/>
              <w:rPr>
                <w:rFonts w:ascii="Times New Roman" w:hAnsi="Times New Roman" w:cs="Times New Roman"/>
                <w:sz w:val="24"/>
                <w:szCs w:val="24"/>
              </w:rPr>
            </w:pPr>
          </w:p>
        </w:tc>
        <w:tc>
          <w:tcPr>
            <w:tcW w:w="0" w:type="auto"/>
          </w:tcPr>
          <w:p w14:paraId="4EB6B9B6" w14:textId="77777777" w:rsidR="000932E6" w:rsidRPr="008F511F" w:rsidRDefault="000932E6" w:rsidP="00D162CA">
            <w:pPr>
              <w:rPr>
                <w:rFonts w:ascii="Times New Roman" w:hAnsi="Times New Roman" w:cs="Times New Roman"/>
                <w:sz w:val="24"/>
                <w:szCs w:val="24"/>
              </w:rPr>
            </w:pPr>
          </w:p>
        </w:tc>
        <w:tc>
          <w:tcPr>
            <w:tcW w:w="0" w:type="auto"/>
          </w:tcPr>
          <w:p w14:paraId="52FF59FA" w14:textId="77777777" w:rsidR="000932E6" w:rsidRPr="008F511F" w:rsidRDefault="000932E6" w:rsidP="00D162CA">
            <w:pPr>
              <w:rPr>
                <w:rFonts w:ascii="Times New Roman" w:hAnsi="Times New Roman" w:cs="Times New Roman"/>
                <w:sz w:val="24"/>
                <w:szCs w:val="24"/>
              </w:rPr>
            </w:pPr>
          </w:p>
        </w:tc>
        <w:tc>
          <w:tcPr>
            <w:tcW w:w="0" w:type="auto"/>
            <w:noWrap/>
          </w:tcPr>
          <w:p w14:paraId="292BA403" w14:textId="77777777" w:rsidR="000932E6" w:rsidRPr="008F511F" w:rsidRDefault="000932E6" w:rsidP="00D162CA">
            <w:pPr>
              <w:jc w:val="center"/>
              <w:rPr>
                <w:rFonts w:ascii="Times New Roman" w:hAnsi="Times New Roman" w:cs="Times New Roman"/>
                <w:sz w:val="24"/>
                <w:szCs w:val="24"/>
              </w:rPr>
            </w:pPr>
          </w:p>
        </w:tc>
      </w:tr>
      <w:tr w:rsidR="008F511F" w:rsidRPr="008F511F" w14:paraId="131178DB" w14:textId="77777777" w:rsidTr="00D162CA">
        <w:trPr>
          <w:trHeight w:val="337"/>
        </w:trPr>
        <w:tc>
          <w:tcPr>
            <w:tcW w:w="0" w:type="auto"/>
            <w:noWrap/>
            <w:hideMark/>
          </w:tcPr>
          <w:p w14:paraId="4E7149F8"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3. ENJ</w:t>
            </w:r>
          </w:p>
        </w:tc>
        <w:tc>
          <w:tcPr>
            <w:tcW w:w="0" w:type="auto"/>
            <w:noWrap/>
          </w:tcPr>
          <w:p w14:paraId="6B2F9B70" w14:textId="77777777" w:rsidR="000932E6" w:rsidRPr="008F511F" w:rsidRDefault="000932E6" w:rsidP="00D162CA">
            <w:pPr>
              <w:jc w:val="center"/>
              <w:rPr>
                <w:rFonts w:ascii="Times New Roman" w:hAnsi="Times New Roman" w:cs="Times New Roman"/>
                <w:b/>
                <w:bCs/>
                <w:sz w:val="24"/>
                <w:szCs w:val="24"/>
              </w:rPr>
            </w:pPr>
          </w:p>
        </w:tc>
        <w:tc>
          <w:tcPr>
            <w:tcW w:w="0" w:type="auto"/>
          </w:tcPr>
          <w:p w14:paraId="1C6B0A8E" w14:textId="77777777" w:rsidR="000932E6" w:rsidRPr="008F511F" w:rsidRDefault="000932E6" w:rsidP="00D162CA">
            <w:pPr>
              <w:rPr>
                <w:rFonts w:ascii="Times New Roman" w:hAnsi="Times New Roman" w:cs="Times New Roman"/>
                <w:b/>
                <w:bCs/>
                <w:sz w:val="24"/>
                <w:szCs w:val="24"/>
              </w:rPr>
            </w:pPr>
          </w:p>
        </w:tc>
        <w:tc>
          <w:tcPr>
            <w:tcW w:w="0" w:type="auto"/>
          </w:tcPr>
          <w:p w14:paraId="5180AE98"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3. ENJ</w:t>
            </w:r>
          </w:p>
        </w:tc>
        <w:tc>
          <w:tcPr>
            <w:tcW w:w="0" w:type="auto"/>
            <w:noWrap/>
          </w:tcPr>
          <w:p w14:paraId="50B6E239" w14:textId="77777777" w:rsidR="000932E6" w:rsidRPr="008F511F" w:rsidRDefault="000932E6" w:rsidP="00D162CA">
            <w:pPr>
              <w:jc w:val="center"/>
              <w:rPr>
                <w:rFonts w:ascii="Times New Roman" w:hAnsi="Times New Roman" w:cs="Times New Roman"/>
                <w:sz w:val="24"/>
                <w:szCs w:val="24"/>
              </w:rPr>
            </w:pPr>
          </w:p>
        </w:tc>
      </w:tr>
      <w:tr w:rsidR="008F511F" w:rsidRPr="008F511F" w14:paraId="03ED1855" w14:textId="77777777" w:rsidTr="00D162CA">
        <w:trPr>
          <w:trHeight w:val="337"/>
        </w:trPr>
        <w:tc>
          <w:tcPr>
            <w:tcW w:w="0" w:type="auto"/>
            <w:noWrap/>
          </w:tcPr>
          <w:p w14:paraId="20561C5D" w14:textId="77777777" w:rsidR="000932E6" w:rsidRPr="008F511F" w:rsidRDefault="000932E6" w:rsidP="00D162CA">
            <w:pPr>
              <w:rPr>
                <w:rFonts w:ascii="Times New Roman" w:hAnsi="Times New Roman" w:cs="Times New Roman"/>
                <w:b/>
                <w:bCs/>
                <w:sz w:val="24"/>
                <w:szCs w:val="24"/>
              </w:rPr>
            </w:pPr>
          </w:p>
        </w:tc>
        <w:tc>
          <w:tcPr>
            <w:tcW w:w="0" w:type="auto"/>
            <w:noWrap/>
          </w:tcPr>
          <w:p w14:paraId="228AD51C" w14:textId="77777777" w:rsidR="000932E6" w:rsidRPr="008F511F" w:rsidRDefault="000932E6" w:rsidP="00D162CA">
            <w:pPr>
              <w:jc w:val="center"/>
              <w:rPr>
                <w:rFonts w:ascii="Times New Roman" w:hAnsi="Times New Roman" w:cs="Times New Roman"/>
                <w:sz w:val="24"/>
                <w:szCs w:val="24"/>
              </w:rPr>
            </w:pPr>
          </w:p>
        </w:tc>
        <w:tc>
          <w:tcPr>
            <w:tcW w:w="0" w:type="auto"/>
          </w:tcPr>
          <w:p w14:paraId="431E44ED" w14:textId="77777777" w:rsidR="000932E6" w:rsidRPr="008F511F" w:rsidRDefault="000932E6" w:rsidP="00D162CA">
            <w:pPr>
              <w:rPr>
                <w:rFonts w:ascii="Times New Roman" w:hAnsi="Times New Roman" w:cs="Times New Roman"/>
                <w:sz w:val="24"/>
                <w:szCs w:val="24"/>
              </w:rPr>
            </w:pPr>
          </w:p>
        </w:tc>
        <w:tc>
          <w:tcPr>
            <w:tcW w:w="0" w:type="auto"/>
          </w:tcPr>
          <w:p w14:paraId="7B4702F3" w14:textId="77777777" w:rsidR="000932E6" w:rsidRPr="008F511F" w:rsidRDefault="000932E6" w:rsidP="00D162CA">
            <w:pPr>
              <w:rPr>
                <w:rFonts w:ascii="Times New Roman" w:hAnsi="Times New Roman" w:cs="Times New Roman"/>
                <w:sz w:val="24"/>
                <w:szCs w:val="24"/>
              </w:rPr>
            </w:pPr>
          </w:p>
        </w:tc>
        <w:tc>
          <w:tcPr>
            <w:tcW w:w="0" w:type="auto"/>
            <w:noWrap/>
          </w:tcPr>
          <w:p w14:paraId="6E490FB9" w14:textId="77777777" w:rsidR="000932E6" w:rsidRPr="008F511F" w:rsidRDefault="000932E6" w:rsidP="00D162CA">
            <w:pPr>
              <w:jc w:val="center"/>
              <w:rPr>
                <w:rFonts w:ascii="Times New Roman" w:hAnsi="Times New Roman" w:cs="Times New Roman"/>
                <w:sz w:val="24"/>
                <w:szCs w:val="24"/>
              </w:rPr>
            </w:pPr>
          </w:p>
        </w:tc>
      </w:tr>
      <w:tr w:rsidR="008F511F" w:rsidRPr="008F511F" w14:paraId="6F4BC815" w14:textId="77777777" w:rsidTr="00D162CA">
        <w:trPr>
          <w:trHeight w:val="337"/>
        </w:trPr>
        <w:tc>
          <w:tcPr>
            <w:tcW w:w="0" w:type="auto"/>
            <w:noWrap/>
            <w:hideMark/>
          </w:tcPr>
          <w:p w14:paraId="39CB2C8D"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Total spillover</w:t>
            </w:r>
          </w:p>
        </w:tc>
        <w:tc>
          <w:tcPr>
            <w:tcW w:w="0" w:type="auto"/>
            <w:noWrap/>
          </w:tcPr>
          <w:p w14:paraId="4278F57D"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14.72</w:t>
            </w:r>
          </w:p>
        </w:tc>
        <w:tc>
          <w:tcPr>
            <w:tcW w:w="0" w:type="auto"/>
          </w:tcPr>
          <w:p w14:paraId="356E9533" w14:textId="77777777" w:rsidR="000932E6" w:rsidRPr="008F511F" w:rsidRDefault="000932E6" w:rsidP="00D162CA">
            <w:pPr>
              <w:rPr>
                <w:rFonts w:ascii="Times New Roman" w:hAnsi="Times New Roman" w:cs="Times New Roman"/>
                <w:b/>
                <w:bCs/>
                <w:sz w:val="24"/>
                <w:szCs w:val="24"/>
              </w:rPr>
            </w:pPr>
          </w:p>
        </w:tc>
        <w:tc>
          <w:tcPr>
            <w:tcW w:w="0" w:type="auto"/>
          </w:tcPr>
          <w:p w14:paraId="6E5EA8BB"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Total spillover</w:t>
            </w:r>
          </w:p>
        </w:tc>
        <w:tc>
          <w:tcPr>
            <w:tcW w:w="0" w:type="auto"/>
            <w:noWrap/>
          </w:tcPr>
          <w:p w14:paraId="407BFAA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12.06</w:t>
            </w:r>
          </w:p>
        </w:tc>
      </w:tr>
      <w:tr w:rsidR="008F511F" w:rsidRPr="008F511F" w14:paraId="6564F229" w14:textId="77777777" w:rsidTr="00D162CA">
        <w:trPr>
          <w:trHeight w:val="337"/>
        </w:trPr>
        <w:tc>
          <w:tcPr>
            <w:tcW w:w="0" w:type="auto"/>
            <w:noWrap/>
            <w:hideMark/>
          </w:tcPr>
          <w:p w14:paraId="4947D1A7"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To:</w:t>
            </w:r>
          </w:p>
        </w:tc>
        <w:tc>
          <w:tcPr>
            <w:tcW w:w="0" w:type="auto"/>
            <w:noWrap/>
          </w:tcPr>
          <w:p w14:paraId="6342CF9A" w14:textId="77777777" w:rsidR="000932E6" w:rsidRPr="008F511F" w:rsidRDefault="000932E6" w:rsidP="00D162CA">
            <w:pPr>
              <w:jc w:val="center"/>
              <w:rPr>
                <w:rFonts w:ascii="Times New Roman" w:hAnsi="Times New Roman" w:cs="Times New Roman"/>
                <w:b/>
                <w:bCs/>
                <w:sz w:val="24"/>
                <w:szCs w:val="24"/>
              </w:rPr>
            </w:pPr>
          </w:p>
        </w:tc>
        <w:tc>
          <w:tcPr>
            <w:tcW w:w="0" w:type="auto"/>
          </w:tcPr>
          <w:p w14:paraId="15234248" w14:textId="77777777" w:rsidR="000932E6" w:rsidRPr="008F511F" w:rsidRDefault="000932E6" w:rsidP="00D162CA">
            <w:pPr>
              <w:rPr>
                <w:rFonts w:ascii="Times New Roman" w:hAnsi="Times New Roman" w:cs="Times New Roman"/>
                <w:b/>
                <w:bCs/>
                <w:sz w:val="24"/>
                <w:szCs w:val="24"/>
              </w:rPr>
            </w:pPr>
          </w:p>
        </w:tc>
        <w:tc>
          <w:tcPr>
            <w:tcW w:w="0" w:type="auto"/>
          </w:tcPr>
          <w:p w14:paraId="04B276E3"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To:</w:t>
            </w:r>
          </w:p>
        </w:tc>
        <w:tc>
          <w:tcPr>
            <w:tcW w:w="0" w:type="auto"/>
            <w:noWrap/>
          </w:tcPr>
          <w:p w14:paraId="4D8794D1" w14:textId="77777777" w:rsidR="000932E6" w:rsidRPr="008F511F" w:rsidRDefault="000932E6" w:rsidP="00D162CA">
            <w:pPr>
              <w:jc w:val="center"/>
              <w:rPr>
                <w:rFonts w:ascii="Times New Roman" w:hAnsi="Times New Roman" w:cs="Times New Roman"/>
                <w:sz w:val="24"/>
                <w:szCs w:val="24"/>
              </w:rPr>
            </w:pPr>
          </w:p>
        </w:tc>
      </w:tr>
      <w:tr w:rsidR="008F511F" w:rsidRPr="008F511F" w14:paraId="2A7C716D" w14:textId="77777777" w:rsidTr="00D162CA">
        <w:trPr>
          <w:trHeight w:val="337"/>
        </w:trPr>
        <w:tc>
          <w:tcPr>
            <w:tcW w:w="0" w:type="auto"/>
            <w:noWrap/>
            <w:hideMark/>
          </w:tcPr>
          <w:p w14:paraId="6CAAFFBC"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w:t>
            </w:r>
          </w:p>
        </w:tc>
        <w:tc>
          <w:tcPr>
            <w:tcW w:w="0" w:type="auto"/>
            <w:noWrap/>
          </w:tcPr>
          <w:p w14:paraId="7721BE43"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15.63</w:t>
            </w:r>
          </w:p>
        </w:tc>
        <w:tc>
          <w:tcPr>
            <w:tcW w:w="0" w:type="auto"/>
          </w:tcPr>
          <w:p w14:paraId="648D10FD" w14:textId="77777777" w:rsidR="000932E6" w:rsidRPr="008F511F" w:rsidRDefault="000932E6" w:rsidP="00D162CA">
            <w:pPr>
              <w:rPr>
                <w:rFonts w:ascii="Times New Roman" w:hAnsi="Times New Roman" w:cs="Times New Roman"/>
                <w:sz w:val="24"/>
                <w:szCs w:val="24"/>
              </w:rPr>
            </w:pPr>
          </w:p>
        </w:tc>
        <w:tc>
          <w:tcPr>
            <w:tcW w:w="0" w:type="auto"/>
          </w:tcPr>
          <w:p w14:paraId="12D1B578"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0" w:type="auto"/>
            <w:noWrap/>
          </w:tcPr>
          <w:p w14:paraId="122B843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12.72</w:t>
            </w:r>
          </w:p>
        </w:tc>
      </w:tr>
      <w:tr w:rsidR="008F511F" w:rsidRPr="008F511F" w14:paraId="47FF9DA1" w14:textId="77777777" w:rsidTr="00D162CA">
        <w:trPr>
          <w:trHeight w:val="337"/>
        </w:trPr>
        <w:tc>
          <w:tcPr>
            <w:tcW w:w="0" w:type="auto"/>
            <w:noWrap/>
            <w:hideMark/>
          </w:tcPr>
          <w:p w14:paraId="03181999"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4E9AC27F"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13.82</w:t>
            </w:r>
          </w:p>
        </w:tc>
        <w:tc>
          <w:tcPr>
            <w:tcW w:w="0" w:type="auto"/>
          </w:tcPr>
          <w:p w14:paraId="222459A8" w14:textId="77777777" w:rsidR="000932E6" w:rsidRPr="008F511F" w:rsidRDefault="000932E6" w:rsidP="00D162CA">
            <w:pPr>
              <w:rPr>
                <w:rFonts w:ascii="Times New Roman" w:hAnsi="Times New Roman" w:cs="Times New Roman"/>
                <w:sz w:val="24"/>
                <w:szCs w:val="24"/>
              </w:rPr>
            </w:pPr>
          </w:p>
        </w:tc>
        <w:tc>
          <w:tcPr>
            <w:tcW w:w="0" w:type="auto"/>
          </w:tcPr>
          <w:p w14:paraId="67905281"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26B9FBD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11.40</w:t>
            </w:r>
          </w:p>
        </w:tc>
      </w:tr>
      <w:tr w:rsidR="008F511F" w:rsidRPr="008F511F" w14:paraId="69837EF1" w14:textId="77777777" w:rsidTr="00D162CA">
        <w:trPr>
          <w:trHeight w:val="337"/>
        </w:trPr>
        <w:tc>
          <w:tcPr>
            <w:tcW w:w="0" w:type="auto"/>
            <w:noWrap/>
            <w:hideMark/>
          </w:tcPr>
          <w:p w14:paraId="344F159C" w14:textId="77777777" w:rsidR="000932E6" w:rsidRPr="008F511F" w:rsidRDefault="000932E6" w:rsidP="00D162CA">
            <w:pPr>
              <w:rPr>
                <w:rFonts w:ascii="Times New Roman" w:hAnsi="Times New Roman" w:cs="Times New Roman"/>
                <w:b/>
                <w:bCs/>
                <w:sz w:val="24"/>
                <w:szCs w:val="24"/>
              </w:rPr>
            </w:pPr>
            <w:r w:rsidRPr="008F511F">
              <w:rPr>
                <w:rFonts w:ascii="Times New Roman" w:hAnsi="Times New Roman" w:cs="Times New Roman"/>
                <w:b/>
                <w:bCs/>
                <w:sz w:val="24"/>
                <w:szCs w:val="24"/>
              </w:rPr>
              <w:t>Net:</w:t>
            </w:r>
          </w:p>
        </w:tc>
        <w:tc>
          <w:tcPr>
            <w:tcW w:w="0" w:type="auto"/>
            <w:noWrap/>
          </w:tcPr>
          <w:p w14:paraId="58FCDFA1" w14:textId="77777777" w:rsidR="000932E6" w:rsidRPr="008F511F" w:rsidRDefault="000932E6" w:rsidP="00D162CA">
            <w:pPr>
              <w:jc w:val="center"/>
              <w:rPr>
                <w:rFonts w:ascii="Times New Roman" w:hAnsi="Times New Roman" w:cs="Times New Roman"/>
                <w:b/>
                <w:bCs/>
                <w:sz w:val="24"/>
                <w:szCs w:val="24"/>
              </w:rPr>
            </w:pPr>
          </w:p>
        </w:tc>
        <w:tc>
          <w:tcPr>
            <w:tcW w:w="0" w:type="auto"/>
          </w:tcPr>
          <w:p w14:paraId="781C1B25" w14:textId="77777777" w:rsidR="000932E6" w:rsidRPr="008F511F" w:rsidRDefault="000932E6" w:rsidP="00D162CA">
            <w:pPr>
              <w:rPr>
                <w:rFonts w:ascii="Times New Roman" w:hAnsi="Times New Roman" w:cs="Times New Roman"/>
                <w:b/>
                <w:bCs/>
                <w:sz w:val="24"/>
                <w:szCs w:val="24"/>
              </w:rPr>
            </w:pPr>
          </w:p>
        </w:tc>
        <w:tc>
          <w:tcPr>
            <w:tcW w:w="0" w:type="auto"/>
          </w:tcPr>
          <w:p w14:paraId="694A5DB7"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b/>
                <w:bCs/>
                <w:sz w:val="24"/>
                <w:szCs w:val="24"/>
              </w:rPr>
              <w:t>Net:</w:t>
            </w:r>
          </w:p>
        </w:tc>
        <w:tc>
          <w:tcPr>
            <w:tcW w:w="0" w:type="auto"/>
            <w:noWrap/>
          </w:tcPr>
          <w:p w14:paraId="64FA184F" w14:textId="77777777" w:rsidR="000932E6" w:rsidRPr="008F511F" w:rsidRDefault="000932E6" w:rsidP="00D162CA">
            <w:pPr>
              <w:jc w:val="center"/>
              <w:rPr>
                <w:rFonts w:ascii="Times New Roman" w:hAnsi="Times New Roman" w:cs="Times New Roman"/>
                <w:sz w:val="24"/>
                <w:szCs w:val="24"/>
              </w:rPr>
            </w:pPr>
          </w:p>
        </w:tc>
      </w:tr>
      <w:tr w:rsidR="008F511F" w:rsidRPr="008F511F" w14:paraId="4786CBE8" w14:textId="77777777" w:rsidTr="00D162CA">
        <w:trPr>
          <w:trHeight w:val="337"/>
        </w:trPr>
        <w:tc>
          <w:tcPr>
            <w:tcW w:w="0" w:type="auto"/>
            <w:noWrap/>
            <w:hideMark/>
          </w:tcPr>
          <w:p w14:paraId="74A9C122"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Return</w:t>
            </w:r>
          </w:p>
        </w:tc>
        <w:tc>
          <w:tcPr>
            <w:tcW w:w="0" w:type="auto"/>
            <w:noWrap/>
          </w:tcPr>
          <w:p w14:paraId="2F633089"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1.81</w:t>
            </w:r>
          </w:p>
        </w:tc>
        <w:tc>
          <w:tcPr>
            <w:tcW w:w="0" w:type="auto"/>
          </w:tcPr>
          <w:p w14:paraId="0B49C2ED" w14:textId="77777777" w:rsidR="000932E6" w:rsidRPr="008F511F" w:rsidRDefault="000932E6" w:rsidP="00D162CA">
            <w:pPr>
              <w:rPr>
                <w:rFonts w:ascii="Times New Roman" w:hAnsi="Times New Roman" w:cs="Times New Roman"/>
                <w:sz w:val="24"/>
                <w:szCs w:val="24"/>
              </w:rPr>
            </w:pPr>
          </w:p>
        </w:tc>
        <w:tc>
          <w:tcPr>
            <w:tcW w:w="0" w:type="auto"/>
          </w:tcPr>
          <w:p w14:paraId="27C7B8B2"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Volatility</w:t>
            </w:r>
          </w:p>
        </w:tc>
        <w:tc>
          <w:tcPr>
            <w:tcW w:w="0" w:type="auto"/>
            <w:noWrap/>
          </w:tcPr>
          <w:p w14:paraId="340539CA"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1.31</w:t>
            </w:r>
          </w:p>
        </w:tc>
      </w:tr>
      <w:tr w:rsidR="008F511F" w:rsidRPr="008F511F" w14:paraId="0409C0AC" w14:textId="77777777" w:rsidTr="00D162CA">
        <w:trPr>
          <w:trHeight w:val="337"/>
        </w:trPr>
        <w:tc>
          <w:tcPr>
            <w:tcW w:w="0" w:type="auto"/>
            <w:noWrap/>
            <w:hideMark/>
          </w:tcPr>
          <w:p w14:paraId="19494EBD"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2C5E58C4"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-1.81</w:t>
            </w:r>
          </w:p>
        </w:tc>
        <w:tc>
          <w:tcPr>
            <w:tcW w:w="0" w:type="auto"/>
          </w:tcPr>
          <w:p w14:paraId="3A802235" w14:textId="77777777" w:rsidR="000932E6" w:rsidRPr="008F511F" w:rsidRDefault="000932E6" w:rsidP="00D162CA">
            <w:pPr>
              <w:rPr>
                <w:rFonts w:ascii="Times New Roman" w:hAnsi="Times New Roman" w:cs="Times New Roman"/>
                <w:sz w:val="24"/>
                <w:szCs w:val="24"/>
              </w:rPr>
            </w:pPr>
          </w:p>
        </w:tc>
        <w:tc>
          <w:tcPr>
            <w:tcW w:w="0" w:type="auto"/>
          </w:tcPr>
          <w:p w14:paraId="60AD1E46" w14:textId="77777777" w:rsidR="000932E6" w:rsidRPr="008F511F" w:rsidRDefault="000932E6" w:rsidP="00D162CA">
            <w:pPr>
              <w:rPr>
                <w:rFonts w:ascii="Times New Roman" w:hAnsi="Times New Roman" w:cs="Times New Roman"/>
                <w:sz w:val="24"/>
                <w:szCs w:val="24"/>
              </w:rPr>
            </w:pPr>
            <w:r w:rsidRPr="008F511F">
              <w:rPr>
                <w:rFonts w:ascii="Times New Roman" w:hAnsi="Times New Roman" w:cs="Times New Roman"/>
                <w:sz w:val="24"/>
                <w:szCs w:val="24"/>
              </w:rPr>
              <w:t>Volume</w:t>
            </w:r>
          </w:p>
        </w:tc>
        <w:tc>
          <w:tcPr>
            <w:tcW w:w="0" w:type="auto"/>
            <w:noWrap/>
          </w:tcPr>
          <w:p w14:paraId="6C6F4728" w14:textId="77777777" w:rsidR="000932E6" w:rsidRPr="008F511F" w:rsidRDefault="000932E6" w:rsidP="00D162CA">
            <w:pPr>
              <w:jc w:val="center"/>
              <w:rPr>
                <w:rFonts w:ascii="Times New Roman" w:hAnsi="Times New Roman" w:cs="Times New Roman"/>
                <w:sz w:val="24"/>
                <w:szCs w:val="24"/>
              </w:rPr>
            </w:pPr>
            <w:r w:rsidRPr="008F511F">
              <w:rPr>
                <w:rFonts w:ascii="Times New Roman" w:hAnsi="Times New Roman" w:cs="Times New Roman"/>
                <w:sz w:val="24"/>
                <w:szCs w:val="24"/>
              </w:rPr>
              <w:t>-1.31</w:t>
            </w:r>
          </w:p>
        </w:tc>
      </w:tr>
    </w:tbl>
    <w:p w14:paraId="053132C5" w14:textId="516BC213" w:rsidR="000932E6" w:rsidRPr="008F511F" w:rsidRDefault="000932E6" w:rsidP="000932E6">
      <w:pPr>
        <w:jc w:val="both"/>
        <w:rPr>
          <w:rFonts w:ascii="Times New Roman" w:eastAsia="Malgun Gothic" w:hAnsi="Times New Roman" w:cs="Times New Roman"/>
          <w:iCs/>
          <w:sz w:val="24"/>
          <w:szCs w:val="24"/>
          <w:lang w:eastAsia="ko-KR"/>
        </w:rPr>
      </w:pPr>
      <w:r w:rsidRPr="008F511F">
        <w:rPr>
          <w:rFonts w:ascii="Times New Roman" w:hAnsi="Times New Roman" w:cs="Times New Roman"/>
          <w:sz w:val="18"/>
          <w:szCs w:val="18"/>
        </w:rPr>
        <w:t xml:space="preserve">Notes: ‘Total spillover’ </w:t>
      </w:r>
      <w:proofErr w:type="spellStart"/>
      <w:r w:rsidRPr="008F511F">
        <w:rPr>
          <w:rFonts w:ascii="Times New Roman" w:hAnsi="Times New Roman" w:cs="Times New Roman"/>
          <w:sz w:val="18"/>
          <w:szCs w:val="18"/>
        </w:rPr>
        <w:t>indicatess</w:t>
      </w:r>
      <w:proofErr w:type="spellEnd"/>
      <w:r w:rsidRPr="008F511F">
        <w:rPr>
          <w:rFonts w:ascii="Times New Roman" w:hAnsi="Times New Roman" w:cs="Times New Roman"/>
          <w:sz w:val="18"/>
          <w:szCs w:val="18"/>
        </w:rPr>
        <w:t xml:space="preserve"> the total connectedness between Return/volatility and volume of NFT. ‘To returns’ indicates the spillover from volume to returns, whereas ‘To Volume’ represents the spillover from return to volume. ‘To volatility’ indicates the spillover from volume to volatility, whereas ‘To Volume’ represents the spillover from volatility to volume. The positive ‘Net returns’ spillover shows the returns as net transmitter of spillover to volume, whereas negative ‘Net returns’ spillover indicate the returns as net recipient of spillover from volume. The positive ‘Net volatility’ spillover shows the volatility as net transmitter of spillover to volume, whereas negative ‘Net volatility’ spillover indicate the volatility as net recipient of spillover from volume. </w:t>
      </w:r>
      <w:r w:rsidR="00936533" w:rsidRPr="008F511F">
        <w:rPr>
          <w:rFonts w:ascii="Times New Roman" w:hAnsi="Times New Roman" w:cs="Times New Roman"/>
          <w:sz w:val="18"/>
          <w:szCs w:val="18"/>
        </w:rPr>
        <w:t>The length of rolling window is 200 days.</w:t>
      </w:r>
    </w:p>
    <w:p w14:paraId="52B0760B" w14:textId="77777777" w:rsidR="000932E6" w:rsidRPr="008F511F" w:rsidRDefault="000932E6" w:rsidP="0057744F">
      <w:pPr>
        <w:jc w:val="center"/>
        <w:rPr>
          <w:rFonts w:ascii="Times New Roman" w:eastAsia="Malgun Gothic" w:hAnsi="Times New Roman" w:cs="Times New Roman"/>
          <w:iCs/>
          <w:sz w:val="24"/>
          <w:szCs w:val="24"/>
          <w:lang w:eastAsia="ko-KR"/>
        </w:rPr>
      </w:pPr>
    </w:p>
    <w:sectPr w:rsidR="000932E6" w:rsidRPr="008F5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9F507" w14:textId="77777777" w:rsidR="001064A4" w:rsidRDefault="001064A4" w:rsidP="008F01A7">
      <w:pPr>
        <w:spacing w:after="0" w:line="240" w:lineRule="auto"/>
      </w:pPr>
      <w:r>
        <w:separator/>
      </w:r>
    </w:p>
  </w:endnote>
  <w:endnote w:type="continuationSeparator" w:id="0">
    <w:p w14:paraId="4F200CEB" w14:textId="77777777" w:rsidR="001064A4" w:rsidRDefault="001064A4" w:rsidP="008F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191479"/>
      <w:docPartObj>
        <w:docPartGallery w:val="Page Numbers (Bottom of Page)"/>
        <w:docPartUnique/>
      </w:docPartObj>
    </w:sdtPr>
    <w:sdtEndPr>
      <w:rPr>
        <w:noProof/>
      </w:rPr>
    </w:sdtEndPr>
    <w:sdtContent>
      <w:p w14:paraId="1C585479" w14:textId="56D8838A" w:rsidR="00D162CA" w:rsidRDefault="00D162CA">
        <w:pPr>
          <w:pStyle w:val="Footer"/>
          <w:jc w:val="right"/>
        </w:pPr>
        <w:r>
          <w:fldChar w:fldCharType="begin"/>
        </w:r>
        <w:r>
          <w:instrText xml:space="preserve"> PAGE   \* MERGEFORMAT </w:instrText>
        </w:r>
        <w:r>
          <w:fldChar w:fldCharType="separate"/>
        </w:r>
        <w:r w:rsidR="00567609">
          <w:rPr>
            <w:noProof/>
          </w:rPr>
          <w:t>12</w:t>
        </w:r>
        <w:r>
          <w:rPr>
            <w:noProof/>
          </w:rPr>
          <w:fldChar w:fldCharType="end"/>
        </w:r>
      </w:p>
    </w:sdtContent>
  </w:sdt>
  <w:p w14:paraId="4528BEB5" w14:textId="77777777" w:rsidR="00D162CA" w:rsidRDefault="00D1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C949F" w14:textId="77777777" w:rsidR="001064A4" w:rsidRDefault="001064A4" w:rsidP="008F01A7">
      <w:pPr>
        <w:spacing w:after="0" w:line="240" w:lineRule="auto"/>
      </w:pPr>
      <w:r>
        <w:separator/>
      </w:r>
    </w:p>
  </w:footnote>
  <w:footnote w:type="continuationSeparator" w:id="0">
    <w:p w14:paraId="4ABD11B6" w14:textId="77777777" w:rsidR="001064A4" w:rsidRDefault="001064A4" w:rsidP="008F01A7">
      <w:pPr>
        <w:spacing w:after="0" w:line="240" w:lineRule="auto"/>
      </w:pPr>
      <w:r>
        <w:continuationSeparator/>
      </w:r>
    </w:p>
  </w:footnote>
  <w:footnote w:id="1">
    <w:p w14:paraId="2B842587" w14:textId="34699A60" w:rsidR="00C3513F" w:rsidRPr="00CC4748" w:rsidRDefault="00C3513F">
      <w:pPr>
        <w:pStyle w:val="FootnoteText"/>
        <w:rPr>
          <w:color w:val="0070C0"/>
          <w:sz w:val="18"/>
          <w:szCs w:val="18"/>
        </w:rPr>
      </w:pPr>
      <w:r>
        <w:rPr>
          <w:rStyle w:val="FootnoteReference"/>
        </w:rPr>
        <w:footnoteRef/>
      </w:r>
      <w:r>
        <w:t xml:space="preserve"> </w:t>
      </w:r>
      <w:r w:rsidRPr="00CC4748">
        <w:rPr>
          <w:rFonts w:ascii="Times New Roman" w:eastAsia="Malgun Gothic" w:hAnsi="Times New Roman" w:cs="Times New Roman"/>
          <w:iCs/>
          <w:color w:val="0070C0"/>
          <w:sz w:val="18"/>
          <w:szCs w:val="18"/>
          <w:lang w:eastAsia="ko-KR"/>
        </w:rPr>
        <w:t xml:space="preserve">The THETA </w:t>
      </w:r>
      <w:r w:rsidR="00CC4748" w:rsidRPr="00CC4748">
        <w:rPr>
          <w:rFonts w:ascii="Times New Roman" w:eastAsia="Malgun Gothic" w:hAnsi="Times New Roman" w:cs="Times New Roman"/>
          <w:iCs/>
          <w:color w:val="0070C0"/>
          <w:sz w:val="18"/>
          <w:szCs w:val="18"/>
          <w:lang w:eastAsia="ko-KR"/>
        </w:rPr>
        <w:t xml:space="preserve">was launched on 16 January 2018, and its trading was started on 17 January 2018. Therefore, we start our sample period from 17 January 2018. </w:t>
      </w:r>
    </w:p>
  </w:footnote>
  <w:footnote w:id="2">
    <w:p w14:paraId="35D7AD8C" w14:textId="00F1D2A7" w:rsidR="00D162CA" w:rsidRDefault="00D162CA" w:rsidP="00345AF9">
      <w:pPr>
        <w:pStyle w:val="FootnoteText"/>
        <w:jc w:val="both"/>
      </w:pPr>
      <w:r>
        <w:rPr>
          <w:rStyle w:val="FootnoteReference"/>
        </w:rPr>
        <w:footnoteRef/>
      </w:r>
      <w:r>
        <w:t xml:space="preserve"> </w:t>
      </w:r>
      <w:r w:rsidRPr="0096521F">
        <w:rPr>
          <w:rFonts w:ascii="Times New Roman" w:hAnsi="Times New Roman" w:cs="Times New Roman"/>
        </w:rPr>
        <w:t xml:space="preserve">Previous studies provide the evidence of deterministic time trends as well (Gallant et al., 1992; </w:t>
      </w:r>
      <w:r w:rsidRPr="0096521F">
        <w:rPr>
          <w:rFonts w:ascii="Times New Roman" w:hAnsi="Times New Roman" w:cs="Times New Roman"/>
        </w:rPr>
        <w:t>Gebka, 2012).</w:t>
      </w:r>
    </w:p>
  </w:footnote>
  <w:footnote w:id="3">
    <w:p w14:paraId="7B825F1F" w14:textId="2C0F5A40" w:rsidR="00D162CA" w:rsidRPr="00DF1A49" w:rsidRDefault="00D162CA" w:rsidP="00DF1A49">
      <w:pPr>
        <w:pStyle w:val="FootnoteText"/>
        <w:jc w:val="both"/>
        <w:rPr>
          <w:sz w:val="18"/>
          <w:szCs w:val="18"/>
        </w:rPr>
      </w:pPr>
      <w:r>
        <w:rPr>
          <w:rStyle w:val="FootnoteReference"/>
        </w:rPr>
        <w:footnoteRef/>
      </w:r>
      <w:r>
        <w:t xml:space="preserve"> </w:t>
      </w:r>
      <w:r w:rsidRPr="00DF1A49">
        <w:rPr>
          <w:rFonts w:ascii="Times New Roman" w:hAnsi="Times New Roman" w:cs="Times New Roman"/>
          <w:sz w:val="18"/>
          <w:szCs w:val="18"/>
        </w:rPr>
        <w:t xml:space="preserve">We use the sample period from </w:t>
      </w:r>
      <w:bookmarkStart w:id="3" w:name="_Hlk99925721"/>
      <w:r w:rsidRPr="00DF1A49">
        <w:rPr>
          <w:rFonts w:ascii="Times New Roman" w:eastAsia="Malgun Gothic" w:hAnsi="Times New Roman" w:cs="Times New Roman"/>
          <w:iCs/>
          <w:sz w:val="18"/>
          <w:szCs w:val="18"/>
          <w:lang w:eastAsia="ko-KR"/>
        </w:rPr>
        <w:t>17 February 2018 and ends on 20 November 2021</w:t>
      </w:r>
      <w:bookmarkEnd w:id="3"/>
      <w:r w:rsidRPr="00DF1A49">
        <w:rPr>
          <w:rFonts w:ascii="Times New Roman" w:eastAsia="Malgun Gothic" w:hAnsi="Times New Roman" w:cs="Times New Roman"/>
          <w:iCs/>
          <w:sz w:val="18"/>
          <w:szCs w:val="18"/>
          <w:lang w:eastAsia="ko-KR"/>
        </w:rPr>
        <w:t>, and calculate the spillovers at median, extreme upper and extreme lower quantiles.</w:t>
      </w:r>
    </w:p>
  </w:footnote>
  <w:footnote w:id="4">
    <w:p w14:paraId="5B0F946E" w14:textId="58DB6247" w:rsidR="00D162CA" w:rsidRPr="00DF1A49" w:rsidRDefault="00D162CA" w:rsidP="00DF1A49">
      <w:pPr>
        <w:pStyle w:val="FootnoteText"/>
        <w:jc w:val="both"/>
        <w:rPr>
          <w:rFonts w:ascii="Times New Roman" w:hAnsi="Times New Roman" w:cs="Times New Roman"/>
          <w:sz w:val="18"/>
          <w:szCs w:val="18"/>
        </w:rPr>
      </w:pPr>
      <w:r w:rsidRPr="00DF1A49">
        <w:rPr>
          <w:rStyle w:val="FootnoteReference"/>
          <w:sz w:val="18"/>
          <w:szCs w:val="18"/>
        </w:rPr>
        <w:footnoteRef/>
      </w:r>
      <w:r w:rsidRPr="00DF1A49">
        <w:rPr>
          <w:sz w:val="18"/>
          <w:szCs w:val="18"/>
        </w:rPr>
        <w:t xml:space="preserve"> </w:t>
      </w:r>
      <w:r w:rsidRPr="00DF1A49">
        <w:rPr>
          <w:rFonts w:ascii="Times New Roman" w:hAnsi="Times New Roman" w:cs="Times New Roman"/>
          <w:sz w:val="18"/>
          <w:szCs w:val="18"/>
        </w:rPr>
        <w:t>We use the Diebold and Yilmaz (2012) approach to calculate the mean-based spillovers, which are only comparable to the median (Q=0.50) quantile.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E43B" w14:textId="61FB2101" w:rsidR="00D162CA" w:rsidRDefault="00D162CA">
    <w:pPr>
      <w:pStyle w:val="Header"/>
      <w:jc w:val="right"/>
    </w:pPr>
  </w:p>
  <w:p w14:paraId="60AEC27B" w14:textId="77777777" w:rsidR="00D162CA" w:rsidRDefault="00D16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AB6"/>
    <w:multiLevelType w:val="multilevel"/>
    <w:tmpl w:val="0F32479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1F26B01"/>
    <w:multiLevelType w:val="hybridMultilevel"/>
    <w:tmpl w:val="509837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91F8E"/>
    <w:multiLevelType w:val="hybridMultilevel"/>
    <w:tmpl w:val="B4EA1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AD"/>
    <w:rsid w:val="000146D4"/>
    <w:rsid w:val="00015979"/>
    <w:rsid w:val="00017991"/>
    <w:rsid w:val="0002661C"/>
    <w:rsid w:val="00027528"/>
    <w:rsid w:val="00030D94"/>
    <w:rsid w:val="00032CE7"/>
    <w:rsid w:val="000339B0"/>
    <w:rsid w:val="00033F09"/>
    <w:rsid w:val="0004483C"/>
    <w:rsid w:val="0005008E"/>
    <w:rsid w:val="0005038B"/>
    <w:rsid w:val="00051CAE"/>
    <w:rsid w:val="00052370"/>
    <w:rsid w:val="0005245C"/>
    <w:rsid w:val="00056484"/>
    <w:rsid w:val="000565E1"/>
    <w:rsid w:val="00056B09"/>
    <w:rsid w:val="000573EE"/>
    <w:rsid w:val="00060033"/>
    <w:rsid w:val="0006459D"/>
    <w:rsid w:val="0007464D"/>
    <w:rsid w:val="000756C8"/>
    <w:rsid w:val="000776CC"/>
    <w:rsid w:val="000932E6"/>
    <w:rsid w:val="0009384A"/>
    <w:rsid w:val="000954BB"/>
    <w:rsid w:val="0009779F"/>
    <w:rsid w:val="000977F0"/>
    <w:rsid w:val="000B0A21"/>
    <w:rsid w:val="000B0B1A"/>
    <w:rsid w:val="000B1BB6"/>
    <w:rsid w:val="000B4149"/>
    <w:rsid w:val="000B5A97"/>
    <w:rsid w:val="000B5DD0"/>
    <w:rsid w:val="000B75BD"/>
    <w:rsid w:val="000C1974"/>
    <w:rsid w:val="000C4B8C"/>
    <w:rsid w:val="000C57F5"/>
    <w:rsid w:val="000C6B7A"/>
    <w:rsid w:val="000D6B4E"/>
    <w:rsid w:val="000E022B"/>
    <w:rsid w:val="000E0C12"/>
    <w:rsid w:val="000E2F3D"/>
    <w:rsid w:val="000E6E90"/>
    <w:rsid w:val="000F0068"/>
    <w:rsid w:val="000F7459"/>
    <w:rsid w:val="000F7743"/>
    <w:rsid w:val="00102F60"/>
    <w:rsid w:val="001064A4"/>
    <w:rsid w:val="0010748A"/>
    <w:rsid w:val="00107DD1"/>
    <w:rsid w:val="00114AA3"/>
    <w:rsid w:val="00122165"/>
    <w:rsid w:val="00134EC7"/>
    <w:rsid w:val="00135F1C"/>
    <w:rsid w:val="00142E47"/>
    <w:rsid w:val="001464CC"/>
    <w:rsid w:val="00151FA0"/>
    <w:rsid w:val="00152D7A"/>
    <w:rsid w:val="001550F2"/>
    <w:rsid w:val="0015776A"/>
    <w:rsid w:val="00157DF1"/>
    <w:rsid w:val="00164E75"/>
    <w:rsid w:val="00173FB2"/>
    <w:rsid w:val="00174257"/>
    <w:rsid w:val="001813EE"/>
    <w:rsid w:val="00183B42"/>
    <w:rsid w:val="00184B7D"/>
    <w:rsid w:val="00185BFE"/>
    <w:rsid w:val="00187250"/>
    <w:rsid w:val="00196F40"/>
    <w:rsid w:val="001A1F59"/>
    <w:rsid w:val="001A20BF"/>
    <w:rsid w:val="001A7BE3"/>
    <w:rsid w:val="001B46C5"/>
    <w:rsid w:val="001C0025"/>
    <w:rsid w:val="001C67FD"/>
    <w:rsid w:val="001D2B47"/>
    <w:rsid w:val="001D5444"/>
    <w:rsid w:val="001E0400"/>
    <w:rsid w:val="001E61B0"/>
    <w:rsid w:val="001E7927"/>
    <w:rsid w:val="001F0850"/>
    <w:rsid w:val="00200368"/>
    <w:rsid w:val="002049CD"/>
    <w:rsid w:val="00211BC5"/>
    <w:rsid w:val="00212E6B"/>
    <w:rsid w:val="00214FDD"/>
    <w:rsid w:val="00215278"/>
    <w:rsid w:val="0021741F"/>
    <w:rsid w:val="002175F8"/>
    <w:rsid w:val="002229BE"/>
    <w:rsid w:val="00236C57"/>
    <w:rsid w:val="00237340"/>
    <w:rsid w:val="00240519"/>
    <w:rsid w:val="00244406"/>
    <w:rsid w:val="00247903"/>
    <w:rsid w:val="002638A8"/>
    <w:rsid w:val="00264790"/>
    <w:rsid w:val="00273325"/>
    <w:rsid w:val="00274CDA"/>
    <w:rsid w:val="00283BC7"/>
    <w:rsid w:val="002A20C4"/>
    <w:rsid w:val="002A4E40"/>
    <w:rsid w:val="002B5740"/>
    <w:rsid w:val="002D57C6"/>
    <w:rsid w:val="002E5340"/>
    <w:rsid w:val="002E7AB8"/>
    <w:rsid w:val="002F2E30"/>
    <w:rsid w:val="00300192"/>
    <w:rsid w:val="00302B87"/>
    <w:rsid w:val="003039F6"/>
    <w:rsid w:val="00304B6F"/>
    <w:rsid w:val="00305395"/>
    <w:rsid w:val="003136AB"/>
    <w:rsid w:val="00313E14"/>
    <w:rsid w:val="003142CF"/>
    <w:rsid w:val="003160D3"/>
    <w:rsid w:val="003166E9"/>
    <w:rsid w:val="00333B76"/>
    <w:rsid w:val="00335D65"/>
    <w:rsid w:val="00340A53"/>
    <w:rsid w:val="003411FC"/>
    <w:rsid w:val="00342D46"/>
    <w:rsid w:val="00343425"/>
    <w:rsid w:val="00344218"/>
    <w:rsid w:val="00345AF9"/>
    <w:rsid w:val="00346336"/>
    <w:rsid w:val="00352FDB"/>
    <w:rsid w:val="00353BF5"/>
    <w:rsid w:val="00361EC8"/>
    <w:rsid w:val="0036243E"/>
    <w:rsid w:val="00362BF9"/>
    <w:rsid w:val="00367B5B"/>
    <w:rsid w:val="00374E41"/>
    <w:rsid w:val="003763EA"/>
    <w:rsid w:val="003926BA"/>
    <w:rsid w:val="003A1BD4"/>
    <w:rsid w:val="003A4979"/>
    <w:rsid w:val="003A666D"/>
    <w:rsid w:val="003B4513"/>
    <w:rsid w:val="003B5159"/>
    <w:rsid w:val="003B7BF8"/>
    <w:rsid w:val="003C3A23"/>
    <w:rsid w:val="003D1FDC"/>
    <w:rsid w:val="003D40EA"/>
    <w:rsid w:val="003D49F1"/>
    <w:rsid w:val="003E0BAF"/>
    <w:rsid w:val="003F1122"/>
    <w:rsid w:val="003F2BF7"/>
    <w:rsid w:val="003F4DF7"/>
    <w:rsid w:val="00422CFE"/>
    <w:rsid w:val="004360DF"/>
    <w:rsid w:val="00441B43"/>
    <w:rsid w:val="00456C10"/>
    <w:rsid w:val="00465289"/>
    <w:rsid w:val="00476A37"/>
    <w:rsid w:val="004A05B9"/>
    <w:rsid w:val="004A1FFB"/>
    <w:rsid w:val="004A2030"/>
    <w:rsid w:val="004A6D76"/>
    <w:rsid w:val="004B3D66"/>
    <w:rsid w:val="004B72A7"/>
    <w:rsid w:val="004C1F8C"/>
    <w:rsid w:val="004C50A7"/>
    <w:rsid w:val="004E3C4C"/>
    <w:rsid w:val="004E58AB"/>
    <w:rsid w:val="004E73A9"/>
    <w:rsid w:val="004F0E46"/>
    <w:rsid w:val="004F6FE8"/>
    <w:rsid w:val="00505385"/>
    <w:rsid w:val="0051067B"/>
    <w:rsid w:val="0052671B"/>
    <w:rsid w:val="00534665"/>
    <w:rsid w:val="00537A05"/>
    <w:rsid w:val="00541708"/>
    <w:rsid w:val="005450B5"/>
    <w:rsid w:val="00556DF0"/>
    <w:rsid w:val="005576F5"/>
    <w:rsid w:val="0056279F"/>
    <w:rsid w:val="00564DB1"/>
    <w:rsid w:val="00567609"/>
    <w:rsid w:val="00567E89"/>
    <w:rsid w:val="005716E6"/>
    <w:rsid w:val="00572B82"/>
    <w:rsid w:val="00575C7E"/>
    <w:rsid w:val="0057744F"/>
    <w:rsid w:val="00577E78"/>
    <w:rsid w:val="00581D50"/>
    <w:rsid w:val="00582509"/>
    <w:rsid w:val="005825E5"/>
    <w:rsid w:val="0058629D"/>
    <w:rsid w:val="00587278"/>
    <w:rsid w:val="005A18CA"/>
    <w:rsid w:val="005A318B"/>
    <w:rsid w:val="005A3E55"/>
    <w:rsid w:val="005A4C87"/>
    <w:rsid w:val="005A5E41"/>
    <w:rsid w:val="005B2D60"/>
    <w:rsid w:val="005B337E"/>
    <w:rsid w:val="005B4DBB"/>
    <w:rsid w:val="005D11CF"/>
    <w:rsid w:val="005E2997"/>
    <w:rsid w:val="005F0F66"/>
    <w:rsid w:val="005F1226"/>
    <w:rsid w:val="005F27E4"/>
    <w:rsid w:val="0060145D"/>
    <w:rsid w:val="00601FCD"/>
    <w:rsid w:val="00611B40"/>
    <w:rsid w:val="0061713E"/>
    <w:rsid w:val="0062017E"/>
    <w:rsid w:val="006211A0"/>
    <w:rsid w:val="006243EE"/>
    <w:rsid w:val="00634DCA"/>
    <w:rsid w:val="006407CA"/>
    <w:rsid w:val="006511CC"/>
    <w:rsid w:val="00665172"/>
    <w:rsid w:val="00665635"/>
    <w:rsid w:val="00680128"/>
    <w:rsid w:val="0068014B"/>
    <w:rsid w:val="00683F8D"/>
    <w:rsid w:val="00696C24"/>
    <w:rsid w:val="006A2498"/>
    <w:rsid w:val="006A6F75"/>
    <w:rsid w:val="006A741E"/>
    <w:rsid w:val="006A7BCB"/>
    <w:rsid w:val="006C1F52"/>
    <w:rsid w:val="006E011F"/>
    <w:rsid w:val="006E23DA"/>
    <w:rsid w:val="006E5284"/>
    <w:rsid w:val="006F1D8C"/>
    <w:rsid w:val="006F31BD"/>
    <w:rsid w:val="00701706"/>
    <w:rsid w:val="007032B2"/>
    <w:rsid w:val="00704056"/>
    <w:rsid w:val="007062E3"/>
    <w:rsid w:val="00712A6A"/>
    <w:rsid w:val="00713320"/>
    <w:rsid w:val="00720347"/>
    <w:rsid w:val="007231B6"/>
    <w:rsid w:val="00724596"/>
    <w:rsid w:val="00732155"/>
    <w:rsid w:val="00733024"/>
    <w:rsid w:val="0074172D"/>
    <w:rsid w:val="00743EB5"/>
    <w:rsid w:val="0074671A"/>
    <w:rsid w:val="00747099"/>
    <w:rsid w:val="00752F7E"/>
    <w:rsid w:val="00754557"/>
    <w:rsid w:val="0075771F"/>
    <w:rsid w:val="00761106"/>
    <w:rsid w:val="00761501"/>
    <w:rsid w:val="00761CA4"/>
    <w:rsid w:val="00764B75"/>
    <w:rsid w:val="00765FBA"/>
    <w:rsid w:val="00766F57"/>
    <w:rsid w:val="00777294"/>
    <w:rsid w:val="007803BC"/>
    <w:rsid w:val="00792D61"/>
    <w:rsid w:val="007A1BE3"/>
    <w:rsid w:val="007A2259"/>
    <w:rsid w:val="007A7D05"/>
    <w:rsid w:val="007B50AE"/>
    <w:rsid w:val="007C4EEC"/>
    <w:rsid w:val="007C5C58"/>
    <w:rsid w:val="007E1DBE"/>
    <w:rsid w:val="007E3691"/>
    <w:rsid w:val="007E3E82"/>
    <w:rsid w:val="007F7F54"/>
    <w:rsid w:val="008049F0"/>
    <w:rsid w:val="0080594C"/>
    <w:rsid w:val="00813BE3"/>
    <w:rsid w:val="00814B30"/>
    <w:rsid w:val="00815386"/>
    <w:rsid w:val="00817D93"/>
    <w:rsid w:val="00822609"/>
    <w:rsid w:val="00826BE4"/>
    <w:rsid w:val="00827453"/>
    <w:rsid w:val="008303B4"/>
    <w:rsid w:val="00833084"/>
    <w:rsid w:val="0083726A"/>
    <w:rsid w:val="008405C7"/>
    <w:rsid w:val="00842731"/>
    <w:rsid w:val="00844FB8"/>
    <w:rsid w:val="00846F60"/>
    <w:rsid w:val="00851707"/>
    <w:rsid w:val="00852494"/>
    <w:rsid w:val="0085470E"/>
    <w:rsid w:val="008620D7"/>
    <w:rsid w:val="00862BC1"/>
    <w:rsid w:val="00864628"/>
    <w:rsid w:val="00883B9B"/>
    <w:rsid w:val="00886ED7"/>
    <w:rsid w:val="008872B1"/>
    <w:rsid w:val="00887F3A"/>
    <w:rsid w:val="00892E7E"/>
    <w:rsid w:val="00895629"/>
    <w:rsid w:val="008A56CB"/>
    <w:rsid w:val="008B1FC7"/>
    <w:rsid w:val="008B278D"/>
    <w:rsid w:val="008C30E8"/>
    <w:rsid w:val="008C45DE"/>
    <w:rsid w:val="008C7056"/>
    <w:rsid w:val="008C74DC"/>
    <w:rsid w:val="008D04C1"/>
    <w:rsid w:val="008D0D1D"/>
    <w:rsid w:val="008D1EE4"/>
    <w:rsid w:val="008D2CEC"/>
    <w:rsid w:val="008D37B8"/>
    <w:rsid w:val="008D399F"/>
    <w:rsid w:val="008D43F4"/>
    <w:rsid w:val="008E13FC"/>
    <w:rsid w:val="008E6D50"/>
    <w:rsid w:val="008F01A7"/>
    <w:rsid w:val="008F1E8C"/>
    <w:rsid w:val="008F511F"/>
    <w:rsid w:val="00900838"/>
    <w:rsid w:val="00900B74"/>
    <w:rsid w:val="00904D7C"/>
    <w:rsid w:val="00910C08"/>
    <w:rsid w:val="0091187C"/>
    <w:rsid w:val="00913CF2"/>
    <w:rsid w:val="00914FC8"/>
    <w:rsid w:val="00917F1E"/>
    <w:rsid w:val="0092219E"/>
    <w:rsid w:val="00923147"/>
    <w:rsid w:val="00931FDC"/>
    <w:rsid w:val="00936533"/>
    <w:rsid w:val="0094185C"/>
    <w:rsid w:val="00944982"/>
    <w:rsid w:val="00945B5E"/>
    <w:rsid w:val="0095715C"/>
    <w:rsid w:val="00957367"/>
    <w:rsid w:val="009643F6"/>
    <w:rsid w:val="0096521F"/>
    <w:rsid w:val="00966732"/>
    <w:rsid w:val="00966858"/>
    <w:rsid w:val="00966B03"/>
    <w:rsid w:val="00967C8A"/>
    <w:rsid w:val="00971D89"/>
    <w:rsid w:val="00980A09"/>
    <w:rsid w:val="00980D23"/>
    <w:rsid w:val="00981C17"/>
    <w:rsid w:val="00986636"/>
    <w:rsid w:val="00990766"/>
    <w:rsid w:val="009948D8"/>
    <w:rsid w:val="009A748E"/>
    <w:rsid w:val="009B418C"/>
    <w:rsid w:val="009B436A"/>
    <w:rsid w:val="009B735E"/>
    <w:rsid w:val="009C04D2"/>
    <w:rsid w:val="009C3BF4"/>
    <w:rsid w:val="009C5EC9"/>
    <w:rsid w:val="009C6CFE"/>
    <w:rsid w:val="009D1F1C"/>
    <w:rsid w:val="009E2179"/>
    <w:rsid w:val="009E2CFF"/>
    <w:rsid w:val="009E51A4"/>
    <w:rsid w:val="009E6603"/>
    <w:rsid w:val="009E7527"/>
    <w:rsid w:val="009F5AF9"/>
    <w:rsid w:val="00A01B02"/>
    <w:rsid w:val="00A033C2"/>
    <w:rsid w:val="00A1078B"/>
    <w:rsid w:val="00A12B27"/>
    <w:rsid w:val="00A31ED6"/>
    <w:rsid w:val="00A320AA"/>
    <w:rsid w:val="00A403F9"/>
    <w:rsid w:val="00A41FC1"/>
    <w:rsid w:val="00A514E4"/>
    <w:rsid w:val="00A53393"/>
    <w:rsid w:val="00A62223"/>
    <w:rsid w:val="00A713D0"/>
    <w:rsid w:val="00A71561"/>
    <w:rsid w:val="00A777AD"/>
    <w:rsid w:val="00A77ADE"/>
    <w:rsid w:val="00A80B5C"/>
    <w:rsid w:val="00A84BE0"/>
    <w:rsid w:val="00A86C57"/>
    <w:rsid w:val="00AA02A8"/>
    <w:rsid w:val="00AA33DB"/>
    <w:rsid w:val="00AB2A4E"/>
    <w:rsid w:val="00AC0393"/>
    <w:rsid w:val="00AC07DF"/>
    <w:rsid w:val="00AC290C"/>
    <w:rsid w:val="00AC2CEC"/>
    <w:rsid w:val="00AE2A2C"/>
    <w:rsid w:val="00B005AC"/>
    <w:rsid w:val="00B12CB0"/>
    <w:rsid w:val="00B12E20"/>
    <w:rsid w:val="00B161C0"/>
    <w:rsid w:val="00B25031"/>
    <w:rsid w:val="00B40184"/>
    <w:rsid w:val="00B467B7"/>
    <w:rsid w:val="00B572DE"/>
    <w:rsid w:val="00B60D6A"/>
    <w:rsid w:val="00B62E03"/>
    <w:rsid w:val="00B67304"/>
    <w:rsid w:val="00B70B32"/>
    <w:rsid w:val="00B87C16"/>
    <w:rsid w:val="00B92C6D"/>
    <w:rsid w:val="00B9797A"/>
    <w:rsid w:val="00BA266E"/>
    <w:rsid w:val="00BA3788"/>
    <w:rsid w:val="00BB0490"/>
    <w:rsid w:val="00BB09FC"/>
    <w:rsid w:val="00BB5D7C"/>
    <w:rsid w:val="00BC1605"/>
    <w:rsid w:val="00BC2485"/>
    <w:rsid w:val="00BC451C"/>
    <w:rsid w:val="00BC5480"/>
    <w:rsid w:val="00BD0D49"/>
    <w:rsid w:val="00BD1656"/>
    <w:rsid w:val="00BD21A4"/>
    <w:rsid w:val="00C069E0"/>
    <w:rsid w:val="00C06ABC"/>
    <w:rsid w:val="00C1202D"/>
    <w:rsid w:val="00C12E5F"/>
    <w:rsid w:val="00C132CE"/>
    <w:rsid w:val="00C16D75"/>
    <w:rsid w:val="00C1733D"/>
    <w:rsid w:val="00C27310"/>
    <w:rsid w:val="00C31FA5"/>
    <w:rsid w:val="00C3513F"/>
    <w:rsid w:val="00C4007C"/>
    <w:rsid w:val="00C47CDF"/>
    <w:rsid w:val="00C518A8"/>
    <w:rsid w:val="00C648ED"/>
    <w:rsid w:val="00C81926"/>
    <w:rsid w:val="00C9009C"/>
    <w:rsid w:val="00C95AC1"/>
    <w:rsid w:val="00CA33FC"/>
    <w:rsid w:val="00CA642F"/>
    <w:rsid w:val="00CB314C"/>
    <w:rsid w:val="00CC4748"/>
    <w:rsid w:val="00CC5DCE"/>
    <w:rsid w:val="00CC7FA1"/>
    <w:rsid w:val="00CE4021"/>
    <w:rsid w:val="00CF0F23"/>
    <w:rsid w:val="00CF2FFF"/>
    <w:rsid w:val="00CF659C"/>
    <w:rsid w:val="00D13DA1"/>
    <w:rsid w:val="00D162CA"/>
    <w:rsid w:val="00D20575"/>
    <w:rsid w:val="00D231E2"/>
    <w:rsid w:val="00D3347C"/>
    <w:rsid w:val="00D3566F"/>
    <w:rsid w:val="00D36AF4"/>
    <w:rsid w:val="00D37644"/>
    <w:rsid w:val="00D440D9"/>
    <w:rsid w:val="00D45987"/>
    <w:rsid w:val="00D4661B"/>
    <w:rsid w:val="00D46AAD"/>
    <w:rsid w:val="00D47CFB"/>
    <w:rsid w:val="00D51DA2"/>
    <w:rsid w:val="00D71860"/>
    <w:rsid w:val="00D7230C"/>
    <w:rsid w:val="00D735E2"/>
    <w:rsid w:val="00D74018"/>
    <w:rsid w:val="00D74108"/>
    <w:rsid w:val="00D82FA2"/>
    <w:rsid w:val="00D84C99"/>
    <w:rsid w:val="00D9382B"/>
    <w:rsid w:val="00D94A89"/>
    <w:rsid w:val="00DA53FD"/>
    <w:rsid w:val="00DB244E"/>
    <w:rsid w:val="00DB39A7"/>
    <w:rsid w:val="00DD17AF"/>
    <w:rsid w:val="00DD18CD"/>
    <w:rsid w:val="00DD208E"/>
    <w:rsid w:val="00DD4C73"/>
    <w:rsid w:val="00DD6E21"/>
    <w:rsid w:val="00DE346A"/>
    <w:rsid w:val="00DE6EBB"/>
    <w:rsid w:val="00DF1A49"/>
    <w:rsid w:val="00DF5610"/>
    <w:rsid w:val="00E038DB"/>
    <w:rsid w:val="00E04967"/>
    <w:rsid w:val="00E10F0F"/>
    <w:rsid w:val="00E17C37"/>
    <w:rsid w:val="00E23BE3"/>
    <w:rsid w:val="00E273E1"/>
    <w:rsid w:val="00E27730"/>
    <w:rsid w:val="00E41378"/>
    <w:rsid w:val="00E456EE"/>
    <w:rsid w:val="00E52BB1"/>
    <w:rsid w:val="00E55148"/>
    <w:rsid w:val="00E641E7"/>
    <w:rsid w:val="00E653C8"/>
    <w:rsid w:val="00E6547F"/>
    <w:rsid w:val="00E66703"/>
    <w:rsid w:val="00E716E8"/>
    <w:rsid w:val="00E73497"/>
    <w:rsid w:val="00E80139"/>
    <w:rsid w:val="00E93716"/>
    <w:rsid w:val="00E9380A"/>
    <w:rsid w:val="00EB3CCC"/>
    <w:rsid w:val="00EC7FA0"/>
    <w:rsid w:val="00ED4667"/>
    <w:rsid w:val="00EE3699"/>
    <w:rsid w:val="00EE4BA2"/>
    <w:rsid w:val="00EE6100"/>
    <w:rsid w:val="00EF4B35"/>
    <w:rsid w:val="00F202B9"/>
    <w:rsid w:val="00F303D6"/>
    <w:rsid w:val="00F363E8"/>
    <w:rsid w:val="00F368CC"/>
    <w:rsid w:val="00F379CC"/>
    <w:rsid w:val="00F40808"/>
    <w:rsid w:val="00F451F4"/>
    <w:rsid w:val="00F5074E"/>
    <w:rsid w:val="00F57E65"/>
    <w:rsid w:val="00F60C51"/>
    <w:rsid w:val="00F66821"/>
    <w:rsid w:val="00F71E99"/>
    <w:rsid w:val="00F73853"/>
    <w:rsid w:val="00F74D3B"/>
    <w:rsid w:val="00F8351A"/>
    <w:rsid w:val="00F837F6"/>
    <w:rsid w:val="00F84ADE"/>
    <w:rsid w:val="00F86814"/>
    <w:rsid w:val="00F974C8"/>
    <w:rsid w:val="00F97948"/>
    <w:rsid w:val="00F97E91"/>
    <w:rsid w:val="00FA1933"/>
    <w:rsid w:val="00FA232E"/>
    <w:rsid w:val="00FC44DA"/>
    <w:rsid w:val="00FD0BAF"/>
    <w:rsid w:val="00FD1FB5"/>
    <w:rsid w:val="00FE7338"/>
    <w:rsid w:val="00FF2C94"/>
    <w:rsid w:val="00FF4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249DC255"/>
  <w15:chartTrackingRefBased/>
  <w15:docId w15:val="{1E05471D-16CE-4911-9148-46ACB91B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CF2"/>
    <w:pPr>
      <w:ind w:left="720"/>
      <w:contextualSpacing/>
    </w:pPr>
  </w:style>
  <w:style w:type="paragraph" w:styleId="Caption">
    <w:name w:val="caption"/>
    <w:basedOn w:val="Normal"/>
    <w:next w:val="Normal"/>
    <w:uiPriority w:val="35"/>
    <w:unhideWhenUsed/>
    <w:qFormat/>
    <w:rsid w:val="003136AB"/>
    <w:pPr>
      <w:spacing w:after="200" w:line="240" w:lineRule="auto"/>
    </w:pPr>
    <w:rPr>
      <w:i/>
      <w:iCs/>
      <w:color w:val="44546A" w:themeColor="text2"/>
      <w:sz w:val="18"/>
      <w:szCs w:val="18"/>
    </w:rPr>
  </w:style>
  <w:style w:type="table" w:styleId="TableGrid">
    <w:name w:val="Table Grid"/>
    <w:basedOn w:val="TableNormal"/>
    <w:uiPriority w:val="39"/>
    <w:rsid w:val="00436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E82"/>
    <w:rPr>
      <w:color w:val="0563C1" w:themeColor="hyperlink"/>
      <w:u w:val="single"/>
    </w:rPr>
  </w:style>
  <w:style w:type="character" w:customStyle="1" w:styleId="UnresolvedMention1">
    <w:name w:val="Unresolved Mention1"/>
    <w:basedOn w:val="DefaultParagraphFont"/>
    <w:uiPriority w:val="99"/>
    <w:semiHidden/>
    <w:unhideWhenUsed/>
    <w:rsid w:val="007E3E82"/>
    <w:rPr>
      <w:color w:val="605E5C"/>
      <w:shd w:val="clear" w:color="auto" w:fill="E1DFDD"/>
    </w:rPr>
  </w:style>
  <w:style w:type="paragraph" w:styleId="FootnoteText">
    <w:name w:val="footnote text"/>
    <w:basedOn w:val="Normal"/>
    <w:link w:val="FootnoteTextChar"/>
    <w:uiPriority w:val="99"/>
    <w:semiHidden/>
    <w:unhideWhenUsed/>
    <w:rsid w:val="008F01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01A7"/>
    <w:rPr>
      <w:sz w:val="20"/>
      <w:szCs w:val="20"/>
    </w:rPr>
  </w:style>
  <w:style w:type="character" w:styleId="FootnoteReference">
    <w:name w:val="footnote reference"/>
    <w:basedOn w:val="DefaultParagraphFont"/>
    <w:uiPriority w:val="99"/>
    <w:semiHidden/>
    <w:unhideWhenUsed/>
    <w:rsid w:val="008F01A7"/>
    <w:rPr>
      <w:vertAlign w:val="superscript"/>
    </w:rPr>
  </w:style>
  <w:style w:type="character" w:styleId="PlaceholderText">
    <w:name w:val="Placeholder Text"/>
    <w:basedOn w:val="DefaultParagraphFont"/>
    <w:uiPriority w:val="99"/>
    <w:semiHidden/>
    <w:rsid w:val="00BC1605"/>
    <w:rPr>
      <w:color w:val="808080"/>
    </w:rPr>
  </w:style>
  <w:style w:type="character" w:styleId="CommentReference">
    <w:name w:val="annotation reference"/>
    <w:basedOn w:val="DefaultParagraphFont"/>
    <w:uiPriority w:val="99"/>
    <w:semiHidden/>
    <w:unhideWhenUsed/>
    <w:rsid w:val="00D37644"/>
    <w:rPr>
      <w:sz w:val="16"/>
      <w:szCs w:val="16"/>
    </w:rPr>
  </w:style>
  <w:style w:type="paragraph" w:styleId="CommentText">
    <w:name w:val="annotation text"/>
    <w:basedOn w:val="Normal"/>
    <w:link w:val="CommentTextChar"/>
    <w:uiPriority w:val="99"/>
    <w:unhideWhenUsed/>
    <w:rsid w:val="00D37644"/>
    <w:pPr>
      <w:spacing w:line="240" w:lineRule="auto"/>
    </w:pPr>
    <w:rPr>
      <w:sz w:val="20"/>
      <w:szCs w:val="20"/>
    </w:rPr>
  </w:style>
  <w:style w:type="character" w:customStyle="1" w:styleId="CommentTextChar">
    <w:name w:val="Comment Text Char"/>
    <w:basedOn w:val="DefaultParagraphFont"/>
    <w:link w:val="CommentText"/>
    <w:uiPriority w:val="99"/>
    <w:rsid w:val="00D37644"/>
    <w:rPr>
      <w:sz w:val="20"/>
      <w:szCs w:val="20"/>
    </w:rPr>
  </w:style>
  <w:style w:type="paragraph" w:styleId="CommentSubject">
    <w:name w:val="annotation subject"/>
    <w:basedOn w:val="CommentText"/>
    <w:next w:val="CommentText"/>
    <w:link w:val="CommentSubjectChar"/>
    <w:uiPriority w:val="99"/>
    <w:semiHidden/>
    <w:unhideWhenUsed/>
    <w:rsid w:val="00D37644"/>
    <w:rPr>
      <w:b/>
      <w:bCs/>
    </w:rPr>
  </w:style>
  <w:style w:type="character" w:customStyle="1" w:styleId="CommentSubjectChar">
    <w:name w:val="Comment Subject Char"/>
    <w:basedOn w:val="CommentTextChar"/>
    <w:link w:val="CommentSubject"/>
    <w:uiPriority w:val="99"/>
    <w:semiHidden/>
    <w:rsid w:val="00D37644"/>
    <w:rPr>
      <w:b/>
      <w:bCs/>
      <w:sz w:val="20"/>
      <w:szCs w:val="20"/>
    </w:rPr>
  </w:style>
  <w:style w:type="character" w:customStyle="1" w:styleId="text">
    <w:name w:val="text"/>
    <w:basedOn w:val="DefaultParagraphFont"/>
    <w:rsid w:val="00D37644"/>
  </w:style>
  <w:style w:type="character" w:customStyle="1" w:styleId="author-ref">
    <w:name w:val="author-ref"/>
    <w:basedOn w:val="DefaultParagraphFont"/>
    <w:rsid w:val="005716E6"/>
  </w:style>
  <w:style w:type="paragraph" w:styleId="Revision">
    <w:name w:val="Revision"/>
    <w:hidden/>
    <w:uiPriority w:val="99"/>
    <w:semiHidden/>
    <w:rsid w:val="0074172D"/>
    <w:pPr>
      <w:spacing w:after="0" w:line="240" w:lineRule="auto"/>
    </w:pPr>
  </w:style>
  <w:style w:type="paragraph" w:styleId="Header">
    <w:name w:val="header"/>
    <w:basedOn w:val="Normal"/>
    <w:link w:val="HeaderChar"/>
    <w:uiPriority w:val="99"/>
    <w:unhideWhenUsed/>
    <w:rsid w:val="00C81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1926"/>
  </w:style>
  <w:style w:type="paragraph" w:styleId="Footer">
    <w:name w:val="footer"/>
    <w:basedOn w:val="Normal"/>
    <w:link w:val="FooterChar"/>
    <w:uiPriority w:val="99"/>
    <w:unhideWhenUsed/>
    <w:rsid w:val="00C81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40095">
      <w:bodyDiv w:val="1"/>
      <w:marLeft w:val="0"/>
      <w:marRight w:val="0"/>
      <w:marTop w:val="0"/>
      <w:marBottom w:val="0"/>
      <w:divBdr>
        <w:top w:val="none" w:sz="0" w:space="0" w:color="auto"/>
        <w:left w:val="none" w:sz="0" w:space="0" w:color="auto"/>
        <w:bottom w:val="none" w:sz="0" w:space="0" w:color="auto"/>
        <w:right w:val="none" w:sz="0" w:space="0" w:color="auto"/>
      </w:divBdr>
    </w:div>
    <w:div w:id="626549931">
      <w:bodyDiv w:val="1"/>
      <w:marLeft w:val="0"/>
      <w:marRight w:val="0"/>
      <w:marTop w:val="0"/>
      <w:marBottom w:val="0"/>
      <w:divBdr>
        <w:top w:val="none" w:sz="0" w:space="0" w:color="auto"/>
        <w:left w:val="none" w:sz="0" w:space="0" w:color="auto"/>
        <w:bottom w:val="none" w:sz="0" w:space="0" w:color="auto"/>
        <w:right w:val="none" w:sz="0" w:space="0" w:color="auto"/>
      </w:divBdr>
    </w:div>
    <w:div w:id="962466311">
      <w:bodyDiv w:val="1"/>
      <w:marLeft w:val="0"/>
      <w:marRight w:val="0"/>
      <w:marTop w:val="0"/>
      <w:marBottom w:val="0"/>
      <w:divBdr>
        <w:top w:val="none" w:sz="0" w:space="0" w:color="auto"/>
        <w:left w:val="none" w:sz="0" w:space="0" w:color="auto"/>
        <w:bottom w:val="none" w:sz="0" w:space="0" w:color="auto"/>
        <w:right w:val="none" w:sz="0" w:space="0" w:color="auto"/>
      </w:divBdr>
    </w:div>
    <w:div w:id="1532844780">
      <w:bodyDiv w:val="1"/>
      <w:marLeft w:val="0"/>
      <w:marRight w:val="0"/>
      <w:marTop w:val="0"/>
      <w:marBottom w:val="0"/>
      <w:divBdr>
        <w:top w:val="none" w:sz="0" w:space="0" w:color="auto"/>
        <w:left w:val="none" w:sz="0" w:space="0" w:color="auto"/>
        <w:bottom w:val="none" w:sz="0" w:space="0" w:color="auto"/>
        <w:right w:val="none" w:sz="0" w:space="0" w:color="auto"/>
      </w:divBdr>
    </w:div>
    <w:div w:id="184701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abs/pii/S0275531921002130" TargetMode="Externa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ntTable" Target="fontTable.xml"/><Relationship Id="rId21" Type="http://schemas.openxmlformats.org/officeDocument/2006/relationships/image" Target="media/image3.emf"/><Relationship Id="rId34" Type="http://schemas.openxmlformats.org/officeDocument/2006/relationships/oleObject" Target="embeddings/oleObject9.bin"/><Relationship Id="rId7" Type="http://schemas.openxmlformats.org/officeDocument/2006/relationships/endnotes" Target="endnotes.xml"/><Relationship Id="rId12" Type="http://schemas.openxmlformats.org/officeDocument/2006/relationships/hyperlink" Target="https://doi.org/10.1016/j.frl.2018.12.025"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oleObject" Target="embeddings/oleObject2.bin"/><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rn.com/abstract=3967960" TargetMode="Externa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1.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4.emf"/><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https://doi.org/10.1016/j.intfin.2022.101578"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www.sciencedirect.com/science/article/abs/pii/S0275531921002130" TargetMode="External"/><Relationship Id="rId14" Type="http://schemas.openxmlformats.org/officeDocument/2006/relationships/hyperlink" Target="https://doi.org/10.1016/j.ribaf.2021.101592" TargetMode="External"/><Relationship Id="rId22" Type="http://schemas.openxmlformats.org/officeDocument/2006/relationships/oleObject" Target="embeddings/oleObject3.bin"/><Relationship Id="rId27" Type="http://schemas.openxmlformats.org/officeDocument/2006/relationships/image" Target="media/image6.emf"/><Relationship Id="rId30" Type="http://schemas.openxmlformats.org/officeDocument/2006/relationships/oleObject" Target="embeddings/oleObject7.bin"/><Relationship Id="rId35" Type="http://schemas.openxmlformats.org/officeDocument/2006/relationships/image" Target="media/image10.emf"/><Relationship Id="rId8" Type="http://schemas.openxmlformats.org/officeDocument/2006/relationships/hyperlink" Target="https://doi.org/10.1016/j.qref.2019.07.003"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8DC9-A8F2-456A-852E-74604F64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5175</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Imran Yousaf</dc:creator>
  <cp:keywords/>
  <dc:description/>
  <cp:lastModifiedBy>Larisa Yarovaya</cp:lastModifiedBy>
  <cp:revision>4</cp:revision>
  <cp:lastPrinted>2021-11-29T09:15:00Z</cp:lastPrinted>
  <dcterms:created xsi:type="dcterms:W3CDTF">2022-06-17T14:45:00Z</dcterms:created>
  <dcterms:modified xsi:type="dcterms:W3CDTF">2022-08-17T11:35:00Z</dcterms:modified>
</cp:coreProperties>
</file>