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885C" w14:textId="760A63E8" w:rsidR="00B33939" w:rsidRDefault="00D510C7" w:rsidP="0033475C">
      <w:pPr>
        <w:spacing w:after="0" w:line="360" w:lineRule="auto"/>
        <w:jc w:val="center"/>
        <w:rPr>
          <w:rFonts w:ascii="Times New Roman" w:hAnsi="Times New Roman" w:cs="Times New Roman"/>
          <w:b/>
          <w:bCs/>
          <w:sz w:val="32"/>
          <w:szCs w:val="32"/>
        </w:rPr>
      </w:pPr>
      <w:r w:rsidRPr="00D510C7">
        <w:rPr>
          <w:rFonts w:ascii="Times New Roman" w:hAnsi="Times New Roman" w:cs="Times New Roman"/>
          <w:b/>
          <w:bCs/>
          <w:sz w:val="32"/>
          <w:szCs w:val="32"/>
        </w:rPr>
        <w:t>The reaction of G20+ stock markets to the Russia-Ukraine conflict "black-swan" event: evidence from event study approach</w:t>
      </w:r>
    </w:p>
    <w:p w14:paraId="07A7B964" w14:textId="77777777" w:rsidR="00D510C7" w:rsidRDefault="00D510C7" w:rsidP="0033475C">
      <w:pPr>
        <w:spacing w:after="0" w:line="360" w:lineRule="auto"/>
        <w:jc w:val="center"/>
        <w:rPr>
          <w:rFonts w:ascii="Times New Roman" w:hAnsi="Times New Roman" w:cs="Times New Roman"/>
          <w:b/>
          <w:bCs/>
          <w:sz w:val="32"/>
          <w:szCs w:val="32"/>
        </w:rPr>
      </w:pPr>
    </w:p>
    <w:p w14:paraId="55F31B9D" w14:textId="77777777" w:rsidR="00830D08" w:rsidRDefault="00830D08" w:rsidP="00987A90">
      <w:pPr>
        <w:spacing w:line="360" w:lineRule="auto"/>
        <w:jc w:val="center"/>
        <w:rPr>
          <w:rFonts w:ascii="Times New Roman" w:hAnsi="Times New Roman" w:cs="Times New Roman"/>
          <w:sz w:val="24"/>
          <w:szCs w:val="24"/>
        </w:rPr>
      </w:pPr>
    </w:p>
    <w:p w14:paraId="7C7C9320" w14:textId="77777777" w:rsidR="00830D08" w:rsidRDefault="00830D08" w:rsidP="00987A90">
      <w:pPr>
        <w:spacing w:line="360" w:lineRule="auto"/>
        <w:jc w:val="center"/>
        <w:rPr>
          <w:rFonts w:ascii="Times New Roman" w:hAnsi="Times New Roman" w:cs="Times New Roman"/>
          <w:sz w:val="24"/>
          <w:szCs w:val="24"/>
        </w:rPr>
      </w:pPr>
    </w:p>
    <w:p w14:paraId="47B9EDC7" w14:textId="6A77441A" w:rsidR="00FC28E0" w:rsidRPr="00987A90" w:rsidRDefault="00FC28E0" w:rsidP="00987A90">
      <w:pPr>
        <w:spacing w:line="360" w:lineRule="auto"/>
        <w:jc w:val="center"/>
        <w:rPr>
          <w:rFonts w:ascii="Times New Roman" w:hAnsi="Times New Roman" w:cs="Times New Roman"/>
          <w:b/>
          <w:bCs/>
          <w:sz w:val="28"/>
          <w:szCs w:val="28"/>
        </w:rPr>
      </w:pPr>
      <w:r w:rsidRPr="00987A90">
        <w:rPr>
          <w:rFonts w:ascii="Times New Roman" w:hAnsi="Times New Roman" w:cs="Times New Roman"/>
          <w:b/>
          <w:bCs/>
          <w:sz w:val="28"/>
          <w:szCs w:val="28"/>
        </w:rPr>
        <w:t>Abstract</w:t>
      </w:r>
    </w:p>
    <w:p w14:paraId="1518A5A1" w14:textId="212F8367" w:rsidR="00C54B5B" w:rsidRDefault="00C54B5B" w:rsidP="00987A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C54B5B">
        <w:rPr>
          <w:rFonts w:ascii="Times New Roman" w:hAnsi="Times New Roman" w:cs="Times New Roman"/>
          <w:sz w:val="24"/>
          <w:szCs w:val="24"/>
        </w:rPr>
        <w:t>n this paper we examine the impact of the breakout of the conflict between Russia and Ukraine on the G20 and other selected stock markets using the event study approach. The analysis of the abnormal returns (AR) before and after the launch of the ‘special military operation’ by Russian military forces on the 24th of February 2022 revealed a strong negative impact of this military action on a majority of the stock markets, especially on the Russian market. The aggregate stock market analysis indicates a significant and negative impact of the Russia-Ukraine conflict on the event day and post event days. The country-wise analysis demonstrated that the stock markets of Hungary, Russia, Poland, and Slovakia were first to react in anticipation of the military actions in Ukraine, showing negative returns in pre- event days already, whereas the stock markets of Australia, France, Germany, India, Italy, Japan, Romania, South Africa, Spain, and Turkey were adversely affected in the post-invasion days. Finally, the regional analysis indicates that the European and Asian regions are significantly and adversely affected by this event.</w:t>
      </w:r>
    </w:p>
    <w:p w14:paraId="4C84E419" w14:textId="77777777" w:rsidR="00C54B5B" w:rsidRDefault="00C54B5B" w:rsidP="00987A90">
      <w:pPr>
        <w:spacing w:after="0" w:line="360" w:lineRule="auto"/>
        <w:jc w:val="both"/>
        <w:rPr>
          <w:rFonts w:ascii="Times New Roman" w:hAnsi="Times New Roman" w:cs="Times New Roman"/>
          <w:sz w:val="24"/>
          <w:szCs w:val="24"/>
        </w:rPr>
      </w:pPr>
    </w:p>
    <w:p w14:paraId="1D6DFC75" w14:textId="6D96C809" w:rsidR="00AA39DE" w:rsidRDefault="00C27E3D" w:rsidP="00987A90">
      <w:pPr>
        <w:spacing w:after="0" w:line="360" w:lineRule="auto"/>
        <w:jc w:val="both"/>
        <w:rPr>
          <w:rFonts w:ascii="Times New Roman" w:hAnsi="Times New Roman" w:cs="Times New Roman"/>
          <w:sz w:val="24"/>
          <w:szCs w:val="24"/>
        </w:rPr>
      </w:pPr>
      <w:r w:rsidRPr="00987A90">
        <w:rPr>
          <w:rFonts w:ascii="Times New Roman" w:hAnsi="Times New Roman" w:cs="Times New Roman"/>
          <w:b/>
          <w:bCs/>
          <w:sz w:val="24"/>
          <w:szCs w:val="24"/>
        </w:rPr>
        <w:t>JEL Classification:</w:t>
      </w:r>
      <w:r w:rsidRPr="00987A90">
        <w:rPr>
          <w:rFonts w:ascii="Times New Roman" w:hAnsi="Times New Roman" w:cs="Times New Roman"/>
          <w:sz w:val="24"/>
          <w:szCs w:val="24"/>
        </w:rPr>
        <w:t xml:space="preserve"> </w:t>
      </w:r>
      <w:r w:rsidR="009E4D01" w:rsidRPr="00987A90">
        <w:rPr>
          <w:rFonts w:ascii="Times New Roman" w:hAnsi="Times New Roman" w:cs="Times New Roman"/>
          <w:sz w:val="24"/>
          <w:szCs w:val="24"/>
        </w:rPr>
        <w:t>G14, G15, E50, F51</w:t>
      </w:r>
    </w:p>
    <w:p w14:paraId="61FAD132" w14:textId="7B811661" w:rsidR="00433763" w:rsidRDefault="00433763" w:rsidP="00987A90">
      <w:pPr>
        <w:spacing w:after="0" w:line="360" w:lineRule="auto"/>
        <w:jc w:val="both"/>
        <w:rPr>
          <w:rFonts w:ascii="Times New Roman" w:hAnsi="Times New Roman" w:cs="Times New Roman"/>
          <w:sz w:val="24"/>
          <w:szCs w:val="24"/>
        </w:rPr>
      </w:pPr>
      <w:r w:rsidRPr="00987A90">
        <w:rPr>
          <w:rFonts w:ascii="Times New Roman" w:hAnsi="Times New Roman" w:cs="Times New Roman"/>
          <w:b/>
          <w:bCs/>
          <w:sz w:val="24"/>
          <w:szCs w:val="24"/>
        </w:rPr>
        <w:t>Keywords:</w:t>
      </w:r>
      <w:r w:rsidRPr="00987A90">
        <w:rPr>
          <w:rFonts w:ascii="Times New Roman" w:hAnsi="Times New Roman" w:cs="Times New Roman"/>
          <w:sz w:val="24"/>
          <w:szCs w:val="24"/>
        </w:rPr>
        <w:t xml:space="preserve"> </w:t>
      </w:r>
      <w:r w:rsidR="006E1A8F">
        <w:rPr>
          <w:rFonts w:ascii="Times New Roman" w:hAnsi="Times New Roman" w:cs="Times New Roman"/>
          <w:sz w:val="24"/>
          <w:szCs w:val="24"/>
        </w:rPr>
        <w:t xml:space="preserve">Russia-Ukraine </w:t>
      </w:r>
      <w:r w:rsidR="00C54B5B">
        <w:rPr>
          <w:rFonts w:ascii="Times New Roman" w:hAnsi="Times New Roman" w:cs="Times New Roman"/>
          <w:sz w:val="24"/>
          <w:szCs w:val="24"/>
        </w:rPr>
        <w:t>conflict;</w:t>
      </w:r>
      <w:r w:rsidRPr="00987A90">
        <w:rPr>
          <w:rFonts w:ascii="Times New Roman" w:hAnsi="Times New Roman" w:cs="Times New Roman"/>
          <w:sz w:val="24"/>
          <w:szCs w:val="24"/>
        </w:rPr>
        <w:t xml:space="preserve"> </w:t>
      </w:r>
      <w:r w:rsidR="006E1A8F">
        <w:rPr>
          <w:rFonts w:ascii="Times New Roman" w:hAnsi="Times New Roman" w:cs="Times New Roman"/>
          <w:sz w:val="24"/>
          <w:szCs w:val="24"/>
        </w:rPr>
        <w:t>m</w:t>
      </w:r>
      <w:r w:rsidR="009F61CD" w:rsidRPr="00987A90">
        <w:rPr>
          <w:rFonts w:ascii="Times New Roman" w:hAnsi="Times New Roman" w:cs="Times New Roman"/>
          <w:sz w:val="24"/>
          <w:szCs w:val="24"/>
        </w:rPr>
        <w:t xml:space="preserve">arket </w:t>
      </w:r>
      <w:r w:rsidR="00C54B5B">
        <w:rPr>
          <w:rFonts w:ascii="Times New Roman" w:hAnsi="Times New Roman" w:cs="Times New Roman"/>
          <w:sz w:val="24"/>
          <w:szCs w:val="24"/>
        </w:rPr>
        <w:t>reaction; black swan event;</w:t>
      </w:r>
      <w:r w:rsidR="006E1A8F">
        <w:rPr>
          <w:rFonts w:ascii="Times New Roman" w:hAnsi="Times New Roman" w:cs="Times New Roman"/>
          <w:sz w:val="24"/>
          <w:szCs w:val="24"/>
        </w:rPr>
        <w:t xml:space="preserve"> s</w:t>
      </w:r>
      <w:r w:rsidR="00F6707C">
        <w:rPr>
          <w:rFonts w:ascii="Times New Roman" w:hAnsi="Times New Roman" w:cs="Times New Roman"/>
          <w:sz w:val="24"/>
          <w:szCs w:val="24"/>
        </w:rPr>
        <w:t>tock markets</w:t>
      </w:r>
      <w:r w:rsidR="00C54B5B">
        <w:rPr>
          <w:rFonts w:ascii="Times New Roman" w:hAnsi="Times New Roman" w:cs="Times New Roman"/>
          <w:sz w:val="24"/>
          <w:szCs w:val="24"/>
        </w:rPr>
        <w:t>;</w:t>
      </w:r>
      <w:r w:rsidR="006E1A8F">
        <w:rPr>
          <w:rFonts w:ascii="Times New Roman" w:hAnsi="Times New Roman" w:cs="Times New Roman"/>
          <w:sz w:val="24"/>
          <w:szCs w:val="24"/>
        </w:rPr>
        <w:t xml:space="preserve"> event study.</w:t>
      </w:r>
    </w:p>
    <w:p w14:paraId="7804C1CB" w14:textId="77777777" w:rsidR="00830D08" w:rsidRDefault="00830D08" w:rsidP="00AA39DE">
      <w:pPr>
        <w:spacing w:line="360" w:lineRule="auto"/>
        <w:jc w:val="both"/>
        <w:rPr>
          <w:rFonts w:ascii="Times New Roman" w:hAnsi="Times New Roman" w:cs="Times New Roman"/>
          <w:sz w:val="24"/>
          <w:szCs w:val="24"/>
        </w:rPr>
      </w:pPr>
    </w:p>
    <w:p w14:paraId="293CC229" w14:textId="77777777" w:rsidR="00830D08" w:rsidRDefault="00830D08" w:rsidP="00AA39DE">
      <w:pPr>
        <w:spacing w:line="360" w:lineRule="auto"/>
        <w:jc w:val="both"/>
        <w:rPr>
          <w:rFonts w:ascii="Times New Roman" w:hAnsi="Times New Roman" w:cs="Times New Roman"/>
          <w:sz w:val="24"/>
          <w:szCs w:val="24"/>
        </w:rPr>
      </w:pPr>
    </w:p>
    <w:p w14:paraId="3B33472B" w14:textId="77777777" w:rsidR="00830D08" w:rsidRDefault="00830D08" w:rsidP="00AA39DE">
      <w:pPr>
        <w:spacing w:line="360" w:lineRule="auto"/>
        <w:jc w:val="both"/>
        <w:rPr>
          <w:rFonts w:ascii="Times New Roman" w:hAnsi="Times New Roman" w:cs="Times New Roman"/>
          <w:sz w:val="24"/>
          <w:szCs w:val="24"/>
        </w:rPr>
      </w:pPr>
    </w:p>
    <w:p w14:paraId="1F85CC4E" w14:textId="77777777" w:rsidR="00830D08" w:rsidRDefault="00830D08" w:rsidP="00AA39DE">
      <w:pPr>
        <w:spacing w:line="360" w:lineRule="auto"/>
        <w:jc w:val="both"/>
        <w:rPr>
          <w:rFonts w:ascii="Times New Roman" w:hAnsi="Times New Roman" w:cs="Times New Roman"/>
          <w:sz w:val="24"/>
          <w:szCs w:val="24"/>
        </w:rPr>
      </w:pPr>
    </w:p>
    <w:p w14:paraId="523A087E" w14:textId="77777777" w:rsidR="00830D08" w:rsidRDefault="00830D08" w:rsidP="00AA39DE">
      <w:pPr>
        <w:spacing w:line="360" w:lineRule="auto"/>
        <w:jc w:val="both"/>
        <w:rPr>
          <w:rFonts w:ascii="Times New Roman" w:hAnsi="Times New Roman" w:cs="Times New Roman"/>
          <w:sz w:val="24"/>
          <w:szCs w:val="24"/>
        </w:rPr>
      </w:pPr>
    </w:p>
    <w:p w14:paraId="0EDF21EE" w14:textId="77777777" w:rsidR="00830D08" w:rsidRDefault="00830D08" w:rsidP="00AA39DE">
      <w:pPr>
        <w:spacing w:line="360" w:lineRule="auto"/>
        <w:jc w:val="both"/>
        <w:rPr>
          <w:rFonts w:ascii="Times New Roman" w:hAnsi="Times New Roman" w:cs="Times New Roman"/>
          <w:sz w:val="24"/>
          <w:szCs w:val="24"/>
        </w:rPr>
      </w:pPr>
    </w:p>
    <w:p w14:paraId="30E4FD72" w14:textId="77777777" w:rsidR="00830D08" w:rsidRDefault="00830D08" w:rsidP="00AA39DE">
      <w:pPr>
        <w:spacing w:line="360" w:lineRule="auto"/>
        <w:jc w:val="both"/>
        <w:rPr>
          <w:rFonts w:ascii="Times New Roman" w:hAnsi="Times New Roman" w:cs="Times New Roman"/>
          <w:sz w:val="24"/>
          <w:szCs w:val="24"/>
        </w:rPr>
      </w:pPr>
    </w:p>
    <w:p w14:paraId="3C0748F1" w14:textId="21255971" w:rsidR="00C97074" w:rsidRPr="00AA39DE" w:rsidRDefault="00AA39DE" w:rsidP="00AA39DE">
      <w:pPr>
        <w:spacing w:line="360" w:lineRule="auto"/>
        <w:jc w:val="both"/>
        <w:rPr>
          <w:rFonts w:ascii="Times New Roman" w:hAnsi="Times New Roman" w:cs="Times New Roman"/>
          <w:b/>
          <w:bCs/>
          <w:sz w:val="28"/>
          <w:szCs w:val="28"/>
        </w:rPr>
      </w:pPr>
      <w:r>
        <w:rPr>
          <w:rFonts w:ascii="Times New Roman" w:hAnsi="Times New Roman" w:cs="Times New Roman"/>
          <w:sz w:val="24"/>
          <w:szCs w:val="24"/>
        </w:rPr>
        <w:lastRenderedPageBreak/>
        <w:t xml:space="preserve">1. </w:t>
      </w:r>
      <w:r w:rsidR="00C97074" w:rsidRPr="00AA39DE">
        <w:rPr>
          <w:rFonts w:ascii="Times New Roman" w:hAnsi="Times New Roman" w:cs="Times New Roman"/>
          <w:b/>
          <w:bCs/>
          <w:sz w:val="28"/>
          <w:szCs w:val="28"/>
        </w:rPr>
        <w:t>Introduction</w:t>
      </w:r>
    </w:p>
    <w:p w14:paraId="647F5870" w14:textId="4A10F1EB" w:rsidR="00D41E8B" w:rsidRDefault="00AA39DE" w:rsidP="00C97074">
      <w:pPr>
        <w:spacing w:line="360" w:lineRule="auto"/>
        <w:jc w:val="both"/>
        <w:rPr>
          <w:rFonts w:ascii="Times New Roman" w:hAnsi="Times New Roman" w:cs="Times New Roman"/>
          <w:color w:val="0070C0"/>
          <w:sz w:val="24"/>
          <w:szCs w:val="24"/>
        </w:rPr>
      </w:pPr>
      <w:r>
        <w:rPr>
          <w:rFonts w:ascii="Times New Roman" w:hAnsi="Times New Roman" w:cs="Times New Roman"/>
          <w:sz w:val="24"/>
          <w:szCs w:val="24"/>
        </w:rPr>
        <w:t>On the 24</w:t>
      </w:r>
      <w:r w:rsidRPr="00AA39DE">
        <w:rPr>
          <w:rFonts w:ascii="Times New Roman" w:hAnsi="Times New Roman" w:cs="Times New Roman"/>
          <w:sz w:val="24"/>
          <w:szCs w:val="24"/>
          <w:vertAlign w:val="superscript"/>
        </w:rPr>
        <w:t>th</w:t>
      </w:r>
      <w:r>
        <w:rPr>
          <w:rFonts w:ascii="Times New Roman" w:hAnsi="Times New Roman" w:cs="Times New Roman"/>
          <w:sz w:val="24"/>
          <w:szCs w:val="24"/>
        </w:rPr>
        <w:t xml:space="preserve"> of February </w:t>
      </w:r>
      <w:r w:rsidR="00DF459B">
        <w:rPr>
          <w:rFonts w:ascii="Times New Roman" w:hAnsi="Times New Roman" w:cs="Times New Roman"/>
          <w:sz w:val="24"/>
          <w:szCs w:val="24"/>
        </w:rPr>
        <w:t xml:space="preserve">2022 </w:t>
      </w:r>
      <w:r>
        <w:rPr>
          <w:rFonts w:ascii="Times New Roman" w:hAnsi="Times New Roman" w:cs="Times New Roman"/>
          <w:sz w:val="24"/>
          <w:szCs w:val="24"/>
        </w:rPr>
        <w:t xml:space="preserve">Russia </w:t>
      </w:r>
      <w:r w:rsidR="00BE6A52">
        <w:rPr>
          <w:rFonts w:ascii="Times New Roman" w:hAnsi="Times New Roman" w:cs="Times New Roman"/>
          <w:sz w:val="24"/>
          <w:szCs w:val="24"/>
        </w:rPr>
        <w:t>has launched</w:t>
      </w:r>
      <w:r>
        <w:rPr>
          <w:rFonts w:ascii="Times New Roman" w:hAnsi="Times New Roman" w:cs="Times New Roman"/>
          <w:sz w:val="24"/>
          <w:szCs w:val="24"/>
        </w:rPr>
        <w:t xml:space="preserve"> the ‘</w:t>
      </w:r>
      <w:r w:rsidR="00F7797B">
        <w:rPr>
          <w:rFonts w:ascii="Times New Roman" w:hAnsi="Times New Roman" w:cs="Times New Roman"/>
          <w:sz w:val="24"/>
          <w:szCs w:val="24"/>
        </w:rPr>
        <w:t xml:space="preserve">special military operation’ </w:t>
      </w:r>
      <w:r w:rsidR="00BE6A52">
        <w:rPr>
          <w:rFonts w:ascii="Times New Roman" w:hAnsi="Times New Roman" w:cs="Times New Roman"/>
          <w:sz w:val="24"/>
          <w:szCs w:val="24"/>
        </w:rPr>
        <w:t>which</w:t>
      </w:r>
      <w:r>
        <w:rPr>
          <w:rFonts w:ascii="Times New Roman" w:hAnsi="Times New Roman" w:cs="Times New Roman"/>
          <w:sz w:val="24"/>
          <w:szCs w:val="24"/>
        </w:rPr>
        <w:t xml:space="preserve"> manifested the </w:t>
      </w:r>
      <w:r w:rsidR="00DF459B">
        <w:rPr>
          <w:rFonts w:ascii="Times New Roman" w:hAnsi="Times New Roman" w:cs="Times New Roman"/>
          <w:sz w:val="24"/>
          <w:szCs w:val="24"/>
        </w:rPr>
        <w:t>beginning of the Russia-Ukraine</w:t>
      </w:r>
      <w:r>
        <w:rPr>
          <w:rFonts w:ascii="Times New Roman" w:hAnsi="Times New Roman" w:cs="Times New Roman"/>
          <w:sz w:val="24"/>
          <w:szCs w:val="24"/>
        </w:rPr>
        <w:t xml:space="preserve"> </w:t>
      </w:r>
      <w:r w:rsidR="00F7797B">
        <w:rPr>
          <w:rFonts w:ascii="Times New Roman" w:hAnsi="Times New Roman" w:cs="Times New Roman"/>
          <w:sz w:val="24"/>
          <w:szCs w:val="24"/>
        </w:rPr>
        <w:t>military conflict</w:t>
      </w:r>
      <w:r>
        <w:rPr>
          <w:rFonts w:ascii="Times New Roman" w:hAnsi="Times New Roman" w:cs="Times New Roman"/>
          <w:sz w:val="24"/>
          <w:szCs w:val="24"/>
        </w:rPr>
        <w:t xml:space="preserve">. </w:t>
      </w:r>
      <w:r w:rsidR="00F7797B">
        <w:rPr>
          <w:rFonts w:ascii="Times New Roman" w:hAnsi="Times New Roman" w:cs="Times New Roman"/>
          <w:sz w:val="24"/>
          <w:szCs w:val="24"/>
        </w:rPr>
        <w:t>Notably, Russian au</w:t>
      </w:r>
      <w:r w:rsidR="00F370A5">
        <w:rPr>
          <w:rFonts w:ascii="Times New Roman" w:hAnsi="Times New Roman" w:cs="Times New Roman"/>
          <w:sz w:val="24"/>
          <w:szCs w:val="24"/>
        </w:rPr>
        <w:t>thorities have never formally declared war on Ukraine</w:t>
      </w:r>
      <w:r w:rsidR="00C54B5B">
        <w:rPr>
          <w:rFonts w:ascii="Times New Roman" w:hAnsi="Times New Roman" w:cs="Times New Roman"/>
          <w:sz w:val="24"/>
          <w:szCs w:val="24"/>
        </w:rPr>
        <w:t xml:space="preserve">, however, </w:t>
      </w:r>
      <w:r w:rsidR="00F7797B">
        <w:rPr>
          <w:rFonts w:ascii="Times New Roman" w:hAnsi="Times New Roman" w:cs="Times New Roman"/>
          <w:sz w:val="24"/>
          <w:szCs w:val="24"/>
        </w:rPr>
        <w:t xml:space="preserve">Russian </w:t>
      </w:r>
      <w:r w:rsidR="00F370A5">
        <w:rPr>
          <w:rFonts w:ascii="Times New Roman" w:hAnsi="Times New Roman" w:cs="Times New Roman"/>
          <w:sz w:val="24"/>
          <w:szCs w:val="24"/>
        </w:rPr>
        <w:t>offensive on Ukrainian territory</w:t>
      </w:r>
      <w:r w:rsidR="00F7797B">
        <w:rPr>
          <w:rFonts w:ascii="Times New Roman" w:hAnsi="Times New Roman" w:cs="Times New Roman"/>
          <w:sz w:val="24"/>
          <w:szCs w:val="24"/>
        </w:rPr>
        <w:t xml:space="preserve"> </w:t>
      </w:r>
      <w:r>
        <w:rPr>
          <w:rFonts w:ascii="Times New Roman" w:hAnsi="Times New Roman" w:cs="Times New Roman"/>
          <w:sz w:val="24"/>
          <w:szCs w:val="24"/>
        </w:rPr>
        <w:t xml:space="preserve">has caused </w:t>
      </w:r>
      <w:r w:rsidR="00DF459B">
        <w:rPr>
          <w:rFonts w:ascii="Times New Roman" w:hAnsi="Times New Roman" w:cs="Times New Roman"/>
          <w:sz w:val="24"/>
          <w:szCs w:val="24"/>
        </w:rPr>
        <w:t>a huge loss of lives</w:t>
      </w:r>
      <w:r>
        <w:rPr>
          <w:rFonts w:ascii="Times New Roman" w:hAnsi="Times New Roman" w:cs="Times New Roman"/>
          <w:sz w:val="24"/>
          <w:szCs w:val="24"/>
        </w:rPr>
        <w:t xml:space="preserve"> and the </w:t>
      </w:r>
      <w:r w:rsidR="00F370A5">
        <w:rPr>
          <w:rFonts w:ascii="Times New Roman" w:hAnsi="Times New Roman" w:cs="Times New Roman"/>
          <w:sz w:val="24"/>
          <w:szCs w:val="24"/>
        </w:rPr>
        <w:t>fastest-growing</w:t>
      </w:r>
      <w:r>
        <w:rPr>
          <w:rFonts w:ascii="Times New Roman" w:hAnsi="Times New Roman" w:cs="Times New Roman"/>
          <w:sz w:val="24"/>
          <w:szCs w:val="24"/>
        </w:rPr>
        <w:t xml:space="preserve"> </w:t>
      </w:r>
      <w:r w:rsidR="00F370A5">
        <w:rPr>
          <w:rFonts w:ascii="Times New Roman" w:hAnsi="Times New Roman" w:cs="Times New Roman"/>
          <w:sz w:val="24"/>
          <w:szCs w:val="24"/>
        </w:rPr>
        <w:t>refugee</w:t>
      </w:r>
      <w:r>
        <w:rPr>
          <w:rFonts w:ascii="Times New Roman" w:hAnsi="Times New Roman" w:cs="Times New Roman"/>
          <w:sz w:val="24"/>
          <w:szCs w:val="24"/>
        </w:rPr>
        <w:t xml:space="preserve"> crisis since the </w:t>
      </w:r>
      <w:r w:rsidR="00DF459B">
        <w:rPr>
          <w:rFonts w:ascii="Times New Roman" w:hAnsi="Times New Roman" w:cs="Times New Roman"/>
          <w:sz w:val="24"/>
          <w:szCs w:val="24"/>
        </w:rPr>
        <w:t>World War II in Europe</w:t>
      </w:r>
      <w:r w:rsidR="00F370A5">
        <w:rPr>
          <w:rStyle w:val="FootnoteReference"/>
          <w:rFonts w:ascii="Times New Roman" w:hAnsi="Times New Roman" w:cs="Times New Roman"/>
          <w:sz w:val="24"/>
          <w:szCs w:val="24"/>
        </w:rPr>
        <w:footnoteReference w:id="1"/>
      </w:r>
      <w:r w:rsidR="00C54B5B">
        <w:rPr>
          <w:rFonts w:ascii="Times New Roman" w:hAnsi="Times New Roman" w:cs="Times New Roman"/>
          <w:sz w:val="24"/>
          <w:szCs w:val="24"/>
        </w:rPr>
        <w:t>. It</w:t>
      </w:r>
      <w:r w:rsidR="00DF459B">
        <w:rPr>
          <w:rFonts w:ascii="Times New Roman" w:hAnsi="Times New Roman" w:cs="Times New Roman"/>
          <w:sz w:val="24"/>
          <w:szCs w:val="24"/>
        </w:rPr>
        <w:t xml:space="preserve"> also</w:t>
      </w:r>
      <w:r w:rsidR="00C54B5B">
        <w:rPr>
          <w:rFonts w:ascii="Times New Roman" w:hAnsi="Times New Roman" w:cs="Times New Roman"/>
          <w:sz w:val="24"/>
          <w:szCs w:val="24"/>
        </w:rPr>
        <w:t xml:space="preserve"> had</w:t>
      </w:r>
      <w:r w:rsidR="00DF459B">
        <w:rPr>
          <w:rFonts w:ascii="Times New Roman" w:hAnsi="Times New Roman" w:cs="Times New Roman"/>
          <w:sz w:val="24"/>
          <w:szCs w:val="24"/>
        </w:rPr>
        <w:t xml:space="preserve"> diverse negative financial effects on markets and global economy. </w:t>
      </w:r>
      <w:r w:rsidR="00D0689B">
        <w:rPr>
          <w:rFonts w:ascii="Times New Roman" w:hAnsi="Times New Roman" w:cs="Times New Roman"/>
          <w:sz w:val="24"/>
          <w:szCs w:val="24"/>
        </w:rPr>
        <w:t xml:space="preserve">In the academic literature, </w:t>
      </w:r>
      <w:r w:rsidR="00DF459B">
        <w:rPr>
          <w:rFonts w:ascii="Times New Roman" w:hAnsi="Times New Roman" w:cs="Times New Roman"/>
          <w:sz w:val="24"/>
          <w:szCs w:val="24"/>
        </w:rPr>
        <w:t>war is one of the most significant</w:t>
      </w:r>
      <w:r w:rsidR="00BE6A52">
        <w:rPr>
          <w:rFonts w:ascii="Times New Roman" w:hAnsi="Times New Roman" w:cs="Times New Roman"/>
          <w:sz w:val="24"/>
          <w:szCs w:val="24"/>
        </w:rPr>
        <w:t xml:space="preserve"> events</w:t>
      </w:r>
      <w:r w:rsidR="00DF459B">
        <w:rPr>
          <w:rFonts w:ascii="Times New Roman" w:hAnsi="Times New Roman" w:cs="Times New Roman"/>
          <w:sz w:val="24"/>
          <w:szCs w:val="24"/>
        </w:rPr>
        <w:t xml:space="preserve"> </w:t>
      </w:r>
      <w:r w:rsidR="006E1A8F">
        <w:rPr>
          <w:rFonts w:ascii="Times New Roman" w:hAnsi="Times New Roman" w:cs="Times New Roman"/>
          <w:sz w:val="24"/>
          <w:szCs w:val="24"/>
        </w:rPr>
        <w:t xml:space="preserve">among other </w:t>
      </w:r>
      <w:r w:rsidR="00DF459B">
        <w:rPr>
          <w:rFonts w:ascii="Times New Roman" w:hAnsi="Times New Roman" w:cs="Times New Roman"/>
          <w:sz w:val="24"/>
          <w:szCs w:val="24"/>
        </w:rPr>
        <w:t>‘black swan’ events</w:t>
      </w:r>
      <w:r w:rsidR="006E1A8F">
        <w:rPr>
          <w:rFonts w:ascii="Times New Roman" w:hAnsi="Times New Roman" w:cs="Times New Roman"/>
          <w:sz w:val="24"/>
          <w:szCs w:val="24"/>
        </w:rPr>
        <w:t xml:space="preserve"> (e.g.,</w:t>
      </w:r>
      <w:r w:rsidR="00DF459B">
        <w:rPr>
          <w:rFonts w:ascii="Times New Roman" w:hAnsi="Times New Roman" w:cs="Times New Roman"/>
          <w:sz w:val="24"/>
          <w:szCs w:val="24"/>
        </w:rPr>
        <w:t xml:space="preserve"> </w:t>
      </w:r>
      <w:r w:rsidR="003319CC" w:rsidRPr="00975E4F">
        <w:rPr>
          <w:rFonts w:ascii="Times New Roman" w:hAnsi="Times New Roman" w:cs="Times New Roman"/>
          <w:sz w:val="24"/>
          <w:szCs w:val="24"/>
        </w:rPr>
        <w:t>financial crises, health cris</w:t>
      </w:r>
      <w:r w:rsidR="00DF459B">
        <w:rPr>
          <w:rFonts w:ascii="Times New Roman" w:hAnsi="Times New Roman" w:cs="Times New Roman"/>
          <w:sz w:val="24"/>
          <w:szCs w:val="24"/>
        </w:rPr>
        <w:t>es</w:t>
      </w:r>
      <w:r w:rsidR="003319CC" w:rsidRPr="00975E4F">
        <w:rPr>
          <w:rFonts w:ascii="Times New Roman" w:hAnsi="Times New Roman" w:cs="Times New Roman"/>
          <w:sz w:val="24"/>
          <w:szCs w:val="24"/>
        </w:rPr>
        <w:t xml:space="preserve">, natural disasters, elections, and terrorism </w:t>
      </w:r>
      <w:r w:rsidR="00A01DB2" w:rsidRPr="00975E4F">
        <w:rPr>
          <w:rFonts w:ascii="Times New Roman" w:hAnsi="Times New Roman" w:cs="Times New Roman"/>
          <w:sz w:val="24"/>
          <w:szCs w:val="24"/>
        </w:rPr>
        <w:t>attacks</w:t>
      </w:r>
      <w:r w:rsidR="006E1A8F">
        <w:rPr>
          <w:rFonts w:ascii="Times New Roman" w:hAnsi="Times New Roman" w:cs="Times New Roman"/>
          <w:sz w:val="24"/>
          <w:szCs w:val="24"/>
        </w:rPr>
        <w:t>)</w:t>
      </w:r>
      <w:r w:rsidR="00A01DB2">
        <w:rPr>
          <w:rFonts w:ascii="Times New Roman" w:hAnsi="Times New Roman" w:cs="Times New Roman"/>
          <w:sz w:val="24"/>
          <w:szCs w:val="24"/>
        </w:rPr>
        <w:t xml:space="preserve"> that</w:t>
      </w:r>
      <w:r w:rsidR="003319CC" w:rsidRPr="00975E4F">
        <w:rPr>
          <w:rFonts w:ascii="Times New Roman" w:hAnsi="Times New Roman" w:cs="Times New Roman"/>
          <w:sz w:val="24"/>
          <w:szCs w:val="24"/>
        </w:rPr>
        <w:t xml:space="preserve"> </w:t>
      </w:r>
      <w:r w:rsidR="00FC09C2" w:rsidRPr="00975E4F">
        <w:rPr>
          <w:rFonts w:ascii="Times New Roman" w:hAnsi="Times New Roman" w:cs="Times New Roman"/>
          <w:sz w:val="24"/>
          <w:szCs w:val="24"/>
        </w:rPr>
        <w:t>influence the equity markets globally.</w:t>
      </w:r>
      <w:r w:rsidR="00DF459B">
        <w:rPr>
          <w:rFonts w:ascii="Times New Roman" w:hAnsi="Times New Roman" w:cs="Times New Roman"/>
          <w:sz w:val="24"/>
          <w:szCs w:val="24"/>
        </w:rPr>
        <w:t xml:space="preserve"> </w:t>
      </w:r>
      <w:r w:rsidR="00C54B5B" w:rsidRPr="00096E70">
        <w:rPr>
          <w:rFonts w:ascii="Times New Roman" w:hAnsi="Times New Roman" w:cs="Times New Roman"/>
          <w:color w:val="0070C0"/>
          <w:sz w:val="24"/>
          <w:szCs w:val="24"/>
        </w:rPr>
        <w:t>Military conflicts</w:t>
      </w:r>
      <w:r w:rsidR="00CF46E1" w:rsidRPr="00096E70">
        <w:rPr>
          <w:rFonts w:ascii="Times New Roman" w:hAnsi="Times New Roman" w:cs="Times New Roman"/>
          <w:color w:val="0070C0"/>
          <w:sz w:val="24"/>
          <w:szCs w:val="24"/>
        </w:rPr>
        <w:t xml:space="preserve"> increase the investor’s uncertainty about the firm’s future profitability, which leads towards the variations in stock prices (</w:t>
      </w:r>
      <w:r w:rsidR="004729F4">
        <w:rPr>
          <w:rFonts w:ascii="Times New Roman" w:hAnsi="Times New Roman" w:cs="Times New Roman"/>
          <w:color w:val="0070C0"/>
          <w:sz w:val="24"/>
          <w:szCs w:val="24"/>
        </w:rPr>
        <w:t xml:space="preserve">Leigh et al., 2003; </w:t>
      </w:r>
      <w:proofErr w:type="spellStart"/>
      <w:r w:rsidR="00FC09C2" w:rsidRPr="00096E70">
        <w:rPr>
          <w:rFonts w:ascii="Times New Roman" w:hAnsi="Times New Roman" w:cs="Times New Roman"/>
          <w:color w:val="0070C0"/>
          <w:sz w:val="24"/>
          <w:szCs w:val="24"/>
        </w:rPr>
        <w:t>Rigobon</w:t>
      </w:r>
      <w:proofErr w:type="spellEnd"/>
      <w:r w:rsidR="00FC09C2" w:rsidRPr="00096E70">
        <w:rPr>
          <w:rFonts w:ascii="Times New Roman" w:hAnsi="Times New Roman" w:cs="Times New Roman"/>
          <w:color w:val="0070C0"/>
          <w:sz w:val="24"/>
          <w:szCs w:val="24"/>
        </w:rPr>
        <w:t xml:space="preserve"> </w:t>
      </w:r>
      <w:r w:rsidR="00A01DB2" w:rsidRPr="00096E70">
        <w:rPr>
          <w:rFonts w:ascii="Times New Roman" w:hAnsi="Times New Roman" w:cs="Times New Roman"/>
          <w:color w:val="0070C0"/>
          <w:sz w:val="24"/>
          <w:szCs w:val="24"/>
        </w:rPr>
        <w:t>&amp;</w:t>
      </w:r>
      <w:r w:rsidR="00FC09C2" w:rsidRPr="00096E70">
        <w:rPr>
          <w:rFonts w:ascii="Times New Roman" w:hAnsi="Times New Roman" w:cs="Times New Roman"/>
          <w:color w:val="0070C0"/>
          <w:sz w:val="24"/>
          <w:szCs w:val="24"/>
        </w:rPr>
        <w:t xml:space="preserve"> Sack, 2005</w:t>
      </w:r>
      <w:r w:rsidR="002E7A3B" w:rsidRPr="00096E70">
        <w:rPr>
          <w:rFonts w:ascii="Times New Roman" w:hAnsi="Times New Roman" w:cs="Times New Roman"/>
          <w:color w:val="0070C0"/>
          <w:sz w:val="24"/>
          <w:szCs w:val="24"/>
        </w:rPr>
        <w:t>; Choudhry,</w:t>
      </w:r>
      <w:r w:rsidR="00A01DB2" w:rsidRPr="00096E70">
        <w:rPr>
          <w:rFonts w:ascii="Times New Roman" w:hAnsi="Times New Roman" w:cs="Times New Roman"/>
          <w:color w:val="0070C0"/>
          <w:sz w:val="24"/>
          <w:szCs w:val="24"/>
        </w:rPr>
        <w:t xml:space="preserve"> 2010</w:t>
      </w:r>
      <w:r w:rsidR="00EC64BA" w:rsidRPr="00096E70">
        <w:rPr>
          <w:rFonts w:ascii="Times New Roman" w:hAnsi="Times New Roman" w:cs="Times New Roman"/>
          <w:color w:val="0070C0"/>
          <w:sz w:val="24"/>
          <w:szCs w:val="24"/>
        </w:rPr>
        <w:t xml:space="preserve">; </w:t>
      </w:r>
      <w:r w:rsidR="00096E70" w:rsidRPr="00096E70">
        <w:rPr>
          <w:rFonts w:ascii="Times New Roman" w:hAnsi="Times New Roman" w:cs="Times New Roman"/>
          <w:color w:val="0070C0"/>
          <w:sz w:val="24"/>
          <w:szCs w:val="24"/>
        </w:rPr>
        <w:t xml:space="preserve">Hudson and </w:t>
      </w:r>
      <w:r w:rsidR="00096E70" w:rsidRPr="00096E70">
        <w:rPr>
          <w:rFonts w:ascii="Times New Roman" w:hAnsi="Times New Roman" w:cs="Times New Roman"/>
          <w:color w:val="0070C0"/>
          <w:sz w:val="24"/>
          <w:szCs w:val="24"/>
        </w:rPr>
        <w:t>Urquhart</w:t>
      </w:r>
      <w:r w:rsidR="00096E70" w:rsidRPr="00096E70">
        <w:rPr>
          <w:rFonts w:ascii="Times New Roman" w:hAnsi="Times New Roman" w:cs="Times New Roman"/>
          <w:color w:val="0070C0"/>
          <w:sz w:val="24"/>
          <w:szCs w:val="24"/>
        </w:rPr>
        <w:t>, 2015</w:t>
      </w:r>
      <w:r w:rsidR="0015256B">
        <w:rPr>
          <w:rFonts w:ascii="Times New Roman" w:hAnsi="Times New Roman" w:cs="Times New Roman"/>
          <w:color w:val="0070C0"/>
          <w:sz w:val="24"/>
          <w:szCs w:val="24"/>
        </w:rPr>
        <w:t xml:space="preserve">; </w:t>
      </w:r>
      <w:proofErr w:type="spellStart"/>
      <w:r w:rsidR="0015256B">
        <w:rPr>
          <w:rFonts w:ascii="Times New Roman" w:hAnsi="Times New Roman" w:cs="Times New Roman"/>
          <w:color w:val="0070C0"/>
          <w:sz w:val="24"/>
          <w:szCs w:val="24"/>
        </w:rPr>
        <w:t>Brune</w:t>
      </w:r>
      <w:proofErr w:type="spellEnd"/>
      <w:r w:rsidR="0015256B">
        <w:rPr>
          <w:rFonts w:ascii="Times New Roman" w:hAnsi="Times New Roman" w:cs="Times New Roman"/>
          <w:color w:val="0070C0"/>
          <w:sz w:val="24"/>
          <w:szCs w:val="24"/>
        </w:rPr>
        <w:t xml:space="preserve"> et al.</w:t>
      </w:r>
      <w:r w:rsidR="0015256B">
        <w:rPr>
          <w:rFonts w:ascii="Times New Roman" w:hAnsi="Times New Roman" w:cs="Times New Roman"/>
          <w:color w:val="0070C0"/>
          <w:sz w:val="24"/>
          <w:szCs w:val="24"/>
        </w:rPr>
        <w:t>,</w:t>
      </w:r>
      <w:r w:rsidR="0015256B">
        <w:rPr>
          <w:rFonts w:ascii="Times New Roman" w:hAnsi="Times New Roman" w:cs="Times New Roman"/>
          <w:color w:val="0070C0"/>
          <w:sz w:val="24"/>
          <w:szCs w:val="24"/>
        </w:rPr>
        <w:t xml:space="preserve"> 2015</w:t>
      </w:r>
      <w:r w:rsidR="002224A2" w:rsidRPr="00096E70">
        <w:rPr>
          <w:rFonts w:ascii="Times New Roman" w:hAnsi="Times New Roman" w:cs="Times New Roman"/>
          <w:color w:val="0070C0"/>
          <w:sz w:val="24"/>
          <w:szCs w:val="24"/>
        </w:rPr>
        <w:t>).</w:t>
      </w:r>
      <w:r w:rsidR="003F029D" w:rsidRPr="00096E70">
        <w:rPr>
          <w:rFonts w:ascii="Times New Roman" w:hAnsi="Times New Roman" w:cs="Times New Roman"/>
          <w:color w:val="0070C0"/>
          <w:sz w:val="24"/>
          <w:szCs w:val="24"/>
        </w:rPr>
        <w:t xml:space="preserve"> </w:t>
      </w:r>
      <w:r w:rsidR="00FC09C2" w:rsidRPr="00975E4F">
        <w:rPr>
          <w:rFonts w:ascii="Times New Roman" w:hAnsi="Times New Roman" w:cs="Times New Roman"/>
          <w:sz w:val="24"/>
          <w:szCs w:val="24"/>
        </w:rPr>
        <w:t xml:space="preserve">Defence spending increased in </w:t>
      </w:r>
      <w:r w:rsidR="00BE6A52">
        <w:rPr>
          <w:rFonts w:ascii="Times New Roman" w:hAnsi="Times New Roman" w:cs="Times New Roman"/>
          <w:sz w:val="24"/>
          <w:szCs w:val="24"/>
        </w:rPr>
        <w:t>a wartime</w:t>
      </w:r>
      <w:r w:rsidR="00FC09C2" w:rsidRPr="00975E4F">
        <w:rPr>
          <w:rFonts w:ascii="Times New Roman" w:hAnsi="Times New Roman" w:cs="Times New Roman"/>
          <w:sz w:val="24"/>
          <w:szCs w:val="24"/>
        </w:rPr>
        <w:t xml:space="preserve">, which adversely affects the other sectors in economy. </w:t>
      </w:r>
      <w:r w:rsidR="003F029D" w:rsidRPr="00975E4F">
        <w:rPr>
          <w:rFonts w:ascii="Times New Roman" w:hAnsi="Times New Roman" w:cs="Times New Roman"/>
          <w:sz w:val="24"/>
          <w:szCs w:val="24"/>
        </w:rPr>
        <w:t xml:space="preserve">Furthermore, imports and exports </w:t>
      </w:r>
      <w:r w:rsidR="00BE6A52">
        <w:rPr>
          <w:rFonts w:ascii="Times New Roman" w:hAnsi="Times New Roman" w:cs="Times New Roman"/>
          <w:sz w:val="24"/>
          <w:szCs w:val="24"/>
        </w:rPr>
        <w:t>relationships between</w:t>
      </w:r>
      <w:r w:rsidR="003F029D" w:rsidRPr="00975E4F">
        <w:rPr>
          <w:rFonts w:ascii="Times New Roman" w:hAnsi="Times New Roman" w:cs="Times New Roman"/>
          <w:sz w:val="24"/>
          <w:szCs w:val="24"/>
        </w:rPr>
        <w:t xml:space="preserve"> </w:t>
      </w:r>
      <w:r w:rsidR="00D0689B">
        <w:rPr>
          <w:rFonts w:ascii="Times New Roman" w:hAnsi="Times New Roman" w:cs="Times New Roman"/>
          <w:sz w:val="24"/>
          <w:szCs w:val="24"/>
        </w:rPr>
        <w:t>war</w:t>
      </w:r>
      <w:r w:rsidR="003F029D" w:rsidRPr="00975E4F">
        <w:rPr>
          <w:rFonts w:ascii="Times New Roman" w:hAnsi="Times New Roman" w:cs="Times New Roman"/>
          <w:sz w:val="24"/>
          <w:szCs w:val="24"/>
        </w:rPr>
        <w:t xml:space="preserve"> and non-war countries </w:t>
      </w:r>
      <w:r w:rsidR="006E1A8F">
        <w:rPr>
          <w:rFonts w:ascii="Times New Roman" w:hAnsi="Times New Roman" w:cs="Times New Roman"/>
          <w:sz w:val="24"/>
          <w:szCs w:val="24"/>
        </w:rPr>
        <w:t>are</w:t>
      </w:r>
      <w:r w:rsidR="003F029D" w:rsidRPr="00975E4F">
        <w:rPr>
          <w:rFonts w:ascii="Times New Roman" w:hAnsi="Times New Roman" w:cs="Times New Roman"/>
          <w:sz w:val="24"/>
          <w:szCs w:val="24"/>
        </w:rPr>
        <w:t xml:space="preserve"> also affected by the </w:t>
      </w:r>
      <w:r w:rsidR="00A01DB2">
        <w:rPr>
          <w:rFonts w:ascii="Times New Roman" w:hAnsi="Times New Roman" w:cs="Times New Roman"/>
          <w:sz w:val="24"/>
          <w:szCs w:val="24"/>
        </w:rPr>
        <w:t>military conflicts</w:t>
      </w:r>
      <w:r w:rsidR="003F029D" w:rsidRPr="00975E4F">
        <w:rPr>
          <w:rFonts w:ascii="Times New Roman" w:hAnsi="Times New Roman" w:cs="Times New Roman"/>
          <w:sz w:val="24"/>
          <w:szCs w:val="24"/>
        </w:rPr>
        <w:t xml:space="preserve"> </w:t>
      </w:r>
      <w:r w:rsidR="002E7820" w:rsidRPr="00975E4F">
        <w:rPr>
          <w:rFonts w:ascii="Times New Roman" w:hAnsi="Times New Roman" w:cs="Times New Roman"/>
          <w:sz w:val="24"/>
          <w:szCs w:val="24"/>
        </w:rPr>
        <w:t xml:space="preserve">(Harrison, 2000), </w:t>
      </w:r>
      <w:r w:rsidR="00BE6A52">
        <w:rPr>
          <w:rFonts w:ascii="Times New Roman" w:hAnsi="Times New Roman" w:cs="Times New Roman"/>
          <w:sz w:val="24"/>
          <w:szCs w:val="24"/>
        </w:rPr>
        <w:t xml:space="preserve">causing negative effects on </w:t>
      </w:r>
      <w:r w:rsidR="003F029D" w:rsidRPr="00975E4F">
        <w:rPr>
          <w:rFonts w:ascii="Times New Roman" w:hAnsi="Times New Roman" w:cs="Times New Roman"/>
          <w:sz w:val="24"/>
          <w:szCs w:val="24"/>
        </w:rPr>
        <w:t xml:space="preserve">firm’s production, </w:t>
      </w:r>
      <w:r w:rsidR="005C08EC" w:rsidRPr="00975E4F">
        <w:rPr>
          <w:rFonts w:ascii="Times New Roman" w:hAnsi="Times New Roman" w:cs="Times New Roman"/>
          <w:sz w:val="24"/>
          <w:szCs w:val="24"/>
        </w:rPr>
        <w:t xml:space="preserve">profitability, expected </w:t>
      </w:r>
      <w:r w:rsidR="00A01DB2" w:rsidRPr="00975E4F">
        <w:rPr>
          <w:rFonts w:ascii="Times New Roman" w:hAnsi="Times New Roman" w:cs="Times New Roman"/>
          <w:sz w:val="24"/>
          <w:szCs w:val="24"/>
        </w:rPr>
        <w:t>cash flows</w:t>
      </w:r>
      <w:r w:rsidR="005C08EC" w:rsidRPr="00975E4F">
        <w:rPr>
          <w:rFonts w:ascii="Times New Roman" w:hAnsi="Times New Roman" w:cs="Times New Roman"/>
          <w:sz w:val="24"/>
          <w:szCs w:val="24"/>
        </w:rPr>
        <w:t>, and share prices</w:t>
      </w:r>
      <w:r w:rsidR="002E7820" w:rsidRPr="00975E4F">
        <w:rPr>
          <w:rFonts w:ascii="Times New Roman" w:hAnsi="Times New Roman" w:cs="Times New Roman"/>
          <w:sz w:val="24"/>
          <w:szCs w:val="24"/>
        </w:rPr>
        <w:t>. The impact of wars</w:t>
      </w:r>
      <w:r w:rsidR="00BE6A52">
        <w:rPr>
          <w:rFonts w:ascii="Times New Roman" w:hAnsi="Times New Roman" w:cs="Times New Roman"/>
          <w:sz w:val="24"/>
          <w:szCs w:val="24"/>
        </w:rPr>
        <w:t xml:space="preserve"> </w:t>
      </w:r>
      <w:r w:rsidR="002E7820" w:rsidRPr="00975E4F">
        <w:rPr>
          <w:rFonts w:ascii="Times New Roman" w:hAnsi="Times New Roman" w:cs="Times New Roman"/>
          <w:sz w:val="24"/>
          <w:szCs w:val="24"/>
        </w:rPr>
        <w:t xml:space="preserve">on equity markets is </w:t>
      </w:r>
      <w:r w:rsidR="00BE6A52">
        <w:rPr>
          <w:rFonts w:ascii="Times New Roman" w:hAnsi="Times New Roman" w:cs="Times New Roman"/>
          <w:sz w:val="24"/>
          <w:szCs w:val="24"/>
        </w:rPr>
        <w:t>particularly important topic for</w:t>
      </w:r>
      <w:r w:rsidR="002E7820" w:rsidRPr="00975E4F">
        <w:rPr>
          <w:rFonts w:ascii="Times New Roman" w:hAnsi="Times New Roman" w:cs="Times New Roman"/>
          <w:sz w:val="24"/>
          <w:szCs w:val="24"/>
        </w:rPr>
        <w:t xml:space="preserve"> investors, portfolio managers, and regulators</w:t>
      </w:r>
      <w:r w:rsidR="00BE6A52">
        <w:rPr>
          <w:rFonts w:ascii="Times New Roman" w:hAnsi="Times New Roman" w:cs="Times New Roman"/>
          <w:sz w:val="24"/>
          <w:szCs w:val="24"/>
        </w:rPr>
        <w:t>. Therefore</w:t>
      </w:r>
      <w:r w:rsidR="00096E70">
        <w:rPr>
          <w:rFonts w:ascii="Times New Roman" w:hAnsi="Times New Roman" w:cs="Times New Roman"/>
          <w:sz w:val="24"/>
          <w:szCs w:val="24"/>
        </w:rPr>
        <w:t>,</w:t>
      </w:r>
      <w:r w:rsidR="00BE6A52">
        <w:rPr>
          <w:rFonts w:ascii="Times New Roman" w:hAnsi="Times New Roman" w:cs="Times New Roman"/>
          <w:sz w:val="24"/>
          <w:szCs w:val="24"/>
        </w:rPr>
        <w:t xml:space="preserve"> we aim to offer early empirical evidence of financial effects of Russia-Ukraine military conflict that can be used for making</w:t>
      </w:r>
      <w:r w:rsidR="00D41E8B">
        <w:rPr>
          <w:rFonts w:ascii="Times New Roman" w:hAnsi="Times New Roman" w:cs="Times New Roman"/>
          <w:sz w:val="24"/>
          <w:szCs w:val="24"/>
        </w:rPr>
        <w:t xml:space="preserve"> </w:t>
      </w:r>
      <w:r w:rsidR="00BE6A52">
        <w:rPr>
          <w:rFonts w:ascii="Times New Roman" w:hAnsi="Times New Roman" w:cs="Times New Roman"/>
          <w:sz w:val="24"/>
          <w:szCs w:val="24"/>
        </w:rPr>
        <w:t>portfolio rebalancing decision</w:t>
      </w:r>
      <w:r w:rsidR="00883A2C" w:rsidRPr="00975E4F">
        <w:rPr>
          <w:rFonts w:ascii="Times New Roman" w:hAnsi="Times New Roman" w:cs="Times New Roman"/>
          <w:sz w:val="24"/>
          <w:szCs w:val="24"/>
        </w:rPr>
        <w:t>,</w:t>
      </w:r>
      <w:r w:rsidR="00BE6A52">
        <w:rPr>
          <w:rFonts w:ascii="Times New Roman" w:hAnsi="Times New Roman" w:cs="Times New Roman"/>
          <w:sz w:val="24"/>
          <w:szCs w:val="24"/>
        </w:rPr>
        <w:t xml:space="preserve"> developing effective</w:t>
      </w:r>
      <w:r w:rsidR="00883A2C" w:rsidRPr="00975E4F">
        <w:rPr>
          <w:rFonts w:ascii="Times New Roman" w:hAnsi="Times New Roman" w:cs="Times New Roman"/>
          <w:sz w:val="24"/>
          <w:szCs w:val="24"/>
        </w:rPr>
        <w:t xml:space="preserve"> hedging</w:t>
      </w:r>
      <w:r w:rsidR="00BE6A52">
        <w:rPr>
          <w:rFonts w:ascii="Times New Roman" w:hAnsi="Times New Roman" w:cs="Times New Roman"/>
          <w:sz w:val="24"/>
          <w:szCs w:val="24"/>
        </w:rPr>
        <w:t xml:space="preserve"> strategies</w:t>
      </w:r>
      <w:r w:rsidR="00883A2C" w:rsidRPr="00975E4F">
        <w:rPr>
          <w:rFonts w:ascii="Times New Roman" w:hAnsi="Times New Roman" w:cs="Times New Roman"/>
          <w:sz w:val="24"/>
          <w:szCs w:val="24"/>
        </w:rPr>
        <w:t>, a</w:t>
      </w:r>
      <w:r w:rsidR="00BE6A52">
        <w:rPr>
          <w:rFonts w:ascii="Times New Roman" w:hAnsi="Times New Roman" w:cs="Times New Roman"/>
          <w:sz w:val="24"/>
          <w:szCs w:val="24"/>
        </w:rPr>
        <w:t>s well as</w:t>
      </w:r>
      <w:r w:rsidR="00883A2C" w:rsidRPr="00975E4F">
        <w:rPr>
          <w:rFonts w:ascii="Times New Roman" w:hAnsi="Times New Roman" w:cs="Times New Roman"/>
          <w:sz w:val="24"/>
          <w:szCs w:val="24"/>
        </w:rPr>
        <w:t xml:space="preserve"> policy making </w:t>
      </w:r>
      <w:r w:rsidR="00BE6A52">
        <w:rPr>
          <w:rFonts w:ascii="Times New Roman" w:hAnsi="Times New Roman" w:cs="Times New Roman"/>
          <w:sz w:val="24"/>
          <w:szCs w:val="24"/>
        </w:rPr>
        <w:t xml:space="preserve">decisions </w:t>
      </w:r>
      <w:r w:rsidR="00883A2C" w:rsidRPr="00975E4F">
        <w:rPr>
          <w:rFonts w:ascii="Times New Roman" w:hAnsi="Times New Roman" w:cs="Times New Roman"/>
          <w:sz w:val="24"/>
          <w:szCs w:val="24"/>
        </w:rPr>
        <w:t>during the</w:t>
      </w:r>
      <w:r w:rsidR="00BE6A52">
        <w:rPr>
          <w:rFonts w:ascii="Times New Roman" w:hAnsi="Times New Roman" w:cs="Times New Roman"/>
          <w:sz w:val="24"/>
          <w:szCs w:val="24"/>
        </w:rPr>
        <w:t xml:space="preserve"> ongoing </w:t>
      </w:r>
      <w:r w:rsidR="00D0689B">
        <w:rPr>
          <w:rFonts w:ascii="Times New Roman" w:hAnsi="Times New Roman" w:cs="Times New Roman"/>
          <w:sz w:val="24"/>
          <w:szCs w:val="24"/>
        </w:rPr>
        <w:t>military actions</w:t>
      </w:r>
      <w:r w:rsidR="00883A2C" w:rsidRPr="00975E4F">
        <w:rPr>
          <w:rFonts w:ascii="Times New Roman" w:hAnsi="Times New Roman" w:cs="Times New Roman"/>
          <w:sz w:val="24"/>
          <w:szCs w:val="24"/>
        </w:rPr>
        <w:t>.</w:t>
      </w:r>
      <w:r w:rsidR="009F17CC" w:rsidRPr="00975E4F">
        <w:rPr>
          <w:rFonts w:ascii="Times New Roman" w:hAnsi="Times New Roman" w:cs="Times New Roman"/>
          <w:sz w:val="24"/>
          <w:szCs w:val="24"/>
        </w:rPr>
        <w:t xml:space="preserve"> </w:t>
      </w:r>
    </w:p>
    <w:p w14:paraId="2407F6CA" w14:textId="01436CEE" w:rsidR="0058159F" w:rsidRDefault="006E1A8F" w:rsidP="00C97074">
      <w:pPr>
        <w:spacing w:line="360" w:lineRule="auto"/>
        <w:jc w:val="both"/>
        <w:rPr>
          <w:rFonts w:ascii="Times New Roman" w:hAnsi="Times New Roman" w:cs="Times New Roman"/>
          <w:sz w:val="24"/>
          <w:szCs w:val="24"/>
        </w:rPr>
      </w:pPr>
      <w:r w:rsidRPr="006E1A8F">
        <w:rPr>
          <w:rFonts w:ascii="Times New Roman" w:hAnsi="Times New Roman" w:cs="Times New Roman"/>
          <w:sz w:val="24"/>
          <w:szCs w:val="24"/>
        </w:rPr>
        <w:t>The academic interest to</w:t>
      </w:r>
      <w:r w:rsidR="00BE6A52">
        <w:rPr>
          <w:rFonts w:ascii="Times New Roman" w:hAnsi="Times New Roman" w:cs="Times New Roman"/>
          <w:sz w:val="24"/>
          <w:szCs w:val="24"/>
        </w:rPr>
        <w:t xml:space="preserve"> the assessment of the adverse</w:t>
      </w:r>
      <w:r w:rsidRPr="006E1A8F">
        <w:rPr>
          <w:rFonts w:ascii="Times New Roman" w:hAnsi="Times New Roman" w:cs="Times New Roman"/>
          <w:sz w:val="24"/>
          <w:szCs w:val="24"/>
        </w:rPr>
        <w:t xml:space="preserve"> </w:t>
      </w:r>
      <w:r>
        <w:rPr>
          <w:rFonts w:ascii="Times New Roman" w:hAnsi="Times New Roman" w:cs="Times New Roman"/>
          <w:sz w:val="24"/>
          <w:szCs w:val="24"/>
        </w:rPr>
        <w:t xml:space="preserve">financial </w:t>
      </w:r>
      <w:r w:rsidR="006479BA">
        <w:rPr>
          <w:rFonts w:ascii="Times New Roman" w:hAnsi="Times New Roman" w:cs="Times New Roman"/>
          <w:sz w:val="24"/>
          <w:szCs w:val="24"/>
        </w:rPr>
        <w:t>effect</w:t>
      </w:r>
      <w:r w:rsidR="00BE6A52">
        <w:rPr>
          <w:rFonts w:ascii="Times New Roman" w:hAnsi="Times New Roman" w:cs="Times New Roman"/>
          <w:sz w:val="24"/>
          <w:szCs w:val="24"/>
        </w:rPr>
        <w:t xml:space="preserve">s of black swan events have </w:t>
      </w:r>
      <w:r w:rsidRPr="006E1A8F">
        <w:rPr>
          <w:rFonts w:ascii="Times New Roman" w:hAnsi="Times New Roman" w:cs="Times New Roman"/>
          <w:sz w:val="24"/>
          <w:szCs w:val="24"/>
        </w:rPr>
        <w:t xml:space="preserve">recently </w:t>
      </w:r>
      <w:r w:rsidR="00BE6A52">
        <w:rPr>
          <w:rFonts w:ascii="Times New Roman" w:hAnsi="Times New Roman" w:cs="Times New Roman"/>
          <w:sz w:val="24"/>
          <w:szCs w:val="24"/>
        </w:rPr>
        <w:t>increased due to the</w:t>
      </w:r>
      <w:r w:rsidR="0058159F">
        <w:rPr>
          <w:rFonts w:ascii="Times New Roman" w:hAnsi="Times New Roman" w:cs="Times New Roman"/>
          <w:sz w:val="24"/>
          <w:szCs w:val="24"/>
        </w:rPr>
        <w:t xml:space="preserve"> unexpected</w:t>
      </w:r>
      <w:r w:rsidR="002E7A3B">
        <w:rPr>
          <w:rFonts w:ascii="Times New Roman" w:hAnsi="Times New Roman" w:cs="Times New Roman"/>
          <w:sz w:val="24"/>
          <w:szCs w:val="24"/>
        </w:rPr>
        <w:t xml:space="preserve"> COVID-19</w:t>
      </w:r>
      <w:r w:rsidR="0058159F">
        <w:rPr>
          <w:rFonts w:ascii="Times New Roman" w:hAnsi="Times New Roman" w:cs="Times New Roman"/>
          <w:sz w:val="24"/>
          <w:szCs w:val="24"/>
        </w:rPr>
        <w:t xml:space="preserve"> health</w:t>
      </w:r>
      <w:r w:rsidR="002E7A3B">
        <w:rPr>
          <w:rFonts w:ascii="Times New Roman" w:hAnsi="Times New Roman" w:cs="Times New Roman"/>
          <w:sz w:val="24"/>
          <w:szCs w:val="24"/>
        </w:rPr>
        <w:t xml:space="preserve"> crisis</w:t>
      </w:r>
      <w:r w:rsidRPr="006E1A8F">
        <w:rPr>
          <w:rFonts w:ascii="Times New Roman" w:hAnsi="Times New Roman" w:cs="Times New Roman"/>
          <w:sz w:val="24"/>
          <w:szCs w:val="24"/>
        </w:rPr>
        <w:t xml:space="preserve">, where the </w:t>
      </w:r>
      <w:r w:rsidR="0058159F">
        <w:rPr>
          <w:rFonts w:ascii="Times New Roman" w:hAnsi="Times New Roman" w:cs="Times New Roman"/>
          <w:sz w:val="24"/>
          <w:szCs w:val="24"/>
        </w:rPr>
        <w:t xml:space="preserve">reaction and recovery of </w:t>
      </w:r>
      <w:r w:rsidR="0058159F" w:rsidRPr="006E1A8F">
        <w:rPr>
          <w:rFonts w:ascii="Times New Roman" w:hAnsi="Times New Roman" w:cs="Times New Roman"/>
          <w:sz w:val="24"/>
          <w:szCs w:val="24"/>
        </w:rPr>
        <w:t>various</w:t>
      </w:r>
      <w:r w:rsidR="0058159F">
        <w:rPr>
          <w:rFonts w:ascii="Times New Roman" w:hAnsi="Times New Roman" w:cs="Times New Roman"/>
          <w:sz w:val="24"/>
          <w:szCs w:val="24"/>
        </w:rPr>
        <w:t xml:space="preserve"> financial markets from COVID-19 shock </w:t>
      </w:r>
      <w:r w:rsidRPr="006E1A8F">
        <w:rPr>
          <w:rFonts w:ascii="Times New Roman" w:hAnsi="Times New Roman" w:cs="Times New Roman"/>
          <w:sz w:val="24"/>
          <w:szCs w:val="24"/>
        </w:rPr>
        <w:t xml:space="preserve">has </w:t>
      </w:r>
      <w:r w:rsidR="0058159F">
        <w:rPr>
          <w:rFonts w:ascii="Times New Roman" w:hAnsi="Times New Roman" w:cs="Times New Roman"/>
          <w:sz w:val="24"/>
          <w:szCs w:val="24"/>
        </w:rPr>
        <w:t xml:space="preserve">been analysed </w:t>
      </w:r>
      <w:r w:rsidRPr="006E1A8F">
        <w:rPr>
          <w:rFonts w:ascii="Times New Roman" w:hAnsi="Times New Roman" w:cs="Times New Roman"/>
          <w:sz w:val="24"/>
          <w:szCs w:val="24"/>
        </w:rPr>
        <w:t xml:space="preserve">widely (Yarovaya et al. </w:t>
      </w:r>
      <w:r w:rsidR="002E7A3B">
        <w:rPr>
          <w:rFonts w:ascii="Times New Roman" w:hAnsi="Times New Roman" w:cs="Times New Roman"/>
          <w:sz w:val="24"/>
          <w:szCs w:val="24"/>
        </w:rPr>
        <w:t>2021, 2022</w:t>
      </w:r>
      <w:r w:rsidR="00502FB0">
        <w:rPr>
          <w:rFonts w:ascii="Times New Roman" w:hAnsi="Times New Roman" w:cs="Times New Roman"/>
          <w:sz w:val="24"/>
          <w:szCs w:val="24"/>
        </w:rPr>
        <w:t>; Yousaf, 2021</w:t>
      </w:r>
      <w:r w:rsidRPr="006E1A8F">
        <w:rPr>
          <w:rFonts w:ascii="Times New Roman" w:hAnsi="Times New Roman" w:cs="Times New Roman"/>
          <w:sz w:val="24"/>
          <w:szCs w:val="24"/>
        </w:rPr>
        <w:t xml:space="preserve">). </w:t>
      </w:r>
      <w:r w:rsidR="002E7A3B">
        <w:rPr>
          <w:rFonts w:ascii="Times New Roman" w:hAnsi="Times New Roman" w:cs="Times New Roman"/>
          <w:sz w:val="24"/>
          <w:szCs w:val="24"/>
        </w:rPr>
        <w:t xml:space="preserve">However, </w:t>
      </w:r>
      <w:r w:rsidR="0058159F">
        <w:rPr>
          <w:rFonts w:ascii="Times New Roman" w:hAnsi="Times New Roman" w:cs="Times New Roman"/>
          <w:sz w:val="24"/>
          <w:szCs w:val="24"/>
        </w:rPr>
        <w:t>the literature on</w:t>
      </w:r>
      <w:r w:rsidR="00DA22DA" w:rsidRPr="00975E4F">
        <w:rPr>
          <w:rFonts w:ascii="Times New Roman" w:hAnsi="Times New Roman" w:cs="Times New Roman"/>
          <w:sz w:val="24"/>
          <w:szCs w:val="24"/>
        </w:rPr>
        <w:t xml:space="preserve"> the </w:t>
      </w:r>
      <w:r w:rsidR="0058159F">
        <w:rPr>
          <w:rFonts w:ascii="Times New Roman" w:hAnsi="Times New Roman" w:cs="Times New Roman"/>
          <w:sz w:val="24"/>
          <w:szCs w:val="24"/>
        </w:rPr>
        <w:t xml:space="preserve">impact of </w:t>
      </w:r>
      <w:r w:rsidR="00D0689B">
        <w:rPr>
          <w:rFonts w:ascii="Times New Roman" w:hAnsi="Times New Roman" w:cs="Times New Roman"/>
          <w:sz w:val="24"/>
          <w:szCs w:val="24"/>
        </w:rPr>
        <w:t>military operations</w:t>
      </w:r>
      <w:r w:rsidR="0058159F">
        <w:rPr>
          <w:rFonts w:ascii="Times New Roman" w:hAnsi="Times New Roman" w:cs="Times New Roman"/>
          <w:sz w:val="24"/>
          <w:szCs w:val="24"/>
        </w:rPr>
        <w:t xml:space="preserve"> on financial </w:t>
      </w:r>
      <w:r w:rsidR="00DA22DA" w:rsidRPr="00975E4F">
        <w:rPr>
          <w:rFonts w:ascii="Times New Roman" w:hAnsi="Times New Roman" w:cs="Times New Roman"/>
          <w:sz w:val="24"/>
          <w:szCs w:val="24"/>
        </w:rPr>
        <w:t>markets</w:t>
      </w:r>
      <w:r w:rsidR="0058159F">
        <w:rPr>
          <w:rFonts w:ascii="Times New Roman" w:hAnsi="Times New Roman" w:cs="Times New Roman"/>
          <w:sz w:val="24"/>
          <w:szCs w:val="24"/>
        </w:rPr>
        <w:t xml:space="preserve"> is still relatively scarce</w:t>
      </w:r>
      <w:r w:rsidR="00583835" w:rsidRPr="00975E4F">
        <w:rPr>
          <w:rFonts w:ascii="Times New Roman" w:hAnsi="Times New Roman" w:cs="Times New Roman"/>
          <w:sz w:val="24"/>
          <w:szCs w:val="24"/>
        </w:rPr>
        <w:t>.</w:t>
      </w:r>
      <w:r w:rsidR="00BA78B9" w:rsidRPr="00975E4F">
        <w:rPr>
          <w:sz w:val="24"/>
          <w:szCs w:val="24"/>
        </w:rPr>
        <w:t xml:space="preserve"> </w:t>
      </w:r>
      <w:r w:rsidR="00BA78B9" w:rsidRPr="00D41E8B">
        <w:rPr>
          <w:rFonts w:ascii="Times New Roman" w:hAnsi="Times New Roman" w:cs="Times New Roman"/>
          <w:color w:val="0070C0"/>
          <w:sz w:val="24"/>
          <w:szCs w:val="24"/>
        </w:rPr>
        <w:t xml:space="preserve">Frey and </w:t>
      </w:r>
      <w:proofErr w:type="spellStart"/>
      <w:r w:rsidR="00BA78B9" w:rsidRPr="00D41E8B">
        <w:rPr>
          <w:rFonts w:ascii="Times New Roman" w:hAnsi="Times New Roman" w:cs="Times New Roman"/>
          <w:color w:val="0070C0"/>
          <w:sz w:val="24"/>
          <w:szCs w:val="24"/>
        </w:rPr>
        <w:t>Kucher</w:t>
      </w:r>
      <w:proofErr w:type="spellEnd"/>
      <w:r w:rsidR="00BA78B9" w:rsidRPr="00D41E8B">
        <w:rPr>
          <w:rFonts w:ascii="Times New Roman" w:hAnsi="Times New Roman" w:cs="Times New Roman"/>
          <w:color w:val="0070C0"/>
          <w:sz w:val="24"/>
          <w:szCs w:val="24"/>
        </w:rPr>
        <w:t xml:space="preserve"> (2000) </w:t>
      </w:r>
      <w:r w:rsidR="003C0935" w:rsidRPr="00D41E8B">
        <w:rPr>
          <w:rFonts w:ascii="Times New Roman" w:hAnsi="Times New Roman" w:cs="Times New Roman"/>
          <w:color w:val="0070C0"/>
          <w:sz w:val="24"/>
          <w:szCs w:val="24"/>
        </w:rPr>
        <w:t xml:space="preserve">report the negative </w:t>
      </w:r>
      <w:r w:rsidR="0058159F" w:rsidRPr="00D41E8B">
        <w:rPr>
          <w:rFonts w:ascii="Times New Roman" w:hAnsi="Times New Roman" w:cs="Times New Roman"/>
          <w:color w:val="0070C0"/>
          <w:sz w:val="24"/>
          <w:szCs w:val="24"/>
        </w:rPr>
        <w:t>impact</w:t>
      </w:r>
      <w:r w:rsidR="003C0935" w:rsidRPr="00D41E8B">
        <w:rPr>
          <w:rFonts w:ascii="Times New Roman" w:hAnsi="Times New Roman" w:cs="Times New Roman"/>
          <w:color w:val="0070C0"/>
          <w:sz w:val="24"/>
          <w:szCs w:val="24"/>
        </w:rPr>
        <w:t xml:space="preserve"> of World War </w:t>
      </w:r>
      <w:r w:rsidR="00FA13CA" w:rsidRPr="00D41E8B">
        <w:rPr>
          <w:rFonts w:ascii="Times New Roman" w:hAnsi="Times New Roman" w:cs="Times New Roman"/>
          <w:color w:val="0070C0"/>
          <w:sz w:val="24"/>
          <w:szCs w:val="24"/>
        </w:rPr>
        <w:t>II news on the bonds markets of the countries involved in war.</w:t>
      </w:r>
      <w:r w:rsidR="002E7A3B" w:rsidRPr="00D41E8B">
        <w:rPr>
          <w:color w:val="0070C0"/>
        </w:rPr>
        <w:t xml:space="preserve"> </w:t>
      </w:r>
      <w:bookmarkStart w:id="0" w:name="_Hlk97921040"/>
      <w:r w:rsidR="002E7A3B" w:rsidRPr="00975E4F">
        <w:rPr>
          <w:rFonts w:ascii="Times New Roman" w:hAnsi="Times New Roman" w:cs="Times New Roman"/>
          <w:sz w:val="24"/>
          <w:szCs w:val="24"/>
        </w:rPr>
        <w:t xml:space="preserve">Choudhry (2010) </w:t>
      </w:r>
      <w:bookmarkEnd w:id="0"/>
      <w:r w:rsidR="002E7A3B" w:rsidRPr="00975E4F">
        <w:rPr>
          <w:rFonts w:ascii="Times New Roman" w:hAnsi="Times New Roman" w:cs="Times New Roman"/>
          <w:sz w:val="24"/>
          <w:szCs w:val="24"/>
        </w:rPr>
        <w:t xml:space="preserve">observe various structural breaks in the returns and volatility of the US stock market during the various wartime-battle </w:t>
      </w:r>
      <w:r w:rsidR="0058159F" w:rsidRPr="00975E4F">
        <w:rPr>
          <w:rFonts w:ascii="Times New Roman" w:hAnsi="Times New Roman" w:cs="Times New Roman"/>
          <w:sz w:val="24"/>
          <w:szCs w:val="24"/>
        </w:rPr>
        <w:t>fields’</w:t>
      </w:r>
      <w:r w:rsidR="002E7A3B" w:rsidRPr="00975E4F">
        <w:rPr>
          <w:rFonts w:ascii="Times New Roman" w:hAnsi="Times New Roman" w:cs="Times New Roman"/>
          <w:sz w:val="24"/>
          <w:szCs w:val="24"/>
        </w:rPr>
        <w:t xml:space="preserve"> events from 1939 to 1945. Hudson and Urquhart (2015) explore</w:t>
      </w:r>
      <w:r w:rsidR="0058159F">
        <w:rPr>
          <w:rFonts w:ascii="Times New Roman" w:hAnsi="Times New Roman" w:cs="Times New Roman"/>
          <w:sz w:val="24"/>
          <w:szCs w:val="24"/>
        </w:rPr>
        <w:t>d</w:t>
      </w:r>
      <w:r w:rsidR="002E7A3B" w:rsidRPr="00975E4F">
        <w:rPr>
          <w:rFonts w:ascii="Times New Roman" w:hAnsi="Times New Roman" w:cs="Times New Roman"/>
          <w:sz w:val="24"/>
          <w:szCs w:val="24"/>
        </w:rPr>
        <w:t xml:space="preserve"> the effect of the World War II on the stock market of the UK and provide the evidence of weak linkages between war event and stock market returns.</w:t>
      </w:r>
      <w:r w:rsidR="002E7A3B">
        <w:rPr>
          <w:rFonts w:ascii="Times New Roman" w:hAnsi="Times New Roman" w:cs="Times New Roman"/>
          <w:sz w:val="24"/>
          <w:szCs w:val="24"/>
        </w:rPr>
        <w:t xml:space="preserve"> </w:t>
      </w:r>
      <w:r w:rsidR="009D3E81">
        <w:rPr>
          <w:rFonts w:ascii="Times New Roman" w:hAnsi="Times New Roman" w:cs="Times New Roman"/>
          <w:sz w:val="24"/>
          <w:szCs w:val="24"/>
        </w:rPr>
        <w:t>In their more recent work, Hudson and Urquhart (2022) further assessed the impact of naval disaster on</w:t>
      </w:r>
      <w:r w:rsidR="00AE1E0B">
        <w:rPr>
          <w:rFonts w:ascii="Times New Roman" w:hAnsi="Times New Roman" w:cs="Times New Roman"/>
          <w:sz w:val="24"/>
          <w:szCs w:val="24"/>
        </w:rPr>
        <w:t xml:space="preserve"> the British stock markets, </w:t>
      </w:r>
      <w:r w:rsidR="00AE1E0B">
        <w:rPr>
          <w:rFonts w:ascii="Times New Roman" w:hAnsi="Times New Roman" w:cs="Times New Roman"/>
          <w:sz w:val="24"/>
          <w:szCs w:val="24"/>
        </w:rPr>
        <w:lastRenderedPageBreak/>
        <w:t xml:space="preserve">showing that only few politically significant naval disasters affected stock market performance. </w:t>
      </w:r>
      <w:r w:rsidR="002E7A3B" w:rsidRPr="002E7A3B">
        <w:rPr>
          <w:rFonts w:ascii="Times New Roman" w:hAnsi="Times New Roman" w:cs="Times New Roman"/>
          <w:sz w:val="24"/>
          <w:szCs w:val="24"/>
        </w:rPr>
        <w:t>Fernandez (2008) analysed the impact of the invasion of Iraq and Israeli-Palestinian conflict</w:t>
      </w:r>
      <w:r w:rsidR="00FA13CA" w:rsidRPr="00975E4F">
        <w:rPr>
          <w:rFonts w:ascii="Times New Roman" w:hAnsi="Times New Roman" w:cs="Times New Roman"/>
          <w:sz w:val="24"/>
          <w:szCs w:val="24"/>
        </w:rPr>
        <w:t xml:space="preserve"> </w:t>
      </w:r>
      <w:r w:rsidR="002E7A3B">
        <w:rPr>
          <w:rFonts w:ascii="Times New Roman" w:hAnsi="Times New Roman" w:cs="Times New Roman"/>
          <w:sz w:val="24"/>
          <w:szCs w:val="24"/>
        </w:rPr>
        <w:t>showed that political instability in the Middle East had greater impact on developed financial markets at the beginning of the Iraq war.</w:t>
      </w:r>
      <w:r w:rsidR="00583835" w:rsidRPr="00975E4F">
        <w:rPr>
          <w:rFonts w:ascii="Times New Roman" w:hAnsi="Times New Roman" w:cs="Times New Roman"/>
          <w:sz w:val="24"/>
          <w:szCs w:val="24"/>
        </w:rPr>
        <w:t xml:space="preserve"> </w:t>
      </w:r>
      <w:proofErr w:type="spellStart"/>
      <w:r w:rsidR="007522D5" w:rsidRPr="00975E4F">
        <w:rPr>
          <w:rFonts w:ascii="Times New Roman" w:hAnsi="Times New Roman" w:cs="Times New Roman"/>
          <w:sz w:val="24"/>
          <w:szCs w:val="24"/>
        </w:rPr>
        <w:t>Rigobon</w:t>
      </w:r>
      <w:proofErr w:type="spellEnd"/>
      <w:r w:rsidR="007522D5" w:rsidRPr="00975E4F">
        <w:rPr>
          <w:rFonts w:ascii="Times New Roman" w:hAnsi="Times New Roman" w:cs="Times New Roman"/>
          <w:sz w:val="24"/>
          <w:szCs w:val="24"/>
        </w:rPr>
        <w:t xml:space="preserve"> and Sack (2005) find that Iraq war risk adversely affect the US equity market therefore war risk factor is useful in estimating the variations in the stock prices </w:t>
      </w:r>
      <w:r w:rsidR="001B3530" w:rsidRPr="00975E4F">
        <w:rPr>
          <w:rFonts w:ascii="Times New Roman" w:hAnsi="Times New Roman" w:cs="Times New Roman"/>
          <w:sz w:val="24"/>
          <w:szCs w:val="24"/>
        </w:rPr>
        <w:t>in war time</w:t>
      </w:r>
      <w:r w:rsidR="007522D5" w:rsidRPr="00975E4F">
        <w:rPr>
          <w:rFonts w:ascii="Times New Roman" w:hAnsi="Times New Roman" w:cs="Times New Roman"/>
          <w:sz w:val="24"/>
          <w:szCs w:val="24"/>
        </w:rPr>
        <w:t xml:space="preserve">. </w:t>
      </w:r>
      <w:r w:rsidR="009005D7" w:rsidRPr="00D002E7">
        <w:rPr>
          <w:rFonts w:ascii="Times New Roman" w:hAnsi="Times New Roman" w:cs="Times New Roman"/>
          <w:color w:val="0070C0"/>
          <w:sz w:val="24"/>
          <w:szCs w:val="24"/>
        </w:rPr>
        <w:t>Adekoya et al., (2022) report the higher connectedness between oil and other financial markets during the Russia-Ukraine conflict then before it.</w:t>
      </w:r>
      <w:r w:rsidR="009005D7">
        <w:rPr>
          <w:rFonts w:ascii="Times New Roman" w:hAnsi="Times New Roman" w:cs="Times New Roman"/>
          <w:color w:val="0070C0"/>
          <w:sz w:val="24"/>
          <w:szCs w:val="24"/>
        </w:rPr>
        <w:t xml:space="preserve"> </w:t>
      </w:r>
      <w:proofErr w:type="spellStart"/>
      <w:r w:rsidR="009005D7">
        <w:rPr>
          <w:rFonts w:ascii="Times New Roman" w:hAnsi="Times New Roman" w:cs="Times New Roman"/>
          <w:color w:val="0070C0"/>
          <w:sz w:val="24"/>
          <w:szCs w:val="24"/>
        </w:rPr>
        <w:t>Tosun</w:t>
      </w:r>
      <w:proofErr w:type="spellEnd"/>
      <w:r w:rsidR="009005D7">
        <w:rPr>
          <w:rFonts w:ascii="Times New Roman" w:hAnsi="Times New Roman" w:cs="Times New Roman"/>
          <w:color w:val="0070C0"/>
          <w:sz w:val="24"/>
          <w:szCs w:val="24"/>
        </w:rPr>
        <w:t xml:space="preserve"> and </w:t>
      </w:r>
      <w:proofErr w:type="spellStart"/>
      <w:r w:rsidR="009005D7">
        <w:rPr>
          <w:rFonts w:ascii="Times New Roman" w:hAnsi="Times New Roman" w:cs="Times New Roman"/>
          <w:color w:val="0070C0"/>
          <w:sz w:val="24"/>
          <w:szCs w:val="24"/>
        </w:rPr>
        <w:t>Eshraghi</w:t>
      </w:r>
      <w:proofErr w:type="spellEnd"/>
      <w:r w:rsidR="009005D7">
        <w:rPr>
          <w:rFonts w:ascii="Times New Roman" w:hAnsi="Times New Roman" w:cs="Times New Roman"/>
          <w:color w:val="0070C0"/>
          <w:sz w:val="24"/>
          <w:szCs w:val="24"/>
        </w:rPr>
        <w:t xml:space="preserve"> (2022) compare the impact of Russian-Ukraine conflict on the two types of companies, leaver companies and remaining companies. They find that the portfolios of the remaining companies in Russia underperform compared to the leaver companies. </w:t>
      </w:r>
      <w:r w:rsidR="009005D7">
        <w:rPr>
          <w:rFonts w:ascii="Times New Roman" w:hAnsi="Times New Roman" w:cs="Times New Roman"/>
          <w:color w:val="0070C0"/>
          <w:sz w:val="24"/>
          <w:szCs w:val="24"/>
        </w:rPr>
        <w:t xml:space="preserve">Umar et al., (2022a) provide the evidence of </w:t>
      </w:r>
      <w:r w:rsidR="00666960">
        <w:rPr>
          <w:rFonts w:ascii="Times New Roman" w:hAnsi="Times New Roman" w:cs="Times New Roman"/>
          <w:color w:val="0070C0"/>
          <w:sz w:val="24"/>
          <w:szCs w:val="24"/>
        </w:rPr>
        <w:t xml:space="preserve">considerable increase in abnormal returns of renewable energy markets due to Russian-Ukraine conflict. </w:t>
      </w:r>
      <w:r w:rsidR="009005D7">
        <w:rPr>
          <w:rFonts w:ascii="Times New Roman" w:hAnsi="Times New Roman" w:cs="Times New Roman"/>
          <w:color w:val="0070C0"/>
          <w:sz w:val="24"/>
          <w:szCs w:val="24"/>
        </w:rPr>
        <w:t>Pandey and Kumar (2022) examine the impact of Russia-Ukraine conflict on the global tourism industry and report that the adverse effect of this conflict on European, Middle East, and African Tourism industries on the event day. Umar et al., (2022</w:t>
      </w:r>
      <w:r w:rsidR="009005D7">
        <w:rPr>
          <w:rFonts w:ascii="Times New Roman" w:hAnsi="Times New Roman" w:cs="Times New Roman"/>
          <w:color w:val="0070C0"/>
          <w:sz w:val="24"/>
          <w:szCs w:val="24"/>
        </w:rPr>
        <w:t>b</w:t>
      </w:r>
      <w:r w:rsidR="009005D7">
        <w:rPr>
          <w:rFonts w:ascii="Times New Roman" w:hAnsi="Times New Roman" w:cs="Times New Roman"/>
          <w:color w:val="0070C0"/>
          <w:sz w:val="24"/>
          <w:szCs w:val="24"/>
        </w:rPr>
        <w:t xml:space="preserve">) and Wang et al., (2022) estimate the connectedness between global financial markets during the Russia-Ukraine conflict and find the strong connectedness during this event compared to before event sample period. </w:t>
      </w:r>
      <w:r w:rsidR="00DD6763" w:rsidRPr="00975E4F">
        <w:rPr>
          <w:rFonts w:ascii="Times New Roman" w:hAnsi="Times New Roman" w:cs="Times New Roman"/>
          <w:sz w:val="24"/>
          <w:szCs w:val="24"/>
        </w:rPr>
        <w:t xml:space="preserve">Our study is extending the above-mentioned literature by examining the impact of the Russia-Ukraine </w:t>
      </w:r>
      <w:r w:rsidR="00D0689B">
        <w:rPr>
          <w:rFonts w:ascii="Times New Roman" w:hAnsi="Times New Roman" w:cs="Times New Roman"/>
          <w:sz w:val="24"/>
          <w:szCs w:val="24"/>
        </w:rPr>
        <w:t>conflict</w:t>
      </w:r>
      <w:r w:rsidR="00DD6763" w:rsidRPr="00975E4F">
        <w:rPr>
          <w:rFonts w:ascii="Times New Roman" w:hAnsi="Times New Roman" w:cs="Times New Roman"/>
          <w:sz w:val="24"/>
          <w:szCs w:val="24"/>
        </w:rPr>
        <w:t xml:space="preserve"> on the G20 and other related stock markets using the event study approach. </w:t>
      </w:r>
      <w:r w:rsidR="002E7A3B">
        <w:rPr>
          <w:rFonts w:ascii="Times New Roman" w:hAnsi="Times New Roman" w:cs="Times New Roman"/>
          <w:sz w:val="24"/>
          <w:szCs w:val="24"/>
        </w:rPr>
        <w:t xml:space="preserve">In this paper we particularly interested to identify markets that reacted to the event quicker and more severely in the short-term. </w:t>
      </w:r>
      <w:r w:rsidR="009B29CB" w:rsidRPr="00975E4F">
        <w:rPr>
          <w:rFonts w:ascii="Times New Roman" w:hAnsi="Times New Roman" w:cs="Times New Roman"/>
          <w:sz w:val="24"/>
          <w:szCs w:val="24"/>
        </w:rPr>
        <w:t>For this purpose, the daily returns of the selected indices are analysed</w:t>
      </w:r>
      <w:r w:rsidR="00820E36">
        <w:rPr>
          <w:rFonts w:ascii="Times New Roman" w:hAnsi="Times New Roman" w:cs="Times New Roman"/>
          <w:sz w:val="24"/>
          <w:szCs w:val="24"/>
        </w:rPr>
        <w:t xml:space="preserve"> on </w:t>
      </w:r>
      <w:r w:rsidR="002E7A3B">
        <w:rPr>
          <w:rFonts w:ascii="Times New Roman" w:hAnsi="Times New Roman" w:cs="Times New Roman"/>
          <w:sz w:val="24"/>
          <w:szCs w:val="24"/>
        </w:rPr>
        <w:t>the event day,</w:t>
      </w:r>
      <w:r w:rsidR="00820E36">
        <w:rPr>
          <w:rFonts w:ascii="Times New Roman" w:hAnsi="Times New Roman" w:cs="Times New Roman"/>
          <w:sz w:val="24"/>
          <w:szCs w:val="24"/>
        </w:rPr>
        <w:t xml:space="preserve"> and</w:t>
      </w:r>
      <w:r w:rsidR="009B29CB" w:rsidRPr="00975E4F">
        <w:rPr>
          <w:rFonts w:ascii="Times New Roman" w:hAnsi="Times New Roman" w:cs="Times New Roman"/>
          <w:sz w:val="24"/>
          <w:szCs w:val="24"/>
        </w:rPr>
        <w:t xml:space="preserve"> </w:t>
      </w:r>
      <w:r w:rsidR="002E7A3B">
        <w:rPr>
          <w:rFonts w:ascii="Times New Roman" w:hAnsi="Times New Roman" w:cs="Times New Roman"/>
          <w:sz w:val="24"/>
          <w:szCs w:val="24"/>
        </w:rPr>
        <w:t xml:space="preserve">in </w:t>
      </w:r>
      <w:r w:rsidR="009B29CB" w:rsidRPr="00975E4F">
        <w:rPr>
          <w:rFonts w:ascii="Times New Roman" w:hAnsi="Times New Roman" w:cs="Times New Roman"/>
          <w:sz w:val="24"/>
          <w:szCs w:val="24"/>
        </w:rPr>
        <w:t xml:space="preserve">both </w:t>
      </w:r>
      <w:r w:rsidR="002E7A3B">
        <w:rPr>
          <w:rFonts w:ascii="Times New Roman" w:hAnsi="Times New Roman" w:cs="Times New Roman"/>
          <w:sz w:val="24"/>
          <w:szCs w:val="24"/>
        </w:rPr>
        <w:t>pre-</w:t>
      </w:r>
      <w:r w:rsidR="009B29CB" w:rsidRPr="00975E4F">
        <w:rPr>
          <w:rFonts w:ascii="Times New Roman" w:hAnsi="Times New Roman" w:cs="Times New Roman"/>
          <w:sz w:val="24"/>
          <w:szCs w:val="24"/>
        </w:rPr>
        <w:t xml:space="preserve"> and during </w:t>
      </w:r>
      <w:r w:rsidR="00E43A3A">
        <w:rPr>
          <w:rFonts w:ascii="Times New Roman" w:hAnsi="Times New Roman" w:cs="Times New Roman"/>
          <w:sz w:val="24"/>
          <w:szCs w:val="24"/>
        </w:rPr>
        <w:t xml:space="preserve">the Russian </w:t>
      </w:r>
      <w:r w:rsidR="0058159F">
        <w:rPr>
          <w:rFonts w:ascii="Times New Roman" w:hAnsi="Times New Roman" w:cs="Times New Roman"/>
          <w:sz w:val="24"/>
          <w:szCs w:val="24"/>
        </w:rPr>
        <w:t>invasion</w:t>
      </w:r>
      <w:r w:rsidR="009B29CB" w:rsidRPr="00975E4F">
        <w:rPr>
          <w:rFonts w:ascii="Times New Roman" w:hAnsi="Times New Roman" w:cs="Times New Roman"/>
          <w:sz w:val="24"/>
          <w:szCs w:val="24"/>
        </w:rPr>
        <w:t xml:space="preserve"> </w:t>
      </w:r>
      <w:r w:rsidR="00E43A3A">
        <w:rPr>
          <w:rFonts w:ascii="Times New Roman" w:hAnsi="Times New Roman" w:cs="Times New Roman"/>
          <w:sz w:val="24"/>
          <w:szCs w:val="24"/>
        </w:rPr>
        <w:t>in Ukraine</w:t>
      </w:r>
      <w:r w:rsidR="009B29CB" w:rsidRPr="00975E4F">
        <w:rPr>
          <w:rFonts w:ascii="Times New Roman" w:hAnsi="Times New Roman" w:cs="Times New Roman"/>
          <w:sz w:val="24"/>
          <w:szCs w:val="24"/>
        </w:rPr>
        <w:t xml:space="preserve">. </w:t>
      </w:r>
    </w:p>
    <w:p w14:paraId="1BECEAEC" w14:textId="37D66BEF" w:rsidR="00DD6763" w:rsidRPr="00975E4F" w:rsidRDefault="00E43A3A" w:rsidP="00C970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president Putin’s address on </w:t>
      </w:r>
      <w:r w:rsidR="0058159F">
        <w:rPr>
          <w:rFonts w:ascii="Times New Roman" w:hAnsi="Times New Roman" w:cs="Times New Roman"/>
          <w:sz w:val="24"/>
          <w:szCs w:val="24"/>
        </w:rPr>
        <w:t xml:space="preserve">the </w:t>
      </w:r>
      <w:r>
        <w:rPr>
          <w:rFonts w:ascii="Times New Roman" w:hAnsi="Times New Roman" w:cs="Times New Roman"/>
          <w:sz w:val="24"/>
          <w:szCs w:val="24"/>
        </w:rPr>
        <w:t>Russian state TV ‘</w:t>
      </w:r>
      <w:r w:rsidRPr="00E43A3A">
        <w:rPr>
          <w:rFonts w:ascii="Times New Roman" w:hAnsi="Times New Roman" w:cs="Times New Roman"/>
          <w:i/>
          <w:sz w:val="24"/>
          <w:szCs w:val="24"/>
        </w:rPr>
        <w:t>on conduction a special military operation</w:t>
      </w:r>
      <w:r>
        <w:rPr>
          <w:rFonts w:ascii="Times New Roman" w:hAnsi="Times New Roman" w:cs="Times New Roman"/>
          <w:sz w:val="24"/>
          <w:szCs w:val="24"/>
        </w:rPr>
        <w:t>’</w:t>
      </w:r>
      <w:r w:rsidRPr="00E43A3A">
        <w:t xml:space="preserve"> </w:t>
      </w:r>
      <w:r w:rsidRPr="00E43A3A">
        <w:rPr>
          <w:rFonts w:ascii="Times New Roman" w:hAnsi="Times New Roman" w:cs="Times New Roman"/>
          <w:sz w:val="24"/>
          <w:szCs w:val="24"/>
        </w:rPr>
        <w:t>Russia</w:t>
      </w:r>
      <w:r w:rsidR="0058159F">
        <w:rPr>
          <w:rFonts w:ascii="Times New Roman" w:hAnsi="Times New Roman" w:cs="Times New Roman"/>
          <w:sz w:val="24"/>
          <w:szCs w:val="24"/>
        </w:rPr>
        <w:t xml:space="preserve"> troops have</w:t>
      </w:r>
      <w:r w:rsidRPr="00E43A3A">
        <w:rPr>
          <w:rFonts w:ascii="Times New Roman" w:hAnsi="Times New Roman" w:cs="Times New Roman"/>
          <w:sz w:val="24"/>
          <w:szCs w:val="24"/>
        </w:rPr>
        <w:t xml:space="preserve"> </w:t>
      </w:r>
      <w:r w:rsidR="0058159F">
        <w:rPr>
          <w:rFonts w:ascii="Times New Roman" w:hAnsi="Times New Roman" w:cs="Times New Roman"/>
          <w:sz w:val="24"/>
          <w:szCs w:val="24"/>
        </w:rPr>
        <w:t>entered</w:t>
      </w:r>
      <w:r w:rsidRPr="00E43A3A">
        <w:rPr>
          <w:rFonts w:ascii="Times New Roman" w:hAnsi="Times New Roman" w:cs="Times New Roman"/>
          <w:sz w:val="24"/>
          <w:szCs w:val="24"/>
        </w:rPr>
        <w:t xml:space="preserve"> Ukraine on the 24 February 2022</w:t>
      </w:r>
      <w:r>
        <w:rPr>
          <w:rStyle w:val="FootnoteReference"/>
          <w:rFonts w:ascii="Times New Roman" w:hAnsi="Times New Roman" w:cs="Times New Roman"/>
          <w:sz w:val="24"/>
          <w:szCs w:val="24"/>
        </w:rPr>
        <w:footnoteReference w:id="2"/>
      </w:r>
      <w:r w:rsidR="0099612B" w:rsidRPr="00975E4F">
        <w:rPr>
          <w:rFonts w:ascii="Times New Roman" w:hAnsi="Times New Roman" w:cs="Times New Roman"/>
          <w:sz w:val="24"/>
          <w:szCs w:val="24"/>
        </w:rPr>
        <w:t xml:space="preserve">. </w:t>
      </w:r>
      <w:r>
        <w:rPr>
          <w:rFonts w:ascii="Times New Roman" w:hAnsi="Times New Roman" w:cs="Times New Roman"/>
          <w:sz w:val="24"/>
          <w:szCs w:val="24"/>
        </w:rPr>
        <w:t>However, earlier on the 21</w:t>
      </w:r>
      <w:r w:rsidRPr="00E43A3A">
        <w:rPr>
          <w:rFonts w:ascii="Times New Roman" w:hAnsi="Times New Roman" w:cs="Times New Roman"/>
          <w:sz w:val="24"/>
          <w:szCs w:val="24"/>
          <w:vertAlign w:val="superscript"/>
        </w:rPr>
        <w:t>st</w:t>
      </w:r>
      <w:r>
        <w:rPr>
          <w:rFonts w:ascii="Times New Roman" w:hAnsi="Times New Roman" w:cs="Times New Roman"/>
          <w:sz w:val="24"/>
          <w:szCs w:val="24"/>
        </w:rPr>
        <w:t xml:space="preserve"> of February 2022, Russia</w:t>
      </w:r>
      <w:r w:rsidR="0058159F">
        <w:rPr>
          <w:rFonts w:ascii="Times New Roman" w:hAnsi="Times New Roman" w:cs="Times New Roman"/>
          <w:sz w:val="24"/>
          <w:szCs w:val="24"/>
        </w:rPr>
        <w:t xml:space="preserve"> </w:t>
      </w:r>
      <w:r>
        <w:rPr>
          <w:rFonts w:ascii="Times New Roman" w:hAnsi="Times New Roman" w:cs="Times New Roman"/>
          <w:sz w:val="24"/>
          <w:szCs w:val="24"/>
        </w:rPr>
        <w:t xml:space="preserve">recognized the independence of two pro-Russian regions of Donetsk and Luhansk regions. </w:t>
      </w:r>
      <w:r w:rsidR="0058159F">
        <w:rPr>
          <w:rFonts w:ascii="Times New Roman" w:hAnsi="Times New Roman" w:cs="Times New Roman"/>
          <w:sz w:val="24"/>
          <w:szCs w:val="24"/>
        </w:rPr>
        <w:t>Therefore,</w:t>
      </w:r>
      <w:r>
        <w:rPr>
          <w:rFonts w:ascii="Times New Roman" w:hAnsi="Times New Roman" w:cs="Times New Roman"/>
          <w:sz w:val="24"/>
          <w:szCs w:val="24"/>
        </w:rPr>
        <w:t xml:space="preserve"> to assess the impact of Russia-Ukraine </w:t>
      </w:r>
      <w:r w:rsidR="00F370A5">
        <w:rPr>
          <w:rFonts w:ascii="Times New Roman" w:hAnsi="Times New Roman" w:cs="Times New Roman"/>
          <w:sz w:val="24"/>
          <w:szCs w:val="24"/>
        </w:rPr>
        <w:t>military conflict</w:t>
      </w:r>
      <w:r>
        <w:rPr>
          <w:rFonts w:ascii="Times New Roman" w:hAnsi="Times New Roman" w:cs="Times New Roman"/>
          <w:sz w:val="24"/>
          <w:szCs w:val="24"/>
        </w:rPr>
        <w:t xml:space="preserve"> we hypothesise that financial markets would react to </w:t>
      </w:r>
      <w:r w:rsidR="00911099">
        <w:rPr>
          <w:rFonts w:ascii="Times New Roman" w:hAnsi="Times New Roman" w:cs="Times New Roman"/>
          <w:sz w:val="24"/>
          <w:szCs w:val="24"/>
        </w:rPr>
        <w:t xml:space="preserve">the first announcement in anticipation of </w:t>
      </w:r>
      <w:r w:rsidR="0058159F">
        <w:rPr>
          <w:rFonts w:ascii="Times New Roman" w:hAnsi="Times New Roman" w:cs="Times New Roman"/>
          <w:sz w:val="24"/>
          <w:szCs w:val="24"/>
        </w:rPr>
        <w:t>the future</w:t>
      </w:r>
      <w:r w:rsidR="00911099">
        <w:rPr>
          <w:rFonts w:ascii="Times New Roman" w:hAnsi="Times New Roman" w:cs="Times New Roman"/>
          <w:sz w:val="24"/>
          <w:szCs w:val="24"/>
        </w:rPr>
        <w:t xml:space="preserve"> economic sanctions and potential </w:t>
      </w:r>
      <w:r w:rsidR="0058159F">
        <w:rPr>
          <w:rFonts w:ascii="Times New Roman" w:hAnsi="Times New Roman" w:cs="Times New Roman"/>
          <w:sz w:val="24"/>
          <w:szCs w:val="24"/>
        </w:rPr>
        <w:t xml:space="preserve">breakout of the </w:t>
      </w:r>
      <w:r w:rsidR="00F370A5">
        <w:rPr>
          <w:rFonts w:ascii="Times New Roman" w:hAnsi="Times New Roman" w:cs="Times New Roman"/>
          <w:sz w:val="24"/>
          <w:szCs w:val="24"/>
        </w:rPr>
        <w:t>armed</w:t>
      </w:r>
      <w:r w:rsidR="00911099">
        <w:rPr>
          <w:rFonts w:ascii="Times New Roman" w:hAnsi="Times New Roman" w:cs="Times New Roman"/>
          <w:sz w:val="24"/>
          <w:szCs w:val="24"/>
        </w:rPr>
        <w:t xml:space="preserve"> conflict</w:t>
      </w:r>
      <w:r w:rsidR="0058159F">
        <w:rPr>
          <w:rFonts w:ascii="Times New Roman" w:hAnsi="Times New Roman" w:cs="Times New Roman"/>
          <w:sz w:val="24"/>
          <w:szCs w:val="24"/>
        </w:rPr>
        <w:t xml:space="preserve"> between two countries</w:t>
      </w:r>
      <w:r w:rsidR="00911099">
        <w:rPr>
          <w:rFonts w:ascii="Times New Roman" w:hAnsi="Times New Roman" w:cs="Times New Roman"/>
          <w:sz w:val="24"/>
          <w:szCs w:val="24"/>
        </w:rPr>
        <w:t>. Therefore, we selected the 24</w:t>
      </w:r>
      <w:r w:rsidR="00911099" w:rsidRPr="00911099">
        <w:rPr>
          <w:rFonts w:ascii="Times New Roman" w:hAnsi="Times New Roman" w:cs="Times New Roman"/>
          <w:sz w:val="24"/>
          <w:szCs w:val="24"/>
          <w:vertAlign w:val="superscript"/>
        </w:rPr>
        <w:t>th</w:t>
      </w:r>
      <w:r w:rsidR="00911099">
        <w:rPr>
          <w:rFonts w:ascii="Times New Roman" w:hAnsi="Times New Roman" w:cs="Times New Roman"/>
          <w:sz w:val="24"/>
          <w:szCs w:val="24"/>
        </w:rPr>
        <w:t xml:space="preserve"> of February as an event day four this study, and analyse the reaction of G20 financial markets and other related countries in pre- and after this date. </w:t>
      </w:r>
      <w:r w:rsidR="0099612B" w:rsidRPr="00975E4F">
        <w:rPr>
          <w:rFonts w:ascii="Times New Roman" w:hAnsi="Times New Roman" w:cs="Times New Roman"/>
          <w:sz w:val="24"/>
          <w:szCs w:val="24"/>
        </w:rPr>
        <w:t>Russia</w:t>
      </w:r>
      <w:r w:rsidR="00911099">
        <w:rPr>
          <w:rFonts w:ascii="Times New Roman" w:hAnsi="Times New Roman" w:cs="Times New Roman"/>
          <w:sz w:val="24"/>
          <w:szCs w:val="24"/>
        </w:rPr>
        <w:t xml:space="preserve">n economy is strongly </w:t>
      </w:r>
      <w:r w:rsidR="00DA4D3B" w:rsidRPr="00975E4F">
        <w:rPr>
          <w:rFonts w:ascii="Times New Roman" w:hAnsi="Times New Roman" w:cs="Times New Roman"/>
          <w:sz w:val="24"/>
          <w:szCs w:val="24"/>
        </w:rPr>
        <w:t>connected with rest of the world through trade of good and services</w:t>
      </w:r>
      <w:r w:rsidR="00911099">
        <w:rPr>
          <w:rFonts w:ascii="Times New Roman" w:hAnsi="Times New Roman" w:cs="Times New Roman"/>
          <w:sz w:val="24"/>
          <w:szCs w:val="24"/>
        </w:rPr>
        <w:t>, therefore the contagion effect originate in Russia will affect other financial markets</w:t>
      </w:r>
      <w:r w:rsidR="00892182" w:rsidRPr="00975E4F">
        <w:rPr>
          <w:rFonts w:ascii="Times New Roman" w:hAnsi="Times New Roman" w:cs="Times New Roman"/>
          <w:sz w:val="24"/>
          <w:szCs w:val="24"/>
        </w:rPr>
        <w:t xml:space="preserve"> i.e., </w:t>
      </w:r>
      <w:r w:rsidR="00DA4D3B" w:rsidRPr="00975E4F">
        <w:rPr>
          <w:rFonts w:ascii="Times New Roman" w:hAnsi="Times New Roman" w:cs="Times New Roman"/>
          <w:sz w:val="24"/>
          <w:szCs w:val="24"/>
        </w:rPr>
        <w:t>Russia is the third biggest oil exporter to world</w:t>
      </w:r>
      <w:r w:rsidR="00892182" w:rsidRPr="00975E4F">
        <w:rPr>
          <w:rFonts w:ascii="Times New Roman" w:hAnsi="Times New Roman" w:cs="Times New Roman"/>
          <w:sz w:val="24"/>
          <w:szCs w:val="24"/>
        </w:rPr>
        <w:t xml:space="preserve"> and</w:t>
      </w:r>
      <w:r w:rsidR="00DA4D3B" w:rsidRPr="00975E4F">
        <w:rPr>
          <w:rFonts w:ascii="Times New Roman" w:hAnsi="Times New Roman" w:cs="Times New Roman"/>
          <w:sz w:val="24"/>
          <w:szCs w:val="24"/>
        </w:rPr>
        <w:t xml:space="preserve"> biggest </w:t>
      </w:r>
      <w:r w:rsidR="00911099">
        <w:rPr>
          <w:rFonts w:ascii="Times New Roman" w:hAnsi="Times New Roman" w:cs="Times New Roman"/>
          <w:sz w:val="24"/>
          <w:szCs w:val="24"/>
        </w:rPr>
        <w:t>g</w:t>
      </w:r>
      <w:r w:rsidR="00DA4D3B" w:rsidRPr="00975E4F">
        <w:rPr>
          <w:rFonts w:ascii="Times New Roman" w:hAnsi="Times New Roman" w:cs="Times New Roman"/>
          <w:sz w:val="24"/>
          <w:szCs w:val="24"/>
        </w:rPr>
        <w:t xml:space="preserve">as </w:t>
      </w:r>
      <w:r w:rsidR="00A1141B" w:rsidRPr="00975E4F">
        <w:rPr>
          <w:rFonts w:ascii="Times New Roman" w:hAnsi="Times New Roman" w:cs="Times New Roman"/>
          <w:sz w:val="24"/>
          <w:szCs w:val="24"/>
        </w:rPr>
        <w:t xml:space="preserve">and food </w:t>
      </w:r>
      <w:r w:rsidR="00DA4D3B" w:rsidRPr="00975E4F">
        <w:rPr>
          <w:rFonts w:ascii="Times New Roman" w:hAnsi="Times New Roman" w:cs="Times New Roman"/>
          <w:sz w:val="24"/>
          <w:szCs w:val="24"/>
        </w:rPr>
        <w:t xml:space="preserve">exporter to Europe and other neighbours’ </w:t>
      </w:r>
      <w:r w:rsidR="00DA4D3B" w:rsidRPr="00975E4F">
        <w:rPr>
          <w:rFonts w:ascii="Times New Roman" w:hAnsi="Times New Roman" w:cs="Times New Roman"/>
          <w:sz w:val="24"/>
          <w:szCs w:val="24"/>
        </w:rPr>
        <w:lastRenderedPageBreak/>
        <w:t>countries.</w:t>
      </w:r>
      <w:r w:rsidR="00A1141B" w:rsidRPr="00975E4F">
        <w:rPr>
          <w:rFonts w:ascii="Times New Roman" w:hAnsi="Times New Roman" w:cs="Times New Roman"/>
          <w:sz w:val="24"/>
          <w:szCs w:val="24"/>
        </w:rPr>
        <w:t xml:space="preserve"> The major trade partners of Russia are China, European countries, and US</w:t>
      </w:r>
      <w:r w:rsidR="00A1141B" w:rsidRPr="00975E4F">
        <w:rPr>
          <w:rStyle w:val="FootnoteReference"/>
          <w:rFonts w:ascii="Times New Roman" w:hAnsi="Times New Roman" w:cs="Times New Roman"/>
          <w:sz w:val="24"/>
          <w:szCs w:val="24"/>
        </w:rPr>
        <w:footnoteReference w:id="3"/>
      </w:r>
      <w:r w:rsidR="00A1141B" w:rsidRPr="00975E4F">
        <w:rPr>
          <w:rFonts w:ascii="Times New Roman" w:hAnsi="Times New Roman" w:cs="Times New Roman"/>
          <w:sz w:val="24"/>
          <w:szCs w:val="24"/>
        </w:rPr>
        <w:t xml:space="preserve"> therefore we select</w:t>
      </w:r>
      <w:r w:rsidR="00911099">
        <w:rPr>
          <w:rFonts w:ascii="Times New Roman" w:hAnsi="Times New Roman" w:cs="Times New Roman"/>
          <w:sz w:val="24"/>
          <w:szCs w:val="24"/>
        </w:rPr>
        <w:t>ed a</w:t>
      </w:r>
      <w:r w:rsidR="00A1141B" w:rsidRPr="00975E4F">
        <w:rPr>
          <w:rFonts w:ascii="Times New Roman" w:hAnsi="Times New Roman" w:cs="Times New Roman"/>
          <w:sz w:val="24"/>
          <w:szCs w:val="24"/>
        </w:rPr>
        <w:t xml:space="preserve"> </w:t>
      </w:r>
      <w:r w:rsidR="00A17EB8" w:rsidRPr="00975E4F">
        <w:rPr>
          <w:rFonts w:ascii="Times New Roman" w:hAnsi="Times New Roman" w:cs="Times New Roman"/>
          <w:sz w:val="24"/>
          <w:szCs w:val="24"/>
        </w:rPr>
        <w:t xml:space="preserve">sample stock markets of </w:t>
      </w:r>
      <w:r w:rsidR="00A1141B" w:rsidRPr="00975E4F">
        <w:rPr>
          <w:rFonts w:ascii="Times New Roman" w:hAnsi="Times New Roman" w:cs="Times New Roman"/>
          <w:sz w:val="24"/>
          <w:szCs w:val="24"/>
        </w:rPr>
        <w:t>G20 and rel</w:t>
      </w:r>
      <w:r w:rsidR="00A17EB8" w:rsidRPr="00975E4F">
        <w:rPr>
          <w:rFonts w:ascii="Times New Roman" w:hAnsi="Times New Roman" w:cs="Times New Roman"/>
          <w:sz w:val="24"/>
          <w:szCs w:val="24"/>
        </w:rPr>
        <w:t xml:space="preserve">ated countries. </w:t>
      </w:r>
      <w:r w:rsidR="005B76AF" w:rsidRPr="00975E4F">
        <w:rPr>
          <w:rFonts w:ascii="Times New Roman" w:hAnsi="Times New Roman" w:cs="Times New Roman"/>
          <w:sz w:val="24"/>
          <w:szCs w:val="24"/>
        </w:rPr>
        <w:t xml:space="preserve">The investors of G20 and other relevant stock markets should not assume to be similarly reacted to the news </w:t>
      </w:r>
      <w:r w:rsidR="00320192">
        <w:rPr>
          <w:rFonts w:ascii="Times New Roman" w:hAnsi="Times New Roman" w:cs="Times New Roman"/>
          <w:sz w:val="24"/>
          <w:szCs w:val="24"/>
        </w:rPr>
        <w:t>about</w:t>
      </w:r>
      <w:r w:rsidR="005B76AF" w:rsidRPr="00975E4F">
        <w:rPr>
          <w:rFonts w:ascii="Times New Roman" w:hAnsi="Times New Roman" w:cs="Times New Roman"/>
          <w:sz w:val="24"/>
          <w:szCs w:val="24"/>
        </w:rPr>
        <w:t xml:space="preserve"> the Russia-Ukraine </w:t>
      </w:r>
      <w:r w:rsidR="00D0689B">
        <w:rPr>
          <w:rFonts w:ascii="Times New Roman" w:hAnsi="Times New Roman" w:cs="Times New Roman"/>
          <w:sz w:val="24"/>
          <w:szCs w:val="24"/>
        </w:rPr>
        <w:t>conflict</w:t>
      </w:r>
      <w:r w:rsidR="005B76AF" w:rsidRPr="00975E4F">
        <w:rPr>
          <w:rFonts w:ascii="Times New Roman" w:hAnsi="Times New Roman" w:cs="Times New Roman"/>
          <w:sz w:val="24"/>
          <w:szCs w:val="24"/>
        </w:rPr>
        <w:t xml:space="preserve">, therefore it is necessary to explore which markets are more/less prone to this event. </w:t>
      </w:r>
      <w:r w:rsidR="00320192">
        <w:rPr>
          <w:rFonts w:ascii="Times New Roman" w:hAnsi="Times New Roman" w:cs="Times New Roman"/>
          <w:sz w:val="24"/>
          <w:szCs w:val="24"/>
        </w:rPr>
        <w:t>Thus, in this paper we add to the contagion literature and specifically, to literature considered contagion phenomenon originated by “black swan”</w:t>
      </w:r>
      <w:r w:rsidR="005B76AF" w:rsidRPr="00975E4F">
        <w:rPr>
          <w:rFonts w:ascii="Times New Roman" w:hAnsi="Times New Roman" w:cs="Times New Roman"/>
          <w:sz w:val="24"/>
          <w:szCs w:val="24"/>
        </w:rPr>
        <w:t xml:space="preserve"> </w:t>
      </w:r>
      <w:r w:rsidR="00320192">
        <w:rPr>
          <w:rFonts w:ascii="Times New Roman" w:hAnsi="Times New Roman" w:cs="Times New Roman"/>
          <w:sz w:val="24"/>
          <w:szCs w:val="24"/>
        </w:rPr>
        <w:t>events.</w:t>
      </w:r>
      <w:r w:rsidR="00320192">
        <w:rPr>
          <w:rStyle w:val="FootnoteReference"/>
          <w:rFonts w:ascii="Times New Roman" w:hAnsi="Times New Roman" w:cs="Times New Roman"/>
          <w:sz w:val="24"/>
          <w:szCs w:val="24"/>
        </w:rPr>
        <w:footnoteReference w:id="4"/>
      </w:r>
    </w:p>
    <w:p w14:paraId="577A97E3" w14:textId="07EE4036" w:rsidR="006C62A4" w:rsidRPr="00975E4F" w:rsidRDefault="00320192" w:rsidP="00C97074">
      <w:pPr>
        <w:spacing w:line="360" w:lineRule="auto"/>
        <w:jc w:val="both"/>
        <w:rPr>
          <w:rFonts w:ascii="Times New Roman" w:hAnsi="Times New Roman" w:cs="Times New Roman"/>
          <w:sz w:val="24"/>
          <w:szCs w:val="24"/>
        </w:rPr>
      </w:pPr>
      <w:r>
        <w:rPr>
          <w:rFonts w:ascii="Times New Roman" w:hAnsi="Times New Roman" w:cs="Times New Roman"/>
          <w:sz w:val="24"/>
          <w:szCs w:val="24"/>
        </w:rPr>
        <w:t>We report three important results. First, analysis of the abnormal returns (ARs) show</w:t>
      </w:r>
      <w:r w:rsidR="005B76AF" w:rsidRPr="004B3788">
        <w:rPr>
          <w:rFonts w:ascii="Times New Roman" w:hAnsi="Times New Roman" w:cs="Times New Roman"/>
          <w:sz w:val="24"/>
          <w:szCs w:val="24"/>
        </w:rPr>
        <w:t xml:space="preserve"> </w:t>
      </w:r>
      <w:r w:rsidR="00EE37CE" w:rsidRPr="004B3788">
        <w:rPr>
          <w:rFonts w:ascii="Times New Roman" w:hAnsi="Times New Roman" w:cs="Times New Roman"/>
          <w:sz w:val="24"/>
          <w:szCs w:val="24"/>
        </w:rPr>
        <w:t xml:space="preserve">the negative </w:t>
      </w:r>
      <w:r>
        <w:rPr>
          <w:rFonts w:ascii="Times New Roman" w:hAnsi="Times New Roman" w:cs="Times New Roman"/>
          <w:sz w:val="24"/>
          <w:szCs w:val="24"/>
        </w:rPr>
        <w:t xml:space="preserve">reaction </w:t>
      </w:r>
      <w:r w:rsidR="00EE37CE" w:rsidRPr="00EE37CE">
        <w:rPr>
          <w:rFonts w:ascii="Times New Roman" w:hAnsi="Times New Roman" w:cs="Times New Roman"/>
          <w:sz w:val="24"/>
          <w:szCs w:val="24"/>
        </w:rPr>
        <w:t xml:space="preserve">of the </w:t>
      </w:r>
      <w:r>
        <w:rPr>
          <w:rFonts w:ascii="Times New Roman" w:hAnsi="Times New Roman" w:cs="Times New Roman"/>
          <w:sz w:val="24"/>
          <w:szCs w:val="24"/>
        </w:rPr>
        <w:t xml:space="preserve">selected </w:t>
      </w:r>
      <w:r w:rsidR="00EE37CE" w:rsidRPr="00EE37CE">
        <w:rPr>
          <w:rFonts w:ascii="Times New Roman" w:hAnsi="Times New Roman" w:cs="Times New Roman"/>
          <w:sz w:val="24"/>
          <w:szCs w:val="24"/>
        </w:rPr>
        <w:t xml:space="preserve">stock markets on </w:t>
      </w:r>
      <w:r>
        <w:rPr>
          <w:rFonts w:ascii="Times New Roman" w:hAnsi="Times New Roman" w:cs="Times New Roman"/>
          <w:sz w:val="24"/>
          <w:szCs w:val="24"/>
        </w:rPr>
        <w:t>the event date</w:t>
      </w:r>
      <w:r w:rsidR="00EE37CE" w:rsidRPr="00EE37CE">
        <w:rPr>
          <w:rFonts w:ascii="Times New Roman" w:hAnsi="Times New Roman" w:cs="Times New Roman"/>
          <w:sz w:val="24"/>
          <w:szCs w:val="24"/>
        </w:rPr>
        <w:t xml:space="preserve">, </w:t>
      </w:r>
      <w:r>
        <w:rPr>
          <w:rFonts w:ascii="Times New Roman" w:hAnsi="Times New Roman" w:cs="Times New Roman"/>
          <w:sz w:val="24"/>
          <w:szCs w:val="24"/>
        </w:rPr>
        <w:t xml:space="preserve">while the reaction of </w:t>
      </w:r>
      <w:r w:rsidR="00EE37CE" w:rsidRPr="00EE37CE">
        <w:rPr>
          <w:rFonts w:ascii="Times New Roman" w:hAnsi="Times New Roman" w:cs="Times New Roman"/>
          <w:sz w:val="24"/>
          <w:szCs w:val="24"/>
        </w:rPr>
        <w:t>the Russian market</w:t>
      </w:r>
      <w:r>
        <w:rPr>
          <w:rFonts w:ascii="Times New Roman" w:hAnsi="Times New Roman" w:cs="Times New Roman"/>
          <w:sz w:val="24"/>
          <w:szCs w:val="24"/>
        </w:rPr>
        <w:t xml:space="preserve"> is particularly strong. Second, the country</w:t>
      </w:r>
      <w:r w:rsidRPr="00EE37CE">
        <w:rPr>
          <w:rFonts w:ascii="Times New Roman" w:hAnsi="Times New Roman" w:cs="Times New Roman"/>
          <w:sz w:val="24"/>
          <w:szCs w:val="24"/>
        </w:rPr>
        <w:t>wide</w:t>
      </w:r>
      <w:r>
        <w:rPr>
          <w:rFonts w:ascii="Times New Roman" w:hAnsi="Times New Roman" w:cs="Times New Roman"/>
          <w:sz w:val="24"/>
          <w:szCs w:val="24"/>
        </w:rPr>
        <w:t xml:space="preserve"> cumulative abnormal returns</w:t>
      </w:r>
      <w:r w:rsidR="00EE37CE" w:rsidRPr="00EE37CE">
        <w:rPr>
          <w:rFonts w:ascii="Times New Roman" w:hAnsi="Times New Roman" w:cs="Times New Roman"/>
          <w:sz w:val="24"/>
          <w:szCs w:val="24"/>
        </w:rPr>
        <w:t xml:space="preserve"> </w:t>
      </w:r>
      <w:r>
        <w:rPr>
          <w:rFonts w:ascii="Times New Roman" w:hAnsi="Times New Roman" w:cs="Times New Roman"/>
          <w:sz w:val="24"/>
          <w:szCs w:val="24"/>
        </w:rPr>
        <w:t>(</w:t>
      </w:r>
      <w:r w:rsidR="004D1B11">
        <w:rPr>
          <w:rFonts w:ascii="Times New Roman" w:hAnsi="Times New Roman" w:cs="Times New Roman"/>
          <w:sz w:val="24"/>
          <w:szCs w:val="24"/>
        </w:rPr>
        <w:t>CAR</w:t>
      </w:r>
      <w:r>
        <w:rPr>
          <w:rFonts w:ascii="Times New Roman" w:hAnsi="Times New Roman" w:cs="Times New Roman"/>
          <w:sz w:val="24"/>
          <w:szCs w:val="24"/>
        </w:rPr>
        <w:t>)</w:t>
      </w:r>
      <w:r w:rsidR="004D1B11">
        <w:rPr>
          <w:rFonts w:ascii="Times New Roman" w:hAnsi="Times New Roman" w:cs="Times New Roman"/>
          <w:sz w:val="24"/>
          <w:szCs w:val="24"/>
        </w:rPr>
        <w:t xml:space="preserve"> </w:t>
      </w:r>
      <w:r w:rsidR="00EE37CE" w:rsidRPr="00EE37CE">
        <w:rPr>
          <w:rFonts w:ascii="Times New Roman" w:hAnsi="Times New Roman" w:cs="Times New Roman"/>
          <w:sz w:val="24"/>
          <w:szCs w:val="24"/>
        </w:rPr>
        <w:t>analysis reveals that Hungary, Russia, Poland, and Slovakia stock markets reacted negatively in both pre</w:t>
      </w:r>
      <w:r>
        <w:rPr>
          <w:rFonts w:ascii="Times New Roman" w:hAnsi="Times New Roman" w:cs="Times New Roman"/>
          <w:sz w:val="24"/>
          <w:szCs w:val="24"/>
        </w:rPr>
        <w:t>-</w:t>
      </w:r>
      <w:r w:rsidR="00EE37CE" w:rsidRPr="00EE37CE">
        <w:rPr>
          <w:rFonts w:ascii="Times New Roman" w:hAnsi="Times New Roman" w:cs="Times New Roman"/>
          <w:sz w:val="24"/>
          <w:szCs w:val="24"/>
        </w:rPr>
        <w:t xml:space="preserve"> and post</w:t>
      </w:r>
      <w:r>
        <w:rPr>
          <w:rFonts w:ascii="Times New Roman" w:hAnsi="Times New Roman" w:cs="Times New Roman"/>
          <w:sz w:val="24"/>
          <w:szCs w:val="24"/>
        </w:rPr>
        <w:t>-</w:t>
      </w:r>
      <w:r w:rsidR="00EE37CE" w:rsidRPr="00EE37CE">
        <w:rPr>
          <w:rFonts w:ascii="Times New Roman" w:hAnsi="Times New Roman" w:cs="Times New Roman"/>
          <w:sz w:val="24"/>
          <w:szCs w:val="24"/>
        </w:rPr>
        <w:t xml:space="preserve"> event days, whereas Australia, France, Germany, India, Italy, Japan, Romania, South Africa, Spain, and Turkey adversely affected in post</w:t>
      </w:r>
      <w:r w:rsidR="00911099">
        <w:rPr>
          <w:rFonts w:ascii="Times New Roman" w:hAnsi="Times New Roman" w:cs="Times New Roman"/>
          <w:sz w:val="24"/>
          <w:szCs w:val="24"/>
        </w:rPr>
        <w:t>-</w:t>
      </w:r>
      <w:r w:rsidR="00EE37CE" w:rsidRPr="00EE37CE">
        <w:rPr>
          <w:rFonts w:ascii="Times New Roman" w:hAnsi="Times New Roman" w:cs="Times New Roman"/>
          <w:sz w:val="24"/>
          <w:szCs w:val="24"/>
        </w:rPr>
        <w:t xml:space="preserve"> </w:t>
      </w:r>
      <w:r w:rsidR="00911099">
        <w:rPr>
          <w:rFonts w:ascii="Times New Roman" w:hAnsi="Times New Roman" w:cs="Times New Roman"/>
          <w:sz w:val="24"/>
          <w:szCs w:val="24"/>
        </w:rPr>
        <w:t>event</w:t>
      </w:r>
      <w:r w:rsidR="00EE37CE" w:rsidRPr="00EE37CE">
        <w:rPr>
          <w:rFonts w:ascii="Times New Roman" w:hAnsi="Times New Roman" w:cs="Times New Roman"/>
          <w:sz w:val="24"/>
          <w:szCs w:val="24"/>
        </w:rPr>
        <w:t xml:space="preserve"> days</w:t>
      </w:r>
      <w:r>
        <w:rPr>
          <w:rFonts w:ascii="Times New Roman" w:hAnsi="Times New Roman" w:cs="Times New Roman"/>
          <w:sz w:val="24"/>
          <w:szCs w:val="24"/>
        </w:rPr>
        <w:t xml:space="preserve"> only</w:t>
      </w:r>
      <w:r w:rsidR="00EE37CE" w:rsidRPr="00EE37CE">
        <w:rPr>
          <w:rFonts w:ascii="Times New Roman" w:hAnsi="Times New Roman" w:cs="Times New Roman"/>
          <w:sz w:val="24"/>
          <w:szCs w:val="24"/>
        </w:rPr>
        <w:t>. Finally, the regional</w:t>
      </w:r>
      <w:r>
        <w:rPr>
          <w:rFonts w:ascii="Times New Roman" w:hAnsi="Times New Roman" w:cs="Times New Roman"/>
          <w:sz w:val="24"/>
          <w:szCs w:val="24"/>
        </w:rPr>
        <w:t xml:space="preserve"> cumulative abnormal return</w:t>
      </w:r>
      <w:r w:rsidR="003163EB">
        <w:rPr>
          <w:rFonts w:ascii="Times New Roman" w:hAnsi="Times New Roman" w:cs="Times New Roman"/>
          <w:sz w:val="24"/>
          <w:szCs w:val="24"/>
        </w:rPr>
        <w:t>s</w:t>
      </w:r>
      <w:r>
        <w:rPr>
          <w:rFonts w:ascii="Times New Roman" w:hAnsi="Times New Roman" w:cs="Times New Roman"/>
          <w:sz w:val="24"/>
          <w:szCs w:val="24"/>
        </w:rPr>
        <w:t xml:space="preserve"> (</w:t>
      </w:r>
      <w:r w:rsidR="00EE37CE" w:rsidRPr="00EE37CE">
        <w:rPr>
          <w:rFonts w:ascii="Times New Roman" w:hAnsi="Times New Roman" w:cs="Times New Roman"/>
          <w:sz w:val="24"/>
          <w:szCs w:val="24"/>
        </w:rPr>
        <w:t>CAAR</w:t>
      </w:r>
      <w:r>
        <w:rPr>
          <w:rFonts w:ascii="Times New Roman" w:hAnsi="Times New Roman" w:cs="Times New Roman"/>
          <w:sz w:val="24"/>
          <w:szCs w:val="24"/>
        </w:rPr>
        <w:t>)</w:t>
      </w:r>
      <w:r w:rsidR="00EE37CE" w:rsidRPr="00EE37CE">
        <w:rPr>
          <w:rFonts w:ascii="Times New Roman" w:hAnsi="Times New Roman" w:cs="Times New Roman"/>
          <w:sz w:val="24"/>
          <w:szCs w:val="24"/>
        </w:rPr>
        <w:t xml:space="preserve"> analysis indicate that the European and Asian regions </w:t>
      </w:r>
      <w:r w:rsidR="003163EB">
        <w:rPr>
          <w:rFonts w:ascii="Times New Roman" w:hAnsi="Times New Roman" w:cs="Times New Roman"/>
          <w:sz w:val="24"/>
          <w:szCs w:val="24"/>
        </w:rPr>
        <w:t xml:space="preserve">have been </w:t>
      </w:r>
      <w:r w:rsidR="00EE37CE" w:rsidRPr="00EE37CE">
        <w:rPr>
          <w:rFonts w:ascii="Times New Roman" w:hAnsi="Times New Roman" w:cs="Times New Roman"/>
          <w:sz w:val="24"/>
          <w:szCs w:val="24"/>
        </w:rPr>
        <w:t>affected</w:t>
      </w:r>
      <w:r w:rsidR="003163EB">
        <w:rPr>
          <w:rFonts w:ascii="Times New Roman" w:hAnsi="Times New Roman" w:cs="Times New Roman"/>
          <w:sz w:val="24"/>
          <w:szCs w:val="24"/>
        </w:rPr>
        <w:t xml:space="preserve"> the most</w:t>
      </w:r>
      <w:r w:rsidR="00EE37CE" w:rsidRPr="00EE37CE">
        <w:rPr>
          <w:rFonts w:ascii="Times New Roman" w:hAnsi="Times New Roman" w:cs="Times New Roman"/>
          <w:sz w:val="24"/>
          <w:szCs w:val="24"/>
        </w:rPr>
        <w:t xml:space="preserve"> </w:t>
      </w:r>
      <w:r w:rsidR="00911099">
        <w:rPr>
          <w:rFonts w:ascii="Times New Roman" w:hAnsi="Times New Roman" w:cs="Times New Roman"/>
          <w:sz w:val="24"/>
          <w:szCs w:val="24"/>
        </w:rPr>
        <w:t xml:space="preserve">by the launch of </w:t>
      </w:r>
      <w:r w:rsidR="003163EB">
        <w:rPr>
          <w:rFonts w:ascii="Times New Roman" w:hAnsi="Times New Roman" w:cs="Times New Roman"/>
          <w:sz w:val="24"/>
          <w:szCs w:val="24"/>
        </w:rPr>
        <w:t>the Russian</w:t>
      </w:r>
      <w:r w:rsidR="006659CF">
        <w:rPr>
          <w:rFonts w:ascii="Times New Roman" w:hAnsi="Times New Roman" w:cs="Times New Roman"/>
          <w:sz w:val="24"/>
          <w:szCs w:val="24"/>
        </w:rPr>
        <w:t xml:space="preserve"> special</w:t>
      </w:r>
      <w:r w:rsidR="003163EB">
        <w:rPr>
          <w:rFonts w:ascii="Times New Roman" w:hAnsi="Times New Roman" w:cs="Times New Roman"/>
          <w:sz w:val="24"/>
          <w:szCs w:val="24"/>
        </w:rPr>
        <w:t xml:space="preserve"> </w:t>
      </w:r>
      <w:r w:rsidR="00911099">
        <w:rPr>
          <w:rFonts w:ascii="Times New Roman" w:hAnsi="Times New Roman" w:cs="Times New Roman"/>
          <w:sz w:val="24"/>
          <w:szCs w:val="24"/>
        </w:rPr>
        <w:t>military operation</w:t>
      </w:r>
      <w:r w:rsidR="003163EB">
        <w:rPr>
          <w:rFonts w:ascii="Times New Roman" w:hAnsi="Times New Roman" w:cs="Times New Roman"/>
          <w:sz w:val="24"/>
          <w:szCs w:val="24"/>
        </w:rPr>
        <w:t xml:space="preserve"> in Ukraine</w:t>
      </w:r>
      <w:r w:rsidR="00EE37CE" w:rsidRPr="00EE37CE">
        <w:rPr>
          <w:rFonts w:ascii="Times New Roman" w:hAnsi="Times New Roman" w:cs="Times New Roman"/>
          <w:sz w:val="24"/>
          <w:szCs w:val="24"/>
        </w:rPr>
        <w:t xml:space="preserve">. </w:t>
      </w:r>
      <w:r w:rsidR="00946A2D" w:rsidRPr="00975E4F">
        <w:rPr>
          <w:rFonts w:ascii="Times New Roman" w:hAnsi="Times New Roman" w:cs="Times New Roman"/>
          <w:sz w:val="24"/>
          <w:szCs w:val="24"/>
        </w:rPr>
        <w:t xml:space="preserve">The remaining study is structured as follow: section 2 explains the data and methodology, section 3 and 4 provides the results and conclusion of the study. </w:t>
      </w:r>
    </w:p>
    <w:p w14:paraId="201BAB1B" w14:textId="77777777" w:rsidR="00320192" w:rsidRDefault="00320192" w:rsidP="00B82077">
      <w:pPr>
        <w:spacing w:line="360" w:lineRule="auto"/>
        <w:jc w:val="both"/>
        <w:rPr>
          <w:rFonts w:ascii="Times New Roman" w:hAnsi="Times New Roman" w:cs="Times New Roman"/>
          <w:b/>
          <w:bCs/>
          <w:sz w:val="28"/>
          <w:szCs w:val="28"/>
        </w:rPr>
      </w:pPr>
    </w:p>
    <w:p w14:paraId="642EF807" w14:textId="60B85ADE" w:rsidR="0073291E" w:rsidRPr="005615C5" w:rsidRDefault="00EE2BB5" w:rsidP="00B82077">
      <w:pPr>
        <w:spacing w:line="360" w:lineRule="auto"/>
        <w:jc w:val="both"/>
        <w:rPr>
          <w:rFonts w:ascii="Times New Roman" w:hAnsi="Times New Roman" w:cs="Times New Roman"/>
          <w:b/>
          <w:bCs/>
        </w:rPr>
      </w:pPr>
      <w:r w:rsidRPr="00B37616">
        <w:rPr>
          <w:rFonts w:ascii="Times New Roman" w:hAnsi="Times New Roman" w:cs="Times New Roman"/>
          <w:b/>
          <w:bCs/>
          <w:sz w:val="28"/>
          <w:szCs w:val="28"/>
        </w:rPr>
        <w:t>2.</w:t>
      </w:r>
      <w:r w:rsidRPr="005615C5">
        <w:rPr>
          <w:rFonts w:ascii="Times New Roman" w:hAnsi="Times New Roman" w:cs="Times New Roman"/>
          <w:b/>
          <w:bCs/>
        </w:rPr>
        <w:t xml:space="preserve"> </w:t>
      </w:r>
      <w:r w:rsidRPr="00B37616">
        <w:rPr>
          <w:rFonts w:ascii="Times New Roman" w:hAnsi="Times New Roman" w:cs="Times New Roman"/>
          <w:b/>
          <w:bCs/>
          <w:sz w:val="28"/>
          <w:szCs w:val="28"/>
        </w:rPr>
        <w:t>Data and research methodology</w:t>
      </w:r>
    </w:p>
    <w:p w14:paraId="66BF1104" w14:textId="08F443B6" w:rsidR="002A0796" w:rsidRPr="005615C5" w:rsidRDefault="001A0ED5" w:rsidP="00B82077">
      <w:pPr>
        <w:spacing w:line="360" w:lineRule="auto"/>
        <w:jc w:val="both"/>
        <w:rPr>
          <w:rFonts w:ascii="Times New Roman" w:hAnsi="Times New Roman" w:cs="Times New Roman"/>
        </w:rPr>
      </w:pPr>
      <w:r w:rsidRPr="00B37616">
        <w:rPr>
          <w:rFonts w:ascii="Times New Roman" w:hAnsi="Times New Roman" w:cs="Times New Roman"/>
          <w:b/>
          <w:bCs/>
        </w:rPr>
        <w:t>2</w:t>
      </w:r>
      <w:r w:rsidR="002A0796" w:rsidRPr="00B37616">
        <w:rPr>
          <w:rFonts w:ascii="Times New Roman" w:hAnsi="Times New Roman" w:cs="Times New Roman"/>
          <w:b/>
          <w:bCs/>
        </w:rPr>
        <w:t>.</w:t>
      </w:r>
      <w:r w:rsidR="001D194B" w:rsidRPr="00B37616">
        <w:rPr>
          <w:rFonts w:ascii="Times New Roman" w:hAnsi="Times New Roman" w:cs="Times New Roman"/>
          <w:b/>
          <w:bCs/>
        </w:rPr>
        <w:t>1</w:t>
      </w:r>
      <w:r w:rsidR="002A0796" w:rsidRPr="00B37616">
        <w:rPr>
          <w:rFonts w:ascii="Times New Roman" w:hAnsi="Times New Roman" w:cs="Times New Roman"/>
          <w:b/>
          <w:bCs/>
        </w:rPr>
        <w:t>.</w:t>
      </w:r>
      <w:r w:rsidR="002A0796" w:rsidRPr="005615C5">
        <w:rPr>
          <w:rFonts w:ascii="Times New Roman" w:hAnsi="Times New Roman" w:cs="Times New Roman"/>
        </w:rPr>
        <w:t xml:space="preserve"> </w:t>
      </w:r>
      <w:r w:rsidR="001D194B" w:rsidRPr="00B37616">
        <w:rPr>
          <w:rFonts w:ascii="Times New Roman" w:hAnsi="Times New Roman" w:cs="Times New Roman"/>
          <w:b/>
          <w:bCs/>
          <w:sz w:val="24"/>
          <w:szCs w:val="24"/>
        </w:rPr>
        <w:t>Data description</w:t>
      </w:r>
    </w:p>
    <w:p w14:paraId="3F5A923B" w14:textId="006BB1A2" w:rsidR="00CA166A" w:rsidRDefault="007E7D47" w:rsidP="001D194B">
      <w:pPr>
        <w:spacing w:line="360" w:lineRule="auto"/>
        <w:jc w:val="both"/>
        <w:rPr>
          <w:rFonts w:ascii="Times New Roman" w:hAnsi="Times New Roman" w:cs="Times New Roman"/>
          <w:sz w:val="24"/>
          <w:szCs w:val="24"/>
          <w:lang w:bidi="gu-IN"/>
        </w:rPr>
      </w:pPr>
      <w:r w:rsidRPr="00B37616">
        <w:rPr>
          <w:rFonts w:ascii="Times New Roman" w:hAnsi="Times New Roman" w:cs="Times New Roman"/>
          <w:sz w:val="24"/>
          <w:szCs w:val="24"/>
        </w:rPr>
        <w:t xml:space="preserve">To perform the event study, we need to </w:t>
      </w:r>
      <w:r w:rsidR="001D194B" w:rsidRPr="00B37616">
        <w:rPr>
          <w:rFonts w:ascii="Times New Roman" w:hAnsi="Times New Roman" w:cs="Times New Roman"/>
          <w:sz w:val="24"/>
          <w:szCs w:val="24"/>
        </w:rPr>
        <w:t>define</w:t>
      </w:r>
      <w:r w:rsidR="006659CF">
        <w:rPr>
          <w:rFonts w:ascii="Times New Roman" w:hAnsi="Times New Roman" w:cs="Times New Roman"/>
          <w:sz w:val="24"/>
          <w:szCs w:val="24"/>
        </w:rPr>
        <w:t xml:space="preserve"> the event, event date and </w:t>
      </w:r>
      <w:r w:rsidRPr="00B37616">
        <w:rPr>
          <w:rFonts w:ascii="Times New Roman" w:hAnsi="Times New Roman" w:cs="Times New Roman"/>
          <w:sz w:val="24"/>
          <w:szCs w:val="24"/>
        </w:rPr>
        <w:t>event window.</w:t>
      </w:r>
      <w:r w:rsidR="00B75989" w:rsidRPr="00B37616">
        <w:rPr>
          <w:rFonts w:ascii="Times New Roman" w:hAnsi="Times New Roman" w:cs="Times New Roman"/>
          <w:sz w:val="24"/>
          <w:szCs w:val="24"/>
        </w:rPr>
        <w:t xml:space="preserve"> </w:t>
      </w:r>
      <w:r w:rsidR="00F370A5">
        <w:rPr>
          <w:rFonts w:ascii="Times New Roman" w:hAnsi="Times New Roman" w:cs="Times New Roman"/>
          <w:sz w:val="24"/>
          <w:szCs w:val="24"/>
        </w:rPr>
        <w:t xml:space="preserve">Since the war has never been formally declared we use </w:t>
      </w:r>
      <w:r w:rsidR="00B75989" w:rsidRPr="00B37616">
        <w:rPr>
          <w:rFonts w:ascii="Times New Roman" w:hAnsi="Times New Roman" w:cs="Times New Roman"/>
          <w:sz w:val="24"/>
          <w:szCs w:val="24"/>
        </w:rPr>
        <w:t>24</w:t>
      </w:r>
      <w:r w:rsidR="00B75989" w:rsidRPr="00B37616">
        <w:rPr>
          <w:rFonts w:ascii="Times New Roman" w:hAnsi="Times New Roman" w:cs="Times New Roman"/>
          <w:sz w:val="24"/>
          <w:szCs w:val="24"/>
          <w:vertAlign w:val="superscript"/>
        </w:rPr>
        <w:t>th</w:t>
      </w:r>
      <w:r w:rsidR="00437D4C">
        <w:rPr>
          <w:rFonts w:ascii="Times New Roman" w:hAnsi="Times New Roman" w:cs="Times New Roman"/>
          <w:sz w:val="24"/>
          <w:szCs w:val="24"/>
        </w:rPr>
        <w:t xml:space="preserve"> February 2022 as a </w:t>
      </w:r>
      <w:r w:rsidR="006659CF">
        <w:rPr>
          <w:rFonts w:ascii="Times New Roman" w:hAnsi="Times New Roman" w:cs="Times New Roman"/>
          <w:sz w:val="24"/>
          <w:szCs w:val="24"/>
        </w:rPr>
        <w:t>breakout date</w:t>
      </w:r>
      <w:r w:rsidR="00F370A5">
        <w:rPr>
          <w:rFonts w:ascii="Times New Roman" w:hAnsi="Times New Roman" w:cs="Times New Roman"/>
          <w:sz w:val="24"/>
          <w:szCs w:val="24"/>
        </w:rPr>
        <w:t xml:space="preserve"> of the </w:t>
      </w:r>
      <w:r w:rsidR="006659CF">
        <w:rPr>
          <w:rFonts w:ascii="Times New Roman" w:hAnsi="Times New Roman" w:cs="Times New Roman"/>
          <w:sz w:val="24"/>
          <w:szCs w:val="24"/>
        </w:rPr>
        <w:t>Russian-</w:t>
      </w:r>
      <w:r w:rsidR="00F370A5">
        <w:rPr>
          <w:rFonts w:ascii="Times New Roman" w:hAnsi="Times New Roman" w:cs="Times New Roman"/>
          <w:sz w:val="24"/>
          <w:szCs w:val="24"/>
        </w:rPr>
        <w:t>Ukraine</w:t>
      </w:r>
      <w:r w:rsidR="006659CF">
        <w:rPr>
          <w:rFonts w:ascii="Times New Roman" w:hAnsi="Times New Roman" w:cs="Times New Roman"/>
          <w:sz w:val="24"/>
          <w:szCs w:val="24"/>
        </w:rPr>
        <w:t xml:space="preserve"> conflict</w:t>
      </w:r>
      <w:r w:rsidR="00B75989" w:rsidRPr="00B37616">
        <w:rPr>
          <w:rFonts w:ascii="Times New Roman" w:hAnsi="Times New Roman" w:cs="Times New Roman"/>
          <w:sz w:val="24"/>
          <w:szCs w:val="24"/>
        </w:rPr>
        <w:t>.</w:t>
      </w:r>
      <w:r w:rsidR="00AC4654" w:rsidRPr="00B37616">
        <w:rPr>
          <w:rStyle w:val="FootnoteReference"/>
          <w:rFonts w:ascii="Times New Roman" w:hAnsi="Times New Roman" w:cs="Times New Roman"/>
          <w:sz w:val="24"/>
          <w:szCs w:val="24"/>
        </w:rPr>
        <w:footnoteReference w:id="5"/>
      </w:r>
      <w:r w:rsidR="00A84A69" w:rsidRPr="00B37616">
        <w:rPr>
          <w:rFonts w:ascii="Times New Roman" w:hAnsi="Times New Roman" w:cs="Times New Roman"/>
          <w:sz w:val="24"/>
          <w:szCs w:val="24"/>
        </w:rPr>
        <w:t xml:space="preserve"> The event window consists of 11 days from t</w:t>
      </w:r>
      <w:r w:rsidR="00A84A69" w:rsidRPr="00B37616">
        <w:rPr>
          <w:rFonts w:ascii="Times New Roman" w:hAnsi="Times New Roman" w:cs="Times New Roman"/>
          <w:sz w:val="24"/>
          <w:szCs w:val="24"/>
          <w:vertAlign w:val="subscript"/>
        </w:rPr>
        <w:t>-5</w:t>
      </w:r>
      <w:r w:rsidR="00A84A69" w:rsidRPr="00B37616">
        <w:rPr>
          <w:rFonts w:ascii="Times New Roman" w:hAnsi="Times New Roman" w:cs="Times New Roman"/>
          <w:sz w:val="24"/>
          <w:szCs w:val="24"/>
        </w:rPr>
        <w:t xml:space="preserve"> to t</w:t>
      </w:r>
      <w:r w:rsidR="00A84A69" w:rsidRPr="00B37616">
        <w:rPr>
          <w:rFonts w:ascii="Times New Roman" w:hAnsi="Times New Roman" w:cs="Times New Roman"/>
          <w:sz w:val="24"/>
          <w:szCs w:val="24"/>
          <w:vertAlign w:val="subscript"/>
        </w:rPr>
        <w:t>+5</w:t>
      </w:r>
      <w:r w:rsidR="00A84A69" w:rsidRPr="00B37616">
        <w:rPr>
          <w:rFonts w:ascii="Times New Roman" w:hAnsi="Times New Roman" w:cs="Times New Roman"/>
          <w:sz w:val="24"/>
          <w:szCs w:val="24"/>
        </w:rPr>
        <w:t xml:space="preserve"> days.</w:t>
      </w:r>
      <w:r w:rsidR="003F3E2C" w:rsidRPr="00B37616">
        <w:rPr>
          <w:rFonts w:ascii="Times New Roman" w:hAnsi="Times New Roman" w:cs="Times New Roman"/>
          <w:sz w:val="24"/>
          <w:szCs w:val="24"/>
        </w:rPr>
        <w:t xml:space="preserve"> </w:t>
      </w:r>
      <w:r w:rsidR="007164C9" w:rsidRPr="00827563">
        <w:rPr>
          <w:rFonts w:ascii="Times New Roman" w:hAnsi="Times New Roman" w:cs="Times New Roman"/>
          <w:sz w:val="24"/>
          <w:szCs w:val="24"/>
          <w:lang w:bidi="gu-IN"/>
        </w:rPr>
        <w:t xml:space="preserve">The estimation window is of </w:t>
      </w:r>
      <w:r w:rsidR="00B83C80">
        <w:rPr>
          <w:rFonts w:ascii="Times New Roman" w:hAnsi="Times New Roman" w:cs="Times New Roman"/>
          <w:sz w:val="24"/>
          <w:szCs w:val="24"/>
          <w:lang w:bidi="gu-IN"/>
        </w:rPr>
        <w:t>120</w:t>
      </w:r>
      <w:r w:rsidR="007164C9" w:rsidRPr="00827563">
        <w:rPr>
          <w:rFonts w:ascii="Times New Roman" w:hAnsi="Times New Roman" w:cs="Times New Roman"/>
          <w:sz w:val="24"/>
          <w:szCs w:val="24"/>
          <w:lang w:bidi="gu-IN"/>
        </w:rPr>
        <w:t xml:space="preserve"> days from t-</w:t>
      </w:r>
      <w:r w:rsidR="00B83C80">
        <w:rPr>
          <w:rFonts w:ascii="Times New Roman" w:hAnsi="Times New Roman" w:cs="Times New Roman"/>
          <w:sz w:val="24"/>
          <w:szCs w:val="24"/>
          <w:lang w:bidi="gu-IN"/>
        </w:rPr>
        <w:t>125</w:t>
      </w:r>
      <w:r w:rsidR="007164C9" w:rsidRPr="00827563">
        <w:rPr>
          <w:rFonts w:ascii="Times New Roman" w:hAnsi="Times New Roman" w:cs="Times New Roman"/>
          <w:sz w:val="24"/>
          <w:szCs w:val="24"/>
          <w:lang w:bidi="gu-IN"/>
        </w:rPr>
        <w:t xml:space="preserve"> to t-6 days. </w:t>
      </w:r>
      <w:r w:rsidR="000924EA">
        <w:rPr>
          <w:rFonts w:ascii="Times New Roman" w:hAnsi="Times New Roman" w:cs="Times New Roman"/>
          <w:sz w:val="24"/>
          <w:szCs w:val="24"/>
          <w:lang w:bidi="gu-IN"/>
        </w:rPr>
        <w:t xml:space="preserve">For daily data, </w:t>
      </w:r>
      <w:proofErr w:type="spellStart"/>
      <w:r w:rsidR="00B92B64" w:rsidRPr="00B92B64">
        <w:rPr>
          <w:rFonts w:ascii="Times New Roman" w:hAnsi="Times New Roman" w:cs="Times New Roman"/>
          <w:sz w:val="24"/>
          <w:szCs w:val="24"/>
          <w:lang w:bidi="gu-IN"/>
        </w:rPr>
        <w:t>MacKinlay</w:t>
      </w:r>
      <w:proofErr w:type="spellEnd"/>
      <w:r w:rsidR="00B92B64">
        <w:rPr>
          <w:rFonts w:ascii="Times New Roman" w:hAnsi="Times New Roman" w:cs="Times New Roman"/>
          <w:sz w:val="24"/>
          <w:szCs w:val="24"/>
          <w:lang w:bidi="gu-IN"/>
        </w:rPr>
        <w:t xml:space="preserve"> </w:t>
      </w:r>
      <w:r w:rsidR="00B92B64" w:rsidRPr="00B92B64">
        <w:rPr>
          <w:rFonts w:ascii="Times New Roman" w:hAnsi="Times New Roman" w:cs="Times New Roman"/>
          <w:sz w:val="24"/>
          <w:szCs w:val="24"/>
          <w:lang w:bidi="gu-IN"/>
        </w:rPr>
        <w:t>(1997</w:t>
      </w:r>
      <w:r w:rsidR="00B92B64">
        <w:rPr>
          <w:rFonts w:ascii="Times New Roman" w:hAnsi="Times New Roman" w:cs="Times New Roman"/>
          <w:sz w:val="24"/>
          <w:szCs w:val="24"/>
          <w:lang w:bidi="gu-IN"/>
        </w:rPr>
        <w:t xml:space="preserve">) and </w:t>
      </w:r>
      <w:r w:rsidR="007F0F54" w:rsidRPr="000924EA">
        <w:rPr>
          <w:rFonts w:ascii="Times New Roman" w:hAnsi="Times New Roman" w:cs="Times New Roman"/>
          <w:color w:val="0070C0"/>
          <w:sz w:val="24"/>
          <w:szCs w:val="24"/>
          <w:lang w:bidi="gu-IN"/>
        </w:rPr>
        <w:t>Sayed</w:t>
      </w:r>
      <w:r w:rsidR="007F0F54" w:rsidRPr="000924EA">
        <w:rPr>
          <w:rFonts w:ascii="Times New Roman" w:hAnsi="Times New Roman" w:cs="Times New Roman"/>
          <w:color w:val="0070C0"/>
          <w:sz w:val="24"/>
          <w:szCs w:val="24"/>
          <w:lang w:bidi="gu-IN"/>
        </w:rPr>
        <w:t xml:space="preserve"> and</w:t>
      </w:r>
      <w:r w:rsidR="007F0F54" w:rsidRPr="000924EA">
        <w:rPr>
          <w:rFonts w:ascii="Times New Roman" w:hAnsi="Times New Roman" w:cs="Times New Roman"/>
          <w:color w:val="0070C0"/>
          <w:sz w:val="24"/>
          <w:szCs w:val="24"/>
          <w:lang w:bidi="gu-IN"/>
        </w:rPr>
        <w:t xml:space="preserve"> </w:t>
      </w:r>
      <w:proofErr w:type="spellStart"/>
      <w:r w:rsidR="007F0F54" w:rsidRPr="000924EA">
        <w:rPr>
          <w:rFonts w:ascii="Times New Roman" w:hAnsi="Times New Roman" w:cs="Times New Roman"/>
          <w:color w:val="0070C0"/>
          <w:sz w:val="24"/>
          <w:szCs w:val="24"/>
          <w:lang w:bidi="gu-IN"/>
        </w:rPr>
        <w:t>Eledum</w:t>
      </w:r>
      <w:proofErr w:type="spellEnd"/>
      <w:r w:rsidR="007F0F54" w:rsidRPr="000924EA">
        <w:rPr>
          <w:rFonts w:ascii="Times New Roman" w:hAnsi="Times New Roman" w:cs="Times New Roman"/>
          <w:color w:val="0070C0"/>
          <w:sz w:val="24"/>
          <w:szCs w:val="24"/>
          <w:lang w:bidi="gu-IN"/>
        </w:rPr>
        <w:t xml:space="preserve"> </w:t>
      </w:r>
      <w:r w:rsidR="007F0F54" w:rsidRPr="000924EA">
        <w:rPr>
          <w:rFonts w:ascii="Times New Roman" w:hAnsi="Times New Roman" w:cs="Times New Roman"/>
          <w:color w:val="0070C0"/>
          <w:sz w:val="24"/>
          <w:szCs w:val="24"/>
          <w:lang w:bidi="gu-IN"/>
        </w:rPr>
        <w:t>(2021</w:t>
      </w:r>
      <w:r w:rsidR="007F0F54" w:rsidRPr="000924EA">
        <w:rPr>
          <w:rFonts w:ascii="Times New Roman" w:hAnsi="Times New Roman" w:cs="Times New Roman"/>
          <w:color w:val="0070C0"/>
          <w:sz w:val="24"/>
          <w:szCs w:val="24"/>
          <w:lang w:bidi="gu-IN"/>
        </w:rPr>
        <w:t xml:space="preserve">) </w:t>
      </w:r>
      <w:r w:rsidR="000924EA">
        <w:rPr>
          <w:rFonts w:ascii="Times New Roman" w:hAnsi="Times New Roman" w:cs="Times New Roman"/>
          <w:color w:val="0070C0"/>
          <w:sz w:val="24"/>
          <w:szCs w:val="24"/>
          <w:lang w:bidi="gu-IN"/>
        </w:rPr>
        <w:t xml:space="preserve">suggest </w:t>
      </w:r>
      <w:r w:rsidR="00EB40C6">
        <w:rPr>
          <w:rFonts w:ascii="Times New Roman" w:hAnsi="Times New Roman" w:cs="Times New Roman"/>
          <w:color w:val="0070C0"/>
          <w:sz w:val="24"/>
          <w:szCs w:val="24"/>
          <w:lang w:bidi="gu-IN"/>
        </w:rPr>
        <w:t>using</w:t>
      </w:r>
      <w:r w:rsidR="000924EA">
        <w:rPr>
          <w:rFonts w:ascii="Times New Roman" w:hAnsi="Times New Roman" w:cs="Times New Roman"/>
          <w:color w:val="0070C0"/>
          <w:sz w:val="24"/>
          <w:szCs w:val="24"/>
          <w:lang w:bidi="gu-IN"/>
        </w:rPr>
        <w:t xml:space="preserve"> </w:t>
      </w:r>
      <w:r w:rsidR="007F0F54" w:rsidRPr="000924EA">
        <w:rPr>
          <w:rFonts w:ascii="Times New Roman" w:hAnsi="Times New Roman" w:cs="Times New Roman"/>
          <w:color w:val="0070C0"/>
          <w:sz w:val="24"/>
          <w:szCs w:val="24"/>
          <w:lang w:bidi="gu-IN"/>
        </w:rPr>
        <w:t>estimation-window of 120-days</w:t>
      </w:r>
      <w:r w:rsidR="000924EA">
        <w:rPr>
          <w:rFonts w:ascii="Times New Roman" w:hAnsi="Times New Roman" w:cs="Times New Roman"/>
          <w:color w:val="0070C0"/>
          <w:sz w:val="24"/>
          <w:szCs w:val="24"/>
          <w:lang w:bidi="gu-IN"/>
        </w:rPr>
        <w:t xml:space="preserve"> because 120-days are sufficient in formulating a </w:t>
      </w:r>
      <w:r w:rsidR="00EB40C6">
        <w:rPr>
          <w:rFonts w:ascii="Times New Roman" w:hAnsi="Times New Roman" w:cs="Times New Roman"/>
          <w:color w:val="0070C0"/>
          <w:sz w:val="24"/>
          <w:szCs w:val="24"/>
          <w:lang w:bidi="gu-IN"/>
        </w:rPr>
        <w:t>benchmark</w:t>
      </w:r>
      <w:r w:rsidR="000924EA">
        <w:rPr>
          <w:rFonts w:ascii="Times New Roman" w:hAnsi="Times New Roman" w:cs="Times New Roman"/>
          <w:color w:val="0070C0"/>
          <w:sz w:val="24"/>
          <w:szCs w:val="24"/>
          <w:lang w:bidi="gu-IN"/>
        </w:rPr>
        <w:t xml:space="preserve"> for normal returns</w:t>
      </w:r>
      <w:r w:rsidR="007F0F54" w:rsidRPr="000924EA">
        <w:rPr>
          <w:rFonts w:ascii="Times New Roman" w:hAnsi="Times New Roman" w:cs="Times New Roman"/>
          <w:color w:val="0070C0"/>
          <w:sz w:val="24"/>
          <w:szCs w:val="24"/>
          <w:lang w:bidi="gu-IN"/>
        </w:rPr>
        <w:t xml:space="preserve">. </w:t>
      </w:r>
      <w:r w:rsidR="001D194B" w:rsidRPr="00B37616">
        <w:rPr>
          <w:rFonts w:ascii="Times New Roman" w:hAnsi="Times New Roman" w:cs="Times New Roman"/>
          <w:sz w:val="24"/>
          <w:szCs w:val="24"/>
        </w:rPr>
        <w:t xml:space="preserve">We only consider trading days in our analysis. </w:t>
      </w:r>
      <w:r w:rsidR="007F15B5" w:rsidRPr="00B37616">
        <w:rPr>
          <w:rFonts w:ascii="Times New Roman" w:hAnsi="Times New Roman" w:cs="Times New Roman"/>
          <w:sz w:val="24"/>
          <w:szCs w:val="24"/>
        </w:rPr>
        <w:t xml:space="preserve">The </w:t>
      </w:r>
      <w:r w:rsidR="00437D4C">
        <w:rPr>
          <w:rFonts w:ascii="Times New Roman" w:hAnsi="Times New Roman" w:cs="Times New Roman"/>
          <w:sz w:val="24"/>
          <w:szCs w:val="24"/>
        </w:rPr>
        <w:t>event</w:t>
      </w:r>
      <w:r w:rsidR="007F15B5" w:rsidRPr="00B37616">
        <w:rPr>
          <w:rFonts w:ascii="Times New Roman" w:hAnsi="Times New Roman" w:cs="Times New Roman"/>
          <w:sz w:val="24"/>
          <w:szCs w:val="24"/>
        </w:rPr>
        <w:t xml:space="preserve"> has impacted many economics of the </w:t>
      </w:r>
      <w:r w:rsidR="001D194B" w:rsidRPr="00B37616">
        <w:rPr>
          <w:rFonts w:ascii="Times New Roman" w:hAnsi="Times New Roman" w:cs="Times New Roman"/>
          <w:sz w:val="24"/>
          <w:szCs w:val="24"/>
        </w:rPr>
        <w:t xml:space="preserve">world; </w:t>
      </w:r>
      <w:r w:rsidR="007B79C9" w:rsidRPr="00B37616">
        <w:rPr>
          <w:rFonts w:ascii="Times New Roman" w:hAnsi="Times New Roman" w:cs="Times New Roman"/>
          <w:sz w:val="24"/>
          <w:szCs w:val="24"/>
        </w:rPr>
        <w:t>however,</w:t>
      </w:r>
      <w:r w:rsidR="001D194B" w:rsidRPr="00B37616">
        <w:rPr>
          <w:rFonts w:ascii="Times New Roman" w:hAnsi="Times New Roman" w:cs="Times New Roman"/>
          <w:sz w:val="24"/>
          <w:szCs w:val="24"/>
        </w:rPr>
        <w:t xml:space="preserve"> we focus on </w:t>
      </w:r>
      <w:r w:rsidR="00541880" w:rsidRPr="00B37616">
        <w:rPr>
          <w:rFonts w:ascii="Times New Roman" w:hAnsi="Times New Roman" w:cs="Times New Roman"/>
          <w:sz w:val="24"/>
          <w:szCs w:val="24"/>
        </w:rPr>
        <w:t>examin</w:t>
      </w:r>
      <w:r w:rsidR="001D194B" w:rsidRPr="00B37616">
        <w:rPr>
          <w:rFonts w:ascii="Times New Roman" w:hAnsi="Times New Roman" w:cs="Times New Roman"/>
          <w:sz w:val="24"/>
          <w:szCs w:val="24"/>
        </w:rPr>
        <w:t>ing</w:t>
      </w:r>
      <w:r w:rsidR="00541880" w:rsidRPr="00B37616">
        <w:rPr>
          <w:rFonts w:ascii="Times New Roman" w:hAnsi="Times New Roman" w:cs="Times New Roman"/>
          <w:sz w:val="24"/>
          <w:szCs w:val="24"/>
        </w:rPr>
        <w:t xml:space="preserve"> the </w:t>
      </w:r>
      <w:r w:rsidR="001D2155" w:rsidRPr="00B37616">
        <w:rPr>
          <w:rFonts w:ascii="Times New Roman" w:hAnsi="Times New Roman" w:cs="Times New Roman"/>
          <w:sz w:val="24"/>
          <w:szCs w:val="24"/>
        </w:rPr>
        <w:t>impact</w:t>
      </w:r>
      <w:r w:rsidR="001D194B" w:rsidRPr="00B37616">
        <w:rPr>
          <w:rFonts w:ascii="Times New Roman" w:hAnsi="Times New Roman" w:cs="Times New Roman"/>
          <w:sz w:val="24"/>
          <w:szCs w:val="24"/>
        </w:rPr>
        <w:t xml:space="preserve"> </w:t>
      </w:r>
      <w:r w:rsidR="001D194B" w:rsidRPr="00B37616">
        <w:rPr>
          <w:rFonts w:ascii="Times New Roman" w:hAnsi="Times New Roman" w:cs="Times New Roman"/>
          <w:sz w:val="24"/>
          <w:szCs w:val="24"/>
        </w:rPr>
        <w:lastRenderedPageBreak/>
        <w:t xml:space="preserve">on </w:t>
      </w:r>
      <w:r w:rsidR="00541880" w:rsidRPr="00B37616">
        <w:rPr>
          <w:rFonts w:ascii="Times New Roman" w:hAnsi="Times New Roman" w:cs="Times New Roman"/>
          <w:sz w:val="24"/>
          <w:szCs w:val="24"/>
          <w:lang w:bidi="gu-IN"/>
        </w:rPr>
        <w:t xml:space="preserve">the stock exchanges of G20 </w:t>
      </w:r>
      <w:r w:rsidR="001D194B" w:rsidRPr="00B37616">
        <w:rPr>
          <w:rFonts w:ascii="Times New Roman" w:hAnsi="Times New Roman" w:cs="Times New Roman"/>
          <w:sz w:val="24"/>
          <w:szCs w:val="24"/>
          <w:lang w:bidi="gu-IN"/>
        </w:rPr>
        <w:t>and relevant e</w:t>
      </w:r>
      <w:r w:rsidR="00541880" w:rsidRPr="00B37616">
        <w:rPr>
          <w:rFonts w:ascii="Times New Roman" w:hAnsi="Times New Roman" w:cs="Times New Roman"/>
          <w:sz w:val="24"/>
          <w:szCs w:val="24"/>
          <w:lang w:bidi="gu-IN"/>
        </w:rPr>
        <w:t xml:space="preserve">conomies. </w:t>
      </w:r>
      <w:r w:rsidR="001D2155" w:rsidRPr="00B37616">
        <w:rPr>
          <w:rFonts w:ascii="Times New Roman" w:hAnsi="Times New Roman" w:cs="Times New Roman"/>
          <w:sz w:val="24"/>
          <w:szCs w:val="24"/>
          <w:lang w:bidi="gu-IN"/>
        </w:rPr>
        <w:t>The G20 Economies are the world’s largest economies, including both industrialized and developing nations, holds around 90% of gross world product (GWP), 75-80% of international trade and two-thirds of the global population.</w:t>
      </w:r>
      <w:r w:rsidR="00C737CC" w:rsidRPr="00B37616">
        <w:rPr>
          <w:rFonts w:ascii="Times New Roman" w:hAnsi="Times New Roman" w:cs="Times New Roman"/>
          <w:sz w:val="24"/>
          <w:szCs w:val="24"/>
          <w:lang w:bidi="gu-IN"/>
        </w:rPr>
        <w:t xml:space="preserve"> </w:t>
      </w:r>
      <w:r w:rsidR="001D2155" w:rsidRPr="00B37616">
        <w:rPr>
          <w:rFonts w:ascii="Times New Roman" w:hAnsi="Times New Roman" w:cs="Times New Roman"/>
          <w:sz w:val="24"/>
          <w:szCs w:val="24"/>
          <w:lang w:bidi="gu-IN"/>
        </w:rPr>
        <w:t>Further</w:t>
      </w:r>
      <w:r w:rsidR="00541880" w:rsidRPr="00B37616">
        <w:rPr>
          <w:rFonts w:ascii="Times New Roman" w:hAnsi="Times New Roman" w:cs="Times New Roman"/>
          <w:sz w:val="24"/>
          <w:szCs w:val="24"/>
          <w:lang w:bidi="gu-IN"/>
        </w:rPr>
        <w:t xml:space="preserve">, </w:t>
      </w:r>
      <w:r w:rsidR="00C737CC" w:rsidRPr="00B37616">
        <w:rPr>
          <w:rFonts w:ascii="Times New Roman" w:hAnsi="Times New Roman" w:cs="Times New Roman"/>
          <w:sz w:val="24"/>
          <w:szCs w:val="24"/>
          <w:lang w:bidi="gu-IN"/>
        </w:rPr>
        <w:t>d</w:t>
      </w:r>
      <w:r w:rsidR="001D2155" w:rsidRPr="00B37616">
        <w:rPr>
          <w:rFonts w:ascii="Times New Roman" w:hAnsi="Times New Roman" w:cs="Times New Roman"/>
          <w:sz w:val="24"/>
          <w:szCs w:val="24"/>
          <w:lang w:bidi="gu-IN"/>
        </w:rPr>
        <w:t xml:space="preserve">ue to </w:t>
      </w:r>
      <w:r w:rsidR="00437D4C">
        <w:rPr>
          <w:rFonts w:ascii="Times New Roman" w:hAnsi="Times New Roman" w:cs="Times New Roman"/>
          <w:sz w:val="24"/>
          <w:szCs w:val="24"/>
          <w:lang w:bidi="gu-IN"/>
        </w:rPr>
        <w:t>Russia-Ukraine</w:t>
      </w:r>
      <w:r w:rsidR="001D2155" w:rsidRPr="00B37616">
        <w:rPr>
          <w:rFonts w:ascii="Times New Roman" w:hAnsi="Times New Roman" w:cs="Times New Roman"/>
          <w:sz w:val="24"/>
          <w:szCs w:val="24"/>
          <w:lang w:bidi="gu-IN"/>
        </w:rPr>
        <w:t xml:space="preserve"> </w:t>
      </w:r>
      <w:r w:rsidR="00437D4C">
        <w:rPr>
          <w:rFonts w:ascii="Times New Roman" w:hAnsi="Times New Roman" w:cs="Times New Roman"/>
          <w:sz w:val="24"/>
          <w:szCs w:val="24"/>
          <w:lang w:bidi="gu-IN"/>
        </w:rPr>
        <w:t>conflict</w:t>
      </w:r>
      <w:r w:rsidR="001D2155" w:rsidRPr="00B37616">
        <w:rPr>
          <w:rFonts w:ascii="Times New Roman" w:hAnsi="Times New Roman" w:cs="Times New Roman"/>
          <w:sz w:val="24"/>
          <w:szCs w:val="24"/>
          <w:lang w:bidi="gu-IN"/>
        </w:rPr>
        <w:t xml:space="preserve"> </w:t>
      </w:r>
      <w:r w:rsidR="00437D4C">
        <w:rPr>
          <w:rFonts w:ascii="Times New Roman" w:hAnsi="Times New Roman" w:cs="Times New Roman"/>
          <w:sz w:val="24"/>
          <w:szCs w:val="24"/>
          <w:lang w:bidi="gu-IN"/>
        </w:rPr>
        <w:t>many neighbouring countries have been particularly</w:t>
      </w:r>
      <w:r w:rsidR="001D2155" w:rsidRPr="00B37616">
        <w:rPr>
          <w:rFonts w:ascii="Times New Roman" w:hAnsi="Times New Roman" w:cs="Times New Roman"/>
          <w:sz w:val="24"/>
          <w:szCs w:val="24"/>
          <w:lang w:bidi="gu-IN"/>
        </w:rPr>
        <w:t xml:space="preserve"> affected</w:t>
      </w:r>
      <w:r w:rsidR="001D194B" w:rsidRPr="00B37616">
        <w:rPr>
          <w:rFonts w:ascii="Times New Roman" w:hAnsi="Times New Roman" w:cs="Times New Roman"/>
          <w:sz w:val="24"/>
          <w:szCs w:val="24"/>
          <w:lang w:bidi="gu-IN"/>
        </w:rPr>
        <w:t>, therefore</w:t>
      </w:r>
      <w:r w:rsidR="001D2155" w:rsidRPr="00B37616">
        <w:rPr>
          <w:rFonts w:ascii="Times New Roman" w:hAnsi="Times New Roman" w:cs="Times New Roman"/>
          <w:sz w:val="24"/>
          <w:szCs w:val="24"/>
          <w:lang w:bidi="gu-IN"/>
        </w:rPr>
        <w:t xml:space="preserve"> along with G20 economies, we have </w:t>
      </w:r>
      <w:r w:rsidR="00C737CC" w:rsidRPr="00B37616">
        <w:rPr>
          <w:rFonts w:ascii="Times New Roman" w:hAnsi="Times New Roman" w:cs="Times New Roman"/>
          <w:sz w:val="24"/>
          <w:szCs w:val="24"/>
          <w:lang w:bidi="gu-IN"/>
        </w:rPr>
        <w:t xml:space="preserve">examined the </w:t>
      </w:r>
      <w:r w:rsidR="001F7804" w:rsidRPr="00B37616">
        <w:rPr>
          <w:rFonts w:ascii="Times New Roman" w:hAnsi="Times New Roman" w:cs="Times New Roman"/>
          <w:sz w:val="24"/>
          <w:szCs w:val="24"/>
          <w:lang w:bidi="gu-IN"/>
        </w:rPr>
        <w:t xml:space="preserve">stock exchanges of </w:t>
      </w:r>
      <w:r w:rsidR="00C737CC" w:rsidRPr="00B37616">
        <w:rPr>
          <w:rFonts w:ascii="Times New Roman" w:hAnsi="Times New Roman" w:cs="Times New Roman"/>
          <w:sz w:val="24"/>
          <w:szCs w:val="24"/>
          <w:lang w:bidi="gu-IN"/>
        </w:rPr>
        <w:t xml:space="preserve">Romania, Hungary, Netherlands, </w:t>
      </w:r>
      <w:r w:rsidR="00C6245E" w:rsidRPr="00B37616">
        <w:rPr>
          <w:rFonts w:ascii="Times New Roman" w:hAnsi="Times New Roman" w:cs="Times New Roman"/>
          <w:sz w:val="24"/>
          <w:szCs w:val="24"/>
          <w:lang w:bidi="gu-IN"/>
        </w:rPr>
        <w:t>Slovakia,</w:t>
      </w:r>
      <w:r w:rsidR="00C737CC" w:rsidRPr="00B37616">
        <w:rPr>
          <w:rFonts w:ascii="Times New Roman" w:hAnsi="Times New Roman" w:cs="Times New Roman"/>
          <w:sz w:val="24"/>
          <w:szCs w:val="24"/>
          <w:lang w:bidi="gu-IN"/>
        </w:rPr>
        <w:t xml:space="preserve"> and Poland </w:t>
      </w:r>
      <w:r w:rsidR="008254B5" w:rsidRPr="00B37616">
        <w:rPr>
          <w:rFonts w:ascii="Times New Roman" w:hAnsi="Times New Roman" w:cs="Times New Roman"/>
          <w:sz w:val="24"/>
          <w:szCs w:val="24"/>
          <w:lang w:bidi="gu-IN"/>
        </w:rPr>
        <w:t>along</w:t>
      </w:r>
      <w:r w:rsidR="00C737CC" w:rsidRPr="00B37616">
        <w:rPr>
          <w:rFonts w:ascii="Times New Roman" w:hAnsi="Times New Roman" w:cs="Times New Roman"/>
          <w:sz w:val="24"/>
          <w:szCs w:val="24"/>
          <w:lang w:bidi="gu-IN"/>
        </w:rPr>
        <w:t xml:space="preserve"> with Ukraine stock exchanges. </w:t>
      </w:r>
      <w:r w:rsidR="008254B5" w:rsidRPr="00B37616">
        <w:rPr>
          <w:rFonts w:ascii="Times New Roman" w:hAnsi="Times New Roman" w:cs="Times New Roman"/>
          <w:sz w:val="24"/>
          <w:szCs w:val="24"/>
          <w:lang w:bidi="gu-IN"/>
        </w:rPr>
        <w:t>Belarus and Moldova are neighbouring countries but d</w:t>
      </w:r>
      <w:r w:rsidR="0018200B" w:rsidRPr="00B37616">
        <w:rPr>
          <w:rFonts w:ascii="Times New Roman" w:hAnsi="Times New Roman" w:cs="Times New Roman"/>
          <w:sz w:val="24"/>
          <w:szCs w:val="24"/>
          <w:lang w:bidi="gu-IN"/>
        </w:rPr>
        <w:t>u</w:t>
      </w:r>
      <w:r w:rsidR="008254B5" w:rsidRPr="00B37616">
        <w:rPr>
          <w:rFonts w:ascii="Times New Roman" w:hAnsi="Times New Roman" w:cs="Times New Roman"/>
          <w:sz w:val="24"/>
          <w:szCs w:val="24"/>
          <w:lang w:bidi="gu-IN"/>
        </w:rPr>
        <w:t xml:space="preserve">e to lack of data availability, we have not examined these two markets. </w:t>
      </w:r>
      <w:r w:rsidR="00527639">
        <w:rPr>
          <w:rFonts w:ascii="Times New Roman" w:hAnsi="Times New Roman" w:cs="Times New Roman"/>
          <w:sz w:val="24"/>
          <w:szCs w:val="24"/>
          <w:lang w:bidi="gu-IN"/>
        </w:rPr>
        <w:t>Further, we divide the selected 26 countries stock markets regions (</w:t>
      </w:r>
      <w:r w:rsidR="00527639" w:rsidRPr="00527639">
        <w:rPr>
          <w:rFonts w:ascii="Times New Roman" w:hAnsi="Times New Roman" w:cs="Times New Roman"/>
          <w:sz w:val="24"/>
          <w:szCs w:val="24"/>
          <w:lang w:bidi="gu-IN"/>
        </w:rPr>
        <w:t>Asian, European, North American, Latin American, and Middle East and African</w:t>
      </w:r>
      <w:r w:rsidR="00527639">
        <w:rPr>
          <w:rFonts w:ascii="Times New Roman" w:hAnsi="Times New Roman" w:cs="Times New Roman"/>
          <w:sz w:val="24"/>
          <w:szCs w:val="24"/>
          <w:lang w:bidi="gu-IN"/>
        </w:rPr>
        <w:t>) wise as well for the event study analysis.</w:t>
      </w:r>
    </w:p>
    <w:p w14:paraId="12F73DCA" w14:textId="320A3890" w:rsidR="00B37616" w:rsidRPr="00B37616" w:rsidRDefault="001A0ED5" w:rsidP="00B37616">
      <w:pPr>
        <w:autoSpaceDE w:val="0"/>
        <w:autoSpaceDN w:val="0"/>
        <w:adjustRightInd w:val="0"/>
        <w:spacing w:before="240" w:after="0" w:line="360" w:lineRule="auto"/>
        <w:jc w:val="both"/>
        <w:rPr>
          <w:rFonts w:ascii="Times New Roman" w:hAnsi="Times New Roman" w:cs="Times New Roman"/>
          <w:b/>
          <w:bCs/>
          <w:sz w:val="24"/>
          <w:szCs w:val="24"/>
        </w:rPr>
      </w:pPr>
      <w:r w:rsidRPr="00B37616">
        <w:rPr>
          <w:rFonts w:ascii="Times New Roman" w:hAnsi="Times New Roman" w:cs="Times New Roman"/>
          <w:b/>
          <w:bCs/>
          <w:sz w:val="24"/>
          <w:szCs w:val="24"/>
        </w:rPr>
        <w:t>2</w:t>
      </w:r>
      <w:r w:rsidR="00577AD9" w:rsidRPr="00B37616">
        <w:rPr>
          <w:rFonts w:ascii="Times New Roman" w:hAnsi="Times New Roman" w:cs="Times New Roman"/>
          <w:b/>
          <w:bCs/>
          <w:sz w:val="24"/>
          <w:szCs w:val="24"/>
        </w:rPr>
        <w:t>.</w:t>
      </w:r>
      <w:r w:rsidR="000E5E95" w:rsidRPr="00B37616">
        <w:rPr>
          <w:rFonts w:ascii="Times New Roman" w:hAnsi="Times New Roman" w:cs="Times New Roman"/>
          <w:b/>
          <w:bCs/>
          <w:sz w:val="24"/>
          <w:szCs w:val="24"/>
        </w:rPr>
        <w:t>2</w:t>
      </w:r>
      <w:r w:rsidR="00577AD9" w:rsidRPr="00B37616">
        <w:rPr>
          <w:rFonts w:ascii="Times New Roman" w:hAnsi="Times New Roman" w:cs="Times New Roman"/>
          <w:b/>
          <w:bCs/>
          <w:sz w:val="24"/>
          <w:szCs w:val="24"/>
        </w:rPr>
        <w:t xml:space="preserve">. </w:t>
      </w:r>
      <w:r w:rsidR="000E5E95" w:rsidRPr="00B37616">
        <w:rPr>
          <w:rFonts w:ascii="Times New Roman" w:hAnsi="Times New Roman" w:cs="Times New Roman"/>
          <w:b/>
          <w:bCs/>
          <w:sz w:val="24"/>
          <w:szCs w:val="24"/>
        </w:rPr>
        <w:t>Methodology</w:t>
      </w:r>
    </w:p>
    <w:p w14:paraId="66476712" w14:textId="0D77E4A3" w:rsidR="009526BA" w:rsidRPr="00B37616" w:rsidRDefault="00111917" w:rsidP="00B37616">
      <w:pPr>
        <w:autoSpaceDE w:val="0"/>
        <w:autoSpaceDN w:val="0"/>
        <w:adjustRightInd w:val="0"/>
        <w:spacing w:before="240" w:after="0" w:line="360" w:lineRule="auto"/>
        <w:jc w:val="both"/>
        <w:rPr>
          <w:rFonts w:ascii="Times New Roman" w:hAnsi="Times New Roman" w:cs="Times New Roman"/>
          <w:sz w:val="24"/>
          <w:szCs w:val="24"/>
          <w:lang w:bidi="gu-IN"/>
        </w:rPr>
      </w:pPr>
      <w:r w:rsidRPr="00850620">
        <w:rPr>
          <w:rFonts w:ascii="Times New Roman" w:hAnsi="Times New Roman" w:cs="Times New Roman"/>
          <w:sz w:val="24"/>
          <w:szCs w:val="24"/>
          <w:lang w:bidi="gu-IN"/>
        </w:rPr>
        <w:t xml:space="preserve">The </w:t>
      </w:r>
      <w:r w:rsidR="004B4B99" w:rsidRPr="00850620">
        <w:rPr>
          <w:rFonts w:ascii="Times New Roman" w:hAnsi="Times New Roman" w:cs="Times New Roman"/>
          <w:sz w:val="24"/>
          <w:szCs w:val="24"/>
          <w:lang w:bidi="gu-IN"/>
        </w:rPr>
        <w:t>normal returns</w:t>
      </w:r>
      <w:r w:rsidR="004B4B99">
        <w:rPr>
          <w:rFonts w:ascii="Times New Roman" w:hAnsi="Times New Roman" w:cs="Times New Roman"/>
          <w:sz w:val="24"/>
          <w:szCs w:val="24"/>
          <w:lang w:bidi="gu-IN"/>
        </w:rPr>
        <w:t xml:space="preserve"> are calculated using the </w:t>
      </w:r>
      <w:r w:rsidRPr="00B37616">
        <w:rPr>
          <w:rFonts w:ascii="Times New Roman" w:hAnsi="Times New Roman" w:cs="Times New Roman"/>
          <w:sz w:val="24"/>
          <w:szCs w:val="24"/>
          <w:lang w:bidi="gu-IN"/>
        </w:rPr>
        <w:t>data of the estimation window</w:t>
      </w:r>
      <w:r w:rsidR="004B4B99">
        <w:rPr>
          <w:rFonts w:ascii="Times New Roman" w:hAnsi="Times New Roman" w:cs="Times New Roman"/>
          <w:sz w:val="24"/>
          <w:szCs w:val="24"/>
          <w:lang w:bidi="gu-IN"/>
        </w:rPr>
        <w:t>, a time period before the event window.</w:t>
      </w:r>
      <w:r w:rsidR="00D23BA7">
        <w:rPr>
          <w:rFonts w:ascii="Times New Roman" w:hAnsi="Times New Roman" w:cs="Times New Roman"/>
          <w:sz w:val="24"/>
          <w:szCs w:val="24"/>
          <w:lang w:bidi="gu-IN"/>
        </w:rPr>
        <w:t xml:space="preserve"> Among all the models, the OLS </w:t>
      </w:r>
      <w:r w:rsidR="00D23BA7" w:rsidRPr="00B37616">
        <w:rPr>
          <w:rFonts w:ascii="Times New Roman" w:hAnsi="Times New Roman" w:cs="Times New Roman"/>
          <w:sz w:val="24"/>
          <w:szCs w:val="24"/>
          <w:lang w:bidi="gu-IN"/>
        </w:rPr>
        <w:t>market model reveals better results</w:t>
      </w:r>
      <w:r w:rsidR="00D23BA7">
        <w:rPr>
          <w:rFonts w:ascii="Times New Roman" w:hAnsi="Times New Roman" w:cs="Times New Roman"/>
          <w:sz w:val="24"/>
          <w:szCs w:val="24"/>
          <w:lang w:bidi="gu-IN"/>
        </w:rPr>
        <w:t xml:space="preserve"> for event study analysis</w:t>
      </w:r>
      <w:r w:rsidR="00D23BA7" w:rsidRPr="00B37616">
        <w:rPr>
          <w:rFonts w:ascii="Times New Roman" w:hAnsi="Times New Roman" w:cs="Times New Roman"/>
          <w:sz w:val="24"/>
          <w:szCs w:val="24"/>
          <w:lang w:bidi="gu-IN"/>
        </w:rPr>
        <w:t xml:space="preserve"> </w:t>
      </w:r>
      <w:r w:rsidR="0084606B" w:rsidRPr="00B37616">
        <w:rPr>
          <w:rFonts w:ascii="Times New Roman" w:hAnsi="Times New Roman" w:cs="Times New Roman"/>
          <w:sz w:val="24"/>
          <w:szCs w:val="24"/>
          <w:lang w:bidi="gu-IN"/>
        </w:rPr>
        <w:t>(</w:t>
      </w:r>
      <w:proofErr w:type="spellStart"/>
      <w:r w:rsidR="000766F7" w:rsidRPr="00B37616">
        <w:rPr>
          <w:rFonts w:ascii="Times New Roman" w:hAnsi="Times New Roman" w:cs="Times New Roman"/>
          <w:sz w:val="24"/>
          <w:szCs w:val="24"/>
          <w:lang w:bidi="gu-IN"/>
        </w:rPr>
        <w:t>Dyckman</w:t>
      </w:r>
      <w:proofErr w:type="spellEnd"/>
      <w:r w:rsidR="000766F7" w:rsidRPr="00B37616">
        <w:rPr>
          <w:rFonts w:ascii="Times New Roman" w:hAnsi="Times New Roman" w:cs="Times New Roman"/>
          <w:sz w:val="24"/>
          <w:szCs w:val="24"/>
          <w:lang w:bidi="gu-IN"/>
        </w:rPr>
        <w:t xml:space="preserve"> </w:t>
      </w:r>
      <w:r w:rsidR="000766F7" w:rsidRPr="00B37616">
        <w:rPr>
          <w:rFonts w:ascii="Times New Roman" w:hAnsi="Times New Roman" w:cs="Times New Roman"/>
          <w:i/>
          <w:iCs/>
          <w:sz w:val="24"/>
          <w:szCs w:val="24"/>
          <w:lang w:bidi="gu-IN"/>
        </w:rPr>
        <w:t>et al.</w:t>
      </w:r>
      <w:r w:rsidR="000766F7" w:rsidRPr="00B37616">
        <w:rPr>
          <w:rFonts w:ascii="Times New Roman" w:hAnsi="Times New Roman" w:cs="Times New Roman"/>
          <w:sz w:val="24"/>
          <w:szCs w:val="24"/>
          <w:lang w:bidi="gu-IN"/>
        </w:rPr>
        <w:t>, 1984</w:t>
      </w:r>
      <w:r w:rsidR="0084606B" w:rsidRPr="00B37616">
        <w:rPr>
          <w:rFonts w:ascii="Times New Roman" w:hAnsi="Times New Roman" w:cs="Times New Roman"/>
          <w:sz w:val="24"/>
          <w:szCs w:val="24"/>
          <w:lang w:bidi="gu-IN"/>
        </w:rPr>
        <w:t>)</w:t>
      </w:r>
      <w:r w:rsidR="00D23BA7">
        <w:rPr>
          <w:rFonts w:ascii="Times New Roman" w:hAnsi="Times New Roman" w:cs="Times New Roman"/>
          <w:sz w:val="24"/>
          <w:szCs w:val="24"/>
          <w:lang w:bidi="gu-IN"/>
        </w:rPr>
        <w:t xml:space="preserve">. </w:t>
      </w:r>
      <w:r w:rsidR="00293605" w:rsidRPr="00B37616">
        <w:rPr>
          <w:rFonts w:ascii="Times New Roman" w:hAnsi="Times New Roman" w:cs="Times New Roman"/>
          <w:sz w:val="24"/>
          <w:szCs w:val="24"/>
          <w:lang w:bidi="gu-IN"/>
        </w:rPr>
        <w:t xml:space="preserve">Hence, we </w:t>
      </w:r>
      <w:r w:rsidR="00D23BA7">
        <w:rPr>
          <w:rFonts w:ascii="Times New Roman" w:hAnsi="Times New Roman" w:cs="Times New Roman"/>
          <w:sz w:val="24"/>
          <w:szCs w:val="24"/>
          <w:lang w:bidi="gu-IN"/>
        </w:rPr>
        <w:t xml:space="preserve">used the </w:t>
      </w:r>
      <w:r w:rsidR="00293605" w:rsidRPr="00B37616">
        <w:rPr>
          <w:rFonts w:ascii="Times New Roman" w:hAnsi="Times New Roman" w:cs="Times New Roman"/>
          <w:sz w:val="24"/>
          <w:szCs w:val="24"/>
          <w:lang w:bidi="gu-IN"/>
        </w:rPr>
        <w:t>OLS Market Model. The normal</w:t>
      </w:r>
      <w:r w:rsidR="002506F4">
        <w:rPr>
          <w:rFonts w:ascii="Times New Roman" w:hAnsi="Times New Roman" w:cs="Times New Roman"/>
          <w:sz w:val="24"/>
          <w:szCs w:val="24"/>
          <w:lang w:bidi="gu-IN"/>
        </w:rPr>
        <w:t>/expected</w:t>
      </w:r>
      <w:r w:rsidR="00293605" w:rsidRPr="00B37616">
        <w:rPr>
          <w:rFonts w:ascii="Times New Roman" w:hAnsi="Times New Roman" w:cs="Times New Roman"/>
          <w:sz w:val="24"/>
          <w:szCs w:val="24"/>
          <w:lang w:bidi="gu-IN"/>
        </w:rPr>
        <w:t xml:space="preserve"> return, E</w:t>
      </w:r>
      <w:r w:rsidR="00A3045D">
        <w:rPr>
          <w:rFonts w:ascii="Times New Roman" w:hAnsi="Times New Roman" w:cs="Times New Roman"/>
          <w:sz w:val="24"/>
          <w:szCs w:val="24"/>
          <w:lang w:bidi="gu-IN"/>
        </w:rPr>
        <w:t xml:space="preserve"> </w:t>
      </w:r>
      <w:r w:rsidR="00293605" w:rsidRPr="00B37616">
        <w:rPr>
          <w:rFonts w:ascii="Times New Roman" w:hAnsi="Times New Roman" w:cs="Times New Roman"/>
          <w:sz w:val="24"/>
          <w:szCs w:val="24"/>
          <w:lang w:bidi="gu-IN"/>
        </w:rPr>
        <w:t>(</w:t>
      </w:r>
      <m:oMath>
        <m:sSub>
          <m:sSubPr>
            <m:ctrlPr>
              <w:rPr>
                <w:rFonts w:ascii="Cambria Math" w:hAnsi="Cambria Math" w:cs="Times New Roman"/>
                <w:i/>
                <w:sz w:val="24"/>
                <w:szCs w:val="24"/>
                <w:lang w:bidi="gu-IN"/>
              </w:rPr>
            </m:ctrlPr>
          </m:sSubPr>
          <m:e>
            <m:r>
              <w:rPr>
                <w:rFonts w:ascii="Cambria Math" w:hAnsi="Cambria Math" w:cs="Times New Roman"/>
                <w:sz w:val="24"/>
                <w:szCs w:val="24"/>
                <w:lang w:bidi="gu-IN"/>
              </w:rPr>
              <m:t>R</m:t>
            </m:r>
          </m:e>
          <m:sub>
            <m:r>
              <w:rPr>
                <w:rFonts w:ascii="Cambria Math" w:hAnsi="Cambria Math" w:cs="Times New Roman"/>
                <w:sz w:val="24"/>
                <w:szCs w:val="24"/>
                <w:lang w:bidi="gu-IN"/>
              </w:rPr>
              <m:t>it</m:t>
            </m:r>
          </m:sub>
        </m:sSub>
      </m:oMath>
      <w:r w:rsidR="00293605" w:rsidRPr="00B37616">
        <w:rPr>
          <w:rFonts w:ascii="Times New Roman" w:hAnsi="Times New Roman" w:cs="Times New Roman"/>
          <w:sz w:val="24"/>
          <w:szCs w:val="24"/>
          <w:lang w:bidi="gu-IN"/>
        </w:rPr>
        <w:t xml:space="preserve">), </w:t>
      </w:r>
      <w:r w:rsidR="00DD3F48">
        <w:rPr>
          <w:rFonts w:ascii="Times New Roman" w:hAnsi="Times New Roman" w:cs="Times New Roman"/>
          <w:sz w:val="24"/>
          <w:szCs w:val="24"/>
          <w:lang w:bidi="gu-IN"/>
        </w:rPr>
        <w:t>can be calculated using below given formula:</w:t>
      </w:r>
    </w:p>
    <w:p w14:paraId="7F7F7E76" w14:textId="268DF79C" w:rsidR="00D96FA7" w:rsidRPr="00B37616" w:rsidRDefault="0049221B" w:rsidP="00B82077">
      <w:pPr>
        <w:autoSpaceDE w:val="0"/>
        <w:autoSpaceDN w:val="0"/>
        <w:adjustRightInd w:val="0"/>
        <w:spacing w:after="0" w:line="360" w:lineRule="auto"/>
        <w:jc w:val="both"/>
        <w:rPr>
          <w:rFonts w:ascii="Times New Roman" w:hAnsi="Times New Roman" w:cs="Times New Roman"/>
          <w:sz w:val="24"/>
          <w:szCs w:val="24"/>
          <w:lang w:bidi="gu-IN"/>
        </w:rPr>
      </w:pPr>
      <w:r>
        <w:rPr>
          <w:rFonts w:ascii="Times New Roman" w:hAnsi="Times New Roman" w:cs="Times New Roman"/>
          <w:sz w:val="24"/>
          <w:szCs w:val="24"/>
          <w:lang w:bidi="gu-IN"/>
        </w:rPr>
        <w:t xml:space="preserve">                                                         </w:t>
      </w:r>
      <w:r w:rsidR="00A3045D" w:rsidRPr="00B37616">
        <w:rPr>
          <w:rFonts w:ascii="Times New Roman" w:hAnsi="Times New Roman" w:cs="Times New Roman"/>
          <w:sz w:val="24"/>
          <w:szCs w:val="24"/>
          <w:lang w:bidi="gu-IN"/>
        </w:rPr>
        <w:t>E</w:t>
      </w:r>
      <w:r w:rsidR="00A3045D">
        <w:rPr>
          <w:rFonts w:ascii="Times New Roman" w:hAnsi="Times New Roman" w:cs="Times New Roman"/>
          <w:sz w:val="24"/>
          <w:szCs w:val="24"/>
          <w:lang w:bidi="gu-IN"/>
        </w:rPr>
        <w:t xml:space="preserve"> (</w:t>
      </w:r>
      <m:oMath>
        <m:sSub>
          <m:sSubPr>
            <m:ctrlPr>
              <w:rPr>
                <w:rFonts w:ascii="Cambria Math" w:hAnsi="Cambria Math" w:cs="Times New Roman"/>
                <w:i/>
                <w:sz w:val="24"/>
                <w:szCs w:val="24"/>
                <w:lang w:bidi="gu-IN"/>
              </w:rPr>
            </m:ctrlPr>
          </m:sSubPr>
          <m:e>
            <m:r>
              <w:rPr>
                <w:rFonts w:ascii="Cambria Math" w:hAnsi="Cambria Math" w:cs="Times New Roman"/>
                <w:sz w:val="24"/>
                <w:szCs w:val="24"/>
                <w:lang w:bidi="gu-IN"/>
              </w:rPr>
              <m:t>R</m:t>
            </m:r>
          </m:e>
          <m:sub>
            <m:r>
              <w:rPr>
                <w:rFonts w:ascii="Cambria Math" w:hAnsi="Cambria Math" w:cs="Times New Roman"/>
                <w:sz w:val="24"/>
                <w:szCs w:val="24"/>
                <w:lang w:bidi="gu-IN"/>
              </w:rPr>
              <m:t>it</m:t>
            </m:r>
          </m:sub>
        </m:sSub>
        <m:r>
          <w:rPr>
            <w:rFonts w:ascii="Cambria Math" w:hAnsi="Cambria Math" w:cs="Times New Roman"/>
            <w:sz w:val="24"/>
            <w:szCs w:val="24"/>
            <w:lang w:bidi="gu-IN"/>
          </w:rPr>
          <m:t>)</m:t>
        </m:r>
      </m:oMath>
      <w:r w:rsidR="00D96FA7" w:rsidRPr="00B37616">
        <w:rPr>
          <w:rFonts w:ascii="Times New Roman" w:hAnsi="Times New Roman" w:cs="Times New Roman"/>
          <w:sz w:val="24"/>
          <w:szCs w:val="24"/>
          <w:lang w:bidi="gu-IN"/>
        </w:rPr>
        <w:t>=</w:t>
      </w:r>
      <w:r w:rsidR="00CF6935" w:rsidRPr="00CF6935">
        <w:rPr>
          <w:rFonts w:ascii="Cambria Math" w:hAnsi="Cambria Math" w:cs="Times New Roman"/>
          <w:i/>
          <w:sz w:val="24"/>
          <w:szCs w:val="24"/>
          <w:lang w:bidi="gu-IN"/>
        </w:rPr>
        <w:t xml:space="preserve"> </w:t>
      </w:r>
      <m:oMath>
        <m:sSub>
          <m:sSubPr>
            <m:ctrlPr>
              <w:rPr>
                <w:rFonts w:ascii="Cambria Math" w:hAnsi="Cambria Math" w:cs="Times New Roman"/>
                <w:i/>
                <w:sz w:val="24"/>
                <w:szCs w:val="24"/>
                <w:lang w:bidi="gu-IN"/>
              </w:rPr>
            </m:ctrlPr>
          </m:sSubPr>
          <m:e>
            <m:r>
              <m:rPr>
                <m:sty m:val="p"/>
              </m:rPr>
              <w:rPr>
                <w:rFonts w:ascii="Cambria Math" w:hAnsi="Cambria Math" w:cs="Times New Roman"/>
                <w:sz w:val="24"/>
                <w:szCs w:val="24"/>
                <w:lang w:bidi="gu-IN"/>
              </w:rPr>
              <m:t>a</m:t>
            </m:r>
          </m:e>
          <m:sub>
            <m:r>
              <w:rPr>
                <w:rFonts w:ascii="Cambria Math" w:hAnsi="Cambria Math" w:cs="Times New Roman"/>
                <w:sz w:val="24"/>
                <w:szCs w:val="24"/>
                <w:lang w:bidi="gu-IN"/>
              </w:rPr>
              <m:t>i</m:t>
            </m:r>
          </m:sub>
        </m:sSub>
      </m:oMath>
      <w:r w:rsidR="00462082" w:rsidRPr="00B37616">
        <w:rPr>
          <w:rFonts w:ascii="Times New Roman" w:hAnsi="Times New Roman" w:cs="Times New Roman"/>
          <w:sz w:val="24"/>
          <w:szCs w:val="24"/>
          <w:lang w:bidi="gu-IN"/>
        </w:rPr>
        <w:t>+</w:t>
      </w:r>
      <w:bookmarkStart w:id="1" w:name="_Hlk97926520"/>
      <m:oMath>
        <m:sSub>
          <m:sSubPr>
            <m:ctrlPr>
              <w:rPr>
                <w:rFonts w:ascii="Cambria Math" w:hAnsi="Cambria Math" w:cs="Times New Roman"/>
                <w:i/>
                <w:sz w:val="24"/>
                <w:szCs w:val="24"/>
                <w:lang w:bidi="gu-IN"/>
              </w:rPr>
            </m:ctrlPr>
          </m:sSubPr>
          <m:e>
            <m:r>
              <w:rPr>
                <w:rFonts w:ascii="Cambria Math" w:hAnsi="Cambria Math" w:cs="Times New Roman"/>
                <w:sz w:val="24"/>
                <w:szCs w:val="24"/>
                <w:lang w:bidi="gu-IN"/>
              </w:rPr>
              <m:t>b</m:t>
            </m:r>
          </m:e>
          <m:sub>
            <m:r>
              <w:rPr>
                <w:rFonts w:ascii="Cambria Math" w:hAnsi="Cambria Math" w:cs="Times New Roman"/>
                <w:sz w:val="24"/>
                <w:szCs w:val="24"/>
                <w:lang w:bidi="gu-IN"/>
              </w:rPr>
              <m:t>i</m:t>
            </m:r>
          </m:sub>
        </m:sSub>
        <m:sSub>
          <m:sSubPr>
            <m:ctrlPr>
              <w:rPr>
                <w:rFonts w:ascii="Cambria Math" w:hAnsi="Cambria Math" w:cs="Times New Roman"/>
                <w:i/>
                <w:sz w:val="24"/>
                <w:szCs w:val="24"/>
                <w:lang w:bidi="gu-IN"/>
              </w:rPr>
            </m:ctrlPr>
          </m:sSubPr>
          <m:e>
            <m:r>
              <w:rPr>
                <w:rFonts w:ascii="Cambria Math" w:hAnsi="Cambria Math" w:cs="Times New Roman"/>
                <w:sz w:val="24"/>
                <w:szCs w:val="24"/>
                <w:lang w:bidi="gu-IN"/>
              </w:rPr>
              <m:t>R</m:t>
            </m:r>
          </m:e>
          <m:sub>
            <m:r>
              <w:rPr>
                <w:rFonts w:ascii="Cambria Math" w:hAnsi="Cambria Math" w:cs="Times New Roman"/>
                <w:sz w:val="24"/>
                <w:szCs w:val="24"/>
                <w:lang w:bidi="gu-IN"/>
              </w:rPr>
              <m:t>mt</m:t>
            </m:r>
          </m:sub>
        </m:sSub>
      </m:oMath>
      <w:bookmarkEnd w:id="1"/>
      <w:r>
        <w:rPr>
          <w:rFonts w:ascii="Times New Roman" w:hAnsi="Times New Roman" w:cs="Times New Roman"/>
          <w:sz w:val="24"/>
          <w:szCs w:val="24"/>
          <w:lang w:bidi="gu-IN"/>
        </w:rPr>
        <w:t xml:space="preserve">                  </w:t>
      </w:r>
      <w:r w:rsidR="00FF743E">
        <w:rPr>
          <w:rFonts w:ascii="Times New Roman" w:hAnsi="Times New Roman" w:cs="Times New Roman"/>
          <w:sz w:val="24"/>
          <w:szCs w:val="24"/>
          <w:lang w:bidi="gu-IN"/>
        </w:rPr>
        <w:t xml:space="preserve">                       </w:t>
      </w:r>
      <w:r>
        <w:rPr>
          <w:rFonts w:ascii="Times New Roman" w:hAnsi="Times New Roman" w:cs="Times New Roman"/>
          <w:sz w:val="24"/>
          <w:szCs w:val="24"/>
          <w:lang w:bidi="gu-IN"/>
        </w:rPr>
        <w:t xml:space="preserve">                   </w:t>
      </w:r>
      <w:r w:rsidR="00D96FA7" w:rsidRPr="00B37616">
        <w:rPr>
          <w:rFonts w:ascii="Times New Roman" w:hAnsi="Times New Roman" w:cs="Times New Roman"/>
          <w:sz w:val="24"/>
          <w:szCs w:val="24"/>
          <w:lang w:bidi="gu-IN"/>
        </w:rPr>
        <w:t>(1)</w:t>
      </w:r>
    </w:p>
    <w:p w14:paraId="074967E2" w14:textId="3013CD9E" w:rsidR="0043647A" w:rsidRPr="00B37616" w:rsidRDefault="00D96FA7" w:rsidP="0043647A">
      <w:pPr>
        <w:autoSpaceDE w:val="0"/>
        <w:autoSpaceDN w:val="0"/>
        <w:adjustRightInd w:val="0"/>
        <w:spacing w:after="0" w:line="360" w:lineRule="auto"/>
        <w:jc w:val="both"/>
        <w:rPr>
          <w:rFonts w:ascii="Times New Roman" w:hAnsi="Times New Roman" w:cs="Times New Roman"/>
          <w:sz w:val="24"/>
          <w:szCs w:val="24"/>
          <w:lang w:bidi="gu-IN"/>
        </w:rPr>
      </w:pPr>
      <w:r w:rsidRPr="00B37616">
        <w:rPr>
          <w:rFonts w:ascii="Times New Roman" w:hAnsi="Times New Roman" w:cs="Times New Roman"/>
          <w:sz w:val="24"/>
          <w:szCs w:val="24"/>
          <w:lang w:bidi="gu-IN"/>
        </w:rPr>
        <w:t>Where</w:t>
      </w:r>
      <w:r w:rsidR="00691F15" w:rsidRPr="00B37616">
        <w:rPr>
          <w:rFonts w:ascii="Times New Roman" w:hAnsi="Times New Roman" w:cs="Times New Roman"/>
          <w:sz w:val="24"/>
          <w:szCs w:val="24"/>
          <w:lang w:bidi="gu-IN"/>
        </w:rPr>
        <w:t xml:space="preserve">, </w:t>
      </w:r>
      <m:oMath>
        <m:sSub>
          <m:sSubPr>
            <m:ctrlPr>
              <w:rPr>
                <w:rFonts w:ascii="Cambria Math" w:hAnsi="Cambria Math" w:cs="Times New Roman"/>
                <w:i/>
                <w:sz w:val="24"/>
                <w:szCs w:val="24"/>
                <w:lang w:bidi="gu-IN"/>
              </w:rPr>
            </m:ctrlPr>
          </m:sSubPr>
          <m:e>
            <m:r>
              <w:rPr>
                <w:rFonts w:ascii="Cambria Math" w:hAnsi="Cambria Math" w:cs="Times New Roman"/>
                <w:sz w:val="24"/>
                <w:szCs w:val="24"/>
                <w:lang w:bidi="gu-IN"/>
              </w:rPr>
              <m:t>R</m:t>
            </m:r>
          </m:e>
          <m:sub>
            <m:r>
              <w:rPr>
                <w:rFonts w:ascii="Cambria Math" w:hAnsi="Cambria Math" w:cs="Times New Roman"/>
                <w:sz w:val="24"/>
                <w:szCs w:val="24"/>
                <w:lang w:bidi="gu-IN"/>
              </w:rPr>
              <m:t>mt</m:t>
            </m:r>
          </m:sub>
        </m:sSub>
      </m:oMath>
      <w:r w:rsidRPr="00B37616">
        <w:rPr>
          <w:rFonts w:ascii="Times New Roman" w:hAnsi="Times New Roman" w:cs="Times New Roman"/>
          <w:sz w:val="24"/>
          <w:szCs w:val="24"/>
          <w:lang w:bidi="gu-IN"/>
        </w:rPr>
        <w:t xml:space="preserve"> is the return o</w:t>
      </w:r>
      <w:r w:rsidR="00C27C3E">
        <w:rPr>
          <w:rFonts w:ascii="Times New Roman" w:hAnsi="Times New Roman" w:cs="Times New Roman"/>
          <w:sz w:val="24"/>
          <w:szCs w:val="24"/>
          <w:lang w:bidi="gu-IN"/>
        </w:rPr>
        <w:t>f</w:t>
      </w:r>
      <w:r w:rsidRPr="00B37616">
        <w:rPr>
          <w:rFonts w:ascii="Times New Roman" w:hAnsi="Times New Roman" w:cs="Times New Roman"/>
          <w:sz w:val="24"/>
          <w:szCs w:val="24"/>
          <w:lang w:bidi="gu-IN"/>
        </w:rPr>
        <w:t xml:space="preserve"> the benchmark index</w:t>
      </w:r>
      <w:r w:rsidR="004B3E6E">
        <w:rPr>
          <w:rFonts w:ascii="Times New Roman" w:hAnsi="Times New Roman" w:cs="Times New Roman"/>
          <w:sz w:val="24"/>
          <w:szCs w:val="24"/>
          <w:lang w:bidi="gu-IN"/>
        </w:rPr>
        <w:t xml:space="preserve"> ACWI (</w:t>
      </w:r>
      <w:r w:rsidR="004B3E6E" w:rsidRPr="004B3E6E">
        <w:rPr>
          <w:rFonts w:ascii="Times New Roman" w:hAnsi="Times New Roman" w:cs="Times New Roman"/>
          <w:sz w:val="24"/>
          <w:szCs w:val="24"/>
          <w:lang w:bidi="gu-IN"/>
        </w:rPr>
        <w:t>All Country World Index</w:t>
      </w:r>
      <w:r w:rsidR="004B3E6E">
        <w:rPr>
          <w:rFonts w:ascii="Times New Roman" w:hAnsi="Times New Roman" w:cs="Times New Roman"/>
          <w:sz w:val="24"/>
          <w:szCs w:val="24"/>
          <w:lang w:bidi="gu-IN"/>
        </w:rPr>
        <w:t>)</w:t>
      </w:r>
      <w:r w:rsidR="004B3E6E">
        <w:rPr>
          <w:rStyle w:val="FootnoteReference"/>
          <w:rFonts w:ascii="Times New Roman" w:hAnsi="Times New Roman" w:cs="Times New Roman"/>
          <w:sz w:val="24"/>
          <w:szCs w:val="24"/>
          <w:lang w:bidi="gu-IN"/>
        </w:rPr>
        <w:footnoteReference w:id="6"/>
      </w:r>
      <w:r w:rsidRPr="00B37616">
        <w:rPr>
          <w:rFonts w:ascii="Times New Roman" w:hAnsi="Times New Roman" w:cs="Times New Roman"/>
          <w:sz w:val="24"/>
          <w:szCs w:val="24"/>
          <w:lang w:bidi="gu-IN"/>
        </w:rPr>
        <w:t xml:space="preserve"> on day t.</w:t>
      </w:r>
      <w:r w:rsidR="0043647A">
        <w:rPr>
          <w:rFonts w:ascii="Times New Roman" w:hAnsi="Times New Roman" w:cs="Times New Roman"/>
          <w:sz w:val="24"/>
          <w:szCs w:val="24"/>
          <w:lang w:bidi="gu-IN"/>
        </w:rPr>
        <w:t xml:space="preserve"> Further, </w:t>
      </w:r>
      <w:r w:rsidR="0043647A" w:rsidRPr="00B37616">
        <w:rPr>
          <w:rFonts w:ascii="Times New Roman" w:hAnsi="Times New Roman" w:cs="Times New Roman"/>
          <w:sz w:val="24"/>
          <w:szCs w:val="24"/>
          <w:lang w:bidi="gu-IN"/>
        </w:rPr>
        <w:t xml:space="preserve">we </w:t>
      </w:r>
      <w:r w:rsidR="0043647A">
        <w:rPr>
          <w:rFonts w:ascii="Times New Roman" w:hAnsi="Times New Roman" w:cs="Times New Roman"/>
          <w:sz w:val="24"/>
          <w:szCs w:val="24"/>
          <w:lang w:bidi="gu-IN"/>
        </w:rPr>
        <w:t>use following formula to calculate the a</w:t>
      </w:r>
      <w:r w:rsidR="0043647A" w:rsidRPr="00B37616">
        <w:rPr>
          <w:rFonts w:ascii="Times New Roman" w:hAnsi="Times New Roman" w:cs="Times New Roman"/>
          <w:sz w:val="24"/>
          <w:szCs w:val="24"/>
          <w:lang w:bidi="gu-IN"/>
        </w:rPr>
        <w:t>ctual daily return of the sample indices</w:t>
      </w:r>
      <w:r w:rsidR="0043647A">
        <w:rPr>
          <w:rFonts w:ascii="Times New Roman" w:hAnsi="Times New Roman" w:cs="Times New Roman"/>
          <w:sz w:val="24"/>
          <w:szCs w:val="24"/>
          <w:lang w:bidi="gu-IN"/>
        </w:rPr>
        <w:t xml:space="preserve"> and the </w:t>
      </w:r>
      <w:r w:rsidR="0043647A" w:rsidRPr="00B37616">
        <w:rPr>
          <w:rFonts w:ascii="Times New Roman" w:hAnsi="Times New Roman" w:cs="Times New Roman"/>
          <w:sz w:val="24"/>
          <w:szCs w:val="24"/>
          <w:lang w:bidi="gu-IN"/>
        </w:rPr>
        <w:t>benchmark index</w:t>
      </w:r>
      <w:r w:rsidR="0043647A">
        <w:rPr>
          <w:rFonts w:ascii="Times New Roman" w:hAnsi="Times New Roman" w:cs="Times New Roman"/>
          <w:sz w:val="24"/>
          <w:szCs w:val="24"/>
          <w:lang w:bidi="gu-IN"/>
        </w:rPr>
        <w:t>:</w:t>
      </w:r>
      <w:r w:rsidR="0043647A" w:rsidRPr="00B37616">
        <w:rPr>
          <w:rFonts w:ascii="Times New Roman" w:hAnsi="Times New Roman" w:cs="Times New Roman"/>
          <w:sz w:val="24"/>
          <w:szCs w:val="24"/>
          <w:lang w:bidi="gu-IN"/>
        </w:rPr>
        <w:t xml:space="preserve">  </w:t>
      </w:r>
    </w:p>
    <w:p w14:paraId="2622EB7F" w14:textId="35160CA7" w:rsidR="0043647A" w:rsidRPr="00B37616" w:rsidRDefault="0043647A" w:rsidP="0043647A">
      <w:pPr>
        <w:pStyle w:val="Default"/>
        <w:spacing w:line="360" w:lineRule="auto"/>
        <w:rPr>
          <w:rFonts w:ascii="Times New Roman" w:hAnsi="Times New Roman" w:cs="Times New Roman"/>
        </w:rPr>
      </w:pPr>
      <w:r>
        <w:rPr>
          <w:rFonts w:ascii="Times New Roman" w:hAnsi="Times New Roman" w:cs="Times New Roman"/>
        </w:rPr>
        <w:t xml:space="preserve">                                                </w:t>
      </w:r>
      <w:proofErr w:type="spellStart"/>
      <w:r w:rsidRPr="00B37616">
        <w:rPr>
          <w:rFonts w:ascii="Times New Roman" w:hAnsi="Times New Roman" w:cs="Times New Roman"/>
        </w:rPr>
        <w:t>R</w:t>
      </w:r>
      <w:r w:rsidRPr="00B37616">
        <w:rPr>
          <w:rFonts w:ascii="Times New Roman" w:hAnsi="Times New Roman" w:cs="Times New Roman"/>
          <w:i/>
          <w:iCs/>
          <w:vertAlign w:val="subscript"/>
        </w:rPr>
        <w:t>it</w:t>
      </w:r>
      <w:proofErr w:type="spellEnd"/>
      <w:r w:rsidRPr="00B37616">
        <w:rPr>
          <w:rFonts w:ascii="Times New Roman" w:hAnsi="Times New Roman" w:cs="Times New Roman"/>
        </w:rPr>
        <w:t xml:space="preserve"> = LN [(P</w:t>
      </w:r>
      <w:r w:rsidRPr="00B37616">
        <w:rPr>
          <w:rFonts w:ascii="Times New Roman" w:hAnsi="Times New Roman" w:cs="Times New Roman"/>
          <w:i/>
          <w:iCs/>
          <w:vertAlign w:val="subscript"/>
        </w:rPr>
        <w:t>it</w:t>
      </w:r>
      <w:r w:rsidRPr="00B37616">
        <w:rPr>
          <w:rFonts w:ascii="Times New Roman" w:hAnsi="Times New Roman" w:cs="Times New Roman"/>
        </w:rPr>
        <w:t xml:space="preserve"> – P</w:t>
      </w:r>
      <w:r w:rsidRPr="00B37616">
        <w:rPr>
          <w:rFonts w:ascii="Times New Roman" w:hAnsi="Times New Roman" w:cs="Times New Roman"/>
          <w:i/>
          <w:iCs/>
          <w:vertAlign w:val="subscript"/>
        </w:rPr>
        <w:t>it -1</w:t>
      </w:r>
      <w:r w:rsidRPr="00B37616">
        <w:rPr>
          <w:rFonts w:ascii="Times New Roman" w:hAnsi="Times New Roman" w:cs="Times New Roman"/>
        </w:rPr>
        <w:t>)/ P</w:t>
      </w:r>
      <w:r w:rsidRPr="00B37616">
        <w:rPr>
          <w:rFonts w:ascii="Times New Roman" w:hAnsi="Times New Roman" w:cs="Times New Roman"/>
          <w:i/>
          <w:iCs/>
          <w:vertAlign w:val="subscript"/>
        </w:rPr>
        <w:t>it -1</w:t>
      </w:r>
      <w:r w:rsidRPr="00B37616">
        <w:rPr>
          <w:rFonts w:ascii="Times New Roman" w:hAnsi="Times New Roman" w:cs="Times New Roman"/>
        </w:rPr>
        <w:t>] x 100</w:t>
      </w:r>
      <w:r>
        <w:rPr>
          <w:rFonts w:ascii="Times New Roman" w:hAnsi="Times New Roman" w:cs="Times New Roman"/>
        </w:rPr>
        <w:t xml:space="preserve">                                            </w:t>
      </w:r>
      <w:r w:rsidRPr="00B37616">
        <w:rPr>
          <w:rFonts w:ascii="Times New Roman" w:hAnsi="Times New Roman" w:cs="Times New Roman"/>
        </w:rPr>
        <w:t>(</w:t>
      </w:r>
      <w:r>
        <w:rPr>
          <w:rFonts w:ascii="Times New Roman" w:hAnsi="Times New Roman" w:cs="Times New Roman"/>
        </w:rPr>
        <w:t>2</w:t>
      </w:r>
      <w:r w:rsidRPr="00B37616">
        <w:rPr>
          <w:rFonts w:ascii="Times New Roman" w:hAnsi="Times New Roman" w:cs="Times New Roman"/>
        </w:rPr>
        <w:t xml:space="preserve">) </w:t>
      </w:r>
    </w:p>
    <w:p w14:paraId="75C52F29" w14:textId="24B128ED" w:rsidR="00D96FA7" w:rsidRDefault="0043647A" w:rsidP="0043647A">
      <w:pPr>
        <w:autoSpaceDE w:val="0"/>
        <w:autoSpaceDN w:val="0"/>
        <w:adjustRightInd w:val="0"/>
        <w:spacing w:after="0" w:line="360" w:lineRule="auto"/>
        <w:jc w:val="both"/>
        <w:rPr>
          <w:rFonts w:ascii="Times New Roman" w:hAnsi="Times New Roman" w:cs="Times New Roman"/>
          <w:sz w:val="24"/>
          <w:szCs w:val="24"/>
          <w:lang w:bidi="gu-IN"/>
        </w:rPr>
      </w:pPr>
      <w:r w:rsidRPr="00B37616">
        <w:rPr>
          <w:rFonts w:ascii="Times New Roman" w:hAnsi="Times New Roman" w:cs="Times New Roman"/>
          <w:sz w:val="24"/>
          <w:szCs w:val="24"/>
          <w:lang w:bidi="gu-IN"/>
        </w:rPr>
        <w:t>Where</w:t>
      </w:r>
      <w:r>
        <w:rPr>
          <w:rFonts w:ascii="Times New Roman" w:hAnsi="Times New Roman" w:cs="Times New Roman"/>
          <w:sz w:val="24"/>
          <w:szCs w:val="24"/>
          <w:lang w:bidi="gu-IN"/>
        </w:rPr>
        <w:t xml:space="preserve">, </w:t>
      </w:r>
      <w:r w:rsidRPr="00B37616">
        <w:rPr>
          <w:rFonts w:ascii="Times New Roman" w:hAnsi="Times New Roman" w:cs="Times New Roman"/>
          <w:sz w:val="24"/>
          <w:szCs w:val="24"/>
          <w:lang w:bidi="gu-IN"/>
        </w:rPr>
        <w:t>P</w:t>
      </w:r>
      <w:r w:rsidRPr="00B37616">
        <w:rPr>
          <w:rFonts w:ascii="Times New Roman" w:hAnsi="Times New Roman" w:cs="Times New Roman"/>
          <w:i/>
          <w:iCs/>
          <w:sz w:val="24"/>
          <w:szCs w:val="24"/>
          <w:vertAlign w:val="subscript"/>
          <w:lang w:bidi="gu-IN"/>
        </w:rPr>
        <w:t>it</w:t>
      </w:r>
      <w:r w:rsidRPr="00B37616">
        <w:rPr>
          <w:rFonts w:ascii="Times New Roman" w:hAnsi="Times New Roman" w:cs="Times New Roman"/>
          <w:sz w:val="24"/>
          <w:szCs w:val="24"/>
          <w:lang w:bidi="gu-IN"/>
        </w:rPr>
        <w:t xml:space="preserve"> </w:t>
      </w:r>
      <w:r>
        <w:rPr>
          <w:rFonts w:ascii="Times New Roman" w:hAnsi="Times New Roman" w:cs="Times New Roman"/>
          <w:sz w:val="24"/>
          <w:szCs w:val="24"/>
          <w:lang w:bidi="gu-IN"/>
        </w:rPr>
        <w:t>shows the p</w:t>
      </w:r>
      <w:r w:rsidRPr="00B37616">
        <w:rPr>
          <w:rFonts w:ascii="Times New Roman" w:hAnsi="Times New Roman" w:cs="Times New Roman"/>
          <w:sz w:val="24"/>
          <w:szCs w:val="24"/>
          <w:lang w:bidi="gu-IN"/>
        </w:rPr>
        <w:t xml:space="preserve">rice of </w:t>
      </w:r>
      <w:r>
        <w:rPr>
          <w:rFonts w:ascii="Times New Roman" w:hAnsi="Times New Roman" w:cs="Times New Roman"/>
          <w:sz w:val="24"/>
          <w:szCs w:val="24"/>
          <w:lang w:bidi="gu-IN"/>
        </w:rPr>
        <w:t xml:space="preserve">the selected </w:t>
      </w:r>
      <w:r w:rsidRPr="00B37616">
        <w:rPr>
          <w:rFonts w:ascii="Times New Roman" w:hAnsi="Times New Roman" w:cs="Times New Roman"/>
          <w:sz w:val="24"/>
          <w:szCs w:val="24"/>
          <w:lang w:bidi="gu-IN"/>
        </w:rPr>
        <w:t xml:space="preserve">index </w:t>
      </w:r>
      <w:proofErr w:type="spellStart"/>
      <w:r w:rsidRPr="00B37616">
        <w:rPr>
          <w:rFonts w:ascii="Times New Roman" w:hAnsi="Times New Roman" w:cs="Times New Roman"/>
          <w:sz w:val="24"/>
          <w:szCs w:val="24"/>
          <w:lang w:bidi="gu-IN"/>
        </w:rPr>
        <w:t>i</w:t>
      </w:r>
      <w:proofErr w:type="spellEnd"/>
      <w:r w:rsidRPr="00B37616">
        <w:rPr>
          <w:rFonts w:ascii="Times New Roman" w:hAnsi="Times New Roman" w:cs="Times New Roman"/>
          <w:sz w:val="24"/>
          <w:szCs w:val="24"/>
          <w:lang w:bidi="gu-IN"/>
        </w:rPr>
        <w:t xml:space="preserve"> on day t; </w:t>
      </w:r>
      <w:r>
        <w:rPr>
          <w:rFonts w:ascii="Times New Roman" w:hAnsi="Times New Roman" w:cs="Times New Roman"/>
          <w:sz w:val="24"/>
          <w:szCs w:val="24"/>
          <w:lang w:bidi="gu-IN"/>
        </w:rPr>
        <w:t xml:space="preserve">and </w:t>
      </w:r>
      <w:r w:rsidRPr="00B37616">
        <w:rPr>
          <w:rFonts w:ascii="Times New Roman" w:hAnsi="Times New Roman" w:cs="Times New Roman"/>
          <w:sz w:val="24"/>
          <w:szCs w:val="24"/>
          <w:lang w:bidi="gu-IN"/>
        </w:rPr>
        <w:t>P</w:t>
      </w:r>
      <w:r w:rsidRPr="00B37616">
        <w:rPr>
          <w:rFonts w:ascii="Times New Roman" w:hAnsi="Times New Roman" w:cs="Times New Roman"/>
          <w:i/>
          <w:iCs/>
          <w:sz w:val="24"/>
          <w:szCs w:val="24"/>
          <w:vertAlign w:val="subscript"/>
          <w:lang w:bidi="gu-IN"/>
        </w:rPr>
        <w:t>it-</w:t>
      </w:r>
      <w:r w:rsidRPr="00B37616">
        <w:rPr>
          <w:rFonts w:ascii="Times New Roman" w:hAnsi="Times New Roman" w:cs="Times New Roman"/>
          <w:sz w:val="24"/>
          <w:szCs w:val="24"/>
          <w:lang w:bidi="gu-IN"/>
        </w:rPr>
        <w:t xml:space="preserve">1 </w:t>
      </w:r>
      <w:r>
        <w:rPr>
          <w:rFonts w:ascii="Times New Roman" w:hAnsi="Times New Roman" w:cs="Times New Roman"/>
          <w:sz w:val="24"/>
          <w:szCs w:val="24"/>
          <w:lang w:bidi="gu-IN"/>
        </w:rPr>
        <w:t>shows the P</w:t>
      </w:r>
      <w:r w:rsidRPr="00B37616">
        <w:rPr>
          <w:rFonts w:ascii="Times New Roman" w:hAnsi="Times New Roman" w:cs="Times New Roman"/>
          <w:sz w:val="24"/>
          <w:szCs w:val="24"/>
          <w:lang w:bidi="gu-IN"/>
        </w:rPr>
        <w:t>rice of</w:t>
      </w:r>
      <w:r>
        <w:rPr>
          <w:rFonts w:ascii="Times New Roman" w:hAnsi="Times New Roman" w:cs="Times New Roman"/>
          <w:sz w:val="24"/>
          <w:szCs w:val="24"/>
          <w:lang w:bidi="gu-IN"/>
        </w:rPr>
        <w:t xml:space="preserve"> selected</w:t>
      </w:r>
      <w:r w:rsidRPr="00B37616">
        <w:rPr>
          <w:rFonts w:ascii="Times New Roman" w:hAnsi="Times New Roman" w:cs="Times New Roman"/>
          <w:sz w:val="24"/>
          <w:szCs w:val="24"/>
          <w:lang w:bidi="gu-IN"/>
        </w:rPr>
        <w:t xml:space="preserve"> index </w:t>
      </w:r>
      <w:proofErr w:type="spellStart"/>
      <w:r w:rsidRPr="00B37616">
        <w:rPr>
          <w:rFonts w:ascii="Times New Roman" w:hAnsi="Times New Roman" w:cs="Times New Roman"/>
          <w:sz w:val="24"/>
          <w:szCs w:val="24"/>
          <w:lang w:bidi="gu-IN"/>
        </w:rPr>
        <w:t>i</w:t>
      </w:r>
      <w:proofErr w:type="spellEnd"/>
      <w:r w:rsidRPr="00B37616">
        <w:rPr>
          <w:rFonts w:ascii="Times New Roman" w:hAnsi="Times New Roman" w:cs="Times New Roman"/>
          <w:sz w:val="24"/>
          <w:szCs w:val="24"/>
          <w:lang w:bidi="gu-IN"/>
        </w:rPr>
        <w:t xml:space="preserve"> on day before day t.</w:t>
      </w:r>
    </w:p>
    <w:p w14:paraId="6D9EE3B8" w14:textId="0392FD16" w:rsidR="00296D92" w:rsidRPr="00B37616" w:rsidRDefault="00296D92" w:rsidP="00B82077">
      <w:pPr>
        <w:autoSpaceDE w:val="0"/>
        <w:autoSpaceDN w:val="0"/>
        <w:adjustRightInd w:val="0"/>
        <w:spacing w:after="0" w:line="360" w:lineRule="auto"/>
        <w:jc w:val="both"/>
        <w:rPr>
          <w:rFonts w:ascii="Times New Roman" w:hAnsi="Times New Roman" w:cs="Times New Roman"/>
          <w:sz w:val="24"/>
          <w:szCs w:val="24"/>
          <w:lang w:bidi="gu-IN"/>
        </w:rPr>
      </w:pPr>
    </w:p>
    <w:p w14:paraId="4A8533B2" w14:textId="53695432" w:rsidR="00153471" w:rsidRPr="00096733" w:rsidRDefault="001A0ED5" w:rsidP="00B82077">
      <w:pPr>
        <w:autoSpaceDE w:val="0"/>
        <w:autoSpaceDN w:val="0"/>
        <w:adjustRightInd w:val="0"/>
        <w:spacing w:after="0" w:line="360" w:lineRule="auto"/>
        <w:jc w:val="both"/>
        <w:rPr>
          <w:rFonts w:ascii="Times New Roman" w:hAnsi="Times New Roman" w:cs="Times New Roman"/>
          <w:i/>
          <w:iCs/>
          <w:sz w:val="24"/>
          <w:szCs w:val="24"/>
          <w:lang w:bidi="gu-IN"/>
        </w:rPr>
      </w:pPr>
      <w:r w:rsidRPr="00096733">
        <w:rPr>
          <w:rFonts w:ascii="Times New Roman" w:hAnsi="Times New Roman" w:cs="Times New Roman"/>
          <w:i/>
          <w:iCs/>
          <w:sz w:val="24"/>
          <w:szCs w:val="24"/>
          <w:lang w:bidi="gu-IN"/>
        </w:rPr>
        <w:t>2</w:t>
      </w:r>
      <w:r w:rsidR="00153471" w:rsidRPr="00096733">
        <w:rPr>
          <w:rFonts w:ascii="Times New Roman" w:hAnsi="Times New Roman" w:cs="Times New Roman"/>
          <w:i/>
          <w:iCs/>
          <w:sz w:val="24"/>
          <w:szCs w:val="24"/>
          <w:lang w:bidi="gu-IN"/>
        </w:rPr>
        <w:t>.</w:t>
      </w:r>
      <w:r w:rsidR="00C6245E" w:rsidRPr="00096733">
        <w:rPr>
          <w:rFonts w:ascii="Times New Roman" w:hAnsi="Times New Roman" w:cs="Times New Roman"/>
          <w:i/>
          <w:iCs/>
          <w:sz w:val="24"/>
          <w:szCs w:val="24"/>
          <w:lang w:bidi="gu-IN"/>
        </w:rPr>
        <w:t>2.1</w:t>
      </w:r>
      <w:r w:rsidR="00153471" w:rsidRPr="00096733">
        <w:rPr>
          <w:rFonts w:ascii="Times New Roman" w:hAnsi="Times New Roman" w:cs="Times New Roman"/>
          <w:i/>
          <w:iCs/>
          <w:sz w:val="24"/>
          <w:szCs w:val="24"/>
          <w:lang w:bidi="gu-IN"/>
        </w:rPr>
        <w:t xml:space="preserve"> Abnormal Returns</w:t>
      </w:r>
      <w:r w:rsidR="0043647A">
        <w:rPr>
          <w:rFonts w:ascii="Times New Roman" w:hAnsi="Times New Roman" w:cs="Times New Roman"/>
          <w:i/>
          <w:iCs/>
          <w:sz w:val="24"/>
          <w:szCs w:val="24"/>
          <w:lang w:bidi="gu-IN"/>
        </w:rPr>
        <w:t xml:space="preserve"> (AR) and Cumulative abnormal returns (CAR)</w:t>
      </w:r>
      <w:r w:rsidR="00153471" w:rsidRPr="00096733">
        <w:rPr>
          <w:rFonts w:ascii="Times New Roman" w:hAnsi="Times New Roman" w:cs="Times New Roman"/>
          <w:i/>
          <w:iCs/>
          <w:sz w:val="24"/>
          <w:szCs w:val="24"/>
          <w:lang w:bidi="gu-IN"/>
        </w:rPr>
        <w:t xml:space="preserve"> </w:t>
      </w:r>
    </w:p>
    <w:p w14:paraId="107D271A" w14:textId="77777777" w:rsidR="00096733" w:rsidRPr="00B37616" w:rsidRDefault="00096733" w:rsidP="00B82077">
      <w:pPr>
        <w:autoSpaceDE w:val="0"/>
        <w:autoSpaceDN w:val="0"/>
        <w:adjustRightInd w:val="0"/>
        <w:spacing w:after="0" w:line="360" w:lineRule="auto"/>
        <w:jc w:val="both"/>
        <w:rPr>
          <w:rFonts w:ascii="Times New Roman" w:hAnsi="Times New Roman" w:cs="Times New Roman"/>
          <w:sz w:val="24"/>
          <w:szCs w:val="24"/>
          <w:lang w:bidi="gu-IN"/>
        </w:rPr>
      </w:pPr>
    </w:p>
    <w:p w14:paraId="72A57731" w14:textId="1554AA26" w:rsidR="005E3707" w:rsidRPr="00B37616" w:rsidRDefault="00296D92" w:rsidP="00B82077">
      <w:pPr>
        <w:autoSpaceDE w:val="0"/>
        <w:autoSpaceDN w:val="0"/>
        <w:adjustRightInd w:val="0"/>
        <w:spacing w:after="0" w:line="360" w:lineRule="auto"/>
        <w:jc w:val="both"/>
        <w:rPr>
          <w:rFonts w:ascii="Times New Roman" w:hAnsi="Times New Roman" w:cs="Times New Roman"/>
          <w:sz w:val="24"/>
          <w:szCs w:val="24"/>
          <w:lang w:bidi="gu-IN"/>
        </w:rPr>
      </w:pPr>
      <w:r w:rsidRPr="00B37616">
        <w:rPr>
          <w:rFonts w:ascii="Times New Roman" w:hAnsi="Times New Roman" w:cs="Times New Roman"/>
          <w:sz w:val="24"/>
          <w:szCs w:val="24"/>
          <w:lang w:bidi="gu-IN"/>
        </w:rPr>
        <w:t xml:space="preserve">The abnormal returns </w:t>
      </w:r>
      <w:r w:rsidR="008B0AC9">
        <w:rPr>
          <w:rFonts w:ascii="Times New Roman" w:hAnsi="Times New Roman" w:cs="Times New Roman"/>
          <w:sz w:val="24"/>
          <w:szCs w:val="24"/>
          <w:lang w:bidi="gu-IN"/>
        </w:rPr>
        <w:t xml:space="preserve">derived by </w:t>
      </w:r>
      <w:r w:rsidRPr="00B37616">
        <w:rPr>
          <w:rFonts w:ascii="Times New Roman" w:hAnsi="Times New Roman" w:cs="Times New Roman"/>
          <w:sz w:val="24"/>
          <w:szCs w:val="24"/>
          <w:lang w:bidi="gu-IN"/>
        </w:rPr>
        <w:t xml:space="preserve">comparing the actual returns with the estimates of the daily returns (normal returns). </w:t>
      </w:r>
      <w:r w:rsidR="005E3707" w:rsidRPr="00B37616">
        <w:rPr>
          <w:rFonts w:ascii="Times New Roman" w:hAnsi="Times New Roman" w:cs="Times New Roman"/>
          <w:sz w:val="24"/>
          <w:szCs w:val="24"/>
          <w:lang w:bidi="gu-IN"/>
        </w:rPr>
        <w:t xml:space="preserve">The abnormal return, </w:t>
      </w:r>
      <w:proofErr w:type="spellStart"/>
      <w:r w:rsidR="00B6185F" w:rsidRPr="00B37616">
        <w:rPr>
          <w:rFonts w:ascii="Times New Roman" w:hAnsi="Times New Roman" w:cs="Times New Roman"/>
          <w:sz w:val="24"/>
          <w:szCs w:val="24"/>
          <w:lang w:bidi="gu-IN"/>
        </w:rPr>
        <w:t>AR</w:t>
      </w:r>
      <w:r w:rsidR="00B6185F" w:rsidRPr="00B37616">
        <w:rPr>
          <w:rFonts w:ascii="Times New Roman" w:hAnsi="Times New Roman" w:cs="Times New Roman"/>
          <w:sz w:val="24"/>
          <w:szCs w:val="24"/>
          <w:vertAlign w:val="subscript"/>
          <w:lang w:bidi="gu-IN"/>
        </w:rPr>
        <w:t>it</w:t>
      </w:r>
      <w:proofErr w:type="spellEnd"/>
      <w:r w:rsidR="005E3707" w:rsidRPr="00B37616">
        <w:rPr>
          <w:rFonts w:ascii="Times New Roman" w:hAnsi="Times New Roman" w:cs="Times New Roman"/>
          <w:sz w:val="24"/>
          <w:szCs w:val="24"/>
          <w:lang w:bidi="gu-IN"/>
        </w:rPr>
        <w:t xml:space="preserve"> is </w:t>
      </w:r>
      <w:r w:rsidR="00850620">
        <w:rPr>
          <w:rFonts w:ascii="Times New Roman" w:hAnsi="Times New Roman" w:cs="Times New Roman"/>
          <w:sz w:val="24"/>
          <w:szCs w:val="24"/>
          <w:lang w:bidi="gu-IN"/>
        </w:rPr>
        <w:t>calculated</w:t>
      </w:r>
      <w:r w:rsidR="00092330">
        <w:rPr>
          <w:rFonts w:ascii="Times New Roman" w:hAnsi="Times New Roman" w:cs="Times New Roman"/>
          <w:sz w:val="24"/>
          <w:szCs w:val="24"/>
          <w:lang w:bidi="gu-IN"/>
        </w:rPr>
        <w:t xml:space="preserve"> using below given formula</w:t>
      </w:r>
      <w:r w:rsidR="005E3707" w:rsidRPr="00B37616">
        <w:rPr>
          <w:rFonts w:ascii="Times New Roman" w:hAnsi="Times New Roman" w:cs="Times New Roman"/>
          <w:sz w:val="24"/>
          <w:szCs w:val="24"/>
          <w:lang w:bidi="gu-IN"/>
        </w:rPr>
        <w:t>:</w:t>
      </w:r>
    </w:p>
    <w:p w14:paraId="50DA8836" w14:textId="7CA23A30" w:rsidR="005E3707" w:rsidRPr="00B37616" w:rsidRDefault="00FF743E" w:rsidP="00B82077">
      <w:pPr>
        <w:autoSpaceDE w:val="0"/>
        <w:autoSpaceDN w:val="0"/>
        <w:adjustRightInd w:val="0"/>
        <w:spacing w:after="0" w:line="360" w:lineRule="auto"/>
        <w:jc w:val="both"/>
        <w:rPr>
          <w:rFonts w:ascii="Times New Roman" w:hAnsi="Times New Roman" w:cs="Times New Roman"/>
          <w:sz w:val="24"/>
          <w:szCs w:val="24"/>
          <w:lang w:bidi="gu-IN"/>
        </w:rPr>
      </w:pPr>
      <w:r>
        <w:rPr>
          <w:rFonts w:ascii="Times New Roman" w:hAnsi="Times New Roman" w:cs="Times New Roman"/>
          <w:sz w:val="24"/>
          <w:szCs w:val="24"/>
          <w:lang w:bidi="gu-IN"/>
        </w:rPr>
        <w:t xml:space="preserve">                                                           </w:t>
      </w:r>
      <w:proofErr w:type="spellStart"/>
      <w:r w:rsidR="005E3707" w:rsidRPr="00B37616">
        <w:rPr>
          <w:rFonts w:ascii="Times New Roman" w:hAnsi="Times New Roman" w:cs="Times New Roman"/>
          <w:sz w:val="24"/>
          <w:szCs w:val="24"/>
          <w:lang w:bidi="gu-IN"/>
        </w:rPr>
        <w:t>AR</w:t>
      </w:r>
      <w:r w:rsidR="005E3707" w:rsidRPr="00B37616">
        <w:rPr>
          <w:rFonts w:ascii="Times New Roman" w:hAnsi="Times New Roman" w:cs="Times New Roman"/>
          <w:sz w:val="24"/>
          <w:szCs w:val="24"/>
          <w:vertAlign w:val="subscript"/>
          <w:lang w:bidi="gu-IN"/>
        </w:rPr>
        <w:t>it</w:t>
      </w:r>
      <w:proofErr w:type="spellEnd"/>
      <w:r w:rsidR="005E3707" w:rsidRPr="00B37616">
        <w:rPr>
          <w:rFonts w:ascii="Times New Roman" w:hAnsi="Times New Roman" w:cs="Times New Roman"/>
          <w:sz w:val="24"/>
          <w:szCs w:val="24"/>
          <w:lang w:bidi="gu-IN"/>
        </w:rPr>
        <w:t>=</w:t>
      </w:r>
      <w:proofErr w:type="spellStart"/>
      <w:r w:rsidR="005E3707" w:rsidRPr="00B37616">
        <w:rPr>
          <w:rFonts w:ascii="Times New Roman" w:hAnsi="Times New Roman" w:cs="Times New Roman"/>
          <w:sz w:val="24"/>
          <w:szCs w:val="24"/>
          <w:lang w:bidi="gu-IN"/>
        </w:rPr>
        <w:t>R</w:t>
      </w:r>
      <w:r w:rsidR="005E3707" w:rsidRPr="00B37616">
        <w:rPr>
          <w:rFonts w:ascii="Times New Roman" w:hAnsi="Times New Roman" w:cs="Times New Roman"/>
          <w:sz w:val="24"/>
          <w:szCs w:val="24"/>
          <w:vertAlign w:val="subscript"/>
          <w:lang w:bidi="gu-IN"/>
        </w:rPr>
        <w:t>it</w:t>
      </w:r>
      <w:proofErr w:type="spellEnd"/>
      <w:r w:rsidR="005E3707" w:rsidRPr="00B37616">
        <w:rPr>
          <w:rFonts w:ascii="Times New Roman" w:hAnsi="Times New Roman" w:cs="Times New Roman"/>
          <w:sz w:val="24"/>
          <w:szCs w:val="24"/>
          <w:lang w:bidi="gu-IN"/>
        </w:rPr>
        <w:t>- E</w:t>
      </w:r>
      <w:r w:rsidR="002506F4">
        <w:rPr>
          <w:rFonts w:ascii="Times New Roman" w:hAnsi="Times New Roman" w:cs="Times New Roman"/>
          <w:sz w:val="24"/>
          <w:szCs w:val="24"/>
          <w:lang w:bidi="gu-IN"/>
        </w:rPr>
        <w:t>(</w:t>
      </w:r>
      <w:proofErr w:type="spellStart"/>
      <w:proofErr w:type="gramStart"/>
      <w:r w:rsidR="005E3707" w:rsidRPr="00B37616">
        <w:rPr>
          <w:rFonts w:ascii="Times New Roman" w:hAnsi="Times New Roman" w:cs="Times New Roman"/>
          <w:sz w:val="24"/>
          <w:szCs w:val="24"/>
          <w:lang w:bidi="gu-IN"/>
        </w:rPr>
        <w:t>R</w:t>
      </w:r>
      <w:r w:rsidR="005E3707" w:rsidRPr="00B37616">
        <w:rPr>
          <w:rFonts w:ascii="Times New Roman" w:hAnsi="Times New Roman" w:cs="Times New Roman"/>
          <w:sz w:val="24"/>
          <w:szCs w:val="24"/>
          <w:vertAlign w:val="subscript"/>
          <w:lang w:bidi="gu-IN"/>
        </w:rPr>
        <w:t>it</w:t>
      </w:r>
      <w:proofErr w:type="spellEnd"/>
      <w:r w:rsidR="002506F4">
        <w:rPr>
          <w:rFonts w:ascii="Times New Roman" w:hAnsi="Times New Roman" w:cs="Times New Roman"/>
          <w:sz w:val="24"/>
          <w:szCs w:val="24"/>
          <w:lang w:bidi="gu-IN"/>
        </w:rPr>
        <w:t xml:space="preserve">)  </w:t>
      </w:r>
      <w:r w:rsidR="0049221B">
        <w:rPr>
          <w:rFonts w:ascii="Times New Roman" w:hAnsi="Times New Roman" w:cs="Times New Roman"/>
          <w:sz w:val="24"/>
          <w:szCs w:val="24"/>
          <w:lang w:bidi="gu-IN"/>
        </w:rPr>
        <w:t xml:space="preserve"> </w:t>
      </w:r>
      <w:proofErr w:type="gramEnd"/>
      <w:r w:rsidR="0049221B">
        <w:rPr>
          <w:rFonts w:ascii="Times New Roman" w:hAnsi="Times New Roman" w:cs="Times New Roman"/>
          <w:sz w:val="24"/>
          <w:szCs w:val="24"/>
          <w:lang w:bidi="gu-IN"/>
        </w:rPr>
        <w:t xml:space="preserve"> </w:t>
      </w:r>
      <w:r>
        <w:rPr>
          <w:rFonts w:ascii="Times New Roman" w:hAnsi="Times New Roman" w:cs="Times New Roman"/>
          <w:sz w:val="24"/>
          <w:szCs w:val="24"/>
          <w:lang w:bidi="gu-IN"/>
        </w:rPr>
        <w:t xml:space="preserve">                      </w:t>
      </w:r>
      <w:r w:rsidR="0049221B">
        <w:rPr>
          <w:rFonts w:ascii="Times New Roman" w:hAnsi="Times New Roman" w:cs="Times New Roman"/>
          <w:sz w:val="24"/>
          <w:szCs w:val="24"/>
          <w:lang w:bidi="gu-IN"/>
        </w:rPr>
        <w:t xml:space="preserve">                          </w:t>
      </w:r>
      <w:r>
        <w:rPr>
          <w:rFonts w:ascii="Times New Roman" w:hAnsi="Times New Roman" w:cs="Times New Roman"/>
          <w:sz w:val="24"/>
          <w:szCs w:val="24"/>
          <w:lang w:bidi="gu-IN"/>
        </w:rPr>
        <w:t xml:space="preserve">    </w:t>
      </w:r>
      <w:r w:rsidR="0049221B">
        <w:rPr>
          <w:rFonts w:ascii="Times New Roman" w:hAnsi="Times New Roman" w:cs="Times New Roman"/>
          <w:sz w:val="24"/>
          <w:szCs w:val="24"/>
          <w:lang w:bidi="gu-IN"/>
        </w:rPr>
        <w:t xml:space="preserve">    </w:t>
      </w:r>
      <w:r w:rsidR="005E3707" w:rsidRPr="00B37616">
        <w:rPr>
          <w:rFonts w:ascii="Times New Roman" w:hAnsi="Times New Roman" w:cs="Times New Roman"/>
          <w:sz w:val="24"/>
          <w:szCs w:val="24"/>
          <w:lang w:bidi="gu-IN"/>
        </w:rPr>
        <w:t xml:space="preserve"> (</w:t>
      </w:r>
      <w:r w:rsidR="0043647A">
        <w:rPr>
          <w:rFonts w:ascii="Times New Roman" w:hAnsi="Times New Roman" w:cs="Times New Roman"/>
          <w:sz w:val="24"/>
          <w:szCs w:val="24"/>
          <w:lang w:bidi="gu-IN"/>
        </w:rPr>
        <w:t>3</w:t>
      </w:r>
      <w:r w:rsidR="005E3707" w:rsidRPr="00B37616">
        <w:rPr>
          <w:rFonts w:ascii="Times New Roman" w:hAnsi="Times New Roman" w:cs="Times New Roman"/>
          <w:sz w:val="24"/>
          <w:szCs w:val="24"/>
          <w:lang w:bidi="gu-IN"/>
        </w:rPr>
        <w:t>)</w:t>
      </w:r>
    </w:p>
    <w:p w14:paraId="464C6CBD" w14:textId="67BFE1B8" w:rsidR="008A2E5E" w:rsidRPr="00B37616" w:rsidRDefault="005E3707" w:rsidP="0043647A">
      <w:pPr>
        <w:autoSpaceDE w:val="0"/>
        <w:autoSpaceDN w:val="0"/>
        <w:adjustRightInd w:val="0"/>
        <w:spacing w:after="0" w:line="360" w:lineRule="auto"/>
        <w:jc w:val="both"/>
        <w:rPr>
          <w:rFonts w:ascii="Times New Roman" w:hAnsi="Times New Roman" w:cs="Times New Roman"/>
          <w:sz w:val="24"/>
          <w:szCs w:val="24"/>
          <w:lang w:bidi="gu-IN"/>
        </w:rPr>
      </w:pPr>
      <w:r w:rsidRPr="00B37616">
        <w:rPr>
          <w:rFonts w:ascii="Times New Roman" w:hAnsi="Times New Roman" w:cs="Times New Roman"/>
          <w:sz w:val="24"/>
          <w:szCs w:val="24"/>
          <w:lang w:bidi="gu-IN"/>
        </w:rPr>
        <w:lastRenderedPageBreak/>
        <w:t>Where</w:t>
      </w:r>
      <w:r w:rsidR="00323825">
        <w:rPr>
          <w:rFonts w:ascii="Times New Roman" w:hAnsi="Times New Roman" w:cs="Times New Roman"/>
          <w:sz w:val="24"/>
          <w:szCs w:val="24"/>
          <w:lang w:bidi="gu-IN"/>
        </w:rPr>
        <w:t>,</w:t>
      </w:r>
      <w:r w:rsidR="002F4444">
        <w:rPr>
          <w:rFonts w:ascii="Times New Roman" w:hAnsi="Times New Roman" w:cs="Times New Roman"/>
          <w:sz w:val="24"/>
          <w:szCs w:val="24"/>
          <w:lang w:bidi="gu-IN"/>
        </w:rPr>
        <w:t xml:space="preserve"> </w:t>
      </w:r>
      <w:proofErr w:type="spellStart"/>
      <w:r w:rsidRPr="00B37616">
        <w:rPr>
          <w:rFonts w:ascii="Times New Roman" w:hAnsi="Times New Roman" w:cs="Times New Roman"/>
          <w:sz w:val="24"/>
          <w:szCs w:val="24"/>
          <w:lang w:bidi="gu-IN"/>
        </w:rPr>
        <w:t>AR</w:t>
      </w:r>
      <w:r w:rsidRPr="00B37616">
        <w:rPr>
          <w:rFonts w:ascii="Times New Roman" w:hAnsi="Times New Roman" w:cs="Times New Roman"/>
          <w:sz w:val="24"/>
          <w:szCs w:val="24"/>
          <w:vertAlign w:val="subscript"/>
          <w:lang w:bidi="gu-IN"/>
        </w:rPr>
        <w:t>it</w:t>
      </w:r>
      <w:proofErr w:type="spellEnd"/>
      <w:r w:rsidRPr="00B37616">
        <w:rPr>
          <w:rFonts w:ascii="Times New Roman" w:hAnsi="Times New Roman" w:cs="Times New Roman"/>
          <w:sz w:val="24"/>
          <w:szCs w:val="24"/>
          <w:lang w:bidi="gu-IN"/>
        </w:rPr>
        <w:t xml:space="preserve"> </w:t>
      </w:r>
      <w:r w:rsidR="00AD646B">
        <w:rPr>
          <w:rFonts w:ascii="Times New Roman" w:hAnsi="Times New Roman" w:cs="Times New Roman"/>
          <w:sz w:val="24"/>
          <w:szCs w:val="24"/>
          <w:lang w:bidi="gu-IN"/>
        </w:rPr>
        <w:t xml:space="preserve">shows </w:t>
      </w:r>
      <w:r w:rsidR="00A209A3">
        <w:rPr>
          <w:rFonts w:ascii="Times New Roman" w:hAnsi="Times New Roman" w:cs="Times New Roman"/>
          <w:sz w:val="24"/>
          <w:szCs w:val="24"/>
          <w:lang w:bidi="gu-IN"/>
        </w:rPr>
        <w:t>the</w:t>
      </w:r>
      <w:r w:rsidRPr="00B37616">
        <w:rPr>
          <w:rFonts w:ascii="Times New Roman" w:hAnsi="Times New Roman" w:cs="Times New Roman"/>
          <w:sz w:val="24"/>
          <w:szCs w:val="24"/>
          <w:lang w:bidi="gu-IN"/>
        </w:rPr>
        <w:t xml:space="preserve"> abnormal return </w:t>
      </w:r>
      <w:r w:rsidR="00850620">
        <w:rPr>
          <w:rFonts w:ascii="Times New Roman" w:hAnsi="Times New Roman" w:cs="Times New Roman"/>
          <w:sz w:val="24"/>
          <w:szCs w:val="24"/>
          <w:lang w:bidi="gu-IN"/>
        </w:rPr>
        <w:t xml:space="preserve">on index </w:t>
      </w:r>
      <w:proofErr w:type="spellStart"/>
      <w:r w:rsidRPr="00B37616">
        <w:rPr>
          <w:rFonts w:ascii="Times New Roman" w:hAnsi="Times New Roman" w:cs="Times New Roman"/>
          <w:sz w:val="24"/>
          <w:szCs w:val="24"/>
          <w:lang w:bidi="gu-IN"/>
        </w:rPr>
        <w:t>i</w:t>
      </w:r>
      <w:proofErr w:type="spellEnd"/>
      <w:r w:rsidRPr="00B37616">
        <w:rPr>
          <w:rFonts w:ascii="Times New Roman" w:hAnsi="Times New Roman" w:cs="Times New Roman"/>
          <w:sz w:val="24"/>
          <w:szCs w:val="24"/>
          <w:lang w:bidi="gu-IN"/>
        </w:rPr>
        <w:t xml:space="preserve"> on day t</w:t>
      </w:r>
      <w:r w:rsidR="002F4444">
        <w:rPr>
          <w:rFonts w:ascii="Times New Roman" w:hAnsi="Times New Roman" w:cs="Times New Roman"/>
          <w:sz w:val="24"/>
          <w:szCs w:val="24"/>
          <w:lang w:bidi="gu-IN"/>
        </w:rPr>
        <w:t xml:space="preserve">. </w:t>
      </w:r>
      <w:proofErr w:type="spellStart"/>
      <w:r w:rsidRPr="00B37616">
        <w:rPr>
          <w:rFonts w:ascii="Times New Roman" w:hAnsi="Times New Roman" w:cs="Times New Roman"/>
          <w:sz w:val="24"/>
          <w:szCs w:val="24"/>
          <w:lang w:bidi="gu-IN"/>
        </w:rPr>
        <w:t>R</w:t>
      </w:r>
      <w:r w:rsidRPr="00B37616">
        <w:rPr>
          <w:rFonts w:ascii="Times New Roman" w:hAnsi="Times New Roman" w:cs="Times New Roman"/>
          <w:sz w:val="24"/>
          <w:szCs w:val="24"/>
          <w:vertAlign w:val="subscript"/>
          <w:lang w:bidi="gu-IN"/>
        </w:rPr>
        <w:t>it</w:t>
      </w:r>
      <w:proofErr w:type="spellEnd"/>
      <w:r w:rsidR="001C412E" w:rsidRPr="00B37616">
        <w:rPr>
          <w:rFonts w:ascii="Times New Roman" w:hAnsi="Times New Roman" w:cs="Times New Roman"/>
          <w:sz w:val="24"/>
          <w:szCs w:val="24"/>
          <w:vertAlign w:val="subscript"/>
          <w:lang w:bidi="gu-IN"/>
        </w:rPr>
        <w:t xml:space="preserve"> </w:t>
      </w:r>
      <w:r w:rsidR="00AD646B">
        <w:rPr>
          <w:rFonts w:ascii="Times New Roman" w:hAnsi="Times New Roman" w:cs="Times New Roman"/>
          <w:sz w:val="24"/>
          <w:szCs w:val="24"/>
          <w:lang w:bidi="gu-IN"/>
        </w:rPr>
        <w:t xml:space="preserve">shows </w:t>
      </w:r>
      <w:r w:rsidRPr="00B37616">
        <w:rPr>
          <w:rFonts w:ascii="Times New Roman" w:hAnsi="Times New Roman" w:cs="Times New Roman"/>
          <w:sz w:val="24"/>
          <w:szCs w:val="24"/>
          <w:lang w:bidi="gu-IN"/>
        </w:rPr>
        <w:t>the actual return on</w:t>
      </w:r>
      <w:r w:rsidR="00323825" w:rsidRPr="00323825">
        <w:rPr>
          <w:rFonts w:ascii="Times New Roman" w:hAnsi="Times New Roman" w:cs="Times New Roman"/>
          <w:sz w:val="24"/>
          <w:szCs w:val="24"/>
          <w:lang w:bidi="gu-IN"/>
        </w:rPr>
        <w:t xml:space="preserve"> </w:t>
      </w:r>
      <w:r w:rsidR="002F4444">
        <w:rPr>
          <w:rFonts w:ascii="Times New Roman" w:hAnsi="Times New Roman" w:cs="Times New Roman"/>
          <w:sz w:val="24"/>
          <w:szCs w:val="24"/>
          <w:lang w:bidi="gu-IN"/>
        </w:rPr>
        <w:t>the index</w:t>
      </w:r>
      <w:r w:rsidRPr="00B37616">
        <w:rPr>
          <w:rFonts w:ascii="Times New Roman" w:hAnsi="Times New Roman" w:cs="Times New Roman"/>
          <w:sz w:val="24"/>
          <w:szCs w:val="24"/>
          <w:lang w:bidi="gu-IN"/>
        </w:rPr>
        <w:t xml:space="preserve"> </w:t>
      </w:r>
      <w:proofErr w:type="spellStart"/>
      <w:r w:rsidR="002F4444">
        <w:rPr>
          <w:rFonts w:ascii="Times New Roman" w:hAnsi="Times New Roman" w:cs="Times New Roman"/>
          <w:sz w:val="24"/>
          <w:szCs w:val="24"/>
          <w:lang w:bidi="gu-IN"/>
        </w:rPr>
        <w:t>i</w:t>
      </w:r>
      <w:proofErr w:type="spellEnd"/>
      <w:r w:rsidR="002F4444">
        <w:rPr>
          <w:rFonts w:ascii="Times New Roman" w:hAnsi="Times New Roman" w:cs="Times New Roman"/>
          <w:sz w:val="24"/>
          <w:szCs w:val="24"/>
          <w:lang w:bidi="gu-IN"/>
        </w:rPr>
        <w:t xml:space="preserve"> </w:t>
      </w:r>
      <w:r w:rsidRPr="00B37616">
        <w:rPr>
          <w:rFonts w:ascii="Times New Roman" w:hAnsi="Times New Roman" w:cs="Times New Roman"/>
          <w:sz w:val="24"/>
          <w:szCs w:val="24"/>
          <w:lang w:bidi="gu-IN"/>
        </w:rPr>
        <w:t>on day t</w:t>
      </w:r>
      <w:r w:rsidR="002F4444">
        <w:rPr>
          <w:rFonts w:ascii="Times New Roman" w:hAnsi="Times New Roman" w:cs="Times New Roman"/>
          <w:sz w:val="24"/>
          <w:szCs w:val="24"/>
          <w:lang w:bidi="gu-IN"/>
        </w:rPr>
        <w:t xml:space="preserve">. </w:t>
      </w:r>
      <w:r w:rsidR="008A2E5E" w:rsidRPr="00B37616">
        <w:rPr>
          <w:rFonts w:ascii="Times New Roman" w:hAnsi="Times New Roman" w:cs="Times New Roman"/>
          <w:sz w:val="24"/>
          <w:szCs w:val="24"/>
          <w:lang w:bidi="gu-IN"/>
        </w:rPr>
        <w:t>We calculate</w:t>
      </w:r>
      <w:r w:rsidR="008A2E5E">
        <w:rPr>
          <w:rFonts w:ascii="Times New Roman" w:hAnsi="Times New Roman" w:cs="Times New Roman"/>
          <w:sz w:val="24"/>
          <w:szCs w:val="24"/>
          <w:lang w:bidi="gu-IN"/>
        </w:rPr>
        <w:t>d</w:t>
      </w:r>
      <w:r w:rsidR="008A2E5E" w:rsidRPr="00B37616">
        <w:rPr>
          <w:rFonts w:ascii="Times New Roman" w:hAnsi="Times New Roman" w:cs="Times New Roman"/>
          <w:sz w:val="24"/>
          <w:szCs w:val="24"/>
          <w:lang w:bidi="gu-IN"/>
        </w:rPr>
        <w:t xml:space="preserve"> the cumulative abnormal return (CARs)</w:t>
      </w:r>
      <w:r w:rsidR="008A2E5E">
        <w:rPr>
          <w:rFonts w:ascii="Times New Roman" w:hAnsi="Times New Roman" w:cs="Times New Roman"/>
          <w:sz w:val="24"/>
          <w:szCs w:val="24"/>
          <w:lang w:bidi="gu-IN"/>
        </w:rPr>
        <w:t xml:space="preserve"> for index </w:t>
      </w:r>
      <w:proofErr w:type="spellStart"/>
      <w:r w:rsidR="008A2E5E">
        <w:rPr>
          <w:rFonts w:ascii="Times New Roman" w:hAnsi="Times New Roman" w:cs="Times New Roman"/>
          <w:sz w:val="24"/>
          <w:szCs w:val="24"/>
          <w:lang w:bidi="gu-IN"/>
        </w:rPr>
        <w:t>i</w:t>
      </w:r>
      <w:proofErr w:type="spellEnd"/>
      <w:r w:rsidR="008A2E5E">
        <w:rPr>
          <w:rFonts w:ascii="Times New Roman" w:hAnsi="Times New Roman" w:cs="Times New Roman"/>
          <w:sz w:val="24"/>
          <w:szCs w:val="24"/>
          <w:lang w:bidi="gu-IN"/>
        </w:rPr>
        <w:t xml:space="preserve"> over the event window from day </w:t>
      </w:r>
      <m:oMath>
        <m:sSub>
          <m:sSubPr>
            <m:ctrlPr>
              <w:rPr>
                <w:rFonts w:ascii="Cambria Math" w:hAnsi="Cambria Math" w:cs="Times New Roman"/>
                <w:i/>
                <w:sz w:val="24"/>
                <w:szCs w:val="24"/>
                <w:lang w:bidi="gu-IN"/>
              </w:rPr>
            </m:ctrlPr>
          </m:sSubPr>
          <m:e>
            <m:r>
              <m:rPr>
                <m:sty m:val="p"/>
              </m:rPr>
              <w:rPr>
                <w:rFonts w:ascii="Cambria Math" w:hAnsi="Cambria Math" w:cs="Times New Roman"/>
                <w:sz w:val="24"/>
                <w:szCs w:val="24"/>
                <w:lang w:bidi="gu-IN"/>
              </w:rPr>
              <m:t>ᴦ</m:t>
            </m:r>
          </m:e>
          <m:sub>
            <m:r>
              <w:rPr>
                <w:rFonts w:ascii="Cambria Math" w:hAnsi="Cambria Math" w:cs="Times New Roman"/>
                <w:sz w:val="24"/>
                <w:szCs w:val="24"/>
                <w:lang w:bidi="gu-IN"/>
              </w:rPr>
              <m:t>1</m:t>
            </m:r>
          </m:sub>
        </m:sSub>
      </m:oMath>
      <w:r w:rsidR="008A2E5E">
        <w:rPr>
          <w:rFonts w:ascii="Times New Roman" w:eastAsiaTheme="minorEastAsia" w:hAnsi="Times New Roman" w:cs="Times New Roman"/>
          <w:sz w:val="24"/>
          <w:szCs w:val="24"/>
          <w:lang w:bidi="gu-IN"/>
        </w:rPr>
        <w:t xml:space="preserve"> to </w:t>
      </w:r>
      <m:oMath>
        <m:sSub>
          <m:sSubPr>
            <m:ctrlPr>
              <w:rPr>
                <w:rFonts w:ascii="Cambria Math" w:hAnsi="Cambria Math" w:cs="Times New Roman"/>
                <w:i/>
                <w:sz w:val="24"/>
                <w:szCs w:val="24"/>
                <w:lang w:bidi="gu-IN"/>
              </w:rPr>
            </m:ctrlPr>
          </m:sSubPr>
          <m:e>
            <m:r>
              <m:rPr>
                <m:sty m:val="p"/>
              </m:rPr>
              <w:rPr>
                <w:rFonts w:ascii="Cambria Math" w:hAnsi="Cambria Math" w:cs="Times New Roman"/>
                <w:sz w:val="24"/>
                <w:szCs w:val="24"/>
                <w:lang w:bidi="gu-IN"/>
              </w:rPr>
              <m:t>ᴦ</m:t>
            </m:r>
          </m:e>
          <m:sub>
            <m:r>
              <w:rPr>
                <w:rFonts w:ascii="Cambria Math" w:hAnsi="Cambria Math" w:cs="Times New Roman"/>
                <w:sz w:val="24"/>
                <w:szCs w:val="24"/>
                <w:lang w:bidi="gu-IN"/>
              </w:rPr>
              <m:t>2</m:t>
            </m:r>
          </m:sub>
        </m:sSub>
      </m:oMath>
      <w:r w:rsidR="008A2E5E" w:rsidRPr="00B37616">
        <w:rPr>
          <w:rFonts w:ascii="Times New Roman" w:hAnsi="Times New Roman" w:cs="Times New Roman"/>
          <w:sz w:val="24"/>
          <w:szCs w:val="24"/>
          <w:lang w:bidi="gu-IN"/>
        </w:rPr>
        <w:t>:</w:t>
      </w:r>
    </w:p>
    <w:p w14:paraId="424ABCD3" w14:textId="2B2AD794" w:rsidR="009D1AE5" w:rsidRPr="00B37616" w:rsidRDefault="008A2E5E" w:rsidP="0043647A">
      <w:pPr>
        <w:pStyle w:val="Default"/>
        <w:spacing w:line="360" w:lineRule="auto"/>
        <w:jc w:val="both"/>
        <w:rPr>
          <w:rFonts w:ascii="Times New Roman" w:hAnsi="Times New Roman" w:cs="Times New Roman"/>
        </w:rPr>
      </w:pP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CAR</m:t>
            </m:r>
          </m:e>
          <m:sub>
            <m:r>
              <w:rPr>
                <w:rFonts w:ascii="Cambria Math" w:hAnsi="Cambria Math" w:cs="Times New Roman"/>
              </w:rPr>
              <m:t>i</m:t>
            </m:r>
          </m:sub>
        </m:sSub>
        <m:r>
          <w:rPr>
            <w:rFonts w:ascii="Cambria Math" w:hAnsi="Times New Roman" w:cs="Times New Roman"/>
          </w:rPr>
          <m:t>(</m:t>
        </m:r>
        <m:sSub>
          <m:sSubPr>
            <m:ctrlPr>
              <w:rPr>
                <w:rFonts w:ascii="Cambria Math" w:eastAsiaTheme="minorHAnsi" w:hAnsi="Cambria Math" w:cs="Times New Roman"/>
                <w:i/>
                <w:color w:val="auto"/>
                <w:lang w:val="en-IN"/>
              </w:rPr>
            </m:ctrlPr>
          </m:sSubPr>
          <m:e>
            <m:r>
              <m:rPr>
                <m:sty m:val="p"/>
              </m:rPr>
              <w:rPr>
                <w:rFonts w:ascii="Cambria Math" w:hAnsi="Cambria Math" w:cs="Times New Roman"/>
              </w:rPr>
              <m:t>ᴦ</m:t>
            </m:r>
          </m:e>
          <m:sub>
            <m:r>
              <w:rPr>
                <w:rFonts w:ascii="Cambria Math" w:hAnsi="Cambria Math" w:cs="Times New Roman"/>
              </w:rPr>
              <m:t>1</m:t>
            </m:r>
          </m:sub>
        </m:sSub>
        <m:r>
          <w:rPr>
            <w:rFonts w:ascii="Cambria Math" w:eastAsiaTheme="minorHAnsi" w:hAnsi="Cambria Math" w:cs="Times New Roman"/>
            <w:color w:val="auto"/>
            <w:lang w:val="en-IN"/>
          </w:rPr>
          <m:t xml:space="preserve">, </m:t>
        </m:r>
        <m:sSub>
          <m:sSubPr>
            <m:ctrlPr>
              <w:rPr>
                <w:rFonts w:ascii="Cambria Math" w:eastAsiaTheme="minorHAnsi" w:hAnsi="Cambria Math" w:cs="Times New Roman"/>
                <w:i/>
                <w:color w:val="auto"/>
                <w:lang w:val="en-IN"/>
              </w:rPr>
            </m:ctrlPr>
          </m:sSubPr>
          <m:e>
            <m:r>
              <m:rPr>
                <m:sty m:val="p"/>
              </m:rPr>
              <w:rPr>
                <w:rFonts w:ascii="Cambria Math" w:hAnsi="Cambria Math" w:cs="Times New Roman"/>
              </w:rPr>
              <m:t>ᴦ</m:t>
            </m:r>
          </m:e>
          <m:sub>
            <m:r>
              <w:rPr>
                <w:rFonts w:ascii="Cambria Math" w:hAnsi="Cambria Math" w:cs="Times New Roman"/>
              </w:rPr>
              <m:t>2</m:t>
            </m:r>
          </m:sub>
        </m:sSub>
        <m:r>
          <w:rPr>
            <w:rFonts w:ascii="Cambria Math" w:hAnsi="Times New Roman" w:cs="Times New Roman"/>
          </w:rPr>
          <m:t>)=</m:t>
        </m:r>
        <m:nary>
          <m:naryPr>
            <m:chr m:val="∑"/>
            <m:limLoc m:val="undOvr"/>
            <m:ctrlPr>
              <w:rPr>
                <w:rFonts w:ascii="Cambria Math" w:hAnsi="Times New Roman" w:cs="Times New Roman"/>
                <w:i/>
              </w:rPr>
            </m:ctrlPr>
          </m:naryPr>
          <m:sub>
            <m:r>
              <w:rPr>
                <w:rFonts w:ascii="Cambria Math" w:hAnsi="Times New Roman" w:cs="Times New Roman"/>
              </w:rPr>
              <m:t>t=</m:t>
            </m:r>
            <m:sSub>
              <m:sSubPr>
                <m:ctrlPr>
                  <w:rPr>
                    <w:rFonts w:ascii="Cambria Math" w:eastAsiaTheme="minorHAnsi" w:hAnsi="Cambria Math" w:cs="Times New Roman"/>
                    <w:i/>
                    <w:color w:val="auto"/>
                    <w:lang w:val="en-IN"/>
                  </w:rPr>
                </m:ctrlPr>
              </m:sSubPr>
              <m:e>
                <m:r>
                  <m:rPr>
                    <m:sty m:val="p"/>
                  </m:rPr>
                  <w:rPr>
                    <w:rFonts w:ascii="Cambria Math" w:hAnsi="Cambria Math" w:cs="Times New Roman"/>
                  </w:rPr>
                  <m:t>ᴦ</m:t>
                </m:r>
              </m:e>
              <m:sub>
                <m:r>
                  <w:rPr>
                    <w:rFonts w:ascii="Cambria Math" w:hAnsi="Cambria Math" w:cs="Times New Roman"/>
                  </w:rPr>
                  <m:t>1</m:t>
                </m:r>
              </m:sub>
            </m:sSub>
          </m:sub>
          <m:sup>
            <m:sSub>
              <m:sSubPr>
                <m:ctrlPr>
                  <w:rPr>
                    <w:rFonts w:ascii="Cambria Math" w:eastAsiaTheme="minorHAnsi" w:hAnsi="Cambria Math" w:cs="Times New Roman"/>
                    <w:i/>
                    <w:color w:val="auto"/>
                    <w:lang w:val="en-IN"/>
                  </w:rPr>
                </m:ctrlPr>
              </m:sSubPr>
              <m:e>
                <m:r>
                  <m:rPr>
                    <m:sty m:val="p"/>
                  </m:rPr>
                  <w:rPr>
                    <w:rFonts w:ascii="Cambria Math" w:hAnsi="Cambria Math" w:cs="Times New Roman"/>
                  </w:rPr>
                  <m:t>ᴦ</m:t>
                </m:r>
              </m:e>
              <m:sub>
                <m:r>
                  <w:rPr>
                    <w:rFonts w:ascii="Cambria Math" w:eastAsiaTheme="minorHAnsi" w:hAnsi="Cambria Math" w:cs="Times New Roman"/>
                    <w:color w:val="auto"/>
                    <w:lang w:val="en-IN"/>
                  </w:rPr>
                  <m:t>2</m:t>
                </m:r>
              </m:sub>
            </m:sSub>
          </m:sup>
          <m:e>
            <m:sSub>
              <m:sSubPr>
                <m:ctrlPr>
                  <w:rPr>
                    <w:rFonts w:ascii="Cambria Math" w:hAnsi="Times New Roman" w:cs="Times New Roman"/>
                    <w:i/>
                  </w:rPr>
                </m:ctrlPr>
              </m:sSubPr>
              <m:e>
                <m:r>
                  <w:rPr>
                    <w:rFonts w:ascii="Cambria Math" w:hAnsi="Times New Roman" w:cs="Times New Roman"/>
                  </w:rPr>
                  <m:t>AR</m:t>
                </m:r>
              </m:e>
              <m:sub>
                <m:r>
                  <w:rPr>
                    <w:rFonts w:ascii="Cambria Math" w:hAnsi="Times New Roman" w:cs="Times New Roman"/>
                  </w:rPr>
                  <m:t>it</m:t>
                </m:r>
              </m:sub>
            </m:sSub>
          </m:e>
        </m:nary>
      </m:oMath>
      <w:r>
        <w:rPr>
          <w:rFonts w:ascii="Times New Roman" w:hAnsi="Times New Roman" w:cs="Times New Roman"/>
        </w:rPr>
        <w:t xml:space="preserve">                                               </w:t>
      </w:r>
      <w:r w:rsidRPr="00B37616">
        <w:rPr>
          <w:rFonts w:ascii="Times New Roman" w:hAnsi="Times New Roman" w:cs="Times New Roman"/>
        </w:rPr>
        <w:t>(</w:t>
      </w:r>
      <w:r w:rsidR="0043647A">
        <w:rPr>
          <w:rFonts w:ascii="Times New Roman" w:hAnsi="Times New Roman" w:cs="Times New Roman"/>
        </w:rPr>
        <w:t>4</w:t>
      </w:r>
      <w:r w:rsidRPr="00B37616">
        <w:rPr>
          <w:rFonts w:ascii="Times New Roman" w:hAnsi="Times New Roman" w:cs="Times New Roman"/>
        </w:rPr>
        <w:t>)</w:t>
      </w:r>
    </w:p>
    <w:p w14:paraId="3F8C0EFB" w14:textId="7A5F64E7" w:rsidR="009D1AE5" w:rsidRDefault="001A0ED5" w:rsidP="00B82077">
      <w:pPr>
        <w:autoSpaceDE w:val="0"/>
        <w:autoSpaceDN w:val="0"/>
        <w:adjustRightInd w:val="0"/>
        <w:spacing w:after="0" w:line="360" w:lineRule="auto"/>
        <w:rPr>
          <w:rFonts w:ascii="Times New Roman" w:hAnsi="Times New Roman" w:cs="Times New Roman"/>
          <w:i/>
          <w:iCs/>
          <w:sz w:val="24"/>
          <w:szCs w:val="24"/>
          <w:lang w:bidi="gu-IN"/>
        </w:rPr>
      </w:pPr>
      <w:r w:rsidRPr="00B6185F">
        <w:rPr>
          <w:rFonts w:ascii="Times New Roman" w:hAnsi="Times New Roman" w:cs="Times New Roman"/>
          <w:i/>
          <w:iCs/>
          <w:sz w:val="24"/>
          <w:szCs w:val="24"/>
          <w:lang w:bidi="gu-IN"/>
        </w:rPr>
        <w:t>2</w:t>
      </w:r>
      <w:r w:rsidR="00CB21BD" w:rsidRPr="00B6185F">
        <w:rPr>
          <w:rFonts w:ascii="Times New Roman" w:hAnsi="Times New Roman" w:cs="Times New Roman"/>
          <w:i/>
          <w:iCs/>
          <w:sz w:val="24"/>
          <w:szCs w:val="24"/>
          <w:lang w:bidi="gu-IN"/>
        </w:rPr>
        <w:t>.</w:t>
      </w:r>
      <w:r w:rsidR="00C6245E" w:rsidRPr="00B6185F">
        <w:rPr>
          <w:rFonts w:ascii="Times New Roman" w:hAnsi="Times New Roman" w:cs="Times New Roman"/>
          <w:i/>
          <w:iCs/>
          <w:sz w:val="24"/>
          <w:szCs w:val="24"/>
          <w:lang w:bidi="gu-IN"/>
        </w:rPr>
        <w:t>2.2</w:t>
      </w:r>
      <w:r w:rsidR="00CB21BD" w:rsidRPr="00B6185F">
        <w:rPr>
          <w:rFonts w:ascii="Times New Roman" w:hAnsi="Times New Roman" w:cs="Times New Roman"/>
          <w:i/>
          <w:iCs/>
          <w:sz w:val="24"/>
          <w:szCs w:val="24"/>
          <w:lang w:bidi="gu-IN"/>
        </w:rPr>
        <w:t xml:space="preserve">. </w:t>
      </w:r>
      <w:bookmarkStart w:id="2" w:name="_Hlk98343743"/>
      <w:r w:rsidR="00CB21BD" w:rsidRPr="00B6185F">
        <w:rPr>
          <w:rFonts w:ascii="Times New Roman" w:hAnsi="Times New Roman" w:cs="Times New Roman"/>
          <w:i/>
          <w:iCs/>
          <w:sz w:val="24"/>
          <w:szCs w:val="24"/>
          <w:lang w:bidi="gu-IN"/>
        </w:rPr>
        <w:t>Aggregat</w:t>
      </w:r>
      <w:r w:rsidR="0043647A">
        <w:rPr>
          <w:rFonts w:ascii="Times New Roman" w:hAnsi="Times New Roman" w:cs="Times New Roman"/>
          <w:i/>
          <w:iCs/>
          <w:sz w:val="24"/>
          <w:szCs w:val="24"/>
          <w:lang w:bidi="gu-IN"/>
        </w:rPr>
        <w:t>e</w:t>
      </w:r>
      <w:r w:rsidR="00CB21BD" w:rsidRPr="00B6185F">
        <w:rPr>
          <w:rFonts w:ascii="Times New Roman" w:hAnsi="Times New Roman" w:cs="Times New Roman"/>
          <w:i/>
          <w:iCs/>
          <w:sz w:val="24"/>
          <w:szCs w:val="24"/>
          <w:lang w:bidi="gu-IN"/>
        </w:rPr>
        <w:t xml:space="preserve"> of Abnormal Returns</w:t>
      </w:r>
      <w:r w:rsidR="0043647A">
        <w:rPr>
          <w:rFonts w:ascii="Times New Roman" w:hAnsi="Times New Roman" w:cs="Times New Roman"/>
          <w:i/>
          <w:iCs/>
          <w:sz w:val="24"/>
          <w:szCs w:val="24"/>
          <w:lang w:bidi="gu-IN"/>
        </w:rPr>
        <w:t xml:space="preserve"> </w:t>
      </w:r>
      <w:bookmarkEnd w:id="2"/>
      <w:r w:rsidR="0043647A">
        <w:rPr>
          <w:rFonts w:ascii="Times New Roman" w:hAnsi="Times New Roman" w:cs="Times New Roman"/>
          <w:i/>
          <w:iCs/>
          <w:sz w:val="24"/>
          <w:szCs w:val="24"/>
          <w:lang w:bidi="gu-IN"/>
        </w:rPr>
        <w:t xml:space="preserve">(AAR) and Cumulative </w:t>
      </w:r>
      <w:r w:rsidR="0043647A" w:rsidRPr="0043647A">
        <w:rPr>
          <w:rFonts w:ascii="Times New Roman" w:hAnsi="Times New Roman" w:cs="Times New Roman"/>
          <w:i/>
          <w:iCs/>
          <w:sz w:val="24"/>
          <w:szCs w:val="24"/>
          <w:lang w:bidi="gu-IN"/>
        </w:rPr>
        <w:t>Aggregate of Abnormal Returns</w:t>
      </w:r>
      <w:r w:rsidR="0043647A">
        <w:rPr>
          <w:rFonts w:ascii="Times New Roman" w:hAnsi="Times New Roman" w:cs="Times New Roman"/>
          <w:i/>
          <w:iCs/>
          <w:sz w:val="24"/>
          <w:szCs w:val="24"/>
          <w:lang w:bidi="gu-IN"/>
        </w:rPr>
        <w:t xml:space="preserve"> (CAAR)</w:t>
      </w:r>
    </w:p>
    <w:p w14:paraId="732B747A" w14:textId="39AE0663" w:rsidR="009D1AE5" w:rsidRPr="00B37616" w:rsidRDefault="009D4F71" w:rsidP="000D40FA">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lang w:bidi="gu-IN"/>
        </w:rPr>
        <w:t xml:space="preserve">The common reaction of the stock indices to the event can be measured with the aggregation of </w:t>
      </w:r>
      <w:r w:rsidR="002B6738">
        <w:rPr>
          <w:rFonts w:ascii="Times New Roman" w:hAnsi="Times New Roman" w:cs="Times New Roman"/>
          <w:sz w:val="24"/>
          <w:szCs w:val="24"/>
          <w:lang w:bidi="gu-IN"/>
        </w:rPr>
        <w:t xml:space="preserve">each of the indices’ </w:t>
      </w:r>
      <w:r>
        <w:rPr>
          <w:rFonts w:ascii="Times New Roman" w:hAnsi="Times New Roman" w:cs="Times New Roman"/>
          <w:sz w:val="24"/>
          <w:szCs w:val="24"/>
          <w:lang w:bidi="gu-IN"/>
        </w:rPr>
        <w:t xml:space="preserve">abnormal daily returns of each day. </w:t>
      </w:r>
      <w:r w:rsidR="009D1AE5" w:rsidRPr="00B37616">
        <w:rPr>
          <w:rFonts w:ascii="Times New Roman" w:hAnsi="Times New Roman" w:cs="Times New Roman"/>
          <w:bCs/>
          <w:sz w:val="24"/>
          <w:szCs w:val="24"/>
        </w:rPr>
        <w:t>Average abnormal returns are computed by below given equation</w:t>
      </w:r>
      <w:r w:rsidR="00723999" w:rsidRPr="00B37616">
        <w:rPr>
          <w:rFonts w:ascii="Times New Roman" w:hAnsi="Times New Roman" w:cs="Times New Roman"/>
          <w:bCs/>
          <w:sz w:val="24"/>
          <w:szCs w:val="24"/>
        </w:rPr>
        <w:t>:</w:t>
      </w:r>
    </w:p>
    <w:p w14:paraId="652068ED" w14:textId="5156DC53" w:rsidR="009D1AE5" w:rsidRPr="00B37616" w:rsidRDefault="00FF743E" w:rsidP="00DA6F80">
      <w:pPr>
        <w:pStyle w:val="Default"/>
        <w:spacing w:line="360" w:lineRule="auto"/>
        <w:jc w:val="both"/>
        <w:rPr>
          <w:rFonts w:ascii="Times New Roman" w:hAnsi="Times New Roman" w:cs="Times New Roman"/>
        </w:rPr>
      </w:pPr>
      <w:r>
        <w:rPr>
          <w:rFonts w:ascii="Times New Roman" w:hAnsi="Times New Roman" w:cs="Times New Roman"/>
        </w:rPr>
        <w:t xml:space="preserve">                                                         </w:t>
      </w:r>
      <m:oMath>
        <m:sSub>
          <m:sSubPr>
            <m:ctrlPr>
              <w:rPr>
                <w:rFonts w:ascii="Cambria Math" w:hAnsi="Cambria Math" w:cs="Times New Roman"/>
                <w:i/>
              </w:rPr>
            </m:ctrlPr>
          </m:sSubPr>
          <m:e>
            <m:r>
              <w:rPr>
                <w:rFonts w:ascii="Cambria Math" w:hAnsi="Times New Roman" w:cs="Times New Roman"/>
              </w:rPr>
              <m:t>AAR</m:t>
            </m:r>
          </m:e>
          <m:sub>
            <m:r>
              <w:rPr>
                <w:rFonts w:ascii="Cambria Math" w:hAnsi="Cambria Math" w:cs="Times New Roman"/>
              </w:rPr>
              <m:t>t</m:t>
            </m:r>
          </m:sub>
        </m:sSub>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N</m:t>
            </m:r>
          </m:den>
        </m:f>
        <m:nary>
          <m:naryPr>
            <m:chr m:val="∑"/>
            <m:limLoc m:val="subSup"/>
            <m:ctrlPr>
              <w:rPr>
                <w:rFonts w:ascii="Cambria Math" w:hAnsi="Times New Roman" w:cs="Times New Roman"/>
                <w:i/>
              </w:rPr>
            </m:ctrlPr>
          </m:naryPr>
          <m:sub>
            <m:r>
              <w:rPr>
                <w:rFonts w:ascii="Cambria Math" w:hAnsi="Times New Roman" w:cs="Times New Roman"/>
              </w:rPr>
              <m:t>i=1</m:t>
            </m:r>
          </m:sub>
          <m:sup>
            <m:r>
              <w:rPr>
                <w:rFonts w:ascii="Cambria Math" w:hAnsi="Times New Roman" w:cs="Times New Roman"/>
              </w:rPr>
              <m:t>N</m:t>
            </m:r>
          </m:sup>
          <m:e>
            <m:sSub>
              <m:sSubPr>
                <m:ctrlPr>
                  <w:rPr>
                    <w:rFonts w:ascii="Cambria Math" w:hAnsi="Times New Roman" w:cs="Times New Roman"/>
                    <w:i/>
                  </w:rPr>
                </m:ctrlPr>
              </m:sSubPr>
              <m:e>
                <m:r>
                  <w:rPr>
                    <w:rFonts w:ascii="Cambria Math" w:hAnsi="Times New Roman" w:cs="Times New Roman"/>
                  </w:rPr>
                  <m:t>AR</m:t>
                </m:r>
              </m:e>
              <m:sub>
                <m:r>
                  <w:rPr>
                    <w:rFonts w:ascii="Cambria Math" w:hAnsi="Times New Roman" w:cs="Times New Roman"/>
                  </w:rPr>
                  <m:t>it</m:t>
                </m:r>
              </m:sub>
            </m:sSub>
          </m:e>
        </m:nary>
      </m:oMath>
      <w:r>
        <w:rPr>
          <w:rFonts w:ascii="Times New Roman" w:hAnsi="Times New Roman" w:cs="Times New Roman"/>
        </w:rPr>
        <w:t xml:space="preserve">                                        </w:t>
      </w:r>
      <w:r w:rsidR="00E77DC2">
        <w:rPr>
          <w:rFonts w:ascii="Times New Roman" w:hAnsi="Times New Roman" w:cs="Times New Roman"/>
        </w:rPr>
        <w:t xml:space="preserve">     </w:t>
      </w:r>
      <w:r>
        <w:rPr>
          <w:rFonts w:ascii="Times New Roman" w:hAnsi="Times New Roman" w:cs="Times New Roman"/>
        </w:rPr>
        <w:t xml:space="preserve">         </w:t>
      </w:r>
      <w:r w:rsidR="009D1AE5" w:rsidRPr="00B37616">
        <w:rPr>
          <w:rFonts w:ascii="Times New Roman" w:hAnsi="Times New Roman" w:cs="Times New Roman"/>
        </w:rPr>
        <w:t>(</w:t>
      </w:r>
      <w:r w:rsidR="00E77DC2">
        <w:rPr>
          <w:rFonts w:ascii="Times New Roman" w:hAnsi="Times New Roman" w:cs="Times New Roman"/>
        </w:rPr>
        <w:t>5</w:t>
      </w:r>
      <w:r w:rsidR="009D1AE5" w:rsidRPr="00B37616">
        <w:rPr>
          <w:rFonts w:ascii="Times New Roman" w:hAnsi="Times New Roman" w:cs="Times New Roman"/>
        </w:rPr>
        <w:t>)</w:t>
      </w:r>
    </w:p>
    <w:p w14:paraId="1DD2C4FB" w14:textId="5FE2FE19" w:rsidR="009E683A" w:rsidRDefault="009D1AE5" w:rsidP="00E77DC2">
      <w:pPr>
        <w:pStyle w:val="Default"/>
        <w:spacing w:line="360" w:lineRule="auto"/>
        <w:jc w:val="both"/>
        <w:rPr>
          <w:rFonts w:ascii="Times New Roman" w:hAnsi="Times New Roman" w:cs="Times New Roman"/>
        </w:rPr>
      </w:pPr>
      <w:r w:rsidRPr="00B37616">
        <w:rPr>
          <w:rFonts w:ascii="Times New Roman" w:hAnsi="Times New Roman" w:cs="Times New Roman"/>
        </w:rPr>
        <w:t xml:space="preserve">Where, </w:t>
      </w:r>
      <w:r w:rsidRPr="00B37616">
        <w:rPr>
          <w:rFonts w:ascii="Times New Roman" w:hAnsi="Times New Roman" w:cs="Times New Roman"/>
          <w:position w:val="-6"/>
        </w:rPr>
        <w:object w:dxaOrig="580" w:dyaOrig="279" w14:anchorId="2FF07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4.4pt" o:ole="">
            <v:imagedata r:id="rId8" o:title=""/>
          </v:shape>
          <o:OLEObject Type="Embed" ProgID="Equation.DSMT4" ShapeID="_x0000_i1025" DrawAspect="Content" ObjectID="_1719175905" r:id="rId9"/>
        </w:object>
      </w:r>
      <w:r w:rsidR="00953783" w:rsidRPr="00B37616">
        <w:rPr>
          <w:rFonts w:ascii="Times New Roman" w:hAnsi="Times New Roman" w:cs="Times New Roman"/>
          <w:position w:val="-6"/>
        </w:rPr>
        <w:t xml:space="preserve"> </w:t>
      </w:r>
      <w:r w:rsidR="0074272D">
        <w:rPr>
          <w:rFonts w:ascii="Times New Roman" w:hAnsi="Times New Roman" w:cs="Times New Roman"/>
          <w:position w:val="-6"/>
        </w:rPr>
        <w:t xml:space="preserve">shows </w:t>
      </w:r>
      <w:r w:rsidR="00953783" w:rsidRPr="00B37616">
        <w:rPr>
          <w:rFonts w:ascii="Times New Roman" w:hAnsi="Times New Roman" w:cs="Times New Roman"/>
          <w:position w:val="-6"/>
        </w:rPr>
        <w:t>the</w:t>
      </w:r>
      <w:r w:rsidR="00B6185F">
        <w:rPr>
          <w:rFonts w:ascii="Times New Roman" w:hAnsi="Times New Roman" w:cs="Times New Roman"/>
          <w:position w:val="-6"/>
        </w:rPr>
        <w:t xml:space="preserve"> average abnormal returns </w:t>
      </w:r>
      <w:r w:rsidR="002B6738">
        <w:rPr>
          <w:rFonts w:ascii="Times New Roman" w:hAnsi="Times New Roman" w:cs="Times New Roman"/>
          <w:position w:val="-6"/>
        </w:rPr>
        <w:t>on day</w:t>
      </w:r>
      <w:r w:rsidR="00B6185F">
        <w:rPr>
          <w:rFonts w:ascii="Times New Roman" w:hAnsi="Times New Roman" w:cs="Times New Roman"/>
          <w:position w:val="-6"/>
        </w:rPr>
        <w:t xml:space="preserve"> ‘t’</w:t>
      </w:r>
      <w:r w:rsidR="002B6738">
        <w:rPr>
          <w:rFonts w:ascii="Times New Roman" w:hAnsi="Times New Roman" w:cs="Times New Roman"/>
          <w:position w:val="-6"/>
        </w:rPr>
        <w:t xml:space="preserve">. </w:t>
      </w:r>
      <w:r w:rsidR="00953783" w:rsidRPr="00B37616">
        <w:rPr>
          <w:rFonts w:ascii="Times New Roman" w:hAnsi="Times New Roman" w:cs="Times New Roman"/>
        </w:rPr>
        <w:t>N is</w:t>
      </w:r>
      <w:r w:rsidRPr="00B37616">
        <w:rPr>
          <w:rFonts w:ascii="Times New Roman" w:hAnsi="Times New Roman" w:cs="Times New Roman"/>
        </w:rPr>
        <w:t xml:space="preserve"> </w:t>
      </w:r>
      <w:r w:rsidR="00953783" w:rsidRPr="00B37616">
        <w:rPr>
          <w:rFonts w:ascii="Times New Roman" w:hAnsi="Times New Roman" w:cs="Times New Roman"/>
        </w:rPr>
        <w:t>the number</w:t>
      </w:r>
      <w:r w:rsidR="00850620">
        <w:rPr>
          <w:rFonts w:ascii="Times New Roman" w:hAnsi="Times New Roman" w:cs="Times New Roman"/>
        </w:rPr>
        <w:t xml:space="preserve"> (#)</w:t>
      </w:r>
      <w:r w:rsidR="00953783" w:rsidRPr="00B37616">
        <w:rPr>
          <w:rFonts w:ascii="Times New Roman" w:hAnsi="Times New Roman" w:cs="Times New Roman"/>
        </w:rPr>
        <w:t xml:space="preserve"> of indices</w:t>
      </w:r>
      <w:r w:rsidR="002665C2" w:rsidRPr="00B37616">
        <w:rPr>
          <w:rFonts w:ascii="Times New Roman" w:hAnsi="Times New Roman" w:cs="Times New Roman"/>
        </w:rPr>
        <w:t>.</w:t>
      </w:r>
      <w:r w:rsidR="006A64DC" w:rsidRPr="00B37616">
        <w:rPr>
          <w:rFonts w:ascii="Times New Roman" w:hAnsi="Times New Roman" w:cs="Times New Roman"/>
        </w:rPr>
        <w:t xml:space="preserve"> </w:t>
      </w:r>
      <w:r w:rsidR="00E77DC2">
        <w:rPr>
          <w:rFonts w:ascii="Times New Roman" w:hAnsi="Times New Roman" w:cs="Times New Roman"/>
        </w:rPr>
        <w:t>Finally, w</w:t>
      </w:r>
      <w:r w:rsidR="0094205A">
        <w:rPr>
          <w:rFonts w:ascii="Times New Roman" w:hAnsi="Times New Roman" w:cs="Times New Roman"/>
        </w:rPr>
        <w:t xml:space="preserve">e use AAR to calculate the </w:t>
      </w:r>
      <w:r w:rsidR="00E77DC2">
        <w:rPr>
          <w:rFonts w:ascii="Times New Roman" w:hAnsi="Times New Roman" w:cs="Times New Roman"/>
        </w:rPr>
        <w:t>cumulative average abnormal returns (</w:t>
      </w:r>
      <w:r w:rsidR="0094205A">
        <w:rPr>
          <w:rFonts w:ascii="Times New Roman" w:hAnsi="Times New Roman" w:cs="Times New Roman"/>
        </w:rPr>
        <w:t>CAAR</w:t>
      </w:r>
      <w:r w:rsidR="00E77DC2">
        <w:rPr>
          <w:rFonts w:ascii="Times New Roman" w:hAnsi="Times New Roman" w:cs="Times New Roman"/>
        </w:rPr>
        <w:t xml:space="preserve">s) for the event window. </w:t>
      </w:r>
    </w:p>
    <w:p w14:paraId="7CF9BE6F" w14:textId="77777777" w:rsidR="00BE23A7" w:rsidRPr="00593E3A" w:rsidRDefault="00BE23A7" w:rsidP="00E77DC2">
      <w:pPr>
        <w:pStyle w:val="Default"/>
        <w:spacing w:line="360" w:lineRule="auto"/>
        <w:jc w:val="both"/>
        <w:rPr>
          <w:rFonts w:ascii="Times New Roman" w:hAnsi="Times New Roman" w:cs="Times New Roman"/>
          <w:b/>
          <w:bCs/>
          <w:sz w:val="28"/>
          <w:szCs w:val="28"/>
        </w:rPr>
      </w:pPr>
    </w:p>
    <w:p w14:paraId="2F3BA59F" w14:textId="2DEDA417" w:rsidR="00C4315B" w:rsidRPr="004B02BC" w:rsidRDefault="00DD32A1" w:rsidP="00C4315B">
      <w:pPr>
        <w:autoSpaceDE w:val="0"/>
        <w:autoSpaceDN w:val="0"/>
        <w:adjustRightInd w:val="0"/>
        <w:spacing w:after="0" w:line="360" w:lineRule="auto"/>
        <w:jc w:val="both"/>
        <w:rPr>
          <w:rFonts w:ascii="Times New Roman" w:hAnsi="Times New Roman" w:cs="Times New Roman"/>
          <w:b/>
          <w:bCs/>
          <w:sz w:val="28"/>
          <w:szCs w:val="28"/>
          <w:lang w:bidi="gu-IN"/>
        </w:rPr>
      </w:pPr>
      <w:r w:rsidRPr="00593E3A">
        <w:rPr>
          <w:rFonts w:ascii="Times New Roman" w:hAnsi="Times New Roman" w:cs="Times New Roman"/>
          <w:b/>
          <w:bCs/>
          <w:sz w:val="28"/>
          <w:szCs w:val="28"/>
          <w:lang w:bidi="gu-IN"/>
        </w:rPr>
        <w:t xml:space="preserve">4. </w:t>
      </w:r>
      <w:r w:rsidR="000941E3">
        <w:rPr>
          <w:rFonts w:ascii="Times New Roman" w:hAnsi="Times New Roman" w:cs="Times New Roman"/>
          <w:b/>
          <w:bCs/>
          <w:sz w:val="28"/>
          <w:szCs w:val="28"/>
          <w:lang w:bidi="gu-IN"/>
        </w:rPr>
        <w:t>Results</w:t>
      </w:r>
    </w:p>
    <w:p w14:paraId="6116CB09" w14:textId="01854BC4" w:rsidR="005615C5" w:rsidRPr="00CF5913" w:rsidRDefault="004B02BC" w:rsidP="001749F9">
      <w:pPr>
        <w:spacing w:line="360" w:lineRule="auto"/>
        <w:jc w:val="both"/>
        <w:rPr>
          <w:rFonts w:ascii="Times New Roman" w:hAnsi="Times New Roman" w:cs="Times New Roman"/>
          <w:sz w:val="24"/>
          <w:szCs w:val="24"/>
          <w:lang w:bidi="gu-IN"/>
        </w:rPr>
      </w:pPr>
      <w:r>
        <w:rPr>
          <w:rFonts w:ascii="Times New Roman" w:hAnsi="Times New Roman" w:cs="Times New Roman"/>
          <w:color w:val="000000" w:themeColor="text1"/>
          <w:sz w:val="24"/>
          <w:szCs w:val="24"/>
        </w:rPr>
        <w:t>Figure 1 illustrates</w:t>
      </w:r>
      <w:r w:rsidR="00F91750">
        <w:rPr>
          <w:rFonts w:ascii="Times New Roman" w:hAnsi="Times New Roman" w:cs="Times New Roman"/>
          <w:color w:val="000000" w:themeColor="text1"/>
          <w:sz w:val="24"/>
          <w:szCs w:val="24"/>
        </w:rPr>
        <w:t xml:space="preserve"> the average change in pri</w:t>
      </w:r>
      <w:r w:rsidR="00CF5913">
        <w:rPr>
          <w:rFonts w:ascii="Times New Roman" w:hAnsi="Times New Roman" w:cs="Times New Roman"/>
          <w:color w:val="000000" w:themeColor="text1"/>
          <w:sz w:val="24"/>
          <w:szCs w:val="24"/>
        </w:rPr>
        <w:t xml:space="preserve">ces of all stock markets </w:t>
      </w:r>
      <w:r w:rsidR="00A379C8">
        <w:rPr>
          <w:rFonts w:ascii="Times New Roman" w:hAnsi="Times New Roman" w:cs="Times New Roman"/>
          <w:color w:val="000000" w:themeColor="text1"/>
          <w:sz w:val="24"/>
          <w:szCs w:val="24"/>
        </w:rPr>
        <w:t>following</w:t>
      </w:r>
      <w:r w:rsidR="00CF5913">
        <w:rPr>
          <w:rFonts w:ascii="Times New Roman" w:hAnsi="Times New Roman" w:cs="Times New Roman"/>
          <w:color w:val="000000" w:themeColor="text1"/>
          <w:sz w:val="24"/>
          <w:szCs w:val="24"/>
        </w:rPr>
        <w:t xml:space="preserve"> the announcement of the ‘special military operation</w:t>
      </w:r>
      <w:r w:rsidR="00A379C8">
        <w:rPr>
          <w:rFonts w:ascii="Times New Roman" w:hAnsi="Times New Roman" w:cs="Times New Roman"/>
          <w:color w:val="000000" w:themeColor="text1"/>
          <w:sz w:val="24"/>
          <w:szCs w:val="24"/>
        </w:rPr>
        <w:t>’</w:t>
      </w:r>
      <w:r w:rsidR="00F91750">
        <w:rPr>
          <w:rFonts w:ascii="Times New Roman" w:hAnsi="Times New Roman" w:cs="Times New Roman"/>
          <w:color w:val="000000" w:themeColor="text1"/>
          <w:sz w:val="24"/>
          <w:szCs w:val="24"/>
        </w:rPr>
        <w:t xml:space="preserve">. </w:t>
      </w:r>
      <w:r w:rsidR="00775C38">
        <w:rPr>
          <w:rFonts w:ascii="Times New Roman" w:hAnsi="Times New Roman" w:cs="Times New Roman"/>
          <w:color w:val="000000" w:themeColor="text1"/>
          <w:sz w:val="24"/>
          <w:szCs w:val="24"/>
        </w:rPr>
        <w:t xml:space="preserve">The results reveal the highest loss is evident in Russian stock market (32.22%). </w:t>
      </w:r>
      <w:r w:rsidR="00A379C8">
        <w:rPr>
          <w:rFonts w:ascii="Times New Roman" w:hAnsi="Times New Roman" w:cs="Times New Roman"/>
          <w:color w:val="000000" w:themeColor="text1"/>
          <w:sz w:val="24"/>
          <w:szCs w:val="24"/>
        </w:rPr>
        <w:t>S</w:t>
      </w:r>
      <w:r w:rsidR="000458FE">
        <w:rPr>
          <w:rFonts w:ascii="Times New Roman" w:hAnsi="Times New Roman" w:cs="Times New Roman"/>
          <w:color w:val="000000" w:themeColor="text1"/>
          <w:sz w:val="24"/>
          <w:szCs w:val="24"/>
        </w:rPr>
        <w:t>tock market</w:t>
      </w:r>
      <w:r w:rsidR="00A379C8">
        <w:rPr>
          <w:rFonts w:ascii="Times New Roman" w:hAnsi="Times New Roman" w:cs="Times New Roman"/>
          <w:color w:val="000000" w:themeColor="text1"/>
          <w:sz w:val="24"/>
          <w:szCs w:val="24"/>
        </w:rPr>
        <w:t>s</w:t>
      </w:r>
      <w:r w:rsidR="000458FE">
        <w:rPr>
          <w:rFonts w:ascii="Times New Roman" w:hAnsi="Times New Roman" w:cs="Times New Roman"/>
          <w:color w:val="000000" w:themeColor="text1"/>
          <w:sz w:val="24"/>
          <w:szCs w:val="24"/>
        </w:rPr>
        <w:t xml:space="preserve"> of Poland, Hungary, and Turkey record the losses greater th</w:t>
      </w:r>
      <w:r w:rsidR="00CF5913">
        <w:rPr>
          <w:rFonts w:ascii="Times New Roman" w:hAnsi="Times New Roman" w:cs="Times New Roman"/>
          <w:color w:val="000000" w:themeColor="text1"/>
          <w:sz w:val="24"/>
          <w:szCs w:val="24"/>
        </w:rPr>
        <w:t>a</w:t>
      </w:r>
      <w:r w:rsidR="000458FE">
        <w:rPr>
          <w:rFonts w:ascii="Times New Roman" w:hAnsi="Times New Roman" w:cs="Times New Roman"/>
          <w:color w:val="000000" w:themeColor="text1"/>
          <w:sz w:val="24"/>
          <w:szCs w:val="24"/>
        </w:rPr>
        <w:t xml:space="preserve">n </w:t>
      </w:r>
      <w:r w:rsidR="00CF5913">
        <w:rPr>
          <w:rFonts w:ascii="Times New Roman" w:hAnsi="Times New Roman" w:cs="Times New Roman"/>
          <w:color w:val="000000" w:themeColor="text1"/>
          <w:sz w:val="24"/>
          <w:szCs w:val="24"/>
        </w:rPr>
        <w:t>ten</w:t>
      </w:r>
      <w:r w:rsidR="000458FE">
        <w:rPr>
          <w:rFonts w:ascii="Times New Roman" w:hAnsi="Times New Roman" w:cs="Times New Roman"/>
          <w:color w:val="000000" w:themeColor="text1"/>
          <w:sz w:val="24"/>
          <w:szCs w:val="24"/>
        </w:rPr>
        <w:t xml:space="preserve">, </w:t>
      </w:r>
      <w:r w:rsidR="00CF5913">
        <w:rPr>
          <w:rFonts w:ascii="Times New Roman" w:hAnsi="Times New Roman" w:cs="Times New Roman"/>
          <w:color w:val="000000" w:themeColor="text1"/>
          <w:sz w:val="24"/>
          <w:szCs w:val="24"/>
        </w:rPr>
        <w:t>nine</w:t>
      </w:r>
      <w:r w:rsidR="000458FE">
        <w:rPr>
          <w:rFonts w:ascii="Times New Roman" w:hAnsi="Times New Roman" w:cs="Times New Roman"/>
          <w:color w:val="000000" w:themeColor="text1"/>
          <w:sz w:val="24"/>
          <w:szCs w:val="24"/>
        </w:rPr>
        <w:t xml:space="preserve">, </w:t>
      </w:r>
      <w:r w:rsidR="00CF5913">
        <w:rPr>
          <w:rFonts w:ascii="Times New Roman" w:hAnsi="Times New Roman" w:cs="Times New Roman"/>
          <w:color w:val="000000" w:themeColor="text1"/>
          <w:sz w:val="24"/>
          <w:szCs w:val="24"/>
        </w:rPr>
        <w:t>and eight</w:t>
      </w:r>
      <w:r w:rsidR="000458FE">
        <w:rPr>
          <w:rFonts w:ascii="Times New Roman" w:hAnsi="Times New Roman" w:cs="Times New Roman"/>
          <w:color w:val="000000" w:themeColor="text1"/>
          <w:sz w:val="24"/>
          <w:szCs w:val="24"/>
        </w:rPr>
        <w:t xml:space="preserve"> percent, respectively on the event day. Moreover, remaining markets </w:t>
      </w:r>
      <w:r w:rsidR="00CF5913">
        <w:rPr>
          <w:rFonts w:ascii="Times New Roman" w:hAnsi="Times New Roman" w:cs="Times New Roman"/>
          <w:color w:val="000000" w:themeColor="text1"/>
          <w:sz w:val="24"/>
          <w:szCs w:val="24"/>
        </w:rPr>
        <w:t xml:space="preserve">also experienced the losses, </w:t>
      </w:r>
      <w:r w:rsidR="000458FE">
        <w:rPr>
          <w:rFonts w:ascii="Times New Roman" w:hAnsi="Times New Roman" w:cs="Times New Roman"/>
          <w:color w:val="000000" w:themeColor="text1"/>
          <w:sz w:val="24"/>
          <w:szCs w:val="24"/>
        </w:rPr>
        <w:t xml:space="preserve">except </w:t>
      </w:r>
      <w:r w:rsidR="00F2484F">
        <w:rPr>
          <w:rFonts w:ascii="Times New Roman" w:hAnsi="Times New Roman" w:cs="Times New Roman"/>
          <w:color w:val="000000" w:themeColor="text1"/>
          <w:sz w:val="24"/>
          <w:szCs w:val="24"/>
        </w:rPr>
        <w:t>Canada, Mexico, Slovakia, and USA. Table 1 provide</w:t>
      </w:r>
      <w:r w:rsidR="00CF5913">
        <w:rPr>
          <w:rFonts w:ascii="Times New Roman" w:hAnsi="Times New Roman" w:cs="Times New Roman"/>
          <w:color w:val="000000" w:themeColor="text1"/>
          <w:sz w:val="24"/>
          <w:szCs w:val="24"/>
        </w:rPr>
        <w:t>s</w:t>
      </w:r>
      <w:r w:rsidR="00F2484F">
        <w:rPr>
          <w:rFonts w:ascii="Times New Roman" w:hAnsi="Times New Roman" w:cs="Times New Roman"/>
          <w:color w:val="000000" w:themeColor="text1"/>
          <w:sz w:val="24"/>
          <w:szCs w:val="24"/>
        </w:rPr>
        <w:t xml:space="preserve"> the abnormal returns and their statistical significance for all stock markets on the event day. The results reveal that </w:t>
      </w:r>
      <w:r w:rsidR="00C4315B" w:rsidRPr="004A3267">
        <w:rPr>
          <w:rFonts w:ascii="Times New Roman" w:hAnsi="Times New Roman" w:cs="Times New Roman"/>
          <w:color w:val="000000" w:themeColor="text1"/>
          <w:sz w:val="24"/>
          <w:szCs w:val="24"/>
        </w:rPr>
        <w:t xml:space="preserve">the </w:t>
      </w:r>
      <w:r w:rsidR="00F2484F">
        <w:rPr>
          <w:rFonts w:ascii="Times New Roman" w:hAnsi="Times New Roman" w:cs="Times New Roman"/>
          <w:color w:val="000000" w:themeColor="text1"/>
          <w:sz w:val="24"/>
          <w:szCs w:val="24"/>
        </w:rPr>
        <w:t>abnormal returns (</w:t>
      </w:r>
      <w:r w:rsidR="00F2484F" w:rsidRPr="00F2484F">
        <w:rPr>
          <w:rFonts w:ascii="Times New Roman" w:hAnsi="Times New Roman" w:cs="Times New Roman"/>
          <w:color w:val="000000" w:themeColor="text1"/>
          <w:sz w:val="24"/>
          <w:szCs w:val="24"/>
        </w:rPr>
        <w:t>– 31.601%</w:t>
      </w:r>
      <w:r w:rsidR="00F2484F">
        <w:rPr>
          <w:rFonts w:ascii="Times New Roman" w:hAnsi="Times New Roman" w:cs="Times New Roman"/>
          <w:color w:val="000000" w:themeColor="text1"/>
          <w:sz w:val="24"/>
          <w:szCs w:val="24"/>
        </w:rPr>
        <w:t xml:space="preserve">) are highest and significant in the Russian stock markets. </w:t>
      </w:r>
      <w:r w:rsidR="00C4315B" w:rsidRPr="00B24008">
        <w:rPr>
          <w:rFonts w:ascii="Times New Roman" w:hAnsi="Times New Roman" w:cs="Times New Roman"/>
          <w:sz w:val="24"/>
          <w:szCs w:val="24"/>
        </w:rPr>
        <w:t xml:space="preserve">The </w:t>
      </w:r>
      <w:r w:rsidR="00316A39">
        <w:rPr>
          <w:rFonts w:ascii="Times New Roman" w:hAnsi="Times New Roman" w:cs="Times New Roman"/>
          <w:sz w:val="24"/>
          <w:szCs w:val="24"/>
        </w:rPr>
        <w:t xml:space="preserve">abnormal </w:t>
      </w:r>
      <w:r w:rsidR="00C4315B" w:rsidRPr="00B24008">
        <w:rPr>
          <w:rFonts w:ascii="Times New Roman" w:hAnsi="Times New Roman" w:cs="Times New Roman"/>
          <w:sz w:val="24"/>
          <w:szCs w:val="24"/>
        </w:rPr>
        <w:t>stock market</w:t>
      </w:r>
      <w:r w:rsidR="00316A39">
        <w:rPr>
          <w:rFonts w:ascii="Times New Roman" w:hAnsi="Times New Roman" w:cs="Times New Roman"/>
          <w:sz w:val="24"/>
          <w:szCs w:val="24"/>
        </w:rPr>
        <w:t xml:space="preserve"> returns</w:t>
      </w:r>
      <w:r w:rsidR="00C4315B" w:rsidRPr="00B24008">
        <w:rPr>
          <w:rFonts w:ascii="Times New Roman" w:hAnsi="Times New Roman" w:cs="Times New Roman"/>
          <w:sz w:val="24"/>
          <w:szCs w:val="24"/>
        </w:rPr>
        <w:t xml:space="preserve"> of Poland (- 10.374%), Hungary (- 9.488%), Turkey (- 8.262%), India (- 4.325%), Romania (- 3.869%), UK (- 3.642%), Italy </w:t>
      </w:r>
      <w:r w:rsidR="00A379C8">
        <w:rPr>
          <w:rFonts w:ascii="Times New Roman" w:hAnsi="Times New Roman" w:cs="Times New Roman"/>
          <w:sz w:val="24"/>
          <w:szCs w:val="24"/>
        </w:rPr>
        <w:t xml:space="preserve">(- 3.607%), Germany (- 3.428%), </w:t>
      </w:r>
      <w:r w:rsidR="00C4315B" w:rsidRPr="00B24008">
        <w:rPr>
          <w:rFonts w:ascii="Times New Roman" w:hAnsi="Times New Roman" w:cs="Times New Roman"/>
          <w:sz w:val="24"/>
          <w:szCs w:val="24"/>
        </w:rPr>
        <w:t xml:space="preserve">France (- 3.330%), Japan (-3.088%), Australia (- 2.672%), Spain (- 2.429%), South Korea (- 2.252%), Netherlands (- 2.075%), Saudi Arabia (-1.845%), China (-1.548%), </w:t>
      </w:r>
      <w:r w:rsidR="00EF530D">
        <w:rPr>
          <w:rFonts w:ascii="Times New Roman" w:hAnsi="Times New Roman" w:cs="Times New Roman"/>
          <w:sz w:val="24"/>
          <w:szCs w:val="24"/>
        </w:rPr>
        <w:t xml:space="preserve">and </w:t>
      </w:r>
      <w:r w:rsidR="00C4315B" w:rsidRPr="00B24008">
        <w:rPr>
          <w:rFonts w:ascii="Times New Roman" w:hAnsi="Times New Roman" w:cs="Times New Roman"/>
          <w:sz w:val="24"/>
          <w:szCs w:val="24"/>
        </w:rPr>
        <w:t>Indonesia (-1.436%)</w:t>
      </w:r>
      <w:r w:rsidR="00EF530D">
        <w:rPr>
          <w:rFonts w:ascii="Times New Roman" w:hAnsi="Times New Roman" w:cs="Times New Roman"/>
          <w:sz w:val="24"/>
          <w:szCs w:val="24"/>
        </w:rPr>
        <w:t xml:space="preserve"> are negative and </w:t>
      </w:r>
      <w:r w:rsidR="00F91750">
        <w:rPr>
          <w:rFonts w:ascii="Times New Roman" w:hAnsi="Times New Roman" w:cs="Times New Roman"/>
          <w:sz w:val="24"/>
          <w:szCs w:val="24"/>
        </w:rPr>
        <w:t xml:space="preserve"> </w:t>
      </w:r>
      <w:r w:rsidR="00C4315B" w:rsidRPr="00B24008">
        <w:rPr>
          <w:rFonts w:ascii="Times New Roman" w:hAnsi="Times New Roman" w:cs="Times New Roman"/>
          <w:sz w:val="24"/>
          <w:szCs w:val="24"/>
        </w:rPr>
        <w:t xml:space="preserve">significant </w:t>
      </w:r>
      <w:r w:rsidR="00EF530D">
        <w:rPr>
          <w:rFonts w:ascii="Times New Roman" w:hAnsi="Times New Roman" w:cs="Times New Roman"/>
          <w:sz w:val="24"/>
          <w:szCs w:val="24"/>
        </w:rPr>
        <w:t>on</w:t>
      </w:r>
      <w:r w:rsidR="00CF5913">
        <w:rPr>
          <w:rFonts w:ascii="Times New Roman" w:hAnsi="Times New Roman" w:cs="Times New Roman"/>
          <w:sz w:val="24"/>
          <w:szCs w:val="24"/>
        </w:rPr>
        <w:t xml:space="preserve"> the </w:t>
      </w:r>
      <w:r w:rsidR="00A379C8">
        <w:rPr>
          <w:rFonts w:ascii="Times New Roman" w:hAnsi="Times New Roman" w:cs="Times New Roman"/>
          <w:sz w:val="24"/>
          <w:szCs w:val="24"/>
        </w:rPr>
        <w:t>conflict</w:t>
      </w:r>
      <w:r w:rsidR="00EF530D">
        <w:rPr>
          <w:rFonts w:ascii="Times New Roman" w:hAnsi="Times New Roman" w:cs="Times New Roman"/>
          <w:sz w:val="24"/>
          <w:szCs w:val="24"/>
        </w:rPr>
        <w:t>-breakout day</w:t>
      </w:r>
      <w:r w:rsidR="00C4315B" w:rsidRPr="00B24008">
        <w:rPr>
          <w:rFonts w:ascii="Times New Roman" w:hAnsi="Times New Roman" w:cs="Times New Roman"/>
          <w:sz w:val="24"/>
          <w:szCs w:val="24"/>
        </w:rPr>
        <w:t xml:space="preserve">. </w:t>
      </w:r>
      <w:r w:rsidR="00C4315B" w:rsidRPr="00EF4198">
        <w:rPr>
          <w:rFonts w:ascii="Times New Roman" w:hAnsi="Times New Roman" w:cs="Times New Roman"/>
          <w:sz w:val="24"/>
          <w:szCs w:val="24"/>
        </w:rPr>
        <w:t xml:space="preserve">Majority of the markets which have witnesses </w:t>
      </w:r>
      <w:r w:rsidR="00EF530D">
        <w:rPr>
          <w:rFonts w:ascii="Times New Roman" w:hAnsi="Times New Roman" w:cs="Times New Roman"/>
          <w:sz w:val="24"/>
          <w:szCs w:val="24"/>
        </w:rPr>
        <w:t xml:space="preserve">abnormal </w:t>
      </w:r>
      <w:r w:rsidR="00C4315B" w:rsidRPr="00EF4198">
        <w:rPr>
          <w:rFonts w:ascii="Times New Roman" w:hAnsi="Times New Roman" w:cs="Times New Roman"/>
          <w:sz w:val="24"/>
          <w:szCs w:val="24"/>
        </w:rPr>
        <w:t xml:space="preserve">negative returns are the European markets. The stock markets of Ukraine, Canada, Mexico, Slovakia and USA have not witnessed any negative impact </w:t>
      </w:r>
      <w:r w:rsidR="00A379C8">
        <w:rPr>
          <w:rFonts w:ascii="Times New Roman" w:hAnsi="Times New Roman" w:cs="Times New Roman"/>
          <w:sz w:val="24"/>
          <w:szCs w:val="24"/>
        </w:rPr>
        <w:t>of the conflict breakout</w:t>
      </w:r>
      <w:r w:rsidR="00C4315B" w:rsidRPr="00EF4198">
        <w:rPr>
          <w:rFonts w:ascii="Times New Roman" w:hAnsi="Times New Roman" w:cs="Times New Roman"/>
          <w:sz w:val="24"/>
          <w:szCs w:val="24"/>
        </w:rPr>
        <w:t xml:space="preserve"> on the mean returns. </w:t>
      </w:r>
      <w:r w:rsidR="00C4315B" w:rsidRPr="00DF4F0E">
        <w:rPr>
          <w:rFonts w:ascii="Times New Roman" w:hAnsi="Times New Roman" w:cs="Times New Roman"/>
          <w:color w:val="0070C0"/>
          <w:sz w:val="24"/>
          <w:szCs w:val="24"/>
        </w:rPr>
        <w:t xml:space="preserve">It is </w:t>
      </w:r>
      <w:r w:rsidR="00CF5913" w:rsidRPr="00DF4F0E">
        <w:rPr>
          <w:rFonts w:ascii="Times New Roman" w:hAnsi="Times New Roman" w:cs="Times New Roman"/>
          <w:color w:val="0070C0"/>
          <w:sz w:val="24"/>
          <w:szCs w:val="24"/>
        </w:rPr>
        <w:t xml:space="preserve">particularly </w:t>
      </w:r>
      <w:r w:rsidR="00C4315B" w:rsidRPr="00DF4F0E">
        <w:rPr>
          <w:rFonts w:ascii="Times New Roman" w:hAnsi="Times New Roman" w:cs="Times New Roman"/>
          <w:color w:val="0070C0"/>
          <w:sz w:val="24"/>
          <w:szCs w:val="24"/>
        </w:rPr>
        <w:t xml:space="preserve">interesting that though the stock market of Ukraine </w:t>
      </w:r>
      <w:r w:rsidR="00A379C8" w:rsidRPr="00DF4F0E">
        <w:rPr>
          <w:rFonts w:ascii="Times New Roman" w:hAnsi="Times New Roman" w:cs="Times New Roman"/>
          <w:color w:val="0070C0"/>
          <w:sz w:val="24"/>
          <w:szCs w:val="24"/>
        </w:rPr>
        <w:t>has</w:t>
      </w:r>
      <w:r w:rsidR="00C4315B" w:rsidRPr="00DF4F0E">
        <w:rPr>
          <w:rFonts w:ascii="Times New Roman" w:hAnsi="Times New Roman" w:cs="Times New Roman"/>
          <w:color w:val="0070C0"/>
          <w:sz w:val="24"/>
          <w:szCs w:val="24"/>
        </w:rPr>
        <w:t xml:space="preserve"> not </w:t>
      </w:r>
      <w:r w:rsidR="00A379C8" w:rsidRPr="00DF4F0E">
        <w:rPr>
          <w:rFonts w:ascii="Times New Roman" w:hAnsi="Times New Roman" w:cs="Times New Roman"/>
          <w:color w:val="0070C0"/>
          <w:sz w:val="24"/>
          <w:szCs w:val="24"/>
        </w:rPr>
        <w:t>been</w:t>
      </w:r>
      <w:r w:rsidR="00C4315B" w:rsidRPr="00DF4F0E">
        <w:rPr>
          <w:rFonts w:ascii="Times New Roman" w:hAnsi="Times New Roman" w:cs="Times New Roman"/>
          <w:color w:val="0070C0"/>
          <w:sz w:val="24"/>
          <w:szCs w:val="24"/>
        </w:rPr>
        <w:t xml:space="preserve"> negatively</w:t>
      </w:r>
      <w:r w:rsidR="00A379C8" w:rsidRPr="00DF4F0E">
        <w:rPr>
          <w:rFonts w:ascii="Times New Roman" w:hAnsi="Times New Roman" w:cs="Times New Roman"/>
          <w:color w:val="0070C0"/>
          <w:sz w:val="24"/>
          <w:szCs w:val="24"/>
        </w:rPr>
        <w:t xml:space="preserve"> affected</w:t>
      </w:r>
      <w:r w:rsidR="00C4315B" w:rsidRPr="00DF4F0E">
        <w:rPr>
          <w:rFonts w:ascii="Times New Roman" w:hAnsi="Times New Roman" w:cs="Times New Roman"/>
          <w:color w:val="0070C0"/>
          <w:sz w:val="24"/>
          <w:szCs w:val="24"/>
        </w:rPr>
        <w:t xml:space="preserve"> on </w:t>
      </w:r>
      <w:r w:rsidR="00CF5913" w:rsidRPr="00DF4F0E">
        <w:rPr>
          <w:rFonts w:ascii="Times New Roman" w:hAnsi="Times New Roman" w:cs="Times New Roman"/>
          <w:color w:val="0070C0"/>
          <w:sz w:val="24"/>
          <w:szCs w:val="24"/>
        </w:rPr>
        <w:t xml:space="preserve">the </w:t>
      </w:r>
      <w:r w:rsidR="00A379C8" w:rsidRPr="00DF4F0E">
        <w:rPr>
          <w:rFonts w:ascii="Times New Roman" w:hAnsi="Times New Roman" w:cs="Times New Roman"/>
          <w:color w:val="0070C0"/>
          <w:sz w:val="24"/>
          <w:szCs w:val="24"/>
        </w:rPr>
        <w:t>conflict breakout</w:t>
      </w:r>
      <w:r w:rsidR="00CF5913" w:rsidRPr="00DF4F0E">
        <w:rPr>
          <w:rFonts w:ascii="Times New Roman" w:hAnsi="Times New Roman" w:cs="Times New Roman"/>
          <w:color w:val="0070C0"/>
          <w:sz w:val="24"/>
          <w:szCs w:val="24"/>
        </w:rPr>
        <w:t xml:space="preserve"> day, even though this country has been affected the most by the </w:t>
      </w:r>
      <w:r w:rsidR="00A379C8" w:rsidRPr="00DF4F0E">
        <w:rPr>
          <w:rFonts w:ascii="Times New Roman" w:hAnsi="Times New Roman" w:cs="Times New Roman"/>
          <w:color w:val="0070C0"/>
          <w:sz w:val="24"/>
          <w:szCs w:val="24"/>
        </w:rPr>
        <w:t>military actions</w:t>
      </w:r>
      <w:r w:rsidR="00C4315B" w:rsidRPr="00DF4F0E">
        <w:rPr>
          <w:rFonts w:ascii="Times New Roman" w:hAnsi="Times New Roman" w:cs="Times New Roman"/>
          <w:color w:val="0070C0"/>
          <w:sz w:val="24"/>
          <w:szCs w:val="24"/>
        </w:rPr>
        <w:t xml:space="preserve">. </w:t>
      </w:r>
      <w:r w:rsidR="00EF530D" w:rsidRPr="00DF4F0E">
        <w:rPr>
          <w:rFonts w:ascii="Times New Roman" w:hAnsi="Times New Roman" w:cs="Times New Roman"/>
          <w:color w:val="0070C0"/>
          <w:sz w:val="24"/>
          <w:szCs w:val="24"/>
        </w:rPr>
        <w:t xml:space="preserve">The possible reason can be very rare </w:t>
      </w:r>
      <w:r w:rsidR="00EF530D" w:rsidRPr="00DF4F0E">
        <w:rPr>
          <w:rFonts w:ascii="Times New Roman" w:hAnsi="Times New Roman" w:cs="Times New Roman"/>
          <w:color w:val="0070C0"/>
          <w:sz w:val="24"/>
          <w:szCs w:val="24"/>
        </w:rPr>
        <w:lastRenderedPageBreak/>
        <w:t xml:space="preserve">variation in the Ukraine index over longer period of time. </w:t>
      </w:r>
      <w:r w:rsidR="00CF5913">
        <w:rPr>
          <w:rFonts w:ascii="Times New Roman" w:hAnsi="Times New Roman" w:cs="Times New Roman"/>
          <w:sz w:val="24"/>
          <w:szCs w:val="24"/>
        </w:rPr>
        <w:t>Overall, this event</w:t>
      </w:r>
      <w:r w:rsidR="00CC2503">
        <w:rPr>
          <w:rFonts w:ascii="Times New Roman" w:hAnsi="Times New Roman" w:cs="Times New Roman"/>
          <w:sz w:val="24"/>
          <w:szCs w:val="24"/>
        </w:rPr>
        <w:t xml:space="preserve"> negatively and significantly </w:t>
      </w:r>
      <w:r w:rsidR="00CF5913">
        <w:rPr>
          <w:rFonts w:ascii="Times New Roman" w:hAnsi="Times New Roman" w:cs="Times New Roman"/>
          <w:sz w:val="24"/>
          <w:szCs w:val="24"/>
        </w:rPr>
        <w:t>affected</w:t>
      </w:r>
      <w:r w:rsidR="00CC2503">
        <w:rPr>
          <w:rFonts w:ascii="Times New Roman" w:hAnsi="Times New Roman" w:cs="Times New Roman"/>
          <w:sz w:val="24"/>
          <w:szCs w:val="24"/>
        </w:rPr>
        <w:t xml:space="preserve"> the majority of the stock markets on </w:t>
      </w:r>
      <w:r w:rsidR="00A379C8">
        <w:rPr>
          <w:rFonts w:ascii="Times New Roman" w:hAnsi="Times New Roman" w:cs="Times New Roman"/>
          <w:sz w:val="24"/>
          <w:szCs w:val="24"/>
        </w:rPr>
        <w:t xml:space="preserve">the </w:t>
      </w:r>
      <w:r w:rsidR="00CC2503">
        <w:rPr>
          <w:rFonts w:ascii="Times New Roman" w:hAnsi="Times New Roman" w:cs="Times New Roman"/>
          <w:sz w:val="24"/>
          <w:szCs w:val="24"/>
        </w:rPr>
        <w:t>event day.</w:t>
      </w:r>
    </w:p>
    <w:p w14:paraId="3408D16B" w14:textId="76586002" w:rsidR="00BB11FD" w:rsidRPr="00DF4F0E" w:rsidRDefault="001749F9" w:rsidP="00CA1505">
      <w:pPr>
        <w:spacing w:line="360" w:lineRule="auto"/>
        <w:jc w:val="both"/>
        <w:rPr>
          <w:rFonts w:ascii="Times New Roman" w:hAnsi="Times New Roman" w:cs="Times New Roman"/>
          <w:color w:val="0070C0"/>
          <w:sz w:val="24"/>
          <w:szCs w:val="24"/>
        </w:rPr>
      </w:pPr>
      <w:r>
        <w:rPr>
          <w:rFonts w:ascii="Times New Roman" w:hAnsi="Times New Roman" w:cs="Times New Roman"/>
          <w:sz w:val="24"/>
          <w:szCs w:val="24"/>
        </w:rPr>
        <w:t xml:space="preserve">Secondly, we calculate the </w:t>
      </w:r>
      <w:r w:rsidR="00D16E93" w:rsidRPr="00AE2A89">
        <w:rPr>
          <w:rFonts w:ascii="Times New Roman" w:hAnsi="Times New Roman" w:cs="Times New Roman"/>
          <w:sz w:val="24"/>
          <w:szCs w:val="24"/>
        </w:rPr>
        <w:t xml:space="preserve">AARs and CAARs for the </w:t>
      </w:r>
      <w:r>
        <w:rPr>
          <w:rFonts w:ascii="Times New Roman" w:hAnsi="Times New Roman" w:cs="Times New Roman"/>
          <w:sz w:val="24"/>
          <w:szCs w:val="24"/>
        </w:rPr>
        <w:t xml:space="preserve">aggregate </w:t>
      </w:r>
      <w:r w:rsidR="00954996">
        <w:rPr>
          <w:rFonts w:ascii="Times New Roman" w:hAnsi="Times New Roman" w:cs="Times New Roman"/>
          <w:sz w:val="24"/>
          <w:szCs w:val="24"/>
        </w:rPr>
        <w:t>stock market for pre</w:t>
      </w:r>
      <w:r w:rsidR="00B741F9">
        <w:rPr>
          <w:rFonts w:ascii="Times New Roman" w:hAnsi="Times New Roman" w:cs="Times New Roman"/>
          <w:sz w:val="24"/>
          <w:szCs w:val="24"/>
        </w:rPr>
        <w:t xml:space="preserve">- and post- </w:t>
      </w:r>
      <w:r w:rsidR="00954996">
        <w:rPr>
          <w:rFonts w:ascii="Times New Roman" w:hAnsi="Times New Roman" w:cs="Times New Roman"/>
          <w:sz w:val="24"/>
          <w:szCs w:val="24"/>
        </w:rPr>
        <w:t>event periods, see T</w:t>
      </w:r>
      <w:r w:rsidR="00D16E93" w:rsidRPr="00AE2A89">
        <w:rPr>
          <w:rFonts w:ascii="Times New Roman" w:hAnsi="Times New Roman" w:cs="Times New Roman"/>
          <w:sz w:val="24"/>
          <w:szCs w:val="24"/>
        </w:rPr>
        <w:t xml:space="preserve">able </w:t>
      </w:r>
      <w:r w:rsidR="00AE2A89" w:rsidRPr="00AE2A89">
        <w:rPr>
          <w:rFonts w:ascii="Times New Roman" w:hAnsi="Times New Roman" w:cs="Times New Roman"/>
          <w:sz w:val="24"/>
          <w:szCs w:val="24"/>
        </w:rPr>
        <w:t>2</w:t>
      </w:r>
      <w:r w:rsidR="00D16E93" w:rsidRPr="00AE2A89">
        <w:rPr>
          <w:rFonts w:ascii="Times New Roman" w:hAnsi="Times New Roman" w:cs="Times New Roman"/>
          <w:sz w:val="24"/>
          <w:szCs w:val="24"/>
        </w:rPr>
        <w:t>.</w:t>
      </w:r>
      <w:r w:rsidR="00954996">
        <w:rPr>
          <w:rFonts w:ascii="Times New Roman" w:hAnsi="Times New Roman" w:cs="Times New Roman"/>
          <w:sz w:val="24"/>
          <w:szCs w:val="24"/>
        </w:rPr>
        <w:t xml:space="preserve"> </w:t>
      </w:r>
      <w:r w:rsidR="00F46B84">
        <w:rPr>
          <w:rFonts w:ascii="Times New Roman" w:hAnsi="Times New Roman" w:cs="Times New Roman"/>
          <w:sz w:val="24"/>
          <w:szCs w:val="24"/>
        </w:rPr>
        <w:t>The AAR of aggregate stock markets are negative and significant on window day t-3, t, and t+1. Moreover, the</w:t>
      </w:r>
      <w:r w:rsidR="00D16E93" w:rsidRPr="001A0C8A">
        <w:rPr>
          <w:rFonts w:ascii="Times New Roman" w:hAnsi="Times New Roman" w:cs="Times New Roman"/>
          <w:sz w:val="24"/>
          <w:szCs w:val="24"/>
        </w:rPr>
        <w:t xml:space="preserve"> empirical results </w:t>
      </w:r>
      <w:r w:rsidR="00F46B84">
        <w:rPr>
          <w:rFonts w:ascii="Times New Roman" w:hAnsi="Times New Roman" w:cs="Times New Roman"/>
          <w:sz w:val="24"/>
          <w:szCs w:val="24"/>
        </w:rPr>
        <w:t xml:space="preserve">of CAAR </w:t>
      </w:r>
      <w:r w:rsidR="00D079EE" w:rsidRPr="001A0C8A">
        <w:rPr>
          <w:rFonts w:ascii="Times New Roman" w:hAnsi="Times New Roman" w:cs="Times New Roman"/>
          <w:sz w:val="24"/>
          <w:szCs w:val="24"/>
        </w:rPr>
        <w:t>show</w:t>
      </w:r>
      <w:r w:rsidR="00D16E93" w:rsidRPr="001A0C8A">
        <w:rPr>
          <w:rFonts w:ascii="Times New Roman" w:hAnsi="Times New Roman" w:cs="Times New Roman"/>
          <w:sz w:val="24"/>
          <w:szCs w:val="24"/>
        </w:rPr>
        <w:t xml:space="preserve"> </w:t>
      </w:r>
      <w:r w:rsidR="00F46B84">
        <w:rPr>
          <w:rFonts w:ascii="Times New Roman" w:hAnsi="Times New Roman" w:cs="Times New Roman"/>
          <w:sz w:val="24"/>
          <w:szCs w:val="24"/>
        </w:rPr>
        <w:t xml:space="preserve">the </w:t>
      </w:r>
      <w:r w:rsidR="00D16E93" w:rsidRPr="001A0C8A">
        <w:rPr>
          <w:rFonts w:ascii="Times New Roman" w:hAnsi="Times New Roman" w:cs="Times New Roman"/>
          <w:sz w:val="24"/>
          <w:szCs w:val="24"/>
        </w:rPr>
        <w:t>negative</w:t>
      </w:r>
      <w:r w:rsidR="00F46B84">
        <w:rPr>
          <w:rFonts w:ascii="Times New Roman" w:hAnsi="Times New Roman" w:cs="Times New Roman"/>
          <w:sz w:val="24"/>
          <w:szCs w:val="24"/>
        </w:rPr>
        <w:t xml:space="preserve"> and significant CAARs on event days and post events days. These results indicate that the </w:t>
      </w:r>
      <w:r>
        <w:rPr>
          <w:rFonts w:ascii="Times New Roman" w:hAnsi="Times New Roman" w:cs="Times New Roman"/>
          <w:sz w:val="24"/>
          <w:szCs w:val="24"/>
        </w:rPr>
        <w:t xml:space="preserve">global stock market reacted strongly to </w:t>
      </w:r>
      <w:r w:rsidR="008C7D14">
        <w:rPr>
          <w:rFonts w:ascii="Times New Roman" w:hAnsi="Times New Roman" w:cs="Times New Roman"/>
          <w:sz w:val="24"/>
          <w:szCs w:val="24"/>
        </w:rPr>
        <w:t>Russian-</w:t>
      </w:r>
      <w:r w:rsidR="00D422FE">
        <w:rPr>
          <w:rFonts w:ascii="Times New Roman" w:hAnsi="Times New Roman" w:cs="Times New Roman"/>
          <w:sz w:val="24"/>
          <w:szCs w:val="24"/>
        </w:rPr>
        <w:t xml:space="preserve">Ukrainian </w:t>
      </w:r>
      <w:r w:rsidR="00A379C8">
        <w:rPr>
          <w:rFonts w:ascii="Times New Roman" w:hAnsi="Times New Roman" w:cs="Times New Roman"/>
          <w:sz w:val="24"/>
          <w:szCs w:val="24"/>
        </w:rPr>
        <w:t xml:space="preserve">conflict breakout </w:t>
      </w:r>
      <w:r>
        <w:rPr>
          <w:rFonts w:ascii="Times New Roman" w:hAnsi="Times New Roman" w:cs="Times New Roman"/>
          <w:sz w:val="24"/>
          <w:szCs w:val="24"/>
        </w:rPr>
        <w:t xml:space="preserve">news on </w:t>
      </w:r>
      <w:r w:rsidR="00A379C8">
        <w:rPr>
          <w:rFonts w:ascii="Times New Roman" w:hAnsi="Times New Roman" w:cs="Times New Roman"/>
          <w:sz w:val="24"/>
          <w:szCs w:val="24"/>
        </w:rPr>
        <w:t xml:space="preserve">the </w:t>
      </w:r>
      <w:r>
        <w:rPr>
          <w:rFonts w:ascii="Times New Roman" w:hAnsi="Times New Roman" w:cs="Times New Roman"/>
          <w:sz w:val="24"/>
          <w:szCs w:val="24"/>
        </w:rPr>
        <w:t xml:space="preserve">event day and post event days. </w:t>
      </w:r>
      <w:r w:rsidR="00A53354" w:rsidRPr="00DF4F0E">
        <w:rPr>
          <w:rFonts w:ascii="Times New Roman" w:hAnsi="Times New Roman" w:cs="Times New Roman"/>
          <w:color w:val="0070C0"/>
          <w:sz w:val="24"/>
          <w:szCs w:val="24"/>
        </w:rPr>
        <w:t>Russia is the big trading partner of many of the countries around the world therefore the</w:t>
      </w:r>
      <w:r w:rsidR="008C7D14" w:rsidRPr="00DF4F0E">
        <w:rPr>
          <w:rFonts w:ascii="Times New Roman" w:hAnsi="Times New Roman" w:cs="Times New Roman"/>
          <w:color w:val="0070C0"/>
          <w:sz w:val="24"/>
          <w:szCs w:val="24"/>
        </w:rPr>
        <w:t xml:space="preserve"> subsequent</w:t>
      </w:r>
      <w:r w:rsidR="00A53354" w:rsidRPr="00DF4F0E">
        <w:rPr>
          <w:rFonts w:ascii="Times New Roman" w:hAnsi="Times New Roman" w:cs="Times New Roman"/>
          <w:color w:val="0070C0"/>
          <w:sz w:val="24"/>
          <w:szCs w:val="24"/>
        </w:rPr>
        <w:t xml:space="preserve"> </w:t>
      </w:r>
      <w:r w:rsidR="008C7D14" w:rsidRPr="00DF4F0E">
        <w:rPr>
          <w:rFonts w:ascii="Times New Roman" w:hAnsi="Times New Roman" w:cs="Times New Roman"/>
          <w:color w:val="0070C0"/>
          <w:sz w:val="24"/>
          <w:szCs w:val="24"/>
        </w:rPr>
        <w:t xml:space="preserve">economic </w:t>
      </w:r>
      <w:r w:rsidR="00A53354" w:rsidRPr="00DF4F0E">
        <w:rPr>
          <w:rFonts w:ascii="Times New Roman" w:hAnsi="Times New Roman" w:cs="Times New Roman"/>
          <w:color w:val="0070C0"/>
          <w:sz w:val="24"/>
          <w:szCs w:val="24"/>
        </w:rPr>
        <w:t>sanction</w:t>
      </w:r>
      <w:r w:rsidR="008C7D14" w:rsidRPr="00DF4F0E">
        <w:rPr>
          <w:rFonts w:ascii="Times New Roman" w:hAnsi="Times New Roman" w:cs="Times New Roman"/>
          <w:color w:val="0070C0"/>
          <w:sz w:val="24"/>
          <w:szCs w:val="24"/>
        </w:rPr>
        <w:t>s on Russia had</w:t>
      </w:r>
      <w:r w:rsidR="00A53354" w:rsidRPr="00DF4F0E">
        <w:rPr>
          <w:rFonts w:ascii="Times New Roman" w:hAnsi="Times New Roman" w:cs="Times New Roman"/>
          <w:color w:val="0070C0"/>
          <w:sz w:val="24"/>
          <w:szCs w:val="24"/>
        </w:rPr>
        <w:t xml:space="preserve"> definite impact </w:t>
      </w:r>
      <w:r w:rsidR="008C7D14" w:rsidRPr="00DF4F0E">
        <w:rPr>
          <w:rFonts w:ascii="Times New Roman" w:hAnsi="Times New Roman" w:cs="Times New Roman"/>
          <w:color w:val="0070C0"/>
          <w:sz w:val="24"/>
          <w:szCs w:val="24"/>
        </w:rPr>
        <w:t>on other</w:t>
      </w:r>
      <w:r w:rsidR="00A53354" w:rsidRPr="00DF4F0E">
        <w:rPr>
          <w:rFonts w:ascii="Times New Roman" w:hAnsi="Times New Roman" w:cs="Times New Roman"/>
          <w:color w:val="0070C0"/>
          <w:sz w:val="24"/>
          <w:szCs w:val="24"/>
        </w:rPr>
        <w:t xml:space="preserve"> connected stock markets and economies.</w:t>
      </w:r>
    </w:p>
    <w:p w14:paraId="5F4DE629" w14:textId="46D4FA96" w:rsidR="00D72177" w:rsidRPr="00DF4F0E" w:rsidRDefault="00CA1505" w:rsidP="00CF2A3E">
      <w:pPr>
        <w:spacing w:line="360" w:lineRule="auto"/>
        <w:jc w:val="both"/>
        <w:rPr>
          <w:rFonts w:ascii="Times New Roman" w:hAnsi="Times New Roman" w:cs="Times New Roman"/>
          <w:color w:val="0070C0"/>
          <w:sz w:val="24"/>
          <w:szCs w:val="24"/>
        </w:rPr>
      </w:pPr>
      <w:r>
        <w:rPr>
          <w:rFonts w:ascii="Times New Roman" w:hAnsi="Times New Roman" w:cs="Times New Roman"/>
          <w:sz w:val="24"/>
          <w:szCs w:val="24"/>
        </w:rPr>
        <w:t>Th</w:t>
      </w:r>
      <w:r w:rsidR="008C7D14">
        <w:rPr>
          <w:rFonts w:ascii="Times New Roman" w:hAnsi="Times New Roman" w:cs="Times New Roman"/>
          <w:sz w:val="24"/>
          <w:szCs w:val="24"/>
        </w:rPr>
        <w:t>irdly, we analyse the impact of Russian-Ukrainian</w:t>
      </w:r>
      <w:r>
        <w:rPr>
          <w:rFonts w:ascii="Times New Roman" w:hAnsi="Times New Roman" w:cs="Times New Roman"/>
          <w:sz w:val="24"/>
          <w:szCs w:val="24"/>
        </w:rPr>
        <w:t xml:space="preserve"> on the CAR of every sample country’s stock markets separately</w:t>
      </w:r>
      <w:r w:rsidR="002420F2">
        <w:rPr>
          <w:rFonts w:ascii="Times New Roman" w:hAnsi="Times New Roman" w:cs="Times New Roman"/>
          <w:sz w:val="24"/>
          <w:szCs w:val="24"/>
        </w:rPr>
        <w:t xml:space="preserve"> </w:t>
      </w:r>
      <w:r w:rsidR="002420F2" w:rsidRPr="00387E31">
        <w:rPr>
          <w:rFonts w:ascii="Times New Roman" w:hAnsi="Times New Roman" w:cs="Times New Roman"/>
          <w:sz w:val="24"/>
          <w:szCs w:val="24"/>
          <w:lang w:bidi="gu-IN"/>
        </w:rPr>
        <w:t>during pre-</w:t>
      </w:r>
      <w:r w:rsidR="00B741F9">
        <w:rPr>
          <w:rFonts w:ascii="Times New Roman" w:hAnsi="Times New Roman" w:cs="Times New Roman"/>
          <w:sz w:val="24"/>
          <w:szCs w:val="24"/>
          <w:lang w:bidi="gu-IN"/>
        </w:rPr>
        <w:t>announcement</w:t>
      </w:r>
      <w:r w:rsidR="002420F2" w:rsidRPr="00387E31">
        <w:rPr>
          <w:rFonts w:ascii="Times New Roman" w:hAnsi="Times New Roman" w:cs="Times New Roman"/>
          <w:sz w:val="24"/>
          <w:szCs w:val="24"/>
          <w:lang w:bidi="gu-IN"/>
        </w:rPr>
        <w:t xml:space="preserve"> and </w:t>
      </w:r>
      <w:r w:rsidR="00B741F9">
        <w:rPr>
          <w:rFonts w:ascii="Times New Roman" w:hAnsi="Times New Roman" w:cs="Times New Roman"/>
          <w:sz w:val="24"/>
          <w:szCs w:val="24"/>
          <w:lang w:bidi="gu-IN"/>
        </w:rPr>
        <w:t xml:space="preserve">post- </w:t>
      </w:r>
      <w:r w:rsidR="002420F2" w:rsidRPr="00387E31">
        <w:rPr>
          <w:rFonts w:ascii="Times New Roman" w:hAnsi="Times New Roman" w:cs="Times New Roman"/>
          <w:sz w:val="24"/>
          <w:szCs w:val="24"/>
          <w:lang w:bidi="gu-IN"/>
        </w:rPr>
        <w:t>period</w:t>
      </w:r>
      <w:r w:rsidR="00CF2A3E">
        <w:rPr>
          <w:rFonts w:ascii="Times New Roman" w:hAnsi="Times New Roman" w:cs="Times New Roman"/>
          <w:sz w:val="24"/>
          <w:szCs w:val="24"/>
          <w:lang w:bidi="gu-IN"/>
        </w:rPr>
        <w:t>s using</w:t>
      </w:r>
      <w:r w:rsidR="002420F2" w:rsidRPr="00387E31">
        <w:rPr>
          <w:rFonts w:ascii="Times New Roman" w:hAnsi="Times New Roman" w:cs="Times New Roman"/>
          <w:sz w:val="24"/>
          <w:szCs w:val="24"/>
          <w:lang w:bidi="gu-IN"/>
        </w:rPr>
        <w:t xml:space="preserve"> 1-day, 3-days and 5-days window</w:t>
      </w:r>
      <w:r w:rsidR="00CF2A3E">
        <w:rPr>
          <w:rFonts w:ascii="Times New Roman" w:hAnsi="Times New Roman" w:cs="Times New Roman"/>
          <w:sz w:val="24"/>
          <w:szCs w:val="24"/>
          <w:lang w:bidi="gu-IN"/>
        </w:rPr>
        <w:t>s.</w:t>
      </w:r>
      <w:r>
        <w:rPr>
          <w:rFonts w:ascii="Times New Roman" w:hAnsi="Times New Roman" w:cs="Times New Roman"/>
          <w:sz w:val="24"/>
          <w:szCs w:val="24"/>
        </w:rPr>
        <w:t xml:space="preserve"> The results reveal that </w:t>
      </w:r>
      <w:r w:rsidR="0067694D">
        <w:rPr>
          <w:rFonts w:ascii="Times New Roman" w:hAnsi="Times New Roman" w:cs="Times New Roman"/>
          <w:sz w:val="24"/>
          <w:szCs w:val="24"/>
        </w:rPr>
        <w:t>the CAR values are positive and significant on any pre-</w:t>
      </w:r>
      <w:r w:rsidR="008C7D14">
        <w:rPr>
          <w:rFonts w:ascii="Times New Roman" w:hAnsi="Times New Roman" w:cs="Times New Roman"/>
          <w:sz w:val="24"/>
          <w:szCs w:val="24"/>
        </w:rPr>
        <w:t>event</w:t>
      </w:r>
      <w:r w:rsidR="0067694D">
        <w:rPr>
          <w:rFonts w:ascii="Times New Roman" w:hAnsi="Times New Roman" w:cs="Times New Roman"/>
          <w:sz w:val="24"/>
          <w:szCs w:val="24"/>
        </w:rPr>
        <w:t xml:space="preserve"> day</w:t>
      </w:r>
      <w:r w:rsidR="00B741F9">
        <w:rPr>
          <w:rFonts w:ascii="Times New Roman" w:hAnsi="Times New Roman" w:cs="Times New Roman"/>
          <w:sz w:val="24"/>
          <w:szCs w:val="24"/>
        </w:rPr>
        <w:t>s</w:t>
      </w:r>
      <w:r w:rsidR="0067694D">
        <w:rPr>
          <w:rFonts w:ascii="Times New Roman" w:hAnsi="Times New Roman" w:cs="Times New Roman"/>
          <w:sz w:val="24"/>
          <w:szCs w:val="24"/>
        </w:rPr>
        <w:t xml:space="preserve"> in Argentina, China, India, Indonesia, Mexico, South Korea, whereas negativ</w:t>
      </w:r>
      <w:r w:rsidR="008C7D14">
        <w:rPr>
          <w:rFonts w:ascii="Times New Roman" w:hAnsi="Times New Roman" w:cs="Times New Roman"/>
          <w:sz w:val="24"/>
          <w:szCs w:val="24"/>
        </w:rPr>
        <w:t>e and significant on any pre-event</w:t>
      </w:r>
      <w:r w:rsidR="0067694D">
        <w:rPr>
          <w:rFonts w:ascii="Times New Roman" w:hAnsi="Times New Roman" w:cs="Times New Roman"/>
          <w:sz w:val="24"/>
          <w:szCs w:val="24"/>
        </w:rPr>
        <w:t xml:space="preserve"> days in </w:t>
      </w:r>
      <w:r w:rsidR="0087233A">
        <w:rPr>
          <w:rFonts w:ascii="Times New Roman" w:hAnsi="Times New Roman" w:cs="Times New Roman"/>
          <w:sz w:val="24"/>
          <w:szCs w:val="24"/>
        </w:rPr>
        <w:t>Hungary, Poland, Russia, and Slovakia. These results indicate that the stock markets of Hungary, Poland, Russia, and Slovakia reacted negativ</w:t>
      </w:r>
      <w:r w:rsidR="008C7D14">
        <w:rPr>
          <w:rFonts w:ascii="Times New Roman" w:hAnsi="Times New Roman" w:cs="Times New Roman"/>
          <w:sz w:val="24"/>
          <w:szCs w:val="24"/>
        </w:rPr>
        <w:t>ely to the pre-event news about the potential conflict, for example,</w:t>
      </w:r>
      <w:r w:rsidR="0087233A">
        <w:rPr>
          <w:rFonts w:ascii="Times New Roman" w:hAnsi="Times New Roman" w:cs="Times New Roman"/>
          <w:sz w:val="24"/>
          <w:szCs w:val="24"/>
        </w:rPr>
        <w:t xml:space="preserve"> the press release of the USA about the expected </w:t>
      </w:r>
      <w:r w:rsidR="008C7D14">
        <w:rPr>
          <w:rFonts w:ascii="Times New Roman" w:hAnsi="Times New Roman" w:cs="Times New Roman"/>
          <w:sz w:val="24"/>
          <w:szCs w:val="24"/>
        </w:rPr>
        <w:t>Russian invasion</w:t>
      </w:r>
      <w:r w:rsidR="0087233A">
        <w:rPr>
          <w:rFonts w:ascii="Times New Roman" w:hAnsi="Times New Roman" w:cs="Times New Roman"/>
          <w:sz w:val="24"/>
          <w:szCs w:val="24"/>
        </w:rPr>
        <w:t xml:space="preserve"> on </w:t>
      </w:r>
      <w:r w:rsidR="00BA00ED">
        <w:rPr>
          <w:rFonts w:ascii="Times New Roman" w:hAnsi="Times New Roman" w:cs="Times New Roman"/>
          <w:sz w:val="24"/>
          <w:szCs w:val="24"/>
        </w:rPr>
        <w:t>18</w:t>
      </w:r>
      <w:r w:rsidR="00BA00ED" w:rsidRPr="00BA00ED">
        <w:rPr>
          <w:rFonts w:ascii="Times New Roman" w:hAnsi="Times New Roman" w:cs="Times New Roman"/>
          <w:sz w:val="24"/>
          <w:szCs w:val="24"/>
          <w:vertAlign w:val="superscript"/>
        </w:rPr>
        <w:t>th</w:t>
      </w:r>
      <w:r w:rsidR="00BA00ED">
        <w:rPr>
          <w:rFonts w:ascii="Times New Roman" w:hAnsi="Times New Roman" w:cs="Times New Roman"/>
          <w:sz w:val="24"/>
          <w:szCs w:val="24"/>
        </w:rPr>
        <w:t xml:space="preserve"> February 2022</w:t>
      </w:r>
      <w:r w:rsidR="00BA00ED">
        <w:rPr>
          <w:rStyle w:val="FootnoteReference"/>
          <w:rFonts w:ascii="Times New Roman" w:hAnsi="Times New Roman" w:cs="Times New Roman"/>
          <w:sz w:val="24"/>
          <w:szCs w:val="24"/>
        </w:rPr>
        <w:footnoteReference w:id="7"/>
      </w:r>
      <w:r w:rsidR="00BA00ED">
        <w:rPr>
          <w:rFonts w:ascii="Times New Roman" w:hAnsi="Times New Roman" w:cs="Times New Roman"/>
          <w:sz w:val="24"/>
          <w:szCs w:val="24"/>
        </w:rPr>
        <w:t xml:space="preserve"> and the recognition of the</w:t>
      </w:r>
      <w:r w:rsidR="00BB53B5" w:rsidRPr="00BB53B5">
        <w:t xml:space="preserve"> </w:t>
      </w:r>
      <w:r w:rsidR="00BB53B5" w:rsidRPr="00BB53B5">
        <w:rPr>
          <w:rFonts w:ascii="Times New Roman" w:hAnsi="Times New Roman" w:cs="Times New Roman"/>
          <w:sz w:val="24"/>
          <w:szCs w:val="24"/>
        </w:rPr>
        <w:t xml:space="preserve">Donetsk and Luhansk </w:t>
      </w:r>
      <w:r w:rsidR="00BB53B5">
        <w:rPr>
          <w:rFonts w:ascii="Times New Roman" w:hAnsi="Times New Roman" w:cs="Times New Roman"/>
          <w:sz w:val="24"/>
          <w:szCs w:val="24"/>
        </w:rPr>
        <w:t>by Russian Government on 21</w:t>
      </w:r>
      <w:r w:rsidR="00BB53B5" w:rsidRPr="00BB53B5">
        <w:rPr>
          <w:rFonts w:ascii="Times New Roman" w:hAnsi="Times New Roman" w:cs="Times New Roman"/>
          <w:sz w:val="24"/>
          <w:szCs w:val="24"/>
          <w:vertAlign w:val="superscript"/>
        </w:rPr>
        <w:t>st</w:t>
      </w:r>
      <w:r w:rsidR="00BB53B5">
        <w:rPr>
          <w:rFonts w:ascii="Times New Roman" w:hAnsi="Times New Roman" w:cs="Times New Roman"/>
          <w:sz w:val="24"/>
          <w:szCs w:val="24"/>
        </w:rPr>
        <w:t xml:space="preserve"> February 2022</w:t>
      </w:r>
      <w:r w:rsidR="00BB53B5">
        <w:rPr>
          <w:rStyle w:val="FootnoteReference"/>
          <w:rFonts w:ascii="Times New Roman" w:hAnsi="Times New Roman" w:cs="Times New Roman"/>
          <w:sz w:val="24"/>
          <w:szCs w:val="24"/>
        </w:rPr>
        <w:footnoteReference w:id="8"/>
      </w:r>
      <w:r w:rsidR="00912EF7">
        <w:rPr>
          <w:rFonts w:ascii="Times New Roman" w:hAnsi="Times New Roman" w:cs="Times New Roman"/>
          <w:sz w:val="24"/>
          <w:szCs w:val="24"/>
        </w:rPr>
        <w:t xml:space="preserve">. Moreover, the post events results show that </w:t>
      </w:r>
      <w:r w:rsidR="001E7C00">
        <w:rPr>
          <w:rFonts w:ascii="Times New Roman" w:hAnsi="Times New Roman" w:cs="Times New Roman"/>
          <w:sz w:val="24"/>
          <w:szCs w:val="24"/>
        </w:rPr>
        <w:t xml:space="preserve">the CAR values are negative and significant in any window day in Australia, France, Germany, Hungary, India, Italy, Japan, Poland, Romania, </w:t>
      </w:r>
      <w:r w:rsidR="002A1B0E">
        <w:rPr>
          <w:rFonts w:ascii="Times New Roman" w:hAnsi="Times New Roman" w:cs="Times New Roman"/>
          <w:sz w:val="24"/>
          <w:szCs w:val="24"/>
        </w:rPr>
        <w:t>Russia, Slovakia, South Africa, Spain,</w:t>
      </w:r>
      <w:r w:rsidR="008C7D14">
        <w:rPr>
          <w:rFonts w:ascii="Times New Roman" w:hAnsi="Times New Roman" w:cs="Times New Roman"/>
          <w:sz w:val="24"/>
          <w:szCs w:val="24"/>
        </w:rPr>
        <w:t xml:space="preserve"> and Turkey, reflecting that the ‘black swan’</w:t>
      </w:r>
      <w:r w:rsidR="002A1B0E">
        <w:rPr>
          <w:rFonts w:ascii="Times New Roman" w:hAnsi="Times New Roman" w:cs="Times New Roman"/>
          <w:sz w:val="24"/>
          <w:szCs w:val="24"/>
        </w:rPr>
        <w:t xml:space="preserve"> event adversely affect the stock markets of these countries in </w:t>
      </w:r>
      <w:r w:rsidR="00BA09F8">
        <w:rPr>
          <w:rFonts w:ascii="Times New Roman" w:hAnsi="Times New Roman" w:cs="Times New Roman"/>
          <w:sz w:val="24"/>
          <w:szCs w:val="24"/>
        </w:rPr>
        <w:t xml:space="preserve">the </w:t>
      </w:r>
      <w:r w:rsidR="008C7D14">
        <w:rPr>
          <w:rFonts w:ascii="Times New Roman" w:hAnsi="Times New Roman" w:cs="Times New Roman"/>
          <w:sz w:val="24"/>
          <w:szCs w:val="24"/>
        </w:rPr>
        <w:t xml:space="preserve">post- event </w:t>
      </w:r>
      <w:r w:rsidR="002A1B0E">
        <w:rPr>
          <w:rFonts w:ascii="Times New Roman" w:hAnsi="Times New Roman" w:cs="Times New Roman"/>
          <w:sz w:val="24"/>
          <w:szCs w:val="24"/>
        </w:rPr>
        <w:t xml:space="preserve">days. </w:t>
      </w:r>
      <w:r w:rsidR="008C7D14">
        <w:rPr>
          <w:rFonts w:ascii="Times New Roman" w:hAnsi="Times New Roman" w:cs="Times New Roman"/>
          <w:sz w:val="24"/>
          <w:szCs w:val="24"/>
        </w:rPr>
        <w:t xml:space="preserve">The most </w:t>
      </w:r>
      <w:r w:rsidR="00D72177">
        <w:rPr>
          <w:rFonts w:ascii="Times New Roman" w:hAnsi="Times New Roman" w:cs="Times New Roman"/>
          <w:sz w:val="24"/>
          <w:szCs w:val="24"/>
        </w:rPr>
        <w:t xml:space="preserve">adversely affected countries are belong to European region. </w:t>
      </w:r>
      <w:r w:rsidR="002A1B0E" w:rsidRPr="00DF4F0E">
        <w:rPr>
          <w:rFonts w:ascii="Times New Roman" w:hAnsi="Times New Roman" w:cs="Times New Roman"/>
          <w:color w:val="0070C0"/>
          <w:sz w:val="24"/>
          <w:szCs w:val="24"/>
        </w:rPr>
        <w:t xml:space="preserve">As Russia was </w:t>
      </w:r>
      <w:r w:rsidR="00CC3E32" w:rsidRPr="00DF4F0E">
        <w:rPr>
          <w:rFonts w:ascii="Times New Roman" w:hAnsi="Times New Roman" w:cs="Times New Roman"/>
          <w:color w:val="0070C0"/>
          <w:sz w:val="24"/>
          <w:szCs w:val="24"/>
        </w:rPr>
        <w:t>very important</w:t>
      </w:r>
      <w:r w:rsidR="002A1B0E" w:rsidRPr="00DF4F0E">
        <w:rPr>
          <w:rFonts w:ascii="Times New Roman" w:hAnsi="Times New Roman" w:cs="Times New Roman"/>
          <w:color w:val="0070C0"/>
          <w:sz w:val="24"/>
          <w:szCs w:val="24"/>
        </w:rPr>
        <w:t xml:space="preserve"> trad</w:t>
      </w:r>
      <w:r w:rsidR="00E751E4" w:rsidRPr="00DF4F0E">
        <w:rPr>
          <w:rFonts w:ascii="Times New Roman" w:hAnsi="Times New Roman" w:cs="Times New Roman"/>
          <w:color w:val="0070C0"/>
          <w:sz w:val="24"/>
          <w:szCs w:val="24"/>
        </w:rPr>
        <w:t>ing partner</w:t>
      </w:r>
      <w:r w:rsidR="002A1B0E" w:rsidRPr="00DF4F0E">
        <w:rPr>
          <w:rFonts w:ascii="Times New Roman" w:hAnsi="Times New Roman" w:cs="Times New Roman"/>
          <w:color w:val="0070C0"/>
          <w:sz w:val="24"/>
          <w:szCs w:val="24"/>
        </w:rPr>
        <w:t xml:space="preserve"> with</w:t>
      </w:r>
      <w:r w:rsidR="008C7D14" w:rsidRPr="00DF4F0E">
        <w:rPr>
          <w:rFonts w:ascii="Times New Roman" w:hAnsi="Times New Roman" w:cs="Times New Roman"/>
          <w:color w:val="0070C0"/>
          <w:sz w:val="24"/>
          <w:szCs w:val="24"/>
        </w:rPr>
        <w:t xml:space="preserve"> </w:t>
      </w:r>
      <w:r w:rsidR="00CC3E32" w:rsidRPr="00DF4F0E">
        <w:rPr>
          <w:rFonts w:ascii="Times New Roman" w:hAnsi="Times New Roman" w:cs="Times New Roman"/>
          <w:color w:val="0070C0"/>
          <w:sz w:val="24"/>
          <w:szCs w:val="24"/>
        </w:rPr>
        <w:t>many</w:t>
      </w:r>
      <w:r w:rsidR="008C7D14" w:rsidRPr="00DF4F0E">
        <w:rPr>
          <w:rFonts w:ascii="Times New Roman" w:hAnsi="Times New Roman" w:cs="Times New Roman"/>
          <w:color w:val="0070C0"/>
          <w:sz w:val="24"/>
          <w:szCs w:val="24"/>
        </w:rPr>
        <w:t xml:space="preserve"> </w:t>
      </w:r>
      <w:r w:rsidR="00CC3E32" w:rsidRPr="00DF4F0E">
        <w:rPr>
          <w:rFonts w:ascii="Times New Roman" w:hAnsi="Times New Roman" w:cs="Times New Roman"/>
          <w:color w:val="0070C0"/>
          <w:sz w:val="24"/>
          <w:szCs w:val="24"/>
        </w:rPr>
        <w:t>European</w:t>
      </w:r>
      <w:r w:rsidR="002A1B0E" w:rsidRPr="00DF4F0E">
        <w:rPr>
          <w:rFonts w:ascii="Times New Roman" w:hAnsi="Times New Roman" w:cs="Times New Roman"/>
          <w:color w:val="0070C0"/>
          <w:sz w:val="24"/>
          <w:szCs w:val="24"/>
        </w:rPr>
        <w:t xml:space="preserve"> countries and trade</w:t>
      </w:r>
      <w:r w:rsidR="00CC3E32" w:rsidRPr="00DF4F0E">
        <w:rPr>
          <w:rFonts w:ascii="Times New Roman" w:hAnsi="Times New Roman" w:cs="Times New Roman"/>
          <w:color w:val="0070C0"/>
          <w:sz w:val="24"/>
          <w:szCs w:val="24"/>
        </w:rPr>
        <w:t xml:space="preserve"> linkages with Russia</w:t>
      </w:r>
      <w:r w:rsidR="002A1B0E" w:rsidRPr="00DF4F0E">
        <w:rPr>
          <w:rFonts w:ascii="Times New Roman" w:hAnsi="Times New Roman" w:cs="Times New Roman"/>
          <w:color w:val="0070C0"/>
          <w:sz w:val="24"/>
          <w:szCs w:val="24"/>
        </w:rPr>
        <w:t xml:space="preserve"> </w:t>
      </w:r>
      <w:r w:rsidR="00CC3E32" w:rsidRPr="00DF4F0E">
        <w:rPr>
          <w:rFonts w:ascii="Times New Roman" w:hAnsi="Times New Roman" w:cs="Times New Roman"/>
          <w:color w:val="0070C0"/>
          <w:sz w:val="24"/>
          <w:szCs w:val="24"/>
        </w:rPr>
        <w:t>have been</w:t>
      </w:r>
      <w:r w:rsidR="002A1B0E" w:rsidRPr="00DF4F0E">
        <w:rPr>
          <w:rFonts w:ascii="Times New Roman" w:hAnsi="Times New Roman" w:cs="Times New Roman"/>
          <w:color w:val="0070C0"/>
          <w:sz w:val="24"/>
          <w:szCs w:val="24"/>
        </w:rPr>
        <w:t xml:space="preserve"> affected </w:t>
      </w:r>
      <w:r w:rsidR="00CC3E32" w:rsidRPr="00DF4F0E">
        <w:rPr>
          <w:rFonts w:ascii="Times New Roman" w:hAnsi="Times New Roman" w:cs="Times New Roman"/>
          <w:color w:val="0070C0"/>
          <w:sz w:val="24"/>
          <w:szCs w:val="24"/>
        </w:rPr>
        <w:t>by the economic</w:t>
      </w:r>
      <w:r w:rsidR="002A1B0E" w:rsidRPr="00DF4F0E">
        <w:rPr>
          <w:rFonts w:ascii="Times New Roman" w:hAnsi="Times New Roman" w:cs="Times New Roman"/>
          <w:color w:val="0070C0"/>
          <w:sz w:val="24"/>
          <w:szCs w:val="24"/>
        </w:rPr>
        <w:t xml:space="preserve"> sanction</w:t>
      </w:r>
      <w:r w:rsidR="00CC3E32" w:rsidRPr="00DF4F0E">
        <w:rPr>
          <w:rFonts w:ascii="Times New Roman" w:hAnsi="Times New Roman" w:cs="Times New Roman"/>
          <w:color w:val="0070C0"/>
          <w:sz w:val="24"/>
          <w:szCs w:val="24"/>
        </w:rPr>
        <w:t>s</w:t>
      </w:r>
      <w:r w:rsidR="002A1B0E" w:rsidRPr="00DF4F0E">
        <w:rPr>
          <w:rStyle w:val="FootnoteReference"/>
          <w:rFonts w:ascii="Times New Roman" w:hAnsi="Times New Roman" w:cs="Times New Roman"/>
          <w:color w:val="0070C0"/>
          <w:sz w:val="24"/>
          <w:szCs w:val="24"/>
        </w:rPr>
        <w:footnoteReference w:id="9"/>
      </w:r>
      <w:r w:rsidR="00E751E4" w:rsidRPr="00DF4F0E">
        <w:rPr>
          <w:rFonts w:ascii="Times New Roman" w:hAnsi="Times New Roman" w:cs="Times New Roman"/>
          <w:color w:val="0070C0"/>
          <w:sz w:val="24"/>
          <w:szCs w:val="24"/>
        </w:rPr>
        <w:t>, ultimately the stock mar</w:t>
      </w:r>
      <w:r w:rsidR="00CC3E32" w:rsidRPr="00DF4F0E">
        <w:rPr>
          <w:rFonts w:ascii="Times New Roman" w:hAnsi="Times New Roman" w:cs="Times New Roman"/>
          <w:color w:val="0070C0"/>
          <w:sz w:val="24"/>
          <w:szCs w:val="24"/>
        </w:rPr>
        <w:t xml:space="preserve">kets of the </w:t>
      </w:r>
      <w:r w:rsidR="00AC37D7" w:rsidRPr="00DF4F0E">
        <w:rPr>
          <w:rFonts w:ascii="Times New Roman" w:hAnsi="Times New Roman" w:cs="Times New Roman"/>
          <w:color w:val="0070C0"/>
          <w:sz w:val="24"/>
          <w:szCs w:val="24"/>
        </w:rPr>
        <w:t xml:space="preserve">closely connected </w:t>
      </w:r>
      <w:r w:rsidR="00CC3E32" w:rsidRPr="00DF4F0E">
        <w:rPr>
          <w:rFonts w:ascii="Times New Roman" w:hAnsi="Times New Roman" w:cs="Times New Roman"/>
          <w:color w:val="0070C0"/>
          <w:sz w:val="24"/>
          <w:szCs w:val="24"/>
        </w:rPr>
        <w:t xml:space="preserve">countries </w:t>
      </w:r>
      <w:r w:rsidR="00E751E4" w:rsidRPr="00DF4F0E">
        <w:rPr>
          <w:rFonts w:ascii="Times New Roman" w:hAnsi="Times New Roman" w:cs="Times New Roman"/>
          <w:color w:val="0070C0"/>
          <w:sz w:val="24"/>
          <w:szCs w:val="24"/>
        </w:rPr>
        <w:t>were also affected</w:t>
      </w:r>
      <w:r w:rsidR="002A1B0E" w:rsidRPr="00DF4F0E">
        <w:rPr>
          <w:rFonts w:ascii="Times New Roman" w:hAnsi="Times New Roman" w:cs="Times New Roman"/>
          <w:color w:val="0070C0"/>
          <w:sz w:val="24"/>
          <w:szCs w:val="24"/>
        </w:rPr>
        <w:t>.</w:t>
      </w:r>
      <w:r w:rsidR="00E751E4" w:rsidRPr="00DF4F0E">
        <w:rPr>
          <w:rFonts w:ascii="Times New Roman" w:hAnsi="Times New Roman" w:cs="Times New Roman"/>
          <w:color w:val="0070C0"/>
          <w:sz w:val="24"/>
          <w:szCs w:val="24"/>
        </w:rPr>
        <w:t xml:space="preserve"> </w:t>
      </w:r>
    </w:p>
    <w:p w14:paraId="444405C7" w14:textId="26510DAD" w:rsidR="00331526" w:rsidRDefault="00AC37D7" w:rsidP="00DF4F0E">
      <w:pPr>
        <w:spacing w:line="360" w:lineRule="auto"/>
        <w:jc w:val="both"/>
        <w:rPr>
          <w:rFonts w:ascii="Times New Roman" w:hAnsi="Times New Roman" w:cs="Times New Roman"/>
          <w:sz w:val="24"/>
          <w:szCs w:val="24"/>
          <w:lang w:bidi="gu-IN"/>
        </w:rPr>
      </w:pPr>
      <w:r>
        <w:rPr>
          <w:rFonts w:ascii="Times New Roman" w:hAnsi="Times New Roman" w:cs="Times New Roman"/>
          <w:sz w:val="24"/>
          <w:szCs w:val="24"/>
        </w:rPr>
        <w:t>To add to</w:t>
      </w:r>
      <w:r w:rsidR="00D72177">
        <w:rPr>
          <w:rFonts w:ascii="Times New Roman" w:hAnsi="Times New Roman" w:cs="Times New Roman"/>
          <w:sz w:val="24"/>
          <w:szCs w:val="24"/>
        </w:rPr>
        <w:t xml:space="preserve"> aggregate stock market</w:t>
      </w:r>
      <w:r>
        <w:rPr>
          <w:rFonts w:ascii="Times New Roman" w:hAnsi="Times New Roman" w:cs="Times New Roman"/>
          <w:sz w:val="24"/>
          <w:szCs w:val="24"/>
        </w:rPr>
        <w:t xml:space="preserve"> and</w:t>
      </w:r>
      <w:r w:rsidR="00D72177">
        <w:rPr>
          <w:rFonts w:ascii="Times New Roman" w:hAnsi="Times New Roman" w:cs="Times New Roman"/>
          <w:sz w:val="24"/>
          <w:szCs w:val="24"/>
        </w:rPr>
        <w:t xml:space="preserve"> countr</w:t>
      </w:r>
      <w:r>
        <w:rPr>
          <w:rFonts w:ascii="Times New Roman" w:hAnsi="Times New Roman" w:cs="Times New Roman"/>
          <w:sz w:val="24"/>
          <w:szCs w:val="24"/>
        </w:rPr>
        <w:t>y level stock market analysis,</w:t>
      </w:r>
      <w:r w:rsidR="00D72177">
        <w:rPr>
          <w:rFonts w:ascii="Times New Roman" w:hAnsi="Times New Roman" w:cs="Times New Roman"/>
          <w:sz w:val="24"/>
          <w:szCs w:val="24"/>
        </w:rPr>
        <w:t xml:space="preserve"> we </w:t>
      </w:r>
      <w:r>
        <w:rPr>
          <w:rFonts w:ascii="Times New Roman" w:hAnsi="Times New Roman" w:cs="Times New Roman"/>
          <w:sz w:val="24"/>
          <w:szCs w:val="24"/>
        </w:rPr>
        <w:t xml:space="preserve">further </w:t>
      </w:r>
      <w:r w:rsidR="00D72177">
        <w:rPr>
          <w:rFonts w:ascii="Times New Roman" w:hAnsi="Times New Roman" w:cs="Times New Roman"/>
          <w:sz w:val="24"/>
          <w:szCs w:val="24"/>
        </w:rPr>
        <w:t xml:space="preserve">examine the impact of Russian-Ukraine </w:t>
      </w:r>
      <w:r>
        <w:rPr>
          <w:rFonts w:ascii="Times New Roman" w:hAnsi="Times New Roman" w:cs="Times New Roman"/>
          <w:sz w:val="24"/>
          <w:szCs w:val="24"/>
        </w:rPr>
        <w:t>conflict</w:t>
      </w:r>
      <w:r w:rsidR="00D72177">
        <w:rPr>
          <w:rFonts w:ascii="Times New Roman" w:hAnsi="Times New Roman" w:cs="Times New Roman"/>
          <w:sz w:val="24"/>
          <w:szCs w:val="24"/>
        </w:rPr>
        <w:t xml:space="preserve"> on regional stock markets</w:t>
      </w:r>
      <w:r w:rsidR="00BA09F8">
        <w:rPr>
          <w:rFonts w:ascii="Times New Roman" w:hAnsi="Times New Roman" w:cs="Times New Roman"/>
          <w:sz w:val="24"/>
          <w:szCs w:val="24"/>
        </w:rPr>
        <w:t xml:space="preserve"> (</w:t>
      </w:r>
      <w:bookmarkStart w:id="3" w:name="_Hlk98376254"/>
      <w:r w:rsidR="00BA09F8">
        <w:rPr>
          <w:rFonts w:ascii="Times New Roman" w:hAnsi="Times New Roman" w:cs="Times New Roman"/>
          <w:sz w:val="24"/>
          <w:szCs w:val="24"/>
        </w:rPr>
        <w:t>i.e. Asian, European, North American, Latin American, and Middle East and African</w:t>
      </w:r>
      <w:bookmarkEnd w:id="3"/>
      <w:r w:rsidR="00BA09F8">
        <w:rPr>
          <w:rFonts w:ascii="Times New Roman" w:hAnsi="Times New Roman" w:cs="Times New Roman"/>
          <w:sz w:val="24"/>
          <w:szCs w:val="24"/>
        </w:rPr>
        <w:t>)</w:t>
      </w:r>
      <w:r w:rsidR="00760AC3">
        <w:rPr>
          <w:rFonts w:ascii="Times New Roman" w:hAnsi="Times New Roman" w:cs="Times New Roman"/>
          <w:sz w:val="24"/>
          <w:szCs w:val="24"/>
        </w:rPr>
        <w:t>, see Table 4</w:t>
      </w:r>
      <w:r w:rsidR="00D72177">
        <w:rPr>
          <w:rFonts w:ascii="Times New Roman" w:hAnsi="Times New Roman" w:cs="Times New Roman"/>
          <w:sz w:val="24"/>
          <w:szCs w:val="24"/>
        </w:rPr>
        <w:t xml:space="preserve">. </w:t>
      </w:r>
      <w:r w:rsidR="00760AC3">
        <w:rPr>
          <w:rFonts w:ascii="Times New Roman" w:hAnsi="Times New Roman" w:cs="Times New Roman"/>
          <w:sz w:val="24"/>
          <w:szCs w:val="24"/>
        </w:rPr>
        <w:t xml:space="preserve">On the event day, the AAR coefficients are found to be negative and significant in Asian, European, and Middle East regions, </w:t>
      </w:r>
      <w:r w:rsidR="00760AC3">
        <w:rPr>
          <w:rFonts w:ascii="Times New Roman" w:hAnsi="Times New Roman" w:cs="Times New Roman"/>
          <w:sz w:val="24"/>
          <w:szCs w:val="24"/>
        </w:rPr>
        <w:lastRenderedPageBreak/>
        <w:t xml:space="preserve">reflecting the impact of event day on these three regions. </w:t>
      </w:r>
      <w:r w:rsidR="009B4A94">
        <w:rPr>
          <w:rFonts w:ascii="Times New Roman" w:hAnsi="Times New Roman" w:cs="Times New Roman"/>
          <w:sz w:val="24"/>
          <w:szCs w:val="24"/>
        </w:rPr>
        <w:t xml:space="preserve">The AAR is negatively significant at t+3 window day in Asian and European region, indicating that the stock markets of Asian and European region also responded adversely to the pre-event news of recognition of the </w:t>
      </w:r>
      <w:r w:rsidR="009B4A94" w:rsidRPr="00BB53B5">
        <w:rPr>
          <w:rFonts w:ascii="Times New Roman" w:hAnsi="Times New Roman" w:cs="Times New Roman"/>
          <w:sz w:val="24"/>
          <w:szCs w:val="24"/>
        </w:rPr>
        <w:t xml:space="preserve">Donetsk and Luhansk </w:t>
      </w:r>
      <w:r w:rsidR="009B4A94">
        <w:rPr>
          <w:rFonts w:ascii="Times New Roman" w:hAnsi="Times New Roman" w:cs="Times New Roman"/>
          <w:sz w:val="24"/>
          <w:szCs w:val="24"/>
        </w:rPr>
        <w:t xml:space="preserve">by Russian Government. Furthermore, the AAR coefficient is significantly negative in European region at t+2 and t+3 window days, indicating the strong impact of </w:t>
      </w:r>
      <w:r>
        <w:rPr>
          <w:rFonts w:ascii="Times New Roman" w:hAnsi="Times New Roman" w:cs="Times New Roman"/>
          <w:sz w:val="24"/>
          <w:szCs w:val="24"/>
        </w:rPr>
        <w:t>this military conflict</w:t>
      </w:r>
      <w:r w:rsidR="009B4A94">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009B4A94">
        <w:rPr>
          <w:rFonts w:ascii="Times New Roman" w:hAnsi="Times New Roman" w:cs="Times New Roman"/>
          <w:sz w:val="24"/>
          <w:szCs w:val="24"/>
        </w:rPr>
        <w:t>2</w:t>
      </w:r>
      <w:r w:rsidR="009B4A94" w:rsidRPr="009B4A94">
        <w:rPr>
          <w:rFonts w:ascii="Times New Roman" w:hAnsi="Times New Roman" w:cs="Times New Roman"/>
          <w:sz w:val="24"/>
          <w:szCs w:val="24"/>
          <w:vertAlign w:val="superscript"/>
        </w:rPr>
        <w:t>nd</w:t>
      </w:r>
      <w:r w:rsidR="009B4A94">
        <w:rPr>
          <w:rFonts w:ascii="Times New Roman" w:hAnsi="Times New Roman" w:cs="Times New Roman"/>
          <w:sz w:val="24"/>
          <w:szCs w:val="24"/>
        </w:rPr>
        <w:t xml:space="preserve"> and 3</w:t>
      </w:r>
      <w:r w:rsidR="009B4A94" w:rsidRPr="009B4A94">
        <w:rPr>
          <w:rFonts w:ascii="Times New Roman" w:hAnsi="Times New Roman" w:cs="Times New Roman"/>
          <w:sz w:val="24"/>
          <w:szCs w:val="24"/>
          <w:vertAlign w:val="superscript"/>
        </w:rPr>
        <w:t>rd</w:t>
      </w:r>
      <w:r w:rsidR="009B4A94">
        <w:rPr>
          <w:rFonts w:ascii="Times New Roman" w:hAnsi="Times New Roman" w:cs="Times New Roman"/>
          <w:sz w:val="24"/>
          <w:szCs w:val="24"/>
        </w:rPr>
        <w:t xml:space="preserve"> day</w:t>
      </w:r>
      <w:r>
        <w:rPr>
          <w:rFonts w:ascii="Times New Roman" w:hAnsi="Times New Roman" w:cs="Times New Roman"/>
          <w:sz w:val="24"/>
          <w:szCs w:val="24"/>
        </w:rPr>
        <w:t>s afte</w:t>
      </w:r>
      <w:r w:rsidR="009B4A94">
        <w:rPr>
          <w:rFonts w:ascii="Times New Roman" w:hAnsi="Times New Roman" w:cs="Times New Roman"/>
          <w:sz w:val="24"/>
          <w:szCs w:val="24"/>
        </w:rPr>
        <w:t>r</w:t>
      </w:r>
      <w:r>
        <w:rPr>
          <w:rFonts w:ascii="Times New Roman" w:hAnsi="Times New Roman" w:cs="Times New Roman"/>
          <w:sz w:val="24"/>
          <w:szCs w:val="24"/>
        </w:rPr>
        <w:t xml:space="preserve"> the event</w:t>
      </w:r>
      <w:r w:rsidR="009B4A94">
        <w:rPr>
          <w:rFonts w:ascii="Times New Roman" w:hAnsi="Times New Roman" w:cs="Times New Roman"/>
          <w:sz w:val="24"/>
          <w:szCs w:val="24"/>
        </w:rPr>
        <w:t xml:space="preserve">. </w:t>
      </w:r>
      <w:r w:rsidR="001C32BE">
        <w:rPr>
          <w:rFonts w:ascii="Times New Roman" w:hAnsi="Times New Roman" w:cs="Times New Roman"/>
          <w:sz w:val="24"/>
          <w:szCs w:val="24"/>
        </w:rPr>
        <w:t>The CAAR values are highly negative and significant on event day and post</w:t>
      </w:r>
      <w:r>
        <w:rPr>
          <w:rFonts w:ascii="Times New Roman" w:hAnsi="Times New Roman" w:cs="Times New Roman"/>
          <w:sz w:val="24"/>
          <w:szCs w:val="24"/>
        </w:rPr>
        <w:t>-</w:t>
      </w:r>
      <w:r w:rsidR="001C32BE">
        <w:rPr>
          <w:rFonts w:ascii="Times New Roman" w:hAnsi="Times New Roman" w:cs="Times New Roman"/>
          <w:sz w:val="24"/>
          <w:szCs w:val="24"/>
        </w:rPr>
        <w:t xml:space="preserve"> event days compared to the pre-event days in the </w:t>
      </w:r>
      <w:r w:rsidR="00AF4524">
        <w:rPr>
          <w:rFonts w:ascii="Times New Roman" w:hAnsi="Times New Roman" w:cs="Times New Roman"/>
          <w:sz w:val="24"/>
          <w:szCs w:val="24"/>
        </w:rPr>
        <w:t xml:space="preserve">Asian and European regions, whereas CAAR values are not negatively significant in North American, Latin American, and Middle East &amp; African regions in pre and post event window days. These results indicates that European and Asian </w:t>
      </w:r>
      <w:r w:rsidR="007E6FB2">
        <w:rPr>
          <w:rFonts w:ascii="Times New Roman" w:hAnsi="Times New Roman" w:cs="Times New Roman"/>
          <w:sz w:val="24"/>
          <w:szCs w:val="24"/>
        </w:rPr>
        <w:t xml:space="preserve">regions </w:t>
      </w:r>
      <w:r w:rsidR="00AF4524">
        <w:rPr>
          <w:rFonts w:ascii="Times New Roman" w:hAnsi="Times New Roman" w:cs="Times New Roman"/>
          <w:sz w:val="24"/>
          <w:szCs w:val="24"/>
        </w:rPr>
        <w:t xml:space="preserve">adversely affected and reacted to the news of Russian-Ukraine </w:t>
      </w:r>
      <w:r>
        <w:rPr>
          <w:rFonts w:ascii="Times New Roman" w:hAnsi="Times New Roman" w:cs="Times New Roman"/>
          <w:sz w:val="24"/>
          <w:szCs w:val="24"/>
        </w:rPr>
        <w:t>conflict</w:t>
      </w:r>
      <w:r w:rsidR="00AF4524">
        <w:rPr>
          <w:rFonts w:ascii="Times New Roman" w:hAnsi="Times New Roman" w:cs="Times New Roman"/>
          <w:sz w:val="24"/>
          <w:szCs w:val="24"/>
        </w:rPr>
        <w:t xml:space="preserve"> outbreak. </w:t>
      </w:r>
    </w:p>
    <w:p w14:paraId="5916EB56" w14:textId="77777777" w:rsidR="00331526" w:rsidRDefault="00331526" w:rsidP="00B82077">
      <w:pPr>
        <w:autoSpaceDE w:val="0"/>
        <w:autoSpaceDN w:val="0"/>
        <w:adjustRightInd w:val="0"/>
        <w:spacing w:after="0" w:line="360" w:lineRule="auto"/>
        <w:jc w:val="both"/>
        <w:rPr>
          <w:rFonts w:ascii="Times New Roman" w:hAnsi="Times New Roman" w:cs="Times New Roman"/>
          <w:sz w:val="24"/>
          <w:szCs w:val="24"/>
          <w:lang w:bidi="gu-IN"/>
        </w:rPr>
      </w:pPr>
    </w:p>
    <w:p w14:paraId="52CDE5F7" w14:textId="0A5C8AAD" w:rsidR="00FC28E0" w:rsidRPr="00867271" w:rsidRDefault="00FC28E0" w:rsidP="00B82077">
      <w:pPr>
        <w:autoSpaceDE w:val="0"/>
        <w:autoSpaceDN w:val="0"/>
        <w:adjustRightInd w:val="0"/>
        <w:spacing w:after="0" w:line="360" w:lineRule="auto"/>
        <w:jc w:val="both"/>
        <w:rPr>
          <w:rFonts w:ascii="Times New Roman" w:hAnsi="Times New Roman" w:cs="Times New Roman"/>
          <w:b/>
          <w:bCs/>
          <w:sz w:val="24"/>
          <w:szCs w:val="24"/>
          <w:lang w:bidi="gu-IN"/>
        </w:rPr>
      </w:pPr>
      <w:r w:rsidRPr="00867271">
        <w:rPr>
          <w:rFonts w:ascii="Times New Roman" w:hAnsi="Times New Roman" w:cs="Times New Roman"/>
          <w:b/>
          <w:bCs/>
          <w:sz w:val="24"/>
          <w:szCs w:val="24"/>
          <w:lang w:bidi="gu-IN"/>
        </w:rPr>
        <w:t>5. Conclusion</w:t>
      </w:r>
    </w:p>
    <w:p w14:paraId="0BBF7A1F" w14:textId="3FCC0020" w:rsidR="007E6FB2" w:rsidRPr="0082253D" w:rsidRDefault="0041726C" w:rsidP="00E2574D">
      <w:pPr>
        <w:spacing w:line="360" w:lineRule="auto"/>
        <w:jc w:val="both"/>
        <w:rPr>
          <w:rFonts w:ascii="Times New Roman" w:hAnsi="Times New Roman" w:cs="Times New Roman"/>
          <w:color w:val="0070C0"/>
          <w:sz w:val="24"/>
          <w:szCs w:val="24"/>
        </w:rPr>
      </w:pPr>
      <w:bookmarkStart w:id="4" w:name="_Hlk98256704"/>
      <w:r w:rsidRPr="00867271">
        <w:rPr>
          <w:rFonts w:ascii="Times New Roman" w:hAnsi="Times New Roman" w:cs="Times New Roman"/>
          <w:sz w:val="24"/>
          <w:szCs w:val="24"/>
        </w:rPr>
        <w:t xml:space="preserve">This study aims to examine the impact of the breakout of Ukraine-Russia </w:t>
      </w:r>
      <w:r w:rsidR="00331526">
        <w:rPr>
          <w:rFonts w:ascii="Times New Roman" w:hAnsi="Times New Roman" w:cs="Times New Roman"/>
          <w:sz w:val="24"/>
          <w:szCs w:val="24"/>
        </w:rPr>
        <w:t>conflict</w:t>
      </w:r>
      <w:r w:rsidRPr="00867271">
        <w:rPr>
          <w:rFonts w:ascii="Times New Roman" w:hAnsi="Times New Roman" w:cs="Times New Roman"/>
          <w:sz w:val="24"/>
          <w:szCs w:val="24"/>
        </w:rPr>
        <w:t xml:space="preserve"> on the G20 and other selected stock markets. We </w:t>
      </w:r>
      <w:r w:rsidR="00527639">
        <w:rPr>
          <w:rFonts w:ascii="Times New Roman" w:hAnsi="Times New Roman" w:cs="Times New Roman"/>
          <w:sz w:val="24"/>
          <w:szCs w:val="24"/>
        </w:rPr>
        <w:t xml:space="preserve">apply the event study analysis on event day, pre-event window, and post event window days. </w:t>
      </w:r>
      <w:r w:rsidRPr="00867271">
        <w:rPr>
          <w:rFonts w:ascii="Times New Roman" w:hAnsi="Times New Roman" w:cs="Times New Roman"/>
          <w:sz w:val="24"/>
          <w:szCs w:val="24"/>
        </w:rPr>
        <w:t xml:space="preserve">The </w:t>
      </w:r>
      <w:r w:rsidR="0016266E">
        <w:rPr>
          <w:rFonts w:ascii="Times New Roman" w:hAnsi="Times New Roman" w:cs="Times New Roman"/>
          <w:sz w:val="24"/>
          <w:szCs w:val="24"/>
        </w:rPr>
        <w:t>e</w:t>
      </w:r>
      <w:r w:rsidR="00B7625F">
        <w:rPr>
          <w:rFonts w:ascii="Times New Roman" w:hAnsi="Times New Roman" w:cs="Times New Roman"/>
          <w:sz w:val="24"/>
          <w:szCs w:val="24"/>
        </w:rPr>
        <w:t xml:space="preserve">mpirical results </w:t>
      </w:r>
      <w:r w:rsidR="0016266E">
        <w:rPr>
          <w:rFonts w:ascii="Times New Roman" w:hAnsi="Times New Roman" w:cs="Times New Roman"/>
          <w:sz w:val="24"/>
          <w:szCs w:val="24"/>
        </w:rPr>
        <w:t xml:space="preserve">of country wise abnormal returns (AR) </w:t>
      </w:r>
      <w:r w:rsidR="00B7625F">
        <w:rPr>
          <w:rFonts w:ascii="Times New Roman" w:hAnsi="Times New Roman" w:cs="Times New Roman"/>
          <w:sz w:val="24"/>
          <w:szCs w:val="24"/>
        </w:rPr>
        <w:t xml:space="preserve">reveals that the </w:t>
      </w:r>
      <w:r w:rsidR="00BA09F8">
        <w:rPr>
          <w:rFonts w:ascii="Times New Roman" w:hAnsi="Times New Roman" w:cs="Times New Roman"/>
          <w:sz w:val="24"/>
          <w:szCs w:val="24"/>
        </w:rPr>
        <w:t>announcement of the ‘special military operation’</w:t>
      </w:r>
      <w:r w:rsidR="0016266E">
        <w:rPr>
          <w:rFonts w:ascii="Times New Roman" w:hAnsi="Times New Roman" w:cs="Times New Roman"/>
          <w:sz w:val="24"/>
          <w:szCs w:val="24"/>
        </w:rPr>
        <w:t xml:space="preserve"> (event day)</w:t>
      </w:r>
      <w:r w:rsidRPr="00867271">
        <w:rPr>
          <w:rFonts w:ascii="Times New Roman" w:hAnsi="Times New Roman" w:cs="Times New Roman"/>
          <w:sz w:val="24"/>
          <w:szCs w:val="24"/>
        </w:rPr>
        <w:t xml:space="preserve"> has </w:t>
      </w:r>
      <w:r w:rsidR="0016266E">
        <w:rPr>
          <w:rFonts w:ascii="Times New Roman" w:hAnsi="Times New Roman" w:cs="Times New Roman"/>
          <w:sz w:val="24"/>
          <w:szCs w:val="24"/>
        </w:rPr>
        <w:t>significant and negative</w:t>
      </w:r>
      <w:r w:rsidRPr="00867271">
        <w:rPr>
          <w:rFonts w:ascii="Times New Roman" w:hAnsi="Times New Roman" w:cs="Times New Roman"/>
          <w:sz w:val="24"/>
          <w:szCs w:val="24"/>
        </w:rPr>
        <w:t xml:space="preserve"> impact on the majority of the markets, with highest impact on </w:t>
      </w:r>
      <w:r w:rsidR="00754FD3" w:rsidRPr="00867271">
        <w:rPr>
          <w:rFonts w:ascii="Times New Roman" w:hAnsi="Times New Roman" w:cs="Times New Roman"/>
          <w:sz w:val="24"/>
          <w:szCs w:val="24"/>
        </w:rPr>
        <w:t>Russia</w:t>
      </w:r>
      <w:r w:rsidRPr="00867271">
        <w:rPr>
          <w:rFonts w:ascii="Times New Roman" w:hAnsi="Times New Roman" w:cs="Times New Roman"/>
          <w:sz w:val="24"/>
          <w:szCs w:val="24"/>
        </w:rPr>
        <w:t xml:space="preserve">. </w:t>
      </w:r>
      <w:r w:rsidR="00B52E43">
        <w:rPr>
          <w:rFonts w:ascii="Times New Roman" w:hAnsi="Times New Roman" w:cs="Times New Roman"/>
          <w:sz w:val="24"/>
          <w:szCs w:val="24"/>
        </w:rPr>
        <w:t>The aggregate stock market’ CAAR coefficients are negatively significant on event day and post event days, indicating the world stock markets adversely</w:t>
      </w:r>
      <w:r w:rsidR="00331526">
        <w:rPr>
          <w:rFonts w:ascii="Times New Roman" w:hAnsi="Times New Roman" w:cs="Times New Roman"/>
          <w:sz w:val="24"/>
          <w:szCs w:val="24"/>
        </w:rPr>
        <w:t xml:space="preserve"> reacted to the Russian-Ukraine</w:t>
      </w:r>
      <w:r w:rsidR="00B52E43">
        <w:rPr>
          <w:rFonts w:ascii="Times New Roman" w:hAnsi="Times New Roman" w:cs="Times New Roman"/>
          <w:sz w:val="24"/>
          <w:szCs w:val="24"/>
        </w:rPr>
        <w:t xml:space="preserve"> </w:t>
      </w:r>
      <w:r w:rsidR="00331526">
        <w:rPr>
          <w:rFonts w:ascii="Times New Roman" w:hAnsi="Times New Roman" w:cs="Times New Roman"/>
          <w:sz w:val="24"/>
          <w:szCs w:val="24"/>
        </w:rPr>
        <w:t xml:space="preserve">conflict </w:t>
      </w:r>
      <w:r w:rsidR="00B52E43">
        <w:rPr>
          <w:rFonts w:ascii="Times New Roman" w:hAnsi="Times New Roman" w:cs="Times New Roman"/>
          <w:sz w:val="24"/>
          <w:szCs w:val="24"/>
        </w:rPr>
        <w:t>new</w:t>
      </w:r>
      <w:r w:rsidR="00331526">
        <w:rPr>
          <w:rFonts w:ascii="Times New Roman" w:hAnsi="Times New Roman" w:cs="Times New Roman"/>
          <w:sz w:val="24"/>
          <w:szCs w:val="24"/>
        </w:rPr>
        <w:t>s</w:t>
      </w:r>
      <w:r w:rsidR="00B52E43">
        <w:rPr>
          <w:rFonts w:ascii="Times New Roman" w:hAnsi="Times New Roman" w:cs="Times New Roman"/>
          <w:sz w:val="24"/>
          <w:szCs w:val="24"/>
        </w:rPr>
        <w:t xml:space="preserve"> on </w:t>
      </w:r>
      <w:r w:rsidR="00331526">
        <w:rPr>
          <w:rFonts w:ascii="Times New Roman" w:hAnsi="Times New Roman" w:cs="Times New Roman"/>
          <w:sz w:val="24"/>
          <w:szCs w:val="24"/>
        </w:rPr>
        <w:t xml:space="preserve">the </w:t>
      </w:r>
      <w:r w:rsidR="00B52E43">
        <w:rPr>
          <w:rFonts w:ascii="Times New Roman" w:hAnsi="Times New Roman" w:cs="Times New Roman"/>
          <w:sz w:val="24"/>
          <w:szCs w:val="24"/>
        </w:rPr>
        <w:t>event day and post event days. The country wise analysis of the CAR</w:t>
      </w:r>
      <w:r w:rsidR="00C27C11">
        <w:rPr>
          <w:rFonts w:ascii="Times New Roman" w:hAnsi="Times New Roman" w:cs="Times New Roman"/>
          <w:sz w:val="24"/>
          <w:szCs w:val="24"/>
        </w:rPr>
        <w:t>s</w:t>
      </w:r>
      <w:r w:rsidR="00B52E43">
        <w:rPr>
          <w:rFonts w:ascii="Times New Roman" w:hAnsi="Times New Roman" w:cs="Times New Roman"/>
          <w:sz w:val="24"/>
          <w:szCs w:val="24"/>
        </w:rPr>
        <w:t xml:space="preserve"> show that </w:t>
      </w:r>
      <w:r w:rsidR="00C27C11">
        <w:rPr>
          <w:rFonts w:ascii="Times New Roman" w:hAnsi="Times New Roman" w:cs="Times New Roman"/>
          <w:sz w:val="24"/>
          <w:szCs w:val="24"/>
        </w:rPr>
        <w:t>Hungary, Russia, Poland, and Slovakia stock markets reacted negatively in both pre</w:t>
      </w:r>
      <w:r w:rsidR="00331526">
        <w:rPr>
          <w:rFonts w:ascii="Times New Roman" w:hAnsi="Times New Roman" w:cs="Times New Roman"/>
          <w:sz w:val="24"/>
          <w:szCs w:val="24"/>
        </w:rPr>
        <w:t>-</w:t>
      </w:r>
      <w:r w:rsidR="00C27C11">
        <w:rPr>
          <w:rFonts w:ascii="Times New Roman" w:hAnsi="Times New Roman" w:cs="Times New Roman"/>
          <w:sz w:val="24"/>
          <w:szCs w:val="24"/>
        </w:rPr>
        <w:t xml:space="preserve"> and post</w:t>
      </w:r>
      <w:r w:rsidR="00331526">
        <w:rPr>
          <w:rFonts w:ascii="Times New Roman" w:hAnsi="Times New Roman" w:cs="Times New Roman"/>
          <w:sz w:val="24"/>
          <w:szCs w:val="24"/>
        </w:rPr>
        <w:t>-</w:t>
      </w:r>
      <w:r w:rsidR="00C27C11">
        <w:rPr>
          <w:rFonts w:ascii="Times New Roman" w:hAnsi="Times New Roman" w:cs="Times New Roman"/>
          <w:sz w:val="24"/>
          <w:szCs w:val="24"/>
        </w:rPr>
        <w:t xml:space="preserve"> event days, whereas Australia, France, </w:t>
      </w:r>
      <w:r w:rsidR="007E6FB2">
        <w:rPr>
          <w:rFonts w:ascii="Times New Roman" w:hAnsi="Times New Roman" w:cs="Times New Roman"/>
          <w:sz w:val="24"/>
          <w:szCs w:val="24"/>
        </w:rPr>
        <w:t>Germany,</w:t>
      </w:r>
      <w:r w:rsidR="00C27C11">
        <w:rPr>
          <w:rFonts w:ascii="Times New Roman" w:hAnsi="Times New Roman" w:cs="Times New Roman"/>
          <w:sz w:val="24"/>
          <w:szCs w:val="24"/>
        </w:rPr>
        <w:t xml:space="preserve"> India, Italy, Japan, Romania, South Africa, Spain, and Turkey </w:t>
      </w:r>
      <w:r w:rsidR="00331526">
        <w:rPr>
          <w:rFonts w:ascii="Times New Roman" w:hAnsi="Times New Roman" w:cs="Times New Roman"/>
          <w:sz w:val="24"/>
          <w:szCs w:val="24"/>
        </w:rPr>
        <w:t>adversely affected in post event</w:t>
      </w:r>
      <w:r w:rsidR="007E6FB2">
        <w:rPr>
          <w:rFonts w:ascii="Times New Roman" w:hAnsi="Times New Roman" w:cs="Times New Roman"/>
          <w:sz w:val="24"/>
          <w:szCs w:val="24"/>
        </w:rPr>
        <w:t xml:space="preserve"> days</w:t>
      </w:r>
      <w:r w:rsidR="00331526">
        <w:rPr>
          <w:rFonts w:ascii="Times New Roman" w:hAnsi="Times New Roman" w:cs="Times New Roman"/>
          <w:sz w:val="24"/>
          <w:szCs w:val="24"/>
        </w:rPr>
        <w:t xml:space="preserve"> only</w:t>
      </w:r>
      <w:r w:rsidR="007E6FB2">
        <w:rPr>
          <w:rFonts w:ascii="Times New Roman" w:hAnsi="Times New Roman" w:cs="Times New Roman"/>
          <w:sz w:val="24"/>
          <w:szCs w:val="24"/>
        </w:rPr>
        <w:t>. Finally, the regional CAAR analysis indicate that the European and Asian regions are significant</w:t>
      </w:r>
      <w:r w:rsidR="00331526">
        <w:rPr>
          <w:rFonts w:ascii="Times New Roman" w:hAnsi="Times New Roman" w:cs="Times New Roman"/>
          <w:sz w:val="24"/>
          <w:szCs w:val="24"/>
        </w:rPr>
        <w:t>ly and adversely affected on the event day and few post event</w:t>
      </w:r>
      <w:r w:rsidR="007E6FB2">
        <w:rPr>
          <w:rFonts w:ascii="Times New Roman" w:hAnsi="Times New Roman" w:cs="Times New Roman"/>
          <w:sz w:val="24"/>
          <w:szCs w:val="24"/>
        </w:rPr>
        <w:t xml:space="preserve"> days. </w:t>
      </w:r>
      <w:r w:rsidR="004B3788" w:rsidRPr="0082253D">
        <w:rPr>
          <w:rFonts w:ascii="Times New Roman" w:hAnsi="Times New Roman" w:cs="Times New Roman"/>
          <w:color w:val="0070C0"/>
          <w:sz w:val="24"/>
          <w:szCs w:val="24"/>
        </w:rPr>
        <w:t xml:space="preserve">Overall, </w:t>
      </w:r>
      <w:r w:rsidR="00C21274" w:rsidRPr="0082253D">
        <w:rPr>
          <w:rFonts w:ascii="Times New Roman" w:hAnsi="Times New Roman" w:cs="Times New Roman"/>
          <w:color w:val="0070C0"/>
          <w:sz w:val="24"/>
          <w:szCs w:val="24"/>
        </w:rPr>
        <w:t>our results show that</w:t>
      </w:r>
      <w:r w:rsidR="004B3788" w:rsidRPr="0082253D">
        <w:rPr>
          <w:rFonts w:ascii="Times New Roman" w:hAnsi="Times New Roman" w:cs="Times New Roman"/>
          <w:color w:val="0070C0"/>
          <w:sz w:val="24"/>
          <w:szCs w:val="24"/>
        </w:rPr>
        <w:t xml:space="preserve"> investors </w:t>
      </w:r>
      <w:r w:rsidR="00C21274" w:rsidRPr="0082253D">
        <w:rPr>
          <w:rFonts w:ascii="Times New Roman" w:hAnsi="Times New Roman" w:cs="Times New Roman"/>
          <w:color w:val="0070C0"/>
          <w:sz w:val="24"/>
          <w:szCs w:val="24"/>
        </w:rPr>
        <w:t>can consider</w:t>
      </w:r>
      <w:r w:rsidR="004B3788" w:rsidRPr="0082253D">
        <w:rPr>
          <w:rFonts w:ascii="Times New Roman" w:hAnsi="Times New Roman" w:cs="Times New Roman"/>
          <w:color w:val="0070C0"/>
          <w:sz w:val="24"/>
          <w:szCs w:val="24"/>
        </w:rPr>
        <w:t xml:space="preserve"> invest</w:t>
      </w:r>
      <w:r w:rsidR="00C21274" w:rsidRPr="0082253D">
        <w:rPr>
          <w:rFonts w:ascii="Times New Roman" w:hAnsi="Times New Roman" w:cs="Times New Roman"/>
          <w:color w:val="0070C0"/>
          <w:sz w:val="24"/>
          <w:szCs w:val="24"/>
        </w:rPr>
        <w:t>ing</w:t>
      </w:r>
      <w:r w:rsidR="004B3788" w:rsidRPr="0082253D">
        <w:rPr>
          <w:rFonts w:ascii="Times New Roman" w:hAnsi="Times New Roman" w:cs="Times New Roman"/>
          <w:color w:val="0070C0"/>
          <w:sz w:val="24"/>
          <w:szCs w:val="24"/>
        </w:rPr>
        <w:t xml:space="preserve"> in North American, Latin American, and Middle East &amp; African regions during </w:t>
      </w:r>
      <w:r w:rsidR="00331526" w:rsidRPr="0082253D">
        <w:rPr>
          <w:rFonts w:ascii="Times New Roman" w:hAnsi="Times New Roman" w:cs="Times New Roman"/>
          <w:color w:val="0070C0"/>
          <w:sz w:val="24"/>
          <w:szCs w:val="24"/>
        </w:rPr>
        <w:t>the</w:t>
      </w:r>
      <w:r w:rsidR="004B3788" w:rsidRPr="0082253D">
        <w:rPr>
          <w:rFonts w:ascii="Times New Roman" w:hAnsi="Times New Roman" w:cs="Times New Roman"/>
          <w:color w:val="0070C0"/>
          <w:sz w:val="24"/>
          <w:szCs w:val="24"/>
        </w:rPr>
        <w:t xml:space="preserve"> on-going Russian-Ukraine </w:t>
      </w:r>
      <w:r w:rsidR="00C21274" w:rsidRPr="0082253D">
        <w:rPr>
          <w:rFonts w:ascii="Times New Roman" w:hAnsi="Times New Roman" w:cs="Times New Roman"/>
          <w:color w:val="0070C0"/>
          <w:sz w:val="24"/>
          <w:szCs w:val="24"/>
        </w:rPr>
        <w:t>conflict</w:t>
      </w:r>
      <w:r w:rsidR="004B3788" w:rsidRPr="0082253D">
        <w:rPr>
          <w:rFonts w:ascii="Times New Roman" w:hAnsi="Times New Roman" w:cs="Times New Roman"/>
          <w:color w:val="0070C0"/>
          <w:sz w:val="24"/>
          <w:szCs w:val="24"/>
        </w:rPr>
        <w:t xml:space="preserve"> because these regions </w:t>
      </w:r>
      <w:r w:rsidR="00C21274" w:rsidRPr="0082253D">
        <w:rPr>
          <w:rFonts w:ascii="Times New Roman" w:hAnsi="Times New Roman" w:cs="Times New Roman"/>
          <w:color w:val="0070C0"/>
          <w:sz w:val="24"/>
          <w:szCs w:val="24"/>
        </w:rPr>
        <w:t>have been</w:t>
      </w:r>
      <w:r w:rsidR="0042363F" w:rsidRPr="0082253D">
        <w:rPr>
          <w:rFonts w:ascii="Times New Roman" w:hAnsi="Times New Roman" w:cs="Times New Roman"/>
          <w:color w:val="0070C0"/>
          <w:sz w:val="24"/>
          <w:szCs w:val="24"/>
        </w:rPr>
        <w:t xml:space="preserve"> less affected by the event</w:t>
      </w:r>
      <w:r w:rsidR="004B3788" w:rsidRPr="0082253D">
        <w:rPr>
          <w:rFonts w:ascii="Times New Roman" w:hAnsi="Times New Roman" w:cs="Times New Roman"/>
          <w:color w:val="0070C0"/>
          <w:sz w:val="24"/>
          <w:szCs w:val="24"/>
        </w:rPr>
        <w:t>.</w:t>
      </w:r>
      <w:r w:rsidR="00C21274" w:rsidRPr="0082253D">
        <w:rPr>
          <w:rFonts w:ascii="Times New Roman" w:hAnsi="Times New Roman" w:cs="Times New Roman"/>
          <w:color w:val="0070C0"/>
          <w:sz w:val="24"/>
          <w:szCs w:val="24"/>
        </w:rPr>
        <w:t xml:space="preserve"> </w:t>
      </w:r>
      <w:r w:rsidR="00BD243D" w:rsidRPr="0082253D">
        <w:rPr>
          <w:rFonts w:ascii="Times New Roman" w:hAnsi="Times New Roman" w:cs="Times New Roman"/>
          <w:color w:val="0070C0"/>
          <w:sz w:val="24"/>
          <w:szCs w:val="24"/>
        </w:rPr>
        <w:t>Investors are suggested to consider war/conflicts risk while making international stocks-based portfolios.</w:t>
      </w:r>
      <w:r w:rsidR="0082253D" w:rsidRPr="0082253D">
        <w:rPr>
          <w:rFonts w:ascii="Times New Roman" w:hAnsi="Times New Roman" w:cs="Times New Roman"/>
          <w:color w:val="0070C0"/>
          <w:sz w:val="24"/>
          <w:szCs w:val="24"/>
        </w:rPr>
        <w:t xml:space="preserve"> </w:t>
      </w:r>
      <w:r w:rsidR="0072665F" w:rsidRPr="0082253D">
        <w:rPr>
          <w:rFonts w:ascii="Times New Roman" w:hAnsi="Times New Roman" w:cs="Times New Roman"/>
          <w:color w:val="0070C0"/>
          <w:sz w:val="24"/>
          <w:szCs w:val="24"/>
        </w:rPr>
        <w:t xml:space="preserve">The policymakers are </w:t>
      </w:r>
      <w:r w:rsidR="0089595C" w:rsidRPr="0082253D">
        <w:rPr>
          <w:rFonts w:ascii="Times New Roman" w:hAnsi="Times New Roman" w:cs="Times New Roman"/>
          <w:color w:val="0070C0"/>
          <w:sz w:val="24"/>
          <w:szCs w:val="24"/>
        </w:rPr>
        <w:t xml:space="preserve">suggested to consider the adverse effect </w:t>
      </w:r>
      <w:r w:rsidR="00BD243D" w:rsidRPr="0082253D">
        <w:rPr>
          <w:rFonts w:ascii="Times New Roman" w:hAnsi="Times New Roman" w:cs="Times New Roman"/>
          <w:color w:val="0070C0"/>
          <w:sz w:val="24"/>
          <w:szCs w:val="24"/>
        </w:rPr>
        <w:t>of financialization/globalization of stock markets in terms of wars/conflicts while making policies to stabilize equity markets.</w:t>
      </w:r>
      <w:r w:rsidR="0082253D">
        <w:rPr>
          <w:rFonts w:ascii="Times New Roman" w:hAnsi="Times New Roman" w:cs="Times New Roman"/>
          <w:color w:val="0070C0"/>
          <w:sz w:val="24"/>
          <w:szCs w:val="24"/>
        </w:rPr>
        <w:t xml:space="preserve"> In the current study, we only focus on the impact of Russia-Ukraine conflict on the stock markets, therefore, for future studies, we suggest </w:t>
      </w:r>
      <w:r w:rsidR="00A9334E">
        <w:rPr>
          <w:rFonts w:ascii="Times New Roman" w:hAnsi="Times New Roman" w:cs="Times New Roman"/>
          <w:color w:val="0070C0"/>
          <w:sz w:val="24"/>
          <w:szCs w:val="24"/>
        </w:rPr>
        <w:t>investigating</w:t>
      </w:r>
      <w:r w:rsidR="0082253D">
        <w:rPr>
          <w:rFonts w:ascii="Times New Roman" w:hAnsi="Times New Roman" w:cs="Times New Roman"/>
          <w:color w:val="0070C0"/>
          <w:sz w:val="24"/>
          <w:szCs w:val="24"/>
        </w:rPr>
        <w:t xml:space="preserve"> the impact of Russia-Ukraine conflict on the energy, metal,</w:t>
      </w:r>
      <w:r w:rsidR="009F3356">
        <w:rPr>
          <w:rFonts w:ascii="Times New Roman" w:hAnsi="Times New Roman" w:cs="Times New Roman"/>
          <w:color w:val="0070C0"/>
          <w:sz w:val="24"/>
          <w:szCs w:val="24"/>
        </w:rPr>
        <w:t xml:space="preserve"> grain, fiat </w:t>
      </w:r>
      <w:r w:rsidR="009F3356">
        <w:rPr>
          <w:rFonts w:ascii="Times New Roman" w:hAnsi="Times New Roman" w:cs="Times New Roman"/>
          <w:color w:val="0070C0"/>
          <w:sz w:val="24"/>
          <w:szCs w:val="24"/>
        </w:rPr>
        <w:lastRenderedPageBreak/>
        <w:t>currency,</w:t>
      </w:r>
      <w:r w:rsidR="0082253D">
        <w:rPr>
          <w:rFonts w:ascii="Times New Roman" w:hAnsi="Times New Roman" w:cs="Times New Roman"/>
          <w:color w:val="0070C0"/>
          <w:sz w:val="24"/>
          <w:szCs w:val="24"/>
        </w:rPr>
        <w:t xml:space="preserve"> bonds, green, and cryptocurrency markets</w:t>
      </w:r>
      <w:r w:rsidR="009F3356">
        <w:rPr>
          <w:rFonts w:ascii="Times New Roman" w:hAnsi="Times New Roman" w:cs="Times New Roman"/>
          <w:color w:val="0070C0"/>
          <w:sz w:val="24"/>
          <w:szCs w:val="24"/>
        </w:rPr>
        <w:t>.</w:t>
      </w:r>
      <w:r w:rsidR="00292F6F">
        <w:rPr>
          <w:rFonts w:ascii="Times New Roman" w:hAnsi="Times New Roman" w:cs="Times New Roman"/>
          <w:color w:val="0070C0"/>
          <w:sz w:val="24"/>
          <w:szCs w:val="24"/>
        </w:rPr>
        <w:t xml:space="preserve"> Finally, this study </w:t>
      </w:r>
      <w:r w:rsidR="00810B09">
        <w:rPr>
          <w:rFonts w:ascii="Times New Roman" w:hAnsi="Times New Roman" w:cs="Times New Roman"/>
          <w:color w:val="0070C0"/>
          <w:sz w:val="24"/>
          <w:szCs w:val="24"/>
        </w:rPr>
        <w:t>only applies</w:t>
      </w:r>
      <w:r w:rsidR="00292F6F">
        <w:rPr>
          <w:rFonts w:ascii="Times New Roman" w:hAnsi="Times New Roman" w:cs="Times New Roman"/>
          <w:color w:val="0070C0"/>
          <w:sz w:val="24"/>
          <w:szCs w:val="24"/>
        </w:rPr>
        <w:t xml:space="preserve"> the event study analysis to examine the impact of war, whereas the future studies can examine the connectedness, efficiency, </w:t>
      </w:r>
      <w:proofErr w:type="gramStart"/>
      <w:r w:rsidR="00292F6F">
        <w:rPr>
          <w:rFonts w:ascii="Times New Roman" w:hAnsi="Times New Roman" w:cs="Times New Roman"/>
          <w:color w:val="0070C0"/>
          <w:sz w:val="24"/>
          <w:szCs w:val="24"/>
        </w:rPr>
        <w:t>safe haven</w:t>
      </w:r>
      <w:proofErr w:type="gramEnd"/>
      <w:r w:rsidR="00292F6F">
        <w:rPr>
          <w:rFonts w:ascii="Times New Roman" w:hAnsi="Times New Roman" w:cs="Times New Roman"/>
          <w:color w:val="0070C0"/>
          <w:sz w:val="24"/>
          <w:szCs w:val="24"/>
        </w:rPr>
        <w:t xml:space="preserve"> feature</w:t>
      </w:r>
      <w:r w:rsidR="00810B09">
        <w:rPr>
          <w:rFonts w:ascii="Times New Roman" w:hAnsi="Times New Roman" w:cs="Times New Roman"/>
          <w:color w:val="0070C0"/>
          <w:sz w:val="24"/>
          <w:szCs w:val="24"/>
        </w:rPr>
        <w:t>,</w:t>
      </w:r>
      <w:r w:rsidR="00292F6F">
        <w:rPr>
          <w:rFonts w:ascii="Times New Roman" w:hAnsi="Times New Roman" w:cs="Times New Roman"/>
          <w:color w:val="0070C0"/>
          <w:sz w:val="24"/>
          <w:szCs w:val="24"/>
        </w:rPr>
        <w:t xml:space="preserve"> and other financial aspects</w:t>
      </w:r>
      <w:r w:rsidR="00810B09">
        <w:rPr>
          <w:rFonts w:ascii="Times New Roman" w:hAnsi="Times New Roman" w:cs="Times New Roman"/>
          <w:color w:val="0070C0"/>
          <w:sz w:val="24"/>
          <w:szCs w:val="24"/>
        </w:rPr>
        <w:t xml:space="preserve"> of markets</w:t>
      </w:r>
      <w:r w:rsidR="00292F6F">
        <w:rPr>
          <w:rFonts w:ascii="Times New Roman" w:hAnsi="Times New Roman" w:cs="Times New Roman"/>
          <w:color w:val="0070C0"/>
          <w:sz w:val="24"/>
          <w:szCs w:val="24"/>
        </w:rPr>
        <w:t xml:space="preserve"> by applying various kind of analysis to </w:t>
      </w:r>
      <w:r w:rsidR="00810B09">
        <w:rPr>
          <w:rFonts w:ascii="Times New Roman" w:hAnsi="Times New Roman" w:cs="Times New Roman"/>
          <w:color w:val="0070C0"/>
          <w:sz w:val="24"/>
          <w:szCs w:val="24"/>
        </w:rPr>
        <w:t xml:space="preserve">gauge the impact of Russia-Ukraine conflict. </w:t>
      </w:r>
    </w:p>
    <w:p w14:paraId="5BBB9035" w14:textId="140BA515" w:rsidR="007E6FB2" w:rsidRDefault="007E6FB2" w:rsidP="00E2574D">
      <w:pPr>
        <w:spacing w:line="360" w:lineRule="auto"/>
        <w:jc w:val="both"/>
        <w:rPr>
          <w:rFonts w:ascii="Times New Roman" w:hAnsi="Times New Roman" w:cs="Times New Roman"/>
          <w:sz w:val="24"/>
          <w:szCs w:val="24"/>
        </w:rPr>
      </w:pPr>
    </w:p>
    <w:bookmarkEnd w:id="4"/>
    <w:p w14:paraId="54D82D84" w14:textId="0041226A" w:rsidR="00CD5B02" w:rsidRPr="00624085" w:rsidRDefault="00CD5B02" w:rsidP="00B82077">
      <w:pPr>
        <w:spacing w:line="360" w:lineRule="auto"/>
        <w:jc w:val="both"/>
        <w:rPr>
          <w:rFonts w:ascii="Times New Roman" w:hAnsi="Times New Roman" w:cs="Times New Roman"/>
          <w:b/>
          <w:bCs/>
          <w:sz w:val="28"/>
          <w:szCs w:val="28"/>
        </w:rPr>
      </w:pPr>
      <w:r w:rsidRPr="00624085">
        <w:rPr>
          <w:rFonts w:ascii="Times New Roman" w:hAnsi="Times New Roman" w:cs="Times New Roman"/>
          <w:b/>
          <w:bCs/>
          <w:sz w:val="28"/>
          <w:szCs w:val="28"/>
        </w:rPr>
        <w:t>References</w:t>
      </w:r>
    </w:p>
    <w:p w14:paraId="576EDB49" w14:textId="77777777" w:rsidR="008C62B7" w:rsidRDefault="008C62B7" w:rsidP="00B159B4">
      <w:pPr>
        <w:spacing w:line="276" w:lineRule="auto"/>
        <w:ind w:left="360"/>
        <w:jc w:val="both"/>
        <w:rPr>
          <w:rFonts w:ascii="Times New Roman" w:hAnsi="Times New Roman" w:cs="Times New Roman"/>
          <w:sz w:val="24"/>
          <w:szCs w:val="24"/>
        </w:rPr>
      </w:pPr>
      <w:bookmarkStart w:id="5" w:name="_Hlk108559132"/>
      <w:r w:rsidRPr="00D41E8B">
        <w:rPr>
          <w:rFonts w:ascii="Times New Roman" w:hAnsi="Times New Roman" w:cs="Times New Roman"/>
          <w:color w:val="0070C0"/>
          <w:sz w:val="24"/>
          <w:szCs w:val="24"/>
        </w:rPr>
        <w:t>Adekoya</w:t>
      </w:r>
      <w:bookmarkEnd w:id="5"/>
      <w:r w:rsidRPr="00D41E8B">
        <w:rPr>
          <w:rFonts w:ascii="Times New Roman" w:hAnsi="Times New Roman" w:cs="Times New Roman"/>
          <w:color w:val="0070C0"/>
          <w:sz w:val="24"/>
          <w:szCs w:val="24"/>
        </w:rPr>
        <w:t xml:space="preserve">, O. B., </w:t>
      </w:r>
      <w:proofErr w:type="spellStart"/>
      <w:r w:rsidRPr="00D41E8B">
        <w:rPr>
          <w:rFonts w:ascii="Times New Roman" w:hAnsi="Times New Roman" w:cs="Times New Roman"/>
          <w:color w:val="0070C0"/>
          <w:sz w:val="24"/>
          <w:szCs w:val="24"/>
        </w:rPr>
        <w:t>Oliyide</w:t>
      </w:r>
      <w:proofErr w:type="spellEnd"/>
      <w:r w:rsidRPr="00D41E8B">
        <w:rPr>
          <w:rFonts w:ascii="Times New Roman" w:hAnsi="Times New Roman" w:cs="Times New Roman"/>
          <w:color w:val="0070C0"/>
          <w:sz w:val="24"/>
          <w:szCs w:val="24"/>
        </w:rPr>
        <w:t>, J. A., Yaya, O. S., &amp; Al-</w:t>
      </w:r>
      <w:proofErr w:type="spellStart"/>
      <w:r w:rsidRPr="00D41E8B">
        <w:rPr>
          <w:rFonts w:ascii="Times New Roman" w:hAnsi="Times New Roman" w:cs="Times New Roman"/>
          <w:color w:val="0070C0"/>
          <w:sz w:val="24"/>
          <w:szCs w:val="24"/>
        </w:rPr>
        <w:t>Faryan</w:t>
      </w:r>
      <w:proofErr w:type="spellEnd"/>
      <w:r w:rsidRPr="00D41E8B">
        <w:rPr>
          <w:rFonts w:ascii="Times New Roman" w:hAnsi="Times New Roman" w:cs="Times New Roman"/>
          <w:color w:val="0070C0"/>
          <w:sz w:val="24"/>
          <w:szCs w:val="24"/>
        </w:rPr>
        <w:t>, M. A. S. (2022). Does oil connect differently with prominent assets during war? Analysis of intra-day data during the Russia-Ukraine saga. Resources Policy, 77, 102728.</w:t>
      </w:r>
    </w:p>
    <w:p w14:paraId="52DF5370" w14:textId="77777777" w:rsidR="008C62B7" w:rsidRPr="00B541E9" w:rsidRDefault="008C62B7" w:rsidP="00536261">
      <w:pPr>
        <w:spacing w:line="276" w:lineRule="auto"/>
        <w:ind w:left="360"/>
        <w:jc w:val="both"/>
        <w:rPr>
          <w:rFonts w:ascii="Times New Roman" w:hAnsi="Times New Roman" w:cs="Times New Roman"/>
          <w:sz w:val="24"/>
          <w:szCs w:val="24"/>
        </w:rPr>
      </w:pPr>
      <w:r w:rsidRPr="00B541E9">
        <w:rPr>
          <w:rFonts w:ascii="Times New Roman" w:hAnsi="Times New Roman" w:cs="Times New Roman"/>
          <w:sz w:val="24"/>
          <w:szCs w:val="24"/>
        </w:rPr>
        <w:t xml:space="preserve">Brown, S. J., &amp; Warner, J. B. (1985). Using daily stock returns, the case of event studies. </w:t>
      </w:r>
      <w:r w:rsidRPr="009D3E81">
        <w:rPr>
          <w:rFonts w:ascii="Times New Roman" w:hAnsi="Times New Roman" w:cs="Times New Roman"/>
          <w:i/>
          <w:sz w:val="24"/>
          <w:szCs w:val="24"/>
        </w:rPr>
        <w:t>Journal of Financial Economics, 14</w:t>
      </w:r>
      <w:r w:rsidRPr="00B541E9">
        <w:rPr>
          <w:rFonts w:ascii="Times New Roman" w:hAnsi="Times New Roman" w:cs="Times New Roman"/>
          <w:sz w:val="24"/>
          <w:szCs w:val="24"/>
        </w:rPr>
        <w:t>(1), 3–31.</w:t>
      </w:r>
    </w:p>
    <w:p w14:paraId="5C90DA4F" w14:textId="77777777" w:rsidR="008C62B7" w:rsidRDefault="008C62B7" w:rsidP="00AC1286">
      <w:pPr>
        <w:spacing w:line="276" w:lineRule="auto"/>
        <w:ind w:left="360"/>
        <w:jc w:val="both"/>
        <w:rPr>
          <w:rFonts w:ascii="Times New Roman" w:hAnsi="Times New Roman" w:cs="Times New Roman"/>
          <w:color w:val="0070C0"/>
          <w:sz w:val="24"/>
          <w:szCs w:val="24"/>
        </w:rPr>
      </w:pPr>
      <w:proofErr w:type="spellStart"/>
      <w:r w:rsidRPr="0076236B">
        <w:rPr>
          <w:rFonts w:ascii="Times New Roman" w:hAnsi="Times New Roman" w:cs="Times New Roman"/>
          <w:color w:val="0070C0"/>
          <w:sz w:val="24"/>
          <w:szCs w:val="24"/>
        </w:rPr>
        <w:t>Brune</w:t>
      </w:r>
      <w:proofErr w:type="spellEnd"/>
      <w:r w:rsidRPr="0076236B">
        <w:rPr>
          <w:rFonts w:ascii="Times New Roman" w:hAnsi="Times New Roman" w:cs="Times New Roman"/>
          <w:color w:val="0070C0"/>
          <w:sz w:val="24"/>
          <w:szCs w:val="24"/>
        </w:rPr>
        <w:t>, A., Hens, T., Rieger, M. O., &amp; Wang, M. (2015). The war puzzle: Contradictory effects of international conflicts on stock markets. International Review of Economics, 62(1), 1-21.</w:t>
      </w:r>
    </w:p>
    <w:p w14:paraId="3C13F4BF" w14:textId="77777777" w:rsidR="008C62B7" w:rsidRPr="00B541E9" w:rsidRDefault="008C62B7" w:rsidP="00536261">
      <w:pPr>
        <w:spacing w:line="276" w:lineRule="auto"/>
        <w:ind w:left="360"/>
        <w:jc w:val="both"/>
        <w:rPr>
          <w:rFonts w:ascii="Times New Roman" w:hAnsi="Times New Roman" w:cs="Times New Roman"/>
          <w:sz w:val="24"/>
          <w:szCs w:val="24"/>
        </w:rPr>
      </w:pPr>
      <w:r w:rsidRPr="00B541E9">
        <w:rPr>
          <w:rFonts w:ascii="Times New Roman" w:hAnsi="Times New Roman" w:cs="Times New Roman"/>
          <w:sz w:val="24"/>
          <w:szCs w:val="24"/>
        </w:rPr>
        <w:t xml:space="preserve">Choudhry, T. (2010). World War II events and the Dow Jones industrial index. </w:t>
      </w:r>
      <w:r w:rsidRPr="009D3E81">
        <w:rPr>
          <w:rFonts w:ascii="Times New Roman" w:hAnsi="Times New Roman" w:cs="Times New Roman"/>
          <w:i/>
          <w:sz w:val="24"/>
          <w:szCs w:val="24"/>
        </w:rPr>
        <w:t>Journal of Banking &amp; Finance, 34</w:t>
      </w:r>
      <w:r w:rsidRPr="00B541E9">
        <w:rPr>
          <w:rFonts w:ascii="Times New Roman" w:hAnsi="Times New Roman" w:cs="Times New Roman"/>
          <w:sz w:val="24"/>
          <w:szCs w:val="24"/>
        </w:rPr>
        <w:t>(5), 1022-1031.</w:t>
      </w:r>
    </w:p>
    <w:p w14:paraId="64A11A60" w14:textId="77777777" w:rsidR="008C62B7" w:rsidRPr="00B541E9" w:rsidRDefault="008C62B7" w:rsidP="00536261">
      <w:pPr>
        <w:spacing w:line="276" w:lineRule="auto"/>
        <w:ind w:left="360"/>
        <w:jc w:val="both"/>
        <w:rPr>
          <w:rFonts w:ascii="Times New Roman" w:hAnsi="Times New Roman" w:cs="Times New Roman"/>
          <w:sz w:val="24"/>
          <w:szCs w:val="24"/>
        </w:rPr>
      </w:pPr>
      <w:proofErr w:type="spellStart"/>
      <w:r w:rsidRPr="00B541E9">
        <w:rPr>
          <w:rFonts w:ascii="Times New Roman" w:hAnsi="Times New Roman" w:cs="Times New Roman"/>
          <w:sz w:val="24"/>
          <w:szCs w:val="24"/>
        </w:rPr>
        <w:t>Dyckman</w:t>
      </w:r>
      <w:proofErr w:type="spellEnd"/>
      <w:r w:rsidRPr="00B541E9">
        <w:rPr>
          <w:rFonts w:ascii="Times New Roman" w:hAnsi="Times New Roman" w:cs="Times New Roman"/>
          <w:sz w:val="24"/>
          <w:szCs w:val="24"/>
        </w:rPr>
        <w:t xml:space="preserve">, T., Philbrick, D., &amp; Stephan, J. (1984). A comparison of event study methodologies using daily stock returns: A simulation approach. </w:t>
      </w:r>
      <w:r w:rsidRPr="009D3E81">
        <w:rPr>
          <w:rFonts w:ascii="Times New Roman" w:hAnsi="Times New Roman" w:cs="Times New Roman"/>
          <w:i/>
          <w:sz w:val="24"/>
          <w:szCs w:val="24"/>
        </w:rPr>
        <w:t>Journal of Accounting Research, 22</w:t>
      </w:r>
      <w:r w:rsidRPr="00B541E9">
        <w:rPr>
          <w:rFonts w:ascii="Times New Roman" w:hAnsi="Times New Roman" w:cs="Times New Roman"/>
          <w:sz w:val="24"/>
          <w:szCs w:val="24"/>
        </w:rPr>
        <w:t>, 1–30. https://doi.org/10.2307/2490855.</w:t>
      </w:r>
    </w:p>
    <w:p w14:paraId="137DD0A9" w14:textId="77777777" w:rsidR="008C62B7" w:rsidRDefault="008C62B7" w:rsidP="00536261">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Fernandez, V. (2008).</w:t>
      </w:r>
      <w:r>
        <w:t xml:space="preserve"> </w:t>
      </w:r>
      <w:r w:rsidRPr="009D3E81">
        <w:rPr>
          <w:rFonts w:ascii="Times New Roman" w:hAnsi="Times New Roman" w:cs="Times New Roman"/>
          <w:sz w:val="24"/>
          <w:szCs w:val="24"/>
        </w:rPr>
        <w:t>The war on terror and its impact on the long-term volatility of financial markets</w:t>
      </w:r>
      <w:r>
        <w:rPr>
          <w:rFonts w:ascii="Times New Roman" w:hAnsi="Times New Roman" w:cs="Times New Roman"/>
          <w:sz w:val="24"/>
          <w:szCs w:val="24"/>
        </w:rPr>
        <w:t xml:space="preserve">. </w:t>
      </w:r>
      <w:r w:rsidRPr="009D3E81">
        <w:rPr>
          <w:rFonts w:ascii="Times New Roman" w:hAnsi="Times New Roman" w:cs="Times New Roman"/>
          <w:i/>
          <w:sz w:val="24"/>
          <w:szCs w:val="24"/>
        </w:rPr>
        <w:t>International Review of Financial Analysis, 17</w:t>
      </w:r>
      <w:r>
        <w:rPr>
          <w:rFonts w:ascii="Times New Roman" w:hAnsi="Times New Roman" w:cs="Times New Roman"/>
          <w:sz w:val="24"/>
          <w:szCs w:val="24"/>
        </w:rPr>
        <w:t>(1), 1-26.</w:t>
      </w:r>
    </w:p>
    <w:p w14:paraId="5CBA9991" w14:textId="77777777" w:rsidR="008C62B7" w:rsidRPr="00B541E9" w:rsidRDefault="008C62B7" w:rsidP="00536261">
      <w:pPr>
        <w:spacing w:line="276" w:lineRule="auto"/>
        <w:ind w:left="360"/>
        <w:jc w:val="both"/>
        <w:rPr>
          <w:rFonts w:ascii="Times New Roman" w:hAnsi="Times New Roman" w:cs="Times New Roman"/>
          <w:sz w:val="24"/>
          <w:szCs w:val="24"/>
        </w:rPr>
      </w:pPr>
      <w:r w:rsidRPr="00B541E9">
        <w:rPr>
          <w:rFonts w:ascii="Times New Roman" w:hAnsi="Times New Roman" w:cs="Times New Roman"/>
          <w:sz w:val="24"/>
          <w:szCs w:val="24"/>
        </w:rPr>
        <w:t xml:space="preserve">Frey, B. S., &amp; </w:t>
      </w:r>
      <w:proofErr w:type="spellStart"/>
      <w:r w:rsidRPr="00B541E9">
        <w:rPr>
          <w:rFonts w:ascii="Times New Roman" w:hAnsi="Times New Roman" w:cs="Times New Roman"/>
          <w:sz w:val="24"/>
          <w:szCs w:val="24"/>
        </w:rPr>
        <w:t>Kucher</w:t>
      </w:r>
      <w:proofErr w:type="spellEnd"/>
      <w:r w:rsidRPr="00B541E9">
        <w:rPr>
          <w:rFonts w:ascii="Times New Roman" w:hAnsi="Times New Roman" w:cs="Times New Roman"/>
          <w:sz w:val="24"/>
          <w:szCs w:val="24"/>
        </w:rPr>
        <w:t xml:space="preserve">, M. (2000). World War II as reflected on capital markets. </w:t>
      </w:r>
      <w:r w:rsidRPr="009D3E81">
        <w:rPr>
          <w:rFonts w:ascii="Times New Roman" w:hAnsi="Times New Roman" w:cs="Times New Roman"/>
          <w:i/>
          <w:sz w:val="24"/>
          <w:szCs w:val="24"/>
        </w:rPr>
        <w:t>Economics Letters, 69</w:t>
      </w:r>
      <w:r w:rsidRPr="00B541E9">
        <w:rPr>
          <w:rFonts w:ascii="Times New Roman" w:hAnsi="Times New Roman" w:cs="Times New Roman"/>
          <w:sz w:val="24"/>
          <w:szCs w:val="24"/>
        </w:rPr>
        <w:t>(2), 187-191.</w:t>
      </w:r>
    </w:p>
    <w:p w14:paraId="7DA23606" w14:textId="77777777" w:rsidR="008C62B7" w:rsidRDefault="008C62B7" w:rsidP="00AC1286">
      <w:pPr>
        <w:spacing w:line="276" w:lineRule="auto"/>
        <w:ind w:left="360"/>
        <w:jc w:val="both"/>
        <w:rPr>
          <w:rFonts w:ascii="Times New Roman" w:hAnsi="Times New Roman" w:cs="Times New Roman"/>
          <w:color w:val="0070C0"/>
          <w:sz w:val="24"/>
          <w:szCs w:val="24"/>
        </w:rPr>
      </w:pPr>
      <w:r w:rsidRPr="00D41E8B">
        <w:rPr>
          <w:rFonts w:ascii="Times New Roman" w:hAnsi="Times New Roman" w:cs="Times New Roman"/>
          <w:color w:val="0070C0"/>
          <w:sz w:val="24"/>
          <w:szCs w:val="24"/>
        </w:rPr>
        <w:t xml:space="preserve">Frey, B., &amp; </w:t>
      </w:r>
      <w:proofErr w:type="spellStart"/>
      <w:r w:rsidRPr="00D41E8B">
        <w:rPr>
          <w:rFonts w:ascii="Times New Roman" w:hAnsi="Times New Roman" w:cs="Times New Roman"/>
          <w:color w:val="0070C0"/>
          <w:sz w:val="24"/>
          <w:szCs w:val="24"/>
        </w:rPr>
        <w:t>Kucher</w:t>
      </w:r>
      <w:proofErr w:type="spellEnd"/>
      <w:r w:rsidRPr="00D41E8B">
        <w:rPr>
          <w:rFonts w:ascii="Times New Roman" w:hAnsi="Times New Roman" w:cs="Times New Roman"/>
          <w:color w:val="0070C0"/>
          <w:sz w:val="24"/>
          <w:szCs w:val="24"/>
        </w:rPr>
        <w:t xml:space="preserve">, M. (2001). Wars and markets: How bond values reflect the Second World War. </w:t>
      </w:r>
      <w:proofErr w:type="spellStart"/>
      <w:r w:rsidRPr="00D41E8B">
        <w:rPr>
          <w:rFonts w:ascii="Times New Roman" w:hAnsi="Times New Roman" w:cs="Times New Roman"/>
          <w:color w:val="0070C0"/>
          <w:sz w:val="24"/>
          <w:szCs w:val="24"/>
        </w:rPr>
        <w:t>Economica</w:t>
      </w:r>
      <w:proofErr w:type="spellEnd"/>
      <w:r w:rsidRPr="00D41E8B">
        <w:rPr>
          <w:rFonts w:ascii="Times New Roman" w:hAnsi="Times New Roman" w:cs="Times New Roman"/>
          <w:color w:val="0070C0"/>
          <w:sz w:val="24"/>
          <w:szCs w:val="24"/>
        </w:rPr>
        <w:t>, 68(271), 317-333.</w:t>
      </w:r>
    </w:p>
    <w:p w14:paraId="52FF8907" w14:textId="77777777" w:rsidR="008C62B7" w:rsidRPr="00B541E9" w:rsidRDefault="008C62B7" w:rsidP="00536261">
      <w:pPr>
        <w:spacing w:line="276" w:lineRule="auto"/>
        <w:ind w:left="360"/>
        <w:jc w:val="both"/>
        <w:rPr>
          <w:rFonts w:ascii="Times New Roman" w:hAnsi="Times New Roman" w:cs="Times New Roman"/>
          <w:sz w:val="24"/>
          <w:szCs w:val="24"/>
        </w:rPr>
      </w:pPr>
      <w:r w:rsidRPr="00B541E9">
        <w:rPr>
          <w:rFonts w:ascii="Times New Roman" w:hAnsi="Times New Roman" w:cs="Times New Roman"/>
          <w:sz w:val="24"/>
          <w:szCs w:val="24"/>
        </w:rPr>
        <w:t>Harrison, M. (Ed.). (2000). The economics of World War II: six great powers in international comparison. Cambridge University Press.</w:t>
      </w:r>
    </w:p>
    <w:p w14:paraId="3038AD55" w14:textId="77777777" w:rsidR="008C62B7" w:rsidRPr="00B541E9" w:rsidRDefault="008C62B7" w:rsidP="00536261">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Hudson, R. &amp; Urquhart, A. (2022). </w:t>
      </w:r>
      <w:r w:rsidRPr="009D3E81">
        <w:rPr>
          <w:rFonts w:ascii="Times New Roman" w:hAnsi="Times New Roman" w:cs="Times New Roman"/>
          <w:sz w:val="24"/>
          <w:szCs w:val="24"/>
        </w:rPr>
        <w:t>Naval disasters, world war two and the British stock market</w:t>
      </w:r>
      <w:r>
        <w:rPr>
          <w:rFonts w:ascii="Times New Roman" w:hAnsi="Times New Roman" w:cs="Times New Roman"/>
          <w:sz w:val="24"/>
          <w:szCs w:val="24"/>
        </w:rPr>
        <w:t xml:space="preserve">. Research in International Business and Finance, 59. </w:t>
      </w:r>
    </w:p>
    <w:p w14:paraId="095E5CEA" w14:textId="77777777" w:rsidR="008C62B7" w:rsidRPr="00096E70" w:rsidRDefault="008C62B7" w:rsidP="00536261">
      <w:pPr>
        <w:spacing w:line="276" w:lineRule="auto"/>
        <w:ind w:left="360"/>
        <w:jc w:val="both"/>
        <w:rPr>
          <w:rFonts w:ascii="Times New Roman" w:hAnsi="Times New Roman" w:cs="Times New Roman"/>
          <w:color w:val="0070C0"/>
          <w:sz w:val="24"/>
          <w:szCs w:val="24"/>
        </w:rPr>
      </w:pPr>
      <w:r w:rsidRPr="00096E70">
        <w:rPr>
          <w:rFonts w:ascii="Times New Roman" w:hAnsi="Times New Roman" w:cs="Times New Roman"/>
          <w:color w:val="0070C0"/>
          <w:sz w:val="24"/>
          <w:szCs w:val="24"/>
        </w:rPr>
        <w:t xml:space="preserve">Hudson, R., &amp; Urquhart, A. (2015). War and stock markets: The effect of World War Two on the British stock market. </w:t>
      </w:r>
      <w:r w:rsidRPr="00096E70">
        <w:rPr>
          <w:rFonts w:ascii="Times New Roman" w:hAnsi="Times New Roman" w:cs="Times New Roman"/>
          <w:i/>
          <w:color w:val="0070C0"/>
          <w:sz w:val="24"/>
          <w:szCs w:val="24"/>
        </w:rPr>
        <w:t>International Review of Financial Analysis, 40</w:t>
      </w:r>
      <w:r w:rsidRPr="00096E70">
        <w:rPr>
          <w:rFonts w:ascii="Times New Roman" w:hAnsi="Times New Roman" w:cs="Times New Roman"/>
          <w:color w:val="0070C0"/>
          <w:sz w:val="24"/>
          <w:szCs w:val="24"/>
        </w:rPr>
        <w:t xml:space="preserve">, 166-177. </w:t>
      </w:r>
    </w:p>
    <w:p w14:paraId="041F37FB" w14:textId="77777777" w:rsidR="008C62B7" w:rsidRDefault="008C62B7" w:rsidP="00AC1286">
      <w:pPr>
        <w:spacing w:line="276" w:lineRule="auto"/>
        <w:ind w:left="360"/>
        <w:jc w:val="both"/>
        <w:rPr>
          <w:rFonts w:ascii="Times New Roman" w:hAnsi="Times New Roman" w:cs="Times New Roman"/>
          <w:color w:val="0070C0"/>
          <w:sz w:val="24"/>
          <w:szCs w:val="24"/>
        </w:rPr>
      </w:pPr>
      <w:r w:rsidRPr="004729F4">
        <w:rPr>
          <w:rFonts w:ascii="Times New Roman" w:hAnsi="Times New Roman" w:cs="Times New Roman"/>
          <w:color w:val="0070C0"/>
          <w:sz w:val="24"/>
          <w:szCs w:val="24"/>
        </w:rPr>
        <w:t xml:space="preserve">Leigh, A., Wolfers, J., &amp; </w:t>
      </w:r>
      <w:proofErr w:type="spellStart"/>
      <w:r w:rsidRPr="004729F4">
        <w:rPr>
          <w:rFonts w:ascii="Times New Roman" w:hAnsi="Times New Roman" w:cs="Times New Roman"/>
          <w:color w:val="0070C0"/>
          <w:sz w:val="24"/>
          <w:szCs w:val="24"/>
        </w:rPr>
        <w:t>Zitzewitz</w:t>
      </w:r>
      <w:proofErr w:type="spellEnd"/>
      <w:r w:rsidRPr="004729F4">
        <w:rPr>
          <w:rFonts w:ascii="Times New Roman" w:hAnsi="Times New Roman" w:cs="Times New Roman"/>
          <w:color w:val="0070C0"/>
          <w:sz w:val="24"/>
          <w:szCs w:val="24"/>
        </w:rPr>
        <w:t>, E. (2003). </w:t>
      </w:r>
      <w:r w:rsidRPr="004729F4">
        <w:rPr>
          <w:rFonts w:ascii="Times New Roman" w:hAnsi="Times New Roman" w:cs="Times New Roman"/>
          <w:i/>
          <w:iCs/>
          <w:color w:val="0070C0"/>
          <w:sz w:val="24"/>
          <w:szCs w:val="24"/>
        </w:rPr>
        <w:t>What Do Financial Markets Think of War in Iraq?</w:t>
      </w:r>
      <w:r w:rsidRPr="004729F4">
        <w:rPr>
          <w:rFonts w:ascii="Times New Roman" w:hAnsi="Times New Roman" w:cs="Times New Roman"/>
          <w:color w:val="0070C0"/>
          <w:sz w:val="24"/>
          <w:szCs w:val="24"/>
        </w:rPr>
        <w:t> (No. 9587). National Bureau of Economic Research, Inc.</w:t>
      </w:r>
    </w:p>
    <w:p w14:paraId="3CB349C9" w14:textId="77777777" w:rsidR="008C62B7" w:rsidRPr="00DF4F0E" w:rsidRDefault="008C62B7" w:rsidP="00DF4F0E">
      <w:pPr>
        <w:spacing w:line="276" w:lineRule="auto"/>
        <w:ind w:left="360"/>
        <w:jc w:val="both"/>
        <w:rPr>
          <w:rFonts w:ascii="Times New Roman" w:hAnsi="Times New Roman" w:cs="Times New Roman"/>
          <w:color w:val="0070C0"/>
          <w:sz w:val="24"/>
          <w:szCs w:val="24"/>
        </w:rPr>
      </w:pPr>
      <w:bookmarkStart w:id="6" w:name="_Hlk108561211"/>
      <w:proofErr w:type="spellStart"/>
      <w:r w:rsidRPr="00DF4F0E">
        <w:rPr>
          <w:rFonts w:ascii="Times New Roman" w:hAnsi="Times New Roman" w:cs="Times New Roman"/>
          <w:color w:val="0070C0"/>
          <w:sz w:val="24"/>
          <w:szCs w:val="24"/>
        </w:rPr>
        <w:t>MacKinlay</w:t>
      </w:r>
      <w:proofErr w:type="spellEnd"/>
      <w:r w:rsidRPr="00DF4F0E">
        <w:rPr>
          <w:rFonts w:ascii="Times New Roman" w:hAnsi="Times New Roman" w:cs="Times New Roman"/>
          <w:color w:val="0070C0"/>
          <w:sz w:val="24"/>
          <w:szCs w:val="24"/>
        </w:rPr>
        <w:t>, A. C. (1997</w:t>
      </w:r>
      <w:bookmarkEnd w:id="6"/>
      <w:r w:rsidRPr="00DF4F0E">
        <w:rPr>
          <w:rFonts w:ascii="Times New Roman" w:hAnsi="Times New Roman" w:cs="Times New Roman"/>
          <w:color w:val="0070C0"/>
          <w:sz w:val="24"/>
          <w:szCs w:val="24"/>
        </w:rPr>
        <w:t>). Event studies in economics and finance. </w:t>
      </w:r>
      <w:r w:rsidRPr="00DF4F0E">
        <w:rPr>
          <w:rFonts w:ascii="Times New Roman" w:hAnsi="Times New Roman" w:cs="Times New Roman"/>
          <w:i/>
          <w:iCs/>
          <w:color w:val="0070C0"/>
          <w:sz w:val="24"/>
          <w:szCs w:val="24"/>
        </w:rPr>
        <w:t>Journal of economic literature</w:t>
      </w:r>
      <w:r w:rsidRPr="00DF4F0E">
        <w:rPr>
          <w:rFonts w:ascii="Times New Roman" w:hAnsi="Times New Roman" w:cs="Times New Roman"/>
          <w:color w:val="0070C0"/>
          <w:sz w:val="24"/>
          <w:szCs w:val="24"/>
        </w:rPr>
        <w:t>, </w:t>
      </w:r>
      <w:r w:rsidRPr="00DF4F0E">
        <w:rPr>
          <w:rFonts w:ascii="Times New Roman" w:hAnsi="Times New Roman" w:cs="Times New Roman"/>
          <w:i/>
          <w:iCs/>
          <w:color w:val="0070C0"/>
          <w:sz w:val="24"/>
          <w:szCs w:val="24"/>
        </w:rPr>
        <w:t>35</w:t>
      </w:r>
      <w:r w:rsidRPr="00DF4F0E">
        <w:rPr>
          <w:rFonts w:ascii="Times New Roman" w:hAnsi="Times New Roman" w:cs="Times New Roman"/>
          <w:color w:val="0070C0"/>
          <w:sz w:val="24"/>
          <w:szCs w:val="24"/>
        </w:rPr>
        <w:t>(1), 13-39.</w:t>
      </w:r>
    </w:p>
    <w:p w14:paraId="4522874D" w14:textId="77777777" w:rsidR="008C62B7" w:rsidRDefault="008C62B7" w:rsidP="00AC1286">
      <w:pPr>
        <w:spacing w:line="276" w:lineRule="auto"/>
        <w:ind w:left="360"/>
        <w:jc w:val="both"/>
        <w:rPr>
          <w:rFonts w:ascii="Times New Roman" w:hAnsi="Times New Roman" w:cs="Times New Roman"/>
          <w:color w:val="0070C0"/>
          <w:sz w:val="24"/>
          <w:szCs w:val="24"/>
        </w:rPr>
      </w:pPr>
      <w:r w:rsidRPr="00914715">
        <w:rPr>
          <w:rFonts w:ascii="Times New Roman" w:hAnsi="Times New Roman" w:cs="Times New Roman"/>
          <w:color w:val="0070C0"/>
          <w:sz w:val="24"/>
          <w:szCs w:val="24"/>
        </w:rPr>
        <w:lastRenderedPageBreak/>
        <w:t>Pandey, D. K., &amp; Kumar, R. (2022). Russia-Ukraine War and the global tourism sector: A 13-day tale. Current Issues in Tourism, 1-9.</w:t>
      </w:r>
      <w:r>
        <w:rPr>
          <w:rFonts w:ascii="Times New Roman" w:hAnsi="Times New Roman" w:cs="Times New Roman"/>
          <w:color w:val="0070C0"/>
          <w:sz w:val="24"/>
          <w:szCs w:val="24"/>
        </w:rPr>
        <w:t xml:space="preserve"> </w:t>
      </w:r>
    </w:p>
    <w:p w14:paraId="58AD624C" w14:textId="77777777" w:rsidR="008C62B7" w:rsidRDefault="008C62B7" w:rsidP="00536261">
      <w:pPr>
        <w:spacing w:line="276" w:lineRule="auto"/>
        <w:ind w:left="360"/>
        <w:jc w:val="both"/>
        <w:rPr>
          <w:rFonts w:ascii="Times New Roman" w:hAnsi="Times New Roman" w:cs="Times New Roman"/>
          <w:sz w:val="24"/>
          <w:szCs w:val="24"/>
        </w:rPr>
      </w:pPr>
      <w:proofErr w:type="spellStart"/>
      <w:r w:rsidRPr="00B541E9">
        <w:rPr>
          <w:rFonts w:ascii="Times New Roman" w:hAnsi="Times New Roman" w:cs="Times New Roman"/>
          <w:sz w:val="24"/>
          <w:szCs w:val="24"/>
        </w:rPr>
        <w:t>Rigobon</w:t>
      </w:r>
      <w:proofErr w:type="spellEnd"/>
      <w:r w:rsidRPr="00B541E9">
        <w:rPr>
          <w:rFonts w:ascii="Times New Roman" w:hAnsi="Times New Roman" w:cs="Times New Roman"/>
          <w:sz w:val="24"/>
          <w:szCs w:val="24"/>
        </w:rPr>
        <w:t xml:space="preserve">, R., &amp; Sack, B. (2005). The effects of war risk on US financial markets. </w:t>
      </w:r>
      <w:r w:rsidRPr="009D3E81">
        <w:rPr>
          <w:rFonts w:ascii="Times New Roman" w:hAnsi="Times New Roman" w:cs="Times New Roman"/>
          <w:i/>
          <w:sz w:val="24"/>
          <w:szCs w:val="24"/>
        </w:rPr>
        <w:t xml:space="preserve">Journal of </w:t>
      </w:r>
      <w:r>
        <w:rPr>
          <w:rFonts w:ascii="Times New Roman" w:hAnsi="Times New Roman" w:cs="Times New Roman"/>
          <w:i/>
          <w:sz w:val="24"/>
          <w:szCs w:val="24"/>
        </w:rPr>
        <w:t>Banking &amp; F</w:t>
      </w:r>
      <w:r w:rsidRPr="009D3E81">
        <w:rPr>
          <w:rFonts w:ascii="Times New Roman" w:hAnsi="Times New Roman" w:cs="Times New Roman"/>
          <w:i/>
          <w:sz w:val="24"/>
          <w:szCs w:val="24"/>
        </w:rPr>
        <w:t>inance, 29</w:t>
      </w:r>
      <w:r w:rsidRPr="00B541E9">
        <w:rPr>
          <w:rFonts w:ascii="Times New Roman" w:hAnsi="Times New Roman" w:cs="Times New Roman"/>
          <w:sz w:val="24"/>
          <w:szCs w:val="24"/>
        </w:rPr>
        <w:t>(7), 1769-1789.</w:t>
      </w:r>
    </w:p>
    <w:p w14:paraId="0EA0E8D6" w14:textId="77777777" w:rsidR="008C62B7" w:rsidRPr="00DF4F0E" w:rsidRDefault="008C62B7" w:rsidP="00DF4F0E">
      <w:pPr>
        <w:spacing w:line="276" w:lineRule="auto"/>
        <w:ind w:left="360"/>
        <w:jc w:val="both"/>
        <w:rPr>
          <w:rFonts w:ascii="Times New Roman" w:hAnsi="Times New Roman" w:cs="Times New Roman"/>
          <w:color w:val="0070C0"/>
          <w:sz w:val="24"/>
          <w:szCs w:val="24"/>
        </w:rPr>
      </w:pPr>
      <w:bookmarkStart w:id="7" w:name="_Hlk108560861"/>
      <w:r w:rsidRPr="00DF4F0E">
        <w:rPr>
          <w:rFonts w:ascii="Times New Roman" w:hAnsi="Times New Roman" w:cs="Times New Roman"/>
          <w:color w:val="0070C0"/>
          <w:sz w:val="24"/>
          <w:szCs w:val="24"/>
        </w:rPr>
        <w:t xml:space="preserve">Sayed, O. A., &amp; </w:t>
      </w:r>
      <w:proofErr w:type="spellStart"/>
      <w:r w:rsidRPr="00DF4F0E">
        <w:rPr>
          <w:rFonts w:ascii="Times New Roman" w:hAnsi="Times New Roman" w:cs="Times New Roman"/>
          <w:color w:val="0070C0"/>
          <w:sz w:val="24"/>
          <w:szCs w:val="24"/>
        </w:rPr>
        <w:t>Eledum</w:t>
      </w:r>
      <w:proofErr w:type="spellEnd"/>
      <w:r w:rsidRPr="00DF4F0E">
        <w:rPr>
          <w:rFonts w:ascii="Times New Roman" w:hAnsi="Times New Roman" w:cs="Times New Roman"/>
          <w:color w:val="0070C0"/>
          <w:sz w:val="24"/>
          <w:szCs w:val="24"/>
        </w:rPr>
        <w:t>, H. (2021</w:t>
      </w:r>
      <w:bookmarkEnd w:id="7"/>
      <w:r w:rsidRPr="00DF4F0E">
        <w:rPr>
          <w:rFonts w:ascii="Times New Roman" w:hAnsi="Times New Roman" w:cs="Times New Roman"/>
          <w:color w:val="0070C0"/>
          <w:sz w:val="24"/>
          <w:szCs w:val="24"/>
        </w:rPr>
        <w:t>). The short‐run response of Saudi Arabia stock market to the outbreak of COVID‐19 pandemic: An event‐study methodology. International Journal of Finance &amp; Economics.</w:t>
      </w:r>
    </w:p>
    <w:p w14:paraId="4E110A72" w14:textId="77777777" w:rsidR="008C62B7" w:rsidRDefault="008C62B7" w:rsidP="00AC1286">
      <w:pPr>
        <w:spacing w:line="276" w:lineRule="auto"/>
        <w:ind w:left="360"/>
        <w:jc w:val="both"/>
        <w:rPr>
          <w:rFonts w:ascii="Times New Roman" w:hAnsi="Times New Roman" w:cs="Times New Roman"/>
          <w:color w:val="0070C0"/>
          <w:sz w:val="24"/>
          <w:szCs w:val="24"/>
        </w:rPr>
      </w:pPr>
      <w:proofErr w:type="spellStart"/>
      <w:r w:rsidRPr="00D002E7">
        <w:rPr>
          <w:rFonts w:ascii="Times New Roman" w:hAnsi="Times New Roman" w:cs="Times New Roman"/>
          <w:color w:val="0070C0"/>
          <w:sz w:val="24"/>
          <w:szCs w:val="24"/>
        </w:rPr>
        <w:t>Tosun</w:t>
      </w:r>
      <w:proofErr w:type="spellEnd"/>
      <w:r w:rsidRPr="00D002E7">
        <w:rPr>
          <w:rFonts w:ascii="Times New Roman" w:hAnsi="Times New Roman" w:cs="Times New Roman"/>
          <w:color w:val="0070C0"/>
          <w:sz w:val="24"/>
          <w:szCs w:val="24"/>
        </w:rPr>
        <w:t xml:space="preserve">, O. K., &amp; </w:t>
      </w:r>
      <w:proofErr w:type="spellStart"/>
      <w:r w:rsidRPr="00D002E7">
        <w:rPr>
          <w:rFonts w:ascii="Times New Roman" w:hAnsi="Times New Roman" w:cs="Times New Roman"/>
          <w:color w:val="0070C0"/>
          <w:sz w:val="24"/>
          <w:szCs w:val="24"/>
        </w:rPr>
        <w:t>Eshraghi</w:t>
      </w:r>
      <w:proofErr w:type="spellEnd"/>
      <w:r w:rsidRPr="00D002E7">
        <w:rPr>
          <w:rFonts w:ascii="Times New Roman" w:hAnsi="Times New Roman" w:cs="Times New Roman"/>
          <w:color w:val="0070C0"/>
          <w:sz w:val="24"/>
          <w:szCs w:val="24"/>
        </w:rPr>
        <w:t>, A. (2022). Corporate decisions in times of war: Evidence from the Russia-Ukraine conflict. Finance Research Letters, 48, 102920.</w:t>
      </w:r>
    </w:p>
    <w:p w14:paraId="7ECA93CC" w14:textId="44F61E20" w:rsidR="008C62B7" w:rsidRPr="009E0B9E" w:rsidRDefault="008C62B7" w:rsidP="00536261">
      <w:pPr>
        <w:spacing w:line="276" w:lineRule="auto"/>
        <w:ind w:left="360"/>
        <w:jc w:val="both"/>
        <w:rPr>
          <w:rFonts w:ascii="Times New Roman" w:hAnsi="Times New Roman" w:cs="Times New Roman"/>
          <w:color w:val="0070C0"/>
          <w:sz w:val="24"/>
          <w:szCs w:val="24"/>
        </w:rPr>
      </w:pPr>
      <w:r w:rsidRPr="009E0B9E">
        <w:rPr>
          <w:rFonts w:ascii="Times New Roman" w:hAnsi="Times New Roman" w:cs="Times New Roman"/>
          <w:color w:val="0070C0"/>
          <w:sz w:val="24"/>
          <w:szCs w:val="24"/>
        </w:rPr>
        <w:t>Umar</w:t>
      </w:r>
      <w:r w:rsidRPr="009E0B9E">
        <w:rPr>
          <w:rFonts w:ascii="Times New Roman" w:hAnsi="Times New Roman" w:cs="Times New Roman"/>
          <w:color w:val="0070C0"/>
          <w:sz w:val="24"/>
          <w:szCs w:val="24"/>
        </w:rPr>
        <w:t xml:space="preserve">, </w:t>
      </w:r>
      <w:r w:rsidRPr="009E0B9E">
        <w:rPr>
          <w:rFonts w:ascii="Times New Roman" w:hAnsi="Times New Roman" w:cs="Times New Roman"/>
          <w:color w:val="0070C0"/>
          <w:sz w:val="24"/>
          <w:szCs w:val="24"/>
        </w:rPr>
        <w:t>M</w:t>
      </w:r>
      <w:r w:rsidRPr="009E0B9E">
        <w:rPr>
          <w:rFonts w:ascii="Times New Roman" w:hAnsi="Times New Roman" w:cs="Times New Roman"/>
          <w:color w:val="0070C0"/>
          <w:sz w:val="24"/>
          <w:szCs w:val="24"/>
        </w:rPr>
        <w:t xml:space="preserve">., </w:t>
      </w:r>
      <w:r w:rsidRPr="009E0B9E">
        <w:rPr>
          <w:rFonts w:ascii="Times New Roman" w:hAnsi="Times New Roman" w:cs="Times New Roman"/>
          <w:color w:val="0070C0"/>
          <w:sz w:val="24"/>
          <w:szCs w:val="24"/>
        </w:rPr>
        <w:t>Riaz</w:t>
      </w:r>
      <w:r w:rsidRPr="009E0B9E">
        <w:rPr>
          <w:rFonts w:ascii="Times New Roman" w:hAnsi="Times New Roman" w:cs="Times New Roman"/>
          <w:color w:val="0070C0"/>
          <w:sz w:val="24"/>
          <w:szCs w:val="24"/>
        </w:rPr>
        <w:t xml:space="preserve">, </w:t>
      </w:r>
      <w:r w:rsidRPr="009E0B9E">
        <w:rPr>
          <w:rFonts w:ascii="Times New Roman" w:hAnsi="Times New Roman" w:cs="Times New Roman"/>
          <w:color w:val="0070C0"/>
          <w:sz w:val="24"/>
          <w:szCs w:val="24"/>
        </w:rPr>
        <w:t>Y</w:t>
      </w:r>
      <w:r w:rsidRPr="009E0B9E">
        <w:rPr>
          <w:rFonts w:ascii="Times New Roman" w:hAnsi="Times New Roman" w:cs="Times New Roman"/>
          <w:color w:val="0070C0"/>
          <w:sz w:val="24"/>
          <w:szCs w:val="24"/>
        </w:rPr>
        <w:t xml:space="preserve">., &amp; </w:t>
      </w:r>
      <w:r w:rsidRPr="009E0B9E">
        <w:rPr>
          <w:rFonts w:ascii="Times New Roman" w:hAnsi="Times New Roman" w:cs="Times New Roman"/>
          <w:color w:val="0070C0"/>
          <w:sz w:val="24"/>
          <w:szCs w:val="24"/>
        </w:rPr>
        <w:t>Yousaf</w:t>
      </w:r>
      <w:r w:rsidRPr="009E0B9E">
        <w:rPr>
          <w:rFonts w:ascii="Times New Roman" w:hAnsi="Times New Roman" w:cs="Times New Roman"/>
          <w:color w:val="0070C0"/>
          <w:sz w:val="24"/>
          <w:szCs w:val="24"/>
        </w:rPr>
        <w:t xml:space="preserve">, </w:t>
      </w:r>
      <w:r w:rsidRPr="009E0B9E">
        <w:rPr>
          <w:rFonts w:ascii="Times New Roman" w:hAnsi="Times New Roman" w:cs="Times New Roman"/>
          <w:color w:val="0070C0"/>
          <w:sz w:val="24"/>
          <w:szCs w:val="24"/>
        </w:rPr>
        <w:t>I</w:t>
      </w:r>
      <w:r w:rsidRPr="009E0B9E">
        <w:rPr>
          <w:rFonts w:ascii="Times New Roman" w:hAnsi="Times New Roman" w:cs="Times New Roman"/>
          <w:color w:val="0070C0"/>
          <w:sz w:val="24"/>
          <w:szCs w:val="24"/>
        </w:rPr>
        <w:t>. (20</w:t>
      </w:r>
      <w:r w:rsidRPr="009E0B9E">
        <w:rPr>
          <w:rFonts w:ascii="Times New Roman" w:hAnsi="Times New Roman" w:cs="Times New Roman"/>
          <w:color w:val="0070C0"/>
          <w:sz w:val="24"/>
          <w:szCs w:val="24"/>
        </w:rPr>
        <w:t>22</w:t>
      </w:r>
      <w:r>
        <w:rPr>
          <w:rFonts w:ascii="Times New Roman" w:hAnsi="Times New Roman" w:cs="Times New Roman"/>
          <w:color w:val="0070C0"/>
          <w:sz w:val="24"/>
          <w:szCs w:val="24"/>
        </w:rPr>
        <w:t>a</w:t>
      </w:r>
      <w:r w:rsidRPr="009E0B9E">
        <w:rPr>
          <w:rFonts w:ascii="Times New Roman" w:hAnsi="Times New Roman" w:cs="Times New Roman"/>
          <w:color w:val="0070C0"/>
          <w:sz w:val="24"/>
          <w:szCs w:val="24"/>
        </w:rPr>
        <w:t xml:space="preserve">). </w:t>
      </w:r>
      <w:r w:rsidRPr="009E0B9E">
        <w:rPr>
          <w:rFonts w:ascii="Times New Roman" w:hAnsi="Times New Roman" w:cs="Times New Roman"/>
          <w:color w:val="0070C0"/>
          <w:sz w:val="24"/>
          <w:szCs w:val="24"/>
        </w:rPr>
        <w:t>Impact of Russian-Ukraine war on clean energy, conventional energy, and metal markets: Evidence from event study approach</w:t>
      </w:r>
      <w:r w:rsidRPr="009E0B9E">
        <w:rPr>
          <w:rFonts w:ascii="Times New Roman" w:hAnsi="Times New Roman" w:cs="Times New Roman"/>
          <w:color w:val="0070C0"/>
          <w:sz w:val="24"/>
          <w:szCs w:val="24"/>
        </w:rPr>
        <w:t xml:space="preserve">. </w:t>
      </w:r>
      <w:r w:rsidRPr="009E0B9E">
        <w:rPr>
          <w:rFonts w:ascii="Times New Roman" w:hAnsi="Times New Roman" w:cs="Times New Roman"/>
          <w:i/>
          <w:iCs/>
          <w:color w:val="0070C0"/>
          <w:sz w:val="24"/>
          <w:szCs w:val="24"/>
        </w:rPr>
        <w:t>Resources Policy</w:t>
      </w:r>
      <w:r w:rsidRPr="009E0B9E">
        <w:rPr>
          <w:rFonts w:ascii="Times New Roman" w:hAnsi="Times New Roman" w:cs="Times New Roman"/>
          <w:color w:val="0070C0"/>
          <w:sz w:val="24"/>
          <w:szCs w:val="24"/>
        </w:rPr>
        <w:t xml:space="preserve">. </w:t>
      </w:r>
    </w:p>
    <w:p w14:paraId="3C94F7E3" w14:textId="30EE7B6E" w:rsidR="008C62B7" w:rsidRDefault="008C62B7" w:rsidP="00AC1286">
      <w:pPr>
        <w:spacing w:line="276" w:lineRule="auto"/>
        <w:ind w:left="360"/>
        <w:jc w:val="both"/>
        <w:rPr>
          <w:rFonts w:ascii="Times New Roman" w:hAnsi="Times New Roman" w:cs="Times New Roman"/>
          <w:color w:val="0070C0"/>
          <w:sz w:val="24"/>
          <w:szCs w:val="24"/>
        </w:rPr>
      </w:pPr>
      <w:r w:rsidRPr="00B159B4">
        <w:rPr>
          <w:rFonts w:ascii="Times New Roman" w:hAnsi="Times New Roman" w:cs="Times New Roman"/>
          <w:color w:val="0070C0"/>
          <w:sz w:val="24"/>
          <w:szCs w:val="24"/>
        </w:rPr>
        <w:t xml:space="preserve">Umar, Z., </w:t>
      </w:r>
      <w:proofErr w:type="spellStart"/>
      <w:r w:rsidRPr="00B159B4">
        <w:rPr>
          <w:rFonts w:ascii="Times New Roman" w:hAnsi="Times New Roman" w:cs="Times New Roman"/>
          <w:color w:val="0070C0"/>
          <w:sz w:val="24"/>
          <w:szCs w:val="24"/>
        </w:rPr>
        <w:t>Polat</w:t>
      </w:r>
      <w:proofErr w:type="spellEnd"/>
      <w:r w:rsidRPr="00B159B4">
        <w:rPr>
          <w:rFonts w:ascii="Times New Roman" w:hAnsi="Times New Roman" w:cs="Times New Roman"/>
          <w:color w:val="0070C0"/>
          <w:sz w:val="24"/>
          <w:szCs w:val="24"/>
        </w:rPr>
        <w:t xml:space="preserve">, O., Choi, S. Y., &amp; </w:t>
      </w:r>
      <w:proofErr w:type="spellStart"/>
      <w:r w:rsidRPr="00B159B4">
        <w:rPr>
          <w:rFonts w:ascii="Times New Roman" w:hAnsi="Times New Roman" w:cs="Times New Roman"/>
          <w:color w:val="0070C0"/>
          <w:sz w:val="24"/>
          <w:szCs w:val="24"/>
        </w:rPr>
        <w:t>Teplova</w:t>
      </w:r>
      <w:proofErr w:type="spellEnd"/>
      <w:r w:rsidRPr="00B159B4">
        <w:rPr>
          <w:rFonts w:ascii="Times New Roman" w:hAnsi="Times New Roman" w:cs="Times New Roman"/>
          <w:color w:val="0070C0"/>
          <w:sz w:val="24"/>
          <w:szCs w:val="24"/>
        </w:rPr>
        <w:t>, T. (2022</w:t>
      </w:r>
      <w:r>
        <w:rPr>
          <w:rFonts w:ascii="Times New Roman" w:hAnsi="Times New Roman" w:cs="Times New Roman"/>
          <w:color w:val="0070C0"/>
          <w:sz w:val="24"/>
          <w:szCs w:val="24"/>
        </w:rPr>
        <w:t>b</w:t>
      </w:r>
      <w:r w:rsidRPr="00B159B4">
        <w:rPr>
          <w:rFonts w:ascii="Times New Roman" w:hAnsi="Times New Roman" w:cs="Times New Roman"/>
          <w:color w:val="0070C0"/>
          <w:sz w:val="24"/>
          <w:szCs w:val="24"/>
        </w:rPr>
        <w:t>). The impact of the Russia-Ukraine conflict on the connectedness of financial markets. </w:t>
      </w:r>
      <w:r w:rsidRPr="00B159B4">
        <w:rPr>
          <w:rFonts w:ascii="Times New Roman" w:hAnsi="Times New Roman" w:cs="Times New Roman"/>
          <w:i/>
          <w:iCs/>
          <w:color w:val="0070C0"/>
          <w:sz w:val="24"/>
          <w:szCs w:val="24"/>
        </w:rPr>
        <w:t>Finance Research Letters</w:t>
      </w:r>
      <w:r w:rsidRPr="00B159B4">
        <w:rPr>
          <w:rFonts w:ascii="Times New Roman" w:hAnsi="Times New Roman" w:cs="Times New Roman"/>
          <w:color w:val="0070C0"/>
          <w:sz w:val="24"/>
          <w:szCs w:val="24"/>
        </w:rPr>
        <w:t>, 102976.</w:t>
      </w:r>
      <w:r>
        <w:rPr>
          <w:rFonts w:ascii="Times New Roman" w:hAnsi="Times New Roman" w:cs="Times New Roman"/>
          <w:color w:val="0070C0"/>
          <w:sz w:val="24"/>
          <w:szCs w:val="24"/>
        </w:rPr>
        <w:t xml:space="preserve"> </w:t>
      </w:r>
    </w:p>
    <w:p w14:paraId="39F6A631" w14:textId="77777777" w:rsidR="008C62B7" w:rsidRDefault="008C62B7" w:rsidP="00AC1286">
      <w:pPr>
        <w:spacing w:line="276" w:lineRule="auto"/>
        <w:ind w:left="360"/>
        <w:jc w:val="both"/>
        <w:rPr>
          <w:rFonts w:ascii="Times New Roman" w:hAnsi="Times New Roman" w:cs="Times New Roman"/>
          <w:color w:val="0070C0"/>
          <w:sz w:val="24"/>
          <w:szCs w:val="24"/>
        </w:rPr>
      </w:pPr>
      <w:r w:rsidRPr="00914715">
        <w:rPr>
          <w:rFonts w:ascii="Times New Roman" w:hAnsi="Times New Roman" w:cs="Times New Roman"/>
          <w:color w:val="0070C0"/>
          <w:sz w:val="24"/>
          <w:szCs w:val="24"/>
        </w:rPr>
        <w:t xml:space="preserve">Wang, Y., </w:t>
      </w:r>
      <w:proofErr w:type="spellStart"/>
      <w:r w:rsidRPr="00914715">
        <w:rPr>
          <w:rFonts w:ascii="Times New Roman" w:hAnsi="Times New Roman" w:cs="Times New Roman"/>
          <w:color w:val="0070C0"/>
          <w:sz w:val="24"/>
          <w:szCs w:val="24"/>
        </w:rPr>
        <w:t>Bouri</w:t>
      </w:r>
      <w:proofErr w:type="spellEnd"/>
      <w:r w:rsidRPr="00914715">
        <w:rPr>
          <w:rFonts w:ascii="Times New Roman" w:hAnsi="Times New Roman" w:cs="Times New Roman"/>
          <w:color w:val="0070C0"/>
          <w:sz w:val="24"/>
          <w:szCs w:val="24"/>
        </w:rPr>
        <w:t>, E., Fareed, Z., &amp; Dai, Y. (2022). Geopolitical risk and the systemic risk in the commodity markets under the war in Ukraine. </w:t>
      </w:r>
      <w:r w:rsidRPr="00914715">
        <w:rPr>
          <w:rFonts w:ascii="Times New Roman" w:hAnsi="Times New Roman" w:cs="Times New Roman"/>
          <w:i/>
          <w:iCs/>
          <w:color w:val="0070C0"/>
          <w:sz w:val="24"/>
          <w:szCs w:val="24"/>
        </w:rPr>
        <w:t>Finance Research Letters</w:t>
      </w:r>
      <w:r w:rsidRPr="00914715">
        <w:rPr>
          <w:rFonts w:ascii="Times New Roman" w:hAnsi="Times New Roman" w:cs="Times New Roman"/>
          <w:color w:val="0070C0"/>
          <w:sz w:val="24"/>
          <w:szCs w:val="24"/>
        </w:rPr>
        <w:t>, 103066.</w:t>
      </w:r>
      <w:r>
        <w:rPr>
          <w:rFonts w:ascii="Times New Roman" w:hAnsi="Times New Roman" w:cs="Times New Roman"/>
          <w:color w:val="0070C0"/>
          <w:sz w:val="24"/>
          <w:szCs w:val="24"/>
        </w:rPr>
        <w:t xml:space="preserve"> </w:t>
      </w:r>
    </w:p>
    <w:p w14:paraId="465280C3" w14:textId="77777777" w:rsidR="008C62B7" w:rsidRDefault="008C62B7" w:rsidP="00AC1286">
      <w:pPr>
        <w:spacing w:line="276" w:lineRule="auto"/>
        <w:ind w:left="360"/>
        <w:jc w:val="both"/>
        <w:rPr>
          <w:rFonts w:ascii="Times New Roman" w:hAnsi="Times New Roman" w:cs="Times New Roman"/>
          <w:sz w:val="24"/>
          <w:szCs w:val="24"/>
        </w:rPr>
      </w:pPr>
      <w:proofErr w:type="spellStart"/>
      <w:r w:rsidRPr="00AC1286">
        <w:rPr>
          <w:rFonts w:ascii="Times New Roman" w:hAnsi="Times New Roman" w:cs="Times New Roman"/>
          <w:sz w:val="24"/>
          <w:szCs w:val="24"/>
        </w:rPr>
        <w:t>Yarovaya</w:t>
      </w:r>
      <w:proofErr w:type="spellEnd"/>
      <w:r w:rsidRPr="00AC1286">
        <w:rPr>
          <w:rFonts w:ascii="Times New Roman" w:hAnsi="Times New Roman" w:cs="Times New Roman"/>
          <w:sz w:val="24"/>
          <w:szCs w:val="24"/>
        </w:rPr>
        <w:t xml:space="preserve">, L., </w:t>
      </w:r>
      <w:proofErr w:type="spellStart"/>
      <w:r w:rsidRPr="00AC1286">
        <w:rPr>
          <w:rFonts w:ascii="Times New Roman" w:hAnsi="Times New Roman" w:cs="Times New Roman"/>
          <w:sz w:val="24"/>
          <w:szCs w:val="24"/>
        </w:rPr>
        <w:t>Brzeszczyński</w:t>
      </w:r>
      <w:proofErr w:type="spellEnd"/>
      <w:r w:rsidRPr="00AC1286">
        <w:rPr>
          <w:rFonts w:ascii="Times New Roman" w:hAnsi="Times New Roman" w:cs="Times New Roman"/>
          <w:sz w:val="24"/>
          <w:szCs w:val="24"/>
        </w:rPr>
        <w:t>, J., Goodell, J. W., Lucey, B., &amp; Lau, C. K. M. (2022). Rethinking financial contagion: information transmission mechanism during the COVID-19 pandemic. </w:t>
      </w:r>
      <w:r w:rsidRPr="00AC1286">
        <w:rPr>
          <w:rFonts w:ascii="Times New Roman" w:hAnsi="Times New Roman" w:cs="Times New Roman"/>
          <w:i/>
          <w:iCs/>
          <w:sz w:val="24"/>
          <w:szCs w:val="24"/>
        </w:rPr>
        <w:t>Journal of International Financial Markets, Institutions and Money</w:t>
      </w:r>
      <w:r w:rsidRPr="00AC1286">
        <w:rPr>
          <w:rFonts w:ascii="Times New Roman" w:hAnsi="Times New Roman" w:cs="Times New Roman"/>
          <w:sz w:val="24"/>
          <w:szCs w:val="24"/>
        </w:rPr>
        <w:t>, 101589.</w:t>
      </w:r>
      <w:r>
        <w:rPr>
          <w:rFonts w:ascii="Times New Roman" w:hAnsi="Times New Roman" w:cs="Times New Roman"/>
          <w:sz w:val="24"/>
          <w:szCs w:val="24"/>
        </w:rPr>
        <w:t xml:space="preserve">  </w:t>
      </w:r>
    </w:p>
    <w:p w14:paraId="6622A64F" w14:textId="77777777" w:rsidR="008C62B7" w:rsidRDefault="008C62B7" w:rsidP="00536261">
      <w:pPr>
        <w:spacing w:line="276"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Y</w:t>
      </w:r>
      <w:r w:rsidRPr="004B02BC">
        <w:rPr>
          <w:rFonts w:ascii="Times New Roman" w:hAnsi="Times New Roman" w:cs="Times New Roman"/>
          <w:sz w:val="24"/>
          <w:szCs w:val="24"/>
        </w:rPr>
        <w:t>arovaya</w:t>
      </w:r>
      <w:proofErr w:type="spellEnd"/>
      <w:r w:rsidRPr="004B02BC">
        <w:rPr>
          <w:rFonts w:ascii="Times New Roman" w:hAnsi="Times New Roman" w:cs="Times New Roman"/>
          <w:sz w:val="24"/>
          <w:szCs w:val="24"/>
        </w:rPr>
        <w:t xml:space="preserve">, L., </w:t>
      </w:r>
      <w:proofErr w:type="spellStart"/>
      <w:r w:rsidRPr="004B02BC">
        <w:rPr>
          <w:rFonts w:ascii="Times New Roman" w:hAnsi="Times New Roman" w:cs="Times New Roman"/>
          <w:sz w:val="24"/>
          <w:szCs w:val="24"/>
        </w:rPr>
        <w:t>Matkovskyy</w:t>
      </w:r>
      <w:proofErr w:type="spellEnd"/>
      <w:r w:rsidRPr="004B02BC">
        <w:rPr>
          <w:rFonts w:ascii="Times New Roman" w:hAnsi="Times New Roman" w:cs="Times New Roman"/>
          <w:sz w:val="24"/>
          <w:szCs w:val="24"/>
        </w:rPr>
        <w:t>, R.,</w:t>
      </w:r>
      <w:r>
        <w:rPr>
          <w:rFonts w:ascii="Times New Roman" w:hAnsi="Times New Roman" w:cs="Times New Roman"/>
          <w:sz w:val="24"/>
          <w:szCs w:val="24"/>
        </w:rPr>
        <w:t xml:space="preserve"> &amp;</w:t>
      </w:r>
      <w:r w:rsidRPr="004B02BC">
        <w:rPr>
          <w:rFonts w:ascii="Times New Roman" w:hAnsi="Times New Roman" w:cs="Times New Roman"/>
          <w:sz w:val="24"/>
          <w:szCs w:val="24"/>
        </w:rPr>
        <w:t xml:space="preserve"> Jalan, A. (2022). The COVID-19 black swan crisis: Reaction and recovery of various financial markets. </w:t>
      </w:r>
      <w:r w:rsidRPr="009D3E81">
        <w:rPr>
          <w:rFonts w:ascii="Times New Roman" w:hAnsi="Times New Roman" w:cs="Times New Roman"/>
          <w:i/>
          <w:sz w:val="24"/>
          <w:szCs w:val="24"/>
        </w:rPr>
        <w:t>Research in International Business and Finance, 59</w:t>
      </w:r>
      <w:r w:rsidRPr="004B02BC">
        <w:rPr>
          <w:rFonts w:ascii="Times New Roman" w:hAnsi="Times New Roman" w:cs="Times New Roman"/>
          <w:sz w:val="24"/>
          <w:szCs w:val="24"/>
        </w:rPr>
        <w:t>. https://doi.org/10.1016/j.ribaf.2021.101521</w:t>
      </w:r>
    </w:p>
    <w:p w14:paraId="5A530D00" w14:textId="77777777" w:rsidR="008C62B7" w:rsidRDefault="008C62B7" w:rsidP="00536261">
      <w:pPr>
        <w:spacing w:line="276" w:lineRule="auto"/>
        <w:ind w:left="360"/>
        <w:jc w:val="both"/>
        <w:rPr>
          <w:rFonts w:ascii="Times New Roman" w:hAnsi="Times New Roman" w:cs="Times New Roman"/>
          <w:sz w:val="24"/>
          <w:szCs w:val="24"/>
        </w:rPr>
      </w:pPr>
      <w:proofErr w:type="spellStart"/>
      <w:r w:rsidRPr="004B02BC">
        <w:rPr>
          <w:rFonts w:ascii="Times New Roman" w:hAnsi="Times New Roman" w:cs="Times New Roman"/>
          <w:sz w:val="24"/>
          <w:szCs w:val="24"/>
        </w:rPr>
        <w:t>Yarovaya</w:t>
      </w:r>
      <w:proofErr w:type="spellEnd"/>
      <w:r w:rsidRPr="004B02BC">
        <w:rPr>
          <w:rFonts w:ascii="Times New Roman" w:hAnsi="Times New Roman" w:cs="Times New Roman"/>
          <w:sz w:val="24"/>
          <w:szCs w:val="24"/>
        </w:rPr>
        <w:t xml:space="preserve">, L., </w:t>
      </w:r>
      <w:proofErr w:type="spellStart"/>
      <w:r w:rsidRPr="004B02BC">
        <w:rPr>
          <w:rFonts w:ascii="Times New Roman" w:hAnsi="Times New Roman" w:cs="Times New Roman"/>
          <w:sz w:val="24"/>
          <w:szCs w:val="24"/>
        </w:rPr>
        <w:t>Matkovskyy</w:t>
      </w:r>
      <w:proofErr w:type="spellEnd"/>
      <w:r w:rsidRPr="004B02BC">
        <w:rPr>
          <w:rFonts w:ascii="Times New Roman" w:hAnsi="Times New Roman" w:cs="Times New Roman"/>
          <w:sz w:val="24"/>
          <w:szCs w:val="24"/>
        </w:rPr>
        <w:t xml:space="preserve">, R., Jalan, A. (2021). The Effects of a ‘Black Swan’ Event (COVID-19) on Herding </w:t>
      </w:r>
      <w:proofErr w:type="spellStart"/>
      <w:r w:rsidRPr="004B02BC">
        <w:rPr>
          <w:rFonts w:ascii="Times New Roman" w:hAnsi="Times New Roman" w:cs="Times New Roman"/>
          <w:sz w:val="24"/>
          <w:szCs w:val="24"/>
        </w:rPr>
        <w:t>Behavior</w:t>
      </w:r>
      <w:proofErr w:type="spellEnd"/>
      <w:r w:rsidRPr="004B02BC">
        <w:rPr>
          <w:rFonts w:ascii="Times New Roman" w:hAnsi="Times New Roman" w:cs="Times New Roman"/>
          <w:sz w:val="24"/>
          <w:szCs w:val="24"/>
        </w:rPr>
        <w:t xml:space="preserve"> in Cryptocurrency Markets. </w:t>
      </w:r>
      <w:r w:rsidRPr="009D3E81">
        <w:rPr>
          <w:rFonts w:ascii="Times New Roman" w:hAnsi="Times New Roman" w:cs="Times New Roman"/>
          <w:i/>
          <w:sz w:val="24"/>
          <w:szCs w:val="24"/>
        </w:rPr>
        <w:t>Journal of International Financial Markets, Institutions and Mone</w:t>
      </w:r>
      <w:r>
        <w:rPr>
          <w:rFonts w:ascii="Times New Roman" w:hAnsi="Times New Roman" w:cs="Times New Roman"/>
          <w:i/>
          <w:sz w:val="24"/>
          <w:szCs w:val="24"/>
        </w:rPr>
        <w:t>y, 75</w:t>
      </w:r>
      <w:r w:rsidRPr="009D3E81">
        <w:rPr>
          <w:rFonts w:ascii="Times New Roman" w:hAnsi="Times New Roman" w:cs="Times New Roman"/>
          <w:i/>
          <w:sz w:val="24"/>
          <w:szCs w:val="24"/>
        </w:rPr>
        <w:t>.</w:t>
      </w:r>
      <w:r w:rsidRPr="004B02BC">
        <w:rPr>
          <w:rFonts w:ascii="Times New Roman" w:hAnsi="Times New Roman" w:cs="Times New Roman"/>
          <w:sz w:val="24"/>
          <w:szCs w:val="24"/>
        </w:rPr>
        <w:t xml:space="preserve"> https://doi.org/10.1016/j.intfin.2021.101321</w:t>
      </w:r>
    </w:p>
    <w:p w14:paraId="3F268CD8" w14:textId="1024D91A" w:rsidR="008C62B7" w:rsidRPr="005B44A8" w:rsidRDefault="008C62B7" w:rsidP="00536261">
      <w:pPr>
        <w:spacing w:line="276" w:lineRule="auto"/>
        <w:ind w:left="360"/>
        <w:jc w:val="both"/>
        <w:rPr>
          <w:rFonts w:ascii="Times New Roman" w:hAnsi="Times New Roman" w:cs="Times New Roman"/>
          <w:sz w:val="24"/>
          <w:szCs w:val="24"/>
        </w:rPr>
      </w:pPr>
      <w:r w:rsidRPr="00502FB0">
        <w:rPr>
          <w:rFonts w:ascii="Times New Roman" w:hAnsi="Times New Roman" w:cs="Times New Roman"/>
          <w:sz w:val="24"/>
          <w:szCs w:val="24"/>
        </w:rPr>
        <w:t>Yousaf, I. (2021). Risk transmission from the COVID-19 to metals and energy markets. Resources Policy, 73, 102156.</w:t>
      </w:r>
      <w:r w:rsidR="005019ED">
        <w:rPr>
          <w:rFonts w:ascii="Times New Roman" w:hAnsi="Times New Roman" w:cs="Times New Roman"/>
          <w:sz w:val="24"/>
          <w:szCs w:val="24"/>
        </w:rPr>
        <w:t xml:space="preserve"> </w:t>
      </w:r>
      <w:hyperlink r:id="rId10" w:history="1">
        <w:r w:rsidR="005B44A8" w:rsidRPr="005B44A8">
          <w:rPr>
            <w:rStyle w:val="Hyperlink"/>
            <w:rFonts w:ascii="Times New Roman" w:hAnsi="Times New Roman" w:cs="Times New Roman"/>
            <w:color w:val="auto"/>
            <w:sz w:val="24"/>
            <w:szCs w:val="24"/>
            <w:u w:val="none"/>
          </w:rPr>
          <w:t>https://doi.org/10.1016/j.resourpol.2021.102156</w:t>
        </w:r>
      </w:hyperlink>
    </w:p>
    <w:p w14:paraId="4A5F49F0" w14:textId="77777777" w:rsidR="005B44A8" w:rsidRDefault="005B44A8" w:rsidP="00536261">
      <w:pPr>
        <w:spacing w:line="276" w:lineRule="auto"/>
        <w:ind w:left="360"/>
        <w:jc w:val="both"/>
        <w:rPr>
          <w:rFonts w:ascii="Times New Roman" w:hAnsi="Times New Roman" w:cs="Times New Roman"/>
          <w:sz w:val="24"/>
          <w:szCs w:val="24"/>
        </w:rPr>
      </w:pPr>
    </w:p>
    <w:p w14:paraId="68E86189" w14:textId="35F2C3A0" w:rsidR="00BE23A7" w:rsidRDefault="00BE23A7" w:rsidP="00536261">
      <w:pPr>
        <w:spacing w:line="276" w:lineRule="auto"/>
        <w:ind w:left="360"/>
        <w:jc w:val="both"/>
        <w:rPr>
          <w:rFonts w:ascii="Times New Roman" w:hAnsi="Times New Roman" w:cs="Times New Roman"/>
          <w:sz w:val="24"/>
          <w:szCs w:val="24"/>
        </w:rPr>
      </w:pPr>
    </w:p>
    <w:p w14:paraId="3D479875" w14:textId="4F328807" w:rsidR="00BE23A7" w:rsidRDefault="00BE23A7" w:rsidP="00536261">
      <w:pPr>
        <w:spacing w:line="276" w:lineRule="auto"/>
        <w:ind w:left="360"/>
        <w:jc w:val="both"/>
        <w:rPr>
          <w:rFonts w:ascii="Times New Roman" w:hAnsi="Times New Roman" w:cs="Times New Roman"/>
          <w:sz w:val="24"/>
          <w:szCs w:val="24"/>
        </w:rPr>
      </w:pPr>
    </w:p>
    <w:p w14:paraId="60995E31" w14:textId="76BF5BFC" w:rsidR="005B44A8" w:rsidRDefault="005B44A8" w:rsidP="00536261">
      <w:pPr>
        <w:spacing w:line="276" w:lineRule="auto"/>
        <w:ind w:left="360"/>
        <w:jc w:val="both"/>
        <w:rPr>
          <w:rFonts w:ascii="Times New Roman" w:hAnsi="Times New Roman" w:cs="Times New Roman"/>
          <w:sz w:val="24"/>
          <w:szCs w:val="24"/>
        </w:rPr>
      </w:pPr>
    </w:p>
    <w:p w14:paraId="2638B8C0" w14:textId="69146E4C" w:rsidR="005B44A8" w:rsidRDefault="005B44A8" w:rsidP="00536261">
      <w:pPr>
        <w:spacing w:line="276" w:lineRule="auto"/>
        <w:ind w:left="360"/>
        <w:jc w:val="both"/>
        <w:rPr>
          <w:rFonts w:ascii="Times New Roman" w:hAnsi="Times New Roman" w:cs="Times New Roman"/>
          <w:sz w:val="24"/>
          <w:szCs w:val="24"/>
        </w:rPr>
      </w:pPr>
    </w:p>
    <w:p w14:paraId="4FD83D90" w14:textId="35BEA2FE" w:rsidR="005B44A8" w:rsidRDefault="005B44A8" w:rsidP="00536261">
      <w:pPr>
        <w:spacing w:line="276" w:lineRule="auto"/>
        <w:ind w:left="360"/>
        <w:jc w:val="both"/>
        <w:rPr>
          <w:rFonts w:ascii="Times New Roman" w:hAnsi="Times New Roman" w:cs="Times New Roman"/>
          <w:sz w:val="24"/>
          <w:szCs w:val="24"/>
        </w:rPr>
      </w:pPr>
    </w:p>
    <w:p w14:paraId="6D7FB067" w14:textId="569F6038" w:rsidR="005B44A8" w:rsidRDefault="005B44A8" w:rsidP="00536261">
      <w:pPr>
        <w:spacing w:line="276" w:lineRule="auto"/>
        <w:ind w:left="360"/>
        <w:jc w:val="both"/>
        <w:rPr>
          <w:rFonts w:ascii="Times New Roman" w:hAnsi="Times New Roman" w:cs="Times New Roman"/>
          <w:sz w:val="24"/>
          <w:szCs w:val="24"/>
        </w:rPr>
      </w:pPr>
    </w:p>
    <w:p w14:paraId="3B3B2779" w14:textId="77777777" w:rsidR="005B44A8" w:rsidRDefault="005B44A8" w:rsidP="00536261">
      <w:pPr>
        <w:spacing w:line="276" w:lineRule="auto"/>
        <w:ind w:left="360"/>
        <w:jc w:val="both"/>
        <w:rPr>
          <w:rFonts w:ascii="Times New Roman" w:hAnsi="Times New Roman" w:cs="Times New Roman"/>
          <w:sz w:val="24"/>
          <w:szCs w:val="24"/>
        </w:rPr>
      </w:pPr>
    </w:p>
    <w:p w14:paraId="1E60EE82" w14:textId="4125B2FD" w:rsidR="00C4148D" w:rsidRDefault="00C4148D" w:rsidP="00C4148D">
      <w:pPr>
        <w:spacing w:line="276" w:lineRule="auto"/>
        <w:jc w:val="both"/>
        <w:rPr>
          <w:rFonts w:ascii="Times New Roman" w:hAnsi="Times New Roman" w:cs="Times New Roman"/>
          <w:sz w:val="24"/>
          <w:szCs w:val="24"/>
          <w:lang w:bidi="gu-IN"/>
        </w:rPr>
      </w:pPr>
      <w:r w:rsidRPr="00972022">
        <w:rPr>
          <w:rFonts w:ascii="Times New Roman" w:hAnsi="Times New Roman" w:cs="Times New Roman"/>
          <w:b/>
          <w:bCs/>
          <w:sz w:val="24"/>
          <w:szCs w:val="24"/>
          <w:lang w:bidi="gu-IN"/>
        </w:rPr>
        <w:lastRenderedPageBreak/>
        <w:t xml:space="preserve">Figure 1. </w:t>
      </w:r>
      <w:r w:rsidRPr="00972022">
        <w:rPr>
          <w:rFonts w:ascii="Times New Roman" w:hAnsi="Times New Roman" w:cs="Times New Roman"/>
          <w:sz w:val="24"/>
          <w:szCs w:val="24"/>
          <w:lang w:bidi="gu-IN"/>
        </w:rPr>
        <w:t>The average change in prices of various stock markets on event day</w:t>
      </w:r>
    </w:p>
    <w:p w14:paraId="603147F7" w14:textId="77777777" w:rsidR="00972022" w:rsidRPr="00972022" w:rsidRDefault="00972022" w:rsidP="00C4148D">
      <w:pPr>
        <w:spacing w:line="276" w:lineRule="auto"/>
        <w:jc w:val="both"/>
        <w:rPr>
          <w:rFonts w:ascii="Times New Roman" w:hAnsi="Times New Roman" w:cs="Times New Roman"/>
          <w:sz w:val="24"/>
          <w:szCs w:val="24"/>
          <w:lang w:bidi="gu-IN"/>
        </w:rPr>
      </w:pPr>
    </w:p>
    <w:p w14:paraId="47965B01" w14:textId="4FD4D19B" w:rsidR="00FE5FD8" w:rsidRPr="004B02BC" w:rsidRDefault="00C4148D" w:rsidP="004B02BC">
      <w:pPr>
        <w:spacing w:line="276" w:lineRule="auto"/>
        <w:jc w:val="both"/>
        <w:rPr>
          <w:rFonts w:ascii="Times New Roman" w:hAnsi="Times New Roman" w:cs="Times New Roman"/>
          <w:b/>
          <w:bCs/>
          <w:lang w:bidi="gu-IN"/>
        </w:rPr>
      </w:pPr>
      <w:r>
        <w:rPr>
          <w:rFonts w:ascii="Times New Roman" w:hAnsi="Times New Roman" w:cs="Times New Roman"/>
          <w:b/>
          <w:bCs/>
          <w:noProof/>
          <w:lang w:val="en-GB" w:eastAsia="en-GB"/>
        </w:rPr>
        <w:drawing>
          <wp:inline distT="0" distB="0" distL="0" distR="0" wp14:anchorId="39DC0F49" wp14:editId="42C9CBAE">
            <wp:extent cx="5646420" cy="3459480"/>
            <wp:effectExtent l="0" t="0" r="0" b="7620"/>
            <wp:docPr id="6" name="Picture 6"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waterfall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6420" cy="3459480"/>
                    </a:xfrm>
                    <a:prstGeom prst="rect">
                      <a:avLst/>
                    </a:prstGeom>
                    <a:noFill/>
                  </pic:spPr>
                </pic:pic>
              </a:graphicData>
            </a:graphic>
          </wp:inline>
        </w:drawing>
      </w:r>
    </w:p>
    <w:p w14:paraId="3ABAA073" w14:textId="1DC3064E" w:rsidR="006C5A1A" w:rsidRPr="00972022" w:rsidRDefault="006C5A1A" w:rsidP="00301DDF">
      <w:pPr>
        <w:spacing w:line="360" w:lineRule="auto"/>
        <w:jc w:val="both"/>
        <w:rPr>
          <w:rFonts w:ascii="Times New Roman" w:hAnsi="Times New Roman" w:cs="Times New Roman"/>
          <w:sz w:val="24"/>
          <w:szCs w:val="24"/>
          <w:lang w:bidi="gu-IN"/>
        </w:rPr>
      </w:pPr>
      <w:r w:rsidRPr="00972022">
        <w:rPr>
          <w:rFonts w:ascii="Times New Roman" w:hAnsi="Times New Roman" w:cs="Times New Roman"/>
          <w:b/>
          <w:bCs/>
          <w:sz w:val="24"/>
          <w:szCs w:val="24"/>
          <w:lang w:bidi="gu-IN"/>
        </w:rPr>
        <w:t xml:space="preserve">Table </w:t>
      </w:r>
      <w:r w:rsidR="009035F8" w:rsidRPr="00972022">
        <w:rPr>
          <w:rFonts w:ascii="Times New Roman" w:hAnsi="Times New Roman" w:cs="Times New Roman"/>
          <w:b/>
          <w:bCs/>
          <w:sz w:val="24"/>
          <w:szCs w:val="24"/>
          <w:lang w:bidi="gu-IN"/>
        </w:rPr>
        <w:t>1</w:t>
      </w:r>
      <w:r w:rsidRPr="00972022">
        <w:rPr>
          <w:rFonts w:ascii="Times New Roman" w:hAnsi="Times New Roman" w:cs="Times New Roman"/>
          <w:b/>
          <w:bCs/>
          <w:sz w:val="24"/>
          <w:szCs w:val="24"/>
          <w:lang w:bidi="gu-IN"/>
        </w:rPr>
        <w:t>.</w:t>
      </w:r>
      <w:r w:rsidRPr="00972022">
        <w:rPr>
          <w:rFonts w:ascii="Times New Roman" w:hAnsi="Times New Roman" w:cs="Times New Roman"/>
          <w:sz w:val="24"/>
          <w:szCs w:val="24"/>
          <w:lang w:bidi="gu-IN"/>
        </w:rPr>
        <w:t xml:space="preserve">  </w:t>
      </w:r>
      <w:r w:rsidR="00B74302" w:rsidRPr="00972022">
        <w:rPr>
          <w:rFonts w:ascii="Times New Roman" w:hAnsi="Times New Roman" w:cs="Times New Roman"/>
          <w:sz w:val="24"/>
          <w:szCs w:val="24"/>
          <w:lang w:bidi="gu-IN"/>
        </w:rPr>
        <w:t xml:space="preserve">Abnormal returns on event day </w:t>
      </w:r>
    </w:p>
    <w:tbl>
      <w:tblPr>
        <w:tblW w:w="9476" w:type="dxa"/>
        <w:tblBorders>
          <w:top w:val="single" w:sz="4" w:space="0" w:color="auto"/>
          <w:bottom w:val="single" w:sz="4" w:space="0" w:color="auto"/>
        </w:tblBorders>
        <w:tblLook w:val="04A0" w:firstRow="1" w:lastRow="0" w:firstColumn="1" w:lastColumn="0" w:noHBand="0" w:noVBand="1"/>
      </w:tblPr>
      <w:tblGrid>
        <w:gridCol w:w="3699"/>
        <w:gridCol w:w="2780"/>
        <w:gridCol w:w="2997"/>
      </w:tblGrid>
      <w:tr w:rsidR="0093254A" w:rsidRPr="00301DDF" w14:paraId="34A92D5E" w14:textId="77777777" w:rsidTr="00FE5FD8">
        <w:trPr>
          <w:trHeight w:val="31"/>
        </w:trPr>
        <w:tc>
          <w:tcPr>
            <w:tcW w:w="0" w:type="auto"/>
            <w:tcBorders>
              <w:top w:val="single" w:sz="4" w:space="0" w:color="auto"/>
              <w:bottom w:val="single" w:sz="4" w:space="0" w:color="auto"/>
            </w:tcBorders>
            <w:shd w:val="clear" w:color="auto" w:fill="auto"/>
            <w:noWrap/>
            <w:vAlign w:val="center"/>
            <w:hideMark/>
          </w:tcPr>
          <w:p w14:paraId="24AA3F49" w14:textId="77777777" w:rsidR="00F410C2" w:rsidRPr="00301DDF" w:rsidRDefault="00F410C2" w:rsidP="00301DDF">
            <w:pPr>
              <w:spacing w:after="0" w:line="360" w:lineRule="auto"/>
              <w:rPr>
                <w:rFonts w:ascii="Times New Roman" w:eastAsia="Times New Roman" w:hAnsi="Times New Roman" w:cs="Times New Roman"/>
                <w:b/>
                <w:bCs/>
                <w:sz w:val="24"/>
                <w:szCs w:val="24"/>
                <w:lang w:eastAsia="en-IN" w:bidi="gu-IN"/>
              </w:rPr>
            </w:pPr>
            <w:r w:rsidRPr="00301DDF">
              <w:rPr>
                <w:rFonts w:ascii="Times New Roman" w:eastAsia="Times New Roman" w:hAnsi="Times New Roman" w:cs="Times New Roman"/>
                <w:b/>
                <w:bCs/>
                <w:sz w:val="24"/>
                <w:szCs w:val="24"/>
                <w:lang w:eastAsia="en-IN" w:bidi="gu-IN"/>
              </w:rPr>
              <w:t>Markets</w:t>
            </w:r>
          </w:p>
        </w:tc>
        <w:tc>
          <w:tcPr>
            <w:tcW w:w="2780" w:type="dxa"/>
            <w:tcBorders>
              <w:top w:val="single" w:sz="4" w:space="0" w:color="auto"/>
              <w:bottom w:val="single" w:sz="4" w:space="0" w:color="auto"/>
            </w:tcBorders>
          </w:tcPr>
          <w:p w14:paraId="79816A79" w14:textId="0BB11137" w:rsidR="00F410C2" w:rsidRPr="00301DDF" w:rsidRDefault="00F410C2" w:rsidP="00301DDF">
            <w:pPr>
              <w:spacing w:after="0" w:line="360" w:lineRule="auto"/>
              <w:jc w:val="center"/>
              <w:rPr>
                <w:rFonts w:ascii="Times New Roman" w:eastAsia="Calibri" w:hAnsi="Times New Roman" w:cs="Times New Roman"/>
                <w:b/>
                <w:bCs/>
                <w:sz w:val="24"/>
                <w:szCs w:val="24"/>
                <w:lang w:eastAsia="en-IN" w:bidi="gu-IN"/>
              </w:rPr>
            </w:pPr>
            <w:r w:rsidRPr="00301DDF">
              <w:rPr>
                <w:rFonts w:ascii="Times New Roman" w:eastAsia="Times New Roman" w:hAnsi="Times New Roman" w:cs="Times New Roman"/>
                <w:b/>
                <w:bCs/>
                <w:sz w:val="24"/>
                <w:szCs w:val="24"/>
                <w:lang w:eastAsia="en-IN" w:bidi="gu-IN"/>
              </w:rPr>
              <w:t>Abnormal Returns (AR)</w:t>
            </w:r>
          </w:p>
        </w:tc>
        <w:tc>
          <w:tcPr>
            <w:tcW w:w="0" w:type="auto"/>
            <w:tcBorders>
              <w:top w:val="single" w:sz="4" w:space="0" w:color="auto"/>
              <w:bottom w:val="single" w:sz="4" w:space="0" w:color="auto"/>
            </w:tcBorders>
            <w:shd w:val="clear" w:color="auto" w:fill="auto"/>
            <w:noWrap/>
            <w:vAlign w:val="center"/>
            <w:hideMark/>
          </w:tcPr>
          <w:p w14:paraId="716BA7D2" w14:textId="7332A8C4" w:rsidR="00F410C2" w:rsidRPr="00301DDF" w:rsidRDefault="00A34752" w:rsidP="00301DDF">
            <w:pPr>
              <w:spacing w:after="0" w:line="360" w:lineRule="auto"/>
              <w:jc w:val="center"/>
              <w:rPr>
                <w:rFonts w:ascii="Times New Roman" w:eastAsia="Times New Roman" w:hAnsi="Times New Roman" w:cs="Times New Roman"/>
                <w:b/>
                <w:bCs/>
                <w:sz w:val="24"/>
                <w:szCs w:val="24"/>
                <w:lang w:eastAsia="en-IN" w:bidi="gu-IN"/>
              </w:rPr>
            </w:pPr>
            <m:oMathPara>
              <m:oMath>
                <m:sSub>
                  <m:sSubPr>
                    <m:ctrlPr>
                      <w:rPr>
                        <w:rFonts w:ascii="Cambria Math" w:eastAsia="Times New Roman" w:hAnsi="Cambria Math" w:cs="Times New Roman"/>
                        <w:b/>
                        <w:bCs/>
                        <w:i/>
                        <w:sz w:val="24"/>
                        <w:szCs w:val="24"/>
                        <w:lang w:eastAsia="en-IN" w:bidi="gu-IN"/>
                      </w:rPr>
                    </m:ctrlPr>
                  </m:sSubPr>
                  <m:e>
                    <m:r>
                      <m:rPr>
                        <m:sty m:val="bi"/>
                      </m:rPr>
                      <w:rPr>
                        <w:rFonts w:ascii="Cambria Math" w:eastAsia="Times New Roman" w:hAnsi="Cambria Math" w:cs="Times New Roman"/>
                        <w:sz w:val="24"/>
                        <w:szCs w:val="24"/>
                        <w:lang w:eastAsia="en-IN" w:bidi="gu-IN"/>
                      </w:rPr>
                      <m:t>t stat</m:t>
                    </m:r>
                  </m:e>
                  <m:sub>
                    <m:r>
                      <m:rPr>
                        <m:sty m:val="bi"/>
                      </m:rPr>
                      <w:rPr>
                        <w:rFonts w:ascii="Cambria Math" w:eastAsia="Times New Roman" w:hAnsi="Cambria Math" w:cs="Times New Roman"/>
                        <w:sz w:val="24"/>
                        <w:szCs w:val="24"/>
                        <w:lang w:eastAsia="en-IN" w:bidi="gu-IN"/>
                      </w:rPr>
                      <m:t>AR</m:t>
                    </m:r>
                  </m:sub>
                </m:sSub>
              </m:oMath>
            </m:oMathPara>
          </w:p>
        </w:tc>
      </w:tr>
      <w:tr w:rsidR="0093254A" w:rsidRPr="00301DDF" w14:paraId="31829F0F" w14:textId="77777777" w:rsidTr="00FE5FD8">
        <w:trPr>
          <w:trHeight w:val="227"/>
        </w:trPr>
        <w:tc>
          <w:tcPr>
            <w:tcW w:w="0" w:type="auto"/>
            <w:tcBorders>
              <w:top w:val="single" w:sz="4" w:space="0" w:color="auto"/>
            </w:tcBorders>
            <w:shd w:val="clear" w:color="auto" w:fill="auto"/>
            <w:noWrap/>
            <w:vAlign w:val="bottom"/>
            <w:hideMark/>
          </w:tcPr>
          <w:p w14:paraId="593E3714"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Argentina</w:t>
            </w:r>
          </w:p>
        </w:tc>
        <w:tc>
          <w:tcPr>
            <w:tcW w:w="2780" w:type="dxa"/>
            <w:tcBorders>
              <w:top w:val="single" w:sz="4" w:space="0" w:color="auto"/>
            </w:tcBorders>
            <w:shd w:val="clear" w:color="auto" w:fill="auto"/>
            <w:vAlign w:val="bottom"/>
          </w:tcPr>
          <w:p w14:paraId="1DA57B20" w14:textId="1A0D6799"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-2.519</w:t>
            </w:r>
          </w:p>
        </w:tc>
        <w:tc>
          <w:tcPr>
            <w:tcW w:w="0" w:type="auto"/>
            <w:tcBorders>
              <w:top w:val="single" w:sz="4" w:space="0" w:color="auto"/>
            </w:tcBorders>
            <w:shd w:val="clear" w:color="auto" w:fill="auto"/>
            <w:noWrap/>
            <w:vAlign w:val="bottom"/>
          </w:tcPr>
          <w:p w14:paraId="55A4C8A6" w14:textId="0F4C12BB"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-1.201</w:t>
            </w:r>
          </w:p>
        </w:tc>
      </w:tr>
      <w:tr w:rsidR="0093254A" w:rsidRPr="00301DDF" w14:paraId="54D61E5E" w14:textId="77777777" w:rsidTr="00FE5FD8">
        <w:trPr>
          <w:trHeight w:val="227"/>
        </w:trPr>
        <w:tc>
          <w:tcPr>
            <w:tcW w:w="0" w:type="auto"/>
            <w:shd w:val="clear" w:color="auto" w:fill="auto"/>
            <w:noWrap/>
            <w:vAlign w:val="bottom"/>
            <w:hideMark/>
          </w:tcPr>
          <w:p w14:paraId="7B1CDC96"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Australia</w:t>
            </w:r>
          </w:p>
        </w:tc>
        <w:tc>
          <w:tcPr>
            <w:tcW w:w="2780" w:type="dxa"/>
            <w:shd w:val="clear" w:color="auto" w:fill="auto"/>
            <w:vAlign w:val="bottom"/>
          </w:tcPr>
          <w:p w14:paraId="42A05A7F" w14:textId="36F53E53"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-2.672</w:t>
            </w:r>
          </w:p>
        </w:tc>
        <w:tc>
          <w:tcPr>
            <w:tcW w:w="0" w:type="auto"/>
            <w:shd w:val="clear" w:color="auto" w:fill="auto"/>
            <w:noWrap/>
            <w:vAlign w:val="bottom"/>
          </w:tcPr>
          <w:p w14:paraId="546FCCB0" w14:textId="63507A7A"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-3.070</w:t>
            </w:r>
            <w:r w:rsidR="007C295B" w:rsidRPr="00301DDF">
              <w:rPr>
                <w:rFonts w:ascii="Times New Roman" w:hAnsi="Times New Roman" w:cs="Times New Roman"/>
                <w:sz w:val="24"/>
                <w:szCs w:val="24"/>
              </w:rPr>
              <w:t>*</w:t>
            </w:r>
          </w:p>
        </w:tc>
      </w:tr>
      <w:tr w:rsidR="0093254A" w:rsidRPr="00301DDF" w14:paraId="3C3E608F" w14:textId="77777777" w:rsidTr="00FE5FD8">
        <w:trPr>
          <w:trHeight w:val="227"/>
        </w:trPr>
        <w:tc>
          <w:tcPr>
            <w:tcW w:w="0" w:type="auto"/>
            <w:shd w:val="clear" w:color="auto" w:fill="auto"/>
            <w:noWrap/>
            <w:vAlign w:val="bottom"/>
            <w:hideMark/>
          </w:tcPr>
          <w:p w14:paraId="3557E98B"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Brazil</w:t>
            </w:r>
          </w:p>
        </w:tc>
        <w:tc>
          <w:tcPr>
            <w:tcW w:w="2780" w:type="dxa"/>
            <w:shd w:val="clear" w:color="auto" w:fill="auto"/>
            <w:vAlign w:val="bottom"/>
          </w:tcPr>
          <w:p w14:paraId="06C84F0D" w14:textId="68C01BD7"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-0.046</w:t>
            </w:r>
          </w:p>
        </w:tc>
        <w:tc>
          <w:tcPr>
            <w:tcW w:w="0" w:type="auto"/>
            <w:shd w:val="clear" w:color="auto" w:fill="auto"/>
            <w:noWrap/>
            <w:vAlign w:val="bottom"/>
          </w:tcPr>
          <w:p w14:paraId="17544EFC" w14:textId="2CF8E810"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-0.036</w:t>
            </w:r>
          </w:p>
        </w:tc>
      </w:tr>
      <w:tr w:rsidR="0093254A" w:rsidRPr="00301DDF" w14:paraId="74C6814A" w14:textId="77777777" w:rsidTr="00FE5FD8">
        <w:trPr>
          <w:trHeight w:val="227"/>
        </w:trPr>
        <w:tc>
          <w:tcPr>
            <w:tcW w:w="0" w:type="auto"/>
            <w:shd w:val="clear" w:color="auto" w:fill="auto"/>
            <w:noWrap/>
            <w:vAlign w:val="bottom"/>
            <w:hideMark/>
          </w:tcPr>
          <w:p w14:paraId="400B12CF"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Canada</w:t>
            </w:r>
          </w:p>
        </w:tc>
        <w:tc>
          <w:tcPr>
            <w:tcW w:w="2780" w:type="dxa"/>
            <w:shd w:val="clear" w:color="auto" w:fill="auto"/>
            <w:vAlign w:val="bottom"/>
          </w:tcPr>
          <w:p w14:paraId="43C8FE02" w14:textId="0D64B7F5"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0.531</w:t>
            </w:r>
          </w:p>
        </w:tc>
        <w:tc>
          <w:tcPr>
            <w:tcW w:w="0" w:type="auto"/>
            <w:shd w:val="clear" w:color="auto" w:fill="auto"/>
            <w:noWrap/>
            <w:vAlign w:val="bottom"/>
          </w:tcPr>
          <w:p w14:paraId="5FA91B17" w14:textId="6BF1F716"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1.358</w:t>
            </w:r>
          </w:p>
        </w:tc>
      </w:tr>
      <w:tr w:rsidR="0093254A" w:rsidRPr="00301DDF" w14:paraId="5A2AB5A8" w14:textId="77777777" w:rsidTr="00FE5FD8">
        <w:trPr>
          <w:trHeight w:val="227"/>
        </w:trPr>
        <w:tc>
          <w:tcPr>
            <w:tcW w:w="0" w:type="auto"/>
            <w:shd w:val="clear" w:color="auto" w:fill="auto"/>
            <w:noWrap/>
            <w:vAlign w:val="bottom"/>
            <w:hideMark/>
          </w:tcPr>
          <w:p w14:paraId="7E5AF548"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China</w:t>
            </w:r>
          </w:p>
        </w:tc>
        <w:tc>
          <w:tcPr>
            <w:tcW w:w="2780" w:type="dxa"/>
            <w:shd w:val="clear" w:color="auto" w:fill="auto"/>
            <w:vAlign w:val="bottom"/>
          </w:tcPr>
          <w:p w14:paraId="0110C648" w14:textId="6DD244CE"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-1.548</w:t>
            </w:r>
          </w:p>
        </w:tc>
        <w:tc>
          <w:tcPr>
            <w:tcW w:w="0" w:type="auto"/>
            <w:shd w:val="clear" w:color="auto" w:fill="auto"/>
            <w:noWrap/>
            <w:vAlign w:val="bottom"/>
          </w:tcPr>
          <w:p w14:paraId="2045EE59" w14:textId="516D05FC"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-2.024</w:t>
            </w:r>
            <w:r w:rsidR="00143F54" w:rsidRPr="00301DDF">
              <w:rPr>
                <w:rFonts w:ascii="Times New Roman" w:hAnsi="Times New Roman" w:cs="Times New Roman"/>
                <w:sz w:val="24"/>
                <w:szCs w:val="24"/>
              </w:rPr>
              <w:t>**</w:t>
            </w:r>
          </w:p>
        </w:tc>
      </w:tr>
      <w:tr w:rsidR="0093254A" w:rsidRPr="00301DDF" w14:paraId="48B509E5" w14:textId="77777777" w:rsidTr="00FE5FD8">
        <w:trPr>
          <w:trHeight w:val="227"/>
        </w:trPr>
        <w:tc>
          <w:tcPr>
            <w:tcW w:w="0" w:type="auto"/>
            <w:shd w:val="clear" w:color="auto" w:fill="auto"/>
            <w:noWrap/>
            <w:vAlign w:val="bottom"/>
            <w:hideMark/>
          </w:tcPr>
          <w:p w14:paraId="3387E3BF"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France</w:t>
            </w:r>
          </w:p>
        </w:tc>
        <w:tc>
          <w:tcPr>
            <w:tcW w:w="2780" w:type="dxa"/>
            <w:shd w:val="clear" w:color="auto" w:fill="auto"/>
            <w:vAlign w:val="bottom"/>
          </w:tcPr>
          <w:p w14:paraId="6321A5AD" w14:textId="056B2F61"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-3.330</w:t>
            </w:r>
          </w:p>
        </w:tc>
        <w:tc>
          <w:tcPr>
            <w:tcW w:w="0" w:type="auto"/>
            <w:shd w:val="clear" w:color="auto" w:fill="auto"/>
            <w:noWrap/>
            <w:vAlign w:val="bottom"/>
          </w:tcPr>
          <w:p w14:paraId="42B2FD4A" w14:textId="60EF9C6A"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-3.916</w:t>
            </w:r>
            <w:r w:rsidR="007C295B" w:rsidRPr="00301DDF">
              <w:rPr>
                <w:rFonts w:ascii="Times New Roman" w:hAnsi="Times New Roman" w:cs="Times New Roman"/>
                <w:sz w:val="24"/>
                <w:szCs w:val="24"/>
              </w:rPr>
              <w:t>*</w:t>
            </w:r>
          </w:p>
        </w:tc>
      </w:tr>
      <w:tr w:rsidR="0093254A" w:rsidRPr="00301DDF" w14:paraId="31691571" w14:textId="77777777" w:rsidTr="00FE5FD8">
        <w:trPr>
          <w:trHeight w:val="227"/>
        </w:trPr>
        <w:tc>
          <w:tcPr>
            <w:tcW w:w="0" w:type="auto"/>
            <w:shd w:val="clear" w:color="auto" w:fill="auto"/>
            <w:noWrap/>
            <w:vAlign w:val="bottom"/>
            <w:hideMark/>
          </w:tcPr>
          <w:p w14:paraId="6449658A"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Germany</w:t>
            </w:r>
          </w:p>
        </w:tc>
        <w:tc>
          <w:tcPr>
            <w:tcW w:w="2780" w:type="dxa"/>
            <w:shd w:val="clear" w:color="auto" w:fill="auto"/>
            <w:vAlign w:val="bottom"/>
          </w:tcPr>
          <w:p w14:paraId="0388CDD5" w14:textId="5F852056"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-3.428</w:t>
            </w:r>
          </w:p>
        </w:tc>
        <w:tc>
          <w:tcPr>
            <w:tcW w:w="0" w:type="auto"/>
            <w:shd w:val="clear" w:color="auto" w:fill="auto"/>
            <w:noWrap/>
            <w:vAlign w:val="bottom"/>
          </w:tcPr>
          <w:p w14:paraId="3AA98277" w14:textId="06B17559"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-3.955</w:t>
            </w:r>
            <w:r w:rsidR="007C295B" w:rsidRPr="00301DDF">
              <w:rPr>
                <w:rFonts w:ascii="Times New Roman" w:hAnsi="Times New Roman" w:cs="Times New Roman"/>
                <w:sz w:val="24"/>
                <w:szCs w:val="24"/>
              </w:rPr>
              <w:t>*</w:t>
            </w:r>
          </w:p>
        </w:tc>
      </w:tr>
      <w:tr w:rsidR="0093254A" w:rsidRPr="00301DDF" w14:paraId="3DB7B62E" w14:textId="77777777" w:rsidTr="00FE5FD8">
        <w:trPr>
          <w:trHeight w:val="227"/>
        </w:trPr>
        <w:tc>
          <w:tcPr>
            <w:tcW w:w="0" w:type="auto"/>
            <w:shd w:val="clear" w:color="auto" w:fill="auto"/>
            <w:noWrap/>
            <w:vAlign w:val="bottom"/>
            <w:hideMark/>
          </w:tcPr>
          <w:p w14:paraId="27685F67"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Hungary</w:t>
            </w:r>
          </w:p>
        </w:tc>
        <w:tc>
          <w:tcPr>
            <w:tcW w:w="2780" w:type="dxa"/>
            <w:shd w:val="clear" w:color="auto" w:fill="auto"/>
            <w:vAlign w:val="bottom"/>
          </w:tcPr>
          <w:p w14:paraId="5505E24C" w14:textId="52B7F85C"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-9.488</w:t>
            </w:r>
          </w:p>
        </w:tc>
        <w:tc>
          <w:tcPr>
            <w:tcW w:w="0" w:type="auto"/>
            <w:shd w:val="clear" w:color="auto" w:fill="auto"/>
            <w:noWrap/>
            <w:vAlign w:val="bottom"/>
          </w:tcPr>
          <w:p w14:paraId="03971C33" w14:textId="5E83F095"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-8.920</w:t>
            </w:r>
            <w:r w:rsidR="007C295B" w:rsidRPr="00301DDF">
              <w:rPr>
                <w:rFonts w:ascii="Times New Roman" w:hAnsi="Times New Roman" w:cs="Times New Roman"/>
                <w:sz w:val="24"/>
                <w:szCs w:val="24"/>
              </w:rPr>
              <w:t>*</w:t>
            </w:r>
          </w:p>
        </w:tc>
      </w:tr>
      <w:tr w:rsidR="0093254A" w:rsidRPr="00301DDF" w14:paraId="0A919673" w14:textId="77777777" w:rsidTr="00FE5FD8">
        <w:trPr>
          <w:trHeight w:val="227"/>
        </w:trPr>
        <w:tc>
          <w:tcPr>
            <w:tcW w:w="0" w:type="auto"/>
            <w:shd w:val="clear" w:color="auto" w:fill="auto"/>
            <w:noWrap/>
            <w:vAlign w:val="bottom"/>
            <w:hideMark/>
          </w:tcPr>
          <w:p w14:paraId="4BD4D62E"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India</w:t>
            </w:r>
          </w:p>
        </w:tc>
        <w:tc>
          <w:tcPr>
            <w:tcW w:w="2780" w:type="dxa"/>
            <w:shd w:val="clear" w:color="auto" w:fill="auto"/>
            <w:vAlign w:val="bottom"/>
          </w:tcPr>
          <w:p w14:paraId="423676AD" w14:textId="01034357"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-4.325</w:t>
            </w:r>
          </w:p>
        </w:tc>
        <w:tc>
          <w:tcPr>
            <w:tcW w:w="0" w:type="auto"/>
            <w:shd w:val="clear" w:color="auto" w:fill="auto"/>
            <w:noWrap/>
            <w:vAlign w:val="bottom"/>
          </w:tcPr>
          <w:p w14:paraId="379BA7E0" w14:textId="4A9202D8"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-5.004</w:t>
            </w:r>
            <w:r w:rsidR="007C295B" w:rsidRPr="00301DDF">
              <w:rPr>
                <w:rFonts w:ascii="Times New Roman" w:hAnsi="Times New Roman" w:cs="Times New Roman"/>
                <w:sz w:val="24"/>
                <w:szCs w:val="24"/>
              </w:rPr>
              <w:t>*</w:t>
            </w:r>
          </w:p>
        </w:tc>
      </w:tr>
      <w:tr w:rsidR="0093254A" w:rsidRPr="00301DDF" w14:paraId="78D5D91C" w14:textId="77777777" w:rsidTr="00FE5FD8">
        <w:trPr>
          <w:trHeight w:val="227"/>
        </w:trPr>
        <w:tc>
          <w:tcPr>
            <w:tcW w:w="0" w:type="auto"/>
            <w:shd w:val="clear" w:color="auto" w:fill="auto"/>
            <w:noWrap/>
            <w:vAlign w:val="bottom"/>
            <w:hideMark/>
          </w:tcPr>
          <w:p w14:paraId="0E45787F"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Indonesia</w:t>
            </w:r>
          </w:p>
        </w:tc>
        <w:tc>
          <w:tcPr>
            <w:tcW w:w="2780" w:type="dxa"/>
            <w:shd w:val="clear" w:color="auto" w:fill="auto"/>
            <w:vAlign w:val="bottom"/>
          </w:tcPr>
          <w:p w14:paraId="7462528A" w14:textId="3BC06683"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-1.436</w:t>
            </w:r>
          </w:p>
        </w:tc>
        <w:tc>
          <w:tcPr>
            <w:tcW w:w="0" w:type="auto"/>
            <w:shd w:val="clear" w:color="auto" w:fill="auto"/>
            <w:noWrap/>
            <w:vAlign w:val="bottom"/>
          </w:tcPr>
          <w:p w14:paraId="31C15D82" w14:textId="289D608A"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-2.091</w:t>
            </w:r>
            <w:r w:rsidR="00143F54" w:rsidRPr="00301DDF">
              <w:rPr>
                <w:rFonts w:ascii="Times New Roman" w:hAnsi="Times New Roman" w:cs="Times New Roman"/>
                <w:sz w:val="24"/>
                <w:szCs w:val="24"/>
              </w:rPr>
              <w:t>**</w:t>
            </w:r>
          </w:p>
        </w:tc>
      </w:tr>
      <w:tr w:rsidR="0093254A" w:rsidRPr="00301DDF" w14:paraId="7D3814CC" w14:textId="77777777" w:rsidTr="00FE5FD8">
        <w:trPr>
          <w:trHeight w:val="227"/>
        </w:trPr>
        <w:tc>
          <w:tcPr>
            <w:tcW w:w="0" w:type="auto"/>
            <w:shd w:val="clear" w:color="auto" w:fill="auto"/>
            <w:noWrap/>
            <w:vAlign w:val="bottom"/>
            <w:hideMark/>
          </w:tcPr>
          <w:p w14:paraId="3EF70A26"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Italy</w:t>
            </w:r>
          </w:p>
        </w:tc>
        <w:tc>
          <w:tcPr>
            <w:tcW w:w="2780" w:type="dxa"/>
            <w:shd w:val="clear" w:color="auto" w:fill="auto"/>
            <w:vAlign w:val="bottom"/>
          </w:tcPr>
          <w:p w14:paraId="1A599ED7" w14:textId="19C0ABC3"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-3.607</w:t>
            </w:r>
          </w:p>
        </w:tc>
        <w:tc>
          <w:tcPr>
            <w:tcW w:w="0" w:type="auto"/>
            <w:shd w:val="clear" w:color="auto" w:fill="auto"/>
            <w:noWrap/>
            <w:vAlign w:val="bottom"/>
          </w:tcPr>
          <w:p w14:paraId="77088533" w14:textId="1BCE0B3E"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-3.924</w:t>
            </w:r>
            <w:r w:rsidR="007C295B" w:rsidRPr="00301DDF">
              <w:rPr>
                <w:rFonts w:ascii="Times New Roman" w:hAnsi="Times New Roman" w:cs="Times New Roman"/>
                <w:sz w:val="24"/>
                <w:szCs w:val="24"/>
              </w:rPr>
              <w:t>*</w:t>
            </w:r>
          </w:p>
        </w:tc>
      </w:tr>
      <w:tr w:rsidR="0093254A" w:rsidRPr="00301DDF" w14:paraId="37AF28F0" w14:textId="77777777" w:rsidTr="00FE5FD8">
        <w:trPr>
          <w:trHeight w:val="227"/>
        </w:trPr>
        <w:tc>
          <w:tcPr>
            <w:tcW w:w="0" w:type="auto"/>
            <w:shd w:val="clear" w:color="auto" w:fill="auto"/>
            <w:noWrap/>
            <w:vAlign w:val="bottom"/>
            <w:hideMark/>
          </w:tcPr>
          <w:p w14:paraId="6B82D449"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Japan</w:t>
            </w:r>
          </w:p>
        </w:tc>
        <w:tc>
          <w:tcPr>
            <w:tcW w:w="2780" w:type="dxa"/>
            <w:shd w:val="clear" w:color="auto" w:fill="auto"/>
            <w:vAlign w:val="bottom"/>
          </w:tcPr>
          <w:p w14:paraId="6153D30F" w14:textId="4444D40B"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-3.088</w:t>
            </w:r>
          </w:p>
        </w:tc>
        <w:tc>
          <w:tcPr>
            <w:tcW w:w="0" w:type="auto"/>
            <w:shd w:val="clear" w:color="auto" w:fill="auto"/>
            <w:noWrap/>
            <w:vAlign w:val="bottom"/>
          </w:tcPr>
          <w:p w14:paraId="2C0AB6B7" w14:textId="2CD2532F"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-2.810</w:t>
            </w:r>
            <w:r w:rsidR="007C295B" w:rsidRPr="00301DDF">
              <w:rPr>
                <w:rFonts w:ascii="Times New Roman" w:hAnsi="Times New Roman" w:cs="Times New Roman"/>
                <w:sz w:val="24"/>
                <w:szCs w:val="24"/>
              </w:rPr>
              <w:t>*</w:t>
            </w:r>
          </w:p>
        </w:tc>
      </w:tr>
      <w:tr w:rsidR="0093254A" w:rsidRPr="00301DDF" w14:paraId="638975B3" w14:textId="77777777" w:rsidTr="00FE5FD8">
        <w:trPr>
          <w:trHeight w:val="227"/>
        </w:trPr>
        <w:tc>
          <w:tcPr>
            <w:tcW w:w="0" w:type="auto"/>
            <w:shd w:val="clear" w:color="auto" w:fill="auto"/>
            <w:noWrap/>
            <w:vAlign w:val="bottom"/>
            <w:hideMark/>
          </w:tcPr>
          <w:p w14:paraId="0C2DA449"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Mexico</w:t>
            </w:r>
          </w:p>
        </w:tc>
        <w:tc>
          <w:tcPr>
            <w:tcW w:w="2780" w:type="dxa"/>
            <w:shd w:val="clear" w:color="auto" w:fill="auto"/>
            <w:vAlign w:val="bottom"/>
          </w:tcPr>
          <w:p w14:paraId="5F8D6222" w14:textId="742AF3C9"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0.486</w:t>
            </w:r>
          </w:p>
        </w:tc>
        <w:tc>
          <w:tcPr>
            <w:tcW w:w="0" w:type="auto"/>
            <w:shd w:val="clear" w:color="auto" w:fill="auto"/>
            <w:noWrap/>
            <w:vAlign w:val="bottom"/>
          </w:tcPr>
          <w:p w14:paraId="1291A710" w14:textId="2ED76660"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0.681</w:t>
            </w:r>
          </w:p>
        </w:tc>
      </w:tr>
      <w:tr w:rsidR="0093254A" w:rsidRPr="00301DDF" w14:paraId="2AB2F308" w14:textId="77777777" w:rsidTr="00FE5FD8">
        <w:trPr>
          <w:trHeight w:val="227"/>
        </w:trPr>
        <w:tc>
          <w:tcPr>
            <w:tcW w:w="0" w:type="auto"/>
            <w:shd w:val="clear" w:color="auto" w:fill="auto"/>
            <w:noWrap/>
            <w:vAlign w:val="bottom"/>
            <w:hideMark/>
          </w:tcPr>
          <w:p w14:paraId="2B753942"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Netherlands</w:t>
            </w:r>
          </w:p>
        </w:tc>
        <w:tc>
          <w:tcPr>
            <w:tcW w:w="2780" w:type="dxa"/>
            <w:shd w:val="clear" w:color="auto" w:fill="auto"/>
            <w:vAlign w:val="bottom"/>
          </w:tcPr>
          <w:p w14:paraId="205F7FC9" w14:textId="6D341988"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-2.075</w:t>
            </w:r>
          </w:p>
        </w:tc>
        <w:tc>
          <w:tcPr>
            <w:tcW w:w="0" w:type="auto"/>
            <w:shd w:val="clear" w:color="auto" w:fill="auto"/>
            <w:noWrap/>
            <w:vAlign w:val="bottom"/>
          </w:tcPr>
          <w:p w14:paraId="00235590" w14:textId="66783691"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-2.687</w:t>
            </w:r>
            <w:r w:rsidR="007C295B" w:rsidRPr="00301DDF">
              <w:rPr>
                <w:rFonts w:ascii="Times New Roman" w:hAnsi="Times New Roman" w:cs="Times New Roman"/>
                <w:sz w:val="24"/>
                <w:szCs w:val="24"/>
              </w:rPr>
              <w:t>*</w:t>
            </w:r>
          </w:p>
        </w:tc>
      </w:tr>
      <w:tr w:rsidR="0093254A" w:rsidRPr="00301DDF" w14:paraId="09BE7930" w14:textId="77777777" w:rsidTr="00FE5FD8">
        <w:trPr>
          <w:trHeight w:val="227"/>
        </w:trPr>
        <w:tc>
          <w:tcPr>
            <w:tcW w:w="0" w:type="auto"/>
            <w:shd w:val="clear" w:color="auto" w:fill="auto"/>
            <w:noWrap/>
            <w:vAlign w:val="bottom"/>
            <w:hideMark/>
          </w:tcPr>
          <w:p w14:paraId="2E223BB2"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Poland</w:t>
            </w:r>
          </w:p>
        </w:tc>
        <w:tc>
          <w:tcPr>
            <w:tcW w:w="2780" w:type="dxa"/>
            <w:shd w:val="clear" w:color="auto" w:fill="auto"/>
            <w:vAlign w:val="bottom"/>
          </w:tcPr>
          <w:p w14:paraId="0319097C" w14:textId="0F4CE848"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-10.374</w:t>
            </w:r>
          </w:p>
        </w:tc>
        <w:tc>
          <w:tcPr>
            <w:tcW w:w="0" w:type="auto"/>
            <w:shd w:val="clear" w:color="auto" w:fill="auto"/>
            <w:noWrap/>
            <w:vAlign w:val="bottom"/>
          </w:tcPr>
          <w:p w14:paraId="56D289EF" w14:textId="06903CC6"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-8.919</w:t>
            </w:r>
            <w:r w:rsidR="007C295B" w:rsidRPr="00301DDF">
              <w:rPr>
                <w:rFonts w:ascii="Times New Roman" w:hAnsi="Times New Roman" w:cs="Times New Roman"/>
                <w:sz w:val="24"/>
                <w:szCs w:val="24"/>
              </w:rPr>
              <w:t>*</w:t>
            </w:r>
          </w:p>
        </w:tc>
      </w:tr>
      <w:tr w:rsidR="0093254A" w:rsidRPr="00301DDF" w14:paraId="0F771C34" w14:textId="77777777" w:rsidTr="00FE5FD8">
        <w:trPr>
          <w:trHeight w:val="227"/>
        </w:trPr>
        <w:tc>
          <w:tcPr>
            <w:tcW w:w="0" w:type="auto"/>
            <w:shd w:val="clear" w:color="auto" w:fill="auto"/>
            <w:noWrap/>
            <w:vAlign w:val="bottom"/>
            <w:hideMark/>
          </w:tcPr>
          <w:p w14:paraId="6B3BDBDC"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lastRenderedPageBreak/>
              <w:t>Romania</w:t>
            </w:r>
          </w:p>
        </w:tc>
        <w:tc>
          <w:tcPr>
            <w:tcW w:w="2780" w:type="dxa"/>
            <w:shd w:val="clear" w:color="auto" w:fill="auto"/>
            <w:vAlign w:val="bottom"/>
          </w:tcPr>
          <w:p w14:paraId="39253A41" w14:textId="0C2CA448"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-3.869</w:t>
            </w:r>
          </w:p>
        </w:tc>
        <w:tc>
          <w:tcPr>
            <w:tcW w:w="0" w:type="auto"/>
            <w:shd w:val="clear" w:color="auto" w:fill="auto"/>
            <w:noWrap/>
            <w:vAlign w:val="bottom"/>
          </w:tcPr>
          <w:p w14:paraId="127128C3" w14:textId="5E97F49E"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-4.621</w:t>
            </w:r>
            <w:r w:rsidR="007C295B" w:rsidRPr="00301DDF">
              <w:rPr>
                <w:rFonts w:ascii="Times New Roman" w:hAnsi="Times New Roman" w:cs="Times New Roman"/>
                <w:sz w:val="24"/>
                <w:szCs w:val="24"/>
              </w:rPr>
              <w:t>*</w:t>
            </w:r>
          </w:p>
        </w:tc>
      </w:tr>
      <w:tr w:rsidR="0093254A" w:rsidRPr="00301DDF" w14:paraId="19B31052" w14:textId="77777777" w:rsidTr="00FE5FD8">
        <w:trPr>
          <w:trHeight w:val="227"/>
        </w:trPr>
        <w:tc>
          <w:tcPr>
            <w:tcW w:w="0" w:type="auto"/>
            <w:shd w:val="clear" w:color="auto" w:fill="auto"/>
            <w:noWrap/>
            <w:vAlign w:val="bottom"/>
            <w:hideMark/>
          </w:tcPr>
          <w:p w14:paraId="6781C018"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Russia</w:t>
            </w:r>
          </w:p>
        </w:tc>
        <w:tc>
          <w:tcPr>
            <w:tcW w:w="2780" w:type="dxa"/>
            <w:shd w:val="clear" w:color="auto" w:fill="auto"/>
            <w:vAlign w:val="bottom"/>
          </w:tcPr>
          <w:p w14:paraId="6C67DD35" w14:textId="4F5C6A0E"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-31.601</w:t>
            </w:r>
          </w:p>
        </w:tc>
        <w:tc>
          <w:tcPr>
            <w:tcW w:w="0" w:type="auto"/>
            <w:shd w:val="clear" w:color="auto" w:fill="auto"/>
            <w:noWrap/>
            <w:vAlign w:val="bottom"/>
          </w:tcPr>
          <w:p w14:paraId="3350AAF9" w14:textId="65573BA4"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-20.767</w:t>
            </w:r>
            <w:r w:rsidR="007C295B" w:rsidRPr="00301DDF">
              <w:rPr>
                <w:rFonts w:ascii="Times New Roman" w:hAnsi="Times New Roman" w:cs="Times New Roman"/>
                <w:sz w:val="24"/>
                <w:szCs w:val="24"/>
              </w:rPr>
              <w:t>*</w:t>
            </w:r>
          </w:p>
        </w:tc>
      </w:tr>
      <w:tr w:rsidR="0093254A" w:rsidRPr="00301DDF" w14:paraId="56359678" w14:textId="77777777" w:rsidTr="00FE5FD8">
        <w:trPr>
          <w:trHeight w:val="227"/>
        </w:trPr>
        <w:tc>
          <w:tcPr>
            <w:tcW w:w="0" w:type="auto"/>
            <w:shd w:val="clear" w:color="auto" w:fill="auto"/>
            <w:noWrap/>
            <w:vAlign w:val="bottom"/>
            <w:hideMark/>
          </w:tcPr>
          <w:p w14:paraId="0585EACA"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Saudi Arabia</w:t>
            </w:r>
          </w:p>
        </w:tc>
        <w:tc>
          <w:tcPr>
            <w:tcW w:w="2780" w:type="dxa"/>
            <w:shd w:val="clear" w:color="auto" w:fill="auto"/>
            <w:vAlign w:val="bottom"/>
          </w:tcPr>
          <w:p w14:paraId="3A24840C" w14:textId="08E00045"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-1.845</w:t>
            </w:r>
          </w:p>
        </w:tc>
        <w:tc>
          <w:tcPr>
            <w:tcW w:w="0" w:type="auto"/>
            <w:shd w:val="clear" w:color="auto" w:fill="auto"/>
            <w:noWrap/>
            <w:vAlign w:val="bottom"/>
          </w:tcPr>
          <w:p w14:paraId="2688E430" w14:textId="02D08C8D"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-1.877</w:t>
            </w:r>
            <w:r w:rsidR="00143F54" w:rsidRPr="00301DDF">
              <w:rPr>
                <w:rFonts w:ascii="Times New Roman" w:hAnsi="Times New Roman" w:cs="Times New Roman"/>
                <w:sz w:val="24"/>
                <w:szCs w:val="24"/>
              </w:rPr>
              <w:t>***</w:t>
            </w:r>
          </w:p>
        </w:tc>
      </w:tr>
      <w:tr w:rsidR="0093254A" w:rsidRPr="00301DDF" w14:paraId="73DF1115" w14:textId="77777777" w:rsidTr="00FE5FD8">
        <w:trPr>
          <w:trHeight w:val="227"/>
        </w:trPr>
        <w:tc>
          <w:tcPr>
            <w:tcW w:w="0" w:type="auto"/>
            <w:shd w:val="clear" w:color="auto" w:fill="auto"/>
            <w:noWrap/>
            <w:vAlign w:val="bottom"/>
            <w:hideMark/>
          </w:tcPr>
          <w:p w14:paraId="60DA5022"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Slovakia</w:t>
            </w:r>
          </w:p>
        </w:tc>
        <w:tc>
          <w:tcPr>
            <w:tcW w:w="2780" w:type="dxa"/>
            <w:shd w:val="clear" w:color="auto" w:fill="auto"/>
            <w:vAlign w:val="bottom"/>
          </w:tcPr>
          <w:p w14:paraId="33CB8C78" w14:textId="5C9B57C3"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0.668</w:t>
            </w:r>
          </w:p>
        </w:tc>
        <w:tc>
          <w:tcPr>
            <w:tcW w:w="0" w:type="auto"/>
            <w:shd w:val="clear" w:color="auto" w:fill="auto"/>
            <w:noWrap/>
            <w:vAlign w:val="bottom"/>
          </w:tcPr>
          <w:p w14:paraId="078FCED7" w14:textId="27B7DB3B"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1.238</w:t>
            </w:r>
          </w:p>
        </w:tc>
      </w:tr>
      <w:tr w:rsidR="0093254A" w:rsidRPr="00301DDF" w14:paraId="5719755D" w14:textId="77777777" w:rsidTr="00FE5FD8">
        <w:trPr>
          <w:trHeight w:val="227"/>
        </w:trPr>
        <w:tc>
          <w:tcPr>
            <w:tcW w:w="0" w:type="auto"/>
            <w:shd w:val="clear" w:color="auto" w:fill="auto"/>
            <w:noWrap/>
            <w:vAlign w:val="bottom"/>
            <w:hideMark/>
          </w:tcPr>
          <w:p w14:paraId="4F9F36E2"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South Africa</w:t>
            </w:r>
          </w:p>
        </w:tc>
        <w:tc>
          <w:tcPr>
            <w:tcW w:w="2780" w:type="dxa"/>
            <w:shd w:val="clear" w:color="auto" w:fill="auto"/>
            <w:vAlign w:val="bottom"/>
          </w:tcPr>
          <w:p w14:paraId="6B6CBFE7" w14:textId="40F31EA6"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-1.379</w:t>
            </w:r>
          </w:p>
        </w:tc>
        <w:tc>
          <w:tcPr>
            <w:tcW w:w="0" w:type="auto"/>
            <w:shd w:val="clear" w:color="auto" w:fill="auto"/>
            <w:noWrap/>
            <w:vAlign w:val="bottom"/>
          </w:tcPr>
          <w:p w14:paraId="436C4DA3" w14:textId="49EB9D39"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-1.486</w:t>
            </w:r>
          </w:p>
        </w:tc>
      </w:tr>
      <w:tr w:rsidR="0093254A" w:rsidRPr="00301DDF" w14:paraId="12449569" w14:textId="77777777" w:rsidTr="00FE5FD8">
        <w:trPr>
          <w:trHeight w:val="227"/>
        </w:trPr>
        <w:tc>
          <w:tcPr>
            <w:tcW w:w="0" w:type="auto"/>
            <w:shd w:val="clear" w:color="auto" w:fill="auto"/>
            <w:noWrap/>
            <w:vAlign w:val="bottom"/>
          </w:tcPr>
          <w:p w14:paraId="7502D0F4" w14:textId="67B313DA"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South Korea</w:t>
            </w:r>
          </w:p>
        </w:tc>
        <w:tc>
          <w:tcPr>
            <w:tcW w:w="2780" w:type="dxa"/>
            <w:shd w:val="clear" w:color="auto" w:fill="auto"/>
            <w:vAlign w:val="bottom"/>
          </w:tcPr>
          <w:p w14:paraId="78DB4114" w14:textId="3911A600"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-2.252</w:t>
            </w:r>
          </w:p>
        </w:tc>
        <w:tc>
          <w:tcPr>
            <w:tcW w:w="0" w:type="auto"/>
            <w:shd w:val="clear" w:color="auto" w:fill="auto"/>
            <w:noWrap/>
            <w:vAlign w:val="bottom"/>
          </w:tcPr>
          <w:p w14:paraId="0E5C9ECB" w14:textId="31418908"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-2.065</w:t>
            </w:r>
            <w:r w:rsidR="00DC566B" w:rsidRPr="00301DDF">
              <w:rPr>
                <w:rFonts w:ascii="Times New Roman" w:hAnsi="Times New Roman" w:cs="Times New Roman"/>
                <w:sz w:val="24"/>
                <w:szCs w:val="24"/>
              </w:rPr>
              <w:t>**</w:t>
            </w:r>
          </w:p>
        </w:tc>
      </w:tr>
      <w:tr w:rsidR="0093254A" w:rsidRPr="00301DDF" w14:paraId="35781CF3" w14:textId="77777777" w:rsidTr="00FE5FD8">
        <w:trPr>
          <w:trHeight w:val="227"/>
        </w:trPr>
        <w:tc>
          <w:tcPr>
            <w:tcW w:w="0" w:type="auto"/>
            <w:shd w:val="clear" w:color="auto" w:fill="auto"/>
            <w:noWrap/>
            <w:vAlign w:val="bottom"/>
            <w:hideMark/>
          </w:tcPr>
          <w:p w14:paraId="06B842D6"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Spain</w:t>
            </w:r>
          </w:p>
        </w:tc>
        <w:tc>
          <w:tcPr>
            <w:tcW w:w="2780" w:type="dxa"/>
            <w:shd w:val="clear" w:color="auto" w:fill="auto"/>
            <w:vAlign w:val="bottom"/>
          </w:tcPr>
          <w:p w14:paraId="2D458A75" w14:textId="714D7B08"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-2.429</w:t>
            </w:r>
          </w:p>
        </w:tc>
        <w:tc>
          <w:tcPr>
            <w:tcW w:w="0" w:type="auto"/>
            <w:shd w:val="clear" w:color="auto" w:fill="auto"/>
            <w:noWrap/>
            <w:vAlign w:val="bottom"/>
          </w:tcPr>
          <w:p w14:paraId="2C643FDF" w14:textId="484F78F5"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-2.450</w:t>
            </w:r>
            <w:r w:rsidR="00DC566B" w:rsidRPr="00301DDF">
              <w:rPr>
                <w:rFonts w:ascii="Times New Roman" w:hAnsi="Times New Roman" w:cs="Times New Roman"/>
                <w:sz w:val="24"/>
                <w:szCs w:val="24"/>
              </w:rPr>
              <w:t>**</w:t>
            </w:r>
          </w:p>
        </w:tc>
      </w:tr>
      <w:tr w:rsidR="0093254A" w:rsidRPr="00301DDF" w14:paraId="1DFEB35C" w14:textId="77777777" w:rsidTr="00FE5FD8">
        <w:trPr>
          <w:trHeight w:val="227"/>
        </w:trPr>
        <w:tc>
          <w:tcPr>
            <w:tcW w:w="0" w:type="auto"/>
            <w:shd w:val="clear" w:color="auto" w:fill="auto"/>
            <w:noWrap/>
            <w:vAlign w:val="bottom"/>
            <w:hideMark/>
          </w:tcPr>
          <w:p w14:paraId="5BFB5CDC"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Turkey</w:t>
            </w:r>
          </w:p>
        </w:tc>
        <w:tc>
          <w:tcPr>
            <w:tcW w:w="2780" w:type="dxa"/>
            <w:shd w:val="clear" w:color="auto" w:fill="auto"/>
            <w:vAlign w:val="bottom"/>
          </w:tcPr>
          <w:p w14:paraId="4FCC19E8" w14:textId="34B2818A"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-8.262</w:t>
            </w:r>
          </w:p>
        </w:tc>
        <w:tc>
          <w:tcPr>
            <w:tcW w:w="0" w:type="auto"/>
            <w:shd w:val="clear" w:color="auto" w:fill="auto"/>
            <w:noWrap/>
            <w:vAlign w:val="bottom"/>
          </w:tcPr>
          <w:p w14:paraId="37B76C87" w14:textId="12912579"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-4.210</w:t>
            </w:r>
            <w:r w:rsidR="007C295B" w:rsidRPr="00301DDF">
              <w:rPr>
                <w:rFonts w:ascii="Times New Roman" w:hAnsi="Times New Roman" w:cs="Times New Roman"/>
                <w:sz w:val="24"/>
                <w:szCs w:val="24"/>
              </w:rPr>
              <w:t>*</w:t>
            </w:r>
          </w:p>
        </w:tc>
      </w:tr>
      <w:tr w:rsidR="0093254A" w:rsidRPr="00301DDF" w14:paraId="78979D4A" w14:textId="77777777" w:rsidTr="00FE5FD8">
        <w:trPr>
          <w:trHeight w:val="227"/>
        </w:trPr>
        <w:tc>
          <w:tcPr>
            <w:tcW w:w="0" w:type="auto"/>
            <w:shd w:val="clear" w:color="auto" w:fill="auto"/>
            <w:noWrap/>
            <w:vAlign w:val="bottom"/>
            <w:hideMark/>
          </w:tcPr>
          <w:p w14:paraId="4F339DD2"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UK</w:t>
            </w:r>
          </w:p>
        </w:tc>
        <w:tc>
          <w:tcPr>
            <w:tcW w:w="2780" w:type="dxa"/>
            <w:shd w:val="clear" w:color="auto" w:fill="auto"/>
            <w:vAlign w:val="bottom"/>
          </w:tcPr>
          <w:p w14:paraId="0C973AA2" w14:textId="782C37F9"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-3.642</w:t>
            </w:r>
          </w:p>
        </w:tc>
        <w:tc>
          <w:tcPr>
            <w:tcW w:w="0" w:type="auto"/>
            <w:shd w:val="clear" w:color="auto" w:fill="auto"/>
            <w:noWrap/>
            <w:vAlign w:val="bottom"/>
          </w:tcPr>
          <w:p w14:paraId="7F6D08A0" w14:textId="73AB6D68"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-5.167</w:t>
            </w:r>
            <w:r w:rsidR="007C295B" w:rsidRPr="00301DDF">
              <w:rPr>
                <w:rFonts w:ascii="Times New Roman" w:hAnsi="Times New Roman" w:cs="Times New Roman"/>
                <w:sz w:val="24"/>
                <w:szCs w:val="24"/>
              </w:rPr>
              <w:t>*</w:t>
            </w:r>
          </w:p>
        </w:tc>
      </w:tr>
      <w:tr w:rsidR="0093254A" w:rsidRPr="00301DDF" w14:paraId="3AB63896" w14:textId="77777777" w:rsidTr="00FE5FD8">
        <w:trPr>
          <w:trHeight w:val="227"/>
        </w:trPr>
        <w:tc>
          <w:tcPr>
            <w:tcW w:w="0" w:type="auto"/>
            <w:shd w:val="clear" w:color="auto" w:fill="auto"/>
            <w:noWrap/>
            <w:vAlign w:val="bottom"/>
            <w:hideMark/>
          </w:tcPr>
          <w:p w14:paraId="6B7A264D"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Ukraine</w:t>
            </w:r>
          </w:p>
        </w:tc>
        <w:tc>
          <w:tcPr>
            <w:tcW w:w="2780" w:type="dxa"/>
            <w:shd w:val="clear" w:color="auto" w:fill="auto"/>
            <w:vAlign w:val="bottom"/>
          </w:tcPr>
          <w:p w14:paraId="41417A90" w14:textId="2BAC6EAA"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0.007</w:t>
            </w:r>
          </w:p>
        </w:tc>
        <w:tc>
          <w:tcPr>
            <w:tcW w:w="0" w:type="auto"/>
            <w:shd w:val="clear" w:color="auto" w:fill="auto"/>
            <w:noWrap/>
            <w:vAlign w:val="bottom"/>
          </w:tcPr>
          <w:p w14:paraId="01AC10E5" w14:textId="50E9308A"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0.080</w:t>
            </w:r>
          </w:p>
        </w:tc>
      </w:tr>
      <w:tr w:rsidR="0093254A" w:rsidRPr="00301DDF" w14:paraId="6EBAED75" w14:textId="77777777" w:rsidTr="00FE5FD8">
        <w:trPr>
          <w:trHeight w:val="227"/>
        </w:trPr>
        <w:tc>
          <w:tcPr>
            <w:tcW w:w="0" w:type="auto"/>
            <w:shd w:val="clear" w:color="auto" w:fill="auto"/>
            <w:noWrap/>
            <w:vAlign w:val="bottom"/>
            <w:hideMark/>
          </w:tcPr>
          <w:p w14:paraId="7BA5988C" w14:textId="77777777" w:rsidR="00F410C2" w:rsidRPr="00301DDF" w:rsidRDefault="00F410C2" w:rsidP="00301DDF">
            <w:pPr>
              <w:spacing w:after="0" w:line="360" w:lineRule="auto"/>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USA</w:t>
            </w:r>
          </w:p>
        </w:tc>
        <w:tc>
          <w:tcPr>
            <w:tcW w:w="2780" w:type="dxa"/>
            <w:vAlign w:val="bottom"/>
          </w:tcPr>
          <w:p w14:paraId="29EDE62A" w14:textId="6C3631A1"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2.183</w:t>
            </w:r>
          </w:p>
        </w:tc>
        <w:tc>
          <w:tcPr>
            <w:tcW w:w="0" w:type="auto"/>
            <w:shd w:val="clear" w:color="auto" w:fill="auto"/>
            <w:noWrap/>
            <w:vAlign w:val="bottom"/>
          </w:tcPr>
          <w:p w14:paraId="3EF169A1" w14:textId="458753EC" w:rsidR="00F410C2" w:rsidRPr="00301DDF" w:rsidRDefault="00F410C2"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6.145</w:t>
            </w:r>
            <w:r w:rsidR="007C295B" w:rsidRPr="00301DDF">
              <w:rPr>
                <w:rFonts w:ascii="Times New Roman" w:hAnsi="Times New Roman" w:cs="Times New Roman"/>
                <w:sz w:val="24"/>
                <w:szCs w:val="24"/>
              </w:rPr>
              <w:t>*</w:t>
            </w:r>
          </w:p>
        </w:tc>
      </w:tr>
    </w:tbl>
    <w:p w14:paraId="49F8AC8F" w14:textId="68108A29" w:rsidR="00464DCC" w:rsidRDefault="006C5A1A" w:rsidP="00301DDF">
      <w:pPr>
        <w:autoSpaceDE w:val="0"/>
        <w:autoSpaceDN w:val="0"/>
        <w:adjustRightInd w:val="0"/>
        <w:spacing w:after="0" w:line="360" w:lineRule="auto"/>
        <w:jc w:val="both"/>
        <w:rPr>
          <w:rFonts w:ascii="Times New Roman" w:hAnsi="Times New Roman" w:cs="Times New Roman"/>
          <w:sz w:val="20"/>
          <w:szCs w:val="20"/>
          <w:lang w:bidi="gu-IN"/>
        </w:rPr>
      </w:pPr>
      <w:r w:rsidRPr="00301DDF">
        <w:rPr>
          <w:rFonts w:ascii="Times New Roman" w:hAnsi="Times New Roman" w:cs="Times New Roman"/>
          <w:sz w:val="20"/>
          <w:szCs w:val="20"/>
          <w:lang w:bidi="gu-IN"/>
        </w:rPr>
        <w:t xml:space="preserve">Notes: </w:t>
      </w:r>
      <w:r w:rsidR="005F28D7" w:rsidRPr="00301DDF">
        <w:rPr>
          <w:rFonts w:ascii="Times New Roman" w:hAnsi="Times New Roman" w:cs="Times New Roman"/>
          <w:sz w:val="20"/>
          <w:szCs w:val="20"/>
        </w:rPr>
        <w:t>*</w:t>
      </w:r>
      <w:r w:rsidR="005F28D7" w:rsidRPr="00301DDF">
        <w:rPr>
          <w:rFonts w:ascii="Times New Roman" w:hAnsi="Times New Roman" w:cs="Times New Roman"/>
          <w:sz w:val="20"/>
          <w:szCs w:val="20"/>
          <w:lang w:bidi="gu-IN"/>
        </w:rPr>
        <w:t>Significant at p-value of 0.01 (1% level) **Significant at p-value of 0.05 (5% level). **</w:t>
      </w:r>
      <w:r w:rsidR="00EF7ACD" w:rsidRPr="00301DDF">
        <w:rPr>
          <w:rFonts w:ascii="Times New Roman" w:hAnsi="Times New Roman" w:cs="Times New Roman"/>
          <w:sz w:val="20"/>
          <w:szCs w:val="20"/>
          <w:lang w:bidi="gu-IN"/>
        </w:rPr>
        <w:t>*</w:t>
      </w:r>
      <w:r w:rsidR="005F28D7" w:rsidRPr="00301DDF">
        <w:rPr>
          <w:rFonts w:ascii="Times New Roman" w:hAnsi="Times New Roman" w:cs="Times New Roman"/>
          <w:sz w:val="20"/>
          <w:szCs w:val="20"/>
          <w:lang w:bidi="gu-IN"/>
        </w:rPr>
        <w:t>Significant at p-value of 0.10 (10% level).</w:t>
      </w:r>
    </w:p>
    <w:p w14:paraId="5D912E12" w14:textId="77777777" w:rsidR="00FE5FD8" w:rsidRPr="0042363F" w:rsidRDefault="00FE5FD8" w:rsidP="00301DDF">
      <w:pPr>
        <w:autoSpaceDE w:val="0"/>
        <w:autoSpaceDN w:val="0"/>
        <w:adjustRightInd w:val="0"/>
        <w:spacing w:after="0" w:line="360" w:lineRule="auto"/>
        <w:jc w:val="both"/>
        <w:rPr>
          <w:rFonts w:ascii="Times New Roman" w:hAnsi="Times New Roman" w:cs="Times New Roman"/>
          <w:sz w:val="20"/>
          <w:szCs w:val="20"/>
          <w:lang w:bidi="gu-IN"/>
        </w:rPr>
      </w:pPr>
    </w:p>
    <w:p w14:paraId="57D4495A" w14:textId="77777777" w:rsidR="00FE5FD8" w:rsidRPr="0042363F" w:rsidRDefault="00FE5FD8" w:rsidP="00C4148D">
      <w:pPr>
        <w:autoSpaceDE w:val="0"/>
        <w:autoSpaceDN w:val="0"/>
        <w:adjustRightInd w:val="0"/>
        <w:spacing w:after="0" w:line="360" w:lineRule="auto"/>
        <w:rPr>
          <w:rFonts w:ascii="Times New Roman" w:hAnsi="Times New Roman" w:cs="Times New Roman"/>
          <w:b/>
          <w:bCs/>
          <w:lang w:bidi="gu-IN"/>
        </w:rPr>
      </w:pPr>
    </w:p>
    <w:p w14:paraId="39E05147" w14:textId="4D263891" w:rsidR="00C4148D" w:rsidRPr="00301DDF" w:rsidRDefault="00C4148D" w:rsidP="00301DDF">
      <w:pPr>
        <w:autoSpaceDE w:val="0"/>
        <w:autoSpaceDN w:val="0"/>
        <w:adjustRightInd w:val="0"/>
        <w:spacing w:after="0" w:line="360" w:lineRule="auto"/>
        <w:rPr>
          <w:rFonts w:ascii="Times New Roman" w:hAnsi="Times New Roman" w:cs="Times New Roman"/>
          <w:sz w:val="24"/>
          <w:szCs w:val="24"/>
          <w:lang w:bidi="gu-IN"/>
        </w:rPr>
      </w:pPr>
      <w:r w:rsidRPr="0042363F">
        <w:rPr>
          <w:rFonts w:ascii="Times New Roman" w:hAnsi="Times New Roman" w:cs="Times New Roman"/>
          <w:b/>
          <w:bCs/>
          <w:sz w:val="24"/>
          <w:szCs w:val="24"/>
          <w:lang w:bidi="gu-IN"/>
        </w:rPr>
        <w:t xml:space="preserve">Table </w:t>
      </w:r>
      <w:r w:rsidRPr="00301DDF">
        <w:rPr>
          <w:rFonts w:ascii="Times New Roman" w:hAnsi="Times New Roman" w:cs="Times New Roman"/>
          <w:b/>
          <w:bCs/>
          <w:sz w:val="24"/>
          <w:szCs w:val="24"/>
          <w:lang w:bidi="gu-IN"/>
        </w:rPr>
        <w:t xml:space="preserve">2. </w:t>
      </w:r>
      <w:r w:rsidR="00B52E43" w:rsidRPr="00B52E43">
        <w:rPr>
          <w:rFonts w:ascii="Times New Roman" w:hAnsi="Times New Roman" w:cs="Times New Roman"/>
          <w:sz w:val="24"/>
          <w:szCs w:val="24"/>
          <w:lang w:bidi="gu-IN"/>
        </w:rPr>
        <w:t>Aggregate</w:t>
      </w:r>
      <w:r w:rsidR="00B52E43">
        <w:rPr>
          <w:rFonts w:ascii="Times New Roman" w:hAnsi="Times New Roman" w:cs="Times New Roman"/>
          <w:sz w:val="24"/>
          <w:szCs w:val="24"/>
          <w:lang w:bidi="gu-IN"/>
        </w:rPr>
        <w:t xml:space="preserve"> stock market’s</w:t>
      </w:r>
      <w:r w:rsidR="00B52E43" w:rsidRPr="00B52E43">
        <w:rPr>
          <w:rFonts w:ascii="Times New Roman" w:hAnsi="Times New Roman" w:cs="Times New Roman"/>
          <w:sz w:val="24"/>
          <w:szCs w:val="24"/>
          <w:lang w:bidi="gu-IN"/>
        </w:rPr>
        <w:t xml:space="preserve"> </w:t>
      </w:r>
      <w:r w:rsidRPr="00301DDF">
        <w:rPr>
          <w:rFonts w:ascii="Times New Roman" w:hAnsi="Times New Roman" w:cs="Times New Roman"/>
          <w:sz w:val="24"/>
          <w:szCs w:val="24"/>
          <w:lang w:bidi="gu-IN"/>
        </w:rPr>
        <w:t>AARs</w:t>
      </w:r>
      <w:r w:rsidR="00B52E43">
        <w:rPr>
          <w:rFonts w:ascii="Times New Roman" w:hAnsi="Times New Roman" w:cs="Times New Roman"/>
          <w:sz w:val="24"/>
          <w:szCs w:val="24"/>
          <w:lang w:bidi="gu-IN"/>
        </w:rPr>
        <w:t xml:space="preserve"> and </w:t>
      </w:r>
      <w:r w:rsidRPr="00301DDF">
        <w:rPr>
          <w:rFonts w:ascii="Times New Roman" w:hAnsi="Times New Roman" w:cs="Times New Roman"/>
          <w:sz w:val="24"/>
          <w:szCs w:val="24"/>
          <w:lang w:bidi="gu-IN"/>
        </w:rPr>
        <w:t>CAARs</w:t>
      </w:r>
    </w:p>
    <w:tbl>
      <w:tblPr>
        <w:tblW w:w="9771" w:type="dxa"/>
        <w:tblBorders>
          <w:top w:val="single" w:sz="4" w:space="0" w:color="auto"/>
          <w:bottom w:val="single" w:sz="4" w:space="0" w:color="auto"/>
        </w:tblBorders>
        <w:tblLook w:val="04A0" w:firstRow="1" w:lastRow="0" w:firstColumn="1" w:lastColumn="0" w:noHBand="0" w:noVBand="1"/>
      </w:tblPr>
      <w:tblGrid>
        <w:gridCol w:w="1423"/>
        <w:gridCol w:w="1646"/>
        <w:gridCol w:w="2350"/>
        <w:gridCol w:w="1791"/>
        <w:gridCol w:w="2561"/>
      </w:tblGrid>
      <w:tr w:rsidR="00C77259" w:rsidRPr="00301DDF" w14:paraId="203F5A07" w14:textId="77777777" w:rsidTr="00D162BA">
        <w:trPr>
          <w:trHeight w:val="448"/>
        </w:trPr>
        <w:tc>
          <w:tcPr>
            <w:tcW w:w="0" w:type="auto"/>
            <w:tcBorders>
              <w:top w:val="single" w:sz="4" w:space="0" w:color="auto"/>
              <w:bottom w:val="single" w:sz="4" w:space="0" w:color="auto"/>
            </w:tcBorders>
            <w:shd w:val="clear" w:color="auto" w:fill="auto"/>
            <w:noWrap/>
            <w:vAlign w:val="bottom"/>
            <w:hideMark/>
          </w:tcPr>
          <w:p w14:paraId="1FDBCE9D" w14:textId="77777777" w:rsidR="00C24CFE" w:rsidRPr="00301DDF" w:rsidRDefault="00C24CFE" w:rsidP="00D162BA">
            <w:pPr>
              <w:spacing w:after="0" w:line="360" w:lineRule="auto"/>
              <w:jc w:val="center"/>
              <w:rPr>
                <w:rFonts w:ascii="Times New Roman" w:eastAsia="Times New Roman" w:hAnsi="Times New Roman" w:cs="Times New Roman"/>
                <w:b/>
                <w:bCs/>
                <w:sz w:val="24"/>
                <w:szCs w:val="24"/>
                <w:lang w:eastAsia="en-IN" w:bidi="gu-IN"/>
              </w:rPr>
            </w:pPr>
            <w:r w:rsidRPr="00301DDF">
              <w:rPr>
                <w:rFonts w:ascii="Times New Roman" w:eastAsia="Times New Roman" w:hAnsi="Times New Roman" w:cs="Times New Roman"/>
                <w:b/>
                <w:bCs/>
                <w:sz w:val="24"/>
                <w:szCs w:val="24"/>
                <w:lang w:eastAsia="en-IN" w:bidi="gu-IN"/>
              </w:rPr>
              <w:t>Days</w:t>
            </w:r>
          </w:p>
        </w:tc>
        <w:tc>
          <w:tcPr>
            <w:tcW w:w="0" w:type="auto"/>
            <w:tcBorders>
              <w:top w:val="single" w:sz="4" w:space="0" w:color="auto"/>
              <w:bottom w:val="single" w:sz="4" w:space="0" w:color="auto"/>
            </w:tcBorders>
            <w:shd w:val="clear" w:color="auto" w:fill="auto"/>
            <w:noWrap/>
            <w:vAlign w:val="bottom"/>
            <w:hideMark/>
          </w:tcPr>
          <w:p w14:paraId="4E921681" w14:textId="77777777" w:rsidR="00C24CFE" w:rsidRPr="00301DDF" w:rsidRDefault="00C24CFE" w:rsidP="00D162BA">
            <w:pPr>
              <w:spacing w:after="0" w:line="360" w:lineRule="auto"/>
              <w:jc w:val="center"/>
              <w:rPr>
                <w:rFonts w:ascii="Times New Roman" w:eastAsia="Times New Roman" w:hAnsi="Times New Roman" w:cs="Times New Roman"/>
                <w:b/>
                <w:bCs/>
                <w:sz w:val="24"/>
                <w:szCs w:val="24"/>
                <w:lang w:eastAsia="en-IN" w:bidi="gu-IN"/>
              </w:rPr>
            </w:pPr>
            <w:r w:rsidRPr="00301DDF">
              <w:rPr>
                <w:rFonts w:ascii="Times New Roman" w:eastAsia="Times New Roman" w:hAnsi="Times New Roman" w:cs="Times New Roman"/>
                <w:b/>
                <w:bCs/>
                <w:sz w:val="24"/>
                <w:szCs w:val="24"/>
                <w:lang w:eastAsia="en-IN" w:bidi="gu-IN"/>
              </w:rPr>
              <w:t>AAR</w:t>
            </w:r>
          </w:p>
        </w:tc>
        <w:tc>
          <w:tcPr>
            <w:tcW w:w="0" w:type="auto"/>
            <w:tcBorders>
              <w:top w:val="single" w:sz="4" w:space="0" w:color="auto"/>
              <w:bottom w:val="single" w:sz="4" w:space="0" w:color="auto"/>
            </w:tcBorders>
            <w:shd w:val="clear" w:color="auto" w:fill="auto"/>
            <w:noWrap/>
            <w:vAlign w:val="bottom"/>
            <w:hideMark/>
          </w:tcPr>
          <w:p w14:paraId="337251FC" w14:textId="0BD2EE0B" w:rsidR="00C24CFE" w:rsidRPr="00301DDF" w:rsidRDefault="00A34752" w:rsidP="00D162BA">
            <w:pPr>
              <w:spacing w:after="0" w:line="360" w:lineRule="auto"/>
              <w:jc w:val="center"/>
              <w:rPr>
                <w:rFonts w:ascii="Times New Roman" w:eastAsia="Times New Roman" w:hAnsi="Times New Roman" w:cs="Times New Roman"/>
                <w:b/>
                <w:bCs/>
                <w:sz w:val="24"/>
                <w:szCs w:val="24"/>
                <w:lang w:eastAsia="en-IN" w:bidi="gu-IN"/>
              </w:rPr>
            </w:pPr>
            <m:oMathPara>
              <m:oMath>
                <m:sSub>
                  <m:sSubPr>
                    <m:ctrlPr>
                      <w:rPr>
                        <w:rFonts w:ascii="Cambria Math" w:eastAsia="Times New Roman" w:hAnsi="Cambria Math" w:cs="Times New Roman"/>
                        <w:b/>
                        <w:bCs/>
                        <w:i/>
                        <w:sz w:val="24"/>
                        <w:szCs w:val="24"/>
                        <w:lang w:eastAsia="en-IN" w:bidi="gu-IN"/>
                      </w:rPr>
                    </m:ctrlPr>
                  </m:sSubPr>
                  <m:e>
                    <m:r>
                      <m:rPr>
                        <m:sty m:val="bi"/>
                      </m:rPr>
                      <w:rPr>
                        <w:rFonts w:ascii="Cambria Math" w:eastAsia="Times New Roman" w:hAnsi="Cambria Math" w:cs="Times New Roman"/>
                        <w:sz w:val="24"/>
                        <w:szCs w:val="24"/>
                        <w:lang w:eastAsia="en-IN" w:bidi="gu-IN"/>
                      </w:rPr>
                      <m:t>t stat</m:t>
                    </m:r>
                  </m:e>
                  <m:sub>
                    <m:r>
                      <m:rPr>
                        <m:sty m:val="bi"/>
                      </m:rPr>
                      <w:rPr>
                        <w:rFonts w:ascii="Cambria Math" w:eastAsia="Times New Roman" w:hAnsi="Cambria Math" w:cs="Times New Roman"/>
                        <w:sz w:val="24"/>
                        <w:szCs w:val="24"/>
                        <w:lang w:eastAsia="en-IN" w:bidi="gu-IN"/>
                      </w:rPr>
                      <m:t>AAR</m:t>
                    </m:r>
                  </m:sub>
                </m:sSub>
              </m:oMath>
            </m:oMathPara>
          </w:p>
        </w:tc>
        <w:tc>
          <w:tcPr>
            <w:tcW w:w="0" w:type="auto"/>
            <w:tcBorders>
              <w:top w:val="single" w:sz="4" w:space="0" w:color="auto"/>
              <w:bottom w:val="single" w:sz="4" w:space="0" w:color="auto"/>
            </w:tcBorders>
            <w:shd w:val="clear" w:color="auto" w:fill="auto"/>
            <w:noWrap/>
            <w:vAlign w:val="bottom"/>
            <w:hideMark/>
          </w:tcPr>
          <w:p w14:paraId="43BFF661" w14:textId="77777777" w:rsidR="00C24CFE" w:rsidRPr="00301DDF" w:rsidRDefault="00C24CFE" w:rsidP="00D162BA">
            <w:pPr>
              <w:spacing w:after="0" w:line="360" w:lineRule="auto"/>
              <w:jc w:val="center"/>
              <w:rPr>
                <w:rFonts w:ascii="Times New Roman" w:eastAsia="Times New Roman" w:hAnsi="Times New Roman" w:cs="Times New Roman"/>
                <w:b/>
                <w:bCs/>
                <w:sz w:val="24"/>
                <w:szCs w:val="24"/>
                <w:lang w:eastAsia="en-IN" w:bidi="gu-IN"/>
              </w:rPr>
            </w:pPr>
            <w:r w:rsidRPr="00301DDF">
              <w:rPr>
                <w:rFonts w:ascii="Times New Roman" w:eastAsia="Times New Roman" w:hAnsi="Times New Roman" w:cs="Times New Roman"/>
                <w:b/>
                <w:bCs/>
                <w:sz w:val="24"/>
                <w:szCs w:val="24"/>
                <w:lang w:eastAsia="en-IN" w:bidi="gu-IN"/>
              </w:rPr>
              <w:t>CAAR</w:t>
            </w:r>
          </w:p>
        </w:tc>
        <w:tc>
          <w:tcPr>
            <w:tcW w:w="0" w:type="auto"/>
            <w:tcBorders>
              <w:top w:val="single" w:sz="4" w:space="0" w:color="auto"/>
              <w:bottom w:val="single" w:sz="4" w:space="0" w:color="auto"/>
            </w:tcBorders>
            <w:shd w:val="clear" w:color="auto" w:fill="auto"/>
            <w:noWrap/>
            <w:vAlign w:val="bottom"/>
            <w:hideMark/>
          </w:tcPr>
          <w:p w14:paraId="7AB45ACB" w14:textId="6E181C43" w:rsidR="00C24CFE" w:rsidRPr="00301DDF" w:rsidRDefault="00A34752" w:rsidP="00D162BA">
            <w:pPr>
              <w:spacing w:after="0" w:line="360" w:lineRule="auto"/>
              <w:jc w:val="center"/>
              <w:rPr>
                <w:rFonts w:ascii="Times New Roman" w:eastAsia="Times New Roman" w:hAnsi="Times New Roman" w:cs="Times New Roman"/>
                <w:b/>
                <w:bCs/>
                <w:sz w:val="24"/>
                <w:szCs w:val="24"/>
                <w:lang w:eastAsia="en-IN" w:bidi="gu-IN"/>
              </w:rPr>
            </w:pPr>
            <m:oMathPara>
              <m:oMath>
                <m:sSub>
                  <m:sSubPr>
                    <m:ctrlPr>
                      <w:rPr>
                        <w:rFonts w:ascii="Cambria Math" w:eastAsia="Times New Roman" w:hAnsi="Cambria Math" w:cs="Times New Roman"/>
                        <w:b/>
                        <w:bCs/>
                        <w:i/>
                        <w:sz w:val="24"/>
                        <w:szCs w:val="24"/>
                        <w:lang w:eastAsia="en-IN" w:bidi="gu-IN"/>
                      </w:rPr>
                    </m:ctrlPr>
                  </m:sSubPr>
                  <m:e>
                    <m:r>
                      <m:rPr>
                        <m:sty m:val="bi"/>
                      </m:rPr>
                      <w:rPr>
                        <w:rFonts w:ascii="Cambria Math" w:eastAsia="Times New Roman" w:hAnsi="Cambria Math" w:cs="Times New Roman"/>
                        <w:sz w:val="24"/>
                        <w:szCs w:val="24"/>
                        <w:lang w:eastAsia="en-IN" w:bidi="gu-IN"/>
                      </w:rPr>
                      <m:t>t stat</m:t>
                    </m:r>
                  </m:e>
                  <m:sub>
                    <m:r>
                      <m:rPr>
                        <m:sty m:val="bi"/>
                      </m:rPr>
                      <w:rPr>
                        <w:rFonts w:ascii="Cambria Math" w:eastAsia="Times New Roman" w:hAnsi="Cambria Math" w:cs="Times New Roman"/>
                        <w:sz w:val="24"/>
                        <w:szCs w:val="24"/>
                        <w:lang w:eastAsia="en-IN" w:bidi="gu-IN"/>
                      </w:rPr>
                      <m:t>CAAR</m:t>
                    </m:r>
                  </m:sub>
                </m:sSub>
              </m:oMath>
            </m:oMathPara>
          </w:p>
        </w:tc>
      </w:tr>
      <w:tr w:rsidR="00C77259" w:rsidRPr="00301DDF" w14:paraId="14D325FA" w14:textId="77777777" w:rsidTr="00D162BA">
        <w:trPr>
          <w:trHeight w:val="448"/>
        </w:trPr>
        <w:tc>
          <w:tcPr>
            <w:tcW w:w="0" w:type="auto"/>
            <w:tcBorders>
              <w:top w:val="single" w:sz="4" w:space="0" w:color="auto"/>
            </w:tcBorders>
            <w:shd w:val="clear" w:color="auto" w:fill="auto"/>
            <w:noWrap/>
            <w:vAlign w:val="bottom"/>
            <w:hideMark/>
          </w:tcPr>
          <w:p w14:paraId="396D8CEB" w14:textId="77777777"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t-5</w:t>
            </w:r>
          </w:p>
        </w:tc>
        <w:tc>
          <w:tcPr>
            <w:tcW w:w="0" w:type="auto"/>
            <w:tcBorders>
              <w:top w:val="single" w:sz="4" w:space="0" w:color="auto"/>
            </w:tcBorders>
            <w:shd w:val="clear" w:color="auto" w:fill="auto"/>
            <w:noWrap/>
            <w:vAlign w:val="bottom"/>
          </w:tcPr>
          <w:p w14:paraId="3AC3ED10" w14:textId="5A644FA3"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-0.043</w:t>
            </w:r>
          </w:p>
        </w:tc>
        <w:tc>
          <w:tcPr>
            <w:tcW w:w="0" w:type="auto"/>
            <w:tcBorders>
              <w:top w:val="single" w:sz="4" w:space="0" w:color="auto"/>
            </w:tcBorders>
            <w:shd w:val="clear" w:color="auto" w:fill="auto"/>
            <w:noWrap/>
            <w:vAlign w:val="bottom"/>
          </w:tcPr>
          <w:p w14:paraId="096A428D" w14:textId="7B3B1A18"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-0.104</w:t>
            </w:r>
          </w:p>
        </w:tc>
        <w:tc>
          <w:tcPr>
            <w:tcW w:w="0" w:type="auto"/>
            <w:tcBorders>
              <w:top w:val="single" w:sz="4" w:space="0" w:color="auto"/>
            </w:tcBorders>
            <w:shd w:val="clear" w:color="auto" w:fill="auto"/>
            <w:noWrap/>
            <w:vAlign w:val="bottom"/>
          </w:tcPr>
          <w:p w14:paraId="4C87D67E" w14:textId="5EC628A4"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-0.043</w:t>
            </w:r>
          </w:p>
        </w:tc>
        <w:tc>
          <w:tcPr>
            <w:tcW w:w="0" w:type="auto"/>
            <w:tcBorders>
              <w:top w:val="single" w:sz="4" w:space="0" w:color="auto"/>
            </w:tcBorders>
            <w:shd w:val="clear" w:color="auto" w:fill="auto"/>
            <w:noWrap/>
            <w:vAlign w:val="bottom"/>
          </w:tcPr>
          <w:p w14:paraId="123C6D41" w14:textId="1E6EAAB4"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-0.047</w:t>
            </w:r>
          </w:p>
        </w:tc>
      </w:tr>
      <w:tr w:rsidR="00C77259" w:rsidRPr="00301DDF" w14:paraId="4F5D49F3" w14:textId="77777777" w:rsidTr="00D162BA">
        <w:trPr>
          <w:trHeight w:val="448"/>
        </w:trPr>
        <w:tc>
          <w:tcPr>
            <w:tcW w:w="0" w:type="auto"/>
            <w:shd w:val="clear" w:color="auto" w:fill="auto"/>
            <w:noWrap/>
            <w:vAlign w:val="bottom"/>
            <w:hideMark/>
          </w:tcPr>
          <w:p w14:paraId="03649B86" w14:textId="77777777"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t-4</w:t>
            </w:r>
          </w:p>
        </w:tc>
        <w:tc>
          <w:tcPr>
            <w:tcW w:w="0" w:type="auto"/>
            <w:shd w:val="clear" w:color="auto" w:fill="auto"/>
            <w:noWrap/>
            <w:vAlign w:val="bottom"/>
          </w:tcPr>
          <w:p w14:paraId="45AF23E5" w14:textId="3186044B"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-0.054</w:t>
            </w:r>
          </w:p>
        </w:tc>
        <w:tc>
          <w:tcPr>
            <w:tcW w:w="0" w:type="auto"/>
            <w:shd w:val="clear" w:color="auto" w:fill="auto"/>
            <w:noWrap/>
            <w:vAlign w:val="bottom"/>
          </w:tcPr>
          <w:p w14:paraId="6B00D537" w14:textId="50E130C8"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-0.131</w:t>
            </w:r>
          </w:p>
        </w:tc>
        <w:tc>
          <w:tcPr>
            <w:tcW w:w="0" w:type="auto"/>
            <w:shd w:val="clear" w:color="auto" w:fill="auto"/>
            <w:noWrap/>
            <w:vAlign w:val="bottom"/>
          </w:tcPr>
          <w:p w14:paraId="1A0094B2" w14:textId="73120333"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-0.096</w:t>
            </w:r>
          </w:p>
        </w:tc>
        <w:tc>
          <w:tcPr>
            <w:tcW w:w="0" w:type="auto"/>
            <w:shd w:val="clear" w:color="auto" w:fill="auto"/>
            <w:noWrap/>
            <w:vAlign w:val="bottom"/>
          </w:tcPr>
          <w:p w14:paraId="235531EE" w14:textId="169772D7"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-0.118</w:t>
            </w:r>
          </w:p>
        </w:tc>
      </w:tr>
      <w:tr w:rsidR="00C77259" w:rsidRPr="00301DDF" w14:paraId="1223AD6B" w14:textId="77777777" w:rsidTr="00D162BA">
        <w:trPr>
          <w:trHeight w:val="448"/>
        </w:trPr>
        <w:tc>
          <w:tcPr>
            <w:tcW w:w="0" w:type="auto"/>
            <w:shd w:val="clear" w:color="auto" w:fill="auto"/>
            <w:noWrap/>
            <w:vAlign w:val="bottom"/>
            <w:hideMark/>
          </w:tcPr>
          <w:p w14:paraId="48EADDA6" w14:textId="77777777"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t-3</w:t>
            </w:r>
          </w:p>
        </w:tc>
        <w:tc>
          <w:tcPr>
            <w:tcW w:w="0" w:type="auto"/>
            <w:shd w:val="clear" w:color="auto" w:fill="auto"/>
            <w:noWrap/>
            <w:vAlign w:val="bottom"/>
          </w:tcPr>
          <w:p w14:paraId="7545F222" w14:textId="67B6C12F"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-0.954</w:t>
            </w:r>
          </w:p>
        </w:tc>
        <w:tc>
          <w:tcPr>
            <w:tcW w:w="0" w:type="auto"/>
            <w:shd w:val="clear" w:color="auto" w:fill="auto"/>
            <w:noWrap/>
            <w:vAlign w:val="bottom"/>
          </w:tcPr>
          <w:p w14:paraId="1766F179" w14:textId="40BDE5D8"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-2.329</w:t>
            </w:r>
            <w:r w:rsidR="00435453" w:rsidRPr="00301DDF">
              <w:rPr>
                <w:rFonts w:ascii="Times New Roman" w:hAnsi="Times New Roman" w:cs="Times New Roman"/>
                <w:sz w:val="24"/>
                <w:szCs w:val="24"/>
              </w:rPr>
              <w:t>**</w:t>
            </w:r>
          </w:p>
        </w:tc>
        <w:tc>
          <w:tcPr>
            <w:tcW w:w="0" w:type="auto"/>
            <w:shd w:val="clear" w:color="auto" w:fill="auto"/>
            <w:noWrap/>
            <w:vAlign w:val="bottom"/>
          </w:tcPr>
          <w:p w14:paraId="634A70D1" w14:textId="1511C3C0"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-1.051</w:t>
            </w:r>
          </w:p>
        </w:tc>
        <w:tc>
          <w:tcPr>
            <w:tcW w:w="0" w:type="auto"/>
            <w:shd w:val="clear" w:color="auto" w:fill="auto"/>
            <w:noWrap/>
            <w:vAlign w:val="bottom"/>
          </w:tcPr>
          <w:p w14:paraId="39D6F52B" w14:textId="4B1D6577"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-1.480</w:t>
            </w:r>
          </w:p>
        </w:tc>
      </w:tr>
      <w:tr w:rsidR="00C77259" w:rsidRPr="00301DDF" w14:paraId="6D0BBB52" w14:textId="77777777" w:rsidTr="00D162BA">
        <w:trPr>
          <w:trHeight w:val="448"/>
        </w:trPr>
        <w:tc>
          <w:tcPr>
            <w:tcW w:w="0" w:type="auto"/>
            <w:shd w:val="clear" w:color="auto" w:fill="auto"/>
            <w:noWrap/>
            <w:vAlign w:val="bottom"/>
            <w:hideMark/>
          </w:tcPr>
          <w:p w14:paraId="7DC0A826" w14:textId="77777777"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t-2</w:t>
            </w:r>
          </w:p>
        </w:tc>
        <w:tc>
          <w:tcPr>
            <w:tcW w:w="0" w:type="auto"/>
            <w:shd w:val="clear" w:color="auto" w:fill="auto"/>
            <w:noWrap/>
            <w:vAlign w:val="bottom"/>
          </w:tcPr>
          <w:p w14:paraId="62FFC88B" w14:textId="4E6B6B1B"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0.294</w:t>
            </w:r>
          </w:p>
        </w:tc>
        <w:tc>
          <w:tcPr>
            <w:tcW w:w="0" w:type="auto"/>
            <w:shd w:val="clear" w:color="auto" w:fill="auto"/>
            <w:noWrap/>
            <w:vAlign w:val="bottom"/>
          </w:tcPr>
          <w:p w14:paraId="09BD5763" w14:textId="28D917C1"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0.718</w:t>
            </w:r>
          </w:p>
        </w:tc>
        <w:tc>
          <w:tcPr>
            <w:tcW w:w="0" w:type="auto"/>
            <w:shd w:val="clear" w:color="auto" w:fill="auto"/>
            <w:noWrap/>
            <w:vAlign w:val="bottom"/>
          </w:tcPr>
          <w:p w14:paraId="3FCE311B" w14:textId="658F58EA"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-0.757</w:t>
            </w:r>
          </w:p>
        </w:tc>
        <w:tc>
          <w:tcPr>
            <w:tcW w:w="0" w:type="auto"/>
            <w:shd w:val="clear" w:color="auto" w:fill="auto"/>
            <w:noWrap/>
            <w:vAlign w:val="bottom"/>
          </w:tcPr>
          <w:p w14:paraId="643E9EDD" w14:textId="41CA6B62"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-1.305</w:t>
            </w:r>
          </w:p>
        </w:tc>
      </w:tr>
      <w:tr w:rsidR="00C77259" w:rsidRPr="00301DDF" w14:paraId="2A123231" w14:textId="77777777" w:rsidTr="00D162BA">
        <w:trPr>
          <w:trHeight w:val="448"/>
        </w:trPr>
        <w:tc>
          <w:tcPr>
            <w:tcW w:w="0" w:type="auto"/>
            <w:shd w:val="clear" w:color="auto" w:fill="auto"/>
            <w:noWrap/>
            <w:vAlign w:val="bottom"/>
            <w:hideMark/>
          </w:tcPr>
          <w:p w14:paraId="761E3431" w14:textId="77777777"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t-1</w:t>
            </w:r>
          </w:p>
        </w:tc>
        <w:tc>
          <w:tcPr>
            <w:tcW w:w="0" w:type="auto"/>
            <w:shd w:val="clear" w:color="auto" w:fill="auto"/>
            <w:noWrap/>
            <w:vAlign w:val="bottom"/>
          </w:tcPr>
          <w:p w14:paraId="7FC5424B" w14:textId="29473926"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0.357</w:t>
            </w:r>
          </w:p>
        </w:tc>
        <w:tc>
          <w:tcPr>
            <w:tcW w:w="0" w:type="auto"/>
            <w:shd w:val="clear" w:color="auto" w:fill="auto"/>
            <w:noWrap/>
            <w:vAlign w:val="bottom"/>
          </w:tcPr>
          <w:p w14:paraId="4D8D393F" w14:textId="33D8AA65"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0.871</w:t>
            </w:r>
          </w:p>
        </w:tc>
        <w:tc>
          <w:tcPr>
            <w:tcW w:w="0" w:type="auto"/>
            <w:shd w:val="clear" w:color="auto" w:fill="auto"/>
            <w:noWrap/>
            <w:vAlign w:val="bottom"/>
          </w:tcPr>
          <w:p w14:paraId="3DDA056C" w14:textId="475303BD"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-0.400</w:t>
            </w:r>
          </w:p>
        </w:tc>
        <w:tc>
          <w:tcPr>
            <w:tcW w:w="0" w:type="auto"/>
            <w:shd w:val="clear" w:color="auto" w:fill="auto"/>
            <w:noWrap/>
            <w:vAlign w:val="bottom"/>
          </w:tcPr>
          <w:p w14:paraId="700ECA69" w14:textId="0D8670B0"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-0.975</w:t>
            </w:r>
          </w:p>
        </w:tc>
      </w:tr>
      <w:tr w:rsidR="00C77259" w:rsidRPr="00301DDF" w14:paraId="2023A6F4" w14:textId="77777777" w:rsidTr="00D162BA">
        <w:trPr>
          <w:trHeight w:val="448"/>
        </w:trPr>
        <w:tc>
          <w:tcPr>
            <w:tcW w:w="0" w:type="auto"/>
            <w:shd w:val="clear" w:color="auto" w:fill="auto"/>
            <w:noWrap/>
            <w:vAlign w:val="bottom"/>
          </w:tcPr>
          <w:p w14:paraId="171C5D11" w14:textId="0D7A5315"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t</w:t>
            </w:r>
          </w:p>
        </w:tc>
        <w:tc>
          <w:tcPr>
            <w:tcW w:w="0" w:type="auto"/>
            <w:shd w:val="clear" w:color="auto" w:fill="auto"/>
            <w:noWrap/>
            <w:vAlign w:val="bottom"/>
          </w:tcPr>
          <w:p w14:paraId="362B11CB" w14:textId="19C3D691"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-3.821</w:t>
            </w:r>
          </w:p>
        </w:tc>
        <w:tc>
          <w:tcPr>
            <w:tcW w:w="0" w:type="auto"/>
            <w:shd w:val="clear" w:color="auto" w:fill="auto"/>
            <w:noWrap/>
            <w:vAlign w:val="bottom"/>
          </w:tcPr>
          <w:p w14:paraId="2D567090" w14:textId="7435E028"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-9.321</w:t>
            </w:r>
            <w:r w:rsidR="003A6C15" w:rsidRPr="00301DDF">
              <w:rPr>
                <w:rFonts w:ascii="Times New Roman" w:hAnsi="Times New Roman" w:cs="Times New Roman"/>
                <w:sz w:val="24"/>
                <w:szCs w:val="24"/>
              </w:rPr>
              <w:t>*</w:t>
            </w:r>
          </w:p>
        </w:tc>
        <w:tc>
          <w:tcPr>
            <w:tcW w:w="0" w:type="auto"/>
            <w:shd w:val="clear" w:color="auto" w:fill="auto"/>
            <w:noWrap/>
            <w:vAlign w:val="bottom"/>
          </w:tcPr>
          <w:p w14:paraId="682919A7" w14:textId="56C357BB"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-4.220</w:t>
            </w:r>
          </w:p>
        </w:tc>
        <w:tc>
          <w:tcPr>
            <w:tcW w:w="0" w:type="auto"/>
            <w:shd w:val="clear" w:color="auto" w:fill="auto"/>
            <w:noWrap/>
            <w:vAlign w:val="bottom"/>
          </w:tcPr>
          <w:p w14:paraId="0BCA179A" w14:textId="1F231908"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hAnsi="Times New Roman" w:cs="Times New Roman"/>
                <w:sz w:val="24"/>
                <w:szCs w:val="24"/>
              </w:rPr>
              <w:t>-10.296</w:t>
            </w:r>
            <w:r w:rsidR="003A6C15" w:rsidRPr="00301DDF">
              <w:rPr>
                <w:rFonts w:ascii="Times New Roman" w:hAnsi="Times New Roman" w:cs="Times New Roman"/>
                <w:sz w:val="24"/>
                <w:szCs w:val="24"/>
              </w:rPr>
              <w:t>*</w:t>
            </w:r>
          </w:p>
        </w:tc>
      </w:tr>
      <w:tr w:rsidR="00C77259" w:rsidRPr="00301DDF" w14:paraId="5D70BEB8" w14:textId="77777777" w:rsidTr="00D162BA">
        <w:trPr>
          <w:trHeight w:val="448"/>
        </w:trPr>
        <w:tc>
          <w:tcPr>
            <w:tcW w:w="0" w:type="auto"/>
            <w:shd w:val="clear" w:color="auto" w:fill="auto"/>
            <w:noWrap/>
            <w:vAlign w:val="bottom"/>
          </w:tcPr>
          <w:p w14:paraId="1C534A97" w14:textId="38D9799E"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t+1</w:t>
            </w:r>
          </w:p>
        </w:tc>
        <w:tc>
          <w:tcPr>
            <w:tcW w:w="0" w:type="auto"/>
            <w:shd w:val="clear" w:color="auto" w:fill="auto"/>
            <w:noWrap/>
            <w:vAlign w:val="bottom"/>
          </w:tcPr>
          <w:p w14:paraId="426155E0" w14:textId="215DA23F"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1.590</w:t>
            </w:r>
          </w:p>
        </w:tc>
        <w:tc>
          <w:tcPr>
            <w:tcW w:w="0" w:type="auto"/>
            <w:shd w:val="clear" w:color="auto" w:fill="auto"/>
            <w:noWrap/>
            <w:vAlign w:val="bottom"/>
          </w:tcPr>
          <w:p w14:paraId="2B28561B" w14:textId="51E560D5"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3.879</w:t>
            </w:r>
            <w:r w:rsidR="003A6C15" w:rsidRPr="00301DDF">
              <w:rPr>
                <w:rFonts w:ascii="Times New Roman" w:hAnsi="Times New Roman" w:cs="Times New Roman"/>
                <w:sz w:val="24"/>
                <w:szCs w:val="24"/>
              </w:rPr>
              <w:t>*</w:t>
            </w:r>
          </w:p>
        </w:tc>
        <w:tc>
          <w:tcPr>
            <w:tcW w:w="0" w:type="auto"/>
            <w:shd w:val="clear" w:color="auto" w:fill="auto"/>
            <w:noWrap/>
            <w:vAlign w:val="bottom"/>
          </w:tcPr>
          <w:p w14:paraId="457C1A95" w14:textId="1F097442"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-2.630</w:t>
            </w:r>
          </w:p>
        </w:tc>
        <w:tc>
          <w:tcPr>
            <w:tcW w:w="0" w:type="auto"/>
            <w:shd w:val="clear" w:color="auto" w:fill="auto"/>
            <w:noWrap/>
            <w:vAlign w:val="bottom"/>
          </w:tcPr>
          <w:p w14:paraId="451498A0" w14:textId="208410AA"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-6.417</w:t>
            </w:r>
            <w:r w:rsidR="003A6C15" w:rsidRPr="00301DDF">
              <w:rPr>
                <w:rFonts w:ascii="Times New Roman" w:hAnsi="Times New Roman" w:cs="Times New Roman"/>
                <w:sz w:val="24"/>
                <w:szCs w:val="24"/>
              </w:rPr>
              <w:t>*</w:t>
            </w:r>
          </w:p>
        </w:tc>
      </w:tr>
      <w:tr w:rsidR="00C77259" w:rsidRPr="00301DDF" w14:paraId="16B2B040" w14:textId="77777777" w:rsidTr="00D162BA">
        <w:trPr>
          <w:trHeight w:val="448"/>
        </w:trPr>
        <w:tc>
          <w:tcPr>
            <w:tcW w:w="0" w:type="auto"/>
            <w:shd w:val="clear" w:color="auto" w:fill="auto"/>
            <w:noWrap/>
            <w:vAlign w:val="bottom"/>
          </w:tcPr>
          <w:p w14:paraId="1B6EF452" w14:textId="7AA7F27E"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t+2</w:t>
            </w:r>
          </w:p>
        </w:tc>
        <w:tc>
          <w:tcPr>
            <w:tcW w:w="0" w:type="auto"/>
            <w:shd w:val="clear" w:color="auto" w:fill="auto"/>
            <w:noWrap/>
            <w:vAlign w:val="bottom"/>
          </w:tcPr>
          <w:p w14:paraId="0A9FB2E0" w14:textId="7E0B00C3"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0.171</w:t>
            </w:r>
          </w:p>
        </w:tc>
        <w:tc>
          <w:tcPr>
            <w:tcW w:w="0" w:type="auto"/>
            <w:shd w:val="clear" w:color="auto" w:fill="auto"/>
            <w:noWrap/>
            <w:vAlign w:val="bottom"/>
          </w:tcPr>
          <w:p w14:paraId="2B9E00FC" w14:textId="5036D281"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0.418</w:t>
            </w:r>
          </w:p>
        </w:tc>
        <w:tc>
          <w:tcPr>
            <w:tcW w:w="0" w:type="auto"/>
            <w:shd w:val="clear" w:color="auto" w:fill="auto"/>
            <w:noWrap/>
            <w:vAlign w:val="bottom"/>
          </w:tcPr>
          <w:p w14:paraId="67989391" w14:textId="48BDBADA"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-2.459</w:t>
            </w:r>
          </w:p>
        </w:tc>
        <w:tc>
          <w:tcPr>
            <w:tcW w:w="0" w:type="auto"/>
            <w:shd w:val="clear" w:color="auto" w:fill="auto"/>
            <w:noWrap/>
            <w:vAlign w:val="bottom"/>
          </w:tcPr>
          <w:p w14:paraId="63622194" w14:textId="05800B8C"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-4.242</w:t>
            </w:r>
            <w:r w:rsidR="003A6C15" w:rsidRPr="00301DDF">
              <w:rPr>
                <w:rFonts w:ascii="Times New Roman" w:hAnsi="Times New Roman" w:cs="Times New Roman"/>
                <w:sz w:val="24"/>
                <w:szCs w:val="24"/>
              </w:rPr>
              <w:t>*</w:t>
            </w:r>
          </w:p>
        </w:tc>
      </w:tr>
      <w:tr w:rsidR="00C77259" w:rsidRPr="00301DDF" w14:paraId="13CDE874" w14:textId="77777777" w:rsidTr="00D162BA">
        <w:trPr>
          <w:trHeight w:val="448"/>
        </w:trPr>
        <w:tc>
          <w:tcPr>
            <w:tcW w:w="0" w:type="auto"/>
            <w:shd w:val="clear" w:color="auto" w:fill="auto"/>
            <w:noWrap/>
            <w:vAlign w:val="bottom"/>
          </w:tcPr>
          <w:p w14:paraId="77A37D7A" w14:textId="5364EECD"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t+3</w:t>
            </w:r>
          </w:p>
        </w:tc>
        <w:tc>
          <w:tcPr>
            <w:tcW w:w="0" w:type="auto"/>
            <w:shd w:val="clear" w:color="auto" w:fill="auto"/>
            <w:noWrap/>
            <w:vAlign w:val="bottom"/>
          </w:tcPr>
          <w:p w14:paraId="5611975F" w14:textId="61D7DF7F"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-0.541</w:t>
            </w:r>
          </w:p>
        </w:tc>
        <w:tc>
          <w:tcPr>
            <w:tcW w:w="0" w:type="auto"/>
            <w:shd w:val="clear" w:color="auto" w:fill="auto"/>
            <w:noWrap/>
            <w:vAlign w:val="bottom"/>
          </w:tcPr>
          <w:p w14:paraId="7BE900A2" w14:textId="46E05EE0"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-1.319</w:t>
            </w:r>
          </w:p>
        </w:tc>
        <w:tc>
          <w:tcPr>
            <w:tcW w:w="0" w:type="auto"/>
            <w:shd w:val="clear" w:color="auto" w:fill="auto"/>
            <w:noWrap/>
            <w:vAlign w:val="bottom"/>
          </w:tcPr>
          <w:p w14:paraId="34CA40FC" w14:textId="31B623D9"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-3.000</w:t>
            </w:r>
          </w:p>
        </w:tc>
        <w:tc>
          <w:tcPr>
            <w:tcW w:w="0" w:type="auto"/>
            <w:shd w:val="clear" w:color="auto" w:fill="auto"/>
            <w:noWrap/>
            <w:vAlign w:val="bottom"/>
          </w:tcPr>
          <w:p w14:paraId="4E2BE062" w14:textId="1C47BFC5"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-4.226</w:t>
            </w:r>
            <w:r w:rsidR="003A6C15" w:rsidRPr="00301DDF">
              <w:rPr>
                <w:rFonts w:ascii="Times New Roman" w:hAnsi="Times New Roman" w:cs="Times New Roman"/>
                <w:sz w:val="24"/>
                <w:szCs w:val="24"/>
              </w:rPr>
              <w:t>*</w:t>
            </w:r>
          </w:p>
        </w:tc>
      </w:tr>
      <w:tr w:rsidR="00C77259" w:rsidRPr="00301DDF" w14:paraId="3BFD977B" w14:textId="77777777" w:rsidTr="00D162BA">
        <w:trPr>
          <w:trHeight w:val="448"/>
        </w:trPr>
        <w:tc>
          <w:tcPr>
            <w:tcW w:w="0" w:type="auto"/>
            <w:shd w:val="clear" w:color="auto" w:fill="auto"/>
            <w:noWrap/>
            <w:vAlign w:val="bottom"/>
          </w:tcPr>
          <w:p w14:paraId="232CEFC9" w14:textId="7F118FDB"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t+4</w:t>
            </w:r>
          </w:p>
        </w:tc>
        <w:tc>
          <w:tcPr>
            <w:tcW w:w="0" w:type="auto"/>
            <w:shd w:val="clear" w:color="auto" w:fill="auto"/>
            <w:noWrap/>
            <w:vAlign w:val="bottom"/>
          </w:tcPr>
          <w:p w14:paraId="0DF7B77B" w14:textId="4E9FC2EA"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-0.144</w:t>
            </w:r>
          </w:p>
        </w:tc>
        <w:tc>
          <w:tcPr>
            <w:tcW w:w="0" w:type="auto"/>
            <w:shd w:val="clear" w:color="auto" w:fill="auto"/>
            <w:noWrap/>
            <w:vAlign w:val="bottom"/>
          </w:tcPr>
          <w:p w14:paraId="7346ABC4" w14:textId="077E6207"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-0.351</w:t>
            </w:r>
          </w:p>
        </w:tc>
        <w:tc>
          <w:tcPr>
            <w:tcW w:w="0" w:type="auto"/>
            <w:shd w:val="clear" w:color="auto" w:fill="auto"/>
            <w:noWrap/>
            <w:vAlign w:val="bottom"/>
          </w:tcPr>
          <w:p w14:paraId="79388658" w14:textId="338A0FD4"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-3.144</w:t>
            </w:r>
          </w:p>
        </w:tc>
        <w:tc>
          <w:tcPr>
            <w:tcW w:w="0" w:type="auto"/>
            <w:shd w:val="clear" w:color="auto" w:fill="auto"/>
            <w:noWrap/>
            <w:vAlign w:val="bottom"/>
          </w:tcPr>
          <w:p w14:paraId="0886DFD3" w14:textId="0794AE1B"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-3.835</w:t>
            </w:r>
            <w:r w:rsidR="003A6C15" w:rsidRPr="00301DDF">
              <w:rPr>
                <w:rFonts w:ascii="Times New Roman" w:hAnsi="Times New Roman" w:cs="Times New Roman"/>
                <w:sz w:val="24"/>
                <w:szCs w:val="24"/>
              </w:rPr>
              <w:t>*</w:t>
            </w:r>
          </w:p>
        </w:tc>
      </w:tr>
      <w:tr w:rsidR="00C77259" w:rsidRPr="00301DDF" w14:paraId="4D25BF27" w14:textId="77777777" w:rsidTr="00D162BA">
        <w:trPr>
          <w:trHeight w:val="448"/>
        </w:trPr>
        <w:tc>
          <w:tcPr>
            <w:tcW w:w="0" w:type="auto"/>
            <w:shd w:val="clear" w:color="auto" w:fill="auto"/>
            <w:noWrap/>
            <w:vAlign w:val="bottom"/>
          </w:tcPr>
          <w:p w14:paraId="537431D4" w14:textId="4B864C50" w:rsidR="004F3C90" w:rsidRPr="00301DDF" w:rsidRDefault="004F3C90" w:rsidP="00301DDF">
            <w:pPr>
              <w:spacing w:after="0" w:line="360" w:lineRule="auto"/>
              <w:jc w:val="center"/>
              <w:rPr>
                <w:rFonts w:ascii="Times New Roman" w:eastAsia="Times New Roman" w:hAnsi="Times New Roman" w:cs="Times New Roman"/>
                <w:sz w:val="24"/>
                <w:szCs w:val="24"/>
                <w:lang w:eastAsia="en-IN" w:bidi="gu-IN"/>
              </w:rPr>
            </w:pPr>
            <w:r w:rsidRPr="00301DDF">
              <w:rPr>
                <w:rFonts w:ascii="Times New Roman" w:eastAsia="Times New Roman" w:hAnsi="Times New Roman" w:cs="Times New Roman"/>
                <w:sz w:val="24"/>
                <w:szCs w:val="24"/>
                <w:lang w:eastAsia="en-IN" w:bidi="gu-IN"/>
              </w:rPr>
              <w:t>t+5</w:t>
            </w:r>
          </w:p>
        </w:tc>
        <w:tc>
          <w:tcPr>
            <w:tcW w:w="0" w:type="auto"/>
            <w:shd w:val="clear" w:color="auto" w:fill="auto"/>
            <w:noWrap/>
            <w:vAlign w:val="bottom"/>
          </w:tcPr>
          <w:p w14:paraId="2BA8669C" w14:textId="4A3ACB4E"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-0.404</w:t>
            </w:r>
          </w:p>
        </w:tc>
        <w:tc>
          <w:tcPr>
            <w:tcW w:w="0" w:type="auto"/>
            <w:shd w:val="clear" w:color="auto" w:fill="auto"/>
            <w:noWrap/>
            <w:vAlign w:val="bottom"/>
          </w:tcPr>
          <w:p w14:paraId="76754B48" w14:textId="3BEF7B9E"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-0.987</w:t>
            </w:r>
          </w:p>
        </w:tc>
        <w:tc>
          <w:tcPr>
            <w:tcW w:w="0" w:type="auto"/>
            <w:shd w:val="clear" w:color="auto" w:fill="auto"/>
            <w:noWrap/>
            <w:vAlign w:val="bottom"/>
          </w:tcPr>
          <w:p w14:paraId="0CD5F67B" w14:textId="528E033E"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-3.548</w:t>
            </w:r>
          </w:p>
        </w:tc>
        <w:tc>
          <w:tcPr>
            <w:tcW w:w="0" w:type="auto"/>
            <w:shd w:val="clear" w:color="auto" w:fill="auto"/>
            <w:noWrap/>
            <w:vAlign w:val="bottom"/>
          </w:tcPr>
          <w:p w14:paraId="075D80C3" w14:textId="6DE7E47F" w:rsidR="004F3C90" w:rsidRPr="00301DDF" w:rsidRDefault="004F3C90" w:rsidP="00301DDF">
            <w:pPr>
              <w:spacing w:after="0" w:line="360" w:lineRule="auto"/>
              <w:jc w:val="center"/>
              <w:rPr>
                <w:rFonts w:ascii="Times New Roman" w:hAnsi="Times New Roman" w:cs="Times New Roman"/>
                <w:sz w:val="24"/>
                <w:szCs w:val="24"/>
              </w:rPr>
            </w:pPr>
            <w:r w:rsidRPr="00301DDF">
              <w:rPr>
                <w:rFonts w:ascii="Times New Roman" w:hAnsi="Times New Roman" w:cs="Times New Roman"/>
                <w:sz w:val="24"/>
                <w:szCs w:val="24"/>
              </w:rPr>
              <w:t>-3.871</w:t>
            </w:r>
            <w:r w:rsidR="003A6C15" w:rsidRPr="00301DDF">
              <w:rPr>
                <w:rFonts w:ascii="Times New Roman" w:hAnsi="Times New Roman" w:cs="Times New Roman"/>
                <w:sz w:val="24"/>
                <w:szCs w:val="24"/>
              </w:rPr>
              <w:t>*</w:t>
            </w:r>
          </w:p>
        </w:tc>
      </w:tr>
    </w:tbl>
    <w:p w14:paraId="12C8B317" w14:textId="77777777" w:rsidR="00C4148D" w:rsidRPr="00301DDF" w:rsidRDefault="00C4148D" w:rsidP="00301DDF">
      <w:pPr>
        <w:spacing w:line="360" w:lineRule="auto"/>
        <w:jc w:val="both"/>
        <w:rPr>
          <w:rFonts w:ascii="Times New Roman" w:hAnsi="Times New Roman" w:cs="Times New Roman"/>
          <w:sz w:val="20"/>
          <w:szCs w:val="20"/>
        </w:rPr>
      </w:pPr>
      <w:r w:rsidRPr="00301DDF">
        <w:rPr>
          <w:rFonts w:ascii="Times New Roman" w:hAnsi="Times New Roman" w:cs="Times New Roman"/>
          <w:sz w:val="20"/>
          <w:szCs w:val="20"/>
        </w:rPr>
        <w:t>Notes: *</w:t>
      </w:r>
      <w:r w:rsidRPr="00301DDF">
        <w:rPr>
          <w:rFonts w:ascii="Times New Roman" w:hAnsi="Times New Roman" w:cs="Times New Roman"/>
          <w:sz w:val="20"/>
          <w:szCs w:val="20"/>
          <w:lang w:bidi="gu-IN"/>
        </w:rPr>
        <w:t>Significant at p-value of 0.01 (1% level) **Significant at p-value of 0.05 (5% level). ***Significant at p-value of 0.10 (10% level).</w:t>
      </w:r>
    </w:p>
    <w:p w14:paraId="047BE047" w14:textId="53BCF339" w:rsidR="00D162BA" w:rsidRDefault="00D162BA" w:rsidP="00B668D0">
      <w:pPr>
        <w:autoSpaceDE w:val="0"/>
        <w:autoSpaceDN w:val="0"/>
        <w:adjustRightInd w:val="0"/>
        <w:spacing w:after="0" w:line="360" w:lineRule="auto"/>
        <w:rPr>
          <w:rFonts w:ascii="Times New Roman" w:hAnsi="Times New Roman" w:cs="Times New Roman"/>
          <w:b/>
          <w:bCs/>
          <w:sz w:val="24"/>
          <w:szCs w:val="24"/>
          <w:lang w:bidi="gu-IN"/>
        </w:rPr>
        <w:sectPr w:rsidR="00D162BA" w:rsidSect="00F95DF4">
          <w:pgSz w:w="11906" w:h="16838"/>
          <w:pgMar w:top="1440" w:right="1440" w:bottom="1440" w:left="1152" w:header="706" w:footer="706" w:gutter="0"/>
          <w:cols w:space="708"/>
          <w:docGrid w:linePitch="360"/>
        </w:sectPr>
      </w:pPr>
      <w:bookmarkStart w:id="8" w:name="_Hlk98242534"/>
    </w:p>
    <w:p w14:paraId="2B78BF43" w14:textId="560C08FB" w:rsidR="00F95DF4" w:rsidRPr="00A43F67" w:rsidRDefault="00F95DF4" w:rsidP="00B668D0">
      <w:pPr>
        <w:autoSpaceDE w:val="0"/>
        <w:autoSpaceDN w:val="0"/>
        <w:adjustRightInd w:val="0"/>
        <w:spacing w:after="0" w:line="360" w:lineRule="auto"/>
        <w:rPr>
          <w:rFonts w:ascii="Times New Roman" w:hAnsi="Times New Roman" w:cs="Times New Roman"/>
          <w:b/>
          <w:bCs/>
          <w:sz w:val="24"/>
          <w:szCs w:val="24"/>
          <w:lang w:bidi="gu-IN"/>
        </w:rPr>
      </w:pPr>
      <w:r w:rsidRPr="00A43F67">
        <w:rPr>
          <w:rFonts w:ascii="Times New Roman" w:hAnsi="Times New Roman" w:cs="Times New Roman"/>
          <w:b/>
          <w:bCs/>
          <w:sz w:val="24"/>
          <w:szCs w:val="24"/>
          <w:lang w:bidi="gu-IN"/>
        </w:rPr>
        <w:lastRenderedPageBreak/>
        <w:t>Table 3.</w:t>
      </w:r>
      <w:r w:rsidRPr="00A43F67">
        <w:rPr>
          <w:rFonts w:ascii="Times New Roman" w:hAnsi="Times New Roman" w:cs="Times New Roman"/>
          <w:sz w:val="24"/>
          <w:szCs w:val="24"/>
          <w:lang w:bidi="gu-IN"/>
        </w:rPr>
        <w:t xml:space="preserve"> </w:t>
      </w:r>
      <w:r w:rsidR="00B52E43">
        <w:rPr>
          <w:rFonts w:ascii="Times New Roman" w:hAnsi="Times New Roman" w:cs="Times New Roman"/>
          <w:sz w:val="24"/>
          <w:szCs w:val="24"/>
          <w:lang w:bidi="gu-IN"/>
        </w:rPr>
        <w:t xml:space="preserve">Country wise </w:t>
      </w:r>
      <w:r w:rsidRPr="00A43F67">
        <w:rPr>
          <w:rFonts w:ascii="Times New Roman" w:hAnsi="Times New Roman" w:cs="Times New Roman"/>
          <w:sz w:val="24"/>
          <w:szCs w:val="24"/>
          <w:lang w:bidi="gu-IN"/>
        </w:rPr>
        <w:t>CAR</w:t>
      </w:r>
      <w:r w:rsidR="00B52E43">
        <w:rPr>
          <w:rFonts w:ascii="Times New Roman" w:hAnsi="Times New Roman" w:cs="Times New Roman"/>
          <w:sz w:val="24"/>
          <w:szCs w:val="24"/>
          <w:lang w:bidi="gu-IN"/>
        </w:rPr>
        <w:t>s</w:t>
      </w:r>
    </w:p>
    <w:tbl>
      <w:tblPr>
        <w:tblW w:w="5073" w:type="pct"/>
        <w:tblBorders>
          <w:top w:val="single" w:sz="4" w:space="0" w:color="auto"/>
          <w:bottom w:val="single" w:sz="4" w:space="0" w:color="auto"/>
        </w:tblBorders>
        <w:tblLook w:val="04A0" w:firstRow="1" w:lastRow="0" w:firstColumn="1" w:lastColumn="0" w:noHBand="0" w:noVBand="1"/>
      </w:tblPr>
      <w:tblGrid>
        <w:gridCol w:w="856"/>
        <w:gridCol w:w="834"/>
        <w:gridCol w:w="703"/>
        <w:gridCol w:w="710"/>
        <w:gridCol w:w="736"/>
        <w:gridCol w:w="710"/>
        <w:gridCol w:w="870"/>
        <w:gridCol w:w="222"/>
        <w:gridCol w:w="710"/>
        <w:gridCol w:w="790"/>
        <w:gridCol w:w="736"/>
        <w:gridCol w:w="870"/>
        <w:gridCol w:w="710"/>
        <w:gridCol w:w="870"/>
      </w:tblGrid>
      <w:tr w:rsidR="00D162BA" w:rsidRPr="00977CF7" w14:paraId="7BA8FC20" w14:textId="77777777" w:rsidTr="00D162BA">
        <w:trPr>
          <w:trHeight w:val="405"/>
        </w:trPr>
        <w:tc>
          <w:tcPr>
            <w:tcW w:w="399" w:type="pct"/>
            <w:vMerge w:val="restart"/>
            <w:vAlign w:val="bottom"/>
          </w:tcPr>
          <w:p w14:paraId="616416D5" w14:textId="77777777" w:rsidR="00B668D0" w:rsidRPr="00977CF7" w:rsidRDefault="00C8155E"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Markets</w:t>
            </w:r>
          </w:p>
          <w:p w14:paraId="4425422D" w14:textId="7053FED5" w:rsidR="00C8155E" w:rsidRPr="00977CF7" w:rsidRDefault="00C8155E" w:rsidP="00AA27DD">
            <w:pPr>
              <w:spacing w:after="0" w:line="360" w:lineRule="auto"/>
              <w:rPr>
                <w:rFonts w:ascii="Times New Roman" w:eastAsia="Times New Roman" w:hAnsi="Times New Roman" w:cs="Times New Roman"/>
                <w:b/>
                <w:bCs/>
                <w:sz w:val="16"/>
                <w:szCs w:val="16"/>
                <w:lang w:eastAsia="en-IN" w:bidi="gu-IN"/>
              </w:rPr>
            </w:pPr>
          </w:p>
        </w:tc>
        <w:tc>
          <w:tcPr>
            <w:tcW w:w="779" w:type="pct"/>
            <w:gridSpan w:val="2"/>
            <w:tcBorders>
              <w:top w:val="single" w:sz="4" w:space="0" w:color="auto"/>
              <w:bottom w:val="single" w:sz="4" w:space="0" w:color="auto"/>
            </w:tcBorders>
            <w:shd w:val="clear" w:color="auto" w:fill="auto"/>
            <w:vAlign w:val="bottom"/>
          </w:tcPr>
          <w:p w14:paraId="1D550F3D" w14:textId="285B99AA"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t-5</w:t>
            </w:r>
          </w:p>
        </w:tc>
        <w:tc>
          <w:tcPr>
            <w:tcW w:w="704" w:type="pct"/>
            <w:gridSpan w:val="2"/>
            <w:tcBorders>
              <w:top w:val="single" w:sz="4" w:space="0" w:color="auto"/>
              <w:bottom w:val="single" w:sz="4" w:space="0" w:color="auto"/>
            </w:tcBorders>
            <w:shd w:val="clear" w:color="auto" w:fill="auto"/>
            <w:vAlign w:val="bottom"/>
          </w:tcPr>
          <w:p w14:paraId="35D9F561" w14:textId="33E6017E"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t-3</w:t>
            </w:r>
          </w:p>
        </w:tc>
        <w:tc>
          <w:tcPr>
            <w:tcW w:w="758" w:type="pct"/>
            <w:gridSpan w:val="2"/>
            <w:tcBorders>
              <w:top w:val="single" w:sz="4" w:space="0" w:color="auto"/>
              <w:bottom w:val="single" w:sz="4" w:space="0" w:color="auto"/>
            </w:tcBorders>
            <w:shd w:val="clear" w:color="auto" w:fill="auto"/>
            <w:vAlign w:val="bottom"/>
          </w:tcPr>
          <w:p w14:paraId="7E6CEAD4" w14:textId="2CC3E750"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t-1</w:t>
            </w:r>
          </w:p>
        </w:tc>
        <w:tc>
          <w:tcPr>
            <w:tcW w:w="107" w:type="pct"/>
            <w:tcBorders>
              <w:top w:val="single" w:sz="4" w:space="0" w:color="auto"/>
              <w:bottom w:val="single" w:sz="4" w:space="0" w:color="auto"/>
            </w:tcBorders>
          </w:tcPr>
          <w:p w14:paraId="3C2981AD" w14:textId="77777777"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p>
        </w:tc>
        <w:tc>
          <w:tcPr>
            <w:tcW w:w="739" w:type="pct"/>
            <w:gridSpan w:val="2"/>
            <w:tcBorders>
              <w:top w:val="single" w:sz="4" w:space="0" w:color="auto"/>
              <w:bottom w:val="single" w:sz="4" w:space="0" w:color="auto"/>
            </w:tcBorders>
            <w:shd w:val="clear" w:color="auto" w:fill="auto"/>
            <w:vAlign w:val="bottom"/>
          </w:tcPr>
          <w:p w14:paraId="5EC60494" w14:textId="6B8F1777"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t</w:t>
            </w:r>
            <w:r w:rsidR="00EE08B5" w:rsidRPr="00977CF7">
              <w:rPr>
                <w:rFonts w:ascii="Times New Roman" w:eastAsia="Times New Roman" w:hAnsi="Times New Roman" w:cs="Times New Roman"/>
                <w:b/>
                <w:bCs/>
                <w:sz w:val="16"/>
                <w:szCs w:val="16"/>
                <w:lang w:eastAsia="en-IN" w:bidi="gu-IN"/>
              </w:rPr>
              <w:t>+</w:t>
            </w:r>
            <w:r w:rsidRPr="00977CF7">
              <w:rPr>
                <w:rFonts w:ascii="Times New Roman" w:eastAsia="Times New Roman" w:hAnsi="Times New Roman" w:cs="Times New Roman"/>
                <w:b/>
                <w:bCs/>
                <w:sz w:val="16"/>
                <w:szCs w:val="16"/>
                <w:lang w:eastAsia="en-IN" w:bidi="gu-IN"/>
              </w:rPr>
              <w:t>1</w:t>
            </w:r>
          </w:p>
        </w:tc>
        <w:tc>
          <w:tcPr>
            <w:tcW w:w="758" w:type="pct"/>
            <w:gridSpan w:val="2"/>
            <w:tcBorders>
              <w:top w:val="single" w:sz="4" w:space="0" w:color="auto"/>
              <w:bottom w:val="single" w:sz="4" w:space="0" w:color="auto"/>
            </w:tcBorders>
            <w:shd w:val="clear" w:color="auto" w:fill="auto"/>
            <w:vAlign w:val="bottom"/>
          </w:tcPr>
          <w:p w14:paraId="435FB7EF" w14:textId="44520774"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t</w:t>
            </w:r>
            <w:r w:rsidR="00EE08B5" w:rsidRPr="00977CF7">
              <w:rPr>
                <w:rFonts w:ascii="Times New Roman" w:eastAsia="Times New Roman" w:hAnsi="Times New Roman" w:cs="Times New Roman"/>
                <w:b/>
                <w:bCs/>
                <w:sz w:val="16"/>
                <w:szCs w:val="16"/>
                <w:lang w:eastAsia="en-IN" w:bidi="gu-IN"/>
              </w:rPr>
              <w:t>+</w:t>
            </w:r>
            <w:r w:rsidRPr="00977CF7">
              <w:rPr>
                <w:rFonts w:ascii="Times New Roman" w:eastAsia="Times New Roman" w:hAnsi="Times New Roman" w:cs="Times New Roman"/>
                <w:b/>
                <w:bCs/>
                <w:sz w:val="16"/>
                <w:szCs w:val="16"/>
                <w:lang w:eastAsia="en-IN" w:bidi="gu-IN"/>
              </w:rPr>
              <w:t>3</w:t>
            </w:r>
          </w:p>
        </w:tc>
        <w:tc>
          <w:tcPr>
            <w:tcW w:w="755" w:type="pct"/>
            <w:gridSpan w:val="2"/>
            <w:tcBorders>
              <w:top w:val="single" w:sz="4" w:space="0" w:color="auto"/>
              <w:bottom w:val="single" w:sz="4" w:space="0" w:color="auto"/>
            </w:tcBorders>
            <w:shd w:val="clear" w:color="auto" w:fill="auto"/>
            <w:vAlign w:val="bottom"/>
          </w:tcPr>
          <w:p w14:paraId="4D9F8473" w14:textId="4C4E3340"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t</w:t>
            </w:r>
            <w:r w:rsidR="00141269" w:rsidRPr="00977CF7">
              <w:rPr>
                <w:rFonts w:ascii="Times New Roman" w:eastAsia="Times New Roman" w:hAnsi="Times New Roman" w:cs="Times New Roman"/>
                <w:b/>
                <w:bCs/>
                <w:sz w:val="16"/>
                <w:szCs w:val="16"/>
                <w:lang w:eastAsia="en-IN" w:bidi="gu-IN"/>
              </w:rPr>
              <w:t>+</w:t>
            </w:r>
            <w:r w:rsidRPr="00977CF7">
              <w:rPr>
                <w:rFonts w:ascii="Times New Roman" w:eastAsia="Times New Roman" w:hAnsi="Times New Roman" w:cs="Times New Roman"/>
                <w:b/>
                <w:bCs/>
                <w:sz w:val="16"/>
                <w:szCs w:val="16"/>
                <w:lang w:eastAsia="en-IN" w:bidi="gu-IN"/>
              </w:rPr>
              <w:t>5</w:t>
            </w:r>
          </w:p>
        </w:tc>
      </w:tr>
      <w:tr w:rsidR="00D162BA" w:rsidRPr="00977CF7" w14:paraId="365D619E" w14:textId="77777777" w:rsidTr="00D162BA">
        <w:trPr>
          <w:trHeight w:val="324"/>
        </w:trPr>
        <w:tc>
          <w:tcPr>
            <w:tcW w:w="399" w:type="pct"/>
            <w:vMerge/>
            <w:vAlign w:val="bottom"/>
            <w:hideMark/>
          </w:tcPr>
          <w:p w14:paraId="2BBECD71" w14:textId="77777777" w:rsidR="00B668D0" w:rsidRPr="00977CF7" w:rsidRDefault="00B668D0" w:rsidP="00AA27DD">
            <w:pPr>
              <w:spacing w:after="0" w:line="360" w:lineRule="auto"/>
              <w:rPr>
                <w:rFonts w:ascii="Times New Roman" w:eastAsia="Times New Roman" w:hAnsi="Times New Roman" w:cs="Times New Roman"/>
                <w:b/>
                <w:bCs/>
                <w:sz w:val="16"/>
                <w:szCs w:val="16"/>
                <w:lang w:eastAsia="en-IN" w:bidi="gu-IN"/>
              </w:rPr>
            </w:pPr>
          </w:p>
        </w:tc>
        <w:tc>
          <w:tcPr>
            <w:tcW w:w="421" w:type="pct"/>
            <w:tcBorders>
              <w:top w:val="single" w:sz="4" w:space="0" w:color="auto"/>
              <w:bottom w:val="single" w:sz="4" w:space="0" w:color="auto"/>
            </w:tcBorders>
            <w:shd w:val="clear" w:color="auto" w:fill="auto"/>
            <w:vAlign w:val="bottom"/>
            <w:hideMark/>
          </w:tcPr>
          <w:p w14:paraId="04FED15F" w14:textId="7A0CF424"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CAR</w:t>
            </w:r>
          </w:p>
        </w:tc>
        <w:tc>
          <w:tcPr>
            <w:tcW w:w="358" w:type="pct"/>
            <w:tcBorders>
              <w:top w:val="single" w:sz="4" w:space="0" w:color="auto"/>
              <w:bottom w:val="single" w:sz="4" w:space="0" w:color="auto"/>
            </w:tcBorders>
            <w:shd w:val="clear" w:color="auto" w:fill="auto"/>
            <w:vAlign w:val="bottom"/>
            <w:hideMark/>
          </w:tcPr>
          <w:p w14:paraId="3EB2EC20" w14:textId="47249B54"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t-value</w:t>
            </w:r>
          </w:p>
        </w:tc>
        <w:tc>
          <w:tcPr>
            <w:tcW w:w="352" w:type="pct"/>
            <w:tcBorders>
              <w:top w:val="single" w:sz="4" w:space="0" w:color="auto"/>
            </w:tcBorders>
            <w:shd w:val="clear" w:color="auto" w:fill="auto"/>
            <w:vAlign w:val="bottom"/>
            <w:hideMark/>
          </w:tcPr>
          <w:p w14:paraId="71194D75" w14:textId="4A901DB0"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CAR</w:t>
            </w:r>
          </w:p>
        </w:tc>
        <w:tc>
          <w:tcPr>
            <w:tcW w:w="352" w:type="pct"/>
            <w:tcBorders>
              <w:top w:val="single" w:sz="4" w:space="0" w:color="auto"/>
            </w:tcBorders>
            <w:shd w:val="clear" w:color="auto" w:fill="auto"/>
            <w:vAlign w:val="bottom"/>
            <w:hideMark/>
          </w:tcPr>
          <w:p w14:paraId="72BD666E" w14:textId="5DB5465F"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t-value</w:t>
            </w:r>
          </w:p>
        </w:tc>
        <w:tc>
          <w:tcPr>
            <w:tcW w:w="352" w:type="pct"/>
            <w:tcBorders>
              <w:top w:val="single" w:sz="4" w:space="0" w:color="auto"/>
              <w:bottom w:val="single" w:sz="4" w:space="0" w:color="auto"/>
            </w:tcBorders>
            <w:shd w:val="clear" w:color="auto" w:fill="auto"/>
            <w:vAlign w:val="bottom"/>
            <w:hideMark/>
          </w:tcPr>
          <w:p w14:paraId="670F7D93" w14:textId="749BA8BA"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CAR</w:t>
            </w:r>
          </w:p>
        </w:tc>
        <w:tc>
          <w:tcPr>
            <w:tcW w:w="406" w:type="pct"/>
            <w:tcBorders>
              <w:top w:val="single" w:sz="4" w:space="0" w:color="auto"/>
              <w:bottom w:val="single" w:sz="4" w:space="0" w:color="auto"/>
            </w:tcBorders>
            <w:shd w:val="clear" w:color="auto" w:fill="auto"/>
            <w:vAlign w:val="bottom"/>
            <w:hideMark/>
          </w:tcPr>
          <w:p w14:paraId="585154BB" w14:textId="5834AD17"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t-value</w:t>
            </w:r>
          </w:p>
        </w:tc>
        <w:tc>
          <w:tcPr>
            <w:tcW w:w="107" w:type="pct"/>
            <w:tcBorders>
              <w:top w:val="single" w:sz="4" w:space="0" w:color="auto"/>
            </w:tcBorders>
          </w:tcPr>
          <w:p w14:paraId="58607506" w14:textId="77777777"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p>
        </w:tc>
        <w:tc>
          <w:tcPr>
            <w:tcW w:w="345" w:type="pct"/>
            <w:tcBorders>
              <w:top w:val="single" w:sz="4" w:space="0" w:color="auto"/>
              <w:bottom w:val="single" w:sz="4" w:space="0" w:color="auto"/>
            </w:tcBorders>
            <w:shd w:val="clear" w:color="auto" w:fill="auto"/>
            <w:vAlign w:val="bottom"/>
            <w:hideMark/>
          </w:tcPr>
          <w:p w14:paraId="432C6C17" w14:textId="1F609C7F"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CAR</w:t>
            </w:r>
          </w:p>
        </w:tc>
        <w:tc>
          <w:tcPr>
            <w:tcW w:w="394" w:type="pct"/>
            <w:tcBorders>
              <w:top w:val="single" w:sz="4" w:space="0" w:color="auto"/>
              <w:bottom w:val="single" w:sz="4" w:space="0" w:color="auto"/>
            </w:tcBorders>
            <w:shd w:val="clear" w:color="auto" w:fill="auto"/>
            <w:vAlign w:val="bottom"/>
            <w:hideMark/>
          </w:tcPr>
          <w:p w14:paraId="1A3B8640" w14:textId="2F1FAD58"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t-value</w:t>
            </w:r>
          </w:p>
        </w:tc>
        <w:tc>
          <w:tcPr>
            <w:tcW w:w="352" w:type="pct"/>
            <w:tcBorders>
              <w:top w:val="single" w:sz="4" w:space="0" w:color="auto"/>
              <w:bottom w:val="single" w:sz="4" w:space="0" w:color="auto"/>
            </w:tcBorders>
            <w:shd w:val="clear" w:color="auto" w:fill="auto"/>
            <w:vAlign w:val="bottom"/>
            <w:hideMark/>
          </w:tcPr>
          <w:p w14:paraId="7899FB32" w14:textId="7DA12935"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CAR</w:t>
            </w:r>
          </w:p>
        </w:tc>
        <w:tc>
          <w:tcPr>
            <w:tcW w:w="406" w:type="pct"/>
            <w:tcBorders>
              <w:top w:val="single" w:sz="4" w:space="0" w:color="auto"/>
              <w:bottom w:val="single" w:sz="4" w:space="0" w:color="auto"/>
            </w:tcBorders>
            <w:shd w:val="clear" w:color="auto" w:fill="auto"/>
            <w:vAlign w:val="bottom"/>
            <w:hideMark/>
          </w:tcPr>
          <w:p w14:paraId="4646A4F9" w14:textId="43371949"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t-value</w:t>
            </w:r>
          </w:p>
        </w:tc>
        <w:tc>
          <w:tcPr>
            <w:tcW w:w="350" w:type="pct"/>
            <w:tcBorders>
              <w:top w:val="single" w:sz="4" w:space="0" w:color="auto"/>
              <w:bottom w:val="single" w:sz="4" w:space="0" w:color="auto"/>
            </w:tcBorders>
            <w:shd w:val="clear" w:color="auto" w:fill="auto"/>
            <w:vAlign w:val="bottom"/>
            <w:hideMark/>
          </w:tcPr>
          <w:p w14:paraId="1F33CF62" w14:textId="613538C5"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CAR</w:t>
            </w:r>
          </w:p>
        </w:tc>
        <w:tc>
          <w:tcPr>
            <w:tcW w:w="405" w:type="pct"/>
            <w:tcBorders>
              <w:top w:val="single" w:sz="4" w:space="0" w:color="auto"/>
              <w:bottom w:val="single" w:sz="4" w:space="0" w:color="auto"/>
            </w:tcBorders>
            <w:shd w:val="clear" w:color="auto" w:fill="auto"/>
            <w:vAlign w:val="bottom"/>
            <w:hideMark/>
          </w:tcPr>
          <w:p w14:paraId="21A79DCC" w14:textId="2E02E5AC" w:rsidR="00B668D0" w:rsidRPr="00977CF7" w:rsidRDefault="00B668D0" w:rsidP="00AA27DD">
            <w:pPr>
              <w:spacing w:after="0" w:line="360" w:lineRule="auto"/>
              <w:jc w:val="center"/>
              <w:rPr>
                <w:rFonts w:ascii="Times New Roman" w:eastAsia="Times New Roman" w:hAnsi="Times New Roman" w:cs="Times New Roman"/>
                <w:b/>
                <w:bCs/>
                <w:sz w:val="16"/>
                <w:szCs w:val="16"/>
                <w:lang w:eastAsia="en-IN" w:bidi="gu-IN"/>
              </w:rPr>
            </w:pPr>
            <w:r w:rsidRPr="00977CF7">
              <w:rPr>
                <w:rFonts w:ascii="Times New Roman" w:eastAsia="Times New Roman" w:hAnsi="Times New Roman" w:cs="Times New Roman"/>
                <w:b/>
                <w:bCs/>
                <w:sz w:val="16"/>
                <w:szCs w:val="16"/>
                <w:lang w:eastAsia="en-IN" w:bidi="gu-IN"/>
              </w:rPr>
              <w:t>t-value</w:t>
            </w:r>
          </w:p>
        </w:tc>
      </w:tr>
      <w:tr w:rsidR="00D162BA" w:rsidRPr="00977CF7" w14:paraId="71F0B1DF" w14:textId="77777777" w:rsidTr="00D162BA">
        <w:trPr>
          <w:trHeight w:val="424"/>
        </w:trPr>
        <w:tc>
          <w:tcPr>
            <w:tcW w:w="399" w:type="pct"/>
            <w:shd w:val="clear" w:color="000000" w:fill="FFFFFF"/>
            <w:noWrap/>
            <w:vAlign w:val="bottom"/>
            <w:hideMark/>
          </w:tcPr>
          <w:p w14:paraId="3776C151" w14:textId="77777777"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Argentina</w:t>
            </w:r>
          </w:p>
        </w:tc>
        <w:tc>
          <w:tcPr>
            <w:tcW w:w="421" w:type="pct"/>
            <w:tcBorders>
              <w:top w:val="single" w:sz="4" w:space="0" w:color="auto"/>
            </w:tcBorders>
            <w:shd w:val="clear" w:color="auto" w:fill="auto"/>
            <w:noWrap/>
            <w:vAlign w:val="bottom"/>
          </w:tcPr>
          <w:p w14:paraId="5EBE8808" w14:textId="38A11920"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0.505</w:t>
            </w:r>
          </w:p>
        </w:tc>
        <w:tc>
          <w:tcPr>
            <w:tcW w:w="358" w:type="pct"/>
            <w:tcBorders>
              <w:top w:val="single" w:sz="4" w:space="0" w:color="auto"/>
            </w:tcBorders>
            <w:shd w:val="clear" w:color="auto" w:fill="auto"/>
            <w:noWrap/>
            <w:vAlign w:val="bottom"/>
          </w:tcPr>
          <w:p w14:paraId="4E7580E2" w14:textId="174DA66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0.135</w:t>
            </w:r>
          </w:p>
        </w:tc>
        <w:tc>
          <w:tcPr>
            <w:tcW w:w="352" w:type="pct"/>
            <w:tcBorders>
              <w:top w:val="single" w:sz="4" w:space="0" w:color="auto"/>
            </w:tcBorders>
            <w:shd w:val="clear" w:color="auto" w:fill="auto"/>
            <w:noWrap/>
            <w:vAlign w:val="bottom"/>
          </w:tcPr>
          <w:p w14:paraId="0CDE401C" w14:textId="18F4DB90"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1.262</w:t>
            </w:r>
          </w:p>
        </w:tc>
        <w:tc>
          <w:tcPr>
            <w:tcW w:w="352" w:type="pct"/>
            <w:tcBorders>
              <w:top w:val="single" w:sz="4" w:space="0" w:color="auto"/>
            </w:tcBorders>
            <w:shd w:val="clear" w:color="auto" w:fill="auto"/>
            <w:noWrap/>
            <w:vAlign w:val="bottom"/>
          </w:tcPr>
          <w:p w14:paraId="454E3C20" w14:textId="0497F49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0.436</w:t>
            </w:r>
          </w:p>
        </w:tc>
        <w:tc>
          <w:tcPr>
            <w:tcW w:w="352" w:type="pct"/>
            <w:tcBorders>
              <w:top w:val="single" w:sz="4" w:space="0" w:color="auto"/>
            </w:tcBorders>
            <w:shd w:val="clear" w:color="auto" w:fill="auto"/>
            <w:noWrap/>
            <w:vAlign w:val="bottom"/>
          </w:tcPr>
          <w:p w14:paraId="65657C2D" w14:textId="548FE19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4.265</w:t>
            </w:r>
          </w:p>
        </w:tc>
        <w:tc>
          <w:tcPr>
            <w:tcW w:w="406" w:type="pct"/>
            <w:tcBorders>
              <w:top w:val="single" w:sz="4" w:space="0" w:color="auto"/>
            </w:tcBorders>
            <w:shd w:val="clear" w:color="auto" w:fill="auto"/>
            <w:noWrap/>
            <w:vAlign w:val="bottom"/>
          </w:tcPr>
          <w:p w14:paraId="0159C16A" w14:textId="4B8E395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2.553</w:t>
            </w:r>
            <w:r w:rsidR="00A127C8" w:rsidRPr="00977CF7">
              <w:rPr>
                <w:rFonts w:ascii="Times New Roman" w:hAnsi="Times New Roman" w:cs="Times New Roman"/>
                <w:sz w:val="16"/>
                <w:szCs w:val="16"/>
              </w:rPr>
              <w:t>**</w:t>
            </w:r>
          </w:p>
        </w:tc>
        <w:tc>
          <w:tcPr>
            <w:tcW w:w="107" w:type="pct"/>
            <w:tcBorders>
              <w:top w:val="single" w:sz="4" w:space="0" w:color="auto"/>
            </w:tcBorders>
          </w:tcPr>
          <w:p w14:paraId="6063DA92" w14:textId="77777777" w:rsidR="00B668D0" w:rsidRPr="00977CF7" w:rsidRDefault="00B668D0" w:rsidP="00AA27DD">
            <w:pPr>
              <w:spacing w:after="0" w:line="360" w:lineRule="auto"/>
              <w:jc w:val="center"/>
              <w:rPr>
                <w:rFonts w:ascii="Times New Roman" w:hAnsi="Times New Roman" w:cs="Times New Roman"/>
                <w:sz w:val="16"/>
                <w:szCs w:val="16"/>
              </w:rPr>
            </w:pPr>
          </w:p>
        </w:tc>
        <w:tc>
          <w:tcPr>
            <w:tcW w:w="345" w:type="pct"/>
            <w:tcBorders>
              <w:top w:val="single" w:sz="4" w:space="0" w:color="auto"/>
            </w:tcBorders>
            <w:shd w:val="clear" w:color="auto" w:fill="auto"/>
            <w:noWrap/>
            <w:vAlign w:val="bottom"/>
          </w:tcPr>
          <w:p w14:paraId="6B5DA4AC" w14:textId="07764C90"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-1.551</w:t>
            </w:r>
          </w:p>
        </w:tc>
        <w:tc>
          <w:tcPr>
            <w:tcW w:w="394" w:type="pct"/>
            <w:tcBorders>
              <w:top w:val="single" w:sz="4" w:space="0" w:color="auto"/>
            </w:tcBorders>
            <w:shd w:val="clear" w:color="auto" w:fill="auto"/>
            <w:noWrap/>
            <w:vAlign w:val="bottom"/>
          </w:tcPr>
          <w:p w14:paraId="028337ED" w14:textId="7404C478"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-0.928</w:t>
            </w:r>
          </w:p>
        </w:tc>
        <w:tc>
          <w:tcPr>
            <w:tcW w:w="352" w:type="pct"/>
            <w:tcBorders>
              <w:top w:val="single" w:sz="4" w:space="0" w:color="auto"/>
            </w:tcBorders>
            <w:shd w:val="clear" w:color="auto" w:fill="auto"/>
            <w:noWrap/>
            <w:vAlign w:val="bottom"/>
          </w:tcPr>
          <w:p w14:paraId="7F052B3A" w14:textId="75F22AC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3.393</w:t>
            </w:r>
          </w:p>
        </w:tc>
        <w:tc>
          <w:tcPr>
            <w:tcW w:w="406" w:type="pct"/>
            <w:tcBorders>
              <w:top w:val="single" w:sz="4" w:space="0" w:color="auto"/>
            </w:tcBorders>
            <w:shd w:val="clear" w:color="auto" w:fill="auto"/>
            <w:noWrap/>
            <w:vAlign w:val="bottom"/>
          </w:tcPr>
          <w:p w14:paraId="04584FC1" w14:textId="665FDF7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1.173</w:t>
            </w:r>
          </w:p>
        </w:tc>
        <w:tc>
          <w:tcPr>
            <w:tcW w:w="350" w:type="pct"/>
            <w:tcBorders>
              <w:top w:val="single" w:sz="4" w:space="0" w:color="auto"/>
            </w:tcBorders>
            <w:shd w:val="clear" w:color="auto" w:fill="auto"/>
            <w:noWrap/>
            <w:vAlign w:val="bottom"/>
          </w:tcPr>
          <w:p w14:paraId="4AF85716" w14:textId="070BF97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-1.295</w:t>
            </w:r>
          </w:p>
        </w:tc>
        <w:tc>
          <w:tcPr>
            <w:tcW w:w="405" w:type="pct"/>
            <w:tcBorders>
              <w:top w:val="single" w:sz="4" w:space="0" w:color="auto"/>
            </w:tcBorders>
            <w:shd w:val="clear" w:color="auto" w:fill="auto"/>
            <w:noWrap/>
            <w:vAlign w:val="bottom"/>
          </w:tcPr>
          <w:p w14:paraId="3431B4C5" w14:textId="716D6CD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-0.347</w:t>
            </w:r>
          </w:p>
        </w:tc>
      </w:tr>
      <w:tr w:rsidR="00D162BA" w:rsidRPr="00977CF7" w14:paraId="6BFA4092" w14:textId="77777777" w:rsidTr="00D162BA">
        <w:trPr>
          <w:trHeight w:val="424"/>
        </w:trPr>
        <w:tc>
          <w:tcPr>
            <w:tcW w:w="399" w:type="pct"/>
            <w:shd w:val="clear" w:color="000000" w:fill="FFFFFF"/>
            <w:noWrap/>
            <w:vAlign w:val="bottom"/>
            <w:hideMark/>
          </w:tcPr>
          <w:p w14:paraId="39E49CB7" w14:textId="77777777"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Australia</w:t>
            </w:r>
          </w:p>
        </w:tc>
        <w:tc>
          <w:tcPr>
            <w:tcW w:w="421" w:type="pct"/>
            <w:shd w:val="clear" w:color="auto" w:fill="auto"/>
            <w:noWrap/>
            <w:vAlign w:val="bottom"/>
          </w:tcPr>
          <w:p w14:paraId="1380FD30" w14:textId="304BEB54"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0.895</w:t>
            </w:r>
          </w:p>
        </w:tc>
        <w:tc>
          <w:tcPr>
            <w:tcW w:w="358" w:type="pct"/>
            <w:shd w:val="clear" w:color="auto" w:fill="auto"/>
            <w:noWrap/>
            <w:vAlign w:val="bottom"/>
          </w:tcPr>
          <w:p w14:paraId="567DD242" w14:textId="6B8FC50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0.456</w:t>
            </w:r>
          </w:p>
        </w:tc>
        <w:tc>
          <w:tcPr>
            <w:tcW w:w="352" w:type="pct"/>
            <w:shd w:val="clear" w:color="auto" w:fill="auto"/>
            <w:noWrap/>
            <w:vAlign w:val="bottom"/>
          </w:tcPr>
          <w:p w14:paraId="33F8142E" w14:textId="0585F99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0.643</w:t>
            </w:r>
          </w:p>
        </w:tc>
        <w:tc>
          <w:tcPr>
            <w:tcW w:w="352" w:type="pct"/>
            <w:shd w:val="clear" w:color="auto" w:fill="auto"/>
            <w:noWrap/>
            <w:vAlign w:val="bottom"/>
          </w:tcPr>
          <w:p w14:paraId="4F2AF942" w14:textId="7FC47568"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0.422</w:t>
            </w:r>
          </w:p>
        </w:tc>
        <w:tc>
          <w:tcPr>
            <w:tcW w:w="352" w:type="pct"/>
            <w:shd w:val="clear" w:color="auto" w:fill="auto"/>
            <w:noWrap/>
            <w:vAlign w:val="bottom"/>
          </w:tcPr>
          <w:p w14:paraId="3EA93CEE" w14:textId="2ED9246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1.313</w:t>
            </w:r>
          </w:p>
        </w:tc>
        <w:tc>
          <w:tcPr>
            <w:tcW w:w="406" w:type="pct"/>
            <w:shd w:val="clear" w:color="auto" w:fill="auto"/>
            <w:noWrap/>
            <w:vAlign w:val="bottom"/>
          </w:tcPr>
          <w:p w14:paraId="7D935C23" w14:textId="5B561C38"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1.494</w:t>
            </w:r>
          </w:p>
        </w:tc>
        <w:tc>
          <w:tcPr>
            <w:tcW w:w="107" w:type="pct"/>
          </w:tcPr>
          <w:p w14:paraId="2D4FA7ED" w14:textId="77777777" w:rsidR="00B668D0" w:rsidRPr="00977CF7"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19429737" w14:textId="71C4FDF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-2.451</w:t>
            </w:r>
          </w:p>
        </w:tc>
        <w:tc>
          <w:tcPr>
            <w:tcW w:w="394" w:type="pct"/>
            <w:shd w:val="clear" w:color="auto" w:fill="auto"/>
            <w:noWrap/>
            <w:vAlign w:val="bottom"/>
          </w:tcPr>
          <w:p w14:paraId="2AAFCD0F" w14:textId="1CCB6280"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-2.788</w:t>
            </w:r>
            <w:r w:rsidR="00AF68FA" w:rsidRPr="00977CF7">
              <w:rPr>
                <w:rFonts w:ascii="Times New Roman" w:hAnsi="Times New Roman" w:cs="Times New Roman"/>
                <w:sz w:val="16"/>
                <w:szCs w:val="16"/>
              </w:rPr>
              <w:t>*</w:t>
            </w:r>
          </w:p>
        </w:tc>
        <w:tc>
          <w:tcPr>
            <w:tcW w:w="352" w:type="pct"/>
            <w:shd w:val="clear" w:color="auto" w:fill="auto"/>
            <w:noWrap/>
            <w:vAlign w:val="bottom"/>
          </w:tcPr>
          <w:p w14:paraId="355A7524" w14:textId="5E5EADE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-0.331</w:t>
            </w:r>
          </w:p>
        </w:tc>
        <w:tc>
          <w:tcPr>
            <w:tcW w:w="406" w:type="pct"/>
            <w:shd w:val="clear" w:color="auto" w:fill="auto"/>
            <w:noWrap/>
            <w:vAlign w:val="bottom"/>
          </w:tcPr>
          <w:p w14:paraId="6A4CC4DC" w14:textId="7141C34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-0.218</w:t>
            </w:r>
          </w:p>
        </w:tc>
        <w:tc>
          <w:tcPr>
            <w:tcW w:w="350" w:type="pct"/>
            <w:shd w:val="clear" w:color="auto" w:fill="auto"/>
            <w:noWrap/>
            <w:vAlign w:val="bottom"/>
          </w:tcPr>
          <w:p w14:paraId="1E292383" w14:textId="02EDE85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0.294</w:t>
            </w:r>
          </w:p>
        </w:tc>
        <w:tc>
          <w:tcPr>
            <w:tcW w:w="405" w:type="pct"/>
            <w:shd w:val="clear" w:color="auto" w:fill="auto"/>
            <w:noWrap/>
            <w:vAlign w:val="bottom"/>
          </w:tcPr>
          <w:p w14:paraId="2B44082C" w14:textId="7BF63DC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0.150</w:t>
            </w:r>
          </w:p>
        </w:tc>
      </w:tr>
      <w:tr w:rsidR="00D162BA" w:rsidRPr="00977CF7" w14:paraId="0032DD97" w14:textId="77777777" w:rsidTr="00D162BA">
        <w:trPr>
          <w:trHeight w:val="424"/>
        </w:trPr>
        <w:tc>
          <w:tcPr>
            <w:tcW w:w="399" w:type="pct"/>
            <w:shd w:val="clear" w:color="000000" w:fill="FFFFFF"/>
            <w:noWrap/>
            <w:vAlign w:val="bottom"/>
            <w:hideMark/>
          </w:tcPr>
          <w:p w14:paraId="7A8C10E7" w14:textId="77777777"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Brazil</w:t>
            </w:r>
          </w:p>
        </w:tc>
        <w:tc>
          <w:tcPr>
            <w:tcW w:w="421" w:type="pct"/>
            <w:shd w:val="clear" w:color="auto" w:fill="auto"/>
            <w:noWrap/>
            <w:vAlign w:val="bottom"/>
          </w:tcPr>
          <w:p w14:paraId="1DB42056" w14:textId="296B7C5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-0.641</w:t>
            </w:r>
          </w:p>
        </w:tc>
        <w:tc>
          <w:tcPr>
            <w:tcW w:w="358" w:type="pct"/>
            <w:shd w:val="clear" w:color="auto" w:fill="auto"/>
            <w:noWrap/>
            <w:vAlign w:val="bottom"/>
          </w:tcPr>
          <w:p w14:paraId="22494F5F" w14:textId="1B8EC55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-0.259</w:t>
            </w:r>
          </w:p>
        </w:tc>
        <w:tc>
          <w:tcPr>
            <w:tcW w:w="352" w:type="pct"/>
            <w:shd w:val="clear" w:color="auto" w:fill="auto"/>
            <w:noWrap/>
            <w:vAlign w:val="bottom"/>
          </w:tcPr>
          <w:p w14:paraId="7176B7F7" w14:textId="4F3668D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-1.609</w:t>
            </w:r>
          </w:p>
        </w:tc>
        <w:tc>
          <w:tcPr>
            <w:tcW w:w="352" w:type="pct"/>
            <w:shd w:val="clear" w:color="auto" w:fill="auto"/>
            <w:noWrap/>
            <w:vAlign w:val="bottom"/>
          </w:tcPr>
          <w:p w14:paraId="727C715E" w14:textId="7561A539"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-0.840</w:t>
            </w:r>
          </w:p>
        </w:tc>
        <w:tc>
          <w:tcPr>
            <w:tcW w:w="352" w:type="pct"/>
            <w:shd w:val="clear" w:color="auto" w:fill="auto"/>
            <w:noWrap/>
            <w:vAlign w:val="bottom"/>
          </w:tcPr>
          <w:p w14:paraId="2B16200E" w14:textId="3E0C6BB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-0.232</w:t>
            </w:r>
          </w:p>
        </w:tc>
        <w:tc>
          <w:tcPr>
            <w:tcW w:w="406" w:type="pct"/>
            <w:shd w:val="clear" w:color="auto" w:fill="auto"/>
            <w:noWrap/>
            <w:vAlign w:val="bottom"/>
          </w:tcPr>
          <w:p w14:paraId="0AD88B23" w14:textId="7D8D875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-0.209</w:t>
            </w:r>
          </w:p>
        </w:tc>
        <w:tc>
          <w:tcPr>
            <w:tcW w:w="107" w:type="pct"/>
          </w:tcPr>
          <w:p w14:paraId="2185D1F8" w14:textId="77777777" w:rsidR="00B668D0" w:rsidRPr="00977CF7" w:rsidRDefault="00B668D0" w:rsidP="00AA27DD">
            <w:pPr>
              <w:spacing w:after="0" w:line="360" w:lineRule="auto"/>
              <w:jc w:val="center"/>
              <w:rPr>
                <w:rFonts w:ascii="Times New Roman" w:hAnsi="Times New Roman" w:cs="Times New Roman"/>
                <w:color w:val="0070C0"/>
                <w:sz w:val="16"/>
                <w:szCs w:val="16"/>
              </w:rPr>
            </w:pPr>
          </w:p>
        </w:tc>
        <w:tc>
          <w:tcPr>
            <w:tcW w:w="345" w:type="pct"/>
            <w:shd w:val="clear" w:color="auto" w:fill="auto"/>
            <w:noWrap/>
            <w:vAlign w:val="bottom"/>
          </w:tcPr>
          <w:p w14:paraId="305E6D38" w14:textId="63E9F5C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-0.219</w:t>
            </w:r>
          </w:p>
        </w:tc>
        <w:tc>
          <w:tcPr>
            <w:tcW w:w="394" w:type="pct"/>
            <w:shd w:val="clear" w:color="auto" w:fill="auto"/>
            <w:noWrap/>
            <w:vAlign w:val="bottom"/>
          </w:tcPr>
          <w:p w14:paraId="3190DD54" w14:textId="00276D6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-0.198</w:t>
            </w:r>
          </w:p>
        </w:tc>
        <w:tc>
          <w:tcPr>
            <w:tcW w:w="352" w:type="pct"/>
            <w:shd w:val="clear" w:color="auto" w:fill="auto"/>
            <w:noWrap/>
            <w:vAlign w:val="bottom"/>
          </w:tcPr>
          <w:p w14:paraId="1D87AD25" w14:textId="039C8F2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2.317</w:t>
            </w:r>
          </w:p>
        </w:tc>
        <w:tc>
          <w:tcPr>
            <w:tcW w:w="406" w:type="pct"/>
            <w:shd w:val="clear" w:color="auto" w:fill="auto"/>
            <w:noWrap/>
            <w:vAlign w:val="bottom"/>
          </w:tcPr>
          <w:p w14:paraId="790A1ECF" w14:textId="282CFF1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1.210</w:t>
            </w:r>
          </w:p>
        </w:tc>
        <w:tc>
          <w:tcPr>
            <w:tcW w:w="350" w:type="pct"/>
            <w:shd w:val="clear" w:color="auto" w:fill="auto"/>
            <w:noWrap/>
            <w:vAlign w:val="bottom"/>
          </w:tcPr>
          <w:p w14:paraId="144CD826" w14:textId="6142425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-0.998</w:t>
            </w:r>
          </w:p>
        </w:tc>
        <w:tc>
          <w:tcPr>
            <w:tcW w:w="405" w:type="pct"/>
            <w:shd w:val="clear" w:color="auto" w:fill="auto"/>
            <w:noWrap/>
            <w:vAlign w:val="bottom"/>
          </w:tcPr>
          <w:p w14:paraId="630CE179" w14:textId="45F7233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-0.404</w:t>
            </w:r>
          </w:p>
        </w:tc>
      </w:tr>
      <w:tr w:rsidR="00D162BA" w:rsidRPr="00977CF7" w14:paraId="71574639" w14:textId="77777777" w:rsidTr="00D162BA">
        <w:trPr>
          <w:trHeight w:val="424"/>
        </w:trPr>
        <w:tc>
          <w:tcPr>
            <w:tcW w:w="399" w:type="pct"/>
            <w:shd w:val="clear" w:color="000000" w:fill="FFFFFF"/>
            <w:noWrap/>
            <w:vAlign w:val="bottom"/>
            <w:hideMark/>
          </w:tcPr>
          <w:p w14:paraId="3A6B9C48" w14:textId="77777777"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Canada</w:t>
            </w:r>
          </w:p>
        </w:tc>
        <w:tc>
          <w:tcPr>
            <w:tcW w:w="421" w:type="pct"/>
            <w:shd w:val="clear" w:color="auto" w:fill="auto"/>
            <w:noWrap/>
            <w:vAlign w:val="bottom"/>
          </w:tcPr>
          <w:p w14:paraId="2B0C1988" w14:textId="047B90F9"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0.161</w:t>
            </w:r>
          </w:p>
        </w:tc>
        <w:tc>
          <w:tcPr>
            <w:tcW w:w="358" w:type="pct"/>
            <w:shd w:val="clear" w:color="auto" w:fill="auto"/>
            <w:noWrap/>
            <w:vAlign w:val="bottom"/>
          </w:tcPr>
          <w:p w14:paraId="0A3C3A98" w14:textId="13755E0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0.094</w:t>
            </w:r>
          </w:p>
        </w:tc>
        <w:tc>
          <w:tcPr>
            <w:tcW w:w="352" w:type="pct"/>
            <w:shd w:val="clear" w:color="auto" w:fill="auto"/>
            <w:noWrap/>
            <w:vAlign w:val="bottom"/>
          </w:tcPr>
          <w:p w14:paraId="43A097EF" w14:textId="18A5D80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1.024</w:t>
            </w:r>
          </w:p>
        </w:tc>
        <w:tc>
          <w:tcPr>
            <w:tcW w:w="352" w:type="pct"/>
            <w:shd w:val="clear" w:color="auto" w:fill="auto"/>
            <w:noWrap/>
            <w:vAlign w:val="bottom"/>
          </w:tcPr>
          <w:p w14:paraId="02F186F1" w14:textId="2D5DBDC4"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0.767</w:t>
            </w:r>
          </w:p>
        </w:tc>
        <w:tc>
          <w:tcPr>
            <w:tcW w:w="352" w:type="pct"/>
            <w:shd w:val="clear" w:color="auto" w:fill="auto"/>
            <w:noWrap/>
            <w:vAlign w:val="bottom"/>
          </w:tcPr>
          <w:p w14:paraId="06D27A3C" w14:textId="0045E2A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0.545</w:t>
            </w:r>
          </w:p>
        </w:tc>
        <w:tc>
          <w:tcPr>
            <w:tcW w:w="406" w:type="pct"/>
            <w:shd w:val="clear" w:color="auto" w:fill="auto"/>
            <w:noWrap/>
            <w:vAlign w:val="bottom"/>
          </w:tcPr>
          <w:p w14:paraId="53A8097E" w14:textId="141490A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0.707</w:t>
            </w:r>
          </w:p>
        </w:tc>
        <w:tc>
          <w:tcPr>
            <w:tcW w:w="107" w:type="pct"/>
          </w:tcPr>
          <w:p w14:paraId="723AB460" w14:textId="77777777" w:rsidR="00B668D0" w:rsidRPr="00977CF7" w:rsidRDefault="00B668D0" w:rsidP="00AA27DD">
            <w:pPr>
              <w:spacing w:after="0" w:line="360" w:lineRule="auto"/>
              <w:jc w:val="center"/>
              <w:rPr>
                <w:rFonts w:ascii="Times New Roman" w:hAnsi="Times New Roman" w:cs="Times New Roman"/>
                <w:color w:val="0070C0"/>
                <w:sz w:val="16"/>
                <w:szCs w:val="16"/>
              </w:rPr>
            </w:pPr>
          </w:p>
        </w:tc>
        <w:tc>
          <w:tcPr>
            <w:tcW w:w="345" w:type="pct"/>
            <w:shd w:val="clear" w:color="auto" w:fill="auto"/>
            <w:noWrap/>
            <w:vAlign w:val="bottom"/>
          </w:tcPr>
          <w:p w14:paraId="7081125C" w14:textId="25D4DD4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0.763</w:t>
            </w:r>
          </w:p>
        </w:tc>
        <w:tc>
          <w:tcPr>
            <w:tcW w:w="394" w:type="pct"/>
            <w:shd w:val="clear" w:color="auto" w:fill="auto"/>
            <w:noWrap/>
            <w:vAlign w:val="bottom"/>
          </w:tcPr>
          <w:p w14:paraId="22AA3E0C" w14:textId="5D96CDC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0.990</w:t>
            </w:r>
          </w:p>
        </w:tc>
        <w:tc>
          <w:tcPr>
            <w:tcW w:w="352" w:type="pct"/>
            <w:shd w:val="clear" w:color="auto" w:fill="auto"/>
            <w:noWrap/>
            <w:vAlign w:val="bottom"/>
          </w:tcPr>
          <w:p w14:paraId="781B181D" w14:textId="7D6230E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1.316</w:t>
            </w:r>
          </w:p>
        </w:tc>
        <w:tc>
          <w:tcPr>
            <w:tcW w:w="406" w:type="pct"/>
            <w:shd w:val="clear" w:color="auto" w:fill="auto"/>
            <w:noWrap/>
            <w:vAlign w:val="bottom"/>
          </w:tcPr>
          <w:p w14:paraId="427914DC" w14:textId="3AFBCCD0"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0.986</w:t>
            </w:r>
          </w:p>
        </w:tc>
        <w:tc>
          <w:tcPr>
            <w:tcW w:w="350" w:type="pct"/>
            <w:shd w:val="clear" w:color="auto" w:fill="auto"/>
            <w:noWrap/>
            <w:vAlign w:val="bottom"/>
          </w:tcPr>
          <w:p w14:paraId="3A220D5F" w14:textId="68ED23C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2.141</w:t>
            </w:r>
          </w:p>
        </w:tc>
        <w:tc>
          <w:tcPr>
            <w:tcW w:w="405" w:type="pct"/>
            <w:shd w:val="clear" w:color="auto" w:fill="auto"/>
            <w:noWrap/>
            <w:vAlign w:val="bottom"/>
          </w:tcPr>
          <w:p w14:paraId="4767B9FF" w14:textId="6C8339F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1.242</w:t>
            </w:r>
          </w:p>
        </w:tc>
      </w:tr>
      <w:tr w:rsidR="00D162BA" w:rsidRPr="00977CF7" w14:paraId="5FE28DF2" w14:textId="77777777" w:rsidTr="00D162BA">
        <w:trPr>
          <w:trHeight w:val="424"/>
        </w:trPr>
        <w:tc>
          <w:tcPr>
            <w:tcW w:w="399" w:type="pct"/>
            <w:shd w:val="clear" w:color="000000" w:fill="FFFFFF"/>
            <w:noWrap/>
            <w:vAlign w:val="bottom"/>
            <w:hideMark/>
          </w:tcPr>
          <w:p w14:paraId="3C2DE9B3" w14:textId="77777777"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China</w:t>
            </w:r>
          </w:p>
        </w:tc>
        <w:tc>
          <w:tcPr>
            <w:tcW w:w="421" w:type="pct"/>
            <w:shd w:val="clear" w:color="auto" w:fill="auto"/>
            <w:noWrap/>
            <w:vAlign w:val="bottom"/>
          </w:tcPr>
          <w:p w14:paraId="57B20902" w14:textId="2100FE6F"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0.386</w:t>
            </w:r>
          </w:p>
        </w:tc>
        <w:tc>
          <w:tcPr>
            <w:tcW w:w="358" w:type="pct"/>
            <w:shd w:val="clear" w:color="auto" w:fill="auto"/>
            <w:noWrap/>
            <w:vAlign w:val="bottom"/>
          </w:tcPr>
          <w:p w14:paraId="641086FD" w14:textId="3E2DA4D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0.219</w:t>
            </w:r>
          </w:p>
        </w:tc>
        <w:tc>
          <w:tcPr>
            <w:tcW w:w="352" w:type="pct"/>
            <w:shd w:val="clear" w:color="auto" w:fill="auto"/>
            <w:noWrap/>
            <w:vAlign w:val="bottom"/>
          </w:tcPr>
          <w:p w14:paraId="69177C03" w14:textId="781AA97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1.324</w:t>
            </w:r>
          </w:p>
        </w:tc>
        <w:tc>
          <w:tcPr>
            <w:tcW w:w="352" w:type="pct"/>
            <w:shd w:val="clear" w:color="auto" w:fill="auto"/>
            <w:noWrap/>
            <w:vAlign w:val="bottom"/>
          </w:tcPr>
          <w:p w14:paraId="44FD72B4" w14:textId="31E5469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0.969</w:t>
            </w:r>
          </w:p>
        </w:tc>
        <w:tc>
          <w:tcPr>
            <w:tcW w:w="352" w:type="pct"/>
            <w:shd w:val="clear" w:color="auto" w:fill="auto"/>
            <w:noWrap/>
            <w:vAlign w:val="bottom"/>
          </w:tcPr>
          <w:p w14:paraId="4A2647A5" w14:textId="43D2574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1.761</w:t>
            </w:r>
          </w:p>
        </w:tc>
        <w:tc>
          <w:tcPr>
            <w:tcW w:w="406" w:type="pct"/>
            <w:shd w:val="clear" w:color="auto" w:fill="auto"/>
            <w:noWrap/>
            <w:vAlign w:val="bottom"/>
          </w:tcPr>
          <w:p w14:paraId="39976021" w14:textId="1219E35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2.232</w:t>
            </w:r>
            <w:r w:rsidR="005D3B7C" w:rsidRPr="00977CF7">
              <w:rPr>
                <w:rFonts w:ascii="Times New Roman" w:hAnsi="Times New Roman" w:cs="Times New Roman"/>
                <w:sz w:val="16"/>
                <w:szCs w:val="16"/>
              </w:rPr>
              <w:t>**</w:t>
            </w:r>
          </w:p>
        </w:tc>
        <w:tc>
          <w:tcPr>
            <w:tcW w:w="107" w:type="pct"/>
          </w:tcPr>
          <w:p w14:paraId="58739338" w14:textId="77777777" w:rsidR="00B668D0" w:rsidRPr="00977CF7" w:rsidRDefault="00B668D0" w:rsidP="00AA27DD">
            <w:pPr>
              <w:spacing w:after="0" w:line="360" w:lineRule="auto"/>
              <w:jc w:val="center"/>
              <w:rPr>
                <w:rFonts w:ascii="Times New Roman" w:hAnsi="Times New Roman" w:cs="Times New Roman"/>
                <w:color w:val="0070C0"/>
                <w:sz w:val="16"/>
                <w:szCs w:val="16"/>
              </w:rPr>
            </w:pPr>
          </w:p>
        </w:tc>
        <w:tc>
          <w:tcPr>
            <w:tcW w:w="345" w:type="pct"/>
            <w:shd w:val="clear" w:color="auto" w:fill="auto"/>
            <w:noWrap/>
            <w:vAlign w:val="bottom"/>
          </w:tcPr>
          <w:p w14:paraId="7F4FADFF" w14:textId="5126CC2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0.372</w:t>
            </w:r>
          </w:p>
        </w:tc>
        <w:tc>
          <w:tcPr>
            <w:tcW w:w="394" w:type="pct"/>
            <w:shd w:val="clear" w:color="auto" w:fill="auto"/>
            <w:noWrap/>
            <w:vAlign w:val="bottom"/>
          </w:tcPr>
          <w:p w14:paraId="2ED311F0" w14:textId="4DC6426F"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0.471</w:t>
            </w:r>
          </w:p>
        </w:tc>
        <w:tc>
          <w:tcPr>
            <w:tcW w:w="352" w:type="pct"/>
            <w:shd w:val="clear" w:color="auto" w:fill="auto"/>
            <w:noWrap/>
            <w:vAlign w:val="bottom"/>
          </w:tcPr>
          <w:p w14:paraId="7263F93A" w14:textId="49EF829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1.786</w:t>
            </w:r>
          </w:p>
        </w:tc>
        <w:tc>
          <w:tcPr>
            <w:tcW w:w="406" w:type="pct"/>
            <w:shd w:val="clear" w:color="auto" w:fill="auto"/>
            <w:noWrap/>
            <w:vAlign w:val="bottom"/>
          </w:tcPr>
          <w:p w14:paraId="005D2C7F" w14:textId="04722577"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1.307</w:t>
            </w:r>
          </w:p>
        </w:tc>
        <w:tc>
          <w:tcPr>
            <w:tcW w:w="350" w:type="pct"/>
            <w:shd w:val="clear" w:color="auto" w:fill="auto"/>
            <w:noWrap/>
            <w:vAlign w:val="bottom"/>
          </w:tcPr>
          <w:p w14:paraId="1180B285" w14:textId="2A13FFB4"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1.546</w:t>
            </w:r>
          </w:p>
        </w:tc>
        <w:tc>
          <w:tcPr>
            <w:tcW w:w="405" w:type="pct"/>
            <w:shd w:val="clear" w:color="auto" w:fill="auto"/>
            <w:noWrap/>
            <w:vAlign w:val="bottom"/>
          </w:tcPr>
          <w:p w14:paraId="114D5C81" w14:textId="5C455C14"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0.877</w:t>
            </w:r>
          </w:p>
        </w:tc>
      </w:tr>
      <w:tr w:rsidR="00D162BA" w:rsidRPr="00977CF7" w14:paraId="1474CB74" w14:textId="77777777" w:rsidTr="00D162BA">
        <w:trPr>
          <w:trHeight w:val="424"/>
        </w:trPr>
        <w:tc>
          <w:tcPr>
            <w:tcW w:w="399" w:type="pct"/>
            <w:shd w:val="clear" w:color="000000" w:fill="FFFFFF"/>
            <w:noWrap/>
            <w:vAlign w:val="bottom"/>
            <w:hideMark/>
          </w:tcPr>
          <w:p w14:paraId="116C5B15" w14:textId="77777777"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France</w:t>
            </w:r>
          </w:p>
        </w:tc>
        <w:tc>
          <w:tcPr>
            <w:tcW w:w="421" w:type="pct"/>
            <w:shd w:val="clear" w:color="auto" w:fill="auto"/>
            <w:noWrap/>
            <w:vAlign w:val="bottom"/>
          </w:tcPr>
          <w:p w14:paraId="5F534290" w14:textId="25DC843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1.008</w:t>
            </w:r>
          </w:p>
        </w:tc>
        <w:tc>
          <w:tcPr>
            <w:tcW w:w="358" w:type="pct"/>
            <w:shd w:val="clear" w:color="auto" w:fill="auto"/>
            <w:noWrap/>
            <w:vAlign w:val="bottom"/>
          </w:tcPr>
          <w:p w14:paraId="182D678E" w14:textId="17C8059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0.467</w:t>
            </w:r>
          </w:p>
        </w:tc>
        <w:tc>
          <w:tcPr>
            <w:tcW w:w="352" w:type="pct"/>
            <w:shd w:val="clear" w:color="auto" w:fill="auto"/>
            <w:noWrap/>
            <w:vAlign w:val="bottom"/>
          </w:tcPr>
          <w:p w14:paraId="20EA72E0" w14:textId="6F8A8D99"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-0.320</w:t>
            </w:r>
          </w:p>
        </w:tc>
        <w:tc>
          <w:tcPr>
            <w:tcW w:w="352" w:type="pct"/>
            <w:shd w:val="clear" w:color="auto" w:fill="auto"/>
            <w:noWrap/>
            <w:vAlign w:val="bottom"/>
          </w:tcPr>
          <w:p w14:paraId="5D45CF5E" w14:textId="31672570"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-0.192</w:t>
            </w:r>
          </w:p>
        </w:tc>
        <w:tc>
          <w:tcPr>
            <w:tcW w:w="352" w:type="pct"/>
            <w:shd w:val="clear" w:color="auto" w:fill="auto"/>
            <w:noWrap/>
            <w:vAlign w:val="bottom"/>
          </w:tcPr>
          <w:p w14:paraId="5A313ABD" w14:textId="5D140118"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1.329</w:t>
            </w:r>
          </w:p>
        </w:tc>
        <w:tc>
          <w:tcPr>
            <w:tcW w:w="406" w:type="pct"/>
            <w:shd w:val="clear" w:color="auto" w:fill="auto"/>
            <w:noWrap/>
            <w:vAlign w:val="bottom"/>
          </w:tcPr>
          <w:p w14:paraId="2DA74C96" w14:textId="637AD387"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1.378</w:t>
            </w:r>
          </w:p>
        </w:tc>
        <w:tc>
          <w:tcPr>
            <w:tcW w:w="107" w:type="pct"/>
          </w:tcPr>
          <w:p w14:paraId="0B7E76AC" w14:textId="77777777" w:rsidR="00B668D0" w:rsidRPr="00977CF7"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0631EDDD" w14:textId="64E3A00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-0.667</w:t>
            </w:r>
          </w:p>
        </w:tc>
        <w:tc>
          <w:tcPr>
            <w:tcW w:w="394" w:type="pct"/>
            <w:shd w:val="clear" w:color="auto" w:fill="auto"/>
            <w:noWrap/>
            <w:vAlign w:val="bottom"/>
          </w:tcPr>
          <w:p w14:paraId="447EE2D2" w14:textId="17C3035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-0.692</w:t>
            </w:r>
          </w:p>
        </w:tc>
        <w:tc>
          <w:tcPr>
            <w:tcW w:w="352" w:type="pct"/>
            <w:shd w:val="clear" w:color="auto" w:fill="auto"/>
            <w:noWrap/>
            <w:vAlign w:val="bottom"/>
          </w:tcPr>
          <w:p w14:paraId="52D05A38" w14:textId="2F649C4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-4.835</w:t>
            </w:r>
          </w:p>
        </w:tc>
        <w:tc>
          <w:tcPr>
            <w:tcW w:w="406" w:type="pct"/>
            <w:shd w:val="clear" w:color="auto" w:fill="auto"/>
            <w:noWrap/>
            <w:vAlign w:val="bottom"/>
          </w:tcPr>
          <w:p w14:paraId="1E21FE92" w14:textId="0633E644"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-2.895</w:t>
            </w:r>
            <w:r w:rsidR="005D3B7C" w:rsidRPr="00977CF7">
              <w:rPr>
                <w:rFonts w:ascii="Times New Roman" w:hAnsi="Times New Roman" w:cs="Times New Roman"/>
                <w:sz w:val="16"/>
                <w:szCs w:val="16"/>
              </w:rPr>
              <w:t>*</w:t>
            </w:r>
          </w:p>
        </w:tc>
        <w:tc>
          <w:tcPr>
            <w:tcW w:w="350" w:type="pct"/>
            <w:shd w:val="clear" w:color="auto" w:fill="auto"/>
            <w:noWrap/>
            <w:vAlign w:val="bottom"/>
          </w:tcPr>
          <w:p w14:paraId="192FF3EB" w14:textId="6265CE3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-5.481</w:t>
            </w:r>
          </w:p>
        </w:tc>
        <w:tc>
          <w:tcPr>
            <w:tcW w:w="405" w:type="pct"/>
            <w:shd w:val="clear" w:color="auto" w:fill="auto"/>
            <w:noWrap/>
            <w:vAlign w:val="bottom"/>
          </w:tcPr>
          <w:p w14:paraId="5FAD3FC8" w14:textId="203A925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-2.542</w:t>
            </w:r>
            <w:r w:rsidR="005D3B7C" w:rsidRPr="00977CF7">
              <w:rPr>
                <w:rFonts w:ascii="Times New Roman" w:hAnsi="Times New Roman" w:cs="Times New Roman"/>
                <w:sz w:val="16"/>
                <w:szCs w:val="16"/>
              </w:rPr>
              <w:t>**</w:t>
            </w:r>
          </w:p>
        </w:tc>
      </w:tr>
      <w:tr w:rsidR="00D162BA" w:rsidRPr="00977CF7" w14:paraId="6B13D60C" w14:textId="77777777" w:rsidTr="00D162BA">
        <w:trPr>
          <w:trHeight w:val="424"/>
        </w:trPr>
        <w:tc>
          <w:tcPr>
            <w:tcW w:w="399" w:type="pct"/>
            <w:shd w:val="clear" w:color="auto" w:fill="auto"/>
            <w:noWrap/>
            <w:vAlign w:val="bottom"/>
            <w:hideMark/>
          </w:tcPr>
          <w:p w14:paraId="5FADD4EA" w14:textId="77777777"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Germany</w:t>
            </w:r>
          </w:p>
        </w:tc>
        <w:tc>
          <w:tcPr>
            <w:tcW w:w="421" w:type="pct"/>
            <w:shd w:val="clear" w:color="auto" w:fill="auto"/>
            <w:noWrap/>
            <w:vAlign w:val="bottom"/>
          </w:tcPr>
          <w:p w14:paraId="3C44CA7E" w14:textId="1C55A9F4"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0.605</w:t>
            </w:r>
          </w:p>
        </w:tc>
        <w:tc>
          <w:tcPr>
            <w:tcW w:w="358" w:type="pct"/>
            <w:shd w:val="clear" w:color="auto" w:fill="auto"/>
            <w:noWrap/>
            <w:vAlign w:val="bottom"/>
          </w:tcPr>
          <w:p w14:paraId="36191380" w14:textId="1D65B12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0.281</w:t>
            </w:r>
          </w:p>
        </w:tc>
        <w:tc>
          <w:tcPr>
            <w:tcW w:w="352" w:type="pct"/>
            <w:shd w:val="clear" w:color="auto" w:fill="auto"/>
            <w:noWrap/>
            <w:vAlign w:val="bottom"/>
          </w:tcPr>
          <w:p w14:paraId="7B0DD32A" w14:textId="614947B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-1.917</w:t>
            </w:r>
          </w:p>
        </w:tc>
        <w:tc>
          <w:tcPr>
            <w:tcW w:w="352" w:type="pct"/>
            <w:shd w:val="clear" w:color="auto" w:fill="auto"/>
            <w:noWrap/>
            <w:vAlign w:val="bottom"/>
          </w:tcPr>
          <w:p w14:paraId="5C6ADEE7" w14:textId="5351BDB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-1.150</w:t>
            </w:r>
          </w:p>
        </w:tc>
        <w:tc>
          <w:tcPr>
            <w:tcW w:w="352" w:type="pct"/>
            <w:shd w:val="clear" w:color="auto" w:fill="auto"/>
            <w:noWrap/>
            <w:vAlign w:val="bottom"/>
          </w:tcPr>
          <w:p w14:paraId="0AF62C72" w14:textId="01E87EE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-0.796</w:t>
            </w:r>
          </w:p>
        </w:tc>
        <w:tc>
          <w:tcPr>
            <w:tcW w:w="406" w:type="pct"/>
            <w:shd w:val="clear" w:color="auto" w:fill="auto"/>
            <w:noWrap/>
            <w:vAlign w:val="bottom"/>
          </w:tcPr>
          <w:p w14:paraId="2113D3CE" w14:textId="4F5876A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-0.828</w:t>
            </w:r>
          </w:p>
        </w:tc>
        <w:tc>
          <w:tcPr>
            <w:tcW w:w="107" w:type="pct"/>
          </w:tcPr>
          <w:p w14:paraId="1DD78F88" w14:textId="77777777" w:rsidR="00B668D0" w:rsidRPr="00977CF7"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10B136C4" w14:textId="0D9B675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-2.647</w:t>
            </w:r>
          </w:p>
        </w:tc>
        <w:tc>
          <w:tcPr>
            <w:tcW w:w="394" w:type="pct"/>
            <w:shd w:val="clear" w:color="auto" w:fill="auto"/>
            <w:noWrap/>
            <w:vAlign w:val="bottom"/>
          </w:tcPr>
          <w:p w14:paraId="798EC821" w14:textId="020DAA3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-2.750</w:t>
            </w:r>
            <w:r w:rsidR="005D3B7C" w:rsidRPr="00977CF7">
              <w:rPr>
                <w:rFonts w:ascii="Times New Roman" w:hAnsi="Times New Roman" w:cs="Times New Roman"/>
                <w:sz w:val="16"/>
                <w:szCs w:val="16"/>
              </w:rPr>
              <w:t>*</w:t>
            </w:r>
          </w:p>
        </w:tc>
        <w:tc>
          <w:tcPr>
            <w:tcW w:w="352" w:type="pct"/>
            <w:shd w:val="clear" w:color="auto" w:fill="auto"/>
            <w:noWrap/>
            <w:vAlign w:val="bottom"/>
          </w:tcPr>
          <w:p w14:paraId="75A08C67" w14:textId="62770DEF"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-6.007</w:t>
            </w:r>
          </w:p>
        </w:tc>
        <w:tc>
          <w:tcPr>
            <w:tcW w:w="406" w:type="pct"/>
            <w:shd w:val="clear" w:color="auto" w:fill="auto"/>
            <w:noWrap/>
            <w:vAlign w:val="bottom"/>
          </w:tcPr>
          <w:p w14:paraId="2B373358" w14:textId="6146DA50"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-3.604</w:t>
            </w:r>
            <w:r w:rsidR="005D3B7C" w:rsidRPr="00977CF7">
              <w:rPr>
                <w:rFonts w:ascii="Times New Roman" w:hAnsi="Times New Roman" w:cs="Times New Roman"/>
                <w:sz w:val="16"/>
                <w:szCs w:val="16"/>
              </w:rPr>
              <w:t>*</w:t>
            </w:r>
          </w:p>
        </w:tc>
        <w:tc>
          <w:tcPr>
            <w:tcW w:w="350" w:type="pct"/>
            <w:shd w:val="clear" w:color="auto" w:fill="auto"/>
            <w:noWrap/>
            <w:vAlign w:val="bottom"/>
          </w:tcPr>
          <w:p w14:paraId="7FB98E68" w14:textId="1F585D7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-7.757</w:t>
            </w:r>
          </w:p>
        </w:tc>
        <w:tc>
          <w:tcPr>
            <w:tcW w:w="405" w:type="pct"/>
            <w:shd w:val="clear" w:color="auto" w:fill="auto"/>
            <w:noWrap/>
            <w:vAlign w:val="bottom"/>
          </w:tcPr>
          <w:p w14:paraId="0C992B03" w14:textId="763217F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-3.605</w:t>
            </w:r>
            <w:r w:rsidR="005D3B7C" w:rsidRPr="00977CF7">
              <w:rPr>
                <w:rFonts w:ascii="Times New Roman" w:hAnsi="Times New Roman" w:cs="Times New Roman"/>
                <w:sz w:val="16"/>
                <w:szCs w:val="16"/>
              </w:rPr>
              <w:t>*</w:t>
            </w:r>
          </w:p>
        </w:tc>
      </w:tr>
      <w:tr w:rsidR="00D162BA" w:rsidRPr="00977CF7" w14:paraId="30BE0B3A" w14:textId="77777777" w:rsidTr="00D162BA">
        <w:trPr>
          <w:trHeight w:val="424"/>
        </w:trPr>
        <w:tc>
          <w:tcPr>
            <w:tcW w:w="399" w:type="pct"/>
            <w:shd w:val="clear" w:color="auto" w:fill="auto"/>
            <w:noWrap/>
            <w:vAlign w:val="bottom"/>
            <w:hideMark/>
          </w:tcPr>
          <w:p w14:paraId="730780E5" w14:textId="77777777"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Hungary</w:t>
            </w:r>
          </w:p>
        </w:tc>
        <w:tc>
          <w:tcPr>
            <w:tcW w:w="421" w:type="pct"/>
            <w:shd w:val="clear" w:color="auto" w:fill="auto"/>
            <w:noWrap/>
            <w:vAlign w:val="bottom"/>
          </w:tcPr>
          <w:p w14:paraId="58070BDB" w14:textId="41768E1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-0.206</w:t>
            </w:r>
          </w:p>
        </w:tc>
        <w:tc>
          <w:tcPr>
            <w:tcW w:w="358" w:type="pct"/>
            <w:shd w:val="clear" w:color="auto" w:fill="auto"/>
            <w:noWrap/>
            <w:vAlign w:val="bottom"/>
          </w:tcPr>
          <w:p w14:paraId="215EB9EA" w14:textId="7C36E3F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-0.095</w:t>
            </w:r>
          </w:p>
        </w:tc>
        <w:tc>
          <w:tcPr>
            <w:tcW w:w="352" w:type="pct"/>
            <w:shd w:val="clear" w:color="auto" w:fill="auto"/>
            <w:noWrap/>
            <w:vAlign w:val="bottom"/>
          </w:tcPr>
          <w:p w14:paraId="4A0EF8F5" w14:textId="60D3ACF4"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-5.288</w:t>
            </w:r>
          </w:p>
        </w:tc>
        <w:tc>
          <w:tcPr>
            <w:tcW w:w="352" w:type="pct"/>
            <w:shd w:val="clear" w:color="auto" w:fill="auto"/>
            <w:noWrap/>
            <w:vAlign w:val="bottom"/>
          </w:tcPr>
          <w:p w14:paraId="3B71BCA0" w14:textId="7ACE3498"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-3.135</w:t>
            </w:r>
            <w:r w:rsidR="005D3B7C" w:rsidRPr="00977CF7">
              <w:rPr>
                <w:rFonts w:ascii="Times New Roman" w:hAnsi="Times New Roman" w:cs="Times New Roman"/>
                <w:sz w:val="16"/>
                <w:szCs w:val="16"/>
              </w:rPr>
              <w:t>*</w:t>
            </w:r>
          </w:p>
        </w:tc>
        <w:tc>
          <w:tcPr>
            <w:tcW w:w="352" w:type="pct"/>
            <w:shd w:val="clear" w:color="auto" w:fill="auto"/>
            <w:noWrap/>
            <w:vAlign w:val="bottom"/>
          </w:tcPr>
          <w:p w14:paraId="155E1600" w14:textId="74A32FD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-5.825</w:t>
            </w:r>
          </w:p>
        </w:tc>
        <w:tc>
          <w:tcPr>
            <w:tcW w:w="406" w:type="pct"/>
            <w:shd w:val="clear" w:color="auto" w:fill="auto"/>
            <w:noWrap/>
            <w:vAlign w:val="bottom"/>
          </w:tcPr>
          <w:p w14:paraId="557EC99A" w14:textId="53C4B1B7"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-5.982</w:t>
            </w:r>
            <w:r w:rsidR="005D3B7C" w:rsidRPr="00977CF7">
              <w:rPr>
                <w:rFonts w:ascii="Times New Roman" w:hAnsi="Times New Roman" w:cs="Times New Roman"/>
                <w:sz w:val="16"/>
                <w:szCs w:val="16"/>
              </w:rPr>
              <w:t>*</w:t>
            </w:r>
          </w:p>
        </w:tc>
        <w:tc>
          <w:tcPr>
            <w:tcW w:w="107" w:type="pct"/>
          </w:tcPr>
          <w:p w14:paraId="22CC5CF9" w14:textId="77777777" w:rsidR="00B668D0" w:rsidRPr="00977CF7"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7C08FD59" w14:textId="71AA069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-10.257</w:t>
            </w:r>
          </w:p>
        </w:tc>
        <w:tc>
          <w:tcPr>
            <w:tcW w:w="394" w:type="pct"/>
            <w:shd w:val="clear" w:color="auto" w:fill="auto"/>
            <w:noWrap/>
            <w:vAlign w:val="bottom"/>
          </w:tcPr>
          <w:p w14:paraId="7FEC2874" w14:textId="3BE2951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-10.533</w:t>
            </w:r>
            <w:r w:rsidR="005D3B7C" w:rsidRPr="00977CF7">
              <w:rPr>
                <w:rFonts w:ascii="Times New Roman" w:hAnsi="Times New Roman" w:cs="Times New Roman"/>
                <w:sz w:val="16"/>
                <w:szCs w:val="16"/>
              </w:rPr>
              <w:t>*</w:t>
            </w:r>
          </w:p>
        </w:tc>
        <w:tc>
          <w:tcPr>
            <w:tcW w:w="352" w:type="pct"/>
            <w:shd w:val="clear" w:color="auto" w:fill="auto"/>
            <w:noWrap/>
            <w:vAlign w:val="bottom"/>
          </w:tcPr>
          <w:p w14:paraId="21D8E45A" w14:textId="67DFC0AF"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-25.107</w:t>
            </w:r>
          </w:p>
        </w:tc>
        <w:tc>
          <w:tcPr>
            <w:tcW w:w="406" w:type="pct"/>
            <w:shd w:val="clear" w:color="auto" w:fill="auto"/>
            <w:noWrap/>
            <w:vAlign w:val="bottom"/>
          </w:tcPr>
          <w:p w14:paraId="18BD0E10" w14:textId="7E7F7F5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-14.885</w:t>
            </w:r>
            <w:r w:rsidR="005D3B7C" w:rsidRPr="00977CF7">
              <w:rPr>
                <w:rFonts w:ascii="Times New Roman" w:hAnsi="Times New Roman" w:cs="Times New Roman"/>
                <w:sz w:val="16"/>
                <w:szCs w:val="16"/>
              </w:rPr>
              <w:t>*</w:t>
            </w:r>
          </w:p>
        </w:tc>
        <w:tc>
          <w:tcPr>
            <w:tcW w:w="350" w:type="pct"/>
            <w:shd w:val="clear" w:color="auto" w:fill="auto"/>
            <w:noWrap/>
            <w:vAlign w:val="bottom"/>
          </w:tcPr>
          <w:p w14:paraId="27D14C96" w14:textId="48AD4BB8"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-18.367</w:t>
            </w:r>
          </w:p>
        </w:tc>
        <w:tc>
          <w:tcPr>
            <w:tcW w:w="405" w:type="pct"/>
            <w:shd w:val="clear" w:color="auto" w:fill="auto"/>
            <w:noWrap/>
            <w:vAlign w:val="bottom"/>
          </w:tcPr>
          <w:p w14:paraId="2373E8FE" w14:textId="7C45AFA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-8.435</w:t>
            </w:r>
            <w:r w:rsidR="005D3B7C" w:rsidRPr="00977CF7">
              <w:rPr>
                <w:rFonts w:ascii="Times New Roman" w:hAnsi="Times New Roman" w:cs="Times New Roman"/>
                <w:sz w:val="16"/>
                <w:szCs w:val="16"/>
              </w:rPr>
              <w:t>*</w:t>
            </w:r>
          </w:p>
        </w:tc>
      </w:tr>
      <w:tr w:rsidR="00D162BA" w:rsidRPr="00977CF7" w14:paraId="1ECEE737" w14:textId="77777777" w:rsidTr="00D162BA">
        <w:trPr>
          <w:trHeight w:val="424"/>
        </w:trPr>
        <w:tc>
          <w:tcPr>
            <w:tcW w:w="399" w:type="pct"/>
            <w:shd w:val="clear" w:color="auto" w:fill="auto"/>
            <w:noWrap/>
            <w:vAlign w:val="bottom"/>
            <w:hideMark/>
          </w:tcPr>
          <w:p w14:paraId="05C17755" w14:textId="77777777"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India</w:t>
            </w:r>
          </w:p>
        </w:tc>
        <w:tc>
          <w:tcPr>
            <w:tcW w:w="421" w:type="pct"/>
            <w:shd w:val="clear" w:color="auto" w:fill="auto"/>
            <w:noWrap/>
            <w:vAlign w:val="bottom"/>
          </w:tcPr>
          <w:p w14:paraId="5B3B44EE" w14:textId="2E42F65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0.803</w:t>
            </w:r>
          </w:p>
        </w:tc>
        <w:tc>
          <w:tcPr>
            <w:tcW w:w="358" w:type="pct"/>
            <w:shd w:val="clear" w:color="auto" w:fill="auto"/>
            <w:noWrap/>
            <w:vAlign w:val="bottom"/>
          </w:tcPr>
          <w:p w14:paraId="0BD042DE" w14:textId="59F053C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0.393</w:t>
            </w:r>
          </w:p>
        </w:tc>
        <w:tc>
          <w:tcPr>
            <w:tcW w:w="352" w:type="pct"/>
            <w:shd w:val="clear" w:color="auto" w:fill="auto"/>
            <w:noWrap/>
            <w:vAlign w:val="bottom"/>
          </w:tcPr>
          <w:p w14:paraId="4FA20169" w14:textId="73CA9E4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1.205</w:t>
            </w:r>
          </w:p>
        </w:tc>
        <w:tc>
          <w:tcPr>
            <w:tcW w:w="352" w:type="pct"/>
            <w:shd w:val="clear" w:color="auto" w:fill="auto"/>
            <w:noWrap/>
            <w:vAlign w:val="bottom"/>
          </w:tcPr>
          <w:p w14:paraId="151CECEB" w14:textId="3F280C3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0.761</w:t>
            </w:r>
          </w:p>
        </w:tc>
        <w:tc>
          <w:tcPr>
            <w:tcW w:w="352" w:type="pct"/>
            <w:shd w:val="clear" w:color="auto" w:fill="auto"/>
            <w:noWrap/>
            <w:vAlign w:val="bottom"/>
          </w:tcPr>
          <w:p w14:paraId="11B9A9B2" w14:textId="7E68CFB9"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1.798</w:t>
            </w:r>
          </w:p>
        </w:tc>
        <w:tc>
          <w:tcPr>
            <w:tcW w:w="406" w:type="pct"/>
            <w:shd w:val="clear" w:color="auto" w:fill="auto"/>
            <w:noWrap/>
            <w:vAlign w:val="bottom"/>
          </w:tcPr>
          <w:p w14:paraId="1AAFDF98" w14:textId="1BC627F4"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1.966</w:t>
            </w:r>
            <w:r w:rsidR="005D3B7C" w:rsidRPr="00977CF7">
              <w:rPr>
                <w:rFonts w:ascii="Times New Roman" w:hAnsi="Times New Roman" w:cs="Times New Roman"/>
                <w:sz w:val="16"/>
                <w:szCs w:val="16"/>
              </w:rPr>
              <w:t>**</w:t>
            </w:r>
          </w:p>
        </w:tc>
        <w:tc>
          <w:tcPr>
            <w:tcW w:w="107" w:type="pct"/>
          </w:tcPr>
          <w:p w14:paraId="43DF7F70" w14:textId="77777777" w:rsidR="00B668D0" w:rsidRPr="00977CF7"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68217A19" w14:textId="15178F4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-1.762</w:t>
            </w:r>
          </w:p>
        </w:tc>
        <w:tc>
          <w:tcPr>
            <w:tcW w:w="394" w:type="pct"/>
            <w:shd w:val="clear" w:color="auto" w:fill="auto"/>
            <w:noWrap/>
            <w:vAlign w:val="bottom"/>
          </w:tcPr>
          <w:p w14:paraId="6755ED8B" w14:textId="1BF7778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-1.927</w:t>
            </w:r>
            <w:r w:rsidR="005D3B7C" w:rsidRPr="00977CF7">
              <w:rPr>
                <w:rFonts w:ascii="Times New Roman" w:hAnsi="Times New Roman" w:cs="Times New Roman"/>
                <w:sz w:val="16"/>
                <w:szCs w:val="16"/>
              </w:rPr>
              <w:t>*</w:t>
            </w:r>
          </w:p>
        </w:tc>
        <w:tc>
          <w:tcPr>
            <w:tcW w:w="352" w:type="pct"/>
            <w:shd w:val="clear" w:color="auto" w:fill="auto"/>
            <w:noWrap/>
            <w:vAlign w:val="bottom"/>
          </w:tcPr>
          <w:p w14:paraId="6686CCE1" w14:textId="2152F10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-1.535</w:t>
            </w:r>
          </w:p>
        </w:tc>
        <w:tc>
          <w:tcPr>
            <w:tcW w:w="406" w:type="pct"/>
            <w:shd w:val="clear" w:color="auto" w:fill="auto"/>
            <w:noWrap/>
            <w:vAlign w:val="bottom"/>
          </w:tcPr>
          <w:p w14:paraId="5C6EB658" w14:textId="05F6095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-0.969</w:t>
            </w:r>
          </w:p>
        </w:tc>
        <w:tc>
          <w:tcPr>
            <w:tcW w:w="350" w:type="pct"/>
            <w:shd w:val="clear" w:color="auto" w:fill="auto"/>
            <w:noWrap/>
            <w:vAlign w:val="bottom"/>
          </w:tcPr>
          <w:p w14:paraId="1E56294F" w14:textId="4AD0257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-3.857</w:t>
            </w:r>
          </w:p>
        </w:tc>
        <w:tc>
          <w:tcPr>
            <w:tcW w:w="405" w:type="pct"/>
            <w:shd w:val="clear" w:color="auto" w:fill="auto"/>
            <w:noWrap/>
            <w:vAlign w:val="bottom"/>
          </w:tcPr>
          <w:p w14:paraId="6A7B7F48" w14:textId="2793568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-1.886</w:t>
            </w:r>
            <w:r w:rsidR="005D3B7C" w:rsidRPr="00977CF7">
              <w:rPr>
                <w:rFonts w:ascii="Times New Roman" w:hAnsi="Times New Roman" w:cs="Times New Roman"/>
                <w:sz w:val="16"/>
                <w:szCs w:val="16"/>
              </w:rPr>
              <w:t>*</w:t>
            </w:r>
            <w:r w:rsidR="00A20EBA" w:rsidRPr="00977CF7">
              <w:rPr>
                <w:rFonts w:ascii="Times New Roman" w:hAnsi="Times New Roman" w:cs="Times New Roman"/>
                <w:sz w:val="16"/>
                <w:szCs w:val="16"/>
              </w:rPr>
              <w:t>**</w:t>
            </w:r>
          </w:p>
        </w:tc>
      </w:tr>
      <w:tr w:rsidR="00D162BA" w:rsidRPr="00977CF7" w14:paraId="076062CE" w14:textId="77777777" w:rsidTr="00D162BA">
        <w:trPr>
          <w:trHeight w:val="424"/>
        </w:trPr>
        <w:tc>
          <w:tcPr>
            <w:tcW w:w="399" w:type="pct"/>
            <w:shd w:val="clear" w:color="auto" w:fill="auto"/>
            <w:noWrap/>
            <w:vAlign w:val="bottom"/>
            <w:hideMark/>
          </w:tcPr>
          <w:p w14:paraId="0288FEB4" w14:textId="77777777"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Indonesia</w:t>
            </w:r>
          </w:p>
        </w:tc>
        <w:tc>
          <w:tcPr>
            <w:tcW w:w="421" w:type="pct"/>
            <w:shd w:val="clear" w:color="auto" w:fill="auto"/>
            <w:noWrap/>
            <w:vAlign w:val="bottom"/>
          </w:tcPr>
          <w:p w14:paraId="7E0A0DC5" w14:textId="1A7ABC8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0.032</w:t>
            </w:r>
          </w:p>
        </w:tc>
        <w:tc>
          <w:tcPr>
            <w:tcW w:w="358" w:type="pct"/>
            <w:shd w:val="clear" w:color="auto" w:fill="auto"/>
            <w:noWrap/>
            <w:vAlign w:val="bottom"/>
          </w:tcPr>
          <w:p w14:paraId="62BF358D" w14:textId="71A0280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0.019</w:t>
            </w:r>
          </w:p>
        </w:tc>
        <w:tc>
          <w:tcPr>
            <w:tcW w:w="352" w:type="pct"/>
            <w:shd w:val="clear" w:color="auto" w:fill="auto"/>
            <w:noWrap/>
            <w:vAlign w:val="bottom"/>
          </w:tcPr>
          <w:p w14:paraId="5C764D25" w14:textId="282CF807"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1.096</w:t>
            </w:r>
          </w:p>
        </w:tc>
        <w:tc>
          <w:tcPr>
            <w:tcW w:w="352" w:type="pct"/>
            <w:shd w:val="clear" w:color="auto" w:fill="auto"/>
            <w:noWrap/>
            <w:vAlign w:val="bottom"/>
          </w:tcPr>
          <w:p w14:paraId="417A6600" w14:textId="6033E9B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0.834</w:t>
            </w:r>
          </w:p>
        </w:tc>
        <w:tc>
          <w:tcPr>
            <w:tcW w:w="352" w:type="pct"/>
            <w:shd w:val="clear" w:color="auto" w:fill="auto"/>
            <w:noWrap/>
            <w:vAlign w:val="bottom"/>
          </w:tcPr>
          <w:p w14:paraId="0FA7D483" w14:textId="42996AF8"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1.641</w:t>
            </w:r>
          </w:p>
        </w:tc>
        <w:tc>
          <w:tcPr>
            <w:tcW w:w="406" w:type="pct"/>
            <w:shd w:val="clear" w:color="auto" w:fill="auto"/>
            <w:noWrap/>
            <w:vAlign w:val="bottom"/>
          </w:tcPr>
          <w:p w14:paraId="34905625" w14:textId="7B8F974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2.163</w:t>
            </w:r>
            <w:r w:rsidR="00A20EBA" w:rsidRPr="00977CF7">
              <w:rPr>
                <w:rFonts w:ascii="Times New Roman" w:hAnsi="Times New Roman" w:cs="Times New Roman"/>
                <w:sz w:val="16"/>
                <w:szCs w:val="16"/>
              </w:rPr>
              <w:t>**</w:t>
            </w:r>
          </w:p>
        </w:tc>
        <w:tc>
          <w:tcPr>
            <w:tcW w:w="107" w:type="pct"/>
          </w:tcPr>
          <w:p w14:paraId="67AD1806" w14:textId="77777777" w:rsidR="00B668D0" w:rsidRPr="00977CF7" w:rsidRDefault="00B668D0" w:rsidP="00AA27DD">
            <w:pPr>
              <w:spacing w:after="0" w:line="360" w:lineRule="auto"/>
              <w:jc w:val="center"/>
              <w:rPr>
                <w:rFonts w:ascii="Times New Roman" w:hAnsi="Times New Roman" w:cs="Times New Roman"/>
                <w:color w:val="0070C0"/>
                <w:sz w:val="16"/>
                <w:szCs w:val="16"/>
              </w:rPr>
            </w:pPr>
          </w:p>
        </w:tc>
        <w:tc>
          <w:tcPr>
            <w:tcW w:w="345" w:type="pct"/>
            <w:shd w:val="clear" w:color="auto" w:fill="auto"/>
            <w:noWrap/>
            <w:vAlign w:val="bottom"/>
          </w:tcPr>
          <w:p w14:paraId="204597E5" w14:textId="7028C8D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0.537</w:t>
            </w:r>
          </w:p>
        </w:tc>
        <w:tc>
          <w:tcPr>
            <w:tcW w:w="394" w:type="pct"/>
            <w:shd w:val="clear" w:color="auto" w:fill="auto"/>
            <w:noWrap/>
            <w:vAlign w:val="bottom"/>
          </w:tcPr>
          <w:p w14:paraId="28E0E67D" w14:textId="1DF838D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0.708</w:t>
            </w:r>
          </w:p>
        </w:tc>
        <w:tc>
          <w:tcPr>
            <w:tcW w:w="352" w:type="pct"/>
            <w:shd w:val="clear" w:color="auto" w:fill="auto"/>
            <w:noWrap/>
            <w:vAlign w:val="bottom"/>
          </w:tcPr>
          <w:p w14:paraId="56F70906" w14:textId="56AA4B8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0.381</w:t>
            </w:r>
          </w:p>
        </w:tc>
        <w:tc>
          <w:tcPr>
            <w:tcW w:w="406" w:type="pct"/>
            <w:shd w:val="clear" w:color="auto" w:fill="auto"/>
            <w:noWrap/>
            <w:vAlign w:val="bottom"/>
          </w:tcPr>
          <w:p w14:paraId="5E220D2F" w14:textId="5E21552F"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0.290</w:t>
            </w:r>
          </w:p>
        </w:tc>
        <w:tc>
          <w:tcPr>
            <w:tcW w:w="350" w:type="pct"/>
            <w:shd w:val="clear" w:color="auto" w:fill="auto"/>
            <w:noWrap/>
            <w:vAlign w:val="bottom"/>
          </w:tcPr>
          <w:p w14:paraId="5B60B464" w14:textId="3FCDDAA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0.102</w:t>
            </w:r>
          </w:p>
        </w:tc>
        <w:tc>
          <w:tcPr>
            <w:tcW w:w="405" w:type="pct"/>
            <w:shd w:val="clear" w:color="auto" w:fill="auto"/>
            <w:noWrap/>
            <w:vAlign w:val="bottom"/>
          </w:tcPr>
          <w:p w14:paraId="27F544E2" w14:textId="574AAFD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0.060</w:t>
            </w:r>
          </w:p>
        </w:tc>
      </w:tr>
      <w:tr w:rsidR="00D162BA" w:rsidRPr="00977CF7" w14:paraId="71391C42" w14:textId="77777777" w:rsidTr="00D162BA">
        <w:trPr>
          <w:trHeight w:val="424"/>
        </w:trPr>
        <w:tc>
          <w:tcPr>
            <w:tcW w:w="399" w:type="pct"/>
            <w:shd w:val="clear" w:color="auto" w:fill="auto"/>
            <w:noWrap/>
            <w:vAlign w:val="bottom"/>
            <w:hideMark/>
          </w:tcPr>
          <w:p w14:paraId="17BB1E01" w14:textId="77777777"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Italy</w:t>
            </w:r>
          </w:p>
        </w:tc>
        <w:tc>
          <w:tcPr>
            <w:tcW w:w="421" w:type="pct"/>
            <w:shd w:val="clear" w:color="auto" w:fill="auto"/>
            <w:noWrap/>
            <w:vAlign w:val="bottom"/>
          </w:tcPr>
          <w:p w14:paraId="00A86693" w14:textId="1F5EB17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0.154</w:t>
            </w:r>
          </w:p>
        </w:tc>
        <w:tc>
          <w:tcPr>
            <w:tcW w:w="358" w:type="pct"/>
            <w:shd w:val="clear" w:color="auto" w:fill="auto"/>
            <w:noWrap/>
            <w:vAlign w:val="bottom"/>
          </w:tcPr>
          <w:p w14:paraId="5773C26F" w14:textId="0ECB832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0.069</w:t>
            </w:r>
          </w:p>
        </w:tc>
        <w:tc>
          <w:tcPr>
            <w:tcW w:w="352" w:type="pct"/>
            <w:shd w:val="clear" w:color="auto" w:fill="auto"/>
            <w:noWrap/>
            <w:vAlign w:val="bottom"/>
          </w:tcPr>
          <w:p w14:paraId="0EF70809" w14:textId="3073C70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-1.201</w:t>
            </w:r>
          </w:p>
        </w:tc>
        <w:tc>
          <w:tcPr>
            <w:tcW w:w="352" w:type="pct"/>
            <w:shd w:val="clear" w:color="auto" w:fill="auto"/>
            <w:noWrap/>
            <w:vAlign w:val="bottom"/>
          </w:tcPr>
          <w:p w14:paraId="35FBF51F" w14:textId="64A789DF"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-0.694</w:t>
            </w:r>
          </w:p>
        </w:tc>
        <w:tc>
          <w:tcPr>
            <w:tcW w:w="352" w:type="pct"/>
            <w:shd w:val="clear" w:color="auto" w:fill="auto"/>
            <w:noWrap/>
            <w:vAlign w:val="bottom"/>
          </w:tcPr>
          <w:p w14:paraId="1DF7746A" w14:textId="0A61158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0.239</w:t>
            </w:r>
          </w:p>
        </w:tc>
        <w:tc>
          <w:tcPr>
            <w:tcW w:w="406" w:type="pct"/>
            <w:shd w:val="clear" w:color="auto" w:fill="auto"/>
            <w:noWrap/>
            <w:vAlign w:val="bottom"/>
          </w:tcPr>
          <w:p w14:paraId="3939CB4B" w14:textId="49842DB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0.239</w:t>
            </w:r>
          </w:p>
        </w:tc>
        <w:tc>
          <w:tcPr>
            <w:tcW w:w="107" w:type="pct"/>
          </w:tcPr>
          <w:p w14:paraId="14B317E7" w14:textId="77777777" w:rsidR="00B668D0" w:rsidRPr="00977CF7" w:rsidRDefault="00B668D0" w:rsidP="00AA27DD">
            <w:pPr>
              <w:spacing w:after="0" w:line="360" w:lineRule="auto"/>
              <w:jc w:val="center"/>
              <w:rPr>
                <w:rFonts w:ascii="Times New Roman" w:hAnsi="Times New Roman" w:cs="Times New Roman"/>
                <w:color w:val="0070C0"/>
                <w:sz w:val="16"/>
                <w:szCs w:val="16"/>
              </w:rPr>
            </w:pPr>
          </w:p>
        </w:tc>
        <w:tc>
          <w:tcPr>
            <w:tcW w:w="345" w:type="pct"/>
            <w:shd w:val="clear" w:color="auto" w:fill="auto"/>
            <w:noWrap/>
            <w:vAlign w:val="bottom"/>
          </w:tcPr>
          <w:p w14:paraId="7938CC57" w14:textId="767F823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-2.110</w:t>
            </w:r>
          </w:p>
        </w:tc>
        <w:tc>
          <w:tcPr>
            <w:tcW w:w="394" w:type="pct"/>
            <w:shd w:val="clear" w:color="auto" w:fill="auto"/>
            <w:noWrap/>
            <w:vAlign w:val="bottom"/>
          </w:tcPr>
          <w:p w14:paraId="13042C7B" w14:textId="2D10C2C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-2.114</w:t>
            </w:r>
            <w:r w:rsidR="001726BE" w:rsidRPr="00977CF7">
              <w:rPr>
                <w:rFonts w:ascii="Times New Roman" w:hAnsi="Times New Roman" w:cs="Times New Roman"/>
                <w:sz w:val="16"/>
                <w:szCs w:val="16"/>
              </w:rPr>
              <w:t>**</w:t>
            </w:r>
          </w:p>
        </w:tc>
        <w:tc>
          <w:tcPr>
            <w:tcW w:w="352" w:type="pct"/>
            <w:shd w:val="clear" w:color="auto" w:fill="auto"/>
            <w:noWrap/>
            <w:vAlign w:val="bottom"/>
          </w:tcPr>
          <w:p w14:paraId="222B1C5D" w14:textId="46C74D3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-6.371</w:t>
            </w:r>
          </w:p>
        </w:tc>
        <w:tc>
          <w:tcPr>
            <w:tcW w:w="406" w:type="pct"/>
            <w:shd w:val="clear" w:color="auto" w:fill="auto"/>
            <w:noWrap/>
            <w:vAlign w:val="bottom"/>
          </w:tcPr>
          <w:p w14:paraId="6AEBDFAB" w14:textId="770DEA7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-3.685</w:t>
            </w:r>
            <w:r w:rsidR="001726BE" w:rsidRPr="00977CF7">
              <w:rPr>
                <w:rFonts w:ascii="Times New Roman" w:hAnsi="Times New Roman" w:cs="Times New Roman"/>
                <w:sz w:val="16"/>
                <w:szCs w:val="16"/>
              </w:rPr>
              <w:t>*</w:t>
            </w:r>
          </w:p>
        </w:tc>
        <w:tc>
          <w:tcPr>
            <w:tcW w:w="350" w:type="pct"/>
            <w:shd w:val="clear" w:color="auto" w:fill="auto"/>
            <w:noWrap/>
            <w:vAlign w:val="bottom"/>
          </w:tcPr>
          <w:p w14:paraId="75F092B0" w14:textId="5E3536A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-8.406</w:t>
            </w:r>
          </w:p>
        </w:tc>
        <w:tc>
          <w:tcPr>
            <w:tcW w:w="405" w:type="pct"/>
            <w:shd w:val="clear" w:color="auto" w:fill="auto"/>
            <w:noWrap/>
            <w:vAlign w:val="bottom"/>
          </w:tcPr>
          <w:p w14:paraId="2938559C" w14:textId="6BE7FC3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-3.766</w:t>
            </w:r>
            <w:r w:rsidR="001726BE" w:rsidRPr="00977CF7">
              <w:rPr>
                <w:rFonts w:ascii="Times New Roman" w:hAnsi="Times New Roman" w:cs="Times New Roman"/>
                <w:sz w:val="16"/>
                <w:szCs w:val="16"/>
              </w:rPr>
              <w:t>*</w:t>
            </w:r>
          </w:p>
        </w:tc>
      </w:tr>
      <w:tr w:rsidR="00D162BA" w:rsidRPr="00977CF7" w14:paraId="29FEF873" w14:textId="77777777" w:rsidTr="00D162BA">
        <w:trPr>
          <w:trHeight w:val="424"/>
        </w:trPr>
        <w:tc>
          <w:tcPr>
            <w:tcW w:w="399" w:type="pct"/>
            <w:shd w:val="clear" w:color="auto" w:fill="auto"/>
            <w:noWrap/>
            <w:vAlign w:val="bottom"/>
            <w:hideMark/>
          </w:tcPr>
          <w:p w14:paraId="36FE00F8" w14:textId="77777777"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Japan</w:t>
            </w:r>
          </w:p>
        </w:tc>
        <w:tc>
          <w:tcPr>
            <w:tcW w:w="421" w:type="pct"/>
            <w:shd w:val="clear" w:color="auto" w:fill="auto"/>
            <w:noWrap/>
            <w:vAlign w:val="bottom"/>
          </w:tcPr>
          <w:p w14:paraId="1BBD3F30" w14:textId="73942A70"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0.127</w:t>
            </w:r>
          </w:p>
        </w:tc>
        <w:tc>
          <w:tcPr>
            <w:tcW w:w="358" w:type="pct"/>
            <w:shd w:val="clear" w:color="auto" w:fill="auto"/>
            <w:noWrap/>
            <w:vAlign w:val="bottom"/>
          </w:tcPr>
          <w:p w14:paraId="462DE356" w14:textId="162D03B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0.055</w:t>
            </w:r>
          </w:p>
        </w:tc>
        <w:tc>
          <w:tcPr>
            <w:tcW w:w="352" w:type="pct"/>
            <w:shd w:val="clear" w:color="auto" w:fill="auto"/>
            <w:noWrap/>
            <w:vAlign w:val="bottom"/>
          </w:tcPr>
          <w:p w14:paraId="69773E58" w14:textId="57F3AAF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-0.277</w:t>
            </w:r>
          </w:p>
        </w:tc>
        <w:tc>
          <w:tcPr>
            <w:tcW w:w="352" w:type="pct"/>
            <w:shd w:val="clear" w:color="auto" w:fill="auto"/>
            <w:noWrap/>
            <w:vAlign w:val="bottom"/>
          </w:tcPr>
          <w:p w14:paraId="1E9FA996" w14:textId="39F3984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-0.156</w:t>
            </w:r>
          </w:p>
        </w:tc>
        <w:tc>
          <w:tcPr>
            <w:tcW w:w="352" w:type="pct"/>
            <w:shd w:val="clear" w:color="auto" w:fill="auto"/>
            <w:noWrap/>
            <w:vAlign w:val="bottom"/>
          </w:tcPr>
          <w:p w14:paraId="6E399D61" w14:textId="5124E87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1.109</w:t>
            </w:r>
          </w:p>
        </w:tc>
        <w:tc>
          <w:tcPr>
            <w:tcW w:w="406" w:type="pct"/>
            <w:shd w:val="clear" w:color="auto" w:fill="auto"/>
            <w:noWrap/>
            <w:vAlign w:val="bottom"/>
          </w:tcPr>
          <w:p w14:paraId="335793CA" w14:textId="0FF77B9F"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1.083</w:t>
            </w:r>
          </w:p>
        </w:tc>
        <w:tc>
          <w:tcPr>
            <w:tcW w:w="107" w:type="pct"/>
          </w:tcPr>
          <w:p w14:paraId="251DD704" w14:textId="77777777" w:rsidR="00B668D0" w:rsidRPr="00977CF7" w:rsidRDefault="00B668D0" w:rsidP="00AA27DD">
            <w:pPr>
              <w:spacing w:after="0" w:line="360" w:lineRule="auto"/>
              <w:jc w:val="center"/>
              <w:rPr>
                <w:rFonts w:ascii="Times New Roman" w:hAnsi="Times New Roman" w:cs="Times New Roman"/>
                <w:color w:val="0070C0"/>
                <w:sz w:val="16"/>
                <w:szCs w:val="16"/>
              </w:rPr>
            </w:pPr>
          </w:p>
        </w:tc>
        <w:tc>
          <w:tcPr>
            <w:tcW w:w="345" w:type="pct"/>
            <w:shd w:val="clear" w:color="auto" w:fill="auto"/>
            <w:noWrap/>
            <w:vAlign w:val="bottom"/>
          </w:tcPr>
          <w:p w14:paraId="41CD8878" w14:textId="35A8BB1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-1.571</w:t>
            </w:r>
          </w:p>
        </w:tc>
        <w:tc>
          <w:tcPr>
            <w:tcW w:w="394" w:type="pct"/>
            <w:shd w:val="clear" w:color="auto" w:fill="auto"/>
            <w:noWrap/>
            <w:vAlign w:val="bottom"/>
          </w:tcPr>
          <w:p w14:paraId="04F94681" w14:textId="68248C9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-1.534</w:t>
            </w:r>
          </w:p>
        </w:tc>
        <w:tc>
          <w:tcPr>
            <w:tcW w:w="352" w:type="pct"/>
            <w:shd w:val="clear" w:color="auto" w:fill="auto"/>
            <w:noWrap/>
            <w:vAlign w:val="bottom"/>
          </w:tcPr>
          <w:p w14:paraId="6A126D58" w14:textId="5D3255A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0.742</w:t>
            </w:r>
          </w:p>
        </w:tc>
        <w:tc>
          <w:tcPr>
            <w:tcW w:w="406" w:type="pct"/>
            <w:shd w:val="clear" w:color="auto" w:fill="auto"/>
            <w:noWrap/>
            <w:vAlign w:val="bottom"/>
          </w:tcPr>
          <w:p w14:paraId="5FF9C8CB" w14:textId="6F0C7E2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0.418</w:t>
            </w:r>
          </w:p>
        </w:tc>
        <w:tc>
          <w:tcPr>
            <w:tcW w:w="350" w:type="pct"/>
            <w:shd w:val="clear" w:color="auto" w:fill="auto"/>
            <w:noWrap/>
            <w:vAlign w:val="bottom"/>
          </w:tcPr>
          <w:p w14:paraId="0C990F4E" w14:textId="4D503E29"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-0.429</w:t>
            </w:r>
          </w:p>
        </w:tc>
        <w:tc>
          <w:tcPr>
            <w:tcW w:w="405" w:type="pct"/>
            <w:shd w:val="clear" w:color="auto" w:fill="auto"/>
            <w:noWrap/>
            <w:vAlign w:val="bottom"/>
          </w:tcPr>
          <w:p w14:paraId="66ECEAF7" w14:textId="1A6D9A5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-0.187</w:t>
            </w:r>
          </w:p>
        </w:tc>
      </w:tr>
      <w:tr w:rsidR="00D162BA" w:rsidRPr="00977CF7" w14:paraId="7C07BD95" w14:textId="77777777" w:rsidTr="00D162BA">
        <w:trPr>
          <w:trHeight w:val="424"/>
        </w:trPr>
        <w:tc>
          <w:tcPr>
            <w:tcW w:w="399" w:type="pct"/>
            <w:shd w:val="clear" w:color="auto" w:fill="auto"/>
            <w:noWrap/>
            <w:vAlign w:val="bottom"/>
            <w:hideMark/>
          </w:tcPr>
          <w:p w14:paraId="358E0AC7" w14:textId="7EA56F74"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Mexico</w:t>
            </w:r>
          </w:p>
        </w:tc>
        <w:tc>
          <w:tcPr>
            <w:tcW w:w="421" w:type="pct"/>
            <w:shd w:val="clear" w:color="auto" w:fill="auto"/>
            <w:noWrap/>
            <w:vAlign w:val="bottom"/>
          </w:tcPr>
          <w:p w14:paraId="2B1FACC6" w14:textId="68A5D96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-1.007</w:t>
            </w:r>
          </w:p>
        </w:tc>
        <w:tc>
          <w:tcPr>
            <w:tcW w:w="358" w:type="pct"/>
            <w:shd w:val="clear" w:color="auto" w:fill="auto"/>
            <w:noWrap/>
            <w:vAlign w:val="bottom"/>
          </w:tcPr>
          <w:p w14:paraId="7933E166" w14:textId="3D93446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-0.549</w:t>
            </w:r>
          </w:p>
        </w:tc>
        <w:tc>
          <w:tcPr>
            <w:tcW w:w="352" w:type="pct"/>
            <w:shd w:val="clear" w:color="auto" w:fill="auto"/>
            <w:noWrap/>
            <w:vAlign w:val="bottom"/>
          </w:tcPr>
          <w:p w14:paraId="565AEC1B" w14:textId="55B4DFE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42.857</w:t>
            </w:r>
          </w:p>
        </w:tc>
        <w:tc>
          <w:tcPr>
            <w:tcW w:w="352" w:type="pct"/>
            <w:shd w:val="clear" w:color="auto" w:fill="auto"/>
            <w:noWrap/>
            <w:vAlign w:val="bottom"/>
          </w:tcPr>
          <w:p w14:paraId="7920B0EE" w14:textId="26C5D39F"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30.144</w:t>
            </w:r>
            <w:r w:rsidR="00D220EF" w:rsidRPr="00977CF7">
              <w:rPr>
                <w:rFonts w:ascii="Times New Roman" w:hAnsi="Times New Roman" w:cs="Times New Roman"/>
                <w:sz w:val="16"/>
                <w:szCs w:val="16"/>
              </w:rPr>
              <w:t>*</w:t>
            </w:r>
          </w:p>
        </w:tc>
        <w:tc>
          <w:tcPr>
            <w:tcW w:w="352" w:type="pct"/>
            <w:shd w:val="clear" w:color="auto" w:fill="auto"/>
            <w:noWrap/>
            <w:vAlign w:val="bottom"/>
          </w:tcPr>
          <w:p w14:paraId="76309497" w14:textId="4E675EF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42.713</w:t>
            </w:r>
          </w:p>
        </w:tc>
        <w:tc>
          <w:tcPr>
            <w:tcW w:w="406" w:type="pct"/>
            <w:shd w:val="clear" w:color="auto" w:fill="auto"/>
            <w:noWrap/>
            <w:vAlign w:val="bottom"/>
          </w:tcPr>
          <w:p w14:paraId="40C1680E" w14:textId="0E54555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52.036</w:t>
            </w:r>
            <w:r w:rsidR="00D220EF" w:rsidRPr="00977CF7">
              <w:rPr>
                <w:rFonts w:ascii="Times New Roman" w:hAnsi="Times New Roman" w:cs="Times New Roman"/>
                <w:sz w:val="16"/>
                <w:szCs w:val="16"/>
              </w:rPr>
              <w:t>*</w:t>
            </w:r>
          </w:p>
        </w:tc>
        <w:tc>
          <w:tcPr>
            <w:tcW w:w="107" w:type="pct"/>
          </w:tcPr>
          <w:p w14:paraId="02D3E952" w14:textId="77777777" w:rsidR="00B668D0" w:rsidRPr="00977CF7"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56C1BD06" w14:textId="04CE8BC0"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43.921</w:t>
            </w:r>
          </w:p>
        </w:tc>
        <w:tc>
          <w:tcPr>
            <w:tcW w:w="394" w:type="pct"/>
            <w:shd w:val="clear" w:color="auto" w:fill="auto"/>
            <w:noWrap/>
            <w:vAlign w:val="bottom"/>
          </w:tcPr>
          <w:p w14:paraId="617D6426" w14:textId="4826CEB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53.507</w:t>
            </w:r>
            <w:r w:rsidR="00D220EF" w:rsidRPr="00977CF7">
              <w:rPr>
                <w:rFonts w:ascii="Times New Roman" w:hAnsi="Times New Roman" w:cs="Times New Roman"/>
                <w:sz w:val="16"/>
                <w:szCs w:val="16"/>
              </w:rPr>
              <w:t>*</w:t>
            </w:r>
          </w:p>
        </w:tc>
        <w:tc>
          <w:tcPr>
            <w:tcW w:w="352" w:type="pct"/>
            <w:shd w:val="clear" w:color="auto" w:fill="auto"/>
            <w:noWrap/>
            <w:vAlign w:val="bottom"/>
          </w:tcPr>
          <w:p w14:paraId="2277DEE6" w14:textId="545B285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45.813</w:t>
            </w:r>
            <w:r w:rsidR="00D220EF" w:rsidRPr="00977CF7">
              <w:rPr>
                <w:rFonts w:ascii="Times New Roman" w:hAnsi="Times New Roman" w:cs="Times New Roman"/>
                <w:sz w:val="16"/>
                <w:szCs w:val="16"/>
              </w:rPr>
              <w:t>*</w:t>
            </w:r>
          </w:p>
        </w:tc>
        <w:tc>
          <w:tcPr>
            <w:tcW w:w="406" w:type="pct"/>
            <w:shd w:val="clear" w:color="auto" w:fill="auto"/>
            <w:noWrap/>
            <w:vAlign w:val="bottom"/>
          </w:tcPr>
          <w:p w14:paraId="6BAECFE7" w14:textId="13D454A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32.223</w:t>
            </w:r>
            <w:r w:rsidR="00D220EF" w:rsidRPr="00977CF7">
              <w:rPr>
                <w:rFonts w:ascii="Times New Roman" w:hAnsi="Times New Roman" w:cs="Times New Roman"/>
                <w:sz w:val="16"/>
                <w:szCs w:val="16"/>
              </w:rPr>
              <w:t>*</w:t>
            </w:r>
          </w:p>
        </w:tc>
        <w:tc>
          <w:tcPr>
            <w:tcW w:w="350" w:type="pct"/>
            <w:shd w:val="clear" w:color="auto" w:fill="auto"/>
            <w:noWrap/>
            <w:vAlign w:val="bottom"/>
          </w:tcPr>
          <w:p w14:paraId="2C6AD385" w14:textId="1D961D5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46.220</w:t>
            </w:r>
          </w:p>
        </w:tc>
        <w:tc>
          <w:tcPr>
            <w:tcW w:w="405" w:type="pct"/>
            <w:shd w:val="clear" w:color="auto" w:fill="auto"/>
            <w:noWrap/>
            <w:vAlign w:val="bottom"/>
          </w:tcPr>
          <w:p w14:paraId="19415FDF" w14:textId="53BFC01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25.182</w:t>
            </w:r>
            <w:r w:rsidR="00D220EF" w:rsidRPr="00977CF7">
              <w:rPr>
                <w:rFonts w:ascii="Times New Roman" w:hAnsi="Times New Roman" w:cs="Times New Roman"/>
                <w:sz w:val="16"/>
                <w:szCs w:val="16"/>
              </w:rPr>
              <w:t>*</w:t>
            </w:r>
          </w:p>
        </w:tc>
      </w:tr>
      <w:tr w:rsidR="00D162BA" w:rsidRPr="00977CF7" w14:paraId="12E2C623" w14:textId="77777777" w:rsidTr="00D162BA">
        <w:trPr>
          <w:trHeight w:val="424"/>
        </w:trPr>
        <w:tc>
          <w:tcPr>
            <w:tcW w:w="399" w:type="pct"/>
            <w:shd w:val="clear" w:color="auto" w:fill="auto"/>
            <w:noWrap/>
            <w:vAlign w:val="bottom"/>
          </w:tcPr>
          <w:p w14:paraId="535E41D8" w14:textId="77777777" w:rsidR="005D3B7C"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Nether</w:t>
            </w:r>
          </w:p>
          <w:p w14:paraId="5000F996" w14:textId="61108F81"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lands</w:t>
            </w:r>
          </w:p>
        </w:tc>
        <w:tc>
          <w:tcPr>
            <w:tcW w:w="421" w:type="pct"/>
            <w:shd w:val="clear" w:color="auto" w:fill="auto"/>
            <w:noWrap/>
            <w:vAlign w:val="bottom"/>
          </w:tcPr>
          <w:p w14:paraId="035066F4" w14:textId="0E2880E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0.369</w:t>
            </w:r>
          </w:p>
        </w:tc>
        <w:tc>
          <w:tcPr>
            <w:tcW w:w="358" w:type="pct"/>
            <w:shd w:val="clear" w:color="auto" w:fill="auto"/>
            <w:noWrap/>
            <w:vAlign w:val="bottom"/>
          </w:tcPr>
          <w:p w14:paraId="3E8A5603" w14:textId="42E51F84"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0.175</w:t>
            </w:r>
          </w:p>
        </w:tc>
        <w:tc>
          <w:tcPr>
            <w:tcW w:w="352" w:type="pct"/>
            <w:shd w:val="clear" w:color="auto" w:fill="auto"/>
            <w:noWrap/>
            <w:vAlign w:val="bottom"/>
          </w:tcPr>
          <w:p w14:paraId="5C1293D9" w14:textId="6AF6D46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-1.378</w:t>
            </w:r>
          </w:p>
        </w:tc>
        <w:tc>
          <w:tcPr>
            <w:tcW w:w="352" w:type="pct"/>
            <w:shd w:val="clear" w:color="auto" w:fill="auto"/>
            <w:noWrap/>
            <w:vAlign w:val="bottom"/>
          </w:tcPr>
          <w:p w14:paraId="4FBEC5BF" w14:textId="1A3E8DB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-0.844</w:t>
            </w:r>
          </w:p>
        </w:tc>
        <w:tc>
          <w:tcPr>
            <w:tcW w:w="352" w:type="pct"/>
            <w:shd w:val="clear" w:color="auto" w:fill="auto"/>
            <w:noWrap/>
            <w:vAlign w:val="bottom"/>
          </w:tcPr>
          <w:p w14:paraId="64B50906" w14:textId="6CD07947"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0.340</w:t>
            </w:r>
          </w:p>
        </w:tc>
        <w:tc>
          <w:tcPr>
            <w:tcW w:w="406" w:type="pct"/>
            <w:shd w:val="clear" w:color="auto" w:fill="auto"/>
            <w:noWrap/>
            <w:vAlign w:val="bottom"/>
          </w:tcPr>
          <w:p w14:paraId="102826D1" w14:textId="14C98F08"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0.361</w:t>
            </w:r>
          </w:p>
        </w:tc>
        <w:tc>
          <w:tcPr>
            <w:tcW w:w="107" w:type="pct"/>
          </w:tcPr>
          <w:p w14:paraId="290EF42D" w14:textId="77777777" w:rsidR="00B668D0" w:rsidRPr="00977CF7"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6F65C829" w14:textId="16AA947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-1.258</w:t>
            </w:r>
          </w:p>
        </w:tc>
        <w:tc>
          <w:tcPr>
            <w:tcW w:w="394" w:type="pct"/>
            <w:shd w:val="clear" w:color="auto" w:fill="auto"/>
            <w:noWrap/>
            <w:vAlign w:val="bottom"/>
          </w:tcPr>
          <w:p w14:paraId="2EBCBB7D" w14:textId="54C3AC5F"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-1.335</w:t>
            </w:r>
          </w:p>
        </w:tc>
        <w:tc>
          <w:tcPr>
            <w:tcW w:w="352" w:type="pct"/>
            <w:shd w:val="clear" w:color="auto" w:fill="auto"/>
            <w:noWrap/>
            <w:vAlign w:val="bottom"/>
          </w:tcPr>
          <w:p w14:paraId="19718826" w14:textId="71B89964"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-1.894</w:t>
            </w:r>
          </w:p>
        </w:tc>
        <w:tc>
          <w:tcPr>
            <w:tcW w:w="406" w:type="pct"/>
            <w:shd w:val="clear" w:color="auto" w:fill="auto"/>
            <w:noWrap/>
            <w:vAlign w:val="bottom"/>
          </w:tcPr>
          <w:p w14:paraId="3380D633" w14:textId="51E18C3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-1.160</w:t>
            </w:r>
          </w:p>
        </w:tc>
        <w:tc>
          <w:tcPr>
            <w:tcW w:w="350" w:type="pct"/>
            <w:shd w:val="clear" w:color="auto" w:fill="auto"/>
            <w:noWrap/>
            <w:vAlign w:val="bottom"/>
          </w:tcPr>
          <w:p w14:paraId="70A62570" w14:textId="54CCC94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-3.279</w:t>
            </w:r>
          </w:p>
        </w:tc>
        <w:tc>
          <w:tcPr>
            <w:tcW w:w="405" w:type="pct"/>
            <w:shd w:val="clear" w:color="auto" w:fill="auto"/>
            <w:noWrap/>
            <w:vAlign w:val="bottom"/>
          </w:tcPr>
          <w:p w14:paraId="30F71B65" w14:textId="4F51DA6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-1.556</w:t>
            </w:r>
          </w:p>
        </w:tc>
      </w:tr>
      <w:tr w:rsidR="00D162BA" w:rsidRPr="00977CF7" w14:paraId="0504C1D1" w14:textId="77777777" w:rsidTr="00D162BA">
        <w:trPr>
          <w:trHeight w:val="424"/>
        </w:trPr>
        <w:tc>
          <w:tcPr>
            <w:tcW w:w="399" w:type="pct"/>
            <w:shd w:val="clear" w:color="auto" w:fill="auto"/>
            <w:noWrap/>
            <w:vAlign w:val="bottom"/>
          </w:tcPr>
          <w:p w14:paraId="20D7FB64" w14:textId="5AE8A9C1"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Poland</w:t>
            </w:r>
          </w:p>
        </w:tc>
        <w:tc>
          <w:tcPr>
            <w:tcW w:w="421" w:type="pct"/>
            <w:shd w:val="clear" w:color="auto" w:fill="auto"/>
            <w:noWrap/>
            <w:vAlign w:val="bottom"/>
          </w:tcPr>
          <w:p w14:paraId="173EE6A9" w14:textId="48D204C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-0.894</w:t>
            </w:r>
          </w:p>
        </w:tc>
        <w:tc>
          <w:tcPr>
            <w:tcW w:w="358" w:type="pct"/>
            <w:shd w:val="clear" w:color="auto" w:fill="auto"/>
            <w:noWrap/>
            <w:vAlign w:val="bottom"/>
          </w:tcPr>
          <w:p w14:paraId="63239E29" w14:textId="3C0ECCE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-0.381</w:t>
            </w:r>
          </w:p>
        </w:tc>
        <w:tc>
          <w:tcPr>
            <w:tcW w:w="352" w:type="pct"/>
            <w:shd w:val="clear" w:color="auto" w:fill="auto"/>
            <w:noWrap/>
            <w:vAlign w:val="bottom"/>
          </w:tcPr>
          <w:p w14:paraId="687770A5" w14:textId="1ED81FC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-5.078</w:t>
            </w:r>
          </w:p>
        </w:tc>
        <w:tc>
          <w:tcPr>
            <w:tcW w:w="352" w:type="pct"/>
            <w:shd w:val="clear" w:color="auto" w:fill="auto"/>
            <w:noWrap/>
            <w:vAlign w:val="bottom"/>
          </w:tcPr>
          <w:p w14:paraId="49295D68" w14:textId="45AE8FF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-2.794</w:t>
            </w:r>
            <w:r w:rsidR="00756256" w:rsidRPr="00977CF7">
              <w:rPr>
                <w:rFonts w:ascii="Times New Roman" w:hAnsi="Times New Roman" w:cs="Times New Roman"/>
                <w:sz w:val="16"/>
                <w:szCs w:val="16"/>
              </w:rPr>
              <w:t>*</w:t>
            </w:r>
          </w:p>
        </w:tc>
        <w:tc>
          <w:tcPr>
            <w:tcW w:w="352" w:type="pct"/>
            <w:shd w:val="clear" w:color="auto" w:fill="auto"/>
            <w:noWrap/>
            <w:vAlign w:val="bottom"/>
          </w:tcPr>
          <w:p w14:paraId="52F13519" w14:textId="54FEDFD8"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-5.231</w:t>
            </w:r>
          </w:p>
        </w:tc>
        <w:tc>
          <w:tcPr>
            <w:tcW w:w="406" w:type="pct"/>
            <w:shd w:val="clear" w:color="auto" w:fill="auto"/>
            <w:noWrap/>
            <w:vAlign w:val="bottom"/>
          </w:tcPr>
          <w:p w14:paraId="0A8EE384" w14:textId="54D58D8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-4.985</w:t>
            </w:r>
            <w:r w:rsidR="00756256" w:rsidRPr="00977CF7">
              <w:rPr>
                <w:rFonts w:ascii="Times New Roman" w:hAnsi="Times New Roman" w:cs="Times New Roman"/>
                <w:sz w:val="16"/>
                <w:szCs w:val="16"/>
              </w:rPr>
              <w:t>*</w:t>
            </w:r>
          </w:p>
        </w:tc>
        <w:tc>
          <w:tcPr>
            <w:tcW w:w="107" w:type="pct"/>
          </w:tcPr>
          <w:p w14:paraId="28EC59EB" w14:textId="77777777" w:rsidR="00B668D0" w:rsidRPr="00977CF7"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26BAF3DB" w14:textId="3DBA236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-8.575</w:t>
            </w:r>
          </w:p>
        </w:tc>
        <w:tc>
          <w:tcPr>
            <w:tcW w:w="394" w:type="pct"/>
            <w:shd w:val="clear" w:color="auto" w:fill="auto"/>
            <w:noWrap/>
            <w:vAlign w:val="bottom"/>
          </w:tcPr>
          <w:p w14:paraId="6D29D52C" w14:textId="1FA2967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-8.172</w:t>
            </w:r>
            <w:r w:rsidR="00756256" w:rsidRPr="00977CF7">
              <w:rPr>
                <w:rFonts w:ascii="Times New Roman" w:hAnsi="Times New Roman" w:cs="Times New Roman"/>
                <w:sz w:val="16"/>
                <w:szCs w:val="16"/>
              </w:rPr>
              <w:t>*</w:t>
            </w:r>
          </w:p>
        </w:tc>
        <w:tc>
          <w:tcPr>
            <w:tcW w:w="352" w:type="pct"/>
            <w:shd w:val="clear" w:color="auto" w:fill="auto"/>
            <w:noWrap/>
            <w:vAlign w:val="bottom"/>
          </w:tcPr>
          <w:p w14:paraId="78E3F729" w14:textId="4936F6F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-7.692</w:t>
            </w:r>
          </w:p>
        </w:tc>
        <w:tc>
          <w:tcPr>
            <w:tcW w:w="406" w:type="pct"/>
            <w:shd w:val="clear" w:color="auto" w:fill="auto"/>
            <w:noWrap/>
            <w:vAlign w:val="bottom"/>
          </w:tcPr>
          <w:p w14:paraId="5C8DDB9A" w14:textId="3B72E55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-4.232</w:t>
            </w:r>
            <w:r w:rsidR="00756256" w:rsidRPr="00977CF7">
              <w:rPr>
                <w:rFonts w:ascii="Times New Roman" w:hAnsi="Times New Roman" w:cs="Times New Roman"/>
                <w:sz w:val="16"/>
                <w:szCs w:val="16"/>
              </w:rPr>
              <w:t>*</w:t>
            </w:r>
          </w:p>
        </w:tc>
        <w:tc>
          <w:tcPr>
            <w:tcW w:w="350" w:type="pct"/>
            <w:shd w:val="clear" w:color="auto" w:fill="auto"/>
            <w:vAlign w:val="bottom"/>
          </w:tcPr>
          <w:p w14:paraId="492E7897" w14:textId="613F5F5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-5.871</w:t>
            </w:r>
          </w:p>
        </w:tc>
        <w:tc>
          <w:tcPr>
            <w:tcW w:w="405" w:type="pct"/>
            <w:shd w:val="clear" w:color="auto" w:fill="auto"/>
            <w:noWrap/>
            <w:vAlign w:val="bottom"/>
          </w:tcPr>
          <w:p w14:paraId="16D503F0" w14:textId="48BD60A4"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-2.502</w:t>
            </w:r>
            <w:r w:rsidR="00756256" w:rsidRPr="00977CF7">
              <w:rPr>
                <w:rFonts w:ascii="Times New Roman" w:hAnsi="Times New Roman" w:cs="Times New Roman"/>
                <w:sz w:val="16"/>
                <w:szCs w:val="16"/>
              </w:rPr>
              <w:t>**</w:t>
            </w:r>
          </w:p>
        </w:tc>
      </w:tr>
      <w:tr w:rsidR="00D162BA" w:rsidRPr="00977CF7" w14:paraId="5911CE8F" w14:textId="77777777" w:rsidTr="00D162BA">
        <w:trPr>
          <w:trHeight w:val="424"/>
        </w:trPr>
        <w:tc>
          <w:tcPr>
            <w:tcW w:w="399" w:type="pct"/>
            <w:shd w:val="clear" w:color="auto" w:fill="auto"/>
            <w:noWrap/>
            <w:vAlign w:val="bottom"/>
          </w:tcPr>
          <w:p w14:paraId="228C282C" w14:textId="2AC526FC"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Romania</w:t>
            </w:r>
          </w:p>
        </w:tc>
        <w:tc>
          <w:tcPr>
            <w:tcW w:w="421" w:type="pct"/>
            <w:shd w:val="clear" w:color="auto" w:fill="auto"/>
            <w:noWrap/>
            <w:vAlign w:val="bottom"/>
          </w:tcPr>
          <w:p w14:paraId="44487453" w14:textId="7B39585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-0.739</w:t>
            </w:r>
          </w:p>
        </w:tc>
        <w:tc>
          <w:tcPr>
            <w:tcW w:w="358" w:type="pct"/>
            <w:shd w:val="clear" w:color="auto" w:fill="auto"/>
            <w:noWrap/>
            <w:vAlign w:val="bottom"/>
          </w:tcPr>
          <w:p w14:paraId="2AA37F60" w14:textId="61FEBF6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-0.383</w:t>
            </w:r>
          </w:p>
        </w:tc>
        <w:tc>
          <w:tcPr>
            <w:tcW w:w="352" w:type="pct"/>
            <w:shd w:val="clear" w:color="auto" w:fill="auto"/>
            <w:noWrap/>
            <w:vAlign w:val="bottom"/>
          </w:tcPr>
          <w:p w14:paraId="5D5A5CF1" w14:textId="05026688"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-1.562</w:t>
            </w:r>
          </w:p>
        </w:tc>
        <w:tc>
          <w:tcPr>
            <w:tcW w:w="352" w:type="pct"/>
            <w:shd w:val="clear" w:color="auto" w:fill="auto"/>
            <w:noWrap/>
            <w:vAlign w:val="bottom"/>
          </w:tcPr>
          <w:p w14:paraId="6EAC65EF" w14:textId="4824302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-1.046</w:t>
            </w:r>
          </w:p>
        </w:tc>
        <w:tc>
          <w:tcPr>
            <w:tcW w:w="352" w:type="pct"/>
            <w:shd w:val="clear" w:color="auto" w:fill="auto"/>
            <w:noWrap/>
            <w:vAlign w:val="bottom"/>
          </w:tcPr>
          <w:p w14:paraId="66CF809A" w14:textId="2F57D2E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1.003</w:t>
            </w:r>
          </w:p>
        </w:tc>
        <w:tc>
          <w:tcPr>
            <w:tcW w:w="406" w:type="pct"/>
            <w:shd w:val="clear" w:color="auto" w:fill="auto"/>
            <w:noWrap/>
            <w:vAlign w:val="bottom"/>
          </w:tcPr>
          <w:p w14:paraId="41857AAC" w14:textId="574200F7"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1.163</w:t>
            </w:r>
          </w:p>
        </w:tc>
        <w:tc>
          <w:tcPr>
            <w:tcW w:w="107" w:type="pct"/>
          </w:tcPr>
          <w:p w14:paraId="21BA356D" w14:textId="77777777" w:rsidR="00B668D0" w:rsidRPr="00977CF7" w:rsidRDefault="00B668D0" w:rsidP="00AA27DD">
            <w:pPr>
              <w:spacing w:after="0" w:line="360" w:lineRule="auto"/>
              <w:jc w:val="center"/>
              <w:rPr>
                <w:rFonts w:ascii="Times New Roman" w:hAnsi="Times New Roman" w:cs="Times New Roman"/>
                <w:color w:val="0070C0"/>
                <w:sz w:val="16"/>
                <w:szCs w:val="16"/>
              </w:rPr>
            </w:pPr>
          </w:p>
        </w:tc>
        <w:tc>
          <w:tcPr>
            <w:tcW w:w="345" w:type="pct"/>
            <w:shd w:val="clear" w:color="auto" w:fill="auto"/>
            <w:noWrap/>
            <w:vAlign w:val="bottom"/>
          </w:tcPr>
          <w:p w14:paraId="38BFF373" w14:textId="0E4254C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-2.320</w:t>
            </w:r>
          </w:p>
        </w:tc>
        <w:tc>
          <w:tcPr>
            <w:tcW w:w="394" w:type="pct"/>
            <w:shd w:val="clear" w:color="auto" w:fill="auto"/>
            <w:noWrap/>
            <w:vAlign w:val="bottom"/>
          </w:tcPr>
          <w:p w14:paraId="36EB49E3" w14:textId="54632119"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-2.692</w:t>
            </w:r>
            <w:r w:rsidR="00977CF7" w:rsidRPr="00977CF7">
              <w:rPr>
                <w:rFonts w:ascii="Times New Roman" w:hAnsi="Times New Roman" w:cs="Times New Roman"/>
                <w:sz w:val="16"/>
                <w:szCs w:val="16"/>
              </w:rPr>
              <w:t>*</w:t>
            </w:r>
          </w:p>
        </w:tc>
        <w:tc>
          <w:tcPr>
            <w:tcW w:w="352" w:type="pct"/>
            <w:shd w:val="clear" w:color="auto" w:fill="auto"/>
            <w:noWrap/>
            <w:vAlign w:val="bottom"/>
          </w:tcPr>
          <w:p w14:paraId="7B7E4B66" w14:textId="56BE7AA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-5.007</w:t>
            </w:r>
          </w:p>
        </w:tc>
        <w:tc>
          <w:tcPr>
            <w:tcW w:w="406" w:type="pct"/>
            <w:shd w:val="clear" w:color="auto" w:fill="auto"/>
            <w:noWrap/>
            <w:vAlign w:val="bottom"/>
          </w:tcPr>
          <w:p w14:paraId="371F8243" w14:textId="79F9A96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-3.354</w:t>
            </w:r>
            <w:r w:rsidR="00977CF7" w:rsidRPr="00977CF7">
              <w:rPr>
                <w:rFonts w:ascii="Times New Roman" w:hAnsi="Times New Roman" w:cs="Times New Roman"/>
                <w:sz w:val="16"/>
                <w:szCs w:val="16"/>
              </w:rPr>
              <w:t>*</w:t>
            </w:r>
          </w:p>
        </w:tc>
        <w:tc>
          <w:tcPr>
            <w:tcW w:w="350" w:type="pct"/>
            <w:shd w:val="clear" w:color="auto" w:fill="auto"/>
            <w:noWrap/>
            <w:vAlign w:val="bottom"/>
          </w:tcPr>
          <w:p w14:paraId="4ED52812" w14:textId="7481575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-8.893</w:t>
            </w:r>
          </w:p>
        </w:tc>
        <w:tc>
          <w:tcPr>
            <w:tcW w:w="405" w:type="pct"/>
            <w:shd w:val="clear" w:color="auto" w:fill="auto"/>
            <w:noWrap/>
            <w:vAlign w:val="bottom"/>
          </w:tcPr>
          <w:p w14:paraId="626F0B4F" w14:textId="79E4AEC7"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-4.614</w:t>
            </w:r>
            <w:r w:rsidR="00977CF7" w:rsidRPr="00977CF7">
              <w:rPr>
                <w:rFonts w:ascii="Times New Roman" w:hAnsi="Times New Roman" w:cs="Times New Roman"/>
                <w:sz w:val="16"/>
                <w:szCs w:val="16"/>
              </w:rPr>
              <w:t>*</w:t>
            </w:r>
          </w:p>
        </w:tc>
      </w:tr>
      <w:tr w:rsidR="00D162BA" w:rsidRPr="00977CF7" w14:paraId="790C8365" w14:textId="77777777" w:rsidTr="00D162BA">
        <w:trPr>
          <w:trHeight w:val="424"/>
        </w:trPr>
        <w:tc>
          <w:tcPr>
            <w:tcW w:w="399" w:type="pct"/>
            <w:shd w:val="clear" w:color="auto" w:fill="auto"/>
            <w:noWrap/>
            <w:vAlign w:val="bottom"/>
          </w:tcPr>
          <w:p w14:paraId="1B2E1D44" w14:textId="68754B2A"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Russia</w:t>
            </w:r>
          </w:p>
        </w:tc>
        <w:tc>
          <w:tcPr>
            <w:tcW w:w="421" w:type="pct"/>
            <w:shd w:val="clear" w:color="auto" w:fill="auto"/>
            <w:noWrap/>
            <w:vAlign w:val="bottom"/>
          </w:tcPr>
          <w:p w14:paraId="60D12D3D" w14:textId="415AC95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-2.262</w:t>
            </w:r>
          </w:p>
        </w:tc>
        <w:tc>
          <w:tcPr>
            <w:tcW w:w="358" w:type="pct"/>
            <w:shd w:val="clear" w:color="auto" w:fill="auto"/>
            <w:noWrap/>
            <w:vAlign w:val="bottom"/>
          </w:tcPr>
          <w:p w14:paraId="53C16F20" w14:textId="52EA8DC8"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-0.763</w:t>
            </w:r>
          </w:p>
        </w:tc>
        <w:tc>
          <w:tcPr>
            <w:tcW w:w="352" w:type="pct"/>
            <w:shd w:val="clear" w:color="auto" w:fill="auto"/>
            <w:noWrap/>
            <w:vAlign w:val="bottom"/>
          </w:tcPr>
          <w:p w14:paraId="3ED10308" w14:textId="0B4E0B9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-14.908</w:t>
            </w:r>
          </w:p>
        </w:tc>
        <w:tc>
          <w:tcPr>
            <w:tcW w:w="352" w:type="pct"/>
            <w:shd w:val="clear" w:color="auto" w:fill="auto"/>
            <w:noWrap/>
            <w:vAlign w:val="bottom"/>
          </w:tcPr>
          <w:p w14:paraId="736E0CAA" w14:textId="68E0CE2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-6.491</w:t>
            </w:r>
            <w:r w:rsidR="00977CF7" w:rsidRPr="00977CF7">
              <w:rPr>
                <w:rFonts w:ascii="Times New Roman" w:hAnsi="Times New Roman" w:cs="Times New Roman"/>
                <w:sz w:val="16"/>
                <w:szCs w:val="16"/>
              </w:rPr>
              <w:t>*</w:t>
            </w:r>
          </w:p>
        </w:tc>
        <w:tc>
          <w:tcPr>
            <w:tcW w:w="352" w:type="pct"/>
            <w:shd w:val="clear" w:color="auto" w:fill="auto"/>
            <w:noWrap/>
            <w:vAlign w:val="bottom"/>
          </w:tcPr>
          <w:p w14:paraId="5FE8CFE4" w14:textId="519FC07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-12.812</w:t>
            </w:r>
          </w:p>
        </w:tc>
        <w:tc>
          <w:tcPr>
            <w:tcW w:w="406" w:type="pct"/>
            <w:shd w:val="clear" w:color="auto" w:fill="auto"/>
            <w:noWrap/>
            <w:vAlign w:val="bottom"/>
          </w:tcPr>
          <w:p w14:paraId="017C3AAB" w14:textId="13524D39"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-9.663</w:t>
            </w:r>
            <w:r w:rsidR="00977CF7" w:rsidRPr="00977CF7">
              <w:rPr>
                <w:rFonts w:ascii="Times New Roman" w:hAnsi="Times New Roman" w:cs="Times New Roman"/>
                <w:sz w:val="16"/>
                <w:szCs w:val="16"/>
              </w:rPr>
              <w:t>*</w:t>
            </w:r>
          </w:p>
        </w:tc>
        <w:tc>
          <w:tcPr>
            <w:tcW w:w="107" w:type="pct"/>
          </w:tcPr>
          <w:p w14:paraId="43606B69" w14:textId="77777777" w:rsidR="00B668D0" w:rsidRPr="00977CF7" w:rsidRDefault="00B668D0" w:rsidP="00AA27DD">
            <w:pPr>
              <w:spacing w:after="0" w:line="360" w:lineRule="auto"/>
              <w:jc w:val="center"/>
              <w:rPr>
                <w:rFonts w:ascii="Times New Roman" w:hAnsi="Times New Roman" w:cs="Times New Roman"/>
                <w:color w:val="0070C0"/>
                <w:sz w:val="16"/>
                <w:szCs w:val="16"/>
              </w:rPr>
            </w:pPr>
          </w:p>
        </w:tc>
        <w:tc>
          <w:tcPr>
            <w:tcW w:w="345" w:type="pct"/>
            <w:shd w:val="clear" w:color="auto" w:fill="auto"/>
            <w:noWrap/>
            <w:vAlign w:val="bottom"/>
          </w:tcPr>
          <w:p w14:paraId="15E3679F" w14:textId="7FA04ABF"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-26.649</w:t>
            </w:r>
          </w:p>
        </w:tc>
        <w:tc>
          <w:tcPr>
            <w:tcW w:w="394" w:type="pct"/>
            <w:shd w:val="clear" w:color="auto" w:fill="auto"/>
            <w:noWrap/>
            <w:vAlign w:val="bottom"/>
          </w:tcPr>
          <w:p w14:paraId="500B0CC3" w14:textId="118C74A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-20.098</w:t>
            </w:r>
            <w:r w:rsidR="00977CF7" w:rsidRPr="00977CF7">
              <w:rPr>
                <w:rFonts w:ascii="Times New Roman" w:hAnsi="Times New Roman" w:cs="Times New Roman"/>
                <w:sz w:val="16"/>
                <w:szCs w:val="16"/>
              </w:rPr>
              <w:t>*</w:t>
            </w:r>
          </w:p>
        </w:tc>
        <w:tc>
          <w:tcPr>
            <w:tcW w:w="352" w:type="pct"/>
            <w:shd w:val="clear" w:color="auto" w:fill="auto"/>
            <w:noWrap/>
            <w:vAlign w:val="bottom"/>
          </w:tcPr>
          <w:p w14:paraId="52F57D8D" w14:textId="63F9723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w:t>
            </w:r>
          </w:p>
        </w:tc>
        <w:tc>
          <w:tcPr>
            <w:tcW w:w="406" w:type="pct"/>
            <w:shd w:val="clear" w:color="auto" w:fill="auto"/>
            <w:noWrap/>
            <w:vAlign w:val="bottom"/>
          </w:tcPr>
          <w:p w14:paraId="2EDE712D" w14:textId="73A03379"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w:t>
            </w:r>
          </w:p>
        </w:tc>
        <w:tc>
          <w:tcPr>
            <w:tcW w:w="350" w:type="pct"/>
            <w:shd w:val="clear" w:color="auto" w:fill="auto"/>
            <w:noWrap/>
            <w:vAlign w:val="bottom"/>
          </w:tcPr>
          <w:p w14:paraId="26A894DB" w14:textId="199A855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w:t>
            </w:r>
          </w:p>
        </w:tc>
        <w:tc>
          <w:tcPr>
            <w:tcW w:w="405" w:type="pct"/>
            <w:shd w:val="clear" w:color="auto" w:fill="auto"/>
            <w:noWrap/>
            <w:vAlign w:val="bottom"/>
          </w:tcPr>
          <w:p w14:paraId="2C63504E" w14:textId="57F9E2E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w:t>
            </w:r>
          </w:p>
        </w:tc>
      </w:tr>
      <w:tr w:rsidR="00D162BA" w:rsidRPr="00977CF7" w14:paraId="421FB99F" w14:textId="77777777" w:rsidTr="00D162BA">
        <w:trPr>
          <w:trHeight w:val="424"/>
        </w:trPr>
        <w:tc>
          <w:tcPr>
            <w:tcW w:w="399" w:type="pct"/>
            <w:shd w:val="clear" w:color="auto" w:fill="auto"/>
            <w:noWrap/>
            <w:vAlign w:val="bottom"/>
          </w:tcPr>
          <w:p w14:paraId="275AE1EE" w14:textId="77777777" w:rsidR="005D3B7C"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Saudi</w:t>
            </w:r>
          </w:p>
          <w:p w14:paraId="7019A955" w14:textId="649A267A"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Arabia</w:t>
            </w:r>
          </w:p>
        </w:tc>
        <w:tc>
          <w:tcPr>
            <w:tcW w:w="421" w:type="pct"/>
            <w:shd w:val="clear" w:color="auto" w:fill="auto"/>
            <w:noWrap/>
            <w:vAlign w:val="bottom"/>
          </w:tcPr>
          <w:p w14:paraId="505CE8A7" w14:textId="04EEE65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-0.045</w:t>
            </w:r>
          </w:p>
        </w:tc>
        <w:tc>
          <w:tcPr>
            <w:tcW w:w="358" w:type="pct"/>
            <w:shd w:val="clear" w:color="auto" w:fill="auto"/>
            <w:noWrap/>
            <w:vAlign w:val="bottom"/>
          </w:tcPr>
          <w:p w14:paraId="17563BEB" w14:textId="5C0869AF"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-0.022</w:t>
            </w:r>
          </w:p>
        </w:tc>
        <w:tc>
          <w:tcPr>
            <w:tcW w:w="352" w:type="pct"/>
            <w:shd w:val="clear" w:color="auto" w:fill="auto"/>
            <w:noWrap/>
            <w:vAlign w:val="bottom"/>
          </w:tcPr>
          <w:p w14:paraId="62455367" w14:textId="49CB3320"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0.611</w:t>
            </w:r>
          </w:p>
        </w:tc>
        <w:tc>
          <w:tcPr>
            <w:tcW w:w="352" w:type="pct"/>
            <w:shd w:val="clear" w:color="auto" w:fill="auto"/>
            <w:noWrap/>
            <w:vAlign w:val="bottom"/>
          </w:tcPr>
          <w:p w14:paraId="189D76A1" w14:textId="1375375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0.393</w:t>
            </w:r>
          </w:p>
        </w:tc>
        <w:tc>
          <w:tcPr>
            <w:tcW w:w="352" w:type="pct"/>
            <w:shd w:val="clear" w:color="auto" w:fill="auto"/>
            <w:noWrap/>
            <w:vAlign w:val="bottom"/>
          </w:tcPr>
          <w:p w14:paraId="6BDCBAA7" w14:textId="12D87027"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0.436</w:t>
            </w:r>
          </w:p>
        </w:tc>
        <w:tc>
          <w:tcPr>
            <w:tcW w:w="406" w:type="pct"/>
            <w:shd w:val="clear" w:color="auto" w:fill="auto"/>
            <w:noWrap/>
            <w:vAlign w:val="bottom"/>
          </w:tcPr>
          <w:p w14:paraId="0DF19367" w14:textId="14534B7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0.485</w:t>
            </w:r>
          </w:p>
        </w:tc>
        <w:tc>
          <w:tcPr>
            <w:tcW w:w="107" w:type="pct"/>
          </w:tcPr>
          <w:p w14:paraId="1D8837AB" w14:textId="77777777" w:rsidR="00B668D0" w:rsidRPr="00977CF7" w:rsidRDefault="00B668D0" w:rsidP="00AA27DD">
            <w:pPr>
              <w:spacing w:after="0" w:line="360" w:lineRule="auto"/>
              <w:jc w:val="center"/>
              <w:rPr>
                <w:rFonts w:ascii="Times New Roman" w:hAnsi="Times New Roman" w:cs="Times New Roman"/>
                <w:color w:val="0070C0"/>
                <w:sz w:val="16"/>
                <w:szCs w:val="16"/>
              </w:rPr>
            </w:pPr>
          </w:p>
        </w:tc>
        <w:tc>
          <w:tcPr>
            <w:tcW w:w="345" w:type="pct"/>
            <w:shd w:val="clear" w:color="auto" w:fill="auto"/>
            <w:noWrap/>
            <w:vAlign w:val="bottom"/>
          </w:tcPr>
          <w:p w14:paraId="07B09E47" w14:textId="650575E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0.559</w:t>
            </w:r>
          </w:p>
        </w:tc>
        <w:tc>
          <w:tcPr>
            <w:tcW w:w="394" w:type="pct"/>
            <w:shd w:val="clear" w:color="auto" w:fill="auto"/>
            <w:noWrap/>
            <w:vAlign w:val="bottom"/>
          </w:tcPr>
          <w:p w14:paraId="1DB4C4B0" w14:textId="5B5B795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0.622</w:t>
            </w:r>
          </w:p>
        </w:tc>
        <w:tc>
          <w:tcPr>
            <w:tcW w:w="352" w:type="pct"/>
            <w:shd w:val="clear" w:color="auto" w:fill="auto"/>
            <w:noWrap/>
            <w:vAlign w:val="bottom"/>
          </w:tcPr>
          <w:p w14:paraId="3AEA64F0" w14:textId="5F4B689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1.076</w:t>
            </w:r>
          </w:p>
        </w:tc>
        <w:tc>
          <w:tcPr>
            <w:tcW w:w="406" w:type="pct"/>
            <w:shd w:val="clear" w:color="auto" w:fill="auto"/>
            <w:noWrap/>
            <w:vAlign w:val="bottom"/>
          </w:tcPr>
          <w:p w14:paraId="4D2F0C3A" w14:textId="6AF8E64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0.691</w:t>
            </w:r>
          </w:p>
        </w:tc>
        <w:tc>
          <w:tcPr>
            <w:tcW w:w="350" w:type="pct"/>
            <w:shd w:val="clear" w:color="auto" w:fill="auto"/>
            <w:noWrap/>
            <w:vAlign w:val="bottom"/>
          </w:tcPr>
          <w:p w14:paraId="20F4DA06" w14:textId="69A67E04"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2.060</w:t>
            </w:r>
          </w:p>
        </w:tc>
        <w:tc>
          <w:tcPr>
            <w:tcW w:w="405" w:type="pct"/>
            <w:shd w:val="clear" w:color="auto" w:fill="auto"/>
            <w:noWrap/>
            <w:vAlign w:val="bottom"/>
          </w:tcPr>
          <w:p w14:paraId="6C5CE08F" w14:textId="519A639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1.025</w:t>
            </w:r>
          </w:p>
        </w:tc>
      </w:tr>
      <w:tr w:rsidR="00D162BA" w:rsidRPr="00977CF7" w14:paraId="794DFB96" w14:textId="77777777" w:rsidTr="00D162BA">
        <w:trPr>
          <w:trHeight w:val="424"/>
        </w:trPr>
        <w:tc>
          <w:tcPr>
            <w:tcW w:w="399" w:type="pct"/>
            <w:shd w:val="clear" w:color="auto" w:fill="auto"/>
            <w:noWrap/>
            <w:vAlign w:val="bottom"/>
          </w:tcPr>
          <w:p w14:paraId="5620E359" w14:textId="41CD3C61"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Slovakia</w:t>
            </w:r>
          </w:p>
        </w:tc>
        <w:tc>
          <w:tcPr>
            <w:tcW w:w="421" w:type="pct"/>
            <w:shd w:val="clear" w:color="auto" w:fill="auto"/>
            <w:noWrap/>
            <w:vAlign w:val="bottom"/>
          </w:tcPr>
          <w:p w14:paraId="1E984CB2" w14:textId="3D3FEDA7"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-0.242</w:t>
            </w:r>
          </w:p>
        </w:tc>
        <w:tc>
          <w:tcPr>
            <w:tcW w:w="358" w:type="pct"/>
            <w:shd w:val="clear" w:color="auto" w:fill="auto"/>
            <w:noWrap/>
            <w:vAlign w:val="bottom"/>
          </w:tcPr>
          <w:p w14:paraId="53C31AA2" w14:textId="588CE49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-0.159</w:t>
            </w:r>
          </w:p>
        </w:tc>
        <w:tc>
          <w:tcPr>
            <w:tcW w:w="352" w:type="pct"/>
            <w:shd w:val="clear" w:color="auto" w:fill="auto"/>
            <w:noWrap/>
            <w:vAlign w:val="bottom"/>
          </w:tcPr>
          <w:p w14:paraId="7EE1AE1C" w14:textId="302AC5FB"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-0.548</w:t>
            </w:r>
          </w:p>
        </w:tc>
        <w:tc>
          <w:tcPr>
            <w:tcW w:w="352" w:type="pct"/>
            <w:shd w:val="clear" w:color="auto" w:fill="auto"/>
            <w:noWrap/>
            <w:vAlign w:val="bottom"/>
          </w:tcPr>
          <w:p w14:paraId="32E172A4" w14:textId="73FA0672"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-0.463</w:t>
            </w:r>
          </w:p>
        </w:tc>
        <w:tc>
          <w:tcPr>
            <w:tcW w:w="352" w:type="pct"/>
            <w:shd w:val="clear" w:color="auto" w:fill="auto"/>
            <w:noWrap/>
            <w:vAlign w:val="bottom"/>
          </w:tcPr>
          <w:p w14:paraId="0DF7CAD5" w14:textId="59D6429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-1.148</w:t>
            </w:r>
          </w:p>
        </w:tc>
        <w:tc>
          <w:tcPr>
            <w:tcW w:w="406" w:type="pct"/>
            <w:shd w:val="clear" w:color="auto" w:fill="auto"/>
            <w:noWrap/>
            <w:vAlign w:val="bottom"/>
          </w:tcPr>
          <w:p w14:paraId="762D0B44" w14:textId="0345095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-1.682</w:t>
            </w:r>
            <w:r w:rsidR="00977CF7" w:rsidRPr="00977CF7">
              <w:rPr>
                <w:rFonts w:ascii="Times New Roman" w:hAnsi="Times New Roman" w:cs="Times New Roman"/>
                <w:sz w:val="16"/>
                <w:szCs w:val="16"/>
              </w:rPr>
              <w:t>***</w:t>
            </w:r>
          </w:p>
        </w:tc>
        <w:tc>
          <w:tcPr>
            <w:tcW w:w="107" w:type="pct"/>
          </w:tcPr>
          <w:p w14:paraId="75F526F4" w14:textId="77777777" w:rsidR="00B668D0" w:rsidRPr="00977CF7" w:rsidRDefault="00B668D0" w:rsidP="00AA27DD">
            <w:pPr>
              <w:spacing w:after="0" w:line="360" w:lineRule="auto"/>
              <w:jc w:val="center"/>
              <w:rPr>
                <w:rFonts w:ascii="Times New Roman" w:hAnsi="Times New Roman" w:cs="Times New Roman"/>
                <w:color w:val="0070C0"/>
                <w:sz w:val="16"/>
                <w:szCs w:val="16"/>
              </w:rPr>
            </w:pPr>
          </w:p>
        </w:tc>
        <w:tc>
          <w:tcPr>
            <w:tcW w:w="345" w:type="pct"/>
            <w:shd w:val="clear" w:color="auto" w:fill="auto"/>
            <w:noWrap/>
            <w:vAlign w:val="bottom"/>
          </w:tcPr>
          <w:p w14:paraId="39163141" w14:textId="0DCC696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-1.360</w:t>
            </w:r>
          </w:p>
        </w:tc>
        <w:tc>
          <w:tcPr>
            <w:tcW w:w="394" w:type="pct"/>
            <w:shd w:val="clear" w:color="auto" w:fill="auto"/>
            <w:noWrap/>
            <w:vAlign w:val="bottom"/>
          </w:tcPr>
          <w:p w14:paraId="236C66B4" w14:textId="3038BDBF"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-1.992</w:t>
            </w:r>
            <w:r w:rsidR="00977CF7" w:rsidRPr="00977CF7">
              <w:rPr>
                <w:rFonts w:ascii="Times New Roman" w:hAnsi="Times New Roman" w:cs="Times New Roman"/>
                <w:sz w:val="16"/>
                <w:szCs w:val="16"/>
              </w:rPr>
              <w:t>**</w:t>
            </w:r>
          </w:p>
        </w:tc>
        <w:tc>
          <w:tcPr>
            <w:tcW w:w="352" w:type="pct"/>
            <w:shd w:val="clear" w:color="auto" w:fill="auto"/>
            <w:noWrap/>
            <w:vAlign w:val="bottom"/>
          </w:tcPr>
          <w:p w14:paraId="10ACC3F0" w14:textId="66B69DBA"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-0.992</w:t>
            </w:r>
          </w:p>
        </w:tc>
        <w:tc>
          <w:tcPr>
            <w:tcW w:w="406" w:type="pct"/>
            <w:shd w:val="clear" w:color="auto" w:fill="auto"/>
            <w:noWrap/>
            <w:vAlign w:val="bottom"/>
          </w:tcPr>
          <w:p w14:paraId="4EE578AC" w14:textId="06CDC4F6"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-0.839</w:t>
            </w:r>
          </w:p>
        </w:tc>
        <w:tc>
          <w:tcPr>
            <w:tcW w:w="350" w:type="pct"/>
            <w:shd w:val="clear" w:color="auto" w:fill="auto"/>
            <w:noWrap/>
            <w:vAlign w:val="bottom"/>
          </w:tcPr>
          <w:p w14:paraId="545337F3" w14:textId="1F09C36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-3.903</w:t>
            </w:r>
          </w:p>
        </w:tc>
        <w:tc>
          <w:tcPr>
            <w:tcW w:w="405" w:type="pct"/>
            <w:shd w:val="clear" w:color="auto" w:fill="auto"/>
            <w:noWrap/>
            <w:vAlign w:val="bottom"/>
          </w:tcPr>
          <w:p w14:paraId="17963A79" w14:textId="62A80E75"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-2.557</w:t>
            </w:r>
            <w:r w:rsidR="00977CF7" w:rsidRPr="00977CF7">
              <w:rPr>
                <w:rFonts w:ascii="Times New Roman" w:hAnsi="Times New Roman" w:cs="Times New Roman"/>
                <w:sz w:val="16"/>
                <w:szCs w:val="16"/>
              </w:rPr>
              <w:t>**</w:t>
            </w:r>
          </w:p>
        </w:tc>
      </w:tr>
      <w:tr w:rsidR="00D162BA" w:rsidRPr="00977CF7" w14:paraId="078C605F" w14:textId="77777777" w:rsidTr="00D162BA">
        <w:trPr>
          <w:trHeight w:val="424"/>
        </w:trPr>
        <w:tc>
          <w:tcPr>
            <w:tcW w:w="399" w:type="pct"/>
            <w:shd w:val="clear" w:color="auto" w:fill="auto"/>
            <w:noWrap/>
            <w:vAlign w:val="bottom"/>
          </w:tcPr>
          <w:p w14:paraId="39DBD296" w14:textId="77777777" w:rsidR="005D3B7C"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 xml:space="preserve">South </w:t>
            </w:r>
          </w:p>
          <w:p w14:paraId="3FB99C35" w14:textId="08C2F273" w:rsidR="00B668D0" w:rsidRPr="00977CF7" w:rsidRDefault="00B668D0" w:rsidP="00AA27DD">
            <w:pPr>
              <w:spacing w:after="0" w:line="360" w:lineRule="auto"/>
              <w:rPr>
                <w:rFonts w:ascii="Times New Roman" w:eastAsia="Times New Roman" w:hAnsi="Times New Roman" w:cs="Times New Roman"/>
                <w:sz w:val="16"/>
                <w:szCs w:val="16"/>
                <w:lang w:eastAsia="en-IN" w:bidi="gu-IN"/>
              </w:rPr>
            </w:pPr>
            <w:r w:rsidRPr="00977CF7">
              <w:rPr>
                <w:rFonts w:ascii="Times New Roman" w:eastAsia="Times New Roman" w:hAnsi="Times New Roman" w:cs="Times New Roman"/>
                <w:sz w:val="16"/>
                <w:szCs w:val="16"/>
                <w:lang w:eastAsia="en-IN" w:bidi="gu-IN"/>
              </w:rPr>
              <w:t>Africa</w:t>
            </w:r>
          </w:p>
        </w:tc>
        <w:tc>
          <w:tcPr>
            <w:tcW w:w="421" w:type="pct"/>
            <w:shd w:val="clear" w:color="auto" w:fill="auto"/>
            <w:noWrap/>
            <w:vAlign w:val="bottom"/>
          </w:tcPr>
          <w:p w14:paraId="7D319F2E" w14:textId="6E99F32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0.399</w:t>
            </w:r>
          </w:p>
        </w:tc>
        <w:tc>
          <w:tcPr>
            <w:tcW w:w="358" w:type="pct"/>
            <w:shd w:val="clear" w:color="auto" w:fill="auto"/>
            <w:noWrap/>
            <w:vAlign w:val="bottom"/>
          </w:tcPr>
          <w:p w14:paraId="73B4A177" w14:textId="23132000"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0.188</w:t>
            </w:r>
          </w:p>
        </w:tc>
        <w:tc>
          <w:tcPr>
            <w:tcW w:w="352" w:type="pct"/>
            <w:shd w:val="clear" w:color="auto" w:fill="auto"/>
            <w:noWrap/>
            <w:vAlign w:val="bottom"/>
          </w:tcPr>
          <w:p w14:paraId="73A358E0" w14:textId="2FBF763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0.168</w:t>
            </w:r>
          </w:p>
        </w:tc>
        <w:tc>
          <w:tcPr>
            <w:tcW w:w="352" w:type="pct"/>
            <w:shd w:val="clear" w:color="auto" w:fill="auto"/>
            <w:noWrap/>
            <w:vAlign w:val="bottom"/>
          </w:tcPr>
          <w:p w14:paraId="5C9572F3" w14:textId="5F2804F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0.102</w:t>
            </w:r>
          </w:p>
        </w:tc>
        <w:tc>
          <w:tcPr>
            <w:tcW w:w="352" w:type="pct"/>
            <w:shd w:val="clear" w:color="auto" w:fill="auto"/>
            <w:noWrap/>
            <w:vAlign w:val="bottom"/>
          </w:tcPr>
          <w:p w14:paraId="6C67AB91" w14:textId="1D5416EF"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0.580</w:t>
            </w:r>
          </w:p>
        </w:tc>
        <w:tc>
          <w:tcPr>
            <w:tcW w:w="406" w:type="pct"/>
            <w:shd w:val="clear" w:color="auto" w:fill="auto"/>
            <w:noWrap/>
            <w:vAlign w:val="bottom"/>
          </w:tcPr>
          <w:p w14:paraId="602DCAF7" w14:textId="3E008B11"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0.611</w:t>
            </w:r>
          </w:p>
        </w:tc>
        <w:tc>
          <w:tcPr>
            <w:tcW w:w="107" w:type="pct"/>
          </w:tcPr>
          <w:p w14:paraId="49657541" w14:textId="77777777" w:rsidR="00B668D0" w:rsidRPr="00977CF7"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57D05825" w14:textId="58E44CD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-1.883</w:t>
            </w:r>
          </w:p>
        </w:tc>
        <w:tc>
          <w:tcPr>
            <w:tcW w:w="394" w:type="pct"/>
            <w:shd w:val="clear" w:color="auto" w:fill="auto"/>
            <w:noWrap/>
            <w:vAlign w:val="bottom"/>
          </w:tcPr>
          <w:p w14:paraId="6ED26B4A" w14:textId="76064AF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-1.984</w:t>
            </w:r>
            <w:r w:rsidR="00977CF7" w:rsidRPr="00977CF7">
              <w:rPr>
                <w:rFonts w:ascii="Times New Roman" w:hAnsi="Times New Roman" w:cs="Times New Roman"/>
                <w:sz w:val="16"/>
                <w:szCs w:val="16"/>
              </w:rPr>
              <w:t>**</w:t>
            </w:r>
          </w:p>
        </w:tc>
        <w:tc>
          <w:tcPr>
            <w:tcW w:w="352" w:type="pct"/>
            <w:shd w:val="clear" w:color="auto" w:fill="auto"/>
            <w:noWrap/>
            <w:vAlign w:val="bottom"/>
          </w:tcPr>
          <w:p w14:paraId="196AECA6" w14:textId="755396D3"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2.990</w:t>
            </w:r>
          </w:p>
        </w:tc>
        <w:tc>
          <w:tcPr>
            <w:tcW w:w="406" w:type="pct"/>
            <w:shd w:val="clear" w:color="auto" w:fill="auto"/>
            <w:noWrap/>
            <w:vAlign w:val="bottom"/>
          </w:tcPr>
          <w:p w14:paraId="36054C09" w14:textId="51666A7D"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1.819</w:t>
            </w:r>
            <w:r w:rsidR="00977CF7" w:rsidRPr="00977CF7">
              <w:rPr>
                <w:rFonts w:ascii="Times New Roman" w:hAnsi="Times New Roman" w:cs="Times New Roman"/>
                <w:sz w:val="16"/>
                <w:szCs w:val="16"/>
              </w:rPr>
              <w:t>***</w:t>
            </w:r>
          </w:p>
        </w:tc>
        <w:tc>
          <w:tcPr>
            <w:tcW w:w="350" w:type="pct"/>
            <w:shd w:val="clear" w:color="auto" w:fill="auto"/>
            <w:noWrap/>
            <w:vAlign w:val="bottom"/>
          </w:tcPr>
          <w:p w14:paraId="0442C3CC" w14:textId="5797CD6C"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2.906</w:t>
            </w:r>
          </w:p>
        </w:tc>
        <w:tc>
          <w:tcPr>
            <w:tcW w:w="405" w:type="pct"/>
            <w:shd w:val="clear" w:color="auto" w:fill="auto"/>
            <w:noWrap/>
            <w:vAlign w:val="bottom"/>
          </w:tcPr>
          <w:p w14:paraId="105E2A60" w14:textId="0E920F0E" w:rsidR="00B668D0" w:rsidRPr="00977CF7" w:rsidRDefault="00B668D0" w:rsidP="00AA27DD">
            <w:pPr>
              <w:spacing w:after="0" w:line="360" w:lineRule="auto"/>
              <w:jc w:val="center"/>
              <w:rPr>
                <w:rFonts w:ascii="Times New Roman" w:eastAsia="Times New Roman" w:hAnsi="Times New Roman" w:cs="Times New Roman"/>
                <w:sz w:val="16"/>
                <w:szCs w:val="16"/>
                <w:lang w:eastAsia="en-IN" w:bidi="gu-IN"/>
              </w:rPr>
            </w:pPr>
            <w:r w:rsidRPr="00977CF7">
              <w:rPr>
                <w:rFonts w:ascii="Times New Roman" w:hAnsi="Times New Roman" w:cs="Times New Roman"/>
                <w:sz w:val="16"/>
                <w:szCs w:val="16"/>
              </w:rPr>
              <w:t>1.370</w:t>
            </w:r>
          </w:p>
        </w:tc>
      </w:tr>
      <w:tr w:rsidR="00D162BA" w:rsidRPr="00977CF7" w14:paraId="184D1977" w14:textId="77777777" w:rsidTr="00D162BA">
        <w:trPr>
          <w:trHeight w:val="424"/>
        </w:trPr>
        <w:tc>
          <w:tcPr>
            <w:tcW w:w="399" w:type="pct"/>
            <w:shd w:val="clear" w:color="auto" w:fill="auto"/>
            <w:noWrap/>
            <w:vAlign w:val="bottom"/>
          </w:tcPr>
          <w:p w14:paraId="18DB4DA5" w14:textId="77777777" w:rsidR="005D3B7C" w:rsidRPr="00C269D4" w:rsidRDefault="00B668D0" w:rsidP="00AA27DD">
            <w:pPr>
              <w:spacing w:after="0" w:line="360" w:lineRule="auto"/>
              <w:rPr>
                <w:rFonts w:ascii="Times New Roman" w:eastAsia="Times New Roman" w:hAnsi="Times New Roman" w:cs="Times New Roman"/>
                <w:sz w:val="16"/>
                <w:szCs w:val="16"/>
                <w:lang w:eastAsia="en-IN" w:bidi="gu-IN"/>
              </w:rPr>
            </w:pPr>
            <w:r w:rsidRPr="00C269D4">
              <w:rPr>
                <w:rFonts w:ascii="Times New Roman" w:eastAsia="Times New Roman" w:hAnsi="Times New Roman" w:cs="Times New Roman"/>
                <w:sz w:val="16"/>
                <w:szCs w:val="16"/>
                <w:lang w:eastAsia="en-IN" w:bidi="gu-IN"/>
              </w:rPr>
              <w:t xml:space="preserve">South </w:t>
            </w:r>
          </w:p>
          <w:p w14:paraId="2F59D888" w14:textId="412A8FCC" w:rsidR="00B668D0" w:rsidRPr="00C269D4" w:rsidRDefault="00B668D0" w:rsidP="00AA27DD">
            <w:pPr>
              <w:spacing w:after="0" w:line="360" w:lineRule="auto"/>
              <w:rPr>
                <w:rFonts w:ascii="Times New Roman" w:eastAsia="Times New Roman" w:hAnsi="Times New Roman" w:cs="Times New Roman"/>
                <w:sz w:val="16"/>
                <w:szCs w:val="16"/>
                <w:lang w:eastAsia="en-IN" w:bidi="gu-IN"/>
              </w:rPr>
            </w:pPr>
            <w:r w:rsidRPr="00C269D4">
              <w:rPr>
                <w:rFonts w:ascii="Times New Roman" w:eastAsia="Times New Roman" w:hAnsi="Times New Roman" w:cs="Times New Roman"/>
                <w:sz w:val="16"/>
                <w:szCs w:val="16"/>
                <w:lang w:eastAsia="en-IN" w:bidi="gu-IN"/>
              </w:rPr>
              <w:t>Korea</w:t>
            </w:r>
          </w:p>
        </w:tc>
        <w:tc>
          <w:tcPr>
            <w:tcW w:w="421" w:type="pct"/>
            <w:shd w:val="clear" w:color="auto" w:fill="auto"/>
            <w:noWrap/>
            <w:vAlign w:val="bottom"/>
          </w:tcPr>
          <w:p w14:paraId="0C04CB0F" w14:textId="54831547" w:rsidR="00B668D0" w:rsidRPr="00C269D4" w:rsidRDefault="00B668D0" w:rsidP="00AA27DD">
            <w:pPr>
              <w:spacing w:after="0" w:line="360" w:lineRule="auto"/>
              <w:jc w:val="center"/>
              <w:rPr>
                <w:rFonts w:ascii="Times New Roman" w:eastAsia="Times New Roman" w:hAnsi="Times New Roman" w:cs="Times New Roman"/>
                <w:sz w:val="16"/>
                <w:szCs w:val="16"/>
                <w:lang w:eastAsia="en-IN" w:bidi="gu-IN"/>
              </w:rPr>
            </w:pPr>
            <w:r w:rsidRPr="00C269D4">
              <w:rPr>
                <w:rFonts w:ascii="Times New Roman" w:hAnsi="Times New Roman" w:cs="Times New Roman"/>
                <w:sz w:val="16"/>
                <w:szCs w:val="16"/>
              </w:rPr>
              <w:t>1.208</w:t>
            </w:r>
          </w:p>
        </w:tc>
        <w:tc>
          <w:tcPr>
            <w:tcW w:w="358" w:type="pct"/>
            <w:shd w:val="clear" w:color="auto" w:fill="auto"/>
            <w:noWrap/>
            <w:vAlign w:val="bottom"/>
          </w:tcPr>
          <w:p w14:paraId="2EEEAAA9" w14:textId="43D43723" w:rsidR="00B668D0" w:rsidRPr="00C269D4" w:rsidRDefault="00B668D0" w:rsidP="00AA27DD">
            <w:pPr>
              <w:spacing w:after="0" w:line="360" w:lineRule="auto"/>
              <w:jc w:val="center"/>
              <w:rPr>
                <w:rFonts w:ascii="Times New Roman" w:eastAsia="Times New Roman" w:hAnsi="Times New Roman" w:cs="Times New Roman"/>
                <w:sz w:val="16"/>
                <w:szCs w:val="16"/>
                <w:lang w:eastAsia="en-IN" w:bidi="gu-IN"/>
              </w:rPr>
            </w:pPr>
            <w:r w:rsidRPr="00C269D4">
              <w:rPr>
                <w:rFonts w:ascii="Times New Roman" w:hAnsi="Times New Roman" w:cs="Times New Roman"/>
                <w:sz w:val="16"/>
                <w:szCs w:val="16"/>
              </w:rPr>
              <w:t>0.552</w:t>
            </w:r>
          </w:p>
        </w:tc>
        <w:tc>
          <w:tcPr>
            <w:tcW w:w="352" w:type="pct"/>
            <w:shd w:val="clear" w:color="auto" w:fill="auto"/>
            <w:noWrap/>
            <w:vAlign w:val="bottom"/>
          </w:tcPr>
          <w:p w14:paraId="1515CF51" w14:textId="3F54029F" w:rsidR="00B668D0" w:rsidRPr="00C269D4" w:rsidRDefault="00B668D0" w:rsidP="00AA27DD">
            <w:pPr>
              <w:spacing w:after="0" w:line="360" w:lineRule="auto"/>
              <w:jc w:val="center"/>
              <w:rPr>
                <w:rFonts w:ascii="Times New Roman" w:eastAsia="Times New Roman" w:hAnsi="Times New Roman" w:cs="Times New Roman"/>
                <w:sz w:val="16"/>
                <w:szCs w:val="16"/>
                <w:lang w:eastAsia="en-IN" w:bidi="gu-IN"/>
              </w:rPr>
            </w:pPr>
            <w:r w:rsidRPr="00C269D4">
              <w:rPr>
                <w:rFonts w:ascii="Times New Roman" w:hAnsi="Times New Roman" w:cs="Times New Roman"/>
                <w:sz w:val="16"/>
                <w:szCs w:val="16"/>
              </w:rPr>
              <w:t>1.878</w:t>
            </w:r>
          </w:p>
        </w:tc>
        <w:tc>
          <w:tcPr>
            <w:tcW w:w="352" w:type="pct"/>
            <w:shd w:val="clear" w:color="auto" w:fill="auto"/>
            <w:noWrap/>
            <w:vAlign w:val="bottom"/>
          </w:tcPr>
          <w:p w14:paraId="00BF1991" w14:textId="14F55D7D" w:rsidR="00B668D0" w:rsidRPr="00C269D4" w:rsidRDefault="00B668D0" w:rsidP="00AA27DD">
            <w:pPr>
              <w:spacing w:after="0" w:line="360" w:lineRule="auto"/>
              <w:jc w:val="center"/>
              <w:rPr>
                <w:rFonts w:ascii="Times New Roman" w:eastAsia="Times New Roman" w:hAnsi="Times New Roman" w:cs="Times New Roman"/>
                <w:sz w:val="16"/>
                <w:szCs w:val="16"/>
                <w:lang w:eastAsia="en-IN" w:bidi="gu-IN"/>
              </w:rPr>
            </w:pPr>
            <w:r w:rsidRPr="00C269D4">
              <w:rPr>
                <w:rFonts w:ascii="Times New Roman" w:hAnsi="Times New Roman" w:cs="Times New Roman"/>
                <w:sz w:val="16"/>
                <w:szCs w:val="16"/>
              </w:rPr>
              <w:t>1.107</w:t>
            </w:r>
          </w:p>
        </w:tc>
        <w:tc>
          <w:tcPr>
            <w:tcW w:w="352" w:type="pct"/>
            <w:shd w:val="clear" w:color="auto" w:fill="auto"/>
            <w:noWrap/>
            <w:vAlign w:val="bottom"/>
          </w:tcPr>
          <w:p w14:paraId="3E447990" w14:textId="24104214" w:rsidR="00B668D0" w:rsidRPr="00C269D4" w:rsidRDefault="00B668D0" w:rsidP="00AA27DD">
            <w:pPr>
              <w:spacing w:after="0" w:line="360" w:lineRule="auto"/>
              <w:jc w:val="center"/>
              <w:rPr>
                <w:rFonts w:ascii="Times New Roman" w:eastAsia="Times New Roman" w:hAnsi="Times New Roman" w:cs="Times New Roman"/>
                <w:sz w:val="16"/>
                <w:szCs w:val="16"/>
                <w:lang w:eastAsia="en-IN" w:bidi="gu-IN"/>
              </w:rPr>
            </w:pPr>
            <w:r w:rsidRPr="00C269D4">
              <w:rPr>
                <w:rFonts w:ascii="Times New Roman" w:hAnsi="Times New Roman" w:cs="Times New Roman"/>
                <w:sz w:val="16"/>
                <w:szCs w:val="16"/>
              </w:rPr>
              <w:t>2.026</w:t>
            </w:r>
          </w:p>
        </w:tc>
        <w:tc>
          <w:tcPr>
            <w:tcW w:w="406" w:type="pct"/>
            <w:shd w:val="clear" w:color="auto" w:fill="auto"/>
            <w:noWrap/>
            <w:vAlign w:val="bottom"/>
          </w:tcPr>
          <w:p w14:paraId="63F85165" w14:textId="7ABF6C14" w:rsidR="00B668D0" w:rsidRPr="00C269D4" w:rsidRDefault="00B668D0" w:rsidP="00AA27DD">
            <w:pPr>
              <w:spacing w:after="0" w:line="360" w:lineRule="auto"/>
              <w:jc w:val="center"/>
              <w:rPr>
                <w:rFonts w:ascii="Times New Roman" w:eastAsia="Times New Roman" w:hAnsi="Times New Roman" w:cs="Times New Roman"/>
                <w:sz w:val="16"/>
                <w:szCs w:val="16"/>
                <w:lang w:eastAsia="en-IN" w:bidi="gu-IN"/>
              </w:rPr>
            </w:pPr>
            <w:r w:rsidRPr="00C269D4">
              <w:rPr>
                <w:rFonts w:ascii="Times New Roman" w:hAnsi="Times New Roman" w:cs="Times New Roman"/>
                <w:sz w:val="16"/>
                <w:szCs w:val="16"/>
              </w:rPr>
              <w:t>2.069</w:t>
            </w:r>
            <w:r w:rsidR="00C269D4" w:rsidRPr="00C269D4">
              <w:rPr>
                <w:rFonts w:ascii="Times New Roman" w:hAnsi="Times New Roman" w:cs="Times New Roman"/>
                <w:sz w:val="16"/>
                <w:szCs w:val="16"/>
              </w:rPr>
              <w:t>**</w:t>
            </w:r>
          </w:p>
        </w:tc>
        <w:tc>
          <w:tcPr>
            <w:tcW w:w="107" w:type="pct"/>
          </w:tcPr>
          <w:p w14:paraId="1F7F0F0C" w14:textId="77777777" w:rsidR="00B668D0" w:rsidRPr="00C269D4"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48576AF4" w14:textId="54501694" w:rsidR="00B668D0" w:rsidRPr="00C269D4" w:rsidRDefault="00B668D0" w:rsidP="00AA27DD">
            <w:pPr>
              <w:spacing w:after="0" w:line="360" w:lineRule="auto"/>
              <w:jc w:val="center"/>
              <w:rPr>
                <w:rFonts w:ascii="Times New Roman" w:eastAsia="Times New Roman" w:hAnsi="Times New Roman" w:cs="Times New Roman"/>
                <w:sz w:val="16"/>
                <w:szCs w:val="16"/>
                <w:lang w:eastAsia="en-IN" w:bidi="gu-IN"/>
              </w:rPr>
            </w:pPr>
            <w:r w:rsidRPr="00C269D4">
              <w:rPr>
                <w:rFonts w:ascii="Times New Roman" w:hAnsi="Times New Roman" w:cs="Times New Roman"/>
                <w:sz w:val="16"/>
                <w:szCs w:val="16"/>
              </w:rPr>
              <w:t>0.011</w:t>
            </w:r>
          </w:p>
        </w:tc>
        <w:tc>
          <w:tcPr>
            <w:tcW w:w="394" w:type="pct"/>
            <w:shd w:val="clear" w:color="auto" w:fill="auto"/>
            <w:noWrap/>
            <w:vAlign w:val="bottom"/>
          </w:tcPr>
          <w:p w14:paraId="5CAEF59F" w14:textId="2ACB469D" w:rsidR="00B668D0" w:rsidRPr="00C269D4" w:rsidRDefault="00B668D0" w:rsidP="00AA27DD">
            <w:pPr>
              <w:spacing w:after="0" w:line="360" w:lineRule="auto"/>
              <w:jc w:val="center"/>
              <w:rPr>
                <w:rFonts w:ascii="Times New Roman" w:eastAsia="Times New Roman" w:hAnsi="Times New Roman" w:cs="Times New Roman"/>
                <w:sz w:val="16"/>
                <w:szCs w:val="16"/>
                <w:lang w:eastAsia="en-IN" w:bidi="gu-IN"/>
              </w:rPr>
            </w:pPr>
            <w:r w:rsidRPr="00C269D4">
              <w:rPr>
                <w:rFonts w:ascii="Times New Roman" w:hAnsi="Times New Roman" w:cs="Times New Roman"/>
                <w:sz w:val="16"/>
                <w:szCs w:val="16"/>
              </w:rPr>
              <w:t>0.011</w:t>
            </w:r>
          </w:p>
        </w:tc>
        <w:tc>
          <w:tcPr>
            <w:tcW w:w="352" w:type="pct"/>
            <w:shd w:val="clear" w:color="auto" w:fill="auto"/>
            <w:noWrap/>
            <w:vAlign w:val="bottom"/>
          </w:tcPr>
          <w:p w14:paraId="3F11AC94" w14:textId="5360AE34" w:rsidR="00B668D0" w:rsidRPr="00C269D4" w:rsidRDefault="00B668D0" w:rsidP="00AA27DD">
            <w:pPr>
              <w:spacing w:after="0" w:line="360" w:lineRule="auto"/>
              <w:jc w:val="center"/>
              <w:rPr>
                <w:rFonts w:ascii="Times New Roman" w:eastAsia="Times New Roman" w:hAnsi="Times New Roman" w:cs="Times New Roman"/>
                <w:sz w:val="16"/>
                <w:szCs w:val="16"/>
                <w:lang w:eastAsia="en-IN" w:bidi="gu-IN"/>
              </w:rPr>
            </w:pPr>
            <w:r w:rsidRPr="00C269D4">
              <w:rPr>
                <w:rFonts w:ascii="Times New Roman" w:hAnsi="Times New Roman" w:cs="Times New Roman"/>
                <w:sz w:val="16"/>
                <w:szCs w:val="16"/>
              </w:rPr>
              <w:t>1.776</w:t>
            </w:r>
          </w:p>
        </w:tc>
        <w:tc>
          <w:tcPr>
            <w:tcW w:w="406" w:type="pct"/>
            <w:shd w:val="clear" w:color="auto" w:fill="auto"/>
            <w:noWrap/>
            <w:vAlign w:val="bottom"/>
          </w:tcPr>
          <w:p w14:paraId="24167F1C" w14:textId="3F07F16F" w:rsidR="00B668D0" w:rsidRPr="00C269D4" w:rsidRDefault="00B668D0" w:rsidP="00AA27DD">
            <w:pPr>
              <w:spacing w:after="0" w:line="360" w:lineRule="auto"/>
              <w:jc w:val="center"/>
              <w:rPr>
                <w:rFonts w:ascii="Times New Roman" w:eastAsia="Times New Roman" w:hAnsi="Times New Roman" w:cs="Times New Roman"/>
                <w:sz w:val="16"/>
                <w:szCs w:val="16"/>
                <w:lang w:eastAsia="en-IN" w:bidi="gu-IN"/>
              </w:rPr>
            </w:pPr>
            <w:r w:rsidRPr="00C269D4">
              <w:rPr>
                <w:rFonts w:ascii="Times New Roman" w:hAnsi="Times New Roman" w:cs="Times New Roman"/>
                <w:sz w:val="16"/>
                <w:szCs w:val="16"/>
              </w:rPr>
              <w:t>1.047</w:t>
            </w:r>
          </w:p>
        </w:tc>
        <w:tc>
          <w:tcPr>
            <w:tcW w:w="350" w:type="pct"/>
            <w:shd w:val="clear" w:color="auto" w:fill="auto"/>
            <w:noWrap/>
            <w:vAlign w:val="bottom"/>
          </w:tcPr>
          <w:p w14:paraId="0E172ABE" w14:textId="2EC6026C" w:rsidR="00B668D0" w:rsidRPr="00C269D4" w:rsidRDefault="00B668D0" w:rsidP="00AA27DD">
            <w:pPr>
              <w:spacing w:after="0" w:line="360" w:lineRule="auto"/>
              <w:jc w:val="center"/>
              <w:rPr>
                <w:rFonts w:ascii="Times New Roman" w:eastAsia="Times New Roman" w:hAnsi="Times New Roman" w:cs="Times New Roman"/>
                <w:sz w:val="16"/>
                <w:szCs w:val="16"/>
                <w:lang w:eastAsia="en-IN" w:bidi="gu-IN"/>
              </w:rPr>
            </w:pPr>
            <w:r w:rsidRPr="00C269D4">
              <w:rPr>
                <w:rFonts w:ascii="Times New Roman" w:hAnsi="Times New Roman" w:cs="Times New Roman"/>
                <w:sz w:val="16"/>
                <w:szCs w:val="16"/>
              </w:rPr>
              <w:t>2.261</w:t>
            </w:r>
          </w:p>
        </w:tc>
        <w:tc>
          <w:tcPr>
            <w:tcW w:w="405" w:type="pct"/>
            <w:shd w:val="clear" w:color="auto" w:fill="auto"/>
            <w:noWrap/>
            <w:vAlign w:val="bottom"/>
          </w:tcPr>
          <w:p w14:paraId="29CF7F23" w14:textId="27AA86B1" w:rsidR="00B668D0" w:rsidRPr="00C269D4" w:rsidRDefault="00B668D0" w:rsidP="00AA27DD">
            <w:pPr>
              <w:spacing w:after="0" w:line="360" w:lineRule="auto"/>
              <w:jc w:val="center"/>
              <w:rPr>
                <w:rFonts w:ascii="Times New Roman" w:eastAsia="Times New Roman" w:hAnsi="Times New Roman" w:cs="Times New Roman"/>
                <w:sz w:val="16"/>
                <w:szCs w:val="16"/>
                <w:lang w:eastAsia="en-IN" w:bidi="gu-IN"/>
              </w:rPr>
            </w:pPr>
            <w:r w:rsidRPr="00C269D4">
              <w:rPr>
                <w:rFonts w:ascii="Times New Roman" w:hAnsi="Times New Roman" w:cs="Times New Roman"/>
                <w:sz w:val="16"/>
                <w:szCs w:val="16"/>
              </w:rPr>
              <w:t>1.033</w:t>
            </w:r>
          </w:p>
        </w:tc>
      </w:tr>
      <w:tr w:rsidR="00D162BA" w:rsidRPr="00977CF7" w14:paraId="21B360C5" w14:textId="77777777" w:rsidTr="00D162BA">
        <w:trPr>
          <w:trHeight w:val="424"/>
        </w:trPr>
        <w:tc>
          <w:tcPr>
            <w:tcW w:w="399" w:type="pct"/>
            <w:shd w:val="clear" w:color="auto" w:fill="auto"/>
            <w:noWrap/>
            <w:vAlign w:val="bottom"/>
            <w:hideMark/>
          </w:tcPr>
          <w:p w14:paraId="60D6A319" w14:textId="77777777" w:rsidR="00B668D0" w:rsidRPr="00ED39A2" w:rsidRDefault="00B668D0" w:rsidP="00AA27DD">
            <w:pPr>
              <w:spacing w:after="0" w:line="360" w:lineRule="auto"/>
              <w:rPr>
                <w:rFonts w:ascii="Times New Roman" w:eastAsia="Times New Roman" w:hAnsi="Times New Roman" w:cs="Times New Roman"/>
                <w:sz w:val="16"/>
                <w:szCs w:val="16"/>
                <w:lang w:eastAsia="en-IN" w:bidi="gu-IN"/>
              </w:rPr>
            </w:pPr>
            <w:r w:rsidRPr="00ED39A2">
              <w:rPr>
                <w:rFonts w:ascii="Times New Roman" w:eastAsia="Times New Roman" w:hAnsi="Times New Roman" w:cs="Times New Roman"/>
                <w:sz w:val="16"/>
                <w:szCs w:val="16"/>
                <w:lang w:eastAsia="en-IN" w:bidi="gu-IN"/>
              </w:rPr>
              <w:t>Spain</w:t>
            </w:r>
          </w:p>
        </w:tc>
        <w:tc>
          <w:tcPr>
            <w:tcW w:w="421" w:type="pct"/>
            <w:shd w:val="clear" w:color="auto" w:fill="auto"/>
            <w:noWrap/>
            <w:vAlign w:val="bottom"/>
          </w:tcPr>
          <w:p w14:paraId="079DC91E" w14:textId="0A8E4BEA" w:rsidR="00B668D0" w:rsidRPr="00ED39A2" w:rsidRDefault="00B668D0" w:rsidP="00AA27DD">
            <w:pPr>
              <w:spacing w:after="0" w:line="360" w:lineRule="auto"/>
              <w:jc w:val="center"/>
              <w:rPr>
                <w:rFonts w:ascii="Times New Roman" w:eastAsia="Times New Roman" w:hAnsi="Times New Roman" w:cs="Times New Roman"/>
                <w:sz w:val="16"/>
                <w:szCs w:val="16"/>
                <w:lang w:eastAsia="en-IN" w:bidi="gu-IN"/>
              </w:rPr>
            </w:pPr>
            <w:r w:rsidRPr="00ED39A2">
              <w:rPr>
                <w:rFonts w:ascii="Times New Roman" w:hAnsi="Times New Roman" w:cs="Times New Roman"/>
                <w:sz w:val="16"/>
                <w:szCs w:val="16"/>
              </w:rPr>
              <w:t>0.281</w:t>
            </w:r>
          </w:p>
        </w:tc>
        <w:tc>
          <w:tcPr>
            <w:tcW w:w="358" w:type="pct"/>
            <w:shd w:val="clear" w:color="auto" w:fill="auto"/>
            <w:noWrap/>
            <w:vAlign w:val="bottom"/>
          </w:tcPr>
          <w:p w14:paraId="4B3946BC" w14:textId="100307C2" w:rsidR="00B668D0" w:rsidRPr="00ED39A2" w:rsidRDefault="00B668D0" w:rsidP="00AA27DD">
            <w:pPr>
              <w:spacing w:after="0" w:line="360" w:lineRule="auto"/>
              <w:jc w:val="center"/>
              <w:rPr>
                <w:rFonts w:ascii="Times New Roman" w:eastAsia="Times New Roman" w:hAnsi="Times New Roman" w:cs="Times New Roman"/>
                <w:sz w:val="16"/>
                <w:szCs w:val="16"/>
                <w:lang w:eastAsia="en-IN" w:bidi="gu-IN"/>
              </w:rPr>
            </w:pPr>
            <w:r w:rsidRPr="00ED39A2">
              <w:rPr>
                <w:rFonts w:ascii="Times New Roman" w:hAnsi="Times New Roman" w:cs="Times New Roman"/>
                <w:sz w:val="16"/>
                <w:szCs w:val="16"/>
              </w:rPr>
              <w:t>0.128</w:t>
            </w:r>
          </w:p>
        </w:tc>
        <w:tc>
          <w:tcPr>
            <w:tcW w:w="352" w:type="pct"/>
            <w:shd w:val="clear" w:color="auto" w:fill="auto"/>
            <w:noWrap/>
            <w:vAlign w:val="bottom"/>
          </w:tcPr>
          <w:p w14:paraId="6F5B7508" w14:textId="5F4D5658" w:rsidR="00B668D0" w:rsidRPr="00ED39A2" w:rsidRDefault="00B668D0" w:rsidP="00AA27DD">
            <w:pPr>
              <w:spacing w:after="0" w:line="360" w:lineRule="auto"/>
              <w:jc w:val="center"/>
              <w:rPr>
                <w:rFonts w:ascii="Times New Roman" w:eastAsia="Times New Roman" w:hAnsi="Times New Roman" w:cs="Times New Roman"/>
                <w:sz w:val="16"/>
                <w:szCs w:val="16"/>
                <w:lang w:eastAsia="en-IN" w:bidi="gu-IN"/>
              </w:rPr>
            </w:pPr>
            <w:r w:rsidRPr="00ED39A2">
              <w:rPr>
                <w:rFonts w:ascii="Times New Roman" w:hAnsi="Times New Roman" w:cs="Times New Roman"/>
                <w:sz w:val="16"/>
                <w:szCs w:val="16"/>
              </w:rPr>
              <w:t>-0.996</w:t>
            </w:r>
          </w:p>
        </w:tc>
        <w:tc>
          <w:tcPr>
            <w:tcW w:w="352" w:type="pct"/>
            <w:shd w:val="clear" w:color="auto" w:fill="auto"/>
            <w:noWrap/>
            <w:vAlign w:val="bottom"/>
          </w:tcPr>
          <w:p w14:paraId="22A5B2D6" w14:textId="34F66901" w:rsidR="00B668D0" w:rsidRPr="00ED39A2" w:rsidRDefault="00B668D0" w:rsidP="00AA27DD">
            <w:pPr>
              <w:spacing w:after="0" w:line="360" w:lineRule="auto"/>
              <w:jc w:val="center"/>
              <w:rPr>
                <w:rFonts w:ascii="Times New Roman" w:eastAsia="Times New Roman" w:hAnsi="Times New Roman" w:cs="Times New Roman"/>
                <w:sz w:val="16"/>
                <w:szCs w:val="16"/>
                <w:lang w:eastAsia="en-IN" w:bidi="gu-IN"/>
              </w:rPr>
            </w:pPr>
            <w:r w:rsidRPr="00ED39A2">
              <w:rPr>
                <w:rFonts w:ascii="Times New Roman" w:hAnsi="Times New Roman" w:cs="Times New Roman"/>
                <w:sz w:val="16"/>
                <w:szCs w:val="16"/>
              </w:rPr>
              <w:t>-0.586</w:t>
            </w:r>
          </w:p>
        </w:tc>
        <w:tc>
          <w:tcPr>
            <w:tcW w:w="352" w:type="pct"/>
            <w:shd w:val="clear" w:color="auto" w:fill="auto"/>
            <w:noWrap/>
            <w:vAlign w:val="bottom"/>
          </w:tcPr>
          <w:p w14:paraId="49CA8A31" w14:textId="6C270894" w:rsidR="00B668D0" w:rsidRPr="00ED39A2" w:rsidRDefault="00B668D0" w:rsidP="00AA27DD">
            <w:pPr>
              <w:spacing w:after="0" w:line="360" w:lineRule="auto"/>
              <w:jc w:val="center"/>
              <w:rPr>
                <w:rFonts w:ascii="Times New Roman" w:eastAsia="Times New Roman" w:hAnsi="Times New Roman" w:cs="Times New Roman"/>
                <w:sz w:val="16"/>
                <w:szCs w:val="16"/>
                <w:lang w:eastAsia="en-IN" w:bidi="gu-IN"/>
              </w:rPr>
            </w:pPr>
            <w:r w:rsidRPr="00ED39A2">
              <w:rPr>
                <w:rFonts w:ascii="Times New Roman" w:hAnsi="Times New Roman" w:cs="Times New Roman"/>
                <w:sz w:val="16"/>
                <w:szCs w:val="16"/>
              </w:rPr>
              <w:t>-0.104</w:t>
            </w:r>
          </w:p>
        </w:tc>
        <w:tc>
          <w:tcPr>
            <w:tcW w:w="406" w:type="pct"/>
            <w:shd w:val="clear" w:color="auto" w:fill="auto"/>
            <w:noWrap/>
            <w:vAlign w:val="bottom"/>
          </w:tcPr>
          <w:p w14:paraId="7A245A74" w14:textId="3080FEF7" w:rsidR="00B668D0" w:rsidRPr="00ED39A2" w:rsidRDefault="00B668D0" w:rsidP="00AA27DD">
            <w:pPr>
              <w:spacing w:after="0" w:line="360" w:lineRule="auto"/>
              <w:jc w:val="center"/>
              <w:rPr>
                <w:rFonts w:ascii="Times New Roman" w:eastAsia="Times New Roman" w:hAnsi="Times New Roman" w:cs="Times New Roman"/>
                <w:sz w:val="16"/>
                <w:szCs w:val="16"/>
                <w:lang w:eastAsia="en-IN" w:bidi="gu-IN"/>
              </w:rPr>
            </w:pPr>
            <w:r w:rsidRPr="00ED39A2">
              <w:rPr>
                <w:rFonts w:ascii="Times New Roman" w:hAnsi="Times New Roman" w:cs="Times New Roman"/>
                <w:sz w:val="16"/>
                <w:szCs w:val="16"/>
              </w:rPr>
              <w:t>-0.106</w:t>
            </w:r>
          </w:p>
        </w:tc>
        <w:tc>
          <w:tcPr>
            <w:tcW w:w="107" w:type="pct"/>
          </w:tcPr>
          <w:p w14:paraId="540080CC" w14:textId="77777777" w:rsidR="00B668D0" w:rsidRPr="00ED39A2"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5FAF207B" w14:textId="68710CAF" w:rsidR="00B668D0" w:rsidRPr="00ED39A2" w:rsidRDefault="00B668D0" w:rsidP="00AA27DD">
            <w:pPr>
              <w:spacing w:after="0" w:line="360" w:lineRule="auto"/>
              <w:jc w:val="center"/>
              <w:rPr>
                <w:rFonts w:ascii="Times New Roman" w:eastAsia="Times New Roman" w:hAnsi="Times New Roman" w:cs="Times New Roman"/>
                <w:sz w:val="16"/>
                <w:szCs w:val="16"/>
                <w:lang w:eastAsia="en-IN" w:bidi="gu-IN"/>
              </w:rPr>
            </w:pPr>
            <w:r w:rsidRPr="00ED39A2">
              <w:rPr>
                <w:rFonts w:ascii="Times New Roman" w:hAnsi="Times New Roman" w:cs="Times New Roman"/>
                <w:sz w:val="16"/>
                <w:szCs w:val="16"/>
              </w:rPr>
              <w:t>-0.718</w:t>
            </w:r>
          </w:p>
        </w:tc>
        <w:tc>
          <w:tcPr>
            <w:tcW w:w="394" w:type="pct"/>
            <w:shd w:val="clear" w:color="auto" w:fill="auto"/>
            <w:noWrap/>
            <w:vAlign w:val="bottom"/>
          </w:tcPr>
          <w:p w14:paraId="5C7DF0C3" w14:textId="35FDE829" w:rsidR="00B668D0" w:rsidRPr="00ED39A2" w:rsidRDefault="00B668D0" w:rsidP="00AA27DD">
            <w:pPr>
              <w:spacing w:after="0" w:line="360" w:lineRule="auto"/>
              <w:jc w:val="center"/>
              <w:rPr>
                <w:rFonts w:ascii="Times New Roman" w:eastAsia="Times New Roman" w:hAnsi="Times New Roman" w:cs="Times New Roman"/>
                <w:sz w:val="16"/>
                <w:szCs w:val="16"/>
                <w:lang w:eastAsia="en-IN" w:bidi="gu-IN"/>
              </w:rPr>
            </w:pPr>
            <w:r w:rsidRPr="00ED39A2">
              <w:rPr>
                <w:rFonts w:ascii="Times New Roman" w:hAnsi="Times New Roman" w:cs="Times New Roman"/>
                <w:sz w:val="16"/>
                <w:szCs w:val="16"/>
              </w:rPr>
              <w:t>-0.732</w:t>
            </w:r>
          </w:p>
        </w:tc>
        <w:tc>
          <w:tcPr>
            <w:tcW w:w="352" w:type="pct"/>
            <w:shd w:val="clear" w:color="auto" w:fill="auto"/>
            <w:noWrap/>
            <w:vAlign w:val="bottom"/>
          </w:tcPr>
          <w:p w14:paraId="668A6020" w14:textId="68C03B31" w:rsidR="00B668D0" w:rsidRPr="00ED39A2" w:rsidRDefault="00B668D0" w:rsidP="00AA27DD">
            <w:pPr>
              <w:spacing w:after="0" w:line="360" w:lineRule="auto"/>
              <w:jc w:val="center"/>
              <w:rPr>
                <w:rFonts w:ascii="Times New Roman" w:eastAsia="Times New Roman" w:hAnsi="Times New Roman" w:cs="Times New Roman"/>
                <w:sz w:val="16"/>
                <w:szCs w:val="16"/>
                <w:lang w:eastAsia="en-IN" w:bidi="gu-IN"/>
              </w:rPr>
            </w:pPr>
            <w:r w:rsidRPr="00ED39A2">
              <w:rPr>
                <w:rFonts w:ascii="Times New Roman" w:hAnsi="Times New Roman" w:cs="Times New Roman"/>
                <w:sz w:val="16"/>
                <w:szCs w:val="16"/>
              </w:rPr>
              <w:t>-3.245</w:t>
            </w:r>
          </w:p>
        </w:tc>
        <w:tc>
          <w:tcPr>
            <w:tcW w:w="406" w:type="pct"/>
            <w:shd w:val="clear" w:color="auto" w:fill="auto"/>
            <w:noWrap/>
            <w:vAlign w:val="bottom"/>
          </w:tcPr>
          <w:p w14:paraId="65968C0E" w14:textId="3074522F" w:rsidR="00B668D0" w:rsidRPr="00ED39A2" w:rsidRDefault="00B668D0" w:rsidP="00AA27DD">
            <w:pPr>
              <w:spacing w:after="0" w:line="360" w:lineRule="auto"/>
              <w:jc w:val="center"/>
              <w:rPr>
                <w:rFonts w:ascii="Times New Roman" w:eastAsia="Times New Roman" w:hAnsi="Times New Roman" w:cs="Times New Roman"/>
                <w:sz w:val="16"/>
                <w:szCs w:val="16"/>
                <w:lang w:eastAsia="en-IN" w:bidi="gu-IN"/>
              </w:rPr>
            </w:pPr>
            <w:r w:rsidRPr="00ED39A2">
              <w:rPr>
                <w:rFonts w:ascii="Times New Roman" w:hAnsi="Times New Roman" w:cs="Times New Roman"/>
                <w:sz w:val="16"/>
                <w:szCs w:val="16"/>
              </w:rPr>
              <w:t>-1.910</w:t>
            </w:r>
            <w:r w:rsidR="00C269D4" w:rsidRPr="00ED39A2">
              <w:rPr>
                <w:rFonts w:ascii="Times New Roman" w:hAnsi="Times New Roman" w:cs="Times New Roman"/>
                <w:sz w:val="16"/>
                <w:szCs w:val="16"/>
              </w:rPr>
              <w:t>**</w:t>
            </w:r>
            <w:r w:rsidR="00ED39A2" w:rsidRPr="00ED39A2">
              <w:rPr>
                <w:rFonts w:ascii="Times New Roman" w:hAnsi="Times New Roman" w:cs="Times New Roman"/>
                <w:sz w:val="16"/>
                <w:szCs w:val="16"/>
              </w:rPr>
              <w:t>*</w:t>
            </w:r>
          </w:p>
        </w:tc>
        <w:tc>
          <w:tcPr>
            <w:tcW w:w="350" w:type="pct"/>
            <w:shd w:val="clear" w:color="auto" w:fill="auto"/>
            <w:noWrap/>
            <w:vAlign w:val="bottom"/>
          </w:tcPr>
          <w:p w14:paraId="5B87EC85" w14:textId="24ED2F53" w:rsidR="00B668D0" w:rsidRPr="00ED39A2" w:rsidRDefault="00B668D0" w:rsidP="00AA27DD">
            <w:pPr>
              <w:spacing w:after="0" w:line="360" w:lineRule="auto"/>
              <w:jc w:val="center"/>
              <w:rPr>
                <w:rFonts w:ascii="Times New Roman" w:eastAsia="Times New Roman" w:hAnsi="Times New Roman" w:cs="Times New Roman"/>
                <w:sz w:val="16"/>
                <w:szCs w:val="16"/>
                <w:lang w:eastAsia="en-IN" w:bidi="gu-IN"/>
              </w:rPr>
            </w:pPr>
            <w:r w:rsidRPr="00ED39A2">
              <w:rPr>
                <w:rFonts w:ascii="Times New Roman" w:hAnsi="Times New Roman" w:cs="Times New Roman"/>
                <w:sz w:val="16"/>
                <w:szCs w:val="16"/>
              </w:rPr>
              <w:t>-5.571</w:t>
            </w:r>
          </w:p>
        </w:tc>
        <w:tc>
          <w:tcPr>
            <w:tcW w:w="405" w:type="pct"/>
            <w:shd w:val="clear" w:color="auto" w:fill="auto"/>
            <w:noWrap/>
            <w:vAlign w:val="bottom"/>
          </w:tcPr>
          <w:p w14:paraId="088998B1" w14:textId="7FB591F3" w:rsidR="00B668D0" w:rsidRPr="00ED39A2" w:rsidRDefault="00B668D0" w:rsidP="00AA27DD">
            <w:pPr>
              <w:spacing w:after="0" w:line="360" w:lineRule="auto"/>
              <w:jc w:val="center"/>
              <w:rPr>
                <w:rFonts w:ascii="Times New Roman" w:eastAsia="Times New Roman" w:hAnsi="Times New Roman" w:cs="Times New Roman"/>
                <w:sz w:val="16"/>
                <w:szCs w:val="16"/>
                <w:lang w:eastAsia="en-IN" w:bidi="gu-IN"/>
              </w:rPr>
            </w:pPr>
            <w:r w:rsidRPr="00ED39A2">
              <w:rPr>
                <w:rFonts w:ascii="Times New Roman" w:hAnsi="Times New Roman" w:cs="Times New Roman"/>
                <w:sz w:val="16"/>
                <w:szCs w:val="16"/>
              </w:rPr>
              <w:t>-2.539</w:t>
            </w:r>
            <w:r w:rsidR="00ED39A2" w:rsidRPr="00ED39A2">
              <w:rPr>
                <w:rFonts w:ascii="Times New Roman" w:hAnsi="Times New Roman" w:cs="Times New Roman"/>
                <w:sz w:val="16"/>
                <w:szCs w:val="16"/>
              </w:rPr>
              <w:t>**</w:t>
            </w:r>
          </w:p>
        </w:tc>
      </w:tr>
      <w:tr w:rsidR="00D162BA" w:rsidRPr="00977CF7" w14:paraId="6D5D7F50" w14:textId="77777777" w:rsidTr="00D162BA">
        <w:trPr>
          <w:trHeight w:val="424"/>
        </w:trPr>
        <w:tc>
          <w:tcPr>
            <w:tcW w:w="399" w:type="pct"/>
            <w:shd w:val="clear" w:color="auto" w:fill="auto"/>
            <w:noWrap/>
            <w:vAlign w:val="bottom"/>
            <w:hideMark/>
          </w:tcPr>
          <w:p w14:paraId="79942E52" w14:textId="77777777" w:rsidR="00B668D0" w:rsidRPr="003250CB" w:rsidRDefault="00B668D0" w:rsidP="00AA27DD">
            <w:pPr>
              <w:spacing w:after="0" w:line="360" w:lineRule="auto"/>
              <w:rPr>
                <w:rFonts w:ascii="Times New Roman" w:eastAsia="Times New Roman" w:hAnsi="Times New Roman" w:cs="Times New Roman"/>
                <w:sz w:val="16"/>
                <w:szCs w:val="16"/>
                <w:lang w:eastAsia="en-IN" w:bidi="gu-IN"/>
              </w:rPr>
            </w:pPr>
            <w:r w:rsidRPr="003250CB">
              <w:rPr>
                <w:rFonts w:ascii="Times New Roman" w:eastAsia="Times New Roman" w:hAnsi="Times New Roman" w:cs="Times New Roman"/>
                <w:sz w:val="16"/>
                <w:szCs w:val="16"/>
                <w:lang w:eastAsia="en-IN" w:bidi="gu-IN"/>
              </w:rPr>
              <w:t>Turkey</w:t>
            </w:r>
          </w:p>
        </w:tc>
        <w:tc>
          <w:tcPr>
            <w:tcW w:w="421" w:type="pct"/>
            <w:shd w:val="clear" w:color="auto" w:fill="auto"/>
            <w:noWrap/>
            <w:vAlign w:val="bottom"/>
          </w:tcPr>
          <w:p w14:paraId="5DEBCE9B" w14:textId="2650AE23"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-1.352</w:t>
            </w:r>
          </w:p>
        </w:tc>
        <w:tc>
          <w:tcPr>
            <w:tcW w:w="358" w:type="pct"/>
            <w:shd w:val="clear" w:color="auto" w:fill="auto"/>
            <w:noWrap/>
            <w:vAlign w:val="bottom"/>
          </w:tcPr>
          <w:p w14:paraId="3A620A25" w14:textId="0035474A"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-0.399</w:t>
            </w:r>
          </w:p>
        </w:tc>
        <w:tc>
          <w:tcPr>
            <w:tcW w:w="352" w:type="pct"/>
            <w:shd w:val="clear" w:color="auto" w:fill="auto"/>
            <w:noWrap/>
            <w:vAlign w:val="bottom"/>
          </w:tcPr>
          <w:p w14:paraId="5E2BEE41" w14:textId="16FC9BCE"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-0.163</w:t>
            </w:r>
          </w:p>
        </w:tc>
        <w:tc>
          <w:tcPr>
            <w:tcW w:w="352" w:type="pct"/>
            <w:shd w:val="clear" w:color="auto" w:fill="auto"/>
            <w:noWrap/>
            <w:vAlign w:val="bottom"/>
          </w:tcPr>
          <w:p w14:paraId="56601206" w14:textId="73F1F0F8"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-0.062</w:t>
            </w:r>
          </w:p>
        </w:tc>
        <w:tc>
          <w:tcPr>
            <w:tcW w:w="352" w:type="pct"/>
            <w:shd w:val="clear" w:color="auto" w:fill="auto"/>
            <w:noWrap/>
            <w:vAlign w:val="bottom"/>
          </w:tcPr>
          <w:p w14:paraId="3EA044ED" w14:textId="23B65F13"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-1.154</w:t>
            </w:r>
          </w:p>
        </w:tc>
        <w:tc>
          <w:tcPr>
            <w:tcW w:w="406" w:type="pct"/>
            <w:shd w:val="clear" w:color="auto" w:fill="auto"/>
            <w:noWrap/>
            <w:vAlign w:val="bottom"/>
          </w:tcPr>
          <w:p w14:paraId="2580FC49" w14:textId="266A270F"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-0.762</w:t>
            </w:r>
          </w:p>
        </w:tc>
        <w:tc>
          <w:tcPr>
            <w:tcW w:w="107" w:type="pct"/>
          </w:tcPr>
          <w:p w14:paraId="3E533FBC" w14:textId="77777777" w:rsidR="00B668D0" w:rsidRPr="003250CB"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605B3B3C" w14:textId="3259E92D"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-5.056</w:t>
            </w:r>
          </w:p>
        </w:tc>
        <w:tc>
          <w:tcPr>
            <w:tcW w:w="394" w:type="pct"/>
            <w:shd w:val="clear" w:color="auto" w:fill="auto"/>
            <w:noWrap/>
            <w:vAlign w:val="bottom"/>
          </w:tcPr>
          <w:p w14:paraId="26FC47E9" w14:textId="2FC7F547"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-3.338</w:t>
            </w:r>
            <w:r w:rsidR="003250CB" w:rsidRPr="003250CB">
              <w:rPr>
                <w:rFonts w:ascii="Times New Roman" w:hAnsi="Times New Roman" w:cs="Times New Roman"/>
                <w:sz w:val="16"/>
                <w:szCs w:val="16"/>
              </w:rPr>
              <w:t>*</w:t>
            </w:r>
          </w:p>
        </w:tc>
        <w:tc>
          <w:tcPr>
            <w:tcW w:w="352" w:type="pct"/>
            <w:shd w:val="clear" w:color="auto" w:fill="auto"/>
            <w:noWrap/>
            <w:vAlign w:val="bottom"/>
          </w:tcPr>
          <w:p w14:paraId="375F8AB0" w14:textId="3D695092"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-4.287</w:t>
            </w:r>
          </w:p>
        </w:tc>
        <w:tc>
          <w:tcPr>
            <w:tcW w:w="406" w:type="pct"/>
            <w:shd w:val="clear" w:color="auto" w:fill="auto"/>
            <w:noWrap/>
            <w:vAlign w:val="bottom"/>
          </w:tcPr>
          <w:p w14:paraId="675861FE" w14:textId="08534BFF"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-1.634</w:t>
            </w:r>
          </w:p>
        </w:tc>
        <w:tc>
          <w:tcPr>
            <w:tcW w:w="350" w:type="pct"/>
            <w:shd w:val="clear" w:color="auto" w:fill="auto"/>
            <w:noWrap/>
            <w:vAlign w:val="bottom"/>
          </w:tcPr>
          <w:p w14:paraId="44B4483B" w14:textId="4400043E"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-2.297</w:t>
            </w:r>
          </w:p>
        </w:tc>
        <w:tc>
          <w:tcPr>
            <w:tcW w:w="405" w:type="pct"/>
            <w:shd w:val="clear" w:color="auto" w:fill="auto"/>
            <w:noWrap/>
            <w:vAlign w:val="bottom"/>
          </w:tcPr>
          <w:p w14:paraId="5343DC0B" w14:textId="1C3BD311"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-0.678</w:t>
            </w:r>
          </w:p>
        </w:tc>
      </w:tr>
      <w:tr w:rsidR="00D162BA" w:rsidRPr="00977CF7" w14:paraId="7A0527D1" w14:textId="77777777" w:rsidTr="00D162BA">
        <w:trPr>
          <w:trHeight w:val="424"/>
        </w:trPr>
        <w:tc>
          <w:tcPr>
            <w:tcW w:w="399" w:type="pct"/>
            <w:shd w:val="clear" w:color="auto" w:fill="auto"/>
            <w:noWrap/>
            <w:vAlign w:val="bottom"/>
            <w:hideMark/>
          </w:tcPr>
          <w:p w14:paraId="36EA20CA" w14:textId="77777777" w:rsidR="00B668D0" w:rsidRPr="003250CB" w:rsidRDefault="00B668D0" w:rsidP="00AA27DD">
            <w:pPr>
              <w:spacing w:after="0" w:line="360" w:lineRule="auto"/>
              <w:rPr>
                <w:rFonts w:ascii="Times New Roman" w:eastAsia="Times New Roman" w:hAnsi="Times New Roman" w:cs="Times New Roman"/>
                <w:sz w:val="16"/>
                <w:szCs w:val="16"/>
                <w:lang w:eastAsia="en-IN" w:bidi="gu-IN"/>
              </w:rPr>
            </w:pPr>
            <w:r w:rsidRPr="003250CB">
              <w:rPr>
                <w:rFonts w:ascii="Times New Roman" w:eastAsia="Times New Roman" w:hAnsi="Times New Roman" w:cs="Times New Roman"/>
                <w:sz w:val="16"/>
                <w:szCs w:val="16"/>
                <w:lang w:eastAsia="en-IN" w:bidi="gu-IN"/>
              </w:rPr>
              <w:t>UK</w:t>
            </w:r>
          </w:p>
        </w:tc>
        <w:tc>
          <w:tcPr>
            <w:tcW w:w="421" w:type="pct"/>
            <w:shd w:val="clear" w:color="auto" w:fill="auto"/>
            <w:noWrap/>
            <w:vAlign w:val="bottom"/>
          </w:tcPr>
          <w:p w14:paraId="3828BB3E" w14:textId="260EAA27"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-0.216</w:t>
            </w:r>
          </w:p>
        </w:tc>
        <w:tc>
          <w:tcPr>
            <w:tcW w:w="358" w:type="pct"/>
            <w:shd w:val="clear" w:color="auto" w:fill="auto"/>
            <w:noWrap/>
            <w:vAlign w:val="bottom"/>
          </w:tcPr>
          <w:p w14:paraId="0DA40222" w14:textId="3E77EE5F"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-0.121</w:t>
            </w:r>
          </w:p>
        </w:tc>
        <w:tc>
          <w:tcPr>
            <w:tcW w:w="352" w:type="pct"/>
            <w:shd w:val="clear" w:color="auto" w:fill="auto"/>
            <w:noWrap/>
            <w:vAlign w:val="bottom"/>
          </w:tcPr>
          <w:p w14:paraId="67F28633" w14:textId="1F468AB3"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-0.469</w:t>
            </w:r>
          </w:p>
        </w:tc>
        <w:tc>
          <w:tcPr>
            <w:tcW w:w="352" w:type="pct"/>
            <w:shd w:val="clear" w:color="auto" w:fill="auto"/>
            <w:noWrap/>
            <w:vAlign w:val="bottom"/>
          </w:tcPr>
          <w:p w14:paraId="5E13470A" w14:textId="737DF6AA"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-0.338</w:t>
            </w:r>
          </w:p>
        </w:tc>
        <w:tc>
          <w:tcPr>
            <w:tcW w:w="352" w:type="pct"/>
            <w:shd w:val="clear" w:color="auto" w:fill="auto"/>
            <w:noWrap/>
            <w:vAlign w:val="bottom"/>
          </w:tcPr>
          <w:p w14:paraId="249935C8" w14:textId="62446587"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0.607</w:t>
            </w:r>
          </w:p>
        </w:tc>
        <w:tc>
          <w:tcPr>
            <w:tcW w:w="406" w:type="pct"/>
            <w:shd w:val="clear" w:color="auto" w:fill="auto"/>
            <w:noWrap/>
            <w:vAlign w:val="bottom"/>
          </w:tcPr>
          <w:p w14:paraId="24B109C2" w14:textId="65DBA24F"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0.757</w:t>
            </w:r>
          </w:p>
        </w:tc>
        <w:tc>
          <w:tcPr>
            <w:tcW w:w="107" w:type="pct"/>
          </w:tcPr>
          <w:p w14:paraId="758617D7" w14:textId="77777777" w:rsidR="00B668D0" w:rsidRPr="003250CB"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36D0119F" w14:textId="1AC0E7B7"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-0.369</w:t>
            </w:r>
          </w:p>
        </w:tc>
        <w:tc>
          <w:tcPr>
            <w:tcW w:w="394" w:type="pct"/>
            <w:shd w:val="clear" w:color="auto" w:fill="auto"/>
            <w:noWrap/>
            <w:vAlign w:val="bottom"/>
          </w:tcPr>
          <w:p w14:paraId="6740D8CD" w14:textId="19E8AB3F"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-0.460</w:t>
            </w:r>
          </w:p>
        </w:tc>
        <w:tc>
          <w:tcPr>
            <w:tcW w:w="352" w:type="pct"/>
            <w:shd w:val="clear" w:color="auto" w:fill="auto"/>
            <w:noWrap/>
            <w:vAlign w:val="bottom"/>
          </w:tcPr>
          <w:p w14:paraId="3DCA1AB9" w14:textId="724DABB5"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-1.942</w:t>
            </w:r>
          </w:p>
        </w:tc>
        <w:tc>
          <w:tcPr>
            <w:tcW w:w="406" w:type="pct"/>
            <w:shd w:val="clear" w:color="auto" w:fill="auto"/>
            <w:noWrap/>
            <w:vAlign w:val="bottom"/>
          </w:tcPr>
          <w:p w14:paraId="0D6FF46A" w14:textId="17909AA7"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-1.399</w:t>
            </w:r>
          </w:p>
        </w:tc>
        <w:tc>
          <w:tcPr>
            <w:tcW w:w="350" w:type="pct"/>
            <w:shd w:val="clear" w:color="auto" w:fill="auto"/>
            <w:noWrap/>
            <w:vAlign w:val="bottom"/>
          </w:tcPr>
          <w:p w14:paraId="1B004BBE" w14:textId="39EB759F"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-3.441</w:t>
            </w:r>
          </w:p>
        </w:tc>
        <w:tc>
          <w:tcPr>
            <w:tcW w:w="405" w:type="pct"/>
            <w:shd w:val="clear" w:color="auto" w:fill="auto"/>
            <w:noWrap/>
            <w:vAlign w:val="bottom"/>
          </w:tcPr>
          <w:p w14:paraId="75668B91" w14:textId="442376C0"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-1.614</w:t>
            </w:r>
          </w:p>
        </w:tc>
      </w:tr>
      <w:tr w:rsidR="00D162BA" w:rsidRPr="00977CF7" w14:paraId="51ABFD9E" w14:textId="77777777" w:rsidTr="00D162BA">
        <w:trPr>
          <w:trHeight w:val="424"/>
        </w:trPr>
        <w:tc>
          <w:tcPr>
            <w:tcW w:w="399" w:type="pct"/>
            <w:shd w:val="clear" w:color="auto" w:fill="auto"/>
            <w:noWrap/>
            <w:vAlign w:val="bottom"/>
            <w:hideMark/>
          </w:tcPr>
          <w:p w14:paraId="32D57DBB" w14:textId="77777777" w:rsidR="00B668D0" w:rsidRPr="003250CB" w:rsidRDefault="00B668D0" w:rsidP="00AA27DD">
            <w:pPr>
              <w:spacing w:after="0" w:line="360" w:lineRule="auto"/>
              <w:rPr>
                <w:rFonts w:ascii="Times New Roman" w:eastAsia="Times New Roman" w:hAnsi="Times New Roman" w:cs="Times New Roman"/>
                <w:sz w:val="16"/>
                <w:szCs w:val="16"/>
                <w:lang w:eastAsia="en-IN" w:bidi="gu-IN"/>
              </w:rPr>
            </w:pPr>
            <w:r w:rsidRPr="003250CB">
              <w:rPr>
                <w:rFonts w:ascii="Times New Roman" w:eastAsia="Times New Roman" w:hAnsi="Times New Roman" w:cs="Times New Roman"/>
                <w:sz w:val="16"/>
                <w:szCs w:val="16"/>
                <w:lang w:eastAsia="en-IN" w:bidi="gu-IN"/>
              </w:rPr>
              <w:t>Ukraine</w:t>
            </w:r>
          </w:p>
        </w:tc>
        <w:tc>
          <w:tcPr>
            <w:tcW w:w="421" w:type="pct"/>
            <w:shd w:val="clear" w:color="auto" w:fill="auto"/>
            <w:noWrap/>
            <w:vAlign w:val="bottom"/>
          </w:tcPr>
          <w:p w14:paraId="4FAA57C8" w14:textId="535B5769"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0.002</w:t>
            </w:r>
          </w:p>
        </w:tc>
        <w:tc>
          <w:tcPr>
            <w:tcW w:w="358" w:type="pct"/>
            <w:shd w:val="clear" w:color="auto" w:fill="auto"/>
            <w:noWrap/>
            <w:vAlign w:val="bottom"/>
          </w:tcPr>
          <w:p w14:paraId="54F660C2" w14:textId="7235284A"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0.001</w:t>
            </w:r>
          </w:p>
        </w:tc>
        <w:tc>
          <w:tcPr>
            <w:tcW w:w="352" w:type="pct"/>
            <w:shd w:val="clear" w:color="auto" w:fill="auto"/>
            <w:noWrap/>
            <w:vAlign w:val="bottom"/>
          </w:tcPr>
          <w:p w14:paraId="0AEAC8CC" w14:textId="7C579438"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0.018</w:t>
            </w:r>
          </w:p>
        </w:tc>
        <w:tc>
          <w:tcPr>
            <w:tcW w:w="352" w:type="pct"/>
            <w:shd w:val="clear" w:color="auto" w:fill="auto"/>
            <w:noWrap/>
            <w:vAlign w:val="bottom"/>
          </w:tcPr>
          <w:p w14:paraId="6C25F72C" w14:textId="46DE1391"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0.018</w:t>
            </w:r>
          </w:p>
        </w:tc>
        <w:tc>
          <w:tcPr>
            <w:tcW w:w="352" w:type="pct"/>
            <w:shd w:val="clear" w:color="auto" w:fill="auto"/>
            <w:noWrap/>
            <w:vAlign w:val="bottom"/>
          </w:tcPr>
          <w:p w14:paraId="0788549D" w14:textId="50A178D1"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0.110</w:t>
            </w:r>
          </w:p>
        </w:tc>
        <w:tc>
          <w:tcPr>
            <w:tcW w:w="406" w:type="pct"/>
            <w:shd w:val="clear" w:color="auto" w:fill="auto"/>
            <w:noWrap/>
            <w:vAlign w:val="bottom"/>
          </w:tcPr>
          <w:p w14:paraId="1422C7CE" w14:textId="5DA4CD47"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0.194</w:t>
            </w:r>
          </w:p>
        </w:tc>
        <w:tc>
          <w:tcPr>
            <w:tcW w:w="107" w:type="pct"/>
          </w:tcPr>
          <w:p w14:paraId="1F442D95" w14:textId="77777777" w:rsidR="00B668D0" w:rsidRPr="003250CB"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1557E93A" w14:textId="344D946F"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0.149</w:t>
            </w:r>
          </w:p>
        </w:tc>
        <w:tc>
          <w:tcPr>
            <w:tcW w:w="394" w:type="pct"/>
            <w:shd w:val="clear" w:color="auto" w:fill="auto"/>
            <w:noWrap/>
            <w:vAlign w:val="bottom"/>
          </w:tcPr>
          <w:p w14:paraId="689B232B" w14:textId="18E47DE2"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0.262</w:t>
            </w:r>
          </w:p>
        </w:tc>
        <w:tc>
          <w:tcPr>
            <w:tcW w:w="352" w:type="pct"/>
            <w:shd w:val="clear" w:color="auto" w:fill="auto"/>
            <w:noWrap/>
            <w:vAlign w:val="bottom"/>
          </w:tcPr>
          <w:p w14:paraId="22A1254E" w14:textId="10BDF82F"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0.163</w:t>
            </w:r>
          </w:p>
        </w:tc>
        <w:tc>
          <w:tcPr>
            <w:tcW w:w="406" w:type="pct"/>
            <w:shd w:val="clear" w:color="auto" w:fill="auto"/>
            <w:noWrap/>
            <w:vAlign w:val="bottom"/>
          </w:tcPr>
          <w:p w14:paraId="1B20DE68" w14:textId="62E6D593"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0.166</w:t>
            </w:r>
          </w:p>
        </w:tc>
        <w:tc>
          <w:tcPr>
            <w:tcW w:w="350" w:type="pct"/>
            <w:shd w:val="clear" w:color="auto" w:fill="auto"/>
            <w:noWrap/>
            <w:vAlign w:val="bottom"/>
          </w:tcPr>
          <w:p w14:paraId="5700F0AE" w14:textId="4C9C5293"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0.191</w:t>
            </w:r>
          </w:p>
        </w:tc>
        <w:tc>
          <w:tcPr>
            <w:tcW w:w="405" w:type="pct"/>
            <w:shd w:val="clear" w:color="auto" w:fill="auto"/>
            <w:noWrap/>
            <w:vAlign w:val="bottom"/>
          </w:tcPr>
          <w:p w14:paraId="5A1E2631" w14:textId="63A481B7"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0.150</w:t>
            </w:r>
          </w:p>
        </w:tc>
      </w:tr>
      <w:tr w:rsidR="00D162BA" w:rsidRPr="00977CF7" w14:paraId="74FCED0F" w14:textId="77777777" w:rsidTr="00D162BA">
        <w:trPr>
          <w:trHeight w:val="424"/>
        </w:trPr>
        <w:tc>
          <w:tcPr>
            <w:tcW w:w="399" w:type="pct"/>
            <w:shd w:val="clear" w:color="auto" w:fill="auto"/>
            <w:noWrap/>
            <w:vAlign w:val="bottom"/>
            <w:hideMark/>
          </w:tcPr>
          <w:p w14:paraId="4E2D6BBE" w14:textId="77777777" w:rsidR="00B668D0" w:rsidRPr="003250CB" w:rsidRDefault="00B668D0" w:rsidP="00AA27DD">
            <w:pPr>
              <w:spacing w:after="0" w:line="360" w:lineRule="auto"/>
              <w:rPr>
                <w:rFonts w:ascii="Times New Roman" w:eastAsia="Times New Roman" w:hAnsi="Times New Roman" w:cs="Times New Roman"/>
                <w:sz w:val="16"/>
                <w:szCs w:val="16"/>
                <w:lang w:eastAsia="en-IN" w:bidi="gu-IN"/>
              </w:rPr>
            </w:pPr>
            <w:r w:rsidRPr="003250CB">
              <w:rPr>
                <w:rFonts w:ascii="Times New Roman" w:eastAsia="Times New Roman" w:hAnsi="Times New Roman" w:cs="Times New Roman"/>
                <w:sz w:val="16"/>
                <w:szCs w:val="16"/>
                <w:lang w:eastAsia="en-IN" w:bidi="gu-IN"/>
              </w:rPr>
              <w:t>USA</w:t>
            </w:r>
          </w:p>
        </w:tc>
        <w:tc>
          <w:tcPr>
            <w:tcW w:w="421" w:type="pct"/>
            <w:shd w:val="clear" w:color="auto" w:fill="auto"/>
            <w:noWrap/>
            <w:vAlign w:val="bottom"/>
          </w:tcPr>
          <w:p w14:paraId="5960E454" w14:textId="1A23B35E"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-0.443</w:t>
            </w:r>
          </w:p>
        </w:tc>
        <w:tc>
          <w:tcPr>
            <w:tcW w:w="358" w:type="pct"/>
            <w:shd w:val="clear" w:color="auto" w:fill="auto"/>
            <w:noWrap/>
            <w:vAlign w:val="bottom"/>
          </w:tcPr>
          <w:p w14:paraId="7524489F" w14:textId="66A4EEF8"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-0.222</w:t>
            </w:r>
          </w:p>
        </w:tc>
        <w:tc>
          <w:tcPr>
            <w:tcW w:w="352" w:type="pct"/>
            <w:shd w:val="clear" w:color="auto" w:fill="auto"/>
            <w:noWrap/>
            <w:vAlign w:val="bottom"/>
          </w:tcPr>
          <w:p w14:paraId="0C03015D" w14:textId="6070876B"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0.885</w:t>
            </w:r>
          </w:p>
        </w:tc>
        <w:tc>
          <w:tcPr>
            <w:tcW w:w="352" w:type="pct"/>
            <w:shd w:val="clear" w:color="auto" w:fill="auto"/>
            <w:noWrap/>
            <w:vAlign w:val="bottom"/>
          </w:tcPr>
          <w:p w14:paraId="6A57FB2A" w14:textId="58080037"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0.573</w:t>
            </w:r>
          </w:p>
        </w:tc>
        <w:tc>
          <w:tcPr>
            <w:tcW w:w="352" w:type="pct"/>
            <w:shd w:val="clear" w:color="auto" w:fill="auto"/>
            <w:noWrap/>
            <w:vAlign w:val="bottom"/>
          </w:tcPr>
          <w:p w14:paraId="4C4B64CE" w14:textId="45FD30D8"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-0.325</w:t>
            </w:r>
          </w:p>
        </w:tc>
        <w:tc>
          <w:tcPr>
            <w:tcW w:w="406" w:type="pct"/>
            <w:shd w:val="clear" w:color="auto" w:fill="auto"/>
            <w:noWrap/>
            <w:vAlign w:val="bottom"/>
          </w:tcPr>
          <w:p w14:paraId="036717EB" w14:textId="1D47B9C5"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-0.364</w:t>
            </w:r>
          </w:p>
        </w:tc>
        <w:tc>
          <w:tcPr>
            <w:tcW w:w="107" w:type="pct"/>
          </w:tcPr>
          <w:p w14:paraId="22E95AF8" w14:textId="77777777" w:rsidR="00B668D0" w:rsidRPr="003250CB" w:rsidRDefault="00B668D0" w:rsidP="00AA27DD">
            <w:pPr>
              <w:spacing w:after="0" w:line="360" w:lineRule="auto"/>
              <w:jc w:val="center"/>
              <w:rPr>
                <w:rFonts w:ascii="Times New Roman" w:hAnsi="Times New Roman" w:cs="Times New Roman"/>
                <w:sz w:val="16"/>
                <w:szCs w:val="16"/>
              </w:rPr>
            </w:pPr>
          </w:p>
        </w:tc>
        <w:tc>
          <w:tcPr>
            <w:tcW w:w="345" w:type="pct"/>
            <w:shd w:val="clear" w:color="auto" w:fill="auto"/>
            <w:noWrap/>
            <w:vAlign w:val="bottom"/>
          </w:tcPr>
          <w:p w14:paraId="250D471F" w14:textId="15957D01"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1.299</w:t>
            </w:r>
          </w:p>
        </w:tc>
        <w:tc>
          <w:tcPr>
            <w:tcW w:w="394" w:type="pct"/>
            <w:shd w:val="clear" w:color="auto" w:fill="auto"/>
            <w:noWrap/>
            <w:vAlign w:val="bottom"/>
          </w:tcPr>
          <w:p w14:paraId="096E454F" w14:textId="3661666D"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1.457</w:t>
            </w:r>
          </w:p>
        </w:tc>
        <w:tc>
          <w:tcPr>
            <w:tcW w:w="352" w:type="pct"/>
            <w:shd w:val="clear" w:color="auto" w:fill="auto"/>
            <w:noWrap/>
            <w:vAlign w:val="bottom"/>
          </w:tcPr>
          <w:p w14:paraId="6665A164" w14:textId="51A33C63"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1.087</w:t>
            </w:r>
          </w:p>
        </w:tc>
        <w:tc>
          <w:tcPr>
            <w:tcW w:w="406" w:type="pct"/>
            <w:shd w:val="clear" w:color="auto" w:fill="auto"/>
            <w:noWrap/>
            <w:vAlign w:val="bottom"/>
          </w:tcPr>
          <w:p w14:paraId="63ED7449" w14:textId="7E50852B"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0.704</w:t>
            </w:r>
          </w:p>
        </w:tc>
        <w:tc>
          <w:tcPr>
            <w:tcW w:w="350" w:type="pct"/>
            <w:shd w:val="clear" w:color="auto" w:fill="auto"/>
            <w:noWrap/>
            <w:vAlign w:val="bottom"/>
          </w:tcPr>
          <w:p w14:paraId="2792F122" w14:textId="7211AF57"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2.015</w:t>
            </w:r>
          </w:p>
        </w:tc>
        <w:tc>
          <w:tcPr>
            <w:tcW w:w="405" w:type="pct"/>
            <w:shd w:val="clear" w:color="auto" w:fill="auto"/>
            <w:noWrap/>
            <w:vAlign w:val="bottom"/>
          </w:tcPr>
          <w:p w14:paraId="4B396C4F" w14:textId="7D889FE9" w:rsidR="00B668D0" w:rsidRPr="003250CB" w:rsidRDefault="00B668D0" w:rsidP="00AA27DD">
            <w:pPr>
              <w:spacing w:after="0" w:line="360" w:lineRule="auto"/>
              <w:jc w:val="center"/>
              <w:rPr>
                <w:rFonts w:ascii="Times New Roman" w:eastAsia="Times New Roman" w:hAnsi="Times New Roman" w:cs="Times New Roman"/>
                <w:sz w:val="16"/>
                <w:szCs w:val="16"/>
                <w:lang w:eastAsia="en-IN" w:bidi="gu-IN"/>
              </w:rPr>
            </w:pPr>
            <w:r w:rsidRPr="003250CB">
              <w:rPr>
                <w:rFonts w:ascii="Times New Roman" w:hAnsi="Times New Roman" w:cs="Times New Roman"/>
                <w:sz w:val="16"/>
                <w:szCs w:val="16"/>
              </w:rPr>
              <w:t>1.011</w:t>
            </w:r>
          </w:p>
        </w:tc>
      </w:tr>
    </w:tbl>
    <w:p w14:paraId="653B25D2" w14:textId="479EF682" w:rsidR="009F2F64" w:rsidRPr="009F4749" w:rsidRDefault="00B668D0" w:rsidP="009F2F64">
      <w:pPr>
        <w:autoSpaceDE w:val="0"/>
        <w:autoSpaceDN w:val="0"/>
        <w:adjustRightInd w:val="0"/>
        <w:spacing w:after="0" w:line="360" w:lineRule="auto"/>
        <w:jc w:val="both"/>
        <w:rPr>
          <w:rFonts w:ascii="Times New Roman" w:hAnsi="Times New Roman" w:cs="Times New Roman"/>
          <w:sz w:val="18"/>
          <w:szCs w:val="18"/>
          <w:lang w:bidi="gu-IN"/>
        </w:rPr>
      </w:pPr>
      <w:r w:rsidRPr="009F4749">
        <w:rPr>
          <w:rFonts w:ascii="Times New Roman" w:hAnsi="Times New Roman" w:cs="Times New Roman"/>
          <w:sz w:val="18"/>
          <w:szCs w:val="18"/>
          <w:lang w:bidi="gu-IN"/>
        </w:rPr>
        <w:t>N</w:t>
      </w:r>
      <w:r w:rsidR="00212161" w:rsidRPr="009F4749">
        <w:rPr>
          <w:rFonts w:ascii="Times New Roman" w:hAnsi="Times New Roman" w:cs="Times New Roman"/>
          <w:sz w:val="18"/>
          <w:szCs w:val="18"/>
          <w:lang w:bidi="gu-IN"/>
        </w:rPr>
        <w:t xml:space="preserve">otes: </w:t>
      </w:r>
      <w:r w:rsidR="00EF7ACD" w:rsidRPr="009F4749">
        <w:rPr>
          <w:rFonts w:ascii="Times New Roman" w:hAnsi="Times New Roman" w:cs="Times New Roman"/>
          <w:sz w:val="18"/>
          <w:szCs w:val="18"/>
          <w:lang w:bidi="gu-IN"/>
        </w:rPr>
        <w:t>*Significant at p-value of 0.01 (1% level) **Significant at p-value of 0.05 (5% level). ***Significant at p-value of 0.10 (10% level).</w:t>
      </w:r>
      <w:bookmarkEnd w:id="8"/>
    </w:p>
    <w:p w14:paraId="36B2A822" w14:textId="1F20C758" w:rsidR="00212161" w:rsidRPr="00C77259" w:rsidRDefault="00212161" w:rsidP="00B82077">
      <w:pPr>
        <w:autoSpaceDE w:val="0"/>
        <w:autoSpaceDN w:val="0"/>
        <w:adjustRightInd w:val="0"/>
        <w:spacing w:after="0" w:line="360" w:lineRule="auto"/>
        <w:jc w:val="both"/>
        <w:rPr>
          <w:rFonts w:ascii="Times New Roman" w:hAnsi="Times New Roman" w:cs="Times New Roman"/>
          <w:color w:val="0070C0"/>
          <w:sz w:val="18"/>
          <w:szCs w:val="18"/>
          <w:lang w:bidi="gu-IN"/>
        </w:rPr>
      </w:pPr>
    </w:p>
    <w:p w14:paraId="419D8487" w14:textId="6BB2EFA8" w:rsidR="00572887" w:rsidRDefault="00572887" w:rsidP="000E4D7E">
      <w:pPr>
        <w:autoSpaceDE w:val="0"/>
        <w:autoSpaceDN w:val="0"/>
        <w:adjustRightInd w:val="0"/>
        <w:spacing w:after="0" w:line="360" w:lineRule="auto"/>
        <w:rPr>
          <w:rFonts w:ascii="Times New Roman" w:hAnsi="Times New Roman" w:cs="Times New Roman"/>
          <w:b/>
          <w:bCs/>
          <w:color w:val="0070C0"/>
          <w:sz w:val="24"/>
          <w:szCs w:val="24"/>
          <w:lang w:bidi="gu-IN"/>
        </w:rPr>
      </w:pPr>
    </w:p>
    <w:p w14:paraId="3946C599" w14:textId="1B1AFE94" w:rsidR="00212161" w:rsidRPr="004C0CE4" w:rsidRDefault="00212161" w:rsidP="000E4D7E">
      <w:pPr>
        <w:autoSpaceDE w:val="0"/>
        <w:autoSpaceDN w:val="0"/>
        <w:adjustRightInd w:val="0"/>
        <w:spacing w:after="0" w:line="360" w:lineRule="auto"/>
        <w:rPr>
          <w:rFonts w:ascii="Times New Roman" w:hAnsi="Times New Roman" w:cs="Times New Roman"/>
          <w:sz w:val="24"/>
          <w:szCs w:val="24"/>
          <w:lang w:bidi="gu-IN"/>
        </w:rPr>
      </w:pPr>
      <w:bookmarkStart w:id="9" w:name="_Hlk98243117"/>
      <w:r w:rsidRPr="004C0CE4">
        <w:rPr>
          <w:rFonts w:ascii="Times New Roman" w:hAnsi="Times New Roman" w:cs="Times New Roman"/>
          <w:b/>
          <w:bCs/>
          <w:sz w:val="24"/>
          <w:szCs w:val="24"/>
          <w:lang w:bidi="gu-IN"/>
        </w:rPr>
        <w:lastRenderedPageBreak/>
        <w:t>Table 4.</w:t>
      </w:r>
      <w:r w:rsidRPr="004C0CE4">
        <w:rPr>
          <w:rFonts w:ascii="Times New Roman" w:hAnsi="Times New Roman" w:cs="Times New Roman"/>
          <w:sz w:val="24"/>
          <w:szCs w:val="24"/>
          <w:lang w:bidi="gu-IN"/>
        </w:rPr>
        <w:t xml:space="preserve"> </w:t>
      </w:r>
      <w:r w:rsidR="004A67FD">
        <w:rPr>
          <w:rFonts w:ascii="Times New Roman" w:hAnsi="Times New Roman" w:cs="Times New Roman"/>
          <w:sz w:val="24"/>
          <w:szCs w:val="24"/>
          <w:lang w:bidi="gu-IN"/>
        </w:rPr>
        <w:t xml:space="preserve">Region wise </w:t>
      </w:r>
      <w:r w:rsidR="00821AB6" w:rsidRPr="004C0CE4">
        <w:rPr>
          <w:rFonts w:ascii="Times New Roman" w:hAnsi="Times New Roman" w:cs="Times New Roman"/>
          <w:sz w:val="24"/>
          <w:szCs w:val="24"/>
          <w:lang w:bidi="gu-IN"/>
        </w:rPr>
        <w:t>AAR and CAAR</w:t>
      </w:r>
      <w:r w:rsidR="004A67FD">
        <w:rPr>
          <w:rFonts w:ascii="Times New Roman" w:hAnsi="Times New Roman" w:cs="Times New Roman"/>
          <w:sz w:val="24"/>
          <w:szCs w:val="24"/>
          <w:lang w:bidi="gu-IN"/>
        </w:rPr>
        <w:t>s</w:t>
      </w:r>
    </w:p>
    <w:tbl>
      <w:tblPr>
        <w:tblStyle w:val="TableGrid"/>
        <w:tblW w:w="503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2"/>
        <w:gridCol w:w="802"/>
        <w:gridCol w:w="803"/>
        <w:gridCol w:w="803"/>
        <w:gridCol w:w="803"/>
        <w:gridCol w:w="803"/>
        <w:gridCol w:w="1020"/>
        <w:gridCol w:w="803"/>
        <w:gridCol w:w="803"/>
        <w:gridCol w:w="803"/>
        <w:gridCol w:w="803"/>
        <w:gridCol w:w="821"/>
      </w:tblGrid>
      <w:tr w:rsidR="00C77259" w:rsidRPr="003250CB" w14:paraId="6C001B9E" w14:textId="77777777" w:rsidTr="00D162BA">
        <w:trPr>
          <w:trHeight w:val="493"/>
        </w:trPr>
        <w:tc>
          <w:tcPr>
            <w:tcW w:w="573" w:type="pct"/>
            <w:tcBorders>
              <w:top w:val="single" w:sz="4" w:space="0" w:color="auto"/>
              <w:bottom w:val="single" w:sz="4" w:space="0" w:color="auto"/>
            </w:tcBorders>
            <w:noWrap/>
            <w:hideMark/>
          </w:tcPr>
          <w:p w14:paraId="0188B679" w14:textId="77777777" w:rsidR="00821AB6" w:rsidRPr="003250CB" w:rsidRDefault="00821AB6" w:rsidP="00AA27DD">
            <w:pPr>
              <w:autoSpaceDE w:val="0"/>
              <w:autoSpaceDN w:val="0"/>
              <w:adjustRightInd w:val="0"/>
              <w:spacing w:line="360" w:lineRule="auto"/>
              <w:rPr>
                <w:rFonts w:ascii="Times New Roman" w:hAnsi="Times New Roman" w:cs="Times New Roman"/>
                <w:sz w:val="16"/>
                <w:szCs w:val="16"/>
                <w:lang w:bidi="gu-IN"/>
              </w:rPr>
            </w:pPr>
          </w:p>
        </w:tc>
        <w:tc>
          <w:tcPr>
            <w:tcW w:w="392" w:type="pct"/>
            <w:tcBorders>
              <w:top w:val="single" w:sz="4" w:space="0" w:color="auto"/>
              <w:bottom w:val="single" w:sz="4" w:space="0" w:color="auto"/>
            </w:tcBorders>
            <w:noWrap/>
            <w:hideMark/>
          </w:tcPr>
          <w:p w14:paraId="74CD015E" w14:textId="69C639F8" w:rsidR="00821AB6" w:rsidRPr="003250CB" w:rsidRDefault="00821AB6" w:rsidP="00AA27DD">
            <w:pPr>
              <w:autoSpaceDE w:val="0"/>
              <w:autoSpaceDN w:val="0"/>
              <w:adjustRightInd w:val="0"/>
              <w:spacing w:line="360" w:lineRule="auto"/>
              <w:rPr>
                <w:rFonts w:ascii="Times New Roman" w:hAnsi="Times New Roman" w:cs="Times New Roman"/>
                <w:b/>
                <w:bCs/>
                <w:sz w:val="16"/>
                <w:szCs w:val="16"/>
                <w:lang w:bidi="gu-IN"/>
              </w:rPr>
            </w:pPr>
            <w:r w:rsidRPr="003250CB">
              <w:rPr>
                <w:rFonts w:ascii="Times New Roman" w:hAnsi="Times New Roman" w:cs="Times New Roman"/>
                <w:b/>
                <w:bCs/>
                <w:sz w:val="16"/>
                <w:szCs w:val="16"/>
                <w:lang w:bidi="gu-IN"/>
              </w:rPr>
              <w:t>t-5</w:t>
            </w:r>
          </w:p>
        </w:tc>
        <w:tc>
          <w:tcPr>
            <w:tcW w:w="392" w:type="pct"/>
            <w:tcBorders>
              <w:top w:val="single" w:sz="4" w:space="0" w:color="auto"/>
              <w:bottom w:val="single" w:sz="4" w:space="0" w:color="auto"/>
            </w:tcBorders>
            <w:noWrap/>
            <w:hideMark/>
          </w:tcPr>
          <w:p w14:paraId="77BA62F1" w14:textId="29CAF282" w:rsidR="00821AB6" w:rsidRPr="003250CB" w:rsidRDefault="00821AB6" w:rsidP="00AA27DD">
            <w:pPr>
              <w:autoSpaceDE w:val="0"/>
              <w:autoSpaceDN w:val="0"/>
              <w:adjustRightInd w:val="0"/>
              <w:spacing w:line="360" w:lineRule="auto"/>
              <w:rPr>
                <w:rFonts w:ascii="Times New Roman" w:hAnsi="Times New Roman" w:cs="Times New Roman"/>
                <w:b/>
                <w:bCs/>
                <w:sz w:val="16"/>
                <w:szCs w:val="16"/>
                <w:lang w:bidi="gu-IN"/>
              </w:rPr>
            </w:pPr>
            <w:r w:rsidRPr="003250CB">
              <w:rPr>
                <w:rFonts w:ascii="Times New Roman" w:hAnsi="Times New Roman" w:cs="Times New Roman"/>
                <w:b/>
                <w:bCs/>
                <w:sz w:val="16"/>
                <w:szCs w:val="16"/>
                <w:lang w:bidi="gu-IN"/>
              </w:rPr>
              <w:t>t-4</w:t>
            </w:r>
          </w:p>
        </w:tc>
        <w:tc>
          <w:tcPr>
            <w:tcW w:w="392" w:type="pct"/>
            <w:tcBorders>
              <w:top w:val="single" w:sz="4" w:space="0" w:color="auto"/>
              <w:bottom w:val="single" w:sz="4" w:space="0" w:color="auto"/>
            </w:tcBorders>
            <w:noWrap/>
            <w:hideMark/>
          </w:tcPr>
          <w:p w14:paraId="44729D3B" w14:textId="783BD0EC" w:rsidR="00821AB6" w:rsidRPr="003250CB" w:rsidRDefault="00821AB6" w:rsidP="00AA27DD">
            <w:pPr>
              <w:autoSpaceDE w:val="0"/>
              <w:autoSpaceDN w:val="0"/>
              <w:adjustRightInd w:val="0"/>
              <w:spacing w:line="360" w:lineRule="auto"/>
              <w:rPr>
                <w:rFonts w:ascii="Times New Roman" w:hAnsi="Times New Roman" w:cs="Times New Roman"/>
                <w:b/>
                <w:bCs/>
                <w:sz w:val="16"/>
                <w:szCs w:val="16"/>
                <w:lang w:bidi="gu-IN"/>
              </w:rPr>
            </w:pPr>
            <w:r w:rsidRPr="003250CB">
              <w:rPr>
                <w:rFonts w:ascii="Times New Roman" w:hAnsi="Times New Roman" w:cs="Times New Roman"/>
                <w:b/>
                <w:bCs/>
                <w:sz w:val="16"/>
                <w:szCs w:val="16"/>
                <w:lang w:bidi="gu-IN"/>
              </w:rPr>
              <w:t>t-3</w:t>
            </w:r>
          </w:p>
        </w:tc>
        <w:tc>
          <w:tcPr>
            <w:tcW w:w="392" w:type="pct"/>
            <w:tcBorders>
              <w:top w:val="single" w:sz="4" w:space="0" w:color="auto"/>
              <w:bottom w:val="single" w:sz="4" w:space="0" w:color="auto"/>
            </w:tcBorders>
            <w:noWrap/>
            <w:hideMark/>
          </w:tcPr>
          <w:p w14:paraId="7C06A6A3" w14:textId="5F7074C0" w:rsidR="00821AB6" w:rsidRPr="003250CB" w:rsidRDefault="00821AB6" w:rsidP="00AA27DD">
            <w:pPr>
              <w:autoSpaceDE w:val="0"/>
              <w:autoSpaceDN w:val="0"/>
              <w:adjustRightInd w:val="0"/>
              <w:spacing w:line="360" w:lineRule="auto"/>
              <w:rPr>
                <w:rFonts w:ascii="Times New Roman" w:hAnsi="Times New Roman" w:cs="Times New Roman"/>
                <w:b/>
                <w:bCs/>
                <w:sz w:val="16"/>
                <w:szCs w:val="16"/>
                <w:lang w:bidi="gu-IN"/>
              </w:rPr>
            </w:pPr>
            <w:r w:rsidRPr="003250CB">
              <w:rPr>
                <w:rFonts w:ascii="Times New Roman" w:hAnsi="Times New Roman" w:cs="Times New Roman"/>
                <w:b/>
                <w:bCs/>
                <w:sz w:val="16"/>
                <w:szCs w:val="16"/>
                <w:lang w:bidi="gu-IN"/>
              </w:rPr>
              <w:t>t-2</w:t>
            </w:r>
          </w:p>
        </w:tc>
        <w:tc>
          <w:tcPr>
            <w:tcW w:w="392" w:type="pct"/>
            <w:tcBorders>
              <w:top w:val="single" w:sz="4" w:space="0" w:color="auto"/>
              <w:bottom w:val="single" w:sz="4" w:space="0" w:color="auto"/>
            </w:tcBorders>
            <w:noWrap/>
            <w:hideMark/>
          </w:tcPr>
          <w:p w14:paraId="2633C2FD" w14:textId="0DDC81E9" w:rsidR="00821AB6" w:rsidRPr="003250CB" w:rsidRDefault="00821AB6" w:rsidP="00AA27DD">
            <w:pPr>
              <w:autoSpaceDE w:val="0"/>
              <w:autoSpaceDN w:val="0"/>
              <w:adjustRightInd w:val="0"/>
              <w:spacing w:line="360" w:lineRule="auto"/>
              <w:rPr>
                <w:rFonts w:ascii="Times New Roman" w:hAnsi="Times New Roman" w:cs="Times New Roman"/>
                <w:b/>
                <w:bCs/>
                <w:sz w:val="16"/>
                <w:szCs w:val="16"/>
                <w:lang w:bidi="gu-IN"/>
              </w:rPr>
            </w:pPr>
            <w:r w:rsidRPr="003250CB">
              <w:rPr>
                <w:rFonts w:ascii="Times New Roman" w:hAnsi="Times New Roman" w:cs="Times New Roman"/>
                <w:b/>
                <w:bCs/>
                <w:sz w:val="16"/>
                <w:szCs w:val="16"/>
                <w:lang w:bidi="gu-IN"/>
              </w:rPr>
              <w:t>t-1</w:t>
            </w:r>
          </w:p>
        </w:tc>
        <w:tc>
          <w:tcPr>
            <w:tcW w:w="498" w:type="pct"/>
            <w:tcBorders>
              <w:top w:val="single" w:sz="4" w:space="0" w:color="auto"/>
              <w:bottom w:val="single" w:sz="4" w:space="0" w:color="auto"/>
            </w:tcBorders>
            <w:hideMark/>
          </w:tcPr>
          <w:p w14:paraId="2ACC1C7C" w14:textId="2AB21BAD" w:rsidR="00821AB6" w:rsidRPr="003250CB" w:rsidRDefault="00821AB6" w:rsidP="00AA27DD">
            <w:pPr>
              <w:autoSpaceDE w:val="0"/>
              <w:autoSpaceDN w:val="0"/>
              <w:adjustRightInd w:val="0"/>
              <w:spacing w:line="360" w:lineRule="auto"/>
              <w:rPr>
                <w:rFonts w:ascii="Times New Roman" w:hAnsi="Times New Roman" w:cs="Times New Roman"/>
                <w:b/>
                <w:bCs/>
                <w:sz w:val="16"/>
                <w:szCs w:val="16"/>
                <w:lang w:bidi="gu-IN"/>
              </w:rPr>
            </w:pPr>
            <w:r w:rsidRPr="003250CB">
              <w:rPr>
                <w:rFonts w:ascii="Times New Roman" w:hAnsi="Times New Roman" w:cs="Times New Roman"/>
                <w:b/>
                <w:bCs/>
                <w:sz w:val="16"/>
                <w:szCs w:val="16"/>
                <w:lang w:bidi="gu-IN"/>
              </w:rPr>
              <w:t>t</w:t>
            </w:r>
          </w:p>
        </w:tc>
        <w:tc>
          <w:tcPr>
            <w:tcW w:w="392" w:type="pct"/>
            <w:tcBorders>
              <w:top w:val="single" w:sz="4" w:space="0" w:color="auto"/>
              <w:bottom w:val="single" w:sz="4" w:space="0" w:color="auto"/>
            </w:tcBorders>
            <w:noWrap/>
            <w:hideMark/>
          </w:tcPr>
          <w:p w14:paraId="736D79D7" w14:textId="149803C8" w:rsidR="00821AB6" w:rsidRPr="003250CB" w:rsidRDefault="00821AB6" w:rsidP="00AA27DD">
            <w:pPr>
              <w:autoSpaceDE w:val="0"/>
              <w:autoSpaceDN w:val="0"/>
              <w:adjustRightInd w:val="0"/>
              <w:spacing w:line="360" w:lineRule="auto"/>
              <w:rPr>
                <w:rFonts w:ascii="Times New Roman" w:hAnsi="Times New Roman" w:cs="Times New Roman"/>
                <w:b/>
                <w:bCs/>
                <w:sz w:val="16"/>
                <w:szCs w:val="16"/>
                <w:lang w:bidi="gu-IN"/>
              </w:rPr>
            </w:pPr>
            <w:r w:rsidRPr="003250CB">
              <w:rPr>
                <w:rFonts w:ascii="Times New Roman" w:hAnsi="Times New Roman" w:cs="Times New Roman"/>
                <w:b/>
                <w:bCs/>
                <w:sz w:val="16"/>
                <w:szCs w:val="16"/>
                <w:lang w:bidi="gu-IN"/>
              </w:rPr>
              <w:t>t+1</w:t>
            </w:r>
          </w:p>
        </w:tc>
        <w:tc>
          <w:tcPr>
            <w:tcW w:w="392" w:type="pct"/>
            <w:tcBorders>
              <w:top w:val="single" w:sz="4" w:space="0" w:color="auto"/>
              <w:bottom w:val="single" w:sz="4" w:space="0" w:color="auto"/>
            </w:tcBorders>
            <w:noWrap/>
            <w:hideMark/>
          </w:tcPr>
          <w:p w14:paraId="49E8212B" w14:textId="2111CC6D" w:rsidR="00821AB6" w:rsidRPr="003250CB" w:rsidRDefault="00821AB6" w:rsidP="00AA27DD">
            <w:pPr>
              <w:autoSpaceDE w:val="0"/>
              <w:autoSpaceDN w:val="0"/>
              <w:adjustRightInd w:val="0"/>
              <w:spacing w:line="360" w:lineRule="auto"/>
              <w:rPr>
                <w:rFonts w:ascii="Times New Roman" w:hAnsi="Times New Roman" w:cs="Times New Roman"/>
                <w:b/>
                <w:bCs/>
                <w:sz w:val="16"/>
                <w:szCs w:val="16"/>
                <w:lang w:bidi="gu-IN"/>
              </w:rPr>
            </w:pPr>
            <w:r w:rsidRPr="003250CB">
              <w:rPr>
                <w:rFonts w:ascii="Times New Roman" w:hAnsi="Times New Roman" w:cs="Times New Roman"/>
                <w:b/>
                <w:bCs/>
                <w:sz w:val="16"/>
                <w:szCs w:val="16"/>
                <w:lang w:bidi="gu-IN"/>
              </w:rPr>
              <w:t>t+2</w:t>
            </w:r>
          </w:p>
        </w:tc>
        <w:tc>
          <w:tcPr>
            <w:tcW w:w="392" w:type="pct"/>
            <w:tcBorders>
              <w:top w:val="single" w:sz="4" w:space="0" w:color="auto"/>
              <w:bottom w:val="single" w:sz="4" w:space="0" w:color="auto"/>
            </w:tcBorders>
            <w:noWrap/>
            <w:hideMark/>
          </w:tcPr>
          <w:p w14:paraId="694D5665" w14:textId="1A946CBF" w:rsidR="00821AB6" w:rsidRPr="003250CB" w:rsidRDefault="00821AB6" w:rsidP="00AA27DD">
            <w:pPr>
              <w:autoSpaceDE w:val="0"/>
              <w:autoSpaceDN w:val="0"/>
              <w:adjustRightInd w:val="0"/>
              <w:spacing w:line="360" w:lineRule="auto"/>
              <w:rPr>
                <w:rFonts w:ascii="Times New Roman" w:hAnsi="Times New Roman" w:cs="Times New Roman"/>
                <w:b/>
                <w:bCs/>
                <w:sz w:val="16"/>
                <w:szCs w:val="16"/>
                <w:lang w:bidi="gu-IN"/>
              </w:rPr>
            </w:pPr>
            <w:r w:rsidRPr="003250CB">
              <w:rPr>
                <w:rFonts w:ascii="Times New Roman" w:hAnsi="Times New Roman" w:cs="Times New Roman"/>
                <w:b/>
                <w:bCs/>
                <w:sz w:val="16"/>
                <w:szCs w:val="16"/>
                <w:lang w:bidi="gu-IN"/>
              </w:rPr>
              <w:t>t+3</w:t>
            </w:r>
          </w:p>
        </w:tc>
        <w:tc>
          <w:tcPr>
            <w:tcW w:w="392" w:type="pct"/>
            <w:tcBorders>
              <w:top w:val="single" w:sz="4" w:space="0" w:color="auto"/>
              <w:bottom w:val="single" w:sz="4" w:space="0" w:color="auto"/>
            </w:tcBorders>
            <w:noWrap/>
            <w:hideMark/>
          </w:tcPr>
          <w:p w14:paraId="56F8507C" w14:textId="4DAB18D4" w:rsidR="00821AB6" w:rsidRPr="003250CB" w:rsidRDefault="00821AB6" w:rsidP="00AA27DD">
            <w:pPr>
              <w:autoSpaceDE w:val="0"/>
              <w:autoSpaceDN w:val="0"/>
              <w:adjustRightInd w:val="0"/>
              <w:spacing w:line="360" w:lineRule="auto"/>
              <w:rPr>
                <w:rFonts w:ascii="Times New Roman" w:hAnsi="Times New Roman" w:cs="Times New Roman"/>
                <w:b/>
                <w:bCs/>
                <w:sz w:val="16"/>
                <w:szCs w:val="16"/>
                <w:lang w:bidi="gu-IN"/>
              </w:rPr>
            </w:pPr>
            <w:r w:rsidRPr="003250CB">
              <w:rPr>
                <w:rFonts w:ascii="Times New Roman" w:hAnsi="Times New Roman" w:cs="Times New Roman"/>
                <w:b/>
                <w:bCs/>
                <w:sz w:val="16"/>
                <w:szCs w:val="16"/>
                <w:lang w:bidi="gu-IN"/>
              </w:rPr>
              <w:t>t+4</w:t>
            </w:r>
          </w:p>
        </w:tc>
        <w:tc>
          <w:tcPr>
            <w:tcW w:w="400" w:type="pct"/>
            <w:tcBorders>
              <w:top w:val="single" w:sz="4" w:space="0" w:color="auto"/>
              <w:bottom w:val="single" w:sz="4" w:space="0" w:color="auto"/>
            </w:tcBorders>
            <w:noWrap/>
            <w:hideMark/>
          </w:tcPr>
          <w:p w14:paraId="0F347F30" w14:textId="35DAAE6E" w:rsidR="00821AB6" w:rsidRPr="003250CB" w:rsidRDefault="00821AB6" w:rsidP="00AA27DD">
            <w:pPr>
              <w:autoSpaceDE w:val="0"/>
              <w:autoSpaceDN w:val="0"/>
              <w:adjustRightInd w:val="0"/>
              <w:spacing w:line="360" w:lineRule="auto"/>
              <w:rPr>
                <w:rFonts w:ascii="Times New Roman" w:hAnsi="Times New Roman" w:cs="Times New Roman"/>
                <w:b/>
                <w:bCs/>
                <w:sz w:val="16"/>
                <w:szCs w:val="16"/>
                <w:lang w:bidi="gu-IN"/>
              </w:rPr>
            </w:pPr>
            <w:r w:rsidRPr="003250CB">
              <w:rPr>
                <w:rFonts w:ascii="Times New Roman" w:hAnsi="Times New Roman" w:cs="Times New Roman"/>
                <w:b/>
                <w:bCs/>
                <w:sz w:val="16"/>
                <w:szCs w:val="16"/>
                <w:lang w:bidi="gu-IN"/>
              </w:rPr>
              <w:t>t+5</w:t>
            </w:r>
          </w:p>
        </w:tc>
      </w:tr>
      <w:tr w:rsidR="00C77259" w:rsidRPr="003250CB" w14:paraId="33054447" w14:textId="77777777" w:rsidTr="00D162BA">
        <w:trPr>
          <w:trHeight w:val="194"/>
        </w:trPr>
        <w:tc>
          <w:tcPr>
            <w:tcW w:w="5000" w:type="pct"/>
            <w:gridSpan w:val="12"/>
            <w:tcBorders>
              <w:top w:val="single" w:sz="4" w:space="0" w:color="auto"/>
            </w:tcBorders>
            <w:noWrap/>
            <w:hideMark/>
          </w:tcPr>
          <w:p w14:paraId="5FCC1317" w14:textId="637FF3B2" w:rsidR="00BC2414" w:rsidRPr="00D162BA" w:rsidRDefault="00BC2414" w:rsidP="00AA27DD">
            <w:pPr>
              <w:autoSpaceDE w:val="0"/>
              <w:autoSpaceDN w:val="0"/>
              <w:adjustRightInd w:val="0"/>
              <w:spacing w:line="360" w:lineRule="auto"/>
              <w:rPr>
                <w:rFonts w:ascii="Times New Roman" w:hAnsi="Times New Roman" w:cs="Times New Roman"/>
                <w:b/>
                <w:bCs/>
                <w:sz w:val="16"/>
                <w:szCs w:val="16"/>
                <w:lang w:bidi="gu-IN"/>
              </w:rPr>
            </w:pPr>
            <w:r w:rsidRPr="00D162BA">
              <w:rPr>
                <w:rFonts w:ascii="Times New Roman" w:hAnsi="Times New Roman" w:cs="Times New Roman"/>
                <w:b/>
                <w:bCs/>
                <w:sz w:val="16"/>
                <w:szCs w:val="16"/>
                <w:lang w:bidi="gu-IN"/>
              </w:rPr>
              <w:t>Panel A. Asia</w:t>
            </w:r>
          </w:p>
        </w:tc>
      </w:tr>
      <w:tr w:rsidR="00C77259" w:rsidRPr="003250CB" w14:paraId="2586310A" w14:textId="77777777" w:rsidTr="00D162BA">
        <w:trPr>
          <w:trHeight w:val="493"/>
        </w:trPr>
        <w:tc>
          <w:tcPr>
            <w:tcW w:w="573" w:type="pct"/>
            <w:noWrap/>
            <w:hideMark/>
          </w:tcPr>
          <w:p w14:paraId="6C193959" w14:textId="77777777" w:rsidR="004579E8" w:rsidRPr="003250CB" w:rsidRDefault="004579E8" w:rsidP="00AA27DD">
            <w:pPr>
              <w:autoSpaceDE w:val="0"/>
              <w:autoSpaceDN w:val="0"/>
              <w:adjustRightInd w:val="0"/>
              <w:spacing w:line="360" w:lineRule="auto"/>
              <w:rPr>
                <w:rFonts w:ascii="Times New Roman" w:hAnsi="Times New Roman" w:cs="Times New Roman"/>
                <w:sz w:val="16"/>
                <w:szCs w:val="16"/>
                <w:lang w:bidi="gu-IN"/>
              </w:rPr>
            </w:pPr>
            <w:r w:rsidRPr="003250CB">
              <w:rPr>
                <w:rFonts w:ascii="Times New Roman" w:hAnsi="Times New Roman" w:cs="Times New Roman"/>
                <w:sz w:val="16"/>
                <w:szCs w:val="16"/>
                <w:lang w:bidi="gu-IN"/>
              </w:rPr>
              <w:t>AAR</w:t>
            </w:r>
          </w:p>
        </w:tc>
        <w:tc>
          <w:tcPr>
            <w:tcW w:w="392" w:type="pct"/>
            <w:shd w:val="clear" w:color="auto" w:fill="auto"/>
            <w:noWrap/>
            <w:hideMark/>
          </w:tcPr>
          <w:p w14:paraId="1EB9F835" w14:textId="5142485E" w:rsidR="004579E8" w:rsidRPr="003250CB" w:rsidRDefault="004579E8" w:rsidP="00AA27DD">
            <w:pPr>
              <w:autoSpaceDE w:val="0"/>
              <w:autoSpaceDN w:val="0"/>
              <w:adjustRightInd w:val="0"/>
              <w:spacing w:line="360" w:lineRule="auto"/>
              <w:rPr>
                <w:rFonts w:ascii="Times New Roman" w:hAnsi="Times New Roman" w:cs="Times New Roman"/>
                <w:sz w:val="16"/>
                <w:szCs w:val="16"/>
                <w:lang w:bidi="gu-IN"/>
              </w:rPr>
            </w:pPr>
            <w:r w:rsidRPr="003250CB">
              <w:rPr>
                <w:rFonts w:ascii="Times New Roman" w:hAnsi="Times New Roman" w:cs="Times New Roman"/>
                <w:sz w:val="16"/>
                <w:szCs w:val="16"/>
              </w:rPr>
              <w:t>-0.020</w:t>
            </w:r>
          </w:p>
        </w:tc>
        <w:tc>
          <w:tcPr>
            <w:tcW w:w="392" w:type="pct"/>
            <w:shd w:val="clear" w:color="auto" w:fill="auto"/>
            <w:noWrap/>
            <w:hideMark/>
          </w:tcPr>
          <w:p w14:paraId="5F73B9E1" w14:textId="678E37BE" w:rsidR="004579E8" w:rsidRPr="003250CB" w:rsidRDefault="004579E8" w:rsidP="00AA27DD">
            <w:pPr>
              <w:autoSpaceDE w:val="0"/>
              <w:autoSpaceDN w:val="0"/>
              <w:adjustRightInd w:val="0"/>
              <w:spacing w:line="360" w:lineRule="auto"/>
              <w:rPr>
                <w:rFonts w:ascii="Times New Roman" w:hAnsi="Times New Roman" w:cs="Times New Roman"/>
                <w:sz w:val="16"/>
                <w:szCs w:val="16"/>
                <w:lang w:bidi="gu-IN"/>
              </w:rPr>
            </w:pPr>
            <w:r w:rsidRPr="003250CB">
              <w:rPr>
                <w:rFonts w:ascii="Times New Roman" w:hAnsi="Times New Roman" w:cs="Times New Roman"/>
                <w:sz w:val="16"/>
                <w:szCs w:val="16"/>
              </w:rPr>
              <w:t>0.104</w:t>
            </w:r>
          </w:p>
        </w:tc>
        <w:tc>
          <w:tcPr>
            <w:tcW w:w="392" w:type="pct"/>
            <w:shd w:val="clear" w:color="auto" w:fill="auto"/>
            <w:noWrap/>
            <w:hideMark/>
          </w:tcPr>
          <w:p w14:paraId="75AEE884" w14:textId="77216996" w:rsidR="004579E8" w:rsidRPr="003250CB" w:rsidRDefault="004579E8" w:rsidP="00AA27DD">
            <w:pPr>
              <w:autoSpaceDE w:val="0"/>
              <w:autoSpaceDN w:val="0"/>
              <w:adjustRightInd w:val="0"/>
              <w:spacing w:line="360" w:lineRule="auto"/>
              <w:rPr>
                <w:rFonts w:ascii="Times New Roman" w:hAnsi="Times New Roman" w:cs="Times New Roman"/>
                <w:sz w:val="16"/>
                <w:szCs w:val="16"/>
                <w:lang w:bidi="gu-IN"/>
              </w:rPr>
            </w:pPr>
            <w:r w:rsidRPr="003250CB">
              <w:rPr>
                <w:rFonts w:ascii="Times New Roman" w:hAnsi="Times New Roman" w:cs="Times New Roman"/>
                <w:sz w:val="16"/>
                <w:szCs w:val="16"/>
              </w:rPr>
              <w:t>-1.234</w:t>
            </w:r>
          </w:p>
        </w:tc>
        <w:tc>
          <w:tcPr>
            <w:tcW w:w="392" w:type="pct"/>
            <w:shd w:val="clear" w:color="auto" w:fill="auto"/>
            <w:noWrap/>
            <w:hideMark/>
          </w:tcPr>
          <w:p w14:paraId="521B12DA" w14:textId="422CEC59" w:rsidR="004579E8" w:rsidRPr="003250CB" w:rsidRDefault="004579E8" w:rsidP="00AA27DD">
            <w:pPr>
              <w:autoSpaceDE w:val="0"/>
              <w:autoSpaceDN w:val="0"/>
              <w:adjustRightInd w:val="0"/>
              <w:spacing w:line="360" w:lineRule="auto"/>
              <w:rPr>
                <w:rFonts w:ascii="Times New Roman" w:hAnsi="Times New Roman" w:cs="Times New Roman"/>
                <w:sz w:val="16"/>
                <w:szCs w:val="16"/>
                <w:lang w:bidi="gu-IN"/>
              </w:rPr>
            </w:pPr>
            <w:r w:rsidRPr="003250CB">
              <w:rPr>
                <w:rFonts w:ascii="Times New Roman" w:hAnsi="Times New Roman" w:cs="Times New Roman"/>
                <w:sz w:val="16"/>
                <w:szCs w:val="16"/>
              </w:rPr>
              <w:t>-0.304</w:t>
            </w:r>
          </w:p>
        </w:tc>
        <w:tc>
          <w:tcPr>
            <w:tcW w:w="392" w:type="pct"/>
            <w:shd w:val="clear" w:color="auto" w:fill="auto"/>
            <w:noWrap/>
            <w:hideMark/>
          </w:tcPr>
          <w:p w14:paraId="73AF1B9F" w14:textId="0943D0A7" w:rsidR="004579E8" w:rsidRPr="003250CB" w:rsidRDefault="004579E8" w:rsidP="00AA27DD">
            <w:pPr>
              <w:autoSpaceDE w:val="0"/>
              <w:autoSpaceDN w:val="0"/>
              <w:adjustRightInd w:val="0"/>
              <w:spacing w:line="360" w:lineRule="auto"/>
              <w:rPr>
                <w:rFonts w:ascii="Times New Roman" w:hAnsi="Times New Roman" w:cs="Times New Roman"/>
                <w:sz w:val="16"/>
                <w:szCs w:val="16"/>
                <w:lang w:bidi="gu-IN"/>
              </w:rPr>
            </w:pPr>
            <w:r w:rsidRPr="003250CB">
              <w:rPr>
                <w:rFonts w:ascii="Times New Roman" w:hAnsi="Times New Roman" w:cs="Times New Roman"/>
                <w:sz w:val="16"/>
                <w:szCs w:val="16"/>
              </w:rPr>
              <w:t>0.914</w:t>
            </w:r>
          </w:p>
        </w:tc>
        <w:tc>
          <w:tcPr>
            <w:tcW w:w="498" w:type="pct"/>
            <w:shd w:val="clear" w:color="auto" w:fill="auto"/>
            <w:noWrap/>
            <w:hideMark/>
          </w:tcPr>
          <w:p w14:paraId="1FC38838" w14:textId="18E0973A" w:rsidR="004579E8" w:rsidRPr="003250CB" w:rsidRDefault="004579E8" w:rsidP="00AA27DD">
            <w:pPr>
              <w:autoSpaceDE w:val="0"/>
              <w:autoSpaceDN w:val="0"/>
              <w:adjustRightInd w:val="0"/>
              <w:spacing w:line="360" w:lineRule="auto"/>
              <w:rPr>
                <w:rFonts w:ascii="Times New Roman" w:hAnsi="Times New Roman" w:cs="Times New Roman"/>
                <w:sz w:val="16"/>
                <w:szCs w:val="16"/>
                <w:lang w:bidi="gu-IN"/>
              </w:rPr>
            </w:pPr>
            <w:r w:rsidRPr="003250CB">
              <w:rPr>
                <w:rFonts w:ascii="Times New Roman" w:hAnsi="Times New Roman" w:cs="Times New Roman"/>
                <w:sz w:val="16"/>
                <w:szCs w:val="16"/>
              </w:rPr>
              <w:t>-6.898</w:t>
            </w:r>
          </w:p>
        </w:tc>
        <w:tc>
          <w:tcPr>
            <w:tcW w:w="392" w:type="pct"/>
            <w:shd w:val="clear" w:color="auto" w:fill="auto"/>
            <w:noWrap/>
            <w:hideMark/>
          </w:tcPr>
          <w:p w14:paraId="2B4D7DB9" w14:textId="2211B2B2" w:rsidR="004579E8" w:rsidRPr="003250CB" w:rsidRDefault="004579E8" w:rsidP="00AA27DD">
            <w:pPr>
              <w:autoSpaceDE w:val="0"/>
              <w:autoSpaceDN w:val="0"/>
              <w:adjustRightInd w:val="0"/>
              <w:spacing w:line="360" w:lineRule="auto"/>
              <w:rPr>
                <w:rFonts w:ascii="Times New Roman" w:hAnsi="Times New Roman" w:cs="Times New Roman"/>
                <w:sz w:val="16"/>
                <w:szCs w:val="16"/>
                <w:lang w:bidi="gu-IN"/>
              </w:rPr>
            </w:pPr>
            <w:r w:rsidRPr="003250CB">
              <w:rPr>
                <w:rFonts w:ascii="Times New Roman" w:hAnsi="Times New Roman" w:cs="Times New Roman"/>
                <w:sz w:val="16"/>
                <w:szCs w:val="16"/>
              </w:rPr>
              <w:t>2.867</w:t>
            </w:r>
          </w:p>
        </w:tc>
        <w:tc>
          <w:tcPr>
            <w:tcW w:w="392" w:type="pct"/>
            <w:shd w:val="clear" w:color="auto" w:fill="auto"/>
            <w:noWrap/>
            <w:hideMark/>
          </w:tcPr>
          <w:p w14:paraId="56DCF095" w14:textId="6F22966B" w:rsidR="004579E8" w:rsidRPr="003250CB" w:rsidRDefault="004579E8" w:rsidP="00AA27DD">
            <w:pPr>
              <w:autoSpaceDE w:val="0"/>
              <w:autoSpaceDN w:val="0"/>
              <w:adjustRightInd w:val="0"/>
              <w:spacing w:line="360" w:lineRule="auto"/>
              <w:rPr>
                <w:rFonts w:ascii="Times New Roman" w:hAnsi="Times New Roman" w:cs="Times New Roman"/>
                <w:sz w:val="16"/>
                <w:szCs w:val="16"/>
                <w:lang w:bidi="gu-IN"/>
              </w:rPr>
            </w:pPr>
            <w:r w:rsidRPr="003250CB">
              <w:rPr>
                <w:rFonts w:ascii="Times New Roman" w:hAnsi="Times New Roman" w:cs="Times New Roman"/>
                <w:sz w:val="16"/>
                <w:szCs w:val="16"/>
              </w:rPr>
              <w:t>0.410</w:t>
            </w:r>
          </w:p>
        </w:tc>
        <w:tc>
          <w:tcPr>
            <w:tcW w:w="392" w:type="pct"/>
            <w:shd w:val="clear" w:color="auto" w:fill="auto"/>
            <w:noWrap/>
            <w:hideMark/>
          </w:tcPr>
          <w:p w14:paraId="75065DD1" w14:textId="79283206" w:rsidR="004579E8" w:rsidRPr="003250CB" w:rsidRDefault="004579E8" w:rsidP="00AA27DD">
            <w:pPr>
              <w:autoSpaceDE w:val="0"/>
              <w:autoSpaceDN w:val="0"/>
              <w:adjustRightInd w:val="0"/>
              <w:spacing w:line="360" w:lineRule="auto"/>
              <w:rPr>
                <w:rFonts w:ascii="Times New Roman" w:hAnsi="Times New Roman" w:cs="Times New Roman"/>
                <w:sz w:val="16"/>
                <w:szCs w:val="16"/>
                <w:lang w:bidi="gu-IN"/>
              </w:rPr>
            </w:pPr>
            <w:r w:rsidRPr="003250CB">
              <w:rPr>
                <w:rFonts w:ascii="Times New Roman" w:hAnsi="Times New Roman" w:cs="Times New Roman"/>
                <w:sz w:val="16"/>
                <w:szCs w:val="16"/>
              </w:rPr>
              <w:t>0.798</w:t>
            </w:r>
          </w:p>
        </w:tc>
        <w:tc>
          <w:tcPr>
            <w:tcW w:w="392" w:type="pct"/>
            <w:shd w:val="clear" w:color="auto" w:fill="auto"/>
            <w:noWrap/>
            <w:hideMark/>
          </w:tcPr>
          <w:p w14:paraId="104A0507" w14:textId="1BB3E6B1" w:rsidR="004579E8" w:rsidRPr="003250CB" w:rsidRDefault="004579E8" w:rsidP="00AA27DD">
            <w:pPr>
              <w:autoSpaceDE w:val="0"/>
              <w:autoSpaceDN w:val="0"/>
              <w:adjustRightInd w:val="0"/>
              <w:spacing w:line="360" w:lineRule="auto"/>
              <w:rPr>
                <w:rFonts w:ascii="Times New Roman" w:hAnsi="Times New Roman" w:cs="Times New Roman"/>
                <w:sz w:val="16"/>
                <w:szCs w:val="16"/>
                <w:lang w:bidi="gu-IN"/>
              </w:rPr>
            </w:pPr>
            <w:r w:rsidRPr="003250CB">
              <w:rPr>
                <w:rFonts w:ascii="Times New Roman" w:hAnsi="Times New Roman" w:cs="Times New Roman"/>
                <w:sz w:val="16"/>
                <w:szCs w:val="16"/>
              </w:rPr>
              <w:t>-0.275</w:t>
            </w:r>
          </w:p>
        </w:tc>
        <w:tc>
          <w:tcPr>
            <w:tcW w:w="400" w:type="pct"/>
            <w:shd w:val="clear" w:color="auto" w:fill="auto"/>
            <w:noWrap/>
            <w:hideMark/>
          </w:tcPr>
          <w:p w14:paraId="02AF98D1" w14:textId="786EF21F" w:rsidR="004579E8" w:rsidRPr="003250CB" w:rsidRDefault="004579E8" w:rsidP="00AA27DD">
            <w:pPr>
              <w:autoSpaceDE w:val="0"/>
              <w:autoSpaceDN w:val="0"/>
              <w:adjustRightInd w:val="0"/>
              <w:spacing w:line="360" w:lineRule="auto"/>
              <w:rPr>
                <w:rFonts w:ascii="Times New Roman" w:hAnsi="Times New Roman" w:cs="Times New Roman"/>
                <w:sz w:val="16"/>
                <w:szCs w:val="16"/>
                <w:lang w:bidi="gu-IN"/>
              </w:rPr>
            </w:pPr>
            <w:r w:rsidRPr="003250CB">
              <w:rPr>
                <w:rFonts w:ascii="Times New Roman" w:hAnsi="Times New Roman" w:cs="Times New Roman"/>
                <w:sz w:val="16"/>
                <w:szCs w:val="16"/>
              </w:rPr>
              <w:t>0.145</w:t>
            </w:r>
          </w:p>
        </w:tc>
      </w:tr>
      <w:tr w:rsidR="00C77259" w:rsidRPr="003250CB" w14:paraId="7011855E" w14:textId="77777777" w:rsidTr="00D162BA">
        <w:trPr>
          <w:trHeight w:val="173"/>
        </w:trPr>
        <w:tc>
          <w:tcPr>
            <w:tcW w:w="573" w:type="pct"/>
            <w:hideMark/>
          </w:tcPr>
          <w:p w14:paraId="28141F6F" w14:textId="030A7AD8" w:rsidR="004579E8" w:rsidRPr="00993419" w:rsidRDefault="00A34752" w:rsidP="00AA27DD">
            <w:pPr>
              <w:autoSpaceDE w:val="0"/>
              <w:autoSpaceDN w:val="0"/>
              <w:adjustRightInd w:val="0"/>
              <w:spacing w:line="360" w:lineRule="auto"/>
              <w:rPr>
                <w:rFonts w:ascii="Times New Roman" w:hAnsi="Times New Roman" w:cs="Times New Roman"/>
                <w:sz w:val="16"/>
                <w:szCs w:val="16"/>
                <w:lang w:bidi="gu-IN"/>
              </w:rPr>
            </w:pPr>
            <m:oMathPara>
              <m:oMath>
                <m:sSub>
                  <m:sSubPr>
                    <m:ctrlPr>
                      <w:rPr>
                        <w:rFonts w:ascii="Cambria Math" w:hAnsi="Cambria Math" w:cs="Times New Roman"/>
                        <w:i/>
                        <w:sz w:val="16"/>
                        <w:szCs w:val="16"/>
                        <w:lang w:bidi="gu-IN"/>
                      </w:rPr>
                    </m:ctrlPr>
                  </m:sSubPr>
                  <m:e>
                    <m:r>
                      <w:rPr>
                        <w:rFonts w:ascii="Cambria Math" w:hAnsi="Cambria Math" w:cs="Times New Roman"/>
                        <w:sz w:val="16"/>
                        <w:szCs w:val="16"/>
                        <w:lang w:bidi="gu-IN"/>
                      </w:rPr>
                      <m:t>t stat</m:t>
                    </m:r>
                  </m:e>
                  <m:sub>
                    <m:r>
                      <w:rPr>
                        <w:rFonts w:ascii="Cambria Math" w:hAnsi="Cambria Math" w:cs="Times New Roman"/>
                        <w:sz w:val="16"/>
                        <w:szCs w:val="16"/>
                        <w:lang w:bidi="gu-IN"/>
                      </w:rPr>
                      <m:t>AAR</m:t>
                    </m:r>
                  </m:sub>
                </m:sSub>
              </m:oMath>
            </m:oMathPara>
          </w:p>
        </w:tc>
        <w:tc>
          <w:tcPr>
            <w:tcW w:w="392" w:type="pct"/>
            <w:shd w:val="clear" w:color="auto" w:fill="auto"/>
            <w:noWrap/>
            <w:hideMark/>
          </w:tcPr>
          <w:p w14:paraId="2706A4CA" w14:textId="14FC77B5"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-0.037</w:t>
            </w:r>
          </w:p>
        </w:tc>
        <w:tc>
          <w:tcPr>
            <w:tcW w:w="392" w:type="pct"/>
            <w:shd w:val="clear" w:color="auto" w:fill="auto"/>
            <w:noWrap/>
            <w:hideMark/>
          </w:tcPr>
          <w:p w14:paraId="44ECAD74" w14:textId="09E25460"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0.188</w:t>
            </w:r>
          </w:p>
        </w:tc>
        <w:tc>
          <w:tcPr>
            <w:tcW w:w="392" w:type="pct"/>
            <w:shd w:val="clear" w:color="auto" w:fill="auto"/>
            <w:noWrap/>
            <w:hideMark/>
          </w:tcPr>
          <w:p w14:paraId="46C70D56" w14:textId="438002D2"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-2.22</w:t>
            </w:r>
            <w:r w:rsidR="003250CB" w:rsidRPr="00993419">
              <w:rPr>
                <w:rFonts w:ascii="Times New Roman" w:hAnsi="Times New Roman" w:cs="Times New Roman"/>
                <w:sz w:val="16"/>
                <w:szCs w:val="16"/>
              </w:rPr>
              <w:t>**</w:t>
            </w:r>
          </w:p>
        </w:tc>
        <w:tc>
          <w:tcPr>
            <w:tcW w:w="392" w:type="pct"/>
            <w:shd w:val="clear" w:color="auto" w:fill="auto"/>
            <w:noWrap/>
            <w:hideMark/>
          </w:tcPr>
          <w:p w14:paraId="5D57800C" w14:textId="46F326DD"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-0.546</w:t>
            </w:r>
          </w:p>
        </w:tc>
        <w:tc>
          <w:tcPr>
            <w:tcW w:w="392" w:type="pct"/>
            <w:shd w:val="clear" w:color="auto" w:fill="auto"/>
            <w:noWrap/>
            <w:hideMark/>
          </w:tcPr>
          <w:p w14:paraId="00D8241B" w14:textId="4E3D9148"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1.644</w:t>
            </w:r>
          </w:p>
        </w:tc>
        <w:tc>
          <w:tcPr>
            <w:tcW w:w="498" w:type="pct"/>
            <w:shd w:val="clear" w:color="auto" w:fill="auto"/>
            <w:hideMark/>
          </w:tcPr>
          <w:p w14:paraId="7EEDC7D1" w14:textId="2AFB4CE0"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-12.405</w:t>
            </w:r>
            <w:r w:rsidR="003250CB" w:rsidRPr="00993419">
              <w:rPr>
                <w:rFonts w:ascii="Times New Roman" w:hAnsi="Times New Roman" w:cs="Times New Roman"/>
                <w:sz w:val="16"/>
                <w:szCs w:val="16"/>
              </w:rPr>
              <w:t>*</w:t>
            </w:r>
          </w:p>
        </w:tc>
        <w:tc>
          <w:tcPr>
            <w:tcW w:w="392" w:type="pct"/>
            <w:shd w:val="clear" w:color="auto" w:fill="auto"/>
            <w:noWrap/>
            <w:hideMark/>
          </w:tcPr>
          <w:p w14:paraId="03179CFC" w14:textId="05C0FF6D"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5.155</w:t>
            </w:r>
            <w:r w:rsidR="003250CB" w:rsidRPr="00993419">
              <w:rPr>
                <w:rFonts w:ascii="Times New Roman" w:hAnsi="Times New Roman" w:cs="Times New Roman"/>
                <w:sz w:val="16"/>
                <w:szCs w:val="16"/>
              </w:rPr>
              <w:t>*</w:t>
            </w:r>
          </w:p>
        </w:tc>
        <w:tc>
          <w:tcPr>
            <w:tcW w:w="392" w:type="pct"/>
            <w:shd w:val="clear" w:color="auto" w:fill="auto"/>
            <w:noWrap/>
            <w:hideMark/>
          </w:tcPr>
          <w:p w14:paraId="3BEE1889" w14:textId="6079253D"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0.737</w:t>
            </w:r>
          </w:p>
        </w:tc>
        <w:tc>
          <w:tcPr>
            <w:tcW w:w="392" w:type="pct"/>
            <w:shd w:val="clear" w:color="auto" w:fill="auto"/>
            <w:noWrap/>
            <w:hideMark/>
          </w:tcPr>
          <w:p w14:paraId="383000F6" w14:textId="0243CC9F"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1.435</w:t>
            </w:r>
          </w:p>
        </w:tc>
        <w:tc>
          <w:tcPr>
            <w:tcW w:w="392" w:type="pct"/>
            <w:shd w:val="clear" w:color="auto" w:fill="auto"/>
            <w:noWrap/>
            <w:hideMark/>
          </w:tcPr>
          <w:p w14:paraId="24A1A8E6" w14:textId="6C47AC51"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-0.494</w:t>
            </w:r>
          </w:p>
        </w:tc>
        <w:tc>
          <w:tcPr>
            <w:tcW w:w="400" w:type="pct"/>
            <w:shd w:val="clear" w:color="auto" w:fill="auto"/>
            <w:noWrap/>
            <w:hideMark/>
          </w:tcPr>
          <w:p w14:paraId="68D936A0" w14:textId="6BE6ACD8"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0.260</w:t>
            </w:r>
          </w:p>
        </w:tc>
      </w:tr>
      <w:tr w:rsidR="00C77259" w:rsidRPr="003250CB" w14:paraId="68E9465B" w14:textId="77777777" w:rsidTr="00D162BA">
        <w:trPr>
          <w:trHeight w:val="161"/>
        </w:trPr>
        <w:tc>
          <w:tcPr>
            <w:tcW w:w="573" w:type="pct"/>
            <w:hideMark/>
          </w:tcPr>
          <w:p w14:paraId="6B3660E8" w14:textId="77777777"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lang w:bidi="gu-IN"/>
              </w:rPr>
              <w:t>CAAR</w:t>
            </w:r>
          </w:p>
        </w:tc>
        <w:tc>
          <w:tcPr>
            <w:tcW w:w="392" w:type="pct"/>
            <w:shd w:val="clear" w:color="auto" w:fill="auto"/>
            <w:noWrap/>
          </w:tcPr>
          <w:p w14:paraId="20308491" w14:textId="0B81C22C"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-0.020</w:t>
            </w:r>
          </w:p>
        </w:tc>
        <w:tc>
          <w:tcPr>
            <w:tcW w:w="392" w:type="pct"/>
            <w:shd w:val="clear" w:color="auto" w:fill="auto"/>
            <w:noWrap/>
          </w:tcPr>
          <w:p w14:paraId="005A71E4" w14:textId="0C02D473"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0.084</w:t>
            </w:r>
          </w:p>
        </w:tc>
        <w:tc>
          <w:tcPr>
            <w:tcW w:w="392" w:type="pct"/>
            <w:shd w:val="clear" w:color="auto" w:fill="auto"/>
            <w:noWrap/>
          </w:tcPr>
          <w:p w14:paraId="28CFE8AF" w14:textId="639CF7AC"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-1.150</w:t>
            </w:r>
          </w:p>
        </w:tc>
        <w:tc>
          <w:tcPr>
            <w:tcW w:w="392" w:type="pct"/>
            <w:shd w:val="clear" w:color="auto" w:fill="auto"/>
            <w:noWrap/>
          </w:tcPr>
          <w:p w14:paraId="4B1E4589" w14:textId="17D66EA8"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-1.454</w:t>
            </w:r>
          </w:p>
        </w:tc>
        <w:tc>
          <w:tcPr>
            <w:tcW w:w="392" w:type="pct"/>
            <w:shd w:val="clear" w:color="auto" w:fill="auto"/>
            <w:noWrap/>
          </w:tcPr>
          <w:p w14:paraId="635E7754" w14:textId="185FEF76"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-0.540</w:t>
            </w:r>
          </w:p>
        </w:tc>
        <w:tc>
          <w:tcPr>
            <w:tcW w:w="498" w:type="pct"/>
            <w:shd w:val="clear" w:color="auto" w:fill="auto"/>
          </w:tcPr>
          <w:p w14:paraId="3A14B432" w14:textId="33723FD5"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-7.438</w:t>
            </w:r>
          </w:p>
        </w:tc>
        <w:tc>
          <w:tcPr>
            <w:tcW w:w="392" w:type="pct"/>
            <w:shd w:val="clear" w:color="auto" w:fill="auto"/>
            <w:noWrap/>
          </w:tcPr>
          <w:p w14:paraId="4751C478" w14:textId="4107B089"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-4.571</w:t>
            </w:r>
          </w:p>
        </w:tc>
        <w:tc>
          <w:tcPr>
            <w:tcW w:w="392" w:type="pct"/>
            <w:shd w:val="clear" w:color="auto" w:fill="auto"/>
            <w:noWrap/>
          </w:tcPr>
          <w:p w14:paraId="26EB156C" w14:textId="5F0C4FA9"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-4.161</w:t>
            </w:r>
          </w:p>
        </w:tc>
        <w:tc>
          <w:tcPr>
            <w:tcW w:w="392" w:type="pct"/>
            <w:shd w:val="clear" w:color="auto" w:fill="auto"/>
            <w:noWrap/>
          </w:tcPr>
          <w:p w14:paraId="23A1A44E" w14:textId="7658E2B4"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-3.364</w:t>
            </w:r>
          </w:p>
        </w:tc>
        <w:tc>
          <w:tcPr>
            <w:tcW w:w="392" w:type="pct"/>
            <w:shd w:val="clear" w:color="auto" w:fill="auto"/>
            <w:noWrap/>
          </w:tcPr>
          <w:p w14:paraId="0B291689" w14:textId="4AFE0B33"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-3.638</w:t>
            </w:r>
          </w:p>
        </w:tc>
        <w:tc>
          <w:tcPr>
            <w:tcW w:w="400" w:type="pct"/>
            <w:shd w:val="clear" w:color="auto" w:fill="auto"/>
            <w:noWrap/>
          </w:tcPr>
          <w:p w14:paraId="42524336" w14:textId="0F008E74"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-3.494</w:t>
            </w:r>
          </w:p>
        </w:tc>
      </w:tr>
      <w:tr w:rsidR="00C77259" w:rsidRPr="003250CB" w14:paraId="6C084E94" w14:textId="77777777" w:rsidTr="00D162BA">
        <w:trPr>
          <w:trHeight w:val="166"/>
        </w:trPr>
        <w:tc>
          <w:tcPr>
            <w:tcW w:w="573" w:type="pct"/>
            <w:hideMark/>
          </w:tcPr>
          <w:p w14:paraId="583D05CC" w14:textId="34364DC8" w:rsidR="004579E8" w:rsidRPr="00993419" w:rsidRDefault="00A34752" w:rsidP="00AA27DD">
            <w:pPr>
              <w:autoSpaceDE w:val="0"/>
              <w:autoSpaceDN w:val="0"/>
              <w:adjustRightInd w:val="0"/>
              <w:spacing w:line="360" w:lineRule="auto"/>
              <w:rPr>
                <w:rFonts w:ascii="Times New Roman" w:hAnsi="Times New Roman" w:cs="Times New Roman"/>
                <w:sz w:val="16"/>
                <w:szCs w:val="16"/>
                <w:lang w:bidi="gu-IN"/>
              </w:rPr>
            </w:pPr>
            <m:oMathPara>
              <m:oMath>
                <m:sSub>
                  <m:sSubPr>
                    <m:ctrlPr>
                      <w:rPr>
                        <w:rFonts w:ascii="Cambria Math" w:hAnsi="Cambria Math" w:cs="Times New Roman"/>
                        <w:i/>
                        <w:sz w:val="16"/>
                        <w:szCs w:val="16"/>
                        <w:lang w:bidi="gu-IN"/>
                      </w:rPr>
                    </m:ctrlPr>
                  </m:sSubPr>
                  <m:e>
                    <m:r>
                      <w:rPr>
                        <w:rFonts w:ascii="Cambria Math" w:hAnsi="Cambria Math" w:cs="Times New Roman"/>
                        <w:sz w:val="16"/>
                        <w:szCs w:val="16"/>
                        <w:lang w:bidi="gu-IN"/>
                      </w:rPr>
                      <m:t>t stat</m:t>
                    </m:r>
                  </m:e>
                  <m:sub>
                    <m:r>
                      <w:rPr>
                        <w:rFonts w:ascii="Cambria Math" w:hAnsi="Cambria Math" w:cs="Times New Roman"/>
                        <w:sz w:val="16"/>
                        <w:szCs w:val="16"/>
                        <w:lang w:bidi="gu-IN"/>
                      </w:rPr>
                      <m:t>CAAR</m:t>
                    </m:r>
                  </m:sub>
                </m:sSub>
              </m:oMath>
            </m:oMathPara>
          </w:p>
        </w:tc>
        <w:tc>
          <w:tcPr>
            <w:tcW w:w="392" w:type="pct"/>
            <w:shd w:val="clear" w:color="auto" w:fill="auto"/>
            <w:noWrap/>
          </w:tcPr>
          <w:p w14:paraId="38143CCD" w14:textId="2365B356"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-0.016</w:t>
            </w:r>
          </w:p>
        </w:tc>
        <w:tc>
          <w:tcPr>
            <w:tcW w:w="392" w:type="pct"/>
            <w:shd w:val="clear" w:color="auto" w:fill="auto"/>
            <w:noWrap/>
          </w:tcPr>
          <w:p w14:paraId="7B6D4834" w14:textId="0F9DB0C1"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0.076</w:t>
            </w:r>
          </w:p>
        </w:tc>
        <w:tc>
          <w:tcPr>
            <w:tcW w:w="392" w:type="pct"/>
            <w:shd w:val="clear" w:color="auto" w:fill="auto"/>
            <w:noWrap/>
          </w:tcPr>
          <w:p w14:paraId="2A77FAE3" w14:textId="2F928CAB"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-1.194</w:t>
            </w:r>
          </w:p>
        </w:tc>
        <w:tc>
          <w:tcPr>
            <w:tcW w:w="392" w:type="pct"/>
            <w:shd w:val="clear" w:color="auto" w:fill="auto"/>
            <w:noWrap/>
          </w:tcPr>
          <w:p w14:paraId="57E0A404" w14:textId="3BA290DC"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-1.8</w:t>
            </w:r>
            <w:r w:rsidR="00B83050" w:rsidRPr="00993419">
              <w:rPr>
                <w:rFonts w:ascii="Times New Roman" w:hAnsi="Times New Roman" w:cs="Times New Roman"/>
                <w:sz w:val="16"/>
                <w:szCs w:val="16"/>
              </w:rPr>
              <w:t>5***</w:t>
            </w:r>
          </w:p>
        </w:tc>
        <w:tc>
          <w:tcPr>
            <w:tcW w:w="392" w:type="pct"/>
            <w:shd w:val="clear" w:color="auto" w:fill="auto"/>
            <w:noWrap/>
          </w:tcPr>
          <w:p w14:paraId="60010737" w14:textId="2BD8A3B3"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-0.970</w:t>
            </w:r>
          </w:p>
        </w:tc>
        <w:tc>
          <w:tcPr>
            <w:tcW w:w="498" w:type="pct"/>
            <w:shd w:val="clear" w:color="auto" w:fill="auto"/>
            <w:noWrap/>
          </w:tcPr>
          <w:p w14:paraId="227EBA0D" w14:textId="1FC278E1"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-13.376</w:t>
            </w:r>
            <w:r w:rsidR="00B83050" w:rsidRPr="00993419">
              <w:rPr>
                <w:rFonts w:ascii="Times New Roman" w:hAnsi="Times New Roman" w:cs="Times New Roman"/>
                <w:sz w:val="16"/>
                <w:szCs w:val="16"/>
              </w:rPr>
              <w:t>*</w:t>
            </w:r>
          </w:p>
        </w:tc>
        <w:tc>
          <w:tcPr>
            <w:tcW w:w="392" w:type="pct"/>
            <w:shd w:val="clear" w:color="auto" w:fill="auto"/>
            <w:noWrap/>
          </w:tcPr>
          <w:p w14:paraId="72B43BDE" w14:textId="02A4017F"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-8.220</w:t>
            </w:r>
            <w:r w:rsidR="00B83050" w:rsidRPr="00993419">
              <w:rPr>
                <w:rFonts w:ascii="Times New Roman" w:hAnsi="Times New Roman" w:cs="Times New Roman"/>
                <w:sz w:val="16"/>
                <w:szCs w:val="16"/>
              </w:rPr>
              <w:t>*</w:t>
            </w:r>
          </w:p>
        </w:tc>
        <w:tc>
          <w:tcPr>
            <w:tcW w:w="392" w:type="pct"/>
            <w:shd w:val="clear" w:color="auto" w:fill="auto"/>
            <w:noWrap/>
          </w:tcPr>
          <w:p w14:paraId="0769A7DE" w14:textId="68DA09A0"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-5.292</w:t>
            </w:r>
            <w:r w:rsidR="00B83050" w:rsidRPr="00993419">
              <w:rPr>
                <w:rFonts w:ascii="Times New Roman" w:hAnsi="Times New Roman" w:cs="Times New Roman"/>
                <w:sz w:val="16"/>
                <w:szCs w:val="16"/>
              </w:rPr>
              <w:t>*</w:t>
            </w:r>
          </w:p>
        </w:tc>
        <w:tc>
          <w:tcPr>
            <w:tcW w:w="392" w:type="pct"/>
            <w:shd w:val="clear" w:color="auto" w:fill="auto"/>
            <w:noWrap/>
          </w:tcPr>
          <w:p w14:paraId="7B5998A2" w14:textId="0FB02A94"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-3.493</w:t>
            </w:r>
            <w:r w:rsidR="00B83050" w:rsidRPr="00993419">
              <w:rPr>
                <w:rFonts w:ascii="Times New Roman" w:hAnsi="Times New Roman" w:cs="Times New Roman"/>
                <w:sz w:val="16"/>
                <w:szCs w:val="16"/>
              </w:rPr>
              <w:t>*</w:t>
            </w:r>
          </w:p>
        </w:tc>
        <w:tc>
          <w:tcPr>
            <w:tcW w:w="392" w:type="pct"/>
            <w:shd w:val="clear" w:color="auto" w:fill="auto"/>
            <w:noWrap/>
          </w:tcPr>
          <w:p w14:paraId="37416667" w14:textId="745E2603"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-3.272</w:t>
            </w:r>
            <w:r w:rsidR="00B83050" w:rsidRPr="00993419">
              <w:rPr>
                <w:rFonts w:ascii="Times New Roman" w:hAnsi="Times New Roman" w:cs="Times New Roman"/>
                <w:sz w:val="16"/>
                <w:szCs w:val="16"/>
              </w:rPr>
              <w:t>*</w:t>
            </w:r>
          </w:p>
        </w:tc>
        <w:tc>
          <w:tcPr>
            <w:tcW w:w="400" w:type="pct"/>
            <w:shd w:val="clear" w:color="auto" w:fill="auto"/>
            <w:noWrap/>
          </w:tcPr>
          <w:p w14:paraId="63025874" w14:textId="5AE52E69" w:rsidR="004579E8" w:rsidRPr="00993419" w:rsidRDefault="004579E8" w:rsidP="00AA27DD">
            <w:pPr>
              <w:autoSpaceDE w:val="0"/>
              <w:autoSpaceDN w:val="0"/>
              <w:adjustRightInd w:val="0"/>
              <w:spacing w:line="360" w:lineRule="auto"/>
              <w:rPr>
                <w:rFonts w:ascii="Times New Roman" w:hAnsi="Times New Roman" w:cs="Times New Roman"/>
                <w:sz w:val="16"/>
                <w:szCs w:val="16"/>
                <w:lang w:bidi="gu-IN"/>
              </w:rPr>
            </w:pPr>
            <w:r w:rsidRPr="00993419">
              <w:rPr>
                <w:rFonts w:ascii="Times New Roman" w:hAnsi="Times New Roman" w:cs="Times New Roman"/>
                <w:sz w:val="16"/>
                <w:szCs w:val="16"/>
              </w:rPr>
              <w:t>-2.810</w:t>
            </w:r>
            <w:r w:rsidR="00B83050" w:rsidRPr="00993419">
              <w:rPr>
                <w:rFonts w:ascii="Times New Roman" w:hAnsi="Times New Roman" w:cs="Times New Roman"/>
                <w:sz w:val="16"/>
                <w:szCs w:val="16"/>
              </w:rPr>
              <w:t>*</w:t>
            </w:r>
          </w:p>
        </w:tc>
      </w:tr>
      <w:tr w:rsidR="00C77259" w:rsidRPr="003250CB" w14:paraId="7689FDB2" w14:textId="77777777" w:rsidTr="00D162BA">
        <w:trPr>
          <w:trHeight w:val="109"/>
        </w:trPr>
        <w:tc>
          <w:tcPr>
            <w:tcW w:w="573" w:type="pct"/>
          </w:tcPr>
          <w:p w14:paraId="21739B81" w14:textId="77777777" w:rsidR="004579E8" w:rsidRPr="003250CB" w:rsidRDefault="004579E8" w:rsidP="00AA27DD">
            <w:pPr>
              <w:autoSpaceDE w:val="0"/>
              <w:autoSpaceDN w:val="0"/>
              <w:adjustRightInd w:val="0"/>
              <w:spacing w:line="360" w:lineRule="auto"/>
              <w:rPr>
                <w:rFonts w:ascii="Times New Roman" w:eastAsia="Calibri" w:hAnsi="Times New Roman" w:cs="Times New Roman"/>
                <w:color w:val="0070C0"/>
                <w:sz w:val="16"/>
                <w:szCs w:val="16"/>
                <w:lang w:bidi="gu-IN"/>
              </w:rPr>
            </w:pPr>
          </w:p>
        </w:tc>
        <w:tc>
          <w:tcPr>
            <w:tcW w:w="392" w:type="pct"/>
            <w:noWrap/>
          </w:tcPr>
          <w:p w14:paraId="6B216619"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tcPr>
          <w:p w14:paraId="7B56BCCC"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tcPr>
          <w:p w14:paraId="4995D7B8"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tcPr>
          <w:p w14:paraId="14818031"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tcPr>
          <w:p w14:paraId="471FA32E"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498" w:type="pct"/>
            <w:noWrap/>
          </w:tcPr>
          <w:p w14:paraId="23C3EB36"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tcPr>
          <w:p w14:paraId="2E2345BE"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tcPr>
          <w:p w14:paraId="1A375CAC"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tcPr>
          <w:p w14:paraId="58EAF35F"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tcPr>
          <w:p w14:paraId="488768E4"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400" w:type="pct"/>
            <w:noWrap/>
          </w:tcPr>
          <w:p w14:paraId="0DCFC374"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r>
      <w:tr w:rsidR="00C77259" w:rsidRPr="003250CB" w14:paraId="7873955F" w14:textId="77777777" w:rsidTr="00D162BA">
        <w:trPr>
          <w:trHeight w:val="493"/>
        </w:trPr>
        <w:tc>
          <w:tcPr>
            <w:tcW w:w="5000" w:type="pct"/>
            <w:gridSpan w:val="12"/>
            <w:noWrap/>
            <w:hideMark/>
          </w:tcPr>
          <w:p w14:paraId="3F2E90BE" w14:textId="24BC9FC1" w:rsidR="004579E8" w:rsidRPr="00D162BA" w:rsidRDefault="004579E8" w:rsidP="00AA27DD">
            <w:pPr>
              <w:autoSpaceDE w:val="0"/>
              <w:autoSpaceDN w:val="0"/>
              <w:adjustRightInd w:val="0"/>
              <w:spacing w:line="360" w:lineRule="auto"/>
              <w:rPr>
                <w:rFonts w:ascii="Times New Roman" w:hAnsi="Times New Roman" w:cs="Times New Roman"/>
                <w:b/>
                <w:bCs/>
                <w:sz w:val="16"/>
                <w:szCs w:val="16"/>
                <w:lang w:bidi="gu-IN"/>
              </w:rPr>
            </w:pPr>
            <w:r w:rsidRPr="00D162BA">
              <w:rPr>
                <w:rFonts w:ascii="Times New Roman" w:hAnsi="Times New Roman" w:cs="Times New Roman"/>
                <w:b/>
                <w:bCs/>
                <w:sz w:val="16"/>
                <w:szCs w:val="16"/>
                <w:lang w:bidi="gu-IN"/>
              </w:rPr>
              <w:t>Panel B. Europe</w:t>
            </w:r>
          </w:p>
        </w:tc>
      </w:tr>
      <w:tr w:rsidR="00C77259" w:rsidRPr="003250CB" w14:paraId="164A1537" w14:textId="77777777" w:rsidTr="00D162BA">
        <w:trPr>
          <w:trHeight w:val="493"/>
        </w:trPr>
        <w:tc>
          <w:tcPr>
            <w:tcW w:w="573" w:type="pct"/>
            <w:noWrap/>
            <w:hideMark/>
          </w:tcPr>
          <w:p w14:paraId="0536613D" w14:textId="3755C4CF"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lang w:bidi="gu-IN"/>
              </w:rPr>
              <w:t>AAR</w:t>
            </w:r>
          </w:p>
        </w:tc>
        <w:tc>
          <w:tcPr>
            <w:tcW w:w="392" w:type="pct"/>
            <w:shd w:val="clear" w:color="auto" w:fill="auto"/>
            <w:noWrap/>
            <w:hideMark/>
          </w:tcPr>
          <w:p w14:paraId="123D213A" w14:textId="14AB1028"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0.011</w:t>
            </w:r>
          </w:p>
        </w:tc>
        <w:tc>
          <w:tcPr>
            <w:tcW w:w="392" w:type="pct"/>
            <w:shd w:val="clear" w:color="auto" w:fill="auto"/>
            <w:noWrap/>
            <w:hideMark/>
          </w:tcPr>
          <w:p w14:paraId="4E306D29" w14:textId="2B55248E"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-0.250</w:t>
            </w:r>
          </w:p>
        </w:tc>
        <w:tc>
          <w:tcPr>
            <w:tcW w:w="392" w:type="pct"/>
            <w:shd w:val="clear" w:color="auto" w:fill="auto"/>
            <w:noWrap/>
            <w:hideMark/>
          </w:tcPr>
          <w:p w14:paraId="32D8957D" w14:textId="4554EE15"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-1.465</w:t>
            </w:r>
          </w:p>
        </w:tc>
        <w:tc>
          <w:tcPr>
            <w:tcW w:w="392" w:type="pct"/>
            <w:shd w:val="clear" w:color="auto" w:fill="auto"/>
            <w:noWrap/>
            <w:hideMark/>
          </w:tcPr>
          <w:p w14:paraId="39EB9CD9" w14:textId="032225CF"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0.635</w:t>
            </w:r>
          </w:p>
        </w:tc>
        <w:tc>
          <w:tcPr>
            <w:tcW w:w="392" w:type="pct"/>
            <w:shd w:val="clear" w:color="auto" w:fill="auto"/>
            <w:noWrap/>
            <w:hideMark/>
          </w:tcPr>
          <w:p w14:paraId="1EED12C4" w14:textId="3AD2420B"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0.207</w:t>
            </w:r>
          </w:p>
        </w:tc>
        <w:tc>
          <w:tcPr>
            <w:tcW w:w="498" w:type="pct"/>
            <w:shd w:val="clear" w:color="auto" w:fill="auto"/>
            <w:noWrap/>
            <w:hideMark/>
          </w:tcPr>
          <w:p w14:paraId="07F5AC31" w14:textId="3DC1BC6C"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-3.779</w:t>
            </w:r>
          </w:p>
        </w:tc>
        <w:tc>
          <w:tcPr>
            <w:tcW w:w="392" w:type="pct"/>
            <w:shd w:val="clear" w:color="auto" w:fill="auto"/>
            <w:noWrap/>
            <w:hideMark/>
          </w:tcPr>
          <w:p w14:paraId="76DB961C" w14:textId="0EAF167F"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1.901</w:t>
            </w:r>
          </w:p>
        </w:tc>
        <w:tc>
          <w:tcPr>
            <w:tcW w:w="392" w:type="pct"/>
            <w:shd w:val="clear" w:color="auto" w:fill="auto"/>
            <w:noWrap/>
            <w:hideMark/>
          </w:tcPr>
          <w:p w14:paraId="611AA6DB" w14:textId="62E3CE05"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-0.699</w:t>
            </w:r>
          </w:p>
        </w:tc>
        <w:tc>
          <w:tcPr>
            <w:tcW w:w="392" w:type="pct"/>
            <w:shd w:val="clear" w:color="auto" w:fill="auto"/>
            <w:noWrap/>
            <w:hideMark/>
          </w:tcPr>
          <w:p w14:paraId="568014F8" w14:textId="7D9C2536"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-2.282</w:t>
            </w:r>
          </w:p>
        </w:tc>
        <w:tc>
          <w:tcPr>
            <w:tcW w:w="392" w:type="pct"/>
            <w:shd w:val="clear" w:color="auto" w:fill="auto"/>
            <w:noWrap/>
            <w:hideMark/>
          </w:tcPr>
          <w:p w14:paraId="0AB16023" w14:textId="155D6FB6"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0.125</w:t>
            </w:r>
          </w:p>
        </w:tc>
        <w:tc>
          <w:tcPr>
            <w:tcW w:w="400" w:type="pct"/>
            <w:shd w:val="clear" w:color="auto" w:fill="auto"/>
            <w:noWrap/>
            <w:hideMark/>
          </w:tcPr>
          <w:p w14:paraId="51C1E3B9" w14:textId="7B4A053D"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-0.839</w:t>
            </w:r>
          </w:p>
        </w:tc>
      </w:tr>
      <w:tr w:rsidR="00C77259" w:rsidRPr="003250CB" w14:paraId="7891839F" w14:textId="77777777" w:rsidTr="00D162BA">
        <w:trPr>
          <w:trHeight w:val="109"/>
        </w:trPr>
        <w:tc>
          <w:tcPr>
            <w:tcW w:w="573" w:type="pct"/>
            <w:hideMark/>
          </w:tcPr>
          <w:p w14:paraId="331C8CC3" w14:textId="79D05E95" w:rsidR="004579E8" w:rsidRPr="00315FCE" w:rsidRDefault="00A34752" w:rsidP="00AA27DD">
            <w:pPr>
              <w:autoSpaceDE w:val="0"/>
              <w:autoSpaceDN w:val="0"/>
              <w:adjustRightInd w:val="0"/>
              <w:spacing w:line="360" w:lineRule="auto"/>
              <w:rPr>
                <w:rFonts w:ascii="Times New Roman" w:hAnsi="Times New Roman" w:cs="Times New Roman"/>
                <w:sz w:val="16"/>
                <w:szCs w:val="16"/>
                <w:lang w:bidi="gu-IN"/>
              </w:rPr>
            </w:pPr>
            <m:oMathPara>
              <m:oMath>
                <m:sSub>
                  <m:sSubPr>
                    <m:ctrlPr>
                      <w:rPr>
                        <w:rFonts w:ascii="Cambria Math" w:hAnsi="Cambria Math" w:cs="Times New Roman"/>
                        <w:i/>
                        <w:sz w:val="16"/>
                        <w:szCs w:val="16"/>
                        <w:lang w:bidi="gu-IN"/>
                      </w:rPr>
                    </m:ctrlPr>
                  </m:sSubPr>
                  <m:e>
                    <m:r>
                      <w:rPr>
                        <w:rFonts w:ascii="Cambria Math" w:hAnsi="Cambria Math" w:cs="Times New Roman"/>
                        <w:sz w:val="16"/>
                        <w:szCs w:val="16"/>
                        <w:lang w:bidi="gu-IN"/>
                      </w:rPr>
                      <m:t>t stat</m:t>
                    </m:r>
                  </m:e>
                  <m:sub>
                    <m:r>
                      <w:rPr>
                        <w:rFonts w:ascii="Cambria Math" w:hAnsi="Cambria Math" w:cs="Times New Roman"/>
                        <w:sz w:val="16"/>
                        <w:szCs w:val="16"/>
                        <w:lang w:bidi="gu-IN"/>
                      </w:rPr>
                      <m:t>AAR</m:t>
                    </m:r>
                  </m:sub>
                </m:sSub>
              </m:oMath>
            </m:oMathPara>
          </w:p>
        </w:tc>
        <w:tc>
          <w:tcPr>
            <w:tcW w:w="392" w:type="pct"/>
            <w:shd w:val="clear" w:color="auto" w:fill="auto"/>
            <w:noWrap/>
            <w:hideMark/>
          </w:tcPr>
          <w:p w14:paraId="6950EE01" w14:textId="693E6340"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0.020</w:t>
            </w:r>
          </w:p>
        </w:tc>
        <w:tc>
          <w:tcPr>
            <w:tcW w:w="392" w:type="pct"/>
            <w:shd w:val="clear" w:color="auto" w:fill="auto"/>
            <w:noWrap/>
            <w:hideMark/>
          </w:tcPr>
          <w:p w14:paraId="60C77C0C" w14:textId="5A2BF12F"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-0.456</w:t>
            </w:r>
          </w:p>
        </w:tc>
        <w:tc>
          <w:tcPr>
            <w:tcW w:w="392" w:type="pct"/>
            <w:shd w:val="clear" w:color="auto" w:fill="auto"/>
            <w:noWrap/>
            <w:hideMark/>
          </w:tcPr>
          <w:p w14:paraId="5FEEB079" w14:textId="61C8DEF5"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-2.678</w:t>
            </w:r>
            <w:r w:rsidR="00315FCE" w:rsidRPr="00315FCE">
              <w:rPr>
                <w:rFonts w:ascii="Times New Roman" w:hAnsi="Times New Roman" w:cs="Times New Roman"/>
                <w:sz w:val="16"/>
                <w:szCs w:val="16"/>
              </w:rPr>
              <w:t>*</w:t>
            </w:r>
          </w:p>
        </w:tc>
        <w:tc>
          <w:tcPr>
            <w:tcW w:w="392" w:type="pct"/>
            <w:shd w:val="clear" w:color="auto" w:fill="auto"/>
            <w:noWrap/>
            <w:hideMark/>
          </w:tcPr>
          <w:p w14:paraId="62F5032C" w14:textId="351A20E1"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1.160</w:t>
            </w:r>
          </w:p>
        </w:tc>
        <w:tc>
          <w:tcPr>
            <w:tcW w:w="392" w:type="pct"/>
            <w:shd w:val="clear" w:color="auto" w:fill="auto"/>
            <w:noWrap/>
            <w:hideMark/>
          </w:tcPr>
          <w:p w14:paraId="6C879A6E" w14:textId="3E5DDBF5"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0.379</w:t>
            </w:r>
          </w:p>
        </w:tc>
        <w:tc>
          <w:tcPr>
            <w:tcW w:w="498" w:type="pct"/>
            <w:shd w:val="clear" w:color="auto" w:fill="auto"/>
            <w:noWrap/>
            <w:hideMark/>
          </w:tcPr>
          <w:p w14:paraId="293C59EF" w14:textId="721E5AE1"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-6.907</w:t>
            </w:r>
            <w:r w:rsidR="00315FCE" w:rsidRPr="00315FCE">
              <w:rPr>
                <w:rFonts w:ascii="Times New Roman" w:hAnsi="Times New Roman" w:cs="Times New Roman"/>
                <w:sz w:val="16"/>
                <w:szCs w:val="16"/>
              </w:rPr>
              <w:t>*</w:t>
            </w:r>
          </w:p>
        </w:tc>
        <w:tc>
          <w:tcPr>
            <w:tcW w:w="392" w:type="pct"/>
            <w:shd w:val="clear" w:color="auto" w:fill="auto"/>
            <w:noWrap/>
            <w:hideMark/>
          </w:tcPr>
          <w:p w14:paraId="0B52F5ED" w14:textId="11916FF0"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3.474</w:t>
            </w:r>
            <w:r w:rsidR="00315FCE" w:rsidRPr="00315FCE">
              <w:rPr>
                <w:rFonts w:ascii="Times New Roman" w:hAnsi="Times New Roman" w:cs="Times New Roman"/>
                <w:sz w:val="16"/>
                <w:szCs w:val="16"/>
              </w:rPr>
              <w:t>*</w:t>
            </w:r>
          </w:p>
        </w:tc>
        <w:tc>
          <w:tcPr>
            <w:tcW w:w="392" w:type="pct"/>
            <w:shd w:val="clear" w:color="auto" w:fill="auto"/>
            <w:noWrap/>
            <w:hideMark/>
          </w:tcPr>
          <w:p w14:paraId="08B13F3F" w14:textId="410A45AA"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-1.278</w:t>
            </w:r>
          </w:p>
        </w:tc>
        <w:tc>
          <w:tcPr>
            <w:tcW w:w="392" w:type="pct"/>
            <w:shd w:val="clear" w:color="auto" w:fill="auto"/>
            <w:noWrap/>
            <w:hideMark/>
          </w:tcPr>
          <w:p w14:paraId="12D40591" w14:textId="138009F4"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-4.172</w:t>
            </w:r>
            <w:r w:rsidR="00315FCE" w:rsidRPr="00315FCE">
              <w:rPr>
                <w:rFonts w:ascii="Times New Roman" w:hAnsi="Times New Roman" w:cs="Times New Roman"/>
                <w:sz w:val="16"/>
                <w:szCs w:val="16"/>
              </w:rPr>
              <w:t>*</w:t>
            </w:r>
          </w:p>
        </w:tc>
        <w:tc>
          <w:tcPr>
            <w:tcW w:w="392" w:type="pct"/>
            <w:shd w:val="clear" w:color="auto" w:fill="auto"/>
            <w:noWrap/>
            <w:hideMark/>
          </w:tcPr>
          <w:p w14:paraId="6AE64F8F" w14:textId="591FAC06"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0.229</w:t>
            </w:r>
          </w:p>
        </w:tc>
        <w:tc>
          <w:tcPr>
            <w:tcW w:w="400" w:type="pct"/>
            <w:shd w:val="clear" w:color="auto" w:fill="auto"/>
            <w:noWrap/>
            <w:hideMark/>
          </w:tcPr>
          <w:p w14:paraId="20871085" w14:textId="2DA4EC9B"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-1.534</w:t>
            </w:r>
          </w:p>
        </w:tc>
      </w:tr>
      <w:tr w:rsidR="00C77259" w:rsidRPr="003250CB" w14:paraId="04674EA5" w14:textId="77777777" w:rsidTr="00D162BA">
        <w:trPr>
          <w:trHeight w:val="493"/>
        </w:trPr>
        <w:tc>
          <w:tcPr>
            <w:tcW w:w="573" w:type="pct"/>
            <w:hideMark/>
          </w:tcPr>
          <w:p w14:paraId="01736BA4" w14:textId="50306E98"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lang w:bidi="gu-IN"/>
              </w:rPr>
              <w:t>CAAR</w:t>
            </w:r>
          </w:p>
        </w:tc>
        <w:tc>
          <w:tcPr>
            <w:tcW w:w="392" w:type="pct"/>
            <w:shd w:val="clear" w:color="auto" w:fill="auto"/>
            <w:noWrap/>
          </w:tcPr>
          <w:p w14:paraId="43F5363D" w14:textId="2B15B879"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0.011</w:t>
            </w:r>
          </w:p>
        </w:tc>
        <w:tc>
          <w:tcPr>
            <w:tcW w:w="392" w:type="pct"/>
            <w:shd w:val="clear" w:color="auto" w:fill="auto"/>
            <w:noWrap/>
          </w:tcPr>
          <w:p w14:paraId="312E9CD3" w14:textId="7B52BC57"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-0.238</w:t>
            </w:r>
          </w:p>
        </w:tc>
        <w:tc>
          <w:tcPr>
            <w:tcW w:w="392" w:type="pct"/>
            <w:shd w:val="clear" w:color="auto" w:fill="auto"/>
            <w:noWrap/>
          </w:tcPr>
          <w:p w14:paraId="644327B6" w14:textId="30105343"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-1.704</w:t>
            </w:r>
          </w:p>
        </w:tc>
        <w:tc>
          <w:tcPr>
            <w:tcW w:w="392" w:type="pct"/>
            <w:shd w:val="clear" w:color="auto" w:fill="auto"/>
            <w:noWrap/>
          </w:tcPr>
          <w:p w14:paraId="7F5761E1" w14:textId="7D56FC57"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-1.069</w:t>
            </w:r>
          </w:p>
        </w:tc>
        <w:tc>
          <w:tcPr>
            <w:tcW w:w="392" w:type="pct"/>
            <w:shd w:val="clear" w:color="auto" w:fill="auto"/>
            <w:noWrap/>
          </w:tcPr>
          <w:p w14:paraId="5653031A" w14:textId="0D1B8EFE"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-0.861</w:t>
            </w:r>
          </w:p>
        </w:tc>
        <w:tc>
          <w:tcPr>
            <w:tcW w:w="498" w:type="pct"/>
            <w:shd w:val="clear" w:color="auto" w:fill="auto"/>
            <w:noWrap/>
          </w:tcPr>
          <w:p w14:paraId="49AADAC8" w14:textId="754963A3"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-4.640</w:t>
            </w:r>
          </w:p>
        </w:tc>
        <w:tc>
          <w:tcPr>
            <w:tcW w:w="392" w:type="pct"/>
            <w:shd w:val="clear" w:color="auto" w:fill="auto"/>
            <w:noWrap/>
          </w:tcPr>
          <w:p w14:paraId="3A97F86F" w14:textId="1B805B5A"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-2.739</w:t>
            </w:r>
          </w:p>
        </w:tc>
        <w:tc>
          <w:tcPr>
            <w:tcW w:w="392" w:type="pct"/>
            <w:shd w:val="clear" w:color="auto" w:fill="auto"/>
            <w:noWrap/>
          </w:tcPr>
          <w:p w14:paraId="732282A1" w14:textId="263D5E58"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-3.439</w:t>
            </w:r>
          </w:p>
        </w:tc>
        <w:tc>
          <w:tcPr>
            <w:tcW w:w="392" w:type="pct"/>
            <w:shd w:val="clear" w:color="auto" w:fill="auto"/>
            <w:noWrap/>
          </w:tcPr>
          <w:p w14:paraId="0DFA3F32" w14:textId="1B5916DC"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-5.721</w:t>
            </w:r>
          </w:p>
        </w:tc>
        <w:tc>
          <w:tcPr>
            <w:tcW w:w="392" w:type="pct"/>
            <w:shd w:val="clear" w:color="auto" w:fill="auto"/>
            <w:noWrap/>
          </w:tcPr>
          <w:p w14:paraId="5457196F" w14:textId="43CEB4F0"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-5.595</w:t>
            </w:r>
          </w:p>
        </w:tc>
        <w:tc>
          <w:tcPr>
            <w:tcW w:w="400" w:type="pct"/>
            <w:shd w:val="clear" w:color="auto" w:fill="auto"/>
            <w:noWrap/>
          </w:tcPr>
          <w:p w14:paraId="2C77A0FA" w14:textId="6C002BCF"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-6.434</w:t>
            </w:r>
          </w:p>
        </w:tc>
      </w:tr>
      <w:tr w:rsidR="00C77259" w:rsidRPr="003250CB" w14:paraId="04D77BF4" w14:textId="77777777" w:rsidTr="00D162BA">
        <w:trPr>
          <w:trHeight w:val="393"/>
        </w:trPr>
        <w:tc>
          <w:tcPr>
            <w:tcW w:w="573" w:type="pct"/>
            <w:hideMark/>
          </w:tcPr>
          <w:p w14:paraId="0A40CFC9" w14:textId="08D29B42" w:rsidR="004579E8" w:rsidRPr="00315FCE" w:rsidRDefault="00A34752" w:rsidP="00AA27DD">
            <w:pPr>
              <w:autoSpaceDE w:val="0"/>
              <w:autoSpaceDN w:val="0"/>
              <w:adjustRightInd w:val="0"/>
              <w:spacing w:line="360" w:lineRule="auto"/>
              <w:rPr>
                <w:rFonts w:ascii="Times New Roman" w:hAnsi="Times New Roman" w:cs="Times New Roman"/>
                <w:sz w:val="16"/>
                <w:szCs w:val="16"/>
                <w:lang w:bidi="gu-IN"/>
              </w:rPr>
            </w:pPr>
            <m:oMathPara>
              <m:oMath>
                <m:sSub>
                  <m:sSubPr>
                    <m:ctrlPr>
                      <w:rPr>
                        <w:rFonts w:ascii="Cambria Math" w:hAnsi="Cambria Math" w:cs="Times New Roman"/>
                        <w:i/>
                        <w:sz w:val="16"/>
                        <w:szCs w:val="16"/>
                        <w:lang w:bidi="gu-IN"/>
                      </w:rPr>
                    </m:ctrlPr>
                  </m:sSubPr>
                  <m:e>
                    <m:r>
                      <w:rPr>
                        <w:rFonts w:ascii="Cambria Math" w:hAnsi="Cambria Math" w:cs="Times New Roman"/>
                        <w:sz w:val="16"/>
                        <w:szCs w:val="16"/>
                        <w:lang w:bidi="gu-IN"/>
                      </w:rPr>
                      <m:t>t stat</m:t>
                    </m:r>
                  </m:e>
                  <m:sub>
                    <m:r>
                      <w:rPr>
                        <w:rFonts w:ascii="Cambria Math" w:hAnsi="Cambria Math" w:cs="Times New Roman"/>
                        <w:sz w:val="16"/>
                        <w:szCs w:val="16"/>
                        <w:lang w:bidi="gu-IN"/>
                      </w:rPr>
                      <m:t>CAAR</m:t>
                    </m:r>
                  </m:sub>
                </m:sSub>
              </m:oMath>
            </m:oMathPara>
          </w:p>
        </w:tc>
        <w:tc>
          <w:tcPr>
            <w:tcW w:w="392" w:type="pct"/>
            <w:shd w:val="clear" w:color="auto" w:fill="auto"/>
            <w:noWrap/>
          </w:tcPr>
          <w:p w14:paraId="736FFC34" w14:textId="5D9D8F1F"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0.009</w:t>
            </w:r>
          </w:p>
        </w:tc>
        <w:tc>
          <w:tcPr>
            <w:tcW w:w="392" w:type="pct"/>
            <w:shd w:val="clear" w:color="auto" w:fill="auto"/>
            <w:noWrap/>
          </w:tcPr>
          <w:p w14:paraId="2A2B3AD9" w14:textId="008879E6"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-0.218</w:t>
            </w:r>
          </w:p>
        </w:tc>
        <w:tc>
          <w:tcPr>
            <w:tcW w:w="392" w:type="pct"/>
            <w:shd w:val="clear" w:color="auto" w:fill="auto"/>
            <w:noWrap/>
          </w:tcPr>
          <w:p w14:paraId="577D564C" w14:textId="3F2A1212"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-1.</w:t>
            </w:r>
            <w:r w:rsidR="00315FCE" w:rsidRPr="00315FCE">
              <w:rPr>
                <w:rFonts w:ascii="Times New Roman" w:hAnsi="Times New Roman" w:cs="Times New Roman"/>
                <w:sz w:val="16"/>
                <w:szCs w:val="16"/>
              </w:rPr>
              <w:t>80***</w:t>
            </w:r>
          </w:p>
        </w:tc>
        <w:tc>
          <w:tcPr>
            <w:tcW w:w="392" w:type="pct"/>
            <w:shd w:val="clear" w:color="auto" w:fill="auto"/>
            <w:noWrap/>
          </w:tcPr>
          <w:p w14:paraId="7E6475AD" w14:textId="6D3459EA"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-1.381</w:t>
            </w:r>
          </w:p>
        </w:tc>
        <w:tc>
          <w:tcPr>
            <w:tcW w:w="392" w:type="pct"/>
            <w:shd w:val="clear" w:color="auto" w:fill="auto"/>
            <w:noWrap/>
          </w:tcPr>
          <w:p w14:paraId="6F036668" w14:textId="0C6A66B3"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-1.575</w:t>
            </w:r>
          </w:p>
        </w:tc>
        <w:tc>
          <w:tcPr>
            <w:tcW w:w="498" w:type="pct"/>
            <w:shd w:val="clear" w:color="auto" w:fill="auto"/>
            <w:noWrap/>
          </w:tcPr>
          <w:p w14:paraId="707C87A8" w14:textId="2C0A072E"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-8.481</w:t>
            </w:r>
            <w:r w:rsidR="00315FCE" w:rsidRPr="00315FCE">
              <w:rPr>
                <w:rFonts w:ascii="Times New Roman" w:hAnsi="Times New Roman" w:cs="Times New Roman"/>
                <w:sz w:val="16"/>
                <w:szCs w:val="16"/>
              </w:rPr>
              <w:t>*</w:t>
            </w:r>
          </w:p>
        </w:tc>
        <w:tc>
          <w:tcPr>
            <w:tcW w:w="392" w:type="pct"/>
            <w:shd w:val="clear" w:color="auto" w:fill="auto"/>
            <w:noWrap/>
          </w:tcPr>
          <w:p w14:paraId="746D3D2D" w14:textId="5E31800B"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-5.007</w:t>
            </w:r>
            <w:r w:rsidR="00315FCE" w:rsidRPr="00315FCE">
              <w:rPr>
                <w:rFonts w:ascii="Times New Roman" w:hAnsi="Times New Roman" w:cs="Times New Roman"/>
                <w:sz w:val="16"/>
                <w:szCs w:val="16"/>
              </w:rPr>
              <w:t>*</w:t>
            </w:r>
          </w:p>
        </w:tc>
        <w:tc>
          <w:tcPr>
            <w:tcW w:w="392" w:type="pct"/>
            <w:shd w:val="clear" w:color="auto" w:fill="auto"/>
            <w:noWrap/>
          </w:tcPr>
          <w:p w14:paraId="1DD0DF03" w14:textId="442BC501"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-4.444</w:t>
            </w:r>
            <w:r w:rsidR="00315FCE" w:rsidRPr="00315FCE">
              <w:rPr>
                <w:rFonts w:ascii="Times New Roman" w:hAnsi="Times New Roman" w:cs="Times New Roman"/>
                <w:sz w:val="16"/>
                <w:szCs w:val="16"/>
              </w:rPr>
              <w:t>*</w:t>
            </w:r>
          </w:p>
        </w:tc>
        <w:tc>
          <w:tcPr>
            <w:tcW w:w="392" w:type="pct"/>
            <w:shd w:val="clear" w:color="auto" w:fill="auto"/>
            <w:noWrap/>
          </w:tcPr>
          <w:p w14:paraId="71082CB6" w14:textId="5DDB612C"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-6.037</w:t>
            </w:r>
            <w:r w:rsidR="00315FCE" w:rsidRPr="00315FCE">
              <w:rPr>
                <w:rFonts w:ascii="Times New Roman" w:hAnsi="Times New Roman" w:cs="Times New Roman"/>
                <w:sz w:val="16"/>
                <w:szCs w:val="16"/>
              </w:rPr>
              <w:t>*</w:t>
            </w:r>
          </w:p>
        </w:tc>
        <w:tc>
          <w:tcPr>
            <w:tcW w:w="392" w:type="pct"/>
            <w:shd w:val="clear" w:color="auto" w:fill="auto"/>
            <w:noWrap/>
          </w:tcPr>
          <w:p w14:paraId="61A82BEA" w14:textId="5C8B0F6B"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-5.114</w:t>
            </w:r>
            <w:r w:rsidR="00315FCE" w:rsidRPr="00315FCE">
              <w:rPr>
                <w:rFonts w:ascii="Times New Roman" w:hAnsi="Times New Roman" w:cs="Times New Roman"/>
                <w:sz w:val="16"/>
                <w:szCs w:val="16"/>
              </w:rPr>
              <w:t>*</w:t>
            </w:r>
          </w:p>
        </w:tc>
        <w:tc>
          <w:tcPr>
            <w:tcW w:w="400" w:type="pct"/>
            <w:shd w:val="clear" w:color="auto" w:fill="auto"/>
            <w:noWrap/>
          </w:tcPr>
          <w:p w14:paraId="0BA99C22" w14:textId="320A9F39"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-5.260</w:t>
            </w:r>
            <w:r w:rsidR="00315FCE" w:rsidRPr="00315FCE">
              <w:rPr>
                <w:rFonts w:ascii="Times New Roman" w:hAnsi="Times New Roman" w:cs="Times New Roman"/>
                <w:sz w:val="16"/>
                <w:szCs w:val="16"/>
              </w:rPr>
              <w:t>*</w:t>
            </w:r>
          </w:p>
        </w:tc>
      </w:tr>
      <w:tr w:rsidR="00C77259" w:rsidRPr="003250CB" w14:paraId="3651D1A4" w14:textId="77777777" w:rsidTr="00D162BA">
        <w:trPr>
          <w:trHeight w:val="493"/>
        </w:trPr>
        <w:tc>
          <w:tcPr>
            <w:tcW w:w="573" w:type="pct"/>
            <w:noWrap/>
            <w:hideMark/>
          </w:tcPr>
          <w:p w14:paraId="59BAEA93"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72C5E650"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2D216DE5"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7681B425"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68E8D3FE"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4719AE7C"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498" w:type="pct"/>
            <w:noWrap/>
            <w:hideMark/>
          </w:tcPr>
          <w:p w14:paraId="3F47A483"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3A7F0AC9"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36CD88A7"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06003B06"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51E50C2D"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400" w:type="pct"/>
            <w:noWrap/>
            <w:hideMark/>
          </w:tcPr>
          <w:p w14:paraId="5B1100A0"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r>
      <w:tr w:rsidR="00C77259" w:rsidRPr="003250CB" w14:paraId="65B56769" w14:textId="77777777" w:rsidTr="00D162BA">
        <w:trPr>
          <w:trHeight w:val="493"/>
        </w:trPr>
        <w:tc>
          <w:tcPr>
            <w:tcW w:w="5000" w:type="pct"/>
            <w:gridSpan w:val="12"/>
            <w:noWrap/>
            <w:hideMark/>
          </w:tcPr>
          <w:p w14:paraId="264FFD4E" w14:textId="5A030194" w:rsidR="004579E8" w:rsidRPr="00D162BA" w:rsidRDefault="004579E8" w:rsidP="00AA27DD">
            <w:pPr>
              <w:autoSpaceDE w:val="0"/>
              <w:autoSpaceDN w:val="0"/>
              <w:adjustRightInd w:val="0"/>
              <w:spacing w:line="360" w:lineRule="auto"/>
              <w:rPr>
                <w:rFonts w:ascii="Times New Roman" w:hAnsi="Times New Roman" w:cs="Times New Roman"/>
                <w:b/>
                <w:bCs/>
                <w:sz w:val="16"/>
                <w:szCs w:val="16"/>
                <w:lang w:bidi="gu-IN"/>
              </w:rPr>
            </w:pPr>
            <w:r w:rsidRPr="00D162BA">
              <w:rPr>
                <w:rFonts w:ascii="Times New Roman" w:hAnsi="Times New Roman" w:cs="Times New Roman"/>
                <w:b/>
                <w:bCs/>
                <w:sz w:val="16"/>
                <w:szCs w:val="16"/>
                <w:lang w:bidi="gu-IN"/>
              </w:rPr>
              <w:t>Panel C. North America</w:t>
            </w:r>
          </w:p>
        </w:tc>
      </w:tr>
      <w:tr w:rsidR="00C77259" w:rsidRPr="003250CB" w14:paraId="357949C9" w14:textId="77777777" w:rsidTr="00D162BA">
        <w:trPr>
          <w:trHeight w:val="493"/>
        </w:trPr>
        <w:tc>
          <w:tcPr>
            <w:tcW w:w="573" w:type="pct"/>
            <w:noWrap/>
            <w:hideMark/>
          </w:tcPr>
          <w:p w14:paraId="7B4D0B52" w14:textId="04916D8B"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lang w:bidi="gu-IN"/>
              </w:rPr>
              <w:t>AAR</w:t>
            </w:r>
          </w:p>
        </w:tc>
        <w:tc>
          <w:tcPr>
            <w:tcW w:w="392" w:type="pct"/>
            <w:shd w:val="clear" w:color="auto" w:fill="auto"/>
            <w:noWrap/>
            <w:hideMark/>
          </w:tcPr>
          <w:p w14:paraId="55B8435F" w14:textId="26329562"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-0.141</w:t>
            </w:r>
          </w:p>
        </w:tc>
        <w:tc>
          <w:tcPr>
            <w:tcW w:w="392" w:type="pct"/>
            <w:shd w:val="clear" w:color="auto" w:fill="auto"/>
            <w:noWrap/>
            <w:hideMark/>
          </w:tcPr>
          <w:p w14:paraId="18FD73A6" w14:textId="0A26EE7F"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0.034</w:t>
            </w:r>
          </w:p>
        </w:tc>
        <w:tc>
          <w:tcPr>
            <w:tcW w:w="392" w:type="pct"/>
            <w:shd w:val="clear" w:color="auto" w:fill="auto"/>
            <w:noWrap/>
            <w:hideMark/>
          </w:tcPr>
          <w:p w14:paraId="4E4A5C81" w14:textId="725B3539"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1.061</w:t>
            </w:r>
          </w:p>
        </w:tc>
        <w:tc>
          <w:tcPr>
            <w:tcW w:w="392" w:type="pct"/>
            <w:shd w:val="clear" w:color="auto" w:fill="auto"/>
            <w:noWrap/>
            <w:hideMark/>
          </w:tcPr>
          <w:p w14:paraId="15CB995B" w14:textId="4E8A4369"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-0.658</w:t>
            </w:r>
          </w:p>
        </w:tc>
        <w:tc>
          <w:tcPr>
            <w:tcW w:w="392" w:type="pct"/>
            <w:shd w:val="clear" w:color="auto" w:fill="auto"/>
            <w:noWrap/>
            <w:hideMark/>
          </w:tcPr>
          <w:p w14:paraId="3EC6FF64" w14:textId="6CBE3C78"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-0.186</w:t>
            </w:r>
          </w:p>
        </w:tc>
        <w:tc>
          <w:tcPr>
            <w:tcW w:w="498" w:type="pct"/>
            <w:shd w:val="clear" w:color="auto" w:fill="auto"/>
            <w:noWrap/>
            <w:hideMark/>
          </w:tcPr>
          <w:p w14:paraId="7340762B" w14:textId="22837B09"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1.357</w:t>
            </w:r>
          </w:p>
        </w:tc>
        <w:tc>
          <w:tcPr>
            <w:tcW w:w="392" w:type="pct"/>
            <w:shd w:val="clear" w:color="auto" w:fill="auto"/>
            <w:noWrap/>
            <w:hideMark/>
          </w:tcPr>
          <w:p w14:paraId="0B023D78" w14:textId="74FC8138"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-0.437</w:t>
            </w:r>
          </w:p>
        </w:tc>
        <w:tc>
          <w:tcPr>
            <w:tcW w:w="392" w:type="pct"/>
            <w:shd w:val="clear" w:color="auto" w:fill="auto"/>
            <w:noWrap/>
            <w:hideMark/>
          </w:tcPr>
          <w:p w14:paraId="6FFCE328" w14:textId="22FB4C82"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-0.040</w:t>
            </w:r>
          </w:p>
        </w:tc>
        <w:tc>
          <w:tcPr>
            <w:tcW w:w="392" w:type="pct"/>
            <w:shd w:val="clear" w:color="auto" w:fill="auto"/>
            <w:noWrap/>
            <w:hideMark/>
          </w:tcPr>
          <w:p w14:paraId="53A36912" w14:textId="71BAAEAB"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0.210</w:t>
            </w:r>
          </w:p>
        </w:tc>
        <w:tc>
          <w:tcPr>
            <w:tcW w:w="392" w:type="pct"/>
            <w:shd w:val="clear" w:color="auto" w:fill="auto"/>
            <w:noWrap/>
            <w:hideMark/>
          </w:tcPr>
          <w:p w14:paraId="3F02B4FA" w14:textId="227170C5"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0.598</w:t>
            </w:r>
          </w:p>
        </w:tc>
        <w:tc>
          <w:tcPr>
            <w:tcW w:w="400" w:type="pct"/>
            <w:shd w:val="clear" w:color="auto" w:fill="auto"/>
            <w:noWrap/>
            <w:hideMark/>
          </w:tcPr>
          <w:p w14:paraId="65E5A1B3" w14:textId="18F538A9"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rPr>
              <w:t>0.278</w:t>
            </w:r>
          </w:p>
        </w:tc>
      </w:tr>
      <w:tr w:rsidR="00C77259" w:rsidRPr="003250CB" w14:paraId="4C11535D" w14:textId="77777777" w:rsidTr="00D162BA">
        <w:trPr>
          <w:trHeight w:val="109"/>
        </w:trPr>
        <w:tc>
          <w:tcPr>
            <w:tcW w:w="573" w:type="pct"/>
            <w:hideMark/>
          </w:tcPr>
          <w:p w14:paraId="0910843B" w14:textId="37EC384D" w:rsidR="004579E8" w:rsidRPr="00315FCE" w:rsidRDefault="00A34752" w:rsidP="00AA27DD">
            <w:pPr>
              <w:autoSpaceDE w:val="0"/>
              <w:autoSpaceDN w:val="0"/>
              <w:adjustRightInd w:val="0"/>
              <w:spacing w:line="360" w:lineRule="auto"/>
              <w:rPr>
                <w:rFonts w:ascii="Times New Roman" w:hAnsi="Times New Roman" w:cs="Times New Roman"/>
                <w:sz w:val="16"/>
                <w:szCs w:val="16"/>
                <w:lang w:bidi="gu-IN"/>
              </w:rPr>
            </w:pPr>
            <m:oMathPara>
              <m:oMath>
                <m:sSub>
                  <m:sSubPr>
                    <m:ctrlPr>
                      <w:rPr>
                        <w:rFonts w:ascii="Cambria Math" w:hAnsi="Cambria Math" w:cs="Times New Roman"/>
                        <w:i/>
                        <w:sz w:val="16"/>
                        <w:szCs w:val="16"/>
                        <w:lang w:bidi="gu-IN"/>
                      </w:rPr>
                    </m:ctrlPr>
                  </m:sSubPr>
                  <m:e>
                    <m:r>
                      <w:rPr>
                        <w:rFonts w:ascii="Cambria Math" w:hAnsi="Cambria Math" w:cs="Times New Roman"/>
                        <w:sz w:val="16"/>
                        <w:szCs w:val="16"/>
                        <w:lang w:bidi="gu-IN"/>
                      </w:rPr>
                      <m:t>t stat</m:t>
                    </m:r>
                  </m:e>
                  <m:sub>
                    <m:r>
                      <w:rPr>
                        <w:rFonts w:ascii="Cambria Math" w:hAnsi="Cambria Math" w:cs="Times New Roman"/>
                        <w:sz w:val="16"/>
                        <w:szCs w:val="16"/>
                        <w:lang w:bidi="gu-IN"/>
                      </w:rPr>
                      <m:t>AAR</m:t>
                    </m:r>
                  </m:sub>
                </m:sSub>
              </m:oMath>
            </m:oMathPara>
          </w:p>
        </w:tc>
        <w:tc>
          <w:tcPr>
            <w:tcW w:w="392" w:type="pct"/>
            <w:shd w:val="clear" w:color="auto" w:fill="auto"/>
            <w:noWrap/>
            <w:hideMark/>
          </w:tcPr>
          <w:p w14:paraId="59AD879A" w14:textId="0B8EF6FA"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-0.528</w:t>
            </w:r>
          </w:p>
        </w:tc>
        <w:tc>
          <w:tcPr>
            <w:tcW w:w="392" w:type="pct"/>
            <w:shd w:val="clear" w:color="auto" w:fill="auto"/>
            <w:noWrap/>
            <w:hideMark/>
          </w:tcPr>
          <w:p w14:paraId="7137F350" w14:textId="1593327E"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0.128</w:t>
            </w:r>
          </w:p>
        </w:tc>
        <w:tc>
          <w:tcPr>
            <w:tcW w:w="392" w:type="pct"/>
            <w:shd w:val="clear" w:color="auto" w:fill="auto"/>
            <w:noWrap/>
            <w:hideMark/>
          </w:tcPr>
          <w:p w14:paraId="0A7E3223" w14:textId="23730B33"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3.977</w:t>
            </w:r>
            <w:r w:rsidR="00D96FDC" w:rsidRPr="00D96FDC">
              <w:rPr>
                <w:rFonts w:ascii="Times New Roman" w:hAnsi="Times New Roman" w:cs="Times New Roman"/>
                <w:sz w:val="16"/>
                <w:szCs w:val="16"/>
              </w:rPr>
              <w:t>*</w:t>
            </w:r>
          </w:p>
        </w:tc>
        <w:tc>
          <w:tcPr>
            <w:tcW w:w="392" w:type="pct"/>
            <w:shd w:val="clear" w:color="auto" w:fill="auto"/>
            <w:noWrap/>
            <w:hideMark/>
          </w:tcPr>
          <w:p w14:paraId="265615C0" w14:textId="3A8BE005"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-2.4</w:t>
            </w:r>
            <w:r w:rsidR="00D96FDC" w:rsidRPr="00D96FDC">
              <w:rPr>
                <w:rFonts w:ascii="Times New Roman" w:hAnsi="Times New Roman" w:cs="Times New Roman"/>
                <w:sz w:val="16"/>
                <w:szCs w:val="16"/>
              </w:rPr>
              <w:t>7**</w:t>
            </w:r>
          </w:p>
        </w:tc>
        <w:tc>
          <w:tcPr>
            <w:tcW w:w="392" w:type="pct"/>
            <w:shd w:val="clear" w:color="auto" w:fill="auto"/>
            <w:noWrap/>
            <w:hideMark/>
          </w:tcPr>
          <w:p w14:paraId="4F8D2098" w14:textId="36890841"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-0.698</w:t>
            </w:r>
          </w:p>
        </w:tc>
        <w:tc>
          <w:tcPr>
            <w:tcW w:w="498" w:type="pct"/>
            <w:shd w:val="clear" w:color="auto" w:fill="auto"/>
            <w:noWrap/>
            <w:hideMark/>
          </w:tcPr>
          <w:p w14:paraId="742849BF" w14:textId="2CAE78FD"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5.085</w:t>
            </w:r>
            <w:r w:rsidR="00D96FDC" w:rsidRPr="00D96FDC">
              <w:rPr>
                <w:rFonts w:ascii="Times New Roman" w:hAnsi="Times New Roman" w:cs="Times New Roman"/>
                <w:sz w:val="16"/>
                <w:szCs w:val="16"/>
              </w:rPr>
              <w:t>*</w:t>
            </w:r>
          </w:p>
        </w:tc>
        <w:tc>
          <w:tcPr>
            <w:tcW w:w="392" w:type="pct"/>
            <w:shd w:val="clear" w:color="auto" w:fill="auto"/>
            <w:noWrap/>
            <w:hideMark/>
          </w:tcPr>
          <w:p w14:paraId="48A21F1E" w14:textId="74E7524D"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-1.636</w:t>
            </w:r>
          </w:p>
        </w:tc>
        <w:tc>
          <w:tcPr>
            <w:tcW w:w="392" w:type="pct"/>
            <w:shd w:val="clear" w:color="auto" w:fill="auto"/>
            <w:noWrap/>
            <w:hideMark/>
          </w:tcPr>
          <w:p w14:paraId="0E90B01F" w14:textId="54363007"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-0.149</w:t>
            </w:r>
          </w:p>
        </w:tc>
        <w:tc>
          <w:tcPr>
            <w:tcW w:w="392" w:type="pct"/>
            <w:shd w:val="clear" w:color="auto" w:fill="auto"/>
            <w:noWrap/>
            <w:hideMark/>
          </w:tcPr>
          <w:p w14:paraId="5FC15027" w14:textId="716CC692"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0.789</w:t>
            </w:r>
          </w:p>
        </w:tc>
        <w:tc>
          <w:tcPr>
            <w:tcW w:w="392" w:type="pct"/>
            <w:shd w:val="clear" w:color="auto" w:fill="auto"/>
            <w:noWrap/>
            <w:hideMark/>
          </w:tcPr>
          <w:p w14:paraId="162CDF88" w14:textId="7CDD69A9"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2.241</w:t>
            </w:r>
            <w:r w:rsidR="00D96FDC" w:rsidRPr="00D96FDC">
              <w:rPr>
                <w:rFonts w:ascii="Times New Roman" w:hAnsi="Times New Roman" w:cs="Times New Roman"/>
                <w:sz w:val="16"/>
                <w:szCs w:val="16"/>
              </w:rPr>
              <w:t>**</w:t>
            </w:r>
          </w:p>
        </w:tc>
        <w:tc>
          <w:tcPr>
            <w:tcW w:w="400" w:type="pct"/>
            <w:shd w:val="clear" w:color="auto" w:fill="auto"/>
            <w:noWrap/>
            <w:hideMark/>
          </w:tcPr>
          <w:p w14:paraId="52882571" w14:textId="4B9FB0BB"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1.043</w:t>
            </w:r>
          </w:p>
        </w:tc>
      </w:tr>
      <w:tr w:rsidR="00C77259" w:rsidRPr="003250CB" w14:paraId="0306CC87" w14:textId="77777777" w:rsidTr="00D162BA">
        <w:trPr>
          <w:trHeight w:val="493"/>
        </w:trPr>
        <w:tc>
          <w:tcPr>
            <w:tcW w:w="573" w:type="pct"/>
            <w:hideMark/>
          </w:tcPr>
          <w:p w14:paraId="4FB80587" w14:textId="268737E0" w:rsidR="004579E8" w:rsidRPr="00315FCE" w:rsidRDefault="004579E8" w:rsidP="00AA27DD">
            <w:pPr>
              <w:autoSpaceDE w:val="0"/>
              <w:autoSpaceDN w:val="0"/>
              <w:adjustRightInd w:val="0"/>
              <w:spacing w:line="360" w:lineRule="auto"/>
              <w:rPr>
                <w:rFonts w:ascii="Times New Roman" w:hAnsi="Times New Roman" w:cs="Times New Roman"/>
                <w:sz w:val="16"/>
                <w:szCs w:val="16"/>
                <w:lang w:bidi="gu-IN"/>
              </w:rPr>
            </w:pPr>
            <w:r w:rsidRPr="00315FCE">
              <w:rPr>
                <w:rFonts w:ascii="Times New Roman" w:hAnsi="Times New Roman" w:cs="Times New Roman"/>
                <w:sz w:val="16"/>
                <w:szCs w:val="16"/>
                <w:lang w:bidi="gu-IN"/>
              </w:rPr>
              <w:t>CAAR</w:t>
            </w:r>
          </w:p>
        </w:tc>
        <w:tc>
          <w:tcPr>
            <w:tcW w:w="392" w:type="pct"/>
            <w:shd w:val="clear" w:color="auto" w:fill="auto"/>
            <w:noWrap/>
          </w:tcPr>
          <w:p w14:paraId="61B8F7B7" w14:textId="484BDF35"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-0.141</w:t>
            </w:r>
          </w:p>
        </w:tc>
        <w:tc>
          <w:tcPr>
            <w:tcW w:w="392" w:type="pct"/>
            <w:shd w:val="clear" w:color="auto" w:fill="auto"/>
            <w:noWrap/>
          </w:tcPr>
          <w:p w14:paraId="100401FF" w14:textId="21BED5F6"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-0.107</w:t>
            </w:r>
          </w:p>
        </w:tc>
        <w:tc>
          <w:tcPr>
            <w:tcW w:w="392" w:type="pct"/>
            <w:shd w:val="clear" w:color="auto" w:fill="auto"/>
            <w:noWrap/>
          </w:tcPr>
          <w:p w14:paraId="04CD574D" w14:textId="312312D0"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0.955</w:t>
            </w:r>
          </w:p>
        </w:tc>
        <w:tc>
          <w:tcPr>
            <w:tcW w:w="392" w:type="pct"/>
            <w:shd w:val="clear" w:color="auto" w:fill="auto"/>
            <w:noWrap/>
          </w:tcPr>
          <w:p w14:paraId="549AD946" w14:textId="2995843D"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0.297</w:t>
            </w:r>
          </w:p>
        </w:tc>
        <w:tc>
          <w:tcPr>
            <w:tcW w:w="392" w:type="pct"/>
            <w:shd w:val="clear" w:color="auto" w:fill="auto"/>
            <w:noWrap/>
          </w:tcPr>
          <w:p w14:paraId="538E2407" w14:textId="67FEE75B"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0.110</w:t>
            </w:r>
          </w:p>
        </w:tc>
        <w:tc>
          <w:tcPr>
            <w:tcW w:w="498" w:type="pct"/>
            <w:shd w:val="clear" w:color="auto" w:fill="auto"/>
            <w:noWrap/>
          </w:tcPr>
          <w:p w14:paraId="0F08F2F8" w14:textId="38FE8E09"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1.467</w:t>
            </w:r>
          </w:p>
        </w:tc>
        <w:tc>
          <w:tcPr>
            <w:tcW w:w="392" w:type="pct"/>
            <w:shd w:val="clear" w:color="auto" w:fill="auto"/>
            <w:noWrap/>
          </w:tcPr>
          <w:p w14:paraId="655DC013" w14:textId="189BD267"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1.031</w:t>
            </w:r>
          </w:p>
        </w:tc>
        <w:tc>
          <w:tcPr>
            <w:tcW w:w="392" w:type="pct"/>
            <w:shd w:val="clear" w:color="auto" w:fill="auto"/>
            <w:noWrap/>
          </w:tcPr>
          <w:p w14:paraId="589E8AA4" w14:textId="2CE378CF"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0.991</w:t>
            </w:r>
          </w:p>
        </w:tc>
        <w:tc>
          <w:tcPr>
            <w:tcW w:w="392" w:type="pct"/>
            <w:shd w:val="clear" w:color="auto" w:fill="auto"/>
            <w:noWrap/>
          </w:tcPr>
          <w:p w14:paraId="5539AB70" w14:textId="2D9E6A4D"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1.202</w:t>
            </w:r>
          </w:p>
        </w:tc>
        <w:tc>
          <w:tcPr>
            <w:tcW w:w="392" w:type="pct"/>
            <w:shd w:val="clear" w:color="auto" w:fill="auto"/>
            <w:noWrap/>
          </w:tcPr>
          <w:p w14:paraId="2072DD2D" w14:textId="3160E24B"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1.800</w:t>
            </w:r>
          </w:p>
        </w:tc>
        <w:tc>
          <w:tcPr>
            <w:tcW w:w="400" w:type="pct"/>
            <w:shd w:val="clear" w:color="auto" w:fill="auto"/>
            <w:noWrap/>
          </w:tcPr>
          <w:p w14:paraId="719BD9FE" w14:textId="6CD6144F"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2.078</w:t>
            </w:r>
          </w:p>
        </w:tc>
      </w:tr>
      <w:tr w:rsidR="00C77259" w:rsidRPr="003250CB" w14:paraId="67874C19" w14:textId="77777777" w:rsidTr="00D162BA">
        <w:trPr>
          <w:trHeight w:val="290"/>
        </w:trPr>
        <w:tc>
          <w:tcPr>
            <w:tcW w:w="573" w:type="pct"/>
            <w:hideMark/>
          </w:tcPr>
          <w:p w14:paraId="36E11635" w14:textId="799F3469" w:rsidR="004579E8" w:rsidRPr="00315FCE" w:rsidRDefault="00A34752" w:rsidP="00AA27DD">
            <w:pPr>
              <w:autoSpaceDE w:val="0"/>
              <w:autoSpaceDN w:val="0"/>
              <w:adjustRightInd w:val="0"/>
              <w:spacing w:line="360" w:lineRule="auto"/>
              <w:rPr>
                <w:rFonts w:ascii="Times New Roman" w:hAnsi="Times New Roman" w:cs="Times New Roman"/>
                <w:sz w:val="16"/>
                <w:szCs w:val="16"/>
                <w:lang w:bidi="gu-IN"/>
              </w:rPr>
            </w:pPr>
            <m:oMathPara>
              <m:oMath>
                <m:sSub>
                  <m:sSubPr>
                    <m:ctrlPr>
                      <w:rPr>
                        <w:rFonts w:ascii="Cambria Math" w:hAnsi="Cambria Math" w:cs="Times New Roman"/>
                        <w:i/>
                        <w:sz w:val="16"/>
                        <w:szCs w:val="16"/>
                        <w:lang w:bidi="gu-IN"/>
                      </w:rPr>
                    </m:ctrlPr>
                  </m:sSubPr>
                  <m:e>
                    <m:r>
                      <w:rPr>
                        <w:rFonts w:ascii="Cambria Math" w:hAnsi="Cambria Math" w:cs="Times New Roman"/>
                        <w:sz w:val="16"/>
                        <w:szCs w:val="16"/>
                        <w:lang w:bidi="gu-IN"/>
                      </w:rPr>
                      <m:t>t stat</m:t>
                    </m:r>
                  </m:e>
                  <m:sub>
                    <m:r>
                      <w:rPr>
                        <w:rFonts w:ascii="Cambria Math" w:hAnsi="Cambria Math" w:cs="Times New Roman"/>
                        <w:sz w:val="16"/>
                        <w:szCs w:val="16"/>
                        <w:lang w:bidi="gu-IN"/>
                      </w:rPr>
                      <m:t>CAAR</m:t>
                    </m:r>
                  </m:sub>
                </m:sSub>
              </m:oMath>
            </m:oMathPara>
          </w:p>
        </w:tc>
        <w:tc>
          <w:tcPr>
            <w:tcW w:w="392" w:type="pct"/>
            <w:shd w:val="clear" w:color="auto" w:fill="auto"/>
            <w:noWrap/>
          </w:tcPr>
          <w:p w14:paraId="741DCDD0" w14:textId="6BD61C53"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-0.236</w:t>
            </w:r>
          </w:p>
        </w:tc>
        <w:tc>
          <w:tcPr>
            <w:tcW w:w="392" w:type="pct"/>
            <w:shd w:val="clear" w:color="auto" w:fill="auto"/>
            <w:noWrap/>
          </w:tcPr>
          <w:p w14:paraId="366D9E3F" w14:textId="10097F49"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-0.200</w:t>
            </w:r>
          </w:p>
        </w:tc>
        <w:tc>
          <w:tcPr>
            <w:tcW w:w="392" w:type="pct"/>
            <w:shd w:val="clear" w:color="auto" w:fill="auto"/>
            <w:noWrap/>
          </w:tcPr>
          <w:p w14:paraId="265CB021" w14:textId="4C509E1F"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2.065</w:t>
            </w:r>
            <w:r w:rsidR="00D96FDC" w:rsidRPr="00D96FDC">
              <w:rPr>
                <w:rFonts w:ascii="Times New Roman" w:hAnsi="Times New Roman" w:cs="Times New Roman"/>
                <w:sz w:val="16"/>
                <w:szCs w:val="16"/>
              </w:rPr>
              <w:t>**</w:t>
            </w:r>
          </w:p>
        </w:tc>
        <w:tc>
          <w:tcPr>
            <w:tcW w:w="392" w:type="pct"/>
            <w:shd w:val="clear" w:color="auto" w:fill="auto"/>
            <w:noWrap/>
          </w:tcPr>
          <w:p w14:paraId="4CDDA247" w14:textId="51FEE19E"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0.786</w:t>
            </w:r>
          </w:p>
        </w:tc>
        <w:tc>
          <w:tcPr>
            <w:tcW w:w="392" w:type="pct"/>
            <w:shd w:val="clear" w:color="auto" w:fill="auto"/>
            <w:noWrap/>
          </w:tcPr>
          <w:p w14:paraId="6DA751C9" w14:textId="3A223C98"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0.414</w:t>
            </w:r>
          </w:p>
        </w:tc>
        <w:tc>
          <w:tcPr>
            <w:tcW w:w="498" w:type="pct"/>
            <w:shd w:val="clear" w:color="auto" w:fill="auto"/>
            <w:noWrap/>
          </w:tcPr>
          <w:p w14:paraId="46F97D9C" w14:textId="4BCEEDA4"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5.499</w:t>
            </w:r>
            <w:r w:rsidR="00D96FDC" w:rsidRPr="00D96FDC">
              <w:rPr>
                <w:rFonts w:ascii="Times New Roman" w:hAnsi="Times New Roman" w:cs="Times New Roman"/>
                <w:sz w:val="16"/>
                <w:szCs w:val="16"/>
              </w:rPr>
              <w:t>*</w:t>
            </w:r>
          </w:p>
        </w:tc>
        <w:tc>
          <w:tcPr>
            <w:tcW w:w="392" w:type="pct"/>
            <w:shd w:val="clear" w:color="auto" w:fill="auto"/>
            <w:noWrap/>
          </w:tcPr>
          <w:p w14:paraId="6C54B198" w14:textId="5C7F995F"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3.863</w:t>
            </w:r>
            <w:r w:rsidR="00D96FDC" w:rsidRPr="00D96FDC">
              <w:rPr>
                <w:rFonts w:ascii="Times New Roman" w:hAnsi="Times New Roman" w:cs="Times New Roman"/>
                <w:sz w:val="16"/>
                <w:szCs w:val="16"/>
              </w:rPr>
              <w:t>*</w:t>
            </w:r>
          </w:p>
        </w:tc>
        <w:tc>
          <w:tcPr>
            <w:tcW w:w="392" w:type="pct"/>
            <w:shd w:val="clear" w:color="auto" w:fill="auto"/>
            <w:noWrap/>
          </w:tcPr>
          <w:p w14:paraId="082E11F4" w14:textId="262BC7D3"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2.626</w:t>
            </w:r>
            <w:r w:rsidR="00D96FDC" w:rsidRPr="00D96FDC">
              <w:rPr>
                <w:rFonts w:ascii="Times New Roman" w:hAnsi="Times New Roman" w:cs="Times New Roman"/>
                <w:sz w:val="16"/>
                <w:szCs w:val="16"/>
              </w:rPr>
              <w:t>*</w:t>
            </w:r>
          </w:p>
        </w:tc>
        <w:tc>
          <w:tcPr>
            <w:tcW w:w="392" w:type="pct"/>
            <w:shd w:val="clear" w:color="auto" w:fill="auto"/>
            <w:noWrap/>
          </w:tcPr>
          <w:p w14:paraId="6A736952" w14:textId="0B5AF17D"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2.600</w:t>
            </w:r>
            <w:r w:rsidR="00D96FDC" w:rsidRPr="00D96FDC">
              <w:rPr>
                <w:rFonts w:ascii="Times New Roman" w:hAnsi="Times New Roman" w:cs="Times New Roman"/>
                <w:sz w:val="16"/>
                <w:szCs w:val="16"/>
              </w:rPr>
              <w:t>*</w:t>
            </w:r>
          </w:p>
        </w:tc>
        <w:tc>
          <w:tcPr>
            <w:tcW w:w="392" w:type="pct"/>
            <w:shd w:val="clear" w:color="auto" w:fill="auto"/>
            <w:noWrap/>
          </w:tcPr>
          <w:p w14:paraId="689C6B05" w14:textId="789DBC38"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3.372</w:t>
            </w:r>
            <w:r w:rsidR="00D96FDC" w:rsidRPr="00D96FDC">
              <w:rPr>
                <w:rFonts w:ascii="Times New Roman" w:hAnsi="Times New Roman" w:cs="Times New Roman"/>
                <w:sz w:val="16"/>
                <w:szCs w:val="16"/>
              </w:rPr>
              <w:t>*</w:t>
            </w:r>
          </w:p>
        </w:tc>
        <w:tc>
          <w:tcPr>
            <w:tcW w:w="400" w:type="pct"/>
            <w:shd w:val="clear" w:color="auto" w:fill="auto"/>
            <w:noWrap/>
          </w:tcPr>
          <w:p w14:paraId="53C27ECC" w14:textId="564AB6FD" w:rsidR="004579E8" w:rsidRPr="00D96FDC" w:rsidRDefault="004579E8" w:rsidP="00AA27DD">
            <w:pPr>
              <w:autoSpaceDE w:val="0"/>
              <w:autoSpaceDN w:val="0"/>
              <w:adjustRightInd w:val="0"/>
              <w:spacing w:line="360" w:lineRule="auto"/>
              <w:rPr>
                <w:rFonts w:ascii="Times New Roman" w:hAnsi="Times New Roman" w:cs="Times New Roman"/>
                <w:sz w:val="16"/>
                <w:szCs w:val="16"/>
                <w:lang w:bidi="gu-IN"/>
              </w:rPr>
            </w:pPr>
            <w:r w:rsidRPr="00D96FDC">
              <w:rPr>
                <w:rFonts w:ascii="Times New Roman" w:hAnsi="Times New Roman" w:cs="Times New Roman"/>
                <w:sz w:val="16"/>
                <w:szCs w:val="16"/>
              </w:rPr>
              <w:t>3.482</w:t>
            </w:r>
            <w:r w:rsidR="00D96FDC" w:rsidRPr="00D96FDC">
              <w:rPr>
                <w:rFonts w:ascii="Times New Roman" w:hAnsi="Times New Roman" w:cs="Times New Roman"/>
                <w:sz w:val="16"/>
                <w:szCs w:val="16"/>
              </w:rPr>
              <w:t>*</w:t>
            </w:r>
          </w:p>
        </w:tc>
      </w:tr>
      <w:tr w:rsidR="00C77259" w:rsidRPr="003250CB" w14:paraId="4D9AE17F" w14:textId="77777777" w:rsidTr="00D162BA">
        <w:trPr>
          <w:trHeight w:val="493"/>
        </w:trPr>
        <w:tc>
          <w:tcPr>
            <w:tcW w:w="573" w:type="pct"/>
            <w:noWrap/>
            <w:hideMark/>
          </w:tcPr>
          <w:p w14:paraId="4C7F3BD0"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48268782"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0929641E"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13F276DE"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57C6DD51"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03254EE3"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498" w:type="pct"/>
            <w:noWrap/>
            <w:hideMark/>
          </w:tcPr>
          <w:p w14:paraId="49500181"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1D567DB2"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1A20D941"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793B3FF1"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7110FCA1"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400" w:type="pct"/>
            <w:noWrap/>
            <w:hideMark/>
          </w:tcPr>
          <w:p w14:paraId="33B8A4E6"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r>
      <w:tr w:rsidR="00C77259" w:rsidRPr="003250CB" w14:paraId="77562FA8" w14:textId="77777777" w:rsidTr="00D162BA">
        <w:trPr>
          <w:trHeight w:val="493"/>
        </w:trPr>
        <w:tc>
          <w:tcPr>
            <w:tcW w:w="5000" w:type="pct"/>
            <w:gridSpan w:val="12"/>
            <w:noWrap/>
            <w:hideMark/>
          </w:tcPr>
          <w:p w14:paraId="3578D37D" w14:textId="7725A4DE" w:rsidR="004579E8" w:rsidRPr="00D162BA" w:rsidRDefault="004579E8" w:rsidP="00AA27DD">
            <w:pPr>
              <w:autoSpaceDE w:val="0"/>
              <w:autoSpaceDN w:val="0"/>
              <w:adjustRightInd w:val="0"/>
              <w:spacing w:line="360" w:lineRule="auto"/>
              <w:rPr>
                <w:rFonts w:ascii="Times New Roman" w:hAnsi="Times New Roman" w:cs="Times New Roman"/>
                <w:b/>
                <w:bCs/>
                <w:sz w:val="16"/>
                <w:szCs w:val="16"/>
                <w:lang w:bidi="gu-IN"/>
              </w:rPr>
            </w:pPr>
            <w:r w:rsidRPr="00D162BA">
              <w:rPr>
                <w:rFonts w:ascii="Times New Roman" w:hAnsi="Times New Roman" w:cs="Times New Roman"/>
                <w:b/>
                <w:bCs/>
                <w:sz w:val="16"/>
                <w:szCs w:val="16"/>
                <w:lang w:bidi="gu-IN"/>
              </w:rPr>
              <w:t>Panel D. Latin America</w:t>
            </w:r>
          </w:p>
        </w:tc>
      </w:tr>
      <w:tr w:rsidR="00C77259" w:rsidRPr="003250CB" w14:paraId="13878B3B" w14:textId="77777777" w:rsidTr="00D162BA">
        <w:trPr>
          <w:trHeight w:val="493"/>
        </w:trPr>
        <w:tc>
          <w:tcPr>
            <w:tcW w:w="573" w:type="pct"/>
            <w:noWrap/>
            <w:hideMark/>
          </w:tcPr>
          <w:p w14:paraId="406F4AA6" w14:textId="31ECCE06"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lang w:bidi="gu-IN"/>
              </w:rPr>
              <w:t>AAR</w:t>
            </w:r>
          </w:p>
        </w:tc>
        <w:tc>
          <w:tcPr>
            <w:tcW w:w="392" w:type="pct"/>
            <w:shd w:val="clear" w:color="auto" w:fill="auto"/>
            <w:noWrap/>
            <w:hideMark/>
          </w:tcPr>
          <w:p w14:paraId="088F9DA5" w14:textId="319F386C"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-0.381</w:t>
            </w:r>
          </w:p>
        </w:tc>
        <w:tc>
          <w:tcPr>
            <w:tcW w:w="392" w:type="pct"/>
            <w:shd w:val="clear" w:color="auto" w:fill="auto"/>
            <w:noWrap/>
            <w:hideMark/>
          </w:tcPr>
          <w:p w14:paraId="089F8688" w14:textId="0AA3D1BD"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-0.170</w:t>
            </w:r>
          </w:p>
        </w:tc>
        <w:tc>
          <w:tcPr>
            <w:tcW w:w="392" w:type="pct"/>
            <w:shd w:val="clear" w:color="auto" w:fill="auto"/>
            <w:noWrap/>
            <w:hideMark/>
          </w:tcPr>
          <w:p w14:paraId="6AF8BCBC" w14:textId="4AD4D6DE"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-0.138</w:t>
            </w:r>
          </w:p>
        </w:tc>
        <w:tc>
          <w:tcPr>
            <w:tcW w:w="392" w:type="pct"/>
            <w:shd w:val="clear" w:color="auto" w:fill="auto"/>
            <w:noWrap/>
            <w:hideMark/>
          </w:tcPr>
          <w:p w14:paraId="636D7460" w14:textId="63A49418"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1.393</w:t>
            </w:r>
          </w:p>
        </w:tc>
        <w:tc>
          <w:tcPr>
            <w:tcW w:w="392" w:type="pct"/>
            <w:shd w:val="clear" w:color="auto" w:fill="auto"/>
            <w:noWrap/>
            <w:hideMark/>
          </w:tcPr>
          <w:p w14:paraId="79167F48" w14:textId="0C0ACC09"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0.019</w:t>
            </w:r>
          </w:p>
        </w:tc>
        <w:tc>
          <w:tcPr>
            <w:tcW w:w="498" w:type="pct"/>
            <w:shd w:val="clear" w:color="auto" w:fill="auto"/>
            <w:noWrap/>
            <w:hideMark/>
          </w:tcPr>
          <w:p w14:paraId="6F1DE963" w14:textId="284F9FF9"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-0.693</w:t>
            </w:r>
          </w:p>
        </w:tc>
        <w:tc>
          <w:tcPr>
            <w:tcW w:w="392" w:type="pct"/>
            <w:shd w:val="clear" w:color="auto" w:fill="auto"/>
            <w:noWrap/>
            <w:hideMark/>
          </w:tcPr>
          <w:p w14:paraId="698F5B18" w14:textId="798F06AA"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-0.838</w:t>
            </w:r>
          </w:p>
        </w:tc>
        <w:tc>
          <w:tcPr>
            <w:tcW w:w="392" w:type="pct"/>
            <w:shd w:val="clear" w:color="auto" w:fill="auto"/>
            <w:noWrap/>
            <w:hideMark/>
          </w:tcPr>
          <w:p w14:paraId="3BA6A9B8" w14:textId="2FD8A5C1"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1.960</w:t>
            </w:r>
          </w:p>
        </w:tc>
        <w:tc>
          <w:tcPr>
            <w:tcW w:w="392" w:type="pct"/>
            <w:shd w:val="clear" w:color="auto" w:fill="auto"/>
            <w:noWrap/>
            <w:hideMark/>
          </w:tcPr>
          <w:p w14:paraId="03C9D74E" w14:textId="499ACAEB"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1.164</w:t>
            </w:r>
          </w:p>
        </w:tc>
        <w:tc>
          <w:tcPr>
            <w:tcW w:w="392" w:type="pct"/>
            <w:shd w:val="clear" w:color="auto" w:fill="auto"/>
            <w:noWrap/>
            <w:hideMark/>
          </w:tcPr>
          <w:p w14:paraId="71558E8B" w14:textId="6490BDBD"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-1.577</w:t>
            </w:r>
          </w:p>
        </w:tc>
        <w:tc>
          <w:tcPr>
            <w:tcW w:w="400" w:type="pct"/>
            <w:shd w:val="clear" w:color="auto" w:fill="auto"/>
            <w:noWrap/>
            <w:hideMark/>
          </w:tcPr>
          <w:p w14:paraId="7A4A6813" w14:textId="6AB61691"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-0.956</w:t>
            </w:r>
          </w:p>
        </w:tc>
      </w:tr>
      <w:tr w:rsidR="00C77259" w:rsidRPr="003250CB" w14:paraId="62D1645F" w14:textId="77777777" w:rsidTr="00D162BA">
        <w:trPr>
          <w:trHeight w:val="237"/>
        </w:trPr>
        <w:tc>
          <w:tcPr>
            <w:tcW w:w="573" w:type="pct"/>
            <w:hideMark/>
          </w:tcPr>
          <w:p w14:paraId="51F50051" w14:textId="321754EC" w:rsidR="004579E8" w:rsidRPr="00365BB0" w:rsidRDefault="00A34752" w:rsidP="00AA27DD">
            <w:pPr>
              <w:autoSpaceDE w:val="0"/>
              <w:autoSpaceDN w:val="0"/>
              <w:adjustRightInd w:val="0"/>
              <w:spacing w:line="360" w:lineRule="auto"/>
              <w:rPr>
                <w:rFonts w:ascii="Times New Roman" w:hAnsi="Times New Roman" w:cs="Times New Roman"/>
                <w:sz w:val="16"/>
                <w:szCs w:val="16"/>
                <w:lang w:bidi="gu-IN"/>
              </w:rPr>
            </w:pPr>
            <m:oMathPara>
              <m:oMath>
                <m:sSub>
                  <m:sSubPr>
                    <m:ctrlPr>
                      <w:rPr>
                        <w:rFonts w:ascii="Cambria Math" w:hAnsi="Cambria Math" w:cs="Times New Roman"/>
                        <w:i/>
                        <w:sz w:val="16"/>
                        <w:szCs w:val="16"/>
                        <w:lang w:bidi="gu-IN"/>
                      </w:rPr>
                    </m:ctrlPr>
                  </m:sSubPr>
                  <m:e>
                    <m:r>
                      <w:rPr>
                        <w:rFonts w:ascii="Cambria Math" w:hAnsi="Cambria Math" w:cs="Times New Roman"/>
                        <w:sz w:val="16"/>
                        <w:szCs w:val="16"/>
                        <w:lang w:bidi="gu-IN"/>
                      </w:rPr>
                      <m:t>t stat</m:t>
                    </m:r>
                  </m:e>
                  <m:sub>
                    <m:r>
                      <w:rPr>
                        <w:rFonts w:ascii="Cambria Math" w:hAnsi="Cambria Math" w:cs="Times New Roman"/>
                        <w:sz w:val="16"/>
                        <w:szCs w:val="16"/>
                        <w:lang w:bidi="gu-IN"/>
                      </w:rPr>
                      <m:t>AAR</m:t>
                    </m:r>
                  </m:sub>
                </m:sSub>
              </m:oMath>
            </m:oMathPara>
          </w:p>
        </w:tc>
        <w:tc>
          <w:tcPr>
            <w:tcW w:w="392" w:type="pct"/>
            <w:shd w:val="clear" w:color="auto" w:fill="auto"/>
            <w:noWrap/>
            <w:hideMark/>
          </w:tcPr>
          <w:p w14:paraId="3F1A11DF" w14:textId="3AE617BA"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-0.383</w:t>
            </w:r>
          </w:p>
        </w:tc>
        <w:tc>
          <w:tcPr>
            <w:tcW w:w="392" w:type="pct"/>
            <w:shd w:val="clear" w:color="auto" w:fill="auto"/>
            <w:noWrap/>
            <w:hideMark/>
          </w:tcPr>
          <w:p w14:paraId="662C67CF" w14:textId="4B9C0AD5"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-0.171</w:t>
            </w:r>
          </w:p>
        </w:tc>
        <w:tc>
          <w:tcPr>
            <w:tcW w:w="392" w:type="pct"/>
            <w:shd w:val="clear" w:color="auto" w:fill="auto"/>
            <w:noWrap/>
            <w:hideMark/>
          </w:tcPr>
          <w:p w14:paraId="50975B32" w14:textId="2790949A"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-0.139</w:t>
            </w:r>
          </w:p>
        </w:tc>
        <w:tc>
          <w:tcPr>
            <w:tcW w:w="392" w:type="pct"/>
            <w:shd w:val="clear" w:color="auto" w:fill="auto"/>
            <w:noWrap/>
            <w:hideMark/>
          </w:tcPr>
          <w:p w14:paraId="599275B0" w14:textId="0451132A"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1.399</w:t>
            </w:r>
          </w:p>
        </w:tc>
        <w:tc>
          <w:tcPr>
            <w:tcW w:w="392" w:type="pct"/>
            <w:shd w:val="clear" w:color="auto" w:fill="auto"/>
            <w:noWrap/>
            <w:hideMark/>
          </w:tcPr>
          <w:p w14:paraId="62B9C9AF" w14:textId="2D69BADE"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0.019</w:t>
            </w:r>
          </w:p>
        </w:tc>
        <w:tc>
          <w:tcPr>
            <w:tcW w:w="498" w:type="pct"/>
            <w:shd w:val="clear" w:color="auto" w:fill="auto"/>
            <w:noWrap/>
            <w:hideMark/>
          </w:tcPr>
          <w:p w14:paraId="0C7B3C3C" w14:textId="4EEBC59E"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-0.696</w:t>
            </w:r>
          </w:p>
        </w:tc>
        <w:tc>
          <w:tcPr>
            <w:tcW w:w="392" w:type="pct"/>
            <w:shd w:val="clear" w:color="auto" w:fill="auto"/>
            <w:noWrap/>
            <w:hideMark/>
          </w:tcPr>
          <w:p w14:paraId="6EC26E5C" w14:textId="6666A8A8"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-0.842</w:t>
            </w:r>
          </w:p>
        </w:tc>
        <w:tc>
          <w:tcPr>
            <w:tcW w:w="392" w:type="pct"/>
            <w:shd w:val="clear" w:color="auto" w:fill="auto"/>
            <w:noWrap/>
            <w:hideMark/>
          </w:tcPr>
          <w:p w14:paraId="3410B1D7" w14:textId="516CA23C"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1.969</w:t>
            </w:r>
            <w:r w:rsidR="00365BB0" w:rsidRPr="00365BB0">
              <w:rPr>
                <w:rFonts w:ascii="Times New Roman" w:hAnsi="Times New Roman" w:cs="Times New Roman"/>
                <w:sz w:val="16"/>
                <w:szCs w:val="16"/>
              </w:rPr>
              <w:t>**</w:t>
            </w:r>
          </w:p>
        </w:tc>
        <w:tc>
          <w:tcPr>
            <w:tcW w:w="392" w:type="pct"/>
            <w:shd w:val="clear" w:color="auto" w:fill="auto"/>
            <w:noWrap/>
            <w:hideMark/>
          </w:tcPr>
          <w:p w14:paraId="7F8346AA" w14:textId="2804A5BD"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1.169</w:t>
            </w:r>
          </w:p>
        </w:tc>
        <w:tc>
          <w:tcPr>
            <w:tcW w:w="392" w:type="pct"/>
            <w:shd w:val="clear" w:color="auto" w:fill="auto"/>
            <w:noWrap/>
            <w:hideMark/>
          </w:tcPr>
          <w:p w14:paraId="6A3AE57C" w14:textId="051D0256"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-1.584</w:t>
            </w:r>
          </w:p>
        </w:tc>
        <w:tc>
          <w:tcPr>
            <w:tcW w:w="400" w:type="pct"/>
            <w:shd w:val="clear" w:color="auto" w:fill="auto"/>
            <w:noWrap/>
            <w:hideMark/>
          </w:tcPr>
          <w:p w14:paraId="7082BE74" w14:textId="2EAA557B"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-0.960</w:t>
            </w:r>
          </w:p>
        </w:tc>
      </w:tr>
      <w:tr w:rsidR="00C77259" w:rsidRPr="003250CB" w14:paraId="029B8604" w14:textId="77777777" w:rsidTr="00D162BA">
        <w:trPr>
          <w:trHeight w:val="493"/>
        </w:trPr>
        <w:tc>
          <w:tcPr>
            <w:tcW w:w="573" w:type="pct"/>
            <w:hideMark/>
          </w:tcPr>
          <w:p w14:paraId="160470A6" w14:textId="5A45E92E"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lang w:bidi="gu-IN"/>
              </w:rPr>
              <w:t>CAAR</w:t>
            </w:r>
          </w:p>
        </w:tc>
        <w:tc>
          <w:tcPr>
            <w:tcW w:w="392" w:type="pct"/>
            <w:shd w:val="clear" w:color="auto" w:fill="auto"/>
            <w:noWrap/>
          </w:tcPr>
          <w:p w14:paraId="43624581" w14:textId="579E0B1A"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-0.381</w:t>
            </w:r>
          </w:p>
        </w:tc>
        <w:tc>
          <w:tcPr>
            <w:tcW w:w="392" w:type="pct"/>
            <w:shd w:val="clear" w:color="auto" w:fill="auto"/>
            <w:noWrap/>
          </w:tcPr>
          <w:p w14:paraId="2C113E5B" w14:textId="651CBFDB"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-0.551</w:t>
            </w:r>
          </w:p>
        </w:tc>
        <w:tc>
          <w:tcPr>
            <w:tcW w:w="392" w:type="pct"/>
            <w:shd w:val="clear" w:color="auto" w:fill="auto"/>
            <w:noWrap/>
          </w:tcPr>
          <w:p w14:paraId="2C91F064" w14:textId="1AF9257A"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-0.690</w:t>
            </w:r>
          </w:p>
        </w:tc>
        <w:tc>
          <w:tcPr>
            <w:tcW w:w="392" w:type="pct"/>
            <w:shd w:val="clear" w:color="auto" w:fill="auto"/>
            <w:noWrap/>
          </w:tcPr>
          <w:p w14:paraId="75C0032B" w14:textId="631F88E4"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0.703</w:t>
            </w:r>
          </w:p>
        </w:tc>
        <w:tc>
          <w:tcPr>
            <w:tcW w:w="392" w:type="pct"/>
            <w:shd w:val="clear" w:color="auto" w:fill="auto"/>
            <w:noWrap/>
          </w:tcPr>
          <w:p w14:paraId="62467677" w14:textId="4BD38F49"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0.723</w:t>
            </w:r>
          </w:p>
        </w:tc>
        <w:tc>
          <w:tcPr>
            <w:tcW w:w="498" w:type="pct"/>
            <w:shd w:val="clear" w:color="auto" w:fill="auto"/>
            <w:noWrap/>
          </w:tcPr>
          <w:p w14:paraId="443B9829" w14:textId="0E2CB20C"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0.029</w:t>
            </w:r>
          </w:p>
        </w:tc>
        <w:tc>
          <w:tcPr>
            <w:tcW w:w="392" w:type="pct"/>
            <w:shd w:val="clear" w:color="auto" w:fill="auto"/>
            <w:noWrap/>
          </w:tcPr>
          <w:p w14:paraId="3D492A12" w14:textId="63B7379F"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-0.809</w:t>
            </w:r>
          </w:p>
        </w:tc>
        <w:tc>
          <w:tcPr>
            <w:tcW w:w="392" w:type="pct"/>
            <w:shd w:val="clear" w:color="auto" w:fill="auto"/>
            <w:noWrap/>
          </w:tcPr>
          <w:p w14:paraId="3ADFD1D3" w14:textId="06DDB09F"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1.151</w:t>
            </w:r>
          </w:p>
        </w:tc>
        <w:tc>
          <w:tcPr>
            <w:tcW w:w="392" w:type="pct"/>
            <w:shd w:val="clear" w:color="auto" w:fill="auto"/>
            <w:noWrap/>
          </w:tcPr>
          <w:p w14:paraId="37816AF6" w14:textId="01CD7FC9"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2.315</w:t>
            </w:r>
          </w:p>
        </w:tc>
        <w:tc>
          <w:tcPr>
            <w:tcW w:w="392" w:type="pct"/>
            <w:shd w:val="clear" w:color="auto" w:fill="auto"/>
            <w:noWrap/>
          </w:tcPr>
          <w:p w14:paraId="7AF13B00" w14:textId="43ABE217"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0.738</w:t>
            </w:r>
          </w:p>
        </w:tc>
        <w:tc>
          <w:tcPr>
            <w:tcW w:w="400" w:type="pct"/>
            <w:shd w:val="clear" w:color="auto" w:fill="auto"/>
            <w:noWrap/>
          </w:tcPr>
          <w:p w14:paraId="137174D3" w14:textId="340D5C4F"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-0.218</w:t>
            </w:r>
          </w:p>
        </w:tc>
      </w:tr>
      <w:tr w:rsidR="00C77259" w:rsidRPr="003250CB" w14:paraId="13F6CB2D" w14:textId="77777777" w:rsidTr="00D162BA">
        <w:trPr>
          <w:trHeight w:val="358"/>
        </w:trPr>
        <w:tc>
          <w:tcPr>
            <w:tcW w:w="573" w:type="pct"/>
            <w:hideMark/>
          </w:tcPr>
          <w:p w14:paraId="2371063F" w14:textId="37398990" w:rsidR="004579E8" w:rsidRPr="00365BB0" w:rsidRDefault="00A34752" w:rsidP="00AA27DD">
            <w:pPr>
              <w:autoSpaceDE w:val="0"/>
              <w:autoSpaceDN w:val="0"/>
              <w:adjustRightInd w:val="0"/>
              <w:spacing w:line="360" w:lineRule="auto"/>
              <w:rPr>
                <w:rFonts w:ascii="Times New Roman" w:hAnsi="Times New Roman" w:cs="Times New Roman"/>
                <w:sz w:val="16"/>
                <w:szCs w:val="16"/>
                <w:lang w:bidi="gu-IN"/>
              </w:rPr>
            </w:pPr>
            <m:oMathPara>
              <m:oMath>
                <m:sSub>
                  <m:sSubPr>
                    <m:ctrlPr>
                      <w:rPr>
                        <w:rFonts w:ascii="Cambria Math" w:hAnsi="Cambria Math" w:cs="Times New Roman"/>
                        <w:i/>
                        <w:sz w:val="16"/>
                        <w:szCs w:val="16"/>
                        <w:lang w:bidi="gu-IN"/>
                      </w:rPr>
                    </m:ctrlPr>
                  </m:sSubPr>
                  <m:e>
                    <m:r>
                      <w:rPr>
                        <w:rFonts w:ascii="Cambria Math" w:hAnsi="Cambria Math" w:cs="Times New Roman"/>
                        <w:sz w:val="16"/>
                        <w:szCs w:val="16"/>
                        <w:lang w:bidi="gu-IN"/>
                      </w:rPr>
                      <m:t>t stat</m:t>
                    </m:r>
                  </m:e>
                  <m:sub>
                    <m:r>
                      <w:rPr>
                        <w:rFonts w:ascii="Cambria Math" w:hAnsi="Cambria Math" w:cs="Times New Roman"/>
                        <w:sz w:val="16"/>
                        <w:szCs w:val="16"/>
                        <w:lang w:bidi="gu-IN"/>
                      </w:rPr>
                      <m:t>CAAR</m:t>
                    </m:r>
                  </m:sub>
                </m:sSub>
              </m:oMath>
            </m:oMathPara>
          </w:p>
        </w:tc>
        <w:tc>
          <w:tcPr>
            <w:tcW w:w="392" w:type="pct"/>
            <w:shd w:val="clear" w:color="auto" w:fill="auto"/>
            <w:noWrap/>
          </w:tcPr>
          <w:p w14:paraId="42095A9B" w14:textId="7F9B05E8"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-0.171</w:t>
            </w:r>
          </w:p>
        </w:tc>
        <w:tc>
          <w:tcPr>
            <w:tcW w:w="392" w:type="pct"/>
            <w:shd w:val="clear" w:color="auto" w:fill="auto"/>
            <w:noWrap/>
          </w:tcPr>
          <w:p w14:paraId="7BE5D43B" w14:textId="793E92DC"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-0.277</w:t>
            </w:r>
          </w:p>
        </w:tc>
        <w:tc>
          <w:tcPr>
            <w:tcW w:w="392" w:type="pct"/>
            <w:shd w:val="clear" w:color="auto" w:fill="auto"/>
            <w:noWrap/>
          </w:tcPr>
          <w:p w14:paraId="3B0BD92A" w14:textId="7094EC3E"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-0.400</w:t>
            </w:r>
          </w:p>
        </w:tc>
        <w:tc>
          <w:tcPr>
            <w:tcW w:w="392" w:type="pct"/>
            <w:shd w:val="clear" w:color="auto" w:fill="auto"/>
            <w:noWrap/>
          </w:tcPr>
          <w:p w14:paraId="5096F24E" w14:textId="1C37FD23"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0.500</w:t>
            </w:r>
          </w:p>
        </w:tc>
        <w:tc>
          <w:tcPr>
            <w:tcW w:w="392" w:type="pct"/>
            <w:shd w:val="clear" w:color="auto" w:fill="auto"/>
            <w:noWrap/>
          </w:tcPr>
          <w:p w14:paraId="49DA7034" w14:textId="2AF6EFDF"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0.726</w:t>
            </w:r>
          </w:p>
        </w:tc>
        <w:tc>
          <w:tcPr>
            <w:tcW w:w="498" w:type="pct"/>
            <w:shd w:val="clear" w:color="auto" w:fill="auto"/>
            <w:noWrap/>
          </w:tcPr>
          <w:p w14:paraId="5C0F5ADF" w14:textId="5E5D14C7"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0.029</w:t>
            </w:r>
          </w:p>
        </w:tc>
        <w:tc>
          <w:tcPr>
            <w:tcW w:w="392" w:type="pct"/>
            <w:shd w:val="clear" w:color="auto" w:fill="auto"/>
            <w:noWrap/>
          </w:tcPr>
          <w:p w14:paraId="541E1100" w14:textId="33F2FD2C"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-0.813</w:t>
            </w:r>
          </w:p>
        </w:tc>
        <w:tc>
          <w:tcPr>
            <w:tcW w:w="392" w:type="pct"/>
            <w:shd w:val="clear" w:color="auto" w:fill="auto"/>
            <w:noWrap/>
          </w:tcPr>
          <w:p w14:paraId="207F0DBC" w14:textId="0BE74386"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0.818</w:t>
            </w:r>
          </w:p>
        </w:tc>
        <w:tc>
          <w:tcPr>
            <w:tcW w:w="392" w:type="pct"/>
            <w:shd w:val="clear" w:color="auto" w:fill="auto"/>
            <w:noWrap/>
          </w:tcPr>
          <w:p w14:paraId="453EABE1" w14:textId="42162A8B"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1.342</w:t>
            </w:r>
          </w:p>
        </w:tc>
        <w:tc>
          <w:tcPr>
            <w:tcW w:w="392" w:type="pct"/>
            <w:shd w:val="clear" w:color="auto" w:fill="auto"/>
            <w:noWrap/>
          </w:tcPr>
          <w:p w14:paraId="1054B4A0" w14:textId="676AFF8B"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0.371</w:t>
            </w:r>
          </w:p>
        </w:tc>
        <w:tc>
          <w:tcPr>
            <w:tcW w:w="400" w:type="pct"/>
            <w:shd w:val="clear" w:color="auto" w:fill="auto"/>
            <w:noWrap/>
          </w:tcPr>
          <w:p w14:paraId="1CA22875" w14:textId="0EDA6AAA" w:rsidR="004579E8" w:rsidRPr="00365BB0" w:rsidRDefault="004579E8" w:rsidP="00AA27DD">
            <w:pPr>
              <w:autoSpaceDE w:val="0"/>
              <w:autoSpaceDN w:val="0"/>
              <w:adjustRightInd w:val="0"/>
              <w:spacing w:line="360" w:lineRule="auto"/>
              <w:rPr>
                <w:rFonts w:ascii="Times New Roman" w:hAnsi="Times New Roman" w:cs="Times New Roman"/>
                <w:sz w:val="16"/>
                <w:szCs w:val="16"/>
                <w:lang w:bidi="gu-IN"/>
              </w:rPr>
            </w:pPr>
            <w:r w:rsidRPr="00365BB0">
              <w:rPr>
                <w:rFonts w:ascii="Times New Roman" w:hAnsi="Times New Roman" w:cs="Times New Roman"/>
                <w:sz w:val="16"/>
                <w:szCs w:val="16"/>
              </w:rPr>
              <w:t>-0.098</w:t>
            </w:r>
          </w:p>
        </w:tc>
      </w:tr>
      <w:tr w:rsidR="00C77259" w:rsidRPr="003250CB" w14:paraId="132CE6CF" w14:textId="77777777" w:rsidTr="00D162BA">
        <w:trPr>
          <w:trHeight w:val="493"/>
        </w:trPr>
        <w:tc>
          <w:tcPr>
            <w:tcW w:w="573" w:type="pct"/>
            <w:noWrap/>
            <w:hideMark/>
          </w:tcPr>
          <w:p w14:paraId="7DDD3970"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2AF17174"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0B9A3B0C"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36D7EEE9"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14F5394A"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1EA37ACA"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498" w:type="pct"/>
            <w:noWrap/>
            <w:hideMark/>
          </w:tcPr>
          <w:p w14:paraId="00AA65FD"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24173CC8"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2A837C08"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113A06CE"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392" w:type="pct"/>
            <w:noWrap/>
            <w:hideMark/>
          </w:tcPr>
          <w:p w14:paraId="7A23B807"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c>
          <w:tcPr>
            <w:tcW w:w="400" w:type="pct"/>
            <w:noWrap/>
            <w:hideMark/>
          </w:tcPr>
          <w:p w14:paraId="4757ED06" w14:textId="77777777" w:rsidR="004579E8" w:rsidRPr="003250CB" w:rsidRDefault="004579E8" w:rsidP="00AA27DD">
            <w:pPr>
              <w:autoSpaceDE w:val="0"/>
              <w:autoSpaceDN w:val="0"/>
              <w:adjustRightInd w:val="0"/>
              <w:spacing w:line="360" w:lineRule="auto"/>
              <w:rPr>
                <w:rFonts w:ascii="Times New Roman" w:hAnsi="Times New Roman" w:cs="Times New Roman"/>
                <w:color w:val="0070C0"/>
                <w:sz w:val="16"/>
                <w:szCs w:val="16"/>
                <w:lang w:bidi="gu-IN"/>
              </w:rPr>
            </w:pPr>
          </w:p>
        </w:tc>
      </w:tr>
      <w:tr w:rsidR="00C77259" w:rsidRPr="003250CB" w14:paraId="6E3BB273" w14:textId="77777777" w:rsidTr="00D162BA">
        <w:trPr>
          <w:trHeight w:val="493"/>
        </w:trPr>
        <w:tc>
          <w:tcPr>
            <w:tcW w:w="5000" w:type="pct"/>
            <w:gridSpan w:val="12"/>
            <w:noWrap/>
            <w:hideMark/>
          </w:tcPr>
          <w:p w14:paraId="66E80604" w14:textId="03F9C7EC" w:rsidR="004579E8" w:rsidRPr="00D162BA" w:rsidRDefault="004579E8" w:rsidP="00AA27DD">
            <w:pPr>
              <w:autoSpaceDE w:val="0"/>
              <w:autoSpaceDN w:val="0"/>
              <w:adjustRightInd w:val="0"/>
              <w:spacing w:line="360" w:lineRule="auto"/>
              <w:rPr>
                <w:rFonts w:ascii="Times New Roman" w:hAnsi="Times New Roman" w:cs="Times New Roman"/>
                <w:b/>
                <w:bCs/>
                <w:color w:val="0070C0"/>
                <w:sz w:val="16"/>
                <w:szCs w:val="16"/>
                <w:lang w:bidi="gu-IN"/>
              </w:rPr>
            </w:pPr>
            <w:r w:rsidRPr="00D162BA">
              <w:rPr>
                <w:rFonts w:ascii="Times New Roman" w:hAnsi="Times New Roman" w:cs="Times New Roman"/>
                <w:b/>
                <w:bCs/>
                <w:sz w:val="16"/>
                <w:szCs w:val="16"/>
                <w:lang w:bidi="gu-IN"/>
              </w:rPr>
              <w:t>Panel E. Middle East and Africa</w:t>
            </w:r>
          </w:p>
        </w:tc>
      </w:tr>
      <w:tr w:rsidR="00C77259" w:rsidRPr="003250CB" w14:paraId="67A8AC05" w14:textId="77777777" w:rsidTr="00D162BA">
        <w:trPr>
          <w:trHeight w:val="493"/>
        </w:trPr>
        <w:tc>
          <w:tcPr>
            <w:tcW w:w="573" w:type="pct"/>
            <w:noWrap/>
            <w:hideMark/>
          </w:tcPr>
          <w:p w14:paraId="0339CE4E" w14:textId="16BAB9C0"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lang w:bidi="gu-IN"/>
              </w:rPr>
              <w:t>AAR</w:t>
            </w:r>
          </w:p>
        </w:tc>
        <w:tc>
          <w:tcPr>
            <w:tcW w:w="392" w:type="pct"/>
            <w:shd w:val="clear" w:color="auto" w:fill="auto"/>
            <w:noWrap/>
            <w:hideMark/>
          </w:tcPr>
          <w:p w14:paraId="5BAC48CC" w14:textId="08A6E494"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0.177</w:t>
            </w:r>
          </w:p>
        </w:tc>
        <w:tc>
          <w:tcPr>
            <w:tcW w:w="392" w:type="pct"/>
            <w:shd w:val="clear" w:color="auto" w:fill="auto"/>
            <w:noWrap/>
            <w:hideMark/>
          </w:tcPr>
          <w:p w14:paraId="7B71985E" w14:textId="4256B3C1"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0.479</w:t>
            </w:r>
          </w:p>
        </w:tc>
        <w:tc>
          <w:tcPr>
            <w:tcW w:w="392" w:type="pct"/>
            <w:shd w:val="clear" w:color="auto" w:fill="auto"/>
            <w:noWrap/>
            <w:hideMark/>
          </w:tcPr>
          <w:p w14:paraId="4FEF5252" w14:textId="52AD149D"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-0.266</w:t>
            </w:r>
          </w:p>
        </w:tc>
        <w:tc>
          <w:tcPr>
            <w:tcW w:w="392" w:type="pct"/>
            <w:shd w:val="clear" w:color="auto" w:fill="auto"/>
            <w:noWrap/>
            <w:hideMark/>
          </w:tcPr>
          <w:p w14:paraId="2B35FD84" w14:textId="7AE95B92"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0.117</w:t>
            </w:r>
          </w:p>
        </w:tc>
        <w:tc>
          <w:tcPr>
            <w:tcW w:w="392" w:type="pct"/>
            <w:shd w:val="clear" w:color="auto" w:fill="auto"/>
            <w:noWrap/>
            <w:hideMark/>
          </w:tcPr>
          <w:p w14:paraId="514B6FBE" w14:textId="511C7D07"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0.002</w:t>
            </w:r>
          </w:p>
        </w:tc>
        <w:tc>
          <w:tcPr>
            <w:tcW w:w="498" w:type="pct"/>
            <w:shd w:val="clear" w:color="auto" w:fill="auto"/>
            <w:noWrap/>
            <w:hideMark/>
          </w:tcPr>
          <w:p w14:paraId="560AAE1B" w14:textId="7B26C66F"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-1.612</w:t>
            </w:r>
          </w:p>
        </w:tc>
        <w:tc>
          <w:tcPr>
            <w:tcW w:w="392" w:type="pct"/>
            <w:shd w:val="clear" w:color="auto" w:fill="auto"/>
            <w:noWrap/>
            <w:hideMark/>
          </w:tcPr>
          <w:p w14:paraId="72C612BA" w14:textId="63A7DE35"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0.442</w:t>
            </w:r>
          </w:p>
        </w:tc>
        <w:tc>
          <w:tcPr>
            <w:tcW w:w="392" w:type="pct"/>
            <w:shd w:val="clear" w:color="auto" w:fill="auto"/>
            <w:noWrap/>
            <w:hideMark/>
          </w:tcPr>
          <w:p w14:paraId="33C9705E" w14:textId="5C1C61B8"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1.652</w:t>
            </w:r>
          </w:p>
        </w:tc>
        <w:tc>
          <w:tcPr>
            <w:tcW w:w="392" w:type="pct"/>
            <w:shd w:val="clear" w:color="auto" w:fill="auto"/>
            <w:noWrap/>
            <w:hideMark/>
          </w:tcPr>
          <w:p w14:paraId="51E8974C" w14:textId="201C3538"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1.043</w:t>
            </w:r>
          </w:p>
        </w:tc>
        <w:tc>
          <w:tcPr>
            <w:tcW w:w="392" w:type="pct"/>
            <w:shd w:val="clear" w:color="auto" w:fill="auto"/>
            <w:noWrap/>
            <w:hideMark/>
          </w:tcPr>
          <w:p w14:paraId="63010D95" w14:textId="2A9CBE66"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0.241</w:t>
            </w:r>
          </w:p>
        </w:tc>
        <w:tc>
          <w:tcPr>
            <w:tcW w:w="400" w:type="pct"/>
            <w:shd w:val="clear" w:color="auto" w:fill="auto"/>
            <w:noWrap/>
            <w:hideMark/>
          </w:tcPr>
          <w:p w14:paraId="3A72F834" w14:textId="0DA00F56"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0.209</w:t>
            </w:r>
          </w:p>
        </w:tc>
      </w:tr>
      <w:tr w:rsidR="00C77259" w:rsidRPr="003250CB" w14:paraId="704854DA" w14:textId="77777777" w:rsidTr="00D162BA">
        <w:trPr>
          <w:trHeight w:val="393"/>
        </w:trPr>
        <w:tc>
          <w:tcPr>
            <w:tcW w:w="573" w:type="pct"/>
            <w:hideMark/>
          </w:tcPr>
          <w:p w14:paraId="4CDC2072" w14:textId="5E325760" w:rsidR="004579E8" w:rsidRPr="004D0791" w:rsidRDefault="00A34752" w:rsidP="00AA27DD">
            <w:pPr>
              <w:autoSpaceDE w:val="0"/>
              <w:autoSpaceDN w:val="0"/>
              <w:adjustRightInd w:val="0"/>
              <w:spacing w:line="360" w:lineRule="auto"/>
              <w:rPr>
                <w:rFonts w:ascii="Times New Roman" w:hAnsi="Times New Roman" w:cs="Times New Roman"/>
                <w:sz w:val="16"/>
                <w:szCs w:val="16"/>
                <w:lang w:bidi="gu-IN"/>
              </w:rPr>
            </w:pPr>
            <m:oMathPara>
              <m:oMath>
                <m:sSub>
                  <m:sSubPr>
                    <m:ctrlPr>
                      <w:rPr>
                        <w:rFonts w:ascii="Cambria Math" w:hAnsi="Cambria Math" w:cs="Times New Roman"/>
                        <w:i/>
                        <w:sz w:val="16"/>
                        <w:szCs w:val="16"/>
                        <w:lang w:bidi="gu-IN"/>
                      </w:rPr>
                    </m:ctrlPr>
                  </m:sSubPr>
                  <m:e>
                    <m:r>
                      <w:rPr>
                        <w:rFonts w:ascii="Cambria Math" w:hAnsi="Cambria Math" w:cs="Times New Roman"/>
                        <w:sz w:val="16"/>
                        <w:szCs w:val="16"/>
                        <w:lang w:bidi="gu-IN"/>
                      </w:rPr>
                      <m:t>t stat</m:t>
                    </m:r>
                  </m:e>
                  <m:sub>
                    <m:r>
                      <w:rPr>
                        <w:rFonts w:ascii="Cambria Math" w:hAnsi="Cambria Math" w:cs="Times New Roman"/>
                        <w:sz w:val="16"/>
                        <w:szCs w:val="16"/>
                        <w:lang w:bidi="gu-IN"/>
                      </w:rPr>
                      <m:t>AAR</m:t>
                    </m:r>
                  </m:sub>
                </m:sSub>
              </m:oMath>
            </m:oMathPara>
          </w:p>
        </w:tc>
        <w:tc>
          <w:tcPr>
            <w:tcW w:w="392" w:type="pct"/>
            <w:shd w:val="clear" w:color="auto" w:fill="auto"/>
            <w:noWrap/>
            <w:hideMark/>
          </w:tcPr>
          <w:p w14:paraId="33D58D15" w14:textId="501496E4"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0.259</w:t>
            </w:r>
          </w:p>
        </w:tc>
        <w:tc>
          <w:tcPr>
            <w:tcW w:w="392" w:type="pct"/>
            <w:shd w:val="clear" w:color="auto" w:fill="auto"/>
            <w:noWrap/>
            <w:hideMark/>
          </w:tcPr>
          <w:p w14:paraId="2292260A" w14:textId="75B74964"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0.700</w:t>
            </w:r>
          </w:p>
        </w:tc>
        <w:tc>
          <w:tcPr>
            <w:tcW w:w="392" w:type="pct"/>
            <w:shd w:val="clear" w:color="auto" w:fill="auto"/>
            <w:noWrap/>
            <w:hideMark/>
          </w:tcPr>
          <w:p w14:paraId="5BCA0514" w14:textId="4D22B6F3"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-0.390</w:t>
            </w:r>
          </w:p>
        </w:tc>
        <w:tc>
          <w:tcPr>
            <w:tcW w:w="392" w:type="pct"/>
            <w:shd w:val="clear" w:color="auto" w:fill="auto"/>
            <w:noWrap/>
            <w:hideMark/>
          </w:tcPr>
          <w:p w14:paraId="7031B9FD" w14:textId="48F57051"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0.171</w:t>
            </w:r>
          </w:p>
        </w:tc>
        <w:tc>
          <w:tcPr>
            <w:tcW w:w="392" w:type="pct"/>
            <w:shd w:val="clear" w:color="auto" w:fill="auto"/>
            <w:noWrap/>
            <w:hideMark/>
          </w:tcPr>
          <w:p w14:paraId="3EB90410" w14:textId="36292F59"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0.002</w:t>
            </w:r>
          </w:p>
        </w:tc>
        <w:tc>
          <w:tcPr>
            <w:tcW w:w="498" w:type="pct"/>
            <w:shd w:val="clear" w:color="auto" w:fill="auto"/>
            <w:noWrap/>
            <w:hideMark/>
          </w:tcPr>
          <w:p w14:paraId="5ADDBC0B" w14:textId="0608EBD5"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-2.357</w:t>
            </w:r>
            <w:r w:rsidR="004D0791" w:rsidRPr="004D0791">
              <w:rPr>
                <w:rFonts w:ascii="Times New Roman" w:hAnsi="Times New Roman" w:cs="Times New Roman"/>
                <w:sz w:val="16"/>
                <w:szCs w:val="16"/>
              </w:rPr>
              <w:t>**</w:t>
            </w:r>
          </w:p>
        </w:tc>
        <w:tc>
          <w:tcPr>
            <w:tcW w:w="392" w:type="pct"/>
            <w:shd w:val="clear" w:color="auto" w:fill="auto"/>
            <w:noWrap/>
            <w:hideMark/>
          </w:tcPr>
          <w:p w14:paraId="0783D0DC" w14:textId="3DD29B42"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0.646</w:t>
            </w:r>
          </w:p>
        </w:tc>
        <w:tc>
          <w:tcPr>
            <w:tcW w:w="392" w:type="pct"/>
            <w:shd w:val="clear" w:color="auto" w:fill="auto"/>
            <w:noWrap/>
            <w:hideMark/>
          </w:tcPr>
          <w:p w14:paraId="66F039BF" w14:textId="425380DA"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2.415</w:t>
            </w:r>
            <w:r w:rsidR="004D0791" w:rsidRPr="004D0791">
              <w:rPr>
                <w:rFonts w:ascii="Times New Roman" w:hAnsi="Times New Roman" w:cs="Times New Roman"/>
                <w:sz w:val="16"/>
                <w:szCs w:val="16"/>
              </w:rPr>
              <w:t>**</w:t>
            </w:r>
          </w:p>
        </w:tc>
        <w:tc>
          <w:tcPr>
            <w:tcW w:w="392" w:type="pct"/>
            <w:shd w:val="clear" w:color="auto" w:fill="auto"/>
            <w:noWrap/>
            <w:hideMark/>
          </w:tcPr>
          <w:p w14:paraId="28E44C93" w14:textId="25729718"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1.526</w:t>
            </w:r>
          </w:p>
        </w:tc>
        <w:tc>
          <w:tcPr>
            <w:tcW w:w="392" w:type="pct"/>
            <w:shd w:val="clear" w:color="auto" w:fill="auto"/>
            <w:noWrap/>
            <w:hideMark/>
          </w:tcPr>
          <w:p w14:paraId="595A645D" w14:textId="080B74B0"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0.352</w:t>
            </w:r>
          </w:p>
        </w:tc>
        <w:tc>
          <w:tcPr>
            <w:tcW w:w="400" w:type="pct"/>
            <w:shd w:val="clear" w:color="auto" w:fill="auto"/>
            <w:noWrap/>
            <w:hideMark/>
          </w:tcPr>
          <w:p w14:paraId="7BC93021" w14:textId="187A7B65"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0.306</w:t>
            </w:r>
          </w:p>
        </w:tc>
      </w:tr>
      <w:tr w:rsidR="00C77259" w:rsidRPr="003250CB" w14:paraId="06DB5BD2" w14:textId="77777777" w:rsidTr="00D162BA">
        <w:trPr>
          <w:trHeight w:val="493"/>
        </w:trPr>
        <w:tc>
          <w:tcPr>
            <w:tcW w:w="573" w:type="pct"/>
            <w:hideMark/>
          </w:tcPr>
          <w:p w14:paraId="21EC1A92" w14:textId="0948C70D"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lang w:bidi="gu-IN"/>
              </w:rPr>
              <w:t>CAAR</w:t>
            </w:r>
          </w:p>
        </w:tc>
        <w:tc>
          <w:tcPr>
            <w:tcW w:w="392" w:type="pct"/>
            <w:shd w:val="clear" w:color="auto" w:fill="auto"/>
            <w:noWrap/>
          </w:tcPr>
          <w:p w14:paraId="79C411C0" w14:textId="2DDC9A60"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0.177</w:t>
            </w:r>
          </w:p>
        </w:tc>
        <w:tc>
          <w:tcPr>
            <w:tcW w:w="392" w:type="pct"/>
            <w:shd w:val="clear" w:color="auto" w:fill="auto"/>
            <w:noWrap/>
          </w:tcPr>
          <w:p w14:paraId="71E9F439" w14:textId="031B0FB3"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0.656</w:t>
            </w:r>
          </w:p>
        </w:tc>
        <w:tc>
          <w:tcPr>
            <w:tcW w:w="392" w:type="pct"/>
            <w:shd w:val="clear" w:color="auto" w:fill="auto"/>
            <w:noWrap/>
          </w:tcPr>
          <w:p w14:paraId="374B2A1D" w14:textId="4035E9B2"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0.389</w:t>
            </w:r>
          </w:p>
        </w:tc>
        <w:tc>
          <w:tcPr>
            <w:tcW w:w="392" w:type="pct"/>
            <w:shd w:val="clear" w:color="auto" w:fill="auto"/>
            <w:noWrap/>
          </w:tcPr>
          <w:p w14:paraId="599B7AAB" w14:textId="6F5316D3"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0.507</w:t>
            </w:r>
          </w:p>
        </w:tc>
        <w:tc>
          <w:tcPr>
            <w:tcW w:w="392" w:type="pct"/>
            <w:shd w:val="clear" w:color="auto" w:fill="auto"/>
            <w:noWrap/>
          </w:tcPr>
          <w:p w14:paraId="3CBDCDAF" w14:textId="619F803B"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0.508</w:t>
            </w:r>
          </w:p>
        </w:tc>
        <w:tc>
          <w:tcPr>
            <w:tcW w:w="498" w:type="pct"/>
            <w:shd w:val="clear" w:color="auto" w:fill="auto"/>
            <w:noWrap/>
          </w:tcPr>
          <w:p w14:paraId="58888B10" w14:textId="3F0740B5"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-1.104</w:t>
            </w:r>
          </w:p>
        </w:tc>
        <w:tc>
          <w:tcPr>
            <w:tcW w:w="392" w:type="pct"/>
            <w:shd w:val="clear" w:color="auto" w:fill="auto"/>
            <w:noWrap/>
          </w:tcPr>
          <w:p w14:paraId="094BD283" w14:textId="144A4177"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-0.662</w:t>
            </w:r>
          </w:p>
        </w:tc>
        <w:tc>
          <w:tcPr>
            <w:tcW w:w="392" w:type="pct"/>
            <w:shd w:val="clear" w:color="auto" w:fill="auto"/>
            <w:noWrap/>
          </w:tcPr>
          <w:p w14:paraId="3CD79C12" w14:textId="7FBE204F"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0.990</w:t>
            </w:r>
          </w:p>
        </w:tc>
        <w:tc>
          <w:tcPr>
            <w:tcW w:w="392" w:type="pct"/>
            <w:shd w:val="clear" w:color="auto" w:fill="auto"/>
            <w:noWrap/>
          </w:tcPr>
          <w:p w14:paraId="368B2606" w14:textId="3BEA6BBD"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2.033</w:t>
            </w:r>
          </w:p>
        </w:tc>
        <w:tc>
          <w:tcPr>
            <w:tcW w:w="392" w:type="pct"/>
            <w:shd w:val="clear" w:color="auto" w:fill="auto"/>
            <w:noWrap/>
          </w:tcPr>
          <w:p w14:paraId="133E7299" w14:textId="2B340103"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2.274</w:t>
            </w:r>
          </w:p>
        </w:tc>
        <w:tc>
          <w:tcPr>
            <w:tcW w:w="400" w:type="pct"/>
            <w:shd w:val="clear" w:color="auto" w:fill="auto"/>
            <w:noWrap/>
          </w:tcPr>
          <w:p w14:paraId="5DBF16D2" w14:textId="05179148" w:rsidR="004579E8" w:rsidRPr="0086460E" w:rsidRDefault="004579E8" w:rsidP="00AA27DD">
            <w:pPr>
              <w:autoSpaceDE w:val="0"/>
              <w:autoSpaceDN w:val="0"/>
              <w:adjustRightInd w:val="0"/>
              <w:spacing w:line="360" w:lineRule="auto"/>
              <w:rPr>
                <w:rFonts w:ascii="Times New Roman" w:hAnsi="Times New Roman" w:cs="Times New Roman"/>
                <w:sz w:val="16"/>
                <w:szCs w:val="16"/>
                <w:lang w:bidi="gu-IN"/>
              </w:rPr>
            </w:pPr>
            <w:r w:rsidRPr="0086460E">
              <w:rPr>
                <w:rFonts w:ascii="Times New Roman" w:hAnsi="Times New Roman" w:cs="Times New Roman"/>
                <w:sz w:val="16"/>
                <w:szCs w:val="16"/>
              </w:rPr>
              <w:t>2.483</w:t>
            </w:r>
          </w:p>
        </w:tc>
      </w:tr>
      <w:tr w:rsidR="00C77259" w:rsidRPr="003250CB" w14:paraId="6BA057E5" w14:textId="77777777" w:rsidTr="00D162BA">
        <w:trPr>
          <w:trHeight w:val="600"/>
        </w:trPr>
        <w:tc>
          <w:tcPr>
            <w:tcW w:w="573" w:type="pct"/>
            <w:hideMark/>
          </w:tcPr>
          <w:p w14:paraId="285E3F7D" w14:textId="19CF4690" w:rsidR="004579E8" w:rsidRPr="004D0791" w:rsidRDefault="00A34752" w:rsidP="00AA27DD">
            <w:pPr>
              <w:autoSpaceDE w:val="0"/>
              <w:autoSpaceDN w:val="0"/>
              <w:adjustRightInd w:val="0"/>
              <w:spacing w:line="360" w:lineRule="auto"/>
              <w:rPr>
                <w:rFonts w:ascii="Times New Roman" w:hAnsi="Times New Roman" w:cs="Times New Roman"/>
                <w:sz w:val="16"/>
                <w:szCs w:val="16"/>
                <w:lang w:bidi="gu-IN"/>
              </w:rPr>
            </w:pPr>
            <m:oMathPara>
              <m:oMath>
                <m:sSub>
                  <m:sSubPr>
                    <m:ctrlPr>
                      <w:rPr>
                        <w:rFonts w:ascii="Cambria Math" w:hAnsi="Cambria Math" w:cs="Times New Roman"/>
                        <w:i/>
                        <w:sz w:val="16"/>
                        <w:szCs w:val="16"/>
                        <w:lang w:bidi="gu-IN"/>
                      </w:rPr>
                    </m:ctrlPr>
                  </m:sSubPr>
                  <m:e>
                    <m:r>
                      <w:rPr>
                        <w:rFonts w:ascii="Cambria Math" w:hAnsi="Cambria Math" w:cs="Times New Roman"/>
                        <w:sz w:val="16"/>
                        <w:szCs w:val="16"/>
                        <w:lang w:bidi="gu-IN"/>
                      </w:rPr>
                      <m:t>t stat</m:t>
                    </m:r>
                  </m:e>
                  <m:sub>
                    <m:r>
                      <w:rPr>
                        <w:rFonts w:ascii="Cambria Math" w:hAnsi="Cambria Math" w:cs="Times New Roman"/>
                        <w:sz w:val="16"/>
                        <w:szCs w:val="16"/>
                        <w:lang w:bidi="gu-IN"/>
                      </w:rPr>
                      <m:t>CAAR</m:t>
                    </m:r>
                  </m:sub>
                </m:sSub>
              </m:oMath>
            </m:oMathPara>
          </w:p>
        </w:tc>
        <w:tc>
          <w:tcPr>
            <w:tcW w:w="392" w:type="pct"/>
            <w:shd w:val="clear" w:color="auto" w:fill="auto"/>
            <w:noWrap/>
          </w:tcPr>
          <w:p w14:paraId="42B65ABA" w14:textId="742D2BAE"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0.116</w:t>
            </w:r>
          </w:p>
        </w:tc>
        <w:tc>
          <w:tcPr>
            <w:tcW w:w="392" w:type="pct"/>
            <w:shd w:val="clear" w:color="auto" w:fill="auto"/>
            <w:noWrap/>
          </w:tcPr>
          <w:p w14:paraId="68C373E0" w14:textId="03F198B8"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0.480</w:t>
            </w:r>
          </w:p>
        </w:tc>
        <w:tc>
          <w:tcPr>
            <w:tcW w:w="392" w:type="pct"/>
            <w:shd w:val="clear" w:color="auto" w:fill="auto"/>
            <w:noWrap/>
          </w:tcPr>
          <w:p w14:paraId="2D413E34" w14:textId="667C6A89"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0.329</w:t>
            </w:r>
          </w:p>
        </w:tc>
        <w:tc>
          <w:tcPr>
            <w:tcW w:w="392" w:type="pct"/>
            <w:shd w:val="clear" w:color="auto" w:fill="auto"/>
            <w:noWrap/>
          </w:tcPr>
          <w:p w14:paraId="3AFC24F6" w14:textId="4E10039A"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0.524</w:t>
            </w:r>
          </w:p>
        </w:tc>
        <w:tc>
          <w:tcPr>
            <w:tcW w:w="392" w:type="pct"/>
            <w:shd w:val="clear" w:color="auto" w:fill="auto"/>
            <w:noWrap/>
          </w:tcPr>
          <w:p w14:paraId="7622C38F" w14:textId="5767121F"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0.743</w:t>
            </w:r>
          </w:p>
        </w:tc>
        <w:tc>
          <w:tcPr>
            <w:tcW w:w="498" w:type="pct"/>
            <w:shd w:val="clear" w:color="auto" w:fill="auto"/>
            <w:noWrap/>
          </w:tcPr>
          <w:p w14:paraId="2EB54F1E" w14:textId="282F0DAC"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-1.614</w:t>
            </w:r>
          </w:p>
        </w:tc>
        <w:tc>
          <w:tcPr>
            <w:tcW w:w="392" w:type="pct"/>
            <w:shd w:val="clear" w:color="auto" w:fill="auto"/>
            <w:noWrap/>
          </w:tcPr>
          <w:p w14:paraId="7CA909A3" w14:textId="302C543B"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-0.968</w:t>
            </w:r>
          </w:p>
        </w:tc>
        <w:tc>
          <w:tcPr>
            <w:tcW w:w="392" w:type="pct"/>
            <w:shd w:val="clear" w:color="auto" w:fill="auto"/>
            <w:noWrap/>
          </w:tcPr>
          <w:p w14:paraId="7BE3A6F3" w14:textId="2FA81F9F"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1.023</w:t>
            </w:r>
          </w:p>
        </w:tc>
        <w:tc>
          <w:tcPr>
            <w:tcW w:w="392" w:type="pct"/>
            <w:shd w:val="clear" w:color="auto" w:fill="auto"/>
            <w:noWrap/>
          </w:tcPr>
          <w:p w14:paraId="6788B87A" w14:textId="1AAC707F"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1.716</w:t>
            </w:r>
            <w:r w:rsidR="004D0791" w:rsidRPr="004D0791">
              <w:rPr>
                <w:rFonts w:ascii="Times New Roman" w:hAnsi="Times New Roman" w:cs="Times New Roman"/>
                <w:sz w:val="16"/>
                <w:szCs w:val="16"/>
              </w:rPr>
              <w:t>***</w:t>
            </w:r>
          </w:p>
        </w:tc>
        <w:tc>
          <w:tcPr>
            <w:tcW w:w="392" w:type="pct"/>
            <w:shd w:val="clear" w:color="auto" w:fill="auto"/>
            <w:noWrap/>
          </w:tcPr>
          <w:p w14:paraId="031A186F" w14:textId="38ABB3F7"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1.663</w:t>
            </w:r>
            <w:r w:rsidR="004D0791" w:rsidRPr="004D0791">
              <w:rPr>
                <w:rFonts w:ascii="Times New Roman" w:hAnsi="Times New Roman" w:cs="Times New Roman"/>
                <w:sz w:val="16"/>
                <w:szCs w:val="16"/>
              </w:rPr>
              <w:t>***</w:t>
            </w:r>
          </w:p>
        </w:tc>
        <w:tc>
          <w:tcPr>
            <w:tcW w:w="400" w:type="pct"/>
            <w:shd w:val="clear" w:color="auto" w:fill="auto"/>
            <w:noWrap/>
          </w:tcPr>
          <w:p w14:paraId="1B281452" w14:textId="25A06B5F" w:rsidR="004579E8" w:rsidRPr="004D0791" w:rsidRDefault="004579E8" w:rsidP="00AA27DD">
            <w:pPr>
              <w:autoSpaceDE w:val="0"/>
              <w:autoSpaceDN w:val="0"/>
              <w:adjustRightInd w:val="0"/>
              <w:spacing w:line="360" w:lineRule="auto"/>
              <w:rPr>
                <w:rFonts w:ascii="Times New Roman" w:hAnsi="Times New Roman" w:cs="Times New Roman"/>
                <w:sz w:val="16"/>
                <w:szCs w:val="16"/>
                <w:lang w:bidi="gu-IN"/>
              </w:rPr>
            </w:pPr>
            <w:r w:rsidRPr="004D0791">
              <w:rPr>
                <w:rFonts w:ascii="Times New Roman" w:hAnsi="Times New Roman" w:cs="Times New Roman"/>
                <w:sz w:val="16"/>
                <w:szCs w:val="16"/>
              </w:rPr>
              <w:t>1.624</w:t>
            </w:r>
          </w:p>
        </w:tc>
      </w:tr>
    </w:tbl>
    <w:p w14:paraId="40C1118C" w14:textId="7C5619F4" w:rsidR="00212161" w:rsidRPr="00C77259" w:rsidRDefault="00473D20" w:rsidP="00D162BA">
      <w:pPr>
        <w:autoSpaceDE w:val="0"/>
        <w:autoSpaceDN w:val="0"/>
        <w:adjustRightInd w:val="0"/>
        <w:spacing w:after="0" w:line="360" w:lineRule="auto"/>
        <w:rPr>
          <w:rFonts w:ascii="Times New Roman" w:hAnsi="Times New Roman" w:cs="Times New Roman"/>
          <w:color w:val="0070C0"/>
          <w:sz w:val="18"/>
          <w:szCs w:val="18"/>
          <w:lang w:bidi="gu-IN"/>
        </w:rPr>
      </w:pPr>
      <w:r w:rsidRPr="004D0791">
        <w:rPr>
          <w:rFonts w:ascii="Times New Roman" w:hAnsi="Times New Roman" w:cs="Times New Roman"/>
          <w:sz w:val="16"/>
          <w:szCs w:val="16"/>
          <w:lang w:bidi="gu-IN"/>
        </w:rPr>
        <w:t>Notes: *Significant at p-value of 0.01 (1% level) **Significant at p-value of 0.05 (5% level). ***Significant at p-value of 0.10 (10% level).</w:t>
      </w:r>
      <w:bookmarkEnd w:id="9"/>
    </w:p>
    <w:p w14:paraId="0C633DD3" w14:textId="56477223" w:rsidR="00212161" w:rsidRPr="00C77259" w:rsidRDefault="00212161" w:rsidP="00212161">
      <w:pPr>
        <w:rPr>
          <w:rFonts w:ascii="Times New Roman" w:hAnsi="Times New Roman" w:cs="Times New Roman"/>
          <w:color w:val="0070C0"/>
          <w:sz w:val="18"/>
          <w:szCs w:val="18"/>
          <w:lang w:bidi="gu-IN"/>
        </w:rPr>
      </w:pPr>
    </w:p>
    <w:sectPr w:rsidR="00212161" w:rsidRPr="00C77259" w:rsidSect="00D162BA">
      <w:pgSz w:w="11906" w:h="16838"/>
      <w:pgMar w:top="1440" w:right="864" w:bottom="1440"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CDB86" w14:textId="77777777" w:rsidR="00A34752" w:rsidRDefault="00A34752" w:rsidP="00A1141B">
      <w:pPr>
        <w:spacing w:after="0" w:line="240" w:lineRule="auto"/>
      </w:pPr>
      <w:r>
        <w:separator/>
      </w:r>
    </w:p>
  </w:endnote>
  <w:endnote w:type="continuationSeparator" w:id="0">
    <w:p w14:paraId="30F3A887" w14:textId="77777777" w:rsidR="00A34752" w:rsidRDefault="00A34752" w:rsidP="00A1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8A86" w14:textId="77777777" w:rsidR="00A34752" w:rsidRDefault="00A34752" w:rsidP="00A1141B">
      <w:pPr>
        <w:spacing w:after="0" w:line="240" w:lineRule="auto"/>
      </w:pPr>
      <w:r>
        <w:separator/>
      </w:r>
    </w:p>
  </w:footnote>
  <w:footnote w:type="continuationSeparator" w:id="0">
    <w:p w14:paraId="66CC8DF9" w14:textId="77777777" w:rsidR="00A34752" w:rsidRDefault="00A34752" w:rsidP="00A1141B">
      <w:pPr>
        <w:spacing w:after="0" w:line="240" w:lineRule="auto"/>
      </w:pPr>
      <w:r>
        <w:continuationSeparator/>
      </w:r>
    </w:p>
  </w:footnote>
  <w:footnote w:id="1">
    <w:p w14:paraId="708FF198" w14:textId="4AB87AAB" w:rsidR="00C54B5B" w:rsidRPr="00F370A5" w:rsidRDefault="00C54B5B">
      <w:pPr>
        <w:pStyle w:val="FootnoteText"/>
        <w:rPr>
          <w:lang w:val="en-GB"/>
        </w:rPr>
      </w:pPr>
      <w:r>
        <w:rPr>
          <w:rStyle w:val="FootnoteReference"/>
        </w:rPr>
        <w:footnoteRef/>
      </w:r>
      <w:r>
        <w:t xml:space="preserve"> </w:t>
      </w:r>
      <w:r w:rsidRPr="00F370A5">
        <w:t>https://www.theguardian.com/world/2022/mar/06/ukraine-fastest-growing-refugee-crisis-since-second-world-war</w:t>
      </w:r>
    </w:p>
  </w:footnote>
  <w:footnote w:id="2">
    <w:p w14:paraId="16E1BA55" w14:textId="02235027" w:rsidR="00C54B5B" w:rsidRPr="00E43A3A" w:rsidRDefault="00C54B5B">
      <w:pPr>
        <w:pStyle w:val="FootnoteText"/>
        <w:rPr>
          <w:lang w:val="en-GB"/>
        </w:rPr>
      </w:pPr>
      <w:r>
        <w:rPr>
          <w:rStyle w:val="FootnoteReference"/>
        </w:rPr>
        <w:footnoteRef/>
      </w:r>
      <w:r>
        <w:t xml:space="preserve"> </w:t>
      </w:r>
      <w:r w:rsidRPr="00E43A3A">
        <w:t>https://en.wikipedia.org/wiki/On_conducting_a_special_military_operation</w:t>
      </w:r>
    </w:p>
  </w:footnote>
  <w:footnote w:id="3">
    <w:p w14:paraId="37A9221D" w14:textId="2CD0BF5D" w:rsidR="00C54B5B" w:rsidRPr="00A1141B" w:rsidRDefault="00C54B5B">
      <w:pPr>
        <w:pStyle w:val="FootnoteText"/>
        <w:rPr>
          <w:lang w:val="en-US"/>
        </w:rPr>
      </w:pPr>
      <w:r>
        <w:rPr>
          <w:rStyle w:val="FootnoteReference"/>
        </w:rPr>
        <w:footnoteRef/>
      </w:r>
      <w:r>
        <w:t xml:space="preserve"> </w:t>
      </w:r>
      <w:r w:rsidRPr="00A1141B">
        <w:rPr>
          <w:sz w:val="18"/>
          <w:szCs w:val="18"/>
          <w:lang w:val="en-US"/>
        </w:rPr>
        <w:t>Sources: https://wits.worldbank.org/countrysnapshot/en/RUSSIA</w:t>
      </w:r>
    </w:p>
  </w:footnote>
  <w:footnote w:id="4">
    <w:p w14:paraId="2589C499" w14:textId="1A4F1330" w:rsidR="00C54B5B" w:rsidRPr="00320192" w:rsidRDefault="00C54B5B">
      <w:pPr>
        <w:pStyle w:val="FootnoteText"/>
        <w:rPr>
          <w:lang w:val="en-GB"/>
        </w:rPr>
      </w:pPr>
      <w:r>
        <w:rPr>
          <w:rStyle w:val="FootnoteReference"/>
        </w:rPr>
        <w:footnoteRef/>
      </w:r>
      <w:r>
        <w:t xml:space="preserve"> Please see Yarovaya et al. (2020) for comprehensive literature review on information transmission mechanism </w:t>
      </w:r>
      <w:r w:rsidRPr="00320192">
        <w:t>https://papers.ssrn.com/sol3/papers.cfm?abstract_id=3602973</w:t>
      </w:r>
    </w:p>
  </w:footnote>
  <w:footnote w:id="5">
    <w:p w14:paraId="1702B387" w14:textId="6A3E8FEF" w:rsidR="00C54B5B" w:rsidRPr="00AC4654" w:rsidRDefault="00C54B5B" w:rsidP="00AC4654">
      <w:pPr>
        <w:pStyle w:val="FootnoteText"/>
        <w:jc w:val="both"/>
        <w:rPr>
          <w:rFonts w:ascii="Times New Roman" w:hAnsi="Times New Roman" w:cs="Times New Roman"/>
          <w:sz w:val="18"/>
          <w:szCs w:val="18"/>
          <w:lang w:val="en-US"/>
        </w:rPr>
      </w:pPr>
      <w:r>
        <w:rPr>
          <w:rStyle w:val="FootnoteReference"/>
        </w:rPr>
        <w:footnoteRef/>
      </w:r>
      <w:r>
        <w:t xml:space="preserve"> </w:t>
      </w:r>
      <w:r w:rsidRPr="00AC4654">
        <w:rPr>
          <w:rFonts w:ascii="Times New Roman" w:hAnsi="Times New Roman" w:cs="Times New Roman"/>
          <w:sz w:val="18"/>
          <w:szCs w:val="18"/>
        </w:rPr>
        <w:t xml:space="preserve">Here, we have adjusted the dates for few markets after the </w:t>
      </w:r>
      <w:r w:rsidR="006659CF">
        <w:rPr>
          <w:rFonts w:ascii="Times New Roman" w:hAnsi="Times New Roman" w:cs="Times New Roman"/>
          <w:sz w:val="18"/>
          <w:szCs w:val="18"/>
        </w:rPr>
        <w:t>conflict</w:t>
      </w:r>
      <w:r w:rsidRPr="00AC4654">
        <w:rPr>
          <w:rFonts w:ascii="Times New Roman" w:hAnsi="Times New Roman" w:cs="Times New Roman"/>
          <w:sz w:val="18"/>
          <w:szCs w:val="18"/>
        </w:rPr>
        <w:t xml:space="preserve"> breakout, as on few days the some of the market remains closed due to public holidays. Hence, in order to have data of five trading days, post </w:t>
      </w:r>
      <w:r w:rsidR="006659CF">
        <w:rPr>
          <w:rFonts w:ascii="Times New Roman" w:hAnsi="Times New Roman" w:cs="Times New Roman"/>
          <w:sz w:val="18"/>
          <w:szCs w:val="18"/>
        </w:rPr>
        <w:t>conflict</w:t>
      </w:r>
      <w:r w:rsidRPr="00AC4654">
        <w:rPr>
          <w:rFonts w:ascii="Times New Roman" w:hAnsi="Times New Roman" w:cs="Times New Roman"/>
          <w:sz w:val="18"/>
          <w:szCs w:val="18"/>
        </w:rPr>
        <w:t xml:space="preserve"> breakout, we have covered the data of Indonesia and Korea till 4th March 2022, and for Argentina and Brazil till 7th March 2022. Russian stock market was closed after 25 February 2022, hence we have only one day data in during </w:t>
      </w:r>
      <w:r w:rsidR="006659CF">
        <w:rPr>
          <w:rFonts w:ascii="Times New Roman" w:hAnsi="Times New Roman" w:cs="Times New Roman"/>
          <w:sz w:val="18"/>
          <w:szCs w:val="18"/>
        </w:rPr>
        <w:t>the conflict</w:t>
      </w:r>
      <w:r w:rsidRPr="00AC4654">
        <w:rPr>
          <w:rFonts w:ascii="Times New Roman" w:hAnsi="Times New Roman" w:cs="Times New Roman"/>
          <w:sz w:val="18"/>
          <w:szCs w:val="18"/>
        </w:rPr>
        <w:t xml:space="preserve"> period for Russian market.</w:t>
      </w:r>
    </w:p>
  </w:footnote>
  <w:footnote w:id="6">
    <w:p w14:paraId="79702620" w14:textId="6D9797EF" w:rsidR="00C54B5B" w:rsidRPr="004B3E6E" w:rsidRDefault="00C54B5B" w:rsidP="004B3E6E">
      <w:pPr>
        <w:pStyle w:val="FootnoteText"/>
        <w:jc w:val="both"/>
        <w:rPr>
          <w:rFonts w:ascii="Times New Roman" w:hAnsi="Times New Roman" w:cs="Times New Roman"/>
          <w:sz w:val="18"/>
          <w:szCs w:val="18"/>
          <w:lang w:val="en-US"/>
        </w:rPr>
      </w:pPr>
      <w:r>
        <w:rPr>
          <w:rStyle w:val="FootnoteReference"/>
        </w:rPr>
        <w:footnoteRef/>
      </w:r>
      <w:r>
        <w:t xml:space="preserve"> </w:t>
      </w:r>
      <w:r w:rsidRPr="004B3E6E">
        <w:rPr>
          <w:rFonts w:ascii="Times New Roman" w:hAnsi="Times New Roman" w:cs="Times New Roman"/>
          <w:sz w:val="18"/>
          <w:szCs w:val="18"/>
        </w:rPr>
        <w:t>The M</w:t>
      </w:r>
      <w:r>
        <w:rPr>
          <w:rFonts w:ascii="Times New Roman" w:hAnsi="Times New Roman" w:cs="Times New Roman"/>
          <w:sz w:val="18"/>
          <w:szCs w:val="18"/>
        </w:rPr>
        <w:t>SCI</w:t>
      </w:r>
      <w:r w:rsidRPr="004B3E6E">
        <w:rPr>
          <w:rFonts w:ascii="Times New Roman" w:hAnsi="Times New Roman" w:cs="Times New Roman"/>
          <w:sz w:val="18"/>
          <w:szCs w:val="18"/>
        </w:rPr>
        <w:t xml:space="preserve"> </w:t>
      </w:r>
      <w:r>
        <w:rPr>
          <w:rFonts w:ascii="Times New Roman" w:hAnsi="Times New Roman" w:cs="Times New Roman"/>
          <w:sz w:val="18"/>
          <w:szCs w:val="18"/>
        </w:rPr>
        <w:t xml:space="preserve">has designed the </w:t>
      </w:r>
      <w:r w:rsidRPr="004B3E6E">
        <w:rPr>
          <w:rFonts w:ascii="Times New Roman" w:hAnsi="Times New Roman" w:cs="Times New Roman"/>
          <w:sz w:val="18"/>
          <w:szCs w:val="18"/>
        </w:rPr>
        <w:t>ACWI</w:t>
      </w:r>
      <w:r>
        <w:rPr>
          <w:rFonts w:ascii="Times New Roman" w:hAnsi="Times New Roman" w:cs="Times New Roman"/>
          <w:sz w:val="18"/>
          <w:szCs w:val="18"/>
        </w:rPr>
        <w:t xml:space="preserve">, </w:t>
      </w:r>
      <w:r w:rsidRPr="004B3E6E">
        <w:rPr>
          <w:rFonts w:ascii="Times New Roman" w:hAnsi="Times New Roman" w:cs="Times New Roman"/>
          <w:sz w:val="18"/>
          <w:szCs w:val="18"/>
        </w:rPr>
        <w:t>a market capitalization-weighted index and provides a broad measure of equity-market performance throughout the world. We have selected the ACWI as it covers various developed and emerging markets of the world.</w:t>
      </w:r>
    </w:p>
  </w:footnote>
  <w:footnote w:id="7">
    <w:p w14:paraId="3C1D5DC8" w14:textId="49E63FC0" w:rsidR="00C54B5B" w:rsidRPr="00BA00ED" w:rsidRDefault="00C54B5B">
      <w:pPr>
        <w:pStyle w:val="FootnoteText"/>
        <w:rPr>
          <w:lang w:val="en-US"/>
        </w:rPr>
      </w:pPr>
      <w:r>
        <w:rPr>
          <w:rStyle w:val="FootnoteReference"/>
        </w:rPr>
        <w:footnoteRef/>
      </w:r>
      <w:r>
        <w:t xml:space="preserve"> </w:t>
      </w:r>
      <w:r w:rsidRPr="00BA00ED">
        <w:rPr>
          <w:rFonts w:ascii="Times New Roman" w:hAnsi="Times New Roman" w:cs="Times New Roman"/>
          <w:sz w:val="18"/>
          <w:szCs w:val="18"/>
          <w:lang w:val="en-US"/>
        </w:rPr>
        <w:t>Source: https://www.aljazeera.com/news/2022/2/18/g7-says-ready-for-serious-dialogue-with-russia-on-ukraine-live</w:t>
      </w:r>
    </w:p>
  </w:footnote>
  <w:footnote w:id="8">
    <w:p w14:paraId="38B7FAF9" w14:textId="5A4CA727" w:rsidR="00C54B5B" w:rsidRPr="00BB53B5" w:rsidRDefault="00C54B5B">
      <w:pPr>
        <w:pStyle w:val="FootnoteText"/>
        <w:rPr>
          <w:lang w:val="en-US"/>
        </w:rPr>
      </w:pPr>
      <w:r>
        <w:rPr>
          <w:rStyle w:val="FootnoteReference"/>
        </w:rPr>
        <w:footnoteRef/>
      </w:r>
      <w:r>
        <w:t xml:space="preserve"> </w:t>
      </w:r>
      <w:r w:rsidRPr="00BB53B5">
        <w:rPr>
          <w:rFonts w:ascii="Times New Roman" w:hAnsi="Times New Roman" w:cs="Times New Roman"/>
          <w:sz w:val="18"/>
          <w:szCs w:val="18"/>
          <w:lang w:val="en-US"/>
        </w:rPr>
        <w:t>Source: https://www.bbc.com/news/av/world-europe-60470900</w:t>
      </w:r>
    </w:p>
  </w:footnote>
  <w:footnote w:id="9">
    <w:p w14:paraId="721030A9" w14:textId="17731362" w:rsidR="00C54B5B" w:rsidRPr="002A1B0E" w:rsidRDefault="00C54B5B">
      <w:pPr>
        <w:pStyle w:val="FootnoteText"/>
        <w:rPr>
          <w:lang w:val="en-US"/>
        </w:rPr>
      </w:pPr>
      <w:r>
        <w:rPr>
          <w:rStyle w:val="FootnoteReference"/>
        </w:rPr>
        <w:footnoteRef/>
      </w:r>
      <w:r>
        <w:t xml:space="preserve"> </w:t>
      </w:r>
      <w:r w:rsidRPr="002A1B0E">
        <w:rPr>
          <w:rFonts w:ascii="Times New Roman" w:hAnsi="Times New Roman" w:cs="Times New Roman"/>
          <w:sz w:val="18"/>
          <w:szCs w:val="18"/>
          <w:lang w:val="en-US"/>
        </w:rPr>
        <w:t>Source: https://graphics.reuters.com/UKRAINE-CRISIS/SANCTIONS/byvrjenzmve/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31F70"/>
    <w:multiLevelType w:val="hybridMultilevel"/>
    <w:tmpl w:val="F7FE63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CEC7187"/>
    <w:multiLevelType w:val="hybridMultilevel"/>
    <w:tmpl w:val="2E3623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84721631">
    <w:abstractNumId w:val="1"/>
  </w:num>
  <w:num w:numId="2" w16cid:durableId="5729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43"/>
    <w:rsid w:val="00005CB5"/>
    <w:rsid w:val="00005EBE"/>
    <w:rsid w:val="0002062D"/>
    <w:rsid w:val="000209EE"/>
    <w:rsid w:val="000458FE"/>
    <w:rsid w:val="00047AE1"/>
    <w:rsid w:val="000560C1"/>
    <w:rsid w:val="000619FA"/>
    <w:rsid w:val="000766F7"/>
    <w:rsid w:val="0008500F"/>
    <w:rsid w:val="0008630F"/>
    <w:rsid w:val="00092330"/>
    <w:rsid w:val="000924EA"/>
    <w:rsid w:val="000941E3"/>
    <w:rsid w:val="0009504C"/>
    <w:rsid w:val="000966BE"/>
    <w:rsid w:val="00096733"/>
    <w:rsid w:val="00096CDF"/>
    <w:rsid w:val="00096E70"/>
    <w:rsid w:val="00097622"/>
    <w:rsid w:val="000A100C"/>
    <w:rsid w:val="000A39A1"/>
    <w:rsid w:val="000A4DFE"/>
    <w:rsid w:val="000B3ED2"/>
    <w:rsid w:val="000B5253"/>
    <w:rsid w:val="000B596A"/>
    <w:rsid w:val="000B7E29"/>
    <w:rsid w:val="000C2C2A"/>
    <w:rsid w:val="000C4005"/>
    <w:rsid w:val="000C52C8"/>
    <w:rsid w:val="000D0D6C"/>
    <w:rsid w:val="000D19F1"/>
    <w:rsid w:val="000D3B9E"/>
    <w:rsid w:val="000D3E7C"/>
    <w:rsid w:val="000D40FA"/>
    <w:rsid w:val="000D4203"/>
    <w:rsid w:val="000D5085"/>
    <w:rsid w:val="000D54EF"/>
    <w:rsid w:val="000E4D7E"/>
    <w:rsid w:val="000E5E95"/>
    <w:rsid w:val="000F1725"/>
    <w:rsid w:val="000F2278"/>
    <w:rsid w:val="000F26D5"/>
    <w:rsid w:val="000F5CAB"/>
    <w:rsid w:val="000F7BA4"/>
    <w:rsid w:val="000F7C63"/>
    <w:rsid w:val="00111917"/>
    <w:rsid w:val="001127D0"/>
    <w:rsid w:val="0012455D"/>
    <w:rsid w:val="00125D74"/>
    <w:rsid w:val="00126035"/>
    <w:rsid w:val="0012647A"/>
    <w:rsid w:val="00141269"/>
    <w:rsid w:val="00143828"/>
    <w:rsid w:val="00143F54"/>
    <w:rsid w:val="001522B4"/>
    <w:rsid w:val="0015256B"/>
    <w:rsid w:val="00153471"/>
    <w:rsid w:val="00161B40"/>
    <w:rsid w:val="00161FC2"/>
    <w:rsid w:val="0016266E"/>
    <w:rsid w:val="001726BE"/>
    <w:rsid w:val="00174942"/>
    <w:rsid w:val="001749F9"/>
    <w:rsid w:val="00176923"/>
    <w:rsid w:val="00181EA6"/>
    <w:rsid w:val="0018200B"/>
    <w:rsid w:val="00187E3C"/>
    <w:rsid w:val="00191301"/>
    <w:rsid w:val="00191324"/>
    <w:rsid w:val="00196A76"/>
    <w:rsid w:val="001A0C8A"/>
    <w:rsid w:val="001A0ED5"/>
    <w:rsid w:val="001B0589"/>
    <w:rsid w:val="001B0F0F"/>
    <w:rsid w:val="001B1541"/>
    <w:rsid w:val="001B1CA5"/>
    <w:rsid w:val="001B3341"/>
    <w:rsid w:val="001B342D"/>
    <w:rsid w:val="001B3530"/>
    <w:rsid w:val="001B434A"/>
    <w:rsid w:val="001C32BE"/>
    <w:rsid w:val="001C412E"/>
    <w:rsid w:val="001C4566"/>
    <w:rsid w:val="001D194B"/>
    <w:rsid w:val="001D2155"/>
    <w:rsid w:val="001E3974"/>
    <w:rsid w:val="001E4AC4"/>
    <w:rsid w:val="001E4F05"/>
    <w:rsid w:val="001E7C00"/>
    <w:rsid w:val="001F3028"/>
    <w:rsid w:val="001F4602"/>
    <w:rsid w:val="001F58C8"/>
    <w:rsid w:val="001F7804"/>
    <w:rsid w:val="00212161"/>
    <w:rsid w:val="002224A2"/>
    <w:rsid w:val="00222A2B"/>
    <w:rsid w:val="0022435F"/>
    <w:rsid w:val="002363D8"/>
    <w:rsid w:val="00241FD5"/>
    <w:rsid w:val="002420F2"/>
    <w:rsid w:val="002506F4"/>
    <w:rsid w:val="00251DB0"/>
    <w:rsid w:val="00251E77"/>
    <w:rsid w:val="002534E1"/>
    <w:rsid w:val="00260496"/>
    <w:rsid w:val="00260FA4"/>
    <w:rsid w:val="00261B0F"/>
    <w:rsid w:val="00266545"/>
    <w:rsid w:val="002665C2"/>
    <w:rsid w:val="00272DD2"/>
    <w:rsid w:val="00274782"/>
    <w:rsid w:val="00280696"/>
    <w:rsid w:val="00282C81"/>
    <w:rsid w:val="00283E71"/>
    <w:rsid w:val="00291A1D"/>
    <w:rsid w:val="00291CA0"/>
    <w:rsid w:val="00292835"/>
    <w:rsid w:val="00292F6F"/>
    <w:rsid w:val="00293605"/>
    <w:rsid w:val="00296D92"/>
    <w:rsid w:val="002A0796"/>
    <w:rsid w:val="002A1B0E"/>
    <w:rsid w:val="002A4D5F"/>
    <w:rsid w:val="002A612A"/>
    <w:rsid w:val="002B2300"/>
    <w:rsid w:val="002B6738"/>
    <w:rsid w:val="002C481D"/>
    <w:rsid w:val="002C58AD"/>
    <w:rsid w:val="002C6A80"/>
    <w:rsid w:val="002D098D"/>
    <w:rsid w:val="002D4EEE"/>
    <w:rsid w:val="002E3114"/>
    <w:rsid w:val="002E7820"/>
    <w:rsid w:val="002E7A3B"/>
    <w:rsid w:val="002E7E62"/>
    <w:rsid w:val="002F1289"/>
    <w:rsid w:val="002F4444"/>
    <w:rsid w:val="002F6612"/>
    <w:rsid w:val="002F78A6"/>
    <w:rsid w:val="00300444"/>
    <w:rsid w:val="00301DDF"/>
    <w:rsid w:val="00315FCE"/>
    <w:rsid w:val="003163EB"/>
    <w:rsid w:val="00316A39"/>
    <w:rsid w:val="00320192"/>
    <w:rsid w:val="0032039B"/>
    <w:rsid w:val="00323825"/>
    <w:rsid w:val="003250CB"/>
    <w:rsid w:val="00331526"/>
    <w:rsid w:val="003319CC"/>
    <w:rsid w:val="00332A41"/>
    <w:rsid w:val="0033475C"/>
    <w:rsid w:val="0034381F"/>
    <w:rsid w:val="00343D8D"/>
    <w:rsid w:val="00347EC4"/>
    <w:rsid w:val="0035085F"/>
    <w:rsid w:val="00354770"/>
    <w:rsid w:val="00355FE3"/>
    <w:rsid w:val="003658E8"/>
    <w:rsid w:val="00365BB0"/>
    <w:rsid w:val="00366E74"/>
    <w:rsid w:val="003738A0"/>
    <w:rsid w:val="00375379"/>
    <w:rsid w:val="003778D9"/>
    <w:rsid w:val="00380CCD"/>
    <w:rsid w:val="00384511"/>
    <w:rsid w:val="00386404"/>
    <w:rsid w:val="00387E31"/>
    <w:rsid w:val="003930A3"/>
    <w:rsid w:val="0039591A"/>
    <w:rsid w:val="003A2A0F"/>
    <w:rsid w:val="003A68F7"/>
    <w:rsid w:val="003A6C15"/>
    <w:rsid w:val="003B170C"/>
    <w:rsid w:val="003B1EB6"/>
    <w:rsid w:val="003C0935"/>
    <w:rsid w:val="003C1E19"/>
    <w:rsid w:val="003C496D"/>
    <w:rsid w:val="003C7141"/>
    <w:rsid w:val="003D25DE"/>
    <w:rsid w:val="003D44A7"/>
    <w:rsid w:val="003E02CB"/>
    <w:rsid w:val="003E28BB"/>
    <w:rsid w:val="003F029D"/>
    <w:rsid w:val="003F1219"/>
    <w:rsid w:val="003F3E2C"/>
    <w:rsid w:val="0041726C"/>
    <w:rsid w:val="0042363F"/>
    <w:rsid w:val="00424661"/>
    <w:rsid w:val="00433763"/>
    <w:rsid w:val="00435453"/>
    <w:rsid w:val="0043647A"/>
    <w:rsid w:val="004367A8"/>
    <w:rsid w:val="00437D4C"/>
    <w:rsid w:val="00442108"/>
    <w:rsid w:val="004456C3"/>
    <w:rsid w:val="004458AC"/>
    <w:rsid w:val="004517C5"/>
    <w:rsid w:val="00451A01"/>
    <w:rsid w:val="004579E8"/>
    <w:rsid w:val="00462082"/>
    <w:rsid w:val="00462BA9"/>
    <w:rsid w:val="00464DCC"/>
    <w:rsid w:val="00465ECF"/>
    <w:rsid w:val="00466622"/>
    <w:rsid w:val="004705F8"/>
    <w:rsid w:val="004722BA"/>
    <w:rsid w:val="004729F4"/>
    <w:rsid w:val="00472C07"/>
    <w:rsid w:val="00473D20"/>
    <w:rsid w:val="004745FD"/>
    <w:rsid w:val="00481552"/>
    <w:rsid w:val="00482E20"/>
    <w:rsid w:val="0049221B"/>
    <w:rsid w:val="004934EE"/>
    <w:rsid w:val="0049479A"/>
    <w:rsid w:val="004A14CA"/>
    <w:rsid w:val="004A3267"/>
    <w:rsid w:val="004A67FD"/>
    <w:rsid w:val="004B02BC"/>
    <w:rsid w:val="004B3788"/>
    <w:rsid w:val="004B3E6E"/>
    <w:rsid w:val="004B476A"/>
    <w:rsid w:val="004B4B99"/>
    <w:rsid w:val="004C0CE4"/>
    <w:rsid w:val="004C4536"/>
    <w:rsid w:val="004C688C"/>
    <w:rsid w:val="004D0486"/>
    <w:rsid w:val="004D0791"/>
    <w:rsid w:val="004D1B11"/>
    <w:rsid w:val="004D1CB3"/>
    <w:rsid w:val="004E3DC1"/>
    <w:rsid w:val="004E4716"/>
    <w:rsid w:val="004E6635"/>
    <w:rsid w:val="004F3C90"/>
    <w:rsid w:val="005019ED"/>
    <w:rsid w:val="00502FB0"/>
    <w:rsid w:val="005133B3"/>
    <w:rsid w:val="00516168"/>
    <w:rsid w:val="00521E3F"/>
    <w:rsid w:val="00523A02"/>
    <w:rsid w:val="00527639"/>
    <w:rsid w:val="00530C28"/>
    <w:rsid w:val="00535142"/>
    <w:rsid w:val="00536261"/>
    <w:rsid w:val="00541880"/>
    <w:rsid w:val="00543A89"/>
    <w:rsid w:val="00545F23"/>
    <w:rsid w:val="0055286A"/>
    <w:rsid w:val="0055521F"/>
    <w:rsid w:val="005565B0"/>
    <w:rsid w:val="00557979"/>
    <w:rsid w:val="005615C5"/>
    <w:rsid w:val="00563DD9"/>
    <w:rsid w:val="00567452"/>
    <w:rsid w:val="005702C5"/>
    <w:rsid w:val="00572887"/>
    <w:rsid w:val="00574B60"/>
    <w:rsid w:val="00577AD9"/>
    <w:rsid w:val="005804C7"/>
    <w:rsid w:val="0058159F"/>
    <w:rsid w:val="00583835"/>
    <w:rsid w:val="00584978"/>
    <w:rsid w:val="00593E3A"/>
    <w:rsid w:val="005A23BF"/>
    <w:rsid w:val="005A6C11"/>
    <w:rsid w:val="005A7D46"/>
    <w:rsid w:val="005B44A8"/>
    <w:rsid w:val="005B7210"/>
    <w:rsid w:val="005B76AF"/>
    <w:rsid w:val="005C08EC"/>
    <w:rsid w:val="005C4196"/>
    <w:rsid w:val="005D0CD1"/>
    <w:rsid w:val="005D14D8"/>
    <w:rsid w:val="005D3B7C"/>
    <w:rsid w:val="005E0806"/>
    <w:rsid w:val="005E0FD3"/>
    <w:rsid w:val="005E3707"/>
    <w:rsid w:val="005E47E7"/>
    <w:rsid w:val="005F0ED5"/>
    <w:rsid w:val="005F28D7"/>
    <w:rsid w:val="005F41B1"/>
    <w:rsid w:val="005F7FAB"/>
    <w:rsid w:val="0060645C"/>
    <w:rsid w:val="00624085"/>
    <w:rsid w:val="00631513"/>
    <w:rsid w:val="00631575"/>
    <w:rsid w:val="0063179B"/>
    <w:rsid w:val="00633124"/>
    <w:rsid w:val="006374FD"/>
    <w:rsid w:val="00640A92"/>
    <w:rsid w:val="00643BD6"/>
    <w:rsid w:val="006479BA"/>
    <w:rsid w:val="006512FA"/>
    <w:rsid w:val="00655DDD"/>
    <w:rsid w:val="0066037C"/>
    <w:rsid w:val="0066369B"/>
    <w:rsid w:val="006642DD"/>
    <w:rsid w:val="006659CF"/>
    <w:rsid w:val="00665A1B"/>
    <w:rsid w:val="00666960"/>
    <w:rsid w:val="00670A28"/>
    <w:rsid w:val="00672938"/>
    <w:rsid w:val="00673309"/>
    <w:rsid w:val="0067694D"/>
    <w:rsid w:val="00677643"/>
    <w:rsid w:val="006814C7"/>
    <w:rsid w:val="00685E6C"/>
    <w:rsid w:val="00691F15"/>
    <w:rsid w:val="00691FB0"/>
    <w:rsid w:val="00694847"/>
    <w:rsid w:val="006A04D7"/>
    <w:rsid w:val="006A0754"/>
    <w:rsid w:val="006A3DD2"/>
    <w:rsid w:val="006A4771"/>
    <w:rsid w:val="006A64DC"/>
    <w:rsid w:val="006B1102"/>
    <w:rsid w:val="006B17FC"/>
    <w:rsid w:val="006B5B98"/>
    <w:rsid w:val="006B65B0"/>
    <w:rsid w:val="006B7D25"/>
    <w:rsid w:val="006C4549"/>
    <w:rsid w:val="006C4606"/>
    <w:rsid w:val="006C5539"/>
    <w:rsid w:val="006C5A1A"/>
    <w:rsid w:val="006C62A4"/>
    <w:rsid w:val="006D28A2"/>
    <w:rsid w:val="006D4B94"/>
    <w:rsid w:val="006D74B3"/>
    <w:rsid w:val="006E1A8F"/>
    <w:rsid w:val="006E46EF"/>
    <w:rsid w:val="006E7C37"/>
    <w:rsid w:val="006F628E"/>
    <w:rsid w:val="006F6392"/>
    <w:rsid w:val="007008AB"/>
    <w:rsid w:val="0070352D"/>
    <w:rsid w:val="007106B2"/>
    <w:rsid w:val="00713A31"/>
    <w:rsid w:val="00716291"/>
    <w:rsid w:val="007164C9"/>
    <w:rsid w:val="007164DF"/>
    <w:rsid w:val="00723999"/>
    <w:rsid w:val="00724D4B"/>
    <w:rsid w:val="00725D19"/>
    <w:rsid w:val="0072665F"/>
    <w:rsid w:val="007308D7"/>
    <w:rsid w:val="00732669"/>
    <w:rsid w:val="0073291E"/>
    <w:rsid w:val="00733FC1"/>
    <w:rsid w:val="00734548"/>
    <w:rsid w:val="0073692F"/>
    <w:rsid w:val="007408A8"/>
    <w:rsid w:val="0074272D"/>
    <w:rsid w:val="00745C34"/>
    <w:rsid w:val="007522D5"/>
    <w:rsid w:val="00754FD3"/>
    <w:rsid w:val="00756256"/>
    <w:rsid w:val="00756D1F"/>
    <w:rsid w:val="00760AC3"/>
    <w:rsid w:val="0076236B"/>
    <w:rsid w:val="00762AAA"/>
    <w:rsid w:val="007646D7"/>
    <w:rsid w:val="00765517"/>
    <w:rsid w:val="00766F96"/>
    <w:rsid w:val="00775C38"/>
    <w:rsid w:val="007766B0"/>
    <w:rsid w:val="00780C5A"/>
    <w:rsid w:val="00781EF8"/>
    <w:rsid w:val="00783296"/>
    <w:rsid w:val="00787D16"/>
    <w:rsid w:val="00793E27"/>
    <w:rsid w:val="00794907"/>
    <w:rsid w:val="007A287E"/>
    <w:rsid w:val="007B52B2"/>
    <w:rsid w:val="007B787A"/>
    <w:rsid w:val="007B79C9"/>
    <w:rsid w:val="007C295B"/>
    <w:rsid w:val="007C6559"/>
    <w:rsid w:val="007D1153"/>
    <w:rsid w:val="007D13E7"/>
    <w:rsid w:val="007D3ED4"/>
    <w:rsid w:val="007D66EF"/>
    <w:rsid w:val="007E0871"/>
    <w:rsid w:val="007E6EF7"/>
    <w:rsid w:val="007E6FB2"/>
    <w:rsid w:val="007E7905"/>
    <w:rsid w:val="007E7D47"/>
    <w:rsid w:val="007F0F54"/>
    <w:rsid w:val="007F15B5"/>
    <w:rsid w:val="007F21FF"/>
    <w:rsid w:val="00802DDD"/>
    <w:rsid w:val="00803143"/>
    <w:rsid w:val="00806CC9"/>
    <w:rsid w:val="00810B09"/>
    <w:rsid w:val="008111C8"/>
    <w:rsid w:val="00815374"/>
    <w:rsid w:val="00815604"/>
    <w:rsid w:val="00820E36"/>
    <w:rsid w:val="00821AB6"/>
    <w:rsid w:val="0082253D"/>
    <w:rsid w:val="008254B5"/>
    <w:rsid w:val="00827563"/>
    <w:rsid w:val="00827CB7"/>
    <w:rsid w:val="00830D08"/>
    <w:rsid w:val="00831903"/>
    <w:rsid w:val="00834669"/>
    <w:rsid w:val="008374C6"/>
    <w:rsid w:val="0084606B"/>
    <w:rsid w:val="008469A8"/>
    <w:rsid w:val="00850620"/>
    <w:rsid w:val="00852104"/>
    <w:rsid w:val="008528E6"/>
    <w:rsid w:val="00853FAB"/>
    <w:rsid w:val="00854C1A"/>
    <w:rsid w:val="00856CC5"/>
    <w:rsid w:val="0086460E"/>
    <w:rsid w:val="00867271"/>
    <w:rsid w:val="00867E22"/>
    <w:rsid w:val="0087233A"/>
    <w:rsid w:val="0087611A"/>
    <w:rsid w:val="00883A2C"/>
    <w:rsid w:val="00886D88"/>
    <w:rsid w:val="00891311"/>
    <w:rsid w:val="00892182"/>
    <w:rsid w:val="0089595C"/>
    <w:rsid w:val="00896BEE"/>
    <w:rsid w:val="00897855"/>
    <w:rsid w:val="008A2E5E"/>
    <w:rsid w:val="008A6619"/>
    <w:rsid w:val="008A73A2"/>
    <w:rsid w:val="008B0081"/>
    <w:rsid w:val="008B0120"/>
    <w:rsid w:val="008B0AC9"/>
    <w:rsid w:val="008B0FBD"/>
    <w:rsid w:val="008C23BA"/>
    <w:rsid w:val="008C62B7"/>
    <w:rsid w:val="008C7D14"/>
    <w:rsid w:val="008D08C6"/>
    <w:rsid w:val="008E1D94"/>
    <w:rsid w:val="008E43F4"/>
    <w:rsid w:val="008F1216"/>
    <w:rsid w:val="008F1BC9"/>
    <w:rsid w:val="008F580E"/>
    <w:rsid w:val="008F67EF"/>
    <w:rsid w:val="009005D7"/>
    <w:rsid w:val="00900C7E"/>
    <w:rsid w:val="009035F8"/>
    <w:rsid w:val="00911099"/>
    <w:rsid w:val="009113DE"/>
    <w:rsid w:val="00912923"/>
    <w:rsid w:val="00912EF7"/>
    <w:rsid w:val="00914715"/>
    <w:rsid w:val="00917702"/>
    <w:rsid w:val="0092004C"/>
    <w:rsid w:val="0092040C"/>
    <w:rsid w:val="00921ACE"/>
    <w:rsid w:val="00925016"/>
    <w:rsid w:val="009257F5"/>
    <w:rsid w:val="00927B5F"/>
    <w:rsid w:val="00930A55"/>
    <w:rsid w:val="00931511"/>
    <w:rsid w:val="0093254A"/>
    <w:rsid w:val="00932D34"/>
    <w:rsid w:val="0094205A"/>
    <w:rsid w:val="0094222B"/>
    <w:rsid w:val="00943D92"/>
    <w:rsid w:val="0094541E"/>
    <w:rsid w:val="00945B63"/>
    <w:rsid w:val="00946A2D"/>
    <w:rsid w:val="009526BA"/>
    <w:rsid w:val="00953783"/>
    <w:rsid w:val="00954996"/>
    <w:rsid w:val="00956533"/>
    <w:rsid w:val="00956B9A"/>
    <w:rsid w:val="009571AE"/>
    <w:rsid w:val="0096278B"/>
    <w:rsid w:val="00964788"/>
    <w:rsid w:val="00972022"/>
    <w:rsid w:val="00975E4F"/>
    <w:rsid w:val="00977CF7"/>
    <w:rsid w:val="009814E9"/>
    <w:rsid w:val="00987A90"/>
    <w:rsid w:val="009932CF"/>
    <w:rsid w:val="00993419"/>
    <w:rsid w:val="0099612B"/>
    <w:rsid w:val="00996726"/>
    <w:rsid w:val="009B29CB"/>
    <w:rsid w:val="009B4A94"/>
    <w:rsid w:val="009B4DB2"/>
    <w:rsid w:val="009B5BA8"/>
    <w:rsid w:val="009C26D1"/>
    <w:rsid w:val="009C727F"/>
    <w:rsid w:val="009D1018"/>
    <w:rsid w:val="009D1AE5"/>
    <w:rsid w:val="009D3E81"/>
    <w:rsid w:val="009D41AE"/>
    <w:rsid w:val="009D4F71"/>
    <w:rsid w:val="009D5C38"/>
    <w:rsid w:val="009E0B9E"/>
    <w:rsid w:val="009E4D01"/>
    <w:rsid w:val="009E65D8"/>
    <w:rsid w:val="009E683A"/>
    <w:rsid w:val="009F17CC"/>
    <w:rsid w:val="009F2F64"/>
    <w:rsid w:val="009F3356"/>
    <w:rsid w:val="009F3893"/>
    <w:rsid w:val="009F4749"/>
    <w:rsid w:val="009F61CD"/>
    <w:rsid w:val="009F6BEB"/>
    <w:rsid w:val="009F71F2"/>
    <w:rsid w:val="009F7710"/>
    <w:rsid w:val="009F784E"/>
    <w:rsid w:val="00A01DB2"/>
    <w:rsid w:val="00A0365E"/>
    <w:rsid w:val="00A05560"/>
    <w:rsid w:val="00A10F5F"/>
    <w:rsid w:val="00A1141B"/>
    <w:rsid w:val="00A11D63"/>
    <w:rsid w:val="00A127C8"/>
    <w:rsid w:val="00A1416A"/>
    <w:rsid w:val="00A14331"/>
    <w:rsid w:val="00A17EB8"/>
    <w:rsid w:val="00A209A3"/>
    <w:rsid w:val="00A20EBA"/>
    <w:rsid w:val="00A3045D"/>
    <w:rsid w:val="00A34752"/>
    <w:rsid w:val="00A37946"/>
    <w:rsid w:val="00A379C8"/>
    <w:rsid w:val="00A42042"/>
    <w:rsid w:val="00A43F67"/>
    <w:rsid w:val="00A53354"/>
    <w:rsid w:val="00A546BD"/>
    <w:rsid w:val="00A54F6C"/>
    <w:rsid w:val="00A57FB1"/>
    <w:rsid w:val="00A64F0A"/>
    <w:rsid w:val="00A71415"/>
    <w:rsid w:val="00A72B28"/>
    <w:rsid w:val="00A75AFF"/>
    <w:rsid w:val="00A76BF0"/>
    <w:rsid w:val="00A84A69"/>
    <w:rsid w:val="00A9334E"/>
    <w:rsid w:val="00AA2038"/>
    <w:rsid w:val="00AA27DD"/>
    <w:rsid w:val="00AA3025"/>
    <w:rsid w:val="00AA39DE"/>
    <w:rsid w:val="00AA6B7E"/>
    <w:rsid w:val="00AA7C9D"/>
    <w:rsid w:val="00AB0EF9"/>
    <w:rsid w:val="00AB3784"/>
    <w:rsid w:val="00AB6A40"/>
    <w:rsid w:val="00AC1286"/>
    <w:rsid w:val="00AC37D7"/>
    <w:rsid w:val="00AC3B8D"/>
    <w:rsid w:val="00AC4654"/>
    <w:rsid w:val="00AD2136"/>
    <w:rsid w:val="00AD52BA"/>
    <w:rsid w:val="00AD646B"/>
    <w:rsid w:val="00AE1E0B"/>
    <w:rsid w:val="00AE2A89"/>
    <w:rsid w:val="00AF0C76"/>
    <w:rsid w:val="00AF4524"/>
    <w:rsid w:val="00AF4AD2"/>
    <w:rsid w:val="00AF68FA"/>
    <w:rsid w:val="00B04F43"/>
    <w:rsid w:val="00B07A5E"/>
    <w:rsid w:val="00B1286F"/>
    <w:rsid w:val="00B159B4"/>
    <w:rsid w:val="00B22B02"/>
    <w:rsid w:val="00B24008"/>
    <w:rsid w:val="00B2439D"/>
    <w:rsid w:val="00B24C5C"/>
    <w:rsid w:val="00B336EA"/>
    <w:rsid w:val="00B33939"/>
    <w:rsid w:val="00B34324"/>
    <w:rsid w:val="00B34708"/>
    <w:rsid w:val="00B37616"/>
    <w:rsid w:val="00B45CBB"/>
    <w:rsid w:val="00B47170"/>
    <w:rsid w:val="00B50C02"/>
    <w:rsid w:val="00B52E43"/>
    <w:rsid w:val="00B541E9"/>
    <w:rsid w:val="00B57665"/>
    <w:rsid w:val="00B6185F"/>
    <w:rsid w:val="00B648CE"/>
    <w:rsid w:val="00B668D0"/>
    <w:rsid w:val="00B741F9"/>
    <w:rsid w:val="00B74302"/>
    <w:rsid w:val="00B75989"/>
    <w:rsid w:val="00B7625F"/>
    <w:rsid w:val="00B82077"/>
    <w:rsid w:val="00B83050"/>
    <w:rsid w:val="00B83C80"/>
    <w:rsid w:val="00B862DE"/>
    <w:rsid w:val="00B92B64"/>
    <w:rsid w:val="00BA00ED"/>
    <w:rsid w:val="00BA09F8"/>
    <w:rsid w:val="00BA0E60"/>
    <w:rsid w:val="00BA44EA"/>
    <w:rsid w:val="00BA78B9"/>
    <w:rsid w:val="00BB11FD"/>
    <w:rsid w:val="00BB1766"/>
    <w:rsid w:val="00BB1C0B"/>
    <w:rsid w:val="00BB53B5"/>
    <w:rsid w:val="00BB6F48"/>
    <w:rsid w:val="00BC2414"/>
    <w:rsid w:val="00BC2CFE"/>
    <w:rsid w:val="00BC3082"/>
    <w:rsid w:val="00BD243D"/>
    <w:rsid w:val="00BD2E2D"/>
    <w:rsid w:val="00BD4E79"/>
    <w:rsid w:val="00BD6524"/>
    <w:rsid w:val="00BD6FF5"/>
    <w:rsid w:val="00BE23A7"/>
    <w:rsid w:val="00BE3764"/>
    <w:rsid w:val="00BE6A52"/>
    <w:rsid w:val="00BF31FC"/>
    <w:rsid w:val="00BF46B8"/>
    <w:rsid w:val="00BF5F5F"/>
    <w:rsid w:val="00BF7E3D"/>
    <w:rsid w:val="00C001A3"/>
    <w:rsid w:val="00C01F1D"/>
    <w:rsid w:val="00C04D16"/>
    <w:rsid w:val="00C13F17"/>
    <w:rsid w:val="00C169C3"/>
    <w:rsid w:val="00C21274"/>
    <w:rsid w:val="00C22C0E"/>
    <w:rsid w:val="00C24645"/>
    <w:rsid w:val="00C247E2"/>
    <w:rsid w:val="00C24CFE"/>
    <w:rsid w:val="00C25B11"/>
    <w:rsid w:val="00C269D4"/>
    <w:rsid w:val="00C27C11"/>
    <w:rsid w:val="00C27C3E"/>
    <w:rsid w:val="00C27E3D"/>
    <w:rsid w:val="00C4148D"/>
    <w:rsid w:val="00C4315B"/>
    <w:rsid w:val="00C44CF9"/>
    <w:rsid w:val="00C530B8"/>
    <w:rsid w:val="00C546F0"/>
    <w:rsid w:val="00C54B5B"/>
    <w:rsid w:val="00C55A42"/>
    <w:rsid w:val="00C55BEE"/>
    <w:rsid w:val="00C602D4"/>
    <w:rsid w:val="00C6245E"/>
    <w:rsid w:val="00C62BA1"/>
    <w:rsid w:val="00C6492A"/>
    <w:rsid w:val="00C652C8"/>
    <w:rsid w:val="00C6782C"/>
    <w:rsid w:val="00C737CC"/>
    <w:rsid w:val="00C75153"/>
    <w:rsid w:val="00C77259"/>
    <w:rsid w:val="00C80C3A"/>
    <w:rsid w:val="00C8155E"/>
    <w:rsid w:val="00C85E3D"/>
    <w:rsid w:val="00C97074"/>
    <w:rsid w:val="00CA1505"/>
    <w:rsid w:val="00CA166A"/>
    <w:rsid w:val="00CA2063"/>
    <w:rsid w:val="00CA2E67"/>
    <w:rsid w:val="00CA65F9"/>
    <w:rsid w:val="00CB1741"/>
    <w:rsid w:val="00CB1BD4"/>
    <w:rsid w:val="00CB21BD"/>
    <w:rsid w:val="00CB2DA5"/>
    <w:rsid w:val="00CB32E8"/>
    <w:rsid w:val="00CC2503"/>
    <w:rsid w:val="00CC3E32"/>
    <w:rsid w:val="00CC5008"/>
    <w:rsid w:val="00CC7C12"/>
    <w:rsid w:val="00CD320A"/>
    <w:rsid w:val="00CD4242"/>
    <w:rsid w:val="00CD4F93"/>
    <w:rsid w:val="00CD5B02"/>
    <w:rsid w:val="00CF23A3"/>
    <w:rsid w:val="00CF2A3E"/>
    <w:rsid w:val="00CF46E1"/>
    <w:rsid w:val="00CF5913"/>
    <w:rsid w:val="00CF5D63"/>
    <w:rsid w:val="00CF641F"/>
    <w:rsid w:val="00CF67A6"/>
    <w:rsid w:val="00CF6935"/>
    <w:rsid w:val="00D002E7"/>
    <w:rsid w:val="00D0689B"/>
    <w:rsid w:val="00D06F0C"/>
    <w:rsid w:val="00D079EE"/>
    <w:rsid w:val="00D100D7"/>
    <w:rsid w:val="00D14956"/>
    <w:rsid w:val="00D14C20"/>
    <w:rsid w:val="00D1576C"/>
    <w:rsid w:val="00D162BA"/>
    <w:rsid w:val="00D16E93"/>
    <w:rsid w:val="00D220EF"/>
    <w:rsid w:val="00D22D37"/>
    <w:rsid w:val="00D23BA7"/>
    <w:rsid w:val="00D24CF8"/>
    <w:rsid w:val="00D3143C"/>
    <w:rsid w:val="00D32D4B"/>
    <w:rsid w:val="00D33E26"/>
    <w:rsid w:val="00D4024F"/>
    <w:rsid w:val="00D41E8B"/>
    <w:rsid w:val="00D422FE"/>
    <w:rsid w:val="00D4565D"/>
    <w:rsid w:val="00D47097"/>
    <w:rsid w:val="00D47F55"/>
    <w:rsid w:val="00D510C7"/>
    <w:rsid w:val="00D55AB7"/>
    <w:rsid w:val="00D561DE"/>
    <w:rsid w:val="00D57724"/>
    <w:rsid w:val="00D63613"/>
    <w:rsid w:val="00D6369E"/>
    <w:rsid w:val="00D65E47"/>
    <w:rsid w:val="00D71023"/>
    <w:rsid w:val="00D72177"/>
    <w:rsid w:val="00D76D3D"/>
    <w:rsid w:val="00D82833"/>
    <w:rsid w:val="00D86B3C"/>
    <w:rsid w:val="00D90EDC"/>
    <w:rsid w:val="00D920DE"/>
    <w:rsid w:val="00D96FA7"/>
    <w:rsid w:val="00D96FDC"/>
    <w:rsid w:val="00DA22DA"/>
    <w:rsid w:val="00DA43D2"/>
    <w:rsid w:val="00DA4706"/>
    <w:rsid w:val="00DA4D3B"/>
    <w:rsid w:val="00DA5BD9"/>
    <w:rsid w:val="00DA6F80"/>
    <w:rsid w:val="00DB2AD3"/>
    <w:rsid w:val="00DC262A"/>
    <w:rsid w:val="00DC289F"/>
    <w:rsid w:val="00DC2EB5"/>
    <w:rsid w:val="00DC4194"/>
    <w:rsid w:val="00DC566B"/>
    <w:rsid w:val="00DD32A1"/>
    <w:rsid w:val="00DD3F48"/>
    <w:rsid w:val="00DD43D4"/>
    <w:rsid w:val="00DD6763"/>
    <w:rsid w:val="00DE5B7B"/>
    <w:rsid w:val="00DF02BC"/>
    <w:rsid w:val="00DF2B11"/>
    <w:rsid w:val="00DF459B"/>
    <w:rsid w:val="00DF4F0E"/>
    <w:rsid w:val="00DF50B1"/>
    <w:rsid w:val="00E01295"/>
    <w:rsid w:val="00E03216"/>
    <w:rsid w:val="00E0767E"/>
    <w:rsid w:val="00E07C52"/>
    <w:rsid w:val="00E11A5E"/>
    <w:rsid w:val="00E1235D"/>
    <w:rsid w:val="00E158D8"/>
    <w:rsid w:val="00E17EB7"/>
    <w:rsid w:val="00E2447E"/>
    <w:rsid w:val="00E2574D"/>
    <w:rsid w:val="00E26566"/>
    <w:rsid w:val="00E2662D"/>
    <w:rsid w:val="00E352AA"/>
    <w:rsid w:val="00E370C2"/>
    <w:rsid w:val="00E42B86"/>
    <w:rsid w:val="00E43A3A"/>
    <w:rsid w:val="00E458F0"/>
    <w:rsid w:val="00E45BF6"/>
    <w:rsid w:val="00E51133"/>
    <w:rsid w:val="00E515CB"/>
    <w:rsid w:val="00E5384C"/>
    <w:rsid w:val="00E53CCA"/>
    <w:rsid w:val="00E5444F"/>
    <w:rsid w:val="00E613BA"/>
    <w:rsid w:val="00E63277"/>
    <w:rsid w:val="00E73BFD"/>
    <w:rsid w:val="00E74418"/>
    <w:rsid w:val="00E751E4"/>
    <w:rsid w:val="00E76409"/>
    <w:rsid w:val="00E77DC2"/>
    <w:rsid w:val="00E853DF"/>
    <w:rsid w:val="00E96B85"/>
    <w:rsid w:val="00EA03FC"/>
    <w:rsid w:val="00EA7B06"/>
    <w:rsid w:val="00EB0399"/>
    <w:rsid w:val="00EB047A"/>
    <w:rsid w:val="00EB10E7"/>
    <w:rsid w:val="00EB40C6"/>
    <w:rsid w:val="00EC5160"/>
    <w:rsid w:val="00EC64BA"/>
    <w:rsid w:val="00ED1E3D"/>
    <w:rsid w:val="00ED39A2"/>
    <w:rsid w:val="00ED6043"/>
    <w:rsid w:val="00EE08B5"/>
    <w:rsid w:val="00EE2BB5"/>
    <w:rsid w:val="00EE37CE"/>
    <w:rsid w:val="00EF4198"/>
    <w:rsid w:val="00EF530D"/>
    <w:rsid w:val="00EF7ACD"/>
    <w:rsid w:val="00F045A9"/>
    <w:rsid w:val="00F0616E"/>
    <w:rsid w:val="00F113AF"/>
    <w:rsid w:val="00F122D5"/>
    <w:rsid w:val="00F21101"/>
    <w:rsid w:val="00F21FB8"/>
    <w:rsid w:val="00F22DF7"/>
    <w:rsid w:val="00F2484F"/>
    <w:rsid w:val="00F317B6"/>
    <w:rsid w:val="00F36B9A"/>
    <w:rsid w:val="00F370A5"/>
    <w:rsid w:val="00F40F0C"/>
    <w:rsid w:val="00F410C2"/>
    <w:rsid w:val="00F41795"/>
    <w:rsid w:val="00F46B84"/>
    <w:rsid w:val="00F540E0"/>
    <w:rsid w:val="00F5510D"/>
    <w:rsid w:val="00F63A80"/>
    <w:rsid w:val="00F64D29"/>
    <w:rsid w:val="00F650F7"/>
    <w:rsid w:val="00F6707C"/>
    <w:rsid w:val="00F718A9"/>
    <w:rsid w:val="00F73D81"/>
    <w:rsid w:val="00F73EB2"/>
    <w:rsid w:val="00F73F43"/>
    <w:rsid w:val="00F75ED4"/>
    <w:rsid w:val="00F7797B"/>
    <w:rsid w:val="00F86D2A"/>
    <w:rsid w:val="00F87647"/>
    <w:rsid w:val="00F906A7"/>
    <w:rsid w:val="00F91750"/>
    <w:rsid w:val="00F927B2"/>
    <w:rsid w:val="00F92D77"/>
    <w:rsid w:val="00F95DF4"/>
    <w:rsid w:val="00F97351"/>
    <w:rsid w:val="00FA13CA"/>
    <w:rsid w:val="00FA1874"/>
    <w:rsid w:val="00FA232D"/>
    <w:rsid w:val="00FA2F90"/>
    <w:rsid w:val="00FB502C"/>
    <w:rsid w:val="00FC09C2"/>
    <w:rsid w:val="00FC25B1"/>
    <w:rsid w:val="00FC28E0"/>
    <w:rsid w:val="00FC30C6"/>
    <w:rsid w:val="00FC64D9"/>
    <w:rsid w:val="00FD70F2"/>
    <w:rsid w:val="00FE25AA"/>
    <w:rsid w:val="00FE5FD8"/>
    <w:rsid w:val="00FE78EC"/>
    <w:rsid w:val="00FF1A56"/>
    <w:rsid w:val="00FF743E"/>
    <w:rsid w:val="00FF791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0FFD"/>
  <w15:chartTrackingRefBased/>
  <w15:docId w15:val="{821F2A35-AB6C-43A3-8796-95D2FA4F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5E3D"/>
    <w:pPr>
      <w:autoSpaceDE w:val="0"/>
      <w:autoSpaceDN w:val="0"/>
      <w:adjustRightInd w:val="0"/>
      <w:spacing w:after="0" w:line="240" w:lineRule="auto"/>
    </w:pPr>
    <w:rPr>
      <w:rFonts w:ascii="Calibri" w:eastAsia="SimSun" w:hAnsi="Calibri" w:cs="Calibri"/>
      <w:color w:val="000000"/>
      <w:sz w:val="24"/>
      <w:szCs w:val="24"/>
      <w:lang w:val="en-US" w:bidi="gu-IN"/>
    </w:rPr>
  </w:style>
  <w:style w:type="paragraph" w:styleId="ListParagraph">
    <w:name w:val="List Paragraph"/>
    <w:basedOn w:val="Normal"/>
    <w:uiPriority w:val="34"/>
    <w:qFormat/>
    <w:rsid w:val="007646D7"/>
    <w:pPr>
      <w:ind w:left="720"/>
      <w:contextualSpacing/>
    </w:pPr>
  </w:style>
  <w:style w:type="paragraph" w:styleId="FootnoteText">
    <w:name w:val="footnote text"/>
    <w:basedOn w:val="Normal"/>
    <w:link w:val="FootnoteTextChar"/>
    <w:uiPriority w:val="99"/>
    <w:semiHidden/>
    <w:unhideWhenUsed/>
    <w:rsid w:val="00A114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41B"/>
    <w:rPr>
      <w:sz w:val="20"/>
      <w:szCs w:val="20"/>
    </w:rPr>
  </w:style>
  <w:style w:type="character" w:styleId="FootnoteReference">
    <w:name w:val="footnote reference"/>
    <w:basedOn w:val="DefaultParagraphFont"/>
    <w:uiPriority w:val="99"/>
    <w:semiHidden/>
    <w:unhideWhenUsed/>
    <w:rsid w:val="00A1141B"/>
    <w:rPr>
      <w:vertAlign w:val="superscript"/>
    </w:rPr>
  </w:style>
  <w:style w:type="character" w:styleId="Hyperlink">
    <w:name w:val="Hyperlink"/>
    <w:basedOn w:val="DefaultParagraphFont"/>
    <w:uiPriority w:val="99"/>
    <w:unhideWhenUsed/>
    <w:rsid w:val="005B76AF"/>
    <w:rPr>
      <w:color w:val="0563C1" w:themeColor="hyperlink"/>
      <w:u w:val="single"/>
    </w:rPr>
  </w:style>
  <w:style w:type="character" w:customStyle="1" w:styleId="UnresolvedMention1">
    <w:name w:val="Unresolved Mention1"/>
    <w:basedOn w:val="DefaultParagraphFont"/>
    <w:uiPriority w:val="99"/>
    <w:semiHidden/>
    <w:unhideWhenUsed/>
    <w:rsid w:val="005B76AF"/>
    <w:rPr>
      <w:color w:val="605E5C"/>
      <w:shd w:val="clear" w:color="auto" w:fill="E1DFDD"/>
    </w:rPr>
  </w:style>
  <w:style w:type="character" w:styleId="PlaceholderText">
    <w:name w:val="Placeholder Text"/>
    <w:basedOn w:val="DefaultParagraphFont"/>
    <w:uiPriority w:val="99"/>
    <w:semiHidden/>
    <w:rsid w:val="00096733"/>
    <w:rPr>
      <w:color w:val="808080"/>
    </w:rPr>
  </w:style>
  <w:style w:type="character" w:styleId="CommentReference">
    <w:name w:val="annotation reference"/>
    <w:basedOn w:val="DefaultParagraphFont"/>
    <w:uiPriority w:val="99"/>
    <w:semiHidden/>
    <w:unhideWhenUsed/>
    <w:rsid w:val="006C5A1A"/>
    <w:rPr>
      <w:sz w:val="16"/>
      <w:szCs w:val="16"/>
    </w:rPr>
  </w:style>
  <w:style w:type="paragraph" w:styleId="CommentText">
    <w:name w:val="annotation text"/>
    <w:basedOn w:val="Normal"/>
    <w:link w:val="CommentTextChar"/>
    <w:uiPriority w:val="99"/>
    <w:unhideWhenUsed/>
    <w:rsid w:val="006C5A1A"/>
    <w:pPr>
      <w:spacing w:line="240" w:lineRule="auto"/>
    </w:pPr>
    <w:rPr>
      <w:sz w:val="20"/>
      <w:szCs w:val="20"/>
    </w:rPr>
  </w:style>
  <w:style w:type="character" w:customStyle="1" w:styleId="CommentTextChar">
    <w:name w:val="Comment Text Char"/>
    <w:basedOn w:val="DefaultParagraphFont"/>
    <w:link w:val="CommentText"/>
    <w:uiPriority w:val="99"/>
    <w:rsid w:val="006C5A1A"/>
    <w:rPr>
      <w:sz w:val="20"/>
      <w:szCs w:val="20"/>
    </w:rPr>
  </w:style>
  <w:style w:type="paragraph" w:styleId="CommentSubject">
    <w:name w:val="annotation subject"/>
    <w:basedOn w:val="CommentText"/>
    <w:next w:val="CommentText"/>
    <w:link w:val="CommentSubjectChar"/>
    <w:uiPriority w:val="99"/>
    <w:semiHidden/>
    <w:unhideWhenUsed/>
    <w:rsid w:val="006C5A1A"/>
    <w:rPr>
      <w:b/>
      <w:bCs/>
    </w:rPr>
  </w:style>
  <w:style w:type="character" w:customStyle="1" w:styleId="CommentSubjectChar">
    <w:name w:val="Comment Subject Char"/>
    <w:basedOn w:val="CommentTextChar"/>
    <w:link w:val="CommentSubject"/>
    <w:uiPriority w:val="99"/>
    <w:semiHidden/>
    <w:rsid w:val="006C5A1A"/>
    <w:rPr>
      <w:b/>
      <w:bCs/>
      <w:sz w:val="20"/>
      <w:szCs w:val="20"/>
    </w:rPr>
  </w:style>
  <w:style w:type="paragraph" w:styleId="Revision">
    <w:name w:val="Revision"/>
    <w:hidden/>
    <w:uiPriority w:val="99"/>
    <w:semiHidden/>
    <w:rsid w:val="000B7E29"/>
    <w:pPr>
      <w:spacing w:after="0" w:line="240" w:lineRule="auto"/>
    </w:pPr>
  </w:style>
  <w:style w:type="paragraph" w:styleId="BalloonText">
    <w:name w:val="Balloon Text"/>
    <w:basedOn w:val="Normal"/>
    <w:link w:val="BalloonTextChar"/>
    <w:uiPriority w:val="99"/>
    <w:semiHidden/>
    <w:unhideWhenUsed/>
    <w:rsid w:val="00451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C5"/>
    <w:rPr>
      <w:rFonts w:ascii="Segoe UI" w:hAnsi="Segoe UI" w:cs="Segoe UI"/>
      <w:sz w:val="18"/>
      <w:szCs w:val="18"/>
    </w:rPr>
  </w:style>
  <w:style w:type="character" w:styleId="UnresolvedMention">
    <w:name w:val="Unresolved Mention"/>
    <w:basedOn w:val="DefaultParagraphFont"/>
    <w:uiPriority w:val="99"/>
    <w:semiHidden/>
    <w:unhideWhenUsed/>
    <w:rsid w:val="00B15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2513">
      <w:bodyDiv w:val="1"/>
      <w:marLeft w:val="0"/>
      <w:marRight w:val="0"/>
      <w:marTop w:val="0"/>
      <w:marBottom w:val="0"/>
      <w:divBdr>
        <w:top w:val="none" w:sz="0" w:space="0" w:color="auto"/>
        <w:left w:val="none" w:sz="0" w:space="0" w:color="auto"/>
        <w:bottom w:val="none" w:sz="0" w:space="0" w:color="auto"/>
        <w:right w:val="none" w:sz="0" w:space="0" w:color="auto"/>
      </w:divBdr>
    </w:div>
    <w:div w:id="310525217">
      <w:bodyDiv w:val="1"/>
      <w:marLeft w:val="0"/>
      <w:marRight w:val="0"/>
      <w:marTop w:val="0"/>
      <w:marBottom w:val="0"/>
      <w:divBdr>
        <w:top w:val="none" w:sz="0" w:space="0" w:color="auto"/>
        <w:left w:val="none" w:sz="0" w:space="0" w:color="auto"/>
        <w:bottom w:val="none" w:sz="0" w:space="0" w:color="auto"/>
        <w:right w:val="none" w:sz="0" w:space="0" w:color="auto"/>
      </w:divBdr>
    </w:div>
    <w:div w:id="333651239">
      <w:bodyDiv w:val="1"/>
      <w:marLeft w:val="0"/>
      <w:marRight w:val="0"/>
      <w:marTop w:val="0"/>
      <w:marBottom w:val="0"/>
      <w:divBdr>
        <w:top w:val="none" w:sz="0" w:space="0" w:color="auto"/>
        <w:left w:val="none" w:sz="0" w:space="0" w:color="auto"/>
        <w:bottom w:val="none" w:sz="0" w:space="0" w:color="auto"/>
        <w:right w:val="none" w:sz="0" w:space="0" w:color="auto"/>
      </w:divBdr>
    </w:div>
    <w:div w:id="784543746">
      <w:bodyDiv w:val="1"/>
      <w:marLeft w:val="0"/>
      <w:marRight w:val="0"/>
      <w:marTop w:val="0"/>
      <w:marBottom w:val="0"/>
      <w:divBdr>
        <w:top w:val="none" w:sz="0" w:space="0" w:color="auto"/>
        <w:left w:val="none" w:sz="0" w:space="0" w:color="auto"/>
        <w:bottom w:val="none" w:sz="0" w:space="0" w:color="auto"/>
        <w:right w:val="none" w:sz="0" w:space="0" w:color="auto"/>
      </w:divBdr>
    </w:div>
    <w:div w:id="965164738">
      <w:bodyDiv w:val="1"/>
      <w:marLeft w:val="0"/>
      <w:marRight w:val="0"/>
      <w:marTop w:val="0"/>
      <w:marBottom w:val="0"/>
      <w:divBdr>
        <w:top w:val="none" w:sz="0" w:space="0" w:color="auto"/>
        <w:left w:val="none" w:sz="0" w:space="0" w:color="auto"/>
        <w:bottom w:val="none" w:sz="0" w:space="0" w:color="auto"/>
        <w:right w:val="none" w:sz="0" w:space="0" w:color="auto"/>
      </w:divBdr>
    </w:div>
    <w:div w:id="1052000289">
      <w:bodyDiv w:val="1"/>
      <w:marLeft w:val="0"/>
      <w:marRight w:val="0"/>
      <w:marTop w:val="0"/>
      <w:marBottom w:val="0"/>
      <w:divBdr>
        <w:top w:val="none" w:sz="0" w:space="0" w:color="auto"/>
        <w:left w:val="none" w:sz="0" w:space="0" w:color="auto"/>
        <w:bottom w:val="none" w:sz="0" w:space="0" w:color="auto"/>
        <w:right w:val="none" w:sz="0" w:space="0" w:color="auto"/>
      </w:divBdr>
    </w:div>
    <w:div w:id="1127285526">
      <w:bodyDiv w:val="1"/>
      <w:marLeft w:val="0"/>
      <w:marRight w:val="0"/>
      <w:marTop w:val="0"/>
      <w:marBottom w:val="0"/>
      <w:divBdr>
        <w:top w:val="none" w:sz="0" w:space="0" w:color="auto"/>
        <w:left w:val="none" w:sz="0" w:space="0" w:color="auto"/>
        <w:bottom w:val="none" w:sz="0" w:space="0" w:color="auto"/>
        <w:right w:val="none" w:sz="0" w:space="0" w:color="auto"/>
      </w:divBdr>
    </w:div>
    <w:div w:id="1161577942">
      <w:bodyDiv w:val="1"/>
      <w:marLeft w:val="0"/>
      <w:marRight w:val="0"/>
      <w:marTop w:val="0"/>
      <w:marBottom w:val="0"/>
      <w:divBdr>
        <w:top w:val="none" w:sz="0" w:space="0" w:color="auto"/>
        <w:left w:val="none" w:sz="0" w:space="0" w:color="auto"/>
        <w:bottom w:val="none" w:sz="0" w:space="0" w:color="auto"/>
        <w:right w:val="none" w:sz="0" w:space="0" w:color="auto"/>
      </w:divBdr>
    </w:div>
    <w:div w:id="1188176289">
      <w:bodyDiv w:val="1"/>
      <w:marLeft w:val="0"/>
      <w:marRight w:val="0"/>
      <w:marTop w:val="0"/>
      <w:marBottom w:val="0"/>
      <w:divBdr>
        <w:top w:val="none" w:sz="0" w:space="0" w:color="auto"/>
        <w:left w:val="none" w:sz="0" w:space="0" w:color="auto"/>
        <w:bottom w:val="none" w:sz="0" w:space="0" w:color="auto"/>
        <w:right w:val="none" w:sz="0" w:space="0" w:color="auto"/>
      </w:divBdr>
    </w:div>
    <w:div w:id="1350185034">
      <w:bodyDiv w:val="1"/>
      <w:marLeft w:val="0"/>
      <w:marRight w:val="0"/>
      <w:marTop w:val="0"/>
      <w:marBottom w:val="0"/>
      <w:divBdr>
        <w:top w:val="none" w:sz="0" w:space="0" w:color="auto"/>
        <w:left w:val="none" w:sz="0" w:space="0" w:color="auto"/>
        <w:bottom w:val="none" w:sz="0" w:space="0" w:color="auto"/>
        <w:right w:val="none" w:sz="0" w:space="0" w:color="auto"/>
      </w:divBdr>
    </w:div>
    <w:div w:id="1397123693">
      <w:bodyDiv w:val="1"/>
      <w:marLeft w:val="0"/>
      <w:marRight w:val="0"/>
      <w:marTop w:val="0"/>
      <w:marBottom w:val="0"/>
      <w:divBdr>
        <w:top w:val="none" w:sz="0" w:space="0" w:color="auto"/>
        <w:left w:val="none" w:sz="0" w:space="0" w:color="auto"/>
        <w:bottom w:val="none" w:sz="0" w:space="0" w:color="auto"/>
        <w:right w:val="none" w:sz="0" w:space="0" w:color="auto"/>
      </w:divBdr>
    </w:div>
    <w:div w:id="1465387068">
      <w:bodyDiv w:val="1"/>
      <w:marLeft w:val="0"/>
      <w:marRight w:val="0"/>
      <w:marTop w:val="0"/>
      <w:marBottom w:val="0"/>
      <w:divBdr>
        <w:top w:val="none" w:sz="0" w:space="0" w:color="auto"/>
        <w:left w:val="none" w:sz="0" w:space="0" w:color="auto"/>
        <w:bottom w:val="none" w:sz="0" w:space="0" w:color="auto"/>
        <w:right w:val="none" w:sz="0" w:space="0" w:color="auto"/>
      </w:divBdr>
    </w:div>
    <w:div w:id="1714842263">
      <w:bodyDiv w:val="1"/>
      <w:marLeft w:val="0"/>
      <w:marRight w:val="0"/>
      <w:marTop w:val="0"/>
      <w:marBottom w:val="0"/>
      <w:divBdr>
        <w:top w:val="none" w:sz="0" w:space="0" w:color="auto"/>
        <w:left w:val="none" w:sz="0" w:space="0" w:color="auto"/>
        <w:bottom w:val="none" w:sz="0" w:space="0" w:color="auto"/>
        <w:right w:val="none" w:sz="0" w:space="0" w:color="auto"/>
      </w:divBdr>
    </w:div>
    <w:div w:id="1847941809">
      <w:bodyDiv w:val="1"/>
      <w:marLeft w:val="0"/>
      <w:marRight w:val="0"/>
      <w:marTop w:val="0"/>
      <w:marBottom w:val="0"/>
      <w:divBdr>
        <w:top w:val="none" w:sz="0" w:space="0" w:color="auto"/>
        <w:left w:val="none" w:sz="0" w:space="0" w:color="auto"/>
        <w:bottom w:val="none" w:sz="0" w:space="0" w:color="auto"/>
        <w:right w:val="none" w:sz="0" w:space="0" w:color="auto"/>
      </w:divBdr>
    </w:div>
    <w:div w:id="1905993518">
      <w:bodyDiv w:val="1"/>
      <w:marLeft w:val="0"/>
      <w:marRight w:val="0"/>
      <w:marTop w:val="0"/>
      <w:marBottom w:val="0"/>
      <w:divBdr>
        <w:top w:val="none" w:sz="0" w:space="0" w:color="auto"/>
        <w:left w:val="none" w:sz="0" w:space="0" w:color="auto"/>
        <w:bottom w:val="none" w:sz="0" w:space="0" w:color="auto"/>
        <w:right w:val="none" w:sz="0" w:space="0" w:color="auto"/>
      </w:divBdr>
    </w:div>
    <w:div w:id="21102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doi.org/10.1016/j.resourpol.2021.102156"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5ECAF-CA62-4C2F-9A48-9B89E07D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14</Pages>
  <Words>4591</Words>
  <Characters>26174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Ritesh Patel</dc:creator>
  <cp:keywords/>
  <dc:description/>
  <cp:lastModifiedBy>Mr. Imran Yousaf</cp:lastModifiedBy>
  <cp:revision>31</cp:revision>
  <cp:lastPrinted>2022-03-16T21:31:00Z</cp:lastPrinted>
  <dcterms:created xsi:type="dcterms:W3CDTF">2022-07-12T13:20:00Z</dcterms:created>
  <dcterms:modified xsi:type="dcterms:W3CDTF">2022-07-12T19:05:00Z</dcterms:modified>
</cp:coreProperties>
</file>