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BEC1" w14:textId="28192EFB" w:rsidR="00D1626A" w:rsidRPr="008C12C0" w:rsidRDefault="007131A0" w:rsidP="008158E7">
      <w:pPr>
        <w:pStyle w:val="Title"/>
        <w:spacing w:line="360" w:lineRule="auto"/>
      </w:pPr>
      <w:r w:rsidRPr="008C12C0">
        <w:t xml:space="preserve">Supplementary Material </w:t>
      </w:r>
    </w:p>
    <w:p w14:paraId="0919A061" w14:textId="294E0845" w:rsidR="008158E7" w:rsidRPr="008C12C0" w:rsidRDefault="008158E7" w:rsidP="008158E7"/>
    <w:p w14:paraId="6F2FB89F" w14:textId="6EF54A03" w:rsidR="00FF3F36" w:rsidRPr="008C12C0" w:rsidRDefault="008158E7" w:rsidP="00111DAC">
      <w:pPr>
        <w:spacing w:line="360" w:lineRule="auto"/>
      </w:pPr>
      <w:r w:rsidRPr="008C12C0">
        <w:t>This supplementary material c</w:t>
      </w:r>
      <w:r w:rsidR="00FF3F36" w:rsidRPr="008C12C0">
        <w:t>ontains</w:t>
      </w:r>
      <w:r w:rsidRPr="008C12C0">
        <w:t xml:space="preserve"> </w:t>
      </w:r>
      <w:r w:rsidR="00FF3F36" w:rsidRPr="008C12C0">
        <w:t xml:space="preserve">an exact description of the queries used to search the PubMed, Embase and Web </w:t>
      </w:r>
      <w:proofErr w:type="gramStart"/>
      <w:r w:rsidR="00FF3F36" w:rsidRPr="008C12C0">
        <w:t>Of</w:t>
      </w:r>
      <w:proofErr w:type="gramEnd"/>
      <w:r w:rsidR="00FF3F36" w:rsidRPr="008C12C0">
        <w:t xml:space="preserve"> Science databases for relevant studies. It also shows </w:t>
      </w:r>
      <w:r w:rsidRPr="008C12C0">
        <w:t>extended results for the meta-analyses stratified by</w:t>
      </w:r>
      <w:r w:rsidR="006F4191" w:rsidRPr="008C12C0">
        <w:t xml:space="preserve"> geographic region, by</w:t>
      </w:r>
      <w:r w:rsidRPr="008C12C0">
        <w:t xml:space="preserve"> </w:t>
      </w:r>
      <w:r w:rsidR="006F4191" w:rsidRPr="008C12C0">
        <w:t xml:space="preserve">age at the onset of the first male BC and by </w:t>
      </w:r>
      <w:r w:rsidRPr="008C12C0">
        <w:t xml:space="preserve">time elapsed since </w:t>
      </w:r>
      <w:r w:rsidR="006F4191" w:rsidRPr="008C12C0">
        <w:t>the onset of the first male BC</w:t>
      </w:r>
      <w:r w:rsidRPr="008C12C0">
        <w:t xml:space="preserve">. It </w:t>
      </w:r>
      <w:r w:rsidR="00FF3F36" w:rsidRPr="008C12C0">
        <w:t>lastly</w:t>
      </w:r>
      <w:r w:rsidRPr="008C12C0">
        <w:t xml:space="preserve"> presents extended results for the site-specific meta-analyses, </w:t>
      </w:r>
      <w:r w:rsidR="006F6512" w:rsidRPr="008C12C0">
        <w:t xml:space="preserve">the </w:t>
      </w:r>
      <w:r w:rsidRPr="008C12C0">
        <w:t xml:space="preserve">methods </w:t>
      </w:r>
      <w:r w:rsidR="006F4191" w:rsidRPr="008C12C0">
        <w:t xml:space="preserve">used in </w:t>
      </w:r>
      <w:r w:rsidRPr="008C12C0">
        <w:t xml:space="preserve">and </w:t>
      </w:r>
      <w:r w:rsidR="006F4191" w:rsidRPr="008C12C0">
        <w:t xml:space="preserve">the </w:t>
      </w:r>
      <w:r w:rsidRPr="008C12C0">
        <w:t xml:space="preserve">results </w:t>
      </w:r>
      <w:r w:rsidR="006F4191" w:rsidRPr="008C12C0">
        <w:t xml:space="preserve">of </w:t>
      </w:r>
      <w:r w:rsidRPr="008C12C0">
        <w:t>the assessments</w:t>
      </w:r>
      <w:r w:rsidR="00111DAC" w:rsidRPr="008C12C0">
        <w:t xml:space="preserve"> of study quality,</w:t>
      </w:r>
      <w:r w:rsidRPr="008C12C0">
        <w:t xml:space="preserve"> and an assessment of publication bias. </w:t>
      </w:r>
    </w:p>
    <w:p w14:paraId="3B9072CB" w14:textId="77777777" w:rsidR="00FF3F36" w:rsidRPr="008C12C0" w:rsidRDefault="00FF3F36" w:rsidP="00111DAC">
      <w:pPr>
        <w:spacing w:line="360" w:lineRule="auto"/>
      </w:pPr>
    </w:p>
    <w:p w14:paraId="5A7EAADD" w14:textId="4E582F28" w:rsidR="00C37EFF" w:rsidRPr="008C12C0" w:rsidRDefault="00FF3F36" w:rsidP="00FF3F36">
      <w:pPr>
        <w:pStyle w:val="Heading1"/>
      </w:pPr>
      <w:r w:rsidRPr="008C12C0">
        <w:t xml:space="preserve">Search strategy </w:t>
      </w:r>
    </w:p>
    <w:p w14:paraId="73A2CACF" w14:textId="77777777" w:rsidR="00FF3F36" w:rsidRPr="008C12C0" w:rsidRDefault="00FF3F36" w:rsidP="00FF3F36">
      <w:pPr>
        <w:shd w:val="clear" w:color="auto" w:fill="FFFFFF" w:themeFill="background1"/>
        <w:spacing w:line="360" w:lineRule="auto"/>
        <w:rPr>
          <w:rFonts w:cstheme="minorHAnsi"/>
          <w:b/>
          <w:bCs/>
        </w:rPr>
      </w:pPr>
    </w:p>
    <w:p w14:paraId="6C8326B7" w14:textId="7D40014F" w:rsidR="00FF3F36" w:rsidRPr="008C12C0" w:rsidRDefault="00FF3F36" w:rsidP="00FF3F36">
      <w:pPr>
        <w:shd w:val="clear" w:color="auto" w:fill="FFFFFF" w:themeFill="background1"/>
        <w:spacing w:line="360" w:lineRule="auto"/>
        <w:rPr>
          <w:rFonts w:cstheme="minorHAnsi"/>
        </w:rPr>
      </w:pPr>
      <w:r w:rsidRPr="008C12C0">
        <w:rPr>
          <w:rFonts w:cstheme="minorHAnsi"/>
        </w:rPr>
        <w:t>Below are the queries used to search PubMed, Embase, and Web of Science for relevant studies on the 11</w:t>
      </w:r>
      <w:r w:rsidRPr="008C12C0">
        <w:rPr>
          <w:rFonts w:cstheme="minorHAnsi"/>
          <w:vertAlign w:val="superscript"/>
        </w:rPr>
        <w:t>th</w:t>
      </w:r>
      <w:r w:rsidRPr="008C12C0">
        <w:rPr>
          <w:rFonts w:cstheme="minorHAnsi"/>
        </w:rPr>
        <w:t xml:space="preserve"> of March 2022. </w:t>
      </w:r>
    </w:p>
    <w:p w14:paraId="1B7F255E" w14:textId="77777777" w:rsidR="00FF3F36" w:rsidRPr="008C12C0" w:rsidRDefault="00FF3F36" w:rsidP="00FF3F36">
      <w:pPr>
        <w:shd w:val="clear" w:color="auto" w:fill="FFFFFF" w:themeFill="background1"/>
        <w:spacing w:line="360" w:lineRule="auto"/>
        <w:rPr>
          <w:rFonts w:cstheme="minorHAnsi"/>
        </w:rPr>
      </w:pPr>
    </w:p>
    <w:p w14:paraId="28198B60" w14:textId="56D8B9E8" w:rsidR="00FF3F36" w:rsidRPr="008C12C0" w:rsidRDefault="00FF3F36" w:rsidP="00FF3F36">
      <w:pPr>
        <w:shd w:val="clear" w:color="auto" w:fill="FFFFFF" w:themeFill="background1"/>
        <w:spacing w:line="360" w:lineRule="auto"/>
        <w:rPr>
          <w:rFonts w:cstheme="minorHAnsi"/>
          <w:b/>
          <w:bCs/>
        </w:rPr>
      </w:pPr>
      <w:r w:rsidRPr="008C12C0">
        <w:rPr>
          <w:rFonts w:cstheme="minorHAnsi"/>
          <w:b/>
          <w:bCs/>
        </w:rPr>
        <w:t xml:space="preserve">PubMed query: </w:t>
      </w:r>
    </w:p>
    <w:p w14:paraId="7704A276" w14:textId="77777777" w:rsidR="00FF3F36" w:rsidRPr="008C12C0" w:rsidRDefault="00FF3F36" w:rsidP="00FF3F36">
      <w:pPr>
        <w:spacing w:line="360" w:lineRule="auto"/>
        <w:rPr>
          <w:rFonts w:cstheme="minorHAnsi"/>
          <w:i/>
          <w:iCs/>
          <w:color w:val="000000" w:themeColor="text1"/>
        </w:rPr>
      </w:pPr>
      <w:r w:rsidRPr="008C12C0">
        <w:rPr>
          <w:rFonts w:cstheme="minorHAnsi"/>
          <w:i/>
          <w:iCs/>
          <w:color w:val="000000" w:themeColor="text1"/>
        </w:rPr>
        <w:t>("Breast Neoplasms"[</w:t>
      </w:r>
      <w:proofErr w:type="spellStart"/>
      <w:r w:rsidRPr="008C12C0">
        <w:rPr>
          <w:rFonts w:cstheme="minorHAnsi"/>
          <w:i/>
          <w:iCs/>
          <w:color w:val="000000" w:themeColor="text1"/>
        </w:rPr>
        <w:t>MeSH</w:t>
      </w:r>
      <w:proofErr w:type="spellEnd"/>
      <w:r w:rsidRPr="008C12C0">
        <w:rPr>
          <w:rFonts w:cstheme="minorHAnsi"/>
          <w:i/>
          <w:iCs/>
          <w:color w:val="000000" w:themeColor="text1"/>
        </w:rPr>
        <w:t>] OR "breast cancer") AND ("Neoplasms, Second Primary"[</w:t>
      </w:r>
      <w:proofErr w:type="spellStart"/>
      <w:r w:rsidRPr="008C12C0">
        <w:rPr>
          <w:rFonts w:cstheme="minorHAnsi"/>
          <w:i/>
          <w:iCs/>
          <w:color w:val="000000" w:themeColor="text1"/>
        </w:rPr>
        <w:t>MeSH</w:t>
      </w:r>
      <w:proofErr w:type="spellEnd"/>
      <w:r w:rsidRPr="008C12C0">
        <w:rPr>
          <w:rFonts w:cstheme="minorHAnsi"/>
          <w:i/>
          <w:iCs/>
          <w:color w:val="000000" w:themeColor="text1"/>
        </w:rPr>
        <w:t>] OR "second cancer" OR "second primary") AND risk</w:t>
      </w:r>
    </w:p>
    <w:p w14:paraId="07D978BD" w14:textId="77777777" w:rsidR="00FF3F36" w:rsidRPr="008C12C0" w:rsidRDefault="00FF3F36" w:rsidP="00FF3F36">
      <w:pPr>
        <w:spacing w:line="360" w:lineRule="auto"/>
        <w:rPr>
          <w:rFonts w:cstheme="minorHAnsi"/>
          <w:i/>
          <w:iCs/>
          <w:color w:val="000000" w:themeColor="text1"/>
        </w:rPr>
      </w:pPr>
    </w:p>
    <w:p w14:paraId="3CF9A57B" w14:textId="19D969D1" w:rsidR="00FF3F36" w:rsidRPr="008C12C0" w:rsidRDefault="00FF3F36" w:rsidP="00FF3F36">
      <w:pPr>
        <w:spacing w:line="360" w:lineRule="auto"/>
        <w:rPr>
          <w:rFonts w:cstheme="minorHAnsi"/>
          <w:b/>
          <w:bCs/>
        </w:rPr>
      </w:pPr>
      <w:r w:rsidRPr="008C12C0">
        <w:rPr>
          <w:rFonts w:cstheme="minorHAnsi"/>
          <w:b/>
          <w:bCs/>
        </w:rPr>
        <w:t>Embase query:</w:t>
      </w:r>
    </w:p>
    <w:p w14:paraId="504E29B6" w14:textId="77777777" w:rsidR="00FF3F36" w:rsidRPr="008C12C0" w:rsidRDefault="00FF3F36" w:rsidP="00FF3F36">
      <w:pPr>
        <w:spacing w:line="360" w:lineRule="auto"/>
        <w:rPr>
          <w:i/>
          <w:iCs/>
        </w:rPr>
      </w:pPr>
      <w:r w:rsidRPr="008C12C0">
        <w:rPr>
          <w:i/>
          <w:iCs/>
        </w:rPr>
        <w:t>(Breast Neoplasms/ or "breast cancer") and (Neoplasms, Second Primary/ or "second cancer" or "second primary") and risk</w:t>
      </w:r>
    </w:p>
    <w:p w14:paraId="61A316A3" w14:textId="77777777" w:rsidR="00FF3F36" w:rsidRPr="008C12C0" w:rsidRDefault="00FF3F36" w:rsidP="00FF3F36"/>
    <w:p w14:paraId="48A85E28" w14:textId="67CDF103" w:rsidR="00FF3F36" w:rsidRPr="008C12C0" w:rsidRDefault="00FF3F36" w:rsidP="00FF3F36">
      <w:pPr>
        <w:spacing w:line="360" w:lineRule="auto"/>
        <w:rPr>
          <w:rFonts w:cstheme="minorHAnsi"/>
          <w:b/>
          <w:bCs/>
        </w:rPr>
      </w:pPr>
      <w:r w:rsidRPr="008C12C0">
        <w:rPr>
          <w:rFonts w:cstheme="minorHAnsi"/>
          <w:b/>
          <w:bCs/>
        </w:rPr>
        <w:t>Web of Science query:</w:t>
      </w:r>
    </w:p>
    <w:p w14:paraId="24FC55C9" w14:textId="62A3E95D" w:rsidR="00FF3F36" w:rsidRPr="008C12C0" w:rsidRDefault="00FF3F36" w:rsidP="00FF3F36">
      <w:pPr>
        <w:spacing w:line="360" w:lineRule="auto"/>
        <w:rPr>
          <w:i/>
          <w:iCs/>
        </w:rPr>
      </w:pPr>
      <w:r w:rsidRPr="008C12C0">
        <w:rPr>
          <w:i/>
          <w:iCs/>
        </w:rPr>
        <w:t>(TS = (("breast cancer" OR "breast neoplasm") AND ("second cancer" or "second primary") AND risk)) OR (AB = (("breast cancer" OR "breast neoplasm") AND ("second cancer" or "second primary") AND risk))</w:t>
      </w:r>
    </w:p>
    <w:p w14:paraId="649486FE" w14:textId="1102851A" w:rsidR="006B6D15" w:rsidRPr="008C12C0" w:rsidRDefault="006B6D15" w:rsidP="006B6D15">
      <w:pPr>
        <w:pStyle w:val="Heading1"/>
      </w:pPr>
      <w:r w:rsidRPr="008C12C0">
        <w:lastRenderedPageBreak/>
        <w:t>Effects of geographic region:</w:t>
      </w:r>
    </w:p>
    <w:p w14:paraId="3C8C11D2" w14:textId="77777777" w:rsidR="006B6D15" w:rsidRPr="008C12C0" w:rsidRDefault="006B6D15" w:rsidP="006B6D15">
      <w:pPr>
        <w:spacing w:line="360" w:lineRule="auto"/>
      </w:pPr>
    </w:p>
    <w:p w14:paraId="050BAC24" w14:textId="2CDD41C3" w:rsidR="00550643" w:rsidRPr="008C12C0" w:rsidRDefault="006B6D15" w:rsidP="006B6D15">
      <w:pPr>
        <w:spacing w:line="360" w:lineRule="auto"/>
      </w:pPr>
      <w:r w:rsidRPr="008C12C0">
        <w:t xml:space="preserve">There was no significant evidence for a difference in summary SIRs between geographic regions </w:t>
      </w:r>
      <w:r w:rsidR="001A2BE2" w:rsidRPr="008C12C0">
        <w:t xml:space="preserve">when Hung et al. was excluded </w:t>
      </w:r>
      <w:r w:rsidR="00550643" w:rsidRPr="008C12C0">
        <w:t>(SIR: 1.19, 95%CI: 1.06-1.33) for European studies vs 1.05 (95%CI: 0.91-1.20) for the North American study, p for difference: 0.18</w:t>
      </w:r>
      <w:r w:rsidR="00D45B02" w:rsidRPr="008C12C0">
        <w:t>, Figure 2, main article</w:t>
      </w:r>
      <w:r w:rsidR="00550643" w:rsidRPr="008C12C0">
        <w:t>).</w:t>
      </w:r>
      <w:r w:rsidRPr="008C12C0">
        <w:t xml:space="preserve"> Results when including Hung et al. </w:t>
      </w:r>
      <w:r w:rsidR="001A2BE2" w:rsidRPr="008C12C0">
        <w:t>are described in the main article.</w:t>
      </w:r>
    </w:p>
    <w:p w14:paraId="1E0D0C61" w14:textId="77777777" w:rsidR="006F4191" w:rsidRPr="008C12C0" w:rsidRDefault="006F4191" w:rsidP="00550643"/>
    <w:p w14:paraId="2BD78F16" w14:textId="388F57C1" w:rsidR="00550643" w:rsidRPr="008C12C0" w:rsidRDefault="006F4191" w:rsidP="006F4191">
      <w:pPr>
        <w:spacing w:line="360" w:lineRule="auto"/>
      </w:pPr>
      <w:r w:rsidRPr="008C12C0">
        <w:t xml:space="preserve">We found no significant evidence of heterogeneity in any of the region-specific subgroups </w:t>
      </w:r>
      <w:r w:rsidR="00550643" w:rsidRPr="008C12C0">
        <w:t>(Q: 7.36, I</w:t>
      </w:r>
      <w:r w:rsidR="00550643" w:rsidRPr="008C12C0">
        <w:rPr>
          <w:vertAlign w:val="superscript"/>
        </w:rPr>
        <w:t>2</w:t>
      </w:r>
      <w:r w:rsidR="00550643" w:rsidRPr="008C12C0">
        <w:t>: 59%, p: 0.061 for European studies. Heterogeneity could not be evaluated for the remaining subgroup(s) as they all consisted of one study</w:t>
      </w:r>
      <w:r w:rsidR="001A2BE2" w:rsidRPr="008C12C0">
        <w:t xml:space="preserve"> (Figure 2, main article)</w:t>
      </w:r>
      <w:r w:rsidR="00550643" w:rsidRPr="008C12C0">
        <w:t>.</w:t>
      </w:r>
    </w:p>
    <w:p w14:paraId="4BEA7893" w14:textId="77777777" w:rsidR="001A75BB" w:rsidRPr="008C12C0" w:rsidRDefault="001A75BB" w:rsidP="001A75BB">
      <w:pPr>
        <w:pStyle w:val="Heading1"/>
      </w:pPr>
      <w:bookmarkStart w:id="0" w:name="_Toc84509839"/>
    </w:p>
    <w:p w14:paraId="5A3D504E" w14:textId="77777777" w:rsidR="00FF3F36" w:rsidRPr="008C12C0" w:rsidRDefault="00FF3F36" w:rsidP="00607F38">
      <w:pPr>
        <w:pStyle w:val="Heading1"/>
      </w:pPr>
    </w:p>
    <w:p w14:paraId="67768D74" w14:textId="77777777" w:rsidR="00FF3F36" w:rsidRPr="008C12C0" w:rsidRDefault="00FF3F36" w:rsidP="00607F38">
      <w:pPr>
        <w:pStyle w:val="Heading1"/>
      </w:pPr>
    </w:p>
    <w:p w14:paraId="6C591696" w14:textId="77777777" w:rsidR="00FF3F36" w:rsidRPr="008C12C0" w:rsidRDefault="00FF3F36" w:rsidP="00607F38">
      <w:pPr>
        <w:pStyle w:val="Heading1"/>
      </w:pPr>
    </w:p>
    <w:p w14:paraId="7BEF9B10" w14:textId="77777777" w:rsidR="00FF3F36" w:rsidRPr="008C12C0" w:rsidRDefault="00FF3F36" w:rsidP="00607F38">
      <w:pPr>
        <w:pStyle w:val="Heading1"/>
      </w:pPr>
    </w:p>
    <w:p w14:paraId="128FC9D2" w14:textId="77777777" w:rsidR="00FF3F36" w:rsidRPr="008C12C0" w:rsidRDefault="00FF3F36" w:rsidP="00607F38">
      <w:pPr>
        <w:pStyle w:val="Heading1"/>
      </w:pPr>
    </w:p>
    <w:p w14:paraId="3BAAAC50" w14:textId="77777777" w:rsidR="00FF3F36" w:rsidRPr="008C12C0" w:rsidRDefault="00FF3F36" w:rsidP="00607F38">
      <w:pPr>
        <w:pStyle w:val="Heading1"/>
      </w:pPr>
    </w:p>
    <w:p w14:paraId="506F1FAB" w14:textId="77777777" w:rsidR="00FF3F36" w:rsidRPr="008C12C0" w:rsidRDefault="00FF3F36" w:rsidP="00607F38">
      <w:pPr>
        <w:pStyle w:val="Heading1"/>
      </w:pPr>
    </w:p>
    <w:p w14:paraId="007A9896" w14:textId="77777777" w:rsidR="00FF3F36" w:rsidRPr="008C12C0" w:rsidRDefault="00FF3F36" w:rsidP="00607F38">
      <w:pPr>
        <w:pStyle w:val="Heading1"/>
      </w:pPr>
    </w:p>
    <w:p w14:paraId="79D31041" w14:textId="77777777" w:rsidR="00FF3F36" w:rsidRPr="008C12C0" w:rsidRDefault="00FF3F36" w:rsidP="00607F38">
      <w:pPr>
        <w:pStyle w:val="Heading1"/>
      </w:pPr>
    </w:p>
    <w:p w14:paraId="3D1E1000" w14:textId="77777777" w:rsidR="00FF3F36" w:rsidRPr="008C12C0" w:rsidRDefault="00FF3F36" w:rsidP="00607F38">
      <w:pPr>
        <w:pStyle w:val="Heading1"/>
      </w:pPr>
    </w:p>
    <w:p w14:paraId="736A6671" w14:textId="77777777" w:rsidR="00FF3F36" w:rsidRPr="008C12C0" w:rsidRDefault="00FF3F36" w:rsidP="00607F38">
      <w:pPr>
        <w:pStyle w:val="Heading1"/>
      </w:pPr>
    </w:p>
    <w:p w14:paraId="2A402FD8" w14:textId="77777777" w:rsidR="00FF3F36" w:rsidRPr="008C12C0" w:rsidRDefault="00FF3F36" w:rsidP="00607F38">
      <w:pPr>
        <w:pStyle w:val="Heading1"/>
      </w:pPr>
    </w:p>
    <w:p w14:paraId="4FC014F3" w14:textId="77777777" w:rsidR="00FF3F36" w:rsidRPr="008C12C0" w:rsidRDefault="00FF3F36" w:rsidP="00607F38">
      <w:pPr>
        <w:pStyle w:val="Heading1"/>
      </w:pPr>
    </w:p>
    <w:p w14:paraId="4A92F118" w14:textId="77777777" w:rsidR="00607F38" w:rsidRPr="008C12C0" w:rsidRDefault="00607F38" w:rsidP="001A75BB">
      <w:pPr>
        <w:spacing w:line="360" w:lineRule="auto"/>
      </w:pPr>
    </w:p>
    <w:p w14:paraId="262F66BA" w14:textId="77777777" w:rsidR="00FF3F36" w:rsidRPr="008C12C0" w:rsidRDefault="00FF3F36" w:rsidP="00FF3F36">
      <w:pPr>
        <w:pStyle w:val="Heading1"/>
      </w:pPr>
      <w:r w:rsidRPr="008C12C0">
        <w:lastRenderedPageBreak/>
        <w:t>Effects of age at BC onset:</w:t>
      </w:r>
    </w:p>
    <w:p w14:paraId="1314902C" w14:textId="77777777" w:rsidR="00FF3F36" w:rsidRPr="008C12C0" w:rsidRDefault="00FF3F36" w:rsidP="001A75BB">
      <w:pPr>
        <w:spacing w:line="360" w:lineRule="auto"/>
      </w:pPr>
    </w:p>
    <w:p w14:paraId="71AF5C09" w14:textId="0384A758" w:rsidR="001A75BB" w:rsidRPr="008C12C0" w:rsidRDefault="001A75BB" w:rsidP="001A75BB">
      <w:pPr>
        <w:spacing w:line="360" w:lineRule="auto"/>
      </w:pPr>
      <w:r w:rsidRPr="008C12C0">
        <w:t>Results when including the outlying study by Hung et al. may be seen in Figure S1 (results when excluding Hung et al. may be seen in Figure 4, cited in main article). There was no significant evidence found for a difference in summary SIR between the age groups (SIR: 1.93 (95% CI: 1.12-3.31) for men aged under 50 at first BC onset vs. 1.30 (0.96-1.76) for men aged over 50 at first BC onset, p for difference: 0.212).</w:t>
      </w:r>
    </w:p>
    <w:p w14:paraId="6EB91E2E" w14:textId="77777777" w:rsidR="001A75BB" w:rsidRPr="008C12C0" w:rsidRDefault="001A75BB" w:rsidP="001A75BB">
      <w:pPr>
        <w:spacing w:line="360" w:lineRule="auto"/>
      </w:pPr>
    </w:p>
    <w:p w14:paraId="7CCB9E5A" w14:textId="32077CE4" w:rsidR="00F83BFD" w:rsidRPr="008C12C0" w:rsidRDefault="00D20F3A" w:rsidP="001A75BB">
      <w:pPr>
        <w:spacing w:after="0" w:line="360" w:lineRule="auto"/>
        <w:rPr>
          <w:b/>
          <w:bCs/>
        </w:rPr>
      </w:pPr>
      <w:r w:rsidRPr="008C12C0">
        <w:rPr>
          <w:b/>
          <w:bCs/>
        </w:rPr>
        <w:t>Figure S</w:t>
      </w:r>
      <w:r w:rsidR="001A75BB" w:rsidRPr="008C12C0">
        <w:rPr>
          <w:b/>
          <w:bCs/>
        </w:rPr>
        <w:t>1</w:t>
      </w:r>
      <w:r w:rsidRPr="008C12C0">
        <w:rPr>
          <w:b/>
          <w:bCs/>
        </w:rPr>
        <w:t xml:space="preserve">: Association between a first primary </w:t>
      </w:r>
      <w:r w:rsidR="00036171" w:rsidRPr="008C12C0">
        <w:rPr>
          <w:b/>
          <w:bCs/>
        </w:rPr>
        <w:t>male breast cancer</w:t>
      </w:r>
      <w:r w:rsidRPr="008C12C0">
        <w:rPr>
          <w:b/>
          <w:bCs/>
        </w:rPr>
        <w:t xml:space="preserve"> and the onset of a non-breast </w:t>
      </w:r>
      <w:r w:rsidR="00036171" w:rsidRPr="008C12C0">
        <w:rPr>
          <w:b/>
          <w:bCs/>
        </w:rPr>
        <w:t>second primary cancer</w:t>
      </w:r>
      <w:r w:rsidRPr="008C12C0">
        <w:rPr>
          <w:b/>
          <w:bCs/>
        </w:rPr>
        <w:t xml:space="preserve">, in comparison to the general male population, stratified by age group at </w:t>
      </w:r>
      <w:r w:rsidR="00036171" w:rsidRPr="008C12C0">
        <w:rPr>
          <w:b/>
          <w:bCs/>
        </w:rPr>
        <w:t>breast cancer</w:t>
      </w:r>
      <w:r w:rsidRPr="008C12C0">
        <w:rPr>
          <w:b/>
          <w:bCs/>
        </w:rPr>
        <w:t xml:space="preserve"> onset, including </w:t>
      </w:r>
      <w:r w:rsidR="00036171" w:rsidRPr="008C12C0">
        <w:rPr>
          <w:b/>
          <w:bCs/>
        </w:rPr>
        <w:t xml:space="preserve">the outlying study by </w:t>
      </w:r>
      <w:r w:rsidRPr="008C12C0">
        <w:rPr>
          <w:b/>
          <w:bCs/>
        </w:rPr>
        <w:t>Hung et al</w:t>
      </w:r>
      <w:r w:rsidR="00FC6600" w:rsidRPr="008C12C0">
        <w:rPr>
          <w:b/>
          <w:bCs/>
        </w:rPr>
        <w:t>.</w:t>
      </w:r>
    </w:p>
    <w:p w14:paraId="78C0FF91" w14:textId="644EF58B" w:rsidR="001A75BB" w:rsidRPr="008C12C0" w:rsidRDefault="00FF3F36" w:rsidP="001A75BB">
      <w:pPr>
        <w:spacing w:after="0" w:line="360" w:lineRule="auto"/>
        <w:rPr>
          <w:b/>
          <w:bCs/>
        </w:rPr>
      </w:pPr>
      <w:r w:rsidRPr="008C12C0">
        <w:rPr>
          <w:b/>
          <w:bCs/>
          <w:noProof/>
        </w:rPr>
        <w:drawing>
          <wp:anchor distT="0" distB="0" distL="114300" distR="114300" simplePos="0" relativeHeight="251666432" behindDoc="1" locked="0" layoutInCell="1" allowOverlap="1" wp14:anchorId="391254DB" wp14:editId="442EB09C">
            <wp:simplePos x="0" y="0"/>
            <wp:positionH relativeFrom="margin">
              <wp:align>left</wp:align>
            </wp:positionH>
            <wp:positionV relativeFrom="paragraph">
              <wp:posOffset>331470</wp:posOffset>
            </wp:positionV>
            <wp:extent cx="5527796" cy="2679700"/>
            <wp:effectExtent l="0" t="0" r="0" b="6350"/>
            <wp:wrapTight wrapText="bothSides">
              <wp:wrapPolygon edited="0">
                <wp:start x="0" y="0"/>
                <wp:lineTo x="0" y="21498"/>
                <wp:lineTo x="21513" y="21498"/>
                <wp:lineTo x="21513" y="0"/>
                <wp:lineTo x="0" y="0"/>
              </wp:wrapPolygon>
            </wp:wrapTight>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527796" cy="2679700"/>
                    </a:xfrm>
                    <a:prstGeom prst="rect">
                      <a:avLst/>
                    </a:prstGeom>
                  </pic:spPr>
                </pic:pic>
              </a:graphicData>
            </a:graphic>
            <wp14:sizeRelH relativeFrom="page">
              <wp14:pctWidth>0</wp14:pctWidth>
            </wp14:sizeRelH>
            <wp14:sizeRelV relativeFrom="page">
              <wp14:pctHeight>0</wp14:pctHeight>
            </wp14:sizeRelV>
          </wp:anchor>
        </w:drawing>
      </w:r>
    </w:p>
    <w:p w14:paraId="021B64FB" w14:textId="77777777" w:rsidR="00607F38" w:rsidRPr="008C12C0" w:rsidRDefault="00607F38" w:rsidP="000E6353">
      <w:pPr>
        <w:pStyle w:val="Heading1"/>
      </w:pPr>
    </w:p>
    <w:p w14:paraId="72324717" w14:textId="77777777" w:rsidR="00607F38" w:rsidRPr="008C12C0" w:rsidRDefault="00607F38" w:rsidP="000E6353">
      <w:pPr>
        <w:pStyle w:val="Heading1"/>
      </w:pPr>
    </w:p>
    <w:p w14:paraId="1FF27F76" w14:textId="77777777" w:rsidR="00607F38" w:rsidRPr="008C12C0" w:rsidRDefault="00607F38" w:rsidP="000E6353">
      <w:pPr>
        <w:pStyle w:val="Heading1"/>
      </w:pPr>
    </w:p>
    <w:p w14:paraId="56486D99" w14:textId="77777777" w:rsidR="00607F38" w:rsidRPr="008C12C0" w:rsidRDefault="00607F38" w:rsidP="000E6353">
      <w:pPr>
        <w:pStyle w:val="Heading1"/>
      </w:pPr>
    </w:p>
    <w:p w14:paraId="11F817AF" w14:textId="0237FC0A" w:rsidR="00F83BFD" w:rsidRPr="008C12C0" w:rsidRDefault="00F83BFD" w:rsidP="00597A33">
      <w:pPr>
        <w:spacing w:line="360" w:lineRule="auto"/>
      </w:pPr>
    </w:p>
    <w:p w14:paraId="38CCC8B3" w14:textId="233C564B" w:rsidR="00607F38" w:rsidRPr="008C12C0" w:rsidRDefault="00607F38" w:rsidP="00597A33">
      <w:pPr>
        <w:spacing w:line="360" w:lineRule="auto"/>
      </w:pPr>
    </w:p>
    <w:p w14:paraId="5CC74EDD" w14:textId="77777777" w:rsidR="00607F38" w:rsidRPr="008C12C0" w:rsidRDefault="00607F38" w:rsidP="00597A33">
      <w:pPr>
        <w:spacing w:line="360" w:lineRule="auto"/>
      </w:pPr>
    </w:p>
    <w:p w14:paraId="1D2ACD8D" w14:textId="77777777" w:rsidR="00607F38" w:rsidRPr="008C12C0" w:rsidRDefault="00607F38" w:rsidP="00607F38">
      <w:pPr>
        <w:pStyle w:val="Heading1"/>
      </w:pPr>
      <w:r w:rsidRPr="008C12C0">
        <w:lastRenderedPageBreak/>
        <w:t>Effects of follow-up time elapsed since BC onset:</w:t>
      </w:r>
    </w:p>
    <w:p w14:paraId="6EFA5C67" w14:textId="77777777" w:rsidR="00607F38" w:rsidRPr="008C12C0" w:rsidRDefault="00607F38" w:rsidP="00597A33">
      <w:pPr>
        <w:spacing w:line="360" w:lineRule="auto"/>
      </w:pPr>
    </w:p>
    <w:p w14:paraId="5BAD39DA" w14:textId="0E1C4E73" w:rsidR="00597A33" w:rsidRPr="008C12C0" w:rsidRDefault="00597A33" w:rsidP="00597A33">
      <w:pPr>
        <w:spacing w:line="360" w:lineRule="auto"/>
      </w:pPr>
      <w:r w:rsidRPr="008C12C0">
        <w:t xml:space="preserve">The </w:t>
      </w:r>
      <w:r w:rsidR="00041DA1" w:rsidRPr="008C12C0">
        <w:t>meta-analysis</w:t>
      </w:r>
      <w:r w:rsidRPr="008C12C0">
        <w:t xml:space="preserve"> which </w:t>
      </w:r>
      <w:r w:rsidR="00036171" w:rsidRPr="008C12C0">
        <w:t>stratified</w:t>
      </w:r>
      <w:r w:rsidRPr="008C12C0">
        <w:t xml:space="preserve"> at 5 years elapsed since</w:t>
      </w:r>
      <w:r w:rsidR="0038485E" w:rsidRPr="008C12C0">
        <w:t xml:space="preserve"> </w:t>
      </w:r>
      <w:r w:rsidR="00036171" w:rsidRPr="008C12C0">
        <w:t>male BC</w:t>
      </w:r>
      <w:r w:rsidRPr="008C12C0">
        <w:t xml:space="preserve"> onset consisted of 3 studies</w:t>
      </w:r>
      <w:r w:rsidR="0038485E" w:rsidRPr="008C12C0">
        <w:rPr>
          <w:vertAlign w:val="superscript"/>
        </w:rPr>
        <w:t>6-8</w:t>
      </w:r>
      <w:r w:rsidRPr="008C12C0">
        <w:t xml:space="preserve">. As shown in Figure </w:t>
      </w:r>
      <w:r w:rsidR="00F0033B" w:rsidRPr="008C12C0">
        <w:t>S</w:t>
      </w:r>
      <w:r w:rsidR="001A75BB" w:rsidRPr="008C12C0">
        <w:t>2</w:t>
      </w:r>
      <w:r w:rsidRPr="008C12C0">
        <w:t>, no significant evidence for a difference in summary SIR between strata was observed (SIR: 1.27 (95%CI: 0.</w:t>
      </w:r>
      <w:r w:rsidR="0083746F" w:rsidRPr="008C12C0">
        <w:t>66</w:t>
      </w:r>
      <w:r w:rsidRPr="008C12C0">
        <w:t>-2.</w:t>
      </w:r>
      <w:r w:rsidR="0083746F" w:rsidRPr="008C12C0">
        <w:t>46</w:t>
      </w:r>
      <w:r w:rsidRPr="008C12C0">
        <w:t>) below 5</w:t>
      </w:r>
      <w:r w:rsidR="00041DA1" w:rsidRPr="008C12C0">
        <w:t>-</w:t>
      </w:r>
      <w:r w:rsidRPr="008C12C0">
        <w:t>year point vs 1.33 (95%CI: 0.9</w:t>
      </w:r>
      <w:r w:rsidR="0083746F" w:rsidRPr="008C12C0">
        <w:t>8</w:t>
      </w:r>
      <w:r w:rsidRPr="008C12C0">
        <w:t>-1.80) above 5</w:t>
      </w:r>
      <w:r w:rsidR="00FC6600" w:rsidRPr="008C12C0">
        <w:t>-</w:t>
      </w:r>
      <w:r w:rsidRPr="008C12C0">
        <w:t>year point, p for difference = 0.</w:t>
      </w:r>
      <w:r w:rsidR="0083746F" w:rsidRPr="008C12C0">
        <w:t>912</w:t>
      </w:r>
      <w:r w:rsidRPr="008C12C0">
        <w:t>).</w:t>
      </w:r>
    </w:p>
    <w:p w14:paraId="72A48157" w14:textId="77777777" w:rsidR="001B7365" w:rsidRPr="008C12C0" w:rsidRDefault="001B7365" w:rsidP="00597A33">
      <w:pPr>
        <w:spacing w:line="360" w:lineRule="auto"/>
      </w:pPr>
    </w:p>
    <w:p w14:paraId="105E943E" w14:textId="1769C54C" w:rsidR="00334288" w:rsidRPr="008C12C0" w:rsidRDefault="00036171" w:rsidP="00F83BFD">
      <w:pPr>
        <w:spacing w:after="0" w:line="360" w:lineRule="auto"/>
        <w:rPr>
          <w:b/>
          <w:bCs/>
        </w:rPr>
      </w:pPr>
      <w:r w:rsidRPr="008C12C0">
        <w:rPr>
          <w:noProof/>
        </w:rPr>
        <w:drawing>
          <wp:anchor distT="0" distB="0" distL="114300" distR="114300" simplePos="0" relativeHeight="251665408" behindDoc="1" locked="0" layoutInCell="1" allowOverlap="1" wp14:anchorId="4425F8E1" wp14:editId="4D961D80">
            <wp:simplePos x="0" y="0"/>
            <wp:positionH relativeFrom="margin">
              <wp:align>right</wp:align>
            </wp:positionH>
            <wp:positionV relativeFrom="paragraph">
              <wp:posOffset>1143635</wp:posOffset>
            </wp:positionV>
            <wp:extent cx="5739172" cy="2482850"/>
            <wp:effectExtent l="0" t="0" r="0" b="0"/>
            <wp:wrapTight wrapText="bothSides">
              <wp:wrapPolygon edited="0">
                <wp:start x="0" y="0"/>
                <wp:lineTo x="0" y="21379"/>
                <wp:lineTo x="21509" y="21379"/>
                <wp:lineTo x="21509"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9172" cy="2482850"/>
                    </a:xfrm>
                    <a:prstGeom prst="rect">
                      <a:avLst/>
                    </a:prstGeom>
                  </pic:spPr>
                </pic:pic>
              </a:graphicData>
            </a:graphic>
            <wp14:sizeRelH relativeFrom="page">
              <wp14:pctWidth>0</wp14:pctWidth>
            </wp14:sizeRelH>
            <wp14:sizeRelV relativeFrom="page">
              <wp14:pctHeight>0</wp14:pctHeight>
            </wp14:sizeRelV>
          </wp:anchor>
        </w:drawing>
      </w:r>
      <w:r w:rsidRPr="008C12C0">
        <w:rPr>
          <w:b/>
          <w:bCs/>
        </w:rPr>
        <w:t>Figure S</w:t>
      </w:r>
      <w:r w:rsidR="001A75BB" w:rsidRPr="008C12C0">
        <w:rPr>
          <w:b/>
          <w:bCs/>
        </w:rPr>
        <w:t>2</w:t>
      </w:r>
      <w:r w:rsidRPr="008C12C0">
        <w:rPr>
          <w:b/>
          <w:bCs/>
        </w:rPr>
        <w:t>: Association between a first primary male breast cancer and the onset of a non-breast second primary cancer, in comparison to the general male population, stratified by time elapsed since breast cancer onset, with stratification point set at 5 years, including the outlying study by Hung et al.</w:t>
      </w:r>
    </w:p>
    <w:p w14:paraId="68109598" w14:textId="77777777" w:rsidR="00F83BFD" w:rsidRPr="008C12C0" w:rsidRDefault="00F83BFD" w:rsidP="00F83BFD">
      <w:pPr>
        <w:spacing w:after="0" w:line="360" w:lineRule="auto"/>
        <w:rPr>
          <w:b/>
          <w:bCs/>
        </w:rPr>
      </w:pPr>
    </w:p>
    <w:p w14:paraId="235C5F1F" w14:textId="44C8B1D2" w:rsidR="00036171" w:rsidRPr="008C12C0" w:rsidRDefault="006E2C5E" w:rsidP="00597A33">
      <w:pPr>
        <w:spacing w:line="360" w:lineRule="auto"/>
      </w:pPr>
      <w:r w:rsidRPr="008C12C0">
        <w:t>The results following the elimination of Hung et al. may be seen in Figure S</w:t>
      </w:r>
      <w:r w:rsidR="00D45B02" w:rsidRPr="008C12C0">
        <w:t>3</w:t>
      </w:r>
      <w:r w:rsidRPr="008C12C0">
        <w:t>. N</w:t>
      </w:r>
      <w:r w:rsidR="0097010D" w:rsidRPr="008C12C0">
        <w:t xml:space="preserve">o significant evidence for a difference in summary SIR between strata was observed (SIR: </w:t>
      </w:r>
      <w:r w:rsidRPr="008C12C0">
        <w:t>0.94</w:t>
      </w:r>
      <w:r w:rsidR="0097010D" w:rsidRPr="008C12C0">
        <w:t xml:space="preserve"> (95%CI: 0.6</w:t>
      </w:r>
      <w:r w:rsidRPr="008C12C0">
        <w:t>0</w:t>
      </w:r>
      <w:r w:rsidR="0097010D" w:rsidRPr="008C12C0">
        <w:t>-</w:t>
      </w:r>
      <w:r w:rsidRPr="008C12C0">
        <w:t>1</w:t>
      </w:r>
      <w:r w:rsidR="0097010D" w:rsidRPr="008C12C0">
        <w:t>.46) below 5</w:t>
      </w:r>
      <w:r w:rsidR="00FC6600" w:rsidRPr="008C12C0">
        <w:t>-</w:t>
      </w:r>
      <w:r w:rsidR="0097010D" w:rsidRPr="008C12C0">
        <w:t>year point vs 1.</w:t>
      </w:r>
      <w:r w:rsidRPr="008C12C0">
        <w:t>21</w:t>
      </w:r>
      <w:r w:rsidR="0097010D" w:rsidRPr="008C12C0">
        <w:t xml:space="preserve"> (95%CI: 0.</w:t>
      </w:r>
      <w:r w:rsidRPr="008C12C0">
        <w:t>86</w:t>
      </w:r>
      <w:r w:rsidR="0097010D" w:rsidRPr="008C12C0">
        <w:t>-1.</w:t>
      </w:r>
      <w:r w:rsidRPr="008C12C0">
        <w:t>72</w:t>
      </w:r>
      <w:r w:rsidR="0097010D" w:rsidRPr="008C12C0">
        <w:t xml:space="preserve">) above </w:t>
      </w:r>
      <w:r w:rsidR="00496459" w:rsidRPr="008C12C0">
        <w:t>5-year</w:t>
      </w:r>
      <w:r w:rsidR="0097010D" w:rsidRPr="008C12C0">
        <w:t xml:space="preserve"> point, p for difference = 0.</w:t>
      </w:r>
      <w:r w:rsidRPr="008C12C0">
        <w:t>368</w:t>
      </w:r>
      <w:r w:rsidR="0097010D" w:rsidRPr="008C12C0">
        <w:t>).</w:t>
      </w:r>
    </w:p>
    <w:p w14:paraId="1D1E62C5" w14:textId="77777777" w:rsidR="00F83BFD" w:rsidRPr="008C12C0" w:rsidRDefault="00F83BFD" w:rsidP="00036171">
      <w:pPr>
        <w:spacing w:after="0" w:line="360" w:lineRule="auto"/>
        <w:rPr>
          <w:noProof/>
        </w:rPr>
      </w:pPr>
    </w:p>
    <w:p w14:paraId="1CAC6C06" w14:textId="4A3E3F29" w:rsidR="00F83BFD" w:rsidRPr="008C12C0" w:rsidRDefault="00F83BFD" w:rsidP="00597A33">
      <w:pPr>
        <w:spacing w:line="360" w:lineRule="auto"/>
        <w:rPr>
          <w:b/>
          <w:bCs/>
        </w:rPr>
      </w:pPr>
      <w:r w:rsidRPr="008C12C0">
        <w:rPr>
          <w:b/>
          <w:bCs/>
          <w:noProof/>
        </w:rPr>
        <w:lastRenderedPageBreak/>
        <w:drawing>
          <wp:anchor distT="0" distB="0" distL="114300" distR="114300" simplePos="0" relativeHeight="251667456" behindDoc="1" locked="0" layoutInCell="1" allowOverlap="1" wp14:anchorId="7A645EA2" wp14:editId="76CA217A">
            <wp:simplePos x="0" y="0"/>
            <wp:positionH relativeFrom="margin">
              <wp:align>left</wp:align>
            </wp:positionH>
            <wp:positionV relativeFrom="paragraph">
              <wp:posOffset>1206500</wp:posOffset>
            </wp:positionV>
            <wp:extent cx="5584825" cy="2130757"/>
            <wp:effectExtent l="0" t="0" r="0" b="3175"/>
            <wp:wrapTight wrapText="bothSides">
              <wp:wrapPolygon edited="0">
                <wp:start x="0" y="0"/>
                <wp:lineTo x="0" y="21439"/>
                <wp:lineTo x="21514" y="21439"/>
                <wp:lineTo x="21514" y="0"/>
                <wp:lineTo x="0" y="0"/>
              </wp:wrapPolygon>
            </wp:wrapTight>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84825" cy="2130757"/>
                    </a:xfrm>
                    <a:prstGeom prst="rect">
                      <a:avLst/>
                    </a:prstGeom>
                  </pic:spPr>
                </pic:pic>
              </a:graphicData>
            </a:graphic>
            <wp14:sizeRelH relativeFrom="page">
              <wp14:pctWidth>0</wp14:pctWidth>
            </wp14:sizeRelH>
            <wp14:sizeRelV relativeFrom="page">
              <wp14:pctHeight>0</wp14:pctHeight>
            </wp14:sizeRelV>
          </wp:anchor>
        </w:drawing>
      </w:r>
      <w:r w:rsidR="00ED5938" w:rsidRPr="008C12C0">
        <w:rPr>
          <w:b/>
          <w:bCs/>
        </w:rPr>
        <w:t>Figure S</w:t>
      </w:r>
      <w:r w:rsidR="00D45B02" w:rsidRPr="008C12C0">
        <w:rPr>
          <w:b/>
          <w:bCs/>
        </w:rPr>
        <w:t>3</w:t>
      </w:r>
      <w:r w:rsidR="00036171" w:rsidRPr="008C12C0">
        <w:rPr>
          <w:b/>
          <w:bCs/>
        </w:rPr>
        <w:t>: Association between a first primary male breast cancer and the onset of a non-breast second primary cancer, in comparison to the general male population, stratified by time elapsed since breast cancer onset, with stratification point set at 5 years, excluding the outlying study by Hung et al.</w:t>
      </w:r>
    </w:p>
    <w:p w14:paraId="04125E8E" w14:textId="77777777" w:rsidR="006E2C5E" w:rsidRPr="008C12C0" w:rsidRDefault="006E2C5E" w:rsidP="00597A33">
      <w:pPr>
        <w:spacing w:line="360" w:lineRule="auto"/>
      </w:pPr>
    </w:p>
    <w:p w14:paraId="3068C458" w14:textId="01C14B02" w:rsidR="00331D00" w:rsidRPr="008C12C0" w:rsidRDefault="00597A33" w:rsidP="00331D00">
      <w:pPr>
        <w:spacing w:line="360" w:lineRule="auto"/>
      </w:pPr>
      <w:r w:rsidRPr="008C12C0">
        <w:t xml:space="preserve">The </w:t>
      </w:r>
      <w:r w:rsidR="00041DA1" w:rsidRPr="008C12C0">
        <w:t>meta-analysis</w:t>
      </w:r>
      <w:r w:rsidRPr="008C12C0">
        <w:t xml:space="preserve"> dividing the groups at 10 years elapsed since BC onset consisted of 2 studie</w:t>
      </w:r>
      <w:r w:rsidR="0038485E" w:rsidRPr="008C12C0">
        <w:t>s</w:t>
      </w:r>
      <w:r w:rsidR="00C82E70" w:rsidRPr="008C12C0">
        <w:rPr>
          <w:vertAlign w:val="superscript"/>
        </w:rPr>
        <w:t>5-6</w:t>
      </w:r>
      <w:r w:rsidRPr="008C12C0">
        <w:t xml:space="preserve">. As shown in Figure </w:t>
      </w:r>
      <w:r w:rsidR="00F0033B" w:rsidRPr="008C12C0">
        <w:t>S</w:t>
      </w:r>
      <w:r w:rsidR="00D45B02" w:rsidRPr="008C12C0">
        <w:t>4</w:t>
      </w:r>
      <w:r w:rsidRPr="008C12C0">
        <w:t>, there was no significant evidence for a difference in summary SIR (SIR: 1.27 (95%CI: 1.07-1.5</w:t>
      </w:r>
      <w:r w:rsidR="00D10B30" w:rsidRPr="008C12C0">
        <w:t>0</w:t>
      </w:r>
      <w:r w:rsidRPr="008C12C0">
        <w:t xml:space="preserve">) below </w:t>
      </w:r>
      <w:r w:rsidR="00C82E70" w:rsidRPr="008C12C0">
        <w:t xml:space="preserve">the </w:t>
      </w:r>
      <w:r w:rsidRPr="008C12C0">
        <w:t>10</w:t>
      </w:r>
      <w:r w:rsidR="00FC6600" w:rsidRPr="008C12C0">
        <w:t>-</w:t>
      </w:r>
      <w:r w:rsidRPr="008C12C0">
        <w:t xml:space="preserve">year point vs 1.08 (0.74-1.57) above </w:t>
      </w:r>
      <w:r w:rsidR="00C82E70" w:rsidRPr="008C12C0">
        <w:t xml:space="preserve">the </w:t>
      </w:r>
      <w:r w:rsidRPr="008C12C0">
        <w:t>10</w:t>
      </w:r>
      <w:r w:rsidR="00FC6600" w:rsidRPr="008C12C0">
        <w:t>-</w:t>
      </w:r>
      <w:r w:rsidRPr="008C12C0">
        <w:t>year point, p for difference = 0.4</w:t>
      </w:r>
      <w:r w:rsidR="00D10B30" w:rsidRPr="008C12C0">
        <w:t>33</w:t>
      </w:r>
      <w:r w:rsidRPr="008C12C0">
        <w:t>).</w:t>
      </w:r>
    </w:p>
    <w:p w14:paraId="3C0CB5FA" w14:textId="77777777" w:rsidR="00597A33" w:rsidRPr="008C12C0" w:rsidRDefault="00597A33" w:rsidP="00597A33">
      <w:pPr>
        <w:spacing w:after="0" w:line="360" w:lineRule="auto"/>
        <w:rPr>
          <w:b/>
          <w:bCs/>
        </w:rPr>
      </w:pPr>
    </w:p>
    <w:p w14:paraId="193AA223" w14:textId="68B6AB21" w:rsidR="00F83BFD" w:rsidRPr="008C12C0" w:rsidRDefault="003362DF" w:rsidP="00F83BFD">
      <w:pPr>
        <w:spacing w:line="360" w:lineRule="auto"/>
        <w:rPr>
          <w:b/>
          <w:bCs/>
        </w:rPr>
      </w:pPr>
      <w:r w:rsidRPr="008C12C0">
        <w:rPr>
          <w:noProof/>
        </w:rPr>
        <w:drawing>
          <wp:anchor distT="0" distB="0" distL="114300" distR="114300" simplePos="0" relativeHeight="251668480" behindDoc="1" locked="0" layoutInCell="1" allowOverlap="1" wp14:anchorId="1FF632FB" wp14:editId="33D7A277">
            <wp:simplePos x="0" y="0"/>
            <wp:positionH relativeFrom="margin">
              <wp:posOffset>-25400</wp:posOffset>
            </wp:positionH>
            <wp:positionV relativeFrom="paragraph">
              <wp:posOffset>869950</wp:posOffset>
            </wp:positionV>
            <wp:extent cx="5676265" cy="2181225"/>
            <wp:effectExtent l="0" t="0" r="635" b="9525"/>
            <wp:wrapTight wrapText="bothSides">
              <wp:wrapPolygon edited="0">
                <wp:start x="0" y="0"/>
                <wp:lineTo x="0" y="21506"/>
                <wp:lineTo x="21530" y="21506"/>
                <wp:lineTo x="21530"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76265" cy="2181225"/>
                    </a:xfrm>
                    <a:prstGeom prst="rect">
                      <a:avLst/>
                    </a:prstGeom>
                  </pic:spPr>
                </pic:pic>
              </a:graphicData>
            </a:graphic>
            <wp14:sizeRelH relativeFrom="page">
              <wp14:pctWidth>0</wp14:pctWidth>
            </wp14:sizeRelH>
            <wp14:sizeRelV relativeFrom="page">
              <wp14:pctHeight>0</wp14:pctHeight>
            </wp14:sizeRelV>
          </wp:anchor>
        </w:drawing>
      </w:r>
      <w:r w:rsidR="00597A33" w:rsidRPr="008C12C0">
        <w:rPr>
          <w:b/>
          <w:bCs/>
        </w:rPr>
        <w:t>Fi</w:t>
      </w:r>
      <w:r w:rsidR="00F83BFD" w:rsidRPr="008C12C0">
        <w:rPr>
          <w:b/>
          <w:bCs/>
        </w:rPr>
        <w:t>gure S</w:t>
      </w:r>
      <w:r w:rsidR="00D45B02" w:rsidRPr="008C12C0">
        <w:rPr>
          <w:b/>
          <w:bCs/>
        </w:rPr>
        <w:t>4</w:t>
      </w:r>
      <w:r w:rsidR="00F83BFD" w:rsidRPr="008C12C0">
        <w:rPr>
          <w:b/>
          <w:bCs/>
        </w:rPr>
        <w:t>: Association between a first primary male breast cancer and the onset of a non-breast second primary cancer, in comparison to the general male population, stratified by time elapsed since breast cancer onset, with stratification point set at 10 years</w:t>
      </w:r>
      <w:r w:rsidRPr="008C12C0">
        <w:rPr>
          <w:b/>
          <w:bCs/>
        </w:rPr>
        <w:t>.</w:t>
      </w:r>
    </w:p>
    <w:bookmarkEnd w:id="0"/>
    <w:p w14:paraId="4C873768" w14:textId="77777777" w:rsidR="00F83BFD" w:rsidRPr="008C12C0" w:rsidRDefault="00F83BFD" w:rsidP="00532535">
      <w:pPr>
        <w:spacing w:line="360" w:lineRule="auto"/>
      </w:pPr>
    </w:p>
    <w:p w14:paraId="35DCED4A" w14:textId="77777777" w:rsidR="00607F38" w:rsidRPr="008C12C0" w:rsidRDefault="00607F38" w:rsidP="00607F38">
      <w:pPr>
        <w:pStyle w:val="Heading1"/>
      </w:pPr>
      <w:r w:rsidRPr="008C12C0">
        <w:lastRenderedPageBreak/>
        <w:t>Site-specific associations:</w:t>
      </w:r>
    </w:p>
    <w:p w14:paraId="34DEFE70" w14:textId="77777777" w:rsidR="00607F38" w:rsidRPr="008C12C0" w:rsidRDefault="00607F38" w:rsidP="00532535">
      <w:pPr>
        <w:spacing w:line="360" w:lineRule="auto"/>
      </w:pPr>
    </w:p>
    <w:p w14:paraId="2F613DD9" w14:textId="7787EEBF" w:rsidR="00532535" w:rsidRPr="008C12C0" w:rsidRDefault="00532535" w:rsidP="00532535">
      <w:pPr>
        <w:spacing w:line="360" w:lineRule="auto"/>
      </w:pPr>
      <w:r w:rsidRPr="008C12C0">
        <w:t xml:space="preserve">Full results of the meta-analyses </w:t>
      </w:r>
      <w:r w:rsidR="003B51D9" w:rsidRPr="008C12C0">
        <w:t>for the</w:t>
      </w:r>
      <w:r w:rsidRPr="008C12C0">
        <w:t xml:space="preserve"> sixteen examined sites may be seen in Table S1. </w:t>
      </w:r>
      <w:r w:rsidR="00496459" w:rsidRPr="008C12C0">
        <w:t xml:space="preserve">Results </w:t>
      </w:r>
      <w:r w:rsidR="00127442" w:rsidRPr="008C12C0">
        <w:t xml:space="preserve">are presented both including and excluding </w:t>
      </w:r>
      <w:r w:rsidR="00041DA1" w:rsidRPr="008C12C0">
        <w:t xml:space="preserve">data from </w:t>
      </w:r>
      <w:r w:rsidR="00127442" w:rsidRPr="008C12C0">
        <w:t>Hung et al.</w:t>
      </w:r>
      <w:r w:rsidR="00496459" w:rsidRPr="008C12C0">
        <w:t xml:space="preserve"> for the bladder, head and neck, kidney, liver, pancreas, prostate, stomach, and thyroid. Hung was excluded from the meta-analyses concerning all other sites, as relevant data was </w:t>
      </w:r>
      <w:r w:rsidR="00553DBA" w:rsidRPr="008C12C0">
        <w:t xml:space="preserve">not </w:t>
      </w:r>
      <w:r w:rsidR="00595BFC" w:rsidRPr="008C12C0">
        <w:t>provided</w:t>
      </w:r>
      <w:r w:rsidR="00496459" w:rsidRPr="008C12C0">
        <w:t>.</w:t>
      </w:r>
      <w:r w:rsidR="00127442" w:rsidRPr="008C12C0">
        <w:t xml:space="preserve"> Significant results are highlighted in bold.</w:t>
      </w:r>
    </w:p>
    <w:p w14:paraId="22E27D09" w14:textId="77777777" w:rsidR="001A75BB" w:rsidRPr="008C12C0" w:rsidRDefault="001A75BB" w:rsidP="009A65A9">
      <w:pPr>
        <w:spacing w:line="360" w:lineRule="auto"/>
        <w:rPr>
          <w:rFonts w:eastAsia="Times New Roman" w:cs="Times New Roman"/>
          <w:b/>
          <w:bCs/>
        </w:rPr>
      </w:pPr>
    </w:p>
    <w:p w14:paraId="687790F9" w14:textId="399BA3AA" w:rsidR="009A65A9" w:rsidRPr="008C12C0" w:rsidRDefault="009A65A9" w:rsidP="009A65A9">
      <w:pPr>
        <w:spacing w:line="360" w:lineRule="auto"/>
        <w:rPr>
          <w:rFonts w:eastAsia="Times New Roman" w:cs="Times New Roman"/>
          <w:b/>
          <w:bCs/>
        </w:rPr>
      </w:pPr>
      <w:r w:rsidRPr="008C12C0">
        <w:rPr>
          <w:rFonts w:eastAsia="Times New Roman" w:cs="Times New Roman"/>
          <w:b/>
          <w:bCs/>
        </w:rPr>
        <w:t>Table S1: Results of meta-analyses examining site-specific SPCs</w:t>
      </w:r>
    </w:p>
    <w:tbl>
      <w:tblPr>
        <w:tblStyle w:val="TableGrid"/>
        <w:tblW w:w="0" w:type="auto"/>
        <w:tblLook w:val="04A0" w:firstRow="1" w:lastRow="0" w:firstColumn="1" w:lastColumn="0" w:noHBand="0" w:noVBand="1"/>
      </w:tblPr>
      <w:tblGrid>
        <w:gridCol w:w="2164"/>
        <w:gridCol w:w="1800"/>
        <w:gridCol w:w="1560"/>
        <w:gridCol w:w="1735"/>
        <w:gridCol w:w="1757"/>
      </w:tblGrid>
      <w:tr w:rsidR="001A4D01" w:rsidRPr="008C12C0" w14:paraId="1C36A1FB" w14:textId="23062E33" w:rsidTr="001A4D01">
        <w:tc>
          <w:tcPr>
            <w:tcW w:w="2164" w:type="dxa"/>
            <w:tcBorders>
              <w:bottom w:val="single" w:sz="4" w:space="0" w:color="auto"/>
            </w:tcBorders>
            <w:shd w:val="clear" w:color="auto" w:fill="5B9BD5" w:themeFill="accent5"/>
          </w:tcPr>
          <w:p w14:paraId="4E018D1A" w14:textId="77777777" w:rsidR="001A4D01" w:rsidRPr="008C12C0" w:rsidRDefault="001A4D01" w:rsidP="001A4D01">
            <w:pPr>
              <w:spacing w:line="360" w:lineRule="auto"/>
              <w:rPr>
                <w:b/>
                <w:bCs/>
                <w:sz w:val="16"/>
                <w:szCs w:val="16"/>
              </w:rPr>
            </w:pPr>
            <w:r w:rsidRPr="008C12C0">
              <w:rPr>
                <w:b/>
                <w:bCs/>
                <w:sz w:val="16"/>
                <w:szCs w:val="16"/>
              </w:rPr>
              <w:t xml:space="preserve">Second primary cancer site </w:t>
            </w:r>
          </w:p>
        </w:tc>
        <w:tc>
          <w:tcPr>
            <w:tcW w:w="1800" w:type="dxa"/>
            <w:tcBorders>
              <w:bottom w:val="single" w:sz="4" w:space="0" w:color="auto"/>
            </w:tcBorders>
            <w:shd w:val="clear" w:color="auto" w:fill="5B9BD5" w:themeFill="accent5"/>
          </w:tcPr>
          <w:p w14:paraId="2C8F06D2" w14:textId="1CA826B0" w:rsidR="001A4D01" w:rsidRPr="008C12C0" w:rsidRDefault="001A4D01" w:rsidP="001A4D01">
            <w:pPr>
              <w:spacing w:line="360" w:lineRule="auto"/>
              <w:rPr>
                <w:b/>
                <w:bCs/>
                <w:sz w:val="16"/>
                <w:szCs w:val="16"/>
              </w:rPr>
            </w:pPr>
            <w:r w:rsidRPr="008C12C0">
              <w:rPr>
                <w:b/>
                <w:bCs/>
                <w:sz w:val="16"/>
                <w:szCs w:val="16"/>
              </w:rPr>
              <w:t>Summary SIR (95% CI), including Hung et al.</w:t>
            </w:r>
          </w:p>
        </w:tc>
        <w:tc>
          <w:tcPr>
            <w:tcW w:w="1560" w:type="dxa"/>
            <w:tcBorders>
              <w:bottom w:val="single" w:sz="4" w:space="0" w:color="auto"/>
            </w:tcBorders>
            <w:shd w:val="clear" w:color="auto" w:fill="5B9BD5" w:themeFill="accent5"/>
          </w:tcPr>
          <w:p w14:paraId="0605811B" w14:textId="7FDD23E8" w:rsidR="001A4D01" w:rsidRPr="008C12C0" w:rsidRDefault="001A4D01" w:rsidP="001A4D01">
            <w:pPr>
              <w:spacing w:line="360" w:lineRule="auto"/>
              <w:rPr>
                <w:b/>
                <w:bCs/>
                <w:sz w:val="16"/>
                <w:szCs w:val="16"/>
              </w:rPr>
            </w:pPr>
            <w:r w:rsidRPr="008C12C0">
              <w:rPr>
                <w:b/>
                <w:bCs/>
                <w:sz w:val="16"/>
                <w:szCs w:val="16"/>
              </w:rPr>
              <w:t>Summary SIR (95% CI), excluding Hung et al.</w:t>
            </w:r>
          </w:p>
        </w:tc>
        <w:tc>
          <w:tcPr>
            <w:tcW w:w="1735" w:type="dxa"/>
            <w:tcBorders>
              <w:bottom w:val="single" w:sz="4" w:space="0" w:color="auto"/>
            </w:tcBorders>
            <w:shd w:val="clear" w:color="auto" w:fill="5B9BD5" w:themeFill="accent5"/>
          </w:tcPr>
          <w:p w14:paraId="77C2B366" w14:textId="6A4B5D67" w:rsidR="001A4D01" w:rsidRPr="008C12C0" w:rsidRDefault="001A4D01" w:rsidP="001A4D01">
            <w:pPr>
              <w:spacing w:line="360" w:lineRule="auto"/>
              <w:rPr>
                <w:b/>
                <w:bCs/>
                <w:sz w:val="16"/>
                <w:szCs w:val="16"/>
              </w:rPr>
            </w:pPr>
            <w:r w:rsidRPr="008C12C0">
              <w:rPr>
                <w:b/>
                <w:bCs/>
                <w:sz w:val="16"/>
                <w:szCs w:val="16"/>
              </w:rPr>
              <w:t>Number of studies in meta-analysis, including Hung et al.</w:t>
            </w:r>
          </w:p>
        </w:tc>
        <w:tc>
          <w:tcPr>
            <w:tcW w:w="1757" w:type="dxa"/>
            <w:tcBorders>
              <w:bottom w:val="single" w:sz="4" w:space="0" w:color="auto"/>
            </w:tcBorders>
            <w:shd w:val="clear" w:color="auto" w:fill="5B9BD5" w:themeFill="accent5"/>
          </w:tcPr>
          <w:p w14:paraId="3F272E99" w14:textId="5E1AF4F5" w:rsidR="001A4D01" w:rsidRPr="008C12C0" w:rsidRDefault="001A4D01" w:rsidP="001A4D01">
            <w:pPr>
              <w:spacing w:line="360" w:lineRule="auto"/>
              <w:rPr>
                <w:b/>
                <w:bCs/>
                <w:sz w:val="16"/>
                <w:szCs w:val="16"/>
              </w:rPr>
            </w:pPr>
            <w:bookmarkStart w:id="1" w:name="_Hlk106398700"/>
            <w:r w:rsidRPr="008C12C0">
              <w:rPr>
                <w:b/>
                <w:bCs/>
                <w:sz w:val="16"/>
                <w:szCs w:val="16"/>
              </w:rPr>
              <w:t>Total number of site-specific SPCs recorded, including Hung et al.</w:t>
            </w:r>
            <w:bookmarkEnd w:id="1"/>
          </w:p>
        </w:tc>
      </w:tr>
      <w:tr w:rsidR="001A4D01" w:rsidRPr="008C12C0" w14:paraId="1F2E1536" w14:textId="5D3375C7" w:rsidTr="001A4D01">
        <w:tc>
          <w:tcPr>
            <w:tcW w:w="2164" w:type="dxa"/>
            <w:shd w:val="clear" w:color="auto" w:fill="BDD6EE" w:themeFill="accent5" w:themeFillTint="66"/>
          </w:tcPr>
          <w:p w14:paraId="76F0E45C" w14:textId="77777777" w:rsidR="001A4D01" w:rsidRPr="008C12C0" w:rsidRDefault="001A4D01" w:rsidP="001A4D01">
            <w:pPr>
              <w:spacing w:line="360" w:lineRule="auto"/>
              <w:rPr>
                <w:sz w:val="16"/>
                <w:szCs w:val="16"/>
              </w:rPr>
            </w:pPr>
            <w:r w:rsidRPr="008C12C0">
              <w:rPr>
                <w:sz w:val="16"/>
                <w:szCs w:val="16"/>
              </w:rPr>
              <w:t>Bladder</w:t>
            </w:r>
          </w:p>
        </w:tc>
        <w:tc>
          <w:tcPr>
            <w:tcW w:w="1800" w:type="dxa"/>
            <w:shd w:val="clear" w:color="auto" w:fill="BDD6EE" w:themeFill="accent5" w:themeFillTint="66"/>
          </w:tcPr>
          <w:p w14:paraId="127596E2" w14:textId="2E41D321" w:rsidR="001A4D01" w:rsidRPr="008C12C0" w:rsidRDefault="001A4D01" w:rsidP="001A4D01">
            <w:pPr>
              <w:spacing w:line="360" w:lineRule="auto"/>
              <w:rPr>
                <w:sz w:val="16"/>
                <w:szCs w:val="16"/>
              </w:rPr>
            </w:pPr>
            <w:r w:rsidRPr="008C12C0">
              <w:rPr>
                <w:sz w:val="16"/>
                <w:szCs w:val="16"/>
              </w:rPr>
              <w:t>1.14 (0.85 - 1.52)</w:t>
            </w:r>
          </w:p>
        </w:tc>
        <w:tc>
          <w:tcPr>
            <w:tcW w:w="1560" w:type="dxa"/>
            <w:shd w:val="clear" w:color="auto" w:fill="BDD6EE" w:themeFill="accent5" w:themeFillTint="66"/>
          </w:tcPr>
          <w:p w14:paraId="442A2083" w14:textId="4AF7E960" w:rsidR="001A4D01" w:rsidRPr="008C12C0" w:rsidRDefault="001A4D01" w:rsidP="001A4D01">
            <w:pPr>
              <w:spacing w:line="360" w:lineRule="auto"/>
              <w:rPr>
                <w:sz w:val="16"/>
                <w:szCs w:val="16"/>
              </w:rPr>
            </w:pPr>
            <w:r w:rsidRPr="008C12C0">
              <w:rPr>
                <w:sz w:val="16"/>
                <w:szCs w:val="16"/>
              </w:rPr>
              <w:t>1.11 (0.81-1.51)</w:t>
            </w:r>
          </w:p>
        </w:tc>
        <w:tc>
          <w:tcPr>
            <w:tcW w:w="1735" w:type="dxa"/>
            <w:shd w:val="clear" w:color="auto" w:fill="BDD6EE" w:themeFill="accent5" w:themeFillTint="66"/>
          </w:tcPr>
          <w:p w14:paraId="78364855" w14:textId="3D8927FB" w:rsidR="001A4D01" w:rsidRPr="008C12C0" w:rsidRDefault="001A4D01" w:rsidP="001A4D01">
            <w:pPr>
              <w:spacing w:line="360" w:lineRule="auto"/>
              <w:rPr>
                <w:sz w:val="16"/>
                <w:szCs w:val="16"/>
              </w:rPr>
            </w:pPr>
            <w:r w:rsidRPr="008C12C0">
              <w:rPr>
                <w:sz w:val="16"/>
                <w:szCs w:val="16"/>
              </w:rPr>
              <w:t>4</w:t>
            </w:r>
            <w:r w:rsidRPr="008C12C0">
              <w:rPr>
                <w:sz w:val="16"/>
                <w:szCs w:val="16"/>
                <w:vertAlign w:val="superscript"/>
              </w:rPr>
              <w:t>5-8</w:t>
            </w:r>
          </w:p>
        </w:tc>
        <w:tc>
          <w:tcPr>
            <w:tcW w:w="1757" w:type="dxa"/>
            <w:shd w:val="clear" w:color="auto" w:fill="BDD6EE" w:themeFill="accent5" w:themeFillTint="66"/>
          </w:tcPr>
          <w:p w14:paraId="1A3A371A" w14:textId="4B3438E4" w:rsidR="001A4D01" w:rsidRPr="008C12C0" w:rsidRDefault="001A4D01" w:rsidP="001A4D01">
            <w:pPr>
              <w:spacing w:line="360" w:lineRule="auto"/>
              <w:rPr>
                <w:sz w:val="16"/>
                <w:szCs w:val="16"/>
              </w:rPr>
            </w:pPr>
            <w:r w:rsidRPr="008C12C0">
              <w:rPr>
                <w:sz w:val="16"/>
                <w:szCs w:val="16"/>
              </w:rPr>
              <w:t>63</w:t>
            </w:r>
          </w:p>
        </w:tc>
      </w:tr>
      <w:tr w:rsidR="001A4D01" w:rsidRPr="008C12C0" w14:paraId="709C21E0" w14:textId="466091D3" w:rsidTr="001A4D01">
        <w:trPr>
          <w:trHeight w:val="207"/>
        </w:trPr>
        <w:tc>
          <w:tcPr>
            <w:tcW w:w="2164" w:type="dxa"/>
            <w:shd w:val="clear" w:color="auto" w:fill="BDD6EE" w:themeFill="accent5" w:themeFillTint="66"/>
          </w:tcPr>
          <w:p w14:paraId="45F0875E" w14:textId="77777777" w:rsidR="001A4D01" w:rsidRPr="008C12C0" w:rsidRDefault="001A4D01" w:rsidP="001A4D01">
            <w:pPr>
              <w:spacing w:line="360" w:lineRule="auto"/>
              <w:rPr>
                <w:sz w:val="16"/>
                <w:szCs w:val="16"/>
              </w:rPr>
            </w:pPr>
            <w:r w:rsidRPr="008C12C0">
              <w:rPr>
                <w:sz w:val="16"/>
                <w:szCs w:val="16"/>
              </w:rPr>
              <w:t>Blood (Leukaemia)</w:t>
            </w:r>
          </w:p>
        </w:tc>
        <w:tc>
          <w:tcPr>
            <w:tcW w:w="1800" w:type="dxa"/>
            <w:shd w:val="clear" w:color="auto" w:fill="BDD6EE" w:themeFill="accent5" w:themeFillTint="66"/>
          </w:tcPr>
          <w:p w14:paraId="3785F751" w14:textId="78B7D95A" w:rsidR="001A4D01" w:rsidRPr="008C12C0" w:rsidRDefault="001A4D01" w:rsidP="001A4D01">
            <w:pPr>
              <w:spacing w:line="360" w:lineRule="auto"/>
              <w:rPr>
                <w:sz w:val="16"/>
                <w:szCs w:val="16"/>
              </w:rPr>
            </w:pPr>
            <w:r w:rsidRPr="008C12C0">
              <w:rPr>
                <w:sz w:val="16"/>
                <w:szCs w:val="16"/>
              </w:rPr>
              <w:t>Hung et al. not included</w:t>
            </w:r>
          </w:p>
        </w:tc>
        <w:tc>
          <w:tcPr>
            <w:tcW w:w="1560" w:type="dxa"/>
            <w:shd w:val="clear" w:color="auto" w:fill="BDD6EE" w:themeFill="accent5" w:themeFillTint="66"/>
          </w:tcPr>
          <w:p w14:paraId="296DB3EC" w14:textId="0D528C9D" w:rsidR="001A4D01" w:rsidRPr="008C12C0" w:rsidRDefault="001A4D01" w:rsidP="001A4D01">
            <w:pPr>
              <w:spacing w:line="360" w:lineRule="auto"/>
              <w:rPr>
                <w:sz w:val="16"/>
                <w:szCs w:val="16"/>
              </w:rPr>
            </w:pPr>
            <w:r w:rsidRPr="008C12C0">
              <w:rPr>
                <w:sz w:val="16"/>
                <w:szCs w:val="16"/>
              </w:rPr>
              <w:t>1.13 (0.24 - 5.37)</w:t>
            </w:r>
          </w:p>
        </w:tc>
        <w:tc>
          <w:tcPr>
            <w:tcW w:w="1735" w:type="dxa"/>
            <w:shd w:val="clear" w:color="auto" w:fill="BDD6EE" w:themeFill="accent5" w:themeFillTint="66"/>
          </w:tcPr>
          <w:p w14:paraId="7454FBC1" w14:textId="51CFA35F" w:rsidR="001A4D01" w:rsidRPr="008C12C0" w:rsidRDefault="001A4D01" w:rsidP="001A4D01">
            <w:pPr>
              <w:spacing w:line="360" w:lineRule="auto"/>
              <w:rPr>
                <w:sz w:val="16"/>
                <w:szCs w:val="16"/>
              </w:rPr>
            </w:pPr>
            <w:r w:rsidRPr="008C12C0">
              <w:rPr>
                <w:sz w:val="16"/>
                <w:szCs w:val="16"/>
              </w:rPr>
              <w:t>2</w:t>
            </w:r>
            <w:r w:rsidRPr="008C12C0">
              <w:rPr>
                <w:sz w:val="16"/>
                <w:szCs w:val="16"/>
                <w:vertAlign w:val="superscript"/>
              </w:rPr>
              <w:t>5-6</w:t>
            </w:r>
          </w:p>
        </w:tc>
        <w:tc>
          <w:tcPr>
            <w:tcW w:w="1757" w:type="dxa"/>
            <w:shd w:val="clear" w:color="auto" w:fill="BDD6EE" w:themeFill="accent5" w:themeFillTint="66"/>
          </w:tcPr>
          <w:p w14:paraId="01C71A08" w14:textId="2D774D29" w:rsidR="001A4D01" w:rsidRPr="008C12C0" w:rsidRDefault="001A4D01" w:rsidP="001A4D01">
            <w:pPr>
              <w:spacing w:line="360" w:lineRule="auto"/>
              <w:rPr>
                <w:sz w:val="16"/>
                <w:szCs w:val="16"/>
              </w:rPr>
            </w:pPr>
            <w:r w:rsidRPr="008C12C0">
              <w:rPr>
                <w:sz w:val="16"/>
                <w:szCs w:val="16"/>
              </w:rPr>
              <w:t>19</w:t>
            </w:r>
          </w:p>
        </w:tc>
      </w:tr>
      <w:tr w:rsidR="001A4D01" w:rsidRPr="008C12C0" w14:paraId="5494BD46" w14:textId="4E3E583B" w:rsidTr="00607F38">
        <w:trPr>
          <w:trHeight w:val="171"/>
        </w:trPr>
        <w:tc>
          <w:tcPr>
            <w:tcW w:w="2164" w:type="dxa"/>
            <w:shd w:val="clear" w:color="auto" w:fill="BDD6EE" w:themeFill="accent5" w:themeFillTint="66"/>
          </w:tcPr>
          <w:p w14:paraId="30CC709B" w14:textId="77777777" w:rsidR="001A4D01" w:rsidRPr="008C12C0" w:rsidRDefault="001A4D01" w:rsidP="001A4D01">
            <w:pPr>
              <w:spacing w:line="360" w:lineRule="auto"/>
              <w:rPr>
                <w:sz w:val="16"/>
                <w:szCs w:val="16"/>
              </w:rPr>
            </w:pPr>
            <w:r w:rsidRPr="008C12C0">
              <w:rPr>
                <w:sz w:val="16"/>
                <w:szCs w:val="16"/>
              </w:rPr>
              <w:t>Blood (Myeloma)</w:t>
            </w:r>
          </w:p>
        </w:tc>
        <w:tc>
          <w:tcPr>
            <w:tcW w:w="1800" w:type="dxa"/>
            <w:shd w:val="clear" w:color="auto" w:fill="BDD6EE" w:themeFill="accent5" w:themeFillTint="66"/>
          </w:tcPr>
          <w:p w14:paraId="2E08C93F" w14:textId="72AC96FB" w:rsidR="001A4D01" w:rsidRPr="008C12C0" w:rsidRDefault="001A4D01" w:rsidP="001A4D01">
            <w:pPr>
              <w:spacing w:line="360" w:lineRule="auto"/>
              <w:rPr>
                <w:sz w:val="16"/>
                <w:szCs w:val="16"/>
              </w:rPr>
            </w:pPr>
            <w:r w:rsidRPr="008C12C0">
              <w:rPr>
                <w:sz w:val="16"/>
                <w:szCs w:val="16"/>
              </w:rPr>
              <w:t>Hung et al. not included</w:t>
            </w:r>
          </w:p>
        </w:tc>
        <w:tc>
          <w:tcPr>
            <w:tcW w:w="1560" w:type="dxa"/>
            <w:shd w:val="clear" w:color="auto" w:fill="BDD6EE" w:themeFill="accent5" w:themeFillTint="66"/>
          </w:tcPr>
          <w:p w14:paraId="221D2EAF" w14:textId="165B9195" w:rsidR="001A4D01" w:rsidRPr="008C12C0" w:rsidRDefault="001A4D01" w:rsidP="001A4D01">
            <w:pPr>
              <w:spacing w:line="360" w:lineRule="auto"/>
              <w:rPr>
                <w:sz w:val="16"/>
                <w:szCs w:val="16"/>
              </w:rPr>
            </w:pPr>
            <w:r w:rsidRPr="008C12C0">
              <w:rPr>
                <w:sz w:val="16"/>
                <w:szCs w:val="16"/>
              </w:rPr>
              <w:t>1.02 (0.48 - 2.15)</w:t>
            </w:r>
          </w:p>
        </w:tc>
        <w:tc>
          <w:tcPr>
            <w:tcW w:w="1735" w:type="dxa"/>
            <w:shd w:val="clear" w:color="auto" w:fill="BDD6EE" w:themeFill="accent5" w:themeFillTint="66"/>
          </w:tcPr>
          <w:p w14:paraId="08E880D5" w14:textId="25BB4F87" w:rsidR="001A4D01" w:rsidRPr="008C12C0" w:rsidRDefault="001A4D01" w:rsidP="001A4D01">
            <w:pPr>
              <w:spacing w:line="360" w:lineRule="auto"/>
              <w:rPr>
                <w:sz w:val="16"/>
                <w:szCs w:val="16"/>
              </w:rPr>
            </w:pPr>
            <w:r w:rsidRPr="008C12C0">
              <w:rPr>
                <w:sz w:val="16"/>
                <w:szCs w:val="16"/>
              </w:rPr>
              <w:t>2</w:t>
            </w:r>
            <w:r w:rsidRPr="008C12C0">
              <w:rPr>
                <w:sz w:val="16"/>
                <w:szCs w:val="16"/>
                <w:vertAlign w:val="superscript"/>
              </w:rPr>
              <w:t>5-6</w:t>
            </w:r>
          </w:p>
        </w:tc>
        <w:tc>
          <w:tcPr>
            <w:tcW w:w="1757" w:type="dxa"/>
            <w:shd w:val="clear" w:color="auto" w:fill="BDD6EE" w:themeFill="accent5" w:themeFillTint="66"/>
          </w:tcPr>
          <w:p w14:paraId="48CBB989" w14:textId="54D7D890" w:rsidR="001A4D01" w:rsidRPr="008C12C0" w:rsidRDefault="001A4D01" w:rsidP="001A4D01">
            <w:pPr>
              <w:spacing w:line="360" w:lineRule="auto"/>
              <w:rPr>
                <w:sz w:val="16"/>
                <w:szCs w:val="16"/>
              </w:rPr>
            </w:pPr>
            <w:r w:rsidRPr="008C12C0">
              <w:rPr>
                <w:sz w:val="16"/>
                <w:szCs w:val="16"/>
              </w:rPr>
              <w:t>6</w:t>
            </w:r>
          </w:p>
        </w:tc>
      </w:tr>
      <w:tr w:rsidR="001A4D01" w:rsidRPr="008C12C0" w14:paraId="2B4E1A76" w14:textId="4A998F0A" w:rsidTr="001A4D01">
        <w:tc>
          <w:tcPr>
            <w:tcW w:w="2164" w:type="dxa"/>
            <w:shd w:val="clear" w:color="auto" w:fill="BDD6EE" w:themeFill="accent5" w:themeFillTint="66"/>
          </w:tcPr>
          <w:p w14:paraId="692E0E21" w14:textId="77777777" w:rsidR="001A4D01" w:rsidRPr="008C12C0" w:rsidRDefault="001A4D01" w:rsidP="001A4D01">
            <w:pPr>
              <w:spacing w:line="360" w:lineRule="auto"/>
              <w:rPr>
                <w:sz w:val="16"/>
                <w:szCs w:val="16"/>
              </w:rPr>
            </w:pPr>
            <w:r w:rsidRPr="008C12C0">
              <w:rPr>
                <w:sz w:val="16"/>
                <w:szCs w:val="16"/>
              </w:rPr>
              <w:t>Blood (Non-</w:t>
            </w:r>
            <w:proofErr w:type="spellStart"/>
            <w:r w:rsidRPr="008C12C0">
              <w:rPr>
                <w:sz w:val="16"/>
                <w:szCs w:val="16"/>
              </w:rPr>
              <w:t>Hodgkins</w:t>
            </w:r>
            <w:proofErr w:type="spellEnd"/>
            <w:r w:rsidRPr="008C12C0">
              <w:rPr>
                <w:sz w:val="16"/>
                <w:szCs w:val="16"/>
              </w:rPr>
              <w:t xml:space="preserve"> Lymphoma)</w:t>
            </w:r>
          </w:p>
        </w:tc>
        <w:tc>
          <w:tcPr>
            <w:tcW w:w="1800" w:type="dxa"/>
            <w:shd w:val="clear" w:color="auto" w:fill="BDD6EE" w:themeFill="accent5" w:themeFillTint="66"/>
          </w:tcPr>
          <w:p w14:paraId="26E0F0D1" w14:textId="5B812D45" w:rsidR="001A4D01" w:rsidRPr="008C12C0" w:rsidRDefault="001A4D01" w:rsidP="001A4D01">
            <w:pPr>
              <w:spacing w:line="360" w:lineRule="auto"/>
              <w:rPr>
                <w:sz w:val="16"/>
                <w:szCs w:val="16"/>
              </w:rPr>
            </w:pPr>
            <w:r w:rsidRPr="008C12C0">
              <w:rPr>
                <w:sz w:val="16"/>
                <w:szCs w:val="16"/>
              </w:rPr>
              <w:t>Hung et al. not included</w:t>
            </w:r>
          </w:p>
        </w:tc>
        <w:tc>
          <w:tcPr>
            <w:tcW w:w="1560" w:type="dxa"/>
            <w:shd w:val="clear" w:color="auto" w:fill="BDD6EE" w:themeFill="accent5" w:themeFillTint="66"/>
          </w:tcPr>
          <w:p w14:paraId="1E8339D3" w14:textId="23E38A60" w:rsidR="001A4D01" w:rsidRPr="008C12C0" w:rsidRDefault="001A4D01" w:rsidP="001A4D01">
            <w:pPr>
              <w:spacing w:line="360" w:lineRule="auto"/>
              <w:rPr>
                <w:sz w:val="16"/>
                <w:szCs w:val="16"/>
              </w:rPr>
            </w:pPr>
            <w:r w:rsidRPr="008C12C0">
              <w:rPr>
                <w:sz w:val="16"/>
                <w:szCs w:val="16"/>
              </w:rPr>
              <w:t>1.00 (0.39 - 2.58)</w:t>
            </w:r>
          </w:p>
        </w:tc>
        <w:tc>
          <w:tcPr>
            <w:tcW w:w="1735" w:type="dxa"/>
            <w:shd w:val="clear" w:color="auto" w:fill="BDD6EE" w:themeFill="accent5" w:themeFillTint="66"/>
          </w:tcPr>
          <w:p w14:paraId="3F6D8306" w14:textId="1DE6A39E" w:rsidR="001A4D01" w:rsidRPr="008C12C0" w:rsidRDefault="001A4D01" w:rsidP="001A4D01">
            <w:pPr>
              <w:spacing w:line="360" w:lineRule="auto"/>
              <w:rPr>
                <w:sz w:val="16"/>
                <w:szCs w:val="16"/>
              </w:rPr>
            </w:pPr>
            <w:r w:rsidRPr="008C12C0">
              <w:rPr>
                <w:sz w:val="16"/>
                <w:szCs w:val="16"/>
              </w:rPr>
              <w:t>2</w:t>
            </w:r>
            <w:r w:rsidRPr="008C12C0">
              <w:rPr>
                <w:sz w:val="16"/>
                <w:szCs w:val="16"/>
                <w:vertAlign w:val="superscript"/>
              </w:rPr>
              <w:t>5-6</w:t>
            </w:r>
          </w:p>
        </w:tc>
        <w:tc>
          <w:tcPr>
            <w:tcW w:w="1757" w:type="dxa"/>
            <w:shd w:val="clear" w:color="auto" w:fill="BDD6EE" w:themeFill="accent5" w:themeFillTint="66"/>
          </w:tcPr>
          <w:p w14:paraId="00115D69" w14:textId="779BEEC4" w:rsidR="001A4D01" w:rsidRPr="008C12C0" w:rsidRDefault="001A4D01" w:rsidP="001A4D01">
            <w:pPr>
              <w:spacing w:line="360" w:lineRule="auto"/>
              <w:rPr>
                <w:sz w:val="16"/>
                <w:szCs w:val="16"/>
              </w:rPr>
            </w:pPr>
            <w:r w:rsidRPr="008C12C0">
              <w:rPr>
                <w:sz w:val="16"/>
                <w:szCs w:val="16"/>
              </w:rPr>
              <w:t>14</w:t>
            </w:r>
          </w:p>
        </w:tc>
      </w:tr>
      <w:tr w:rsidR="001A4D01" w:rsidRPr="008C12C0" w14:paraId="1AA254B7" w14:textId="35393267" w:rsidTr="001A4D01">
        <w:tc>
          <w:tcPr>
            <w:tcW w:w="2164" w:type="dxa"/>
            <w:shd w:val="clear" w:color="auto" w:fill="BDD6EE" w:themeFill="accent5" w:themeFillTint="66"/>
          </w:tcPr>
          <w:p w14:paraId="6E59ED4B" w14:textId="77777777" w:rsidR="001A4D01" w:rsidRPr="008C12C0" w:rsidRDefault="001A4D01" w:rsidP="001A4D01">
            <w:pPr>
              <w:spacing w:line="360" w:lineRule="auto"/>
              <w:rPr>
                <w:sz w:val="16"/>
                <w:szCs w:val="16"/>
              </w:rPr>
            </w:pPr>
            <w:r w:rsidRPr="008C12C0">
              <w:rPr>
                <w:sz w:val="16"/>
                <w:szCs w:val="16"/>
              </w:rPr>
              <w:t>Brain and CNS</w:t>
            </w:r>
          </w:p>
        </w:tc>
        <w:tc>
          <w:tcPr>
            <w:tcW w:w="1800" w:type="dxa"/>
            <w:shd w:val="clear" w:color="auto" w:fill="BDD6EE" w:themeFill="accent5" w:themeFillTint="66"/>
          </w:tcPr>
          <w:p w14:paraId="0AF13A94" w14:textId="127FB832" w:rsidR="001A4D01" w:rsidRPr="008C12C0" w:rsidRDefault="001A4D01" w:rsidP="001A4D01">
            <w:pPr>
              <w:spacing w:line="360" w:lineRule="auto"/>
              <w:rPr>
                <w:sz w:val="16"/>
                <w:szCs w:val="16"/>
              </w:rPr>
            </w:pPr>
            <w:r w:rsidRPr="008C12C0">
              <w:rPr>
                <w:sz w:val="16"/>
                <w:szCs w:val="16"/>
              </w:rPr>
              <w:t>Hung et al. not included</w:t>
            </w:r>
          </w:p>
        </w:tc>
        <w:tc>
          <w:tcPr>
            <w:tcW w:w="1560" w:type="dxa"/>
            <w:shd w:val="clear" w:color="auto" w:fill="BDD6EE" w:themeFill="accent5" w:themeFillTint="66"/>
          </w:tcPr>
          <w:p w14:paraId="6360FBA2" w14:textId="6F8A88EF" w:rsidR="001A4D01" w:rsidRPr="008C12C0" w:rsidRDefault="001A4D01" w:rsidP="001A4D01">
            <w:pPr>
              <w:spacing w:line="360" w:lineRule="auto"/>
              <w:rPr>
                <w:sz w:val="16"/>
                <w:szCs w:val="16"/>
              </w:rPr>
            </w:pPr>
            <w:r w:rsidRPr="008C12C0">
              <w:rPr>
                <w:sz w:val="16"/>
                <w:szCs w:val="16"/>
              </w:rPr>
              <w:t>1.37 (0.28 - 4.01)</w:t>
            </w:r>
          </w:p>
        </w:tc>
        <w:tc>
          <w:tcPr>
            <w:tcW w:w="1735" w:type="dxa"/>
            <w:shd w:val="clear" w:color="auto" w:fill="BDD6EE" w:themeFill="accent5" w:themeFillTint="66"/>
          </w:tcPr>
          <w:p w14:paraId="5C47F79C" w14:textId="341FB95E" w:rsidR="001A4D01" w:rsidRPr="008C12C0" w:rsidRDefault="001A4D01" w:rsidP="001A4D01">
            <w:pPr>
              <w:spacing w:line="360" w:lineRule="auto"/>
              <w:rPr>
                <w:sz w:val="16"/>
                <w:szCs w:val="16"/>
              </w:rPr>
            </w:pPr>
            <w:r w:rsidRPr="008C12C0">
              <w:rPr>
                <w:sz w:val="16"/>
                <w:szCs w:val="16"/>
              </w:rPr>
              <w:t>1</w:t>
            </w:r>
            <w:r w:rsidRPr="008C12C0">
              <w:rPr>
                <w:sz w:val="16"/>
                <w:szCs w:val="16"/>
                <w:vertAlign w:val="superscript"/>
              </w:rPr>
              <w:t>6</w:t>
            </w:r>
          </w:p>
        </w:tc>
        <w:tc>
          <w:tcPr>
            <w:tcW w:w="1757" w:type="dxa"/>
            <w:shd w:val="clear" w:color="auto" w:fill="BDD6EE" w:themeFill="accent5" w:themeFillTint="66"/>
          </w:tcPr>
          <w:p w14:paraId="6E4F682B" w14:textId="3423C8F8" w:rsidR="001A4D01" w:rsidRPr="008C12C0" w:rsidRDefault="001A4D01" w:rsidP="001A4D01">
            <w:pPr>
              <w:spacing w:line="360" w:lineRule="auto"/>
              <w:rPr>
                <w:sz w:val="16"/>
                <w:szCs w:val="16"/>
              </w:rPr>
            </w:pPr>
            <w:r w:rsidRPr="008C12C0">
              <w:rPr>
                <w:sz w:val="16"/>
                <w:szCs w:val="16"/>
              </w:rPr>
              <w:t>3</w:t>
            </w:r>
          </w:p>
        </w:tc>
      </w:tr>
      <w:tr w:rsidR="001A4D01" w:rsidRPr="008C12C0" w14:paraId="4F9FF2EC" w14:textId="775C1D6C" w:rsidTr="001A4D01">
        <w:tc>
          <w:tcPr>
            <w:tcW w:w="2164" w:type="dxa"/>
            <w:shd w:val="clear" w:color="auto" w:fill="BDD6EE" w:themeFill="accent5" w:themeFillTint="66"/>
          </w:tcPr>
          <w:p w14:paraId="6098A24E" w14:textId="0CFB43DA" w:rsidR="001A4D01" w:rsidRPr="008C12C0" w:rsidRDefault="001A4D01" w:rsidP="001A4D01">
            <w:pPr>
              <w:spacing w:line="360" w:lineRule="auto"/>
              <w:rPr>
                <w:sz w:val="16"/>
                <w:szCs w:val="16"/>
                <w:vertAlign w:val="superscript"/>
              </w:rPr>
            </w:pPr>
            <w:r w:rsidRPr="008C12C0">
              <w:rPr>
                <w:sz w:val="16"/>
                <w:szCs w:val="16"/>
              </w:rPr>
              <w:t>Colorectum</w:t>
            </w:r>
            <w:r w:rsidR="009006D0" w:rsidRPr="008C12C0">
              <w:rPr>
                <w:sz w:val="16"/>
                <w:szCs w:val="16"/>
              </w:rPr>
              <w:t xml:space="preserve"> [1]</w:t>
            </w:r>
          </w:p>
        </w:tc>
        <w:tc>
          <w:tcPr>
            <w:tcW w:w="1800" w:type="dxa"/>
            <w:shd w:val="clear" w:color="auto" w:fill="BDD6EE" w:themeFill="accent5" w:themeFillTint="66"/>
          </w:tcPr>
          <w:p w14:paraId="5A978285" w14:textId="2DDD61E0" w:rsidR="001A4D01" w:rsidRPr="008C12C0" w:rsidRDefault="009006D0" w:rsidP="001A4D01">
            <w:pPr>
              <w:spacing w:line="360" w:lineRule="auto"/>
              <w:rPr>
                <w:b/>
                <w:bCs/>
                <w:sz w:val="16"/>
                <w:szCs w:val="16"/>
              </w:rPr>
            </w:pPr>
            <w:r w:rsidRPr="008C12C0">
              <w:rPr>
                <w:b/>
                <w:bCs/>
                <w:sz w:val="16"/>
                <w:szCs w:val="16"/>
              </w:rPr>
              <w:t>1.29 (1.03-1.61)</w:t>
            </w:r>
          </w:p>
        </w:tc>
        <w:tc>
          <w:tcPr>
            <w:tcW w:w="1560" w:type="dxa"/>
            <w:shd w:val="clear" w:color="auto" w:fill="BDD6EE" w:themeFill="accent5" w:themeFillTint="66"/>
          </w:tcPr>
          <w:p w14:paraId="01770FA6" w14:textId="51FB3F52" w:rsidR="001A4D01" w:rsidRPr="008C12C0" w:rsidRDefault="001A4D01" w:rsidP="001A4D01">
            <w:pPr>
              <w:spacing w:line="360" w:lineRule="auto"/>
              <w:rPr>
                <w:b/>
                <w:bCs/>
                <w:sz w:val="16"/>
                <w:szCs w:val="16"/>
              </w:rPr>
            </w:pPr>
            <w:r w:rsidRPr="008C12C0">
              <w:rPr>
                <w:b/>
                <w:bCs/>
                <w:sz w:val="16"/>
                <w:szCs w:val="16"/>
              </w:rPr>
              <w:t>1.21 (1.00-1.46)</w:t>
            </w:r>
          </w:p>
        </w:tc>
        <w:tc>
          <w:tcPr>
            <w:tcW w:w="1735" w:type="dxa"/>
            <w:shd w:val="clear" w:color="auto" w:fill="BDD6EE" w:themeFill="accent5" w:themeFillTint="66"/>
          </w:tcPr>
          <w:p w14:paraId="380EE543" w14:textId="7E0F2E29" w:rsidR="001A4D01" w:rsidRPr="008C12C0" w:rsidRDefault="00296B28" w:rsidP="001A4D01">
            <w:pPr>
              <w:spacing w:line="360" w:lineRule="auto"/>
              <w:rPr>
                <w:sz w:val="16"/>
                <w:szCs w:val="16"/>
              </w:rPr>
            </w:pPr>
            <w:r w:rsidRPr="008C12C0">
              <w:rPr>
                <w:sz w:val="16"/>
                <w:szCs w:val="16"/>
              </w:rPr>
              <w:t>3</w:t>
            </w:r>
            <w:r w:rsidR="001A4D01" w:rsidRPr="008C12C0">
              <w:rPr>
                <w:sz w:val="16"/>
                <w:szCs w:val="16"/>
                <w:vertAlign w:val="superscript"/>
              </w:rPr>
              <w:t>5, 6, 8</w:t>
            </w:r>
          </w:p>
        </w:tc>
        <w:tc>
          <w:tcPr>
            <w:tcW w:w="1757" w:type="dxa"/>
            <w:shd w:val="clear" w:color="auto" w:fill="BDD6EE" w:themeFill="accent5" w:themeFillTint="66"/>
          </w:tcPr>
          <w:p w14:paraId="23E1B657" w14:textId="5BE19DFF" w:rsidR="001A4D01" w:rsidRPr="008C12C0" w:rsidRDefault="001A4D01" w:rsidP="001A4D01">
            <w:pPr>
              <w:spacing w:line="360" w:lineRule="auto"/>
              <w:rPr>
                <w:sz w:val="16"/>
                <w:szCs w:val="16"/>
              </w:rPr>
            </w:pPr>
            <w:r w:rsidRPr="008C12C0">
              <w:rPr>
                <w:sz w:val="16"/>
                <w:szCs w:val="16"/>
              </w:rPr>
              <w:t>109</w:t>
            </w:r>
          </w:p>
        </w:tc>
      </w:tr>
      <w:tr w:rsidR="001A4D01" w:rsidRPr="008C12C0" w14:paraId="0D4AA878" w14:textId="251CF60F" w:rsidTr="001A4D01">
        <w:tc>
          <w:tcPr>
            <w:tcW w:w="2164" w:type="dxa"/>
            <w:shd w:val="clear" w:color="auto" w:fill="BDD6EE" w:themeFill="accent5" w:themeFillTint="66"/>
          </w:tcPr>
          <w:p w14:paraId="46373A9A" w14:textId="77777777" w:rsidR="001A4D01" w:rsidRPr="008C12C0" w:rsidRDefault="001A4D01" w:rsidP="001A4D01">
            <w:pPr>
              <w:spacing w:line="360" w:lineRule="auto"/>
              <w:rPr>
                <w:sz w:val="16"/>
                <w:szCs w:val="16"/>
              </w:rPr>
            </w:pPr>
            <w:r w:rsidRPr="008C12C0">
              <w:rPr>
                <w:sz w:val="16"/>
                <w:szCs w:val="16"/>
              </w:rPr>
              <w:t>Head and neck</w:t>
            </w:r>
          </w:p>
        </w:tc>
        <w:tc>
          <w:tcPr>
            <w:tcW w:w="1800" w:type="dxa"/>
            <w:shd w:val="clear" w:color="auto" w:fill="BDD6EE" w:themeFill="accent5" w:themeFillTint="66"/>
          </w:tcPr>
          <w:p w14:paraId="4FCFF658" w14:textId="131D8523" w:rsidR="001A4D01" w:rsidRPr="008C12C0" w:rsidRDefault="001A4D01" w:rsidP="001A4D01">
            <w:pPr>
              <w:spacing w:line="360" w:lineRule="auto"/>
              <w:rPr>
                <w:sz w:val="16"/>
                <w:szCs w:val="16"/>
              </w:rPr>
            </w:pPr>
            <w:r w:rsidRPr="008C12C0">
              <w:rPr>
                <w:sz w:val="16"/>
                <w:szCs w:val="16"/>
              </w:rPr>
              <w:t>2.61 (0.93-7.33)</w:t>
            </w:r>
          </w:p>
        </w:tc>
        <w:tc>
          <w:tcPr>
            <w:tcW w:w="1560" w:type="dxa"/>
            <w:shd w:val="clear" w:color="auto" w:fill="BDD6EE" w:themeFill="accent5" w:themeFillTint="66"/>
          </w:tcPr>
          <w:p w14:paraId="782A63FC" w14:textId="6998A97E" w:rsidR="001A4D01" w:rsidRPr="008C12C0" w:rsidRDefault="001A4D01" w:rsidP="001A4D01">
            <w:pPr>
              <w:spacing w:line="360" w:lineRule="auto"/>
              <w:rPr>
                <w:sz w:val="16"/>
                <w:szCs w:val="16"/>
              </w:rPr>
            </w:pPr>
            <w:r w:rsidRPr="008C12C0">
              <w:rPr>
                <w:sz w:val="16"/>
                <w:szCs w:val="16"/>
              </w:rPr>
              <w:t>1.54 (0.79-2.68)</w:t>
            </w:r>
          </w:p>
        </w:tc>
        <w:tc>
          <w:tcPr>
            <w:tcW w:w="1735" w:type="dxa"/>
            <w:shd w:val="clear" w:color="auto" w:fill="BDD6EE" w:themeFill="accent5" w:themeFillTint="66"/>
          </w:tcPr>
          <w:p w14:paraId="3347B6AE" w14:textId="52D610E0" w:rsidR="001A4D01" w:rsidRPr="008C12C0" w:rsidRDefault="001A4D01" w:rsidP="001A4D01">
            <w:pPr>
              <w:spacing w:line="360" w:lineRule="auto"/>
              <w:rPr>
                <w:sz w:val="16"/>
                <w:szCs w:val="16"/>
              </w:rPr>
            </w:pPr>
            <w:r w:rsidRPr="008C12C0">
              <w:rPr>
                <w:sz w:val="16"/>
                <w:szCs w:val="16"/>
              </w:rPr>
              <w:t>2</w:t>
            </w:r>
            <w:r w:rsidRPr="008C12C0">
              <w:rPr>
                <w:sz w:val="16"/>
                <w:szCs w:val="16"/>
                <w:vertAlign w:val="superscript"/>
              </w:rPr>
              <w:t>6-7</w:t>
            </w:r>
          </w:p>
        </w:tc>
        <w:tc>
          <w:tcPr>
            <w:tcW w:w="1757" w:type="dxa"/>
            <w:shd w:val="clear" w:color="auto" w:fill="BDD6EE" w:themeFill="accent5" w:themeFillTint="66"/>
          </w:tcPr>
          <w:p w14:paraId="631857BE" w14:textId="7977198C" w:rsidR="001A4D01" w:rsidRPr="008C12C0" w:rsidRDefault="001A4D01" w:rsidP="001A4D01">
            <w:pPr>
              <w:spacing w:line="360" w:lineRule="auto"/>
              <w:rPr>
                <w:sz w:val="16"/>
                <w:szCs w:val="16"/>
              </w:rPr>
            </w:pPr>
            <w:r w:rsidRPr="008C12C0">
              <w:rPr>
                <w:sz w:val="16"/>
                <w:szCs w:val="16"/>
              </w:rPr>
              <w:t>25</w:t>
            </w:r>
          </w:p>
        </w:tc>
      </w:tr>
      <w:tr w:rsidR="001A4D01" w:rsidRPr="008C12C0" w14:paraId="75790FB0" w14:textId="37EAFA00" w:rsidTr="008C12C0">
        <w:trPr>
          <w:trHeight w:val="211"/>
        </w:trPr>
        <w:tc>
          <w:tcPr>
            <w:tcW w:w="2164" w:type="dxa"/>
            <w:shd w:val="clear" w:color="auto" w:fill="BDD6EE" w:themeFill="accent5" w:themeFillTint="66"/>
          </w:tcPr>
          <w:p w14:paraId="042DC90E" w14:textId="658AF6B2" w:rsidR="001A4D01" w:rsidRPr="008C12C0" w:rsidRDefault="001A4D01" w:rsidP="001A4D01">
            <w:pPr>
              <w:spacing w:line="360" w:lineRule="auto"/>
              <w:rPr>
                <w:sz w:val="16"/>
                <w:szCs w:val="16"/>
                <w:vertAlign w:val="superscript"/>
              </w:rPr>
            </w:pPr>
            <w:r w:rsidRPr="008C12C0">
              <w:rPr>
                <w:sz w:val="16"/>
                <w:szCs w:val="16"/>
              </w:rPr>
              <w:t>Kidney [</w:t>
            </w:r>
            <w:r w:rsidR="009006D0" w:rsidRPr="008C12C0">
              <w:rPr>
                <w:sz w:val="16"/>
                <w:szCs w:val="16"/>
              </w:rPr>
              <w:t>2</w:t>
            </w:r>
            <w:r w:rsidRPr="008C12C0">
              <w:rPr>
                <w:sz w:val="16"/>
                <w:szCs w:val="16"/>
              </w:rPr>
              <w:t>]</w:t>
            </w:r>
          </w:p>
        </w:tc>
        <w:tc>
          <w:tcPr>
            <w:tcW w:w="1800" w:type="dxa"/>
            <w:shd w:val="clear" w:color="auto" w:fill="BDD6EE" w:themeFill="accent5" w:themeFillTint="66"/>
          </w:tcPr>
          <w:p w14:paraId="6B86E02C" w14:textId="1CC56201" w:rsidR="001A4D01" w:rsidRPr="008C12C0" w:rsidRDefault="001A4D01" w:rsidP="001A4D01">
            <w:pPr>
              <w:spacing w:line="360" w:lineRule="auto"/>
              <w:rPr>
                <w:sz w:val="16"/>
                <w:szCs w:val="16"/>
              </w:rPr>
            </w:pPr>
            <w:r w:rsidRPr="008C12C0">
              <w:rPr>
                <w:sz w:val="16"/>
                <w:szCs w:val="16"/>
              </w:rPr>
              <w:t>1.44 (0.66 - 3.13)</w:t>
            </w:r>
          </w:p>
        </w:tc>
        <w:tc>
          <w:tcPr>
            <w:tcW w:w="1560" w:type="dxa"/>
            <w:shd w:val="clear" w:color="auto" w:fill="BDD6EE" w:themeFill="accent5" w:themeFillTint="66"/>
          </w:tcPr>
          <w:p w14:paraId="3052D9C4" w14:textId="4A663288" w:rsidR="001A4D01" w:rsidRPr="008C12C0" w:rsidRDefault="001A4D01" w:rsidP="001A4D01">
            <w:pPr>
              <w:spacing w:line="360" w:lineRule="auto"/>
              <w:rPr>
                <w:sz w:val="16"/>
                <w:szCs w:val="16"/>
              </w:rPr>
            </w:pPr>
            <w:r w:rsidRPr="008C12C0">
              <w:rPr>
                <w:sz w:val="16"/>
                <w:szCs w:val="16"/>
              </w:rPr>
              <w:t>1.48 (0.54-4.09)</w:t>
            </w:r>
          </w:p>
        </w:tc>
        <w:tc>
          <w:tcPr>
            <w:tcW w:w="1735" w:type="dxa"/>
            <w:shd w:val="clear" w:color="auto" w:fill="BDD6EE" w:themeFill="accent5" w:themeFillTint="66"/>
          </w:tcPr>
          <w:p w14:paraId="3DF5C46E" w14:textId="79523D9C" w:rsidR="001A4D01" w:rsidRPr="008C12C0" w:rsidRDefault="001A4D01" w:rsidP="001A4D01">
            <w:pPr>
              <w:spacing w:line="360" w:lineRule="auto"/>
              <w:rPr>
                <w:sz w:val="16"/>
                <w:szCs w:val="16"/>
              </w:rPr>
            </w:pPr>
            <w:r w:rsidRPr="008C12C0">
              <w:rPr>
                <w:sz w:val="16"/>
                <w:szCs w:val="16"/>
              </w:rPr>
              <w:t>3</w:t>
            </w:r>
            <w:r w:rsidRPr="008C12C0">
              <w:rPr>
                <w:sz w:val="16"/>
                <w:szCs w:val="16"/>
                <w:vertAlign w:val="superscript"/>
              </w:rPr>
              <w:t>5-7</w:t>
            </w:r>
          </w:p>
        </w:tc>
        <w:tc>
          <w:tcPr>
            <w:tcW w:w="1757" w:type="dxa"/>
            <w:shd w:val="clear" w:color="auto" w:fill="BDD6EE" w:themeFill="accent5" w:themeFillTint="66"/>
          </w:tcPr>
          <w:p w14:paraId="4C85B401" w14:textId="691C0EDC" w:rsidR="001A4D01" w:rsidRPr="008C12C0" w:rsidRDefault="001A4D01" w:rsidP="001A4D01">
            <w:pPr>
              <w:spacing w:line="360" w:lineRule="auto"/>
              <w:rPr>
                <w:sz w:val="16"/>
                <w:szCs w:val="16"/>
              </w:rPr>
            </w:pPr>
            <w:r w:rsidRPr="008C12C0">
              <w:rPr>
                <w:sz w:val="16"/>
                <w:szCs w:val="16"/>
              </w:rPr>
              <w:t>22</w:t>
            </w:r>
          </w:p>
        </w:tc>
      </w:tr>
      <w:tr w:rsidR="001A4D01" w:rsidRPr="008C12C0" w14:paraId="1D81B4CC" w14:textId="40577AAE" w:rsidTr="001A4D01">
        <w:tc>
          <w:tcPr>
            <w:tcW w:w="2164" w:type="dxa"/>
            <w:shd w:val="clear" w:color="auto" w:fill="BDD6EE" w:themeFill="accent5" w:themeFillTint="66"/>
          </w:tcPr>
          <w:p w14:paraId="405BCAD3" w14:textId="378B1BD0" w:rsidR="001A4D01" w:rsidRPr="008C12C0" w:rsidRDefault="001A4D01" w:rsidP="001A4D01">
            <w:pPr>
              <w:spacing w:line="360" w:lineRule="auto"/>
              <w:rPr>
                <w:sz w:val="16"/>
                <w:szCs w:val="16"/>
                <w:vertAlign w:val="superscript"/>
              </w:rPr>
            </w:pPr>
            <w:r w:rsidRPr="008C12C0">
              <w:rPr>
                <w:sz w:val="16"/>
                <w:szCs w:val="16"/>
              </w:rPr>
              <w:t>Liver [</w:t>
            </w:r>
            <w:r w:rsidR="009006D0" w:rsidRPr="008C12C0">
              <w:rPr>
                <w:sz w:val="16"/>
                <w:szCs w:val="16"/>
              </w:rPr>
              <w:t>3</w:t>
            </w:r>
            <w:r w:rsidRPr="008C12C0">
              <w:rPr>
                <w:sz w:val="16"/>
                <w:szCs w:val="16"/>
              </w:rPr>
              <w:t>]</w:t>
            </w:r>
          </w:p>
        </w:tc>
        <w:tc>
          <w:tcPr>
            <w:tcW w:w="1800" w:type="dxa"/>
            <w:shd w:val="clear" w:color="auto" w:fill="BDD6EE" w:themeFill="accent5" w:themeFillTint="66"/>
          </w:tcPr>
          <w:p w14:paraId="1C80CC1C" w14:textId="709CE2BD" w:rsidR="001A4D01" w:rsidRPr="008C12C0" w:rsidRDefault="001A4D01" w:rsidP="001A4D01">
            <w:pPr>
              <w:spacing w:line="360" w:lineRule="auto"/>
              <w:rPr>
                <w:sz w:val="16"/>
                <w:szCs w:val="16"/>
              </w:rPr>
            </w:pPr>
            <w:r w:rsidRPr="008C12C0">
              <w:rPr>
                <w:sz w:val="16"/>
                <w:szCs w:val="16"/>
              </w:rPr>
              <w:t>1.20 (0.77 - 1.89)</w:t>
            </w:r>
          </w:p>
        </w:tc>
        <w:tc>
          <w:tcPr>
            <w:tcW w:w="1560" w:type="dxa"/>
            <w:shd w:val="clear" w:color="auto" w:fill="BDD6EE" w:themeFill="accent5" w:themeFillTint="66"/>
          </w:tcPr>
          <w:p w14:paraId="1422FE47" w14:textId="589DBEAD" w:rsidR="001A4D01" w:rsidRPr="008C12C0" w:rsidRDefault="001A4D01" w:rsidP="001A4D01">
            <w:pPr>
              <w:spacing w:line="360" w:lineRule="auto"/>
              <w:rPr>
                <w:sz w:val="16"/>
                <w:szCs w:val="16"/>
              </w:rPr>
            </w:pPr>
            <w:r w:rsidRPr="008C12C0">
              <w:rPr>
                <w:sz w:val="16"/>
                <w:szCs w:val="16"/>
              </w:rPr>
              <w:t>1.26 (0.62-2.59)</w:t>
            </w:r>
          </w:p>
        </w:tc>
        <w:tc>
          <w:tcPr>
            <w:tcW w:w="1735" w:type="dxa"/>
            <w:shd w:val="clear" w:color="auto" w:fill="BDD6EE" w:themeFill="accent5" w:themeFillTint="66"/>
          </w:tcPr>
          <w:p w14:paraId="223C193C" w14:textId="63127A83" w:rsidR="001A4D01" w:rsidRPr="008C12C0" w:rsidRDefault="001A4D01" w:rsidP="001A4D01">
            <w:pPr>
              <w:spacing w:line="360" w:lineRule="auto"/>
              <w:rPr>
                <w:sz w:val="16"/>
                <w:szCs w:val="16"/>
              </w:rPr>
            </w:pPr>
            <w:r w:rsidRPr="008C12C0">
              <w:rPr>
                <w:sz w:val="16"/>
                <w:szCs w:val="16"/>
              </w:rPr>
              <w:t>3</w:t>
            </w:r>
            <w:r w:rsidRPr="008C12C0">
              <w:rPr>
                <w:sz w:val="16"/>
                <w:szCs w:val="16"/>
                <w:vertAlign w:val="superscript"/>
              </w:rPr>
              <w:t>5-7</w:t>
            </w:r>
          </w:p>
        </w:tc>
        <w:tc>
          <w:tcPr>
            <w:tcW w:w="1757" w:type="dxa"/>
            <w:shd w:val="clear" w:color="auto" w:fill="BDD6EE" w:themeFill="accent5" w:themeFillTint="66"/>
          </w:tcPr>
          <w:p w14:paraId="770A49C3" w14:textId="747309A0" w:rsidR="001A4D01" w:rsidRPr="008C12C0" w:rsidRDefault="001A4D01" w:rsidP="001A4D01">
            <w:pPr>
              <w:spacing w:line="360" w:lineRule="auto"/>
              <w:rPr>
                <w:sz w:val="16"/>
                <w:szCs w:val="16"/>
              </w:rPr>
            </w:pPr>
            <w:r w:rsidRPr="008C12C0">
              <w:rPr>
                <w:sz w:val="16"/>
                <w:szCs w:val="16"/>
              </w:rPr>
              <w:t>19</w:t>
            </w:r>
          </w:p>
        </w:tc>
      </w:tr>
      <w:tr w:rsidR="001A4D01" w:rsidRPr="008C12C0" w14:paraId="41D4A0E5" w14:textId="60BCB4E6" w:rsidTr="001A4D01">
        <w:tc>
          <w:tcPr>
            <w:tcW w:w="2164" w:type="dxa"/>
            <w:shd w:val="clear" w:color="auto" w:fill="BDD6EE" w:themeFill="accent5" w:themeFillTint="66"/>
          </w:tcPr>
          <w:p w14:paraId="1401C922" w14:textId="765B6C75" w:rsidR="001A4D01" w:rsidRPr="008C12C0" w:rsidRDefault="001A4D01" w:rsidP="001A4D01">
            <w:pPr>
              <w:spacing w:line="360" w:lineRule="auto"/>
              <w:rPr>
                <w:sz w:val="16"/>
                <w:szCs w:val="16"/>
                <w:vertAlign w:val="superscript"/>
              </w:rPr>
            </w:pPr>
            <w:r w:rsidRPr="008C12C0">
              <w:rPr>
                <w:sz w:val="16"/>
                <w:szCs w:val="16"/>
              </w:rPr>
              <w:t>Lung [</w:t>
            </w:r>
            <w:r w:rsidR="009006D0" w:rsidRPr="008C12C0">
              <w:rPr>
                <w:sz w:val="16"/>
                <w:szCs w:val="16"/>
              </w:rPr>
              <w:t>4</w:t>
            </w:r>
            <w:r w:rsidRPr="008C12C0">
              <w:rPr>
                <w:sz w:val="16"/>
                <w:szCs w:val="16"/>
              </w:rPr>
              <w:t>]</w:t>
            </w:r>
          </w:p>
        </w:tc>
        <w:tc>
          <w:tcPr>
            <w:tcW w:w="1800" w:type="dxa"/>
            <w:shd w:val="clear" w:color="auto" w:fill="BDD6EE" w:themeFill="accent5" w:themeFillTint="66"/>
          </w:tcPr>
          <w:p w14:paraId="238DDAB8" w14:textId="6286C8BA" w:rsidR="001A4D01" w:rsidRPr="008C12C0" w:rsidRDefault="009006D0" w:rsidP="001A4D01">
            <w:pPr>
              <w:spacing w:line="360" w:lineRule="auto"/>
              <w:rPr>
                <w:sz w:val="16"/>
                <w:szCs w:val="16"/>
              </w:rPr>
            </w:pPr>
            <w:r w:rsidRPr="008C12C0">
              <w:rPr>
                <w:sz w:val="16"/>
                <w:szCs w:val="16"/>
              </w:rPr>
              <w:t>1.09 (0.76-1.56)</w:t>
            </w:r>
          </w:p>
        </w:tc>
        <w:tc>
          <w:tcPr>
            <w:tcW w:w="1560" w:type="dxa"/>
            <w:shd w:val="clear" w:color="auto" w:fill="BDD6EE" w:themeFill="accent5" w:themeFillTint="66"/>
          </w:tcPr>
          <w:p w14:paraId="140C959F" w14:textId="6359752C" w:rsidR="001A4D01" w:rsidRPr="008C12C0" w:rsidRDefault="001A4D01" w:rsidP="001A4D01">
            <w:pPr>
              <w:spacing w:line="360" w:lineRule="auto"/>
              <w:rPr>
                <w:sz w:val="16"/>
                <w:szCs w:val="16"/>
                <w:vertAlign w:val="superscript"/>
              </w:rPr>
            </w:pPr>
            <w:r w:rsidRPr="008C12C0">
              <w:rPr>
                <w:sz w:val="16"/>
                <w:szCs w:val="16"/>
              </w:rPr>
              <w:t>0.98 (0.70-1.36)</w:t>
            </w:r>
          </w:p>
        </w:tc>
        <w:tc>
          <w:tcPr>
            <w:tcW w:w="1735" w:type="dxa"/>
            <w:shd w:val="clear" w:color="auto" w:fill="BDD6EE" w:themeFill="accent5" w:themeFillTint="66"/>
          </w:tcPr>
          <w:p w14:paraId="12FFA4CB" w14:textId="49E859E1" w:rsidR="001A4D01" w:rsidRPr="008C12C0" w:rsidRDefault="00296B28" w:rsidP="001A4D01">
            <w:pPr>
              <w:spacing w:line="360" w:lineRule="auto"/>
              <w:rPr>
                <w:sz w:val="16"/>
                <w:szCs w:val="16"/>
              </w:rPr>
            </w:pPr>
            <w:r w:rsidRPr="008C12C0">
              <w:rPr>
                <w:sz w:val="16"/>
                <w:szCs w:val="16"/>
              </w:rPr>
              <w:t>3</w:t>
            </w:r>
            <w:r w:rsidR="001A4D01" w:rsidRPr="008C12C0">
              <w:rPr>
                <w:sz w:val="16"/>
                <w:szCs w:val="16"/>
                <w:vertAlign w:val="superscript"/>
              </w:rPr>
              <w:t>5, 6, 8</w:t>
            </w:r>
          </w:p>
        </w:tc>
        <w:tc>
          <w:tcPr>
            <w:tcW w:w="1757" w:type="dxa"/>
            <w:shd w:val="clear" w:color="auto" w:fill="BDD6EE" w:themeFill="accent5" w:themeFillTint="66"/>
          </w:tcPr>
          <w:p w14:paraId="4274CD85" w14:textId="7C453B0E" w:rsidR="001A4D01" w:rsidRPr="008C12C0" w:rsidRDefault="001A4D01" w:rsidP="001A4D01">
            <w:pPr>
              <w:spacing w:line="360" w:lineRule="auto"/>
              <w:rPr>
                <w:sz w:val="16"/>
                <w:szCs w:val="16"/>
              </w:rPr>
            </w:pPr>
            <w:r w:rsidRPr="008C12C0">
              <w:rPr>
                <w:sz w:val="16"/>
                <w:szCs w:val="16"/>
              </w:rPr>
              <w:t>119</w:t>
            </w:r>
          </w:p>
        </w:tc>
      </w:tr>
      <w:tr w:rsidR="001A4D01" w:rsidRPr="008C12C0" w14:paraId="432FC156" w14:textId="15FD4BB9" w:rsidTr="001A4D01">
        <w:tc>
          <w:tcPr>
            <w:tcW w:w="2164" w:type="dxa"/>
            <w:shd w:val="clear" w:color="auto" w:fill="BDD6EE" w:themeFill="accent5" w:themeFillTint="66"/>
          </w:tcPr>
          <w:p w14:paraId="152D4A82" w14:textId="77777777" w:rsidR="001A4D01" w:rsidRPr="008C12C0" w:rsidRDefault="001A4D01" w:rsidP="001A4D01">
            <w:pPr>
              <w:spacing w:line="360" w:lineRule="auto"/>
              <w:rPr>
                <w:sz w:val="16"/>
                <w:szCs w:val="16"/>
              </w:rPr>
            </w:pPr>
            <w:r w:rsidRPr="008C12C0">
              <w:rPr>
                <w:sz w:val="16"/>
                <w:szCs w:val="16"/>
              </w:rPr>
              <w:t>Oesophagus</w:t>
            </w:r>
          </w:p>
        </w:tc>
        <w:tc>
          <w:tcPr>
            <w:tcW w:w="1800" w:type="dxa"/>
            <w:shd w:val="clear" w:color="auto" w:fill="BDD6EE" w:themeFill="accent5" w:themeFillTint="66"/>
          </w:tcPr>
          <w:p w14:paraId="0590247D" w14:textId="03022A4E" w:rsidR="001A4D01" w:rsidRPr="008C12C0" w:rsidRDefault="001A4D01" w:rsidP="001A4D01">
            <w:pPr>
              <w:spacing w:line="360" w:lineRule="auto"/>
              <w:rPr>
                <w:sz w:val="16"/>
                <w:szCs w:val="16"/>
              </w:rPr>
            </w:pPr>
            <w:r w:rsidRPr="008C12C0">
              <w:rPr>
                <w:sz w:val="16"/>
                <w:szCs w:val="16"/>
              </w:rPr>
              <w:t>Hung et al. not included</w:t>
            </w:r>
          </w:p>
        </w:tc>
        <w:tc>
          <w:tcPr>
            <w:tcW w:w="1560" w:type="dxa"/>
            <w:shd w:val="clear" w:color="auto" w:fill="BDD6EE" w:themeFill="accent5" w:themeFillTint="66"/>
          </w:tcPr>
          <w:p w14:paraId="05D478ED" w14:textId="16183A79" w:rsidR="001A4D01" w:rsidRPr="008C12C0" w:rsidRDefault="001A4D01" w:rsidP="001A4D01">
            <w:pPr>
              <w:spacing w:line="360" w:lineRule="auto"/>
              <w:rPr>
                <w:sz w:val="16"/>
                <w:szCs w:val="16"/>
              </w:rPr>
            </w:pPr>
            <w:r w:rsidRPr="008C12C0">
              <w:rPr>
                <w:sz w:val="16"/>
                <w:szCs w:val="16"/>
              </w:rPr>
              <w:t>1.45 (0.29 - 4.24)</w:t>
            </w:r>
          </w:p>
        </w:tc>
        <w:tc>
          <w:tcPr>
            <w:tcW w:w="1735" w:type="dxa"/>
            <w:shd w:val="clear" w:color="auto" w:fill="BDD6EE" w:themeFill="accent5" w:themeFillTint="66"/>
          </w:tcPr>
          <w:p w14:paraId="61FA70D4" w14:textId="5C64344C" w:rsidR="001A4D01" w:rsidRPr="008C12C0" w:rsidRDefault="001A4D01" w:rsidP="001A4D01">
            <w:pPr>
              <w:spacing w:line="360" w:lineRule="auto"/>
              <w:rPr>
                <w:sz w:val="16"/>
                <w:szCs w:val="16"/>
                <w:vertAlign w:val="superscript"/>
              </w:rPr>
            </w:pPr>
            <w:r w:rsidRPr="008C12C0">
              <w:rPr>
                <w:sz w:val="16"/>
                <w:szCs w:val="16"/>
              </w:rPr>
              <w:t>1</w:t>
            </w:r>
            <w:r w:rsidRPr="008C12C0">
              <w:rPr>
                <w:sz w:val="16"/>
                <w:szCs w:val="16"/>
                <w:vertAlign w:val="superscript"/>
              </w:rPr>
              <w:t>6</w:t>
            </w:r>
          </w:p>
        </w:tc>
        <w:tc>
          <w:tcPr>
            <w:tcW w:w="1757" w:type="dxa"/>
            <w:shd w:val="clear" w:color="auto" w:fill="BDD6EE" w:themeFill="accent5" w:themeFillTint="66"/>
          </w:tcPr>
          <w:p w14:paraId="314EBAF8" w14:textId="06F772B6" w:rsidR="001A4D01" w:rsidRPr="008C12C0" w:rsidRDefault="001A4D01" w:rsidP="001A4D01">
            <w:pPr>
              <w:spacing w:line="360" w:lineRule="auto"/>
              <w:rPr>
                <w:sz w:val="16"/>
                <w:szCs w:val="16"/>
              </w:rPr>
            </w:pPr>
            <w:r w:rsidRPr="008C12C0">
              <w:rPr>
                <w:sz w:val="16"/>
                <w:szCs w:val="16"/>
              </w:rPr>
              <w:t>3</w:t>
            </w:r>
          </w:p>
        </w:tc>
      </w:tr>
      <w:tr w:rsidR="001A4D01" w:rsidRPr="008C12C0" w14:paraId="4F61129A" w14:textId="34678FDD" w:rsidTr="00607F38">
        <w:trPr>
          <w:trHeight w:val="271"/>
        </w:trPr>
        <w:tc>
          <w:tcPr>
            <w:tcW w:w="2164" w:type="dxa"/>
            <w:shd w:val="clear" w:color="auto" w:fill="BDD6EE" w:themeFill="accent5" w:themeFillTint="66"/>
          </w:tcPr>
          <w:p w14:paraId="1A18E4A6" w14:textId="77777777" w:rsidR="001A4D01" w:rsidRPr="008C12C0" w:rsidRDefault="001A4D01" w:rsidP="001A4D01">
            <w:pPr>
              <w:spacing w:line="360" w:lineRule="auto"/>
              <w:rPr>
                <w:sz w:val="16"/>
                <w:szCs w:val="16"/>
              </w:rPr>
            </w:pPr>
            <w:r w:rsidRPr="008C12C0">
              <w:rPr>
                <w:sz w:val="16"/>
                <w:szCs w:val="16"/>
              </w:rPr>
              <w:t>Pancreas</w:t>
            </w:r>
          </w:p>
        </w:tc>
        <w:tc>
          <w:tcPr>
            <w:tcW w:w="1800" w:type="dxa"/>
            <w:shd w:val="clear" w:color="auto" w:fill="BDD6EE" w:themeFill="accent5" w:themeFillTint="66"/>
          </w:tcPr>
          <w:p w14:paraId="48087711" w14:textId="309C15B7" w:rsidR="001A4D01" w:rsidRPr="008C12C0" w:rsidRDefault="001A4D01" w:rsidP="001A4D01">
            <w:pPr>
              <w:spacing w:line="360" w:lineRule="auto"/>
              <w:rPr>
                <w:b/>
                <w:bCs/>
                <w:sz w:val="16"/>
                <w:szCs w:val="16"/>
              </w:rPr>
            </w:pPr>
            <w:r w:rsidRPr="008C12C0">
              <w:rPr>
                <w:b/>
                <w:bCs/>
                <w:sz w:val="16"/>
                <w:szCs w:val="16"/>
              </w:rPr>
              <w:t>1.64 (1.05 - 2.55)</w:t>
            </w:r>
          </w:p>
        </w:tc>
        <w:tc>
          <w:tcPr>
            <w:tcW w:w="1560" w:type="dxa"/>
            <w:shd w:val="clear" w:color="auto" w:fill="BDD6EE" w:themeFill="accent5" w:themeFillTint="66"/>
          </w:tcPr>
          <w:p w14:paraId="07CC9AF3" w14:textId="3CD6BA4F" w:rsidR="001A4D01" w:rsidRPr="008C12C0" w:rsidRDefault="001A4D01" w:rsidP="001A4D01">
            <w:pPr>
              <w:spacing w:line="360" w:lineRule="auto"/>
              <w:rPr>
                <w:sz w:val="16"/>
                <w:szCs w:val="16"/>
              </w:rPr>
            </w:pPr>
            <w:r w:rsidRPr="008C12C0">
              <w:rPr>
                <w:sz w:val="16"/>
                <w:szCs w:val="16"/>
              </w:rPr>
              <w:t>1.62 (0.98-2.68)</w:t>
            </w:r>
          </w:p>
        </w:tc>
        <w:tc>
          <w:tcPr>
            <w:tcW w:w="1735" w:type="dxa"/>
            <w:shd w:val="clear" w:color="auto" w:fill="BDD6EE" w:themeFill="accent5" w:themeFillTint="66"/>
          </w:tcPr>
          <w:p w14:paraId="7D1A6E5D" w14:textId="0B372546" w:rsidR="001A4D01" w:rsidRPr="008C12C0" w:rsidRDefault="001A4D01" w:rsidP="001A4D01">
            <w:pPr>
              <w:spacing w:line="360" w:lineRule="auto"/>
              <w:rPr>
                <w:sz w:val="16"/>
                <w:szCs w:val="16"/>
              </w:rPr>
            </w:pPr>
            <w:r w:rsidRPr="008C12C0">
              <w:rPr>
                <w:sz w:val="16"/>
                <w:szCs w:val="16"/>
              </w:rPr>
              <w:t>3</w:t>
            </w:r>
            <w:r w:rsidRPr="008C12C0">
              <w:rPr>
                <w:sz w:val="16"/>
                <w:szCs w:val="16"/>
                <w:vertAlign w:val="superscript"/>
              </w:rPr>
              <w:t>5-7</w:t>
            </w:r>
          </w:p>
        </w:tc>
        <w:tc>
          <w:tcPr>
            <w:tcW w:w="1757" w:type="dxa"/>
            <w:shd w:val="clear" w:color="auto" w:fill="BDD6EE" w:themeFill="accent5" w:themeFillTint="66"/>
          </w:tcPr>
          <w:p w14:paraId="0406EDFA" w14:textId="5DF875E0" w:rsidR="001A4D01" w:rsidRPr="008C12C0" w:rsidRDefault="001A4D01" w:rsidP="001A4D01">
            <w:pPr>
              <w:spacing w:line="360" w:lineRule="auto"/>
              <w:rPr>
                <w:sz w:val="16"/>
                <w:szCs w:val="16"/>
              </w:rPr>
            </w:pPr>
            <w:r w:rsidRPr="008C12C0">
              <w:rPr>
                <w:sz w:val="16"/>
                <w:szCs w:val="16"/>
              </w:rPr>
              <w:t>25</w:t>
            </w:r>
          </w:p>
        </w:tc>
      </w:tr>
      <w:tr w:rsidR="001A4D01" w:rsidRPr="008C12C0" w14:paraId="6868CA49" w14:textId="18E43763" w:rsidTr="001A4D01">
        <w:tc>
          <w:tcPr>
            <w:tcW w:w="2164" w:type="dxa"/>
            <w:tcBorders>
              <w:bottom w:val="single" w:sz="4" w:space="0" w:color="auto"/>
            </w:tcBorders>
            <w:shd w:val="clear" w:color="auto" w:fill="BDD6EE" w:themeFill="accent5" w:themeFillTint="66"/>
          </w:tcPr>
          <w:p w14:paraId="5A136BDF" w14:textId="77777777" w:rsidR="001A4D01" w:rsidRPr="008C12C0" w:rsidRDefault="001A4D01" w:rsidP="001A4D01">
            <w:pPr>
              <w:spacing w:line="360" w:lineRule="auto"/>
              <w:rPr>
                <w:sz w:val="16"/>
                <w:szCs w:val="16"/>
              </w:rPr>
            </w:pPr>
            <w:r w:rsidRPr="008C12C0">
              <w:rPr>
                <w:sz w:val="16"/>
                <w:szCs w:val="16"/>
              </w:rPr>
              <w:t>Prostate</w:t>
            </w:r>
          </w:p>
        </w:tc>
        <w:tc>
          <w:tcPr>
            <w:tcW w:w="1800" w:type="dxa"/>
            <w:tcBorders>
              <w:bottom w:val="single" w:sz="4" w:space="0" w:color="auto"/>
            </w:tcBorders>
            <w:shd w:val="clear" w:color="auto" w:fill="BDD6EE" w:themeFill="accent5" w:themeFillTint="66"/>
          </w:tcPr>
          <w:p w14:paraId="361E2041" w14:textId="3CC4AD61" w:rsidR="001A4D01" w:rsidRPr="008C12C0" w:rsidRDefault="001A4D01" w:rsidP="001A4D01">
            <w:pPr>
              <w:spacing w:line="360" w:lineRule="auto"/>
              <w:rPr>
                <w:sz w:val="16"/>
                <w:szCs w:val="16"/>
              </w:rPr>
            </w:pPr>
            <w:r w:rsidRPr="008C12C0">
              <w:rPr>
                <w:sz w:val="16"/>
                <w:szCs w:val="16"/>
              </w:rPr>
              <w:t>1.32 (1.00-1.76)</w:t>
            </w:r>
          </w:p>
        </w:tc>
        <w:tc>
          <w:tcPr>
            <w:tcW w:w="1560" w:type="dxa"/>
            <w:tcBorders>
              <w:bottom w:val="single" w:sz="4" w:space="0" w:color="auto"/>
            </w:tcBorders>
            <w:shd w:val="clear" w:color="auto" w:fill="BDD6EE" w:themeFill="accent5" w:themeFillTint="66"/>
          </w:tcPr>
          <w:p w14:paraId="3CC83A13" w14:textId="57538FDE" w:rsidR="001A4D01" w:rsidRPr="008C12C0" w:rsidRDefault="001A4D01" w:rsidP="001A4D01">
            <w:pPr>
              <w:spacing w:line="360" w:lineRule="auto"/>
              <w:rPr>
                <w:sz w:val="16"/>
                <w:szCs w:val="16"/>
              </w:rPr>
            </w:pPr>
            <w:r w:rsidRPr="008C12C0">
              <w:rPr>
                <w:sz w:val="16"/>
                <w:szCs w:val="16"/>
              </w:rPr>
              <w:t>1.27 (0.93-1.72)</w:t>
            </w:r>
          </w:p>
        </w:tc>
        <w:tc>
          <w:tcPr>
            <w:tcW w:w="1735" w:type="dxa"/>
            <w:tcBorders>
              <w:bottom w:val="single" w:sz="4" w:space="0" w:color="auto"/>
            </w:tcBorders>
            <w:shd w:val="clear" w:color="auto" w:fill="BDD6EE" w:themeFill="accent5" w:themeFillTint="66"/>
          </w:tcPr>
          <w:p w14:paraId="42382EFC" w14:textId="5D9DA3DA" w:rsidR="001A4D01" w:rsidRPr="008C12C0" w:rsidRDefault="001A4D01" w:rsidP="001A4D01">
            <w:pPr>
              <w:spacing w:line="360" w:lineRule="auto"/>
              <w:rPr>
                <w:sz w:val="16"/>
                <w:szCs w:val="16"/>
              </w:rPr>
            </w:pPr>
            <w:r w:rsidRPr="008C12C0">
              <w:rPr>
                <w:sz w:val="16"/>
                <w:szCs w:val="16"/>
              </w:rPr>
              <w:t>4</w:t>
            </w:r>
            <w:r w:rsidRPr="008C12C0">
              <w:rPr>
                <w:sz w:val="16"/>
                <w:szCs w:val="16"/>
                <w:vertAlign w:val="superscript"/>
              </w:rPr>
              <w:t>5-8</w:t>
            </w:r>
          </w:p>
        </w:tc>
        <w:tc>
          <w:tcPr>
            <w:tcW w:w="1757" w:type="dxa"/>
            <w:tcBorders>
              <w:bottom w:val="single" w:sz="4" w:space="0" w:color="auto"/>
            </w:tcBorders>
            <w:shd w:val="clear" w:color="auto" w:fill="BDD6EE" w:themeFill="accent5" w:themeFillTint="66"/>
          </w:tcPr>
          <w:p w14:paraId="062D80D9" w14:textId="1FCEF056" w:rsidR="001A4D01" w:rsidRPr="008C12C0" w:rsidRDefault="001A4D01" w:rsidP="001A4D01">
            <w:pPr>
              <w:spacing w:line="360" w:lineRule="auto"/>
              <w:rPr>
                <w:sz w:val="16"/>
                <w:szCs w:val="16"/>
              </w:rPr>
            </w:pPr>
            <w:r w:rsidRPr="008C12C0">
              <w:rPr>
                <w:sz w:val="16"/>
                <w:szCs w:val="16"/>
              </w:rPr>
              <w:t>247</w:t>
            </w:r>
          </w:p>
        </w:tc>
      </w:tr>
      <w:tr w:rsidR="001A4D01" w:rsidRPr="008C12C0" w14:paraId="3643A11F" w14:textId="1AB4BAEF" w:rsidTr="001A4D01">
        <w:tc>
          <w:tcPr>
            <w:tcW w:w="2164" w:type="dxa"/>
            <w:tcBorders>
              <w:bottom w:val="single" w:sz="4" w:space="0" w:color="auto"/>
            </w:tcBorders>
            <w:shd w:val="clear" w:color="auto" w:fill="BDD6EE" w:themeFill="accent5" w:themeFillTint="66"/>
          </w:tcPr>
          <w:p w14:paraId="17253521" w14:textId="77777777" w:rsidR="001A4D01" w:rsidRPr="008C12C0" w:rsidRDefault="001A4D01" w:rsidP="001A4D01">
            <w:pPr>
              <w:spacing w:line="360" w:lineRule="auto"/>
              <w:rPr>
                <w:sz w:val="16"/>
                <w:szCs w:val="16"/>
              </w:rPr>
            </w:pPr>
            <w:r w:rsidRPr="008C12C0">
              <w:rPr>
                <w:sz w:val="16"/>
                <w:szCs w:val="16"/>
              </w:rPr>
              <w:t>Skin (Melanoma)</w:t>
            </w:r>
          </w:p>
        </w:tc>
        <w:tc>
          <w:tcPr>
            <w:tcW w:w="1800" w:type="dxa"/>
            <w:tcBorders>
              <w:bottom w:val="single" w:sz="4" w:space="0" w:color="auto"/>
            </w:tcBorders>
            <w:shd w:val="clear" w:color="auto" w:fill="BDD6EE" w:themeFill="accent5" w:themeFillTint="66"/>
          </w:tcPr>
          <w:p w14:paraId="0973E7F7" w14:textId="44B9B77D" w:rsidR="001A4D01" w:rsidRPr="008C12C0" w:rsidRDefault="001A4D01" w:rsidP="001A4D01">
            <w:pPr>
              <w:spacing w:line="360" w:lineRule="auto"/>
              <w:rPr>
                <w:sz w:val="16"/>
                <w:szCs w:val="16"/>
              </w:rPr>
            </w:pPr>
            <w:r w:rsidRPr="008C12C0">
              <w:rPr>
                <w:sz w:val="16"/>
                <w:szCs w:val="16"/>
              </w:rPr>
              <w:t>Hung et al. not included</w:t>
            </w:r>
          </w:p>
        </w:tc>
        <w:tc>
          <w:tcPr>
            <w:tcW w:w="1560" w:type="dxa"/>
            <w:tcBorders>
              <w:bottom w:val="single" w:sz="4" w:space="0" w:color="auto"/>
            </w:tcBorders>
            <w:shd w:val="clear" w:color="auto" w:fill="BDD6EE" w:themeFill="accent5" w:themeFillTint="66"/>
          </w:tcPr>
          <w:p w14:paraId="3E96B251" w14:textId="01691B80" w:rsidR="001A4D01" w:rsidRPr="008C12C0" w:rsidRDefault="001A4D01" w:rsidP="001A4D01">
            <w:pPr>
              <w:spacing w:line="360" w:lineRule="auto"/>
              <w:rPr>
                <w:sz w:val="16"/>
                <w:szCs w:val="16"/>
              </w:rPr>
            </w:pPr>
            <w:r w:rsidRPr="008C12C0">
              <w:rPr>
                <w:sz w:val="16"/>
                <w:szCs w:val="16"/>
              </w:rPr>
              <w:t>1.65 (0.77 - 3.54)</w:t>
            </w:r>
          </w:p>
        </w:tc>
        <w:tc>
          <w:tcPr>
            <w:tcW w:w="1735" w:type="dxa"/>
            <w:tcBorders>
              <w:bottom w:val="single" w:sz="4" w:space="0" w:color="auto"/>
            </w:tcBorders>
            <w:shd w:val="clear" w:color="auto" w:fill="BDD6EE" w:themeFill="accent5" w:themeFillTint="66"/>
          </w:tcPr>
          <w:p w14:paraId="4A7A07A7" w14:textId="03A3CF98" w:rsidR="001A4D01" w:rsidRPr="008C12C0" w:rsidRDefault="001A4D01" w:rsidP="001A4D01">
            <w:pPr>
              <w:spacing w:line="360" w:lineRule="auto"/>
              <w:rPr>
                <w:sz w:val="16"/>
                <w:szCs w:val="16"/>
              </w:rPr>
            </w:pPr>
            <w:r w:rsidRPr="008C12C0">
              <w:rPr>
                <w:sz w:val="16"/>
                <w:szCs w:val="16"/>
              </w:rPr>
              <w:t>3</w:t>
            </w:r>
            <w:r w:rsidRPr="008C12C0">
              <w:rPr>
                <w:sz w:val="16"/>
                <w:szCs w:val="16"/>
                <w:vertAlign w:val="superscript"/>
              </w:rPr>
              <w:t>5, 6, 8</w:t>
            </w:r>
          </w:p>
        </w:tc>
        <w:tc>
          <w:tcPr>
            <w:tcW w:w="1757" w:type="dxa"/>
            <w:tcBorders>
              <w:bottom w:val="single" w:sz="4" w:space="0" w:color="auto"/>
            </w:tcBorders>
            <w:shd w:val="clear" w:color="auto" w:fill="BDD6EE" w:themeFill="accent5" w:themeFillTint="66"/>
          </w:tcPr>
          <w:p w14:paraId="22741BD9" w14:textId="60E6E48A" w:rsidR="001A4D01" w:rsidRPr="008C12C0" w:rsidRDefault="001A4D01" w:rsidP="001A4D01">
            <w:pPr>
              <w:spacing w:line="360" w:lineRule="auto"/>
              <w:rPr>
                <w:sz w:val="16"/>
                <w:szCs w:val="16"/>
              </w:rPr>
            </w:pPr>
            <w:r w:rsidRPr="008C12C0">
              <w:rPr>
                <w:sz w:val="16"/>
                <w:szCs w:val="16"/>
              </w:rPr>
              <w:t>25</w:t>
            </w:r>
          </w:p>
        </w:tc>
      </w:tr>
      <w:tr w:rsidR="001A4D01" w:rsidRPr="008C12C0" w14:paraId="70D73CF4" w14:textId="5B5D1013" w:rsidTr="00607F38">
        <w:trPr>
          <w:trHeight w:val="213"/>
        </w:trPr>
        <w:tc>
          <w:tcPr>
            <w:tcW w:w="2164" w:type="dxa"/>
            <w:tcBorders>
              <w:top w:val="single" w:sz="4" w:space="0" w:color="auto"/>
              <w:bottom w:val="single" w:sz="4" w:space="0" w:color="auto"/>
            </w:tcBorders>
            <w:shd w:val="clear" w:color="auto" w:fill="BDD6EE" w:themeFill="accent5" w:themeFillTint="66"/>
          </w:tcPr>
          <w:p w14:paraId="5B88F7FA" w14:textId="77777777" w:rsidR="001A4D01" w:rsidRPr="008C12C0" w:rsidRDefault="001A4D01" w:rsidP="001A4D01">
            <w:pPr>
              <w:spacing w:line="360" w:lineRule="auto"/>
              <w:rPr>
                <w:sz w:val="16"/>
                <w:szCs w:val="16"/>
              </w:rPr>
            </w:pPr>
            <w:r w:rsidRPr="008C12C0">
              <w:rPr>
                <w:sz w:val="16"/>
                <w:szCs w:val="16"/>
              </w:rPr>
              <w:t>Stomach</w:t>
            </w:r>
          </w:p>
        </w:tc>
        <w:tc>
          <w:tcPr>
            <w:tcW w:w="1800" w:type="dxa"/>
            <w:tcBorders>
              <w:top w:val="single" w:sz="4" w:space="0" w:color="auto"/>
              <w:bottom w:val="single" w:sz="4" w:space="0" w:color="auto"/>
            </w:tcBorders>
            <w:shd w:val="clear" w:color="auto" w:fill="BDD6EE" w:themeFill="accent5" w:themeFillTint="66"/>
          </w:tcPr>
          <w:p w14:paraId="309E2A3B" w14:textId="01E9A646" w:rsidR="001A4D01" w:rsidRPr="008C12C0" w:rsidRDefault="001A4D01" w:rsidP="001A4D01">
            <w:pPr>
              <w:spacing w:line="360" w:lineRule="auto"/>
              <w:rPr>
                <w:sz w:val="16"/>
                <w:szCs w:val="16"/>
              </w:rPr>
            </w:pPr>
            <w:r w:rsidRPr="008C12C0">
              <w:rPr>
                <w:sz w:val="16"/>
                <w:szCs w:val="16"/>
              </w:rPr>
              <w:t>1.34 (0.99 - 1.84)</w:t>
            </w:r>
          </w:p>
        </w:tc>
        <w:tc>
          <w:tcPr>
            <w:tcW w:w="1560" w:type="dxa"/>
            <w:tcBorders>
              <w:top w:val="single" w:sz="4" w:space="0" w:color="auto"/>
              <w:bottom w:val="single" w:sz="4" w:space="0" w:color="auto"/>
            </w:tcBorders>
            <w:shd w:val="clear" w:color="auto" w:fill="BDD6EE" w:themeFill="accent5" w:themeFillTint="66"/>
          </w:tcPr>
          <w:p w14:paraId="3EC6EF4D" w14:textId="39B0C6C7" w:rsidR="001A4D01" w:rsidRPr="008C12C0" w:rsidRDefault="001A4D01" w:rsidP="001A4D01">
            <w:pPr>
              <w:spacing w:line="360" w:lineRule="auto"/>
              <w:rPr>
                <w:sz w:val="16"/>
                <w:szCs w:val="16"/>
              </w:rPr>
            </w:pPr>
            <w:r w:rsidRPr="008C12C0">
              <w:rPr>
                <w:sz w:val="16"/>
                <w:szCs w:val="16"/>
              </w:rPr>
              <w:t>1.33 (0.94-1.89)</w:t>
            </w:r>
          </w:p>
        </w:tc>
        <w:tc>
          <w:tcPr>
            <w:tcW w:w="1735" w:type="dxa"/>
            <w:tcBorders>
              <w:top w:val="single" w:sz="4" w:space="0" w:color="auto"/>
              <w:bottom w:val="single" w:sz="4" w:space="0" w:color="auto"/>
            </w:tcBorders>
            <w:shd w:val="clear" w:color="auto" w:fill="BDD6EE" w:themeFill="accent5" w:themeFillTint="66"/>
          </w:tcPr>
          <w:p w14:paraId="62312AF2" w14:textId="3E5FB530" w:rsidR="001A4D01" w:rsidRPr="008C12C0" w:rsidRDefault="001A4D01" w:rsidP="001A4D01">
            <w:pPr>
              <w:spacing w:line="360" w:lineRule="auto"/>
              <w:rPr>
                <w:sz w:val="16"/>
                <w:szCs w:val="16"/>
              </w:rPr>
            </w:pPr>
            <w:r w:rsidRPr="008C12C0">
              <w:rPr>
                <w:sz w:val="16"/>
                <w:szCs w:val="16"/>
              </w:rPr>
              <w:t>4</w:t>
            </w:r>
            <w:r w:rsidRPr="008C12C0">
              <w:rPr>
                <w:sz w:val="16"/>
                <w:szCs w:val="16"/>
                <w:vertAlign w:val="superscript"/>
              </w:rPr>
              <w:t>5-8</w:t>
            </w:r>
          </w:p>
        </w:tc>
        <w:tc>
          <w:tcPr>
            <w:tcW w:w="1757" w:type="dxa"/>
            <w:tcBorders>
              <w:top w:val="single" w:sz="4" w:space="0" w:color="auto"/>
              <w:bottom w:val="single" w:sz="4" w:space="0" w:color="auto"/>
            </w:tcBorders>
            <w:shd w:val="clear" w:color="auto" w:fill="BDD6EE" w:themeFill="accent5" w:themeFillTint="66"/>
          </w:tcPr>
          <w:p w14:paraId="1C3E843E" w14:textId="14DA5F0C" w:rsidR="001A4D01" w:rsidRPr="008C12C0" w:rsidRDefault="001A4D01" w:rsidP="001A4D01">
            <w:pPr>
              <w:spacing w:line="360" w:lineRule="auto"/>
              <w:rPr>
                <w:sz w:val="16"/>
                <w:szCs w:val="16"/>
              </w:rPr>
            </w:pPr>
            <w:r w:rsidRPr="008C12C0">
              <w:rPr>
                <w:sz w:val="16"/>
                <w:szCs w:val="16"/>
              </w:rPr>
              <w:t>51</w:t>
            </w:r>
          </w:p>
        </w:tc>
      </w:tr>
      <w:tr w:rsidR="001A4D01" w:rsidRPr="008C12C0" w14:paraId="389ABAC5" w14:textId="2564021C" w:rsidTr="001A4D01">
        <w:tc>
          <w:tcPr>
            <w:tcW w:w="2164" w:type="dxa"/>
            <w:tcBorders>
              <w:bottom w:val="single" w:sz="4" w:space="0" w:color="auto"/>
            </w:tcBorders>
            <w:shd w:val="clear" w:color="auto" w:fill="BDD6EE" w:themeFill="accent5" w:themeFillTint="66"/>
          </w:tcPr>
          <w:p w14:paraId="0C4A50A2" w14:textId="77777777" w:rsidR="001A4D01" w:rsidRPr="008C12C0" w:rsidRDefault="001A4D01" w:rsidP="001A4D01">
            <w:pPr>
              <w:spacing w:line="360" w:lineRule="auto"/>
              <w:rPr>
                <w:sz w:val="16"/>
                <w:szCs w:val="16"/>
              </w:rPr>
            </w:pPr>
            <w:r w:rsidRPr="008C12C0">
              <w:rPr>
                <w:sz w:val="16"/>
                <w:szCs w:val="16"/>
              </w:rPr>
              <w:t>Thyroid</w:t>
            </w:r>
          </w:p>
        </w:tc>
        <w:tc>
          <w:tcPr>
            <w:tcW w:w="1800" w:type="dxa"/>
            <w:tcBorders>
              <w:bottom w:val="single" w:sz="4" w:space="0" w:color="auto"/>
            </w:tcBorders>
            <w:shd w:val="clear" w:color="auto" w:fill="BDD6EE" w:themeFill="accent5" w:themeFillTint="66"/>
          </w:tcPr>
          <w:p w14:paraId="1A041139" w14:textId="77777777" w:rsidR="001A4D01" w:rsidRPr="008C12C0" w:rsidRDefault="001A4D01" w:rsidP="001A4D01">
            <w:pPr>
              <w:spacing w:line="360" w:lineRule="auto"/>
              <w:rPr>
                <w:b/>
                <w:bCs/>
                <w:sz w:val="16"/>
                <w:szCs w:val="16"/>
              </w:rPr>
            </w:pPr>
            <w:r w:rsidRPr="008C12C0">
              <w:rPr>
                <w:b/>
                <w:bCs/>
                <w:sz w:val="16"/>
                <w:szCs w:val="16"/>
              </w:rPr>
              <w:t>5.58 (1.04 - 30.05)</w:t>
            </w:r>
          </w:p>
        </w:tc>
        <w:tc>
          <w:tcPr>
            <w:tcW w:w="1560" w:type="dxa"/>
            <w:tcBorders>
              <w:bottom w:val="single" w:sz="4" w:space="0" w:color="auto"/>
            </w:tcBorders>
            <w:shd w:val="clear" w:color="auto" w:fill="BDD6EE" w:themeFill="accent5" w:themeFillTint="66"/>
          </w:tcPr>
          <w:p w14:paraId="29157E4B" w14:textId="0573AEED" w:rsidR="001A4D01" w:rsidRPr="008C12C0" w:rsidRDefault="001A4D01" w:rsidP="001A4D01">
            <w:pPr>
              <w:spacing w:line="360" w:lineRule="auto"/>
              <w:rPr>
                <w:sz w:val="16"/>
                <w:szCs w:val="16"/>
              </w:rPr>
            </w:pPr>
            <w:r w:rsidRPr="008C12C0">
              <w:rPr>
                <w:sz w:val="16"/>
                <w:szCs w:val="16"/>
              </w:rPr>
              <w:t>2.37 (0.27-8.55)</w:t>
            </w:r>
          </w:p>
        </w:tc>
        <w:tc>
          <w:tcPr>
            <w:tcW w:w="1735" w:type="dxa"/>
            <w:tcBorders>
              <w:bottom w:val="single" w:sz="4" w:space="0" w:color="auto"/>
            </w:tcBorders>
            <w:shd w:val="clear" w:color="auto" w:fill="BDD6EE" w:themeFill="accent5" w:themeFillTint="66"/>
          </w:tcPr>
          <w:p w14:paraId="039A41E1" w14:textId="78B6CA66" w:rsidR="001A4D01" w:rsidRPr="008C12C0" w:rsidRDefault="001A4D01" w:rsidP="001A4D01">
            <w:pPr>
              <w:spacing w:line="360" w:lineRule="auto"/>
              <w:rPr>
                <w:sz w:val="16"/>
                <w:szCs w:val="16"/>
              </w:rPr>
            </w:pPr>
            <w:r w:rsidRPr="008C12C0">
              <w:rPr>
                <w:sz w:val="16"/>
                <w:szCs w:val="16"/>
              </w:rPr>
              <w:t>2</w:t>
            </w:r>
            <w:r w:rsidRPr="008C12C0">
              <w:rPr>
                <w:sz w:val="16"/>
                <w:szCs w:val="16"/>
                <w:vertAlign w:val="superscript"/>
              </w:rPr>
              <w:t>6-7</w:t>
            </w:r>
          </w:p>
        </w:tc>
        <w:tc>
          <w:tcPr>
            <w:tcW w:w="1757" w:type="dxa"/>
            <w:tcBorders>
              <w:bottom w:val="single" w:sz="4" w:space="0" w:color="auto"/>
            </w:tcBorders>
            <w:shd w:val="clear" w:color="auto" w:fill="BDD6EE" w:themeFill="accent5" w:themeFillTint="66"/>
          </w:tcPr>
          <w:p w14:paraId="08B1BFDF" w14:textId="187D0BD4" w:rsidR="001A4D01" w:rsidRPr="008C12C0" w:rsidRDefault="001A4D01" w:rsidP="001A4D01">
            <w:pPr>
              <w:spacing w:line="360" w:lineRule="auto"/>
              <w:rPr>
                <w:sz w:val="16"/>
                <w:szCs w:val="16"/>
              </w:rPr>
            </w:pPr>
            <w:r w:rsidRPr="008C12C0">
              <w:rPr>
                <w:sz w:val="16"/>
                <w:szCs w:val="16"/>
              </w:rPr>
              <w:t>4</w:t>
            </w:r>
          </w:p>
        </w:tc>
      </w:tr>
      <w:tr w:rsidR="001A4D01" w:rsidRPr="008C12C0" w14:paraId="37E2B8A7" w14:textId="261A7D5E" w:rsidTr="001A4D01">
        <w:tc>
          <w:tcPr>
            <w:tcW w:w="5524" w:type="dxa"/>
            <w:gridSpan w:val="3"/>
            <w:tcBorders>
              <w:top w:val="single" w:sz="4" w:space="0" w:color="auto"/>
              <w:left w:val="nil"/>
              <w:bottom w:val="nil"/>
              <w:right w:val="nil"/>
            </w:tcBorders>
            <w:shd w:val="clear" w:color="auto" w:fill="FFFFFF" w:themeFill="background1"/>
          </w:tcPr>
          <w:p w14:paraId="7E99DDFF" w14:textId="15B31E38" w:rsidR="009006D0" w:rsidRPr="008C12C0" w:rsidRDefault="001A4D01" w:rsidP="001A4D01">
            <w:pPr>
              <w:spacing w:line="360" w:lineRule="auto"/>
              <w:rPr>
                <w:sz w:val="20"/>
                <w:szCs w:val="20"/>
              </w:rPr>
            </w:pPr>
            <w:r w:rsidRPr="008C12C0">
              <w:rPr>
                <w:sz w:val="20"/>
                <w:szCs w:val="20"/>
                <w:vertAlign w:val="superscript"/>
              </w:rPr>
              <w:t xml:space="preserve"> </w:t>
            </w:r>
            <w:r w:rsidRPr="008C12C0">
              <w:rPr>
                <w:sz w:val="20"/>
                <w:szCs w:val="20"/>
              </w:rPr>
              <w:t xml:space="preserve">  </w:t>
            </w:r>
          </w:p>
          <w:p w14:paraId="786A10C9" w14:textId="7DD2A93A" w:rsidR="009006D0" w:rsidRPr="008C12C0" w:rsidRDefault="009006D0" w:rsidP="001A4D01">
            <w:pPr>
              <w:rPr>
                <w:sz w:val="20"/>
                <w:szCs w:val="20"/>
              </w:rPr>
            </w:pPr>
            <w:r w:rsidRPr="008C12C0">
              <w:rPr>
                <w:sz w:val="20"/>
                <w:szCs w:val="20"/>
              </w:rPr>
              <w:t>1: Second anal cancer cancers also included.</w:t>
            </w:r>
          </w:p>
          <w:p w14:paraId="4887402A" w14:textId="34D8972C" w:rsidR="001A4D01" w:rsidRPr="008C12C0" w:rsidRDefault="00EC5F59" w:rsidP="001A4D01">
            <w:pPr>
              <w:rPr>
                <w:sz w:val="20"/>
                <w:szCs w:val="20"/>
              </w:rPr>
            </w:pPr>
            <w:r w:rsidRPr="008C12C0">
              <w:rPr>
                <w:sz w:val="20"/>
                <w:szCs w:val="20"/>
              </w:rPr>
              <w:t>2</w:t>
            </w:r>
            <w:r w:rsidR="001A4D01" w:rsidRPr="008C12C0">
              <w:rPr>
                <w:sz w:val="20"/>
                <w:szCs w:val="20"/>
              </w:rPr>
              <w:t>: Second renal pelvis cancers also included.</w:t>
            </w:r>
          </w:p>
          <w:p w14:paraId="07B558AA" w14:textId="6335A4B1" w:rsidR="001A4D01" w:rsidRPr="008C12C0" w:rsidRDefault="00EC5F59" w:rsidP="001A4D01">
            <w:pPr>
              <w:rPr>
                <w:sz w:val="20"/>
                <w:szCs w:val="20"/>
              </w:rPr>
            </w:pPr>
            <w:r w:rsidRPr="008C12C0">
              <w:rPr>
                <w:sz w:val="20"/>
                <w:szCs w:val="20"/>
              </w:rPr>
              <w:t>3</w:t>
            </w:r>
            <w:r w:rsidR="001A4D01" w:rsidRPr="008C12C0">
              <w:rPr>
                <w:sz w:val="20"/>
                <w:szCs w:val="20"/>
              </w:rPr>
              <w:t>: Second biliary tract cancers also included.</w:t>
            </w:r>
          </w:p>
          <w:p w14:paraId="53171739" w14:textId="2F91EF8E" w:rsidR="001A4D01" w:rsidRPr="008C12C0" w:rsidRDefault="00EC5F59" w:rsidP="001A4D01">
            <w:pPr>
              <w:rPr>
                <w:sz w:val="20"/>
                <w:szCs w:val="20"/>
              </w:rPr>
            </w:pPr>
            <w:r w:rsidRPr="008C12C0">
              <w:rPr>
                <w:sz w:val="20"/>
                <w:szCs w:val="20"/>
              </w:rPr>
              <w:t>4</w:t>
            </w:r>
            <w:r w:rsidR="001A4D01" w:rsidRPr="008C12C0">
              <w:rPr>
                <w:sz w:val="20"/>
                <w:szCs w:val="20"/>
              </w:rPr>
              <w:t xml:space="preserve">: Second bronchus </w:t>
            </w:r>
            <w:r w:rsidR="009006D0" w:rsidRPr="008C12C0">
              <w:rPr>
                <w:sz w:val="20"/>
                <w:szCs w:val="20"/>
              </w:rPr>
              <w:t>and mediastinum cancers</w:t>
            </w:r>
            <w:r w:rsidR="001A4D01" w:rsidRPr="008C12C0">
              <w:rPr>
                <w:sz w:val="20"/>
                <w:szCs w:val="20"/>
              </w:rPr>
              <w:t xml:space="preserve"> als</w:t>
            </w:r>
            <w:r w:rsidR="009006D0" w:rsidRPr="008C12C0">
              <w:rPr>
                <w:sz w:val="20"/>
                <w:szCs w:val="20"/>
              </w:rPr>
              <w:t xml:space="preserve">o </w:t>
            </w:r>
            <w:r w:rsidR="001A4D01" w:rsidRPr="008C12C0">
              <w:rPr>
                <w:sz w:val="20"/>
                <w:szCs w:val="20"/>
              </w:rPr>
              <w:t xml:space="preserve">included. </w:t>
            </w:r>
          </w:p>
        </w:tc>
        <w:tc>
          <w:tcPr>
            <w:tcW w:w="1735" w:type="dxa"/>
            <w:tcBorders>
              <w:top w:val="single" w:sz="4" w:space="0" w:color="auto"/>
              <w:left w:val="nil"/>
              <w:bottom w:val="nil"/>
              <w:right w:val="nil"/>
            </w:tcBorders>
            <w:shd w:val="clear" w:color="auto" w:fill="FFFFFF" w:themeFill="background1"/>
          </w:tcPr>
          <w:p w14:paraId="15BCC2D5" w14:textId="77777777" w:rsidR="001A4D01" w:rsidRPr="008C12C0" w:rsidRDefault="001A4D01" w:rsidP="001A4D01">
            <w:pPr>
              <w:spacing w:line="360" w:lineRule="auto"/>
              <w:rPr>
                <w:sz w:val="20"/>
                <w:szCs w:val="20"/>
                <w:vertAlign w:val="superscript"/>
              </w:rPr>
            </w:pPr>
          </w:p>
        </w:tc>
        <w:tc>
          <w:tcPr>
            <w:tcW w:w="1757" w:type="dxa"/>
            <w:tcBorders>
              <w:top w:val="single" w:sz="4" w:space="0" w:color="auto"/>
              <w:left w:val="nil"/>
              <w:bottom w:val="nil"/>
              <w:right w:val="nil"/>
            </w:tcBorders>
            <w:shd w:val="clear" w:color="auto" w:fill="FFFFFF" w:themeFill="background1"/>
          </w:tcPr>
          <w:p w14:paraId="61485131" w14:textId="77777777" w:rsidR="001A4D01" w:rsidRPr="008C12C0" w:rsidRDefault="001A4D01" w:rsidP="001A4D01">
            <w:pPr>
              <w:spacing w:line="360" w:lineRule="auto"/>
              <w:rPr>
                <w:sz w:val="20"/>
                <w:szCs w:val="20"/>
                <w:vertAlign w:val="superscript"/>
              </w:rPr>
            </w:pPr>
          </w:p>
        </w:tc>
      </w:tr>
    </w:tbl>
    <w:p w14:paraId="2D2F5CA8" w14:textId="77777777" w:rsidR="00C30A84" w:rsidRPr="008C12C0" w:rsidRDefault="00C30A84" w:rsidP="00F0033B">
      <w:pPr>
        <w:tabs>
          <w:tab w:val="left" w:pos="8010"/>
        </w:tabs>
        <w:spacing w:line="360" w:lineRule="auto"/>
        <w:rPr>
          <w:rFonts w:eastAsia="Times New Roman" w:cs="Times New Roman"/>
        </w:rPr>
      </w:pPr>
    </w:p>
    <w:p w14:paraId="7F9DEAF5" w14:textId="77777777" w:rsidR="00607F38" w:rsidRPr="008C12C0" w:rsidRDefault="00607F38" w:rsidP="001A75BB">
      <w:pPr>
        <w:pStyle w:val="Heading1"/>
      </w:pPr>
    </w:p>
    <w:p w14:paraId="38F95B70" w14:textId="77777777" w:rsidR="00607F38" w:rsidRPr="008C12C0" w:rsidRDefault="00607F38" w:rsidP="001A75BB">
      <w:pPr>
        <w:pStyle w:val="Heading1"/>
      </w:pPr>
    </w:p>
    <w:p w14:paraId="5E62BA34" w14:textId="77777777" w:rsidR="001A75BB" w:rsidRPr="008C12C0" w:rsidRDefault="001A75BB" w:rsidP="001A75BB"/>
    <w:p w14:paraId="11A0D3F9" w14:textId="77777777" w:rsidR="00607F38" w:rsidRPr="008C12C0" w:rsidRDefault="00607F38" w:rsidP="00607F38">
      <w:pPr>
        <w:pStyle w:val="Heading1"/>
      </w:pPr>
      <w:r w:rsidRPr="008C12C0">
        <w:lastRenderedPageBreak/>
        <w:t xml:space="preserve">Assessments of study quality: Newcastle-Ottawa scale </w:t>
      </w:r>
    </w:p>
    <w:p w14:paraId="67AC9213" w14:textId="77777777" w:rsidR="00607F38" w:rsidRPr="008C12C0" w:rsidRDefault="00607F38" w:rsidP="00F0033B">
      <w:pPr>
        <w:tabs>
          <w:tab w:val="left" w:pos="8010"/>
        </w:tabs>
        <w:spacing w:line="360" w:lineRule="auto"/>
        <w:rPr>
          <w:rFonts w:eastAsia="Times New Roman" w:cs="Times New Roman"/>
        </w:rPr>
      </w:pPr>
    </w:p>
    <w:p w14:paraId="64ED0173" w14:textId="61F0A310" w:rsidR="00F0033B" w:rsidRPr="008C12C0" w:rsidRDefault="00F0033B" w:rsidP="00F0033B">
      <w:pPr>
        <w:tabs>
          <w:tab w:val="left" w:pos="8010"/>
        </w:tabs>
        <w:spacing w:line="360" w:lineRule="auto"/>
        <w:rPr>
          <w:rFonts w:eastAsia="Times New Roman" w:cs="Times New Roman"/>
        </w:rPr>
      </w:pPr>
      <w:r w:rsidRPr="008C12C0">
        <w:rPr>
          <w:rFonts w:eastAsia="Times New Roman" w:cs="Times New Roman"/>
        </w:rPr>
        <w:t xml:space="preserve">The Newcastle-Ottawa scale (NOS) assesses each study in the categories of “selection”, “comparability”, and “outcome”, in which a maximum of 4, 2, and 3 stars can respectively be scored. A higher score is intended to translate to a lower risk of within-study bias. </w:t>
      </w:r>
      <w:r w:rsidR="00553DBA" w:rsidRPr="008C12C0">
        <w:rPr>
          <w:rFonts w:eastAsia="Times New Roman" w:cs="Times New Roman"/>
        </w:rPr>
        <w:t>Isaac Allen</w:t>
      </w:r>
      <w:r w:rsidR="000F6FB8" w:rsidRPr="008C12C0">
        <w:rPr>
          <w:rFonts w:eastAsia="Times New Roman" w:cs="Times New Roman"/>
        </w:rPr>
        <w:t xml:space="preserve"> assigned the NOS scores for each study.</w:t>
      </w:r>
    </w:p>
    <w:p w14:paraId="710559BA" w14:textId="46EDEA89" w:rsidR="00F0033B" w:rsidRPr="008C12C0" w:rsidRDefault="00F0033B" w:rsidP="00F0033B">
      <w:pPr>
        <w:tabs>
          <w:tab w:val="left" w:pos="8010"/>
        </w:tabs>
        <w:spacing w:line="360" w:lineRule="auto"/>
        <w:rPr>
          <w:rFonts w:eastAsia="Times New Roman" w:cs="Times New Roman"/>
        </w:rPr>
      </w:pPr>
    </w:p>
    <w:p w14:paraId="304B7631" w14:textId="7170632F" w:rsidR="00F0033B" w:rsidRPr="008C12C0" w:rsidRDefault="00F0033B" w:rsidP="000E6353">
      <w:pPr>
        <w:pStyle w:val="Heading2"/>
        <w:rPr>
          <w:rFonts w:eastAsia="Times New Roman"/>
        </w:rPr>
      </w:pPr>
      <w:r w:rsidRPr="008C12C0">
        <w:rPr>
          <w:rFonts w:eastAsia="Times New Roman"/>
        </w:rPr>
        <w:t>Methods:</w:t>
      </w:r>
    </w:p>
    <w:p w14:paraId="677535DB" w14:textId="76824CB3" w:rsidR="00F0033B" w:rsidRPr="008C12C0" w:rsidRDefault="00F0033B" w:rsidP="00F0033B">
      <w:pPr>
        <w:tabs>
          <w:tab w:val="left" w:pos="8010"/>
        </w:tabs>
        <w:spacing w:line="360" w:lineRule="auto"/>
        <w:rPr>
          <w:rFonts w:eastAsia="Times New Roman" w:cs="Times New Roman"/>
        </w:rPr>
      </w:pPr>
    </w:p>
    <w:p w14:paraId="7FC57778" w14:textId="3585C8ED" w:rsidR="00F0033B" w:rsidRPr="008C12C0" w:rsidRDefault="00F0033B" w:rsidP="00F0033B">
      <w:pPr>
        <w:tabs>
          <w:tab w:val="left" w:pos="8010"/>
        </w:tabs>
        <w:spacing w:line="360" w:lineRule="auto"/>
        <w:rPr>
          <w:rFonts w:eastAsia="Times New Roman" w:cs="Times New Roman"/>
        </w:rPr>
      </w:pPr>
      <w:r w:rsidRPr="008C12C0">
        <w:rPr>
          <w:rFonts w:eastAsia="Times New Roman" w:cs="Times New Roman"/>
        </w:rPr>
        <w:t>NOS scores were calculating using the following criteria:</w:t>
      </w:r>
    </w:p>
    <w:p w14:paraId="6879F081" w14:textId="77777777" w:rsidR="00813078" w:rsidRPr="008C12C0" w:rsidRDefault="00813078" w:rsidP="00F0033B">
      <w:pPr>
        <w:tabs>
          <w:tab w:val="left" w:pos="8010"/>
        </w:tabs>
        <w:spacing w:line="360" w:lineRule="auto"/>
        <w:rPr>
          <w:rFonts w:eastAsia="Times New Roman" w:cs="Times New Roman"/>
        </w:rPr>
      </w:pPr>
    </w:p>
    <w:p w14:paraId="31BA4B8A" w14:textId="6DE31115" w:rsidR="00F0033B" w:rsidRPr="008C12C0" w:rsidRDefault="00F0033B" w:rsidP="00F0033B">
      <w:pPr>
        <w:tabs>
          <w:tab w:val="left" w:pos="8010"/>
        </w:tabs>
        <w:spacing w:line="360" w:lineRule="auto"/>
        <w:rPr>
          <w:rFonts w:eastAsia="Times New Roman" w:cs="Times New Roman"/>
        </w:rPr>
      </w:pPr>
      <w:r w:rsidRPr="008C12C0">
        <w:rPr>
          <w:rFonts w:eastAsia="Times New Roman" w:cs="Times New Roman"/>
        </w:rPr>
        <w:t xml:space="preserve">For a study to score 4 points in the NOS selection category, the cohort of </w:t>
      </w:r>
      <w:r w:rsidR="00553DBA" w:rsidRPr="008C12C0">
        <w:rPr>
          <w:rFonts w:eastAsia="Times New Roman" w:cs="Times New Roman"/>
        </w:rPr>
        <w:t>male BC</w:t>
      </w:r>
      <w:r w:rsidRPr="008C12C0">
        <w:rPr>
          <w:rFonts w:eastAsia="Times New Roman" w:cs="Times New Roman"/>
        </w:rPr>
        <w:t xml:space="preserve"> survivors must be representative of the average </w:t>
      </w:r>
      <w:r w:rsidR="00553DBA" w:rsidRPr="008C12C0">
        <w:rPr>
          <w:rFonts w:eastAsia="Times New Roman" w:cs="Times New Roman"/>
        </w:rPr>
        <w:t xml:space="preserve">male </w:t>
      </w:r>
      <w:r w:rsidRPr="008C12C0">
        <w:rPr>
          <w:rFonts w:eastAsia="Times New Roman" w:cs="Times New Roman"/>
        </w:rPr>
        <w:t xml:space="preserve">BC survivor in the relevant community, the expected number of cancers in </w:t>
      </w:r>
      <w:r w:rsidR="00553DBA" w:rsidRPr="008C12C0">
        <w:rPr>
          <w:rFonts w:eastAsia="Times New Roman" w:cs="Times New Roman"/>
        </w:rPr>
        <w:t>men</w:t>
      </w:r>
      <w:r w:rsidRPr="008C12C0">
        <w:rPr>
          <w:rFonts w:eastAsia="Times New Roman" w:cs="Times New Roman"/>
        </w:rPr>
        <w:t xml:space="preserve"> without any cancer history must be calculated using the same data source the </w:t>
      </w:r>
      <w:r w:rsidR="00553DBA" w:rsidRPr="008C12C0">
        <w:rPr>
          <w:rFonts w:eastAsia="Times New Roman" w:cs="Times New Roman"/>
        </w:rPr>
        <w:t xml:space="preserve">male </w:t>
      </w:r>
      <w:r w:rsidRPr="008C12C0">
        <w:rPr>
          <w:rFonts w:eastAsia="Times New Roman" w:cs="Times New Roman"/>
        </w:rPr>
        <w:t xml:space="preserve">BC survivors were drawn from, the first </w:t>
      </w:r>
      <w:r w:rsidR="00553DBA" w:rsidRPr="008C12C0">
        <w:rPr>
          <w:rFonts w:eastAsia="Times New Roman" w:cs="Times New Roman"/>
        </w:rPr>
        <w:t xml:space="preserve">male </w:t>
      </w:r>
      <w:r w:rsidRPr="008C12C0">
        <w:rPr>
          <w:rFonts w:eastAsia="Times New Roman" w:cs="Times New Roman"/>
        </w:rPr>
        <w:t xml:space="preserve">BC diagnosis must be ascertained from secure records such as those from a registry or a structured interview of the subjects, and cancers other than non-melanoma skin cancer must not have been present prior to the first </w:t>
      </w:r>
      <w:r w:rsidR="00553DBA" w:rsidRPr="008C12C0">
        <w:rPr>
          <w:rFonts w:eastAsia="Times New Roman" w:cs="Times New Roman"/>
        </w:rPr>
        <w:t xml:space="preserve">male </w:t>
      </w:r>
      <w:r w:rsidRPr="008C12C0">
        <w:rPr>
          <w:rFonts w:eastAsia="Times New Roman" w:cs="Times New Roman"/>
        </w:rPr>
        <w:t>BC</w:t>
      </w:r>
      <w:r w:rsidR="00925B94" w:rsidRPr="008C12C0">
        <w:rPr>
          <w:rFonts w:eastAsia="Times New Roman" w:cs="Times New Roman"/>
          <w:vertAlign w:val="superscript"/>
        </w:rPr>
        <w:t>31</w:t>
      </w:r>
      <w:r w:rsidRPr="008C12C0">
        <w:rPr>
          <w:rFonts w:eastAsia="Times New Roman" w:cs="Times New Roman"/>
        </w:rPr>
        <w:t xml:space="preserve">. To score 2 points for comparability, a study must control for age and calendar period at initial BC diagnosis. To score 3 points in the outcome category, a study must assess SPC development by record linkage or blind independent assessment, allow a follow-up period of at least 20 years, and have lost less than 10% of the initial cohort to follow-up. </w:t>
      </w:r>
    </w:p>
    <w:p w14:paraId="35F7FCD1" w14:textId="5174B2AC" w:rsidR="00F0033B" w:rsidRPr="008C12C0" w:rsidRDefault="00F0033B" w:rsidP="00597A33">
      <w:pPr>
        <w:spacing w:line="360" w:lineRule="auto"/>
      </w:pPr>
    </w:p>
    <w:p w14:paraId="04F75A10" w14:textId="17A25C60" w:rsidR="00F0033B" w:rsidRPr="008C12C0" w:rsidRDefault="00F0033B" w:rsidP="000E6353">
      <w:pPr>
        <w:pStyle w:val="Heading2"/>
      </w:pPr>
      <w:r w:rsidRPr="008C12C0">
        <w:t>Results:</w:t>
      </w:r>
    </w:p>
    <w:p w14:paraId="21CF34E2" w14:textId="77777777" w:rsidR="00F0033B" w:rsidRPr="008C12C0" w:rsidRDefault="00F0033B" w:rsidP="00597A33">
      <w:pPr>
        <w:spacing w:line="360" w:lineRule="auto"/>
      </w:pPr>
    </w:p>
    <w:p w14:paraId="2CFEDF6E" w14:textId="0BAED2DA" w:rsidR="00597A33" w:rsidRPr="008C12C0" w:rsidRDefault="00597A33" w:rsidP="00597A33">
      <w:pPr>
        <w:spacing w:line="360" w:lineRule="auto"/>
      </w:pPr>
      <w:r w:rsidRPr="008C12C0">
        <w:t xml:space="preserve">The breakdown of assigned scores on the Newcastle-Ottawa scale for each study featured in this </w:t>
      </w:r>
      <w:r w:rsidR="00813078" w:rsidRPr="008C12C0">
        <w:t xml:space="preserve">systematic review </w:t>
      </w:r>
      <w:r w:rsidRPr="008C12C0">
        <w:t xml:space="preserve">may be seen in Table </w:t>
      </w:r>
      <w:r w:rsidR="00F0033B" w:rsidRPr="008C12C0">
        <w:t>S</w:t>
      </w:r>
      <w:r w:rsidR="009A65A9" w:rsidRPr="008C12C0">
        <w:t>2</w:t>
      </w:r>
      <w:r w:rsidRPr="008C12C0">
        <w:t>.</w:t>
      </w:r>
    </w:p>
    <w:p w14:paraId="48CE4BB0" w14:textId="77777777" w:rsidR="00597A33" w:rsidRPr="008C12C0" w:rsidRDefault="00597A33" w:rsidP="00597A33">
      <w:pPr>
        <w:spacing w:line="360" w:lineRule="auto"/>
      </w:pPr>
    </w:p>
    <w:p w14:paraId="357CF76A" w14:textId="38A3CC0E" w:rsidR="00F83BFD" w:rsidRPr="008C12C0" w:rsidRDefault="001A0876" w:rsidP="00597A33">
      <w:pPr>
        <w:spacing w:line="360" w:lineRule="auto"/>
      </w:pPr>
      <w:r w:rsidRPr="008C12C0">
        <w:t>Sung et al.</w:t>
      </w:r>
      <w:r w:rsidRPr="008C12C0">
        <w:rPr>
          <w:vertAlign w:val="superscript"/>
        </w:rPr>
        <w:t>12</w:t>
      </w:r>
      <w:r w:rsidRPr="008C12C0">
        <w:t xml:space="preserve"> lost one star for selection as their cohort included only those who survived at least 5 years after their initial cancer diagnosis, which we deemed insufficiently representative of the average cancer survivor. </w:t>
      </w:r>
      <w:r w:rsidR="00597A33" w:rsidRPr="008C12C0">
        <w:t xml:space="preserve">All studies losing at least one star for selection did so due to the expected </w:t>
      </w:r>
      <w:r w:rsidR="00597A33" w:rsidRPr="008C12C0">
        <w:lastRenderedPageBreak/>
        <w:t>cancer rates either being derived from slightly different sources than the participating centres, such as a different closely linked registry or a superset of the participating centres</w:t>
      </w:r>
      <w:r w:rsidR="00C82E70" w:rsidRPr="008C12C0">
        <w:rPr>
          <w:vertAlign w:val="superscript"/>
        </w:rPr>
        <w:t>4, 7</w:t>
      </w:r>
      <w:r w:rsidR="002C3223" w:rsidRPr="008C12C0">
        <w:rPr>
          <w:vertAlign w:val="superscript"/>
        </w:rPr>
        <w:t xml:space="preserve">, </w:t>
      </w:r>
      <w:r w:rsidR="00C82E70" w:rsidRPr="008C12C0">
        <w:rPr>
          <w:vertAlign w:val="superscript"/>
        </w:rPr>
        <w:t>8</w:t>
      </w:r>
      <w:r w:rsidR="00597A33" w:rsidRPr="008C12C0">
        <w:t xml:space="preserve">. </w:t>
      </w:r>
    </w:p>
    <w:p w14:paraId="03614C20" w14:textId="6B01610B" w:rsidR="00597A33" w:rsidRPr="008C12C0" w:rsidRDefault="00597A33" w:rsidP="00597A33">
      <w:pPr>
        <w:spacing w:line="360" w:lineRule="auto"/>
      </w:pPr>
      <w:r w:rsidRPr="008C12C0">
        <w:t>All studies</w:t>
      </w:r>
      <w:r w:rsidR="0009046D" w:rsidRPr="008C12C0">
        <w:t xml:space="preserve"> other than Sung et al.</w:t>
      </w:r>
      <w:r w:rsidR="0009046D" w:rsidRPr="008C12C0">
        <w:rPr>
          <w:vertAlign w:val="superscript"/>
        </w:rPr>
        <w:t>12</w:t>
      </w:r>
      <w:r w:rsidRPr="008C12C0">
        <w:t xml:space="preserve"> lost a star in the outcome category due to leaving the proportion of the cohort lost to follow-up unstated. All studies which lost a further star did so due to allowing less than 20 years of follow-up</w:t>
      </w:r>
      <w:r w:rsidR="00C82E70" w:rsidRPr="008C12C0">
        <w:rPr>
          <w:vertAlign w:val="superscript"/>
        </w:rPr>
        <w:t>3</w:t>
      </w:r>
      <w:r w:rsidR="002C3223" w:rsidRPr="008C12C0">
        <w:rPr>
          <w:vertAlign w:val="superscript"/>
        </w:rPr>
        <w:t xml:space="preserve">, </w:t>
      </w:r>
      <w:r w:rsidR="00C82E70" w:rsidRPr="008C12C0">
        <w:rPr>
          <w:vertAlign w:val="superscript"/>
        </w:rPr>
        <w:t>4, 7</w:t>
      </w:r>
      <w:r w:rsidR="002C3223" w:rsidRPr="008C12C0">
        <w:rPr>
          <w:vertAlign w:val="superscript"/>
        </w:rPr>
        <w:t xml:space="preserve">, </w:t>
      </w:r>
      <w:r w:rsidR="00C82E70" w:rsidRPr="008C12C0">
        <w:rPr>
          <w:vertAlign w:val="superscript"/>
        </w:rPr>
        <w:t>8</w:t>
      </w:r>
      <w:r w:rsidRPr="008C12C0">
        <w:t>.</w:t>
      </w:r>
    </w:p>
    <w:p w14:paraId="27A7708E" w14:textId="77777777" w:rsidR="001A75BB" w:rsidRPr="008C12C0" w:rsidRDefault="001A75BB" w:rsidP="00597A33">
      <w:pPr>
        <w:spacing w:line="360" w:lineRule="auto"/>
        <w:rPr>
          <w:b/>
          <w:bCs/>
        </w:rPr>
      </w:pPr>
    </w:p>
    <w:p w14:paraId="330259EC" w14:textId="7C40944A" w:rsidR="00607F38" w:rsidRPr="008C12C0" w:rsidRDefault="00597A33" w:rsidP="00597A33">
      <w:pPr>
        <w:spacing w:line="360" w:lineRule="auto"/>
        <w:rPr>
          <w:b/>
          <w:bCs/>
        </w:rPr>
      </w:pPr>
      <w:r w:rsidRPr="008C12C0">
        <w:rPr>
          <w:b/>
          <w:bCs/>
        </w:rPr>
        <w:t xml:space="preserve">Table </w:t>
      </w:r>
      <w:r w:rsidR="007131A0" w:rsidRPr="008C12C0">
        <w:rPr>
          <w:b/>
          <w:bCs/>
        </w:rPr>
        <w:t>S</w:t>
      </w:r>
      <w:r w:rsidR="009A65A9" w:rsidRPr="008C12C0">
        <w:rPr>
          <w:b/>
          <w:bCs/>
        </w:rPr>
        <w:t>2</w:t>
      </w:r>
      <w:r w:rsidRPr="008C12C0">
        <w:rPr>
          <w:b/>
          <w:bCs/>
        </w:rPr>
        <w:t xml:space="preserve"> – selection, comparability, outcome, and total scores on the Newcastle-Ottawa scale, for each study in the systematic review</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1"/>
      </w:tblGrid>
      <w:tr w:rsidR="00597A33" w:rsidRPr="008C12C0" w14:paraId="7CB69D1C" w14:textId="77777777" w:rsidTr="00A20215">
        <w:trPr>
          <w:trHeight w:val="534"/>
        </w:trPr>
        <w:tc>
          <w:tcPr>
            <w:tcW w:w="1870" w:type="dxa"/>
            <w:shd w:val="clear" w:color="000000" w:fill="5B9BD5"/>
            <w:vAlign w:val="center"/>
            <w:hideMark/>
          </w:tcPr>
          <w:p w14:paraId="6C0D83AD" w14:textId="77777777" w:rsidR="00597A33" w:rsidRPr="008C12C0" w:rsidRDefault="00597A33" w:rsidP="00A20215">
            <w:pPr>
              <w:spacing w:after="0" w:line="360" w:lineRule="auto"/>
              <w:jc w:val="center"/>
              <w:rPr>
                <w:rFonts w:ascii="Calibri" w:eastAsia="Times New Roman" w:hAnsi="Calibri" w:cs="Calibri"/>
                <w:b/>
                <w:bCs/>
                <w:color w:val="000000"/>
                <w:sz w:val="16"/>
                <w:szCs w:val="16"/>
                <w:lang w:eastAsia="en-GB"/>
              </w:rPr>
            </w:pPr>
            <w:r w:rsidRPr="008C12C0">
              <w:rPr>
                <w:rFonts w:ascii="Calibri" w:eastAsia="Times New Roman" w:hAnsi="Calibri" w:cs="Calibri"/>
                <w:b/>
                <w:bCs/>
                <w:color w:val="000000"/>
                <w:sz w:val="16"/>
                <w:szCs w:val="16"/>
                <w:lang w:eastAsia="en-GB"/>
              </w:rPr>
              <w:t>Author and publication year</w:t>
            </w:r>
          </w:p>
        </w:tc>
        <w:tc>
          <w:tcPr>
            <w:tcW w:w="1870" w:type="dxa"/>
            <w:shd w:val="clear" w:color="000000" w:fill="5B9BD5"/>
            <w:vAlign w:val="center"/>
            <w:hideMark/>
          </w:tcPr>
          <w:p w14:paraId="5D817EBB" w14:textId="77777777" w:rsidR="00597A33" w:rsidRPr="008C12C0" w:rsidRDefault="00597A33" w:rsidP="00A20215">
            <w:pPr>
              <w:spacing w:after="0" w:line="360" w:lineRule="auto"/>
              <w:jc w:val="center"/>
              <w:rPr>
                <w:rFonts w:ascii="Calibri" w:eastAsia="Times New Roman" w:hAnsi="Calibri" w:cs="Calibri"/>
                <w:b/>
                <w:bCs/>
                <w:color w:val="000000"/>
                <w:sz w:val="16"/>
                <w:szCs w:val="16"/>
                <w:lang w:eastAsia="en-GB"/>
              </w:rPr>
            </w:pPr>
            <w:r w:rsidRPr="008C12C0">
              <w:rPr>
                <w:rFonts w:ascii="Calibri" w:eastAsia="Times New Roman" w:hAnsi="Calibri" w:cs="Calibri"/>
                <w:b/>
                <w:bCs/>
                <w:color w:val="000000"/>
                <w:sz w:val="16"/>
                <w:szCs w:val="16"/>
                <w:lang w:eastAsia="en-GB"/>
              </w:rPr>
              <w:t>NOS scale selection score (/4)</w:t>
            </w:r>
          </w:p>
        </w:tc>
        <w:tc>
          <w:tcPr>
            <w:tcW w:w="1870" w:type="dxa"/>
            <w:shd w:val="clear" w:color="000000" w:fill="5B9BD5"/>
            <w:vAlign w:val="center"/>
            <w:hideMark/>
          </w:tcPr>
          <w:p w14:paraId="4BE7A194" w14:textId="77777777" w:rsidR="00597A33" w:rsidRPr="008C12C0" w:rsidRDefault="00597A33" w:rsidP="00A20215">
            <w:pPr>
              <w:spacing w:after="0" w:line="360" w:lineRule="auto"/>
              <w:jc w:val="center"/>
              <w:rPr>
                <w:rFonts w:ascii="Calibri" w:eastAsia="Times New Roman" w:hAnsi="Calibri" w:cs="Calibri"/>
                <w:b/>
                <w:bCs/>
                <w:color w:val="000000"/>
                <w:sz w:val="16"/>
                <w:szCs w:val="16"/>
                <w:lang w:eastAsia="en-GB"/>
              </w:rPr>
            </w:pPr>
            <w:r w:rsidRPr="008C12C0">
              <w:rPr>
                <w:rFonts w:ascii="Calibri" w:eastAsia="Times New Roman" w:hAnsi="Calibri" w:cs="Calibri"/>
                <w:b/>
                <w:bCs/>
                <w:color w:val="000000"/>
                <w:sz w:val="16"/>
                <w:szCs w:val="16"/>
                <w:lang w:eastAsia="en-GB"/>
              </w:rPr>
              <w:t>NOS scale comparability score (/2)</w:t>
            </w:r>
          </w:p>
        </w:tc>
        <w:tc>
          <w:tcPr>
            <w:tcW w:w="1870" w:type="dxa"/>
            <w:shd w:val="clear" w:color="000000" w:fill="5B9BD5"/>
            <w:vAlign w:val="center"/>
            <w:hideMark/>
          </w:tcPr>
          <w:p w14:paraId="102E75D9" w14:textId="77777777" w:rsidR="00597A33" w:rsidRPr="008C12C0" w:rsidRDefault="00597A33" w:rsidP="00A20215">
            <w:pPr>
              <w:spacing w:after="0" w:line="360" w:lineRule="auto"/>
              <w:jc w:val="center"/>
              <w:rPr>
                <w:rFonts w:ascii="Calibri" w:eastAsia="Times New Roman" w:hAnsi="Calibri" w:cs="Calibri"/>
                <w:b/>
                <w:bCs/>
                <w:color w:val="000000"/>
                <w:sz w:val="16"/>
                <w:szCs w:val="16"/>
                <w:lang w:eastAsia="en-GB"/>
              </w:rPr>
            </w:pPr>
            <w:r w:rsidRPr="008C12C0">
              <w:rPr>
                <w:rFonts w:ascii="Calibri" w:eastAsia="Times New Roman" w:hAnsi="Calibri" w:cs="Calibri"/>
                <w:b/>
                <w:bCs/>
                <w:color w:val="000000"/>
                <w:sz w:val="16"/>
                <w:szCs w:val="16"/>
                <w:lang w:eastAsia="en-GB"/>
              </w:rPr>
              <w:t>NOS scale outcome score (/3)</w:t>
            </w:r>
          </w:p>
        </w:tc>
        <w:tc>
          <w:tcPr>
            <w:tcW w:w="1871" w:type="dxa"/>
            <w:shd w:val="clear" w:color="000000" w:fill="5B9BD5"/>
            <w:vAlign w:val="center"/>
            <w:hideMark/>
          </w:tcPr>
          <w:p w14:paraId="616BB975" w14:textId="77777777" w:rsidR="00597A33" w:rsidRPr="008C12C0" w:rsidRDefault="00597A33" w:rsidP="00A20215">
            <w:pPr>
              <w:spacing w:after="0" w:line="360" w:lineRule="auto"/>
              <w:jc w:val="center"/>
              <w:rPr>
                <w:rFonts w:ascii="Calibri" w:eastAsia="Times New Roman" w:hAnsi="Calibri" w:cs="Calibri"/>
                <w:b/>
                <w:bCs/>
                <w:color w:val="000000"/>
                <w:sz w:val="16"/>
                <w:szCs w:val="16"/>
                <w:lang w:eastAsia="en-GB"/>
              </w:rPr>
            </w:pPr>
            <w:r w:rsidRPr="008C12C0">
              <w:rPr>
                <w:rFonts w:ascii="Calibri" w:eastAsia="Times New Roman" w:hAnsi="Calibri" w:cs="Calibri"/>
                <w:b/>
                <w:bCs/>
                <w:color w:val="000000"/>
                <w:sz w:val="16"/>
                <w:szCs w:val="16"/>
                <w:lang w:eastAsia="en-GB"/>
              </w:rPr>
              <w:t>NOS scale total score (/9)</w:t>
            </w:r>
          </w:p>
        </w:tc>
      </w:tr>
      <w:tr w:rsidR="00597A33" w:rsidRPr="008C12C0" w14:paraId="0135F31B" w14:textId="77777777" w:rsidTr="00A20215">
        <w:trPr>
          <w:trHeight w:val="534"/>
        </w:trPr>
        <w:tc>
          <w:tcPr>
            <w:tcW w:w="1870" w:type="dxa"/>
            <w:shd w:val="clear" w:color="000000" w:fill="BDD6EE"/>
            <w:vAlign w:val="center"/>
            <w:hideMark/>
          </w:tcPr>
          <w:p w14:paraId="04B632B0" w14:textId="65798C71" w:rsidR="00597A33" w:rsidRPr="008C12C0" w:rsidRDefault="00597A33" w:rsidP="00A20215">
            <w:pPr>
              <w:spacing w:after="0" w:line="360" w:lineRule="auto"/>
              <w:jc w:val="center"/>
              <w:rPr>
                <w:rFonts w:ascii="Calibri" w:eastAsia="Times New Roman" w:hAnsi="Calibri" w:cs="Calibri"/>
                <w:color w:val="000000"/>
                <w:sz w:val="16"/>
                <w:szCs w:val="16"/>
                <w:lang w:eastAsia="en-GB"/>
              </w:rPr>
            </w:pPr>
            <w:r w:rsidRPr="008C12C0">
              <w:rPr>
                <w:rFonts w:ascii="Calibri" w:eastAsia="Times New Roman" w:hAnsi="Calibri" w:cs="Calibri"/>
                <w:color w:val="000000"/>
                <w:sz w:val="16"/>
                <w:szCs w:val="16"/>
                <w:lang w:eastAsia="en-GB"/>
              </w:rPr>
              <w:t>AIRTUM Working Group 2013</w:t>
            </w:r>
            <w:r w:rsidR="00C82E70" w:rsidRPr="008C12C0">
              <w:rPr>
                <w:rFonts w:ascii="Calibri" w:eastAsia="Times New Roman" w:hAnsi="Calibri" w:cs="Calibri"/>
                <w:color w:val="000000"/>
                <w:sz w:val="16"/>
                <w:szCs w:val="16"/>
                <w:vertAlign w:val="superscript"/>
                <w:lang w:eastAsia="en-GB"/>
              </w:rPr>
              <w:t>6</w:t>
            </w:r>
          </w:p>
        </w:tc>
        <w:tc>
          <w:tcPr>
            <w:tcW w:w="1870" w:type="dxa"/>
            <w:shd w:val="clear" w:color="000000" w:fill="BDD6EE"/>
            <w:vAlign w:val="center"/>
            <w:hideMark/>
          </w:tcPr>
          <w:p w14:paraId="5CC3329F"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4779EFCD"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2BF176D9"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1" w:type="dxa"/>
            <w:shd w:val="clear" w:color="000000" w:fill="BDD6EE"/>
            <w:vAlign w:val="center"/>
            <w:hideMark/>
          </w:tcPr>
          <w:p w14:paraId="69692178" w14:textId="77777777" w:rsidR="00597A33" w:rsidRPr="008C12C0" w:rsidRDefault="00597A33" w:rsidP="00A20215">
            <w:pPr>
              <w:spacing w:after="0" w:line="360" w:lineRule="auto"/>
              <w:jc w:val="center"/>
              <w:rPr>
                <w:rFonts w:ascii="Segoe UI Symbol" w:eastAsia="Times New Roman" w:hAnsi="Segoe UI Symbol" w:cs="Calibri"/>
                <w:color w:val="000000"/>
                <w:sz w:val="16"/>
                <w:szCs w:val="16"/>
                <w:lang w:eastAsia="en-GB"/>
              </w:rPr>
            </w:pPr>
            <w:r w:rsidRPr="008C12C0">
              <w:rPr>
                <w:rFonts w:ascii="Segoe UI Symbol" w:eastAsia="Times New Roman" w:hAnsi="Segoe UI Symbol" w:cs="Calibri"/>
                <w:color w:val="000000"/>
                <w:sz w:val="16"/>
                <w:szCs w:val="16"/>
                <w:lang w:eastAsia="en-GB"/>
              </w:rPr>
              <w:t>8</w:t>
            </w:r>
          </w:p>
        </w:tc>
      </w:tr>
      <w:tr w:rsidR="00597A33" w:rsidRPr="008C12C0" w14:paraId="280C5BC7" w14:textId="77777777" w:rsidTr="00CE3274">
        <w:trPr>
          <w:trHeight w:val="430"/>
        </w:trPr>
        <w:tc>
          <w:tcPr>
            <w:tcW w:w="1870" w:type="dxa"/>
            <w:shd w:val="clear" w:color="000000" w:fill="BDD6EE"/>
            <w:vAlign w:val="center"/>
            <w:hideMark/>
          </w:tcPr>
          <w:p w14:paraId="0DBC059D" w14:textId="44815188" w:rsidR="00597A33" w:rsidRPr="008C12C0" w:rsidRDefault="00597A33" w:rsidP="00A20215">
            <w:pPr>
              <w:spacing w:after="0" w:line="360" w:lineRule="auto"/>
              <w:jc w:val="center"/>
              <w:rPr>
                <w:rFonts w:ascii="Calibri" w:eastAsia="Times New Roman" w:hAnsi="Calibri" w:cs="Calibri"/>
                <w:color w:val="000000"/>
                <w:sz w:val="16"/>
                <w:szCs w:val="16"/>
                <w:lang w:eastAsia="en-GB"/>
              </w:rPr>
            </w:pPr>
            <w:r w:rsidRPr="008C12C0">
              <w:rPr>
                <w:rFonts w:ascii="Calibri" w:eastAsia="Times New Roman" w:hAnsi="Calibri" w:cs="Calibri"/>
                <w:color w:val="000000"/>
                <w:sz w:val="16"/>
                <w:szCs w:val="16"/>
                <w:lang w:eastAsia="en-GB"/>
              </w:rPr>
              <w:t>Chen 2015</w:t>
            </w:r>
            <w:r w:rsidR="00C82E70" w:rsidRPr="008C12C0">
              <w:rPr>
                <w:rFonts w:ascii="Calibri" w:eastAsia="Times New Roman" w:hAnsi="Calibri" w:cs="Calibri"/>
                <w:color w:val="000000"/>
                <w:sz w:val="16"/>
                <w:szCs w:val="16"/>
                <w:vertAlign w:val="superscript"/>
                <w:lang w:eastAsia="en-GB"/>
              </w:rPr>
              <w:t>3</w:t>
            </w:r>
          </w:p>
        </w:tc>
        <w:tc>
          <w:tcPr>
            <w:tcW w:w="1870" w:type="dxa"/>
            <w:shd w:val="clear" w:color="000000" w:fill="BDD6EE"/>
            <w:vAlign w:val="center"/>
            <w:hideMark/>
          </w:tcPr>
          <w:p w14:paraId="0130115C"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2C16B3AD"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7DF7CD59"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1" w:type="dxa"/>
            <w:shd w:val="clear" w:color="000000" w:fill="BDD6EE"/>
            <w:vAlign w:val="center"/>
            <w:hideMark/>
          </w:tcPr>
          <w:p w14:paraId="268DC6B2" w14:textId="77777777" w:rsidR="00597A33" w:rsidRPr="008C12C0" w:rsidRDefault="00597A33" w:rsidP="00A20215">
            <w:pPr>
              <w:spacing w:after="0" w:line="360" w:lineRule="auto"/>
              <w:jc w:val="center"/>
              <w:rPr>
                <w:rFonts w:ascii="Segoe UI Symbol" w:eastAsia="Times New Roman" w:hAnsi="Segoe UI Symbol" w:cs="Calibri"/>
                <w:color w:val="000000"/>
                <w:sz w:val="16"/>
                <w:szCs w:val="16"/>
                <w:lang w:eastAsia="en-GB"/>
              </w:rPr>
            </w:pPr>
            <w:r w:rsidRPr="008C12C0">
              <w:rPr>
                <w:rFonts w:ascii="Segoe UI Symbol" w:eastAsia="Times New Roman" w:hAnsi="Segoe UI Symbol" w:cs="Calibri"/>
                <w:color w:val="000000"/>
                <w:sz w:val="16"/>
                <w:szCs w:val="16"/>
                <w:lang w:eastAsia="en-GB"/>
              </w:rPr>
              <w:t>7</w:t>
            </w:r>
          </w:p>
        </w:tc>
      </w:tr>
      <w:tr w:rsidR="00597A33" w:rsidRPr="008C12C0" w14:paraId="38D439AD" w14:textId="77777777" w:rsidTr="00A20215">
        <w:trPr>
          <w:trHeight w:val="534"/>
        </w:trPr>
        <w:tc>
          <w:tcPr>
            <w:tcW w:w="1870" w:type="dxa"/>
            <w:shd w:val="clear" w:color="000000" w:fill="BDD6EE"/>
            <w:vAlign w:val="center"/>
          </w:tcPr>
          <w:p w14:paraId="28D579BC" w14:textId="5E9C61A4" w:rsidR="00597A33" w:rsidRPr="008C12C0" w:rsidRDefault="00597A33" w:rsidP="00A20215">
            <w:pPr>
              <w:spacing w:after="0" w:line="360" w:lineRule="auto"/>
              <w:jc w:val="center"/>
              <w:rPr>
                <w:rFonts w:ascii="Calibri" w:eastAsia="Times New Roman" w:hAnsi="Calibri" w:cs="Calibri"/>
                <w:color w:val="000000"/>
                <w:sz w:val="16"/>
                <w:szCs w:val="16"/>
                <w:lang w:eastAsia="en-GB"/>
              </w:rPr>
            </w:pPr>
            <w:r w:rsidRPr="008C12C0">
              <w:rPr>
                <w:rFonts w:ascii="Calibri" w:eastAsia="Times New Roman" w:hAnsi="Calibri" w:cs="Calibri"/>
                <w:color w:val="000000"/>
                <w:sz w:val="16"/>
                <w:szCs w:val="16"/>
                <w:lang w:eastAsia="en-GB"/>
              </w:rPr>
              <w:t>Dong 2001</w:t>
            </w:r>
            <w:r w:rsidR="0009046D" w:rsidRPr="008C12C0">
              <w:rPr>
                <w:rFonts w:ascii="Calibri" w:eastAsia="Times New Roman" w:hAnsi="Calibri" w:cs="Calibri"/>
                <w:color w:val="000000"/>
                <w:sz w:val="16"/>
                <w:szCs w:val="16"/>
                <w:vertAlign w:val="superscript"/>
                <w:lang w:eastAsia="en-GB"/>
              </w:rPr>
              <w:t>9</w:t>
            </w:r>
          </w:p>
        </w:tc>
        <w:tc>
          <w:tcPr>
            <w:tcW w:w="1870" w:type="dxa"/>
            <w:shd w:val="clear" w:color="000000" w:fill="BDD6EE"/>
            <w:vAlign w:val="center"/>
          </w:tcPr>
          <w:p w14:paraId="20ABEB2E"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tcPr>
          <w:p w14:paraId="7E69FAEE"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tcPr>
          <w:p w14:paraId="42CC77A5"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1" w:type="dxa"/>
            <w:shd w:val="clear" w:color="000000" w:fill="BDD6EE"/>
            <w:vAlign w:val="center"/>
          </w:tcPr>
          <w:p w14:paraId="3916C018" w14:textId="77777777" w:rsidR="00597A33" w:rsidRPr="008C12C0" w:rsidRDefault="00597A33" w:rsidP="00A20215">
            <w:pPr>
              <w:spacing w:after="0" w:line="360" w:lineRule="auto"/>
              <w:jc w:val="center"/>
              <w:rPr>
                <w:rFonts w:ascii="Segoe UI Symbol" w:eastAsia="Times New Roman" w:hAnsi="Segoe UI Symbol" w:cs="Calibri"/>
                <w:color w:val="000000"/>
                <w:sz w:val="16"/>
                <w:szCs w:val="16"/>
                <w:lang w:eastAsia="en-GB"/>
              </w:rPr>
            </w:pPr>
            <w:r w:rsidRPr="008C12C0">
              <w:rPr>
                <w:rFonts w:ascii="Segoe UI Symbol" w:eastAsia="Times New Roman" w:hAnsi="Segoe UI Symbol" w:cs="Calibri"/>
                <w:color w:val="000000"/>
                <w:sz w:val="16"/>
                <w:szCs w:val="16"/>
                <w:lang w:eastAsia="en-GB"/>
              </w:rPr>
              <w:t>8</w:t>
            </w:r>
          </w:p>
        </w:tc>
      </w:tr>
      <w:tr w:rsidR="00597A33" w:rsidRPr="008C12C0" w14:paraId="069E76E3" w14:textId="77777777" w:rsidTr="00CE3274">
        <w:trPr>
          <w:trHeight w:val="445"/>
        </w:trPr>
        <w:tc>
          <w:tcPr>
            <w:tcW w:w="1870" w:type="dxa"/>
            <w:shd w:val="clear" w:color="000000" w:fill="BDD6EE"/>
            <w:vAlign w:val="center"/>
            <w:hideMark/>
          </w:tcPr>
          <w:p w14:paraId="40B57D56" w14:textId="778E9237" w:rsidR="00597A33" w:rsidRPr="008C12C0" w:rsidRDefault="00597A33" w:rsidP="00A20215">
            <w:pPr>
              <w:spacing w:after="0" w:line="360" w:lineRule="auto"/>
              <w:jc w:val="center"/>
              <w:rPr>
                <w:rFonts w:ascii="Calibri" w:eastAsia="Times New Roman" w:hAnsi="Calibri" w:cs="Calibri"/>
                <w:color w:val="000000"/>
                <w:sz w:val="16"/>
                <w:szCs w:val="16"/>
                <w:lang w:eastAsia="en-GB"/>
              </w:rPr>
            </w:pPr>
            <w:proofErr w:type="spellStart"/>
            <w:r w:rsidRPr="008C12C0">
              <w:rPr>
                <w:rFonts w:ascii="Calibri" w:eastAsia="Times New Roman" w:hAnsi="Calibri" w:cs="Calibri"/>
                <w:color w:val="000000"/>
                <w:sz w:val="16"/>
                <w:szCs w:val="16"/>
                <w:lang w:eastAsia="en-GB"/>
              </w:rPr>
              <w:t>Hemminiki</w:t>
            </w:r>
            <w:proofErr w:type="spellEnd"/>
            <w:r w:rsidRPr="008C12C0">
              <w:rPr>
                <w:rFonts w:ascii="Calibri" w:eastAsia="Times New Roman" w:hAnsi="Calibri" w:cs="Calibri"/>
                <w:color w:val="000000"/>
                <w:sz w:val="16"/>
                <w:szCs w:val="16"/>
                <w:lang w:eastAsia="en-GB"/>
              </w:rPr>
              <w:t xml:space="preserve"> 2005</w:t>
            </w:r>
            <w:r w:rsidR="00C82E70" w:rsidRPr="008C12C0">
              <w:rPr>
                <w:rFonts w:ascii="Calibri" w:eastAsia="Times New Roman" w:hAnsi="Calibri" w:cs="Calibri"/>
                <w:color w:val="000000"/>
                <w:sz w:val="16"/>
                <w:szCs w:val="16"/>
                <w:vertAlign w:val="superscript"/>
                <w:lang w:eastAsia="en-GB"/>
              </w:rPr>
              <w:t>5</w:t>
            </w:r>
          </w:p>
        </w:tc>
        <w:tc>
          <w:tcPr>
            <w:tcW w:w="1870" w:type="dxa"/>
            <w:shd w:val="clear" w:color="000000" w:fill="BDD6EE"/>
            <w:vAlign w:val="center"/>
            <w:hideMark/>
          </w:tcPr>
          <w:p w14:paraId="0D961DC4"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5300B3A8"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5CF90A7F"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1" w:type="dxa"/>
            <w:shd w:val="clear" w:color="000000" w:fill="BDD6EE"/>
            <w:vAlign w:val="center"/>
            <w:hideMark/>
          </w:tcPr>
          <w:p w14:paraId="59149B81" w14:textId="77777777" w:rsidR="00597A33" w:rsidRPr="008C12C0" w:rsidRDefault="00597A33" w:rsidP="00A20215">
            <w:pPr>
              <w:spacing w:after="0" w:line="360" w:lineRule="auto"/>
              <w:jc w:val="center"/>
              <w:rPr>
                <w:rFonts w:ascii="Segoe UI Symbol" w:eastAsia="Times New Roman" w:hAnsi="Segoe UI Symbol" w:cs="Calibri"/>
                <w:color w:val="000000"/>
                <w:sz w:val="16"/>
                <w:szCs w:val="16"/>
                <w:lang w:eastAsia="en-GB"/>
              </w:rPr>
            </w:pPr>
            <w:r w:rsidRPr="008C12C0">
              <w:rPr>
                <w:rFonts w:ascii="Segoe UI Symbol" w:eastAsia="Times New Roman" w:hAnsi="Segoe UI Symbol" w:cs="Calibri"/>
                <w:color w:val="000000"/>
                <w:sz w:val="16"/>
                <w:szCs w:val="16"/>
                <w:lang w:eastAsia="en-GB"/>
              </w:rPr>
              <w:t>8</w:t>
            </w:r>
          </w:p>
        </w:tc>
      </w:tr>
      <w:tr w:rsidR="00597A33" w:rsidRPr="008C12C0" w14:paraId="159340C5" w14:textId="77777777" w:rsidTr="001A75BB">
        <w:trPr>
          <w:trHeight w:val="511"/>
        </w:trPr>
        <w:tc>
          <w:tcPr>
            <w:tcW w:w="1870" w:type="dxa"/>
            <w:shd w:val="clear" w:color="000000" w:fill="BDD6EE"/>
            <w:vAlign w:val="center"/>
            <w:hideMark/>
          </w:tcPr>
          <w:p w14:paraId="08439FD6" w14:textId="34DDA4D4" w:rsidR="00597A33" w:rsidRPr="008C12C0" w:rsidRDefault="00597A33" w:rsidP="00A20215">
            <w:pPr>
              <w:spacing w:after="0" w:line="360" w:lineRule="auto"/>
              <w:jc w:val="center"/>
              <w:rPr>
                <w:rFonts w:ascii="Calibri" w:eastAsia="Times New Roman" w:hAnsi="Calibri" w:cs="Calibri"/>
                <w:color w:val="000000"/>
                <w:sz w:val="16"/>
                <w:szCs w:val="16"/>
                <w:lang w:eastAsia="en-GB"/>
              </w:rPr>
            </w:pPr>
            <w:r w:rsidRPr="008C12C0">
              <w:rPr>
                <w:rFonts w:ascii="Calibri" w:eastAsia="Times New Roman" w:hAnsi="Calibri" w:cs="Calibri"/>
                <w:color w:val="000000"/>
                <w:sz w:val="16"/>
                <w:szCs w:val="16"/>
                <w:lang w:eastAsia="en-GB"/>
              </w:rPr>
              <w:t>Hung 2016</w:t>
            </w:r>
            <w:r w:rsidR="00C82E70" w:rsidRPr="008C12C0">
              <w:rPr>
                <w:rFonts w:ascii="Calibri" w:eastAsia="Times New Roman" w:hAnsi="Calibri" w:cs="Calibri"/>
                <w:color w:val="000000"/>
                <w:sz w:val="16"/>
                <w:szCs w:val="16"/>
                <w:vertAlign w:val="superscript"/>
                <w:lang w:eastAsia="en-GB"/>
              </w:rPr>
              <w:t>7</w:t>
            </w:r>
          </w:p>
        </w:tc>
        <w:tc>
          <w:tcPr>
            <w:tcW w:w="1870" w:type="dxa"/>
            <w:shd w:val="clear" w:color="000000" w:fill="BDD6EE"/>
            <w:vAlign w:val="center"/>
            <w:hideMark/>
          </w:tcPr>
          <w:p w14:paraId="25577F27"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28B5CDAA"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619FCC12"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1" w:type="dxa"/>
            <w:shd w:val="clear" w:color="000000" w:fill="BDD6EE"/>
            <w:vAlign w:val="center"/>
            <w:hideMark/>
          </w:tcPr>
          <w:p w14:paraId="4A64BC29" w14:textId="77777777" w:rsidR="00597A33" w:rsidRPr="008C12C0" w:rsidRDefault="00597A33" w:rsidP="00A20215">
            <w:pPr>
              <w:spacing w:after="0" w:line="360" w:lineRule="auto"/>
              <w:jc w:val="center"/>
              <w:rPr>
                <w:rFonts w:ascii="Segoe UI Symbol" w:eastAsia="Times New Roman" w:hAnsi="Segoe UI Symbol" w:cs="Calibri"/>
                <w:color w:val="000000"/>
                <w:sz w:val="16"/>
                <w:szCs w:val="16"/>
                <w:lang w:eastAsia="en-GB"/>
              </w:rPr>
            </w:pPr>
            <w:r w:rsidRPr="008C12C0">
              <w:rPr>
                <w:rFonts w:ascii="Segoe UI Symbol" w:eastAsia="Times New Roman" w:hAnsi="Segoe UI Symbol" w:cs="Calibri"/>
                <w:color w:val="000000"/>
                <w:sz w:val="16"/>
                <w:szCs w:val="16"/>
                <w:lang w:eastAsia="en-GB"/>
              </w:rPr>
              <w:t>6</w:t>
            </w:r>
          </w:p>
        </w:tc>
      </w:tr>
      <w:tr w:rsidR="00597A33" w:rsidRPr="008C12C0" w14:paraId="25D24010" w14:textId="77777777" w:rsidTr="001A75BB">
        <w:trPr>
          <w:trHeight w:val="419"/>
        </w:trPr>
        <w:tc>
          <w:tcPr>
            <w:tcW w:w="1870" w:type="dxa"/>
            <w:shd w:val="clear" w:color="000000" w:fill="BDD6EE"/>
            <w:vAlign w:val="center"/>
            <w:hideMark/>
          </w:tcPr>
          <w:p w14:paraId="4D28912B" w14:textId="79632531" w:rsidR="00597A33" w:rsidRPr="008C12C0" w:rsidRDefault="00597A33" w:rsidP="00A20215">
            <w:pPr>
              <w:spacing w:after="0" w:line="360" w:lineRule="auto"/>
              <w:jc w:val="center"/>
              <w:rPr>
                <w:rFonts w:ascii="Calibri" w:eastAsia="Times New Roman" w:hAnsi="Calibri" w:cs="Calibri"/>
                <w:color w:val="000000"/>
                <w:sz w:val="16"/>
                <w:szCs w:val="16"/>
                <w:lang w:eastAsia="en-GB"/>
              </w:rPr>
            </w:pPr>
            <w:proofErr w:type="spellStart"/>
            <w:r w:rsidRPr="008C12C0">
              <w:rPr>
                <w:rFonts w:ascii="Calibri" w:eastAsia="Times New Roman" w:hAnsi="Calibri" w:cs="Calibri"/>
                <w:color w:val="000000"/>
                <w:sz w:val="16"/>
                <w:szCs w:val="16"/>
                <w:lang w:eastAsia="en-GB"/>
              </w:rPr>
              <w:t>Jégu</w:t>
            </w:r>
            <w:proofErr w:type="spellEnd"/>
            <w:r w:rsidRPr="008C12C0">
              <w:rPr>
                <w:rFonts w:ascii="Calibri" w:eastAsia="Times New Roman" w:hAnsi="Calibri" w:cs="Calibri"/>
                <w:color w:val="000000"/>
                <w:sz w:val="16"/>
                <w:szCs w:val="16"/>
                <w:lang w:eastAsia="en-GB"/>
              </w:rPr>
              <w:t xml:space="preserve"> 2014</w:t>
            </w:r>
            <w:r w:rsidR="00C82E70" w:rsidRPr="008C12C0">
              <w:rPr>
                <w:rFonts w:ascii="Calibri" w:eastAsia="Times New Roman" w:hAnsi="Calibri" w:cs="Calibri"/>
                <w:color w:val="000000"/>
                <w:sz w:val="16"/>
                <w:szCs w:val="16"/>
                <w:vertAlign w:val="superscript"/>
                <w:lang w:eastAsia="en-GB"/>
              </w:rPr>
              <w:t>4</w:t>
            </w:r>
          </w:p>
        </w:tc>
        <w:tc>
          <w:tcPr>
            <w:tcW w:w="1870" w:type="dxa"/>
            <w:shd w:val="clear" w:color="000000" w:fill="BDD6EE"/>
            <w:vAlign w:val="center"/>
            <w:hideMark/>
          </w:tcPr>
          <w:p w14:paraId="28560307"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06BEE64F"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hideMark/>
          </w:tcPr>
          <w:p w14:paraId="6496121B"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1" w:type="dxa"/>
            <w:shd w:val="clear" w:color="000000" w:fill="BDD6EE"/>
            <w:vAlign w:val="center"/>
            <w:hideMark/>
          </w:tcPr>
          <w:p w14:paraId="6C41727E" w14:textId="77777777" w:rsidR="00597A33" w:rsidRPr="008C12C0" w:rsidRDefault="00597A33" w:rsidP="00A20215">
            <w:pPr>
              <w:spacing w:after="0" w:line="360" w:lineRule="auto"/>
              <w:jc w:val="center"/>
              <w:rPr>
                <w:rFonts w:ascii="Segoe UI Symbol" w:eastAsia="Times New Roman" w:hAnsi="Segoe UI Symbol" w:cs="Calibri"/>
                <w:color w:val="000000"/>
                <w:sz w:val="16"/>
                <w:szCs w:val="16"/>
                <w:lang w:eastAsia="en-GB"/>
              </w:rPr>
            </w:pPr>
            <w:r w:rsidRPr="008C12C0">
              <w:rPr>
                <w:rFonts w:ascii="Segoe UI Symbol" w:eastAsia="Times New Roman" w:hAnsi="Segoe UI Symbol" w:cs="Calibri"/>
                <w:color w:val="000000"/>
                <w:sz w:val="16"/>
                <w:szCs w:val="16"/>
                <w:lang w:eastAsia="en-GB"/>
              </w:rPr>
              <w:t>6</w:t>
            </w:r>
          </w:p>
        </w:tc>
      </w:tr>
      <w:tr w:rsidR="00597A33" w:rsidRPr="008C12C0" w14:paraId="7A163B2C" w14:textId="77777777" w:rsidTr="00A20215">
        <w:trPr>
          <w:trHeight w:val="534"/>
        </w:trPr>
        <w:tc>
          <w:tcPr>
            <w:tcW w:w="1870" w:type="dxa"/>
            <w:shd w:val="clear" w:color="000000" w:fill="BDD6EE"/>
            <w:vAlign w:val="center"/>
          </w:tcPr>
          <w:p w14:paraId="0DF07C0F" w14:textId="6787AF8E" w:rsidR="00597A33" w:rsidRPr="008C12C0" w:rsidRDefault="00597A33" w:rsidP="00A20215">
            <w:pPr>
              <w:spacing w:after="0" w:line="360" w:lineRule="auto"/>
              <w:jc w:val="center"/>
              <w:rPr>
                <w:rFonts w:ascii="Calibri" w:eastAsia="Times New Roman" w:hAnsi="Calibri" w:cs="Calibri"/>
                <w:color w:val="000000"/>
                <w:sz w:val="16"/>
                <w:szCs w:val="16"/>
                <w:lang w:eastAsia="en-GB"/>
              </w:rPr>
            </w:pPr>
            <w:proofErr w:type="spellStart"/>
            <w:r w:rsidRPr="008C12C0">
              <w:rPr>
                <w:rFonts w:ascii="Calibri" w:eastAsia="Times New Roman" w:hAnsi="Calibri" w:cs="Calibri"/>
                <w:color w:val="000000"/>
                <w:sz w:val="16"/>
                <w:szCs w:val="16"/>
                <w:lang w:eastAsia="en-GB"/>
              </w:rPr>
              <w:t>Satram</w:t>
            </w:r>
            <w:proofErr w:type="spellEnd"/>
            <w:r w:rsidRPr="008C12C0">
              <w:rPr>
                <w:rFonts w:ascii="Calibri" w:eastAsia="Times New Roman" w:hAnsi="Calibri" w:cs="Calibri"/>
                <w:color w:val="000000"/>
                <w:sz w:val="16"/>
                <w:szCs w:val="16"/>
                <w:lang w:eastAsia="en-GB"/>
              </w:rPr>
              <w:t>-Hoang 2007</w:t>
            </w:r>
            <w:r w:rsidR="00C82E70" w:rsidRPr="008C12C0">
              <w:rPr>
                <w:rFonts w:ascii="Calibri" w:eastAsia="Times New Roman" w:hAnsi="Calibri" w:cs="Calibri"/>
                <w:color w:val="000000"/>
                <w:sz w:val="16"/>
                <w:szCs w:val="16"/>
                <w:vertAlign w:val="superscript"/>
                <w:lang w:eastAsia="en-GB"/>
              </w:rPr>
              <w:t>8</w:t>
            </w:r>
          </w:p>
        </w:tc>
        <w:tc>
          <w:tcPr>
            <w:tcW w:w="1870" w:type="dxa"/>
            <w:shd w:val="clear" w:color="000000" w:fill="BDD6EE"/>
            <w:vAlign w:val="center"/>
          </w:tcPr>
          <w:p w14:paraId="5DD4018C"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tcPr>
          <w:p w14:paraId="294C373F"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tcPr>
          <w:p w14:paraId="6BF02820" w14:textId="77777777" w:rsidR="00597A33" w:rsidRPr="008C12C0" w:rsidRDefault="00597A33"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1" w:type="dxa"/>
            <w:shd w:val="clear" w:color="000000" w:fill="BDD6EE"/>
            <w:vAlign w:val="center"/>
          </w:tcPr>
          <w:p w14:paraId="77405553" w14:textId="77777777" w:rsidR="00597A33" w:rsidRPr="008C12C0" w:rsidRDefault="00597A33" w:rsidP="00A20215">
            <w:pPr>
              <w:spacing w:after="0" w:line="360" w:lineRule="auto"/>
              <w:jc w:val="center"/>
              <w:rPr>
                <w:rFonts w:ascii="Segoe UI Symbol" w:eastAsia="Times New Roman" w:hAnsi="Segoe UI Symbol" w:cs="Calibri"/>
                <w:color w:val="000000"/>
                <w:sz w:val="16"/>
                <w:szCs w:val="16"/>
                <w:lang w:eastAsia="en-GB"/>
              </w:rPr>
            </w:pPr>
            <w:r w:rsidRPr="008C12C0">
              <w:rPr>
                <w:rFonts w:ascii="Segoe UI Symbol" w:eastAsia="Times New Roman" w:hAnsi="Segoe UI Symbol" w:cs="Calibri"/>
                <w:color w:val="000000"/>
                <w:sz w:val="16"/>
                <w:szCs w:val="16"/>
                <w:lang w:eastAsia="en-GB"/>
              </w:rPr>
              <w:t>6</w:t>
            </w:r>
          </w:p>
        </w:tc>
      </w:tr>
      <w:tr w:rsidR="0009046D" w:rsidRPr="008C12C0" w14:paraId="1625D09A" w14:textId="77777777" w:rsidTr="00A93E3A">
        <w:trPr>
          <w:trHeight w:val="345"/>
        </w:trPr>
        <w:tc>
          <w:tcPr>
            <w:tcW w:w="1870" w:type="dxa"/>
            <w:shd w:val="clear" w:color="000000" w:fill="BDD6EE"/>
            <w:vAlign w:val="center"/>
          </w:tcPr>
          <w:p w14:paraId="05880B20" w14:textId="05B195EF" w:rsidR="0009046D" w:rsidRPr="008C12C0" w:rsidRDefault="0009046D" w:rsidP="00A20215">
            <w:pPr>
              <w:spacing w:after="0" w:line="360" w:lineRule="auto"/>
              <w:jc w:val="center"/>
              <w:rPr>
                <w:rFonts w:ascii="Calibri" w:eastAsia="Times New Roman" w:hAnsi="Calibri" w:cs="Calibri"/>
                <w:color w:val="000000"/>
                <w:sz w:val="16"/>
                <w:szCs w:val="16"/>
                <w:vertAlign w:val="superscript"/>
                <w:lang w:eastAsia="en-GB"/>
              </w:rPr>
            </w:pPr>
            <w:r w:rsidRPr="008C12C0">
              <w:rPr>
                <w:rFonts w:ascii="Calibri" w:eastAsia="Times New Roman" w:hAnsi="Calibri" w:cs="Calibri"/>
                <w:color w:val="000000"/>
                <w:sz w:val="16"/>
                <w:szCs w:val="16"/>
                <w:lang w:eastAsia="en-GB"/>
              </w:rPr>
              <w:t>Sung 2020</w:t>
            </w:r>
            <w:r w:rsidRPr="008C12C0">
              <w:rPr>
                <w:rFonts w:ascii="Calibri" w:eastAsia="Times New Roman" w:hAnsi="Calibri" w:cs="Calibri"/>
                <w:color w:val="000000"/>
                <w:sz w:val="16"/>
                <w:szCs w:val="16"/>
                <w:vertAlign w:val="superscript"/>
                <w:lang w:eastAsia="en-GB"/>
              </w:rPr>
              <w:t>12</w:t>
            </w:r>
          </w:p>
        </w:tc>
        <w:tc>
          <w:tcPr>
            <w:tcW w:w="1870" w:type="dxa"/>
            <w:shd w:val="clear" w:color="000000" w:fill="BDD6EE"/>
            <w:vAlign w:val="center"/>
          </w:tcPr>
          <w:p w14:paraId="4F1F83B8" w14:textId="10DD11BE" w:rsidR="0009046D" w:rsidRPr="008C12C0" w:rsidRDefault="001A0876"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tcPr>
          <w:p w14:paraId="070D136C" w14:textId="632F27D5" w:rsidR="0009046D" w:rsidRPr="008C12C0" w:rsidRDefault="001A0876"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p>
        </w:tc>
        <w:tc>
          <w:tcPr>
            <w:tcW w:w="1870" w:type="dxa"/>
            <w:shd w:val="clear" w:color="000000" w:fill="BDD6EE"/>
            <w:vAlign w:val="center"/>
          </w:tcPr>
          <w:p w14:paraId="1BAEC717" w14:textId="1EC7B1C6" w:rsidR="0009046D" w:rsidRPr="008C12C0" w:rsidRDefault="0009046D" w:rsidP="00A20215">
            <w:pPr>
              <w:spacing w:after="0" w:line="360" w:lineRule="auto"/>
              <w:jc w:val="center"/>
              <w:rPr>
                <w:rFonts w:ascii="Segoe UI Symbol" w:eastAsia="Times New Roman" w:hAnsi="Segoe UI Symbol" w:cs="Calibri"/>
                <w:color w:val="000000"/>
                <w:lang w:eastAsia="en-GB"/>
              </w:rPr>
            </w:pPr>
            <w:r w:rsidRPr="008C12C0">
              <w:rPr>
                <w:rFonts w:ascii="Segoe UI Symbol" w:eastAsia="Times New Roman" w:hAnsi="Segoe UI Symbol" w:cs="Calibri"/>
                <w:color w:val="000000"/>
                <w:lang w:eastAsia="en-GB"/>
              </w:rPr>
              <w:t>★★</w:t>
            </w:r>
            <w:r w:rsidR="00414104" w:rsidRPr="008C12C0">
              <w:rPr>
                <w:rFonts w:ascii="Segoe UI Symbol" w:eastAsia="Times New Roman" w:hAnsi="Segoe UI Symbol" w:cs="Calibri"/>
                <w:color w:val="000000"/>
                <w:lang w:eastAsia="en-GB"/>
              </w:rPr>
              <w:t>★</w:t>
            </w:r>
          </w:p>
        </w:tc>
        <w:tc>
          <w:tcPr>
            <w:tcW w:w="1871" w:type="dxa"/>
            <w:shd w:val="clear" w:color="000000" w:fill="BDD6EE"/>
            <w:vAlign w:val="center"/>
          </w:tcPr>
          <w:p w14:paraId="1B188151" w14:textId="0BFE4EA3" w:rsidR="0009046D" w:rsidRPr="008C12C0" w:rsidRDefault="001A0876" w:rsidP="00A20215">
            <w:pPr>
              <w:spacing w:after="0" w:line="360" w:lineRule="auto"/>
              <w:jc w:val="center"/>
              <w:rPr>
                <w:rFonts w:ascii="Segoe UI Symbol" w:eastAsia="Times New Roman" w:hAnsi="Segoe UI Symbol" w:cs="Calibri"/>
                <w:color w:val="000000"/>
                <w:sz w:val="16"/>
                <w:szCs w:val="16"/>
                <w:lang w:eastAsia="en-GB"/>
              </w:rPr>
            </w:pPr>
            <w:r w:rsidRPr="008C12C0">
              <w:rPr>
                <w:rFonts w:ascii="Segoe UI Symbol" w:eastAsia="Times New Roman" w:hAnsi="Segoe UI Symbol" w:cs="Calibri"/>
                <w:color w:val="000000"/>
                <w:sz w:val="16"/>
                <w:szCs w:val="16"/>
                <w:lang w:eastAsia="en-GB"/>
              </w:rPr>
              <w:t>8</w:t>
            </w:r>
          </w:p>
        </w:tc>
      </w:tr>
    </w:tbl>
    <w:p w14:paraId="3A92CBB2" w14:textId="77777777" w:rsidR="00F0033B" w:rsidRPr="008C12C0" w:rsidRDefault="00F0033B" w:rsidP="00597A33">
      <w:pPr>
        <w:pStyle w:val="Heading1"/>
        <w:spacing w:line="360" w:lineRule="auto"/>
      </w:pPr>
    </w:p>
    <w:p w14:paraId="74DF4207" w14:textId="77777777" w:rsidR="001A75BB" w:rsidRPr="008C12C0" w:rsidRDefault="001A75BB" w:rsidP="00F83BFD">
      <w:pPr>
        <w:pStyle w:val="Heading1"/>
        <w:spacing w:line="360" w:lineRule="auto"/>
      </w:pPr>
    </w:p>
    <w:p w14:paraId="5A69BB33" w14:textId="77777777" w:rsidR="001A75BB" w:rsidRPr="008C12C0" w:rsidRDefault="001A75BB" w:rsidP="00F83BFD">
      <w:pPr>
        <w:pStyle w:val="Heading1"/>
        <w:spacing w:line="360" w:lineRule="auto"/>
      </w:pPr>
    </w:p>
    <w:p w14:paraId="0D731F67" w14:textId="77777777" w:rsidR="001A75BB" w:rsidRPr="008C12C0" w:rsidRDefault="001A75BB" w:rsidP="00F83BFD">
      <w:pPr>
        <w:pStyle w:val="Heading1"/>
        <w:spacing w:line="360" w:lineRule="auto"/>
      </w:pPr>
    </w:p>
    <w:p w14:paraId="5A2DA280" w14:textId="77777777" w:rsidR="00A93E3A" w:rsidRPr="008C12C0" w:rsidRDefault="00A93E3A" w:rsidP="001A75BB">
      <w:pPr>
        <w:pStyle w:val="Heading1"/>
        <w:spacing w:line="360" w:lineRule="auto"/>
      </w:pPr>
    </w:p>
    <w:p w14:paraId="08712426" w14:textId="5A189816" w:rsidR="001A75BB" w:rsidRPr="008C12C0" w:rsidRDefault="001A75BB" w:rsidP="00335D78">
      <w:pPr>
        <w:spacing w:line="360" w:lineRule="auto"/>
      </w:pPr>
    </w:p>
    <w:p w14:paraId="7C8F6E3D" w14:textId="258509BB" w:rsidR="00A93E3A" w:rsidRPr="008C12C0" w:rsidRDefault="00A93E3A" w:rsidP="00335D78">
      <w:pPr>
        <w:spacing w:line="360" w:lineRule="auto"/>
      </w:pPr>
    </w:p>
    <w:p w14:paraId="6B22F509" w14:textId="77777777" w:rsidR="00A93E3A" w:rsidRPr="008C12C0" w:rsidRDefault="00A93E3A" w:rsidP="00A93E3A">
      <w:pPr>
        <w:pStyle w:val="Heading1"/>
        <w:spacing w:line="360" w:lineRule="auto"/>
      </w:pPr>
      <w:r w:rsidRPr="008C12C0">
        <w:lastRenderedPageBreak/>
        <w:t>Assessments of publication bias</w:t>
      </w:r>
    </w:p>
    <w:p w14:paraId="7BD3103D" w14:textId="77777777" w:rsidR="00A93E3A" w:rsidRPr="008C12C0" w:rsidRDefault="00A93E3A" w:rsidP="00335D78">
      <w:pPr>
        <w:spacing w:line="360" w:lineRule="auto"/>
      </w:pPr>
    </w:p>
    <w:p w14:paraId="61E196D6" w14:textId="40FCEFD2" w:rsidR="00335D78" w:rsidRPr="008C12C0" w:rsidRDefault="00335D78" w:rsidP="00335D78">
      <w:pPr>
        <w:spacing w:line="360" w:lineRule="auto"/>
      </w:pPr>
      <w:r w:rsidRPr="008C12C0">
        <w:t xml:space="preserve">Funnel plots and Egger’s test were used to evaluate and formally test for publication bias. As can be seen in </w:t>
      </w:r>
      <w:r w:rsidR="00C30A84" w:rsidRPr="008C12C0">
        <w:t>F</w:t>
      </w:r>
      <w:r w:rsidRPr="008C12C0">
        <w:t>igure S</w:t>
      </w:r>
      <w:r w:rsidR="00D45B02" w:rsidRPr="008C12C0">
        <w:t>5</w:t>
      </w:r>
      <w:r w:rsidRPr="008C12C0">
        <w:t xml:space="preserve">, the funnel plot does not indicate sizeable </w:t>
      </w:r>
      <w:r w:rsidR="00813078" w:rsidRPr="008C12C0">
        <w:t>publication</w:t>
      </w:r>
      <w:r w:rsidRPr="008C12C0">
        <w:t xml:space="preserve"> bias. Egger’s test yielded no significant evidence for publication bias (p = 0.781) although this should be interpreted with caution due to the small number of male studies</w:t>
      </w:r>
      <w:r w:rsidR="00FA0048" w:rsidRPr="008C12C0">
        <w:rPr>
          <w:vertAlign w:val="superscript"/>
        </w:rPr>
        <w:t>29</w:t>
      </w:r>
      <w:r w:rsidRPr="008C12C0">
        <w:t xml:space="preserve">. </w:t>
      </w:r>
    </w:p>
    <w:p w14:paraId="12428B80" w14:textId="77777777" w:rsidR="001A75BB" w:rsidRPr="008C12C0" w:rsidRDefault="001A75BB" w:rsidP="00335D78">
      <w:pPr>
        <w:spacing w:line="360" w:lineRule="auto"/>
      </w:pPr>
    </w:p>
    <w:p w14:paraId="769A9AA2" w14:textId="22A171D1" w:rsidR="00335D78" w:rsidRPr="008C12C0" w:rsidRDefault="00C1608F" w:rsidP="00335D78">
      <w:pPr>
        <w:spacing w:line="360" w:lineRule="auto"/>
        <w:rPr>
          <w:b/>
          <w:bCs/>
          <w:vertAlign w:val="superscript"/>
        </w:rPr>
      </w:pPr>
      <w:r w:rsidRPr="008C12C0">
        <w:rPr>
          <w:noProof/>
        </w:rPr>
        <w:drawing>
          <wp:anchor distT="0" distB="0" distL="114300" distR="114300" simplePos="0" relativeHeight="251669504" behindDoc="1" locked="0" layoutInCell="1" allowOverlap="1" wp14:anchorId="27A933DC" wp14:editId="4FB0EDE4">
            <wp:simplePos x="0" y="0"/>
            <wp:positionH relativeFrom="margin">
              <wp:align>left</wp:align>
            </wp:positionH>
            <wp:positionV relativeFrom="paragraph">
              <wp:posOffset>594995</wp:posOffset>
            </wp:positionV>
            <wp:extent cx="5683250" cy="3784600"/>
            <wp:effectExtent l="0" t="0" r="0" b="6350"/>
            <wp:wrapTight wrapText="bothSides">
              <wp:wrapPolygon edited="0">
                <wp:start x="0" y="0"/>
                <wp:lineTo x="0" y="21528"/>
                <wp:lineTo x="21503" y="21528"/>
                <wp:lineTo x="21503" y="0"/>
                <wp:lineTo x="0" y="0"/>
              </wp:wrapPolygon>
            </wp:wrapTight>
            <wp:docPr id="1" name="Picture 1" descr="Chart, line ch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9147"/>
                    <a:stretch/>
                  </pic:blipFill>
                  <pic:spPr bwMode="auto">
                    <a:xfrm>
                      <a:off x="0" y="0"/>
                      <a:ext cx="5683250" cy="378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5D78" w:rsidRPr="008C12C0">
        <w:rPr>
          <w:b/>
          <w:bCs/>
        </w:rPr>
        <w:t>Figure S</w:t>
      </w:r>
      <w:r w:rsidR="00D45B02" w:rsidRPr="008C12C0">
        <w:rPr>
          <w:b/>
          <w:bCs/>
        </w:rPr>
        <w:t>5</w:t>
      </w:r>
      <w:r w:rsidR="00335D78" w:rsidRPr="008C12C0">
        <w:rPr>
          <w:b/>
          <w:bCs/>
        </w:rPr>
        <w:t>: Funnel plot of standardized incidence ratio against standard error, for all studies included in meta-analyses</w:t>
      </w:r>
    </w:p>
    <w:p w14:paraId="242B2832" w14:textId="77DA542D" w:rsidR="00335D78" w:rsidRPr="008C12C0" w:rsidRDefault="00335D78" w:rsidP="00335D78">
      <w:pPr>
        <w:spacing w:line="360" w:lineRule="auto"/>
      </w:pPr>
    </w:p>
    <w:p w14:paraId="26B1DD02" w14:textId="77777777" w:rsidR="00335D78" w:rsidRPr="008C12C0" w:rsidRDefault="00335D78" w:rsidP="00335D78">
      <w:pPr>
        <w:spacing w:line="360" w:lineRule="auto"/>
        <w:rPr>
          <w:i/>
          <w:iCs/>
        </w:rPr>
      </w:pPr>
    </w:p>
    <w:p w14:paraId="10785D36" w14:textId="15544989" w:rsidR="00335D78" w:rsidRPr="008C12C0" w:rsidRDefault="00335D78" w:rsidP="00335D78">
      <w:pPr>
        <w:spacing w:line="360" w:lineRule="auto"/>
        <w:rPr>
          <w:i/>
          <w:iCs/>
        </w:rPr>
      </w:pPr>
      <w:bookmarkStart w:id="2" w:name="_Hlk96447485"/>
      <w:r w:rsidRPr="008C12C0">
        <w:rPr>
          <w:i/>
          <w:iCs/>
        </w:rPr>
        <w:t>Please note that all reference numbers</w:t>
      </w:r>
      <w:r w:rsidR="003362DF" w:rsidRPr="008C12C0">
        <w:rPr>
          <w:i/>
          <w:iCs/>
        </w:rPr>
        <w:t xml:space="preserve"> and abbreviations</w:t>
      </w:r>
      <w:r w:rsidRPr="008C12C0">
        <w:rPr>
          <w:i/>
          <w:iCs/>
        </w:rPr>
        <w:t xml:space="preserve"> in the </w:t>
      </w:r>
      <w:r w:rsidR="000D70B8" w:rsidRPr="008C12C0">
        <w:rPr>
          <w:i/>
          <w:iCs/>
        </w:rPr>
        <w:t>supplementary material</w:t>
      </w:r>
      <w:r w:rsidRPr="008C12C0">
        <w:rPr>
          <w:i/>
          <w:iCs/>
        </w:rPr>
        <w:t xml:space="preserve"> correspond to th</w:t>
      </w:r>
      <w:r w:rsidR="0048363D" w:rsidRPr="008C12C0">
        <w:rPr>
          <w:i/>
          <w:iCs/>
        </w:rPr>
        <w:t>ose</w:t>
      </w:r>
      <w:r w:rsidRPr="008C12C0">
        <w:rPr>
          <w:i/>
          <w:iCs/>
        </w:rPr>
        <w:t xml:space="preserve"> in the main body of the </w:t>
      </w:r>
      <w:r w:rsidR="0048363D" w:rsidRPr="008C12C0">
        <w:rPr>
          <w:i/>
          <w:iCs/>
        </w:rPr>
        <w:t>article</w:t>
      </w:r>
      <w:r w:rsidRPr="008C12C0">
        <w:rPr>
          <w:i/>
          <w:iCs/>
        </w:rPr>
        <w:t>.</w:t>
      </w:r>
    </w:p>
    <w:p w14:paraId="5482A1D3" w14:textId="77777777" w:rsidR="00BE6F09" w:rsidRPr="008C12C0" w:rsidRDefault="00BE6F09" w:rsidP="00335D78">
      <w:pPr>
        <w:spacing w:line="360" w:lineRule="auto"/>
        <w:rPr>
          <w:i/>
          <w:iCs/>
        </w:rPr>
      </w:pPr>
    </w:p>
    <w:bookmarkEnd w:id="2"/>
    <w:p w14:paraId="5522D933" w14:textId="62538D70" w:rsidR="00AC5BDF" w:rsidRPr="00E719AA" w:rsidRDefault="00BE6F09" w:rsidP="00BE6F09">
      <w:pPr>
        <w:rPr>
          <w:sz w:val="16"/>
          <w:szCs w:val="16"/>
        </w:rPr>
      </w:pPr>
      <w:r w:rsidRPr="008C12C0">
        <w:rPr>
          <w:i/>
          <w:iCs/>
        </w:rPr>
        <w:t xml:space="preserve">This </w:t>
      </w:r>
      <w:r w:rsidR="00A264D5" w:rsidRPr="008C12C0">
        <w:rPr>
          <w:i/>
          <w:iCs/>
        </w:rPr>
        <w:t xml:space="preserve">review was not </w:t>
      </w:r>
      <w:r w:rsidRPr="008C12C0">
        <w:rPr>
          <w:i/>
          <w:iCs/>
        </w:rPr>
        <w:t>registered. No protocol was prepared.</w:t>
      </w:r>
    </w:p>
    <w:sectPr w:rsidR="00AC5BDF" w:rsidRPr="00E719A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88C3" w14:textId="77777777" w:rsidR="00253153" w:rsidRDefault="00253153" w:rsidP="000F6FB8">
      <w:pPr>
        <w:spacing w:after="0" w:line="240" w:lineRule="auto"/>
      </w:pPr>
      <w:r>
        <w:separator/>
      </w:r>
    </w:p>
  </w:endnote>
  <w:endnote w:type="continuationSeparator" w:id="0">
    <w:p w14:paraId="78A4A289" w14:textId="77777777" w:rsidR="00253153" w:rsidRDefault="00253153" w:rsidP="000F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3722"/>
      <w:docPartObj>
        <w:docPartGallery w:val="Page Numbers (Bottom of Page)"/>
        <w:docPartUnique/>
      </w:docPartObj>
    </w:sdtPr>
    <w:sdtEndPr>
      <w:rPr>
        <w:noProof/>
      </w:rPr>
    </w:sdtEndPr>
    <w:sdtContent>
      <w:p w14:paraId="2505F984" w14:textId="7134E08C" w:rsidR="000F6FB8" w:rsidRDefault="000F6FB8">
        <w:pPr>
          <w:pStyle w:val="Footer"/>
        </w:pPr>
        <w:r>
          <w:fldChar w:fldCharType="begin"/>
        </w:r>
        <w:r>
          <w:instrText xml:space="preserve"> PAGE   \* MERGEFORMAT </w:instrText>
        </w:r>
        <w:r>
          <w:fldChar w:fldCharType="separate"/>
        </w:r>
        <w:r>
          <w:rPr>
            <w:noProof/>
          </w:rPr>
          <w:t>2</w:t>
        </w:r>
        <w:r>
          <w:rPr>
            <w:noProof/>
          </w:rPr>
          <w:fldChar w:fldCharType="end"/>
        </w:r>
      </w:p>
    </w:sdtContent>
  </w:sdt>
  <w:p w14:paraId="328290A7" w14:textId="77777777" w:rsidR="000F6FB8" w:rsidRDefault="000F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95A1" w14:textId="77777777" w:rsidR="00253153" w:rsidRDefault="00253153" w:rsidP="000F6FB8">
      <w:pPr>
        <w:spacing w:after="0" w:line="240" w:lineRule="auto"/>
      </w:pPr>
      <w:r>
        <w:separator/>
      </w:r>
    </w:p>
  </w:footnote>
  <w:footnote w:type="continuationSeparator" w:id="0">
    <w:p w14:paraId="2D9DB5B2" w14:textId="77777777" w:rsidR="00253153" w:rsidRDefault="00253153" w:rsidP="000F6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33"/>
    <w:rsid w:val="000035F2"/>
    <w:rsid w:val="00036171"/>
    <w:rsid w:val="00041B55"/>
    <w:rsid w:val="00041DA1"/>
    <w:rsid w:val="00085129"/>
    <w:rsid w:val="0009046D"/>
    <w:rsid w:val="000D70B8"/>
    <w:rsid w:val="000E6353"/>
    <w:rsid w:val="000F6FB8"/>
    <w:rsid w:val="00111DAC"/>
    <w:rsid w:val="00121A4B"/>
    <w:rsid w:val="00127442"/>
    <w:rsid w:val="00173262"/>
    <w:rsid w:val="001878E5"/>
    <w:rsid w:val="001A0876"/>
    <w:rsid w:val="001A2BE2"/>
    <w:rsid w:val="001A4D01"/>
    <w:rsid w:val="001A75BB"/>
    <w:rsid w:val="001B7365"/>
    <w:rsid w:val="001F1843"/>
    <w:rsid w:val="00253153"/>
    <w:rsid w:val="00296B28"/>
    <w:rsid w:val="002C3223"/>
    <w:rsid w:val="00320CFE"/>
    <w:rsid w:val="00331B98"/>
    <w:rsid w:val="00331D00"/>
    <w:rsid w:val="00334288"/>
    <w:rsid w:val="00335D78"/>
    <w:rsid w:val="003362DF"/>
    <w:rsid w:val="0038485E"/>
    <w:rsid w:val="003907A2"/>
    <w:rsid w:val="003B51D9"/>
    <w:rsid w:val="003D4CDE"/>
    <w:rsid w:val="00414104"/>
    <w:rsid w:val="00454037"/>
    <w:rsid w:val="0048363D"/>
    <w:rsid w:val="00496459"/>
    <w:rsid w:val="004D4BFD"/>
    <w:rsid w:val="004E6AD5"/>
    <w:rsid w:val="004F6E7D"/>
    <w:rsid w:val="00505457"/>
    <w:rsid w:val="00522414"/>
    <w:rsid w:val="00532535"/>
    <w:rsid w:val="005429AC"/>
    <w:rsid w:val="00550643"/>
    <w:rsid w:val="00553DBA"/>
    <w:rsid w:val="00595BFC"/>
    <w:rsid w:val="00597A33"/>
    <w:rsid w:val="005C7418"/>
    <w:rsid w:val="005F6CAD"/>
    <w:rsid w:val="00601670"/>
    <w:rsid w:val="00607F38"/>
    <w:rsid w:val="0068053D"/>
    <w:rsid w:val="006B6D15"/>
    <w:rsid w:val="006E2C5E"/>
    <w:rsid w:val="006F4191"/>
    <w:rsid w:val="006F6512"/>
    <w:rsid w:val="007131A0"/>
    <w:rsid w:val="00721F32"/>
    <w:rsid w:val="00743023"/>
    <w:rsid w:val="007641FA"/>
    <w:rsid w:val="007710B3"/>
    <w:rsid w:val="00806329"/>
    <w:rsid w:val="00813078"/>
    <w:rsid w:val="008158E7"/>
    <w:rsid w:val="00835414"/>
    <w:rsid w:val="0083746F"/>
    <w:rsid w:val="008901D1"/>
    <w:rsid w:val="008904AF"/>
    <w:rsid w:val="00894BFF"/>
    <w:rsid w:val="008A1C10"/>
    <w:rsid w:val="008A36FA"/>
    <w:rsid w:val="008C12C0"/>
    <w:rsid w:val="008C71AE"/>
    <w:rsid w:val="009006D0"/>
    <w:rsid w:val="0090574C"/>
    <w:rsid w:val="00925B94"/>
    <w:rsid w:val="009418AF"/>
    <w:rsid w:val="00950EE6"/>
    <w:rsid w:val="0097010D"/>
    <w:rsid w:val="009A65A9"/>
    <w:rsid w:val="00A20215"/>
    <w:rsid w:val="00A264D5"/>
    <w:rsid w:val="00A849F0"/>
    <w:rsid w:val="00A93E3A"/>
    <w:rsid w:val="00AC1A02"/>
    <w:rsid w:val="00AC5BDF"/>
    <w:rsid w:val="00AF41E5"/>
    <w:rsid w:val="00B94C58"/>
    <w:rsid w:val="00BB10CE"/>
    <w:rsid w:val="00BC2CD9"/>
    <w:rsid w:val="00BE60D7"/>
    <w:rsid w:val="00BE6F09"/>
    <w:rsid w:val="00C01395"/>
    <w:rsid w:val="00C1608F"/>
    <w:rsid w:val="00C16774"/>
    <w:rsid w:val="00C30A84"/>
    <w:rsid w:val="00C37EFF"/>
    <w:rsid w:val="00C82E70"/>
    <w:rsid w:val="00C84D4B"/>
    <w:rsid w:val="00C971F0"/>
    <w:rsid w:val="00CA16FA"/>
    <w:rsid w:val="00CB4101"/>
    <w:rsid w:val="00CE3274"/>
    <w:rsid w:val="00D10B30"/>
    <w:rsid w:val="00D1626A"/>
    <w:rsid w:val="00D20F3A"/>
    <w:rsid w:val="00D21111"/>
    <w:rsid w:val="00D34DDD"/>
    <w:rsid w:val="00D436F4"/>
    <w:rsid w:val="00D45B02"/>
    <w:rsid w:val="00DA6C54"/>
    <w:rsid w:val="00DB0E81"/>
    <w:rsid w:val="00DB31B3"/>
    <w:rsid w:val="00DB529F"/>
    <w:rsid w:val="00DF0EA5"/>
    <w:rsid w:val="00DF7DB0"/>
    <w:rsid w:val="00E20C3F"/>
    <w:rsid w:val="00E27738"/>
    <w:rsid w:val="00E322DB"/>
    <w:rsid w:val="00E3303A"/>
    <w:rsid w:val="00E719AA"/>
    <w:rsid w:val="00E71E91"/>
    <w:rsid w:val="00EA1495"/>
    <w:rsid w:val="00EC5F59"/>
    <w:rsid w:val="00ED5938"/>
    <w:rsid w:val="00F0033B"/>
    <w:rsid w:val="00F207E2"/>
    <w:rsid w:val="00F534A4"/>
    <w:rsid w:val="00F67D95"/>
    <w:rsid w:val="00F83BFD"/>
    <w:rsid w:val="00FA0048"/>
    <w:rsid w:val="00FB27F5"/>
    <w:rsid w:val="00FC6600"/>
    <w:rsid w:val="00FD6DA8"/>
    <w:rsid w:val="00FF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CD86"/>
  <w15:chartTrackingRefBased/>
  <w15:docId w15:val="{686D7CB7-538D-437A-90B7-62CFFBE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33"/>
  </w:style>
  <w:style w:type="paragraph" w:styleId="Heading1">
    <w:name w:val="heading 1"/>
    <w:basedOn w:val="Normal"/>
    <w:next w:val="Normal"/>
    <w:link w:val="Heading1Char"/>
    <w:uiPriority w:val="9"/>
    <w:qFormat/>
    <w:rsid w:val="00597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03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A3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97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A33"/>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597A33"/>
    <w:rPr>
      <w:rFonts w:ascii="Arial" w:hAnsi="Arial" w:cs="Arial"/>
      <w:sz w:val="24"/>
      <w:szCs w:val="24"/>
    </w:rPr>
  </w:style>
  <w:style w:type="paragraph" w:styleId="ListParagraph">
    <w:name w:val="List Paragraph"/>
    <w:basedOn w:val="Normal"/>
    <w:link w:val="ListParagraphChar"/>
    <w:uiPriority w:val="34"/>
    <w:qFormat/>
    <w:rsid w:val="00597A33"/>
    <w:pPr>
      <w:spacing w:after="0" w:line="280" w:lineRule="atLeast"/>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7131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31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131A0"/>
    <w:rPr>
      <w:sz w:val="16"/>
      <w:szCs w:val="16"/>
    </w:rPr>
  </w:style>
  <w:style w:type="paragraph" w:styleId="CommentText">
    <w:name w:val="annotation text"/>
    <w:basedOn w:val="Normal"/>
    <w:link w:val="CommentTextChar"/>
    <w:uiPriority w:val="99"/>
    <w:unhideWhenUsed/>
    <w:rsid w:val="007131A0"/>
    <w:pPr>
      <w:spacing w:line="240" w:lineRule="auto"/>
    </w:pPr>
    <w:rPr>
      <w:sz w:val="20"/>
      <w:szCs w:val="20"/>
    </w:rPr>
  </w:style>
  <w:style w:type="character" w:customStyle="1" w:styleId="CommentTextChar">
    <w:name w:val="Comment Text Char"/>
    <w:basedOn w:val="DefaultParagraphFont"/>
    <w:link w:val="CommentText"/>
    <w:uiPriority w:val="99"/>
    <w:rsid w:val="007131A0"/>
    <w:rPr>
      <w:sz w:val="20"/>
      <w:szCs w:val="20"/>
    </w:rPr>
  </w:style>
  <w:style w:type="paragraph" w:styleId="CommentSubject">
    <w:name w:val="annotation subject"/>
    <w:basedOn w:val="CommentText"/>
    <w:next w:val="CommentText"/>
    <w:link w:val="CommentSubjectChar"/>
    <w:uiPriority w:val="99"/>
    <w:semiHidden/>
    <w:unhideWhenUsed/>
    <w:rsid w:val="007131A0"/>
    <w:rPr>
      <w:b/>
      <w:bCs/>
    </w:rPr>
  </w:style>
  <w:style w:type="character" w:customStyle="1" w:styleId="CommentSubjectChar">
    <w:name w:val="Comment Subject Char"/>
    <w:basedOn w:val="CommentTextChar"/>
    <w:link w:val="CommentSubject"/>
    <w:uiPriority w:val="99"/>
    <w:semiHidden/>
    <w:rsid w:val="007131A0"/>
    <w:rPr>
      <w:b/>
      <w:bCs/>
      <w:sz w:val="20"/>
      <w:szCs w:val="20"/>
    </w:rPr>
  </w:style>
  <w:style w:type="character" w:customStyle="1" w:styleId="Heading2Char">
    <w:name w:val="Heading 2 Char"/>
    <w:basedOn w:val="DefaultParagraphFont"/>
    <w:link w:val="Heading2"/>
    <w:uiPriority w:val="9"/>
    <w:rsid w:val="00F0033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35D78"/>
    <w:pPr>
      <w:spacing w:after="0" w:line="240" w:lineRule="auto"/>
    </w:pPr>
  </w:style>
  <w:style w:type="table" w:styleId="TableGrid">
    <w:name w:val="Table Grid"/>
    <w:basedOn w:val="TableNormal"/>
    <w:uiPriority w:val="39"/>
    <w:rsid w:val="009A65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A65A9"/>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9A65A9"/>
    <w:rPr>
      <w:rFonts w:eastAsia="Times New Roman" w:cs="Times New Roman"/>
      <w:sz w:val="20"/>
      <w:szCs w:val="20"/>
    </w:rPr>
  </w:style>
  <w:style w:type="character" w:styleId="FootnoteReference">
    <w:name w:val="footnote reference"/>
    <w:basedOn w:val="DefaultParagraphFont"/>
    <w:uiPriority w:val="99"/>
    <w:semiHidden/>
    <w:unhideWhenUsed/>
    <w:rsid w:val="009A65A9"/>
    <w:rPr>
      <w:rFonts w:cs="Times New Roman"/>
      <w:vertAlign w:val="superscript"/>
    </w:rPr>
  </w:style>
  <w:style w:type="character" w:styleId="PlaceholderText">
    <w:name w:val="Placeholder Text"/>
    <w:basedOn w:val="DefaultParagraphFont"/>
    <w:uiPriority w:val="99"/>
    <w:semiHidden/>
    <w:rsid w:val="00835414"/>
    <w:rPr>
      <w:color w:val="808080"/>
    </w:rPr>
  </w:style>
  <w:style w:type="paragraph" w:styleId="Header">
    <w:name w:val="header"/>
    <w:basedOn w:val="Normal"/>
    <w:link w:val="HeaderChar"/>
    <w:uiPriority w:val="99"/>
    <w:unhideWhenUsed/>
    <w:rsid w:val="000F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FB8"/>
  </w:style>
  <w:style w:type="paragraph" w:styleId="Footer">
    <w:name w:val="footer"/>
    <w:basedOn w:val="Normal"/>
    <w:link w:val="FooterChar"/>
    <w:uiPriority w:val="99"/>
    <w:unhideWhenUsed/>
    <w:rsid w:val="000F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A29A87-B468-40B0-84A7-E9969CC72B0E}">
  <we:reference id="wa104382081" version="1.35.0.0" store="en-GB" storeType="OMEX"/>
  <we:alternateReferences>
    <we:reference id="wa104382081" version="1.35.0.0" store="en-GB" storeType="OMEX"/>
  </we:alternateReferences>
  <we:properties>
    <we:property name="MENDELEY_CITATIONS" value="[{&quot;citationID&quot;:&quot;MENDELEY_CITATION_d05f364d-0ad8-4d25-9014-cea88a462a5b&quot;,&quot;properties&quot;:{&quot;noteIndex&quot;:0},&quot;isEdited&quot;:false,&quot;manualOverride&quot;:{&quot;isManuallyOverridden&quot;:false,&quot;citeprocText&quot;:&quot;(1–3)&quot;,&quot;manualOverrideText&quot;:&quot;&quot;},&quot;citationTag&quot;:&quot;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&quot;,&quot;citationItems&quot;:[{&quot;id&quot;:&quot;fefa6773-8878-3888-9877-ab5cb9cc3b59&quot;,&quot;itemData&quot;:{&quot;type&quot;:&quot;article-journal&quot;,&quot;id&quot;:&quot;fefa6773-8878-3888-9877-ab5cb9cc3b59&quot;,&quot;title&quot;:&quot;Italian cancer figures, report 2013: Multiple tumours.&quot;,&quot;author&quot;:[{&quot;family&quot;:&quot;AIRTUM Working Group&quot;,&quot;given&quot;:&quot;&quot;,&quot;parse-names&quot;:false,&quot;dropping-particle&quot;:&quot;&quot;,&quot;non-dropping-particle&quot;:&quot;&quot;}],&quot;container-title&quot;:&quot;Epidemiologia e prevenzione&quot;,&quot;ISSN&quot;:&quot;1120-9763&quot;,&quot;PMID&quot;:&quot;24259384&quot;,&quot;page&quot;:&quot;1-152&quot;,&quot;abstract&quot;:&quot;OBJECTIVES This collaborative study, based on data collected by the network of Italian association of cancer registries (AIRTUM), provides updated estimates on the incidence risk of multiple primary cancer (MP). The objective is to highlight and quantify the bidirectional associations between different oncological diseases. The quantification of the excess or decreased risk of further cancers in cancer patients, in comparison with the general population, may contribute to understand the aetiology of cancer and to address clinical follow-up. MATERIAL AND METHODS Data herein presented were provided by AIRTUM population-based cancer registries, which cover nowadays 48% of the Italian population. This monograph utilizes the AIRTUM database (December 2012), considering all malignant cancer cases diagnosed between 1976 and 2010. All cases are coded according to ICD-O-3. Non-melanoma skin cancer cases, cases based on death certificate only, cases based on autopsy only, and cases with follow-up time equal to zero were excluded. To define multiple primaries, IARC-IACR rules were adopted (http://www.iacr.com.fr/MPrules_july2004.pdf). Data were subjected to standard quality control procedures (described in the AIRTUM data management protocol) and specific quality control checks defined for the present study. A cohort of cancer patients was followed over time from first cancer diagnosis until the date of second cancer diagnosis, death, or the end of follow-up, to evaluate whether the number of observed second cancer cases was greater than expected. Person years at risk (PY) were computed by first cancer site, geographic area (North, Centre, South and Islands), attained age, and attained calendar-year group. All second cancers diagnosed in the cohort's patients were included in the observed numbers of cases. The expected number of cancer cases was computed multiplying the accumulated PY by the expected rates, calculated from the AIRTUM database stratified by cancer site, geographic area, age, and calendar-year group. The Standardized Incidence Ratio (SIR) was calculated as the ratio of observed to expected cancer cases. The Excess Absolute Risk (EAR) beyond the expected amount were calculated subtracting the expected number of subsequent cancers from the observed number of cancer cases; the difference was then divided by the PY and the number of cancer cases in excess (or deficit) was expressed per 1,000 PY. Confidence intervals were stated at 95%. The two months (60 days) after first cancer diagnosis were defined as \&quot;synchronicity period\&quot;, and in the main analysis observed and expected cases during this period were excluded. It was estimated the excess risk in the period after first diagnosis (≥ 0 months), excluding the synchronicity period (≥ 2 months), and during the following periods: 2-11, 12-59, 60-119 and 120 months after diagnosis. First-cancer-site-and-gender-specific sheets are presented, reporting both SIRs and EARs. RESULTS For 5,979,338 person-years a cohort of 1,635,060 cancer patients (880,361 males and 754,699 females) diagnosed between 1976 and 2010 was followed. The mean follow-up length was 14 years. Overall, 85,399 metachronous (latency ≥2 months) cancers were observed, while 77,813 were expected during the study period: SIR: 1.10 (95%CI 1.09-1.10), EAR: 1.32 x 1,000 person-years (95%CI 1.19 - 1.46). The SIR was 1.08 (95%CI 1.08-1.09) for men (54,518 observed and 50,260 expected) and 1.12 (95%CI 1.11-1.13) for women (30,881/27,553), and the EAR 1.61 (95%CI 1.37-1.84) and 1.08 x 1,000 person-years (95%CI 0.93-1.24), respectively.Moreover, during the first two months after first cancer diagnosis (synchronous period) 14,807 cancers were observed while 3,536 were expected (SIR: 4.16; 95%CI 4.09-4.22); the SIR was 4.08 (95%CI 4.00-4.16) for men and 4.32 (95%CI 4.20-4.45) for women.The mean age of patients at first cancer diagnosis was 67.0 years among males and 65.8 among females.The risk of MP was related to age being higher for younger patients and lower for older ones. In relation to the time of first cancer diagnosis, the SIR was very high at the beginning and then decreased, although remaining constantly over 1, and then rose over time. No strong differences were evident across the different incidence periods, which all showed an increased MP risk.Women had higher SIRs than expected for 18 cancer sites, men for 12. The statistically significantly SIRs lower than 1 were 2 and 8, respectively. Increased overall MP risk was observed for patients of both sexes with a first primary in the oral cavity (SIR men: 1.93; SIR women: 1.48), pharynx (SIR men: 2.13; SIR women: 1.99), larynx (SIR men: 1.57; SIR women: 1.79), oesophagus (SIR men: 1.45; SIR women: 1.41), lung (SIR men: 1.09; SIR women: 1.13), kidney (SIR men: 1.14; SIR women: 1.15), urinary bladder (SIR men: 1.29; SIR women: 1.22), thyroid (SIR: 1.22 in both sexes), Hodgkin lymphoma (SIR men: 1.59; SIR women: 1.94), and non-Hodgkin lymphoma (SIR men: 1.13; SIR women: 1.12), and for the heterogeneous group \&quot;other sites\&quot; (SIR men: 1.09; SIR women: 1.07). Moreover, men had a higher MP risk if the first cancer was in the testis (SIR: 1.24), while the same was true for women with gallbladder (SIR: 1.21), skin melanoma (SIR: 1.17), bone (SIR: 1.41), breast (SIR: 1.12), cervix uteri (SIR: 1.23) and corpus uteri (SIR: 1.23), and ovarian cancer (SIR: 1.18). On the contrary, a first liver or pancreas cancer were associated with a decreased MP risk in both sexes (liver SIR: 0.86 and 0.81 for men and women, respectively; pancreas SIR: 0.70 and 0.78 for men and women, respectively), as were those of colon (SIR: 0.93), rectum (SIR: 0.83), gallbladder (SIR: 0.80), prostate (SIR: 0.93), mesothelioma (SIR: 0.65), and central nervous system (SIR: 0.82) among men. Among the cancers for which the EAR is statistically significant, those with higher Excess Absolute Risk of MP were those of the oral cavity (EAR: 16.0 x 1,000 person-years in men and 5.4 in women), pharynx (17.6 and 9.1), larynx (11.4 and 8.8), and oesophagus (8.5 and 4.8). DISCUSSION This descriptive study provides quantitative information on the risk of developing a second cancer in an Italian population-based cohort of approximately 1.65 million cancer patients, compared to the risk of the general population. During the follow-up time (on average 14 years) cancer patients had an MP risk that was 10% higher in comparison to the general population and an Excess Absolute Risk of 1.32 x 1,000 person-years. Study of MPs and their risk measures are dependent on methods used in the calculation. The definition of MP is not univocal and using different rules can greatly change the number of cancers in a patient with MPs. However, the AIRTUM cancer registries adopt the same recommendations for MP definition. This monograph was therefore made possible by the shared rules and standards used by AIRTUM registries. The cancer site-specific sheets, which represent the core of the monograph, can be useful to highlight and quantify the bidirectional associations among different diseases and therefore provide indications for clinical follow-up. Lifestyle changes in more healthful directions can have a positive effect in the cancer patient population and should always be recommended.&quot;,&quot;issue&quot;:&quot;4-5 Suppl 1&quot;,&quot;volume&quot;:&quot;37&quot;,&quot;expandedJournalTitle&quot;:&quot;Epidemiologia e prevenzione&quot;},&quot;isTemporary&quot;:false},{&quot;id&quot;:&quot;6ac47a14-c290-3490-b76a-69642806c322&quot;,&quot;itemData&quot;:{&quot;type&quot;:&quot;article-journal&quot;,&quot;id&quot;:&quot;6ac47a14-c290-3490-b76a-69642806c322&quot;,&quot;title&quot;:&quot;Risk of Second Non-Breast Primary Cancer in Male and Female Breast Cancer Patients: A Population-Based Cohort Study.&quot;,&quot;author&quot;:[{&quot;family&quot;:&quot;Hung&quot;,&quot;given&quot;:&quot;Man-Hsin&quot;,&quot;parse-names&quot;:false,&quot;dropping-particle&quot;:&quot;&quot;,&quot;non-dropping-particle&quot;:&quot;&quot;},{&quot;family&quot;:&quot;Liu&quot;,&quot;given&quot;:&quot;Chia-Jen&quot;,&quot;parse-names&quot;:false,&quot;dropping-particle&quot;:&quot;&quot;,&quot;non-dropping-particle&quot;:&quot;&quot;},{&quot;family&quot;:&quot;Teng&quot;,&quot;given&quot;:&quot;Chung-Jen&quot;,&quot;parse-names&quot;:false,&quot;dropping-particle&quot;:&quot;&quot;,&quot;non-dropping-particle&quot;:&quot;&quot;},{&quot;family&quot;:&quot;Hu&quot;,&quot;given&quot;:&quot;Yu-Wen&quot;,&quot;parse-names&quot;:false,&quot;dropping-particle&quot;:&quot;&quot;,&quot;non-dropping-particle&quot;:&quot;&quot;},{&quot;family&quot;:&quot;Yeh&quot;,&quot;given&quot;:&quot;Chiu-Mei&quot;,&quot;parse-names&quot;:false,&quot;dropping-particle&quot;:&quot;&quot;,&quot;non-dropping-particle&quot;:&quot;&quot;},{&quot;family&quot;:&quot;Chen&quot;,&quot;given&quot;:&quot;San-Chi&quot;,&quot;parse-names&quot;:false,&quot;dropping-particle&quot;:&quot;&quot;,&quot;non-dropping-particle&quot;:&quot;&quot;},{&quot;family&quot;:&quot;Chien&quot;,&quot;given&quot;:&quot;Sheng-Hsuan&quot;,&quot;parse-names&quot;:false,&quot;dropping-particle&quot;:&quot;&quot;,&quot;non-dropping-particle&quot;:&quot;&quot;},{&quot;family&quot;:&quot;Hung&quot;,&quot;given&quot;:&quot;Yi-Ping&quot;,&quot;parse-names&quot;:false,&quot;dropping-particle&quot;:&quot;&quot;,&quot;non-dropping-particle&quot;:&quot;&quot;},{&quot;family&quot;:&quot;Shen&quot;,&quot;given&quot;:&quot;Cheng-Che&quot;,&quot;parse-names&quot;:false,&quot;dropping-particle&quot;:&quot;&quot;,&quot;non-dropping-particle&quot;:&quot;&quot;},{&quot;family&quot;:&quot;Chen&quot;,&quot;given&quot;:&quot;Tzeng-Ji&quot;,&quot;parse-names&quot;:false,&quot;dropping-particle&quot;:&quot;&quot;,&quot;non-dropping-particle&quot;:&quot;&quot;},{&quot;family&quot;:&quot;Tzeng&quot;,&quot;given&quot;:&quot;Cheng-Hwai&quot;,&quot;parse-names&quot;:false,&quot;dropping-particle&quot;:&quot;&quot;,&quot;non-dropping-particle&quot;:&quot;&quot;},{&quot;family&quot;:&quot;Liu&quot;,&quot;given&quot;:&quot;Chun-Yu&quot;,&quot;parse-names&quot;:false,&quot;dropping-particle&quot;:&quot;&quot;,&quot;non-dropping-particle&quot;:&quot;&quot;}],&quot;container-title&quot;:&quot;PloS one&quot;,&quot;DOI&quot;:&quot;10.1371/journal.pone.0148597&quot;,&quot;ISSN&quot;:&quot;1932-6203&quot;,&quot;PMID&quot;:&quot;26894298&quot;,&quot;issued&quot;:{&quot;date-parts&quot;:[[2016]]},&quot;page&quot;:&quot;e0148597&quot;,&quot;abstract&quot;:&quot;Female breast cancer patients have an increased risk of developing subsequent malignant diseases, but this issue is rarely discussed in regards to male breast cancer patients. Thus, we conducted a national survey that included 100,915 female and 578 male breast cancer patients to investigate the risk of second primary malignancy (SPM). During a follow-up period that included 529,782 person-years, 3,153 cases of SPM developed. Compared with the general population, the standardized incidence ratio (SIR) of SPM in breast cancer patients was 1.51 [95% confidence interval (CI): 1.46-1.56]. The observed risk was significantly higher in male patients (SIR 2.17, 95% CI 1.70-2.73) and in patients whose age at breast cancer diagnosis was 40 years or younger (SIR 3.39, 95% CI 2.80-4.07), comparing to age-matched general population. Compared with the overall female population, the SIRs of female breast cancer patients with uterine (SIR: 2.66, 95% CI: 2.37-2.98), thyroid (SIR: 2.30, 95% CI: 2.02-2.62), and bone and soft tissue (SIR: 2.16, 95% CI: 1.56-2.91) cancers were significantly increased. Male breast cancer patients also displayed significantly higher SIRs for thyroid (SIR: 13.2, 95% CI: 1.60-47.69), skin (SIR: 8.24, 95% CI: 3.02-17.94) and head and neck (SIR: 4.41, 95% CI: 2.35-7.54) cancers. Among breast cancer patients, risk factors significantly associated with SPM included male gender, older age, chemotherapy treatment and comorbidity with liver cirrhosis. From our analysis, we concluded that the risk of SPM was significantly higher for both male and female breast cancer patients compared with the general population, suggesting that more intensive surveillance may be needed, especially in high-risk patients.&quot;,&quot;issue&quot;:&quot;2&quot;,&quot;volume&quot;:&quot;11&quot;,&quot;expandedJournalTitle&quot;:&quot;PloS one&quot;},&quot;isTemporary&quot;:false},{&quot;id&quot;:&quot;0f1cd07a-bad1-38e0-a1b8-e2cb38442a79&quot;,&quot;itemData&quot;:{&quot;type&quot;:&quot;article-journal&quot;,&quot;id&quot;:&quot;0f1cd07a-bad1-38e0-a1b8-e2cb38442a79&quot;,&quot;title&quot;:&quot;Risk of second primary cancer in men with breast cancer.&quot;,&quot;author&quot;:[{&quot;family&quot;:&quot;Satram-Hoang&quot;,&quot;given&quot;:&quot;Sacha&quot;,&quot;parse-names&quot;:false,&quot;dropping-particle&quot;:&quot;&quot;,&quot;non-dropping-particle&quot;:&quot;&quot;},{&quot;family&quot;:&quot;Ziogas&quot;,&quot;given&quot;:&quot;Argyrios&quot;,&quot;parse-names&quot;:false,&quot;dropping-particle&quot;:&quot;&quot;,&quot;non-dropping-particle&quot;:&quot;&quot;},{&quot;family&quot;:&quot;Anton-Culver&quot;,&quot;given&quot;:&quot;Hoda&quot;,&quot;parse-names&quot;:false,&quot;dropping-particle&quot;:&quot;&quot;,&quot;non-dropping-particle&quot;:&quot;&quot;}],&quot;container-title&quot;:&quot;Breast cancer research : BCR&quot;,&quot;DOI&quot;:&quot;10.1186/bcr1643&quot;,&quot;ISSN&quot;:&quot;1465-542X&quot;,&quot;PMID&quot;:&quot;17254323&quot;,&quot;issued&quot;:{&quot;date-parts&quot;:[[2007]]},&quot;page&quot;:&quot;R10&quot;,&quot;abstract&quot;:&quot;INTRODUCTION A retrospective registry-based cohort study was conducted to examine the risk of second primary cancer following the occurrence of breast cancer in males. METHODS Data obtained from the California Cancer Registry in the period 1988 to 2003 included 1,926 men aged 85 years and younger diagnosed with a first primary breast cancer. Person-year analysis was applied to determine the risk of second primary cancers after the occurrence of a first primary breast cancer. The effects of age, race, and time since the first breast cancer diagnosis were assessed. RESULTS Of the 1,926 male breast cancer cases, 221 (11.5%) developed a second primary cancer. Men with first incidence of breast cancer have a significantly higher risk of second cancer (standardized incidence ratio (SIR) = 1.16, 95% confidence interval (CI) = 1.01-1.32). The risk of a second site-specific cancer is elevated for breast cancer (SIR = 52.12, 95% CI = 31.83-80.49), cutaneous melanoma (SIR = 2.98, 95% CI = 1.63-5.00) and stomach cancer (SIR = 2.11, 95% CI = 1.01-3.88). There is a general tendency towards higher risks of second malignancies among younger men compared to older men and the risk increased with the passage of time. CONCLUSION Male breast cancer patients should be monitored carefully for the occurrence of second primary cancers, especially a second primary breast cancer.&quot;,&quot;issue&quot;:&quot;1&quot;,&quot;volume&quot;:&quot;9&quot;,&quot;expandedJournalTitle&quot;:&quot;Breast cancer research : BCR&quot;},&quot;isTemporary&quot;:false}]},{&quot;citationID&quot;:&quot;MENDELEY_CITATION_ee5f8dac-9c05-42c4-aabe-c72270d1c1b9&quot;,&quot;properties&quot;:{&quot;noteIndex&quot;:0},&quot;isEdited&quot;:false,&quot;manualOverride&quot;:{&quot;isManuallyOverridden&quot;:false,&quot;citeprocText&quot;:&quot;(1,4)&quot;,&quot;manualOverrideText&quot;:&quot;&quot;},&quot;citationTag&quot;:&quot;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&quot;,&quot;citationItems&quot;:[{&quot;id&quot;:&quot;fdc1d2b3-72e3-38c3-a7c4-24878db8890b&quot;,&quot;itemData&quot;:{&quot;type&quot;:&quot;article-journal&quot;,&quot;id&quot;:&quot;fdc1d2b3-72e3-38c3-a7c4-24878db8890b&quot;,&quot;title&quot;:&quot;Second primary malignancies in patients with male breast cancer.&quot;,&quot;author&quot;:[{&quot;family&quot;:&quot;Hemminki&quot;,&quot;given&quot;:&quot;K&quot;,&quot;parse-names&quot;:false,&quot;dropping-particle&quot;:&quot;&quot;,&quot;non-dropping-particle&quot;:&quot;&quot;},{&quot;family&quot;:&quot;Scélo&quot;,&quot;given&quot;:&quot;G&quot;,&quot;parse-names&quot;:false,&quot;dropping-particle&quot;:&quot;&quot;,&quot;non-dropping-particle&quot;:&quot;&quot;},{&quot;family&quot;:&quot;Boffetta&quot;,&quot;given&quot;:&quot;P&quot;,&quot;parse-names&quot;:false,&quot;dropping-particle&quot;:&quot;&quot;,&quot;non-dropping-particle&quot;:&quot;&quot;},{&quot;family&quot;:&quot;Mellemkjaer&quot;,&quot;given&quot;:&quot;L&quot;,&quot;parse-names&quot;:false,&quot;dropping-particle&quot;:&quot;&quot;,&quot;non-dropping-particle&quot;:&quot;&quot;},{&quot;family&quot;:&quot;Tracey&quot;,&quot;given&quot;:&quot;E&quot;,&quot;parse-names&quot;:false,&quot;dropping-particle&quot;:&quot;&quot;,&quot;non-dropping-particle&quot;:&quot;&quot;},{&quot;family&quot;:&quot;Andersen&quot;,&quot;given&quot;:&quot;A&quot;,&quot;parse-names&quot;:false,&quot;dropping-particle&quot;:&quot;&quot;,&quot;non-dropping-particle&quot;:&quot;&quot;},{&quot;family&quot;:&quot;Brewster&quot;,&quot;given&quot;:&quot;D H&quot;,&quot;parse-names&quot;:false,&quot;dropping-particle&quot;:&quot;&quot;,&quot;non-dropping-particle&quot;:&quot;&quot;},{&quot;family&quot;:&quot;Pukkala&quot;,&quot;given&quot;:&quot;E&quot;,&quot;parse-names&quot;:false,&quot;dropping-particle&quot;:&quot;&quot;,&quot;non-dropping-particle&quot;:&quot;&quot;},{&quot;family&quot;:&quot;McBride&quot;,&quot;given&quot;:&quot;M&quot;,&quot;parse-names&quot;:false,&quot;dropping-particle&quot;:&quot;&quot;,&quot;non-dropping-particle&quot;:&quot;&quot;},{&quot;family&quot;:&quot;Kliewer&quot;,&quot;given&quot;:&quot;E&quot;,&quot;parse-names&quot;:false,&quot;dropping-particle&quot;:&quot;v&quot;,&quot;non-dropping-particle&quot;:&quot;&quot;},{&quot;family&quot;:&quot;Chia&quot;,&quot;given&quot;:&quot;K-S&quot;,&quot;parse-names&quot;:false,&quot;dropping-particle&quot;:&quot;&quot;,&quot;non-dropping-particle&quot;:&quot;&quot;},{&quot;family&quot;:&quot;Pompe-Kirn&quot;,&quot;given&quot;:&quot;V&quot;,&quot;parse-names&quot;:false,&quot;dropping-particle&quot;:&quot;&quot;,&quot;non-dropping-particle&quot;:&quot;&quot;},{&quot;family&quot;:&quot;Martos&quot;,&quot;given&quot;:&quot;C&quot;,&quot;parse-names&quot;:false,&quot;dropping-particle&quot;:&quot;&quot;,&quot;non-dropping-particle&quot;:&quot;&quot;},{&quot;family&quot;:&quot;Jonasson&quot;,&quot;given&quot;:&quot;J G&quot;,&quot;parse-names&quot;:false,&quot;dropping-particle&quot;:&quot;&quot;,&quot;non-dropping-particle&quot;:&quot;&quot;},{&quot;family&quot;:&quot;Li&quot;,&quot;given&quot;:&quot;X&quot;,&quot;parse-names&quot;:false,&quot;dropping-particle&quot;:&quot;&quot;,&quot;non-dropping-particle&quot;:&quot;&quot;},{&quot;family&quot;:&quot;Brennan&quot;,&quot;given&quot;:&quot;P&quot;,&quot;parse-names&quot;:false,&quot;dropping-particle&quot;:&quot;&quot;,&quot;non-dropping-particle&quot;:&quot;&quot;}],&quot;container-title&quot;:&quot;British journal of cancer&quot;,&quot;DOI&quot;:&quot;10.1038/sj.bjc.6602505&quot;,&quot;ISSN&quot;:&quot;0007-0920&quot;,&quot;PMID&quot;:&quot;15798766&quot;,&quot;issued&quot;:{&quot;date-parts&quot;:[[2005,4,11]]},&quot;page&quot;:&quot;1288-92&quot;,&quot;abstract&quot;:&quot;An international multicentre study of first and second primary neoplasms associated with male breast cancer was carried out by pooling data from 13 cancer registries. Among a total of 3409 men with primary breast cancer, 426 (12.5%) developed a second neoplasia; other than breast cancer, a 34% overall excess risk of second primary neoplasia, affecting the small intestine (standardised incidence ratio, 4.95, 95% confidence interval, 1.35-12.7), rectum (1.78, 1.20-2.54), pancreas (1.93, 1.14-3.05), skin (nonmelanoma, 1.65, 1.16-2.29), prostate (1.61, 1.34-1.93) and lymphohaematopoietic system (1.63, 1.12-2.29). A total of 225 male breast cancers was recorded after cancers other than breast cancer, but an increase was found only after lymphohaematopoietic neoplasms. BRCA2 (and to some extent BRCA1) mutations may explain the findings for pancreatic and prostate cancers. Increases at other sites may be related to unknown factors or to chance. This large study shows that the risks for second discordant tumours after male breast cancer pose only a moderate excess risk.&quot;,&quot;issue&quot;:&quot;7&quot;,&quot;volume&quot;:&quot;92&quot;,&quot;expandedJournalTitle&quot;:&quot;British journal of cancer&quot;},&quot;isTemporary&quot;:false},{&quot;id&quot;:&quot;fefa6773-8878-3888-9877-ab5cb9cc3b59&quot;,&quot;itemData&quot;:{&quot;type&quot;:&quot;article-journal&quot;,&quot;id&quot;:&quot;fefa6773-8878-3888-9877-ab5cb9cc3b59&quot;,&quot;title&quot;:&quot;Italian cancer figures, report 2013: Multiple tumours.&quot;,&quot;author&quot;:[{&quot;family&quot;:&quot;AIRTUM Working Group&quot;,&quot;given&quot;:&quot;&quot;,&quot;parse-names&quot;:false,&quot;dropping-particle&quot;:&quot;&quot;,&quot;non-dropping-particle&quot;:&quot;&quot;}],&quot;container-title&quot;:&quot;Epidemiologia e prevenzione&quot;,&quot;ISSN&quot;:&quot;1120-9763&quot;,&quot;PMID&quot;:&quot;24259384&quot;,&quot;page&quot;:&quot;1-152&quot;,&quot;abstract&quot;:&quot;OBJECTIVES This collaborative study, based on data collected by the network of Italian association of cancer registries (AIRTUM), provides updated estimates on the incidence risk of multiple primary cancer (MP). The objective is to highlight and quantify the bidirectional associations between different oncological diseases. The quantification of the excess or decreased risk of further cancers in cancer patients, in comparison with the general population, may contribute to understand the aetiology of cancer and to address clinical follow-up. MATERIAL AND METHODS Data herein presented were provided by AIRTUM population-based cancer registries, which cover nowadays 48% of the Italian population. This monograph utilizes the AIRTUM database (December 2012), considering all malignant cancer cases diagnosed between 1976 and 2010. All cases are coded according to ICD-O-3. Non-melanoma skin cancer cases, cases based on death certificate only, cases based on autopsy only, and cases with follow-up time equal to zero were excluded. To define multiple primaries, IARC-IACR rules were adopted (http://www.iacr.com.fr/MPrules_july2004.pdf). Data were subjected to standard quality control procedures (described in the AIRTUM data management protocol) and specific quality control checks defined for the present study. A cohort of cancer patients was followed over time from first cancer diagnosis until the date of second cancer diagnosis, death, or the end of follow-up, to evaluate whether the number of observed second cancer cases was greater than expected. Person years at risk (PY) were computed by first cancer site, geographic area (North, Centre, South and Islands), attained age, and attained calendar-year group. All second cancers diagnosed in the cohort's patients were included in the observed numbers of cases. The expected number of cancer cases was computed multiplying the accumulated PY by the expected rates, calculated from the AIRTUM database stratified by cancer site, geographic area, age, and calendar-year group. The Standardized Incidence Ratio (SIR) was calculated as the ratio of observed to expected cancer cases. The Excess Absolute Risk (EAR) beyond the expected amount were calculated subtracting the expected number of subsequent cancers from the observed number of cancer cases; the difference was then divided by the PY and the number of cancer cases in excess (or deficit) was expressed per 1,000 PY. Confidence intervals were stated at 95%. The two months (60 days) after first cancer diagnosis were defined as \&quot;synchronicity period\&quot;, and in the main analysis observed and expected cases during this period were excluded. It was estimated the excess risk in the period after first diagnosis (≥ 0 months), excluding the synchronicity period (≥ 2 months), and during the following periods: 2-11, 12-59, 60-119 and 120 months after diagnosis. First-cancer-site-and-gender-specific sheets are presented, reporting both SIRs and EARs. RESULTS For 5,979,338 person-years a cohort of 1,635,060 cancer patients (880,361 males and 754,699 females) diagnosed between 1976 and 2010 was followed. The mean follow-up length was 14 years. Overall, 85,399 metachronous (latency ≥2 months) cancers were observed, while 77,813 were expected during the study period: SIR: 1.10 (95%CI 1.09-1.10), EAR: 1.32 x 1,000 person-years (95%CI 1.19 - 1.46). The SIR was 1.08 (95%CI 1.08-1.09) for men (54,518 observed and 50,260 expected) and 1.12 (95%CI 1.11-1.13) for women (30,881/27,553), and the EAR 1.61 (95%CI 1.37-1.84) and 1.08 x 1,000 person-years (95%CI 0.93-1.24), respectively.Moreover, during the first two months after first cancer diagnosis (synchronous period) 14,807 cancers were observed while 3,536 were expected (SIR: 4.16; 95%CI 4.09-4.22); the SIR was 4.08 (95%CI 4.00-4.16) for men and 4.32 (95%CI 4.20-4.45) for women.The mean age of patients at first cancer diagnosis was 67.0 years among males and 65.8 among females.The risk of MP was related to age being higher for younger patients and lower for older ones. In relation to the time of first cancer diagnosis, the SIR was very high at the beginning and then decreased, although remaining constantly over 1, and then rose over time. No strong differences were evident across the different incidence periods, which all showed an increased MP risk.Women had higher SIRs than expected for 18 cancer sites, men for 12. The statistically significantly SIRs lower than 1 were 2 and 8, respectively. Increased overall MP risk was observed for patients of both sexes with a first primary in the oral cavity (SIR men: 1.93; SIR women: 1.48), pharynx (SIR men: 2.13; SIR women: 1.99), larynx (SIR men: 1.57; SIR women: 1.79), oesophagus (SIR men: 1.45; SIR women: 1.41), lung (SIR men: 1.09; SIR women: 1.13), kidney (SIR men: 1.14; SIR women: 1.15), urinary bladder (SIR men: 1.29; SIR women: 1.22), thyroid (SIR: 1.22 in both sexes), Hodgkin lymphoma (SIR men: 1.59; SIR women: 1.94), and non-Hodgkin lymphoma (SIR men: 1.13; SIR women: 1.12), and for the heterogeneous group \&quot;other sites\&quot; (SIR men: 1.09; SIR women: 1.07). Moreover, men had a higher MP risk if the first cancer was in the testis (SIR: 1.24), while the same was true for women with gallbladder (SIR: 1.21), skin melanoma (SIR: 1.17), bone (SIR: 1.41), breast (SIR: 1.12), cervix uteri (SIR: 1.23) and corpus uteri (SIR: 1.23), and ovarian cancer (SIR: 1.18). On the contrary, a first liver or pancreas cancer were associated with a decreased MP risk in both sexes (liver SIR: 0.86 and 0.81 for men and women, respectively; pancreas SIR: 0.70 and 0.78 for men and women, respectively), as were those of colon (SIR: 0.93), rectum (SIR: 0.83), gallbladder (SIR: 0.80), prostate (SIR: 0.93), mesothelioma (SIR: 0.65), and central nervous system (SIR: 0.82) among men. Among the cancers for which the EAR is statistically significant, those with higher Excess Absolute Risk of MP were those of the oral cavity (EAR: 16.0 x 1,000 person-years in men and 5.4 in women), pharynx (17.6 and 9.1), larynx (11.4 and 8.8), and oesophagus (8.5 and 4.8). DISCUSSION This descriptive study provides quantitative information on the risk of developing a second cancer in an Italian population-based cohort of approximately 1.65 million cancer patients, compared to the risk of the general population. During the follow-up time (on average 14 years) cancer patients had an MP risk that was 10% higher in comparison to the general population and an Excess Absolute Risk of 1.32 x 1,000 person-years. Study of MPs and their risk measures are dependent on methods used in the calculation. The definition of MP is not univocal and using different rules can greatly change the number of cancers in a patient with MPs. However, the AIRTUM cancer registries adopt the same recommendations for MP definition. This monograph was therefore made possible by the shared rules and standards used by AIRTUM registries. The cancer site-specific sheets, which represent the core of the monograph, can be useful to highlight and quantify the bidirectional associations among different diseases and therefore provide indications for clinical follow-up. Lifestyle changes in more healthful directions can have a positive effect in the cancer patient population and should always be recommended.&quot;,&quot;issue&quot;:&quot;4-5 Suppl 1&quot;,&quot;volume&quot;:&quot;37&quot;,&quot;expandedJournalTitle&quot;:&quot;Epidemiologia e prevenzione&quot;},&quot;isTemporary&quot;:false}]}]"/>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A564-CE1E-4BB2-9BDF-7A85241B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Allen</dc:creator>
  <cp:keywords/>
  <dc:description/>
  <cp:lastModifiedBy>Isaac Allen</cp:lastModifiedBy>
  <cp:revision>4</cp:revision>
  <cp:lastPrinted>2022-04-08T12:53:00Z</cp:lastPrinted>
  <dcterms:created xsi:type="dcterms:W3CDTF">2022-07-01T12:23:00Z</dcterms:created>
  <dcterms:modified xsi:type="dcterms:W3CDTF">2022-07-01T12:53:00Z</dcterms:modified>
</cp:coreProperties>
</file>