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0200" w14:textId="4E6C1A4C" w:rsidR="00340786" w:rsidRDefault="00C615ED" w:rsidP="00531E8A">
      <w:pPr>
        <w:pStyle w:val="Heading1"/>
        <w:spacing w:before="3960" w:after="240" w:line="276" w:lineRule="auto"/>
      </w:pPr>
      <w:r>
        <w:t>Determinants of m</w:t>
      </w:r>
      <w:r w:rsidR="00FD46F7">
        <w:t>uscle density</w:t>
      </w:r>
      <w:r>
        <w:t xml:space="preserve"> </w:t>
      </w:r>
      <w:r w:rsidR="00CC49CD">
        <w:t>and clinical outcomes</w:t>
      </w:r>
      <w:r w:rsidR="0004647E">
        <w:t>:</w:t>
      </w:r>
      <w:r w:rsidR="00CC49CD">
        <w:t xml:space="preserve"> </w:t>
      </w:r>
      <w:r w:rsidR="00FD46F7">
        <w:t xml:space="preserve">findings from the Hertfordshire </w:t>
      </w:r>
      <w:r w:rsidR="007410E0">
        <w:t>C</w:t>
      </w:r>
      <w:r w:rsidR="00FD46F7">
        <w:t xml:space="preserve">ohort </w:t>
      </w:r>
      <w:r w:rsidR="007410E0">
        <w:t>S</w:t>
      </w:r>
      <w:r w:rsidR="00FD46F7">
        <w:t>tudy</w:t>
      </w:r>
    </w:p>
    <w:p w14:paraId="437B0369" w14:textId="3866B213" w:rsidR="00FD46F7" w:rsidRDefault="0080454E">
      <w:pPr>
        <w:rPr>
          <w:vertAlign w:val="superscript"/>
        </w:rPr>
      </w:pPr>
      <w:r>
        <w:t>Faidra Laskou</w:t>
      </w:r>
      <w:r w:rsidR="00E943EC" w:rsidRPr="00E943EC">
        <w:rPr>
          <w:vertAlign w:val="superscript"/>
        </w:rPr>
        <w:t>1,2</w:t>
      </w:r>
      <w:r>
        <w:t>, Leo Westbury</w:t>
      </w:r>
      <w:r w:rsidR="00E943EC" w:rsidRPr="00E943EC">
        <w:rPr>
          <w:vertAlign w:val="superscript"/>
        </w:rPr>
        <w:t>1</w:t>
      </w:r>
      <w:r>
        <w:t xml:space="preserve">, </w:t>
      </w:r>
      <w:r w:rsidR="00ED3ABE">
        <w:t xml:space="preserve">Nicholas </w:t>
      </w:r>
      <w:r w:rsidR="00CD38E3">
        <w:t xml:space="preserve">R </w:t>
      </w:r>
      <w:r w:rsidR="00ED3ABE">
        <w:t>Fuggle</w:t>
      </w:r>
      <w:r w:rsidR="00E943EC" w:rsidRPr="00E943EC">
        <w:rPr>
          <w:vertAlign w:val="superscript"/>
        </w:rPr>
        <w:t>1,3</w:t>
      </w:r>
      <w:r w:rsidR="00ED3ABE">
        <w:t>,</w:t>
      </w:r>
      <w:r w:rsidR="00E943EC">
        <w:t xml:space="preserve"> Nicholas C Harvey</w:t>
      </w:r>
      <w:r w:rsidR="00E943EC" w:rsidRPr="00E943EC">
        <w:rPr>
          <w:vertAlign w:val="superscript"/>
        </w:rPr>
        <w:t>1</w:t>
      </w:r>
      <w:r w:rsidR="002C4F7F">
        <w:rPr>
          <w:vertAlign w:val="superscript"/>
        </w:rPr>
        <w:t>,2</w:t>
      </w:r>
      <w:r w:rsidR="00E943EC">
        <w:t>,</w:t>
      </w:r>
      <w:r w:rsidR="00ED3ABE">
        <w:t xml:space="preserve"> Harnish P Patel</w:t>
      </w:r>
      <w:r w:rsidR="00E943EC">
        <w:t xml:space="preserve"> </w:t>
      </w:r>
      <w:r w:rsidR="00E943EC">
        <w:rPr>
          <w:vertAlign w:val="superscript"/>
        </w:rPr>
        <w:t>1,2,5,6</w:t>
      </w:r>
      <w:r w:rsidR="00ED3ABE">
        <w:t>, Cyrus Cooper</w:t>
      </w:r>
      <w:r w:rsidR="00E943EC" w:rsidRPr="00E943EC">
        <w:rPr>
          <w:vertAlign w:val="superscript"/>
        </w:rPr>
        <w:t>1,2,4</w:t>
      </w:r>
      <w:r w:rsidR="00ED3ABE">
        <w:t xml:space="preserve">, Kate </w:t>
      </w:r>
      <w:r w:rsidR="00521ABE">
        <w:t xml:space="preserve">A </w:t>
      </w:r>
      <w:r w:rsidR="00ED3ABE">
        <w:t>Ward</w:t>
      </w:r>
      <w:r w:rsidR="00E943EC" w:rsidRPr="00E943EC">
        <w:rPr>
          <w:vertAlign w:val="superscript"/>
        </w:rPr>
        <w:t>1</w:t>
      </w:r>
      <w:r w:rsidR="00521ABE">
        <w:rPr>
          <w:vertAlign w:val="superscript"/>
        </w:rPr>
        <w:t>,2</w:t>
      </w:r>
      <w:r w:rsidR="00ED3ABE">
        <w:t>, Elaine M Dennison</w:t>
      </w:r>
      <w:r w:rsidR="00E943EC" w:rsidRPr="00E943EC">
        <w:rPr>
          <w:vertAlign w:val="superscript"/>
        </w:rPr>
        <w:t>1,7</w:t>
      </w:r>
    </w:p>
    <w:p w14:paraId="56CA43A4" w14:textId="2891C205" w:rsidR="00621C5C" w:rsidRDefault="00621C5C">
      <w:pPr>
        <w:rPr>
          <w:vertAlign w:val="superscript"/>
        </w:rPr>
      </w:pPr>
    </w:p>
    <w:p w14:paraId="7ACD12AE" w14:textId="77777777" w:rsidR="00621C5C" w:rsidRDefault="00621C5C"/>
    <w:p w14:paraId="4DF5CF23" w14:textId="543311BE" w:rsidR="00DE4861" w:rsidRDefault="00DE4861" w:rsidP="00DE4861">
      <w:pPr>
        <w:pStyle w:val="Heading2"/>
      </w:pPr>
      <w:r>
        <w:t>Affiliations:</w:t>
      </w:r>
    </w:p>
    <w:p w14:paraId="537CEEF4" w14:textId="1C3EFA48" w:rsidR="00E943EC" w:rsidRPr="00F70DA4" w:rsidRDefault="00E943EC" w:rsidP="00E943EC">
      <w:r w:rsidRPr="00E943EC">
        <w:rPr>
          <w:vertAlign w:val="superscript"/>
        </w:rPr>
        <w:t>1</w:t>
      </w:r>
      <w:r w:rsidRPr="00F70DA4">
        <w:t xml:space="preserve"> Medical Research Council Lifecourse Epidemiology Centre, University of Southampton, </w:t>
      </w:r>
      <w:r w:rsidR="009A6533">
        <w:t xml:space="preserve">Southampton, </w:t>
      </w:r>
      <w:r w:rsidRPr="00F70DA4">
        <w:t>UK</w:t>
      </w:r>
    </w:p>
    <w:p w14:paraId="22BB7E3A" w14:textId="7060D078" w:rsidR="00E943EC" w:rsidRDefault="00E943EC" w:rsidP="00E943EC">
      <w:r w:rsidRPr="00E943EC">
        <w:rPr>
          <w:vertAlign w:val="superscript"/>
        </w:rPr>
        <w:t>2</w:t>
      </w:r>
      <w:r w:rsidRPr="00F70DA4">
        <w:t xml:space="preserve"> NIHR Southampton Biomedical Research Centre, University of Southampton and University Hospitals Southampton NHS Foundation Trust, Southampton, UK</w:t>
      </w:r>
    </w:p>
    <w:p w14:paraId="73FCE5F5" w14:textId="21DED351" w:rsidR="00E943EC" w:rsidRDefault="00E943EC" w:rsidP="00E943EC">
      <w:pPr>
        <w:spacing w:line="240" w:lineRule="auto"/>
      </w:pPr>
      <w:r w:rsidRPr="00E943EC">
        <w:rPr>
          <w:vertAlign w:val="superscript"/>
        </w:rPr>
        <w:t xml:space="preserve">3 </w:t>
      </w:r>
      <w:r>
        <w:t>The Alan Turing Institute, London</w:t>
      </w:r>
      <w:r w:rsidR="009A6533">
        <w:t>, UK</w:t>
      </w:r>
    </w:p>
    <w:p w14:paraId="480EDE8A" w14:textId="77777777" w:rsidR="00E943EC" w:rsidRDefault="00E943EC" w:rsidP="00E943EC">
      <w:pPr>
        <w:spacing w:line="240" w:lineRule="auto"/>
      </w:pPr>
      <w:r w:rsidRPr="00521C30">
        <w:rPr>
          <w:vertAlign w:val="superscript"/>
        </w:rPr>
        <w:t>4</w:t>
      </w:r>
      <w:r>
        <w:rPr>
          <w:vertAlign w:val="superscript"/>
        </w:rPr>
        <w:t xml:space="preserve"> </w:t>
      </w:r>
      <w:r w:rsidRPr="00466F44">
        <w:t>NIHR Oxford Biomedical Research Unit, University of Oxford, Oxford, UK</w:t>
      </w:r>
    </w:p>
    <w:p w14:paraId="7D7C3BC1" w14:textId="14563EA9" w:rsidR="00E943EC" w:rsidRPr="002815C9" w:rsidRDefault="00E943EC" w:rsidP="00E943EC">
      <w:pPr>
        <w:spacing w:line="240" w:lineRule="auto"/>
      </w:pPr>
      <w:r w:rsidRPr="00E73475">
        <w:rPr>
          <w:vertAlign w:val="superscript"/>
        </w:rPr>
        <w:t xml:space="preserve">5  </w:t>
      </w:r>
      <w:r w:rsidRPr="002815C9">
        <w:t>Medicine for Older People, University Hospital Southampton</w:t>
      </w:r>
      <w:r w:rsidR="009A6533">
        <w:t>,</w:t>
      </w:r>
      <w:r w:rsidRPr="002815C9">
        <w:t xml:space="preserve"> Southampton</w:t>
      </w:r>
      <w:r w:rsidR="009A6533">
        <w:t>,</w:t>
      </w:r>
      <w:r w:rsidRPr="002815C9">
        <w:t xml:space="preserve"> UK.</w:t>
      </w:r>
    </w:p>
    <w:p w14:paraId="0DE63C75" w14:textId="756FD675" w:rsidR="00E943EC" w:rsidRPr="00F70DA4" w:rsidRDefault="00E943EC" w:rsidP="00E943EC">
      <w:pPr>
        <w:spacing w:line="240" w:lineRule="auto"/>
      </w:pPr>
      <w:r>
        <w:rPr>
          <w:shd w:val="clear" w:color="auto" w:fill="FFFFFF"/>
          <w:vertAlign w:val="superscript"/>
        </w:rPr>
        <w:t>6</w:t>
      </w:r>
      <w:r w:rsidRPr="00466F44">
        <w:rPr>
          <w:shd w:val="clear" w:color="auto" w:fill="FFFFFF"/>
        </w:rPr>
        <w:t xml:space="preserve"> </w:t>
      </w:r>
      <w:r w:rsidRPr="002815C9">
        <w:t>Academic Geriatric Medicine, University of Southampton, Southampton</w:t>
      </w:r>
      <w:r w:rsidR="009A6533">
        <w:t>,</w:t>
      </w:r>
      <w:r w:rsidRPr="002815C9">
        <w:t xml:space="preserve"> UK.</w:t>
      </w:r>
    </w:p>
    <w:p w14:paraId="463C8136" w14:textId="20252E1A" w:rsidR="009A4E9D" w:rsidRPr="009A4E9D" w:rsidRDefault="00E943EC" w:rsidP="009A4E9D">
      <w:r>
        <w:rPr>
          <w:vertAlign w:val="superscript"/>
        </w:rPr>
        <w:t>7</w:t>
      </w:r>
      <w:r w:rsidRPr="00E943EC">
        <w:rPr>
          <w:vertAlign w:val="superscript"/>
        </w:rPr>
        <w:t xml:space="preserve"> </w:t>
      </w:r>
      <w:r w:rsidRPr="00F70DA4">
        <w:t>Victoria University of Wellington, Wellington, New Zealand</w:t>
      </w:r>
    </w:p>
    <w:p w14:paraId="1D918C6D" w14:textId="5CE78E4F" w:rsidR="009A4E9D" w:rsidRDefault="009A4E9D" w:rsidP="007410E0">
      <w:pPr>
        <w:pStyle w:val="Heading2"/>
      </w:pPr>
      <w:r>
        <w:t>Corresponding author:</w:t>
      </w:r>
    </w:p>
    <w:p w14:paraId="3A4B463D" w14:textId="3F43BEE2" w:rsidR="00E42C2A" w:rsidRPr="00E42C2A" w:rsidRDefault="008D33DE" w:rsidP="00E42C2A">
      <w:r>
        <w:t xml:space="preserve">Prof. Elaine Dennison, </w:t>
      </w:r>
      <w:hyperlink r:id="rId9" w:history="1">
        <w:r w:rsidRPr="007138B4">
          <w:rPr>
            <w:rStyle w:val="Hyperlink"/>
          </w:rPr>
          <w:t>emd@mrc.soton.ac.uk</w:t>
        </w:r>
      </w:hyperlink>
      <w:r>
        <w:t xml:space="preserve"> </w:t>
      </w:r>
    </w:p>
    <w:p w14:paraId="4E12D84C" w14:textId="4400AA5C" w:rsidR="007410E0" w:rsidRDefault="007410E0">
      <w:r>
        <w:br w:type="page"/>
      </w:r>
    </w:p>
    <w:p w14:paraId="68946196" w14:textId="598ACF93" w:rsidR="007410E0" w:rsidRDefault="007410E0" w:rsidP="007410E0">
      <w:pPr>
        <w:pStyle w:val="Heading1"/>
      </w:pPr>
      <w:r>
        <w:lastRenderedPageBreak/>
        <w:t xml:space="preserve">Abstract </w:t>
      </w:r>
    </w:p>
    <w:p w14:paraId="088C82D7" w14:textId="60ED5F82" w:rsidR="00C90286" w:rsidRDefault="00C90286" w:rsidP="00BC5BDD">
      <w:pPr>
        <w:jc w:val="both"/>
      </w:pPr>
      <w:r>
        <w:t>Purpose</w:t>
      </w:r>
    </w:p>
    <w:p w14:paraId="434B629E" w14:textId="02E6329C" w:rsidR="00D5308C" w:rsidRPr="0084120E" w:rsidRDefault="0CBD105C" w:rsidP="79600936">
      <w:pPr>
        <w:jc w:val="both"/>
      </w:pPr>
      <w:r>
        <w:t xml:space="preserve">The </w:t>
      </w:r>
      <w:r w:rsidR="5401E2B5">
        <w:t xml:space="preserve">age-related </w:t>
      </w:r>
      <w:r>
        <w:t>loss of skeletal muscle mass and strength is associated with adverse health outcomes</w:t>
      </w:r>
      <w:r w:rsidRPr="79600936">
        <w:t xml:space="preserve">. </w:t>
      </w:r>
      <w:r w:rsidR="00A657B7">
        <w:t>However, t</w:t>
      </w:r>
      <w:r w:rsidRPr="79600936">
        <w:t xml:space="preserve">o date, </w:t>
      </w:r>
      <w:r w:rsidR="2982051C" w:rsidRPr="79600936">
        <w:t>peripheral</w:t>
      </w:r>
      <w:r w:rsidR="05CAC784" w:rsidRPr="79600936">
        <w:t xml:space="preserve"> quantitative </w:t>
      </w:r>
      <w:r w:rsidR="2982051C" w:rsidRPr="79600936">
        <w:t xml:space="preserve">computed tomography (pQCT)-derived </w:t>
      </w:r>
      <w:r w:rsidRPr="79600936">
        <w:t>muscle density</w:t>
      </w:r>
      <w:r w:rsidR="70260DA3" w:rsidRPr="79600936">
        <w:t xml:space="preserve"> </w:t>
      </w:r>
      <w:r w:rsidRPr="79600936">
        <w:t xml:space="preserve">has been little studied. We used a well characterised cohort of older adults to identify lifestyle and anthropometric determinants of </w:t>
      </w:r>
      <w:r w:rsidR="00A657B7">
        <w:t xml:space="preserve">pQCT-derived </w:t>
      </w:r>
      <w:r w:rsidR="09C1794E" w:rsidRPr="79600936">
        <w:t>muscle density</w:t>
      </w:r>
      <w:r w:rsidRPr="79600936">
        <w:t xml:space="preserve"> </w:t>
      </w:r>
      <w:r w:rsidR="009A6533">
        <w:t xml:space="preserve">measured </w:t>
      </w:r>
      <w:r w:rsidRPr="79600936">
        <w:t>11 years</w:t>
      </w:r>
      <w:r w:rsidR="6A73A1C8" w:rsidRPr="79600936">
        <w:t xml:space="preserve"> later,</w:t>
      </w:r>
      <w:r w:rsidR="05A83D54" w:rsidRPr="79600936">
        <w:t xml:space="preserve"> a</w:t>
      </w:r>
      <w:r w:rsidR="00D6B454" w:rsidRPr="79600936">
        <w:t>nd</w:t>
      </w:r>
      <w:r>
        <w:t xml:space="preserve"> </w:t>
      </w:r>
      <w:r w:rsidR="00D6B454">
        <w:t xml:space="preserve">to </w:t>
      </w:r>
      <w:r>
        <w:t xml:space="preserve">report relationships between </w:t>
      </w:r>
      <w:r w:rsidR="009A6533">
        <w:t>pQCT-</w:t>
      </w:r>
      <w:r w:rsidR="00D6B454">
        <w:t xml:space="preserve">derived </w:t>
      </w:r>
      <w:r w:rsidR="09C1794E">
        <w:t>muscle density</w:t>
      </w:r>
      <w:r>
        <w:t xml:space="preserve"> with history of falls and prevalent fractures</w:t>
      </w:r>
      <w:r w:rsidRPr="79600936">
        <w:t xml:space="preserve">. </w:t>
      </w:r>
    </w:p>
    <w:p w14:paraId="01A503E9" w14:textId="3FE11844" w:rsidR="00D6154B" w:rsidRPr="0084120E" w:rsidRDefault="00D5308C" w:rsidP="00BC5BDD">
      <w:pPr>
        <w:jc w:val="both"/>
        <w:rPr>
          <w:rFonts w:cstheme="minorHAnsi"/>
          <w:szCs w:val="24"/>
        </w:rPr>
      </w:pPr>
      <w:r w:rsidRPr="0084120E">
        <w:rPr>
          <w:rFonts w:cstheme="minorHAnsi"/>
          <w:szCs w:val="24"/>
        </w:rPr>
        <w:t>Methods</w:t>
      </w:r>
    </w:p>
    <w:p w14:paraId="7EC3D4C5" w14:textId="4F9F7A55" w:rsidR="00D5308C" w:rsidRPr="00847EE2" w:rsidRDefault="05A83D54" w:rsidP="79600936">
      <w:pPr>
        <w:jc w:val="both"/>
      </w:pPr>
      <w:r w:rsidRPr="79600936">
        <w:t xml:space="preserve">A lifestyle questionnaire was administered to </w:t>
      </w:r>
      <w:r w:rsidR="0CBD105C" w:rsidRPr="79600936">
        <w:t>197 men and 178 women</w:t>
      </w:r>
      <w:r w:rsidR="0CBD105C">
        <w:rPr>
          <w:szCs w:val="24"/>
        </w:rPr>
        <w:t>,</w:t>
      </w:r>
      <w:r w:rsidR="0CBD105C" w:rsidRPr="79600936">
        <w:t xml:space="preserve"> aged 59-70</w:t>
      </w:r>
      <w:r w:rsidRPr="79600936">
        <w:t xml:space="preserve"> at baseline</w:t>
      </w:r>
      <w:r w:rsidR="0CBD105C" w:rsidRPr="4E379EC9">
        <w:rPr>
          <w:szCs w:val="24"/>
        </w:rPr>
        <w:t>.</w:t>
      </w:r>
      <w:r w:rsidR="5A0A5DB4" w:rsidRPr="79600936">
        <w:t xml:space="preserve"> After a</w:t>
      </w:r>
      <w:r w:rsidR="0CBD105C" w:rsidRPr="4E379EC9">
        <w:rPr>
          <w:szCs w:val="24"/>
        </w:rPr>
        <w:t xml:space="preserve"> </w:t>
      </w:r>
      <w:r w:rsidR="5A0A5DB4" w:rsidRPr="79600936">
        <w:t xml:space="preserve">median of </w:t>
      </w:r>
      <w:r w:rsidR="5A0A5DB4" w:rsidRPr="00E34351">
        <w:t xml:space="preserve">11.5 (IQR </w:t>
      </w:r>
      <w:r w:rsidR="5A0A5DB4" w:rsidRPr="00E34351">
        <w:rPr>
          <w:rFonts w:eastAsia="Times New Roman"/>
          <w:color w:val="000000"/>
          <w:shd w:val="clear" w:color="auto" w:fill="FFFFFF"/>
        </w:rPr>
        <w:t xml:space="preserve">10.9, 12.3) </w:t>
      </w:r>
      <w:r w:rsidR="5A0A5DB4" w:rsidRPr="00E34351">
        <w:t>years</w:t>
      </w:r>
      <w:r w:rsidR="5A0A5DB4">
        <w:rPr>
          <w:szCs w:val="24"/>
        </w:rPr>
        <w:t xml:space="preserve">, </w:t>
      </w:r>
      <w:r w:rsidR="0CBD105C" w:rsidRPr="79600936">
        <w:t>pQCT</w:t>
      </w:r>
      <w:r w:rsidR="05CAC784" w:rsidRPr="79600936">
        <w:t xml:space="preserve"> (Strate</w:t>
      </w:r>
      <w:r w:rsidR="00D6B454" w:rsidRPr="79600936">
        <w:t>c</w:t>
      </w:r>
      <w:r w:rsidR="05CAC784" w:rsidRPr="79600936">
        <w:t xml:space="preserve"> XCT2000)</w:t>
      </w:r>
      <w:r w:rsidR="0CBD105C" w:rsidRPr="79600936">
        <w:t xml:space="preserve"> of the radius and tibia was performed</w:t>
      </w:r>
      <w:r w:rsidR="5A0A5DB4" w:rsidRPr="79600936">
        <w:t xml:space="preserve"> to measure </w:t>
      </w:r>
      <w:r w:rsidR="1C10DC0F" w:rsidRPr="79600936">
        <w:t>forearm</w:t>
      </w:r>
      <w:r w:rsidR="009A6533">
        <w:t xml:space="preserve"> muscle density</w:t>
      </w:r>
      <w:r w:rsidR="1C10DC0F" w:rsidRPr="79600936">
        <w:t xml:space="preserve"> </w:t>
      </w:r>
      <w:r w:rsidR="00A657B7">
        <w:t xml:space="preserve">(FMD) </w:t>
      </w:r>
      <w:r w:rsidR="1C10DC0F" w:rsidRPr="79600936">
        <w:t>and calf</w:t>
      </w:r>
      <w:r w:rsidR="2982051C">
        <w:rPr>
          <w:szCs w:val="24"/>
        </w:rPr>
        <w:t xml:space="preserve"> </w:t>
      </w:r>
      <w:r w:rsidR="09C1794E" w:rsidRPr="79600936">
        <w:t>muscle density</w:t>
      </w:r>
      <w:r w:rsidR="00A657B7">
        <w:t xml:space="preserve"> (CMD)</w:t>
      </w:r>
      <w:r w:rsidR="0CBD105C">
        <w:rPr>
          <w:szCs w:val="24"/>
        </w:rPr>
        <w:t xml:space="preserve">. </w:t>
      </w:r>
      <w:r w:rsidR="00A657B7">
        <w:t>Presence</w:t>
      </w:r>
      <w:r w:rsidR="00A657B7" w:rsidRPr="79600936">
        <w:t xml:space="preserve"> </w:t>
      </w:r>
      <w:r w:rsidR="20C5EE9C" w:rsidRPr="79600936">
        <w:t xml:space="preserve">of </w:t>
      </w:r>
      <w:r w:rsidR="20C5EE9C">
        <w:t>f</w:t>
      </w:r>
      <w:r w:rsidR="2982051C">
        <w:t>alls</w:t>
      </w:r>
      <w:r w:rsidR="0CBD105C">
        <w:t xml:space="preserve"> and fractures</w:t>
      </w:r>
      <w:r w:rsidR="52B029E7">
        <w:t xml:space="preserve"> since </w:t>
      </w:r>
      <w:r w:rsidR="5A0A5DB4">
        <w:t xml:space="preserve">the age of </w:t>
      </w:r>
      <w:r w:rsidR="52B029E7">
        <w:t>45</w:t>
      </w:r>
      <w:r w:rsidR="5A0A5DB4">
        <w:t xml:space="preserve"> were determined through participant recall</w:t>
      </w:r>
      <w:r w:rsidR="59C20A6C">
        <w:t>;</w:t>
      </w:r>
      <w:r w:rsidR="00D6B454">
        <w:t xml:space="preserve"> </w:t>
      </w:r>
      <w:r w:rsidR="5A0A5DB4">
        <w:t>vertebral fracture</w:t>
      </w:r>
      <w:r w:rsidR="59C20A6C">
        <w:t xml:space="preserve">s were also ascertained through vertebral fracture assessment using </w:t>
      </w:r>
      <w:proofErr w:type="spellStart"/>
      <w:r w:rsidR="59C20A6C">
        <w:t>iDXA</w:t>
      </w:r>
      <w:proofErr w:type="spellEnd"/>
      <w:r w:rsidR="59C20A6C">
        <w:t>. T</w:t>
      </w:r>
      <w:r w:rsidR="0CBD105C">
        <w:t>otal hip BMD (</w:t>
      </w:r>
      <w:r w:rsidR="79600936">
        <w:t>TH aBMD</w:t>
      </w:r>
      <w:r w:rsidR="0CBD105C">
        <w:t>) was assessed using DXA.</w:t>
      </w:r>
      <w:r w:rsidR="0CBD105C">
        <w:rPr>
          <w:szCs w:val="24"/>
        </w:rPr>
        <w:t xml:space="preserve"> </w:t>
      </w:r>
      <w:r w:rsidR="29E58175" w:rsidRPr="79600936">
        <w:t xml:space="preserve">Baseline characteristics in relation to </w:t>
      </w:r>
      <w:r w:rsidR="09C1794E" w:rsidRPr="79600936">
        <w:t>muscle density</w:t>
      </w:r>
      <w:r w:rsidR="29E58175" w:rsidRPr="79600936">
        <w:t xml:space="preserve"> at follow-up were examined using linear regression;</w:t>
      </w:r>
      <w:r w:rsidR="05CAC784" w:rsidRPr="79600936">
        <w:t xml:space="preserve"> associations between </w:t>
      </w:r>
      <w:r w:rsidR="09C1794E" w:rsidRPr="79600936">
        <w:t>muscle density</w:t>
      </w:r>
      <w:r w:rsidR="05CAC784" w:rsidRPr="79600936">
        <w:t xml:space="preserve"> and prior falls </w:t>
      </w:r>
      <w:r w:rsidR="009A6533">
        <w:t>and</w:t>
      </w:r>
      <w:r w:rsidR="009A6533" w:rsidRPr="79600936">
        <w:t xml:space="preserve"> </w:t>
      </w:r>
      <w:r w:rsidR="05CAC784" w:rsidRPr="79600936">
        <w:t xml:space="preserve">fractures were investigated </w:t>
      </w:r>
      <w:r w:rsidR="29E58175" w:rsidRPr="79600936">
        <w:t xml:space="preserve">using logistic regression. All analyses </w:t>
      </w:r>
      <w:r w:rsidR="471387AF" w:rsidRPr="79600936">
        <w:t>were adjusted</w:t>
      </w:r>
      <w:r w:rsidR="29E58175" w:rsidRPr="79600936">
        <w:t xml:space="preserve"> for sex and age.</w:t>
      </w:r>
    </w:p>
    <w:p w14:paraId="39C67A69" w14:textId="77777777" w:rsidR="00D5308C" w:rsidRPr="0084120E" w:rsidRDefault="00D5308C" w:rsidP="00BC5BDD">
      <w:pPr>
        <w:jc w:val="both"/>
        <w:rPr>
          <w:rFonts w:cstheme="minorHAnsi"/>
          <w:szCs w:val="24"/>
        </w:rPr>
      </w:pPr>
      <w:r w:rsidRPr="0084120E">
        <w:rPr>
          <w:rFonts w:cstheme="minorHAnsi"/>
          <w:szCs w:val="24"/>
        </w:rPr>
        <w:t>Results</w:t>
      </w:r>
    </w:p>
    <w:p w14:paraId="0B59E155" w14:textId="26923ED9" w:rsidR="00621C5C" w:rsidRDefault="0CBD105C" w:rsidP="79600936">
      <w:pPr>
        <w:jc w:val="both"/>
        <w:rPr>
          <w:shd w:val="clear" w:color="auto" w:fill="FFFFFF"/>
        </w:rPr>
      </w:pPr>
      <w:r w:rsidRPr="79600936">
        <w:rPr>
          <w:rFonts w:eastAsia="Times New Roman"/>
          <w:color w:val="000000"/>
          <w:shd w:val="clear" w:color="auto" w:fill="FFFFFF"/>
        </w:rPr>
        <w:t xml:space="preserve">Mean (SD) age at </w:t>
      </w:r>
      <w:r w:rsidR="09C1794E" w:rsidRPr="79600936">
        <w:rPr>
          <w:rFonts w:eastAsia="Times New Roman"/>
          <w:color w:val="000000"/>
          <w:shd w:val="clear" w:color="auto" w:fill="FFFFFF"/>
        </w:rPr>
        <w:t>muscle density</w:t>
      </w:r>
      <w:r w:rsidR="52B029E7" w:rsidRPr="79600936">
        <w:rPr>
          <w:rFonts w:eastAsia="Times New Roman"/>
          <w:color w:val="000000"/>
          <w:shd w:val="clear" w:color="auto" w:fill="FFFFFF"/>
        </w:rPr>
        <w:t xml:space="preserve"> measurement </w:t>
      </w:r>
      <w:r w:rsidRPr="79600936">
        <w:rPr>
          <w:rFonts w:eastAsia="Times New Roman"/>
          <w:color w:val="000000"/>
          <w:shd w:val="clear" w:color="auto" w:fill="FFFFFF"/>
        </w:rPr>
        <w:t xml:space="preserve">was </w:t>
      </w:r>
      <w:r w:rsidR="3614A933" w:rsidRPr="00E34351">
        <w:rPr>
          <w:rFonts w:eastAsia="Times New Roman"/>
          <w:color w:val="000000"/>
          <w:shd w:val="clear" w:color="auto" w:fill="FFFFFF"/>
        </w:rPr>
        <w:t>76.3 (2.6)</w:t>
      </w:r>
      <w:r w:rsidRPr="79600936">
        <w:rPr>
          <w:rFonts w:eastAsia="Times New Roman"/>
          <w:color w:val="000000"/>
          <w:shd w:val="clear" w:color="auto" w:fill="FFFFFF"/>
        </w:rPr>
        <w:t xml:space="preserve"> years</w:t>
      </w:r>
      <w:r w:rsidR="20C5EE9C" w:rsidRPr="79600936">
        <w:rPr>
          <w:rFonts w:eastAsia="Times New Roman"/>
          <w:color w:val="000000"/>
          <w:shd w:val="clear" w:color="auto" w:fill="FFFFFF"/>
        </w:rPr>
        <w:t>.</w:t>
      </w:r>
      <w:r w:rsidR="20C5EE9C" w:rsidRPr="4076E5A1">
        <w:rPr>
          <w:rFonts w:eastAsia="Times New Roman"/>
          <w:color w:val="000000" w:themeColor="text1"/>
        </w:rPr>
        <w:t xml:space="preserve"> </w:t>
      </w:r>
      <w:r w:rsidR="79600936" w:rsidRPr="4076E5A1">
        <w:rPr>
          <w:rFonts w:eastAsia="Times New Roman"/>
          <w:color w:val="000000" w:themeColor="text1"/>
        </w:rPr>
        <w:t xml:space="preserve">Mean (SD) </w:t>
      </w:r>
      <w:r w:rsidR="00FE4383">
        <w:t>FMD</w:t>
      </w:r>
      <w:r w:rsidR="79600936" w:rsidRPr="4076E5A1">
        <w:rPr>
          <w:rFonts w:eastAsia="Times New Roman"/>
          <w:color w:val="000000" w:themeColor="text1"/>
        </w:rPr>
        <w:t xml:space="preserve"> was 79.9 (3.1) and 77.2 (3.2) among </w:t>
      </w:r>
      <w:r w:rsidR="00A657B7">
        <w:rPr>
          <w:rFonts w:eastAsia="Times New Roman"/>
          <w:color w:val="000000" w:themeColor="text1"/>
        </w:rPr>
        <w:t>males</w:t>
      </w:r>
      <w:r w:rsidR="79600936" w:rsidRPr="4076E5A1">
        <w:rPr>
          <w:rFonts w:eastAsia="Times New Roman"/>
          <w:color w:val="000000" w:themeColor="text1"/>
        </w:rPr>
        <w:t xml:space="preserve"> and </w:t>
      </w:r>
      <w:r w:rsidR="00A657B7">
        <w:rPr>
          <w:rFonts w:eastAsia="Times New Roman"/>
          <w:color w:val="000000" w:themeColor="text1"/>
        </w:rPr>
        <w:t>females</w:t>
      </w:r>
      <w:r w:rsidR="79600936" w:rsidRPr="4076E5A1">
        <w:rPr>
          <w:rFonts w:eastAsia="Times New Roman"/>
          <w:color w:val="000000" w:themeColor="text1"/>
        </w:rPr>
        <w:t xml:space="preserve">, respectively; </w:t>
      </w:r>
      <w:r w:rsidR="00FE4383">
        <w:t>CMD</w:t>
      </w:r>
      <w:r w:rsidR="79600936" w:rsidRPr="4076E5A1">
        <w:rPr>
          <w:rFonts w:eastAsia="Times New Roman"/>
          <w:color w:val="000000" w:themeColor="text1"/>
        </w:rPr>
        <w:t xml:space="preserve"> was 80.7 (2.6) and 78.5 (2.6) among </w:t>
      </w:r>
      <w:r w:rsidR="00A657B7">
        <w:rPr>
          <w:rFonts w:eastAsia="Times New Roman"/>
          <w:color w:val="000000" w:themeColor="text1"/>
        </w:rPr>
        <w:t>males</w:t>
      </w:r>
      <w:r w:rsidR="79600936" w:rsidRPr="4076E5A1">
        <w:rPr>
          <w:rFonts w:eastAsia="Times New Roman"/>
          <w:color w:val="000000" w:themeColor="text1"/>
        </w:rPr>
        <w:t xml:space="preserve"> and </w:t>
      </w:r>
      <w:r w:rsidR="00A657B7">
        <w:rPr>
          <w:rFonts w:eastAsia="Times New Roman"/>
          <w:color w:val="000000" w:themeColor="text1"/>
        </w:rPr>
        <w:t>females</w:t>
      </w:r>
      <w:r w:rsidR="79600936" w:rsidRPr="4076E5A1">
        <w:rPr>
          <w:rFonts w:eastAsia="Times New Roman"/>
          <w:color w:val="000000" w:themeColor="text1"/>
        </w:rPr>
        <w:t xml:space="preserve">, respectively. </w:t>
      </w:r>
      <w:r w:rsidR="79600936" w:rsidRPr="00E34351">
        <w:rPr>
          <w:rFonts w:eastAsia="Times New Roman"/>
          <w:color w:val="000000" w:themeColor="text1"/>
        </w:rPr>
        <w:t>Significant sex-differences in muscle density were observed at each site (p&lt;0.001)</w:t>
      </w:r>
      <w:r w:rsidRPr="79600936">
        <w:t xml:space="preserve">. </w:t>
      </w:r>
      <w:r>
        <w:t>F</w:t>
      </w:r>
      <w:r w:rsidRPr="79600936">
        <w:t>emale sex, lower weight, and lower body mass index</w:t>
      </w:r>
      <w:r>
        <w:t xml:space="preserve"> were associated</w:t>
      </w:r>
      <w:r w:rsidR="52B029E7">
        <w:rPr>
          <w:szCs w:val="24"/>
        </w:rPr>
        <w:t xml:space="preserve"> </w:t>
      </w:r>
      <w:r w:rsidR="2982051C" w:rsidRPr="79600936">
        <w:t>(p&lt;0.05)</w:t>
      </w:r>
      <w:r w:rsidR="2982051C">
        <w:t xml:space="preserve"> with both lower FMD and CMD</w:t>
      </w:r>
      <w:r w:rsidR="6E24FC0E">
        <w:rPr>
          <w:szCs w:val="24"/>
        </w:rPr>
        <w:t>.</w:t>
      </w:r>
      <w:r w:rsidR="7AD84C4E">
        <w:rPr>
          <w:szCs w:val="24"/>
        </w:rPr>
        <w:t xml:space="preserve"> </w:t>
      </w:r>
      <w:r w:rsidR="6E24FC0E" w:rsidRPr="79600936">
        <w:t>A</w:t>
      </w:r>
      <w:r w:rsidRPr="79600936">
        <w:rPr>
          <w:rFonts w:eastAsia="Times New Roman"/>
          <w:color w:val="000000"/>
          <w:shd w:val="clear" w:color="auto" w:fill="FFFFFF"/>
        </w:rPr>
        <w:t xml:space="preserve">dditional correlates of lower </w:t>
      </w:r>
      <w:r w:rsidR="09C1794E" w:rsidRPr="79600936">
        <w:rPr>
          <w:rFonts w:eastAsia="Times New Roman"/>
          <w:color w:val="000000"/>
          <w:shd w:val="clear" w:color="auto" w:fill="FFFFFF"/>
        </w:rPr>
        <w:t>CMD</w:t>
      </w:r>
      <w:r w:rsidRPr="79600936">
        <w:rPr>
          <w:rFonts w:eastAsia="Times New Roman"/>
          <w:color w:val="000000"/>
          <w:shd w:val="clear" w:color="auto" w:fill="FFFFFF"/>
        </w:rPr>
        <w:t xml:space="preserve"> included older age and shorter stature. Lifestyle measures were not associated with </w:t>
      </w:r>
      <w:r w:rsidR="09C1794E" w:rsidRPr="79600936">
        <w:rPr>
          <w:rFonts w:eastAsia="Times New Roman"/>
          <w:color w:val="000000"/>
          <w:shd w:val="clear" w:color="auto" w:fill="FFFFFF"/>
        </w:rPr>
        <w:t>muscle density</w:t>
      </w:r>
      <w:r w:rsidR="00D6B454" w:rsidRPr="79600936">
        <w:rPr>
          <w:rFonts w:eastAsia="Times New Roman"/>
          <w:color w:val="000000"/>
          <w:shd w:val="clear" w:color="auto" w:fill="FFFFFF"/>
        </w:rPr>
        <w:t xml:space="preserve"> in this cohort</w:t>
      </w:r>
      <w:r w:rsidRPr="79600936">
        <w:rPr>
          <w:rFonts w:eastAsia="Times New Roman"/>
          <w:color w:val="000000"/>
          <w:shd w:val="clear" w:color="auto" w:fill="FFFFFF"/>
        </w:rPr>
        <w:t>.</w:t>
      </w:r>
      <w:r w:rsidR="7AD84C4E" w:rsidRPr="79600936">
        <w:rPr>
          <w:rFonts w:eastAsia="Times New Roman"/>
          <w:color w:val="000000"/>
          <w:shd w:val="clear" w:color="auto" w:fill="FFFFFF"/>
        </w:rPr>
        <w:t xml:space="preserve"> </w:t>
      </w:r>
      <w:r w:rsidR="38C72582">
        <w:rPr>
          <w:shd w:val="clear" w:color="auto" w:fill="FFFFFF"/>
        </w:rPr>
        <w:t>L</w:t>
      </w:r>
      <w:r>
        <w:rPr>
          <w:shd w:val="clear" w:color="auto" w:fill="FFFFFF"/>
        </w:rPr>
        <w:t xml:space="preserve">ower </w:t>
      </w:r>
      <w:r w:rsidR="09C1794E">
        <w:rPr>
          <w:shd w:val="clear" w:color="auto" w:fill="FFFFFF"/>
        </w:rPr>
        <w:t>FMD</w:t>
      </w:r>
      <w:r>
        <w:rPr>
          <w:shd w:val="clear" w:color="auto" w:fill="FFFFFF"/>
        </w:rPr>
        <w:t xml:space="preserve"> was related to increased risk of previous fracture (OR (95% CI) per SD lower FMD: </w:t>
      </w:r>
      <w:r w:rsidR="3F0B015E" w:rsidRPr="00646464">
        <w:rPr>
          <w:shd w:val="clear" w:color="auto" w:fill="FFFFFF"/>
        </w:rPr>
        <w:t>1.42 (1.07,1.89)</w:t>
      </w:r>
      <w:r>
        <w:rPr>
          <w:shd w:val="clear" w:color="auto" w:fill="FFFFFF"/>
        </w:rPr>
        <w:t>, p=</w:t>
      </w:r>
      <w:r w:rsidR="3F0B015E" w:rsidRPr="00646464">
        <w:rPr>
          <w:shd w:val="clear" w:color="auto" w:fill="FFFFFF"/>
        </w:rPr>
        <w:t>0.015</w:t>
      </w:r>
      <w:r>
        <w:rPr>
          <w:shd w:val="clear" w:color="auto" w:fill="FFFFFF"/>
        </w:rPr>
        <w:t>)</w:t>
      </w:r>
      <w:r w:rsidR="38C72582">
        <w:rPr>
          <w:shd w:val="clear" w:color="auto" w:fill="FFFFFF"/>
        </w:rPr>
        <w:t xml:space="preserve"> but not after </w:t>
      </w:r>
      <w:r>
        <w:rPr>
          <w:shd w:val="clear" w:color="auto" w:fill="FFFFFF"/>
        </w:rPr>
        <w:t xml:space="preserve">adjustment for </w:t>
      </w:r>
      <w:r w:rsidR="79600936">
        <w:t>TH aBMD</w:t>
      </w:r>
      <w:r>
        <w:rPr>
          <w:shd w:val="clear" w:color="auto" w:fill="FFFFFF"/>
        </w:rPr>
        <w:t xml:space="preserve"> (p&gt;</w:t>
      </w:r>
      <w:r w:rsidR="6957B72E">
        <w:rPr>
          <w:shd w:val="clear" w:color="auto" w:fill="FFFFFF"/>
        </w:rPr>
        <w:t>0.08</w:t>
      </w:r>
      <w:r>
        <w:rPr>
          <w:shd w:val="clear" w:color="auto" w:fill="FFFFFF"/>
        </w:rPr>
        <w:t xml:space="preserve">). </w:t>
      </w:r>
      <w:r w:rsidR="7AD84C4E">
        <w:rPr>
          <w:shd w:val="clear" w:color="auto" w:fill="FFFFFF"/>
        </w:rPr>
        <w:t>N</w:t>
      </w:r>
      <w:r>
        <w:rPr>
          <w:shd w:val="clear" w:color="auto" w:fill="FFFFFF"/>
        </w:rPr>
        <w:t xml:space="preserve">o significant relationships were seen between </w:t>
      </w:r>
      <w:r w:rsidR="09C1794E">
        <w:rPr>
          <w:shd w:val="clear" w:color="auto" w:fill="FFFFFF"/>
        </w:rPr>
        <w:t>muscle density</w:t>
      </w:r>
      <w:r w:rsidR="7AD84C4E">
        <w:rPr>
          <w:shd w:val="clear" w:color="auto" w:fill="FFFFFF"/>
        </w:rPr>
        <w:t xml:space="preserve"> and falls.</w:t>
      </w:r>
    </w:p>
    <w:p w14:paraId="1B0B1DB5" w14:textId="71CAC7A4" w:rsidR="00D5308C" w:rsidRPr="0084120E" w:rsidRDefault="00D5308C" w:rsidP="00BC5BDD">
      <w:pPr>
        <w:jc w:val="both"/>
        <w:rPr>
          <w:rFonts w:eastAsia="Times New Roman" w:cstheme="minorHAnsi"/>
          <w:color w:val="000000"/>
          <w:szCs w:val="24"/>
          <w:shd w:val="clear" w:color="auto" w:fill="FFFFFF"/>
        </w:rPr>
      </w:pPr>
      <w:r w:rsidRPr="0084120E">
        <w:rPr>
          <w:rFonts w:eastAsia="Times New Roman" w:cstheme="minorHAnsi"/>
          <w:color w:val="000000"/>
          <w:szCs w:val="24"/>
          <w:shd w:val="clear" w:color="auto" w:fill="FFFFFF"/>
        </w:rPr>
        <w:t>Conclusion</w:t>
      </w:r>
      <w:r w:rsidR="00646464" w:rsidRPr="00646464">
        <w:rPr>
          <w:rFonts w:eastAsia="Times New Roman" w:cstheme="minorHAnsi"/>
          <w:color w:val="000000"/>
          <w:szCs w:val="24"/>
          <w:shd w:val="clear" w:color="auto" w:fill="FFFFFF"/>
        </w:rPr>
        <w:tab/>
      </w:r>
    </w:p>
    <w:p w14:paraId="3D4A2A1F" w14:textId="797A4D32" w:rsidR="007410E0" w:rsidRPr="008958DE" w:rsidRDefault="0CBD105C" w:rsidP="00BC5BDD">
      <w:pPr>
        <w:jc w:val="both"/>
        <w:rPr>
          <w:shd w:val="clear" w:color="auto" w:fill="FFFFFF"/>
        </w:rPr>
      </w:pPr>
      <w:bookmarkStart w:id="0" w:name="_Hlk110260917"/>
      <w:r w:rsidRPr="79600936">
        <w:rPr>
          <w:rFonts w:eastAsia="Times New Roman"/>
          <w:color w:val="000000"/>
          <w:shd w:val="clear" w:color="auto" w:fill="FFFFFF"/>
        </w:rPr>
        <w:t xml:space="preserve">Female sex, older age, and lower </w:t>
      </w:r>
      <w:r w:rsidR="59C20A6C" w:rsidRPr="79600936">
        <w:rPr>
          <w:rFonts w:eastAsia="Times New Roman"/>
          <w:color w:val="000000"/>
          <w:shd w:val="clear" w:color="auto" w:fill="FFFFFF"/>
        </w:rPr>
        <w:t>BMI</w:t>
      </w:r>
      <w:r w:rsidR="33892039" w:rsidRPr="79600936">
        <w:rPr>
          <w:rFonts w:eastAsia="Times New Roman"/>
          <w:color w:val="000000"/>
          <w:shd w:val="clear" w:color="auto" w:fill="FFFFFF"/>
        </w:rPr>
        <w:t xml:space="preserve"> </w:t>
      </w:r>
      <w:r w:rsidRPr="79600936">
        <w:rPr>
          <w:rFonts w:eastAsia="Times New Roman"/>
          <w:color w:val="000000"/>
          <w:shd w:val="clear" w:color="auto" w:fill="FFFFFF"/>
        </w:rPr>
        <w:t xml:space="preserve">were associated with </w:t>
      </w:r>
      <w:r w:rsidR="0803E00D" w:rsidRPr="79600936">
        <w:rPr>
          <w:rFonts w:eastAsia="Times New Roman"/>
          <w:color w:val="000000"/>
          <w:shd w:val="clear" w:color="auto" w:fill="FFFFFF"/>
        </w:rPr>
        <w:t xml:space="preserve">subsequent </w:t>
      </w:r>
      <w:r w:rsidRPr="79600936">
        <w:rPr>
          <w:rFonts w:eastAsia="Times New Roman"/>
          <w:color w:val="000000"/>
          <w:shd w:val="clear" w:color="auto" w:fill="FFFFFF"/>
        </w:rPr>
        <w:t xml:space="preserve">lower </w:t>
      </w:r>
      <w:r w:rsidR="09C1794E" w:rsidRPr="79600936">
        <w:rPr>
          <w:rFonts w:eastAsia="Times New Roman"/>
          <w:color w:val="000000"/>
          <w:shd w:val="clear" w:color="auto" w:fill="FFFFFF"/>
        </w:rPr>
        <w:t>muscle density</w:t>
      </w:r>
      <w:r w:rsidRPr="79600936">
        <w:rPr>
          <w:rFonts w:eastAsia="Times New Roman"/>
          <w:color w:val="000000"/>
          <w:shd w:val="clear" w:color="auto" w:fill="FFFFFF"/>
        </w:rPr>
        <w:t xml:space="preserve"> in older community-dwelling adults</w:t>
      </w:r>
      <w:r w:rsidR="5401E2B5" w:rsidRPr="79600936">
        <w:rPr>
          <w:rFonts w:eastAsia="Times New Roman"/>
          <w:color w:val="000000"/>
          <w:shd w:val="clear" w:color="auto" w:fill="FFFFFF"/>
        </w:rPr>
        <w:t>.</w:t>
      </w:r>
      <w:r w:rsidRPr="79600936">
        <w:rPr>
          <w:rFonts w:eastAsia="Times New Roman"/>
          <w:color w:val="000000"/>
          <w:shd w:val="clear" w:color="auto" w:fill="FFFFFF"/>
        </w:rPr>
        <w:t xml:space="preserve"> </w:t>
      </w:r>
      <w:r w:rsidR="00A657B7">
        <w:rPr>
          <w:rFonts w:eastAsia="Times New Roman"/>
          <w:color w:val="000000"/>
          <w:shd w:val="clear" w:color="auto" w:fill="FFFFFF"/>
        </w:rPr>
        <w:t xml:space="preserve">Lower FMD was related to increased risk of previous fracture. </w:t>
      </w:r>
      <w:r w:rsidR="00F862FB" w:rsidRPr="008958DE">
        <w:rPr>
          <w:rFonts w:eastAsia="Times New Roman"/>
          <w:color w:val="000000"/>
          <w:shd w:val="clear" w:color="auto" w:fill="FFFFFF"/>
        </w:rPr>
        <w:t>C</w:t>
      </w:r>
      <w:r w:rsidR="00F862FB" w:rsidRPr="008958DE">
        <w:rPr>
          <w:color w:val="000000"/>
          <w:shd w:val="clear" w:color="auto" w:fill="FFFFFF"/>
        </w:rPr>
        <w:t xml:space="preserve">hanges in muscle density over time might precede adverse outcomes such as falls and fractures and may be a long‐term predictor of frailty. </w:t>
      </w:r>
      <w:r w:rsidR="00F862FB" w:rsidRPr="008958DE">
        <w:t xml:space="preserve">It could be also suggested that muscle density could be a more clinically meaningful surrogate of functional decline and disability than muscle size or mass, but more studies are needed to support this notion. </w:t>
      </w:r>
    </w:p>
    <w:bookmarkEnd w:id="0"/>
    <w:p w14:paraId="643D517D" w14:textId="54FF8B87" w:rsidR="005A1C79" w:rsidRDefault="005A1C79" w:rsidP="00BC5BDD">
      <w:pPr>
        <w:jc w:val="both"/>
      </w:pPr>
      <w:r>
        <w:rPr>
          <w:shd w:val="clear" w:color="auto" w:fill="FFFFFF"/>
        </w:rPr>
        <w:t>Keywords: muscle density, peripheral quantitative computed tomography, determinants, fall, fracture</w:t>
      </w:r>
    </w:p>
    <w:p w14:paraId="3E82FFA1" w14:textId="42958C05" w:rsidR="007410E0" w:rsidRDefault="007410E0" w:rsidP="00BC5BDD">
      <w:pPr>
        <w:jc w:val="both"/>
      </w:pPr>
      <w:r>
        <w:br w:type="page"/>
      </w:r>
    </w:p>
    <w:p w14:paraId="16EC7237" w14:textId="07E65A56" w:rsidR="003D173C" w:rsidRDefault="003D173C" w:rsidP="003D173C">
      <w:pPr>
        <w:pStyle w:val="Heading1"/>
      </w:pPr>
      <w:r>
        <w:lastRenderedPageBreak/>
        <w:t>Highlights</w:t>
      </w:r>
    </w:p>
    <w:p w14:paraId="6A64F155" w14:textId="5A5F9D7E" w:rsidR="00091907" w:rsidRPr="00091907" w:rsidRDefault="00091907" w:rsidP="003D173C">
      <w:pPr>
        <w:pStyle w:val="ListParagraph"/>
        <w:numPr>
          <w:ilvl w:val="0"/>
          <w:numId w:val="2"/>
        </w:numPr>
      </w:pPr>
      <w:r>
        <w:rPr>
          <w:szCs w:val="24"/>
        </w:rPr>
        <w:t xml:space="preserve">Muscle density was measured in the arm and calf using pQCT techniques </w:t>
      </w:r>
    </w:p>
    <w:p w14:paraId="334C89ED" w14:textId="2129CD02" w:rsidR="003D173C" w:rsidRPr="00091907" w:rsidRDefault="003D173C" w:rsidP="003D173C">
      <w:pPr>
        <w:pStyle w:val="ListParagraph"/>
        <w:numPr>
          <w:ilvl w:val="0"/>
          <w:numId w:val="2"/>
        </w:numPr>
      </w:pPr>
      <w:r>
        <w:t xml:space="preserve">Baseline correlates of both lower </w:t>
      </w:r>
      <w:r w:rsidR="00F37027">
        <w:t>arm</w:t>
      </w:r>
      <w:r>
        <w:t xml:space="preserve"> and </w:t>
      </w:r>
      <w:r w:rsidR="00F37027">
        <w:t>c</w:t>
      </w:r>
      <w:r>
        <w:t>alf muscle density included female sex, lower weight, and lower body mass index, while calf muscle density alone was correlated with older age and shorter stature</w:t>
      </w:r>
    </w:p>
    <w:p w14:paraId="53DE59AA" w14:textId="3A2BA132" w:rsidR="00091907" w:rsidRPr="003D173C" w:rsidRDefault="00091907" w:rsidP="003D173C">
      <w:pPr>
        <w:pStyle w:val="ListParagraph"/>
        <w:numPr>
          <w:ilvl w:val="0"/>
          <w:numId w:val="2"/>
        </w:numPr>
      </w:pPr>
      <w:r>
        <w:t>Lifestyle factors were not associated with muscle density in this cohort of community-dwelling older adults</w:t>
      </w:r>
    </w:p>
    <w:p w14:paraId="33882DCE" w14:textId="77777777" w:rsidR="00A657B7" w:rsidRDefault="003D173C" w:rsidP="003D173C">
      <w:pPr>
        <w:pStyle w:val="ListParagraph"/>
        <w:numPr>
          <w:ilvl w:val="0"/>
          <w:numId w:val="2"/>
        </w:numPr>
        <w:rPr>
          <w:shd w:val="clear" w:color="auto" w:fill="FFFFFF"/>
        </w:rPr>
        <w:sectPr w:rsidR="00A657B7">
          <w:pgSz w:w="11906" w:h="16838"/>
          <w:pgMar w:top="1440" w:right="1440" w:bottom="1440" w:left="1440" w:header="708" w:footer="708" w:gutter="0"/>
          <w:cols w:space="708"/>
          <w:docGrid w:linePitch="360"/>
        </w:sectPr>
      </w:pPr>
      <w:r>
        <w:rPr>
          <w:rFonts w:eastAsia="Times New Roman" w:cstheme="minorHAnsi"/>
          <w:color w:val="000000"/>
          <w:szCs w:val="24"/>
          <w:shd w:val="clear" w:color="auto" w:fill="FFFFFF"/>
        </w:rPr>
        <w:t>Muscle density i</w:t>
      </w:r>
      <w:r>
        <w:rPr>
          <w:shd w:val="clear" w:color="auto" w:fill="FFFFFF"/>
        </w:rPr>
        <w:t>n upper limbs was associated with previous fracture rather than falls</w:t>
      </w:r>
    </w:p>
    <w:p w14:paraId="7E296F0F" w14:textId="1F45A1EE" w:rsidR="007410E0" w:rsidRDefault="004E4250" w:rsidP="005A1C79">
      <w:pPr>
        <w:pStyle w:val="Heading1"/>
      </w:pPr>
      <w:r w:rsidRPr="005A1C79">
        <w:lastRenderedPageBreak/>
        <w:t>Introduction</w:t>
      </w:r>
      <w:r>
        <w:t xml:space="preserve"> </w:t>
      </w:r>
    </w:p>
    <w:p w14:paraId="1095BC59" w14:textId="36D3CDD0" w:rsidR="00727D31" w:rsidRDefault="00C861C5" w:rsidP="00BC5BDD">
      <w:pPr>
        <w:jc w:val="both"/>
        <w:rPr>
          <w:shd w:val="clear" w:color="auto" w:fill="FFFFFF"/>
        </w:rPr>
      </w:pPr>
      <w:r>
        <w:t>Sarcopenia</w:t>
      </w:r>
      <w:r w:rsidR="00E34117" w:rsidRPr="00E34117">
        <w:t xml:space="preserve"> is associated with a number of adverse health outcomes, </w:t>
      </w:r>
      <w:r w:rsidR="00727D31">
        <w:t>including</w:t>
      </w:r>
      <w:r w:rsidR="00E34117" w:rsidRPr="00E34117">
        <w:t xml:space="preserve"> decreased quality of life, functional impairment, disability, increased risk of falls, hospitalisation, and </w:t>
      </w:r>
      <w:r w:rsidR="006E5D7F">
        <w:t xml:space="preserve">increased </w:t>
      </w:r>
      <w:r w:rsidR="00E34117" w:rsidRPr="00E34117">
        <w:t>mortality</w:t>
      </w:r>
      <w:r w:rsidR="00E34117">
        <w:t xml:space="preserve"> </w:t>
      </w:r>
      <w:r w:rsidR="00F42CE8">
        <w:fldChar w:fldCharType="begin" w:fldLock="1"/>
      </w:r>
      <w:r w:rsidR="00847EE2">
        <w:instrText>ADDIN CSL_CITATION {"citationItems":[{"id":"ITEM-1","itemData":{"DOI":"10.1007/S00198-015-3194-Y","ISSN":"1433-2965","abstract":"In this study, we compare the extent to which seven available definitions of sarcopenia and two related definitions predict the rate of falling. Our results suggest that the definitions of Baumgartner and Cruz-Jentoft best predict the rate of falls among sarcopenic versus non-sarcopenic community-dwelling seniors. The purpose of the study is to compare the extent to which seven available definitions of sarcopenia and two related definitions predict the prospective rate of falling. We studied a cohort of 445 seniors (mean age 71 years, 45 % men) living in the community who were followed with a detailed fall assessment for 3 years. For comparing the rate of falls in sarcopenic versus non-sarcopenic individuals, we used multivariate Poisson regression analyses adjusting for gender and treatment (original intervention tested vitamin D plus calcium against placebo). Of the seven available definitions, three were based on low lean mass alone (Baumgartner, Delmonico 1 and 2) and four required both low muscle mass and decreased performance in a functional test (Fielding, Cruz-Jentoft, Morley, Muscaritoli). The two related definitions were based on low lean mass alone (Studenski 1) and low lean mass contributing to weakness (Studenski 2). Among 445 participants, 231 fell, sustaining 514 falls over the 3-year follow-up. The prospective rate of falls in sarcopenic versus non-sarcopenic individuals was best predicted by the Baumgartner definition based on low lean mass alone (RR = 1.54; 95 % CI 1.09–2.18) with 11 % prevalence of sarcopenia and the Cruz-Jentoft definition based on low lean mass plus decreased functional performance (RR = 1.82; 95 % CI 1.24–2.69) with 7.1 % prevalence of sarcopenia. Consistently, fall rate was non-significantly higher in sarcopenic versus non-sarcopenic individuals based on the definitions of Delmonico 1, Fielding, and Morley. Among the definitions investigated, the Baumgartner definition and the Cruz-Jentoft definition had the highest validity for predicting the rate of falls.","author":[{"dropping-particle":"","family":"Bischoff-Ferrari","given":"H. A.","non-dropping-particle":"","parse-names":false,"suffix":""},{"dropping-particle":"","family":"Orav","given":"J. E.","non-dropping-particle":"","parse-names":false,"suffix":""},{"dropping-particle":"","family":"Kanis","given":"J. A.","non-dropping-particle":"","parse-names":false,"suffix":""},{"dropping-particle":"","family":"Rizzoli","given":"R.","non-dropping-particle":"","parse-names":false,"suffix":""},{"dropping-particle":"","family":"Schlögl","given":"M.","non-dropping-particle":"","parse-names":false,"suffix":""},{"dropping-particle":"","family":"Staehelin","given":"H. B.","non-dropping-particle":"","parse-names":false,"suffix":""},{"dropping-particle":"","family":"Willett","given":"W. C.","non-dropping-particle":"","parse-names":false,"suffix":""},{"dropping-particle":"","family":"Dawson-Hughes","given":"B.","non-dropping-particle":"","parse-names":false,"suffix":""}],"container-title":"Osteoporosis International 2015 26:12","id":"ITEM-1","issue":"12","issued":{"date-parts":[["2015","6","12"]]},"page":"2793-2802","publisher":"Springer","title":"Comparative performance of current definitions of sarcopenia against the prospective incidence of falls among community-dwelling seniors age 65 and older","type":"article-journal","volume":"26"},"uris":["http://www.mendeley.com/documents/?uuid=3a86e88e-e319-3063-a156-525a24a5c71d"]},{"id":"ITEM-2","itemData":{"DOI":"10.1152/JAPPLPHYSIOL.00246.2003","abstract":"Sarcopenia, the reduction of muscle mass and strength that occurs with aging, is widely considered one of the major causes of disability in older persons. Surprisingly, criteria that may help a cli...","author":[{"dropping-particle":"","family":"Lauretani","given":"Fulvio","non-dropping-particle":"","parse-names":false,"suffix":""},{"dropping-particle":"","family":"Russo","given":"Cosimo Roberto","non-dropping-particle":"","parse-names":false,"suffix":""},{"dropping-particle":"","family":"Bandinelli","given":"Stefania","non-dropping-particle":"","parse-names":false,"suffix":""},{"dropping-particle":"","family":"Bartali","given":"Benedetta","non-dropping-particle":"","parse-names":false,"suffix":""},{"dropping-particle":"","family":"Cavazzini","given":"Chiara","non-dropping-particle":"","parse-names":false,"suffix":""},{"dropping-particle":"Di","family":"Iorio","given":"Angelo","non-dropping-particle":"","parse-names":false,"suffix":""},{"dropping-particle":"","family":"Corsi","given":"Anna Maria","non-dropping-particle":"","parse-names":false,"suffix":""},{"dropping-particle":"","family":"Rantanen","given":"Taina","non-dropping-particle":"","parse-names":false,"suffix":""},{"dropping-particle":"","family":"Guralnik","given":"Jack M.","non-dropping-particle":"","parse-names":false,"suffix":""},{"dropping-particle":"","family":"Ferrucci","given":"Luigi","non-dropping-particle":"","parse-names":false,"suffix":""}],"container-title":"https://doi.org/10.1152/japplphysiol.00246.2003","id":"ITEM-2","issue":"5","issued":{"date-parts":[["2003"]]},"page":"1851-1860","publisher":"American Physiological Society","title":"Age-associated changes in skeletal muscles and their effect on mobility: an operational diagnosis of sarcopenia","type":"article-journal","volume":"95"},"uris":["http://www.mendeley.com/documents/?uuid=1ff76b7d-f5ac-3800-83fe-ab30d77f636e"]},{"id":"ITEM-3","itemData":{"DOI":"10.1093/GERONA/55.4.M221","ISSN":"1079-5006","abstract":"Background. Although it has been demonstrated that physical performance measures predict incident disability in previously nondisabled older persons, the available data have not been fully developed to create usable methods for determining risk profiles in community-dwelling populations. Using several populations and different follow-up periods, this study replicates previous findings by using the Established Populations for the Epidemiologic Study of the Elderly (EPESE) performance battery and provides equations for the prediction of disability risk according to age, sex, and level of performance. Methods. Tests of balance, time to walk 8 ft, and time to rise from a chair 5 times were administered to 4,588 initially nondisabled persons in the four sites of the EPESE and to 1,946 initially nondisabled persons in the Hispanic EPESE. Follow-up assessment for activity of daily living (ADL) and mobility-related disability occurred from 1 to 6 years later. Results. In the EPESE, compared with those with the best performance (EPESE summary performance score of 1012), the relative risks of mobility-related disability for those with scores of 4-6 ranged from 2.9 to 4.9 and the relative risk of disability for those with scores of 7-9 ranged from 1.5 to 2.1, with similar consistent results for ADL disability. The observed rates of incident disability according to performance level in the Hispanic EPESE agreed closely with rates predicted from models developed from the EPESE sites. Receiver operating characteristic curves showed that gait speed alone performed almost as well as the full battery in predicting incident disability. Conclusions. Performance tests of lower extremity function accurately predict disability across diverse populations. Equations derived from models using both the summary score and the gait speed alone allow for the estimation of risk of disability in community-dwelling populations and provide valuable information for estimating sample size for clinical trials of disability prevention.","author":[{"dropping-particle":"","family":"Guralnik","given":"Jack M.","non-dropping-particle":"","parse-names":false,"suffix":""},{"dropping-particle":"","family":"Ferrucci","given":"Luigi","non-dropping-particle":"","parse-names":false,"suffix":""},{"dropping-particle":"","family":"Pieper","given":"Carl F.","non-dropping-particle":"","parse-names":false,"suffix":""},{"dropping-particle":"","family":"Leveille","given":"Suzanne G.","non-dropping-particle":"","parse-names":false,"suffix":""},{"dropping-particle":"","family":"Markides","given":"Kyriakos S.","non-dropping-particle":"","parse-names":false,"suffix":""},{"dropping-particle":"V.","family":"Ostir","given":"Glenn","non-dropping-particle":"","parse-names":false,"suffix":""},{"dropping-particle":"","family":"Studenski","given":"Stephanie","non-dropping-particle":"","parse-names":false,"suffix":""},{"dropping-particle":"","family":"Berkman","given":"Lisa F.","non-dropping-particle":"","parse-names":false,"suffix":""},{"dropping-particle":"","family":"Wallace","given":"Robert B.","non-dropping-particle":"","parse-names":false,"suffix":""}],"container-title":"The Journals of Gerontology: Series A","id":"ITEM-3","issue":"4","issued":{"date-parts":[["2000","4","1"]]},"page":"M221-M231","publisher":"Oxford Academic","title":"Lower Extremity Function and Subsequent Disability: Consistency Across Studies, Predictive Models, and Value of Gait Speed Alone Compared With the Short Physical Performance Battery","type":"article-journal","volume":"55"},"uris":["http://www.mendeley.com/documents/?uuid=970988ba-9463-3217-9ad2-a5b52b5835b5"]},{"id":"ITEM-4","itemData":{"ISSN":"0002-0729","abstract":"Background and aims: sarcopenia has been indicated as a reliable marker of frailty and poor prognosis among the oldest individuals. We evaluated the impact of sarcopenia on the risk of all-cause death in a population of frail older persons living in community. Methods: we analysed data from the Aging and Longevity Study, a prospective cohort study that collected data on all subjects aged 80 years and older residing in the Sirente geographic area (n = 364). The present analysis was conducted among those subjects who were between 80 and 85 years of age at the time of the baseline assessment (n = 197). The main outcome measure was all-cause mortality over 7-year follow-up. According to the European Working Group on Sarcopenia in Older People (EWGSOP) criteria, the diagnosis of sarcopenia required the documentation of low muscle mass and the documentation of either low muscle strength or low physical performance. Cox proportional regression models were used to estimate crude and adjusted hazard ratios and 95% confidence intervals of death by the presence of sarcopenia. Results: using the EWGSOP-suggested criteria, 43 subjects with sarcopenia (21.8%) were identified. During the 7-year follow-up, 29 (67.4%) participants died among subjects with sarcopenia compared with 63 subjects (41.2%) without sarcopenia (P &lt; 0.001). After adjusting for potential confounders including age, gender, education, activities of daily living (ADL) impairment, body mass index, hypertension, congestive heart failure, chronic obstructive pulmonary disease, number of diseases, TNF-α, participants with sarcopenia had a higher risk of death for all causes compared with non-sarcopenic subjects (HR: 2.32, 95% CI: 1.01-5.43). Conclusions: our results obtained from a representative sample of very old and frail subjects show that sarcopenia is associated with mortality, independently of age and other clinical and functional variables. © The Author 2013. Published by Oxford University Press on behalf of the British Geriatrics Society. All rights reserved.","author":[{"dropping-particle":"","family":"Landi","given":"Francesco","non-dropping-particle":"","parse-names":false,"suffix":""},{"dropping-particle":"","family":"Cruz-Jentoft","given":"Alfonso J.","non-dropping-particle":"","parse-names":false,"suffix":""},{"dropping-particle":"","family":"Liperoti","given":"Rosa","non-dropping-particle":"","parse-names":false,"suffix":""},{"dropping-particle":"","family":"Russo","given":"Andrea","non-dropping-particle":"","parse-names":false,"suffix":""},{"dropping-particle":"","family":"Giovannini","given":"Silvia","non-dropping-particle":"","parse-names":false,"suffix":""},{"dropping-particle":"","family":"Tosato","given":"Matteo","non-dropping-particle":"","parse-names":false,"suffix":""},{"dropping-particle":"","family":"Capoluongo","given":"Ettore","non-dropping-particle":"","parse-names":false,"suffix":""},{"dropping-particle":"","family":"Bernabei","given":"Roberto","non-dropping-particle":"","parse-names":false,"suffix":""},{"dropping-particle":"","family":"Onder","given":"Graziano","non-dropping-particle":"","parse-names":false,"suffix":""}],"container-title":"Age and Ageing","id":"ITEM-4","issue":"2","issued":{"date-parts":[["2013","3","1"]]},"page":"203-209","publisher":"Oxford Academic","title":"Sarcopenia and mortality risk in frail older persons aged 80 years and older: results from ilSIRENTE study","type":"article-journal","volume":"42"},"uris":["http://www.mendeley.com/documents/?uuid=589a3759-d7d5-4f07-88b8-c796002bc3d2"]},{"id":"ITEM-5","itemData":{"DOI":"10.1371/JOURNAL.PONE.0169548","abstract":"Objective The purpose of this study was to perform a systematic review to assess the short-, middleand long-term consequences of sarcopenia. Methods Prospective studies assessing the consequences of sarcopenia were searched across different electronic databases (MEDLINE, EMBASE, EBM Reviews, Cochrane Database of Systematic Reviews, EBM Reviews ACP Journal Club, EBM Reviews DARE and AMED). Only studies that used the definition of the European Working Group on Sarcopenia in Older People to diagnose sarcopenia were included. Study selection and data extraction were performed by two independent reviewers. For outcomes reported by three or more studies, a meta-analysis was performed. The study results are expressed as odds ratios (OR) with 95% CI. Results Of the 772 references identified through the database search, 17 were included in this systematic review. The number of participants in the included studies ranged from 99 to 6658, and the duration of follow-up varied from 3 months to 9.8 years. Eleven out of 12 studies assessed the impact of sarcopenia on mortality. The results showed a higher rate of mortality among sarcopenic subjects (pooled OR of 3.596 (95% CI 2.96-4.37)). The effect was higher in people aged 79 years or older compared with younger subjects (p = 0.02). Sarcopenia is also associated with functional decline (pooled OR of 6 studies 3.03 (95% CI 1.80-5.12)), a higher rate of falls (2/2 studies found a significant association) and a higher incidence of hospitalizations (1/1 study). The impact of sarcopenia on the incidence of fractures and the length of hospital stay was less clear (only 1/2 studies showed an association for both outcomes). Conclusion Sarcopenia is associated with several harmful outcomes, making this geriatric syndrome a real public health burden.","author":[{"dropping-particle":"","family":"Beaudart","given":"Charlotte","non-dropping-particle":"","parse-names":false,"suffix":""},{"dropping-particle":"","family":"Zaaria","given":"Myriam","non-dropping-particle":"","parse-names":false,"suffix":""},{"dropping-particle":"","family":"Pasleau","given":"Francoise","non-dropping-particle":"","parse-names":false,"suffix":""},{"dropping-particle":"","family":"Reginster","given":"Jean Yves","non-dropping-particle":"","parse-names":false,"suffix":""},{"dropping-particle":"","family":"Bruyère","given":"Olivier","non-dropping-particle":"","parse-names":false,"suffix":""}],"container-title":"PLoS ONE","id":"ITEM-5","issue":"1","issued":{"date-parts":[["2017","1","1"]]},"publisher":"Public Library of Science","title":"Health outcomes of sarcopenia: A systematic review and meta-analysis","type":"article-journal","volume":"12"},"uris":["http://www.mendeley.com/documents/?uuid=1a333287-a0d7-33af-8618-1bf67706f20c"]},{"id":"ITEM-6","itemData":{"DOI":"10.1016/J.NUTRES.2015.09.003","abstract":"The Foundation for the National Institutes of Health Sarcopenia Project validated cutpoints for appendicular lean mass (ALM) to identify individuals with functional impairment. We hypothesized that the prevalence of sarcopenia and sarcopenic obesity would be similar based on the different Foundation for the National Institutes of Health criteria, increase with age, and be associated with risk of impairment limitations. We identified 4984 subjects at least 60 years of age from the National Health and Nutrition Examination Surveys 1999-2004. Sarcopenia was defined using ALM (men &lt;19.75 kg, women &lt;15.02 kg) and ALM adjusted for body mass index (BMI; men &lt;0.789 kg/m2, women &lt;0.512 kg/m2). Sarcopenic obesity is defined as subjects fulfilling the criteria for sarcopenia and obesity by body fat (men ≥25%, women ≥35%). Prevalence rates of both sarcopenia and sarcopenic obesity were evaluated with respect to sex, age category (60-69, 70-79, and &gt;80 years) and race. We assessed the association of physical limitations, basic and instrumental activities of daily living and sarcopenia status. The mean age was 70.5 years in men and 71.6 years in women. Half (50.8%; n = 2531) were female, and mean BMI was 28 kg/m2 in both sexes. Appendicular lean mass was higher in men than in women (24.1 vs 16.3; P &lt; .001), but fat mass was lower (30.9 vs 42.0; P &lt; .001). In men, sarcopenia prevalence was 16.0% and 27.8% using the ALM and ALM/BMI criteria. In women, prevalence was 40.5% and 19.3% using the ALM and ALM/BMI criteria. Sarcopenia was associated with a 1.10 (0.86-1.41) and 0.93 (0.74-1.16), and 1.46 (1.10-1.94), and 2.13 (1.41-3.20) risk of physical limitations using the ALM and ALM/BMI definitions in men and women, respectively. Prevalence of sarcopenia and sarcopenic obesity varies greatly, and a uniform definition is needed to identify and characterize these high-risk populations.","author":[{"dropping-particle":"","family":"Batsis","given":"John A.","non-dropping-particle":"","parse-names":false,"suffix":""},{"dropping-particle":"","family":"Mackenzie","given":"Todd A.","non-dropping-particle":"","parse-names":false,"suffix":""},{"dropping-particle":"","family":"Lopez-Jimenez","given":"Francisco","non-dropping-particle":"","parse-names":false,"suffix":""},{"dropping-particle":"","family":"Bartels","given":"Stephen J.","non-dropping-particle":"","parse-names":false,"suffix":""}],"container-title":"Nutrition Research","id":"ITEM-6","issue":"12","issued":{"date-parts":[["2015","12","1"]]},"page":"1031-1039","publisher":"Elsevier Inc.","title":"Sarcopenia, sarcopenic obesity, and functional impairments in older adults: National Health and Nutrition Examination Surveys 1999-2004","type":"article-journal","volume":"35"},"uris":["http://www.mendeley.com/documents/?uuid=b6c04940-f518-3e58-9aeb-316121392932"]},{"id":"ITEM-7","itemData":{"DOI":"10.1016/J.CLNU.2013.01.010","abstract":"Background: Sarcopenia is prevalent in older populations with many causes and varying outcomes however information for use in clinical practice is still lacking. Aims: The aim of this report is to identify the clinical determinants and prognostic significance of sarcopenia in a cohort of hospitalized acutely ill older patients. Methods: Four hundred and thirty two randomly selected patients had their baseline clinical characteristic data assessed within 72h of admission, at 6 weeks and at 6 months. Nutritional status was assessed from anthropometric and biochemical data. Sarcopenia was diagnosed from low muscle mass and low muscle strength-hand grip using anthropometric measures based on the European Working Group criteria. Results: Compared with patients without sarcopenia, those diagnosed with sarcopenia 44 (10%) were more likely to be older, have more depression symptoms and lower serum albumin concentration. The length of hospital stay (LOS) was significantly longer in patients diagnosed with sarcopenia compared with patients without sarcopenia [mean (SD) LOS 13.4 (8.8) versus 9.4 (7) days respectively, p=0.003]. The risk of non-elective readmission in the 6 months follow up period was significantly lower in patients without sarcopenia compared with those diagnosed with sarcopenia (adjusted hazard ratio. 53 (95% CI: .32 to .87, p=0.013). The death rate was also lower in patients without sarcopenia 38/388 (10%), compared with those with sarcopenia 12/44 (27%), p-value=.001. Conclusion: Older people with sarcopenia have poor clinical outcome following acute illness compared with those without sarcopenia. © 2013 Elsevier Ltd and European Society for Clinical Nutrition and Metabolism.","author":[{"dropping-particle":"","family":"Gariballa","given":"Salah","non-dropping-particle":"","parse-names":false,"suffix":""},{"dropping-particle":"","family":"Alessa","given":"Awad","non-dropping-particle":"","parse-names":false,"suffix":""}],"container-title":"Clinical Nutrition","id":"ITEM-7","issue":"5","issued":{"date-parts":[["2013","10"]]},"page":"772-776","title":"Sarcopenia: Prevalence and prognostic significance in hospitalized patients","type":"article-journal","volume":"32"},"uris":["http://www.mendeley.com/documents/?uuid=508843dd-41d0-3f0e-a84e-89dc99bf3a9e"]}],"mendeley":{"formattedCitation":"(1–7)","plainTextFormattedCitation":"(1–7)","previouslyFormattedCitation":"(1–7)"},"properties":{"noteIndex":0},"schema":"https://github.com/citation-style-language/schema/raw/master/csl-citation.json"}</w:instrText>
      </w:r>
      <w:r w:rsidR="00F42CE8">
        <w:fldChar w:fldCharType="separate"/>
      </w:r>
      <w:r w:rsidR="008D011B" w:rsidRPr="008D011B">
        <w:rPr>
          <w:noProof/>
        </w:rPr>
        <w:t>(1–7)</w:t>
      </w:r>
      <w:r w:rsidR="00F42CE8">
        <w:fldChar w:fldCharType="end"/>
      </w:r>
      <w:r w:rsidR="002C2453">
        <w:t>.</w:t>
      </w:r>
      <w:r w:rsidR="00B6729E">
        <w:t xml:space="preserve"> </w:t>
      </w:r>
      <w:r w:rsidR="007F6AA4">
        <w:t>Muscle health can be assessed in many ways, and researchers have sought to identify muscle parameters</w:t>
      </w:r>
      <w:r w:rsidR="00521ABE">
        <w:t xml:space="preserve">, including </w:t>
      </w:r>
      <w:r w:rsidR="00742C35" w:rsidRPr="005D7914">
        <w:rPr>
          <w:shd w:val="clear" w:color="auto" w:fill="FFFFFF"/>
        </w:rPr>
        <w:t>muscle quality</w:t>
      </w:r>
      <w:r w:rsidR="00742C35" w:rsidRPr="00742C35">
        <w:rPr>
          <w:shd w:val="clear" w:color="auto" w:fill="FFFFFF"/>
        </w:rPr>
        <w:t xml:space="preserve"> </w:t>
      </w:r>
      <w:r w:rsidR="00DB2FE8">
        <w:rPr>
          <w:shd w:val="clear" w:color="auto" w:fill="FFFFFF"/>
        </w:rPr>
        <w:fldChar w:fldCharType="begin" w:fldLock="1"/>
      </w:r>
      <w:r w:rsidR="00D07580">
        <w:rPr>
          <w:shd w:val="clear" w:color="auto" w:fill="FFFFFF"/>
        </w:rPr>
        <w:instrText>ADDIN CSL_CITATION {"citationItems":[{"id":"ITEM-1","itemData":{"DOI":"10.1007/s13539-011-0054-2","ISSN":"21906009","abstract":"The deterioration of skeletal muscle with advancing age has long been anecdotally recognized and has been of scientific interest for more than 150 years. Over the past several decades, the scientific and medical communities have recognized that skeletal muscle dysfunction (e.g., muscle weakness, poor muscle coordination, etc.) is a debilitating and life-threatening condition in the elderly. For example, the age-associated loss of muscle strength is highly associated with both mortality and physical disability. It is well-accepted that voluntary muscle force production is not solely dependent upon muscle size, but rather results from a combination of neurologic and skeletal muscle factors, and that biologic properties of both of these systems are altered with aging. Accordingly, numerous scientists and clinicians have used the term \"muscle quality\" to describe the relationship between voluntary muscle strength and muscle size. In this review article, we discuss the age-associated changes in the neuromuscular system-starting at the level of the brain and proceeding down to the subcellular level of individual muscle fibers-that are potentially influential in the etiology of dynapenia (age-related loss of muscle strength and power). © The Author(s) 2012.","author":[{"dropping-particle":"","family":"Russ","given":"David W.","non-dropping-particle":"","parse-names":false,"suffix":""},{"dropping-particle":"","family":"Gregg-Cornell","given":"Kimberly","non-dropping-particle":"","parse-names":false,"suffix":""},{"dropping-particle":"","family":"Conaway","given":"Matthew J.","non-dropping-particle":"","parse-names":false,"suffix":""},{"dropping-particle":"","family":"Clark","given":"Brian C.","non-dropping-particle":"","parse-names":false,"suffix":""}],"container-title":"Journal of Cachexia, Sarcopenia and Muscle","id":"ITEM-1","issue":"2","issued":{"date-parts":[["2012"]]},"page":"95-109","publisher":"Wiley Online Library","title":"Evolving concepts on the age-related changes in \"muscle quality\"","type":"article","volume":"3"},"uris":["http://www.mendeley.com/documents/?uuid=38ec83ff-13b3-3129-aaa7-b9a57817db43"]}],"mendeley":{"formattedCitation":"(8)","plainTextFormattedCitation":"(8)","previouslyFormattedCitation":"(8)"},"properties":{"noteIndex":0},"schema":"https://github.com/citation-style-language/schema/raw/master/csl-citation.json"}</w:instrText>
      </w:r>
      <w:r w:rsidR="00DB2FE8">
        <w:rPr>
          <w:shd w:val="clear" w:color="auto" w:fill="FFFFFF"/>
        </w:rPr>
        <w:fldChar w:fldCharType="separate"/>
      </w:r>
      <w:r w:rsidR="005F4CC5" w:rsidRPr="005F4CC5">
        <w:rPr>
          <w:noProof/>
          <w:shd w:val="clear" w:color="auto" w:fill="FFFFFF"/>
        </w:rPr>
        <w:t>(8)</w:t>
      </w:r>
      <w:r w:rsidR="00DB2FE8">
        <w:rPr>
          <w:shd w:val="clear" w:color="auto" w:fill="FFFFFF"/>
        </w:rPr>
        <w:fldChar w:fldCharType="end"/>
      </w:r>
      <w:r w:rsidR="004E14D0">
        <w:rPr>
          <w:shd w:val="clear" w:color="auto" w:fill="FFFFFF"/>
        </w:rPr>
        <w:t>,</w:t>
      </w:r>
      <w:r w:rsidR="007F6AA4">
        <w:rPr>
          <w:shd w:val="clear" w:color="auto" w:fill="FFFFFF"/>
        </w:rPr>
        <w:t xml:space="preserve"> which has been linked to </w:t>
      </w:r>
      <w:r w:rsidR="00EC3020">
        <w:rPr>
          <w:shd w:val="clear" w:color="auto" w:fill="FFFFFF"/>
        </w:rPr>
        <w:t>muscle</w:t>
      </w:r>
      <w:r w:rsidR="00333BA3">
        <w:rPr>
          <w:shd w:val="clear" w:color="auto" w:fill="FFFFFF"/>
        </w:rPr>
        <w:t xml:space="preserve"> </w:t>
      </w:r>
      <w:r w:rsidR="007F6AA4">
        <w:rPr>
          <w:shd w:val="clear" w:color="auto" w:fill="FFFFFF"/>
        </w:rPr>
        <w:t>density</w:t>
      </w:r>
      <w:r w:rsidR="00B80301">
        <w:rPr>
          <w:shd w:val="clear" w:color="auto" w:fill="FFFFFF"/>
        </w:rPr>
        <w:t xml:space="preserve"> </w:t>
      </w:r>
      <w:r w:rsidR="00B80301">
        <w:rPr>
          <w:shd w:val="clear" w:color="auto" w:fill="FFFFFF"/>
        </w:rPr>
        <w:fldChar w:fldCharType="begin" w:fldLock="1"/>
      </w:r>
      <w:r w:rsidR="00D07580">
        <w:rPr>
          <w:shd w:val="clear" w:color="auto" w:fill="FFFFFF"/>
        </w:rPr>
        <w:instrText>ADDIN CSL_CITATION {"citationItems":[{"id":"ITEM-1","itemData":{"DOI":"10.1002/ACR.20588","ISSN":"2151-4658","abstract":"Objective. To examine the relationship between knee osteoarthritis (OA) and muscle parameters in a biracial cohort of older adults. Methods. Participants in the Health, Aging and Body Composition Study (n = 858) were included in this cross-sectional analysis. Computed tomography was used to measure muscle area, and quadriceps strength was measured isokinetically. Muscle quality (specific torque) was defined as strength per unit of muscle area for both the entire thigh and quadriceps. Knee OA was assessed based on radiographic features and knee pain. We compared muscle parameters between those with and without radiographic knee OA (+RKOA group and-RKOA group, respectively) and among 4 groups defined by +RKOA and-RKOA with and without pain. Results. The mean ± SD age was 73.5 ± 2.9 years and the mean ± SD body mass index (BMI) was 27.9 ± 4.8 kg/m 2. Fifty-eight percent of participants were women and 44% were African American. Compared to the-RKOA participants, +RKOA participants had a higher BMI (30.2 versus 26.8 kg/m 2), larger thigh muscles (117.9 versus 108.9 cm 2), and a greater amount of intermuscular fat (12.5 versus 9.9 cm 2; all P &lt; 0.0001). In adjusted models, the +RKOA participants had significantly lower specific torque (P &lt; 0.001), indicating poorer muscle quality, than-RKOA participants, but there was no difference between groups in quadriceps specific torque. The +RKOA without pain (P &lt; 0.05) and the +RKOA with pain (P &lt; 0.001) participants had lower specific torque compared to the-RKOA without pain group. There were no significant differences in quadriceps specific torque among groups. Conclusion. Muscle quality was significantly poorer in participants with RKOA regardless of pain status. Future studies should address how lifestyle interventions might affect muscle quality and progression of knee OA. © 2012, American College of Rheumatology.","author":[{"dropping-particle":"","family":"Conroy","given":"Molly B.","non-dropping-particle":"","parse-names":false,"suffix":""},{"dropping-particle":"","family":"Kwoh","given":"C. Kent","non-dropping-particle":"","parse-names":false,"suffix":""},{"dropping-particle":"","family":"Krishnan","given":"Eswar","non-dropping-particle":"","parse-names":false,"suffix":""},{"dropping-particle":"","family":"Nevitt","given":"Michael C.","non-dropping-particle":"","parse-names":false,"suffix":""},{"dropping-particle":"","family":"Boudreau","given":"Robert","non-dropping-particle":"","parse-names":false,"suffix":""},{"dropping-particle":"","family":"Carbone","given":"Laura D.","non-dropping-particle":"","parse-names":false,"suffix":""},{"dropping-particle":"","family":"Chen","given":"Hepei","non-dropping-particle":"","parse-names":false,"suffix":""},{"dropping-particle":"","family":"Harris","given":"Tamara B.","non-dropping-particle":"","parse-names":false,"suffix":""},{"dropping-particle":"","family":"Newman","given":"Anne B.","non-dropping-particle":"","parse-names":false,"suffix":""},{"dropping-particle":"","family":"Goodpaster","given":"Bret H.","non-dropping-particle":"","parse-names":false,"suffix":""}],"container-title":"Arthritis Care &amp; Research","id":"ITEM-1","issue":"1","issued":{"date-parts":[["2012","1","1"]]},"page":"15-21","publisher":"John Wiley &amp; Sons, Ltd","title":"Muscle strength, mass, and quality in older men and women with knee osteoarthritis","type":"article-journal","volume":"64"},"uris":["http://www.mendeley.com/documents/?uuid=8e5bdbf3-a90a-3ad3-82cc-b8e04fdb976f"]},{"id":"ITEM-2","itemData":{"DOI":"10.1152/JAPPL.2001.90.6.2157","abstract":"Although loss of muscle mass is considered a cause of diminished muscle strength with aging, little is known regarding whether composition of aging muscle affects strength. The skeletal muscle atte...","author":[{"dropping-particle":"","family":"Goodpaster","given":"Bret H.","non-dropping-particle":"","parse-names":false,"suffix":""},{"dropping-particle":"","family":"Carlson","given":"Catherine L.","non-dropping-particle":"","parse-names":false,"suffix":""},{"dropping-particle":"","family":"Visser","given":"Marjolein","non-dropping-particle":"","parse-names":false,"suffix":""},{"dropping-particle":"","family":"Kelley","given":"David E.","non-dropping-particle":"","parse-names":false,"suffix":""},{"dropping-particle":"","family":"Scherzinger","given":"Ann","non-dropping-particle":"","parse-names":false,"suffix":""},{"dropping-particle":"","family":"Harris","given":"Tamara B.","non-dropping-particle":"","parse-names":false,"suffix":""},{"dropping-particle":"","family":"Stamm","given":"Elizabeth","non-dropping-particle":"","parse-names":false,"suffix":""},{"dropping-particle":"","family":"Newman","given":"Anne B.","non-dropping-particle":"","parse-names":false,"suffix":""}],"container-title":"https://doi.org/10.1152/jappl.2001.90.6.2157","id":"ITEM-2","issue":"6","issued":{"date-parts":[["2001"]]},"page":"2157-2165","publisher":" American Physiological SocietyBethesda, MD ","title":"Attenuation of skeletal muscle and strength in the elderly: The Health ABC Study","type":"article-journal","volume":"90"},"uris":["http://www.mendeley.com/documents/?uuid=a4631c92-989a-3d9c-a257-1533d2e1e8ef"]}],"mendeley":{"formattedCitation":"(9,10)","plainTextFormattedCitation":"(9,10)","previouslyFormattedCitation":"(9,10)"},"properties":{"noteIndex":0},"schema":"https://github.com/citation-style-language/schema/raw/master/csl-citation.json"}</w:instrText>
      </w:r>
      <w:r w:rsidR="00B80301">
        <w:rPr>
          <w:shd w:val="clear" w:color="auto" w:fill="FFFFFF"/>
        </w:rPr>
        <w:fldChar w:fldCharType="separate"/>
      </w:r>
      <w:r w:rsidR="005F4CC5" w:rsidRPr="005F4CC5">
        <w:rPr>
          <w:noProof/>
          <w:shd w:val="clear" w:color="auto" w:fill="FFFFFF"/>
        </w:rPr>
        <w:t>(9,10)</w:t>
      </w:r>
      <w:r w:rsidR="00B80301">
        <w:rPr>
          <w:shd w:val="clear" w:color="auto" w:fill="FFFFFF"/>
        </w:rPr>
        <w:fldChar w:fldCharType="end"/>
      </w:r>
      <w:r w:rsidR="004E14D0">
        <w:rPr>
          <w:shd w:val="clear" w:color="auto" w:fill="FFFFFF"/>
        </w:rPr>
        <w:t xml:space="preserve">. </w:t>
      </w:r>
      <w:r w:rsidR="00727D31">
        <w:rPr>
          <w:shd w:val="clear" w:color="auto" w:fill="FFFFFF"/>
        </w:rPr>
        <w:t xml:space="preserve">Few studies have considered the demographic and lifestyle determinants of muscle density, which has been shown to decrease with </w:t>
      </w:r>
      <w:r w:rsidR="00727D31" w:rsidRPr="005F4CC5">
        <w:rPr>
          <w:shd w:val="clear" w:color="auto" w:fill="FFFFFF"/>
        </w:rPr>
        <w:t xml:space="preserve">age </w:t>
      </w:r>
      <w:r w:rsidR="00727D31" w:rsidRPr="005F4CC5">
        <w:rPr>
          <w:shd w:val="clear" w:color="auto" w:fill="FFFFFF"/>
        </w:rPr>
        <w:fldChar w:fldCharType="begin" w:fldLock="1"/>
      </w:r>
      <w:r w:rsidR="00D07580">
        <w:rPr>
          <w:shd w:val="clear" w:color="auto" w:fill="FFFFFF"/>
        </w:rPr>
        <w:instrText>ADDIN CSL_CITATION {"citationItems":[{"id":"ITEM-1","itemData":{"DOI":"10.1016/J.NEUROBIOLAGING.2005.06.009","ISSN":"0197-4580","abstract":"Using data from InCHIANTI, a prospective population-based survey of older persons, we examined the relationship of peroneal nerve conduction velocity (NCV, a measure of nerve myelination) and compound muscle action potential (CMAP, a measure of axonal degeneration) with calf muscle mass and density, two complementary measures of sarcopenia. NCV and CMAP were assessed by surface electroneurography of the right peroneal nerve conducted in 1162 participants, 515 men and 647 women, age 21-96 years, free of major neurological diseases. Cross-sectional muscle area and calf muscle density were measured using peripheral quantitative computerized tomography (pQCT). Both nerve and muscle parameters declined with age although in most cases the decline was not linear. In both sexes, CMAP, but not NCV, was independently and significantly associated with calf muscle density. These findings suggest that intrinsic changes in the muscle tissue are partially caused by a reduction in the number of motor axons. © 2005.","author":[{"dropping-particle":"","family":"Lauretani","given":"Fulvio","non-dropping-particle":"","parse-names":false,"suffix":""},{"dropping-particle":"","family":"Bandinelli","given":"Stefania","non-dropping-particle":"","parse-names":false,"suffix":""},{"dropping-particle":"","family":"Bartali","given":"Benedetta","non-dropping-particle":"","parse-names":false,"suffix":""},{"dropping-particle":"Di","family":"Iorio","given":"Angelo","non-dropping-particle":"","parse-names":false,"suffix":""},{"dropping-particle":"","family":"Giacomini","given":"Vittoria","non-dropping-particle":"","parse-names":false,"suffix":""},{"dropping-particle":"","family":"Corsi","given":"Anna Maria","non-dropping-particle":"","parse-names":false,"suffix":""},{"dropping-particle":"","family":"Guralnik","given":"Jack M.","non-dropping-particle":"","parse-names":false,"suffix":""},{"dropping-particle":"","family":"Ferrucci","given":"Luigi","non-dropping-particle":"","parse-names":false,"suffix":""}],"container-title":"Neurobiology of Aging","id":"ITEM-1","issue":"8","issued":{"date-parts":[["2006","8","1"]]},"page":"1145-1154","publisher":"Elsevier","title":"Axonal degeneration affects muscle density in older men and women","type":"article-journal","volume":"27"},"uris":["http://www.mendeley.com/documents/?uuid=449db154-4536-3e0c-8c43-24b2a17293ae"]}],"mendeley":{"formattedCitation":"(11)","plainTextFormattedCitation":"(11)","previouslyFormattedCitation":"(11)"},"properties":{"noteIndex":0},"schema":"https://github.com/citation-style-language/schema/raw/master/csl-citation.json"}</w:instrText>
      </w:r>
      <w:r w:rsidR="00727D31" w:rsidRPr="005F4CC5">
        <w:rPr>
          <w:shd w:val="clear" w:color="auto" w:fill="FFFFFF"/>
        </w:rPr>
        <w:fldChar w:fldCharType="separate"/>
      </w:r>
      <w:r w:rsidR="005F4CC5" w:rsidRPr="005F4CC5">
        <w:rPr>
          <w:noProof/>
          <w:shd w:val="clear" w:color="auto" w:fill="FFFFFF"/>
        </w:rPr>
        <w:t>(11)</w:t>
      </w:r>
      <w:r w:rsidR="00727D31" w:rsidRPr="005F4CC5">
        <w:rPr>
          <w:shd w:val="clear" w:color="auto" w:fill="FFFFFF"/>
        </w:rPr>
        <w:fldChar w:fldCharType="end"/>
      </w:r>
      <w:r w:rsidR="00727D31" w:rsidRPr="005F4CC5">
        <w:rPr>
          <w:shd w:val="clear" w:color="auto" w:fill="FFFFFF"/>
        </w:rPr>
        <w:t xml:space="preserve">. </w:t>
      </w:r>
      <w:r w:rsidR="00071930">
        <w:rPr>
          <w:shd w:val="clear" w:color="auto" w:fill="FFFFFF"/>
        </w:rPr>
        <w:t>Furthermore l</w:t>
      </w:r>
      <w:r w:rsidR="00232D28">
        <w:rPr>
          <w:shd w:val="clear" w:color="auto" w:fill="FFFFFF"/>
        </w:rPr>
        <w:t xml:space="preserve">ower muscle density </w:t>
      </w:r>
      <w:r w:rsidR="007F6AA4">
        <w:rPr>
          <w:shd w:val="clear" w:color="auto" w:fill="FFFFFF"/>
        </w:rPr>
        <w:t xml:space="preserve">may </w:t>
      </w:r>
      <w:r w:rsidR="00232D28">
        <w:rPr>
          <w:shd w:val="clear" w:color="auto" w:fill="FFFFFF"/>
        </w:rPr>
        <w:t>impl</w:t>
      </w:r>
      <w:r w:rsidR="007F6AA4">
        <w:rPr>
          <w:shd w:val="clear" w:color="auto" w:fill="FFFFFF"/>
        </w:rPr>
        <w:t>y</w:t>
      </w:r>
      <w:r w:rsidR="00232D28">
        <w:rPr>
          <w:shd w:val="clear" w:color="auto" w:fill="FFFFFF"/>
        </w:rPr>
        <w:t xml:space="preserve"> greater fatty infiltration</w:t>
      </w:r>
      <w:r w:rsidR="00D55B43">
        <w:rPr>
          <w:shd w:val="clear" w:color="auto" w:fill="FFFFFF"/>
        </w:rPr>
        <w:t xml:space="preserve"> within skeletal muscle</w:t>
      </w:r>
      <w:r w:rsidR="00071930">
        <w:rPr>
          <w:shd w:val="clear" w:color="auto" w:fill="FFFFFF"/>
        </w:rPr>
        <w:t xml:space="preserve"> and so might link to adiposity</w:t>
      </w:r>
      <w:r w:rsidR="00D844F2">
        <w:rPr>
          <w:shd w:val="clear" w:color="auto" w:fill="FFFFFF"/>
        </w:rPr>
        <w:t xml:space="preserve"> </w:t>
      </w:r>
      <w:r w:rsidR="00232D28">
        <w:rPr>
          <w:shd w:val="clear" w:color="auto" w:fill="FFFFFF"/>
        </w:rPr>
        <w:fldChar w:fldCharType="begin" w:fldLock="1"/>
      </w:r>
      <w:r w:rsidR="00D07580">
        <w:rPr>
          <w:shd w:val="clear" w:color="auto" w:fill="FFFFFF"/>
        </w:rPr>
        <w:instrText>ADDIN CSL_CITATION {"citationItems":[{"id":"ITEM-1","itemData":{"DOI":"10.1016/J.CLNU.2013.01.010","abstract":"Background: Sarcopenia is prevalent in older populations with many causes and varying outcomes however information for use in clinical practice is still lacking. Aims: The aim of this report is to identify the clinical determinants and prognostic significance of sarcopenia in a cohort of hospitalized acutely ill older patients. Methods: Four hundred and thirty two randomly selected patients had their baseline clinical characteristic data assessed within 72h of admission, at 6 weeks and at 6 months. Nutritional status was assessed from anthropometric and biochemical data. Sarcopenia was diagnosed from low muscle mass and low muscle strength-hand grip using anthropometric measures based on the European Working Group criteria. Results: Compared with patients without sarcopenia, those diagnosed with sarcopenia 44 (10%) were more likely to be older, have more depression symptoms and lower serum albumin concentration. The length of hospital stay (LOS) was significantly longer in patients diagnosed with sarcopenia compared with patients without sarcopenia [mean (SD) LOS 13.4 (8.8) versus 9.4 (7) days respectively, p=0.003]. The risk of non-elective readmission in the 6 months follow up period was significantly lower in patients without sarcopenia compared with those diagnosed with sarcopenia (adjusted hazard ratio. 53 (95% CI: .32 to .87, p=0.013). The death rate was also lower in patients without sarcopenia 38/388 (10%), compared with those with sarcopenia 12/44 (27%), p-value=.001. Conclusion: Older people with sarcopenia have poor clinical outcome following acute illness compared with those without sarcopenia. © 2013 Elsevier Ltd and European Society for Clinical Nutrition and Metabolism.","author":[{"dropping-particle":"","family":"Gariballa","given":"Salah","non-dropping-particle":"","parse-names":false,"suffix":""},{"dropping-particle":"","family":"Alessa","given":"Awad","non-dropping-particle":"","parse-names":false,"suffix":""}],"container-title":"Clinical Nutrition","id":"ITEM-1","issue":"5","issued":{"date-parts":[["2013","10"]]},"page":"772-776","title":"Sarcopenia: Prevalence and prognostic significance in hospitalized patients","type":"article-journal","volume":"32"},"uris":["http://www.mendeley.com/documents/?uuid=508843dd-41d0-3f0e-a84e-89dc99bf3a9e"]},{"id":"ITEM-2","itemData":{"DOI":"10.1007/s00198-017-4151-8","abstract":"As the world's population ages, the prevalence of chronic diseases increases. Sarcopenia and osteoporosis are two conditions that are associated with aging, with similar risk factors that include genetics, endocrine function, and mechanical factors. Additionally, bone and muscle closely interact with each other not only anatomically, but also chemically and metabolically. Fat infiltration, a phenomenon observed in age-related bone and muscle loss, is highly prevalent and more severe in sarcopenic and osteoporotic subjects. Clinically, when individuals suffer a combination of both disorders , negative outcomes such as falls, fractures, loss of function , frailty, and mortality increase, thus generating significant personal and socioeconomic costs. Therefore, it is suggested that when bone mineral density loss is synchronic with decreased muscle mass, strength, and function, it should be interpreted as a single diagnosis of osteosarcopenia, which may be preventable and treatable. Simple interventions such as resistance training, adequate protein and calcium dietary intake, associated with maintenance of appropriate levels of vitamin D, have a dual positive effect on bone and muscle, reducing falls, fractures, and, consequently, disability. It is essential that fracture prevention approaches-including postfracture management-involve assessment and treatment of both osteoporosis and sarcopenia. This is of particular importance as in older persons the combination of osteopenia/ osteoporosis and sarcopenia has been proposed as a subset of frailer individuals at higher risk of institutionalization, falls, and fractures. This review summarizes osteosarcopenia epidemiology , pathophysiology, diagnosis, outcomes, and management strategies.","author":[{"dropping-particle":"","family":"Hirschfeld","given":"H P","non-dropping-particle":"","parse-names":false,"suffix":""},{"dropping-particle":"","family":"Kinsella","given":"&amp; R","non-dropping-particle":"","parse-names":false,"suffix":""},{"dropping-particle":"","family":"Duque","given":"G","non-dropping-particle":"","parse-names":false,"suffix":""}],"id":"ITEM-2","issued":{"date-parts":[["0"]]},"title":"Osteosarcopenia: where bone, muscle, and fat collide","type":"article-journal"},"uris":["http://www.mendeley.com/documents/?uuid=74a2051d-9e97-3478-9f0a-95677e1d6cd2"]}],"mendeley":{"formattedCitation":"(7,12)","plainTextFormattedCitation":"(7,12)","previouslyFormattedCitation":"(7,12)"},"properties":{"noteIndex":0},"schema":"https://github.com/citation-style-language/schema/raw/master/csl-citation.json"}</w:instrText>
      </w:r>
      <w:r w:rsidR="00232D28">
        <w:rPr>
          <w:shd w:val="clear" w:color="auto" w:fill="FFFFFF"/>
        </w:rPr>
        <w:fldChar w:fldCharType="separate"/>
      </w:r>
      <w:r w:rsidR="005F4CC5" w:rsidRPr="005F4CC5">
        <w:rPr>
          <w:noProof/>
          <w:shd w:val="clear" w:color="auto" w:fill="FFFFFF"/>
        </w:rPr>
        <w:t>(7,12)</w:t>
      </w:r>
      <w:r w:rsidR="00232D28">
        <w:rPr>
          <w:shd w:val="clear" w:color="auto" w:fill="FFFFFF"/>
        </w:rPr>
        <w:fldChar w:fldCharType="end"/>
      </w:r>
      <w:r w:rsidR="00484FD8">
        <w:rPr>
          <w:shd w:val="clear" w:color="auto" w:fill="FFFFFF"/>
        </w:rPr>
        <w:t>.</w:t>
      </w:r>
      <w:r w:rsidR="006447BE">
        <w:rPr>
          <w:shd w:val="clear" w:color="auto" w:fill="FFFFFF"/>
        </w:rPr>
        <w:t xml:space="preserve"> </w:t>
      </w:r>
    </w:p>
    <w:p w14:paraId="44813A11" w14:textId="76EB682E" w:rsidR="006447BE" w:rsidRDefault="00A657B7" w:rsidP="00BC5BDD">
      <w:pPr>
        <w:jc w:val="both"/>
        <w:rPr>
          <w:shd w:val="clear" w:color="auto" w:fill="FFFFFF"/>
        </w:rPr>
      </w:pPr>
      <w:r>
        <w:rPr>
          <w:shd w:val="clear" w:color="auto" w:fill="FFFFFF"/>
        </w:rPr>
        <w:t>Muscle density represents an interesting muscle variable to study further as r</w:t>
      </w:r>
      <w:r w:rsidR="002A6A2D">
        <w:rPr>
          <w:shd w:val="clear" w:color="auto" w:fill="FFFFFF"/>
        </w:rPr>
        <w:t>educed leg muscle density increase</w:t>
      </w:r>
      <w:r w:rsidR="006E5D7F">
        <w:rPr>
          <w:shd w:val="clear" w:color="auto" w:fill="FFFFFF"/>
        </w:rPr>
        <w:t>s</w:t>
      </w:r>
      <w:r w:rsidR="002A6A2D">
        <w:rPr>
          <w:shd w:val="clear" w:color="auto" w:fill="FFFFFF"/>
        </w:rPr>
        <w:t xml:space="preserve"> the risk </w:t>
      </w:r>
      <w:r w:rsidR="006E5D7F">
        <w:rPr>
          <w:shd w:val="clear" w:color="auto" w:fill="FFFFFF"/>
        </w:rPr>
        <w:t>of</w:t>
      </w:r>
      <w:r w:rsidR="002A6A2D">
        <w:rPr>
          <w:shd w:val="clear" w:color="auto" w:fill="FFFFFF"/>
        </w:rPr>
        <w:t xml:space="preserve"> mobility loss</w:t>
      </w:r>
      <w:r w:rsidR="00377E80">
        <w:rPr>
          <w:shd w:val="clear" w:color="auto" w:fill="FFFFFF"/>
        </w:rPr>
        <w:t xml:space="preserve"> and</w:t>
      </w:r>
      <w:r w:rsidR="00BE6279">
        <w:rPr>
          <w:shd w:val="clear" w:color="auto" w:fill="FFFFFF"/>
        </w:rPr>
        <w:t xml:space="preserve"> has been associated with falls</w:t>
      </w:r>
      <w:r w:rsidR="00D844F2">
        <w:rPr>
          <w:shd w:val="clear" w:color="auto" w:fill="FFFFFF"/>
        </w:rPr>
        <w:t xml:space="preserve"> </w:t>
      </w:r>
      <w:r w:rsidR="00C861C5">
        <w:rPr>
          <w:shd w:val="clear" w:color="auto" w:fill="FFFFFF"/>
        </w:rPr>
        <w:fldChar w:fldCharType="begin" w:fldLock="1"/>
      </w:r>
      <w:r w:rsidR="00D07580">
        <w:rPr>
          <w:shd w:val="clear" w:color="auto" w:fill="FFFFFF"/>
        </w:rPr>
        <w:instrText>ADDIN CSL_CITATION {"citationItems":[{"id":"ITEM-1","itemData":{"DOI":"10.1007/S00198-016-3514-X","ISSN":"14332965","PMID":"26879201","abstract":"Summary: Muscle density is a risk factor for fractures in older adults; however, its association with falls is not well described. After adjusting for biologically relevant confounding factors, a unit decrease in muscle density was associated with a 17 % increase in odds of reporting a fall, independent of functional mobility. Introduction: Falls are the leading cause of injury, disability, and fractures in older adults. Low muscle density (i.e., caused by muscle adiposity) and functional mobility have been identified as risk factors for incident disability and fractures in older adults; however, it is not known if these are also independently associated with falls. The purpose of this study was to explore the associations of muscle density and functional mobility with fall status. Methods: Cross-sectional observational study of 183 men and women aged 60–98 years. Descriptive data, including a 12-month fall recall, Timed Up and Go (TUG) test performance, lower leg muscle area, and density. Odds ratio (OR) of being a faller were calculated, adjusted for age, sex, body mass index, general health status, diabetes, and comorbidities. Results: Every mg/cm3 increase in muscle density (mean 70.2, SD 2.6 mg/cm3) independently reduced the odds of being a faller by 19 % (OR 0.81 [95 % CI 0.67 to 0.97]), and every 1 s longer TUG test time (mean 9.8, SD 2.6 s) independently increased the odds by 17 % (OR 1.17 [95 % CI 1.01 to 1.37]). When both muscle density and TUG test time were included in the same model, only age (OR 0.93 [95 % CI 0.87 to 0.99]) and muscle density (OR 0.83 [95 % CI 0.69 to 0.99]) were independently associated with fall status. Conclusions: Muscle density was associated with fall status, independent of functional mobility. Muscle density may compliment functional mobility tests as a biometric outcome for assessing fall risk in well-functioning older adults.","author":[{"dropping-particle":"","family":"Frank-Wilson","given":"A. W.","non-dropping-particle":"","parse-names":false,"suffix":""},{"dropping-particle":"","family":"Farthing","given":"J. P.","non-dropping-particle":"","parse-names":false,"suffix":""},{"dropping-particle":"","family":"Chilibeck","given":"P. D.","non-dropping-particle":"","parse-names":false,"suffix":""},{"dropping-particle":"","family":"Arnold","given":"C. M.","non-dropping-particle":"","parse-names":false,"suffix":""},{"dropping-particle":"","family":"Davison","given":"K. S.","non-dropping-particle":"","parse-names":false,"suffix":""},{"dropping-particle":"","family":"Olszynski","given":"W. P.","non-dropping-particle":"","parse-names":false,"suffix":""},{"dropping-particle":"","family":"Kontulainen","given":"S. A.","non-dropping-particle":"","parse-names":false,"suffix":""}],"container-title":"Osteoporosis International","id":"ITEM-1","issue":"7","issued":{"date-parts":[["2016","7","1"]]},"page":"2231-2240","publisher":"Springer London","title":"Lower leg muscle density is independently associated with fall status in community-dwelling older adults","type":"article-journal","volume":"27"},"uris":["http://www.mendeley.com/documents/?uuid=1e4899db-ce49-45b1-9441-acbd928e59fc"]},{"id":"ITEM-2","itemData":{"PMID":"29504574","abstract":"Objectives: To determine whether associations of calf muscle density with physical function are independent of other determinants of functional decline in overweight and obese older adults. Methods: This was a secondary analysis of a cross-sectional study of 85 community-dwelling overweight and obese adults (mean±SD age 62.8±7.9 years; BMI 32.3±6.1 kg/m2; 58% women). Peripheral quantitative computed tomography assessed mid-calf muscle density (66% tibial length) and dual-energy X-ray absorptiometry determined visceral fat area. Fasting glucose, Homeostatic Model Assessment of Insulin Resistance (HOMA-IR) and C-reactive protein (CRP) were analysed. Physical function assessments included hand grip and knee extension strength, balance path length (computerised posturography), stair climb test, Short Physical Performance Battery (SPPB) and self-reported falls efficacy (Modified Falls Efficacy Scale; M-FES). Results: Visceral fat area, not muscle density, was independently associated with CRP and fasting glucose (B=0.025; 95% CI 0.009-0.042 and B=0.009; 0.001-0.017, respectively). Nevertheless, higher muscle density was independently associated with lower path length and stair climb time, and higher SPPB and M-FES scores (all P&lt;0.05). Visceral fat area, fasting glucose and CRP did not mediate these associations. Conclusions: Higher calf muscle density predicts better physical function in overweight and obese older adults independent of insulin resistance, visceral adiposity or inflammation.","author":[{"dropping-particle":"","family":"Scott","given":"David","non-dropping-particle":"","parse-names":false,"suffix":""},{"dropping-particle":"","family":"Shore-Lorenti","given":"Catherine","non-dropping-particle":"","parse-names":false,"suffix":""},{"dropping-particle":"","family":"McMillan","given":"Lachlan B.","non-dropping-particle":"","parse-names":false,"suffix":""},{"dropping-particle":"","family":"Mesinovic","given":"Jakub","non-dropping-particle":"","parse-names":false,"suffix":""},{"dropping-particle":"","family":"Clark","given":"Ross A.","non-dropping-particle":"","parse-names":false,"suffix":""},{"dropping-particle":"","family":"Hayes","given":"Alan","non-dropping-particle":"","parse-names":false,"suffix":""},{"dropping-particle":"","family":"Sanders","given":"Kerrie M.","non-dropping-particle":"","parse-names":false,"suffix":""},{"dropping-particle":"","family":"Duque","given":"Gustavo","non-dropping-particle":"","parse-names":false,"suffix":""},{"dropping-particle":"","family":"Ebeling","given":"Peter R.","non-dropping-particle":"","parse-names":false,"suffix":""}],"container-title":"Journal of Musculoskeletal &amp; Neuronal Interactions","id":"ITEM-2","issue":"1","issued":{"date-parts":[["2018","3","1"]]},"page":"9","publisher":"International Society of Musculoskeletal and Neuronal Interactions (ISMNI)","title":"Calf muscle density is independently associated with physical function in overweight and obese older adults","type":"article-journal","volume":"18"},"uris":["http://www.mendeley.com/documents/?uuid=4f32778f-8857-33ae-9d58-9669055d4d56"]}],"mendeley":{"formattedCitation":"(13,14)","plainTextFormattedCitation":"(13,14)","previouslyFormattedCitation":"(13,14)"},"properties":{"noteIndex":0},"schema":"https://github.com/citation-style-language/schema/raw/master/csl-citation.json"}</w:instrText>
      </w:r>
      <w:r w:rsidR="00C861C5">
        <w:rPr>
          <w:shd w:val="clear" w:color="auto" w:fill="FFFFFF"/>
        </w:rPr>
        <w:fldChar w:fldCharType="separate"/>
      </w:r>
      <w:r w:rsidR="005F4CC5" w:rsidRPr="005F4CC5">
        <w:rPr>
          <w:noProof/>
          <w:shd w:val="clear" w:color="auto" w:fill="FFFFFF"/>
        </w:rPr>
        <w:t>(13,14)</w:t>
      </w:r>
      <w:r w:rsidR="00C861C5">
        <w:rPr>
          <w:shd w:val="clear" w:color="auto" w:fill="FFFFFF"/>
        </w:rPr>
        <w:fldChar w:fldCharType="end"/>
      </w:r>
      <w:r w:rsidR="00D07580">
        <w:rPr>
          <w:shd w:val="clear" w:color="auto" w:fill="FFFFFF"/>
        </w:rPr>
        <w:t>,</w:t>
      </w:r>
      <w:r w:rsidR="00857ECB">
        <w:rPr>
          <w:shd w:val="clear" w:color="auto" w:fill="FFFFFF"/>
        </w:rPr>
        <w:t xml:space="preserve"> which</w:t>
      </w:r>
      <w:r w:rsidR="00C861C5">
        <w:rPr>
          <w:shd w:val="clear" w:color="auto" w:fill="FFFFFF"/>
        </w:rPr>
        <w:t xml:space="preserve"> may increase</w:t>
      </w:r>
      <w:r w:rsidR="00333BA3">
        <w:rPr>
          <w:shd w:val="clear" w:color="auto" w:fill="FFFFFF"/>
        </w:rPr>
        <w:t xml:space="preserve"> future fracture risk</w:t>
      </w:r>
      <w:r w:rsidR="00377E80">
        <w:rPr>
          <w:shd w:val="clear" w:color="auto" w:fill="FFFFFF"/>
        </w:rPr>
        <w:t>.</w:t>
      </w:r>
      <w:r w:rsidR="00333BA3">
        <w:rPr>
          <w:shd w:val="clear" w:color="auto" w:fill="FFFFFF"/>
        </w:rPr>
        <w:t xml:space="preserve"> </w:t>
      </w:r>
      <w:r w:rsidR="00377E80" w:rsidRPr="00215376">
        <w:rPr>
          <w:shd w:val="clear" w:color="auto" w:fill="FFFFFF"/>
        </w:rPr>
        <w:t xml:space="preserve">Muscle density </w:t>
      </w:r>
      <w:r w:rsidR="006E5D7F">
        <w:rPr>
          <w:shd w:val="clear" w:color="auto" w:fill="FFFFFF"/>
        </w:rPr>
        <w:t>has</w:t>
      </w:r>
      <w:r w:rsidR="009837CD" w:rsidRPr="00215376">
        <w:rPr>
          <w:shd w:val="clear" w:color="auto" w:fill="FFFFFF"/>
        </w:rPr>
        <w:t xml:space="preserve"> </w:t>
      </w:r>
      <w:r w:rsidR="006E5D7F">
        <w:rPr>
          <w:shd w:val="clear" w:color="auto" w:fill="FFFFFF"/>
        </w:rPr>
        <w:t xml:space="preserve">been </w:t>
      </w:r>
      <w:r w:rsidR="009837CD" w:rsidRPr="00215376">
        <w:rPr>
          <w:shd w:val="clear" w:color="auto" w:fill="FFFFFF"/>
        </w:rPr>
        <w:t>shown to perform better than bone mineral density or muscle size in discrimina</w:t>
      </w:r>
      <w:r w:rsidR="00D55B43">
        <w:rPr>
          <w:shd w:val="clear" w:color="auto" w:fill="FFFFFF"/>
        </w:rPr>
        <w:t>ting</w:t>
      </w:r>
      <w:r w:rsidR="009837CD" w:rsidRPr="00215376">
        <w:rPr>
          <w:shd w:val="clear" w:color="auto" w:fill="FFFFFF"/>
        </w:rPr>
        <w:t xml:space="preserve"> </w:t>
      </w:r>
      <w:r w:rsidR="00D55B43">
        <w:rPr>
          <w:shd w:val="clear" w:color="auto" w:fill="FFFFFF"/>
        </w:rPr>
        <w:t>individuals</w:t>
      </w:r>
      <w:r w:rsidR="006E5D7F">
        <w:rPr>
          <w:shd w:val="clear" w:color="auto" w:fill="FFFFFF"/>
        </w:rPr>
        <w:t xml:space="preserve"> with a history of </w:t>
      </w:r>
      <w:r w:rsidR="009837CD" w:rsidRPr="00215376">
        <w:rPr>
          <w:shd w:val="clear" w:color="auto" w:fill="FFFFFF"/>
        </w:rPr>
        <w:t>hip fracture</w:t>
      </w:r>
      <w:r w:rsidR="00274EED" w:rsidRPr="00215376">
        <w:rPr>
          <w:shd w:val="clear" w:color="auto" w:fill="FFFFFF"/>
        </w:rPr>
        <w:t>,</w:t>
      </w:r>
      <w:r w:rsidR="0076077E" w:rsidRPr="00215376">
        <w:rPr>
          <w:shd w:val="clear" w:color="auto" w:fill="FFFFFF"/>
        </w:rPr>
        <w:t xml:space="preserve"> </w:t>
      </w:r>
      <w:r w:rsidR="00274EED" w:rsidRPr="00215376">
        <w:rPr>
          <w:shd w:val="clear" w:color="auto" w:fill="FFFFFF"/>
        </w:rPr>
        <w:t xml:space="preserve">and </w:t>
      </w:r>
      <w:r w:rsidR="006E5D7F">
        <w:rPr>
          <w:shd w:val="clear" w:color="auto" w:fill="FFFFFF"/>
        </w:rPr>
        <w:t>h</w:t>
      </w:r>
      <w:r w:rsidR="00274EED" w:rsidRPr="00215376">
        <w:rPr>
          <w:shd w:val="clear" w:color="auto" w:fill="FFFFFF"/>
        </w:rPr>
        <w:t xml:space="preserve">as </w:t>
      </w:r>
      <w:r w:rsidR="006E5D7F">
        <w:rPr>
          <w:shd w:val="clear" w:color="auto" w:fill="FFFFFF"/>
        </w:rPr>
        <w:t xml:space="preserve">been </w:t>
      </w:r>
      <w:r w:rsidR="00274EED" w:rsidRPr="00215376">
        <w:rPr>
          <w:shd w:val="clear" w:color="auto" w:fill="FFFFFF"/>
        </w:rPr>
        <w:t xml:space="preserve">associated with an increased </w:t>
      </w:r>
      <w:r w:rsidR="00234E9F" w:rsidRPr="00215376">
        <w:rPr>
          <w:shd w:val="clear" w:color="auto" w:fill="FFFFFF"/>
        </w:rPr>
        <w:t>risk of hospitalisation</w:t>
      </w:r>
      <w:r w:rsidR="00BE3031" w:rsidRPr="00215376">
        <w:rPr>
          <w:shd w:val="clear" w:color="auto" w:fill="FFFFFF"/>
        </w:rPr>
        <w:t xml:space="preserve"> </w:t>
      </w:r>
      <w:r w:rsidR="004C18F5" w:rsidRPr="00215376">
        <w:rPr>
          <w:shd w:val="clear" w:color="auto" w:fill="FFFFFF"/>
        </w:rPr>
        <w:fldChar w:fldCharType="begin" w:fldLock="1"/>
      </w:r>
      <w:r w:rsidR="00D07580">
        <w:rPr>
          <w:shd w:val="clear" w:color="auto" w:fill="FFFFFF"/>
        </w:rPr>
        <w:instrText>ADDIN CSL_CITATION {"citationItems":[{"id":"ITEM-1","itemData":{"DOI":"10.1016/j.jelekin.2009.08.004","abstract":"The objective of this study was to compare reaction time, joint torque, rate of torque development, and magnitude of neuromuscular activation of lower-extremity muscles in elderly female fallers and nonfal-lers. Participants included 11, elderly, female fallers (71.3 ± 5.4 years) and twelve nonfallers (71.3 ± 6.2 years) who completed a fall risk questionnaire. Then, maximal, voluntary, isometric contractions of the knee and ankle muscles were performed in reaction to a visual cue to determine joint torque, rate of torque development, reaction time, and nervous activation of agonists and antagonists. Results indicated that significantly more fallers reported ''dizziness upon rising\", ''use of balance altering medi-cations\", ''stress or depression\", ''not enough sleep\", ''arthritis in lower body\", ''chronic pain in lower body\", and ''tiring easily while walking\" (all P &lt; 0.05). Normalized dorsiflexion and plantarflexion strength scores (summation of peak torque, rate of torque development and impulse) were lower in fallers than in nonfallers (P &lt; 0.05). When summed across lower-extremity muscle groups, fallers demonstrated 19% lower peak torque and 29% longer motor time (P &lt; 0.05). In conclusion, comprehensive fall risk screening and prevention programs should address both neuromuscular and non-muscular factors, and, weakness of the ankle dorsiflexors and plantarflexors should be further studied as potential contributors to falls in older adults.","author":[{"dropping-particle":"","family":"Laroche","given":"Dain P","non-dropping-particle":"","parse-names":false,"suffix":""},{"dropping-particle":"","family":"Cremin","given":"Kim A","non-dropping-particle":"","parse-names":false,"suffix":""},{"dropping-particle":"","family":"Greenleaf","given":"Brittnee","non-dropping-particle":"","parse-names":false,"suffix":""},{"dropping-particle":"V","family":"Croce","given":"Ronald","non-dropping-particle":"","parse-names":false,"suffix":""}],"container-title":"Journal of Electromyography and Kinesiology","id":"ITEM-1","issued":{"date-parts":[["0"]]},"page":"482-488","title":"Rapid torque development in older female fallers and nonfallers: A comparison across lower-extremity muscles","type":"article-journal","volume":"20"},"uris":["http://www.mendeley.com/documents/?uuid=03dc66c0-1d3e-3da7-b390-b80261884cf5"]},{"id":"ITEM-2","itemData":{"DOI":"10.1056/NEJMCP020719","abstract":"17. Campbell AJ , Robertson MC , Gardner MM , Norton RN , Buchner DM . Psychotropicmedication withdrawal and a home-based exercise program to prevent falls: a randomized,controlled trial. J Am Geriatr Soc 1999;47:850-853 Web of Science Medline. 18. ...","author":[{"dropping-particle":"","family":"Tinetti","given":"Mary E.","non-dropping-particle":"","parse-names":false,"suffix":""}],"container-title":"New England Journal of Medicine","id":"ITEM-2","issue":"1","issued":{"date-parts":[["2003","1","2"]]},"page":"42-49","publisher":"Massachusetts Medical Society","title":"Preventing Falls in Elderly Persons","type":"article-journal","volume":"348"},"uris":["http://www.mendeley.com/documents/?uuid=481e0bba-696d-3e9d-8ac1-f3f6e5c94039"]},{"id":"ITEM-3","itemData":{"DOI":"10.1161/CIRCULATIONAHA.108.842328","ISSN":"00097322","PMID":"19738138","author":[{"dropping-particle":"","family":"McDermott","given":"Mary Mc Grae","non-dropping-particle":"","parse-names":false,"suffix":""},{"dropping-particle":"","family":"Ferrucci","given":"Luigi","non-dropping-particle":"","parse-names":false,"suffix":""},{"dropping-particle":"","family":"Guralnik","given":"Jack","non-dropping-particle":"","parse-names":false,"suffix":""},{"dropping-particle":"","family":"Tian","given":"Lu","non-dropping-particle":"","parse-names":false,"suffix":""},{"dropping-particle":"","family":"Liu","given":"Kiang","non-dropping-particle":"","parse-names":false,"suffix":""},{"dropping-particle":"","family":"Hoff","given":"Frederick","non-dropping-particle":"","parse-names":false,"suffix":""},{"dropping-particle":"","family":"Liao","given":"Yihua","non-dropping-particle":"","parse-names":false,"suffix":""},{"dropping-particle":"","family":"Criqui","given":"Michael H.","non-dropping-particle":"","parse-names":false,"suffix":""}],"container-title":"Circulation","id":"ITEM-3","issue":"12","issued":{"date-parts":[["2009","9"]]},"page":"1048-1055","publisher":"NIH Public Access","title":"Pathophysiological changes in calf muscle predict mobility loss at 2-year follow-up in men and women with peripheral arterial disease","type":"article-journal","volume":"120"},"uris":["http://www.mendeley.com/documents/?uuid=d005c8ff-29f4-3b30-8c5d-e898f847d748"]},{"id":"ITEM-4","itemData":{"DOI":"10.1002/JCSM.12616","ISSN":"2190-6009","abstract":"Background: Muscle weakness is a key factor in the increase risk of falls and might also play a significant role in the increase of risk of hip fracture. Computed tomography-measured muscle size and muscle density are well-established imaging biomarkers used in studies of physical function, frailty or cancer, but limited to hip fracture. In particular, it is warranted to have a better understanding of the performance of muscle size and density in the discrimination of acute hip fractures. We also aim to determine age-related differences of muscle size and density in healthy controls and hip fracture patients. Methods: Four hundred thirty-eight low-energy acute hip fracture cases and 316 healthy controls from the China Action on Spine and Hip Status study were included in the study. Muscle cross-sectional area and density were measured for the gluteus maximus and gluteus medius and minimus. Areal bone mineral density (aBMD) of the femoral neck and total hip was measured. Using propensity score matching, we generated three samples with cases and controls matched for age, body mass index, and gender: femoral neck fracture (FNF), intertrochanteric fracture (ITF), and any hip fracture vs. controls, respectively. Results: Handgrip strength, gluteus muscle area and density, and bone parameters of the matched hip fracture groups were lower than those of the correspondence control groups, respectively (P &lt; 0.05). The univariate analysis showed that associations of aBMD with FNF and with ITF were significantly weaker than associations between fracture and muscle parameters. Gluteus medius and minimus muscle density showed the highest areas under the curve (AUC) with FNF (0.88, 95% confidence interval, 0.85–0.92) and trochanteric fracture (0.95, 95% confidence interval, 0.92–0.97). The model including all muscle and bone parameters provided the highest AUC (FNF: AUC 0.912; ITF: AUC 0.958), and AUC results of another selected model without muscle density showed that association with fracture significantly dropped (FNF: AUC 0.755; ITF: AUC 0.858). Separate results for the two age groups younger and older than 70 years showed no age-related significant differences in discriminate models. Conclusions: Muscle density performs better than aBMD from hip computed tomography X-ray absorptiometry and muscle size in discrimination of hip fracture. Combination of aBMD and muscle density provided the best discrimination. The integration of muscle assessments may trigger a para…","author":[{"dropping-particle":"","family":"Wang","given":"Ling","non-dropping-particle":"","parse-names":false,"suffix":""},{"dropping-particle":"","family":"Yin","given":"Lu","non-dropping-particle":"","parse-names":false,"suffix":""},{"dropping-particle":"","family":"Zhao","given":"Yue","non-dropping-particle":"","parse-names":false,"suffix":""},{"dropping-particle":"","family":"Su","given":"Yongbin","non-dropping-particle":"","parse-names":false,"suffix":""},{"dropping-particle":"","family":"Sun","given":"Wei","non-dropping-particle":"","parse-names":false,"suffix":""},{"dropping-particle":"","family":"Liu","given":"Yandong","non-dropping-particle":"","parse-names":false,"suffix":""},{"dropping-particle":"","family":"Yang","given":"Minghui","non-dropping-particle":"","parse-names":false,"suffix":""},{"dropping-particle":"","family":"Yu","given":"Aihong","non-dropping-particle":"","parse-names":false,"suffix":""},{"dropping-particle":"","family":"Blake","given":"Glen Mervyn","non-dropping-particle":"","parse-names":false,"suffix":""},{"dropping-particle":"","family":"Cheng","given":"Xiaoguang","non-dropping-particle":"","parse-names":false,"suffix":""},{"dropping-particle":"","family":"Wu","given":"Xinbao","non-dropping-particle":"","parse-names":false,"suffix":""},{"dropping-particle":"","family":"Veldhuis","given":"Annegreet","non-dropping-particle":"","parse-names":false,"suffix":""},{"dropping-particle":"","family":"Engelke","given":"Klaus","non-dropping-particle":"","parse-names":false,"suffix":""}],"container-title":"Journal of Cachexia, Sarcopenia and Muscle","id":"ITEM-4","issue":"6","issued":{"date-parts":[["2020","12","1"]]},"page":"1799-1812","publisher":"Springer Nature","title":"Muscle density discriminates hip fracture better than computed tomography X-ray absorptiometry hip areal bone mineral density","type":"article-journal","volume":"11"},"uris":["http://www.mendeley.com/documents/?uuid=9508b479-15c0-3b87-b486-44f48be727df"]},{"id":"ITEM-5","itemData":{"DOI":"10.1016/j.archger.2021.104512","ISSN":"18726976","abstract":"Purpose: The assessment of body composition is an integral part in diagnosing sarcopenia. The purpose of this study was to determine the relationships between peripheral quantitative computed tomography (pQCT)-derived measures of body composition and measures of physical performance in older adults. Methods: Muscle density, muscle area, and fat area of 168 patients aged 65 years and older (76.3±6.5) were measured with pQCT at the distal forearm additionally to clinical assessment consisting of medical history, physical examination and physical assessment including hand grip strength, gait speed and chair rise tests. Regression analyses assessed associations between patients’ physical performance and pQCT derived data. Results: Among the three pQCT parameters, especially muscle density was significantly correlated with all of the three measures of physical performance even after adjusting for sex, age, BMI, vitamin D serum level and the level of physical activity. The same analysis for muscle area achieved significance level only for handgrip strength but not for gait speed nor for chair rise time. Fat area was significantly correlated only with gait speed after adjusting for sex and age. The association of muscle density with physical performance held up in an additional subanalysis stratified by body mass index. Conclusion: Muscle density, a proxy for muscle fat infiltration, seems to be better than muscle area or fat area at assessing muscle quality and physical performance in older adults. This association seems to be independent of the body mass index.","author":[{"dropping-particle":"","family":"Martini","given":"Sebastian","non-dropping-particle":"","parse-names":false,"suffix":""},{"dropping-particle":"","family":"Petermeise","given":"Sophie","non-dropping-particle":"","parse-names":false,"suffix":""},{"dropping-particle":"","family":"Henkel","given":"Michaela","non-dropping-particle":"","parse-names":false,"suffix":""},{"dropping-particle":"","family":"Weiß","given":"Stefanie","non-dropping-particle":"","parse-names":false,"suffix":""},{"dropping-particle":"","family":"Schaupp","given":"Anna","non-dropping-particle":"","parse-names":false,"suffix":""},{"dropping-particle":"","family":"Ferrari","given":"Uta","non-dropping-particle":"","parse-names":false,"suffix":""},{"dropping-particle":"","family":"Schmidmaier","given":"Ralf","non-dropping-particle":"","parse-names":false,"suffix":""},{"dropping-particle":"","family":"Drey","given":"Michael","non-dropping-particle":"","parse-names":false,"suffix":""}],"container-title":"Archives of Gerontology and Geriatrics","id":"ITEM-5","issue":"August","issued":{"date-parts":[["2021"]]},"title":"Peripheral Quantitative Computed Tomography Derived Muscle Density Is Associated With Physical Performance in Older Adults","type":"article-journal","volume":"97"},"uris":["http://www.mendeley.com/documents/?uuid=4fa6999a-d72e-4fed-9f31-c446aa40e7aa"]},{"id":"ITEM-6","itemData":{"DOI":"10.1111/J.1532-5415.2009.02366.X","PMID":"19682143","abstract":"OBJECTIVES: To examine the association between strength, function, lean mass, muscle density, and risk of hospitalization. DESIGN: Prospective cohort study. SETTING: Two U.S. clinical centers. PARTICIPANTS: Adults aged 70 to 80 (N=3,011) from the Health, Aging and Body Composition Study. MEASUREMENTS: Measurements were of grip strength, knee extension strength, lean mass, walking speed, and chair stand pace. Thigh computed tomography scans assessed muscle area and density (a proxy for muscle fat infiltration). Hospitalizations were confirmed by local review of medical records. Negative binomial regression models estimated incident rate ratios (IRRs) of hospitalization for race- and sex-specific quartiles of each muscle and function parameter separately. Multivariate models adjusted for age, body mass index, health status, and coexisting medical conditions. RESULTS: During an average 4.7 years of follow-up, 1,678 (55.7%) participants experienced one or more hospitalizations. Participants in the lowest quartile of muscle density were more likely to be subsequently hospitalized (multivariate IRR=1.47, 95% confidence interval (CI)=1.24-1.73) than those in the highest quartile. Similarly, participants with the weakest grip strength were at greater risk of hospitalization (multivariate IRR=1.52, 95% CI=1.30-1.78, Q1 vs. Q4). Comparable results were seen for knee strength, walking pace, and chair stands pace. Lean mass and muscle area were not associated with risk of hospitalization. CONCLUSION: Weak strength, poor function, and low muscle density, but not muscle size or lean mass, were associated with greater risk of hospitalization. Interventions to reduce the disease burden associated with sarcopenia should focus on increasing muscle strength and improving physical function rather than simply increasing lean mass. © 2009, The American Geriatrics Society.","author":[{"dropping-particle":"","family":"Cawthon","given":"Peggy Mannen","non-dropping-particle":"","parse-names":false,"suffix":""},{"dropping-particle":"","family":"Fox","given":"Kathleen M.","non-dropping-particle":"","parse-names":false,"suffix":""},{"dropping-particle":"","family":"Gandra","given":"Shravanthi. R.","non-dropping-particle":"","parse-names":false,"suffix":""},{"dropping-particle":"","family":"Delmonico","given":"Matthew J.","non-dropping-particle":"","parse-names":false,"suffix":""},{"dropping-particle":"","family":"Chiou","given":"Chiun-Fang","non-dropping-particle":"","parse-names":false,"suffix":""},{"dropping-particle":"","family":"Anthony","given":"Mary S.","non-dropping-particle":"","parse-names":false,"suffix":""},{"dropping-particle":"","family":"Sewall","given":"Ase","non-dropping-particle":"","parse-names":false,"suffix":""},{"dropping-particle":"","family":"Goodpaster","given":"Bret","non-dropping-particle":"","parse-names":false,"suffix":""},{"dropping-particle":"","family":"Satterfield","given":"Suzanne","non-dropping-particle":"","parse-names":false,"suffix":""},{"dropping-particle":"","family":"Cummings","given":"Steven R.","non-dropping-particle":"","parse-names":false,"suffix":""},{"dropping-particle":"","family":"Harris","given":"Tamara B.","non-dropping-particle":"","parse-names":false,"suffix":""}],"container-title":"Journal of the American Geriatrics Society","id":"ITEM-6","issue":"8","issued":{"date-parts":[["2009","8"]]},"page":"1411","publisher":"NIH Public Access","title":"Do muscle mass, muscle density, strength and physical function similarly influence risk of hospitalization in older adults?","type":"article-journal","volume":"57"},"uris":["http://www.mendeley.com/documents/?uuid=0661b8dc-0bf1-333f-ac0c-fc0266ae5359"]},{"id":"ITEM-7","itemData":{"DOI":"10.1007/S00198-016-3514-X","ISSN":"14332965","PMID":"26879201","abstract":"Summary: Muscle density is a risk factor for fractures in older adults; however, its association with falls is not well described. After adjusting for biologically relevant confounding factors, a unit decrease in muscle density was associated with a 17 % increase in odds of reporting a fall, independent of functional mobility. Introduction: Falls are the leading cause of injury, disability, and fractures in older adults. Low muscle density (i.e., caused by muscle adiposity) and functional mobility have been identified as risk factors for incident disability and fractures in older adults; however, it is not known if these are also independently associated with falls. The purpose of this study was to explore the associations of muscle density and functional mobility with fall status. Methods: Cross-sectional observational study of 183 men and women aged 60–98 years. Descriptive data, including a 12-month fall recall, Timed Up and Go (TUG) test performance, lower leg muscle area, and density. Odds ratio (OR) of being a faller were calculated, adjusted for age, sex, body mass index, general health status, diabetes, and comorbidities. Results: Every mg/cm3 increase in muscle density (mean 70.2, SD 2.6 mg/cm3) independently reduced the odds of being a faller by 19 % (OR 0.81 [95 % CI 0.67 to 0.97]), and every 1 s longer TUG test time (mean 9.8, SD 2.6 s) independently increased the odds by 17 % (OR 1.17 [95 % CI 1.01 to 1.37]). When both muscle density and TUG test time were included in the same model, only age (OR 0.93 [95 % CI 0.87 to 0.99]) and muscle density (OR 0.83 [95 % CI 0.69 to 0.99]) were independently associated with fall status. Conclusions: Muscle density was associated with fall status, independent of functional mobility. Muscle density may compliment functional mobility tests as a biometric outcome for assessing fall risk in well-functioning older adults.","author":[{"dropping-particle":"","family":"Frank-Wilson","given":"A. W.","non-dropping-particle":"","parse-names":false,"suffix":""},{"dropping-particle":"","family":"Farthing","given":"J. P.","non-dropping-particle":"","parse-names":false,"suffix":""},{"dropping-particle":"","family":"Chilibeck","given":"P. D.","non-dropping-particle":"","parse-names":false,"suffix":""},{"dropping-particle":"","family":"Arnold","given":"C. M.","non-dropping-particle":"","parse-names":false,"suffix":""},{"dropping-particle":"","family":"Davison","given":"K. S.","non-dropping-particle":"","parse-names":false,"suffix":""},{"dropping-particle":"","family":"Olszynski","given":"W. P.","non-dropping-particle":"","parse-names":false,"suffix":""},{"dropping-particle":"","family":"Kontulainen","given":"S. A.","non-dropping-particle":"","parse-names":false,"suffix":""}],"container-title":"Osteoporosis International","id":"ITEM-7","issue":"7","issued":{"date-parts":[["2016","7","1"]]},"page":"2231-2240","publisher":"Springer London","title":"Lower leg muscle density is independently associated with fall status in community-dwelling older adults","type":"article-journal","volume":"27"},"uris":["http://www.mendeley.com/documents/?uuid=1e4899db-ce49-45b1-9441-acbd928e59fc"]}],"mendeley":{"formattedCitation":"(13,15–20)","plainTextFormattedCitation":"(13,15–20)","previouslyFormattedCitation":"(13,15–20)"},"properties":{"noteIndex":0},"schema":"https://github.com/citation-style-language/schema/raw/master/csl-citation.json"}</w:instrText>
      </w:r>
      <w:r w:rsidR="004C18F5" w:rsidRPr="00215376">
        <w:rPr>
          <w:shd w:val="clear" w:color="auto" w:fill="FFFFFF"/>
        </w:rPr>
        <w:fldChar w:fldCharType="separate"/>
      </w:r>
      <w:r w:rsidR="005F4CC5" w:rsidRPr="005F4CC5">
        <w:rPr>
          <w:noProof/>
          <w:shd w:val="clear" w:color="auto" w:fill="FFFFFF"/>
        </w:rPr>
        <w:t>(13,15–20)</w:t>
      </w:r>
      <w:r w:rsidR="004C18F5" w:rsidRPr="00215376">
        <w:rPr>
          <w:shd w:val="clear" w:color="auto" w:fill="FFFFFF"/>
        </w:rPr>
        <w:fldChar w:fldCharType="end"/>
      </w:r>
      <w:r w:rsidR="004C18F5" w:rsidRPr="00215376">
        <w:rPr>
          <w:shd w:val="clear" w:color="auto" w:fill="FFFFFF"/>
        </w:rPr>
        <w:t>.</w:t>
      </w:r>
      <w:r w:rsidR="00BE6279">
        <w:rPr>
          <w:shd w:val="clear" w:color="auto" w:fill="FFFFFF"/>
        </w:rPr>
        <w:t xml:space="preserve"> </w:t>
      </w:r>
    </w:p>
    <w:p w14:paraId="3A46A8D8" w14:textId="1C80B983" w:rsidR="008B0E80" w:rsidRDefault="00E011C9" w:rsidP="00BC5BDD">
      <w:pPr>
        <w:jc w:val="both"/>
        <w:rPr>
          <w:shd w:val="clear" w:color="auto" w:fill="FFFFFF"/>
        </w:rPr>
      </w:pPr>
      <w:r w:rsidRPr="00E12CE6">
        <w:t>Muscle density can be assessed by p</w:t>
      </w:r>
      <w:r w:rsidR="00D844F2" w:rsidRPr="00E12CE6">
        <w:t xml:space="preserve">eripheral </w:t>
      </w:r>
      <w:r w:rsidRPr="00E12CE6">
        <w:t>Q</w:t>
      </w:r>
      <w:r w:rsidR="00D844F2" w:rsidRPr="00E12CE6">
        <w:t xml:space="preserve">uantitative </w:t>
      </w:r>
      <w:r w:rsidRPr="00E12CE6">
        <w:t>C</w:t>
      </w:r>
      <w:r w:rsidR="00D844F2" w:rsidRPr="00E12CE6">
        <w:t xml:space="preserve">omputed </w:t>
      </w:r>
      <w:r w:rsidRPr="00E12CE6">
        <w:t>T</w:t>
      </w:r>
      <w:r w:rsidR="00D844F2" w:rsidRPr="00E12CE6">
        <w:t>omography (pQCT)</w:t>
      </w:r>
      <w:r w:rsidRPr="00E12CE6">
        <w:t xml:space="preserve">, a technique that </w:t>
      </w:r>
      <w:r w:rsidR="00D844F2" w:rsidRPr="00E12CE6">
        <w:t>was developed for bone density and bone strength estimation</w:t>
      </w:r>
      <w:r w:rsidR="00C861C5">
        <w:rPr>
          <w:shd w:val="clear" w:color="auto" w:fill="FFFFFF"/>
        </w:rPr>
        <w:t>. This technique</w:t>
      </w:r>
      <w:r w:rsidR="00C861C5" w:rsidRPr="00E12CE6">
        <w:t xml:space="preserve"> </w:t>
      </w:r>
      <w:r w:rsidR="00454BBB" w:rsidRPr="00E12CE6">
        <w:t>produces a cross-sectional image that permits quantification of three-dimensional tissue structure properties of a limb segment</w:t>
      </w:r>
      <w:r w:rsidR="00454BBB">
        <w:t xml:space="preserve">, </w:t>
      </w:r>
      <w:r w:rsidR="00C861C5">
        <w:rPr>
          <w:shd w:val="clear" w:color="auto" w:fill="FFFFFF"/>
        </w:rPr>
        <w:t>enabling the</w:t>
      </w:r>
      <w:r w:rsidR="00454BBB">
        <w:rPr>
          <w:shd w:val="clear" w:color="auto" w:fill="FFFFFF"/>
        </w:rPr>
        <w:t xml:space="preserve"> cross</w:t>
      </w:r>
      <w:r w:rsidR="00C861C5">
        <w:rPr>
          <w:shd w:val="clear" w:color="auto" w:fill="FFFFFF"/>
        </w:rPr>
        <w:t>-</w:t>
      </w:r>
      <w:r w:rsidR="00454BBB">
        <w:rPr>
          <w:shd w:val="clear" w:color="auto" w:fill="FFFFFF"/>
        </w:rPr>
        <w:t>sectional area (CSA) of soft tissue</w:t>
      </w:r>
      <w:r w:rsidR="00C861C5">
        <w:rPr>
          <w:shd w:val="clear" w:color="auto" w:fill="FFFFFF"/>
        </w:rPr>
        <w:t xml:space="preserve"> and muscle density to be estimated.</w:t>
      </w:r>
      <w:r w:rsidR="00454BBB" w:rsidRPr="00454BBB">
        <w:rPr>
          <w:shd w:val="clear" w:color="auto" w:fill="FFFFFF"/>
        </w:rPr>
        <w:t xml:space="preserve"> </w:t>
      </w:r>
      <w:r w:rsidR="00454BBB">
        <w:rPr>
          <w:shd w:val="clear" w:color="auto" w:fill="FFFFFF"/>
        </w:rPr>
        <w:t>Since fat is calibrated to zero</w:t>
      </w:r>
      <w:r w:rsidR="006E5D7F" w:rsidRPr="006E5D7F">
        <w:rPr>
          <w:shd w:val="clear" w:color="auto" w:fill="FFFFFF"/>
        </w:rPr>
        <w:t xml:space="preserve"> </w:t>
      </w:r>
      <w:r w:rsidR="006E5D7F">
        <w:rPr>
          <w:shd w:val="clear" w:color="auto" w:fill="FFFFFF"/>
        </w:rPr>
        <w:t>with pQCT</w:t>
      </w:r>
      <w:r w:rsidR="00454BBB">
        <w:rPr>
          <w:shd w:val="clear" w:color="auto" w:fill="FFFFFF"/>
        </w:rPr>
        <w:t xml:space="preserve">, typical muscle density </w:t>
      </w:r>
      <w:r w:rsidR="006E5D7F">
        <w:rPr>
          <w:shd w:val="clear" w:color="auto" w:fill="FFFFFF"/>
        </w:rPr>
        <w:t xml:space="preserve">values </w:t>
      </w:r>
      <w:r w:rsidR="00454BBB">
        <w:rPr>
          <w:shd w:val="clear" w:color="auto" w:fill="FFFFFF"/>
        </w:rPr>
        <w:t>range from 65 to 90 mg/cm</w:t>
      </w:r>
      <w:r w:rsidR="00685C69" w:rsidRPr="005B4465">
        <w:rPr>
          <w:shd w:val="clear" w:color="auto" w:fill="FFFFFF"/>
          <w:vertAlign w:val="superscript"/>
        </w:rPr>
        <w:t>3</w:t>
      </w:r>
      <w:r w:rsidR="00685C69">
        <w:rPr>
          <w:shd w:val="clear" w:color="auto" w:fill="FFFFFF"/>
          <w:vertAlign w:val="superscript"/>
        </w:rPr>
        <w:t xml:space="preserve"> </w:t>
      </w:r>
      <w:r w:rsidR="00454BBB">
        <w:rPr>
          <w:shd w:val="clear" w:color="auto" w:fill="FFFFFF"/>
        </w:rPr>
        <w:fldChar w:fldCharType="begin" w:fldLock="1"/>
      </w:r>
      <w:r w:rsidR="00D07580">
        <w:rPr>
          <w:shd w:val="clear" w:color="auto" w:fill="FFFFFF"/>
        </w:rPr>
        <w:instrText>ADDIN CSL_CITATION {"citationItems":[{"id":"ITEM-1","itemData":{"DOI":"10.1111/J.1749-6632.2000.TB06416.X","abstract":"Computed tomography (CT) can yield quantitative imaging data from detailed maps of linear attenuation coefficients within tissue. The attenuation characteristics of skeletal muscle and adipose tissue can be quantified in vivo to provide information about the composition of skeletal muscle and the distribution of adipose tissue within muscle. Several studies have taken advantage of this utility to quantify skeletal muscle composition and fatty infiltration of muscle, in particular to quantify the attenuation characteristics of muscle as a marker of its lipid content. In this manner we found that the mean muscle attenuation of skeletal muscle reflects an increase in its fat content in obesity, and that this regional body composition parameter is strongly related to insulin-resistant glucose metabolism. In addition, muscle composition and adipose tissue distribution within muscle may be altered with clinical weight-loss interventions. CT may also provide important information about the changes in muscle mass and composition with aging and disease, which may, in turn, affect the muscle's function. In summary, CT can provide important quantitative data on the composition of muscle, and the distribution of adipose tissue within it, and this may be important in examining the relationships among skeletal muscle metabolism, lipid accumulation within muscle, and muscle function.","author":[{"dropping-particle":"","family":"Goodpaster","given":"Bret H.","non-dropping-particle":"","parse-names":false,"suffix":""},{"dropping-particle":"","family":"Thaete","given":"F. Leland","non-dropping-particle":"","parse-names":false,"suffix":""},{"dropping-particle":"","family":"Kelley","given":"David E.","non-dropping-particle":"","parse-names":false,"suffix":""}],"container-title":"Annals of the New York Academy of Sciences","id":"ITEM-1","issued":{"date-parts":[["2000"]]},"page":"18-24","publisher":"New York Academy of Sciences","title":"Composition of skeletal muscle evaluated with computed tomography","type":"article-journal","volume":"904"},"uris":["http://www.mendeley.com/documents/?uuid=6e13fa1b-3f86-3c4e-b29d-877ef88e1771"]}],"mendeley":{"formattedCitation":"(21)","plainTextFormattedCitation":"(21)","previouslyFormattedCitation":"(21)"},"properties":{"noteIndex":0},"schema":"https://github.com/citation-style-language/schema/raw/master/csl-citation.json"}</w:instrText>
      </w:r>
      <w:r w:rsidR="00454BBB">
        <w:rPr>
          <w:shd w:val="clear" w:color="auto" w:fill="FFFFFF"/>
        </w:rPr>
        <w:fldChar w:fldCharType="separate"/>
      </w:r>
      <w:r w:rsidR="005F4CC5" w:rsidRPr="005F4CC5">
        <w:rPr>
          <w:noProof/>
          <w:shd w:val="clear" w:color="auto" w:fill="FFFFFF"/>
        </w:rPr>
        <w:t>(21)</w:t>
      </w:r>
      <w:r w:rsidR="00454BBB">
        <w:rPr>
          <w:shd w:val="clear" w:color="auto" w:fill="FFFFFF"/>
        </w:rPr>
        <w:fldChar w:fldCharType="end"/>
      </w:r>
      <w:r w:rsidR="00454BBB">
        <w:rPr>
          <w:shd w:val="clear" w:color="auto" w:fill="FFFFFF"/>
        </w:rPr>
        <w:t>.</w:t>
      </w:r>
      <w:r w:rsidR="008B0E80">
        <w:rPr>
          <w:shd w:val="clear" w:color="auto" w:fill="FFFFFF"/>
        </w:rPr>
        <w:t xml:space="preserve"> </w:t>
      </w:r>
      <w:r>
        <w:rPr>
          <w:shd w:val="clear" w:color="auto" w:fill="FFFFFF"/>
        </w:rPr>
        <w:t xml:space="preserve">Recent studies have highlighted the link between muscle density assessed </w:t>
      </w:r>
      <w:r w:rsidR="00134F86">
        <w:rPr>
          <w:shd w:val="clear" w:color="auto" w:fill="FFFFFF"/>
        </w:rPr>
        <w:t>by pQCT</w:t>
      </w:r>
      <w:r>
        <w:rPr>
          <w:shd w:val="clear" w:color="auto" w:fill="FFFFFF"/>
        </w:rPr>
        <w:t xml:space="preserve">, and fracture risk </w:t>
      </w:r>
      <w:r w:rsidR="00EC3020">
        <w:rPr>
          <w:shd w:val="clear" w:color="auto" w:fill="FFFFFF"/>
        </w:rPr>
        <w:fldChar w:fldCharType="begin" w:fldLock="1"/>
      </w:r>
      <w:r w:rsidR="00D07580">
        <w:rPr>
          <w:shd w:val="clear" w:color="auto" w:fill="FFFFFF"/>
        </w:rPr>
        <w:instrText>ADDIN CSL_CITATION {"citationItems":[{"id":"ITEM-1","itemData":{"DOI":"10.1007/s00198-021-06125-9","abstract":"Objective: To investigate the predictive performance ofpQCT measures ofboth calfmuscle density (an established surrogate formuscle adiposity) and size (cross-sectional area, CSA) for hip fracture (HF). Methods: pQCT (Stratec XCT2000/3000) measurements at the tibia were undertaken in the MrOS US, Hong Kong (HK) and Swedish Gothenburg (SW) cohorts. Analyses were by cohort and synthesised by meta-analysis. The predictive value for incident HF, using an extension of Poisson regression adjusted for age and follow-up time, was expressed as gradient of risk (GR=hazard ratio per SD increase in the exposure). Further analyses adjusted for femoral neck(fn) BMD T-score, FRAX 10-y fracture probability (major osteoporotic fracture) and prior falls (y/n, in the preceding 12 months). Results: We studied 1008 (US), 1662 (HK), 581 (SW) men, mean (SD) age 77.0 (5.1), 73.9 (4.9), 80 (3.4) y, followed for a mean (SD) 7.9 (2.2), 8.1 (2.3), 4.4 (1.6) y, with 31, 47, and 34 incident HF respectively. Both greater muscle cross-sectional area (CSA) and greater muscle density (suggesting lower muscle adiposity and higher muscle quality) were associated with a lower risk of incident HF [GR: 0.79 (95%CI:0.65,0.96) and 0.83 (95%CI:0.69,0.99) respectively]. The pattern ofassociations was not materially changed by adjustment for prior falls or FRAX probability. In contrast, after inclusion offnBMD T-score, the association for muscle CSA was attenuated [GR: 0.97 (95%CI:0.80,1.19)], whereas that for muscle density was not materially changed [GR: 0.74 (95%CI:0.62,0.89)]. Conclusion: pQCT measures of greater calf muscle density and cross- sectional area were both associated with lower incidence ofhip fractures in oldermen, but only muscle density remained an independent risk factor for fracture after accounting for femoral neck BMD T-score. These findings demonstrate a complex interplay between measures of bone, and muscle size and quality, in determining fracture risk.","author":[{"dropping-particle":"","family":"N. C. Harvey, E. Orwoll, J.A. Cauley, T. Kwok, M. K. Karlsson, B. E. Rosengren, E.Ribom, P.M. Cawthon, K.Ensrud, E. Liu, K. A. Ward, C. Cooper, J. A. Kanis, M. Lorentzon, C. Ohlsson, D. Mellström, H. Johansson","given":"E. V.McCloskey","non-dropping-particle":"","parse-names":false,"suffix":""}],"container-title":"Osteoporosis International","id":"ITEM-1","issue":"1","issued":{"date-parts":[["2022"]]},"page":"119-410","title":"Greater pQCT calf muscle density is associated with lower hip fracture risk, independent of FRAX, falls and BMD: a meta-analysis in the osteoporotic fractures in men (MRoS) study","type":"paper-conference","volume":"32"},"uris":["http://www.mendeley.com/documents/?uuid=e8fbf673-8b10-3c89-a6f0-d6379a7fbf2f"]}],"mendeley":{"formattedCitation":"(22)","plainTextFormattedCitation":"(22)","previouslyFormattedCitation":"(22)"},"properties":{"noteIndex":0},"schema":"https://github.com/citation-style-language/schema/raw/master/csl-citation.json"}</w:instrText>
      </w:r>
      <w:r w:rsidR="00EC3020">
        <w:rPr>
          <w:shd w:val="clear" w:color="auto" w:fill="FFFFFF"/>
        </w:rPr>
        <w:fldChar w:fldCharType="separate"/>
      </w:r>
      <w:r w:rsidR="005F4CC5" w:rsidRPr="005F4CC5">
        <w:rPr>
          <w:noProof/>
          <w:shd w:val="clear" w:color="auto" w:fill="FFFFFF"/>
        </w:rPr>
        <w:t>(22)</w:t>
      </w:r>
      <w:r w:rsidR="00EC3020">
        <w:rPr>
          <w:shd w:val="clear" w:color="auto" w:fill="FFFFFF"/>
        </w:rPr>
        <w:fldChar w:fldCharType="end"/>
      </w:r>
      <w:r>
        <w:rPr>
          <w:shd w:val="clear" w:color="auto" w:fill="FFFFFF"/>
        </w:rPr>
        <w:t>, but these dat</w:t>
      </w:r>
      <w:r w:rsidR="00D844F2">
        <w:rPr>
          <w:shd w:val="clear" w:color="auto" w:fill="FFFFFF"/>
        </w:rPr>
        <w:t>a</w:t>
      </w:r>
      <w:r>
        <w:rPr>
          <w:shd w:val="clear" w:color="auto" w:fill="FFFFFF"/>
        </w:rPr>
        <w:t xml:space="preserve"> were collected in a large US study of older </w:t>
      </w:r>
      <w:r w:rsidR="00751672">
        <w:rPr>
          <w:shd w:val="clear" w:color="auto" w:fill="FFFFFF"/>
        </w:rPr>
        <w:t>males</w:t>
      </w:r>
      <w:r>
        <w:rPr>
          <w:shd w:val="clear" w:color="auto" w:fill="FFFFFF"/>
        </w:rPr>
        <w:t xml:space="preserve"> only.</w:t>
      </w:r>
      <w:r w:rsidR="008B0E80">
        <w:rPr>
          <w:shd w:val="clear" w:color="auto" w:fill="FFFFFF"/>
        </w:rPr>
        <w:t xml:space="preserve"> </w:t>
      </w:r>
    </w:p>
    <w:p w14:paraId="396D6DD7" w14:textId="3E23C585" w:rsidR="00A657B7" w:rsidRPr="00B22156" w:rsidRDefault="00A657B7" w:rsidP="00A657B7">
      <w:pPr>
        <w:jc w:val="both"/>
        <w:rPr>
          <w:rFonts w:cstheme="minorHAnsi"/>
          <w:szCs w:val="24"/>
          <w:shd w:val="clear" w:color="auto" w:fill="FFFFFF"/>
        </w:rPr>
      </w:pPr>
      <w:r w:rsidRPr="00A657B7">
        <w:rPr>
          <w:rFonts w:cstheme="minorHAnsi"/>
          <w:szCs w:val="24"/>
          <w:shd w:val="clear" w:color="auto" w:fill="FFFFFF"/>
        </w:rPr>
        <w:t>Assessment of muscle-bone relationships using  pQCT</w:t>
      </w:r>
      <w:r w:rsidR="002003A2">
        <w:rPr>
          <w:rFonts w:cstheme="minorHAnsi"/>
          <w:szCs w:val="24"/>
          <w:shd w:val="clear" w:color="auto" w:fill="FFFFFF"/>
        </w:rPr>
        <w:t>-</w:t>
      </w:r>
      <w:r w:rsidRPr="00A657B7">
        <w:rPr>
          <w:rFonts w:cstheme="minorHAnsi"/>
          <w:szCs w:val="24"/>
          <w:shd w:val="clear" w:color="auto" w:fill="FFFFFF"/>
        </w:rPr>
        <w:t xml:space="preserve">derived variables has been undertaken previously in the Hertfordshire Cohort Study; </w:t>
      </w:r>
      <w:r w:rsidRPr="00A657B7">
        <w:rPr>
          <w:rFonts w:cstheme="minorHAnsi"/>
          <w:color w:val="212121"/>
          <w:szCs w:val="24"/>
          <w:shd w:val="clear" w:color="auto" w:fill="FFFFFF"/>
        </w:rPr>
        <w:t xml:space="preserve">muscle size and grip strength </w:t>
      </w:r>
      <w:r w:rsidR="002003A2">
        <w:rPr>
          <w:rFonts w:cstheme="minorHAnsi"/>
          <w:color w:val="212121"/>
          <w:szCs w:val="24"/>
          <w:shd w:val="clear" w:color="auto" w:fill="FFFFFF"/>
        </w:rPr>
        <w:t>were</w:t>
      </w:r>
      <w:r w:rsidRPr="00A657B7">
        <w:rPr>
          <w:rFonts w:cstheme="minorHAnsi"/>
          <w:color w:val="212121"/>
          <w:szCs w:val="24"/>
          <w:shd w:val="clear" w:color="auto" w:fill="FFFFFF"/>
        </w:rPr>
        <w:t xml:space="preserve"> associated with bone size and strength, but relationships between gait speed and bone structure and strength were not apparent in this cohort, supporting a role for the muscle-bone unit </w:t>
      </w:r>
      <w:r>
        <w:rPr>
          <w:rFonts w:cstheme="minorHAnsi"/>
          <w:color w:val="212121"/>
          <w:szCs w:val="24"/>
          <w:shd w:val="clear" w:color="auto" w:fill="FFFFFF"/>
        </w:rPr>
        <w:fldChar w:fldCharType="begin" w:fldLock="1"/>
      </w:r>
      <w:r>
        <w:rPr>
          <w:rFonts w:cstheme="minorHAnsi"/>
          <w:color w:val="212121"/>
          <w:szCs w:val="24"/>
          <w:shd w:val="clear" w:color="auto" w:fill="FFFFFF"/>
        </w:rPr>
        <w:instrText>ADDIN CSL_CITATION {"citationItems":[{"id":"ITEM-1","itemData":{"DOI":"10.1002/jbmr.1972","ISSN":"08840431","PMID":"23633238","abstract":"Sarcopenia is associated with a greater fracture risk. This relationship was originally thought to be explained by an increased risk of falls in sarcopenic individuals. However, in addition, there is growing evidence of a functional muscle-bone unit in which bone health may be directly influenced by muscle function. Because a definition of sarcopenia encompasses muscle size, strength, and physical performance, we investigated relationships for each of these with bone size, bone density, and bone strength to interrogate these hypotheses further in participants from the Hertfordshire Cohort Study. A total of 313 men and 318 women underwent baseline assessment of health and detailed anthropometric measurements. Muscle strength was measured by grip strength, and physical performance was determined by gait speed. Peripheral quantitative computed tomography (pQCT) examination of the calf and forearm was performed to assess muscle cross-sectional area (mCSA) at the 66% level and bone structure (radius 4% and 66% levels; tibia 4% and 38% levels). Muscle size was positively associated with bone size (distal radius total bone area β = 17.5 mm 2/SD [12.0, 22.9]) and strength (strength strain index (β = 23.3 mm3/SD [18.2, 28.4]) amongst women (p &lt; 0.001). These associations were also seen in men and were maintained after adjustment for age, height, weight-adjusted-for-height, limb-length-adjusted-for-height, social class, smoking status, alcohol consumption, calcium intake, physical activity, diabetes mellitus, and in women, years since menopause and estrogen replacement therapy. Although grip strength showed similar associations with bone size and strength in both sexes, these were substantially attenuated after similar adjustment. Consistent relationships between gait speed and bone structure were not seen. We conclude that although muscle size and grip strength are associated with bone size and strength, relationships between gait speed and bone structure and strength were not apparent in this cohort, supporting a role for the muscle-bone unit. © 2013 American Society for Bone and Mineral Research.","author":[{"dropping-particle":"","family":"Edwards","given":"Mark H.","non-dropping-particle":"","parse-names":false,"suffix":""},{"dropping-particle":"","family":"Gregson","given":"Celia L.","non-dropping-particle":"","parse-names":false,"suffix":""},{"dropping-particle":"","family":"Patel","given":"Harnish P.","non-dropping-particle":"","parse-names":false,"suffix":""},{"dropping-particle":"","family":"Jameson","given":"Karen A.","non-dropping-particle":"","parse-names":false,"suffix":""},{"dropping-particle":"","family":"Harvey","given":"Nicholas C.","non-dropping-particle":"","parse-names":false,"suffix":""},{"dropping-particle":"","family":"Sayer","given":"Avan Aihie","non-dropping-particle":"","parse-names":false,"suffix":""},{"dropping-particle":"","family":"Dennison","given":"Elaine M.","non-dropping-particle":"","parse-names":false,"suffix":""},{"dropping-particle":"","family":"Cooper","given":"Cyrus","non-dropping-particle":"","parse-names":false,"suffix":""}],"container-title":"Journal of Bone and Mineral Research","id":"ITEM-1","issue":"11","issued":{"date-parts":[["2013","11"]]},"page":"2295-2304","publisher":"J Bone Miner Res","title":"Muscle size, strength, and physical performance and their associations with bone structure in the Hertfordshire Cohort Study","type":"article-journal","volume":"28"},"uris":["http://www.mendeley.com/documents/?uuid=8434d573-b6da-4ebc-b82a-c23ebeeb7524"]}],"mendeley":{"formattedCitation":"(23)","plainTextFormattedCitation":"(23)","previouslyFormattedCitation":"(23)"},"properties":{"noteIndex":0},"schema":"https://github.com/citation-style-language/schema/raw/master/csl-citation.json"}</w:instrText>
      </w:r>
      <w:r>
        <w:rPr>
          <w:rFonts w:cstheme="minorHAnsi"/>
          <w:color w:val="212121"/>
          <w:szCs w:val="24"/>
          <w:shd w:val="clear" w:color="auto" w:fill="FFFFFF"/>
        </w:rPr>
        <w:fldChar w:fldCharType="separate"/>
      </w:r>
      <w:r w:rsidRPr="00A657B7">
        <w:rPr>
          <w:rFonts w:cstheme="minorHAnsi"/>
          <w:noProof/>
          <w:color w:val="212121"/>
          <w:szCs w:val="24"/>
          <w:shd w:val="clear" w:color="auto" w:fill="FFFFFF"/>
        </w:rPr>
        <w:t>(23)</w:t>
      </w:r>
      <w:r>
        <w:rPr>
          <w:rFonts w:cstheme="minorHAnsi"/>
          <w:color w:val="212121"/>
          <w:szCs w:val="24"/>
          <w:shd w:val="clear" w:color="auto" w:fill="FFFFFF"/>
        </w:rPr>
        <w:fldChar w:fldCharType="end"/>
      </w:r>
      <w:r w:rsidRPr="00A657B7">
        <w:rPr>
          <w:rFonts w:cstheme="minorHAnsi"/>
          <w:color w:val="212121"/>
          <w:szCs w:val="24"/>
          <w:shd w:val="clear" w:color="auto" w:fill="FFFFFF"/>
        </w:rPr>
        <w:t xml:space="preserve">; in other work in Hertfordshire, we have shown positive associations between changes in muscle area and cortical area in both men and women </w:t>
      </w:r>
      <w:r>
        <w:rPr>
          <w:rFonts w:cstheme="minorHAnsi"/>
          <w:color w:val="212121"/>
          <w:szCs w:val="24"/>
          <w:shd w:val="clear" w:color="auto" w:fill="FFFFFF"/>
        </w:rPr>
        <w:fldChar w:fldCharType="begin" w:fldLock="1"/>
      </w:r>
      <w:r w:rsidR="00AC1341">
        <w:rPr>
          <w:rFonts w:cstheme="minorHAnsi"/>
          <w:color w:val="212121"/>
          <w:szCs w:val="24"/>
          <w:shd w:val="clear" w:color="auto" w:fill="FFFFFF"/>
        </w:rPr>
        <w:instrText>ADDIN CSL_CITATION {"citationItems":[{"id":"ITEM-1","itemData":{"DOI":"10.1007/s00223-018-0442-0","ISSN":"14320827","PMID":"29931460","abstract":"There are few longitudinal data on change in bone structure and muscle mass, strength and function in later life. We report these, and consider bone–muscle interrelationships in older men and women. We studied 188 men and 166 women from the Hertfordshire Cohort Study, who underwent peripheral quantitative computed tomography (pQCT) of the radius and tibia in 2004–2005 and then again in 2011–2012. Grip strength and gait speed were also assessed at both timepoints. Percentage change per year was calculated for grip strength, gait speed, muscle cross-sectional area (mCSA), fat cross-sectional area (fCSA) and diaphyseal bone parameters [total area (Tt.Ar), cortical area (Ct.Ar), cortical density (cBMD) and trabecular density (tBMD)]. The mean (SD) age of men and women at baseline was 68.9 (2.5) and 69.2 (2.6) years, respectively. Rates of muscle area and strength loss did not differ by sex. Tt.Ar increased with age and faster in men [mean (SD) 1.78 (1.64) %/year] than women [mean (SD) 1.03 (1.69) %/year] in the radius (p &lt; 0.001). In both the radius (p = 0.006) and tibia (p &lt; 0.001), Ct.Ar reduced more rapidly in women than men. Change in Ct.Ar was associated with change in muscle area in the corresponding limb (radius; men: regression coefficient 0.36, 95% CI 0.20–0.52, p &lt; 0.001; tibia; men: regression coefficient 0.14, 95% CI 0.00–0.27, p = 0.043, women: regression coefficient 0.16, 95% CI 0.01–0.30, p = 0.032). We have demonstrated that muscle strength and function decrease faster than muscle mass and have provided further evidence that changes in bone structure with age differ by sex.","author":[{"dropping-particle":"","family":"Patel","given":"A.","non-dropping-particle":"","parse-names":false,"suffix":""},{"dropping-particle":"","family":"Edwards","given":"M. H.","non-dropping-particle":"","parse-names":false,"suffix":""},{"dropping-particle":"","family":"Jameson","given":"K. A.","non-dropping-particle":"","parse-names":false,"suffix":""},{"dropping-particle":"","family":"Ward","given":"K. A.","non-dropping-particle":"","parse-names":false,"suffix":""},{"dropping-particle":"","family":"Fuggle","given":"Nicholas","non-dropping-particle":"","parse-names":false,"suffix":""},{"dropping-particle":"","family":"Cooper","given":"C.","non-dropping-particle":"","parse-names":false,"suffix":""},{"dropping-particle":"","family":"Dennison","given":"E. M.","non-dropping-particle":"","parse-names":false,"suffix":""}],"container-title":"Calcified Tissue International","id":"ITEM-1","issue":"5","issued":{"date-parts":[["2018","11","1"]]},"page":"476-482","publisher":"Springer New York LLC","title":"Longitudinal Change in Peripheral Quantitative Computed Tomography Assessment in Older Adults: The Hertfordshire Cohort Study","type":"article-journal","volume":"103"},"uris":["http://www.mendeley.com/documents/?uuid=114efecb-07de-4807-b099-5735d31b8b0d"]}],"mendeley":{"formattedCitation":"(24)","plainTextFormattedCitation":"(24)","previouslyFormattedCitation":"(24)"},"properties":{"noteIndex":0},"schema":"https://github.com/citation-style-language/schema/raw/master/csl-citation.json"}</w:instrText>
      </w:r>
      <w:r>
        <w:rPr>
          <w:rFonts w:cstheme="minorHAnsi"/>
          <w:color w:val="212121"/>
          <w:szCs w:val="24"/>
          <w:shd w:val="clear" w:color="auto" w:fill="FFFFFF"/>
        </w:rPr>
        <w:fldChar w:fldCharType="separate"/>
      </w:r>
      <w:r w:rsidRPr="00A657B7">
        <w:rPr>
          <w:rFonts w:cstheme="minorHAnsi"/>
          <w:noProof/>
          <w:color w:val="212121"/>
          <w:szCs w:val="24"/>
          <w:shd w:val="clear" w:color="auto" w:fill="FFFFFF"/>
        </w:rPr>
        <w:t>(24)</w:t>
      </w:r>
      <w:r>
        <w:rPr>
          <w:rFonts w:cstheme="minorHAnsi"/>
          <w:color w:val="212121"/>
          <w:szCs w:val="24"/>
          <w:shd w:val="clear" w:color="auto" w:fill="FFFFFF"/>
        </w:rPr>
        <w:fldChar w:fldCharType="end"/>
      </w:r>
      <w:r>
        <w:rPr>
          <w:rFonts w:cstheme="minorHAnsi"/>
          <w:color w:val="212121"/>
          <w:szCs w:val="24"/>
          <w:shd w:val="clear" w:color="auto" w:fill="FFFFFF"/>
        </w:rPr>
        <w:t>.</w:t>
      </w:r>
    </w:p>
    <w:p w14:paraId="3508DBCC" w14:textId="22F7A9BF" w:rsidR="00E011C9" w:rsidRPr="00EC3020" w:rsidRDefault="3CF22CD6" w:rsidP="00BC5BDD">
      <w:pPr>
        <w:jc w:val="both"/>
        <w:rPr>
          <w:strike/>
        </w:rPr>
      </w:pPr>
      <w:r>
        <w:rPr>
          <w:shd w:val="clear" w:color="auto" w:fill="FFFFFF"/>
        </w:rPr>
        <w:t xml:space="preserve">Given the relative paucity of available </w:t>
      </w:r>
      <w:r w:rsidR="0B63EC77">
        <w:rPr>
          <w:shd w:val="clear" w:color="auto" w:fill="FFFFFF"/>
        </w:rPr>
        <w:t>research on muscle density,</w:t>
      </w:r>
      <w:r>
        <w:rPr>
          <w:shd w:val="clear" w:color="auto" w:fill="FFFFFF"/>
        </w:rPr>
        <w:t xml:space="preserve"> our aims were to use </w:t>
      </w:r>
      <w:r w:rsidR="64BE8DE3">
        <w:rPr>
          <w:shd w:val="clear" w:color="auto" w:fill="FFFFFF"/>
        </w:rPr>
        <w:t xml:space="preserve">a prospective study of </w:t>
      </w:r>
      <w:r w:rsidR="720DA499">
        <w:rPr>
          <w:shd w:val="clear" w:color="auto" w:fill="FFFFFF"/>
        </w:rPr>
        <w:t xml:space="preserve">community-dwelling </w:t>
      </w:r>
      <w:r w:rsidR="7339E9FB">
        <w:rPr>
          <w:shd w:val="clear" w:color="auto" w:fill="FFFFFF"/>
        </w:rPr>
        <w:t>adults</w:t>
      </w:r>
      <w:r w:rsidR="3769C528">
        <w:rPr>
          <w:shd w:val="clear" w:color="auto" w:fill="FFFFFF"/>
        </w:rPr>
        <w:t xml:space="preserve"> </w:t>
      </w:r>
      <w:r w:rsidR="67E9ACC4">
        <w:rPr>
          <w:shd w:val="clear" w:color="auto" w:fill="FFFFFF"/>
        </w:rPr>
        <w:t>to</w:t>
      </w:r>
      <w:r w:rsidR="002003A2">
        <w:rPr>
          <w:shd w:val="clear" w:color="auto" w:fill="FFFFFF"/>
        </w:rPr>
        <w:t>:</w:t>
      </w:r>
      <w:r w:rsidR="67E9ACC4">
        <w:rPr>
          <w:shd w:val="clear" w:color="auto" w:fill="FFFFFF"/>
        </w:rPr>
        <w:t xml:space="preserve"> </w:t>
      </w:r>
      <w:r w:rsidR="002003A2">
        <w:rPr>
          <w:shd w:val="clear" w:color="auto" w:fill="FFFFFF"/>
        </w:rPr>
        <w:t xml:space="preserve">(1) </w:t>
      </w:r>
      <w:r w:rsidR="64BE8DE3">
        <w:rPr>
          <w:shd w:val="clear" w:color="auto" w:fill="FFFFFF"/>
        </w:rPr>
        <w:t xml:space="preserve">identify </w:t>
      </w:r>
      <w:r w:rsidR="0B63EC77">
        <w:rPr>
          <w:shd w:val="clear" w:color="auto" w:fill="FFFFFF"/>
        </w:rPr>
        <w:t xml:space="preserve">determinants of </w:t>
      </w:r>
      <w:r w:rsidR="79600936">
        <w:t>peripheral</w:t>
      </w:r>
      <w:r w:rsidR="79600936">
        <w:rPr>
          <w:shd w:val="clear" w:color="auto" w:fill="FFFFFF"/>
        </w:rPr>
        <w:t xml:space="preserve"> </w:t>
      </w:r>
      <w:r w:rsidR="0B63EC77">
        <w:rPr>
          <w:shd w:val="clear" w:color="auto" w:fill="FFFFFF"/>
        </w:rPr>
        <w:t>muscle density (</w:t>
      </w:r>
      <w:r w:rsidR="64BE8DE3">
        <w:rPr>
          <w:shd w:val="clear" w:color="auto" w:fill="FFFFFF"/>
        </w:rPr>
        <w:t xml:space="preserve">lifestyle and anthropometric </w:t>
      </w:r>
      <w:r w:rsidR="0B63EC77">
        <w:rPr>
          <w:shd w:val="clear" w:color="auto" w:fill="FFFFFF"/>
        </w:rPr>
        <w:t>characteristics)</w:t>
      </w:r>
      <w:r w:rsidR="002003A2">
        <w:rPr>
          <w:shd w:val="clear" w:color="auto" w:fill="FFFFFF"/>
        </w:rPr>
        <w:t>;</w:t>
      </w:r>
      <w:r w:rsidR="0B63EC77">
        <w:rPr>
          <w:shd w:val="clear" w:color="auto" w:fill="FFFFFF"/>
        </w:rPr>
        <w:t xml:space="preserve"> and </w:t>
      </w:r>
      <w:r w:rsidR="64BE8DE3">
        <w:rPr>
          <w:shd w:val="clear" w:color="auto" w:fill="FFFFFF"/>
        </w:rPr>
        <w:t>(</w:t>
      </w:r>
      <w:r w:rsidR="00A657B7">
        <w:rPr>
          <w:shd w:val="clear" w:color="auto" w:fill="FFFFFF"/>
        </w:rPr>
        <w:t>2</w:t>
      </w:r>
      <w:r w:rsidR="64BE8DE3">
        <w:rPr>
          <w:shd w:val="clear" w:color="auto" w:fill="FFFFFF"/>
        </w:rPr>
        <w:t xml:space="preserve">) </w:t>
      </w:r>
      <w:r w:rsidR="67E9ACC4">
        <w:rPr>
          <w:shd w:val="clear" w:color="auto" w:fill="FFFFFF"/>
        </w:rPr>
        <w:t xml:space="preserve">to </w:t>
      </w:r>
      <w:r w:rsidR="64BE8DE3">
        <w:rPr>
          <w:shd w:val="clear" w:color="auto" w:fill="FFFFFF"/>
        </w:rPr>
        <w:t xml:space="preserve">relate </w:t>
      </w:r>
      <w:r w:rsidR="79600936">
        <w:t>peripheral</w:t>
      </w:r>
      <w:r w:rsidR="79600936">
        <w:rPr>
          <w:shd w:val="clear" w:color="auto" w:fill="FFFFFF"/>
        </w:rPr>
        <w:t xml:space="preserve"> </w:t>
      </w:r>
      <w:r w:rsidR="64BE8DE3">
        <w:rPr>
          <w:shd w:val="clear" w:color="auto" w:fill="FFFFFF"/>
        </w:rPr>
        <w:t xml:space="preserve">muscle density measures to </w:t>
      </w:r>
      <w:r w:rsidR="0B63EC77">
        <w:rPr>
          <w:shd w:val="clear" w:color="auto" w:fill="FFFFFF"/>
        </w:rPr>
        <w:t>history of falls and prevalent fractures</w:t>
      </w:r>
      <w:r w:rsidR="64BE8DE3">
        <w:rPr>
          <w:shd w:val="clear" w:color="auto" w:fill="FFFFFF"/>
        </w:rPr>
        <w:t xml:space="preserve">. In our study, participants had a mean age at baseline of 64.7 years. This </w:t>
      </w:r>
      <w:r w:rsidR="773C7D07">
        <w:rPr>
          <w:shd w:val="clear" w:color="auto" w:fill="FFFFFF"/>
        </w:rPr>
        <w:t xml:space="preserve">is a stage in the lifecourse when identification of individuals at high risk of </w:t>
      </w:r>
      <w:r w:rsidR="002003A2">
        <w:rPr>
          <w:shd w:val="clear" w:color="auto" w:fill="FFFFFF"/>
        </w:rPr>
        <w:t xml:space="preserve">poor </w:t>
      </w:r>
      <w:r w:rsidR="773C7D07">
        <w:rPr>
          <w:shd w:val="clear" w:color="auto" w:fill="FFFFFF"/>
        </w:rPr>
        <w:t>musculo</w:t>
      </w:r>
      <w:r w:rsidR="773C7D07">
        <w:t>skeletal outcomes later in life might be possible, and if evidence exists that lifestyle modification might be beneficial, this may result in substantial personal and societal benefit</w:t>
      </w:r>
      <w:r w:rsidR="002003A2">
        <w:t>.</w:t>
      </w:r>
    </w:p>
    <w:p w14:paraId="54B13135" w14:textId="5CC7C326" w:rsidR="004E4250" w:rsidRDefault="004E4250" w:rsidP="00F83606">
      <w:pPr>
        <w:pStyle w:val="Heading2"/>
        <w:jc w:val="both"/>
      </w:pPr>
      <w:r>
        <w:br w:type="page"/>
      </w:r>
      <w:r w:rsidR="280298AC">
        <w:lastRenderedPageBreak/>
        <w:t>Methods</w:t>
      </w:r>
    </w:p>
    <w:p w14:paraId="66F667A7" w14:textId="015A1C3C" w:rsidR="00216C48" w:rsidRDefault="005E7005" w:rsidP="00BC5BDD">
      <w:pPr>
        <w:pStyle w:val="Heading2"/>
        <w:jc w:val="both"/>
      </w:pPr>
      <w:r>
        <w:t xml:space="preserve">The Hertfordshire </w:t>
      </w:r>
      <w:r w:rsidR="00755D88">
        <w:t>C</w:t>
      </w:r>
      <w:r>
        <w:t xml:space="preserve">ohort </w:t>
      </w:r>
      <w:r w:rsidR="00755D88">
        <w:t>Study</w:t>
      </w:r>
    </w:p>
    <w:p w14:paraId="35F73A1C" w14:textId="00B4B285" w:rsidR="00216C48" w:rsidRDefault="0E38A469" w:rsidP="00BC5BDD">
      <w:pPr>
        <w:jc w:val="both"/>
        <w:rPr>
          <w:shd w:val="clear" w:color="auto" w:fill="FFFFFF"/>
        </w:rPr>
      </w:pPr>
      <w:r>
        <w:rPr>
          <w:shd w:val="clear" w:color="auto" w:fill="FFFFFF"/>
        </w:rPr>
        <w:t xml:space="preserve">The Hertfordshire Cohort Study (HCS) is a population-based cohort of older adults, consisting of 1579 </w:t>
      </w:r>
      <w:r w:rsidR="3A02738F">
        <w:rPr>
          <w:shd w:val="clear" w:color="auto" w:fill="FFFFFF"/>
        </w:rPr>
        <w:t>males</w:t>
      </w:r>
      <w:r>
        <w:rPr>
          <w:shd w:val="clear" w:color="auto" w:fill="FFFFFF"/>
        </w:rPr>
        <w:t xml:space="preserve"> and 1418 </w:t>
      </w:r>
      <w:r w:rsidR="3A02738F">
        <w:rPr>
          <w:shd w:val="clear" w:color="auto" w:fill="FFFFFF"/>
        </w:rPr>
        <w:t>females</w:t>
      </w:r>
      <w:r>
        <w:rPr>
          <w:shd w:val="clear" w:color="auto" w:fill="FFFFFF"/>
        </w:rPr>
        <w:t>, born in Hertfordshire, UK, between 1931 and 1939 and still living in the county in 1998–200</w:t>
      </w:r>
      <w:r w:rsidR="4759DFA8">
        <w:rPr>
          <w:shd w:val="clear" w:color="auto" w:fill="FFFFFF"/>
        </w:rPr>
        <w:t>4</w:t>
      </w:r>
      <w:r>
        <w:rPr>
          <w:shd w:val="clear" w:color="auto" w:fill="FFFFFF"/>
        </w:rPr>
        <w:t>. All participants were Caucasian. Following our initial contact in 1998–200</w:t>
      </w:r>
      <w:r w:rsidR="4759DFA8">
        <w:rPr>
          <w:shd w:val="clear" w:color="auto" w:fill="FFFFFF"/>
        </w:rPr>
        <w:t>4</w:t>
      </w:r>
      <w:r>
        <w:rPr>
          <w:shd w:val="clear" w:color="auto" w:fill="FFFFFF"/>
        </w:rPr>
        <w:t>, participants completed a baseline home interview and attended a research clinic for detailed assessment of their socio-demographic, lifestyle and clinical characteristics; the study has previously been described in detail</w:t>
      </w:r>
      <w:r w:rsidR="2AF66D7D">
        <w:rPr>
          <w:noProof/>
          <w:shd w:val="clear" w:color="auto" w:fill="FFFFFF"/>
        </w:rPr>
        <w:t xml:space="preserve"> </w:t>
      </w:r>
      <w:r w:rsidR="008C7A3B">
        <w:rPr>
          <w:noProof/>
          <w:shd w:val="clear" w:color="auto" w:fill="FFFFFF"/>
        </w:rPr>
        <w:fldChar w:fldCharType="begin" w:fldLock="1"/>
      </w:r>
      <w:r w:rsidR="00AC1341">
        <w:rPr>
          <w:noProof/>
          <w:shd w:val="clear" w:color="auto" w:fill="FFFFFF"/>
        </w:rPr>
        <w:instrText>ADDIN CSL_CITATION {"citationItems":[{"id":"ITEM-1","itemData":{"DOI":"10.1093/ije/dyi127","ISSN":"03005771","PMID":"15964908","abstract":"1234 be related to low birth weight in these men and women, and to low weight at 1 year among the men. 3 This was the first study based on individual (rather than ecological) level data to demonstrate such relationships. Having studied mortality, the next stage was to explore the relationship between the early environment and a range of morbidity outcomes in surviving members of the cohort. Detailed physiological investigations of men and women born in Hertfordshire between 1920 and 30 and still living there in the early 1990s were conducted. These studies ranged in size from 224 to 468 men, and 189 to 306 women. Small size at birth and during infancy was shown to be associated with increased risk of developing coronary heart disease and type II diabetes mellitus, 4,5 the metabolic syndrome and insulin resistance, 6 osteoporosis 7 and sarcopenia 8 in later life. These studies led to the 'developmental origins' hypothesis which states that the nourishment a baby receives from its mother during pregnancy, and its nutrition and illnesses in infancy and early childhood, determine its susceptibility to disease in later life. Men and women born in Hertfordshire between 1931 and 1939: the Hertfordshire Cohort Study The early Hertfordshire studies described above were important for establishing relationships between the early environment and physiological markers of disease but (i) they were too small a sample for investigation of the early environment and adult risk factors in the aetiology of clinical outcomes (such as incident or fatal coronary heart disease, cerebrovascular disease or osteo-porotic fracture); (ii) the sample size was inadequate for research into gene-environment interactions; (iii) detailed information on adult anthropometry and diet was unavailable; and (iv) the men and women born before 1930 were becoming too frail to take part in further studies. As a consequence, a younger cohort of 3000 men and women born in Hertfordshire between 1931 and 1939, and included in the Hertfordshire records described above, were recruited to a new Hertfordshire Cohort Study (HCS); the rest of this article relates to this study.","author":[{"dropping-particle":"","family":"Syddall","given":"H. E.","non-dropping-particle":"","parse-names":false,"suffix":""},{"dropping-particle":"","family":"Sayer","given":"A. Aihie","non-dropping-particle":"","parse-names":false,"suffix":""},{"dropping-particle":"","family":"Dennison","given":"E. M.","non-dropping-particle":"","parse-names":false,"suffix":""},{"dropping-particle":"","family":"Martin","given":"H. J.","non-dropping-particle":"","parse-names":false,"suffix":""},{"dropping-particle":"","family":"Barker","given":"D. J.P.","non-dropping-particle":"","parse-names":false,"suffix":""},{"dropping-particle":"","family":"Cooper","given":"C","non-dropping-particle":"","parse-names":false,"suffix":""},{"dropping-particle":"","family":"Cox","given":"Vanessa","non-dropping-particle":"","parse-names":false,"suffix":""},{"dropping-particle":"","family":"Craighead","given":"Sue","non-dropping-particle":"","parse-names":false,"suffix":""},{"dropping-particle":"","family":"Watson","given":"Clare","non-dropping-particle":"","parse-names":false,"suffix":""},{"dropping-particle":"","family":"Statham","given":"Clare","non-dropping-particle":"","parse-names":false,"suffix":""},{"dropping-particle":"","family":"Simmonds","given":"Shirley","non-dropping-particle":"","parse-names":false,"suffix":""},{"dropping-particle":"","family":"Robinson","given":"Sian","non-dropping-particle":"","parse-names":false,"suffix":""},{"dropping-particle":"","family":"Batelaan","given":"Sue","non-dropping-particle":"","parse-names":false,"suffix":""},{"dropping-particle":"","family":"Phillips","given":"David","non-dropping-particle":"","parse-names":false,"suffix":""},{"dropping-particle":"","family":"Day","given":"Ian","non-dropping-particle":"","parse-names":false,"suffix":""}],"container-title":"International Journal of Epidemiology","id":"ITEM-1","issue":"6","issued":{"date-parts":[["2005","12","1"]]},"page":"1234-1242","publisher":"Oxford University Press on","title":"Cohort profile: The Hertfordshire Cohort Study","type":"article-journal","volume":"34"},"uris":["http://www.mendeley.com/documents/?uuid=6fee4a74-e466-31d9-b6c4-876d1bd3e811"]},{"id":"ITEM-2","itemData":{"DOI":"10.12688/f1000research.17457.1","ISSN":"1759796X","PMID":"30828442","abstract":"The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-2","issued":{"date-parts":[["2019"]]},"publisher":"Faculty of 1000 Ltd","title":"The hertfordshire cohort study: An overview [version 1; referees: 3 approved]","type":"article","volume":"8"},"uris":["http://www.mendeley.com/documents/?uuid=0fe59414-3d54-39af-a0e9-ea2d5c765d90"]}],"mendeley":{"formattedCitation":"(25,26)","plainTextFormattedCitation":"(25,26)","previouslyFormattedCitation":"(25,26)"},"properties":{"noteIndex":0},"schema":"https://github.com/citation-style-language/schema/raw/master/csl-citation.json"}</w:instrText>
      </w:r>
      <w:r w:rsidR="008C7A3B">
        <w:rPr>
          <w:noProof/>
          <w:shd w:val="clear" w:color="auto" w:fill="FFFFFF"/>
        </w:rPr>
        <w:fldChar w:fldCharType="separate"/>
      </w:r>
      <w:r w:rsidR="00A657B7" w:rsidRPr="00A657B7">
        <w:rPr>
          <w:noProof/>
          <w:shd w:val="clear" w:color="auto" w:fill="FFFFFF"/>
        </w:rPr>
        <w:t>(25,26)</w:t>
      </w:r>
      <w:r w:rsidR="008C7A3B">
        <w:rPr>
          <w:noProof/>
          <w:shd w:val="clear" w:color="auto" w:fill="FFFFFF"/>
        </w:rPr>
        <w:fldChar w:fldCharType="end"/>
      </w:r>
      <w:r>
        <w:rPr>
          <w:shd w:val="clear" w:color="auto" w:fill="FFFFFF"/>
        </w:rPr>
        <w:t>.</w:t>
      </w:r>
      <w:r w:rsidR="6BFF3DA5">
        <w:rPr>
          <w:shd w:val="clear" w:color="auto" w:fill="FFFFFF"/>
        </w:rPr>
        <w:t xml:space="preserve"> </w:t>
      </w:r>
      <w:r w:rsidR="4759DFA8" w:rsidRPr="00D67A78">
        <w:rPr>
          <w:shd w:val="clear" w:color="auto" w:fill="FFFFFF"/>
        </w:rPr>
        <w:t>In 2004, of the 966 participants from East Hertfordshire who had a dual-energy X-ray absorptiometry (DXA) scan at the start of the study, 642 were recruited for a musculoskeletal follow-up study</w:t>
      </w:r>
      <w:r w:rsidR="4759DFA8">
        <w:t xml:space="preserve"> (8/966 had died, 74/966 could not be located and 242/966 declined to participate)</w:t>
      </w:r>
      <w:r w:rsidR="4759DFA8" w:rsidRPr="00D67A78">
        <w:rPr>
          <w:shd w:val="clear" w:color="auto" w:fill="FFFFFF"/>
        </w:rPr>
        <w:t xml:space="preserve">. In 2011-2012, </w:t>
      </w:r>
      <w:r w:rsidR="4759DFA8">
        <w:t>570</w:t>
      </w:r>
      <w:r w:rsidR="4759DFA8" w:rsidRPr="00D67A78">
        <w:rPr>
          <w:shd w:val="clear" w:color="auto" w:fill="FFFFFF"/>
        </w:rPr>
        <w:t xml:space="preserve">/642 </w:t>
      </w:r>
      <w:r w:rsidR="4759DFA8">
        <w:t xml:space="preserve">participants from East Hertfordshire were invited to take part </w:t>
      </w:r>
      <w:r w:rsidR="4759DFA8" w:rsidRPr="00D67A78">
        <w:rPr>
          <w:shd w:val="clear" w:color="auto" w:fill="FFFFFF"/>
        </w:rPr>
        <w:t>in a further bone follow-up study</w:t>
      </w:r>
      <w:r w:rsidR="4759DFA8">
        <w:rPr>
          <w:shd w:val="clear" w:color="auto" w:fill="FFFFFF"/>
        </w:rPr>
        <w:t xml:space="preserve"> which involved measurement of muscle density</w:t>
      </w:r>
      <w:r w:rsidR="3B50324E">
        <w:rPr>
          <w:shd w:val="clear" w:color="auto" w:fill="FFFFFF"/>
        </w:rPr>
        <w:t xml:space="preserve"> by peripheral quantitative computed tomography (pQCT)</w:t>
      </w:r>
      <w:r w:rsidR="3B50324E">
        <w:t>; 376/570 agreed to participate</w:t>
      </w:r>
      <w:r w:rsidR="4759DFA8">
        <w:rPr>
          <w:shd w:val="clear" w:color="auto" w:fill="FFFFFF"/>
        </w:rPr>
        <w:t>.</w:t>
      </w:r>
    </w:p>
    <w:p w14:paraId="08ECA15F" w14:textId="77777777" w:rsidR="005E7005" w:rsidRDefault="005E7005" w:rsidP="00BC5BDD">
      <w:pPr>
        <w:pStyle w:val="Heading2"/>
        <w:jc w:val="both"/>
      </w:pPr>
      <w:r>
        <w:t>Ascertainment of participant characteristics in 1998-2004</w:t>
      </w:r>
    </w:p>
    <w:p w14:paraId="6ABBEA8A" w14:textId="2F313FBB" w:rsidR="000F18F7" w:rsidRDefault="00452C5B" w:rsidP="00BC5BDD">
      <w:pPr>
        <w:jc w:val="both"/>
        <w:rPr>
          <w:color w:val="000000"/>
          <w:shd w:val="clear" w:color="auto" w:fill="FFFFFF"/>
        </w:rPr>
      </w:pPr>
      <w:r>
        <w:rPr>
          <w:shd w:val="clear" w:color="auto" w:fill="FFFFFF"/>
        </w:rPr>
        <w:t xml:space="preserve">A lifestyle questionnaire was administered </w:t>
      </w:r>
      <w:r w:rsidR="005E7005">
        <w:rPr>
          <w:shd w:val="clear" w:color="auto" w:fill="FFFFFF"/>
        </w:rPr>
        <w:t xml:space="preserve">at the home interview </w:t>
      </w:r>
      <w:r>
        <w:rPr>
          <w:shd w:val="clear" w:color="auto" w:fill="FFFFFF"/>
        </w:rPr>
        <w:t>to collect information on physical activity</w:t>
      </w:r>
      <w:r w:rsidR="005E7005">
        <w:rPr>
          <w:shd w:val="clear" w:color="auto" w:fill="FFFFFF"/>
        </w:rPr>
        <w:t xml:space="preserve"> </w:t>
      </w:r>
      <w:r w:rsidR="00755D88">
        <w:rPr>
          <w:shd w:val="clear" w:color="auto" w:fill="FFFFFF"/>
        </w:rPr>
        <w:t>(</w:t>
      </w:r>
      <w:r w:rsidR="005E7005">
        <w:rPr>
          <w:shd w:val="clear" w:color="auto" w:fill="FFFFFF"/>
        </w:rPr>
        <w:t xml:space="preserve">Dallosso questionnaire </w:t>
      </w:r>
      <w:r w:rsidR="005E7005">
        <w:rPr>
          <w:shd w:val="clear" w:color="auto" w:fill="FFFFFF"/>
        </w:rPr>
        <w:fldChar w:fldCharType="begin" w:fldLock="1"/>
      </w:r>
      <w:r w:rsidR="00AC1341">
        <w:rPr>
          <w:shd w:val="clear" w:color="auto" w:fill="FFFFFF"/>
        </w:rPr>
        <w:instrText>ADDIN CSL_CITATION {"citationItems":[{"id":"ITEM-1","itemData":{"DOI":"10.1136/JECH.42.2.121","PMID":"3221161","abstract":"With an activity inventory designed specifically for use among elderly people, detailed profiles of customary physical activity were obtained from 507 old (aged 65-74 years) and 535 very old (aged 75 years and over) individuals randomly sampled from the community. Participation in four categories of activity was assessed: outdoor productive activities; indoor productive activities; leisure activities; and walking. Customary engagement in many activities was found to be low, age (old versus very old) and sex being among the most important determinants of participation. The method of assessment is described, and activity profiles normative for older age groups are presented.","author":[{"dropping-particle":"","family":"Dallosso","given":"H M","non-dropping-particle":"","parse-names":false,"suffix":""},{"dropping-particle":"","family":"Morgan","given":"K","non-dropping-particle":"","parse-names":false,"suffix":""},{"dropping-particle":"","family":"Bassey","given":"E J","non-dropping-particle":"","parse-names":false,"suffix":""},{"dropping-particle":"","family":"Ebrahim","given":"S B","non-dropping-particle":"","parse-names":false,"suffix":""},{"dropping-particle":"","family":"Fentem","given":"P H","non-dropping-particle":"","parse-names":false,"suffix":""},{"dropping-particle":"","family":"Arie","given":"T H","non-dropping-particle":"","parse-names":false,"suffix":""}],"container-title":"Journal of Epidemiology and Community Health","id":"ITEM-1","issue":"2","issued":{"date-parts":[["1988"]]},"page":"121","publisher":"BMJ Publishing Group","title":"Levels of customary physical activity among the old and the very old living at home.","type":"article-journal","volume":"42"},"uris":["http://www.mendeley.com/documents/?uuid=b6562db0-57f4-33ee-87da-75bc7d523572"]}],"mendeley":{"formattedCitation":"(27)","plainTextFormattedCitation":"(27)","previouslyFormattedCitation":"(27)"},"properties":{"noteIndex":0},"schema":"https://github.com/citation-style-language/schema/raw/master/csl-citation.json"}</w:instrText>
      </w:r>
      <w:r w:rsidR="005E7005">
        <w:rPr>
          <w:shd w:val="clear" w:color="auto" w:fill="FFFFFF"/>
        </w:rPr>
        <w:fldChar w:fldCharType="separate"/>
      </w:r>
      <w:r w:rsidR="00A657B7" w:rsidRPr="00A657B7">
        <w:rPr>
          <w:noProof/>
          <w:shd w:val="clear" w:color="auto" w:fill="FFFFFF"/>
        </w:rPr>
        <w:t>(27)</w:t>
      </w:r>
      <w:r w:rsidR="005E7005">
        <w:rPr>
          <w:shd w:val="clear" w:color="auto" w:fill="FFFFFF"/>
        </w:rPr>
        <w:fldChar w:fldCharType="end"/>
      </w:r>
      <w:r w:rsidR="00755D88">
        <w:rPr>
          <w:shd w:val="clear" w:color="auto" w:fill="FFFFFF"/>
        </w:rPr>
        <w:t>)</w:t>
      </w:r>
      <w:r w:rsidR="00BC74A8">
        <w:rPr>
          <w:shd w:val="clear" w:color="auto" w:fill="FFFFFF"/>
        </w:rPr>
        <w:t xml:space="preserve">, </w:t>
      </w:r>
      <w:r w:rsidR="00652440">
        <w:rPr>
          <w:shd w:val="clear" w:color="auto" w:fill="FFFFFF"/>
        </w:rPr>
        <w:t xml:space="preserve">smoking, </w:t>
      </w:r>
      <w:r w:rsidR="005E7005">
        <w:rPr>
          <w:shd w:val="clear" w:color="auto" w:fill="FFFFFF"/>
        </w:rPr>
        <w:t xml:space="preserve">and </w:t>
      </w:r>
      <w:r w:rsidR="00652440">
        <w:rPr>
          <w:shd w:val="clear" w:color="auto" w:fill="FFFFFF"/>
        </w:rPr>
        <w:t>alcohol consumption</w:t>
      </w:r>
      <w:r w:rsidR="005E7005">
        <w:rPr>
          <w:shd w:val="clear" w:color="auto" w:fill="FFFFFF"/>
        </w:rPr>
        <w:t xml:space="preserve">. </w:t>
      </w:r>
      <w:r w:rsidR="005E7005" w:rsidRPr="009C07A8">
        <w:rPr>
          <w:shd w:val="clear" w:color="auto" w:fill="FFFFFF"/>
        </w:rPr>
        <w:t xml:space="preserve">Participants completed a food-frequency questionnaire from which </w:t>
      </w:r>
      <w:r w:rsidR="00646464">
        <w:rPr>
          <w:shd w:val="clear" w:color="auto" w:fill="FFFFFF"/>
        </w:rPr>
        <w:t xml:space="preserve">protein intake was ascertained, and </w:t>
      </w:r>
      <w:r w:rsidR="005E7005" w:rsidRPr="009C07A8">
        <w:rPr>
          <w:shd w:val="clear" w:color="auto" w:fill="FFFFFF"/>
        </w:rPr>
        <w:t>a ‘prudent diet’ score was derived using principal components analysis; higher scores reflected healthier diets</w:t>
      </w:r>
      <w:r w:rsidR="005E7005">
        <w:rPr>
          <w:shd w:val="clear" w:color="auto" w:fill="FFFFFF"/>
        </w:rPr>
        <w:t xml:space="preserve"> </w:t>
      </w:r>
      <w:r w:rsidR="005E7005">
        <w:rPr>
          <w:shd w:val="clear" w:color="auto" w:fill="FFFFFF"/>
        </w:rPr>
        <w:fldChar w:fldCharType="begin" w:fldLock="1"/>
      </w:r>
      <w:r w:rsidR="00AC1341">
        <w:rPr>
          <w:shd w:val="clear" w:color="auto" w:fill="FFFFFF"/>
        </w:rPr>
        <w:instrText>ADDIN CSL_CITATION {"citationItems":[{"id":"ITEM-1","itemData":{"DOI":"10.1093/AGEING/AFP121","abstract":"Background: dietary patterns analysis takes account of the combined effects of foods and may be a more meaningful way of assessing dietary exposure than considering individual nutrients. Little is known about the dietary patterns of older adults in the UK. Objective: to describe the dietary patterns of a population of community-dwelling older men and women and to examine factors associated with compliance with these patterns. Setting and Participants: 3,217 men and women aged 59-73 years who were participants in the Hertfordshire Cohort Study. Methods: diet was assessed using an administered food frequency questionnaire; dietary patterns were identified using principal component analysis. Results: two dietary patterns were identified. The first was characterised by high consumption of fruit, vegetables, oily fish and wholemeal cereals ('prudent' pattern); the second was characterised by high consumption of vegetables, processed and red meat, fish and puddings ('traditional' pattern). High 'prudent' diet scores were more common in women, in men and women in non-manual classes and in non-smokers (all P &lt; 0.05), whilst high 'traditional' diet scores were more common in men, in men and women who had partners and were associated with higher alcohol consumption (all P &lt; 0.05). Conclusions: we have described large variations in food consumption and nutrient intake amongst older adults that are likely to have implications for future health. The specific socio-demographic correlates of the dietary patterns provide insights into the contexts within which good and poor diets exist, and may help in the identification of opportunities for dietary intervention. © The Author 2009. Published by Oxford University Press on behalf of the British Geriatrics Society. All rights reserved.","author":[{"dropping-particle":"","family":"Robinson","given":"Siân","non-dropping-particle":"","parse-names":false,"suffix":""},{"dropping-particle":"","family":"Syddall","given":"Holly","non-dropping-particle":"","parse-names":false,"suffix":""},{"dropping-particle":"","family":"Jameson","given":"Karen","non-dropping-particle":"","parse-names":false,"suffix":""},{"dropping-particle":"","family":"Batelaan","given":"Sue","non-dropping-particle":"","parse-names":false,"suffix":""},{"dropping-particle":"","family":"Martin","given":"Helen","non-dropping-particle":"","parse-names":false,"suffix":""},{"dropping-particle":"","family":"Dennison","given":"Elaine M.","non-dropping-particle":"","parse-names":false,"suffix":""},{"dropping-particle":"","family":"Cooper","given":"Cyrus","non-dropping-particle":"","parse-names":false,"suffix":""},{"dropping-particle":"","family":"Sayer","given":"Avan Aihie","non-dropping-particle":"","parse-names":false,"suffix":""}],"container-title":"Age and Ageing","id":"ITEM-1","issue":"5","issued":{"date-parts":[["2009"]]},"page":"594-599","title":"Current patterns of diet in community-dwelling older men and women: Results from the Hertfordshire Cohort Study","type":"article-journal","volume":"38"},"uris":["http://www.mendeley.com/documents/?uuid=8a200a2e-e11a-3601-910e-3fabf18f39dc"]}],"mendeley":{"formattedCitation":"(28)","plainTextFormattedCitation":"(28)","previouslyFormattedCitation":"(28)"},"properties":{"noteIndex":0},"schema":"https://github.com/citation-style-language/schema/raw/master/csl-citation.json"}</w:instrText>
      </w:r>
      <w:r w:rsidR="005E7005">
        <w:rPr>
          <w:shd w:val="clear" w:color="auto" w:fill="FFFFFF"/>
        </w:rPr>
        <w:fldChar w:fldCharType="separate"/>
      </w:r>
      <w:r w:rsidR="00A657B7" w:rsidRPr="00A657B7">
        <w:rPr>
          <w:noProof/>
          <w:shd w:val="clear" w:color="auto" w:fill="FFFFFF"/>
        </w:rPr>
        <w:t>(28)</w:t>
      </w:r>
      <w:r w:rsidR="005E7005">
        <w:rPr>
          <w:shd w:val="clear" w:color="auto" w:fill="FFFFFF"/>
        </w:rPr>
        <w:fldChar w:fldCharType="end"/>
      </w:r>
      <w:r w:rsidR="005E7005">
        <w:rPr>
          <w:shd w:val="clear" w:color="auto" w:fill="FFFFFF"/>
        </w:rPr>
        <w:t>.</w:t>
      </w:r>
      <w:r w:rsidR="005E7005" w:rsidRPr="005E7005">
        <w:rPr>
          <w:shd w:val="clear" w:color="auto" w:fill="FFFFFF"/>
        </w:rPr>
        <w:t xml:space="preserve"> </w:t>
      </w:r>
      <w:r w:rsidR="005E7005" w:rsidRPr="009C07A8">
        <w:rPr>
          <w:shd w:val="clear" w:color="auto" w:fill="FFFFFF"/>
        </w:rPr>
        <w:t>Current or most recent full-time occupation (husband's for ever-married females) was ascertained; social class was coded from the 1990 OPCS Standard Occupational Classification (SOC90) unit group for occupation</w:t>
      </w:r>
      <w:r w:rsidR="005E7005">
        <w:rPr>
          <w:shd w:val="clear" w:color="auto" w:fill="FFFFFF"/>
        </w:rPr>
        <w:t xml:space="preserve"> </w:t>
      </w:r>
      <w:r w:rsidR="005E7005">
        <w:rPr>
          <w:shd w:val="clear" w:color="auto" w:fill="FFFFFF"/>
        </w:rPr>
        <w:fldChar w:fldCharType="begin" w:fldLock="1"/>
      </w:r>
      <w:r w:rsidR="00AC1341">
        <w:rPr>
          <w:shd w:val="clear" w:color="auto" w:fill="FFFFFF"/>
        </w:rPr>
        <w:instrText>ADDIN CSL_CITATION {"citationItems":[{"id":"ITEM-1","itemData":{"ISBN":"9780116912848","abstract":"1st ed. At head of title: Employment Department Group, Office of Population Censuses and Surveys. \"A publication of the Government Statistical Service; SOC\"--Cover. \"February 1990.\" Vol. 1. Structure and definition of major, minor and unit groups -- Vol. 2. Coding index. -- Vol. 3. Social classifications and coding methodology.","author":[{"dropping-particle":"","family":"Higher Education Statisitcs Agency","given":"","non-dropping-particle":"","parse-names":false,"suffix":""}],"edition":"1st ed.","id":"ITEM-1","issued":{"date-parts":[["2015"]]},"publisher":"HMSO","publisher-place":"London","title":"Standard Occupational Classification - SOC90","type":"article-journal"},"uris":["http://www.mendeley.com/documents/?uuid=b599cb01-111e-3573-b9b4-c4510829e0b9"]}],"mendeley":{"formattedCitation":"(29)","plainTextFormattedCitation":"(29)","previouslyFormattedCitation":"(29)"},"properties":{"noteIndex":0},"schema":"https://github.com/citation-style-language/schema/raw/master/csl-citation.json"}</w:instrText>
      </w:r>
      <w:r w:rsidR="005E7005">
        <w:rPr>
          <w:shd w:val="clear" w:color="auto" w:fill="FFFFFF"/>
        </w:rPr>
        <w:fldChar w:fldCharType="separate"/>
      </w:r>
      <w:r w:rsidR="00A657B7" w:rsidRPr="00A657B7">
        <w:rPr>
          <w:noProof/>
          <w:shd w:val="clear" w:color="auto" w:fill="FFFFFF"/>
        </w:rPr>
        <w:t>(29)</w:t>
      </w:r>
      <w:r w:rsidR="005E7005">
        <w:rPr>
          <w:shd w:val="clear" w:color="auto" w:fill="FFFFFF"/>
        </w:rPr>
        <w:fldChar w:fldCharType="end"/>
      </w:r>
      <w:r w:rsidR="005E7005">
        <w:rPr>
          <w:shd w:val="clear" w:color="auto" w:fill="FFFFFF"/>
        </w:rPr>
        <w:t>.</w:t>
      </w:r>
      <w:r w:rsidR="00834E29" w:rsidRPr="00834E29">
        <w:t xml:space="preserve"> </w:t>
      </w:r>
      <w:r w:rsidR="00C17E6F">
        <w:t>S</w:t>
      </w:r>
      <w:r w:rsidR="00834E29" w:rsidRPr="00834E29">
        <w:t>ocial class was coded from current or most recent full-time occupation for all men and also among women who never married, and only from husband’s occupation for ever-married women.</w:t>
      </w:r>
      <w:r w:rsidR="00834E29">
        <w:rPr>
          <w:shd w:val="clear" w:color="auto" w:fill="FFFFFF"/>
        </w:rPr>
        <w:t xml:space="preserve"> </w:t>
      </w:r>
      <w:r w:rsidR="005E7005" w:rsidRPr="009C07A8">
        <w:rPr>
          <w:color w:val="000000"/>
          <w:shd w:val="clear" w:color="auto" w:fill="FFFFFF"/>
        </w:rPr>
        <w:t>Details of all prescription and over-the-counter medications currently taken were coded according to the British National Formulary; the number of systems medicated was derived as a marker of comorbidity</w:t>
      </w:r>
      <w:r w:rsidR="005E7005">
        <w:rPr>
          <w:color w:val="000000"/>
          <w:shd w:val="clear" w:color="auto" w:fill="FFFFFF"/>
        </w:rPr>
        <w:t xml:space="preserve">. </w:t>
      </w:r>
    </w:p>
    <w:p w14:paraId="372E96C2" w14:textId="11C4B303" w:rsidR="005E7005" w:rsidRPr="005E7005" w:rsidRDefault="005E7005" w:rsidP="00BC5BDD">
      <w:pPr>
        <w:jc w:val="both"/>
        <w:rPr>
          <w:shd w:val="clear" w:color="auto" w:fill="FFFFFF"/>
        </w:rPr>
      </w:pPr>
      <w:r w:rsidRPr="004D329C">
        <w:rPr>
          <w:shd w:val="clear" w:color="auto" w:fill="FFFFFF"/>
        </w:rPr>
        <w:t xml:space="preserve">Investigations conducted at the baseline clinic included measurement of </w:t>
      </w:r>
      <w:r w:rsidR="003C1320">
        <w:rPr>
          <w:shd w:val="clear" w:color="auto" w:fill="FFFFFF"/>
        </w:rPr>
        <w:t xml:space="preserve">standing </w:t>
      </w:r>
      <w:r w:rsidRPr="004D329C">
        <w:rPr>
          <w:shd w:val="clear" w:color="auto" w:fill="FFFFFF"/>
        </w:rPr>
        <w:t>height (Harpenden pocket stadiometer, Chasmors Ltd, London, UK) and weight (SECA floor scale, Chasmors Ltd, London, UK) which were used to derive body mass index (BMI).</w:t>
      </w:r>
    </w:p>
    <w:p w14:paraId="74930DC3" w14:textId="5397D3DE" w:rsidR="005E7005" w:rsidRDefault="00755D88" w:rsidP="00BC5BDD">
      <w:pPr>
        <w:pStyle w:val="Heading2"/>
        <w:jc w:val="both"/>
      </w:pPr>
      <w:r>
        <w:t xml:space="preserve">Ascertainment of characteristics </w:t>
      </w:r>
      <w:r w:rsidR="005E7005">
        <w:t xml:space="preserve">at </w:t>
      </w:r>
      <w:r>
        <w:t>the</w:t>
      </w:r>
      <w:r w:rsidR="005E7005">
        <w:t xml:space="preserve"> 2011-2012</w:t>
      </w:r>
      <w:r>
        <w:t xml:space="preserve"> follow-up</w:t>
      </w:r>
    </w:p>
    <w:p w14:paraId="06EA0D70" w14:textId="307D482E" w:rsidR="003C1320" w:rsidRDefault="73C6A999" w:rsidP="79600936">
      <w:pPr>
        <w:jc w:val="both"/>
      </w:pPr>
      <w:r>
        <w:rPr>
          <w:color w:val="000000"/>
          <w:shd w:val="clear" w:color="auto" w:fill="FFFFFF"/>
        </w:rPr>
        <w:t>Bone density measurement</w:t>
      </w:r>
      <w:r w:rsidR="13E776D3">
        <w:rPr>
          <w:color w:val="000000"/>
          <w:shd w:val="clear" w:color="auto" w:fill="FFFFFF"/>
        </w:rPr>
        <w:t xml:space="preserve">s </w:t>
      </w:r>
      <w:r>
        <w:rPr>
          <w:color w:val="000000"/>
          <w:shd w:val="clear" w:color="auto" w:fill="FFFFFF"/>
        </w:rPr>
        <w:t>have been described in detail previously</w:t>
      </w:r>
      <w:r w:rsidR="13E776D3">
        <w:rPr>
          <w:color w:val="000000"/>
          <w:shd w:val="clear" w:color="auto" w:fill="FFFFFF"/>
        </w:rPr>
        <w:t xml:space="preserve"> </w:t>
      </w:r>
      <w:r w:rsidR="004E14D0">
        <w:rPr>
          <w:color w:val="000000"/>
          <w:shd w:val="clear" w:color="auto" w:fill="FFFFFF"/>
        </w:rPr>
        <w:fldChar w:fldCharType="begin" w:fldLock="1"/>
      </w:r>
      <w:r w:rsidR="00AC1341">
        <w:rPr>
          <w:color w:val="000000"/>
          <w:shd w:val="clear" w:color="auto" w:fill="FFFFFF"/>
        </w:rPr>
        <w:instrText>ADDIN CSL_CITATION {"citationItems":[{"id":"ITEM-1","itemData":{"DOI":"10.1016/J.BONE.2014.03.040","ISSN":"8756-3282","PMID":"24680720","abstract":"Peripheral quantitative computed tomography (pQCT) captures novel aspects of bone geometry that may contribute to fracture risk and offers the ability to measure both volumetric bone mineral density (vBMD) and a separation of trabecular and cortical compartments of bone, but longitudinal data relating measures obtained from this technique to incident fractures are lacking. Here we report an analysis from the Hertfordshire Cohort Study, where we were able to study associations between measures obtained from pQCT and DXA in 182 men and 202 women aged 60-75. years at baseline with incident fractures over 6. years later. Among women, radial cortical thickness (HR 1.72, 95% CI 1.16, 2.54, p. =. 0.007) and cortical area (HR 1.91, 95% CI 1.27, 2.85, p. =. 0.002) at the 66% slice were both associated with incident fractures; these results remained significant after adjustment for confounders (age, BMI, social class, cigarette smoking and alcohol consumption, physical activity, dietary calcium, HRT and years since menopause). Further adjustment for aBMD made a little difference to the results. At the tibia, cortical area (HR 1.58, 95% CI 1.10, 2.28, p. =. 0.01), thickness (HR 1.49, 95% CI 1.08, 2.07, p. =. 0.02) and density (HR 1.64, 95% CI 1.18, 2.26, p. =. 0.003) at the 38% site were all associated with incident fractures with the cortical area and density relationships remaining robust to adjustment for the confounders listed above. Further adjustment for aBMD at this site did lead to attenuation of relationships. Among men, tibial stress-strain index (SSI) was predictive of incident fractures (HR 2.30, 95% CI 1.28, 4.13, p. =. 0.005). Adjustment for confounding variables and aBMD did not render this association non-significant. In conclusion, we have demonstrated relationships between measures of bone size, density and strength obtained by pQCT and incident fracture. These relationships were attenuated but in some cases remained significant after adjustment for BMD measures obtained by DXA, suggesting that some additional information may be conferred by this assessment. © 2014 Elsevier Inc.","author":[{"dropping-particle":"","family":"Dennison","given":"E. M.","non-dropping-particle":"","parse-names":false,"suffix":""},{"dropping-particle":"","family":"Jameson","given":"K. A.","non-dropping-particle":"","parse-names":false,"suffix":""},{"dropping-particle":"","family":"Edwards","given":"M. H.","non-dropping-particle":"","parse-names":false,"suffix":""},{"dropping-particle":"","family":"Denison","given":"H. J.","non-dropping-particle":"","parse-names":false,"suffix":""},{"dropping-particle":"","family":"Aihie Sayer","given":"A.","non-dropping-particle":"","parse-names":false,"suffix":""},{"dropping-particle":"","family":"Cooper","given":"C.","non-dropping-particle":"","parse-names":false,"suffix":""}],"container-title":"Bone","id":"ITEM-1","issued":{"date-parts":[["2014","7","1"]]},"page":"13-17","publisher":"Elsevier","title":"Peripheral quantitative computed tomography measures are associated with adult fracture risk: The Hertfordshire Cohort Study","type":"article-journal","volume":"64"},"uris":["http://www.mendeley.com/documents/?uuid=56e62196-aaa9-35dd-98a1-83a84f5b712c"]}],"mendeley":{"formattedCitation":"(30)","plainTextFormattedCitation":"(30)","previouslyFormattedCitation":"(30)"},"properties":{"noteIndex":0},"schema":"https://github.com/citation-style-language/schema/raw/master/csl-citation.json"}</w:instrText>
      </w:r>
      <w:r w:rsidR="004E14D0">
        <w:rPr>
          <w:color w:val="000000"/>
          <w:shd w:val="clear" w:color="auto" w:fill="FFFFFF"/>
        </w:rPr>
        <w:fldChar w:fldCharType="separate"/>
      </w:r>
      <w:r w:rsidR="00A657B7" w:rsidRPr="00A657B7">
        <w:rPr>
          <w:noProof/>
          <w:color w:val="000000"/>
          <w:shd w:val="clear" w:color="auto" w:fill="FFFFFF"/>
        </w:rPr>
        <w:t>(30)</w:t>
      </w:r>
      <w:r w:rsidR="004E14D0">
        <w:rPr>
          <w:color w:val="000000"/>
          <w:shd w:val="clear" w:color="auto" w:fill="FFFFFF"/>
        </w:rPr>
        <w:fldChar w:fldCharType="end"/>
      </w:r>
      <w:r>
        <w:rPr>
          <w:color w:val="000000"/>
          <w:shd w:val="clear" w:color="auto" w:fill="FFFFFF"/>
        </w:rPr>
        <w:t xml:space="preserve">. </w:t>
      </w:r>
      <w:r w:rsidR="44A62420">
        <w:rPr>
          <w:color w:val="000000"/>
          <w:shd w:val="clear" w:color="auto" w:fill="FFFFFF"/>
        </w:rPr>
        <w:t>pQCT</w:t>
      </w:r>
      <w:r w:rsidR="45F93435">
        <w:rPr>
          <w:color w:val="000000"/>
          <w:shd w:val="clear" w:color="auto" w:fill="FFFFFF"/>
        </w:rPr>
        <w:t xml:space="preserve"> was performed using a Stratec XCT2000 instrument</w:t>
      </w:r>
      <w:r>
        <w:rPr>
          <w:color w:val="000000"/>
          <w:shd w:val="clear" w:color="auto" w:fill="FFFFFF"/>
        </w:rPr>
        <w:t xml:space="preserve"> (software version 6.20, </w:t>
      </w:r>
      <w:proofErr w:type="spellStart"/>
      <w:r>
        <w:rPr>
          <w:color w:val="000000"/>
          <w:shd w:val="clear" w:color="auto" w:fill="FFFFFF"/>
        </w:rPr>
        <w:t>Stratec</w:t>
      </w:r>
      <w:proofErr w:type="spellEnd"/>
      <w:r>
        <w:rPr>
          <w:color w:val="000000"/>
          <w:shd w:val="clear" w:color="auto" w:fill="FFFFFF"/>
        </w:rPr>
        <w:t xml:space="preserve"> </w:t>
      </w:r>
      <w:proofErr w:type="spellStart"/>
      <w:r>
        <w:rPr>
          <w:color w:val="000000"/>
          <w:shd w:val="clear" w:color="auto" w:fill="FFFFFF"/>
        </w:rPr>
        <w:t>Medizintechnik</w:t>
      </w:r>
      <w:proofErr w:type="spellEnd"/>
      <w:r>
        <w:rPr>
          <w:color w:val="000000"/>
          <w:shd w:val="clear" w:color="auto" w:fill="FFFFFF"/>
        </w:rPr>
        <w:t xml:space="preserve">, </w:t>
      </w:r>
      <w:proofErr w:type="spellStart"/>
      <w:r>
        <w:rPr>
          <w:color w:val="000000"/>
          <w:shd w:val="clear" w:color="auto" w:fill="FFFFFF"/>
        </w:rPr>
        <w:t>Pfrozheim</w:t>
      </w:r>
      <w:proofErr w:type="spellEnd"/>
      <w:r>
        <w:rPr>
          <w:color w:val="000000"/>
          <w:shd w:val="clear" w:color="auto" w:fill="FFFFFF"/>
        </w:rPr>
        <w:t>, Germany)</w:t>
      </w:r>
      <w:r w:rsidR="25BAC548">
        <w:rPr>
          <w:color w:val="000000"/>
          <w:shd w:val="clear" w:color="auto" w:fill="FFFFFF"/>
        </w:rPr>
        <w:t>;</w:t>
      </w:r>
      <w:r w:rsidR="45F93435">
        <w:rPr>
          <w:color w:val="000000"/>
          <w:shd w:val="clear" w:color="auto" w:fill="FFFFFF"/>
        </w:rPr>
        <w:t xml:space="preserve"> scans were acquired at the 4 and 66% sites of the radius, and at the 4 and 38% sites of the tibia. </w:t>
      </w:r>
      <w:r w:rsidR="44A62420">
        <w:rPr>
          <w:color w:val="000000"/>
          <w:shd w:val="clear" w:color="auto" w:fill="FFFFFF"/>
        </w:rPr>
        <w:t>M</w:t>
      </w:r>
      <w:r w:rsidR="32D7BE93">
        <w:rPr>
          <w:color w:val="000000"/>
          <w:shd w:val="clear" w:color="auto" w:fill="FFFFFF"/>
        </w:rPr>
        <w:t xml:space="preserve">uscle density was </w:t>
      </w:r>
      <w:r>
        <w:rPr>
          <w:color w:val="000000"/>
          <w:shd w:val="clear" w:color="auto" w:fill="FFFFFF"/>
        </w:rPr>
        <w:t xml:space="preserve">derived </w:t>
      </w:r>
      <w:r w:rsidR="32D7BE93">
        <w:rPr>
          <w:color w:val="000000"/>
          <w:shd w:val="clear" w:color="auto" w:fill="FFFFFF"/>
        </w:rPr>
        <w:t xml:space="preserve">at the 66% site </w:t>
      </w:r>
      <w:r w:rsidR="32D7BE93" w:rsidRPr="4076E5A1">
        <w:rPr>
          <w:color w:val="000000" w:themeColor="text1"/>
        </w:rPr>
        <w:t xml:space="preserve">on the non-dominant side </w:t>
      </w:r>
      <w:r w:rsidR="32D7BE93">
        <w:rPr>
          <w:color w:val="000000"/>
          <w:shd w:val="clear" w:color="auto" w:fill="FFFFFF"/>
        </w:rPr>
        <w:t xml:space="preserve">using standard </w:t>
      </w:r>
      <w:r w:rsidR="00A657B7">
        <w:rPr>
          <w:color w:val="000000"/>
          <w:shd w:val="clear" w:color="auto" w:fill="FFFFFF"/>
        </w:rPr>
        <w:t xml:space="preserve">thresholds </w:t>
      </w:r>
      <w:r w:rsidR="00A657B7" w:rsidRPr="007E6B4A">
        <w:rPr>
          <w:color w:val="000000"/>
          <w:shd w:val="clear" w:color="auto" w:fill="FFFFFF"/>
        </w:rPr>
        <w:t>and</w:t>
      </w:r>
      <w:r w:rsidR="00A657B7" w:rsidRPr="007E6B4A">
        <w:rPr>
          <w:rFonts w:cstheme="minorHAnsi"/>
          <w:color w:val="242424"/>
          <w:shd w:val="clear" w:color="auto" w:fill="FFFFFF"/>
        </w:rPr>
        <w:t xml:space="preserve"> calculated by dividing mass</w:t>
      </w:r>
      <w:r w:rsidR="00C17E6F">
        <w:rPr>
          <w:rFonts w:cstheme="minorHAnsi"/>
          <w:color w:val="242424"/>
          <w:shd w:val="clear" w:color="auto" w:fill="FFFFFF"/>
        </w:rPr>
        <w:t xml:space="preserve"> by</w:t>
      </w:r>
      <w:r w:rsidR="00A657B7" w:rsidRPr="007E6B4A">
        <w:rPr>
          <w:rFonts w:cstheme="minorHAnsi"/>
          <w:color w:val="242424"/>
          <w:shd w:val="clear" w:color="auto" w:fill="FFFFFF"/>
        </w:rPr>
        <w:t xml:space="preserve"> area</w:t>
      </w:r>
      <w:r w:rsidR="00A657B7" w:rsidRPr="007E6B4A">
        <w:rPr>
          <w:color w:val="000000"/>
          <w:shd w:val="clear" w:color="auto" w:fill="FFFFFF"/>
        </w:rPr>
        <w:t xml:space="preserve">; </w:t>
      </w:r>
      <w:r w:rsidR="00A657B7">
        <w:rPr>
          <w:color w:val="000000"/>
          <w:shd w:val="clear" w:color="auto" w:fill="FFFFFF"/>
        </w:rPr>
        <w:t>m</w:t>
      </w:r>
      <w:r w:rsidR="00A657B7">
        <w:rPr>
          <w:rFonts w:cstheme="minorHAnsi"/>
          <w:color w:val="242424"/>
          <w:shd w:val="clear" w:color="auto" w:fill="FFFFFF"/>
        </w:rPr>
        <w:t>uscle mass was obtained by calculating total area at C1P2, threshold -50, 41 mg/cm</w:t>
      </w:r>
      <w:r w:rsidR="00A657B7">
        <w:rPr>
          <w:rFonts w:cstheme="minorHAnsi"/>
          <w:color w:val="242424"/>
          <w:shd w:val="clear" w:color="auto" w:fill="FFFFFF"/>
          <w:vertAlign w:val="superscript"/>
        </w:rPr>
        <w:t>3</w:t>
      </w:r>
      <w:r w:rsidR="00A657B7">
        <w:rPr>
          <w:rFonts w:cstheme="minorHAnsi"/>
          <w:color w:val="242424"/>
          <w:shd w:val="clear" w:color="auto" w:fill="FFFFFF"/>
        </w:rPr>
        <w:t xml:space="preserve"> and muscle mass at a threshold of 100 mg/cm</w:t>
      </w:r>
      <w:r w:rsidR="00A657B7">
        <w:rPr>
          <w:rFonts w:cstheme="minorHAnsi"/>
          <w:color w:val="242424"/>
          <w:shd w:val="clear" w:color="auto" w:fill="FFFFFF"/>
          <w:vertAlign w:val="superscript"/>
        </w:rPr>
        <w:t>3</w:t>
      </w:r>
      <w:r w:rsidR="00A657B7">
        <w:rPr>
          <w:rFonts w:cstheme="minorHAnsi"/>
          <w:color w:val="242424"/>
          <w:shd w:val="clear" w:color="auto" w:fill="FFFFFF"/>
        </w:rPr>
        <w:t xml:space="preserve">, filer F03F05. </w:t>
      </w:r>
      <w:r w:rsidR="00A657B7" w:rsidRPr="007E6B4A">
        <w:rPr>
          <w:rFonts w:ascii="Calibri" w:eastAsia="Calibri" w:hAnsi="Calibri" w:cs="Calibri"/>
        </w:rPr>
        <w:t xml:space="preserve">All scans were checked for motion artefact by a trained observer. Additionally, scans were excluded if extreme outliers </w:t>
      </w:r>
      <w:r w:rsidR="00C17E6F">
        <w:rPr>
          <w:rFonts w:ascii="Calibri" w:eastAsia="Calibri" w:hAnsi="Calibri" w:cs="Calibri"/>
        </w:rPr>
        <w:t>were observed</w:t>
      </w:r>
      <w:r w:rsidR="32D7BE93">
        <w:rPr>
          <w:color w:val="000000"/>
          <w:shd w:val="clear" w:color="auto" w:fill="FFFFFF"/>
        </w:rPr>
        <w:t xml:space="preserve">. </w:t>
      </w:r>
      <w:r w:rsidR="44A62420">
        <w:t>B</w:t>
      </w:r>
      <w:r w:rsidR="1066683D">
        <w:t>one mineral density (B</w:t>
      </w:r>
      <w:r w:rsidR="44A62420">
        <w:t>MD</w:t>
      </w:r>
      <w:r w:rsidR="1066683D">
        <w:t>)</w:t>
      </w:r>
      <w:r w:rsidR="44A62420">
        <w:t xml:space="preserve"> of the total hip was assessed using DXA</w:t>
      </w:r>
      <w:r w:rsidR="3F0B015E">
        <w:t xml:space="preserve"> </w:t>
      </w:r>
      <w:r w:rsidR="3F0B015E" w:rsidRPr="00646464">
        <w:t>(Lunar Prodigy Advance DXA scanner GE Medical Systems</w:t>
      </w:r>
      <w:r>
        <w:t>, Waltham MA</w:t>
      </w:r>
      <w:r w:rsidR="3F0B015E" w:rsidRPr="00646464">
        <w:t xml:space="preserve">); the lowest value </w:t>
      </w:r>
      <w:r w:rsidR="1E8E50F7">
        <w:t xml:space="preserve">from the left and </w:t>
      </w:r>
      <w:r w:rsidR="1E8E50F7">
        <w:lastRenderedPageBreak/>
        <w:t xml:space="preserve">right side </w:t>
      </w:r>
      <w:r w:rsidR="3F0B015E" w:rsidRPr="00646464">
        <w:t>was used for analys</w:t>
      </w:r>
      <w:r w:rsidR="374EB0AD">
        <w:t>i</w:t>
      </w:r>
      <w:r w:rsidR="3F0B015E" w:rsidRPr="00646464">
        <w:t>s</w:t>
      </w:r>
      <w:r w:rsidR="1E8E50F7">
        <w:t>.</w:t>
      </w:r>
      <w:r w:rsidR="44A62420">
        <w:t xml:space="preserve"> </w:t>
      </w:r>
      <w:r>
        <w:t xml:space="preserve">Appendicular lean mass (ALM) </w:t>
      </w:r>
      <w:r w:rsidRPr="00243DF5">
        <w:t>was derived usin</w:t>
      </w:r>
      <w:r>
        <w:t xml:space="preserve">g the same DXA scanner and height was measured using a </w:t>
      </w:r>
      <w:r w:rsidR="00A657B7">
        <w:t>wall mounted</w:t>
      </w:r>
      <w:r w:rsidR="4076E5A1">
        <w:t xml:space="preserve"> SECA stadiometer</w:t>
      </w:r>
      <w:r>
        <w:t>; these measures were used to derive appendicular lean mass index (ALMi) as ALM (kg) divided by the square of height (m).</w:t>
      </w:r>
    </w:p>
    <w:p w14:paraId="30C4C183" w14:textId="427734FD" w:rsidR="00243DF5" w:rsidRDefault="00243DF5" w:rsidP="00BC5BDD">
      <w:pPr>
        <w:jc w:val="both"/>
      </w:pPr>
      <w:r w:rsidRPr="00243DF5">
        <w:t>Grip strength</w:t>
      </w:r>
      <w:r w:rsidR="00D64DF0">
        <w:t xml:space="preserve"> (kg)</w:t>
      </w:r>
      <w:r w:rsidRPr="00243DF5">
        <w:t xml:space="preserve"> was </w:t>
      </w:r>
      <w:r w:rsidR="00D64DF0">
        <w:t>measured</w:t>
      </w:r>
      <w:r w:rsidRPr="00243DF5">
        <w:t xml:space="preserve"> three times for each hand using a Jamar dynamometer</w:t>
      </w:r>
      <w:r w:rsidR="00D64DF0">
        <w:t xml:space="preserve"> (Promedics, Blackburn)</w:t>
      </w:r>
      <w:r w:rsidRPr="00243DF5">
        <w:t xml:space="preserve">; the highest measurement was used for analysis. </w:t>
      </w:r>
      <w:r>
        <w:t>M</w:t>
      </w:r>
      <w:r w:rsidRPr="00243DF5">
        <w:t xml:space="preserve">ean customary </w:t>
      </w:r>
      <w:r w:rsidR="003C1320">
        <w:t>gait</w:t>
      </w:r>
      <w:r w:rsidR="003C1320" w:rsidRPr="00243DF5">
        <w:t xml:space="preserve"> </w:t>
      </w:r>
      <w:r w:rsidRPr="00243DF5">
        <w:t xml:space="preserve">speed in metres per second was </w:t>
      </w:r>
      <w:r w:rsidR="00D64DF0">
        <w:t xml:space="preserve">calculated after </w:t>
      </w:r>
      <w:r w:rsidRPr="00243DF5">
        <w:t xml:space="preserve">two 8ft </w:t>
      </w:r>
      <w:r w:rsidR="00CB5895">
        <w:t>walking exercises</w:t>
      </w:r>
      <w:r>
        <w:t xml:space="preserve">. </w:t>
      </w:r>
    </w:p>
    <w:p w14:paraId="688582D5" w14:textId="2707C369" w:rsidR="005E7005" w:rsidRPr="005E7005" w:rsidRDefault="79600936" w:rsidP="00BC5BDD">
      <w:pPr>
        <w:jc w:val="both"/>
      </w:pPr>
      <w:r>
        <w:t>Participants were asked the following through nurse-administered questionnaires: ‘Have you had any falls since the age of 45 years?’ and ‘Have you broken any bones since the age of 45 years?’.</w:t>
      </w:r>
      <w:r w:rsidR="44A62420">
        <w:t xml:space="preserve"> </w:t>
      </w:r>
      <w:r w:rsidR="1E8E50F7">
        <w:t xml:space="preserve">Morphometric vertebral fractures were diagnosed from a lateral spine view imaged using the </w:t>
      </w:r>
      <w:r w:rsidR="73C6A999">
        <w:t xml:space="preserve">Prodigy </w:t>
      </w:r>
      <w:r w:rsidR="1E8E50F7">
        <w:t>DXA scanner and graded based on the Genant semi-quantitative method of vertebral fracture assessment</w:t>
      </w:r>
      <w:r w:rsidR="747E243A">
        <w:t xml:space="preserve"> </w:t>
      </w:r>
      <w:r w:rsidR="73C6A999">
        <w:t xml:space="preserve">by two trained independent observers </w:t>
      </w:r>
      <w:r w:rsidR="00243DF5">
        <w:fldChar w:fldCharType="begin" w:fldLock="1"/>
      </w:r>
      <w:r w:rsidR="00AC1341">
        <w:instrText>ADDIN CSL_CITATION {"citationItems":[{"id":"ITEM-1","itemData":{"DOI":"10.1002/JBMR.5650080915","ISSN":"15234681","PMID":"8237484","abstract":"The assessment of vertebral fracture by conventional radiography has been refined and improved using either semiquantitative or quantitative criteria. The inter‐ and intraobserver variability was determined for a semiquantitative visual approach that we routinely use in clinical studies for assessing prevalent and incident vertebral fractures. In addition, the semiquantitative approach was compared with a quantitative morpho‐metric approach. The incidence and prevalence of vertebral fractures were determined in 57 postmenopausal women (age 65–75 years) by three independent observers. The radiographic basis for fracture definitions and the source of interpretative errors are illustrated. The results show excellent intraobserver agreement and good interobserver agreement for the semiquantitative technique. We conclude that the semiquantitative approach can be applied reliably in vertebral fracture assessment when performed using well‐defined criteria. Copyright © 1993 ASBMR","author":[{"dropping-particle":"","family":"Genant","given":"Harry K.","non-dropping-particle":"","parse-names":false,"suffix":""},{"dropping-particle":"","family":"Wu","given":"Chun Y.","non-dropping-particle":"","parse-names":false,"suffix":""},{"dropping-particle":"","family":"Kuijk","given":"Cornelis","non-dropping-particle":"van","parse-names":false,"suffix":""},{"dropping-particle":"","family":"Nevitt","given":"Michael C.","non-dropping-particle":"","parse-names":false,"suffix":""}],"container-title":"Journal of Bone and Mineral Research","id":"ITEM-1","issue":"9","issued":{"date-parts":[["1993"]]},"page":"1137-1148","title":"Vertebral fracture assessment using a semiquantitative technique","type":"article-journal","volume":"8"},"uris":["http://www.mendeley.com/documents/?uuid=28b55214-682f-4d9e-83b1-42a079ec2e2d"]}],"mendeley":{"formattedCitation":"(31)","plainTextFormattedCitation":"(31)","previouslyFormattedCitation":"(31)"},"properties":{"noteIndex":0},"schema":"https://github.com/citation-style-language/schema/raw/master/csl-citation.json"}</w:instrText>
      </w:r>
      <w:r w:rsidR="00243DF5">
        <w:fldChar w:fldCharType="separate"/>
      </w:r>
      <w:r w:rsidR="00A657B7" w:rsidRPr="00A657B7">
        <w:rPr>
          <w:noProof/>
        </w:rPr>
        <w:t>(31)</w:t>
      </w:r>
      <w:r w:rsidR="00243DF5">
        <w:fldChar w:fldCharType="end"/>
      </w:r>
      <w:r w:rsidR="1E8E50F7">
        <w:t>. Participants with a vertebral fracture or a self-reported fracture since age 45 years were regarded as having had a previous fracture.</w:t>
      </w:r>
    </w:p>
    <w:p w14:paraId="4007FA7E" w14:textId="6979A204" w:rsidR="00DA1521" w:rsidRDefault="00DA1521" w:rsidP="00BC5BDD">
      <w:pPr>
        <w:pStyle w:val="Heading2"/>
        <w:jc w:val="both"/>
      </w:pPr>
      <w:r>
        <w:t>Statistical analysis</w:t>
      </w:r>
    </w:p>
    <w:p w14:paraId="59078532" w14:textId="3DF77AF2" w:rsidR="005E7005" w:rsidRDefault="44A62420" w:rsidP="00BC5BDD">
      <w:pPr>
        <w:jc w:val="both"/>
      </w:pPr>
      <w:r>
        <w:t>Participant characteristics were described using summary statistics. Standard deviation (SD) scores were derived for continuous baseline characteristics and the muscle density outcomes to enable comparison of effect sizes. For each participant, follow-up time was calculated as the duration from the study baseline (1998-2004) to when the muscle density measures were ascertained at the 2011-2012 follow-up.</w:t>
      </w:r>
    </w:p>
    <w:p w14:paraId="7ABECCA3" w14:textId="1F880456" w:rsidR="005E7005" w:rsidRDefault="44A62420" w:rsidP="00BC5BDD">
      <w:pPr>
        <w:jc w:val="both"/>
      </w:pPr>
      <w:r>
        <w:t xml:space="preserve">Baseline characteristics in relation to muscle density outcomes at follow up were examined separately using linear regression. Sex, baseline age and follow-up time were included as covariates in all models. </w:t>
      </w:r>
    </w:p>
    <w:p w14:paraId="56F35A5F" w14:textId="436B80CE" w:rsidR="005E7005" w:rsidRDefault="44A62420" w:rsidP="00BC5BDD">
      <w:pPr>
        <w:jc w:val="both"/>
      </w:pPr>
      <w:r>
        <w:t xml:space="preserve">Pearson correlations were used to examine </w:t>
      </w:r>
      <w:r w:rsidR="35AD3C13">
        <w:t>muscle density measures in relation to ALM index, grip strength, gait speed and total hip BMD</w:t>
      </w:r>
      <w:r>
        <w:t xml:space="preserve">. </w:t>
      </w:r>
    </w:p>
    <w:p w14:paraId="4EB5A450" w14:textId="736E3B57" w:rsidR="005E7005" w:rsidRDefault="35AD3C13" w:rsidP="00BC5BDD">
      <w:pPr>
        <w:jc w:val="both"/>
      </w:pPr>
      <w:r>
        <w:t>Muscle density measures in relation to falls and fractures since age 45 years were examined using logistic regression</w:t>
      </w:r>
      <w:r w:rsidR="68EC5323">
        <w:t xml:space="preserve"> with adjustment for sex and age and then additionally for total hip BMD.</w:t>
      </w:r>
    </w:p>
    <w:p w14:paraId="64348D5F" w14:textId="0BCDFEBF" w:rsidR="005E7005" w:rsidRDefault="44A62420" w:rsidP="00BC5BDD">
      <w:pPr>
        <w:jc w:val="both"/>
      </w:pPr>
      <w:r>
        <w:t>Analyses were conducted using Stata, release 16.1</w:t>
      </w:r>
      <w:r w:rsidR="13E776D3">
        <w:t xml:space="preserve"> (</w:t>
      </w:r>
      <w:proofErr w:type="spellStart"/>
      <w:r w:rsidR="00B850A0" w:rsidRPr="00B850A0">
        <w:t>StataCorp</w:t>
      </w:r>
      <w:proofErr w:type="spellEnd"/>
      <w:r w:rsidR="00B850A0" w:rsidRPr="00B850A0">
        <w:t>, College Station,</w:t>
      </w:r>
      <w:r w:rsidR="00B850A0">
        <w:t xml:space="preserve"> </w:t>
      </w:r>
      <w:r w:rsidR="13E776D3">
        <w:t>Texas, USA)</w:t>
      </w:r>
      <w:r>
        <w:t>. The analysis sample comprised the 375 participants who had values for forearm or calf muscle density.</w:t>
      </w:r>
      <w:r w:rsidR="1E8E50F7">
        <w:t xml:space="preserve"> To maintain sample size, males and females were pooled for analyses (sex-interaction effects were examined) and analyses were adjusted for sex; p&lt;0.05 was regarded as statistically significant.</w:t>
      </w:r>
    </w:p>
    <w:p w14:paraId="593247FC" w14:textId="0C52EC01" w:rsidR="004E4250" w:rsidRDefault="004E4250" w:rsidP="00BC5BDD">
      <w:pPr>
        <w:jc w:val="both"/>
      </w:pPr>
      <w:r>
        <w:br w:type="page"/>
      </w:r>
    </w:p>
    <w:p w14:paraId="1FC58EBC" w14:textId="671225F8" w:rsidR="004E4250" w:rsidRDefault="004E4250" w:rsidP="00BC5BDD">
      <w:pPr>
        <w:pStyle w:val="Heading1"/>
        <w:jc w:val="both"/>
      </w:pPr>
      <w:r>
        <w:lastRenderedPageBreak/>
        <w:t>Results</w:t>
      </w:r>
    </w:p>
    <w:p w14:paraId="3E4778FB" w14:textId="1B8845EF" w:rsidR="002B214A" w:rsidRPr="002B214A" w:rsidRDefault="005867EE" w:rsidP="00BC5BDD">
      <w:pPr>
        <w:pStyle w:val="Heading2"/>
        <w:jc w:val="both"/>
      </w:pPr>
      <w:r>
        <w:t>Participant</w:t>
      </w:r>
      <w:r w:rsidR="002B214A">
        <w:t xml:space="preserve"> </w:t>
      </w:r>
      <w:r w:rsidR="001B6585">
        <w:t xml:space="preserve">characteristics </w:t>
      </w:r>
    </w:p>
    <w:p w14:paraId="1949BE21" w14:textId="43886B51" w:rsidR="005E7005" w:rsidRDefault="44A62420" w:rsidP="00BC5BDD">
      <w:pPr>
        <w:jc w:val="both"/>
      </w:pPr>
      <w:r>
        <w:t xml:space="preserve">Characteristics of the 375 participants (197 </w:t>
      </w:r>
      <w:r w:rsidR="6F8132F3">
        <w:t>males</w:t>
      </w:r>
      <w:r>
        <w:t xml:space="preserve">, 178 </w:t>
      </w:r>
      <w:r w:rsidR="6F8132F3">
        <w:t>females</w:t>
      </w:r>
      <w:r>
        <w:t xml:space="preserve">) who were included in the analysis are presented in </w:t>
      </w:r>
      <w:r w:rsidR="005E7005">
        <w:fldChar w:fldCharType="begin"/>
      </w:r>
      <w:r w:rsidR="005E7005">
        <w:instrText xml:space="preserve"> REF _Ref86680507 \h  \* MERGEFORMAT </w:instrText>
      </w:r>
      <w:r w:rsidR="005E7005">
        <w:fldChar w:fldCharType="separate"/>
      </w:r>
      <w:r w:rsidR="747E243A" w:rsidRPr="4076E5A1">
        <w:rPr>
          <w:sz w:val="22"/>
        </w:rPr>
        <w:t xml:space="preserve">Table </w:t>
      </w:r>
      <w:r w:rsidR="747E243A" w:rsidRPr="4076E5A1">
        <w:rPr>
          <w:noProof/>
          <w:sz w:val="22"/>
        </w:rPr>
        <w:t>1</w:t>
      </w:r>
      <w:r w:rsidR="005E7005">
        <w:fldChar w:fldCharType="end"/>
      </w:r>
      <w:r>
        <w:t xml:space="preserve">. Mean (SD) age at baseline was </w:t>
      </w:r>
      <w:r w:rsidRPr="00E34351">
        <w:t>64.7 (2.7)</w:t>
      </w:r>
      <w:r>
        <w:t xml:space="preserve"> years and median (lower quartile, upper quartile) follow-up was </w:t>
      </w:r>
      <w:r w:rsidRPr="00E34351">
        <w:t>11.5 (10.9, 12.3)</w:t>
      </w:r>
      <w:r>
        <w:t xml:space="preserve"> years. Mean (SD) muscle density values (mg/cm</w:t>
      </w:r>
      <w:r w:rsidRPr="4076E5A1">
        <w:rPr>
          <w:vertAlign w:val="superscript"/>
        </w:rPr>
        <w:t>3</w:t>
      </w:r>
      <w:r>
        <w:t>)</w:t>
      </w:r>
      <w:r w:rsidR="0CBD105C">
        <w:t xml:space="preserve"> </w:t>
      </w:r>
      <w:r>
        <w:t>were as follows: forearm [</w:t>
      </w:r>
      <w:r w:rsidR="6F8132F3">
        <w:t>males</w:t>
      </w:r>
      <w:r>
        <w:t xml:space="preserve"> 79.9 (3.1), </w:t>
      </w:r>
      <w:r w:rsidR="6F8132F3">
        <w:t>females</w:t>
      </w:r>
      <w:r>
        <w:t xml:space="preserve"> 77.2 (3.2)], calf [</w:t>
      </w:r>
      <w:r w:rsidR="6F8132F3">
        <w:t>males</w:t>
      </w:r>
      <w:r>
        <w:t xml:space="preserve"> 80.7 (2.6), </w:t>
      </w:r>
      <w:r w:rsidR="6F8132F3">
        <w:t>females</w:t>
      </w:r>
      <w:r>
        <w:t xml:space="preserve"> 78.5 (2.6)].</w:t>
      </w:r>
      <w:r w:rsidR="79600936">
        <w:t xml:space="preserve"> Pearson correlations between calf and forearm muscle density were </w:t>
      </w:r>
      <w:r w:rsidR="79600936" w:rsidRPr="00D948E8">
        <w:t>0.13 (p=0.070) among men and 0.23 (p=0.002) among women</w:t>
      </w:r>
      <w:r w:rsidR="79600936">
        <w:t xml:space="preserve"> (data not shown).</w:t>
      </w:r>
    </w:p>
    <w:p w14:paraId="0C0B9C86" w14:textId="1159AECA" w:rsidR="005F4CC5" w:rsidRPr="005F4CC5" w:rsidRDefault="00751672" w:rsidP="005F4CC5">
      <w:r>
        <w:t>Males</w:t>
      </w:r>
      <w:r w:rsidR="005E7005">
        <w:t xml:space="preserve">, as expected, were taller at baseline (mean [SD] height: </w:t>
      </w:r>
      <w:r>
        <w:t>males</w:t>
      </w:r>
      <w:r w:rsidR="005E7005">
        <w:t xml:space="preserve"> 174.6 [6.7] cm, </w:t>
      </w:r>
      <w:r>
        <w:t>females</w:t>
      </w:r>
      <w:r w:rsidR="005E7005">
        <w:t xml:space="preserve"> 161.9 [5.4] cm) and heavier (mean [SD] weight was 79.9 [10.1] kg among </w:t>
      </w:r>
      <w:r>
        <w:t>males</w:t>
      </w:r>
      <w:r w:rsidR="005E7005">
        <w:t xml:space="preserve">, 69.6 [12.2] kg among </w:t>
      </w:r>
      <w:r>
        <w:t>females</w:t>
      </w:r>
      <w:r w:rsidR="005E7005">
        <w:t xml:space="preserve">). </w:t>
      </w:r>
      <w:r w:rsidR="00C45647">
        <w:t>Over h</w:t>
      </w:r>
      <w:r w:rsidR="005E7005">
        <w:t xml:space="preserve">alf of </w:t>
      </w:r>
      <w:r>
        <w:t>males</w:t>
      </w:r>
      <w:r w:rsidR="005E7005">
        <w:t xml:space="preserve"> (n=115, 58.4%) and a third of </w:t>
      </w:r>
      <w:r>
        <w:t>females</w:t>
      </w:r>
      <w:r w:rsidR="005E7005">
        <w:t xml:space="preserve"> (n=62, 34.8%) were identified as current or previous smokers. Only 48 (24.4%) </w:t>
      </w:r>
      <w:r>
        <w:t>males</w:t>
      </w:r>
      <w:r w:rsidR="005E7005">
        <w:t xml:space="preserve"> and 3 (1.7%) </w:t>
      </w:r>
      <w:r>
        <w:t>females</w:t>
      </w:r>
      <w:r w:rsidR="005E7005">
        <w:t xml:space="preserve"> had high alcohol consumption</w:t>
      </w:r>
      <w:r w:rsidR="005E7005" w:rsidRPr="00936B0D">
        <w:t xml:space="preserve"> </w:t>
      </w:r>
      <w:r w:rsidR="005E7005">
        <w:t>(</w:t>
      </w:r>
      <w:r w:rsidR="005E7005" w:rsidRPr="00936B0D">
        <w:t>&gt;21</w:t>
      </w:r>
      <w:r w:rsidR="005E7005">
        <w:t xml:space="preserve"> units per week for </w:t>
      </w:r>
      <w:r>
        <w:t>males</w:t>
      </w:r>
      <w:r w:rsidR="005E7005">
        <w:t xml:space="preserve"> or &gt;</w:t>
      </w:r>
      <w:r w:rsidR="00C45647">
        <w:t xml:space="preserve">14 </w:t>
      </w:r>
      <w:r w:rsidR="005E7005">
        <w:t xml:space="preserve">units per week for </w:t>
      </w:r>
      <w:r>
        <w:t>females</w:t>
      </w:r>
      <w:r w:rsidR="005E7005">
        <w:t xml:space="preserve">). 55.6% (n=105) of </w:t>
      </w:r>
      <w:r>
        <w:t>males</w:t>
      </w:r>
      <w:r w:rsidR="005E7005">
        <w:t xml:space="preserve"> and 56.7% (n=101) of </w:t>
      </w:r>
      <w:r>
        <w:t>females</w:t>
      </w:r>
      <w:r w:rsidR="005E7005">
        <w:t xml:space="preserve"> </w:t>
      </w:r>
      <w:r w:rsidR="005E7005">
        <w:rPr>
          <w:color w:val="000000"/>
          <w:shd w:val="clear" w:color="auto" w:fill="FFFFFF"/>
        </w:rPr>
        <w:t>were of manual social class.</w:t>
      </w:r>
      <w:r w:rsidR="005E7005" w:rsidRPr="00D85A42">
        <w:rPr>
          <w:color w:val="000000"/>
          <w:shd w:val="clear" w:color="auto" w:fill="FFFFFF"/>
        </w:rPr>
        <w:t xml:space="preserve"> </w:t>
      </w:r>
      <w:r w:rsidR="005E7005">
        <w:rPr>
          <w:color w:val="000000"/>
          <w:shd w:val="clear" w:color="auto" w:fill="FFFFFF"/>
        </w:rPr>
        <w:t xml:space="preserve">On average, </w:t>
      </w:r>
      <w:r w:rsidR="00134F86">
        <w:rPr>
          <w:color w:val="000000"/>
          <w:shd w:val="clear" w:color="auto" w:fill="FFFFFF"/>
        </w:rPr>
        <w:t>females</w:t>
      </w:r>
      <w:r w:rsidR="005E7005">
        <w:rPr>
          <w:color w:val="000000"/>
          <w:shd w:val="clear" w:color="auto" w:fill="FFFFFF"/>
        </w:rPr>
        <w:t xml:space="preserve"> had higher diet quality scores compared with </w:t>
      </w:r>
      <w:r w:rsidR="00134F86">
        <w:rPr>
          <w:color w:val="000000"/>
          <w:shd w:val="clear" w:color="auto" w:fill="FFFFFF"/>
        </w:rPr>
        <w:t>males</w:t>
      </w:r>
      <w:r w:rsidR="005E7005">
        <w:rPr>
          <w:color w:val="000000"/>
          <w:shd w:val="clear" w:color="auto" w:fill="FFFFFF"/>
        </w:rPr>
        <w:t xml:space="preserve"> (</w:t>
      </w:r>
      <w:r w:rsidR="00C45647">
        <w:rPr>
          <w:color w:val="000000"/>
          <w:shd w:val="clear" w:color="auto" w:fill="FFFFFF"/>
        </w:rPr>
        <w:t xml:space="preserve">mean </w:t>
      </w:r>
      <w:r w:rsidR="005E7005">
        <w:rPr>
          <w:color w:val="000000"/>
          <w:shd w:val="clear" w:color="auto" w:fill="FFFFFF"/>
        </w:rPr>
        <w:t>prudent diet score 1.0 vs -0.6</w:t>
      </w:r>
      <w:r w:rsidR="00134F86">
        <w:rPr>
          <w:color w:val="000000"/>
          <w:shd w:val="clear" w:color="auto" w:fill="FFFFFF"/>
        </w:rPr>
        <w:t xml:space="preserve">) and </w:t>
      </w:r>
      <w:r>
        <w:rPr>
          <w:color w:val="000000"/>
          <w:shd w:val="clear" w:color="auto" w:fill="FFFFFF"/>
        </w:rPr>
        <w:t>lower</w:t>
      </w:r>
      <w:r w:rsidR="00134F86">
        <w:rPr>
          <w:color w:val="000000"/>
          <w:shd w:val="clear" w:color="auto" w:fill="FFFFFF"/>
        </w:rPr>
        <w:t xml:space="preserve"> </w:t>
      </w:r>
      <w:r w:rsidR="005E7005">
        <w:rPr>
          <w:color w:val="000000"/>
          <w:shd w:val="clear" w:color="auto" w:fill="FFFFFF"/>
        </w:rPr>
        <w:t xml:space="preserve">physical activity </w:t>
      </w:r>
      <w:r w:rsidR="00134F86">
        <w:rPr>
          <w:color w:val="000000"/>
          <w:shd w:val="clear" w:color="auto" w:fill="FFFFFF"/>
        </w:rPr>
        <w:t xml:space="preserve">levels </w:t>
      </w:r>
      <w:r w:rsidR="005E7005">
        <w:rPr>
          <w:color w:val="000000"/>
          <w:shd w:val="clear" w:color="auto" w:fill="FFFFFF"/>
        </w:rPr>
        <w:t>(</w:t>
      </w:r>
      <w:r w:rsidR="00C45647">
        <w:rPr>
          <w:color w:val="000000"/>
          <w:shd w:val="clear" w:color="auto" w:fill="FFFFFF"/>
        </w:rPr>
        <w:t xml:space="preserve">mean </w:t>
      </w:r>
      <w:r w:rsidR="005E7005">
        <w:rPr>
          <w:color w:val="000000"/>
          <w:shd w:val="clear" w:color="auto" w:fill="FFFFFF"/>
        </w:rPr>
        <w:t xml:space="preserve">Dallosso activity score was </w:t>
      </w:r>
      <w:r w:rsidR="00C45647" w:rsidRPr="00C45647">
        <w:rPr>
          <w:color w:val="000000"/>
          <w:shd w:val="clear" w:color="auto" w:fill="FFFFFF"/>
        </w:rPr>
        <w:t>65.6</w:t>
      </w:r>
      <w:r w:rsidR="005E7005">
        <w:rPr>
          <w:color w:val="000000"/>
          <w:shd w:val="clear" w:color="auto" w:fill="FFFFFF"/>
        </w:rPr>
        <w:t xml:space="preserve"> in </w:t>
      </w:r>
      <w:r>
        <w:rPr>
          <w:color w:val="000000"/>
          <w:shd w:val="clear" w:color="auto" w:fill="FFFFFF"/>
        </w:rPr>
        <w:t>males</w:t>
      </w:r>
      <w:r w:rsidR="005E7005">
        <w:rPr>
          <w:color w:val="000000"/>
          <w:shd w:val="clear" w:color="auto" w:fill="FFFFFF"/>
        </w:rPr>
        <w:t xml:space="preserve"> and </w:t>
      </w:r>
      <w:r w:rsidR="00C45647" w:rsidRPr="00C45647">
        <w:rPr>
          <w:color w:val="000000"/>
          <w:shd w:val="clear" w:color="auto" w:fill="FFFFFF"/>
        </w:rPr>
        <w:t xml:space="preserve">62.1 </w:t>
      </w:r>
      <w:r w:rsidR="005E7005">
        <w:rPr>
          <w:color w:val="000000"/>
          <w:shd w:val="clear" w:color="auto" w:fill="FFFFFF"/>
        </w:rPr>
        <w:t xml:space="preserve">in </w:t>
      </w:r>
      <w:r>
        <w:rPr>
          <w:color w:val="000000"/>
          <w:shd w:val="clear" w:color="auto" w:fill="FFFFFF"/>
        </w:rPr>
        <w:t>females</w:t>
      </w:r>
      <w:r w:rsidR="005E7005">
        <w:rPr>
          <w:color w:val="000000"/>
          <w:shd w:val="clear" w:color="auto" w:fill="FFFFFF"/>
        </w:rPr>
        <w:t>).</w:t>
      </w:r>
      <w:r w:rsidR="00857ECB">
        <w:rPr>
          <w:color w:val="000000"/>
          <w:shd w:val="clear" w:color="auto" w:fill="FFFFFF"/>
        </w:rPr>
        <w:t xml:space="preserve"> </w:t>
      </w:r>
      <w:r w:rsidR="005F4CC5" w:rsidRPr="009E3CF4">
        <w:t>Overall, 117 (59.4%) males and 83 (46.6%) females had less than the recommended protein intake of 1.2 g/kg/day at the HCS baseline stage (1998-2004). This reflects dietary protein intake from food only.</w:t>
      </w:r>
    </w:p>
    <w:p w14:paraId="2326F99F" w14:textId="77777777" w:rsidR="005A1C79" w:rsidRDefault="44A62420" w:rsidP="00BC5BDD">
      <w:pPr>
        <w:jc w:val="both"/>
      </w:pPr>
      <w:r>
        <w:t xml:space="preserve">46 (25.7%) </w:t>
      </w:r>
      <w:r w:rsidR="6F8132F3">
        <w:t>males</w:t>
      </w:r>
      <w:r>
        <w:t xml:space="preserve"> and 51 (30.9%) </w:t>
      </w:r>
      <w:r w:rsidR="6F8132F3">
        <w:t>females</w:t>
      </w:r>
      <w:r>
        <w:t xml:space="preserve"> self-reported fracture</w:t>
      </w:r>
      <w:r w:rsidR="68EC5323">
        <w:t>s</w:t>
      </w:r>
      <w:r>
        <w:t xml:space="preserve"> since the age of 45 years or had documented vertebral fracture</w:t>
      </w:r>
      <w:r w:rsidR="68EC5323">
        <w:t>s</w:t>
      </w:r>
      <w:r>
        <w:t>.</w:t>
      </w:r>
      <w:r w:rsidR="14F6E157">
        <w:t xml:space="preserve"> </w:t>
      </w:r>
      <w:r>
        <w:t xml:space="preserve">103 (56.6%) </w:t>
      </w:r>
      <w:r w:rsidR="6F8132F3">
        <w:t>males</w:t>
      </w:r>
      <w:r>
        <w:t xml:space="preserve"> and 119 (72.1%) </w:t>
      </w:r>
      <w:r w:rsidR="6F8132F3">
        <w:t>females</w:t>
      </w:r>
      <w:r>
        <w:t xml:space="preserve"> self-reported falls since the age of 45 years. </w:t>
      </w:r>
    </w:p>
    <w:p w14:paraId="55CD9B92" w14:textId="02DAE1EE" w:rsidR="79600936" w:rsidRDefault="79600936" w:rsidP="79600936">
      <w:pPr>
        <w:jc w:val="both"/>
        <w:sectPr w:rsidR="79600936">
          <w:pgSz w:w="11906" w:h="16838"/>
          <w:pgMar w:top="1440" w:right="1440" w:bottom="1440" w:left="1440" w:header="708" w:footer="708" w:gutter="0"/>
          <w:cols w:space="708"/>
          <w:docGrid w:linePitch="360"/>
        </w:sectPr>
      </w:pPr>
      <w:r>
        <w:t>Sex-interaction effects were not statistically significant in any of the regression models fitted; sex-adjusted analyses were therefore performed among the pooled sample of men and women.</w:t>
      </w:r>
    </w:p>
    <w:p w14:paraId="0DBC4FB1" w14:textId="77777777" w:rsidR="005A1C79" w:rsidRPr="000D0402" w:rsidRDefault="005A1C79" w:rsidP="005A1C79">
      <w:pPr>
        <w:pStyle w:val="Caption"/>
        <w:keepNext/>
        <w:rPr>
          <w:szCs w:val="22"/>
        </w:rPr>
      </w:pPr>
      <w:bookmarkStart w:id="1" w:name="_Ref86680507"/>
      <w:r w:rsidRPr="000D0402">
        <w:rPr>
          <w:szCs w:val="22"/>
        </w:rPr>
        <w:lastRenderedPageBreak/>
        <w:t xml:space="preserve">Table </w:t>
      </w:r>
      <w:r w:rsidRPr="000D0402">
        <w:rPr>
          <w:noProof/>
          <w:szCs w:val="22"/>
        </w:rPr>
        <w:fldChar w:fldCharType="begin"/>
      </w:r>
      <w:r w:rsidRPr="000D0402">
        <w:rPr>
          <w:noProof/>
          <w:szCs w:val="22"/>
        </w:rPr>
        <w:instrText xml:space="preserve"> SEQ Table \* ARABIC </w:instrText>
      </w:r>
      <w:r w:rsidRPr="000D0402">
        <w:rPr>
          <w:noProof/>
          <w:szCs w:val="22"/>
        </w:rPr>
        <w:fldChar w:fldCharType="separate"/>
      </w:r>
      <w:r>
        <w:rPr>
          <w:noProof/>
          <w:szCs w:val="22"/>
        </w:rPr>
        <w:t>1</w:t>
      </w:r>
      <w:r w:rsidRPr="000D0402">
        <w:rPr>
          <w:noProof/>
          <w:szCs w:val="22"/>
        </w:rPr>
        <w:fldChar w:fldCharType="end"/>
      </w:r>
      <w:bookmarkEnd w:id="1"/>
      <w:r w:rsidRPr="000D0402">
        <w:rPr>
          <w:szCs w:val="22"/>
        </w:rPr>
        <w:t>: Characteristics of the 375 participants who were included in the analysis sample</w:t>
      </w:r>
    </w:p>
    <w:tbl>
      <w:tblPr>
        <w:tblW w:w="7938" w:type="dxa"/>
        <w:tblInd w:w="5" w:type="dxa"/>
        <w:tblLayout w:type="fixed"/>
        <w:tblLook w:val="04A0" w:firstRow="1" w:lastRow="0" w:firstColumn="1" w:lastColumn="0" w:noHBand="0" w:noVBand="1"/>
      </w:tblPr>
      <w:tblGrid>
        <w:gridCol w:w="4253"/>
        <w:gridCol w:w="1701"/>
        <w:gridCol w:w="1984"/>
      </w:tblGrid>
      <w:tr w:rsidR="005A1C79" w:rsidRPr="00FB0B1B" w14:paraId="47DEC672" w14:textId="77777777" w:rsidTr="3BF03DB3">
        <w:trPr>
          <w:trHeight w:val="586"/>
        </w:trPr>
        <w:tc>
          <w:tcPr>
            <w:tcW w:w="4253" w:type="dxa"/>
            <w:vMerge w:val="restart"/>
            <w:tcBorders>
              <w:top w:val="single" w:sz="4" w:space="0" w:color="auto"/>
              <w:left w:val="nil"/>
              <w:bottom w:val="nil"/>
              <w:right w:val="nil"/>
            </w:tcBorders>
            <w:shd w:val="clear" w:color="auto" w:fill="auto"/>
            <w:noWrap/>
            <w:vAlign w:val="center"/>
          </w:tcPr>
          <w:p w14:paraId="0C4A03DC" w14:textId="77777777" w:rsidR="005A1C79" w:rsidRPr="00FB0B1B" w:rsidRDefault="005A1C79" w:rsidP="00413BF8">
            <w:pPr>
              <w:spacing w:after="0" w:line="240" w:lineRule="auto"/>
              <w:rPr>
                <w:rFonts w:ascii="Calibri" w:eastAsia="Times New Roman" w:hAnsi="Calibri" w:cs="Calibri"/>
                <w:b/>
                <w:i/>
                <w:color w:val="000000"/>
                <w:sz w:val="22"/>
                <w:lang w:eastAsia="en-GB"/>
              </w:rPr>
            </w:pPr>
            <w:r w:rsidRPr="00FC6C53">
              <w:rPr>
                <w:rFonts w:ascii="Calibri" w:eastAsia="Times New Roman" w:hAnsi="Calibri" w:cs="Calibri"/>
                <w:b/>
                <w:bCs/>
                <w:color w:val="000000"/>
                <w:sz w:val="22"/>
                <w:lang w:eastAsia="en-GB"/>
              </w:rPr>
              <w:t>Participant characteristic</w:t>
            </w:r>
          </w:p>
        </w:tc>
        <w:tc>
          <w:tcPr>
            <w:tcW w:w="3685" w:type="dxa"/>
            <w:gridSpan w:val="2"/>
            <w:tcBorders>
              <w:top w:val="single" w:sz="4" w:space="0" w:color="auto"/>
              <w:left w:val="nil"/>
              <w:bottom w:val="nil"/>
              <w:right w:val="nil"/>
            </w:tcBorders>
            <w:shd w:val="clear" w:color="auto" w:fill="auto"/>
            <w:noWrap/>
            <w:vAlign w:val="bottom"/>
          </w:tcPr>
          <w:p w14:paraId="0E82B823" w14:textId="77777777" w:rsidR="005A1C79" w:rsidRPr="00FB0B1B" w:rsidRDefault="005A1C79" w:rsidP="00413BF8">
            <w:pPr>
              <w:spacing w:after="0" w:line="240" w:lineRule="auto"/>
              <w:jc w:val="center"/>
              <w:rPr>
                <w:rFonts w:ascii="Calibri" w:eastAsia="Times New Roman" w:hAnsi="Calibri" w:cs="Calibri"/>
                <w:i/>
                <w:color w:val="000000"/>
                <w:sz w:val="22"/>
                <w:lang w:eastAsia="en-GB"/>
              </w:rPr>
            </w:pPr>
            <w:r w:rsidRPr="00FC6C53">
              <w:rPr>
                <w:rFonts w:ascii="Calibri" w:eastAsia="Times New Roman" w:hAnsi="Calibri" w:cs="Calibri"/>
                <w:b/>
                <w:bCs/>
                <w:color w:val="000000"/>
                <w:sz w:val="22"/>
                <w:lang w:eastAsia="en-GB"/>
              </w:rPr>
              <w:t>Mean (SD); median (lower quartile, upper quartile); or n (%)</w:t>
            </w:r>
          </w:p>
        </w:tc>
      </w:tr>
      <w:tr w:rsidR="005A1C79" w:rsidRPr="00FB0B1B" w14:paraId="1BC70741" w14:textId="77777777" w:rsidTr="3BF03DB3">
        <w:trPr>
          <w:trHeight w:val="288"/>
        </w:trPr>
        <w:tc>
          <w:tcPr>
            <w:tcW w:w="4253" w:type="dxa"/>
            <w:vMerge/>
            <w:noWrap/>
            <w:vAlign w:val="bottom"/>
          </w:tcPr>
          <w:p w14:paraId="486FD1F0" w14:textId="77777777" w:rsidR="005A1C79" w:rsidRPr="00FB0B1B" w:rsidRDefault="005A1C79" w:rsidP="00413BF8">
            <w:pPr>
              <w:spacing w:after="0" w:line="240" w:lineRule="auto"/>
              <w:rPr>
                <w:rFonts w:ascii="Calibri" w:eastAsia="Times New Roman" w:hAnsi="Calibri" w:cs="Calibri"/>
                <w:b/>
                <w:i/>
                <w:color w:val="000000"/>
                <w:sz w:val="22"/>
                <w:lang w:eastAsia="en-GB"/>
              </w:rPr>
            </w:pPr>
          </w:p>
        </w:tc>
        <w:tc>
          <w:tcPr>
            <w:tcW w:w="1701" w:type="dxa"/>
            <w:tcBorders>
              <w:top w:val="single" w:sz="4" w:space="0" w:color="auto"/>
              <w:left w:val="nil"/>
              <w:bottom w:val="nil"/>
              <w:right w:val="nil"/>
            </w:tcBorders>
            <w:shd w:val="clear" w:color="auto" w:fill="auto"/>
            <w:noWrap/>
            <w:vAlign w:val="center"/>
          </w:tcPr>
          <w:p w14:paraId="04D5CBD1" w14:textId="77777777" w:rsidR="005A1C79" w:rsidRPr="00FB0B1B" w:rsidRDefault="005A1C79" w:rsidP="00413BF8">
            <w:pPr>
              <w:spacing w:after="0" w:line="240" w:lineRule="auto"/>
              <w:rPr>
                <w:rFonts w:ascii="Calibri" w:eastAsia="Times New Roman" w:hAnsi="Calibri" w:cs="Calibri"/>
                <w:i/>
                <w:color w:val="000000"/>
                <w:sz w:val="22"/>
                <w:lang w:eastAsia="en-GB"/>
              </w:rPr>
            </w:pPr>
            <w:r>
              <w:rPr>
                <w:rFonts w:ascii="Calibri" w:eastAsia="Times New Roman" w:hAnsi="Calibri" w:cs="Calibri"/>
                <w:b/>
                <w:bCs/>
                <w:color w:val="000000"/>
                <w:sz w:val="22"/>
                <w:lang w:eastAsia="en-GB"/>
              </w:rPr>
              <w:t>Males</w:t>
            </w:r>
            <w:r w:rsidRPr="00FC6C53">
              <w:rPr>
                <w:rFonts w:ascii="Calibri" w:eastAsia="Times New Roman" w:hAnsi="Calibri" w:cs="Calibri"/>
                <w:b/>
                <w:bCs/>
                <w:color w:val="000000"/>
                <w:sz w:val="22"/>
                <w:lang w:eastAsia="en-GB"/>
              </w:rPr>
              <w:t xml:space="preserve"> (n=197)</w:t>
            </w:r>
          </w:p>
        </w:tc>
        <w:tc>
          <w:tcPr>
            <w:tcW w:w="1984" w:type="dxa"/>
            <w:tcBorders>
              <w:top w:val="single" w:sz="4" w:space="0" w:color="auto"/>
              <w:left w:val="nil"/>
              <w:bottom w:val="nil"/>
              <w:right w:val="nil"/>
            </w:tcBorders>
            <w:shd w:val="clear" w:color="auto" w:fill="auto"/>
            <w:noWrap/>
            <w:vAlign w:val="center"/>
          </w:tcPr>
          <w:p w14:paraId="18F8CC6C" w14:textId="77777777" w:rsidR="005A1C79" w:rsidRPr="00FB0B1B" w:rsidRDefault="005A1C79" w:rsidP="00413BF8">
            <w:pPr>
              <w:spacing w:after="0" w:line="240" w:lineRule="auto"/>
              <w:rPr>
                <w:rFonts w:ascii="Calibri" w:eastAsia="Times New Roman" w:hAnsi="Calibri" w:cs="Calibri"/>
                <w:i/>
                <w:color w:val="000000"/>
                <w:sz w:val="22"/>
                <w:lang w:eastAsia="en-GB"/>
              </w:rPr>
            </w:pPr>
            <w:r>
              <w:rPr>
                <w:rFonts w:ascii="Calibri" w:eastAsia="Times New Roman" w:hAnsi="Calibri" w:cs="Calibri"/>
                <w:b/>
                <w:bCs/>
                <w:color w:val="000000"/>
                <w:sz w:val="22"/>
                <w:lang w:eastAsia="en-GB"/>
              </w:rPr>
              <w:t>Females</w:t>
            </w:r>
            <w:r w:rsidRPr="00FC6C53">
              <w:rPr>
                <w:rFonts w:ascii="Calibri" w:eastAsia="Times New Roman" w:hAnsi="Calibri" w:cs="Calibri"/>
                <w:b/>
                <w:bCs/>
                <w:color w:val="000000"/>
                <w:sz w:val="22"/>
                <w:lang w:eastAsia="en-GB"/>
              </w:rPr>
              <w:t xml:space="preserve"> (n=178)</w:t>
            </w:r>
          </w:p>
        </w:tc>
      </w:tr>
      <w:tr w:rsidR="005A1C79" w:rsidRPr="00FB0B1B" w14:paraId="13A5635A" w14:textId="77777777" w:rsidTr="3BF03DB3">
        <w:trPr>
          <w:trHeight w:val="288"/>
        </w:trPr>
        <w:tc>
          <w:tcPr>
            <w:tcW w:w="4253" w:type="dxa"/>
            <w:tcBorders>
              <w:top w:val="single" w:sz="4" w:space="0" w:color="auto"/>
              <w:left w:val="nil"/>
              <w:bottom w:val="nil"/>
              <w:right w:val="nil"/>
            </w:tcBorders>
            <w:shd w:val="clear" w:color="auto" w:fill="auto"/>
            <w:noWrap/>
            <w:vAlign w:val="bottom"/>
          </w:tcPr>
          <w:p w14:paraId="3D6E0F0C" w14:textId="77777777" w:rsidR="005A1C79" w:rsidRPr="00FB0B1B" w:rsidRDefault="005A1C79" w:rsidP="00413BF8">
            <w:pPr>
              <w:spacing w:after="0" w:line="240" w:lineRule="auto"/>
              <w:rPr>
                <w:rFonts w:ascii="Calibri" w:eastAsia="Times New Roman" w:hAnsi="Calibri" w:cs="Calibri"/>
                <w:b/>
                <w:i/>
                <w:color w:val="000000"/>
                <w:sz w:val="22"/>
                <w:lang w:eastAsia="en-GB"/>
              </w:rPr>
            </w:pPr>
            <w:r w:rsidRPr="00FB0B1B">
              <w:rPr>
                <w:rFonts w:ascii="Calibri" w:eastAsia="Times New Roman" w:hAnsi="Calibri" w:cs="Calibri"/>
                <w:b/>
                <w:i/>
                <w:color w:val="000000"/>
                <w:sz w:val="22"/>
                <w:lang w:eastAsia="en-GB"/>
              </w:rPr>
              <w:t>Baseline (1998-2004)</w:t>
            </w:r>
          </w:p>
        </w:tc>
        <w:tc>
          <w:tcPr>
            <w:tcW w:w="1701" w:type="dxa"/>
            <w:tcBorders>
              <w:top w:val="single" w:sz="4" w:space="0" w:color="auto"/>
              <w:left w:val="nil"/>
              <w:bottom w:val="nil"/>
              <w:right w:val="nil"/>
            </w:tcBorders>
            <w:shd w:val="clear" w:color="auto" w:fill="auto"/>
            <w:noWrap/>
            <w:vAlign w:val="bottom"/>
          </w:tcPr>
          <w:p w14:paraId="42440F4F" w14:textId="77777777" w:rsidR="005A1C79" w:rsidRPr="00FB0B1B" w:rsidRDefault="005A1C79" w:rsidP="00413BF8">
            <w:pPr>
              <w:spacing w:after="0" w:line="240" w:lineRule="auto"/>
              <w:rPr>
                <w:rFonts w:ascii="Calibri" w:eastAsia="Times New Roman" w:hAnsi="Calibri" w:cs="Calibri"/>
                <w:i/>
                <w:color w:val="000000"/>
                <w:sz w:val="22"/>
                <w:lang w:eastAsia="en-GB"/>
              </w:rPr>
            </w:pPr>
          </w:p>
        </w:tc>
        <w:tc>
          <w:tcPr>
            <w:tcW w:w="1984" w:type="dxa"/>
            <w:tcBorders>
              <w:top w:val="single" w:sz="4" w:space="0" w:color="auto"/>
              <w:left w:val="nil"/>
              <w:bottom w:val="nil"/>
              <w:right w:val="nil"/>
            </w:tcBorders>
            <w:shd w:val="clear" w:color="auto" w:fill="auto"/>
            <w:noWrap/>
            <w:vAlign w:val="bottom"/>
          </w:tcPr>
          <w:p w14:paraId="480C1C45" w14:textId="77777777" w:rsidR="005A1C79" w:rsidRPr="00FB0B1B" w:rsidRDefault="005A1C79" w:rsidP="00413BF8">
            <w:pPr>
              <w:spacing w:after="0" w:line="240" w:lineRule="auto"/>
              <w:rPr>
                <w:rFonts w:ascii="Calibri" w:eastAsia="Times New Roman" w:hAnsi="Calibri" w:cs="Calibri"/>
                <w:i/>
                <w:color w:val="000000"/>
                <w:sz w:val="22"/>
                <w:lang w:eastAsia="en-GB"/>
              </w:rPr>
            </w:pPr>
          </w:p>
        </w:tc>
      </w:tr>
      <w:tr w:rsidR="005A1C79" w:rsidRPr="00FC6C53" w14:paraId="3DBED9D7" w14:textId="77777777" w:rsidTr="3BF03DB3">
        <w:trPr>
          <w:trHeight w:val="288"/>
        </w:trPr>
        <w:tc>
          <w:tcPr>
            <w:tcW w:w="4253" w:type="dxa"/>
            <w:tcBorders>
              <w:top w:val="nil"/>
              <w:left w:val="nil"/>
              <w:bottom w:val="nil"/>
              <w:right w:val="nil"/>
            </w:tcBorders>
            <w:shd w:val="clear" w:color="auto" w:fill="auto"/>
            <w:noWrap/>
            <w:vAlign w:val="bottom"/>
            <w:hideMark/>
          </w:tcPr>
          <w:p w14:paraId="4AE136D5"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Age (years)</w:t>
            </w:r>
          </w:p>
        </w:tc>
        <w:tc>
          <w:tcPr>
            <w:tcW w:w="1701" w:type="dxa"/>
            <w:tcBorders>
              <w:top w:val="nil"/>
              <w:left w:val="nil"/>
              <w:bottom w:val="nil"/>
              <w:right w:val="nil"/>
            </w:tcBorders>
            <w:shd w:val="clear" w:color="auto" w:fill="auto"/>
            <w:noWrap/>
            <w:vAlign w:val="bottom"/>
            <w:hideMark/>
          </w:tcPr>
          <w:p w14:paraId="3D0159A1"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63.9 (2.5)</w:t>
            </w:r>
          </w:p>
        </w:tc>
        <w:tc>
          <w:tcPr>
            <w:tcW w:w="1984" w:type="dxa"/>
            <w:tcBorders>
              <w:top w:val="nil"/>
              <w:left w:val="nil"/>
              <w:bottom w:val="nil"/>
              <w:right w:val="nil"/>
            </w:tcBorders>
            <w:shd w:val="clear" w:color="auto" w:fill="auto"/>
            <w:noWrap/>
            <w:vAlign w:val="bottom"/>
            <w:hideMark/>
          </w:tcPr>
          <w:p w14:paraId="77D83D91"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65.6 (2.6)</w:t>
            </w:r>
          </w:p>
        </w:tc>
      </w:tr>
      <w:tr w:rsidR="005A1C79" w:rsidRPr="00FC6C53" w14:paraId="5CA7284F" w14:textId="77777777" w:rsidTr="3BF03DB3">
        <w:trPr>
          <w:trHeight w:val="288"/>
        </w:trPr>
        <w:tc>
          <w:tcPr>
            <w:tcW w:w="4253" w:type="dxa"/>
            <w:tcBorders>
              <w:top w:val="nil"/>
              <w:left w:val="nil"/>
              <w:bottom w:val="nil"/>
              <w:right w:val="nil"/>
            </w:tcBorders>
            <w:shd w:val="clear" w:color="auto" w:fill="auto"/>
            <w:noWrap/>
            <w:vAlign w:val="bottom"/>
            <w:hideMark/>
          </w:tcPr>
          <w:p w14:paraId="5B78DA15"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Height (cm)</w:t>
            </w:r>
          </w:p>
        </w:tc>
        <w:tc>
          <w:tcPr>
            <w:tcW w:w="1701" w:type="dxa"/>
            <w:tcBorders>
              <w:top w:val="nil"/>
              <w:left w:val="nil"/>
              <w:bottom w:val="nil"/>
              <w:right w:val="nil"/>
            </w:tcBorders>
            <w:shd w:val="clear" w:color="auto" w:fill="auto"/>
            <w:noWrap/>
            <w:vAlign w:val="bottom"/>
            <w:hideMark/>
          </w:tcPr>
          <w:p w14:paraId="46533151"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174.6 (6.7)</w:t>
            </w:r>
          </w:p>
        </w:tc>
        <w:tc>
          <w:tcPr>
            <w:tcW w:w="1984" w:type="dxa"/>
            <w:tcBorders>
              <w:top w:val="nil"/>
              <w:left w:val="nil"/>
              <w:bottom w:val="nil"/>
              <w:right w:val="nil"/>
            </w:tcBorders>
            <w:shd w:val="clear" w:color="auto" w:fill="auto"/>
            <w:noWrap/>
            <w:vAlign w:val="bottom"/>
            <w:hideMark/>
          </w:tcPr>
          <w:p w14:paraId="0097DA87"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161.9 (5.4)</w:t>
            </w:r>
          </w:p>
        </w:tc>
      </w:tr>
      <w:tr w:rsidR="005A1C79" w:rsidRPr="00FC6C53" w14:paraId="676825ED" w14:textId="77777777" w:rsidTr="3BF03DB3">
        <w:trPr>
          <w:trHeight w:val="288"/>
        </w:trPr>
        <w:tc>
          <w:tcPr>
            <w:tcW w:w="4253" w:type="dxa"/>
            <w:tcBorders>
              <w:top w:val="nil"/>
              <w:left w:val="nil"/>
              <w:bottom w:val="nil"/>
              <w:right w:val="nil"/>
            </w:tcBorders>
            <w:shd w:val="clear" w:color="auto" w:fill="auto"/>
            <w:noWrap/>
            <w:vAlign w:val="bottom"/>
            <w:hideMark/>
          </w:tcPr>
          <w:p w14:paraId="13C2528B"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Weight (kg)</w:t>
            </w:r>
          </w:p>
        </w:tc>
        <w:tc>
          <w:tcPr>
            <w:tcW w:w="1701" w:type="dxa"/>
            <w:tcBorders>
              <w:top w:val="nil"/>
              <w:left w:val="nil"/>
              <w:bottom w:val="nil"/>
              <w:right w:val="nil"/>
            </w:tcBorders>
            <w:shd w:val="clear" w:color="auto" w:fill="auto"/>
            <w:noWrap/>
            <w:vAlign w:val="bottom"/>
            <w:hideMark/>
          </w:tcPr>
          <w:p w14:paraId="20E55665"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79.9 (10.1)</w:t>
            </w:r>
          </w:p>
        </w:tc>
        <w:tc>
          <w:tcPr>
            <w:tcW w:w="1984" w:type="dxa"/>
            <w:tcBorders>
              <w:top w:val="nil"/>
              <w:left w:val="nil"/>
              <w:bottom w:val="nil"/>
              <w:right w:val="nil"/>
            </w:tcBorders>
            <w:shd w:val="clear" w:color="auto" w:fill="auto"/>
            <w:noWrap/>
            <w:vAlign w:val="bottom"/>
            <w:hideMark/>
          </w:tcPr>
          <w:p w14:paraId="19302780"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69.6 (12.2)</w:t>
            </w:r>
          </w:p>
        </w:tc>
      </w:tr>
      <w:tr w:rsidR="005A1C79" w:rsidRPr="00FC6C53" w14:paraId="14F7A2AE" w14:textId="77777777" w:rsidTr="3BF03DB3">
        <w:trPr>
          <w:trHeight w:val="324"/>
        </w:trPr>
        <w:tc>
          <w:tcPr>
            <w:tcW w:w="4253" w:type="dxa"/>
            <w:tcBorders>
              <w:top w:val="nil"/>
              <w:left w:val="nil"/>
              <w:bottom w:val="nil"/>
              <w:right w:val="nil"/>
            </w:tcBorders>
            <w:shd w:val="clear" w:color="auto" w:fill="auto"/>
            <w:noWrap/>
            <w:vAlign w:val="bottom"/>
            <w:hideMark/>
          </w:tcPr>
          <w:p w14:paraId="2183D96E"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BMI (kg/m</w:t>
            </w:r>
            <w:r w:rsidRPr="00FC6C53">
              <w:rPr>
                <w:rFonts w:ascii="Calibri" w:eastAsia="Times New Roman" w:hAnsi="Calibri" w:cs="Calibri"/>
                <w:color w:val="000000"/>
                <w:sz w:val="22"/>
                <w:vertAlign w:val="superscript"/>
                <w:lang w:eastAsia="en-GB"/>
              </w:rPr>
              <w:t>2</w:t>
            </w:r>
            <w:r w:rsidRPr="00FC6C53">
              <w:rPr>
                <w:rFonts w:ascii="Calibri" w:eastAsia="Times New Roman" w:hAnsi="Calibri" w:cs="Calibri"/>
                <w:color w:val="000000"/>
                <w:sz w:val="22"/>
                <w:lang w:eastAsia="en-GB"/>
              </w:rPr>
              <w:t>)</w:t>
            </w:r>
          </w:p>
        </w:tc>
        <w:tc>
          <w:tcPr>
            <w:tcW w:w="1701" w:type="dxa"/>
            <w:tcBorders>
              <w:top w:val="nil"/>
              <w:left w:val="nil"/>
              <w:bottom w:val="nil"/>
              <w:right w:val="nil"/>
            </w:tcBorders>
            <w:shd w:val="clear" w:color="auto" w:fill="auto"/>
            <w:noWrap/>
            <w:vAlign w:val="bottom"/>
            <w:hideMark/>
          </w:tcPr>
          <w:p w14:paraId="5A390CC1"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26.2 (3.1)</w:t>
            </w:r>
          </w:p>
        </w:tc>
        <w:tc>
          <w:tcPr>
            <w:tcW w:w="1984" w:type="dxa"/>
            <w:tcBorders>
              <w:top w:val="nil"/>
              <w:left w:val="nil"/>
              <w:bottom w:val="nil"/>
              <w:right w:val="nil"/>
            </w:tcBorders>
            <w:shd w:val="clear" w:color="auto" w:fill="auto"/>
            <w:noWrap/>
            <w:vAlign w:val="bottom"/>
            <w:hideMark/>
          </w:tcPr>
          <w:p w14:paraId="59AB2001"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26.5 (4.3)</w:t>
            </w:r>
          </w:p>
        </w:tc>
      </w:tr>
      <w:tr w:rsidR="005A1C79" w:rsidRPr="00FC6C53" w14:paraId="3B348812" w14:textId="77777777" w:rsidTr="3BF03DB3">
        <w:trPr>
          <w:trHeight w:val="288"/>
        </w:trPr>
        <w:tc>
          <w:tcPr>
            <w:tcW w:w="4253" w:type="dxa"/>
            <w:tcBorders>
              <w:top w:val="nil"/>
              <w:left w:val="nil"/>
              <w:bottom w:val="nil"/>
              <w:right w:val="nil"/>
            </w:tcBorders>
            <w:shd w:val="clear" w:color="auto" w:fill="auto"/>
            <w:noWrap/>
            <w:vAlign w:val="bottom"/>
            <w:hideMark/>
          </w:tcPr>
          <w:p w14:paraId="7B28984B" w14:textId="77777777" w:rsidR="005A1C79" w:rsidRPr="00FC6C53" w:rsidRDefault="005A1C79" w:rsidP="00413BF8">
            <w:pPr>
              <w:spacing w:after="0" w:line="240" w:lineRule="auto"/>
              <w:jc w:val="center"/>
              <w:rPr>
                <w:rFonts w:ascii="Calibri" w:eastAsia="Times New Roman" w:hAnsi="Calibri" w:cs="Calibri"/>
                <w:color w:val="000000"/>
                <w:sz w:val="22"/>
                <w:lang w:eastAsia="en-GB"/>
              </w:rPr>
            </w:pPr>
          </w:p>
        </w:tc>
        <w:tc>
          <w:tcPr>
            <w:tcW w:w="1701" w:type="dxa"/>
            <w:tcBorders>
              <w:top w:val="nil"/>
              <w:left w:val="nil"/>
              <w:bottom w:val="nil"/>
              <w:right w:val="nil"/>
            </w:tcBorders>
            <w:shd w:val="clear" w:color="auto" w:fill="auto"/>
            <w:noWrap/>
            <w:vAlign w:val="bottom"/>
            <w:hideMark/>
          </w:tcPr>
          <w:p w14:paraId="5F676018" w14:textId="77777777" w:rsidR="005A1C79" w:rsidRPr="00FC6C53" w:rsidRDefault="005A1C79" w:rsidP="00413BF8">
            <w:pPr>
              <w:spacing w:after="0" w:line="240" w:lineRule="auto"/>
              <w:rPr>
                <w:rFonts w:ascii="Times New Roman" w:eastAsia="Times New Roman" w:hAnsi="Times New Roman" w:cs="Times New Roman"/>
                <w:sz w:val="20"/>
                <w:szCs w:val="20"/>
                <w:lang w:eastAsia="en-GB"/>
              </w:rPr>
            </w:pPr>
          </w:p>
        </w:tc>
        <w:tc>
          <w:tcPr>
            <w:tcW w:w="1984" w:type="dxa"/>
            <w:tcBorders>
              <w:top w:val="nil"/>
              <w:left w:val="nil"/>
              <w:bottom w:val="nil"/>
              <w:right w:val="nil"/>
            </w:tcBorders>
            <w:shd w:val="clear" w:color="auto" w:fill="auto"/>
            <w:noWrap/>
            <w:vAlign w:val="bottom"/>
            <w:hideMark/>
          </w:tcPr>
          <w:p w14:paraId="1BDE5376" w14:textId="77777777" w:rsidR="005A1C79" w:rsidRPr="00FC6C53" w:rsidRDefault="005A1C79" w:rsidP="00413BF8">
            <w:pPr>
              <w:spacing w:after="0" w:line="240" w:lineRule="auto"/>
              <w:rPr>
                <w:rFonts w:ascii="Times New Roman" w:eastAsia="Times New Roman" w:hAnsi="Times New Roman" w:cs="Times New Roman"/>
                <w:sz w:val="20"/>
                <w:szCs w:val="20"/>
                <w:lang w:eastAsia="en-GB"/>
              </w:rPr>
            </w:pPr>
          </w:p>
        </w:tc>
      </w:tr>
      <w:tr w:rsidR="005A1C79" w:rsidRPr="00FC6C53" w14:paraId="3FCC8A58" w14:textId="77777777" w:rsidTr="3BF03DB3">
        <w:trPr>
          <w:trHeight w:val="288"/>
        </w:trPr>
        <w:tc>
          <w:tcPr>
            <w:tcW w:w="4253" w:type="dxa"/>
            <w:tcBorders>
              <w:top w:val="nil"/>
              <w:left w:val="nil"/>
              <w:bottom w:val="nil"/>
              <w:right w:val="nil"/>
            </w:tcBorders>
            <w:shd w:val="clear" w:color="auto" w:fill="auto"/>
            <w:noWrap/>
            <w:vAlign w:val="bottom"/>
            <w:hideMark/>
          </w:tcPr>
          <w:p w14:paraId="6954E8D6"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Ever smoked</w:t>
            </w:r>
          </w:p>
        </w:tc>
        <w:tc>
          <w:tcPr>
            <w:tcW w:w="1701" w:type="dxa"/>
            <w:tcBorders>
              <w:top w:val="nil"/>
              <w:left w:val="nil"/>
              <w:bottom w:val="nil"/>
              <w:right w:val="nil"/>
            </w:tcBorders>
            <w:shd w:val="clear" w:color="auto" w:fill="auto"/>
            <w:noWrap/>
            <w:vAlign w:val="bottom"/>
            <w:hideMark/>
          </w:tcPr>
          <w:p w14:paraId="797552D3"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115 (58.4%)</w:t>
            </w:r>
          </w:p>
        </w:tc>
        <w:tc>
          <w:tcPr>
            <w:tcW w:w="1984" w:type="dxa"/>
            <w:tcBorders>
              <w:top w:val="nil"/>
              <w:left w:val="nil"/>
              <w:bottom w:val="nil"/>
              <w:right w:val="nil"/>
            </w:tcBorders>
            <w:shd w:val="clear" w:color="auto" w:fill="auto"/>
            <w:noWrap/>
            <w:vAlign w:val="bottom"/>
            <w:hideMark/>
          </w:tcPr>
          <w:p w14:paraId="24F756E0"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62 (34.8%)</w:t>
            </w:r>
          </w:p>
        </w:tc>
      </w:tr>
      <w:tr w:rsidR="005A1C79" w:rsidRPr="00FC6C53" w14:paraId="4E04F993" w14:textId="77777777" w:rsidTr="3BF03DB3">
        <w:trPr>
          <w:trHeight w:val="288"/>
        </w:trPr>
        <w:tc>
          <w:tcPr>
            <w:tcW w:w="4253" w:type="dxa"/>
            <w:tcBorders>
              <w:top w:val="nil"/>
              <w:left w:val="nil"/>
              <w:bottom w:val="nil"/>
              <w:right w:val="nil"/>
            </w:tcBorders>
            <w:shd w:val="clear" w:color="auto" w:fill="auto"/>
            <w:noWrap/>
            <w:vAlign w:val="bottom"/>
            <w:hideMark/>
          </w:tcPr>
          <w:p w14:paraId="24E429F0" w14:textId="77777777" w:rsidR="005A1C79" w:rsidRPr="00FC6C53" w:rsidRDefault="005A1C79" w:rsidP="00413BF8">
            <w:pPr>
              <w:spacing w:after="0" w:line="240" w:lineRule="auto"/>
              <w:jc w:val="center"/>
              <w:rPr>
                <w:rFonts w:ascii="Calibri" w:eastAsia="Times New Roman" w:hAnsi="Calibri" w:cs="Calibri"/>
                <w:color w:val="000000"/>
                <w:sz w:val="22"/>
                <w:lang w:eastAsia="en-GB"/>
              </w:rPr>
            </w:pPr>
          </w:p>
        </w:tc>
        <w:tc>
          <w:tcPr>
            <w:tcW w:w="1701" w:type="dxa"/>
            <w:tcBorders>
              <w:top w:val="nil"/>
              <w:left w:val="nil"/>
              <w:bottom w:val="nil"/>
              <w:right w:val="nil"/>
            </w:tcBorders>
            <w:shd w:val="clear" w:color="auto" w:fill="auto"/>
            <w:noWrap/>
            <w:vAlign w:val="bottom"/>
            <w:hideMark/>
          </w:tcPr>
          <w:p w14:paraId="6029991A" w14:textId="77777777" w:rsidR="005A1C79" w:rsidRPr="00FC6C53" w:rsidRDefault="005A1C79" w:rsidP="00413BF8">
            <w:pPr>
              <w:spacing w:after="0" w:line="240" w:lineRule="auto"/>
              <w:rPr>
                <w:rFonts w:ascii="Times New Roman" w:eastAsia="Times New Roman" w:hAnsi="Times New Roman" w:cs="Times New Roman"/>
                <w:sz w:val="20"/>
                <w:szCs w:val="20"/>
                <w:lang w:eastAsia="en-GB"/>
              </w:rPr>
            </w:pPr>
          </w:p>
        </w:tc>
        <w:tc>
          <w:tcPr>
            <w:tcW w:w="1984" w:type="dxa"/>
            <w:tcBorders>
              <w:top w:val="nil"/>
              <w:left w:val="nil"/>
              <w:bottom w:val="nil"/>
              <w:right w:val="nil"/>
            </w:tcBorders>
            <w:shd w:val="clear" w:color="auto" w:fill="auto"/>
            <w:noWrap/>
            <w:vAlign w:val="bottom"/>
            <w:hideMark/>
          </w:tcPr>
          <w:p w14:paraId="36E36E23" w14:textId="77777777" w:rsidR="005A1C79" w:rsidRPr="00FC6C53" w:rsidRDefault="005A1C79" w:rsidP="00413BF8">
            <w:pPr>
              <w:spacing w:after="0" w:line="240" w:lineRule="auto"/>
              <w:rPr>
                <w:rFonts w:ascii="Times New Roman" w:eastAsia="Times New Roman" w:hAnsi="Times New Roman" w:cs="Times New Roman"/>
                <w:sz w:val="20"/>
                <w:szCs w:val="20"/>
                <w:lang w:eastAsia="en-GB"/>
              </w:rPr>
            </w:pPr>
          </w:p>
        </w:tc>
      </w:tr>
      <w:tr w:rsidR="005A1C79" w:rsidRPr="00FB0B1B" w14:paraId="0424C350" w14:textId="77777777" w:rsidTr="3BF03DB3">
        <w:trPr>
          <w:trHeight w:val="288"/>
        </w:trPr>
        <w:tc>
          <w:tcPr>
            <w:tcW w:w="4253" w:type="dxa"/>
            <w:tcBorders>
              <w:top w:val="nil"/>
              <w:left w:val="nil"/>
              <w:bottom w:val="nil"/>
              <w:right w:val="nil"/>
            </w:tcBorders>
            <w:shd w:val="clear" w:color="auto" w:fill="auto"/>
            <w:noWrap/>
          </w:tcPr>
          <w:p w14:paraId="2FE75378"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Weekly alcohol units (M: Males; F:</w:t>
            </w:r>
            <w:r>
              <w:rPr>
                <w:sz w:val="22"/>
              </w:rPr>
              <w:t xml:space="preserve"> </w:t>
            </w:r>
            <w:r w:rsidRPr="00FB0B1B">
              <w:rPr>
                <w:sz w:val="22"/>
              </w:rPr>
              <w:t>Females)</w:t>
            </w:r>
          </w:p>
        </w:tc>
        <w:tc>
          <w:tcPr>
            <w:tcW w:w="1701" w:type="dxa"/>
            <w:tcBorders>
              <w:top w:val="nil"/>
              <w:left w:val="nil"/>
              <w:bottom w:val="nil"/>
              <w:right w:val="nil"/>
            </w:tcBorders>
            <w:shd w:val="clear" w:color="auto" w:fill="auto"/>
            <w:noWrap/>
            <w:vAlign w:val="bottom"/>
          </w:tcPr>
          <w:p w14:paraId="5879FEFB" w14:textId="77777777" w:rsidR="005A1C79" w:rsidRPr="00FB0B1B" w:rsidRDefault="005A1C79" w:rsidP="00413BF8">
            <w:pPr>
              <w:spacing w:after="0" w:line="240" w:lineRule="auto"/>
              <w:rPr>
                <w:rFonts w:ascii="Calibri" w:eastAsia="Times New Roman" w:hAnsi="Calibri" w:cs="Calibri"/>
                <w:color w:val="000000"/>
                <w:sz w:val="22"/>
                <w:lang w:eastAsia="en-GB"/>
              </w:rPr>
            </w:pPr>
          </w:p>
        </w:tc>
        <w:tc>
          <w:tcPr>
            <w:tcW w:w="1984" w:type="dxa"/>
            <w:tcBorders>
              <w:top w:val="nil"/>
              <w:left w:val="nil"/>
              <w:bottom w:val="nil"/>
              <w:right w:val="nil"/>
            </w:tcBorders>
            <w:shd w:val="clear" w:color="auto" w:fill="auto"/>
            <w:noWrap/>
            <w:vAlign w:val="bottom"/>
          </w:tcPr>
          <w:p w14:paraId="5B37BB99" w14:textId="77777777" w:rsidR="005A1C79" w:rsidRPr="00FB0B1B" w:rsidRDefault="005A1C79" w:rsidP="00413BF8">
            <w:pPr>
              <w:spacing w:after="0" w:line="240" w:lineRule="auto"/>
              <w:rPr>
                <w:rFonts w:ascii="Times New Roman" w:eastAsia="Times New Roman" w:hAnsi="Times New Roman" w:cs="Times New Roman"/>
                <w:sz w:val="22"/>
                <w:lang w:eastAsia="en-GB"/>
              </w:rPr>
            </w:pPr>
          </w:p>
        </w:tc>
      </w:tr>
      <w:tr w:rsidR="005A1C79" w:rsidRPr="00FB0B1B" w14:paraId="5F436456" w14:textId="77777777" w:rsidTr="3BF03DB3">
        <w:trPr>
          <w:trHeight w:val="288"/>
        </w:trPr>
        <w:tc>
          <w:tcPr>
            <w:tcW w:w="4253" w:type="dxa"/>
            <w:tcBorders>
              <w:top w:val="nil"/>
              <w:left w:val="nil"/>
              <w:bottom w:val="nil"/>
              <w:right w:val="nil"/>
            </w:tcBorders>
            <w:shd w:val="clear" w:color="auto" w:fill="auto"/>
            <w:noWrap/>
          </w:tcPr>
          <w:p w14:paraId="116588AA" w14:textId="77777777" w:rsidR="005A1C79" w:rsidRPr="00FB0B1B" w:rsidRDefault="005A1C79" w:rsidP="00413BF8">
            <w:pPr>
              <w:spacing w:after="0" w:line="240" w:lineRule="auto"/>
              <w:ind w:firstLineChars="200" w:firstLine="440"/>
              <w:rPr>
                <w:rFonts w:ascii="Calibri" w:eastAsia="Times New Roman" w:hAnsi="Calibri" w:cs="Calibri"/>
                <w:color w:val="000000"/>
                <w:sz w:val="22"/>
                <w:lang w:eastAsia="en-GB"/>
              </w:rPr>
            </w:pPr>
            <w:r w:rsidRPr="00FB0B1B">
              <w:rPr>
                <w:sz w:val="22"/>
              </w:rPr>
              <w:t>Very low (&lt;1 M&amp;F)</w:t>
            </w:r>
          </w:p>
        </w:tc>
        <w:tc>
          <w:tcPr>
            <w:tcW w:w="1701" w:type="dxa"/>
            <w:tcBorders>
              <w:top w:val="nil"/>
              <w:left w:val="nil"/>
              <w:bottom w:val="nil"/>
              <w:right w:val="nil"/>
            </w:tcBorders>
            <w:shd w:val="clear" w:color="auto" w:fill="auto"/>
            <w:noWrap/>
          </w:tcPr>
          <w:p w14:paraId="7F38A8DC"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21 (10.7%)</w:t>
            </w:r>
          </w:p>
        </w:tc>
        <w:tc>
          <w:tcPr>
            <w:tcW w:w="1984" w:type="dxa"/>
            <w:tcBorders>
              <w:top w:val="nil"/>
              <w:left w:val="nil"/>
              <w:bottom w:val="nil"/>
              <w:right w:val="nil"/>
            </w:tcBorders>
            <w:shd w:val="clear" w:color="auto" w:fill="auto"/>
            <w:noWrap/>
          </w:tcPr>
          <w:p w14:paraId="3BB30E96"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74 (41.6%)</w:t>
            </w:r>
          </w:p>
        </w:tc>
      </w:tr>
      <w:tr w:rsidR="005A1C79" w:rsidRPr="00FB0B1B" w14:paraId="61030392" w14:textId="77777777" w:rsidTr="3BF03DB3">
        <w:trPr>
          <w:trHeight w:val="288"/>
        </w:trPr>
        <w:tc>
          <w:tcPr>
            <w:tcW w:w="4253" w:type="dxa"/>
            <w:tcBorders>
              <w:top w:val="nil"/>
              <w:left w:val="nil"/>
              <w:bottom w:val="nil"/>
              <w:right w:val="nil"/>
            </w:tcBorders>
            <w:shd w:val="clear" w:color="auto" w:fill="auto"/>
            <w:noWrap/>
          </w:tcPr>
          <w:p w14:paraId="376D1AE6" w14:textId="77777777" w:rsidR="005A1C79" w:rsidRPr="00FB0B1B" w:rsidRDefault="005A1C79" w:rsidP="00413BF8">
            <w:pPr>
              <w:spacing w:after="0" w:line="240" w:lineRule="auto"/>
              <w:ind w:firstLineChars="200" w:firstLine="440"/>
              <w:rPr>
                <w:rFonts w:ascii="Calibri" w:eastAsia="Times New Roman" w:hAnsi="Calibri" w:cs="Calibri"/>
                <w:color w:val="000000"/>
                <w:sz w:val="22"/>
                <w:lang w:eastAsia="en-GB"/>
              </w:rPr>
            </w:pPr>
            <w:r w:rsidRPr="00FB0B1B">
              <w:rPr>
                <w:sz w:val="22"/>
              </w:rPr>
              <w:t>Low (1-10M,</w:t>
            </w:r>
            <w:r>
              <w:rPr>
                <w:sz w:val="22"/>
              </w:rPr>
              <w:t xml:space="preserve"> </w:t>
            </w:r>
            <w:r w:rsidRPr="00FB0B1B">
              <w:rPr>
                <w:sz w:val="22"/>
              </w:rPr>
              <w:t>1-7F)</w:t>
            </w:r>
          </w:p>
        </w:tc>
        <w:tc>
          <w:tcPr>
            <w:tcW w:w="1701" w:type="dxa"/>
            <w:tcBorders>
              <w:top w:val="nil"/>
              <w:left w:val="nil"/>
              <w:bottom w:val="nil"/>
              <w:right w:val="nil"/>
            </w:tcBorders>
            <w:shd w:val="clear" w:color="auto" w:fill="auto"/>
            <w:noWrap/>
          </w:tcPr>
          <w:p w14:paraId="6FADB35B"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78 (39.6%)</w:t>
            </w:r>
          </w:p>
        </w:tc>
        <w:tc>
          <w:tcPr>
            <w:tcW w:w="1984" w:type="dxa"/>
            <w:tcBorders>
              <w:top w:val="nil"/>
              <w:left w:val="nil"/>
              <w:bottom w:val="nil"/>
              <w:right w:val="nil"/>
            </w:tcBorders>
            <w:shd w:val="clear" w:color="auto" w:fill="auto"/>
            <w:noWrap/>
          </w:tcPr>
          <w:p w14:paraId="75C6A709"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81 (45.5%)</w:t>
            </w:r>
          </w:p>
        </w:tc>
      </w:tr>
      <w:tr w:rsidR="005A1C79" w:rsidRPr="00FB0B1B" w14:paraId="61F9DC42" w14:textId="77777777" w:rsidTr="3BF03DB3">
        <w:trPr>
          <w:trHeight w:val="288"/>
        </w:trPr>
        <w:tc>
          <w:tcPr>
            <w:tcW w:w="4253" w:type="dxa"/>
            <w:tcBorders>
              <w:top w:val="nil"/>
              <w:left w:val="nil"/>
              <w:right w:val="nil"/>
            </w:tcBorders>
            <w:shd w:val="clear" w:color="auto" w:fill="auto"/>
            <w:noWrap/>
          </w:tcPr>
          <w:p w14:paraId="4BACE941" w14:textId="77777777" w:rsidR="005A1C79" w:rsidRPr="00FB0B1B" w:rsidRDefault="005A1C79" w:rsidP="00413BF8">
            <w:pPr>
              <w:spacing w:after="0" w:line="240" w:lineRule="auto"/>
              <w:ind w:firstLineChars="200" w:firstLine="440"/>
              <w:rPr>
                <w:rFonts w:ascii="Calibri" w:eastAsia="Times New Roman" w:hAnsi="Calibri" w:cs="Calibri"/>
                <w:color w:val="000000"/>
                <w:sz w:val="22"/>
                <w:lang w:eastAsia="en-GB"/>
              </w:rPr>
            </w:pPr>
            <w:r w:rsidRPr="00FB0B1B">
              <w:rPr>
                <w:sz w:val="22"/>
              </w:rPr>
              <w:t>Moderate (11-21M,</w:t>
            </w:r>
            <w:r>
              <w:rPr>
                <w:sz w:val="22"/>
              </w:rPr>
              <w:t xml:space="preserve"> </w:t>
            </w:r>
            <w:r w:rsidRPr="00FB0B1B">
              <w:rPr>
                <w:sz w:val="22"/>
              </w:rPr>
              <w:t>8-14F)</w:t>
            </w:r>
          </w:p>
        </w:tc>
        <w:tc>
          <w:tcPr>
            <w:tcW w:w="1701" w:type="dxa"/>
            <w:tcBorders>
              <w:top w:val="nil"/>
              <w:left w:val="nil"/>
              <w:right w:val="nil"/>
            </w:tcBorders>
            <w:shd w:val="clear" w:color="auto" w:fill="auto"/>
            <w:noWrap/>
          </w:tcPr>
          <w:p w14:paraId="437D4E10"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50 (25.4%)</w:t>
            </w:r>
          </w:p>
        </w:tc>
        <w:tc>
          <w:tcPr>
            <w:tcW w:w="1984" w:type="dxa"/>
            <w:tcBorders>
              <w:top w:val="nil"/>
              <w:left w:val="nil"/>
              <w:right w:val="nil"/>
            </w:tcBorders>
            <w:shd w:val="clear" w:color="auto" w:fill="auto"/>
            <w:noWrap/>
          </w:tcPr>
          <w:p w14:paraId="3928816C"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20 (11.2%)</w:t>
            </w:r>
          </w:p>
        </w:tc>
      </w:tr>
      <w:tr w:rsidR="005A1C79" w:rsidRPr="00FB0B1B" w14:paraId="587C93DF" w14:textId="77777777" w:rsidTr="3BF03DB3">
        <w:trPr>
          <w:trHeight w:val="288"/>
        </w:trPr>
        <w:tc>
          <w:tcPr>
            <w:tcW w:w="4253" w:type="dxa"/>
            <w:tcBorders>
              <w:top w:val="nil"/>
              <w:left w:val="nil"/>
              <w:right w:val="nil"/>
            </w:tcBorders>
            <w:shd w:val="clear" w:color="auto" w:fill="auto"/>
            <w:noWrap/>
          </w:tcPr>
          <w:p w14:paraId="4983A984" w14:textId="77777777" w:rsidR="005A1C79" w:rsidRPr="00FB0B1B" w:rsidRDefault="005A1C79" w:rsidP="00413BF8">
            <w:pPr>
              <w:spacing w:after="0" w:line="240" w:lineRule="auto"/>
              <w:ind w:firstLineChars="200" w:firstLine="440"/>
              <w:rPr>
                <w:rFonts w:ascii="Calibri" w:eastAsia="Times New Roman" w:hAnsi="Calibri" w:cs="Calibri"/>
                <w:color w:val="000000"/>
                <w:sz w:val="22"/>
                <w:lang w:eastAsia="en-GB"/>
              </w:rPr>
            </w:pPr>
            <w:r w:rsidRPr="00FB0B1B">
              <w:rPr>
                <w:sz w:val="22"/>
              </w:rPr>
              <w:t>High (&gt;21M, &gt;14F)</w:t>
            </w:r>
          </w:p>
        </w:tc>
        <w:tc>
          <w:tcPr>
            <w:tcW w:w="1701" w:type="dxa"/>
            <w:tcBorders>
              <w:top w:val="nil"/>
              <w:left w:val="nil"/>
              <w:right w:val="nil"/>
            </w:tcBorders>
            <w:shd w:val="clear" w:color="auto" w:fill="auto"/>
            <w:noWrap/>
          </w:tcPr>
          <w:p w14:paraId="5B0B091D"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48 (24.4%)</w:t>
            </w:r>
          </w:p>
        </w:tc>
        <w:tc>
          <w:tcPr>
            <w:tcW w:w="1984" w:type="dxa"/>
            <w:tcBorders>
              <w:top w:val="nil"/>
              <w:left w:val="nil"/>
              <w:right w:val="nil"/>
            </w:tcBorders>
            <w:shd w:val="clear" w:color="auto" w:fill="auto"/>
            <w:noWrap/>
          </w:tcPr>
          <w:p w14:paraId="51698768" w14:textId="77777777" w:rsidR="005A1C79" w:rsidRPr="00FB0B1B" w:rsidRDefault="005A1C79" w:rsidP="00413BF8">
            <w:pPr>
              <w:spacing w:after="0" w:line="240" w:lineRule="auto"/>
              <w:rPr>
                <w:rFonts w:ascii="Calibri" w:eastAsia="Times New Roman" w:hAnsi="Calibri" w:cs="Calibri"/>
                <w:color w:val="000000"/>
                <w:sz w:val="22"/>
                <w:lang w:eastAsia="en-GB"/>
              </w:rPr>
            </w:pPr>
            <w:r w:rsidRPr="00FB0B1B">
              <w:rPr>
                <w:sz w:val="22"/>
              </w:rPr>
              <w:t>3 (1.7%)</w:t>
            </w:r>
          </w:p>
        </w:tc>
      </w:tr>
      <w:tr w:rsidR="005A1C79" w:rsidRPr="00FB0B1B" w14:paraId="3865E6EF" w14:textId="77777777" w:rsidTr="3BF03DB3">
        <w:trPr>
          <w:trHeight w:val="288"/>
        </w:trPr>
        <w:tc>
          <w:tcPr>
            <w:tcW w:w="4253" w:type="dxa"/>
            <w:tcBorders>
              <w:top w:val="nil"/>
              <w:left w:val="nil"/>
              <w:right w:val="nil"/>
            </w:tcBorders>
            <w:shd w:val="clear" w:color="auto" w:fill="auto"/>
            <w:noWrap/>
          </w:tcPr>
          <w:p w14:paraId="3E41ABDA" w14:textId="77777777" w:rsidR="005A1C79" w:rsidRPr="00FB0B1B" w:rsidRDefault="005A1C79" w:rsidP="00413BF8">
            <w:pPr>
              <w:spacing w:after="0" w:line="240" w:lineRule="auto"/>
              <w:ind w:firstLineChars="200" w:firstLine="440"/>
              <w:rPr>
                <w:sz w:val="22"/>
              </w:rPr>
            </w:pPr>
          </w:p>
        </w:tc>
        <w:tc>
          <w:tcPr>
            <w:tcW w:w="1701" w:type="dxa"/>
            <w:tcBorders>
              <w:top w:val="nil"/>
              <w:left w:val="nil"/>
              <w:right w:val="nil"/>
            </w:tcBorders>
            <w:shd w:val="clear" w:color="auto" w:fill="auto"/>
            <w:noWrap/>
          </w:tcPr>
          <w:p w14:paraId="786A9BDD" w14:textId="77777777" w:rsidR="005A1C79" w:rsidRPr="00FB0B1B" w:rsidRDefault="005A1C79" w:rsidP="00413BF8">
            <w:pPr>
              <w:spacing w:after="0" w:line="240" w:lineRule="auto"/>
              <w:rPr>
                <w:sz w:val="22"/>
              </w:rPr>
            </w:pPr>
          </w:p>
        </w:tc>
        <w:tc>
          <w:tcPr>
            <w:tcW w:w="1984" w:type="dxa"/>
            <w:tcBorders>
              <w:top w:val="nil"/>
              <w:left w:val="nil"/>
              <w:right w:val="nil"/>
            </w:tcBorders>
            <w:shd w:val="clear" w:color="auto" w:fill="auto"/>
            <w:noWrap/>
          </w:tcPr>
          <w:p w14:paraId="2CEA6D0A" w14:textId="77777777" w:rsidR="005A1C79" w:rsidRPr="00FB0B1B" w:rsidRDefault="005A1C79" w:rsidP="00413BF8">
            <w:pPr>
              <w:spacing w:after="0" w:line="240" w:lineRule="auto"/>
              <w:rPr>
                <w:sz w:val="22"/>
              </w:rPr>
            </w:pPr>
          </w:p>
        </w:tc>
      </w:tr>
      <w:tr w:rsidR="005A1C79" w:rsidRPr="00FC6C53" w14:paraId="16FC63A9" w14:textId="77777777" w:rsidTr="3BF03DB3">
        <w:trPr>
          <w:trHeight w:val="288"/>
        </w:trPr>
        <w:tc>
          <w:tcPr>
            <w:tcW w:w="4253" w:type="dxa"/>
            <w:shd w:val="clear" w:color="auto" w:fill="auto"/>
            <w:noWrap/>
            <w:vAlign w:val="bottom"/>
            <w:hideMark/>
          </w:tcPr>
          <w:p w14:paraId="3859318C"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Dallosso activity score</w:t>
            </w:r>
          </w:p>
        </w:tc>
        <w:tc>
          <w:tcPr>
            <w:tcW w:w="1701" w:type="dxa"/>
            <w:shd w:val="clear" w:color="auto" w:fill="auto"/>
            <w:noWrap/>
            <w:vAlign w:val="bottom"/>
          </w:tcPr>
          <w:p w14:paraId="50CE8FB7"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4E42AF">
              <w:rPr>
                <w:rFonts w:ascii="Calibri" w:eastAsia="Times New Roman" w:hAnsi="Calibri" w:cs="Calibri"/>
                <w:color w:val="000000"/>
                <w:sz w:val="22"/>
                <w:lang w:eastAsia="en-GB"/>
              </w:rPr>
              <w:t>65.6 (13.6)</w:t>
            </w:r>
          </w:p>
        </w:tc>
        <w:tc>
          <w:tcPr>
            <w:tcW w:w="1984" w:type="dxa"/>
            <w:shd w:val="clear" w:color="auto" w:fill="auto"/>
            <w:noWrap/>
            <w:vAlign w:val="bottom"/>
          </w:tcPr>
          <w:p w14:paraId="1F6C40BD"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4E42AF">
              <w:rPr>
                <w:rFonts w:ascii="Calibri" w:eastAsia="Times New Roman" w:hAnsi="Calibri" w:cs="Calibri"/>
                <w:color w:val="000000"/>
                <w:sz w:val="22"/>
                <w:lang w:eastAsia="en-GB"/>
              </w:rPr>
              <w:t>62.1 (13.7)</w:t>
            </w:r>
          </w:p>
        </w:tc>
      </w:tr>
      <w:tr w:rsidR="005A1C79" w:rsidRPr="00FC6C53" w14:paraId="35EFFD87" w14:textId="77777777" w:rsidTr="3BF03DB3">
        <w:trPr>
          <w:trHeight w:val="288"/>
        </w:trPr>
        <w:tc>
          <w:tcPr>
            <w:tcW w:w="4253" w:type="dxa"/>
            <w:shd w:val="clear" w:color="auto" w:fill="auto"/>
            <w:noWrap/>
            <w:vAlign w:val="bottom"/>
            <w:hideMark/>
          </w:tcPr>
          <w:p w14:paraId="6B880B6E"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Prudent diet score</w:t>
            </w:r>
          </w:p>
        </w:tc>
        <w:tc>
          <w:tcPr>
            <w:tcW w:w="1701" w:type="dxa"/>
            <w:shd w:val="clear" w:color="auto" w:fill="auto"/>
            <w:noWrap/>
            <w:vAlign w:val="bottom"/>
          </w:tcPr>
          <w:p w14:paraId="5D2B6E46"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4E42AF">
              <w:rPr>
                <w:rFonts w:ascii="Calibri" w:eastAsia="Times New Roman" w:hAnsi="Calibri" w:cs="Calibri"/>
                <w:color w:val="000000"/>
                <w:sz w:val="22"/>
                <w:lang w:eastAsia="en-GB"/>
              </w:rPr>
              <w:t>-0.6 (2.0)</w:t>
            </w:r>
          </w:p>
        </w:tc>
        <w:tc>
          <w:tcPr>
            <w:tcW w:w="1984" w:type="dxa"/>
            <w:shd w:val="clear" w:color="auto" w:fill="auto"/>
            <w:noWrap/>
            <w:vAlign w:val="bottom"/>
          </w:tcPr>
          <w:p w14:paraId="6632623F"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4E42AF">
              <w:rPr>
                <w:rFonts w:ascii="Calibri" w:eastAsia="Times New Roman" w:hAnsi="Calibri" w:cs="Calibri"/>
                <w:color w:val="000000"/>
                <w:sz w:val="22"/>
                <w:lang w:eastAsia="en-GB"/>
              </w:rPr>
              <w:t>1.0 (1.7)</w:t>
            </w:r>
          </w:p>
        </w:tc>
      </w:tr>
      <w:tr w:rsidR="005A1C79" w:rsidRPr="00FC6C53" w14:paraId="246B57B0" w14:textId="77777777" w:rsidTr="3BF03DB3">
        <w:trPr>
          <w:trHeight w:val="288"/>
        </w:trPr>
        <w:tc>
          <w:tcPr>
            <w:tcW w:w="4253" w:type="dxa"/>
            <w:shd w:val="clear" w:color="auto" w:fill="auto"/>
            <w:noWrap/>
            <w:vAlign w:val="bottom"/>
          </w:tcPr>
          <w:p w14:paraId="52DDFA6F"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Protein intake (g/day)</w:t>
            </w:r>
          </w:p>
        </w:tc>
        <w:tc>
          <w:tcPr>
            <w:tcW w:w="1701" w:type="dxa"/>
            <w:shd w:val="clear" w:color="auto" w:fill="auto"/>
            <w:noWrap/>
            <w:vAlign w:val="bottom"/>
          </w:tcPr>
          <w:p w14:paraId="28DD5EB9"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4E42AF">
              <w:rPr>
                <w:rFonts w:ascii="Calibri" w:eastAsia="Times New Roman" w:hAnsi="Calibri" w:cs="Calibri"/>
                <w:color w:val="000000"/>
                <w:sz w:val="22"/>
                <w:lang w:eastAsia="en-GB"/>
              </w:rPr>
              <w:t>93.2 (16.6)</w:t>
            </w:r>
          </w:p>
        </w:tc>
        <w:tc>
          <w:tcPr>
            <w:tcW w:w="1984" w:type="dxa"/>
            <w:shd w:val="clear" w:color="auto" w:fill="auto"/>
            <w:noWrap/>
            <w:vAlign w:val="bottom"/>
          </w:tcPr>
          <w:p w14:paraId="4F87B659"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4E42AF">
              <w:rPr>
                <w:rFonts w:ascii="Calibri" w:eastAsia="Times New Roman" w:hAnsi="Calibri" w:cs="Calibri"/>
                <w:color w:val="000000"/>
                <w:sz w:val="22"/>
                <w:lang w:eastAsia="en-GB"/>
              </w:rPr>
              <w:t>84.3 (19.5)</w:t>
            </w:r>
          </w:p>
        </w:tc>
      </w:tr>
      <w:tr w:rsidR="005A1C79" w:rsidRPr="00FC6C53" w14:paraId="4DADAC7B" w14:textId="77777777" w:rsidTr="3BF03DB3">
        <w:trPr>
          <w:trHeight w:val="288"/>
        </w:trPr>
        <w:tc>
          <w:tcPr>
            <w:tcW w:w="4253" w:type="dxa"/>
            <w:tcBorders>
              <w:left w:val="nil"/>
              <w:bottom w:val="nil"/>
              <w:right w:val="nil"/>
            </w:tcBorders>
            <w:shd w:val="clear" w:color="auto" w:fill="auto"/>
            <w:noWrap/>
            <w:vAlign w:val="bottom"/>
            <w:hideMark/>
          </w:tcPr>
          <w:p w14:paraId="450FCF3B"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Occupational social class (manual)</w:t>
            </w:r>
          </w:p>
        </w:tc>
        <w:tc>
          <w:tcPr>
            <w:tcW w:w="1701" w:type="dxa"/>
            <w:tcBorders>
              <w:left w:val="nil"/>
              <w:bottom w:val="nil"/>
              <w:right w:val="nil"/>
            </w:tcBorders>
            <w:shd w:val="clear" w:color="auto" w:fill="auto"/>
            <w:noWrap/>
            <w:vAlign w:val="bottom"/>
            <w:hideMark/>
          </w:tcPr>
          <w:p w14:paraId="0A8DF18A"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105 (55.6%)</w:t>
            </w:r>
          </w:p>
        </w:tc>
        <w:tc>
          <w:tcPr>
            <w:tcW w:w="1984" w:type="dxa"/>
            <w:tcBorders>
              <w:left w:val="nil"/>
              <w:bottom w:val="nil"/>
              <w:right w:val="nil"/>
            </w:tcBorders>
            <w:shd w:val="clear" w:color="auto" w:fill="auto"/>
            <w:noWrap/>
            <w:vAlign w:val="bottom"/>
            <w:hideMark/>
          </w:tcPr>
          <w:p w14:paraId="0277EC37"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101 (56.7%)</w:t>
            </w:r>
          </w:p>
        </w:tc>
      </w:tr>
      <w:tr w:rsidR="005A1C79" w:rsidRPr="00FC6C53" w14:paraId="354F0ADB" w14:textId="77777777" w:rsidTr="3BF03DB3">
        <w:trPr>
          <w:trHeight w:val="288"/>
        </w:trPr>
        <w:tc>
          <w:tcPr>
            <w:tcW w:w="4253" w:type="dxa"/>
            <w:tcBorders>
              <w:top w:val="nil"/>
              <w:left w:val="nil"/>
              <w:bottom w:val="nil"/>
              <w:right w:val="nil"/>
            </w:tcBorders>
            <w:shd w:val="clear" w:color="auto" w:fill="auto"/>
            <w:noWrap/>
            <w:vAlign w:val="bottom"/>
            <w:hideMark/>
          </w:tcPr>
          <w:p w14:paraId="1ABED4DD"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Number of systems medicated</w:t>
            </w:r>
          </w:p>
        </w:tc>
        <w:tc>
          <w:tcPr>
            <w:tcW w:w="1701" w:type="dxa"/>
            <w:tcBorders>
              <w:top w:val="nil"/>
              <w:left w:val="nil"/>
              <w:bottom w:val="nil"/>
              <w:right w:val="nil"/>
            </w:tcBorders>
            <w:shd w:val="clear" w:color="auto" w:fill="auto"/>
            <w:noWrap/>
            <w:vAlign w:val="bottom"/>
            <w:hideMark/>
          </w:tcPr>
          <w:p w14:paraId="25F8D52A"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1.0 (0.0, 1.0)</w:t>
            </w:r>
          </w:p>
        </w:tc>
        <w:tc>
          <w:tcPr>
            <w:tcW w:w="1984" w:type="dxa"/>
            <w:tcBorders>
              <w:top w:val="nil"/>
              <w:left w:val="nil"/>
              <w:bottom w:val="nil"/>
              <w:right w:val="nil"/>
            </w:tcBorders>
            <w:shd w:val="clear" w:color="auto" w:fill="auto"/>
            <w:noWrap/>
            <w:vAlign w:val="bottom"/>
            <w:hideMark/>
          </w:tcPr>
          <w:p w14:paraId="56166C8C"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1.0 (0.0, 2.0)</w:t>
            </w:r>
          </w:p>
        </w:tc>
      </w:tr>
      <w:tr w:rsidR="005A1C79" w:rsidRPr="00FC6C53" w14:paraId="28775734" w14:textId="77777777" w:rsidTr="3BF03DB3">
        <w:trPr>
          <w:trHeight w:val="288"/>
        </w:trPr>
        <w:tc>
          <w:tcPr>
            <w:tcW w:w="4253" w:type="dxa"/>
            <w:tcBorders>
              <w:top w:val="nil"/>
              <w:left w:val="nil"/>
              <w:bottom w:val="nil"/>
              <w:right w:val="nil"/>
            </w:tcBorders>
            <w:shd w:val="clear" w:color="auto" w:fill="auto"/>
            <w:noWrap/>
            <w:vAlign w:val="bottom"/>
            <w:hideMark/>
          </w:tcPr>
          <w:p w14:paraId="34603ECA" w14:textId="77777777" w:rsidR="005A1C79" w:rsidRPr="00FC6C53" w:rsidRDefault="005A1C79" w:rsidP="00413BF8">
            <w:pPr>
              <w:spacing w:after="0" w:line="240" w:lineRule="auto"/>
              <w:jc w:val="center"/>
              <w:rPr>
                <w:rFonts w:ascii="Calibri" w:eastAsia="Times New Roman" w:hAnsi="Calibri" w:cs="Calibri"/>
                <w:color w:val="000000"/>
                <w:sz w:val="22"/>
                <w:lang w:eastAsia="en-GB"/>
              </w:rPr>
            </w:pPr>
          </w:p>
        </w:tc>
        <w:tc>
          <w:tcPr>
            <w:tcW w:w="1701" w:type="dxa"/>
            <w:tcBorders>
              <w:top w:val="nil"/>
              <w:left w:val="nil"/>
              <w:bottom w:val="nil"/>
              <w:right w:val="nil"/>
            </w:tcBorders>
            <w:shd w:val="clear" w:color="auto" w:fill="auto"/>
            <w:noWrap/>
            <w:vAlign w:val="bottom"/>
            <w:hideMark/>
          </w:tcPr>
          <w:p w14:paraId="6B558CF1" w14:textId="77777777" w:rsidR="005A1C79" w:rsidRPr="00FC6C53" w:rsidRDefault="005A1C79" w:rsidP="00413BF8">
            <w:pPr>
              <w:spacing w:after="0" w:line="240" w:lineRule="auto"/>
              <w:rPr>
                <w:rFonts w:ascii="Times New Roman" w:eastAsia="Times New Roman" w:hAnsi="Times New Roman" w:cs="Times New Roman"/>
                <w:sz w:val="20"/>
                <w:szCs w:val="20"/>
                <w:lang w:eastAsia="en-GB"/>
              </w:rPr>
            </w:pPr>
          </w:p>
        </w:tc>
        <w:tc>
          <w:tcPr>
            <w:tcW w:w="1984" w:type="dxa"/>
            <w:tcBorders>
              <w:top w:val="nil"/>
              <w:left w:val="nil"/>
              <w:bottom w:val="nil"/>
              <w:right w:val="nil"/>
            </w:tcBorders>
            <w:shd w:val="clear" w:color="auto" w:fill="auto"/>
            <w:noWrap/>
            <w:vAlign w:val="bottom"/>
            <w:hideMark/>
          </w:tcPr>
          <w:p w14:paraId="4C0CF748" w14:textId="77777777" w:rsidR="005A1C79" w:rsidRPr="00FC6C53" w:rsidRDefault="005A1C79" w:rsidP="00413BF8">
            <w:pPr>
              <w:spacing w:after="0" w:line="240" w:lineRule="auto"/>
              <w:rPr>
                <w:rFonts w:ascii="Times New Roman" w:eastAsia="Times New Roman" w:hAnsi="Times New Roman" w:cs="Times New Roman"/>
                <w:sz w:val="20"/>
                <w:szCs w:val="20"/>
                <w:lang w:eastAsia="en-GB"/>
              </w:rPr>
            </w:pPr>
          </w:p>
        </w:tc>
      </w:tr>
      <w:tr w:rsidR="005A1C79" w:rsidRPr="00FC6C53" w14:paraId="4709F781" w14:textId="77777777" w:rsidTr="3BF03DB3">
        <w:trPr>
          <w:trHeight w:val="324"/>
        </w:trPr>
        <w:tc>
          <w:tcPr>
            <w:tcW w:w="4253" w:type="dxa"/>
            <w:tcBorders>
              <w:top w:val="nil"/>
              <w:left w:val="nil"/>
              <w:bottom w:val="nil"/>
              <w:right w:val="nil"/>
            </w:tcBorders>
            <w:shd w:val="clear" w:color="auto" w:fill="auto"/>
            <w:noWrap/>
            <w:vAlign w:val="bottom"/>
          </w:tcPr>
          <w:p w14:paraId="05593BC3" w14:textId="77777777" w:rsidR="005A1C79" w:rsidRPr="000D0402" w:rsidRDefault="005A1C79" w:rsidP="00413BF8">
            <w:pPr>
              <w:spacing w:after="0" w:line="240" w:lineRule="auto"/>
              <w:rPr>
                <w:rFonts w:ascii="Calibri" w:eastAsia="Times New Roman" w:hAnsi="Calibri" w:cs="Calibri"/>
                <w:b/>
                <w:i/>
                <w:color w:val="000000"/>
                <w:sz w:val="22"/>
                <w:lang w:eastAsia="en-GB"/>
              </w:rPr>
            </w:pPr>
            <w:r w:rsidRPr="000D0402">
              <w:rPr>
                <w:rFonts w:ascii="Calibri" w:eastAsia="Times New Roman" w:hAnsi="Calibri" w:cs="Calibri"/>
                <w:b/>
                <w:i/>
                <w:color w:val="000000"/>
                <w:sz w:val="22"/>
                <w:lang w:eastAsia="en-GB"/>
              </w:rPr>
              <w:t>Follow-up (2011-2012)</w:t>
            </w:r>
          </w:p>
        </w:tc>
        <w:tc>
          <w:tcPr>
            <w:tcW w:w="1701" w:type="dxa"/>
            <w:tcBorders>
              <w:top w:val="nil"/>
              <w:left w:val="nil"/>
              <w:bottom w:val="nil"/>
              <w:right w:val="nil"/>
            </w:tcBorders>
            <w:shd w:val="clear" w:color="auto" w:fill="auto"/>
            <w:noWrap/>
            <w:vAlign w:val="bottom"/>
          </w:tcPr>
          <w:p w14:paraId="4B566176" w14:textId="77777777" w:rsidR="005A1C79" w:rsidRPr="00FC6C53" w:rsidRDefault="005A1C79" w:rsidP="00413BF8">
            <w:pPr>
              <w:spacing w:after="0" w:line="240" w:lineRule="auto"/>
              <w:rPr>
                <w:rFonts w:ascii="Calibri" w:eastAsia="Times New Roman" w:hAnsi="Calibri" w:cs="Calibri"/>
                <w:color w:val="000000"/>
                <w:sz w:val="22"/>
                <w:lang w:eastAsia="en-GB"/>
              </w:rPr>
            </w:pPr>
          </w:p>
        </w:tc>
        <w:tc>
          <w:tcPr>
            <w:tcW w:w="1984" w:type="dxa"/>
            <w:tcBorders>
              <w:top w:val="nil"/>
              <w:left w:val="nil"/>
              <w:bottom w:val="nil"/>
              <w:right w:val="nil"/>
            </w:tcBorders>
            <w:shd w:val="clear" w:color="auto" w:fill="auto"/>
            <w:noWrap/>
            <w:vAlign w:val="bottom"/>
          </w:tcPr>
          <w:p w14:paraId="4BE5B97E" w14:textId="77777777" w:rsidR="005A1C79" w:rsidRPr="00FC6C53" w:rsidRDefault="005A1C79" w:rsidP="00413BF8">
            <w:pPr>
              <w:spacing w:after="0" w:line="240" w:lineRule="auto"/>
              <w:rPr>
                <w:rFonts w:ascii="Calibri" w:eastAsia="Times New Roman" w:hAnsi="Calibri" w:cs="Calibri"/>
                <w:color w:val="000000"/>
                <w:sz w:val="22"/>
                <w:lang w:eastAsia="en-GB"/>
              </w:rPr>
            </w:pPr>
          </w:p>
        </w:tc>
      </w:tr>
      <w:tr w:rsidR="005A1C79" w:rsidRPr="00FC6C53" w14:paraId="1B2E4FD3" w14:textId="77777777" w:rsidTr="3BF03DB3">
        <w:trPr>
          <w:trHeight w:val="324"/>
        </w:trPr>
        <w:tc>
          <w:tcPr>
            <w:tcW w:w="4253" w:type="dxa"/>
            <w:tcBorders>
              <w:top w:val="nil"/>
              <w:left w:val="nil"/>
              <w:bottom w:val="nil"/>
              <w:right w:val="nil"/>
            </w:tcBorders>
            <w:shd w:val="clear" w:color="auto" w:fill="auto"/>
            <w:noWrap/>
            <w:vAlign w:val="bottom"/>
          </w:tcPr>
          <w:p w14:paraId="6468FCCF" w14:textId="77777777" w:rsidR="005A1C79" w:rsidRPr="007D5279" w:rsidRDefault="005A1C79" w:rsidP="00413BF8">
            <w:pPr>
              <w:spacing w:after="0" w:line="240" w:lineRule="auto"/>
              <w:rPr>
                <w:rFonts w:ascii="Calibri" w:eastAsia="Times New Roman" w:hAnsi="Calibri" w:cs="Calibri"/>
                <w:bCs/>
                <w:iCs/>
                <w:color w:val="000000"/>
                <w:sz w:val="22"/>
                <w:lang w:eastAsia="en-GB"/>
              </w:rPr>
            </w:pPr>
            <w:r w:rsidRPr="007D5279">
              <w:rPr>
                <w:rFonts w:ascii="Calibri" w:eastAsia="Times New Roman" w:hAnsi="Calibri" w:cs="Calibri"/>
                <w:bCs/>
                <w:iCs/>
                <w:color w:val="000000"/>
                <w:sz w:val="22"/>
                <w:lang w:eastAsia="en-GB"/>
              </w:rPr>
              <w:t>Age (years)</w:t>
            </w:r>
          </w:p>
        </w:tc>
        <w:tc>
          <w:tcPr>
            <w:tcW w:w="1701" w:type="dxa"/>
            <w:tcBorders>
              <w:top w:val="nil"/>
              <w:left w:val="nil"/>
              <w:bottom w:val="nil"/>
              <w:right w:val="nil"/>
            </w:tcBorders>
            <w:shd w:val="clear" w:color="auto" w:fill="auto"/>
            <w:noWrap/>
            <w:vAlign w:val="bottom"/>
          </w:tcPr>
          <w:p w14:paraId="2AB76F16" w14:textId="343193C4" w:rsidR="005A1C79" w:rsidRPr="00FC6C53" w:rsidRDefault="005A1C79" w:rsidP="00413BF8">
            <w:pPr>
              <w:spacing w:after="0" w:line="240" w:lineRule="auto"/>
              <w:rPr>
                <w:rFonts w:ascii="Calibri" w:eastAsia="Times New Roman" w:hAnsi="Calibri" w:cs="Calibri"/>
                <w:color w:val="000000"/>
                <w:sz w:val="22"/>
                <w:lang w:eastAsia="en-GB"/>
              </w:rPr>
            </w:pPr>
            <w:r w:rsidRPr="007D5279">
              <w:rPr>
                <w:rFonts w:ascii="Calibri" w:eastAsia="Times New Roman" w:hAnsi="Calibri" w:cs="Calibri"/>
                <w:color w:val="000000"/>
                <w:sz w:val="22"/>
                <w:lang w:eastAsia="en-GB"/>
              </w:rPr>
              <w:t>76.1 (2.5</w:t>
            </w:r>
            <w:r>
              <w:rPr>
                <w:rFonts w:ascii="Calibri" w:eastAsia="Times New Roman" w:hAnsi="Calibri" w:cs="Calibri"/>
                <w:color w:val="000000"/>
                <w:sz w:val="22"/>
                <w:lang w:eastAsia="en-GB"/>
              </w:rPr>
              <w:t>)</w:t>
            </w:r>
            <w:r w:rsidRPr="007D5279">
              <w:rPr>
                <w:rFonts w:ascii="Calibri" w:eastAsia="Times New Roman" w:hAnsi="Calibri" w:cs="Calibri"/>
                <w:color w:val="000000"/>
                <w:sz w:val="22"/>
                <w:lang w:eastAsia="en-GB"/>
              </w:rPr>
              <w:t xml:space="preserve"> </w:t>
            </w:r>
          </w:p>
        </w:tc>
        <w:tc>
          <w:tcPr>
            <w:tcW w:w="1984" w:type="dxa"/>
            <w:tcBorders>
              <w:top w:val="nil"/>
              <w:left w:val="nil"/>
              <w:bottom w:val="nil"/>
              <w:right w:val="nil"/>
            </w:tcBorders>
            <w:shd w:val="clear" w:color="auto" w:fill="auto"/>
            <w:noWrap/>
            <w:vAlign w:val="bottom"/>
          </w:tcPr>
          <w:p w14:paraId="5A2D6952"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7D5279">
              <w:rPr>
                <w:rFonts w:ascii="Calibri" w:eastAsia="Times New Roman" w:hAnsi="Calibri" w:cs="Calibri"/>
                <w:color w:val="000000"/>
                <w:sz w:val="22"/>
                <w:lang w:eastAsia="en-GB"/>
              </w:rPr>
              <w:t>76.5 (2.6)</w:t>
            </w:r>
          </w:p>
        </w:tc>
      </w:tr>
      <w:tr w:rsidR="005A1C79" w:rsidRPr="00FC6C53" w14:paraId="69472490" w14:textId="77777777" w:rsidTr="3BF03DB3">
        <w:trPr>
          <w:trHeight w:val="324"/>
        </w:trPr>
        <w:tc>
          <w:tcPr>
            <w:tcW w:w="4253" w:type="dxa"/>
            <w:tcBorders>
              <w:top w:val="nil"/>
              <w:left w:val="nil"/>
              <w:bottom w:val="nil"/>
              <w:right w:val="nil"/>
            </w:tcBorders>
            <w:shd w:val="clear" w:color="auto" w:fill="auto"/>
            <w:noWrap/>
            <w:vAlign w:val="bottom"/>
          </w:tcPr>
          <w:p w14:paraId="5AB90DBE" w14:textId="77777777" w:rsidR="005A1C79" w:rsidRPr="007D5279" w:rsidRDefault="005A1C79" w:rsidP="00413BF8">
            <w:pPr>
              <w:spacing w:after="0" w:line="240" w:lineRule="auto"/>
              <w:rPr>
                <w:rFonts w:ascii="Calibri" w:eastAsia="Times New Roman" w:hAnsi="Calibri" w:cs="Calibri"/>
                <w:bCs/>
                <w:iCs/>
                <w:color w:val="000000"/>
                <w:sz w:val="22"/>
                <w:lang w:eastAsia="en-GB"/>
              </w:rPr>
            </w:pPr>
            <w:r w:rsidRPr="00FC6C53">
              <w:rPr>
                <w:rFonts w:ascii="Calibri" w:eastAsia="Times New Roman" w:hAnsi="Calibri" w:cs="Calibri"/>
                <w:color w:val="000000"/>
                <w:sz w:val="22"/>
                <w:lang w:eastAsia="en-GB"/>
              </w:rPr>
              <w:t>Follow-up time (years)</w:t>
            </w:r>
          </w:p>
        </w:tc>
        <w:tc>
          <w:tcPr>
            <w:tcW w:w="1701" w:type="dxa"/>
            <w:tcBorders>
              <w:top w:val="nil"/>
              <w:left w:val="nil"/>
              <w:bottom w:val="nil"/>
              <w:right w:val="nil"/>
            </w:tcBorders>
            <w:shd w:val="clear" w:color="auto" w:fill="auto"/>
            <w:noWrap/>
            <w:vAlign w:val="bottom"/>
          </w:tcPr>
          <w:p w14:paraId="085125CB"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12.3 (11.8, 12.7)</w:t>
            </w:r>
          </w:p>
        </w:tc>
        <w:tc>
          <w:tcPr>
            <w:tcW w:w="1984" w:type="dxa"/>
            <w:tcBorders>
              <w:top w:val="nil"/>
              <w:left w:val="nil"/>
              <w:bottom w:val="nil"/>
              <w:right w:val="nil"/>
            </w:tcBorders>
            <w:shd w:val="clear" w:color="auto" w:fill="auto"/>
            <w:noWrap/>
            <w:vAlign w:val="bottom"/>
          </w:tcPr>
          <w:p w14:paraId="2C238236"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10.8 (10.5, 11.2)</w:t>
            </w:r>
          </w:p>
        </w:tc>
      </w:tr>
      <w:tr w:rsidR="005A1C79" w:rsidRPr="00FC6C53" w14:paraId="753D7644" w14:textId="77777777" w:rsidTr="3BF03DB3">
        <w:trPr>
          <w:trHeight w:val="324"/>
        </w:trPr>
        <w:tc>
          <w:tcPr>
            <w:tcW w:w="4253" w:type="dxa"/>
            <w:tcBorders>
              <w:top w:val="nil"/>
              <w:left w:val="nil"/>
              <w:bottom w:val="nil"/>
              <w:right w:val="nil"/>
            </w:tcBorders>
            <w:shd w:val="clear" w:color="auto" w:fill="auto"/>
            <w:noWrap/>
            <w:vAlign w:val="bottom"/>
            <w:hideMark/>
          </w:tcPr>
          <w:p w14:paraId="69528512"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Calf muscle density (mg/cm</w:t>
            </w:r>
            <w:r w:rsidRPr="00FC6C53">
              <w:rPr>
                <w:rFonts w:ascii="Calibri" w:eastAsia="Times New Roman" w:hAnsi="Calibri" w:cs="Calibri"/>
                <w:color w:val="000000"/>
                <w:sz w:val="22"/>
                <w:vertAlign w:val="superscript"/>
                <w:lang w:eastAsia="en-GB"/>
              </w:rPr>
              <w:t>3</w:t>
            </w:r>
            <w:r w:rsidRPr="00FC6C53">
              <w:rPr>
                <w:rFonts w:ascii="Calibri" w:eastAsia="Times New Roman" w:hAnsi="Calibri" w:cs="Calibri"/>
                <w:color w:val="000000"/>
                <w:sz w:val="22"/>
                <w:lang w:eastAsia="en-GB"/>
              </w:rPr>
              <w:t>)</w:t>
            </w:r>
          </w:p>
        </w:tc>
        <w:tc>
          <w:tcPr>
            <w:tcW w:w="1701" w:type="dxa"/>
            <w:tcBorders>
              <w:top w:val="nil"/>
              <w:left w:val="nil"/>
              <w:bottom w:val="nil"/>
              <w:right w:val="nil"/>
            </w:tcBorders>
            <w:shd w:val="clear" w:color="auto" w:fill="auto"/>
            <w:noWrap/>
            <w:vAlign w:val="bottom"/>
            <w:hideMark/>
          </w:tcPr>
          <w:p w14:paraId="1DC7FECC"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80.7 (2.6)</w:t>
            </w:r>
          </w:p>
        </w:tc>
        <w:tc>
          <w:tcPr>
            <w:tcW w:w="1984" w:type="dxa"/>
            <w:tcBorders>
              <w:top w:val="nil"/>
              <w:left w:val="nil"/>
              <w:bottom w:val="nil"/>
              <w:right w:val="nil"/>
            </w:tcBorders>
            <w:shd w:val="clear" w:color="auto" w:fill="auto"/>
            <w:noWrap/>
            <w:vAlign w:val="bottom"/>
            <w:hideMark/>
          </w:tcPr>
          <w:p w14:paraId="1C86AA3C"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78.5 (2.6)</w:t>
            </w:r>
          </w:p>
        </w:tc>
      </w:tr>
      <w:tr w:rsidR="005A1C79" w:rsidRPr="00FC6C53" w14:paraId="124F0F64" w14:textId="77777777" w:rsidTr="3BF03DB3">
        <w:trPr>
          <w:trHeight w:val="324"/>
        </w:trPr>
        <w:tc>
          <w:tcPr>
            <w:tcW w:w="4253" w:type="dxa"/>
            <w:tcBorders>
              <w:top w:val="nil"/>
              <w:left w:val="nil"/>
              <w:bottom w:val="nil"/>
              <w:right w:val="nil"/>
            </w:tcBorders>
            <w:shd w:val="clear" w:color="auto" w:fill="auto"/>
            <w:noWrap/>
            <w:vAlign w:val="bottom"/>
            <w:hideMark/>
          </w:tcPr>
          <w:p w14:paraId="51EF10EE"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Forearm muscle density (mg/cm</w:t>
            </w:r>
            <w:r w:rsidRPr="00FC6C53">
              <w:rPr>
                <w:rFonts w:ascii="Calibri" w:eastAsia="Times New Roman" w:hAnsi="Calibri" w:cs="Calibri"/>
                <w:color w:val="000000"/>
                <w:sz w:val="22"/>
                <w:vertAlign w:val="superscript"/>
                <w:lang w:eastAsia="en-GB"/>
              </w:rPr>
              <w:t>3</w:t>
            </w:r>
            <w:r w:rsidRPr="00FC6C53">
              <w:rPr>
                <w:rFonts w:ascii="Calibri" w:eastAsia="Times New Roman" w:hAnsi="Calibri" w:cs="Calibri"/>
                <w:color w:val="000000"/>
                <w:sz w:val="22"/>
                <w:lang w:eastAsia="en-GB"/>
              </w:rPr>
              <w:t>)</w:t>
            </w:r>
          </w:p>
        </w:tc>
        <w:tc>
          <w:tcPr>
            <w:tcW w:w="1701" w:type="dxa"/>
            <w:tcBorders>
              <w:top w:val="nil"/>
              <w:left w:val="nil"/>
              <w:bottom w:val="nil"/>
              <w:right w:val="nil"/>
            </w:tcBorders>
            <w:shd w:val="clear" w:color="auto" w:fill="auto"/>
            <w:noWrap/>
            <w:vAlign w:val="bottom"/>
            <w:hideMark/>
          </w:tcPr>
          <w:p w14:paraId="5B69489C"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79.9 (3.1)</w:t>
            </w:r>
          </w:p>
        </w:tc>
        <w:tc>
          <w:tcPr>
            <w:tcW w:w="1984" w:type="dxa"/>
            <w:tcBorders>
              <w:top w:val="nil"/>
              <w:left w:val="nil"/>
              <w:bottom w:val="nil"/>
              <w:right w:val="nil"/>
            </w:tcBorders>
            <w:shd w:val="clear" w:color="auto" w:fill="auto"/>
            <w:noWrap/>
            <w:vAlign w:val="bottom"/>
            <w:hideMark/>
          </w:tcPr>
          <w:p w14:paraId="711373D1"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C6C53">
              <w:rPr>
                <w:rFonts w:ascii="Calibri" w:eastAsia="Times New Roman" w:hAnsi="Calibri" w:cs="Calibri"/>
                <w:color w:val="000000"/>
                <w:sz w:val="22"/>
                <w:lang w:eastAsia="en-GB"/>
              </w:rPr>
              <w:t>77.2 (3.2)</w:t>
            </w:r>
          </w:p>
        </w:tc>
      </w:tr>
      <w:tr w:rsidR="005A1C79" w:rsidRPr="00FC6C53" w14:paraId="58430BDF" w14:textId="77777777" w:rsidTr="3BF03DB3">
        <w:trPr>
          <w:trHeight w:val="324"/>
        </w:trPr>
        <w:tc>
          <w:tcPr>
            <w:tcW w:w="4253" w:type="dxa"/>
            <w:tcBorders>
              <w:top w:val="nil"/>
              <w:left w:val="nil"/>
              <w:bottom w:val="nil"/>
              <w:right w:val="nil"/>
            </w:tcBorders>
            <w:shd w:val="clear" w:color="auto" w:fill="auto"/>
            <w:noWrap/>
            <w:vAlign w:val="bottom"/>
          </w:tcPr>
          <w:p w14:paraId="7E0E298B"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Appendicular lean mass index (kg/m</w:t>
            </w:r>
            <w:r w:rsidRPr="00F410C0">
              <w:rPr>
                <w:rFonts w:ascii="Calibri" w:eastAsia="Times New Roman" w:hAnsi="Calibri" w:cs="Calibri"/>
                <w:color w:val="000000"/>
                <w:sz w:val="22"/>
                <w:vertAlign w:val="superscript"/>
                <w:lang w:eastAsia="en-GB"/>
              </w:rPr>
              <w:t>2</w:t>
            </w:r>
            <w:r>
              <w:rPr>
                <w:rFonts w:ascii="Calibri" w:eastAsia="Times New Roman" w:hAnsi="Calibri" w:cs="Calibri"/>
                <w:color w:val="000000"/>
                <w:sz w:val="22"/>
                <w:lang w:eastAsia="en-GB"/>
              </w:rPr>
              <w:t>)</w:t>
            </w:r>
          </w:p>
        </w:tc>
        <w:tc>
          <w:tcPr>
            <w:tcW w:w="1701" w:type="dxa"/>
            <w:tcBorders>
              <w:top w:val="nil"/>
              <w:left w:val="nil"/>
              <w:bottom w:val="nil"/>
              <w:right w:val="nil"/>
            </w:tcBorders>
            <w:shd w:val="clear" w:color="auto" w:fill="auto"/>
            <w:noWrap/>
            <w:vAlign w:val="bottom"/>
          </w:tcPr>
          <w:p w14:paraId="005CBEDF" w14:textId="1B7E7EA6"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8.0 (0.7)</w:t>
            </w:r>
          </w:p>
        </w:tc>
        <w:tc>
          <w:tcPr>
            <w:tcW w:w="1984" w:type="dxa"/>
            <w:tcBorders>
              <w:top w:val="nil"/>
              <w:left w:val="nil"/>
              <w:bottom w:val="nil"/>
              <w:right w:val="nil"/>
            </w:tcBorders>
            <w:shd w:val="clear" w:color="auto" w:fill="auto"/>
            <w:noWrap/>
            <w:vAlign w:val="bottom"/>
          </w:tcPr>
          <w:p w14:paraId="011330C8"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6.4 (0.7)</w:t>
            </w:r>
          </w:p>
        </w:tc>
      </w:tr>
      <w:tr w:rsidR="005A1C79" w:rsidRPr="00FC6C53" w14:paraId="2F4B54E0" w14:textId="77777777" w:rsidTr="3BF03DB3">
        <w:trPr>
          <w:trHeight w:val="324"/>
        </w:trPr>
        <w:tc>
          <w:tcPr>
            <w:tcW w:w="4253" w:type="dxa"/>
            <w:tcBorders>
              <w:top w:val="nil"/>
              <w:left w:val="nil"/>
              <w:bottom w:val="nil"/>
              <w:right w:val="nil"/>
            </w:tcBorders>
            <w:shd w:val="clear" w:color="auto" w:fill="auto"/>
            <w:noWrap/>
            <w:vAlign w:val="bottom"/>
          </w:tcPr>
          <w:p w14:paraId="1F2B6076"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Grip strength (kg)</w:t>
            </w:r>
          </w:p>
        </w:tc>
        <w:tc>
          <w:tcPr>
            <w:tcW w:w="1701" w:type="dxa"/>
            <w:tcBorders>
              <w:top w:val="nil"/>
              <w:left w:val="nil"/>
              <w:bottom w:val="nil"/>
              <w:right w:val="nil"/>
            </w:tcBorders>
            <w:shd w:val="clear" w:color="auto" w:fill="auto"/>
            <w:noWrap/>
            <w:vAlign w:val="bottom"/>
          </w:tcPr>
          <w:p w14:paraId="5E2063FC" w14:textId="3092E16A"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36.6 (7.5)</w:t>
            </w:r>
          </w:p>
        </w:tc>
        <w:tc>
          <w:tcPr>
            <w:tcW w:w="1984" w:type="dxa"/>
            <w:tcBorders>
              <w:top w:val="nil"/>
              <w:left w:val="nil"/>
              <w:bottom w:val="nil"/>
              <w:right w:val="nil"/>
            </w:tcBorders>
            <w:shd w:val="clear" w:color="auto" w:fill="auto"/>
            <w:noWrap/>
            <w:vAlign w:val="bottom"/>
          </w:tcPr>
          <w:p w14:paraId="1BA8A193"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21.8 (6.2)</w:t>
            </w:r>
          </w:p>
        </w:tc>
      </w:tr>
      <w:tr w:rsidR="005A1C79" w:rsidRPr="00FC6C53" w14:paraId="09FE0832" w14:textId="77777777" w:rsidTr="3BF03DB3">
        <w:trPr>
          <w:trHeight w:val="324"/>
        </w:trPr>
        <w:tc>
          <w:tcPr>
            <w:tcW w:w="4253" w:type="dxa"/>
            <w:tcBorders>
              <w:top w:val="nil"/>
              <w:left w:val="nil"/>
              <w:bottom w:val="nil"/>
              <w:right w:val="nil"/>
            </w:tcBorders>
            <w:shd w:val="clear" w:color="auto" w:fill="auto"/>
            <w:noWrap/>
            <w:vAlign w:val="bottom"/>
          </w:tcPr>
          <w:p w14:paraId="7803F25C"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Gait speed (m/s)</w:t>
            </w:r>
          </w:p>
        </w:tc>
        <w:tc>
          <w:tcPr>
            <w:tcW w:w="1701" w:type="dxa"/>
            <w:tcBorders>
              <w:top w:val="nil"/>
              <w:left w:val="nil"/>
              <w:bottom w:val="nil"/>
              <w:right w:val="nil"/>
            </w:tcBorders>
            <w:shd w:val="clear" w:color="auto" w:fill="auto"/>
            <w:noWrap/>
            <w:vAlign w:val="bottom"/>
          </w:tcPr>
          <w:p w14:paraId="4A759D38" w14:textId="6118EED2"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0.79 (0.17)</w:t>
            </w:r>
          </w:p>
        </w:tc>
        <w:tc>
          <w:tcPr>
            <w:tcW w:w="1984" w:type="dxa"/>
            <w:tcBorders>
              <w:top w:val="nil"/>
              <w:left w:val="nil"/>
              <w:bottom w:val="nil"/>
              <w:right w:val="nil"/>
            </w:tcBorders>
            <w:shd w:val="clear" w:color="auto" w:fill="auto"/>
            <w:noWrap/>
            <w:vAlign w:val="bottom"/>
          </w:tcPr>
          <w:p w14:paraId="1D1D5978"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0.74 (0.18)</w:t>
            </w:r>
          </w:p>
        </w:tc>
      </w:tr>
      <w:tr w:rsidR="005A1C79" w:rsidRPr="00FC6C53" w14:paraId="242724B1" w14:textId="77777777" w:rsidTr="3BF03DB3">
        <w:trPr>
          <w:trHeight w:val="324"/>
        </w:trPr>
        <w:tc>
          <w:tcPr>
            <w:tcW w:w="4253" w:type="dxa"/>
            <w:tcBorders>
              <w:top w:val="nil"/>
              <w:left w:val="nil"/>
              <w:bottom w:val="nil"/>
              <w:right w:val="nil"/>
            </w:tcBorders>
            <w:shd w:val="clear" w:color="auto" w:fill="auto"/>
            <w:noWrap/>
            <w:vAlign w:val="bottom"/>
          </w:tcPr>
          <w:p w14:paraId="718D1118"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Total hip BMD (g/cm</w:t>
            </w:r>
            <w:r w:rsidRPr="00F410C0">
              <w:rPr>
                <w:rFonts w:ascii="Calibri" w:eastAsia="Times New Roman" w:hAnsi="Calibri" w:cs="Calibri"/>
                <w:color w:val="000000"/>
                <w:sz w:val="22"/>
                <w:vertAlign w:val="superscript"/>
                <w:lang w:eastAsia="en-GB"/>
              </w:rPr>
              <w:t>2</w:t>
            </w:r>
            <w:r>
              <w:rPr>
                <w:rFonts w:ascii="Calibri" w:eastAsia="Times New Roman" w:hAnsi="Calibri" w:cs="Calibri"/>
                <w:color w:val="000000"/>
                <w:sz w:val="22"/>
                <w:lang w:eastAsia="en-GB"/>
              </w:rPr>
              <w:t>)</w:t>
            </w:r>
          </w:p>
        </w:tc>
        <w:tc>
          <w:tcPr>
            <w:tcW w:w="1701" w:type="dxa"/>
            <w:tcBorders>
              <w:top w:val="nil"/>
              <w:left w:val="nil"/>
              <w:bottom w:val="nil"/>
              <w:right w:val="nil"/>
            </w:tcBorders>
            <w:shd w:val="clear" w:color="auto" w:fill="auto"/>
            <w:noWrap/>
            <w:vAlign w:val="bottom"/>
          </w:tcPr>
          <w:p w14:paraId="4BD5C8FE" w14:textId="36A741B2"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1.03 (0.15)</w:t>
            </w:r>
          </w:p>
        </w:tc>
        <w:tc>
          <w:tcPr>
            <w:tcW w:w="1984" w:type="dxa"/>
            <w:tcBorders>
              <w:top w:val="nil"/>
              <w:left w:val="nil"/>
              <w:bottom w:val="nil"/>
              <w:right w:val="nil"/>
            </w:tcBorders>
            <w:shd w:val="clear" w:color="auto" w:fill="auto"/>
            <w:noWrap/>
            <w:vAlign w:val="bottom"/>
          </w:tcPr>
          <w:p w14:paraId="638C9B1A"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0.88 (0.14)</w:t>
            </w:r>
          </w:p>
        </w:tc>
      </w:tr>
      <w:tr w:rsidR="005A1C79" w:rsidRPr="00FC6C53" w14:paraId="5E71E2B3" w14:textId="77777777" w:rsidTr="3BF03DB3">
        <w:trPr>
          <w:trHeight w:val="324"/>
        </w:trPr>
        <w:tc>
          <w:tcPr>
            <w:tcW w:w="4253" w:type="dxa"/>
            <w:tcBorders>
              <w:top w:val="nil"/>
              <w:left w:val="nil"/>
              <w:right w:val="nil"/>
            </w:tcBorders>
            <w:shd w:val="clear" w:color="auto" w:fill="auto"/>
            <w:noWrap/>
            <w:vAlign w:val="bottom"/>
          </w:tcPr>
          <w:p w14:paraId="0CB75187"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Previous fall since age 45 years</w:t>
            </w:r>
          </w:p>
        </w:tc>
        <w:tc>
          <w:tcPr>
            <w:tcW w:w="1701" w:type="dxa"/>
            <w:tcBorders>
              <w:top w:val="nil"/>
              <w:left w:val="nil"/>
              <w:right w:val="nil"/>
            </w:tcBorders>
            <w:shd w:val="clear" w:color="auto" w:fill="auto"/>
            <w:noWrap/>
            <w:vAlign w:val="bottom"/>
          </w:tcPr>
          <w:p w14:paraId="6FBF567F"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 xml:space="preserve">103 (56.6%) </w:t>
            </w:r>
          </w:p>
        </w:tc>
        <w:tc>
          <w:tcPr>
            <w:tcW w:w="1984" w:type="dxa"/>
            <w:tcBorders>
              <w:top w:val="nil"/>
              <w:left w:val="nil"/>
              <w:right w:val="nil"/>
            </w:tcBorders>
            <w:shd w:val="clear" w:color="auto" w:fill="auto"/>
            <w:noWrap/>
            <w:vAlign w:val="bottom"/>
          </w:tcPr>
          <w:p w14:paraId="1A6637A8"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119 (72.1%)</w:t>
            </w:r>
          </w:p>
        </w:tc>
      </w:tr>
      <w:tr w:rsidR="3BF03DB3" w14:paraId="33A75F06" w14:textId="77777777" w:rsidTr="3BF03DB3">
        <w:trPr>
          <w:trHeight w:val="324"/>
        </w:trPr>
        <w:tc>
          <w:tcPr>
            <w:tcW w:w="4253" w:type="dxa"/>
            <w:tcBorders>
              <w:top w:val="nil"/>
              <w:left w:val="nil"/>
              <w:right w:val="nil"/>
            </w:tcBorders>
            <w:shd w:val="clear" w:color="auto" w:fill="auto"/>
            <w:noWrap/>
            <w:vAlign w:val="bottom"/>
          </w:tcPr>
          <w:p w14:paraId="20B02340" w14:textId="0F0893C8" w:rsidR="3BF03DB3" w:rsidRDefault="3BF03DB3" w:rsidP="3BF03DB3">
            <w:pPr>
              <w:spacing w:line="240" w:lineRule="auto"/>
              <w:rPr>
                <w:rFonts w:ascii="Calibri" w:eastAsia="Times New Roman" w:hAnsi="Calibri" w:cs="Calibri"/>
                <w:color w:val="000000" w:themeColor="text1"/>
                <w:sz w:val="22"/>
                <w:lang w:eastAsia="en-GB"/>
              </w:rPr>
            </w:pPr>
            <w:r w:rsidRPr="3BF03DB3">
              <w:rPr>
                <w:rFonts w:ascii="Calibri" w:eastAsia="Times New Roman" w:hAnsi="Calibri" w:cs="Calibri"/>
                <w:color w:val="000000" w:themeColor="text1"/>
                <w:sz w:val="22"/>
                <w:lang w:eastAsia="en-GB"/>
              </w:rPr>
              <w:t xml:space="preserve">Self-reported fracture </w:t>
            </w:r>
            <w:r w:rsidR="36B37BFF" w:rsidRPr="3BF03DB3">
              <w:rPr>
                <w:rFonts w:ascii="Calibri" w:eastAsia="Times New Roman" w:hAnsi="Calibri" w:cs="Calibri"/>
                <w:color w:val="000000" w:themeColor="text1"/>
                <w:sz w:val="22"/>
                <w:lang w:eastAsia="en-GB"/>
              </w:rPr>
              <w:t>since age 45 years</w:t>
            </w:r>
          </w:p>
        </w:tc>
        <w:tc>
          <w:tcPr>
            <w:tcW w:w="1701" w:type="dxa"/>
            <w:tcBorders>
              <w:top w:val="nil"/>
              <w:left w:val="nil"/>
              <w:right w:val="nil"/>
            </w:tcBorders>
            <w:shd w:val="clear" w:color="auto" w:fill="auto"/>
            <w:noWrap/>
            <w:vAlign w:val="bottom"/>
          </w:tcPr>
          <w:p w14:paraId="0617AEAA" w14:textId="13B9F319" w:rsidR="3BF03DB3" w:rsidRDefault="3BF03DB3" w:rsidP="3BF03DB3">
            <w:pPr>
              <w:spacing w:line="240" w:lineRule="auto"/>
              <w:rPr>
                <w:rFonts w:ascii="Calibri" w:eastAsia="Times New Roman" w:hAnsi="Calibri" w:cs="Calibri"/>
                <w:color w:val="000000" w:themeColor="text1"/>
                <w:sz w:val="22"/>
                <w:lang w:eastAsia="en-GB"/>
              </w:rPr>
            </w:pPr>
            <w:r w:rsidRPr="3BF03DB3">
              <w:rPr>
                <w:rFonts w:ascii="Calibri" w:eastAsia="Times New Roman" w:hAnsi="Calibri" w:cs="Calibri"/>
                <w:color w:val="000000" w:themeColor="text1"/>
                <w:sz w:val="22"/>
                <w:lang w:eastAsia="en-GB"/>
              </w:rPr>
              <w:t>40 (22.3%)</w:t>
            </w:r>
          </w:p>
        </w:tc>
        <w:tc>
          <w:tcPr>
            <w:tcW w:w="1984" w:type="dxa"/>
            <w:tcBorders>
              <w:top w:val="nil"/>
              <w:left w:val="nil"/>
              <w:right w:val="nil"/>
            </w:tcBorders>
            <w:shd w:val="clear" w:color="auto" w:fill="auto"/>
            <w:noWrap/>
            <w:vAlign w:val="bottom"/>
          </w:tcPr>
          <w:p w14:paraId="063F8ECC" w14:textId="1F501C78" w:rsidR="3BF03DB3" w:rsidRDefault="3BF03DB3" w:rsidP="3BF03DB3">
            <w:pPr>
              <w:spacing w:line="240" w:lineRule="auto"/>
              <w:rPr>
                <w:rFonts w:ascii="Calibri" w:eastAsia="Times New Roman" w:hAnsi="Calibri" w:cs="Calibri"/>
                <w:color w:val="000000" w:themeColor="text1"/>
                <w:sz w:val="22"/>
                <w:lang w:eastAsia="en-GB"/>
              </w:rPr>
            </w:pPr>
            <w:r w:rsidRPr="3BF03DB3">
              <w:rPr>
                <w:rFonts w:ascii="Calibri" w:eastAsia="Times New Roman" w:hAnsi="Calibri" w:cs="Calibri"/>
                <w:color w:val="000000" w:themeColor="text1"/>
                <w:sz w:val="22"/>
                <w:lang w:eastAsia="en-GB"/>
              </w:rPr>
              <w:t>45 (27.1%)</w:t>
            </w:r>
          </w:p>
        </w:tc>
      </w:tr>
      <w:tr w:rsidR="3BF03DB3" w14:paraId="2898A7E1" w14:textId="77777777" w:rsidTr="3BF03DB3">
        <w:trPr>
          <w:trHeight w:val="324"/>
        </w:trPr>
        <w:tc>
          <w:tcPr>
            <w:tcW w:w="4253" w:type="dxa"/>
            <w:tcBorders>
              <w:top w:val="nil"/>
              <w:left w:val="nil"/>
              <w:right w:val="nil"/>
            </w:tcBorders>
            <w:shd w:val="clear" w:color="auto" w:fill="auto"/>
            <w:noWrap/>
            <w:vAlign w:val="bottom"/>
          </w:tcPr>
          <w:p w14:paraId="3B42B3B9" w14:textId="0B553943" w:rsidR="3BF03DB3" w:rsidRDefault="3BF03DB3" w:rsidP="3BF03DB3">
            <w:pPr>
              <w:spacing w:line="240" w:lineRule="auto"/>
              <w:rPr>
                <w:rFonts w:ascii="Calibri" w:eastAsia="Times New Roman" w:hAnsi="Calibri" w:cs="Calibri"/>
                <w:color w:val="000000" w:themeColor="text1"/>
                <w:sz w:val="22"/>
                <w:lang w:eastAsia="en-GB"/>
              </w:rPr>
            </w:pPr>
            <w:r w:rsidRPr="3BF03DB3">
              <w:rPr>
                <w:rFonts w:ascii="Calibri" w:eastAsia="Times New Roman" w:hAnsi="Calibri" w:cs="Calibri"/>
                <w:color w:val="000000" w:themeColor="text1"/>
                <w:sz w:val="22"/>
                <w:lang w:eastAsia="en-GB"/>
              </w:rPr>
              <w:t>Vertebral fracture</w:t>
            </w:r>
          </w:p>
        </w:tc>
        <w:tc>
          <w:tcPr>
            <w:tcW w:w="1701" w:type="dxa"/>
            <w:tcBorders>
              <w:top w:val="nil"/>
              <w:left w:val="nil"/>
              <w:right w:val="nil"/>
            </w:tcBorders>
            <w:shd w:val="clear" w:color="auto" w:fill="auto"/>
            <w:noWrap/>
            <w:vAlign w:val="bottom"/>
          </w:tcPr>
          <w:p w14:paraId="037FB9FD" w14:textId="2328B547" w:rsidR="3BF03DB3" w:rsidRDefault="3BF03DB3" w:rsidP="3BF03DB3">
            <w:pPr>
              <w:spacing w:line="240" w:lineRule="auto"/>
              <w:rPr>
                <w:rFonts w:ascii="Calibri" w:eastAsia="Times New Roman" w:hAnsi="Calibri" w:cs="Calibri"/>
                <w:color w:val="000000" w:themeColor="text1"/>
                <w:sz w:val="22"/>
                <w:lang w:eastAsia="en-GB"/>
              </w:rPr>
            </w:pPr>
            <w:r w:rsidRPr="3BF03DB3">
              <w:rPr>
                <w:rFonts w:ascii="Calibri" w:eastAsia="Times New Roman" w:hAnsi="Calibri" w:cs="Calibri"/>
                <w:color w:val="000000" w:themeColor="text1"/>
                <w:sz w:val="22"/>
                <w:lang w:eastAsia="en-GB"/>
              </w:rPr>
              <w:t>11 (5.6%)</w:t>
            </w:r>
          </w:p>
        </w:tc>
        <w:tc>
          <w:tcPr>
            <w:tcW w:w="1984" w:type="dxa"/>
            <w:tcBorders>
              <w:top w:val="nil"/>
              <w:left w:val="nil"/>
              <w:right w:val="nil"/>
            </w:tcBorders>
            <w:shd w:val="clear" w:color="auto" w:fill="auto"/>
            <w:noWrap/>
            <w:vAlign w:val="bottom"/>
          </w:tcPr>
          <w:p w14:paraId="5D7F5DDF" w14:textId="5BF03C73" w:rsidR="3BF03DB3" w:rsidRDefault="3BF03DB3" w:rsidP="3BF03DB3">
            <w:pPr>
              <w:spacing w:line="240" w:lineRule="auto"/>
              <w:rPr>
                <w:rFonts w:ascii="Calibri" w:eastAsia="Times New Roman" w:hAnsi="Calibri" w:cs="Calibri"/>
                <w:color w:val="000000" w:themeColor="text1"/>
                <w:sz w:val="22"/>
                <w:lang w:eastAsia="en-GB"/>
              </w:rPr>
            </w:pPr>
            <w:r w:rsidRPr="3BF03DB3">
              <w:rPr>
                <w:rFonts w:ascii="Calibri" w:eastAsia="Times New Roman" w:hAnsi="Calibri" w:cs="Calibri"/>
                <w:color w:val="000000" w:themeColor="text1"/>
                <w:sz w:val="22"/>
                <w:lang w:eastAsia="en-GB"/>
              </w:rPr>
              <w:t>14 (8.0%)</w:t>
            </w:r>
          </w:p>
        </w:tc>
      </w:tr>
      <w:tr w:rsidR="005A1C79" w:rsidRPr="00FC6C53" w14:paraId="682A9541" w14:textId="77777777" w:rsidTr="3BF03DB3">
        <w:trPr>
          <w:trHeight w:val="324"/>
        </w:trPr>
        <w:tc>
          <w:tcPr>
            <w:tcW w:w="4253" w:type="dxa"/>
            <w:tcBorders>
              <w:top w:val="nil"/>
              <w:left w:val="nil"/>
              <w:bottom w:val="single" w:sz="4" w:space="0" w:color="auto"/>
              <w:right w:val="nil"/>
            </w:tcBorders>
            <w:shd w:val="clear" w:color="auto" w:fill="auto"/>
            <w:noWrap/>
            <w:vAlign w:val="bottom"/>
          </w:tcPr>
          <w:p w14:paraId="5212CF7B"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Previous fracture since age 45 years</w:t>
            </w:r>
          </w:p>
        </w:tc>
        <w:tc>
          <w:tcPr>
            <w:tcW w:w="1701" w:type="dxa"/>
            <w:tcBorders>
              <w:top w:val="nil"/>
              <w:left w:val="nil"/>
              <w:bottom w:val="single" w:sz="4" w:space="0" w:color="auto"/>
              <w:right w:val="nil"/>
            </w:tcBorders>
            <w:shd w:val="clear" w:color="auto" w:fill="auto"/>
            <w:noWrap/>
            <w:vAlign w:val="bottom"/>
          </w:tcPr>
          <w:p w14:paraId="36AE9573"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 xml:space="preserve">46 (25.7%) </w:t>
            </w:r>
          </w:p>
        </w:tc>
        <w:tc>
          <w:tcPr>
            <w:tcW w:w="1984" w:type="dxa"/>
            <w:tcBorders>
              <w:top w:val="nil"/>
              <w:left w:val="nil"/>
              <w:bottom w:val="single" w:sz="4" w:space="0" w:color="auto"/>
              <w:right w:val="nil"/>
            </w:tcBorders>
            <w:shd w:val="clear" w:color="auto" w:fill="auto"/>
            <w:noWrap/>
            <w:vAlign w:val="bottom"/>
          </w:tcPr>
          <w:p w14:paraId="62A8289A" w14:textId="77777777" w:rsidR="005A1C79" w:rsidRPr="00FC6C53" w:rsidRDefault="005A1C79" w:rsidP="00413BF8">
            <w:pPr>
              <w:spacing w:after="0" w:line="240" w:lineRule="auto"/>
              <w:rPr>
                <w:rFonts w:ascii="Calibri" w:eastAsia="Times New Roman" w:hAnsi="Calibri" w:cs="Calibri"/>
                <w:color w:val="000000"/>
                <w:sz w:val="22"/>
                <w:lang w:eastAsia="en-GB"/>
              </w:rPr>
            </w:pPr>
            <w:r w:rsidRPr="00F410C0">
              <w:rPr>
                <w:rFonts w:ascii="Calibri" w:eastAsia="Times New Roman" w:hAnsi="Calibri" w:cs="Calibri"/>
                <w:color w:val="000000"/>
                <w:sz w:val="22"/>
                <w:lang w:eastAsia="en-GB"/>
              </w:rPr>
              <w:t>51 (30.9%)</w:t>
            </w:r>
          </w:p>
        </w:tc>
      </w:tr>
      <w:tr w:rsidR="005A1C79" w:rsidRPr="00FC6C53" w14:paraId="319D26C5" w14:textId="77777777" w:rsidTr="3BF03DB3">
        <w:trPr>
          <w:trHeight w:val="324"/>
        </w:trPr>
        <w:tc>
          <w:tcPr>
            <w:tcW w:w="7938" w:type="dxa"/>
            <w:gridSpan w:val="3"/>
            <w:tcBorders>
              <w:left w:val="nil"/>
              <w:right w:val="nil"/>
            </w:tcBorders>
            <w:shd w:val="clear" w:color="auto" w:fill="auto"/>
            <w:noWrap/>
            <w:vAlign w:val="bottom"/>
          </w:tcPr>
          <w:p w14:paraId="44ACBB60" w14:textId="77777777" w:rsidR="005A1C79" w:rsidRPr="00FC6C53"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Previous fractures included self-reported and vertebral fractures</w:t>
            </w:r>
          </w:p>
        </w:tc>
      </w:tr>
    </w:tbl>
    <w:p w14:paraId="7D12B89F" w14:textId="77777777" w:rsidR="005A1C79" w:rsidRDefault="005A1C79" w:rsidP="00BC5BDD">
      <w:pPr>
        <w:jc w:val="both"/>
        <w:rPr>
          <w:color w:val="000000"/>
          <w:shd w:val="clear" w:color="auto" w:fill="FFFFFF"/>
        </w:rPr>
      </w:pPr>
    </w:p>
    <w:p w14:paraId="4962F85F" w14:textId="78B2915E" w:rsidR="00087B16" w:rsidRDefault="25887B21" w:rsidP="00BC5BDD">
      <w:pPr>
        <w:pStyle w:val="Heading2"/>
        <w:jc w:val="both"/>
        <w:rPr>
          <w:shd w:val="clear" w:color="auto" w:fill="FFFFFF"/>
        </w:rPr>
      </w:pPr>
      <w:r>
        <w:rPr>
          <w:shd w:val="clear" w:color="auto" w:fill="FFFFFF"/>
        </w:rPr>
        <w:t xml:space="preserve">Associations between baseline characteristics and </w:t>
      </w:r>
      <w:r w:rsidR="2CB199C6">
        <w:rPr>
          <w:shd w:val="clear" w:color="auto" w:fill="FFFFFF"/>
        </w:rPr>
        <w:t xml:space="preserve">muscle density </w:t>
      </w:r>
    </w:p>
    <w:p w14:paraId="16C982D3" w14:textId="1A851436" w:rsidR="005E7005" w:rsidRDefault="44A62420" w:rsidP="00BC5BDD">
      <w:pPr>
        <w:jc w:val="both"/>
      </w:pPr>
      <w:r>
        <w:t xml:space="preserve">Associations between baseline characteristics and muscle density measures at follow-up are </w:t>
      </w:r>
      <w:r w:rsidRPr="008958DE">
        <w:t xml:space="preserve">presented in </w:t>
      </w:r>
      <w:r w:rsidR="00F862FB" w:rsidRPr="008958DE">
        <w:t>Table 2</w:t>
      </w:r>
      <w:r w:rsidR="005E7005" w:rsidRPr="008958DE">
        <w:fldChar w:fldCharType="begin"/>
      </w:r>
      <w:r w:rsidR="005E7005" w:rsidRPr="008958DE">
        <w:instrText xml:space="preserve"> REF _Ref93589656 \h  \* MERGEFORMAT </w:instrText>
      </w:r>
      <w:r w:rsidR="005E7005" w:rsidRPr="008958DE">
        <w:fldChar w:fldCharType="end"/>
      </w:r>
      <w:r w:rsidRPr="008958DE">
        <w:t>. Sex</w:t>
      </w:r>
      <w:r>
        <w:t xml:space="preserve">, baseline age and follow-up time were included as covariates in all models. Female sex, lower weight, and lower BMI were associated with both lower forearm </w:t>
      </w:r>
      <w:r>
        <w:lastRenderedPageBreak/>
        <w:t>and calf muscle density</w:t>
      </w:r>
      <w:r w:rsidR="53F5EAD9">
        <w:t>.</w:t>
      </w:r>
      <w:r>
        <w:t xml:space="preserve"> SD difference</w:t>
      </w:r>
      <w:r w:rsidR="14F6E157">
        <w:t>s</w:t>
      </w:r>
      <w:r>
        <w:t xml:space="preserve"> in calf muscle density for </w:t>
      </w:r>
      <w:r w:rsidR="6F8132F3">
        <w:t>females</w:t>
      </w:r>
      <w:r>
        <w:t xml:space="preserve"> compared to </w:t>
      </w:r>
      <w:r w:rsidR="6F8132F3">
        <w:t>males</w:t>
      </w:r>
      <w:r>
        <w:t xml:space="preserve">, and per SD lower weight and BMI were -0.84 [95%CI: -1.13, -0.54]), -0.37 [-0.46, -0.27] and -0.31 [-0.40, -0.23] respectively. Additional correlates of lower calf muscle density included older age </w:t>
      </w:r>
      <w:r w:rsidR="402A4DED">
        <w:t xml:space="preserve">(SD difference per SD lower age: 0.20 [0.10,0.30], </w:t>
      </w:r>
      <w:r>
        <w:t>p&lt;0.001) and shorter stature (</w:t>
      </w:r>
      <w:r w:rsidR="402A4DED">
        <w:t xml:space="preserve">SD difference per SD shorter height: -0.16 [-0.30,-0.03], </w:t>
      </w:r>
      <w:r>
        <w:t xml:space="preserve">p=0.018). Lifestyle factors, social class and comorbidity were not associated with either of the muscle density </w:t>
      </w:r>
      <w:r w:rsidR="14F6E157">
        <w:t>measures.</w:t>
      </w:r>
    </w:p>
    <w:p w14:paraId="3C86ED80" w14:textId="54CD426A" w:rsidR="005E7005" w:rsidRDefault="005E7005" w:rsidP="00BC5BDD">
      <w:pPr>
        <w:pStyle w:val="Heading2"/>
        <w:jc w:val="both"/>
      </w:pPr>
      <w:r>
        <w:t>Muscle density</w:t>
      </w:r>
      <w:r w:rsidR="0095538A">
        <w:t xml:space="preserve"> in relation to </w:t>
      </w:r>
      <w:r w:rsidR="00C125CB">
        <w:t xml:space="preserve">musculoskeletal </w:t>
      </w:r>
      <w:r w:rsidR="0095538A">
        <w:t xml:space="preserve">parameters and </w:t>
      </w:r>
      <w:r>
        <w:t>clinical outcomes</w:t>
      </w:r>
    </w:p>
    <w:p w14:paraId="1AA69C32" w14:textId="29725ED9" w:rsidR="0095538A" w:rsidRDefault="14F6E157" w:rsidP="00BC5BDD">
      <w:pPr>
        <w:jc w:val="both"/>
      </w:pPr>
      <w:r>
        <w:t xml:space="preserve">Forearm </w:t>
      </w:r>
      <w:r w:rsidR="44A62420">
        <w:t xml:space="preserve">and </w:t>
      </w:r>
      <w:r w:rsidR="5241A74A">
        <w:t xml:space="preserve">calf muscle density </w:t>
      </w:r>
      <w:r w:rsidR="44A62420">
        <w:t>were weakly correlated with t</w:t>
      </w:r>
      <w:r w:rsidR="5241A74A">
        <w:t xml:space="preserve">otal </w:t>
      </w:r>
      <w:r w:rsidR="44A62420">
        <w:t>h</w:t>
      </w:r>
      <w:r w:rsidR="5241A74A">
        <w:t xml:space="preserve">ip </w:t>
      </w:r>
      <w:r w:rsidR="44A62420">
        <w:t>BMD (</w:t>
      </w:r>
      <w:r w:rsidR="6F8132F3">
        <w:t>males</w:t>
      </w:r>
      <w:r w:rsidR="44A62420">
        <w:t>: r=</w:t>
      </w:r>
      <w:r>
        <w:t>0.13</w:t>
      </w:r>
      <w:r w:rsidR="68222D96">
        <w:t xml:space="preserve"> (p=0.089)</w:t>
      </w:r>
      <w:r w:rsidR="44A62420">
        <w:t xml:space="preserve"> and r=</w:t>
      </w:r>
      <w:r>
        <w:t>0.20</w:t>
      </w:r>
      <w:r w:rsidR="68222D96">
        <w:t xml:space="preserve"> (p=0.006)</w:t>
      </w:r>
      <w:r w:rsidR="44A62420">
        <w:t xml:space="preserve">, </w:t>
      </w:r>
      <w:r w:rsidR="6F8132F3">
        <w:t>females</w:t>
      </w:r>
      <w:r w:rsidR="44A62420">
        <w:t>: r=</w:t>
      </w:r>
      <w:r>
        <w:t>0.19</w:t>
      </w:r>
      <w:r w:rsidR="68222D96">
        <w:t xml:space="preserve"> (p=0.011)</w:t>
      </w:r>
      <w:r w:rsidR="44A62420">
        <w:t xml:space="preserve"> and r=</w:t>
      </w:r>
      <w:r>
        <w:t>0.29</w:t>
      </w:r>
      <w:r w:rsidR="44A62420">
        <w:t xml:space="preserve"> </w:t>
      </w:r>
      <w:r w:rsidR="68222D96">
        <w:t xml:space="preserve">(p&lt;0.001) </w:t>
      </w:r>
      <w:r w:rsidR="44A62420">
        <w:t>respectively)</w:t>
      </w:r>
      <w:r w:rsidR="4CCF4C77">
        <w:t xml:space="preserve"> (</w:t>
      </w:r>
      <w:r w:rsidR="00C125CB">
        <w:fldChar w:fldCharType="begin"/>
      </w:r>
      <w:r w:rsidR="00C125CB">
        <w:instrText xml:space="preserve"> REF _Ref93593437 \h  \* MERGEFORMAT </w:instrText>
      </w:r>
      <w:r w:rsidR="00C125CB">
        <w:fldChar w:fldCharType="separate"/>
      </w:r>
      <w:r w:rsidR="747E243A">
        <w:t xml:space="preserve">Table </w:t>
      </w:r>
      <w:r w:rsidR="747E243A" w:rsidRPr="4076E5A1">
        <w:rPr>
          <w:noProof/>
        </w:rPr>
        <w:t>3</w:t>
      </w:r>
      <w:r w:rsidR="00C125CB">
        <w:fldChar w:fldCharType="end"/>
      </w:r>
      <w:r w:rsidR="4CCF4C77">
        <w:t>)</w:t>
      </w:r>
      <w:r w:rsidR="44A62420">
        <w:t>.</w:t>
      </w:r>
      <w:r w:rsidR="4CCF4C77">
        <w:t xml:space="preserve"> Calf muscle density was moderately correlated with </w:t>
      </w:r>
      <w:r w:rsidR="1066683D">
        <w:t>ALM index</w:t>
      </w:r>
      <w:r>
        <w:t xml:space="preserve"> </w:t>
      </w:r>
      <w:r w:rsidR="4CCF4C77">
        <w:t xml:space="preserve">among both </w:t>
      </w:r>
      <w:r w:rsidR="6F8132F3">
        <w:t>males</w:t>
      </w:r>
      <w:r w:rsidR="5F0FB551">
        <w:t xml:space="preserve"> </w:t>
      </w:r>
      <w:r w:rsidR="4CCF4C77">
        <w:t>(r=</w:t>
      </w:r>
      <w:r w:rsidR="5F0FB551">
        <w:t>0.41</w:t>
      </w:r>
      <w:r w:rsidR="68222D96">
        <w:t>, p&lt;0.001</w:t>
      </w:r>
      <w:r w:rsidR="4CCF4C77">
        <w:t xml:space="preserve">) and </w:t>
      </w:r>
      <w:r w:rsidR="6F8132F3">
        <w:t>females</w:t>
      </w:r>
      <w:r w:rsidR="4CCF4C77">
        <w:t xml:space="preserve"> (r=0.38</w:t>
      </w:r>
      <w:r w:rsidR="68222D96">
        <w:t>, p&lt;0.001</w:t>
      </w:r>
      <w:r w:rsidR="4CCF4C77">
        <w:t>)</w:t>
      </w:r>
      <w:r w:rsidR="00DF52B3">
        <w:t>;</w:t>
      </w:r>
      <w:r w:rsidR="4CCF4C77">
        <w:t xml:space="preserve"> calf muscle density was also correlated with grip strength among </w:t>
      </w:r>
      <w:r w:rsidR="6F8132F3">
        <w:t>males</w:t>
      </w:r>
      <w:r w:rsidR="4CCF4C77">
        <w:t xml:space="preserve"> (r=0.23</w:t>
      </w:r>
      <w:r w:rsidR="68222D96">
        <w:t>, p=0.002</w:t>
      </w:r>
      <w:r w:rsidR="4CCF4C77">
        <w:t>). In general, correlations between musculoskeletal parameters and forearm muscle density were weaker than the correlations with calf muscle density (</w:t>
      </w:r>
      <w:r w:rsidR="00C125CB">
        <w:fldChar w:fldCharType="begin"/>
      </w:r>
      <w:r w:rsidR="00C125CB">
        <w:instrText xml:space="preserve"> REF _Ref93593437 \h  \* MERGEFORMAT </w:instrText>
      </w:r>
      <w:r w:rsidR="00C125CB">
        <w:fldChar w:fldCharType="separate"/>
      </w:r>
      <w:r w:rsidR="747E243A">
        <w:t xml:space="preserve">Table </w:t>
      </w:r>
      <w:r w:rsidR="747E243A" w:rsidRPr="4076E5A1">
        <w:rPr>
          <w:noProof/>
        </w:rPr>
        <w:t>3</w:t>
      </w:r>
      <w:r w:rsidR="00C125CB">
        <w:fldChar w:fldCharType="end"/>
      </w:r>
      <w:r w:rsidR="4CCF4C77">
        <w:t xml:space="preserve">). </w:t>
      </w:r>
    </w:p>
    <w:p w14:paraId="71BC6C0D" w14:textId="23AD6B33" w:rsidR="00A657B7" w:rsidRDefault="1BDC10F8" w:rsidP="00BC5BDD">
      <w:pPr>
        <w:jc w:val="both"/>
        <w:sectPr w:rsidR="00A657B7">
          <w:pgSz w:w="11906" w:h="16838"/>
          <w:pgMar w:top="1440" w:right="1440" w:bottom="1440" w:left="1440" w:header="708" w:footer="708" w:gutter="0"/>
          <w:cols w:space="708"/>
          <w:docGrid w:linePitch="360"/>
        </w:sectPr>
      </w:pPr>
      <w:r>
        <w:t xml:space="preserve">After adjustment for sex and age, </w:t>
      </w:r>
      <w:r w:rsidR="4759DFA8">
        <w:t xml:space="preserve">lower </w:t>
      </w:r>
      <w:r>
        <w:t xml:space="preserve">forearm </w:t>
      </w:r>
      <w:r w:rsidR="58A4C187">
        <w:t xml:space="preserve">muscle density </w:t>
      </w:r>
      <w:r w:rsidR="4759DFA8">
        <w:t>was related to increased risk of previous fracture (</w:t>
      </w:r>
      <w:r w:rsidR="748057B1">
        <w:t>odds ratio (95% CI) per SD lower forearm muscle density:</w:t>
      </w:r>
      <w:r w:rsidR="4759DFA8">
        <w:t xml:space="preserve"> </w:t>
      </w:r>
      <w:r>
        <w:t>1.42 (1.07,1.89)</w:t>
      </w:r>
      <w:r w:rsidR="4759DFA8">
        <w:t>, p=</w:t>
      </w:r>
      <w:r>
        <w:t>0.015</w:t>
      </w:r>
      <w:r w:rsidR="4759DFA8">
        <w:t>)</w:t>
      </w:r>
      <w:r w:rsidR="45315222">
        <w:t xml:space="preserve"> (</w:t>
      </w:r>
      <w:r w:rsidR="008D3183">
        <w:fldChar w:fldCharType="begin"/>
      </w:r>
      <w:r w:rsidR="008D3183">
        <w:instrText xml:space="preserve"> REF _Ref93593960 \h  \* MERGEFORMAT </w:instrText>
      </w:r>
      <w:r w:rsidR="008D3183">
        <w:fldChar w:fldCharType="separate"/>
      </w:r>
      <w:r w:rsidR="4E93D3FB">
        <w:t xml:space="preserve">Table </w:t>
      </w:r>
      <w:r w:rsidR="4E93D3FB" w:rsidRPr="4076E5A1">
        <w:rPr>
          <w:noProof/>
        </w:rPr>
        <w:t>4</w:t>
      </w:r>
      <w:r w:rsidR="008D3183">
        <w:fldChar w:fldCharType="end"/>
      </w:r>
      <w:r w:rsidR="45315222">
        <w:t>)</w:t>
      </w:r>
      <w:r w:rsidR="4759DFA8">
        <w:t xml:space="preserve">. </w:t>
      </w:r>
      <w:r>
        <w:t>This association was</w:t>
      </w:r>
      <w:r w:rsidR="4759DFA8">
        <w:t xml:space="preserve"> attenuated after adjustment for t</w:t>
      </w:r>
      <w:r w:rsidR="58A4C187">
        <w:t>otal hip BM</w:t>
      </w:r>
      <w:r w:rsidR="4759DFA8">
        <w:t>D (p&gt;0.</w:t>
      </w:r>
      <w:r>
        <w:t>08)</w:t>
      </w:r>
      <w:r w:rsidR="4759DFA8">
        <w:t xml:space="preserve">. By contrast, no significant relationships were seen between </w:t>
      </w:r>
      <w:r w:rsidR="58A4C187">
        <w:t>calf</w:t>
      </w:r>
      <w:r w:rsidR="4759DFA8">
        <w:t xml:space="preserve"> or </w:t>
      </w:r>
      <w:r w:rsidR="18360207">
        <w:t xml:space="preserve">forearm </w:t>
      </w:r>
      <w:r w:rsidR="58A4C187">
        <w:t xml:space="preserve">muscle density </w:t>
      </w:r>
      <w:r w:rsidR="4759DFA8">
        <w:t xml:space="preserve">and </w:t>
      </w:r>
      <w:r>
        <w:t xml:space="preserve">previous </w:t>
      </w:r>
      <w:r w:rsidR="4759DFA8">
        <w:t>falls</w:t>
      </w:r>
      <w:r w:rsidR="44E1E6E5">
        <w:t xml:space="preserve">. However, a trend was observed between lower calf muscle density and increased risk of previous fracture after adjustment for sex and age (odds ratio (95% CI) per SD lower calf muscle density: </w:t>
      </w:r>
      <w:r w:rsidR="3BF03DB3">
        <w:t>1.23 (0.94,1.62), p=0.131</w:t>
      </w:r>
      <w:r w:rsidR="44E1E6E5">
        <w:t xml:space="preserve">). Similarly, lower values of each muscle density measure were associated with greater risk of vertebral fracture after adjustment for sex and </w:t>
      </w:r>
      <w:r w:rsidR="00716746">
        <w:t>age,</w:t>
      </w:r>
      <w:r w:rsidR="44E1E6E5">
        <w:t xml:space="preserve"> but </w:t>
      </w:r>
      <w:r w:rsidR="00455EC6">
        <w:t>these associations were</w:t>
      </w:r>
      <w:r w:rsidR="44E1E6E5">
        <w:t xml:space="preserve"> not statistically significant.</w:t>
      </w:r>
    </w:p>
    <w:p w14:paraId="3247DFB8" w14:textId="690407EA" w:rsidR="005A1C79" w:rsidRPr="000D0402" w:rsidRDefault="005A1C79" w:rsidP="005A1C79">
      <w:pPr>
        <w:pStyle w:val="Caption"/>
        <w:keepNext/>
        <w:rPr>
          <w:szCs w:val="22"/>
        </w:rPr>
      </w:pPr>
      <w:bookmarkStart w:id="2" w:name="_Ref86680533"/>
      <w:bookmarkStart w:id="3" w:name="_Ref86680553"/>
      <w:r w:rsidRPr="000D0402">
        <w:rPr>
          <w:szCs w:val="22"/>
        </w:rPr>
        <w:lastRenderedPageBreak/>
        <w:t xml:space="preserve">Table </w:t>
      </w:r>
      <w:r w:rsidRPr="000D0402">
        <w:rPr>
          <w:noProof/>
          <w:szCs w:val="22"/>
        </w:rPr>
        <w:fldChar w:fldCharType="begin"/>
      </w:r>
      <w:r w:rsidRPr="000D0402">
        <w:rPr>
          <w:noProof/>
          <w:szCs w:val="22"/>
        </w:rPr>
        <w:instrText xml:space="preserve"> SEQ Table \* ARABIC </w:instrText>
      </w:r>
      <w:r w:rsidRPr="000D0402">
        <w:rPr>
          <w:noProof/>
          <w:szCs w:val="22"/>
        </w:rPr>
        <w:fldChar w:fldCharType="separate"/>
      </w:r>
      <w:r w:rsidR="00F862FB">
        <w:rPr>
          <w:noProof/>
          <w:szCs w:val="22"/>
        </w:rPr>
        <w:t>2</w:t>
      </w:r>
      <w:r w:rsidRPr="000D0402">
        <w:rPr>
          <w:noProof/>
          <w:szCs w:val="22"/>
        </w:rPr>
        <w:fldChar w:fldCharType="end"/>
      </w:r>
      <w:bookmarkEnd w:id="2"/>
      <w:r w:rsidRPr="000D0402">
        <w:rPr>
          <w:szCs w:val="22"/>
        </w:rPr>
        <w:t>:</w:t>
      </w:r>
      <w:r>
        <w:rPr>
          <w:szCs w:val="22"/>
        </w:rPr>
        <w:t xml:space="preserve"> </w:t>
      </w:r>
      <w:r w:rsidRPr="000D0402">
        <w:rPr>
          <w:szCs w:val="22"/>
        </w:rPr>
        <w:t xml:space="preserve">SD difference in forearm and calf muscle density (2011/2012) per SD </w:t>
      </w:r>
      <w:r>
        <w:rPr>
          <w:szCs w:val="22"/>
        </w:rPr>
        <w:t>lower level of</w:t>
      </w:r>
      <w:r w:rsidRPr="000D0402">
        <w:rPr>
          <w:szCs w:val="22"/>
        </w:rPr>
        <w:t xml:space="preserve"> characteristic at HCS baseline (1998-2004)</w:t>
      </w:r>
    </w:p>
    <w:tbl>
      <w:tblPr>
        <w:tblW w:w="9781" w:type="dxa"/>
        <w:tblLook w:val="04A0" w:firstRow="1" w:lastRow="0" w:firstColumn="1" w:lastColumn="0" w:noHBand="0" w:noVBand="1"/>
      </w:tblPr>
      <w:tblGrid>
        <w:gridCol w:w="4108"/>
        <w:gridCol w:w="1846"/>
        <w:gridCol w:w="992"/>
        <w:gridCol w:w="1843"/>
        <w:gridCol w:w="992"/>
      </w:tblGrid>
      <w:tr w:rsidR="005A1C79" w:rsidRPr="004D2E53" w14:paraId="15CF7239" w14:textId="77777777" w:rsidTr="00413BF8">
        <w:trPr>
          <w:trHeight w:val="288"/>
        </w:trPr>
        <w:tc>
          <w:tcPr>
            <w:tcW w:w="4108" w:type="dxa"/>
            <w:vMerge w:val="restart"/>
            <w:tcBorders>
              <w:top w:val="single" w:sz="4" w:space="0" w:color="auto"/>
              <w:left w:val="nil"/>
              <w:bottom w:val="single" w:sz="4" w:space="0" w:color="000000"/>
              <w:right w:val="nil"/>
            </w:tcBorders>
            <w:shd w:val="clear" w:color="auto" w:fill="auto"/>
            <w:vAlign w:val="center"/>
            <w:hideMark/>
          </w:tcPr>
          <w:p w14:paraId="0A5E6FC3" w14:textId="77777777" w:rsidR="005A1C79" w:rsidRPr="004D2E53" w:rsidRDefault="005A1C79" w:rsidP="00413BF8">
            <w:pPr>
              <w:spacing w:after="0" w:line="240" w:lineRule="auto"/>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Participant characteristic</w:t>
            </w:r>
          </w:p>
        </w:tc>
        <w:tc>
          <w:tcPr>
            <w:tcW w:w="2838" w:type="dxa"/>
            <w:gridSpan w:val="2"/>
            <w:tcBorders>
              <w:top w:val="single" w:sz="4" w:space="0" w:color="auto"/>
              <w:left w:val="nil"/>
              <w:bottom w:val="nil"/>
              <w:right w:val="nil"/>
            </w:tcBorders>
            <w:shd w:val="clear" w:color="auto" w:fill="auto"/>
            <w:noWrap/>
            <w:vAlign w:val="bottom"/>
            <w:hideMark/>
          </w:tcPr>
          <w:p w14:paraId="63F23E1D" w14:textId="77777777" w:rsidR="005A1C79" w:rsidRPr="004D2E53" w:rsidRDefault="005A1C79" w:rsidP="00413BF8">
            <w:pPr>
              <w:spacing w:after="0" w:line="240" w:lineRule="auto"/>
              <w:jc w:val="center"/>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Forearm muscle density</w:t>
            </w:r>
          </w:p>
        </w:tc>
        <w:tc>
          <w:tcPr>
            <w:tcW w:w="2835" w:type="dxa"/>
            <w:gridSpan w:val="2"/>
            <w:tcBorders>
              <w:top w:val="single" w:sz="4" w:space="0" w:color="auto"/>
              <w:left w:val="nil"/>
              <w:bottom w:val="nil"/>
              <w:right w:val="nil"/>
            </w:tcBorders>
            <w:shd w:val="clear" w:color="auto" w:fill="auto"/>
            <w:noWrap/>
            <w:vAlign w:val="bottom"/>
            <w:hideMark/>
          </w:tcPr>
          <w:p w14:paraId="5F45DA2A" w14:textId="77777777" w:rsidR="005A1C79" w:rsidRPr="004D2E53" w:rsidRDefault="005A1C79" w:rsidP="00413BF8">
            <w:pPr>
              <w:spacing w:after="0" w:line="240" w:lineRule="auto"/>
              <w:jc w:val="center"/>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Calf muscle density</w:t>
            </w:r>
          </w:p>
        </w:tc>
      </w:tr>
      <w:tr w:rsidR="005A1C79" w:rsidRPr="004D2E53" w14:paraId="57B86562" w14:textId="77777777" w:rsidTr="00413BF8">
        <w:trPr>
          <w:trHeight w:val="288"/>
        </w:trPr>
        <w:tc>
          <w:tcPr>
            <w:tcW w:w="4108" w:type="dxa"/>
            <w:vMerge/>
            <w:tcBorders>
              <w:top w:val="single" w:sz="4" w:space="0" w:color="auto"/>
              <w:left w:val="nil"/>
              <w:bottom w:val="single" w:sz="4" w:space="0" w:color="000000"/>
              <w:right w:val="nil"/>
            </w:tcBorders>
            <w:vAlign w:val="center"/>
            <w:hideMark/>
          </w:tcPr>
          <w:p w14:paraId="525DBCF0" w14:textId="77777777" w:rsidR="005A1C79" w:rsidRPr="004D2E53" w:rsidRDefault="005A1C79" w:rsidP="00413BF8">
            <w:pPr>
              <w:spacing w:after="0" w:line="240" w:lineRule="auto"/>
              <w:rPr>
                <w:rFonts w:ascii="Calibri" w:eastAsia="Times New Roman" w:hAnsi="Calibri" w:cs="Calibri"/>
                <w:b/>
                <w:bCs/>
                <w:color w:val="000000"/>
                <w:sz w:val="22"/>
                <w:lang w:eastAsia="en-GB"/>
              </w:rPr>
            </w:pPr>
          </w:p>
        </w:tc>
        <w:tc>
          <w:tcPr>
            <w:tcW w:w="1846" w:type="dxa"/>
            <w:tcBorders>
              <w:top w:val="nil"/>
              <w:left w:val="nil"/>
              <w:bottom w:val="single" w:sz="4" w:space="0" w:color="auto"/>
              <w:right w:val="nil"/>
            </w:tcBorders>
            <w:shd w:val="clear" w:color="auto" w:fill="auto"/>
            <w:noWrap/>
            <w:vAlign w:val="bottom"/>
            <w:hideMark/>
          </w:tcPr>
          <w:p w14:paraId="712620EC" w14:textId="77777777" w:rsidR="005A1C79" w:rsidRPr="004D2E53" w:rsidRDefault="005A1C79" w:rsidP="00413BF8">
            <w:pPr>
              <w:spacing w:after="0" w:line="240" w:lineRule="auto"/>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Estimate (95% CI)</w:t>
            </w:r>
          </w:p>
        </w:tc>
        <w:tc>
          <w:tcPr>
            <w:tcW w:w="992" w:type="dxa"/>
            <w:tcBorders>
              <w:top w:val="nil"/>
              <w:left w:val="nil"/>
              <w:bottom w:val="single" w:sz="4" w:space="0" w:color="auto"/>
              <w:right w:val="nil"/>
            </w:tcBorders>
            <w:shd w:val="clear" w:color="auto" w:fill="auto"/>
            <w:noWrap/>
            <w:vAlign w:val="bottom"/>
            <w:hideMark/>
          </w:tcPr>
          <w:p w14:paraId="5EC9E07D" w14:textId="77777777" w:rsidR="005A1C79" w:rsidRPr="004D2E53" w:rsidRDefault="005A1C79" w:rsidP="00413BF8">
            <w:pPr>
              <w:spacing w:after="0" w:line="240" w:lineRule="auto"/>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P-value</w:t>
            </w:r>
          </w:p>
        </w:tc>
        <w:tc>
          <w:tcPr>
            <w:tcW w:w="1843" w:type="dxa"/>
            <w:tcBorders>
              <w:top w:val="nil"/>
              <w:left w:val="nil"/>
              <w:bottom w:val="single" w:sz="4" w:space="0" w:color="auto"/>
              <w:right w:val="nil"/>
            </w:tcBorders>
            <w:shd w:val="clear" w:color="auto" w:fill="auto"/>
            <w:noWrap/>
            <w:vAlign w:val="bottom"/>
            <w:hideMark/>
          </w:tcPr>
          <w:p w14:paraId="01B604D7" w14:textId="77777777" w:rsidR="005A1C79" w:rsidRPr="004D2E53" w:rsidRDefault="005A1C79" w:rsidP="00413BF8">
            <w:pPr>
              <w:spacing w:after="0" w:line="240" w:lineRule="auto"/>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Estimate (95% CI)</w:t>
            </w:r>
          </w:p>
        </w:tc>
        <w:tc>
          <w:tcPr>
            <w:tcW w:w="992" w:type="dxa"/>
            <w:tcBorders>
              <w:top w:val="nil"/>
              <w:left w:val="nil"/>
              <w:bottom w:val="single" w:sz="4" w:space="0" w:color="auto"/>
              <w:right w:val="nil"/>
            </w:tcBorders>
            <w:shd w:val="clear" w:color="auto" w:fill="auto"/>
            <w:noWrap/>
            <w:vAlign w:val="bottom"/>
            <w:hideMark/>
          </w:tcPr>
          <w:p w14:paraId="3EE44F06" w14:textId="77777777" w:rsidR="005A1C79" w:rsidRPr="004D2E53" w:rsidRDefault="005A1C79" w:rsidP="00413BF8">
            <w:pPr>
              <w:spacing w:after="0" w:line="240" w:lineRule="auto"/>
              <w:rPr>
                <w:rFonts w:ascii="Calibri" w:eastAsia="Times New Roman" w:hAnsi="Calibri" w:cs="Calibri"/>
                <w:b/>
                <w:bCs/>
                <w:color w:val="000000"/>
                <w:sz w:val="22"/>
                <w:lang w:eastAsia="en-GB"/>
              </w:rPr>
            </w:pPr>
            <w:r w:rsidRPr="004D2E53">
              <w:rPr>
                <w:rFonts w:ascii="Calibri" w:eastAsia="Times New Roman" w:hAnsi="Calibri" w:cs="Calibri"/>
                <w:b/>
                <w:bCs/>
                <w:color w:val="000000"/>
                <w:sz w:val="22"/>
                <w:lang w:eastAsia="en-GB"/>
              </w:rPr>
              <w:t>P-value</w:t>
            </w:r>
          </w:p>
        </w:tc>
      </w:tr>
      <w:tr w:rsidR="005A1C79" w:rsidRPr="004D2E53" w14:paraId="29C4F3E7" w14:textId="77777777" w:rsidTr="00413BF8">
        <w:trPr>
          <w:trHeight w:val="288"/>
        </w:trPr>
        <w:tc>
          <w:tcPr>
            <w:tcW w:w="4108" w:type="dxa"/>
            <w:tcBorders>
              <w:top w:val="nil"/>
              <w:left w:val="nil"/>
              <w:bottom w:val="nil"/>
              <w:right w:val="nil"/>
            </w:tcBorders>
            <w:shd w:val="clear" w:color="auto" w:fill="auto"/>
            <w:noWrap/>
            <w:vAlign w:val="center"/>
            <w:hideMark/>
          </w:tcPr>
          <w:p w14:paraId="58164707"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4D2E53">
              <w:rPr>
                <w:rFonts w:ascii="Calibri" w:eastAsia="Times New Roman" w:hAnsi="Calibri" w:cs="Calibri"/>
                <w:color w:val="000000"/>
                <w:sz w:val="22"/>
                <w:lang w:eastAsia="en-GB"/>
              </w:rPr>
              <w:t>Age</w:t>
            </w:r>
          </w:p>
        </w:tc>
        <w:tc>
          <w:tcPr>
            <w:tcW w:w="1846" w:type="dxa"/>
            <w:tcBorders>
              <w:top w:val="nil"/>
              <w:left w:val="nil"/>
              <w:bottom w:val="nil"/>
              <w:right w:val="nil"/>
            </w:tcBorders>
            <w:shd w:val="clear" w:color="auto" w:fill="auto"/>
            <w:noWrap/>
            <w:vAlign w:val="center"/>
          </w:tcPr>
          <w:p w14:paraId="69AFBCFE" w14:textId="77777777" w:rsidR="005A1C79" w:rsidRPr="00082375" w:rsidRDefault="005A1C79" w:rsidP="00413BF8">
            <w:pPr>
              <w:spacing w:after="0" w:line="240" w:lineRule="auto"/>
              <w:jc w:val="center"/>
              <w:rPr>
                <w:rFonts w:ascii="Calibri" w:eastAsia="Times New Roman" w:hAnsi="Calibri" w:cs="Calibri"/>
                <w:sz w:val="22"/>
                <w:lang w:eastAsia="en-GB"/>
              </w:rPr>
            </w:pPr>
            <w:r w:rsidRPr="00082375">
              <w:rPr>
                <w:sz w:val="22"/>
              </w:rPr>
              <w:t>0.09 (-0.01,0.19)</w:t>
            </w:r>
          </w:p>
        </w:tc>
        <w:tc>
          <w:tcPr>
            <w:tcW w:w="992" w:type="dxa"/>
            <w:tcBorders>
              <w:top w:val="nil"/>
              <w:left w:val="nil"/>
              <w:bottom w:val="nil"/>
              <w:right w:val="nil"/>
            </w:tcBorders>
            <w:shd w:val="clear" w:color="auto" w:fill="auto"/>
            <w:noWrap/>
            <w:vAlign w:val="center"/>
          </w:tcPr>
          <w:p w14:paraId="15F25A3B" w14:textId="77777777" w:rsidR="005A1C79" w:rsidRPr="00082375" w:rsidRDefault="005A1C79" w:rsidP="00413BF8">
            <w:pPr>
              <w:spacing w:after="0" w:line="240" w:lineRule="auto"/>
              <w:jc w:val="center"/>
              <w:rPr>
                <w:rFonts w:ascii="Calibri" w:eastAsia="Times New Roman" w:hAnsi="Calibri" w:cs="Calibri"/>
                <w:sz w:val="22"/>
                <w:lang w:eastAsia="en-GB"/>
              </w:rPr>
            </w:pPr>
            <w:r w:rsidRPr="00082375">
              <w:rPr>
                <w:sz w:val="22"/>
              </w:rPr>
              <w:t>0.082</w:t>
            </w:r>
          </w:p>
        </w:tc>
        <w:tc>
          <w:tcPr>
            <w:tcW w:w="1843" w:type="dxa"/>
            <w:tcBorders>
              <w:top w:val="nil"/>
              <w:left w:val="nil"/>
              <w:bottom w:val="nil"/>
              <w:right w:val="nil"/>
            </w:tcBorders>
            <w:shd w:val="clear" w:color="auto" w:fill="auto"/>
            <w:noWrap/>
            <w:vAlign w:val="center"/>
          </w:tcPr>
          <w:p w14:paraId="0D7C49E0"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0.20 (0.10,0.30)</w:t>
            </w:r>
          </w:p>
        </w:tc>
        <w:tc>
          <w:tcPr>
            <w:tcW w:w="992" w:type="dxa"/>
            <w:tcBorders>
              <w:top w:val="nil"/>
              <w:left w:val="nil"/>
              <w:bottom w:val="nil"/>
              <w:right w:val="nil"/>
            </w:tcBorders>
            <w:shd w:val="clear" w:color="auto" w:fill="auto"/>
            <w:noWrap/>
            <w:vAlign w:val="center"/>
          </w:tcPr>
          <w:p w14:paraId="742AD1F1"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&lt;0.001</w:t>
            </w:r>
          </w:p>
        </w:tc>
      </w:tr>
      <w:tr w:rsidR="005A1C79" w:rsidRPr="004D2E53" w14:paraId="28267BE0" w14:textId="77777777" w:rsidTr="00413BF8">
        <w:trPr>
          <w:trHeight w:val="288"/>
        </w:trPr>
        <w:tc>
          <w:tcPr>
            <w:tcW w:w="4108" w:type="dxa"/>
            <w:tcBorders>
              <w:top w:val="nil"/>
              <w:left w:val="nil"/>
              <w:bottom w:val="nil"/>
              <w:right w:val="nil"/>
            </w:tcBorders>
            <w:shd w:val="clear" w:color="auto" w:fill="auto"/>
            <w:noWrap/>
            <w:vAlign w:val="center"/>
            <w:hideMark/>
          </w:tcPr>
          <w:p w14:paraId="03CDA762"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4D2E53">
              <w:rPr>
                <w:rFonts w:ascii="Calibri" w:eastAsia="Times New Roman" w:hAnsi="Calibri" w:cs="Calibri"/>
                <w:color w:val="000000"/>
                <w:sz w:val="22"/>
                <w:lang w:eastAsia="en-GB"/>
              </w:rPr>
              <w:t>Sex (female vs male)</w:t>
            </w:r>
          </w:p>
        </w:tc>
        <w:tc>
          <w:tcPr>
            <w:tcW w:w="1846" w:type="dxa"/>
            <w:tcBorders>
              <w:top w:val="nil"/>
              <w:left w:val="nil"/>
              <w:bottom w:val="nil"/>
              <w:right w:val="nil"/>
            </w:tcBorders>
            <w:shd w:val="clear" w:color="auto" w:fill="auto"/>
            <w:noWrap/>
            <w:vAlign w:val="center"/>
          </w:tcPr>
          <w:p w14:paraId="039B1281"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-1.04 (-1.33,-0.74)</w:t>
            </w:r>
          </w:p>
        </w:tc>
        <w:tc>
          <w:tcPr>
            <w:tcW w:w="992" w:type="dxa"/>
            <w:tcBorders>
              <w:top w:val="nil"/>
              <w:left w:val="nil"/>
              <w:bottom w:val="nil"/>
              <w:right w:val="nil"/>
            </w:tcBorders>
            <w:shd w:val="clear" w:color="auto" w:fill="auto"/>
            <w:noWrap/>
            <w:vAlign w:val="center"/>
          </w:tcPr>
          <w:p w14:paraId="6F217F4E"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&lt;0.001</w:t>
            </w:r>
          </w:p>
        </w:tc>
        <w:tc>
          <w:tcPr>
            <w:tcW w:w="1843" w:type="dxa"/>
            <w:tcBorders>
              <w:top w:val="nil"/>
              <w:left w:val="nil"/>
              <w:bottom w:val="nil"/>
              <w:right w:val="nil"/>
            </w:tcBorders>
            <w:shd w:val="clear" w:color="auto" w:fill="auto"/>
            <w:noWrap/>
            <w:vAlign w:val="center"/>
          </w:tcPr>
          <w:p w14:paraId="731DC620"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-0.84 (-1.13,-0.54)</w:t>
            </w:r>
          </w:p>
        </w:tc>
        <w:tc>
          <w:tcPr>
            <w:tcW w:w="992" w:type="dxa"/>
            <w:tcBorders>
              <w:top w:val="nil"/>
              <w:left w:val="nil"/>
              <w:bottom w:val="nil"/>
              <w:right w:val="nil"/>
            </w:tcBorders>
            <w:shd w:val="clear" w:color="auto" w:fill="auto"/>
            <w:noWrap/>
            <w:vAlign w:val="center"/>
          </w:tcPr>
          <w:p w14:paraId="58469DF4"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&lt;0.001</w:t>
            </w:r>
          </w:p>
        </w:tc>
      </w:tr>
      <w:tr w:rsidR="005A1C79" w:rsidRPr="004D2E53" w14:paraId="316350B5" w14:textId="77777777" w:rsidTr="00413BF8">
        <w:trPr>
          <w:trHeight w:val="288"/>
        </w:trPr>
        <w:tc>
          <w:tcPr>
            <w:tcW w:w="4108" w:type="dxa"/>
            <w:tcBorders>
              <w:top w:val="nil"/>
              <w:left w:val="nil"/>
              <w:bottom w:val="nil"/>
              <w:right w:val="nil"/>
            </w:tcBorders>
            <w:shd w:val="clear" w:color="auto" w:fill="auto"/>
            <w:noWrap/>
            <w:vAlign w:val="center"/>
            <w:hideMark/>
          </w:tcPr>
          <w:p w14:paraId="676AF8DE"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4D2E53">
              <w:rPr>
                <w:rFonts w:ascii="Calibri" w:eastAsia="Times New Roman" w:hAnsi="Calibri" w:cs="Calibri"/>
                <w:color w:val="000000"/>
                <w:sz w:val="22"/>
                <w:lang w:eastAsia="en-GB"/>
              </w:rPr>
              <w:t>Height</w:t>
            </w:r>
          </w:p>
        </w:tc>
        <w:tc>
          <w:tcPr>
            <w:tcW w:w="1846" w:type="dxa"/>
            <w:tcBorders>
              <w:top w:val="nil"/>
              <w:left w:val="nil"/>
              <w:bottom w:val="nil"/>
              <w:right w:val="nil"/>
            </w:tcBorders>
            <w:shd w:val="clear" w:color="auto" w:fill="auto"/>
            <w:noWrap/>
            <w:vAlign w:val="center"/>
          </w:tcPr>
          <w:p w14:paraId="0DDA5B35" w14:textId="77777777" w:rsidR="005A1C79" w:rsidRPr="00082375" w:rsidRDefault="005A1C79" w:rsidP="00413BF8">
            <w:pPr>
              <w:spacing w:after="0" w:line="240" w:lineRule="auto"/>
              <w:jc w:val="center"/>
              <w:rPr>
                <w:rFonts w:ascii="Calibri" w:eastAsia="Times New Roman" w:hAnsi="Calibri" w:cs="Calibri"/>
                <w:sz w:val="22"/>
                <w:lang w:eastAsia="en-GB"/>
              </w:rPr>
            </w:pPr>
            <w:r w:rsidRPr="00082375">
              <w:rPr>
                <w:sz w:val="22"/>
              </w:rPr>
              <w:t>-0.11 (-0.24,0.02)</w:t>
            </w:r>
          </w:p>
        </w:tc>
        <w:tc>
          <w:tcPr>
            <w:tcW w:w="992" w:type="dxa"/>
            <w:tcBorders>
              <w:top w:val="nil"/>
              <w:left w:val="nil"/>
              <w:bottom w:val="nil"/>
              <w:right w:val="nil"/>
            </w:tcBorders>
            <w:shd w:val="clear" w:color="auto" w:fill="auto"/>
            <w:noWrap/>
            <w:vAlign w:val="center"/>
          </w:tcPr>
          <w:p w14:paraId="0CE9ABB7" w14:textId="77777777" w:rsidR="005A1C79" w:rsidRPr="00082375" w:rsidRDefault="005A1C79" w:rsidP="00413BF8">
            <w:pPr>
              <w:spacing w:after="0" w:line="240" w:lineRule="auto"/>
              <w:jc w:val="center"/>
              <w:rPr>
                <w:rFonts w:ascii="Calibri" w:eastAsia="Times New Roman" w:hAnsi="Calibri" w:cs="Calibri"/>
                <w:sz w:val="22"/>
                <w:lang w:eastAsia="en-GB"/>
              </w:rPr>
            </w:pPr>
            <w:r w:rsidRPr="00082375">
              <w:rPr>
                <w:sz w:val="22"/>
              </w:rPr>
              <w:t>0.109</w:t>
            </w:r>
          </w:p>
        </w:tc>
        <w:tc>
          <w:tcPr>
            <w:tcW w:w="1843" w:type="dxa"/>
            <w:tcBorders>
              <w:top w:val="nil"/>
              <w:left w:val="nil"/>
              <w:bottom w:val="nil"/>
              <w:right w:val="nil"/>
            </w:tcBorders>
            <w:shd w:val="clear" w:color="auto" w:fill="auto"/>
            <w:noWrap/>
            <w:vAlign w:val="center"/>
          </w:tcPr>
          <w:p w14:paraId="7B6D4C71"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-0.16 (-0.30,-0.03)</w:t>
            </w:r>
          </w:p>
        </w:tc>
        <w:tc>
          <w:tcPr>
            <w:tcW w:w="992" w:type="dxa"/>
            <w:tcBorders>
              <w:top w:val="nil"/>
              <w:left w:val="nil"/>
              <w:bottom w:val="nil"/>
              <w:right w:val="nil"/>
            </w:tcBorders>
            <w:shd w:val="clear" w:color="auto" w:fill="auto"/>
            <w:noWrap/>
            <w:vAlign w:val="center"/>
          </w:tcPr>
          <w:p w14:paraId="2B1A7766"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0.018</w:t>
            </w:r>
          </w:p>
        </w:tc>
      </w:tr>
      <w:tr w:rsidR="005A1C79" w:rsidRPr="004D2E53" w14:paraId="6086286C" w14:textId="77777777" w:rsidTr="00413BF8">
        <w:trPr>
          <w:trHeight w:val="288"/>
        </w:trPr>
        <w:tc>
          <w:tcPr>
            <w:tcW w:w="4108" w:type="dxa"/>
            <w:tcBorders>
              <w:top w:val="nil"/>
              <w:left w:val="nil"/>
              <w:right w:val="nil"/>
            </w:tcBorders>
            <w:shd w:val="clear" w:color="auto" w:fill="auto"/>
            <w:noWrap/>
            <w:vAlign w:val="center"/>
            <w:hideMark/>
          </w:tcPr>
          <w:p w14:paraId="4A1C02A0"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4D2E53">
              <w:rPr>
                <w:rFonts w:ascii="Calibri" w:eastAsia="Times New Roman" w:hAnsi="Calibri" w:cs="Calibri"/>
                <w:color w:val="000000"/>
                <w:sz w:val="22"/>
                <w:lang w:eastAsia="en-GB"/>
              </w:rPr>
              <w:t>Weight</w:t>
            </w:r>
          </w:p>
        </w:tc>
        <w:tc>
          <w:tcPr>
            <w:tcW w:w="1846" w:type="dxa"/>
            <w:tcBorders>
              <w:top w:val="nil"/>
              <w:left w:val="nil"/>
              <w:right w:val="nil"/>
            </w:tcBorders>
            <w:shd w:val="clear" w:color="auto" w:fill="auto"/>
            <w:noWrap/>
            <w:vAlign w:val="center"/>
          </w:tcPr>
          <w:p w14:paraId="2F9D89EB"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-0.16 (-0.26,-0.06)</w:t>
            </w:r>
          </w:p>
        </w:tc>
        <w:tc>
          <w:tcPr>
            <w:tcW w:w="992" w:type="dxa"/>
            <w:tcBorders>
              <w:top w:val="nil"/>
              <w:left w:val="nil"/>
              <w:right w:val="nil"/>
            </w:tcBorders>
            <w:shd w:val="clear" w:color="auto" w:fill="auto"/>
            <w:noWrap/>
            <w:vAlign w:val="center"/>
          </w:tcPr>
          <w:p w14:paraId="49C0D563"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0.002</w:t>
            </w:r>
          </w:p>
        </w:tc>
        <w:tc>
          <w:tcPr>
            <w:tcW w:w="1843" w:type="dxa"/>
            <w:tcBorders>
              <w:top w:val="nil"/>
              <w:left w:val="nil"/>
              <w:right w:val="nil"/>
            </w:tcBorders>
            <w:shd w:val="clear" w:color="auto" w:fill="auto"/>
            <w:noWrap/>
            <w:vAlign w:val="center"/>
          </w:tcPr>
          <w:p w14:paraId="05C708B7"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-0.37 (-0.46,-0.27)</w:t>
            </w:r>
          </w:p>
        </w:tc>
        <w:tc>
          <w:tcPr>
            <w:tcW w:w="992" w:type="dxa"/>
            <w:tcBorders>
              <w:top w:val="nil"/>
              <w:left w:val="nil"/>
              <w:right w:val="nil"/>
            </w:tcBorders>
            <w:shd w:val="clear" w:color="auto" w:fill="auto"/>
            <w:noWrap/>
            <w:vAlign w:val="center"/>
          </w:tcPr>
          <w:p w14:paraId="3FA60E7A"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&lt;0.001</w:t>
            </w:r>
          </w:p>
        </w:tc>
      </w:tr>
      <w:tr w:rsidR="005A1C79" w:rsidRPr="004D2E53" w14:paraId="656407BE" w14:textId="77777777" w:rsidTr="00413BF8">
        <w:trPr>
          <w:trHeight w:val="288"/>
        </w:trPr>
        <w:tc>
          <w:tcPr>
            <w:tcW w:w="4108" w:type="dxa"/>
            <w:tcBorders>
              <w:top w:val="nil"/>
              <w:left w:val="nil"/>
              <w:right w:val="nil"/>
            </w:tcBorders>
            <w:shd w:val="clear" w:color="auto" w:fill="auto"/>
            <w:noWrap/>
            <w:vAlign w:val="center"/>
            <w:hideMark/>
          </w:tcPr>
          <w:p w14:paraId="15C9A9BA"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4D2E53">
              <w:rPr>
                <w:rFonts w:ascii="Calibri" w:eastAsia="Times New Roman" w:hAnsi="Calibri" w:cs="Calibri"/>
                <w:color w:val="000000"/>
                <w:sz w:val="22"/>
                <w:lang w:eastAsia="en-GB"/>
              </w:rPr>
              <w:t>BMI</w:t>
            </w:r>
          </w:p>
        </w:tc>
        <w:tc>
          <w:tcPr>
            <w:tcW w:w="1846" w:type="dxa"/>
            <w:tcBorders>
              <w:top w:val="nil"/>
              <w:left w:val="nil"/>
              <w:right w:val="nil"/>
            </w:tcBorders>
            <w:shd w:val="clear" w:color="auto" w:fill="auto"/>
            <w:noWrap/>
            <w:vAlign w:val="center"/>
          </w:tcPr>
          <w:p w14:paraId="74810D06"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-0.12 (-0.21,-0.03)</w:t>
            </w:r>
          </w:p>
        </w:tc>
        <w:tc>
          <w:tcPr>
            <w:tcW w:w="992" w:type="dxa"/>
            <w:tcBorders>
              <w:top w:val="nil"/>
              <w:left w:val="nil"/>
              <w:right w:val="nil"/>
            </w:tcBorders>
            <w:shd w:val="clear" w:color="auto" w:fill="auto"/>
            <w:noWrap/>
            <w:vAlign w:val="center"/>
          </w:tcPr>
          <w:p w14:paraId="15DD91D3"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0.012</w:t>
            </w:r>
          </w:p>
        </w:tc>
        <w:tc>
          <w:tcPr>
            <w:tcW w:w="1843" w:type="dxa"/>
            <w:tcBorders>
              <w:top w:val="nil"/>
              <w:left w:val="nil"/>
              <w:right w:val="nil"/>
            </w:tcBorders>
            <w:shd w:val="clear" w:color="auto" w:fill="auto"/>
            <w:noWrap/>
            <w:vAlign w:val="center"/>
          </w:tcPr>
          <w:p w14:paraId="702FFBD4"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-0.31 (-0.40,-0.23)</w:t>
            </w:r>
          </w:p>
        </w:tc>
        <w:tc>
          <w:tcPr>
            <w:tcW w:w="992" w:type="dxa"/>
            <w:tcBorders>
              <w:top w:val="nil"/>
              <w:left w:val="nil"/>
              <w:right w:val="nil"/>
            </w:tcBorders>
            <w:shd w:val="clear" w:color="auto" w:fill="auto"/>
            <w:noWrap/>
            <w:vAlign w:val="center"/>
          </w:tcPr>
          <w:p w14:paraId="7BDCEC59" w14:textId="77777777" w:rsidR="005A1C79" w:rsidRPr="00082375" w:rsidRDefault="005A1C79" w:rsidP="00413BF8">
            <w:pPr>
              <w:spacing w:after="0" w:line="240" w:lineRule="auto"/>
              <w:jc w:val="center"/>
              <w:rPr>
                <w:rFonts w:ascii="Calibri" w:eastAsia="Times New Roman" w:hAnsi="Calibri" w:cs="Calibri"/>
                <w:i/>
                <w:sz w:val="22"/>
                <w:lang w:eastAsia="en-GB"/>
              </w:rPr>
            </w:pPr>
            <w:r w:rsidRPr="00082375">
              <w:rPr>
                <w:i/>
                <w:sz w:val="22"/>
              </w:rPr>
              <w:t>&lt;0.001</w:t>
            </w:r>
          </w:p>
        </w:tc>
      </w:tr>
      <w:tr w:rsidR="005A1C79" w:rsidRPr="004D2E53" w14:paraId="3B8F544A" w14:textId="77777777" w:rsidTr="00413BF8">
        <w:trPr>
          <w:trHeight w:val="288"/>
        </w:trPr>
        <w:tc>
          <w:tcPr>
            <w:tcW w:w="4108" w:type="dxa"/>
            <w:tcBorders>
              <w:top w:val="nil"/>
              <w:left w:val="nil"/>
              <w:bottom w:val="nil"/>
              <w:right w:val="nil"/>
            </w:tcBorders>
            <w:shd w:val="clear" w:color="auto" w:fill="auto"/>
            <w:noWrap/>
            <w:vAlign w:val="center"/>
          </w:tcPr>
          <w:p w14:paraId="4989F624"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81736F">
              <w:rPr>
                <w:rFonts w:ascii="Calibri" w:eastAsia="Times New Roman" w:hAnsi="Calibri" w:cs="Calibri"/>
                <w:color w:val="000000"/>
                <w:sz w:val="22"/>
                <w:lang w:eastAsia="en-GB"/>
              </w:rPr>
              <w:t>Smoking (ever vs never)</w:t>
            </w:r>
          </w:p>
        </w:tc>
        <w:tc>
          <w:tcPr>
            <w:tcW w:w="1846" w:type="dxa"/>
            <w:tcBorders>
              <w:top w:val="nil"/>
              <w:left w:val="nil"/>
              <w:bottom w:val="nil"/>
              <w:right w:val="nil"/>
            </w:tcBorders>
            <w:shd w:val="clear" w:color="auto" w:fill="auto"/>
            <w:noWrap/>
            <w:vAlign w:val="center"/>
          </w:tcPr>
          <w:p w14:paraId="4CB48F0E" w14:textId="77777777" w:rsidR="005A1C79" w:rsidRPr="00082375" w:rsidRDefault="005A1C79" w:rsidP="00413BF8">
            <w:pPr>
              <w:spacing w:after="0" w:line="240" w:lineRule="auto"/>
              <w:jc w:val="center"/>
              <w:rPr>
                <w:i/>
                <w:sz w:val="22"/>
              </w:rPr>
            </w:pPr>
            <w:r w:rsidRPr="00082375">
              <w:rPr>
                <w:sz w:val="22"/>
              </w:rPr>
              <w:t>0.01 (-0.18,0.20)</w:t>
            </w:r>
          </w:p>
        </w:tc>
        <w:tc>
          <w:tcPr>
            <w:tcW w:w="992" w:type="dxa"/>
            <w:tcBorders>
              <w:top w:val="nil"/>
              <w:left w:val="nil"/>
              <w:bottom w:val="nil"/>
              <w:right w:val="nil"/>
            </w:tcBorders>
            <w:shd w:val="clear" w:color="auto" w:fill="auto"/>
            <w:noWrap/>
            <w:vAlign w:val="center"/>
          </w:tcPr>
          <w:p w14:paraId="45E0ECF8" w14:textId="77777777" w:rsidR="005A1C79" w:rsidRPr="00082375" w:rsidRDefault="005A1C79" w:rsidP="00413BF8">
            <w:pPr>
              <w:spacing w:after="0" w:line="240" w:lineRule="auto"/>
              <w:jc w:val="center"/>
              <w:rPr>
                <w:i/>
                <w:sz w:val="22"/>
              </w:rPr>
            </w:pPr>
            <w:r w:rsidRPr="00082375">
              <w:rPr>
                <w:sz w:val="22"/>
              </w:rPr>
              <w:t>0.908</w:t>
            </w:r>
          </w:p>
        </w:tc>
        <w:tc>
          <w:tcPr>
            <w:tcW w:w="1843" w:type="dxa"/>
            <w:tcBorders>
              <w:top w:val="nil"/>
              <w:left w:val="nil"/>
              <w:bottom w:val="nil"/>
              <w:right w:val="nil"/>
            </w:tcBorders>
            <w:shd w:val="clear" w:color="auto" w:fill="auto"/>
            <w:noWrap/>
            <w:vAlign w:val="center"/>
          </w:tcPr>
          <w:p w14:paraId="60EFBA9C" w14:textId="77777777" w:rsidR="005A1C79" w:rsidRPr="00082375" w:rsidRDefault="005A1C79" w:rsidP="00413BF8">
            <w:pPr>
              <w:spacing w:after="0" w:line="240" w:lineRule="auto"/>
              <w:jc w:val="center"/>
              <w:rPr>
                <w:i/>
                <w:sz w:val="22"/>
              </w:rPr>
            </w:pPr>
            <w:r w:rsidRPr="00082375">
              <w:rPr>
                <w:sz w:val="22"/>
              </w:rPr>
              <w:t>0.00 (-0.19,0.19)</w:t>
            </w:r>
          </w:p>
        </w:tc>
        <w:tc>
          <w:tcPr>
            <w:tcW w:w="992" w:type="dxa"/>
            <w:tcBorders>
              <w:top w:val="nil"/>
              <w:left w:val="nil"/>
              <w:bottom w:val="nil"/>
              <w:right w:val="nil"/>
            </w:tcBorders>
            <w:shd w:val="clear" w:color="auto" w:fill="auto"/>
            <w:noWrap/>
            <w:vAlign w:val="center"/>
          </w:tcPr>
          <w:p w14:paraId="67D6EEAD" w14:textId="77777777" w:rsidR="005A1C79" w:rsidRPr="00082375" w:rsidRDefault="005A1C79" w:rsidP="00413BF8">
            <w:pPr>
              <w:spacing w:after="0" w:line="240" w:lineRule="auto"/>
              <w:jc w:val="center"/>
              <w:rPr>
                <w:i/>
                <w:sz w:val="22"/>
              </w:rPr>
            </w:pPr>
            <w:r w:rsidRPr="00082375">
              <w:rPr>
                <w:sz w:val="22"/>
              </w:rPr>
              <w:t>0.997</w:t>
            </w:r>
          </w:p>
        </w:tc>
      </w:tr>
      <w:tr w:rsidR="005A1C79" w:rsidRPr="004D2E53" w14:paraId="1817662A" w14:textId="77777777" w:rsidTr="00413BF8">
        <w:trPr>
          <w:trHeight w:val="288"/>
        </w:trPr>
        <w:tc>
          <w:tcPr>
            <w:tcW w:w="4108" w:type="dxa"/>
            <w:tcBorders>
              <w:top w:val="nil"/>
              <w:left w:val="nil"/>
              <w:bottom w:val="nil"/>
              <w:right w:val="nil"/>
            </w:tcBorders>
            <w:shd w:val="clear" w:color="auto" w:fill="auto"/>
            <w:noWrap/>
            <w:vAlign w:val="center"/>
          </w:tcPr>
          <w:p w14:paraId="04A174E0"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81736F">
              <w:rPr>
                <w:rFonts w:ascii="Calibri" w:eastAsia="Times New Roman" w:hAnsi="Calibri" w:cs="Calibri"/>
                <w:color w:val="000000"/>
                <w:sz w:val="22"/>
                <w:lang w:eastAsia="en-GB"/>
              </w:rPr>
              <w:t>Alcohol</w:t>
            </w:r>
            <w:r>
              <w:rPr>
                <w:rFonts w:ascii="Calibri" w:eastAsia="Times New Roman" w:hAnsi="Calibri" w:cs="Calibri"/>
                <w:color w:val="000000"/>
                <w:sz w:val="22"/>
                <w:lang w:eastAsia="en-GB"/>
              </w:rPr>
              <w:t xml:space="preserve"> consumption</w:t>
            </w:r>
            <w:r w:rsidRPr="0081736F">
              <w:rPr>
                <w:rFonts w:ascii="Calibri" w:eastAsia="Times New Roman" w:hAnsi="Calibri" w:cs="Calibri"/>
                <w:color w:val="000000"/>
                <w:sz w:val="22"/>
                <w:lang w:eastAsia="en-GB"/>
              </w:rPr>
              <w:t xml:space="preserve"> (per </w:t>
            </w:r>
            <w:r>
              <w:rPr>
                <w:rFonts w:ascii="Calibri" w:eastAsia="Times New Roman" w:hAnsi="Calibri" w:cs="Calibri"/>
                <w:color w:val="000000"/>
                <w:sz w:val="22"/>
                <w:lang w:eastAsia="en-GB"/>
              </w:rPr>
              <w:t>lower</w:t>
            </w:r>
            <w:r w:rsidRPr="0081736F">
              <w:rPr>
                <w:rFonts w:ascii="Calibri" w:eastAsia="Times New Roman" w:hAnsi="Calibri" w:cs="Calibri"/>
                <w:color w:val="000000"/>
                <w:sz w:val="22"/>
                <w:lang w:eastAsia="en-GB"/>
              </w:rPr>
              <w:t xml:space="preserve"> band)</w:t>
            </w:r>
          </w:p>
        </w:tc>
        <w:tc>
          <w:tcPr>
            <w:tcW w:w="1846" w:type="dxa"/>
            <w:tcBorders>
              <w:top w:val="nil"/>
              <w:left w:val="nil"/>
              <w:bottom w:val="nil"/>
              <w:right w:val="nil"/>
            </w:tcBorders>
            <w:shd w:val="clear" w:color="auto" w:fill="auto"/>
            <w:noWrap/>
            <w:vAlign w:val="center"/>
          </w:tcPr>
          <w:p w14:paraId="410D6E9F" w14:textId="77777777" w:rsidR="005A1C79" w:rsidRPr="00082375" w:rsidRDefault="005A1C79" w:rsidP="00413BF8">
            <w:pPr>
              <w:spacing w:after="0" w:line="240" w:lineRule="auto"/>
              <w:jc w:val="center"/>
              <w:rPr>
                <w:i/>
                <w:sz w:val="22"/>
              </w:rPr>
            </w:pPr>
            <w:r w:rsidRPr="00082375">
              <w:rPr>
                <w:sz w:val="22"/>
              </w:rPr>
              <w:t>0.05 (-0.06,0.15)</w:t>
            </w:r>
          </w:p>
        </w:tc>
        <w:tc>
          <w:tcPr>
            <w:tcW w:w="992" w:type="dxa"/>
            <w:tcBorders>
              <w:top w:val="nil"/>
              <w:left w:val="nil"/>
              <w:bottom w:val="nil"/>
              <w:right w:val="nil"/>
            </w:tcBorders>
            <w:shd w:val="clear" w:color="auto" w:fill="auto"/>
            <w:noWrap/>
            <w:vAlign w:val="center"/>
          </w:tcPr>
          <w:p w14:paraId="3B599AE9" w14:textId="77777777" w:rsidR="005A1C79" w:rsidRPr="00082375" w:rsidRDefault="005A1C79" w:rsidP="00413BF8">
            <w:pPr>
              <w:spacing w:after="0" w:line="240" w:lineRule="auto"/>
              <w:jc w:val="center"/>
              <w:rPr>
                <w:i/>
                <w:sz w:val="22"/>
              </w:rPr>
            </w:pPr>
            <w:r w:rsidRPr="00082375">
              <w:rPr>
                <w:sz w:val="22"/>
              </w:rPr>
              <w:t>0.374</w:t>
            </w:r>
          </w:p>
        </w:tc>
        <w:tc>
          <w:tcPr>
            <w:tcW w:w="1843" w:type="dxa"/>
            <w:tcBorders>
              <w:top w:val="nil"/>
              <w:left w:val="nil"/>
              <w:bottom w:val="nil"/>
              <w:right w:val="nil"/>
            </w:tcBorders>
            <w:shd w:val="clear" w:color="auto" w:fill="auto"/>
            <w:noWrap/>
            <w:vAlign w:val="center"/>
          </w:tcPr>
          <w:p w14:paraId="7798AB9E" w14:textId="77777777" w:rsidR="005A1C79" w:rsidRPr="00082375" w:rsidRDefault="005A1C79" w:rsidP="00413BF8">
            <w:pPr>
              <w:spacing w:after="0" w:line="240" w:lineRule="auto"/>
              <w:jc w:val="center"/>
              <w:rPr>
                <w:i/>
                <w:sz w:val="22"/>
              </w:rPr>
            </w:pPr>
            <w:r w:rsidRPr="00082375">
              <w:rPr>
                <w:sz w:val="22"/>
              </w:rPr>
              <w:t>0.04 (-0.07,0.14)</w:t>
            </w:r>
          </w:p>
        </w:tc>
        <w:tc>
          <w:tcPr>
            <w:tcW w:w="992" w:type="dxa"/>
            <w:tcBorders>
              <w:top w:val="nil"/>
              <w:left w:val="nil"/>
              <w:bottom w:val="nil"/>
              <w:right w:val="nil"/>
            </w:tcBorders>
            <w:shd w:val="clear" w:color="auto" w:fill="auto"/>
            <w:noWrap/>
            <w:vAlign w:val="center"/>
          </w:tcPr>
          <w:p w14:paraId="36FCB779" w14:textId="77777777" w:rsidR="005A1C79" w:rsidRPr="00082375" w:rsidRDefault="005A1C79" w:rsidP="00413BF8">
            <w:pPr>
              <w:spacing w:after="0" w:line="240" w:lineRule="auto"/>
              <w:jc w:val="center"/>
              <w:rPr>
                <w:i/>
                <w:sz w:val="22"/>
              </w:rPr>
            </w:pPr>
            <w:r w:rsidRPr="00082375">
              <w:rPr>
                <w:sz w:val="22"/>
              </w:rPr>
              <w:t>0.507</w:t>
            </w:r>
          </w:p>
        </w:tc>
      </w:tr>
      <w:tr w:rsidR="005A1C79" w:rsidRPr="004D2E53" w14:paraId="22A0BFE1" w14:textId="77777777" w:rsidTr="00413BF8">
        <w:trPr>
          <w:trHeight w:val="288"/>
        </w:trPr>
        <w:tc>
          <w:tcPr>
            <w:tcW w:w="4108" w:type="dxa"/>
            <w:tcBorders>
              <w:top w:val="nil"/>
              <w:left w:val="nil"/>
              <w:bottom w:val="nil"/>
              <w:right w:val="nil"/>
            </w:tcBorders>
            <w:shd w:val="clear" w:color="auto" w:fill="auto"/>
            <w:noWrap/>
            <w:vAlign w:val="center"/>
          </w:tcPr>
          <w:p w14:paraId="54B71E7E"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81736F">
              <w:rPr>
                <w:rFonts w:ascii="Calibri" w:eastAsia="Times New Roman" w:hAnsi="Calibri" w:cs="Calibri"/>
                <w:color w:val="000000"/>
                <w:sz w:val="22"/>
                <w:lang w:eastAsia="en-GB"/>
              </w:rPr>
              <w:t>Dallosso activity score</w:t>
            </w:r>
          </w:p>
        </w:tc>
        <w:tc>
          <w:tcPr>
            <w:tcW w:w="1846" w:type="dxa"/>
            <w:tcBorders>
              <w:top w:val="nil"/>
              <w:left w:val="nil"/>
              <w:bottom w:val="nil"/>
              <w:right w:val="nil"/>
            </w:tcBorders>
            <w:shd w:val="clear" w:color="auto" w:fill="auto"/>
            <w:noWrap/>
            <w:vAlign w:val="center"/>
          </w:tcPr>
          <w:p w14:paraId="10199B52" w14:textId="77777777" w:rsidR="005A1C79" w:rsidRPr="00082375" w:rsidRDefault="005A1C79" w:rsidP="00413BF8">
            <w:pPr>
              <w:spacing w:after="0" w:line="240" w:lineRule="auto"/>
              <w:jc w:val="center"/>
              <w:rPr>
                <w:i/>
                <w:sz w:val="22"/>
              </w:rPr>
            </w:pPr>
            <w:r w:rsidRPr="00082375">
              <w:rPr>
                <w:sz w:val="22"/>
              </w:rPr>
              <w:t>0.05 (-0.04,0.14)</w:t>
            </w:r>
          </w:p>
        </w:tc>
        <w:tc>
          <w:tcPr>
            <w:tcW w:w="992" w:type="dxa"/>
            <w:tcBorders>
              <w:top w:val="nil"/>
              <w:left w:val="nil"/>
              <w:bottom w:val="nil"/>
              <w:right w:val="nil"/>
            </w:tcBorders>
            <w:shd w:val="clear" w:color="auto" w:fill="auto"/>
            <w:noWrap/>
            <w:vAlign w:val="center"/>
          </w:tcPr>
          <w:p w14:paraId="41686092" w14:textId="77777777" w:rsidR="005A1C79" w:rsidRPr="00082375" w:rsidRDefault="005A1C79" w:rsidP="00413BF8">
            <w:pPr>
              <w:spacing w:after="0" w:line="240" w:lineRule="auto"/>
              <w:jc w:val="center"/>
              <w:rPr>
                <w:i/>
                <w:sz w:val="22"/>
              </w:rPr>
            </w:pPr>
            <w:r w:rsidRPr="00082375">
              <w:rPr>
                <w:sz w:val="22"/>
              </w:rPr>
              <w:t>0.284</w:t>
            </w:r>
          </w:p>
        </w:tc>
        <w:tc>
          <w:tcPr>
            <w:tcW w:w="1843" w:type="dxa"/>
            <w:tcBorders>
              <w:top w:val="nil"/>
              <w:left w:val="nil"/>
              <w:bottom w:val="nil"/>
              <w:right w:val="nil"/>
            </w:tcBorders>
            <w:shd w:val="clear" w:color="auto" w:fill="auto"/>
            <w:noWrap/>
            <w:vAlign w:val="center"/>
          </w:tcPr>
          <w:p w14:paraId="5C4D9B54" w14:textId="77777777" w:rsidR="005A1C79" w:rsidRPr="00082375" w:rsidRDefault="005A1C79" w:rsidP="00413BF8">
            <w:pPr>
              <w:spacing w:after="0" w:line="240" w:lineRule="auto"/>
              <w:jc w:val="center"/>
              <w:rPr>
                <w:i/>
                <w:sz w:val="22"/>
              </w:rPr>
            </w:pPr>
            <w:r w:rsidRPr="00082375">
              <w:rPr>
                <w:sz w:val="22"/>
              </w:rPr>
              <w:t>-0.04 (-0.13,0.06)</w:t>
            </w:r>
          </w:p>
        </w:tc>
        <w:tc>
          <w:tcPr>
            <w:tcW w:w="992" w:type="dxa"/>
            <w:tcBorders>
              <w:top w:val="nil"/>
              <w:left w:val="nil"/>
              <w:bottom w:val="nil"/>
              <w:right w:val="nil"/>
            </w:tcBorders>
            <w:shd w:val="clear" w:color="auto" w:fill="auto"/>
            <w:noWrap/>
            <w:vAlign w:val="center"/>
          </w:tcPr>
          <w:p w14:paraId="284CBAA3" w14:textId="77777777" w:rsidR="005A1C79" w:rsidRPr="00082375" w:rsidRDefault="005A1C79" w:rsidP="00413BF8">
            <w:pPr>
              <w:spacing w:after="0" w:line="240" w:lineRule="auto"/>
              <w:jc w:val="center"/>
              <w:rPr>
                <w:i/>
                <w:sz w:val="22"/>
              </w:rPr>
            </w:pPr>
            <w:r w:rsidRPr="00082375">
              <w:rPr>
                <w:sz w:val="22"/>
              </w:rPr>
              <w:t>0.469</w:t>
            </w:r>
          </w:p>
        </w:tc>
      </w:tr>
      <w:tr w:rsidR="005A1C79" w:rsidRPr="004D2E53" w14:paraId="1EED66B8" w14:textId="77777777" w:rsidTr="00413BF8">
        <w:trPr>
          <w:trHeight w:val="288"/>
        </w:trPr>
        <w:tc>
          <w:tcPr>
            <w:tcW w:w="4108" w:type="dxa"/>
            <w:tcBorders>
              <w:top w:val="nil"/>
              <w:left w:val="nil"/>
              <w:bottom w:val="nil"/>
              <w:right w:val="nil"/>
            </w:tcBorders>
            <w:shd w:val="clear" w:color="auto" w:fill="auto"/>
            <w:noWrap/>
            <w:vAlign w:val="center"/>
          </w:tcPr>
          <w:p w14:paraId="0BEDEB37"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81736F">
              <w:rPr>
                <w:rFonts w:ascii="Calibri" w:eastAsia="Times New Roman" w:hAnsi="Calibri" w:cs="Calibri"/>
                <w:color w:val="000000"/>
                <w:sz w:val="22"/>
                <w:lang w:eastAsia="en-GB"/>
              </w:rPr>
              <w:t>Prudent diet score</w:t>
            </w:r>
          </w:p>
        </w:tc>
        <w:tc>
          <w:tcPr>
            <w:tcW w:w="1846" w:type="dxa"/>
            <w:tcBorders>
              <w:top w:val="nil"/>
              <w:left w:val="nil"/>
              <w:bottom w:val="nil"/>
              <w:right w:val="nil"/>
            </w:tcBorders>
            <w:shd w:val="clear" w:color="auto" w:fill="auto"/>
            <w:noWrap/>
            <w:vAlign w:val="center"/>
          </w:tcPr>
          <w:p w14:paraId="4165539A" w14:textId="77777777" w:rsidR="005A1C79" w:rsidRPr="00082375" w:rsidRDefault="005A1C79" w:rsidP="00413BF8">
            <w:pPr>
              <w:spacing w:after="0" w:line="240" w:lineRule="auto"/>
              <w:jc w:val="center"/>
              <w:rPr>
                <w:i/>
                <w:sz w:val="22"/>
              </w:rPr>
            </w:pPr>
            <w:r w:rsidRPr="00082375">
              <w:rPr>
                <w:sz w:val="22"/>
              </w:rPr>
              <w:t>0.03 (-0.07,0.13)</w:t>
            </w:r>
          </w:p>
        </w:tc>
        <w:tc>
          <w:tcPr>
            <w:tcW w:w="992" w:type="dxa"/>
            <w:tcBorders>
              <w:top w:val="nil"/>
              <w:left w:val="nil"/>
              <w:bottom w:val="nil"/>
              <w:right w:val="nil"/>
            </w:tcBorders>
            <w:shd w:val="clear" w:color="auto" w:fill="auto"/>
            <w:noWrap/>
            <w:vAlign w:val="center"/>
          </w:tcPr>
          <w:p w14:paraId="674524BE" w14:textId="77777777" w:rsidR="005A1C79" w:rsidRPr="00082375" w:rsidRDefault="005A1C79" w:rsidP="00413BF8">
            <w:pPr>
              <w:spacing w:after="0" w:line="240" w:lineRule="auto"/>
              <w:jc w:val="center"/>
              <w:rPr>
                <w:i/>
                <w:sz w:val="22"/>
              </w:rPr>
            </w:pPr>
            <w:r w:rsidRPr="00082375">
              <w:rPr>
                <w:sz w:val="22"/>
              </w:rPr>
              <w:t>0.612</w:t>
            </w:r>
          </w:p>
        </w:tc>
        <w:tc>
          <w:tcPr>
            <w:tcW w:w="1843" w:type="dxa"/>
            <w:tcBorders>
              <w:top w:val="nil"/>
              <w:left w:val="nil"/>
              <w:bottom w:val="nil"/>
              <w:right w:val="nil"/>
            </w:tcBorders>
            <w:shd w:val="clear" w:color="auto" w:fill="auto"/>
            <w:noWrap/>
            <w:vAlign w:val="center"/>
          </w:tcPr>
          <w:p w14:paraId="629F7925" w14:textId="77777777" w:rsidR="005A1C79" w:rsidRPr="00082375" w:rsidRDefault="005A1C79" w:rsidP="00413BF8">
            <w:pPr>
              <w:spacing w:after="0" w:line="240" w:lineRule="auto"/>
              <w:jc w:val="center"/>
              <w:rPr>
                <w:i/>
                <w:sz w:val="22"/>
              </w:rPr>
            </w:pPr>
            <w:r w:rsidRPr="00082375">
              <w:rPr>
                <w:sz w:val="22"/>
              </w:rPr>
              <w:t>-0.10 (-0.20,0.00)</w:t>
            </w:r>
          </w:p>
        </w:tc>
        <w:tc>
          <w:tcPr>
            <w:tcW w:w="992" w:type="dxa"/>
            <w:tcBorders>
              <w:top w:val="nil"/>
              <w:left w:val="nil"/>
              <w:bottom w:val="nil"/>
              <w:right w:val="nil"/>
            </w:tcBorders>
            <w:shd w:val="clear" w:color="auto" w:fill="auto"/>
            <w:noWrap/>
            <w:vAlign w:val="center"/>
          </w:tcPr>
          <w:p w14:paraId="1AF75E67" w14:textId="77777777" w:rsidR="005A1C79" w:rsidRPr="00082375" w:rsidRDefault="005A1C79" w:rsidP="00413BF8">
            <w:pPr>
              <w:spacing w:after="0" w:line="240" w:lineRule="auto"/>
              <w:jc w:val="center"/>
              <w:rPr>
                <w:i/>
                <w:sz w:val="22"/>
              </w:rPr>
            </w:pPr>
            <w:r w:rsidRPr="00082375">
              <w:rPr>
                <w:sz w:val="22"/>
              </w:rPr>
              <w:t>0.052</w:t>
            </w:r>
          </w:p>
        </w:tc>
      </w:tr>
      <w:tr w:rsidR="005A1C79" w:rsidRPr="004D2E53" w14:paraId="3174F415" w14:textId="77777777" w:rsidTr="00413BF8">
        <w:trPr>
          <w:trHeight w:val="288"/>
        </w:trPr>
        <w:tc>
          <w:tcPr>
            <w:tcW w:w="4108" w:type="dxa"/>
            <w:tcBorders>
              <w:top w:val="nil"/>
              <w:left w:val="nil"/>
              <w:bottom w:val="nil"/>
              <w:right w:val="nil"/>
            </w:tcBorders>
            <w:shd w:val="clear" w:color="auto" w:fill="auto"/>
            <w:noWrap/>
            <w:vAlign w:val="center"/>
          </w:tcPr>
          <w:p w14:paraId="148A5765" w14:textId="77777777" w:rsidR="005A1C79" w:rsidRPr="0081736F" w:rsidRDefault="005A1C79" w:rsidP="00413BF8">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Protein intake</w:t>
            </w:r>
          </w:p>
        </w:tc>
        <w:tc>
          <w:tcPr>
            <w:tcW w:w="1846" w:type="dxa"/>
            <w:tcBorders>
              <w:top w:val="nil"/>
              <w:left w:val="nil"/>
              <w:bottom w:val="nil"/>
              <w:right w:val="nil"/>
            </w:tcBorders>
            <w:shd w:val="clear" w:color="auto" w:fill="auto"/>
            <w:noWrap/>
            <w:vAlign w:val="bottom"/>
          </w:tcPr>
          <w:p w14:paraId="1A477A29" w14:textId="77777777" w:rsidR="005A1C79" w:rsidRPr="00082375" w:rsidRDefault="005A1C79" w:rsidP="00413BF8">
            <w:pPr>
              <w:spacing w:after="0" w:line="240" w:lineRule="auto"/>
              <w:jc w:val="center"/>
              <w:rPr>
                <w:sz w:val="22"/>
              </w:rPr>
            </w:pPr>
            <w:r>
              <w:rPr>
                <w:rFonts w:ascii="Calibri" w:hAnsi="Calibri" w:cs="Calibri"/>
                <w:color w:val="000000"/>
                <w:sz w:val="22"/>
              </w:rPr>
              <w:t>0.04 (-0.05,0.14)</w:t>
            </w:r>
          </w:p>
        </w:tc>
        <w:tc>
          <w:tcPr>
            <w:tcW w:w="992" w:type="dxa"/>
            <w:tcBorders>
              <w:top w:val="nil"/>
              <w:left w:val="nil"/>
              <w:bottom w:val="nil"/>
              <w:right w:val="nil"/>
            </w:tcBorders>
            <w:shd w:val="clear" w:color="auto" w:fill="auto"/>
            <w:noWrap/>
            <w:vAlign w:val="bottom"/>
          </w:tcPr>
          <w:p w14:paraId="432640C6" w14:textId="77777777" w:rsidR="005A1C79" w:rsidRPr="00082375" w:rsidRDefault="005A1C79" w:rsidP="00413BF8">
            <w:pPr>
              <w:spacing w:after="0" w:line="240" w:lineRule="auto"/>
              <w:jc w:val="center"/>
              <w:rPr>
                <w:sz w:val="22"/>
              </w:rPr>
            </w:pPr>
            <w:r>
              <w:rPr>
                <w:rFonts w:ascii="Calibri" w:hAnsi="Calibri" w:cs="Calibri"/>
                <w:color w:val="000000"/>
                <w:sz w:val="22"/>
              </w:rPr>
              <w:t>0.398</w:t>
            </w:r>
          </w:p>
        </w:tc>
        <w:tc>
          <w:tcPr>
            <w:tcW w:w="1843" w:type="dxa"/>
            <w:tcBorders>
              <w:top w:val="nil"/>
              <w:left w:val="nil"/>
              <w:bottom w:val="nil"/>
              <w:right w:val="nil"/>
            </w:tcBorders>
            <w:shd w:val="clear" w:color="auto" w:fill="auto"/>
            <w:noWrap/>
            <w:vAlign w:val="bottom"/>
          </w:tcPr>
          <w:p w14:paraId="2D8FC984" w14:textId="77777777" w:rsidR="005A1C79" w:rsidRPr="00082375" w:rsidRDefault="005A1C79" w:rsidP="00413BF8">
            <w:pPr>
              <w:spacing w:after="0" w:line="240" w:lineRule="auto"/>
              <w:jc w:val="center"/>
              <w:rPr>
                <w:sz w:val="22"/>
              </w:rPr>
            </w:pPr>
            <w:r>
              <w:rPr>
                <w:rFonts w:ascii="Calibri" w:hAnsi="Calibri" w:cs="Calibri"/>
                <w:color w:val="000000"/>
                <w:sz w:val="22"/>
              </w:rPr>
              <w:t>0.04 (-0.06,0.13)</w:t>
            </w:r>
          </w:p>
        </w:tc>
        <w:tc>
          <w:tcPr>
            <w:tcW w:w="992" w:type="dxa"/>
            <w:tcBorders>
              <w:top w:val="nil"/>
              <w:left w:val="nil"/>
              <w:bottom w:val="nil"/>
              <w:right w:val="nil"/>
            </w:tcBorders>
            <w:shd w:val="clear" w:color="auto" w:fill="auto"/>
            <w:noWrap/>
            <w:vAlign w:val="bottom"/>
          </w:tcPr>
          <w:p w14:paraId="0032A1C7" w14:textId="77777777" w:rsidR="005A1C79" w:rsidRPr="00082375" w:rsidRDefault="005A1C79" w:rsidP="00413BF8">
            <w:pPr>
              <w:spacing w:after="0" w:line="240" w:lineRule="auto"/>
              <w:jc w:val="center"/>
              <w:rPr>
                <w:sz w:val="22"/>
              </w:rPr>
            </w:pPr>
            <w:r>
              <w:rPr>
                <w:rFonts w:ascii="Calibri" w:hAnsi="Calibri" w:cs="Calibri"/>
                <w:color w:val="000000"/>
                <w:sz w:val="22"/>
              </w:rPr>
              <w:t>0.422</w:t>
            </w:r>
          </w:p>
        </w:tc>
      </w:tr>
      <w:tr w:rsidR="005A1C79" w:rsidRPr="004D2E53" w14:paraId="3EE41643" w14:textId="77777777" w:rsidTr="00413BF8">
        <w:trPr>
          <w:trHeight w:val="288"/>
        </w:trPr>
        <w:tc>
          <w:tcPr>
            <w:tcW w:w="4108" w:type="dxa"/>
            <w:tcBorders>
              <w:top w:val="nil"/>
              <w:left w:val="nil"/>
              <w:right w:val="nil"/>
            </w:tcBorders>
            <w:shd w:val="clear" w:color="auto" w:fill="auto"/>
            <w:noWrap/>
            <w:vAlign w:val="center"/>
          </w:tcPr>
          <w:p w14:paraId="6EC4AA96"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81736F">
              <w:rPr>
                <w:rFonts w:ascii="Calibri" w:eastAsia="Times New Roman" w:hAnsi="Calibri" w:cs="Calibri"/>
                <w:color w:val="000000"/>
                <w:sz w:val="22"/>
                <w:lang w:eastAsia="en-GB"/>
              </w:rPr>
              <w:t>Social class (manual vs non-manual)</w:t>
            </w:r>
          </w:p>
        </w:tc>
        <w:tc>
          <w:tcPr>
            <w:tcW w:w="1846" w:type="dxa"/>
            <w:tcBorders>
              <w:top w:val="nil"/>
              <w:left w:val="nil"/>
              <w:right w:val="nil"/>
            </w:tcBorders>
            <w:shd w:val="clear" w:color="auto" w:fill="auto"/>
            <w:noWrap/>
            <w:vAlign w:val="center"/>
          </w:tcPr>
          <w:p w14:paraId="09D1265F" w14:textId="77777777" w:rsidR="005A1C79" w:rsidRPr="00082375" w:rsidRDefault="005A1C79" w:rsidP="00413BF8">
            <w:pPr>
              <w:spacing w:after="0" w:line="240" w:lineRule="auto"/>
              <w:jc w:val="center"/>
              <w:rPr>
                <w:i/>
                <w:sz w:val="22"/>
              </w:rPr>
            </w:pPr>
            <w:r w:rsidRPr="00082375">
              <w:rPr>
                <w:sz w:val="22"/>
              </w:rPr>
              <w:t>0.10 (-0.08,0.28)</w:t>
            </w:r>
          </w:p>
        </w:tc>
        <w:tc>
          <w:tcPr>
            <w:tcW w:w="992" w:type="dxa"/>
            <w:tcBorders>
              <w:top w:val="nil"/>
              <w:left w:val="nil"/>
              <w:right w:val="nil"/>
            </w:tcBorders>
            <w:shd w:val="clear" w:color="auto" w:fill="auto"/>
            <w:noWrap/>
            <w:vAlign w:val="center"/>
          </w:tcPr>
          <w:p w14:paraId="37B9B0F3" w14:textId="77777777" w:rsidR="005A1C79" w:rsidRPr="00082375" w:rsidRDefault="005A1C79" w:rsidP="00413BF8">
            <w:pPr>
              <w:spacing w:after="0" w:line="240" w:lineRule="auto"/>
              <w:jc w:val="center"/>
              <w:rPr>
                <w:i/>
                <w:sz w:val="22"/>
              </w:rPr>
            </w:pPr>
            <w:r w:rsidRPr="00082375">
              <w:rPr>
                <w:sz w:val="22"/>
              </w:rPr>
              <w:t>0.278</w:t>
            </w:r>
          </w:p>
        </w:tc>
        <w:tc>
          <w:tcPr>
            <w:tcW w:w="1843" w:type="dxa"/>
            <w:tcBorders>
              <w:top w:val="nil"/>
              <w:left w:val="nil"/>
              <w:right w:val="nil"/>
            </w:tcBorders>
            <w:shd w:val="clear" w:color="auto" w:fill="auto"/>
            <w:noWrap/>
            <w:vAlign w:val="center"/>
          </w:tcPr>
          <w:p w14:paraId="69C63B15" w14:textId="77777777" w:rsidR="005A1C79" w:rsidRPr="00082375" w:rsidRDefault="005A1C79" w:rsidP="00413BF8">
            <w:pPr>
              <w:spacing w:after="0" w:line="240" w:lineRule="auto"/>
              <w:jc w:val="center"/>
              <w:rPr>
                <w:i/>
                <w:sz w:val="22"/>
              </w:rPr>
            </w:pPr>
            <w:r w:rsidRPr="00082375">
              <w:rPr>
                <w:sz w:val="22"/>
              </w:rPr>
              <w:t>-0.03 (-0.22,0.16)</w:t>
            </w:r>
          </w:p>
        </w:tc>
        <w:tc>
          <w:tcPr>
            <w:tcW w:w="992" w:type="dxa"/>
            <w:tcBorders>
              <w:top w:val="nil"/>
              <w:left w:val="nil"/>
              <w:right w:val="nil"/>
            </w:tcBorders>
            <w:shd w:val="clear" w:color="auto" w:fill="auto"/>
            <w:noWrap/>
            <w:vAlign w:val="center"/>
          </w:tcPr>
          <w:p w14:paraId="74D5888A" w14:textId="77777777" w:rsidR="005A1C79" w:rsidRPr="00082375" w:rsidRDefault="005A1C79" w:rsidP="00413BF8">
            <w:pPr>
              <w:spacing w:after="0" w:line="240" w:lineRule="auto"/>
              <w:jc w:val="center"/>
              <w:rPr>
                <w:i/>
                <w:sz w:val="22"/>
              </w:rPr>
            </w:pPr>
            <w:r w:rsidRPr="00082375">
              <w:rPr>
                <w:sz w:val="22"/>
              </w:rPr>
              <w:t>0.743</w:t>
            </w:r>
          </w:p>
        </w:tc>
      </w:tr>
      <w:tr w:rsidR="005A1C79" w:rsidRPr="004D2E53" w14:paraId="5AA4DC4D" w14:textId="77777777" w:rsidTr="00413BF8">
        <w:trPr>
          <w:trHeight w:val="288"/>
        </w:trPr>
        <w:tc>
          <w:tcPr>
            <w:tcW w:w="4108" w:type="dxa"/>
            <w:tcBorders>
              <w:top w:val="nil"/>
              <w:left w:val="nil"/>
              <w:bottom w:val="single" w:sz="4" w:space="0" w:color="auto"/>
              <w:right w:val="nil"/>
            </w:tcBorders>
            <w:shd w:val="clear" w:color="auto" w:fill="auto"/>
            <w:noWrap/>
            <w:vAlign w:val="center"/>
          </w:tcPr>
          <w:p w14:paraId="4F36D331" w14:textId="77777777" w:rsidR="005A1C79" w:rsidRPr="004D2E53" w:rsidRDefault="005A1C79" w:rsidP="00413BF8">
            <w:pPr>
              <w:spacing w:after="0" w:line="240" w:lineRule="auto"/>
              <w:rPr>
                <w:rFonts w:ascii="Calibri" w:eastAsia="Times New Roman" w:hAnsi="Calibri" w:cs="Calibri"/>
                <w:color w:val="000000"/>
                <w:sz w:val="22"/>
                <w:lang w:eastAsia="en-GB"/>
              </w:rPr>
            </w:pPr>
            <w:r w:rsidRPr="0081736F">
              <w:rPr>
                <w:rFonts w:ascii="Calibri" w:eastAsia="Times New Roman" w:hAnsi="Calibri" w:cs="Calibri"/>
                <w:color w:val="000000"/>
                <w:sz w:val="22"/>
                <w:lang w:eastAsia="en-GB"/>
              </w:rPr>
              <w:t xml:space="preserve">Comorbidity (per </w:t>
            </w:r>
            <w:r>
              <w:rPr>
                <w:rFonts w:ascii="Calibri" w:eastAsia="Times New Roman" w:hAnsi="Calibri" w:cs="Calibri"/>
                <w:color w:val="000000"/>
                <w:sz w:val="22"/>
                <w:lang w:eastAsia="en-GB"/>
              </w:rPr>
              <w:t>fewer</w:t>
            </w:r>
            <w:r w:rsidRPr="0081736F">
              <w:rPr>
                <w:rFonts w:ascii="Calibri" w:eastAsia="Times New Roman" w:hAnsi="Calibri" w:cs="Calibri"/>
                <w:color w:val="000000"/>
                <w:sz w:val="22"/>
                <w:lang w:eastAsia="en-GB"/>
              </w:rPr>
              <w:t xml:space="preserve"> system medicated)</w:t>
            </w:r>
          </w:p>
        </w:tc>
        <w:tc>
          <w:tcPr>
            <w:tcW w:w="1846" w:type="dxa"/>
            <w:tcBorders>
              <w:top w:val="nil"/>
              <w:left w:val="nil"/>
              <w:bottom w:val="single" w:sz="4" w:space="0" w:color="auto"/>
              <w:right w:val="nil"/>
            </w:tcBorders>
            <w:shd w:val="clear" w:color="auto" w:fill="auto"/>
            <w:noWrap/>
            <w:vAlign w:val="center"/>
          </w:tcPr>
          <w:p w14:paraId="0550EA40" w14:textId="77777777" w:rsidR="005A1C79" w:rsidRPr="00082375" w:rsidRDefault="005A1C79" w:rsidP="00413BF8">
            <w:pPr>
              <w:spacing w:after="0" w:line="240" w:lineRule="auto"/>
              <w:jc w:val="center"/>
              <w:rPr>
                <w:i/>
                <w:sz w:val="22"/>
              </w:rPr>
            </w:pPr>
            <w:r w:rsidRPr="00082375">
              <w:rPr>
                <w:sz w:val="22"/>
              </w:rPr>
              <w:t>-0.00 (-0.08,0.08)</w:t>
            </w:r>
          </w:p>
        </w:tc>
        <w:tc>
          <w:tcPr>
            <w:tcW w:w="992" w:type="dxa"/>
            <w:tcBorders>
              <w:top w:val="nil"/>
              <w:left w:val="nil"/>
              <w:bottom w:val="single" w:sz="4" w:space="0" w:color="auto"/>
              <w:right w:val="nil"/>
            </w:tcBorders>
            <w:shd w:val="clear" w:color="auto" w:fill="auto"/>
            <w:noWrap/>
            <w:vAlign w:val="center"/>
          </w:tcPr>
          <w:p w14:paraId="0C375EDD" w14:textId="77777777" w:rsidR="005A1C79" w:rsidRPr="00082375" w:rsidRDefault="005A1C79" w:rsidP="00413BF8">
            <w:pPr>
              <w:spacing w:after="0" w:line="240" w:lineRule="auto"/>
              <w:jc w:val="center"/>
              <w:rPr>
                <w:i/>
                <w:sz w:val="22"/>
              </w:rPr>
            </w:pPr>
            <w:r w:rsidRPr="00082375">
              <w:rPr>
                <w:sz w:val="22"/>
              </w:rPr>
              <w:t>0.983</w:t>
            </w:r>
          </w:p>
        </w:tc>
        <w:tc>
          <w:tcPr>
            <w:tcW w:w="1843" w:type="dxa"/>
            <w:tcBorders>
              <w:top w:val="nil"/>
              <w:left w:val="nil"/>
              <w:bottom w:val="single" w:sz="4" w:space="0" w:color="auto"/>
              <w:right w:val="nil"/>
            </w:tcBorders>
            <w:shd w:val="clear" w:color="auto" w:fill="auto"/>
            <w:noWrap/>
            <w:vAlign w:val="center"/>
          </w:tcPr>
          <w:p w14:paraId="433EEDF2" w14:textId="77777777" w:rsidR="005A1C79" w:rsidRPr="00082375" w:rsidRDefault="005A1C79" w:rsidP="00413BF8">
            <w:pPr>
              <w:spacing w:after="0" w:line="240" w:lineRule="auto"/>
              <w:jc w:val="center"/>
              <w:rPr>
                <w:i/>
                <w:sz w:val="22"/>
              </w:rPr>
            </w:pPr>
            <w:r w:rsidRPr="00082375">
              <w:rPr>
                <w:sz w:val="22"/>
              </w:rPr>
              <w:t>0.06 (-0.02,0.15)</w:t>
            </w:r>
          </w:p>
        </w:tc>
        <w:tc>
          <w:tcPr>
            <w:tcW w:w="992" w:type="dxa"/>
            <w:tcBorders>
              <w:top w:val="nil"/>
              <w:left w:val="nil"/>
              <w:bottom w:val="single" w:sz="4" w:space="0" w:color="auto"/>
              <w:right w:val="nil"/>
            </w:tcBorders>
            <w:shd w:val="clear" w:color="auto" w:fill="auto"/>
            <w:noWrap/>
            <w:vAlign w:val="center"/>
          </w:tcPr>
          <w:p w14:paraId="603B3674" w14:textId="77777777" w:rsidR="005A1C79" w:rsidRPr="00082375" w:rsidRDefault="005A1C79" w:rsidP="00413BF8">
            <w:pPr>
              <w:spacing w:after="0" w:line="240" w:lineRule="auto"/>
              <w:jc w:val="center"/>
              <w:rPr>
                <w:i/>
                <w:sz w:val="22"/>
              </w:rPr>
            </w:pPr>
            <w:r w:rsidRPr="00082375">
              <w:rPr>
                <w:sz w:val="22"/>
              </w:rPr>
              <w:t>0.139</w:t>
            </w:r>
          </w:p>
        </w:tc>
      </w:tr>
      <w:tr w:rsidR="005A1C79" w:rsidRPr="004D2E53" w14:paraId="412994D4" w14:textId="77777777" w:rsidTr="00413BF8">
        <w:trPr>
          <w:trHeight w:val="288"/>
        </w:trPr>
        <w:tc>
          <w:tcPr>
            <w:tcW w:w="4108" w:type="dxa"/>
            <w:tcBorders>
              <w:left w:val="nil"/>
              <w:bottom w:val="nil"/>
              <w:right w:val="nil"/>
            </w:tcBorders>
            <w:shd w:val="clear" w:color="auto" w:fill="auto"/>
            <w:noWrap/>
            <w:vAlign w:val="bottom"/>
          </w:tcPr>
          <w:p w14:paraId="01A45FDA" w14:textId="77777777" w:rsidR="005A1C79" w:rsidRPr="004D2E53" w:rsidRDefault="005A1C79" w:rsidP="00413BF8">
            <w:pPr>
              <w:spacing w:after="0" w:line="240" w:lineRule="auto"/>
              <w:jc w:val="both"/>
              <w:rPr>
                <w:rFonts w:ascii="Calibri" w:eastAsia="Times New Roman" w:hAnsi="Calibri" w:cs="Calibri"/>
                <w:color w:val="000000"/>
                <w:sz w:val="22"/>
                <w:lang w:eastAsia="en-GB"/>
              </w:rPr>
            </w:pPr>
            <w:r w:rsidRPr="000B31D8">
              <w:rPr>
                <w:rFonts w:ascii="Calibri" w:eastAsia="Times New Roman" w:hAnsi="Calibri" w:cs="Calibri"/>
                <w:color w:val="000000"/>
                <w:sz w:val="22"/>
                <w:lang w:eastAsia="en-GB"/>
              </w:rPr>
              <w:t>SD: Standard deviation</w:t>
            </w:r>
          </w:p>
        </w:tc>
        <w:tc>
          <w:tcPr>
            <w:tcW w:w="1846" w:type="dxa"/>
            <w:tcBorders>
              <w:left w:val="nil"/>
              <w:bottom w:val="nil"/>
              <w:right w:val="nil"/>
            </w:tcBorders>
            <w:shd w:val="clear" w:color="auto" w:fill="auto"/>
            <w:noWrap/>
            <w:vAlign w:val="bottom"/>
          </w:tcPr>
          <w:p w14:paraId="19FDD490" w14:textId="77777777" w:rsidR="005A1C79" w:rsidRPr="00CA4D7A" w:rsidRDefault="005A1C79" w:rsidP="00413BF8">
            <w:pPr>
              <w:spacing w:after="0" w:line="240" w:lineRule="auto"/>
              <w:jc w:val="center"/>
              <w:rPr>
                <w:rFonts w:ascii="Calibri" w:eastAsia="Times New Roman" w:hAnsi="Calibri" w:cs="Calibri"/>
                <w:sz w:val="22"/>
                <w:lang w:eastAsia="en-GB"/>
              </w:rPr>
            </w:pPr>
          </w:p>
        </w:tc>
        <w:tc>
          <w:tcPr>
            <w:tcW w:w="992" w:type="dxa"/>
            <w:tcBorders>
              <w:left w:val="nil"/>
              <w:bottom w:val="nil"/>
              <w:right w:val="nil"/>
            </w:tcBorders>
            <w:shd w:val="clear" w:color="auto" w:fill="auto"/>
            <w:noWrap/>
            <w:vAlign w:val="bottom"/>
          </w:tcPr>
          <w:p w14:paraId="39D04BCA" w14:textId="77777777" w:rsidR="005A1C79" w:rsidRPr="00CA4D7A" w:rsidRDefault="005A1C79" w:rsidP="00413BF8">
            <w:pPr>
              <w:spacing w:after="0" w:line="240" w:lineRule="auto"/>
              <w:jc w:val="center"/>
              <w:rPr>
                <w:rFonts w:ascii="Calibri" w:eastAsia="Times New Roman" w:hAnsi="Calibri" w:cs="Calibri"/>
                <w:sz w:val="22"/>
                <w:lang w:eastAsia="en-GB"/>
              </w:rPr>
            </w:pPr>
          </w:p>
        </w:tc>
        <w:tc>
          <w:tcPr>
            <w:tcW w:w="1843" w:type="dxa"/>
            <w:tcBorders>
              <w:left w:val="nil"/>
              <w:bottom w:val="nil"/>
              <w:right w:val="nil"/>
            </w:tcBorders>
            <w:shd w:val="clear" w:color="auto" w:fill="auto"/>
            <w:noWrap/>
            <w:vAlign w:val="bottom"/>
          </w:tcPr>
          <w:p w14:paraId="06F8618F" w14:textId="77777777" w:rsidR="005A1C79" w:rsidRPr="00CA4D7A" w:rsidRDefault="005A1C79" w:rsidP="00413BF8">
            <w:pPr>
              <w:spacing w:after="0" w:line="240" w:lineRule="auto"/>
              <w:jc w:val="center"/>
              <w:rPr>
                <w:rFonts w:ascii="Calibri" w:eastAsia="Times New Roman" w:hAnsi="Calibri" w:cs="Calibri"/>
                <w:sz w:val="22"/>
                <w:lang w:eastAsia="en-GB"/>
              </w:rPr>
            </w:pPr>
          </w:p>
        </w:tc>
        <w:tc>
          <w:tcPr>
            <w:tcW w:w="992" w:type="dxa"/>
            <w:tcBorders>
              <w:left w:val="nil"/>
              <w:bottom w:val="nil"/>
              <w:right w:val="nil"/>
            </w:tcBorders>
            <w:shd w:val="clear" w:color="auto" w:fill="auto"/>
            <w:noWrap/>
            <w:vAlign w:val="bottom"/>
          </w:tcPr>
          <w:p w14:paraId="01C36C97" w14:textId="77777777" w:rsidR="005A1C79" w:rsidRPr="00CA4D7A" w:rsidRDefault="005A1C79" w:rsidP="00413BF8">
            <w:pPr>
              <w:spacing w:after="0" w:line="240" w:lineRule="auto"/>
              <w:jc w:val="center"/>
              <w:rPr>
                <w:rFonts w:ascii="Calibri" w:eastAsia="Times New Roman" w:hAnsi="Calibri" w:cs="Calibri"/>
                <w:sz w:val="22"/>
                <w:lang w:eastAsia="en-GB"/>
              </w:rPr>
            </w:pPr>
          </w:p>
        </w:tc>
      </w:tr>
      <w:tr w:rsidR="005A1C79" w:rsidRPr="004D2E53" w14:paraId="520F8018" w14:textId="77777777" w:rsidTr="00413BF8">
        <w:trPr>
          <w:trHeight w:val="288"/>
        </w:trPr>
        <w:tc>
          <w:tcPr>
            <w:tcW w:w="4108" w:type="dxa"/>
            <w:tcBorders>
              <w:top w:val="nil"/>
              <w:left w:val="nil"/>
              <w:bottom w:val="nil"/>
              <w:right w:val="nil"/>
            </w:tcBorders>
            <w:shd w:val="clear" w:color="auto" w:fill="auto"/>
            <w:noWrap/>
            <w:vAlign w:val="bottom"/>
          </w:tcPr>
          <w:p w14:paraId="733F56CA" w14:textId="77777777" w:rsidR="005A1C79" w:rsidRPr="004D2E53" w:rsidRDefault="005A1C79" w:rsidP="00413BF8">
            <w:pPr>
              <w:spacing w:after="0" w:line="240" w:lineRule="auto"/>
              <w:jc w:val="both"/>
              <w:rPr>
                <w:rFonts w:ascii="Calibri" w:eastAsia="Times New Roman" w:hAnsi="Calibri" w:cs="Calibri"/>
                <w:color w:val="000000"/>
                <w:sz w:val="22"/>
                <w:lang w:eastAsia="en-GB"/>
              </w:rPr>
            </w:pPr>
            <w:r w:rsidRPr="000B31D8">
              <w:rPr>
                <w:rFonts w:ascii="Calibri" w:eastAsia="Times New Roman" w:hAnsi="Calibri" w:cs="Calibri"/>
                <w:color w:val="000000"/>
                <w:sz w:val="22"/>
                <w:lang w:eastAsia="en-GB"/>
              </w:rPr>
              <w:t>CI: Confidence interval</w:t>
            </w:r>
          </w:p>
        </w:tc>
        <w:tc>
          <w:tcPr>
            <w:tcW w:w="1846" w:type="dxa"/>
            <w:tcBorders>
              <w:top w:val="nil"/>
              <w:left w:val="nil"/>
              <w:bottom w:val="nil"/>
              <w:right w:val="nil"/>
            </w:tcBorders>
            <w:shd w:val="clear" w:color="auto" w:fill="auto"/>
            <w:noWrap/>
            <w:vAlign w:val="bottom"/>
          </w:tcPr>
          <w:p w14:paraId="5FF1890E" w14:textId="77777777" w:rsidR="005A1C79" w:rsidRPr="00CA4D7A" w:rsidRDefault="005A1C79" w:rsidP="00413BF8">
            <w:pPr>
              <w:spacing w:after="0" w:line="240" w:lineRule="auto"/>
              <w:jc w:val="center"/>
              <w:rPr>
                <w:rFonts w:ascii="Calibri" w:eastAsia="Times New Roman" w:hAnsi="Calibri" w:cs="Calibri"/>
                <w:sz w:val="22"/>
                <w:lang w:eastAsia="en-GB"/>
              </w:rPr>
            </w:pPr>
          </w:p>
        </w:tc>
        <w:tc>
          <w:tcPr>
            <w:tcW w:w="992" w:type="dxa"/>
            <w:tcBorders>
              <w:top w:val="nil"/>
              <w:left w:val="nil"/>
              <w:bottom w:val="nil"/>
              <w:right w:val="nil"/>
            </w:tcBorders>
            <w:shd w:val="clear" w:color="auto" w:fill="auto"/>
            <w:noWrap/>
            <w:vAlign w:val="bottom"/>
          </w:tcPr>
          <w:p w14:paraId="5023B9B9" w14:textId="77777777" w:rsidR="005A1C79" w:rsidRPr="00CA4D7A" w:rsidRDefault="005A1C79" w:rsidP="00413BF8">
            <w:pPr>
              <w:spacing w:after="0" w:line="240" w:lineRule="auto"/>
              <w:jc w:val="center"/>
              <w:rPr>
                <w:rFonts w:ascii="Calibri" w:eastAsia="Times New Roman" w:hAnsi="Calibri" w:cs="Calibri"/>
                <w:sz w:val="22"/>
                <w:lang w:eastAsia="en-GB"/>
              </w:rPr>
            </w:pPr>
          </w:p>
        </w:tc>
        <w:tc>
          <w:tcPr>
            <w:tcW w:w="1843" w:type="dxa"/>
            <w:tcBorders>
              <w:top w:val="nil"/>
              <w:left w:val="nil"/>
              <w:bottom w:val="nil"/>
              <w:right w:val="nil"/>
            </w:tcBorders>
            <w:shd w:val="clear" w:color="auto" w:fill="auto"/>
            <w:noWrap/>
            <w:vAlign w:val="bottom"/>
          </w:tcPr>
          <w:p w14:paraId="0598CDAB" w14:textId="77777777" w:rsidR="005A1C79" w:rsidRPr="00CA4D7A" w:rsidRDefault="005A1C79" w:rsidP="00413BF8">
            <w:pPr>
              <w:spacing w:after="0" w:line="240" w:lineRule="auto"/>
              <w:jc w:val="center"/>
              <w:rPr>
                <w:rFonts w:ascii="Calibri" w:eastAsia="Times New Roman" w:hAnsi="Calibri" w:cs="Calibri"/>
                <w:sz w:val="22"/>
                <w:lang w:eastAsia="en-GB"/>
              </w:rPr>
            </w:pPr>
          </w:p>
        </w:tc>
        <w:tc>
          <w:tcPr>
            <w:tcW w:w="992" w:type="dxa"/>
            <w:tcBorders>
              <w:top w:val="nil"/>
              <w:left w:val="nil"/>
              <w:bottom w:val="nil"/>
              <w:right w:val="nil"/>
            </w:tcBorders>
            <w:shd w:val="clear" w:color="auto" w:fill="auto"/>
            <w:noWrap/>
            <w:vAlign w:val="bottom"/>
          </w:tcPr>
          <w:p w14:paraId="5216DC55" w14:textId="77777777" w:rsidR="005A1C79" w:rsidRPr="00CA4D7A" w:rsidRDefault="005A1C79" w:rsidP="00413BF8">
            <w:pPr>
              <w:spacing w:after="0" w:line="240" w:lineRule="auto"/>
              <w:jc w:val="center"/>
              <w:rPr>
                <w:rFonts w:ascii="Calibri" w:eastAsia="Times New Roman" w:hAnsi="Calibri" w:cs="Calibri"/>
                <w:sz w:val="22"/>
                <w:lang w:eastAsia="en-GB"/>
              </w:rPr>
            </w:pPr>
          </w:p>
        </w:tc>
      </w:tr>
      <w:tr w:rsidR="005A1C79" w:rsidRPr="004D2E53" w14:paraId="432B8D2B" w14:textId="77777777" w:rsidTr="00413BF8">
        <w:trPr>
          <w:trHeight w:val="288"/>
        </w:trPr>
        <w:tc>
          <w:tcPr>
            <w:tcW w:w="9781" w:type="dxa"/>
            <w:gridSpan w:val="5"/>
            <w:tcBorders>
              <w:top w:val="nil"/>
              <w:left w:val="nil"/>
              <w:bottom w:val="nil"/>
              <w:right w:val="nil"/>
            </w:tcBorders>
            <w:shd w:val="clear" w:color="auto" w:fill="auto"/>
            <w:noWrap/>
            <w:vAlign w:val="bottom"/>
          </w:tcPr>
          <w:p w14:paraId="37B2030B" w14:textId="77777777" w:rsidR="005A1C79" w:rsidRPr="00CA4D7A" w:rsidRDefault="005A1C79" w:rsidP="00413BF8">
            <w:pPr>
              <w:spacing w:after="0" w:line="240" w:lineRule="auto"/>
              <w:rPr>
                <w:rFonts w:ascii="Calibri" w:eastAsia="Times New Roman" w:hAnsi="Calibri" w:cs="Calibri"/>
                <w:sz w:val="22"/>
                <w:lang w:eastAsia="en-GB"/>
              </w:rPr>
            </w:pPr>
            <w:r>
              <w:rPr>
                <w:rFonts w:ascii="Calibri" w:eastAsia="Times New Roman" w:hAnsi="Calibri" w:cs="Calibri"/>
                <w:sz w:val="22"/>
                <w:lang w:eastAsia="en-GB"/>
              </w:rPr>
              <w:t>Each regression model included the individual participant characteristic of interest along with s</w:t>
            </w:r>
            <w:r w:rsidRPr="00CA4D7A">
              <w:rPr>
                <w:rFonts w:ascii="Calibri" w:eastAsia="Times New Roman" w:hAnsi="Calibri" w:cs="Calibri"/>
                <w:sz w:val="22"/>
                <w:lang w:eastAsia="en-GB"/>
              </w:rPr>
              <w:t>ex, baseline age and follow-up time</w:t>
            </w:r>
            <w:r>
              <w:rPr>
                <w:rFonts w:ascii="Calibri" w:eastAsia="Times New Roman" w:hAnsi="Calibri" w:cs="Calibri"/>
                <w:sz w:val="22"/>
                <w:lang w:eastAsia="en-GB"/>
              </w:rPr>
              <w:t>.</w:t>
            </w:r>
          </w:p>
        </w:tc>
      </w:tr>
      <w:tr w:rsidR="005A1C79" w:rsidRPr="004D2E53" w14:paraId="67989D00" w14:textId="77777777" w:rsidTr="00413BF8">
        <w:trPr>
          <w:trHeight w:val="288"/>
        </w:trPr>
        <w:tc>
          <w:tcPr>
            <w:tcW w:w="9781" w:type="dxa"/>
            <w:gridSpan w:val="5"/>
            <w:tcBorders>
              <w:top w:val="nil"/>
              <w:left w:val="nil"/>
              <w:bottom w:val="nil"/>
              <w:right w:val="nil"/>
            </w:tcBorders>
            <w:shd w:val="clear" w:color="auto" w:fill="auto"/>
            <w:noWrap/>
            <w:vAlign w:val="bottom"/>
          </w:tcPr>
          <w:p w14:paraId="78D39218" w14:textId="77777777" w:rsidR="005A1C79" w:rsidRPr="00A1157B" w:rsidRDefault="005A1C79" w:rsidP="00413BF8">
            <w:pPr>
              <w:spacing w:after="0" w:line="240" w:lineRule="auto"/>
              <w:rPr>
                <w:rFonts w:ascii="Calibri" w:eastAsia="Times New Roman" w:hAnsi="Calibri" w:cs="Calibri"/>
                <w:sz w:val="22"/>
                <w:lang w:eastAsia="en-GB"/>
              </w:rPr>
            </w:pPr>
            <w:r w:rsidRPr="00A1157B">
              <w:rPr>
                <w:rFonts w:ascii="Calibri" w:eastAsia="Times New Roman" w:hAnsi="Calibri" w:cs="Calibri"/>
                <w:sz w:val="22"/>
                <w:lang w:eastAsia="en-GB"/>
              </w:rPr>
              <w:t>Significant associations (p&lt;0.05) are shown in italic</w:t>
            </w:r>
          </w:p>
        </w:tc>
      </w:tr>
    </w:tbl>
    <w:p w14:paraId="64CBF39F" w14:textId="77777777" w:rsidR="005A1C79" w:rsidRDefault="005A1C79" w:rsidP="005A1C79">
      <w:pPr>
        <w:sectPr w:rsidR="005A1C79">
          <w:pgSz w:w="11906" w:h="16838"/>
          <w:pgMar w:top="1440" w:right="1440" w:bottom="1440" w:left="1440" w:header="708" w:footer="708" w:gutter="0"/>
          <w:cols w:space="708"/>
          <w:docGrid w:linePitch="360"/>
        </w:sectPr>
      </w:pPr>
    </w:p>
    <w:bookmarkEnd w:id="3"/>
    <w:p w14:paraId="7F4E06CE" w14:textId="77777777" w:rsidR="005A1C79" w:rsidRDefault="005A1C79" w:rsidP="005A1C79"/>
    <w:p w14:paraId="6F680A30" w14:textId="295D8887" w:rsidR="005A1C79" w:rsidRDefault="20E9AF70" w:rsidP="005A1C79">
      <w:pPr>
        <w:pStyle w:val="Caption"/>
        <w:keepNext/>
      </w:pPr>
      <w:bookmarkStart w:id="4" w:name="_Ref93593437"/>
      <w:r>
        <w:t xml:space="preserve">Table </w:t>
      </w:r>
      <w:fldSimple w:instr=" SEQ Table \* ARABIC ">
        <w:r w:rsidRPr="79600936">
          <w:rPr>
            <w:noProof/>
          </w:rPr>
          <w:t>3</w:t>
        </w:r>
      </w:fldSimple>
      <w:bookmarkEnd w:id="4"/>
      <w:r>
        <w:t>: Cross-sectional Pearson correlations between musculoskeletal parameters and muscle density at the forearm and calf (2011/2012) stratified by sex</w:t>
      </w:r>
    </w:p>
    <w:tbl>
      <w:tblPr>
        <w:tblW w:w="3385" w:type="pct"/>
        <w:tblLook w:val="04A0" w:firstRow="1" w:lastRow="0" w:firstColumn="1" w:lastColumn="0" w:noHBand="0" w:noVBand="1"/>
      </w:tblPr>
      <w:tblGrid>
        <w:gridCol w:w="1624"/>
        <w:gridCol w:w="2402"/>
        <w:gridCol w:w="2085"/>
      </w:tblGrid>
      <w:tr w:rsidR="005A1C79" w:rsidRPr="0013723F" w14:paraId="7D78BBEE" w14:textId="77777777" w:rsidTr="00413BF8">
        <w:trPr>
          <w:trHeight w:val="271"/>
        </w:trPr>
        <w:tc>
          <w:tcPr>
            <w:tcW w:w="1329" w:type="pct"/>
            <w:tcBorders>
              <w:top w:val="single" w:sz="4" w:space="0" w:color="auto"/>
              <w:bottom w:val="single" w:sz="4" w:space="0" w:color="auto"/>
            </w:tcBorders>
            <w:shd w:val="clear" w:color="auto" w:fill="auto"/>
            <w:noWrap/>
            <w:vAlign w:val="bottom"/>
          </w:tcPr>
          <w:p w14:paraId="055BCF4C" w14:textId="77777777" w:rsidR="005A1C79" w:rsidRPr="00557D4A" w:rsidRDefault="005A1C79" w:rsidP="00413BF8">
            <w:pPr>
              <w:keepNext/>
              <w:keepLines/>
              <w:spacing w:after="0" w:line="240" w:lineRule="auto"/>
              <w:rPr>
                <w:rFonts w:ascii="Calibri" w:eastAsia="Times New Roman" w:hAnsi="Calibri" w:cs="Times New Roman"/>
                <w:b/>
                <w:bCs/>
                <w:sz w:val="22"/>
                <w:lang w:eastAsia="en-GB"/>
              </w:rPr>
            </w:pPr>
            <w:r w:rsidRPr="00557D4A">
              <w:rPr>
                <w:rFonts w:ascii="Calibri" w:eastAsia="Times New Roman" w:hAnsi="Calibri" w:cs="Times New Roman"/>
                <w:b/>
                <w:bCs/>
                <w:sz w:val="22"/>
                <w:lang w:eastAsia="en-GB"/>
              </w:rPr>
              <w:t>Parameter</w:t>
            </w:r>
          </w:p>
        </w:tc>
        <w:tc>
          <w:tcPr>
            <w:tcW w:w="1965" w:type="pct"/>
            <w:tcBorders>
              <w:top w:val="single" w:sz="4" w:space="0" w:color="auto"/>
              <w:bottom w:val="single" w:sz="4" w:space="0" w:color="auto"/>
            </w:tcBorders>
            <w:shd w:val="clear" w:color="auto" w:fill="auto"/>
            <w:noWrap/>
            <w:vAlign w:val="bottom"/>
          </w:tcPr>
          <w:p w14:paraId="2E2C53D4" w14:textId="77777777" w:rsidR="005A1C79" w:rsidRPr="00557D4A" w:rsidRDefault="005A1C79" w:rsidP="00413BF8">
            <w:pPr>
              <w:keepNext/>
              <w:keepLines/>
              <w:spacing w:after="0" w:line="240" w:lineRule="auto"/>
              <w:jc w:val="center"/>
              <w:rPr>
                <w:rFonts w:ascii="Calibri" w:eastAsia="Times New Roman" w:hAnsi="Calibri" w:cs="Times New Roman"/>
                <w:b/>
                <w:bCs/>
                <w:sz w:val="22"/>
                <w:lang w:eastAsia="en-GB"/>
              </w:rPr>
            </w:pPr>
            <w:r w:rsidRPr="00557D4A">
              <w:rPr>
                <w:rFonts w:ascii="Calibri" w:eastAsia="Times New Roman" w:hAnsi="Calibri" w:cs="Times New Roman"/>
                <w:b/>
                <w:bCs/>
                <w:sz w:val="22"/>
                <w:lang w:eastAsia="en-GB"/>
              </w:rPr>
              <w:t>Forearm muscle density</w:t>
            </w:r>
          </w:p>
        </w:tc>
        <w:tc>
          <w:tcPr>
            <w:tcW w:w="1706" w:type="pct"/>
            <w:tcBorders>
              <w:top w:val="single" w:sz="4" w:space="0" w:color="auto"/>
              <w:bottom w:val="single" w:sz="4" w:space="0" w:color="auto"/>
            </w:tcBorders>
          </w:tcPr>
          <w:p w14:paraId="7598AED9" w14:textId="77777777" w:rsidR="005A1C79" w:rsidRPr="00557D4A" w:rsidRDefault="005A1C79" w:rsidP="00413BF8">
            <w:pPr>
              <w:keepNext/>
              <w:keepLines/>
              <w:spacing w:after="0" w:line="240" w:lineRule="auto"/>
              <w:jc w:val="center"/>
              <w:rPr>
                <w:rFonts w:ascii="Calibri" w:hAnsi="Calibri"/>
                <w:b/>
                <w:bCs/>
                <w:sz w:val="22"/>
              </w:rPr>
            </w:pPr>
            <w:r w:rsidRPr="00557D4A">
              <w:rPr>
                <w:rFonts w:ascii="Calibri" w:hAnsi="Calibri"/>
                <w:b/>
                <w:bCs/>
                <w:sz w:val="22"/>
              </w:rPr>
              <w:t>Calf muscle density</w:t>
            </w:r>
          </w:p>
        </w:tc>
      </w:tr>
      <w:tr w:rsidR="005A1C79" w:rsidRPr="0013723F" w14:paraId="21E27292" w14:textId="77777777" w:rsidTr="00413BF8">
        <w:trPr>
          <w:trHeight w:val="271"/>
        </w:trPr>
        <w:tc>
          <w:tcPr>
            <w:tcW w:w="1329" w:type="pct"/>
            <w:tcBorders>
              <w:top w:val="single" w:sz="4" w:space="0" w:color="auto"/>
            </w:tcBorders>
            <w:shd w:val="clear" w:color="auto" w:fill="auto"/>
            <w:noWrap/>
            <w:vAlign w:val="bottom"/>
          </w:tcPr>
          <w:p w14:paraId="1BCE9878" w14:textId="77777777" w:rsidR="005A1C79" w:rsidRPr="00561441" w:rsidRDefault="005A1C79" w:rsidP="00413BF8">
            <w:pPr>
              <w:keepNext/>
              <w:keepLines/>
              <w:spacing w:after="0" w:line="240" w:lineRule="auto"/>
              <w:rPr>
                <w:rFonts w:ascii="Calibri" w:eastAsia="Times New Roman" w:hAnsi="Calibri" w:cs="Times New Roman"/>
                <w:sz w:val="22"/>
                <w:lang w:eastAsia="en-GB"/>
              </w:rPr>
            </w:pPr>
          </w:p>
        </w:tc>
        <w:tc>
          <w:tcPr>
            <w:tcW w:w="1965" w:type="pct"/>
            <w:tcBorders>
              <w:top w:val="single" w:sz="4" w:space="0" w:color="auto"/>
            </w:tcBorders>
            <w:shd w:val="clear" w:color="auto" w:fill="auto"/>
            <w:noWrap/>
            <w:vAlign w:val="bottom"/>
          </w:tcPr>
          <w:p w14:paraId="5FBBE292" w14:textId="77777777" w:rsidR="005A1C79" w:rsidRPr="0013723F" w:rsidRDefault="005A1C79" w:rsidP="00413BF8">
            <w:pPr>
              <w:keepNext/>
              <w:keepLines/>
              <w:spacing w:after="0" w:line="240" w:lineRule="auto"/>
              <w:jc w:val="center"/>
              <w:rPr>
                <w:rFonts w:ascii="Calibri" w:eastAsia="Times New Roman" w:hAnsi="Calibri" w:cs="Times New Roman"/>
                <w:sz w:val="22"/>
                <w:lang w:eastAsia="en-GB"/>
              </w:rPr>
            </w:pPr>
          </w:p>
        </w:tc>
        <w:tc>
          <w:tcPr>
            <w:tcW w:w="1706" w:type="pct"/>
            <w:tcBorders>
              <w:top w:val="single" w:sz="4" w:space="0" w:color="auto"/>
            </w:tcBorders>
          </w:tcPr>
          <w:p w14:paraId="45EFF6F8" w14:textId="77777777" w:rsidR="005A1C79" w:rsidRPr="0013723F" w:rsidRDefault="005A1C79" w:rsidP="00413BF8">
            <w:pPr>
              <w:keepNext/>
              <w:keepLines/>
              <w:spacing w:after="0" w:line="240" w:lineRule="auto"/>
              <w:jc w:val="center"/>
              <w:rPr>
                <w:rFonts w:ascii="Calibri" w:hAnsi="Calibri"/>
                <w:sz w:val="22"/>
              </w:rPr>
            </w:pPr>
          </w:p>
        </w:tc>
      </w:tr>
      <w:tr w:rsidR="005A1C79" w:rsidRPr="0013723F" w14:paraId="3C682FE3" w14:textId="77777777" w:rsidTr="00413BF8">
        <w:trPr>
          <w:trHeight w:val="271"/>
        </w:trPr>
        <w:tc>
          <w:tcPr>
            <w:tcW w:w="1329" w:type="pct"/>
            <w:shd w:val="clear" w:color="auto" w:fill="auto"/>
            <w:noWrap/>
            <w:vAlign w:val="bottom"/>
          </w:tcPr>
          <w:p w14:paraId="075202CA" w14:textId="77777777" w:rsidR="005A1C79" w:rsidRPr="00561441" w:rsidRDefault="005A1C79" w:rsidP="00413BF8">
            <w:pPr>
              <w:keepNext/>
              <w:keepLines/>
              <w:spacing w:after="0" w:line="240" w:lineRule="auto"/>
              <w:rPr>
                <w:rFonts w:ascii="Calibri" w:eastAsia="Times New Roman" w:hAnsi="Calibri" w:cs="Times New Roman"/>
                <w:b/>
                <w:bCs/>
                <w:sz w:val="22"/>
                <w:lang w:eastAsia="en-GB"/>
              </w:rPr>
            </w:pPr>
            <w:r w:rsidRPr="00561441">
              <w:rPr>
                <w:rFonts w:ascii="Calibri" w:eastAsia="Times New Roman" w:hAnsi="Calibri" w:cs="Times New Roman"/>
                <w:b/>
                <w:bCs/>
                <w:sz w:val="22"/>
                <w:lang w:eastAsia="en-GB"/>
              </w:rPr>
              <w:t>Males</w:t>
            </w:r>
          </w:p>
        </w:tc>
        <w:tc>
          <w:tcPr>
            <w:tcW w:w="1965" w:type="pct"/>
            <w:shd w:val="clear" w:color="auto" w:fill="auto"/>
            <w:noWrap/>
            <w:vAlign w:val="bottom"/>
          </w:tcPr>
          <w:p w14:paraId="7041B840" w14:textId="77777777" w:rsidR="005A1C79" w:rsidRPr="0013723F" w:rsidRDefault="005A1C79" w:rsidP="00413BF8">
            <w:pPr>
              <w:keepNext/>
              <w:keepLines/>
              <w:spacing w:after="0" w:line="240" w:lineRule="auto"/>
              <w:jc w:val="center"/>
              <w:rPr>
                <w:rFonts w:ascii="Calibri" w:eastAsia="Times New Roman" w:hAnsi="Calibri" w:cs="Times New Roman"/>
                <w:sz w:val="22"/>
                <w:lang w:eastAsia="en-GB"/>
              </w:rPr>
            </w:pPr>
          </w:p>
        </w:tc>
        <w:tc>
          <w:tcPr>
            <w:tcW w:w="1706" w:type="pct"/>
          </w:tcPr>
          <w:p w14:paraId="24466A49" w14:textId="77777777" w:rsidR="005A1C79" w:rsidRPr="0013723F" w:rsidRDefault="005A1C79" w:rsidP="00413BF8">
            <w:pPr>
              <w:keepNext/>
              <w:keepLines/>
              <w:spacing w:after="0" w:line="240" w:lineRule="auto"/>
              <w:jc w:val="center"/>
              <w:rPr>
                <w:rFonts w:ascii="Calibri" w:hAnsi="Calibri"/>
                <w:sz w:val="22"/>
              </w:rPr>
            </w:pPr>
          </w:p>
        </w:tc>
      </w:tr>
      <w:tr w:rsidR="005A1C79" w:rsidRPr="0013723F" w14:paraId="6AF3F996" w14:textId="77777777" w:rsidTr="00413BF8">
        <w:trPr>
          <w:trHeight w:val="271"/>
        </w:trPr>
        <w:tc>
          <w:tcPr>
            <w:tcW w:w="1329" w:type="pct"/>
            <w:shd w:val="clear" w:color="auto" w:fill="auto"/>
            <w:noWrap/>
            <w:vAlign w:val="bottom"/>
            <w:hideMark/>
          </w:tcPr>
          <w:p w14:paraId="0401E83E"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ALM index</w:t>
            </w:r>
          </w:p>
        </w:tc>
        <w:tc>
          <w:tcPr>
            <w:tcW w:w="1965" w:type="pct"/>
            <w:shd w:val="clear" w:color="auto" w:fill="auto"/>
            <w:noWrap/>
            <w:vAlign w:val="bottom"/>
          </w:tcPr>
          <w:p w14:paraId="58373EA8"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r=0.16 (p=0.033)</w:t>
            </w:r>
          </w:p>
        </w:tc>
        <w:tc>
          <w:tcPr>
            <w:tcW w:w="1706" w:type="pct"/>
            <w:vAlign w:val="bottom"/>
          </w:tcPr>
          <w:p w14:paraId="5A6B8C58"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0.41</w:t>
            </w:r>
            <w:r w:rsidRPr="0047741C">
              <w:rPr>
                <w:rFonts w:ascii="Calibri" w:eastAsia="Times New Roman" w:hAnsi="Calibri" w:cs="Times New Roman"/>
                <w:sz w:val="22"/>
                <w:lang w:eastAsia="en-GB"/>
              </w:rPr>
              <w:t xml:space="preserve"> (p&lt;0.001)</w:t>
            </w:r>
          </w:p>
        </w:tc>
      </w:tr>
      <w:tr w:rsidR="005A1C79" w:rsidRPr="0013723F" w14:paraId="4EB422E4" w14:textId="77777777" w:rsidTr="00413BF8">
        <w:trPr>
          <w:trHeight w:val="271"/>
        </w:trPr>
        <w:tc>
          <w:tcPr>
            <w:tcW w:w="1329" w:type="pct"/>
            <w:shd w:val="clear" w:color="auto" w:fill="auto"/>
            <w:noWrap/>
            <w:vAlign w:val="bottom"/>
            <w:hideMark/>
          </w:tcPr>
          <w:p w14:paraId="2CBAE5BB"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Grip strength</w:t>
            </w:r>
          </w:p>
        </w:tc>
        <w:tc>
          <w:tcPr>
            <w:tcW w:w="1965" w:type="pct"/>
            <w:shd w:val="clear" w:color="auto" w:fill="auto"/>
            <w:noWrap/>
            <w:vAlign w:val="bottom"/>
          </w:tcPr>
          <w:p w14:paraId="190C02B0"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r=0.08 (p=0.262)</w:t>
            </w:r>
          </w:p>
        </w:tc>
        <w:tc>
          <w:tcPr>
            <w:tcW w:w="1706" w:type="pct"/>
            <w:vAlign w:val="bottom"/>
          </w:tcPr>
          <w:p w14:paraId="7CCFE5E9"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0.23</w:t>
            </w:r>
            <w:r w:rsidRPr="0047741C">
              <w:rPr>
                <w:rFonts w:ascii="Calibri" w:eastAsia="Times New Roman" w:hAnsi="Calibri" w:cs="Times New Roman"/>
                <w:sz w:val="22"/>
                <w:lang w:eastAsia="en-GB"/>
              </w:rPr>
              <w:t xml:space="preserve"> (p=0.002)</w:t>
            </w:r>
          </w:p>
        </w:tc>
      </w:tr>
      <w:tr w:rsidR="005A1C79" w:rsidRPr="0013723F" w14:paraId="0A8EBEC0" w14:textId="77777777" w:rsidTr="00413BF8">
        <w:trPr>
          <w:trHeight w:val="271"/>
        </w:trPr>
        <w:tc>
          <w:tcPr>
            <w:tcW w:w="1329" w:type="pct"/>
            <w:shd w:val="clear" w:color="auto" w:fill="auto"/>
            <w:noWrap/>
            <w:vAlign w:val="bottom"/>
            <w:hideMark/>
          </w:tcPr>
          <w:p w14:paraId="6FAB596B"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Gait speed</w:t>
            </w:r>
          </w:p>
        </w:tc>
        <w:tc>
          <w:tcPr>
            <w:tcW w:w="1965" w:type="pct"/>
            <w:shd w:val="clear" w:color="auto" w:fill="auto"/>
            <w:noWrap/>
            <w:vAlign w:val="bottom"/>
          </w:tcPr>
          <w:p w14:paraId="1B9260D9"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r=0.00 (p=0.980)</w:t>
            </w:r>
          </w:p>
        </w:tc>
        <w:tc>
          <w:tcPr>
            <w:tcW w:w="1706" w:type="pct"/>
            <w:vAlign w:val="bottom"/>
          </w:tcPr>
          <w:p w14:paraId="599A2BCA"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0.08</w:t>
            </w:r>
            <w:r w:rsidRPr="0047741C">
              <w:rPr>
                <w:rFonts w:ascii="Calibri" w:eastAsia="Times New Roman" w:hAnsi="Calibri" w:cs="Times New Roman"/>
                <w:sz w:val="22"/>
                <w:lang w:eastAsia="en-GB"/>
              </w:rPr>
              <w:t xml:space="preserve"> (p=0.331)</w:t>
            </w:r>
          </w:p>
        </w:tc>
      </w:tr>
      <w:tr w:rsidR="005A1C79" w:rsidRPr="0013723F" w14:paraId="176C6DD2" w14:textId="77777777" w:rsidTr="00413BF8">
        <w:trPr>
          <w:trHeight w:val="271"/>
        </w:trPr>
        <w:tc>
          <w:tcPr>
            <w:tcW w:w="1329" w:type="pct"/>
            <w:shd w:val="clear" w:color="auto" w:fill="auto"/>
            <w:noWrap/>
            <w:vAlign w:val="bottom"/>
            <w:hideMark/>
          </w:tcPr>
          <w:p w14:paraId="2138817A"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Total hip BMD</w:t>
            </w:r>
          </w:p>
        </w:tc>
        <w:tc>
          <w:tcPr>
            <w:tcW w:w="1965" w:type="pct"/>
            <w:shd w:val="clear" w:color="auto" w:fill="auto"/>
            <w:noWrap/>
            <w:vAlign w:val="bottom"/>
          </w:tcPr>
          <w:p w14:paraId="0FCBE1DE"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r=0.13 (p=0.089)</w:t>
            </w:r>
          </w:p>
        </w:tc>
        <w:tc>
          <w:tcPr>
            <w:tcW w:w="1706" w:type="pct"/>
            <w:vAlign w:val="bottom"/>
          </w:tcPr>
          <w:p w14:paraId="1BA4AC23"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0.20</w:t>
            </w:r>
            <w:r w:rsidRPr="0047741C">
              <w:rPr>
                <w:rFonts w:ascii="Calibri" w:eastAsia="Times New Roman" w:hAnsi="Calibri" w:cs="Times New Roman"/>
                <w:sz w:val="22"/>
                <w:lang w:eastAsia="en-GB"/>
              </w:rPr>
              <w:t xml:space="preserve"> (p=0.006)</w:t>
            </w:r>
          </w:p>
        </w:tc>
      </w:tr>
      <w:tr w:rsidR="005A1C79" w:rsidRPr="0013723F" w14:paraId="35ABC6DC" w14:textId="77777777" w:rsidTr="00413BF8">
        <w:trPr>
          <w:trHeight w:val="271"/>
        </w:trPr>
        <w:tc>
          <w:tcPr>
            <w:tcW w:w="1329" w:type="pct"/>
            <w:shd w:val="clear" w:color="auto" w:fill="auto"/>
            <w:noWrap/>
            <w:vAlign w:val="bottom"/>
          </w:tcPr>
          <w:p w14:paraId="35BDC01F" w14:textId="77777777" w:rsidR="005A1C79" w:rsidRPr="0047741C" w:rsidRDefault="005A1C79" w:rsidP="00413BF8">
            <w:pPr>
              <w:keepNext/>
              <w:keepLines/>
              <w:spacing w:after="0" w:line="240" w:lineRule="auto"/>
              <w:rPr>
                <w:rFonts w:ascii="Calibri" w:eastAsia="Times New Roman" w:hAnsi="Calibri" w:cs="Times New Roman"/>
                <w:b/>
                <w:bCs/>
                <w:sz w:val="22"/>
                <w:lang w:eastAsia="en-GB"/>
              </w:rPr>
            </w:pPr>
          </w:p>
        </w:tc>
        <w:tc>
          <w:tcPr>
            <w:tcW w:w="1965" w:type="pct"/>
            <w:shd w:val="clear" w:color="auto" w:fill="auto"/>
            <w:noWrap/>
            <w:vAlign w:val="bottom"/>
          </w:tcPr>
          <w:p w14:paraId="4B802CE5"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p>
        </w:tc>
        <w:tc>
          <w:tcPr>
            <w:tcW w:w="1706" w:type="pct"/>
            <w:vAlign w:val="bottom"/>
          </w:tcPr>
          <w:p w14:paraId="0F47198C" w14:textId="77777777" w:rsidR="005A1C79" w:rsidRPr="0047741C" w:rsidRDefault="005A1C79" w:rsidP="00413BF8">
            <w:pPr>
              <w:keepNext/>
              <w:keepLines/>
              <w:spacing w:after="0" w:line="240" w:lineRule="auto"/>
              <w:jc w:val="center"/>
              <w:rPr>
                <w:rFonts w:ascii="Calibri" w:hAnsi="Calibri"/>
                <w:sz w:val="22"/>
              </w:rPr>
            </w:pPr>
          </w:p>
        </w:tc>
      </w:tr>
      <w:tr w:rsidR="005A1C79" w:rsidRPr="0013723F" w14:paraId="6A6DEC53" w14:textId="77777777" w:rsidTr="00413BF8">
        <w:trPr>
          <w:trHeight w:val="271"/>
        </w:trPr>
        <w:tc>
          <w:tcPr>
            <w:tcW w:w="1329" w:type="pct"/>
            <w:shd w:val="clear" w:color="auto" w:fill="auto"/>
            <w:noWrap/>
            <w:vAlign w:val="bottom"/>
          </w:tcPr>
          <w:p w14:paraId="19F8A5D7"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b/>
                <w:bCs/>
                <w:sz w:val="22"/>
                <w:lang w:eastAsia="en-GB"/>
              </w:rPr>
              <w:t>Females</w:t>
            </w:r>
          </w:p>
        </w:tc>
        <w:tc>
          <w:tcPr>
            <w:tcW w:w="1965" w:type="pct"/>
            <w:shd w:val="clear" w:color="auto" w:fill="auto"/>
            <w:noWrap/>
            <w:vAlign w:val="bottom"/>
          </w:tcPr>
          <w:p w14:paraId="72FEDA41"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p>
        </w:tc>
        <w:tc>
          <w:tcPr>
            <w:tcW w:w="1706" w:type="pct"/>
            <w:vAlign w:val="bottom"/>
          </w:tcPr>
          <w:p w14:paraId="3607F5D0" w14:textId="77777777" w:rsidR="005A1C79" w:rsidRPr="0047741C" w:rsidRDefault="005A1C79" w:rsidP="00413BF8">
            <w:pPr>
              <w:keepNext/>
              <w:keepLines/>
              <w:spacing w:after="0" w:line="240" w:lineRule="auto"/>
              <w:jc w:val="center"/>
              <w:rPr>
                <w:rFonts w:ascii="Calibri" w:hAnsi="Calibri"/>
                <w:sz w:val="22"/>
              </w:rPr>
            </w:pPr>
          </w:p>
        </w:tc>
      </w:tr>
      <w:tr w:rsidR="005A1C79" w:rsidRPr="0013723F" w14:paraId="6E763561" w14:textId="77777777" w:rsidTr="00413BF8">
        <w:trPr>
          <w:trHeight w:val="271"/>
        </w:trPr>
        <w:tc>
          <w:tcPr>
            <w:tcW w:w="1329" w:type="pct"/>
            <w:shd w:val="clear" w:color="auto" w:fill="auto"/>
            <w:noWrap/>
            <w:vAlign w:val="bottom"/>
            <w:hideMark/>
          </w:tcPr>
          <w:p w14:paraId="16101C19"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ALM index</w:t>
            </w:r>
          </w:p>
        </w:tc>
        <w:tc>
          <w:tcPr>
            <w:tcW w:w="1965" w:type="pct"/>
            <w:shd w:val="clear" w:color="auto" w:fill="auto"/>
            <w:noWrap/>
            <w:vAlign w:val="bottom"/>
          </w:tcPr>
          <w:p w14:paraId="0312ACCC"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r=0.14 (p=0.073)</w:t>
            </w:r>
          </w:p>
        </w:tc>
        <w:tc>
          <w:tcPr>
            <w:tcW w:w="1706" w:type="pct"/>
            <w:vAlign w:val="bottom"/>
          </w:tcPr>
          <w:p w14:paraId="7E7BCD0C"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0.38</w:t>
            </w:r>
            <w:r w:rsidRPr="0047741C">
              <w:rPr>
                <w:rFonts w:ascii="Calibri" w:eastAsia="Times New Roman" w:hAnsi="Calibri" w:cs="Times New Roman"/>
                <w:sz w:val="22"/>
                <w:lang w:eastAsia="en-GB"/>
              </w:rPr>
              <w:t xml:space="preserve"> (p&lt;0.001)</w:t>
            </w:r>
          </w:p>
        </w:tc>
      </w:tr>
      <w:tr w:rsidR="005A1C79" w:rsidRPr="0013723F" w14:paraId="29F4E9B3" w14:textId="77777777" w:rsidTr="00413BF8">
        <w:trPr>
          <w:trHeight w:val="271"/>
        </w:trPr>
        <w:tc>
          <w:tcPr>
            <w:tcW w:w="1329" w:type="pct"/>
            <w:shd w:val="clear" w:color="auto" w:fill="auto"/>
            <w:noWrap/>
            <w:vAlign w:val="bottom"/>
            <w:hideMark/>
          </w:tcPr>
          <w:p w14:paraId="47EAA9EC"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Grip strength</w:t>
            </w:r>
          </w:p>
        </w:tc>
        <w:tc>
          <w:tcPr>
            <w:tcW w:w="1965" w:type="pct"/>
            <w:shd w:val="clear" w:color="auto" w:fill="auto"/>
            <w:noWrap/>
            <w:vAlign w:val="bottom"/>
          </w:tcPr>
          <w:p w14:paraId="10859AEE"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r=-0.02 (p=0.832)</w:t>
            </w:r>
          </w:p>
        </w:tc>
        <w:tc>
          <w:tcPr>
            <w:tcW w:w="1706" w:type="pct"/>
            <w:vAlign w:val="bottom"/>
          </w:tcPr>
          <w:p w14:paraId="709547EB"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0.04</w:t>
            </w:r>
            <w:r w:rsidRPr="0047741C">
              <w:rPr>
                <w:rFonts w:ascii="Calibri" w:eastAsia="Times New Roman" w:hAnsi="Calibri" w:cs="Times New Roman"/>
                <w:sz w:val="22"/>
                <w:lang w:eastAsia="en-GB"/>
              </w:rPr>
              <w:t xml:space="preserve"> (p=0.603)</w:t>
            </w:r>
          </w:p>
        </w:tc>
      </w:tr>
      <w:tr w:rsidR="005A1C79" w:rsidRPr="0013723F" w14:paraId="43F98F7B" w14:textId="77777777" w:rsidTr="00413BF8">
        <w:trPr>
          <w:trHeight w:val="271"/>
        </w:trPr>
        <w:tc>
          <w:tcPr>
            <w:tcW w:w="1329" w:type="pct"/>
            <w:shd w:val="clear" w:color="auto" w:fill="auto"/>
            <w:noWrap/>
            <w:vAlign w:val="bottom"/>
            <w:hideMark/>
          </w:tcPr>
          <w:p w14:paraId="33B63E16"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Gait speed</w:t>
            </w:r>
          </w:p>
        </w:tc>
        <w:tc>
          <w:tcPr>
            <w:tcW w:w="1965" w:type="pct"/>
            <w:shd w:val="clear" w:color="auto" w:fill="auto"/>
            <w:noWrap/>
            <w:vAlign w:val="bottom"/>
          </w:tcPr>
          <w:p w14:paraId="7178A576"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r=0.02 (p=0.845)</w:t>
            </w:r>
          </w:p>
        </w:tc>
        <w:tc>
          <w:tcPr>
            <w:tcW w:w="1706" w:type="pct"/>
            <w:vAlign w:val="bottom"/>
          </w:tcPr>
          <w:p w14:paraId="3C70870B"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0.07</w:t>
            </w:r>
            <w:r w:rsidRPr="0047741C">
              <w:rPr>
                <w:rFonts w:ascii="Calibri" w:eastAsia="Times New Roman" w:hAnsi="Calibri" w:cs="Times New Roman"/>
                <w:sz w:val="22"/>
                <w:lang w:eastAsia="en-GB"/>
              </w:rPr>
              <w:t xml:space="preserve"> (p=0.369)</w:t>
            </w:r>
          </w:p>
        </w:tc>
      </w:tr>
      <w:tr w:rsidR="005A1C79" w:rsidRPr="0013723F" w14:paraId="769EEA49" w14:textId="77777777" w:rsidTr="00413BF8">
        <w:trPr>
          <w:trHeight w:val="271"/>
        </w:trPr>
        <w:tc>
          <w:tcPr>
            <w:tcW w:w="1329" w:type="pct"/>
            <w:tcBorders>
              <w:bottom w:val="single" w:sz="4" w:space="0" w:color="auto"/>
            </w:tcBorders>
            <w:shd w:val="clear" w:color="auto" w:fill="auto"/>
            <w:noWrap/>
            <w:vAlign w:val="bottom"/>
            <w:hideMark/>
          </w:tcPr>
          <w:p w14:paraId="58023D65" w14:textId="77777777" w:rsidR="005A1C79" w:rsidRPr="0047741C" w:rsidRDefault="005A1C79" w:rsidP="00413BF8">
            <w:pPr>
              <w:keepNext/>
              <w:keepLines/>
              <w:spacing w:after="0" w:line="240" w:lineRule="auto"/>
              <w:rPr>
                <w:rFonts w:ascii="Calibri" w:eastAsia="Times New Roman" w:hAnsi="Calibri" w:cs="Times New Roman"/>
                <w:sz w:val="22"/>
                <w:lang w:eastAsia="en-GB"/>
              </w:rPr>
            </w:pPr>
            <w:r w:rsidRPr="0047741C">
              <w:rPr>
                <w:rFonts w:ascii="Calibri" w:eastAsia="Times New Roman" w:hAnsi="Calibri" w:cs="Times New Roman"/>
                <w:sz w:val="22"/>
                <w:lang w:eastAsia="en-GB"/>
              </w:rPr>
              <w:t>Total hip BMD</w:t>
            </w:r>
          </w:p>
        </w:tc>
        <w:tc>
          <w:tcPr>
            <w:tcW w:w="1965" w:type="pct"/>
            <w:tcBorders>
              <w:bottom w:val="single" w:sz="4" w:space="0" w:color="auto"/>
            </w:tcBorders>
            <w:shd w:val="clear" w:color="auto" w:fill="auto"/>
            <w:noWrap/>
            <w:vAlign w:val="bottom"/>
          </w:tcPr>
          <w:p w14:paraId="68FA321E" w14:textId="77777777" w:rsidR="005A1C79" w:rsidRPr="0047741C" w:rsidRDefault="005A1C79" w:rsidP="00413BF8">
            <w:pPr>
              <w:keepNext/>
              <w:keepLines/>
              <w:spacing w:after="0" w:line="240" w:lineRule="auto"/>
              <w:jc w:val="center"/>
              <w:rPr>
                <w:rFonts w:ascii="Calibri" w:eastAsia="Times New Roman" w:hAnsi="Calibri" w:cs="Times New Roman"/>
                <w:sz w:val="22"/>
                <w:lang w:eastAsia="en-GB"/>
              </w:rPr>
            </w:pPr>
            <w:r w:rsidRPr="0047741C">
              <w:rPr>
                <w:rFonts w:ascii="Calibri" w:eastAsia="Times New Roman" w:hAnsi="Calibri" w:cs="Times New Roman"/>
                <w:sz w:val="22"/>
                <w:lang w:eastAsia="en-GB"/>
              </w:rPr>
              <w:t>r=0.19 (p=0.011)</w:t>
            </w:r>
          </w:p>
        </w:tc>
        <w:tc>
          <w:tcPr>
            <w:tcW w:w="1706" w:type="pct"/>
            <w:tcBorders>
              <w:bottom w:val="single" w:sz="4" w:space="0" w:color="auto"/>
            </w:tcBorders>
            <w:vAlign w:val="bottom"/>
          </w:tcPr>
          <w:p w14:paraId="61618E5A" w14:textId="77777777" w:rsidR="005A1C79" w:rsidRPr="0047741C" w:rsidRDefault="005A1C79" w:rsidP="00413BF8">
            <w:pPr>
              <w:keepNext/>
              <w:keepLines/>
              <w:spacing w:after="0" w:line="240" w:lineRule="auto"/>
              <w:jc w:val="center"/>
              <w:rPr>
                <w:rFonts w:ascii="Calibri" w:hAnsi="Calibri"/>
                <w:sz w:val="22"/>
              </w:rPr>
            </w:pPr>
            <w:r w:rsidRPr="0047741C">
              <w:rPr>
                <w:rFonts w:ascii="Calibri" w:eastAsia="Times New Roman" w:hAnsi="Calibri" w:cs="Times New Roman"/>
                <w:sz w:val="22"/>
                <w:lang w:eastAsia="en-GB"/>
              </w:rPr>
              <w:t>r=</w:t>
            </w:r>
            <w:r w:rsidRPr="0047741C">
              <w:rPr>
                <w:rFonts w:ascii="Calibri" w:hAnsi="Calibri"/>
                <w:sz w:val="22"/>
              </w:rPr>
              <w:t>0.29</w:t>
            </w:r>
            <w:r w:rsidRPr="0047741C">
              <w:rPr>
                <w:rFonts w:ascii="Calibri" w:eastAsia="Times New Roman" w:hAnsi="Calibri" w:cs="Times New Roman"/>
                <w:sz w:val="22"/>
                <w:lang w:eastAsia="en-GB"/>
              </w:rPr>
              <w:t xml:space="preserve"> (p&lt;0.001)</w:t>
            </w:r>
          </w:p>
        </w:tc>
      </w:tr>
      <w:tr w:rsidR="005A1C79" w:rsidRPr="0013723F" w14:paraId="083400B9" w14:textId="77777777" w:rsidTr="00413BF8">
        <w:trPr>
          <w:trHeight w:val="271"/>
        </w:trPr>
        <w:tc>
          <w:tcPr>
            <w:tcW w:w="5000" w:type="pct"/>
            <w:gridSpan w:val="3"/>
            <w:tcBorders>
              <w:top w:val="single" w:sz="4" w:space="0" w:color="auto"/>
            </w:tcBorders>
            <w:shd w:val="clear" w:color="auto" w:fill="auto"/>
            <w:noWrap/>
            <w:vAlign w:val="bottom"/>
          </w:tcPr>
          <w:p w14:paraId="498ED952" w14:textId="77777777" w:rsidR="005A1C79" w:rsidRPr="0013723F" w:rsidRDefault="005A1C79" w:rsidP="00413BF8">
            <w:pPr>
              <w:keepNext/>
              <w:keepLines/>
              <w:spacing w:after="0" w:line="240" w:lineRule="auto"/>
              <w:rPr>
                <w:rFonts w:ascii="Calibri" w:eastAsia="Times New Roman" w:hAnsi="Calibri" w:cs="Times New Roman"/>
                <w:sz w:val="22"/>
                <w:lang w:eastAsia="en-GB"/>
              </w:rPr>
            </w:pPr>
            <w:r w:rsidRPr="0013723F">
              <w:rPr>
                <w:rFonts w:ascii="Calibri" w:eastAsia="Times New Roman" w:hAnsi="Calibri" w:cs="Times New Roman"/>
                <w:sz w:val="22"/>
                <w:lang w:eastAsia="en-GB"/>
              </w:rPr>
              <w:t>ALM</w:t>
            </w:r>
            <w:r>
              <w:rPr>
                <w:rFonts w:ascii="Calibri" w:eastAsia="Times New Roman" w:hAnsi="Calibri" w:cs="Times New Roman"/>
                <w:sz w:val="22"/>
                <w:lang w:eastAsia="en-GB"/>
              </w:rPr>
              <w:t xml:space="preserve"> index</w:t>
            </w:r>
            <w:r w:rsidRPr="0013723F">
              <w:rPr>
                <w:rFonts w:ascii="Calibri" w:eastAsia="Times New Roman" w:hAnsi="Calibri" w:cs="Times New Roman"/>
                <w:sz w:val="22"/>
                <w:lang w:eastAsia="en-GB"/>
              </w:rPr>
              <w:t>: Appendicular lean mass</w:t>
            </w:r>
            <w:r>
              <w:rPr>
                <w:rFonts w:ascii="Calibri" w:eastAsia="Times New Roman" w:hAnsi="Calibri" w:cs="Times New Roman"/>
                <w:sz w:val="22"/>
                <w:lang w:eastAsia="en-GB"/>
              </w:rPr>
              <w:t xml:space="preserve"> index</w:t>
            </w:r>
          </w:p>
        </w:tc>
      </w:tr>
      <w:tr w:rsidR="005A1C79" w:rsidRPr="0013723F" w14:paraId="50054C7A" w14:textId="77777777" w:rsidTr="00413BF8">
        <w:trPr>
          <w:trHeight w:val="271"/>
        </w:trPr>
        <w:tc>
          <w:tcPr>
            <w:tcW w:w="5000" w:type="pct"/>
            <w:gridSpan w:val="3"/>
            <w:shd w:val="clear" w:color="auto" w:fill="auto"/>
            <w:noWrap/>
            <w:vAlign w:val="bottom"/>
          </w:tcPr>
          <w:p w14:paraId="4E0C7C31" w14:textId="77777777" w:rsidR="005A1C79" w:rsidRPr="0013723F" w:rsidRDefault="005A1C79" w:rsidP="00413BF8">
            <w:pPr>
              <w:keepNext/>
              <w:keepLines/>
              <w:spacing w:after="0" w:line="240" w:lineRule="auto"/>
              <w:rPr>
                <w:rFonts w:ascii="Calibri" w:eastAsia="Times New Roman" w:hAnsi="Calibri" w:cs="Times New Roman"/>
                <w:sz w:val="22"/>
                <w:lang w:eastAsia="en-GB"/>
              </w:rPr>
            </w:pPr>
            <w:r>
              <w:rPr>
                <w:rFonts w:ascii="Calibri" w:eastAsia="Times New Roman" w:hAnsi="Calibri" w:cs="Times New Roman"/>
                <w:sz w:val="22"/>
                <w:lang w:eastAsia="en-GB"/>
              </w:rPr>
              <w:t>BMD: Bone mineral density</w:t>
            </w:r>
          </w:p>
        </w:tc>
      </w:tr>
    </w:tbl>
    <w:p w14:paraId="7653B4A4" w14:textId="77777777" w:rsidR="005A1C79" w:rsidRDefault="005A1C79" w:rsidP="005A1C79"/>
    <w:p w14:paraId="0445ECFF" w14:textId="77777777" w:rsidR="005A1C79" w:rsidRDefault="005A1C79" w:rsidP="005A1C79">
      <w:pPr>
        <w:sectPr w:rsidR="005A1C79" w:rsidSect="005E7005">
          <w:type w:val="continuous"/>
          <w:pgSz w:w="11906" w:h="16838"/>
          <w:pgMar w:top="1440" w:right="1440" w:bottom="1440" w:left="1440" w:header="708" w:footer="708" w:gutter="0"/>
          <w:cols w:space="708"/>
          <w:docGrid w:linePitch="360"/>
        </w:sectPr>
      </w:pPr>
    </w:p>
    <w:p w14:paraId="09A19808" w14:textId="77777777" w:rsidR="005A1C79" w:rsidRPr="0013723F" w:rsidRDefault="005A1C79" w:rsidP="005A1C79">
      <w:pPr>
        <w:pStyle w:val="Caption"/>
        <w:keepNext/>
      </w:pPr>
      <w:bookmarkStart w:id="5" w:name="_Ref93593960"/>
      <w:r>
        <w:lastRenderedPageBreak/>
        <w:t xml:space="preserve">Table </w:t>
      </w:r>
      <w:r>
        <w:fldChar w:fldCharType="begin"/>
      </w:r>
      <w:r>
        <w:instrText>SEQ Table \* ARABIC</w:instrText>
      </w:r>
      <w:r>
        <w:fldChar w:fldCharType="separate"/>
      </w:r>
      <w:r>
        <w:rPr>
          <w:noProof/>
        </w:rPr>
        <w:t>4</w:t>
      </w:r>
      <w:r>
        <w:fldChar w:fldCharType="end"/>
      </w:r>
      <w:bookmarkEnd w:id="5"/>
      <w:r>
        <w:t>: Odds ratios for previous falls and fractures since age 45 years per SD decrease in parameter in 2011/2012</w:t>
      </w:r>
    </w:p>
    <w:tbl>
      <w:tblPr>
        <w:tblW w:w="12416" w:type="dxa"/>
        <w:tblLayout w:type="fixed"/>
        <w:tblLook w:val="04A0" w:firstRow="1" w:lastRow="0" w:firstColumn="1" w:lastColumn="0" w:noHBand="0" w:noVBand="1"/>
      </w:tblPr>
      <w:tblGrid>
        <w:gridCol w:w="1562"/>
        <w:gridCol w:w="1561"/>
        <w:gridCol w:w="1789"/>
        <w:gridCol w:w="1129"/>
        <w:gridCol w:w="1787"/>
        <w:gridCol w:w="966"/>
        <w:gridCol w:w="2218"/>
        <w:gridCol w:w="1404"/>
      </w:tblGrid>
      <w:tr w:rsidR="005A1C79" w:rsidRPr="0013723F" w14:paraId="179CE772" w14:textId="77777777" w:rsidTr="00CE00D9">
        <w:trPr>
          <w:trHeight w:val="288"/>
        </w:trPr>
        <w:tc>
          <w:tcPr>
            <w:tcW w:w="1562" w:type="dxa"/>
            <w:vMerge w:val="restart"/>
            <w:tcBorders>
              <w:top w:val="single" w:sz="4" w:space="0" w:color="auto"/>
              <w:left w:val="nil"/>
              <w:bottom w:val="single" w:sz="4" w:space="0" w:color="000000" w:themeColor="text1"/>
              <w:right w:val="nil"/>
            </w:tcBorders>
            <w:shd w:val="clear" w:color="auto" w:fill="auto"/>
            <w:vAlign w:val="center"/>
            <w:hideMark/>
          </w:tcPr>
          <w:p w14:paraId="17521086" w14:textId="77777777" w:rsidR="005A1C79" w:rsidRPr="0013723F" w:rsidRDefault="005A1C79" w:rsidP="00413BF8">
            <w:pPr>
              <w:spacing w:after="0" w:line="240" w:lineRule="auto"/>
              <w:rPr>
                <w:rFonts w:ascii="Calibri" w:eastAsia="Times New Roman" w:hAnsi="Calibri" w:cs="Times New Roman"/>
                <w:b/>
                <w:bCs/>
                <w:color w:val="000000"/>
                <w:sz w:val="22"/>
                <w:lang w:eastAsia="en-GB"/>
              </w:rPr>
            </w:pPr>
            <w:r w:rsidRPr="0013723F">
              <w:rPr>
                <w:rFonts w:ascii="Calibri" w:eastAsia="Times New Roman" w:hAnsi="Calibri" w:cs="Times New Roman"/>
                <w:b/>
                <w:bCs/>
                <w:color w:val="000000"/>
                <w:sz w:val="22"/>
                <w:lang w:eastAsia="en-GB"/>
              </w:rPr>
              <w:t>Parameter</w:t>
            </w:r>
          </w:p>
        </w:tc>
        <w:tc>
          <w:tcPr>
            <w:tcW w:w="1561" w:type="dxa"/>
            <w:vMerge w:val="restart"/>
            <w:tcBorders>
              <w:top w:val="single" w:sz="4" w:space="0" w:color="auto"/>
              <w:left w:val="nil"/>
              <w:right w:val="nil"/>
            </w:tcBorders>
            <w:vAlign w:val="center"/>
          </w:tcPr>
          <w:p w14:paraId="42509F33" w14:textId="77777777" w:rsidR="005A1C79" w:rsidRDefault="005A1C79" w:rsidP="00413BF8">
            <w:pPr>
              <w:spacing w:after="0" w:line="240" w:lineRule="auto"/>
              <w:rPr>
                <w:rFonts w:ascii="Calibri" w:eastAsia="Times New Roman" w:hAnsi="Calibri" w:cs="Times New Roman"/>
                <w:b/>
                <w:bCs/>
                <w:color w:val="000000"/>
                <w:sz w:val="22"/>
                <w:lang w:eastAsia="en-GB"/>
              </w:rPr>
            </w:pPr>
            <w:r>
              <w:rPr>
                <w:rFonts w:ascii="Calibri" w:eastAsia="Times New Roman" w:hAnsi="Calibri" w:cs="Times New Roman"/>
                <w:b/>
                <w:bCs/>
                <w:color w:val="000000"/>
                <w:sz w:val="22"/>
                <w:lang w:eastAsia="en-GB"/>
              </w:rPr>
              <w:t>Adjustments</w:t>
            </w:r>
          </w:p>
        </w:tc>
        <w:tc>
          <w:tcPr>
            <w:tcW w:w="2918" w:type="dxa"/>
            <w:gridSpan w:val="2"/>
            <w:tcBorders>
              <w:top w:val="single" w:sz="4" w:space="0" w:color="auto"/>
              <w:left w:val="nil"/>
              <w:bottom w:val="nil"/>
              <w:right w:val="nil"/>
            </w:tcBorders>
            <w:shd w:val="clear" w:color="auto" w:fill="auto"/>
            <w:noWrap/>
            <w:vAlign w:val="center"/>
            <w:hideMark/>
          </w:tcPr>
          <w:p w14:paraId="29F83C0C" w14:textId="77777777" w:rsidR="005A1C79" w:rsidRPr="0013723F" w:rsidRDefault="005A1C79" w:rsidP="00CE00D9">
            <w:pPr>
              <w:spacing w:after="0" w:line="240" w:lineRule="auto"/>
              <w:jc w:val="center"/>
              <w:rPr>
                <w:rFonts w:ascii="Calibri" w:eastAsia="Times New Roman" w:hAnsi="Calibri" w:cs="Times New Roman"/>
                <w:b/>
                <w:bCs/>
                <w:color w:val="000000"/>
                <w:sz w:val="22"/>
                <w:lang w:eastAsia="en-GB"/>
              </w:rPr>
            </w:pPr>
            <w:r>
              <w:rPr>
                <w:rFonts w:ascii="Calibri" w:eastAsia="Times New Roman" w:hAnsi="Calibri" w:cs="Times New Roman"/>
                <w:b/>
                <w:bCs/>
                <w:color w:val="000000"/>
                <w:sz w:val="22"/>
                <w:lang w:eastAsia="en-GB"/>
              </w:rPr>
              <w:t>Previous fall</w:t>
            </w:r>
          </w:p>
        </w:tc>
        <w:tc>
          <w:tcPr>
            <w:tcW w:w="2753" w:type="dxa"/>
            <w:gridSpan w:val="2"/>
            <w:tcBorders>
              <w:top w:val="single" w:sz="4" w:space="0" w:color="auto"/>
              <w:left w:val="nil"/>
              <w:bottom w:val="nil"/>
            </w:tcBorders>
            <w:shd w:val="clear" w:color="auto" w:fill="auto"/>
            <w:noWrap/>
            <w:vAlign w:val="center"/>
            <w:hideMark/>
          </w:tcPr>
          <w:p w14:paraId="33246E01" w14:textId="77777777" w:rsidR="005A1C79" w:rsidRPr="0013723F" w:rsidRDefault="005A1C79" w:rsidP="00CE00D9">
            <w:pPr>
              <w:spacing w:after="0" w:line="240" w:lineRule="auto"/>
              <w:jc w:val="center"/>
              <w:rPr>
                <w:rFonts w:ascii="Calibri" w:eastAsia="Times New Roman" w:hAnsi="Calibri" w:cs="Times New Roman"/>
                <w:b/>
                <w:bCs/>
                <w:color w:val="000000"/>
                <w:sz w:val="22"/>
                <w:lang w:eastAsia="en-GB"/>
              </w:rPr>
            </w:pPr>
            <w:r>
              <w:rPr>
                <w:rFonts w:ascii="Calibri" w:eastAsia="Times New Roman" w:hAnsi="Calibri" w:cs="Times New Roman"/>
                <w:b/>
                <w:bCs/>
                <w:color w:val="000000"/>
                <w:sz w:val="22"/>
                <w:lang w:eastAsia="en-GB"/>
              </w:rPr>
              <w:t>Previous fracture</w:t>
            </w:r>
          </w:p>
        </w:tc>
        <w:tc>
          <w:tcPr>
            <w:tcW w:w="3622" w:type="dxa"/>
            <w:gridSpan w:val="2"/>
            <w:tcBorders>
              <w:top w:val="single" w:sz="4" w:space="0" w:color="auto"/>
              <w:left w:val="nil"/>
            </w:tcBorders>
            <w:shd w:val="clear" w:color="auto" w:fill="auto"/>
            <w:vAlign w:val="center"/>
          </w:tcPr>
          <w:p w14:paraId="5F8F224D" w14:textId="4B016806" w:rsidR="3BF03DB3" w:rsidRDefault="3BF03DB3" w:rsidP="00A020F9">
            <w:pPr>
              <w:spacing w:after="0" w:line="240" w:lineRule="auto"/>
              <w:jc w:val="center"/>
              <w:rPr>
                <w:rFonts w:ascii="Calibri" w:eastAsia="Times New Roman" w:hAnsi="Calibri" w:cs="Times New Roman"/>
                <w:b/>
                <w:bCs/>
                <w:color w:val="000000" w:themeColor="text1"/>
                <w:sz w:val="22"/>
                <w:lang w:eastAsia="en-GB"/>
              </w:rPr>
            </w:pPr>
            <w:r w:rsidRPr="3BF03DB3">
              <w:rPr>
                <w:rFonts w:ascii="Calibri" w:eastAsia="Times New Roman" w:hAnsi="Calibri" w:cs="Times New Roman"/>
                <w:b/>
                <w:bCs/>
                <w:color w:val="000000" w:themeColor="text1"/>
                <w:sz w:val="22"/>
                <w:lang w:eastAsia="en-GB"/>
              </w:rPr>
              <w:t>Previous vertebral fracture</w:t>
            </w:r>
          </w:p>
        </w:tc>
      </w:tr>
      <w:tr w:rsidR="00A020F9" w:rsidRPr="0013723F" w14:paraId="64BA59D1" w14:textId="77777777" w:rsidTr="00CE00D9">
        <w:trPr>
          <w:trHeight w:val="288"/>
        </w:trPr>
        <w:tc>
          <w:tcPr>
            <w:tcW w:w="1562" w:type="dxa"/>
            <w:vMerge/>
            <w:tcBorders>
              <w:bottom w:val="single" w:sz="4" w:space="0" w:color="auto"/>
            </w:tcBorders>
            <w:vAlign w:val="center"/>
            <w:hideMark/>
          </w:tcPr>
          <w:p w14:paraId="7967B409" w14:textId="77777777" w:rsidR="00A020F9" w:rsidRPr="0013723F" w:rsidRDefault="00A020F9" w:rsidP="00A020F9">
            <w:pPr>
              <w:spacing w:after="0" w:line="240" w:lineRule="auto"/>
              <w:rPr>
                <w:rFonts w:ascii="Calibri" w:eastAsia="Times New Roman" w:hAnsi="Calibri" w:cs="Times New Roman"/>
                <w:b/>
                <w:bCs/>
                <w:color w:val="000000"/>
                <w:sz w:val="22"/>
                <w:lang w:eastAsia="en-GB"/>
              </w:rPr>
            </w:pPr>
          </w:p>
        </w:tc>
        <w:tc>
          <w:tcPr>
            <w:tcW w:w="1561" w:type="dxa"/>
            <w:vMerge/>
            <w:tcBorders>
              <w:bottom w:val="single" w:sz="4" w:space="0" w:color="auto"/>
            </w:tcBorders>
          </w:tcPr>
          <w:p w14:paraId="1A72C33E" w14:textId="77777777" w:rsidR="00A020F9" w:rsidRPr="0013723F" w:rsidRDefault="00A020F9" w:rsidP="00A020F9">
            <w:pPr>
              <w:spacing w:after="0" w:line="240" w:lineRule="auto"/>
              <w:jc w:val="center"/>
              <w:rPr>
                <w:rFonts w:ascii="Calibri" w:eastAsia="Times New Roman" w:hAnsi="Calibri" w:cs="Times New Roman"/>
                <w:b/>
                <w:bCs/>
                <w:color w:val="000000"/>
                <w:sz w:val="22"/>
                <w:lang w:eastAsia="en-GB"/>
              </w:rPr>
            </w:pPr>
          </w:p>
        </w:tc>
        <w:tc>
          <w:tcPr>
            <w:tcW w:w="1789" w:type="dxa"/>
            <w:tcBorders>
              <w:top w:val="nil"/>
              <w:left w:val="nil"/>
              <w:bottom w:val="single" w:sz="4" w:space="0" w:color="auto"/>
              <w:right w:val="nil"/>
            </w:tcBorders>
            <w:shd w:val="clear" w:color="auto" w:fill="auto"/>
            <w:noWrap/>
            <w:vAlign w:val="center"/>
            <w:hideMark/>
          </w:tcPr>
          <w:p w14:paraId="5DA48860" w14:textId="438DF15A" w:rsidR="00A020F9" w:rsidRPr="0013723F" w:rsidRDefault="00A020F9" w:rsidP="00A020F9">
            <w:pPr>
              <w:spacing w:after="0" w:line="240" w:lineRule="auto"/>
              <w:jc w:val="center"/>
              <w:rPr>
                <w:rFonts w:ascii="Calibri" w:eastAsia="Times New Roman" w:hAnsi="Calibri" w:cs="Times New Roman"/>
                <w:b/>
                <w:bCs/>
                <w:color w:val="000000" w:themeColor="text1"/>
                <w:sz w:val="22"/>
                <w:lang w:eastAsia="en-GB"/>
              </w:rPr>
            </w:pPr>
            <w:r w:rsidRPr="3BF03DB3">
              <w:rPr>
                <w:rFonts w:ascii="Calibri" w:eastAsia="Times New Roman" w:hAnsi="Calibri" w:cs="Times New Roman"/>
                <w:b/>
                <w:bCs/>
                <w:color w:val="000000" w:themeColor="text1"/>
                <w:sz w:val="22"/>
                <w:lang w:eastAsia="en-GB"/>
              </w:rPr>
              <w:t>Odds ratio</w:t>
            </w:r>
          </w:p>
          <w:p w14:paraId="3FB8F2AC" w14:textId="332E0ACE" w:rsidR="00A020F9" w:rsidRPr="0013723F" w:rsidRDefault="00A020F9" w:rsidP="00A020F9">
            <w:pPr>
              <w:spacing w:after="0" w:line="240" w:lineRule="auto"/>
              <w:jc w:val="center"/>
              <w:rPr>
                <w:rFonts w:ascii="Calibri" w:eastAsia="Times New Roman" w:hAnsi="Calibri" w:cs="Times New Roman"/>
                <w:b/>
                <w:bCs/>
                <w:color w:val="000000"/>
                <w:sz w:val="22"/>
                <w:lang w:eastAsia="en-GB"/>
              </w:rPr>
            </w:pPr>
            <w:r w:rsidRPr="3BF03DB3">
              <w:rPr>
                <w:rFonts w:ascii="Calibri" w:eastAsia="Times New Roman" w:hAnsi="Calibri" w:cs="Times New Roman"/>
                <w:b/>
                <w:bCs/>
                <w:color w:val="000000" w:themeColor="text1"/>
                <w:sz w:val="22"/>
                <w:lang w:eastAsia="en-GB"/>
              </w:rPr>
              <w:t xml:space="preserve"> (95% CI)</w:t>
            </w:r>
          </w:p>
        </w:tc>
        <w:tc>
          <w:tcPr>
            <w:tcW w:w="1129" w:type="dxa"/>
            <w:tcBorders>
              <w:top w:val="nil"/>
              <w:left w:val="nil"/>
              <w:bottom w:val="single" w:sz="4" w:space="0" w:color="auto"/>
              <w:right w:val="nil"/>
            </w:tcBorders>
            <w:shd w:val="clear" w:color="auto" w:fill="auto"/>
            <w:noWrap/>
            <w:vAlign w:val="center"/>
            <w:hideMark/>
          </w:tcPr>
          <w:p w14:paraId="35427F76" w14:textId="77777777" w:rsidR="00A020F9" w:rsidRPr="0013723F" w:rsidRDefault="00A020F9" w:rsidP="00A020F9">
            <w:pPr>
              <w:spacing w:after="0" w:line="240" w:lineRule="auto"/>
              <w:jc w:val="center"/>
              <w:rPr>
                <w:rFonts w:ascii="Calibri" w:eastAsia="Times New Roman" w:hAnsi="Calibri" w:cs="Times New Roman"/>
                <w:b/>
                <w:bCs/>
                <w:color w:val="000000"/>
                <w:sz w:val="22"/>
                <w:lang w:eastAsia="en-GB"/>
              </w:rPr>
            </w:pPr>
            <w:r w:rsidRPr="0013723F">
              <w:rPr>
                <w:rFonts w:ascii="Calibri" w:eastAsia="Times New Roman" w:hAnsi="Calibri" w:cs="Times New Roman"/>
                <w:b/>
                <w:bCs/>
                <w:color w:val="000000"/>
                <w:sz w:val="22"/>
                <w:lang w:eastAsia="en-GB"/>
              </w:rPr>
              <w:t>P-value</w:t>
            </w:r>
          </w:p>
        </w:tc>
        <w:tc>
          <w:tcPr>
            <w:tcW w:w="1787" w:type="dxa"/>
            <w:tcBorders>
              <w:top w:val="nil"/>
              <w:left w:val="nil"/>
              <w:bottom w:val="single" w:sz="4" w:space="0" w:color="auto"/>
              <w:right w:val="nil"/>
            </w:tcBorders>
            <w:shd w:val="clear" w:color="auto" w:fill="auto"/>
            <w:noWrap/>
            <w:vAlign w:val="center"/>
            <w:hideMark/>
          </w:tcPr>
          <w:p w14:paraId="12D25D44" w14:textId="77777777" w:rsidR="00A020F9" w:rsidRDefault="00A020F9" w:rsidP="00A020F9">
            <w:pPr>
              <w:spacing w:after="0" w:line="240" w:lineRule="auto"/>
              <w:jc w:val="center"/>
              <w:rPr>
                <w:rFonts w:ascii="Calibri" w:eastAsia="Times New Roman" w:hAnsi="Calibri" w:cs="Times New Roman"/>
                <w:b/>
                <w:bCs/>
                <w:color w:val="000000" w:themeColor="text1"/>
                <w:sz w:val="22"/>
                <w:lang w:eastAsia="en-GB"/>
              </w:rPr>
            </w:pPr>
            <w:r w:rsidRPr="3BF03DB3">
              <w:rPr>
                <w:rFonts w:ascii="Calibri" w:eastAsia="Times New Roman" w:hAnsi="Calibri" w:cs="Times New Roman"/>
                <w:b/>
                <w:bCs/>
                <w:color w:val="000000" w:themeColor="text1"/>
                <w:sz w:val="22"/>
                <w:lang w:eastAsia="en-GB"/>
              </w:rPr>
              <w:t>Odds ratio</w:t>
            </w:r>
          </w:p>
          <w:p w14:paraId="53209693" w14:textId="14B22F6E" w:rsidR="00A020F9" w:rsidRPr="00A020F9" w:rsidRDefault="00A020F9" w:rsidP="00A020F9">
            <w:pPr>
              <w:spacing w:after="0" w:line="240" w:lineRule="auto"/>
              <w:jc w:val="center"/>
              <w:rPr>
                <w:rFonts w:ascii="Calibri" w:eastAsia="Times New Roman" w:hAnsi="Calibri" w:cs="Times New Roman"/>
                <w:b/>
                <w:bCs/>
                <w:color w:val="000000" w:themeColor="text1"/>
                <w:sz w:val="22"/>
                <w:lang w:eastAsia="en-GB"/>
              </w:rPr>
            </w:pPr>
            <w:r w:rsidRPr="3BF03DB3">
              <w:rPr>
                <w:rFonts w:ascii="Calibri" w:eastAsia="Times New Roman" w:hAnsi="Calibri" w:cs="Times New Roman"/>
                <w:b/>
                <w:bCs/>
                <w:color w:val="000000" w:themeColor="text1"/>
                <w:sz w:val="22"/>
                <w:lang w:eastAsia="en-GB"/>
              </w:rPr>
              <w:t xml:space="preserve"> (95% CI)</w:t>
            </w:r>
          </w:p>
        </w:tc>
        <w:tc>
          <w:tcPr>
            <w:tcW w:w="966" w:type="dxa"/>
            <w:tcBorders>
              <w:top w:val="nil"/>
              <w:left w:val="nil"/>
              <w:bottom w:val="single" w:sz="4" w:space="0" w:color="auto"/>
              <w:right w:val="nil"/>
            </w:tcBorders>
            <w:shd w:val="clear" w:color="auto" w:fill="auto"/>
            <w:noWrap/>
            <w:vAlign w:val="center"/>
            <w:hideMark/>
          </w:tcPr>
          <w:p w14:paraId="243D74E6" w14:textId="77777777" w:rsidR="00A020F9" w:rsidRPr="0013723F" w:rsidRDefault="00A020F9" w:rsidP="00A020F9">
            <w:pPr>
              <w:spacing w:after="0" w:line="240" w:lineRule="auto"/>
              <w:jc w:val="center"/>
              <w:rPr>
                <w:rFonts w:ascii="Calibri" w:eastAsia="Times New Roman" w:hAnsi="Calibri" w:cs="Times New Roman"/>
                <w:b/>
                <w:bCs/>
                <w:color w:val="000000"/>
                <w:sz w:val="22"/>
                <w:lang w:eastAsia="en-GB"/>
              </w:rPr>
            </w:pPr>
            <w:r w:rsidRPr="0013723F">
              <w:rPr>
                <w:rFonts w:ascii="Calibri" w:eastAsia="Times New Roman" w:hAnsi="Calibri" w:cs="Times New Roman"/>
                <w:b/>
                <w:bCs/>
                <w:color w:val="000000"/>
                <w:sz w:val="22"/>
                <w:lang w:eastAsia="en-GB"/>
              </w:rPr>
              <w:t>P-value</w:t>
            </w:r>
          </w:p>
        </w:tc>
        <w:tc>
          <w:tcPr>
            <w:tcW w:w="2218" w:type="dxa"/>
            <w:tcBorders>
              <w:top w:val="nil"/>
              <w:left w:val="nil"/>
              <w:bottom w:val="single" w:sz="4" w:space="0" w:color="auto"/>
              <w:right w:val="nil"/>
            </w:tcBorders>
            <w:shd w:val="clear" w:color="auto" w:fill="auto"/>
            <w:vAlign w:val="center"/>
          </w:tcPr>
          <w:p w14:paraId="7BB18FBB" w14:textId="77777777" w:rsidR="00A020F9" w:rsidRDefault="00A020F9" w:rsidP="00A020F9">
            <w:pPr>
              <w:spacing w:after="0" w:line="240" w:lineRule="auto"/>
              <w:jc w:val="center"/>
              <w:rPr>
                <w:rFonts w:ascii="Calibri" w:eastAsia="Times New Roman" w:hAnsi="Calibri" w:cs="Times New Roman"/>
                <w:b/>
                <w:bCs/>
                <w:color w:val="000000" w:themeColor="text1"/>
                <w:sz w:val="22"/>
                <w:lang w:eastAsia="en-GB"/>
              </w:rPr>
            </w:pPr>
            <w:r w:rsidRPr="3BF03DB3">
              <w:rPr>
                <w:rFonts w:ascii="Calibri" w:eastAsia="Times New Roman" w:hAnsi="Calibri" w:cs="Times New Roman"/>
                <w:b/>
                <w:bCs/>
                <w:color w:val="000000" w:themeColor="text1"/>
                <w:sz w:val="22"/>
                <w:lang w:eastAsia="en-GB"/>
              </w:rPr>
              <w:t>Odds ratio</w:t>
            </w:r>
          </w:p>
          <w:p w14:paraId="1F1E798A" w14:textId="65E3F35D" w:rsidR="00A020F9" w:rsidRDefault="00A020F9" w:rsidP="00A020F9">
            <w:pPr>
              <w:spacing w:after="0" w:line="240" w:lineRule="auto"/>
              <w:jc w:val="center"/>
              <w:rPr>
                <w:rFonts w:ascii="Calibri" w:eastAsia="Times New Roman" w:hAnsi="Calibri" w:cs="Times New Roman"/>
                <w:b/>
                <w:bCs/>
                <w:color w:val="000000" w:themeColor="text1"/>
                <w:sz w:val="22"/>
                <w:lang w:eastAsia="en-GB"/>
              </w:rPr>
            </w:pPr>
            <w:r w:rsidRPr="3BF03DB3">
              <w:rPr>
                <w:rFonts w:ascii="Calibri" w:eastAsia="Times New Roman" w:hAnsi="Calibri" w:cs="Times New Roman"/>
                <w:b/>
                <w:bCs/>
                <w:color w:val="000000" w:themeColor="text1"/>
                <w:sz w:val="22"/>
                <w:lang w:eastAsia="en-GB"/>
              </w:rPr>
              <w:t xml:space="preserve"> (95% CI)</w:t>
            </w:r>
          </w:p>
        </w:tc>
        <w:tc>
          <w:tcPr>
            <w:tcW w:w="1404" w:type="dxa"/>
            <w:tcBorders>
              <w:top w:val="nil"/>
              <w:left w:val="nil"/>
              <w:bottom w:val="single" w:sz="4" w:space="0" w:color="auto"/>
              <w:right w:val="nil"/>
            </w:tcBorders>
            <w:shd w:val="clear" w:color="auto" w:fill="auto"/>
            <w:vAlign w:val="center"/>
          </w:tcPr>
          <w:p w14:paraId="2837873B" w14:textId="74FC2F7E" w:rsidR="00A020F9" w:rsidRDefault="00A020F9" w:rsidP="00A020F9">
            <w:pPr>
              <w:spacing w:after="0" w:line="240" w:lineRule="auto"/>
              <w:jc w:val="center"/>
              <w:rPr>
                <w:rFonts w:ascii="Calibri" w:eastAsia="Times New Roman" w:hAnsi="Calibri" w:cs="Times New Roman"/>
                <w:b/>
                <w:bCs/>
                <w:color w:val="000000" w:themeColor="text1"/>
                <w:sz w:val="22"/>
                <w:lang w:eastAsia="en-GB"/>
              </w:rPr>
            </w:pPr>
            <w:r w:rsidRPr="0013723F">
              <w:rPr>
                <w:rFonts w:ascii="Calibri" w:eastAsia="Times New Roman" w:hAnsi="Calibri" w:cs="Times New Roman"/>
                <w:b/>
                <w:bCs/>
                <w:color w:val="000000"/>
                <w:sz w:val="22"/>
                <w:lang w:eastAsia="en-GB"/>
              </w:rPr>
              <w:t>P-value</w:t>
            </w:r>
          </w:p>
        </w:tc>
      </w:tr>
      <w:tr w:rsidR="00A020F9" w:rsidRPr="0013723F" w14:paraId="206D65FE" w14:textId="77777777" w:rsidTr="00A020F9">
        <w:trPr>
          <w:trHeight w:val="288"/>
        </w:trPr>
        <w:tc>
          <w:tcPr>
            <w:tcW w:w="1562" w:type="dxa"/>
            <w:tcBorders>
              <w:top w:val="single" w:sz="4" w:space="0" w:color="auto"/>
              <w:left w:val="nil"/>
              <w:right w:val="nil"/>
            </w:tcBorders>
            <w:shd w:val="clear" w:color="auto" w:fill="auto"/>
            <w:noWrap/>
            <w:vAlign w:val="bottom"/>
          </w:tcPr>
          <w:p w14:paraId="5C14A4F4" w14:textId="77777777" w:rsidR="00A020F9" w:rsidRPr="0013723F" w:rsidRDefault="00A020F9" w:rsidP="00A020F9">
            <w:pPr>
              <w:spacing w:after="0" w:line="240" w:lineRule="auto"/>
              <w:rPr>
                <w:rFonts w:ascii="Calibri" w:eastAsia="Times New Roman" w:hAnsi="Calibri" w:cs="Times New Roman"/>
                <w:color w:val="000000"/>
                <w:sz w:val="22"/>
                <w:lang w:eastAsia="en-GB"/>
              </w:rPr>
            </w:pPr>
            <w:r w:rsidRPr="0013723F">
              <w:rPr>
                <w:rFonts w:ascii="Calibri" w:eastAsia="Times New Roman" w:hAnsi="Calibri" w:cs="Times New Roman"/>
                <w:color w:val="000000"/>
                <w:sz w:val="22"/>
                <w:lang w:eastAsia="en-GB"/>
              </w:rPr>
              <w:t>Forearm muscle density</w:t>
            </w:r>
          </w:p>
        </w:tc>
        <w:tc>
          <w:tcPr>
            <w:tcW w:w="1561" w:type="dxa"/>
            <w:tcBorders>
              <w:top w:val="single" w:sz="4" w:space="0" w:color="auto"/>
              <w:left w:val="nil"/>
              <w:right w:val="nil"/>
            </w:tcBorders>
          </w:tcPr>
          <w:p w14:paraId="1F09126A" w14:textId="77777777" w:rsidR="00A020F9" w:rsidRPr="0013723F" w:rsidRDefault="00A020F9" w:rsidP="00A020F9">
            <w:pPr>
              <w:spacing w:after="0" w:line="240" w:lineRule="auto"/>
              <w:rPr>
                <w:rFonts w:ascii="Calibri" w:eastAsia="Times New Roman" w:hAnsi="Calibri" w:cs="Times New Roman"/>
                <w:color w:val="000000"/>
                <w:sz w:val="22"/>
                <w:lang w:eastAsia="en-GB"/>
              </w:rPr>
            </w:pPr>
            <w:r w:rsidRPr="3BF03DB3">
              <w:rPr>
                <w:rFonts w:ascii="Calibri" w:eastAsia="Times New Roman" w:hAnsi="Calibri" w:cs="Times New Roman"/>
                <w:color w:val="000000" w:themeColor="text1"/>
                <w:sz w:val="22"/>
                <w:lang w:eastAsia="en-GB"/>
              </w:rPr>
              <w:t>Sex, age</w:t>
            </w:r>
          </w:p>
        </w:tc>
        <w:tc>
          <w:tcPr>
            <w:tcW w:w="1789" w:type="dxa"/>
            <w:tcBorders>
              <w:top w:val="single" w:sz="4" w:space="0" w:color="auto"/>
              <w:left w:val="nil"/>
              <w:right w:val="nil"/>
            </w:tcBorders>
            <w:shd w:val="clear" w:color="auto" w:fill="auto"/>
            <w:noWrap/>
          </w:tcPr>
          <w:p w14:paraId="3A1423F5" w14:textId="77777777" w:rsidR="00A020F9" w:rsidRPr="0013723F" w:rsidRDefault="00A020F9" w:rsidP="00A020F9">
            <w:pPr>
              <w:spacing w:after="0" w:line="240" w:lineRule="auto"/>
              <w:jc w:val="center"/>
              <w:rPr>
                <w:rFonts w:ascii="Calibri" w:eastAsia="Times New Roman" w:hAnsi="Calibri" w:cs="Times New Roman"/>
                <w:color w:val="000000"/>
                <w:sz w:val="22"/>
                <w:lang w:eastAsia="en-GB"/>
              </w:rPr>
            </w:pPr>
            <w:r w:rsidRPr="3BF03DB3">
              <w:rPr>
                <w:rFonts w:ascii="Calibri" w:hAnsi="Calibri" w:cs="Calibri"/>
                <w:color w:val="000000" w:themeColor="text1"/>
                <w:sz w:val="22"/>
              </w:rPr>
              <w:t>0.90 (0.70,1.17)</w:t>
            </w:r>
          </w:p>
        </w:tc>
        <w:tc>
          <w:tcPr>
            <w:tcW w:w="1129" w:type="dxa"/>
            <w:tcBorders>
              <w:top w:val="single" w:sz="4" w:space="0" w:color="auto"/>
              <w:left w:val="nil"/>
              <w:right w:val="nil"/>
            </w:tcBorders>
            <w:shd w:val="clear" w:color="auto" w:fill="auto"/>
            <w:noWrap/>
          </w:tcPr>
          <w:p w14:paraId="31B4315E" w14:textId="77777777" w:rsidR="00A020F9" w:rsidRPr="0013723F" w:rsidRDefault="00A020F9" w:rsidP="00A020F9">
            <w:pPr>
              <w:spacing w:after="0" w:line="240" w:lineRule="auto"/>
              <w:jc w:val="center"/>
              <w:rPr>
                <w:rFonts w:ascii="Calibri" w:eastAsia="Times New Roman" w:hAnsi="Calibri" w:cs="Times New Roman"/>
                <w:color w:val="000000"/>
                <w:sz w:val="22"/>
                <w:lang w:eastAsia="en-GB"/>
              </w:rPr>
            </w:pPr>
            <w:r w:rsidRPr="3BF03DB3">
              <w:rPr>
                <w:rFonts w:ascii="Calibri" w:hAnsi="Calibri" w:cs="Calibri"/>
                <w:color w:val="000000" w:themeColor="text1"/>
                <w:sz w:val="22"/>
              </w:rPr>
              <w:t>0.439</w:t>
            </w:r>
          </w:p>
        </w:tc>
        <w:tc>
          <w:tcPr>
            <w:tcW w:w="1787" w:type="dxa"/>
            <w:tcBorders>
              <w:top w:val="single" w:sz="4" w:space="0" w:color="auto"/>
              <w:left w:val="nil"/>
              <w:right w:val="nil"/>
            </w:tcBorders>
            <w:shd w:val="clear" w:color="auto" w:fill="auto"/>
            <w:noWrap/>
          </w:tcPr>
          <w:p w14:paraId="68D6A1F0" w14:textId="77777777" w:rsidR="00A020F9" w:rsidRPr="0013723F" w:rsidRDefault="00A020F9" w:rsidP="00A020F9">
            <w:pPr>
              <w:spacing w:after="0" w:line="240" w:lineRule="auto"/>
              <w:jc w:val="center"/>
              <w:rPr>
                <w:rFonts w:ascii="Calibri" w:eastAsia="Times New Roman" w:hAnsi="Calibri" w:cs="Times New Roman"/>
                <w:b/>
                <w:bCs/>
                <w:color w:val="000000"/>
                <w:sz w:val="22"/>
                <w:lang w:eastAsia="en-GB"/>
              </w:rPr>
            </w:pPr>
            <w:r w:rsidRPr="3BF03DB3">
              <w:rPr>
                <w:rFonts w:ascii="Calibri" w:hAnsi="Calibri" w:cs="Calibri"/>
                <w:i/>
                <w:iCs/>
                <w:color w:val="000000" w:themeColor="text1"/>
                <w:sz w:val="22"/>
              </w:rPr>
              <w:t>1.42 (1.07,1.89)</w:t>
            </w:r>
          </w:p>
        </w:tc>
        <w:tc>
          <w:tcPr>
            <w:tcW w:w="966" w:type="dxa"/>
            <w:tcBorders>
              <w:top w:val="single" w:sz="4" w:space="0" w:color="auto"/>
              <w:left w:val="nil"/>
              <w:right w:val="nil"/>
            </w:tcBorders>
            <w:shd w:val="clear" w:color="auto" w:fill="auto"/>
            <w:noWrap/>
          </w:tcPr>
          <w:p w14:paraId="0D0F5646" w14:textId="77777777" w:rsidR="00A020F9" w:rsidRPr="0013723F" w:rsidRDefault="00A020F9" w:rsidP="00A020F9">
            <w:pPr>
              <w:spacing w:after="0" w:line="240" w:lineRule="auto"/>
              <w:jc w:val="center"/>
              <w:rPr>
                <w:rFonts w:ascii="Calibri" w:eastAsia="Times New Roman" w:hAnsi="Calibri" w:cs="Times New Roman"/>
                <w:b/>
                <w:bCs/>
                <w:color w:val="000000"/>
                <w:sz w:val="22"/>
                <w:lang w:eastAsia="en-GB"/>
              </w:rPr>
            </w:pPr>
            <w:r w:rsidRPr="3BF03DB3">
              <w:rPr>
                <w:rFonts w:ascii="Calibri" w:hAnsi="Calibri" w:cs="Calibri"/>
                <w:i/>
                <w:iCs/>
                <w:color w:val="000000" w:themeColor="text1"/>
                <w:sz w:val="22"/>
              </w:rPr>
              <w:t>0.015</w:t>
            </w:r>
          </w:p>
        </w:tc>
        <w:tc>
          <w:tcPr>
            <w:tcW w:w="2218" w:type="dxa"/>
            <w:tcBorders>
              <w:top w:val="single" w:sz="4" w:space="0" w:color="auto"/>
              <w:left w:val="nil"/>
              <w:right w:val="nil"/>
            </w:tcBorders>
            <w:shd w:val="clear" w:color="auto" w:fill="auto"/>
          </w:tcPr>
          <w:p w14:paraId="702D07E4" w14:textId="24B17C6B" w:rsidR="00A020F9" w:rsidRPr="00AC1341" w:rsidRDefault="00A020F9" w:rsidP="00A020F9">
            <w:pPr>
              <w:spacing w:after="0" w:line="240" w:lineRule="auto"/>
              <w:jc w:val="center"/>
              <w:rPr>
                <w:rFonts w:ascii="Calibri" w:hAnsi="Calibri" w:cs="Calibri"/>
                <w:color w:val="000000" w:themeColor="text1"/>
                <w:sz w:val="22"/>
              </w:rPr>
            </w:pPr>
            <w:r w:rsidRPr="00AC1341">
              <w:rPr>
                <w:rFonts w:ascii="Calibri" w:hAnsi="Calibri" w:cs="Calibri"/>
                <w:color w:val="000000" w:themeColor="text1"/>
                <w:sz w:val="22"/>
              </w:rPr>
              <w:t>1.44 (0.88,2.37)</w:t>
            </w:r>
          </w:p>
        </w:tc>
        <w:tc>
          <w:tcPr>
            <w:tcW w:w="1404" w:type="dxa"/>
            <w:tcBorders>
              <w:top w:val="single" w:sz="4" w:space="0" w:color="auto"/>
              <w:left w:val="nil"/>
              <w:right w:val="nil"/>
            </w:tcBorders>
            <w:shd w:val="clear" w:color="auto" w:fill="auto"/>
          </w:tcPr>
          <w:p w14:paraId="7E1709A0" w14:textId="025ABEBD" w:rsidR="00A020F9" w:rsidRPr="00AC1341" w:rsidRDefault="00A020F9" w:rsidP="00A020F9">
            <w:pPr>
              <w:spacing w:after="0" w:line="240" w:lineRule="auto"/>
              <w:jc w:val="center"/>
              <w:rPr>
                <w:rFonts w:ascii="Calibri" w:hAnsi="Calibri" w:cs="Calibri"/>
                <w:color w:val="000000" w:themeColor="text1"/>
                <w:sz w:val="22"/>
              </w:rPr>
            </w:pPr>
            <w:r w:rsidRPr="00AC1341">
              <w:rPr>
                <w:rFonts w:ascii="Calibri" w:hAnsi="Calibri" w:cs="Calibri"/>
                <w:color w:val="000000" w:themeColor="text1"/>
                <w:sz w:val="22"/>
              </w:rPr>
              <w:t>0.151</w:t>
            </w:r>
          </w:p>
        </w:tc>
      </w:tr>
      <w:tr w:rsidR="00A020F9" w:rsidRPr="0013723F" w14:paraId="7FDA7C96" w14:textId="77777777" w:rsidTr="00A020F9">
        <w:trPr>
          <w:trHeight w:val="288"/>
        </w:trPr>
        <w:tc>
          <w:tcPr>
            <w:tcW w:w="1562" w:type="dxa"/>
            <w:tcBorders>
              <w:top w:val="nil"/>
              <w:left w:val="nil"/>
              <w:bottom w:val="nil"/>
              <w:right w:val="nil"/>
            </w:tcBorders>
            <w:shd w:val="clear" w:color="auto" w:fill="auto"/>
            <w:noWrap/>
            <w:vAlign w:val="bottom"/>
          </w:tcPr>
          <w:p w14:paraId="1FEE7B58" w14:textId="77777777" w:rsidR="00A020F9" w:rsidRPr="0013723F" w:rsidRDefault="00A020F9" w:rsidP="00A020F9">
            <w:pPr>
              <w:spacing w:after="0" w:line="240" w:lineRule="auto"/>
              <w:rPr>
                <w:rFonts w:ascii="Calibri" w:eastAsia="Times New Roman" w:hAnsi="Calibri" w:cs="Times New Roman"/>
                <w:color w:val="000000"/>
                <w:sz w:val="22"/>
                <w:lang w:eastAsia="en-GB"/>
              </w:rPr>
            </w:pPr>
          </w:p>
        </w:tc>
        <w:tc>
          <w:tcPr>
            <w:tcW w:w="1561" w:type="dxa"/>
            <w:tcBorders>
              <w:top w:val="nil"/>
              <w:left w:val="nil"/>
              <w:bottom w:val="nil"/>
              <w:right w:val="nil"/>
            </w:tcBorders>
          </w:tcPr>
          <w:p w14:paraId="1AFEB00B" w14:textId="77777777" w:rsidR="00A020F9" w:rsidRPr="0013723F" w:rsidRDefault="00A020F9" w:rsidP="00A020F9">
            <w:pPr>
              <w:spacing w:after="0" w:line="240" w:lineRule="auto"/>
              <w:rPr>
                <w:rFonts w:ascii="Calibri" w:eastAsia="Times New Roman" w:hAnsi="Calibri" w:cs="Times New Roman"/>
                <w:color w:val="000000"/>
                <w:sz w:val="22"/>
                <w:lang w:eastAsia="en-GB"/>
              </w:rPr>
            </w:pPr>
            <w:r w:rsidRPr="3BF03DB3">
              <w:rPr>
                <w:rFonts w:ascii="Calibri" w:eastAsia="Times New Roman" w:hAnsi="Calibri" w:cs="Times New Roman"/>
                <w:color w:val="000000" w:themeColor="text1"/>
                <w:sz w:val="22"/>
                <w:lang w:eastAsia="en-GB"/>
              </w:rPr>
              <w:t>Sex, age, total hip BMD</w:t>
            </w:r>
          </w:p>
        </w:tc>
        <w:tc>
          <w:tcPr>
            <w:tcW w:w="1789" w:type="dxa"/>
            <w:tcBorders>
              <w:top w:val="nil"/>
              <w:left w:val="nil"/>
              <w:bottom w:val="nil"/>
              <w:right w:val="nil"/>
            </w:tcBorders>
            <w:shd w:val="clear" w:color="auto" w:fill="auto"/>
            <w:noWrap/>
          </w:tcPr>
          <w:p w14:paraId="37B45E01" w14:textId="77777777" w:rsidR="00A020F9" w:rsidRPr="0013723F" w:rsidRDefault="00A020F9" w:rsidP="00A020F9">
            <w:pPr>
              <w:spacing w:after="0" w:line="240" w:lineRule="auto"/>
              <w:jc w:val="center"/>
              <w:rPr>
                <w:rFonts w:ascii="Calibri" w:eastAsia="Times New Roman" w:hAnsi="Calibri" w:cs="Times New Roman"/>
                <w:color w:val="000000"/>
                <w:sz w:val="22"/>
                <w:lang w:eastAsia="en-GB"/>
              </w:rPr>
            </w:pPr>
            <w:r w:rsidRPr="3BF03DB3">
              <w:rPr>
                <w:rFonts w:ascii="Calibri" w:hAnsi="Calibri" w:cs="Calibri"/>
                <w:color w:val="000000" w:themeColor="text1"/>
                <w:sz w:val="22"/>
              </w:rPr>
              <w:t>0.88 (0.67,1.14)</w:t>
            </w:r>
          </w:p>
        </w:tc>
        <w:tc>
          <w:tcPr>
            <w:tcW w:w="1129" w:type="dxa"/>
            <w:tcBorders>
              <w:top w:val="nil"/>
              <w:left w:val="nil"/>
              <w:bottom w:val="nil"/>
              <w:right w:val="nil"/>
            </w:tcBorders>
            <w:shd w:val="clear" w:color="auto" w:fill="auto"/>
            <w:noWrap/>
          </w:tcPr>
          <w:p w14:paraId="1D871532" w14:textId="77777777" w:rsidR="00A020F9" w:rsidRPr="0013723F" w:rsidRDefault="00A020F9" w:rsidP="00A020F9">
            <w:pPr>
              <w:spacing w:after="0" w:line="240" w:lineRule="auto"/>
              <w:jc w:val="center"/>
              <w:rPr>
                <w:rFonts w:ascii="Calibri" w:eastAsia="Times New Roman" w:hAnsi="Calibri" w:cs="Times New Roman"/>
                <w:color w:val="000000"/>
                <w:sz w:val="22"/>
                <w:lang w:eastAsia="en-GB"/>
              </w:rPr>
            </w:pPr>
            <w:r w:rsidRPr="3BF03DB3">
              <w:rPr>
                <w:rFonts w:ascii="Calibri" w:hAnsi="Calibri" w:cs="Calibri"/>
                <w:color w:val="000000" w:themeColor="text1"/>
                <w:sz w:val="22"/>
              </w:rPr>
              <w:t>0.330</w:t>
            </w:r>
          </w:p>
        </w:tc>
        <w:tc>
          <w:tcPr>
            <w:tcW w:w="1787" w:type="dxa"/>
            <w:tcBorders>
              <w:top w:val="nil"/>
              <w:left w:val="nil"/>
              <w:bottom w:val="nil"/>
              <w:right w:val="nil"/>
            </w:tcBorders>
            <w:shd w:val="clear" w:color="auto" w:fill="auto"/>
            <w:noWrap/>
          </w:tcPr>
          <w:p w14:paraId="6244E7EB" w14:textId="77777777" w:rsidR="00A020F9" w:rsidRPr="0013723F" w:rsidRDefault="00A020F9" w:rsidP="00A020F9">
            <w:pPr>
              <w:spacing w:after="0" w:line="240" w:lineRule="auto"/>
              <w:jc w:val="center"/>
              <w:rPr>
                <w:rFonts w:ascii="Calibri" w:eastAsia="Times New Roman" w:hAnsi="Calibri" w:cs="Times New Roman"/>
                <w:color w:val="000000"/>
                <w:sz w:val="22"/>
                <w:lang w:eastAsia="en-GB"/>
              </w:rPr>
            </w:pPr>
            <w:r w:rsidRPr="3BF03DB3">
              <w:rPr>
                <w:rFonts w:ascii="Calibri" w:hAnsi="Calibri" w:cs="Calibri"/>
                <w:color w:val="000000" w:themeColor="text1"/>
                <w:sz w:val="22"/>
              </w:rPr>
              <w:t>1.30 (0.97,1.75)</w:t>
            </w:r>
          </w:p>
        </w:tc>
        <w:tc>
          <w:tcPr>
            <w:tcW w:w="966" w:type="dxa"/>
            <w:tcBorders>
              <w:top w:val="nil"/>
              <w:left w:val="nil"/>
              <w:bottom w:val="nil"/>
              <w:right w:val="nil"/>
            </w:tcBorders>
            <w:shd w:val="clear" w:color="auto" w:fill="auto"/>
            <w:noWrap/>
          </w:tcPr>
          <w:p w14:paraId="08820A86" w14:textId="77777777" w:rsidR="00A020F9" w:rsidRPr="0013723F" w:rsidRDefault="00A020F9" w:rsidP="00A020F9">
            <w:pPr>
              <w:spacing w:after="0" w:line="240" w:lineRule="auto"/>
              <w:jc w:val="center"/>
              <w:rPr>
                <w:rFonts w:ascii="Calibri" w:eastAsia="Times New Roman" w:hAnsi="Calibri" w:cs="Times New Roman"/>
                <w:color w:val="000000"/>
                <w:sz w:val="22"/>
                <w:lang w:eastAsia="en-GB"/>
              </w:rPr>
            </w:pPr>
            <w:r w:rsidRPr="3BF03DB3">
              <w:rPr>
                <w:rFonts w:ascii="Calibri" w:hAnsi="Calibri" w:cs="Calibri"/>
                <w:color w:val="000000" w:themeColor="text1"/>
                <w:sz w:val="22"/>
              </w:rPr>
              <w:t>0.081</w:t>
            </w:r>
          </w:p>
        </w:tc>
        <w:tc>
          <w:tcPr>
            <w:tcW w:w="2218" w:type="dxa"/>
            <w:tcBorders>
              <w:top w:val="nil"/>
              <w:left w:val="nil"/>
              <w:bottom w:val="nil"/>
              <w:right w:val="nil"/>
            </w:tcBorders>
            <w:shd w:val="clear" w:color="auto" w:fill="auto"/>
          </w:tcPr>
          <w:p w14:paraId="4F45EFD2" w14:textId="5BAB4544" w:rsidR="00A020F9" w:rsidRDefault="00A020F9" w:rsidP="00A020F9">
            <w:pPr>
              <w:spacing w:after="0" w:line="240" w:lineRule="auto"/>
              <w:jc w:val="center"/>
              <w:rPr>
                <w:rFonts w:ascii="Calibri" w:hAnsi="Calibri" w:cs="Calibri"/>
                <w:color w:val="000000" w:themeColor="text1"/>
                <w:sz w:val="22"/>
              </w:rPr>
            </w:pPr>
            <w:r w:rsidRPr="3BF03DB3">
              <w:rPr>
                <w:rFonts w:ascii="Calibri" w:hAnsi="Calibri" w:cs="Calibri"/>
                <w:color w:val="000000" w:themeColor="text1"/>
                <w:sz w:val="22"/>
              </w:rPr>
              <w:t>1.23 (0.73,2.06)</w:t>
            </w:r>
          </w:p>
        </w:tc>
        <w:tc>
          <w:tcPr>
            <w:tcW w:w="1404" w:type="dxa"/>
            <w:tcBorders>
              <w:top w:val="nil"/>
              <w:left w:val="nil"/>
              <w:bottom w:val="nil"/>
              <w:right w:val="nil"/>
            </w:tcBorders>
            <w:shd w:val="clear" w:color="auto" w:fill="auto"/>
          </w:tcPr>
          <w:p w14:paraId="7074BECC" w14:textId="356D8159" w:rsidR="00A020F9" w:rsidRDefault="00A020F9" w:rsidP="00A020F9">
            <w:pPr>
              <w:spacing w:after="0" w:line="240" w:lineRule="auto"/>
              <w:jc w:val="center"/>
              <w:rPr>
                <w:rFonts w:ascii="Calibri" w:hAnsi="Calibri" w:cs="Calibri"/>
                <w:color w:val="000000" w:themeColor="text1"/>
                <w:sz w:val="22"/>
              </w:rPr>
            </w:pPr>
            <w:r w:rsidRPr="3BF03DB3">
              <w:rPr>
                <w:rFonts w:ascii="Calibri" w:hAnsi="Calibri" w:cs="Calibri"/>
                <w:color w:val="000000" w:themeColor="text1"/>
                <w:sz w:val="22"/>
              </w:rPr>
              <w:t>0.431</w:t>
            </w:r>
          </w:p>
        </w:tc>
      </w:tr>
      <w:tr w:rsidR="00A020F9" w:rsidRPr="0013723F" w14:paraId="680D05A3" w14:textId="77777777" w:rsidTr="00A020F9">
        <w:trPr>
          <w:trHeight w:val="288"/>
        </w:trPr>
        <w:tc>
          <w:tcPr>
            <w:tcW w:w="1562" w:type="dxa"/>
            <w:tcBorders>
              <w:top w:val="nil"/>
              <w:left w:val="nil"/>
              <w:bottom w:val="nil"/>
              <w:right w:val="nil"/>
            </w:tcBorders>
            <w:shd w:val="clear" w:color="auto" w:fill="auto"/>
            <w:noWrap/>
            <w:vAlign w:val="bottom"/>
          </w:tcPr>
          <w:p w14:paraId="7BEA7263" w14:textId="77777777" w:rsidR="00A020F9" w:rsidRPr="0013723F" w:rsidRDefault="00A020F9" w:rsidP="00A020F9">
            <w:pPr>
              <w:spacing w:after="0" w:line="240" w:lineRule="auto"/>
              <w:rPr>
                <w:rFonts w:ascii="Calibri" w:eastAsia="Times New Roman" w:hAnsi="Calibri" w:cs="Times New Roman"/>
                <w:color w:val="000000"/>
                <w:sz w:val="22"/>
                <w:lang w:eastAsia="en-GB"/>
              </w:rPr>
            </w:pPr>
          </w:p>
        </w:tc>
        <w:tc>
          <w:tcPr>
            <w:tcW w:w="1561" w:type="dxa"/>
            <w:tcBorders>
              <w:top w:val="nil"/>
              <w:left w:val="nil"/>
              <w:bottom w:val="nil"/>
              <w:right w:val="nil"/>
            </w:tcBorders>
          </w:tcPr>
          <w:p w14:paraId="6C332F61" w14:textId="77777777" w:rsidR="00A020F9" w:rsidRDefault="00A020F9" w:rsidP="00A020F9">
            <w:pPr>
              <w:spacing w:after="0" w:line="240" w:lineRule="auto"/>
              <w:rPr>
                <w:rFonts w:ascii="Calibri" w:eastAsia="Times New Roman" w:hAnsi="Calibri" w:cs="Times New Roman"/>
                <w:color w:val="000000"/>
                <w:sz w:val="22"/>
                <w:lang w:eastAsia="en-GB"/>
              </w:rPr>
            </w:pPr>
          </w:p>
        </w:tc>
        <w:tc>
          <w:tcPr>
            <w:tcW w:w="1789" w:type="dxa"/>
            <w:tcBorders>
              <w:top w:val="nil"/>
              <w:left w:val="nil"/>
              <w:bottom w:val="nil"/>
              <w:right w:val="nil"/>
            </w:tcBorders>
            <w:shd w:val="clear" w:color="auto" w:fill="auto"/>
            <w:noWrap/>
          </w:tcPr>
          <w:p w14:paraId="02ADA057" w14:textId="77777777" w:rsidR="00A020F9" w:rsidRDefault="00A020F9" w:rsidP="00A020F9">
            <w:pPr>
              <w:spacing w:after="0" w:line="240" w:lineRule="auto"/>
              <w:jc w:val="center"/>
              <w:rPr>
                <w:rFonts w:ascii="Calibri" w:hAnsi="Calibri" w:cs="Calibri"/>
                <w:color w:val="000000"/>
                <w:sz w:val="22"/>
              </w:rPr>
            </w:pPr>
          </w:p>
        </w:tc>
        <w:tc>
          <w:tcPr>
            <w:tcW w:w="1129" w:type="dxa"/>
            <w:tcBorders>
              <w:top w:val="nil"/>
              <w:left w:val="nil"/>
              <w:bottom w:val="nil"/>
              <w:right w:val="nil"/>
            </w:tcBorders>
            <w:shd w:val="clear" w:color="auto" w:fill="auto"/>
            <w:noWrap/>
          </w:tcPr>
          <w:p w14:paraId="59ECE612" w14:textId="77777777" w:rsidR="00A020F9" w:rsidRDefault="00A020F9" w:rsidP="00A020F9">
            <w:pPr>
              <w:spacing w:after="0" w:line="240" w:lineRule="auto"/>
              <w:jc w:val="center"/>
              <w:rPr>
                <w:rFonts w:ascii="Calibri" w:hAnsi="Calibri" w:cs="Calibri"/>
                <w:color w:val="000000"/>
                <w:sz w:val="22"/>
              </w:rPr>
            </w:pPr>
          </w:p>
        </w:tc>
        <w:tc>
          <w:tcPr>
            <w:tcW w:w="1787" w:type="dxa"/>
            <w:tcBorders>
              <w:top w:val="nil"/>
              <w:left w:val="nil"/>
              <w:bottom w:val="nil"/>
              <w:right w:val="nil"/>
            </w:tcBorders>
            <w:shd w:val="clear" w:color="auto" w:fill="auto"/>
            <w:noWrap/>
          </w:tcPr>
          <w:p w14:paraId="704330C8" w14:textId="77777777" w:rsidR="00A020F9" w:rsidRDefault="00A020F9" w:rsidP="00A020F9">
            <w:pPr>
              <w:spacing w:after="0" w:line="240" w:lineRule="auto"/>
              <w:jc w:val="center"/>
              <w:rPr>
                <w:rFonts w:ascii="Calibri" w:hAnsi="Calibri" w:cs="Calibri"/>
                <w:color w:val="000000"/>
                <w:sz w:val="22"/>
              </w:rPr>
            </w:pPr>
          </w:p>
        </w:tc>
        <w:tc>
          <w:tcPr>
            <w:tcW w:w="966" w:type="dxa"/>
            <w:tcBorders>
              <w:top w:val="nil"/>
              <w:left w:val="nil"/>
              <w:bottom w:val="nil"/>
              <w:right w:val="nil"/>
            </w:tcBorders>
            <w:shd w:val="clear" w:color="auto" w:fill="auto"/>
            <w:noWrap/>
          </w:tcPr>
          <w:p w14:paraId="5CB35D3E" w14:textId="77777777" w:rsidR="00A020F9" w:rsidRDefault="00A020F9" w:rsidP="00A020F9">
            <w:pPr>
              <w:spacing w:after="0" w:line="240" w:lineRule="auto"/>
              <w:jc w:val="center"/>
              <w:rPr>
                <w:rFonts w:ascii="Calibri" w:hAnsi="Calibri" w:cs="Calibri"/>
                <w:color w:val="000000"/>
                <w:sz w:val="22"/>
              </w:rPr>
            </w:pPr>
          </w:p>
        </w:tc>
        <w:tc>
          <w:tcPr>
            <w:tcW w:w="2218" w:type="dxa"/>
            <w:tcBorders>
              <w:top w:val="nil"/>
              <w:left w:val="nil"/>
              <w:bottom w:val="nil"/>
              <w:right w:val="nil"/>
            </w:tcBorders>
            <w:shd w:val="clear" w:color="auto" w:fill="auto"/>
          </w:tcPr>
          <w:p w14:paraId="6CF0CAAE" w14:textId="36678631" w:rsidR="00A020F9" w:rsidRDefault="00A020F9" w:rsidP="00A020F9">
            <w:pPr>
              <w:spacing w:after="0" w:line="240" w:lineRule="auto"/>
              <w:jc w:val="center"/>
              <w:rPr>
                <w:rFonts w:ascii="Calibri" w:hAnsi="Calibri" w:cs="Calibri"/>
                <w:color w:val="000000" w:themeColor="text1"/>
                <w:sz w:val="22"/>
              </w:rPr>
            </w:pPr>
          </w:p>
        </w:tc>
        <w:tc>
          <w:tcPr>
            <w:tcW w:w="1404" w:type="dxa"/>
            <w:tcBorders>
              <w:top w:val="nil"/>
              <w:left w:val="nil"/>
              <w:bottom w:val="nil"/>
              <w:right w:val="nil"/>
            </w:tcBorders>
            <w:shd w:val="clear" w:color="auto" w:fill="auto"/>
          </w:tcPr>
          <w:p w14:paraId="26BB5549" w14:textId="79F594B7" w:rsidR="00A020F9" w:rsidRDefault="00A020F9" w:rsidP="00A020F9">
            <w:pPr>
              <w:spacing w:after="0" w:line="240" w:lineRule="auto"/>
              <w:jc w:val="center"/>
              <w:rPr>
                <w:rFonts w:ascii="Calibri" w:hAnsi="Calibri" w:cs="Calibri"/>
                <w:color w:val="000000" w:themeColor="text1"/>
                <w:sz w:val="22"/>
              </w:rPr>
            </w:pPr>
          </w:p>
        </w:tc>
      </w:tr>
      <w:tr w:rsidR="00A020F9" w:rsidRPr="0013723F" w14:paraId="7396341E" w14:textId="77777777" w:rsidTr="00A020F9">
        <w:trPr>
          <w:trHeight w:val="288"/>
        </w:trPr>
        <w:tc>
          <w:tcPr>
            <w:tcW w:w="1562" w:type="dxa"/>
            <w:tcBorders>
              <w:top w:val="nil"/>
              <w:left w:val="nil"/>
              <w:bottom w:val="nil"/>
              <w:right w:val="nil"/>
            </w:tcBorders>
            <w:shd w:val="clear" w:color="auto" w:fill="auto"/>
            <w:noWrap/>
            <w:vAlign w:val="bottom"/>
          </w:tcPr>
          <w:p w14:paraId="569E308E" w14:textId="77777777" w:rsidR="00A020F9" w:rsidRPr="0013723F" w:rsidRDefault="00A020F9" w:rsidP="00A020F9">
            <w:pPr>
              <w:spacing w:after="0" w:line="240" w:lineRule="auto"/>
              <w:rPr>
                <w:rFonts w:ascii="Calibri" w:eastAsia="Times New Roman" w:hAnsi="Calibri" w:cs="Times New Roman"/>
                <w:color w:val="000000"/>
                <w:sz w:val="22"/>
                <w:lang w:eastAsia="en-GB"/>
              </w:rPr>
            </w:pPr>
            <w:r w:rsidRPr="0013723F">
              <w:rPr>
                <w:rFonts w:ascii="Calibri" w:eastAsia="Times New Roman" w:hAnsi="Calibri" w:cs="Times New Roman"/>
                <w:color w:val="000000"/>
                <w:sz w:val="22"/>
                <w:lang w:eastAsia="en-GB"/>
              </w:rPr>
              <w:t>Calf muscle density</w:t>
            </w:r>
          </w:p>
        </w:tc>
        <w:tc>
          <w:tcPr>
            <w:tcW w:w="1561" w:type="dxa"/>
            <w:tcBorders>
              <w:top w:val="nil"/>
              <w:left w:val="nil"/>
              <w:bottom w:val="nil"/>
              <w:right w:val="nil"/>
            </w:tcBorders>
          </w:tcPr>
          <w:p w14:paraId="0DB99879" w14:textId="77777777" w:rsidR="00A020F9" w:rsidRDefault="00A020F9" w:rsidP="00A020F9">
            <w:pPr>
              <w:spacing w:after="0" w:line="240" w:lineRule="auto"/>
              <w:rPr>
                <w:rFonts w:ascii="Calibri" w:eastAsia="Times New Roman" w:hAnsi="Calibri" w:cs="Times New Roman"/>
                <w:color w:val="000000"/>
                <w:sz w:val="22"/>
                <w:lang w:eastAsia="en-GB"/>
              </w:rPr>
            </w:pPr>
            <w:r w:rsidRPr="3BF03DB3">
              <w:rPr>
                <w:rFonts w:ascii="Calibri" w:eastAsia="Times New Roman" w:hAnsi="Calibri" w:cs="Times New Roman"/>
                <w:color w:val="000000" w:themeColor="text1"/>
                <w:sz w:val="22"/>
                <w:lang w:eastAsia="en-GB"/>
              </w:rPr>
              <w:t>Sex, age</w:t>
            </w:r>
          </w:p>
        </w:tc>
        <w:tc>
          <w:tcPr>
            <w:tcW w:w="1789" w:type="dxa"/>
            <w:tcBorders>
              <w:top w:val="nil"/>
              <w:left w:val="nil"/>
              <w:bottom w:val="nil"/>
              <w:right w:val="nil"/>
            </w:tcBorders>
            <w:shd w:val="clear" w:color="auto" w:fill="auto"/>
            <w:noWrap/>
          </w:tcPr>
          <w:p w14:paraId="241B081D"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1.01 (0.78,1.30)</w:t>
            </w:r>
          </w:p>
        </w:tc>
        <w:tc>
          <w:tcPr>
            <w:tcW w:w="1129" w:type="dxa"/>
            <w:tcBorders>
              <w:top w:val="nil"/>
              <w:left w:val="nil"/>
              <w:bottom w:val="nil"/>
              <w:right w:val="nil"/>
            </w:tcBorders>
            <w:shd w:val="clear" w:color="auto" w:fill="auto"/>
            <w:noWrap/>
          </w:tcPr>
          <w:p w14:paraId="3C13162E"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0.938</w:t>
            </w:r>
          </w:p>
        </w:tc>
        <w:tc>
          <w:tcPr>
            <w:tcW w:w="1787" w:type="dxa"/>
            <w:tcBorders>
              <w:top w:val="nil"/>
              <w:left w:val="nil"/>
              <w:bottom w:val="nil"/>
              <w:right w:val="nil"/>
            </w:tcBorders>
            <w:shd w:val="clear" w:color="auto" w:fill="auto"/>
            <w:noWrap/>
          </w:tcPr>
          <w:p w14:paraId="4346ADCA"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1.23 (0.94,1.62)</w:t>
            </w:r>
          </w:p>
        </w:tc>
        <w:tc>
          <w:tcPr>
            <w:tcW w:w="966" w:type="dxa"/>
            <w:tcBorders>
              <w:top w:val="nil"/>
              <w:left w:val="nil"/>
              <w:bottom w:val="nil"/>
              <w:right w:val="nil"/>
            </w:tcBorders>
            <w:shd w:val="clear" w:color="auto" w:fill="auto"/>
            <w:noWrap/>
          </w:tcPr>
          <w:p w14:paraId="0985F860"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0.131</w:t>
            </w:r>
          </w:p>
        </w:tc>
        <w:tc>
          <w:tcPr>
            <w:tcW w:w="2218" w:type="dxa"/>
            <w:tcBorders>
              <w:top w:val="nil"/>
              <w:left w:val="nil"/>
              <w:bottom w:val="nil"/>
              <w:right w:val="nil"/>
            </w:tcBorders>
            <w:shd w:val="clear" w:color="auto" w:fill="auto"/>
          </w:tcPr>
          <w:p w14:paraId="105F067B" w14:textId="568B9E9B" w:rsidR="00A020F9" w:rsidRDefault="00A020F9" w:rsidP="00A020F9">
            <w:pPr>
              <w:spacing w:after="0" w:line="240" w:lineRule="auto"/>
              <w:jc w:val="center"/>
              <w:rPr>
                <w:rFonts w:ascii="Calibri" w:hAnsi="Calibri" w:cs="Calibri"/>
                <w:color w:val="000000" w:themeColor="text1"/>
                <w:sz w:val="22"/>
              </w:rPr>
            </w:pPr>
            <w:r w:rsidRPr="3BF03DB3">
              <w:rPr>
                <w:rFonts w:ascii="Calibri" w:hAnsi="Calibri" w:cs="Calibri"/>
                <w:color w:val="000000" w:themeColor="text1"/>
                <w:sz w:val="22"/>
              </w:rPr>
              <w:t>1.53 (0.95,2.44)</w:t>
            </w:r>
          </w:p>
        </w:tc>
        <w:tc>
          <w:tcPr>
            <w:tcW w:w="1404" w:type="dxa"/>
            <w:tcBorders>
              <w:top w:val="nil"/>
              <w:left w:val="nil"/>
              <w:bottom w:val="nil"/>
              <w:right w:val="nil"/>
            </w:tcBorders>
            <w:shd w:val="clear" w:color="auto" w:fill="auto"/>
          </w:tcPr>
          <w:p w14:paraId="266AAD2E" w14:textId="1440306D" w:rsidR="00A020F9" w:rsidRDefault="00A020F9" w:rsidP="00A020F9">
            <w:pPr>
              <w:spacing w:after="0" w:line="240" w:lineRule="auto"/>
              <w:jc w:val="center"/>
              <w:rPr>
                <w:rFonts w:ascii="Calibri" w:hAnsi="Calibri" w:cs="Calibri"/>
                <w:color w:val="000000" w:themeColor="text1"/>
                <w:sz w:val="22"/>
              </w:rPr>
            </w:pPr>
            <w:r w:rsidRPr="3BF03DB3">
              <w:rPr>
                <w:rFonts w:ascii="Calibri" w:hAnsi="Calibri" w:cs="Calibri"/>
                <w:color w:val="000000" w:themeColor="text1"/>
                <w:sz w:val="22"/>
              </w:rPr>
              <w:t>0.077</w:t>
            </w:r>
          </w:p>
        </w:tc>
      </w:tr>
      <w:tr w:rsidR="00A020F9" w:rsidRPr="0013723F" w14:paraId="2745A72E" w14:textId="77777777" w:rsidTr="00A020F9">
        <w:trPr>
          <w:trHeight w:val="288"/>
        </w:trPr>
        <w:tc>
          <w:tcPr>
            <w:tcW w:w="1562" w:type="dxa"/>
            <w:tcBorders>
              <w:top w:val="nil"/>
              <w:left w:val="nil"/>
              <w:bottom w:val="nil"/>
              <w:right w:val="nil"/>
            </w:tcBorders>
            <w:shd w:val="clear" w:color="auto" w:fill="auto"/>
            <w:noWrap/>
            <w:vAlign w:val="bottom"/>
          </w:tcPr>
          <w:p w14:paraId="645A5A68" w14:textId="77777777" w:rsidR="00A020F9" w:rsidRPr="0013723F" w:rsidRDefault="00A020F9" w:rsidP="00A020F9">
            <w:pPr>
              <w:spacing w:after="0" w:line="240" w:lineRule="auto"/>
              <w:rPr>
                <w:rFonts w:ascii="Calibri" w:eastAsia="Times New Roman" w:hAnsi="Calibri" w:cs="Times New Roman"/>
                <w:color w:val="000000"/>
                <w:sz w:val="22"/>
                <w:lang w:eastAsia="en-GB"/>
              </w:rPr>
            </w:pPr>
          </w:p>
        </w:tc>
        <w:tc>
          <w:tcPr>
            <w:tcW w:w="1561" w:type="dxa"/>
            <w:tcBorders>
              <w:top w:val="nil"/>
              <w:left w:val="nil"/>
              <w:bottom w:val="nil"/>
              <w:right w:val="nil"/>
            </w:tcBorders>
          </w:tcPr>
          <w:p w14:paraId="794B3D31" w14:textId="77777777" w:rsidR="00A020F9" w:rsidRDefault="00A020F9" w:rsidP="00A020F9">
            <w:pPr>
              <w:spacing w:after="0" w:line="240" w:lineRule="auto"/>
              <w:rPr>
                <w:rFonts w:ascii="Calibri" w:eastAsia="Times New Roman" w:hAnsi="Calibri" w:cs="Times New Roman"/>
                <w:color w:val="000000"/>
                <w:sz w:val="22"/>
                <w:lang w:eastAsia="en-GB"/>
              </w:rPr>
            </w:pPr>
            <w:r w:rsidRPr="3BF03DB3">
              <w:rPr>
                <w:rFonts w:ascii="Calibri" w:eastAsia="Times New Roman" w:hAnsi="Calibri" w:cs="Times New Roman"/>
                <w:color w:val="000000" w:themeColor="text1"/>
                <w:sz w:val="22"/>
                <w:lang w:eastAsia="en-GB"/>
              </w:rPr>
              <w:t>Sex, age, total hip BMD</w:t>
            </w:r>
          </w:p>
        </w:tc>
        <w:tc>
          <w:tcPr>
            <w:tcW w:w="1789" w:type="dxa"/>
            <w:tcBorders>
              <w:top w:val="nil"/>
              <w:left w:val="nil"/>
              <w:bottom w:val="nil"/>
              <w:right w:val="nil"/>
            </w:tcBorders>
            <w:shd w:val="clear" w:color="auto" w:fill="auto"/>
            <w:noWrap/>
          </w:tcPr>
          <w:p w14:paraId="567772D7"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0.98 (0.75,1.27)</w:t>
            </w:r>
          </w:p>
        </w:tc>
        <w:tc>
          <w:tcPr>
            <w:tcW w:w="1129" w:type="dxa"/>
            <w:tcBorders>
              <w:top w:val="nil"/>
              <w:left w:val="nil"/>
              <w:bottom w:val="nil"/>
              <w:right w:val="nil"/>
            </w:tcBorders>
            <w:shd w:val="clear" w:color="auto" w:fill="auto"/>
            <w:noWrap/>
          </w:tcPr>
          <w:p w14:paraId="3F7D8DA1"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0.866</w:t>
            </w:r>
          </w:p>
        </w:tc>
        <w:tc>
          <w:tcPr>
            <w:tcW w:w="1787" w:type="dxa"/>
            <w:tcBorders>
              <w:top w:val="nil"/>
              <w:left w:val="nil"/>
              <w:bottom w:val="nil"/>
              <w:right w:val="nil"/>
            </w:tcBorders>
            <w:shd w:val="clear" w:color="auto" w:fill="auto"/>
            <w:noWrap/>
          </w:tcPr>
          <w:p w14:paraId="4EAF2610"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1.10 (0.82,1.47)</w:t>
            </w:r>
          </w:p>
        </w:tc>
        <w:tc>
          <w:tcPr>
            <w:tcW w:w="966" w:type="dxa"/>
            <w:tcBorders>
              <w:top w:val="nil"/>
              <w:left w:val="nil"/>
              <w:bottom w:val="nil"/>
              <w:right w:val="nil"/>
            </w:tcBorders>
            <w:shd w:val="clear" w:color="auto" w:fill="auto"/>
            <w:noWrap/>
          </w:tcPr>
          <w:p w14:paraId="30542614" w14:textId="77777777" w:rsidR="00A020F9" w:rsidRDefault="00A020F9" w:rsidP="00A020F9">
            <w:pPr>
              <w:spacing w:after="0" w:line="240" w:lineRule="auto"/>
              <w:jc w:val="center"/>
              <w:rPr>
                <w:rFonts w:ascii="Calibri" w:hAnsi="Calibri" w:cs="Calibri"/>
                <w:color w:val="000000"/>
                <w:sz w:val="22"/>
              </w:rPr>
            </w:pPr>
            <w:r w:rsidRPr="3BF03DB3">
              <w:rPr>
                <w:rFonts w:ascii="Calibri" w:hAnsi="Calibri" w:cs="Calibri"/>
                <w:color w:val="000000" w:themeColor="text1"/>
                <w:sz w:val="22"/>
              </w:rPr>
              <w:t>0.527</w:t>
            </w:r>
          </w:p>
        </w:tc>
        <w:tc>
          <w:tcPr>
            <w:tcW w:w="2218" w:type="dxa"/>
            <w:tcBorders>
              <w:top w:val="nil"/>
              <w:left w:val="nil"/>
              <w:bottom w:val="nil"/>
              <w:right w:val="nil"/>
            </w:tcBorders>
            <w:shd w:val="clear" w:color="auto" w:fill="auto"/>
          </w:tcPr>
          <w:p w14:paraId="1B74A349" w14:textId="7E1706F2" w:rsidR="00A020F9" w:rsidRDefault="00A020F9" w:rsidP="00A020F9">
            <w:pPr>
              <w:spacing w:after="0" w:line="240" w:lineRule="auto"/>
              <w:jc w:val="center"/>
              <w:rPr>
                <w:rFonts w:ascii="Calibri" w:hAnsi="Calibri" w:cs="Calibri"/>
                <w:color w:val="000000" w:themeColor="text1"/>
                <w:sz w:val="22"/>
              </w:rPr>
            </w:pPr>
            <w:r w:rsidRPr="3BF03DB3">
              <w:rPr>
                <w:rFonts w:ascii="Calibri" w:hAnsi="Calibri" w:cs="Calibri"/>
                <w:color w:val="000000" w:themeColor="text1"/>
                <w:sz w:val="22"/>
              </w:rPr>
              <w:t>1.15 (0.70,1.90)</w:t>
            </w:r>
          </w:p>
        </w:tc>
        <w:tc>
          <w:tcPr>
            <w:tcW w:w="1404" w:type="dxa"/>
            <w:tcBorders>
              <w:top w:val="nil"/>
              <w:left w:val="nil"/>
              <w:bottom w:val="nil"/>
              <w:right w:val="nil"/>
            </w:tcBorders>
            <w:shd w:val="clear" w:color="auto" w:fill="auto"/>
          </w:tcPr>
          <w:p w14:paraId="435BA198" w14:textId="595416E9" w:rsidR="00A020F9" w:rsidRDefault="00A020F9" w:rsidP="00A020F9">
            <w:pPr>
              <w:spacing w:after="0" w:line="240" w:lineRule="auto"/>
              <w:jc w:val="center"/>
              <w:rPr>
                <w:rFonts w:ascii="Calibri" w:hAnsi="Calibri" w:cs="Calibri"/>
                <w:color w:val="000000" w:themeColor="text1"/>
                <w:sz w:val="22"/>
              </w:rPr>
            </w:pPr>
            <w:r w:rsidRPr="3BF03DB3">
              <w:rPr>
                <w:rFonts w:ascii="Calibri" w:hAnsi="Calibri" w:cs="Calibri"/>
                <w:color w:val="000000" w:themeColor="text1"/>
                <w:sz w:val="22"/>
              </w:rPr>
              <w:t>0.574</w:t>
            </w:r>
          </w:p>
        </w:tc>
      </w:tr>
      <w:tr w:rsidR="00A020F9" w:rsidRPr="0013723F" w14:paraId="3A4F19F7" w14:textId="77777777" w:rsidTr="00AC1341">
        <w:trPr>
          <w:trHeight w:val="288"/>
        </w:trPr>
        <w:tc>
          <w:tcPr>
            <w:tcW w:w="8794" w:type="dxa"/>
            <w:gridSpan w:val="6"/>
            <w:tcBorders>
              <w:top w:val="single" w:sz="4" w:space="0" w:color="auto"/>
              <w:left w:val="nil"/>
              <w:right w:val="nil"/>
            </w:tcBorders>
            <w:shd w:val="clear" w:color="auto" w:fill="auto"/>
            <w:noWrap/>
            <w:vAlign w:val="bottom"/>
          </w:tcPr>
          <w:p w14:paraId="362B685A" w14:textId="77777777" w:rsidR="00A020F9" w:rsidRPr="00646464" w:rsidRDefault="00A020F9" w:rsidP="00A020F9">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Previous fractures include self-reported and vertebral fractures</w:t>
            </w:r>
          </w:p>
        </w:tc>
        <w:tc>
          <w:tcPr>
            <w:tcW w:w="2218" w:type="dxa"/>
            <w:tcBorders>
              <w:top w:val="single" w:sz="4" w:space="0" w:color="auto"/>
              <w:left w:val="nil"/>
              <w:right w:val="nil"/>
            </w:tcBorders>
            <w:shd w:val="clear" w:color="auto" w:fill="auto"/>
            <w:vAlign w:val="bottom"/>
          </w:tcPr>
          <w:p w14:paraId="56513562" w14:textId="3B946075" w:rsidR="00A020F9" w:rsidRDefault="00A020F9" w:rsidP="00A020F9">
            <w:pPr>
              <w:spacing w:line="240" w:lineRule="auto"/>
              <w:rPr>
                <w:rFonts w:ascii="Calibri" w:eastAsia="Times New Roman" w:hAnsi="Calibri" w:cs="Calibri"/>
                <w:color w:val="000000" w:themeColor="text1"/>
                <w:sz w:val="22"/>
                <w:lang w:eastAsia="en-GB"/>
              </w:rPr>
            </w:pPr>
          </w:p>
        </w:tc>
        <w:tc>
          <w:tcPr>
            <w:tcW w:w="1404" w:type="dxa"/>
            <w:tcBorders>
              <w:top w:val="single" w:sz="4" w:space="0" w:color="auto"/>
              <w:left w:val="nil"/>
              <w:right w:val="nil"/>
            </w:tcBorders>
            <w:shd w:val="clear" w:color="auto" w:fill="auto"/>
            <w:vAlign w:val="bottom"/>
          </w:tcPr>
          <w:p w14:paraId="6294C665" w14:textId="302784CC" w:rsidR="00A020F9" w:rsidRDefault="00A020F9" w:rsidP="00A020F9">
            <w:pPr>
              <w:spacing w:line="240" w:lineRule="auto"/>
              <w:rPr>
                <w:rFonts w:ascii="Calibri" w:eastAsia="Times New Roman" w:hAnsi="Calibri" w:cs="Calibri"/>
                <w:color w:val="000000" w:themeColor="text1"/>
                <w:sz w:val="22"/>
                <w:lang w:eastAsia="en-GB"/>
              </w:rPr>
            </w:pPr>
          </w:p>
        </w:tc>
      </w:tr>
      <w:tr w:rsidR="00A020F9" w:rsidRPr="0013723F" w14:paraId="35EE701C" w14:textId="77777777" w:rsidTr="00AC1341">
        <w:trPr>
          <w:trHeight w:val="288"/>
        </w:trPr>
        <w:tc>
          <w:tcPr>
            <w:tcW w:w="8794" w:type="dxa"/>
            <w:gridSpan w:val="6"/>
            <w:tcBorders>
              <w:top w:val="nil"/>
              <w:left w:val="nil"/>
              <w:right w:val="nil"/>
            </w:tcBorders>
            <w:shd w:val="clear" w:color="auto" w:fill="auto"/>
            <w:noWrap/>
            <w:vAlign w:val="bottom"/>
          </w:tcPr>
          <w:p w14:paraId="07A3E756" w14:textId="77777777" w:rsidR="00A020F9" w:rsidRDefault="00A020F9" w:rsidP="00A020F9">
            <w:pPr>
              <w:spacing w:after="0" w:line="240" w:lineRule="auto"/>
              <w:rPr>
                <w:rFonts w:ascii="Calibri" w:hAnsi="Calibri" w:cs="Calibri"/>
                <w:color w:val="000000"/>
                <w:sz w:val="22"/>
              </w:rPr>
            </w:pPr>
            <w:r w:rsidRPr="00A1157B">
              <w:rPr>
                <w:rFonts w:ascii="Calibri" w:eastAsia="Times New Roman" w:hAnsi="Calibri" w:cs="Calibri"/>
                <w:sz w:val="22"/>
                <w:lang w:eastAsia="en-GB"/>
              </w:rPr>
              <w:t>Significant associations (p&lt;0.05) are shown in italic</w:t>
            </w:r>
          </w:p>
        </w:tc>
        <w:tc>
          <w:tcPr>
            <w:tcW w:w="2218" w:type="dxa"/>
            <w:tcBorders>
              <w:top w:val="nil"/>
              <w:left w:val="nil"/>
              <w:right w:val="nil"/>
            </w:tcBorders>
            <w:shd w:val="clear" w:color="auto" w:fill="auto"/>
            <w:vAlign w:val="bottom"/>
          </w:tcPr>
          <w:p w14:paraId="035C78FC" w14:textId="0E2B61AD" w:rsidR="00A020F9" w:rsidRDefault="00A020F9" w:rsidP="00A020F9">
            <w:pPr>
              <w:spacing w:line="240" w:lineRule="auto"/>
              <w:rPr>
                <w:rFonts w:ascii="Calibri" w:eastAsia="Times New Roman" w:hAnsi="Calibri" w:cs="Calibri"/>
                <w:sz w:val="22"/>
                <w:lang w:eastAsia="en-GB"/>
              </w:rPr>
            </w:pPr>
          </w:p>
        </w:tc>
        <w:tc>
          <w:tcPr>
            <w:tcW w:w="1404" w:type="dxa"/>
            <w:tcBorders>
              <w:top w:val="nil"/>
              <w:left w:val="nil"/>
              <w:right w:val="nil"/>
            </w:tcBorders>
            <w:shd w:val="clear" w:color="auto" w:fill="auto"/>
            <w:vAlign w:val="bottom"/>
          </w:tcPr>
          <w:p w14:paraId="318B879C" w14:textId="261DC517" w:rsidR="00A020F9" w:rsidRDefault="00A020F9" w:rsidP="00A020F9">
            <w:pPr>
              <w:spacing w:line="240" w:lineRule="auto"/>
              <w:rPr>
                <w:rFonts w:ascii="Calibri" w:eastAsia="Times New Roman" w:hAnsi="Calibri" w:cs="Calibri"/>
                <w:sz w:val="22"/>
                <w:lang w:eastAsia="en-GB"/>
              </w:rPr>
            </w:pPr>
          </w:p>
        </w:tc>
      </w:tr>
    </w:tbl>
    <w:p w14:paraId="1EB23D17" w14:textId="3FDD8225" w:rsidR="005A1C79" w:rsidRDefault="005A1C79" w:rsidP="3BF03DB3">
      <w:pPr>
        <w:rPr>
          <w:rFonts w:ascii="Calibri" w:eastAsia="Calibri" w:hAnsi="Calibri" w:cs="Calibri"/>
          <w:i/>
          <w:iCs/>
          <w:color w:val="44546A" w:themeColor="text2"/>
          <w:sz w:val="22"/>
        </w:rPr>
        <w:sectPr w:rsidR="005A1C79" w:rsidSect="005A1C79">
          <w:pgSz w:w="16838" w:h="11906" w:orient="landscape"/>
          <w:pgMar w:top="1440" w:right="1440" w:bottom="1440" w:left="1440" w:header="708" w:footer="708" w:gutter="0"/>
          <w:cols w:space="708"/>
          <w:docGrid w:linePitch="360"/>
        </w:sectPr>
      </w:pPr>
    </w:p>
    <w:p w14:paraId="3985E850" w14:textId="47B5A61B" w:rsidR="004E4250" w:rsidRDefault="004E4250" w:rsidP="00BC5BDD">
      <w:pPr>
        <w:pStyle w:val="Heading1"/>
        <w:jc w:val="both"/>
      </w:pPr>
      <w:r>
        <w:lastRenderedPageBreak/>
        <w:t xml:space="preserve">Discussion </w:t>
      </w:r>
    </w:p>
    <w:p w14:paraId="2624806C" w14:textId="044B79AA" w:rsidR="00097A24" w:rsidRPr="0013723F" w:rsidRDefault="00831A7E" w:rsidP="00BC5BDD">
      <w:pPr>
        <w:jc w:val="both"/>
      </w:pPr>
      <w:r>
        <w:t xml:space="preserve">In this study we </w:t>
      </w:r>
      <w:r w:rsidR="00097A24">
        <w:t>report</w:t>
      </w:r>
      <w:r w:rsidR="00726E5A">
        <w:t>ed</w:t>
      </w:r>
      <w:r w:rsidR="00097A24">
        <w:t xml:space="preserve"> muscle density values for community</w:t>
      </w:r>
      <w:r w:rsidR="00726E5A">
        <w:t>-</w:t>
      </w:r>
      <w:r w:rsidR="00097A24">
        <w:t xml:space="preserve">dwelling Caucasian UK </w:t>
      </w:r>
      <w:r w:rsidR="00D07580">
        <w:t xml:space="preserve">males </w:t>
      </w:r>
      <w:r w:rsidR="00097A24">
        <w:t xml:space="preserve">and </w:t>
      </w:r>
      <w:r w:rsidR="00D07580">
        <w:t xml:space="preserve">females </w:t>
      </w:r>
      <w:r w:rsidR="00071930">
        <w:t>in older age</w:t>
      </w:r>
      <w:r w:rsidR="00097A24">
        <w:t xml:space="preserve">, and </w:t>
      </w:r>
      <w:r>
        <w:t>explore</w:t>
      </w:r>
      <w:r w:rsidR="00726E5A">
        <w:t>d</w:t>
      </w:r>
      <w:r>
        <w:t xml:space="preserve"> the </w:t>
      </w:r>
      <w:r w:rsidR="0013723F">
        <w:t xml:space="preserve">demographic, </w:t>
      </w:r>
      <w:r>
        <w:t>anthropometric and lifestyle determinants of muscle density</w:t>
      </w:r>
      <w:r w:rsidR="00097A24">
        <w:t>. We also consider</w:t>
      </w:r>
      <w:r w:rsidR="00726E5A">
        <w:t>ed</w:t>
      </w:r>
      <w:r w:rsidR="00097A24">
        <w:t xml:space="preserve"> </w:t>
      </w:r>
      <w:r w:rsidR="005E7005">
        <w:t xml:space="preserve">the </w:t>
      </w:r>
      <w:r w:rsidR="0013723F">
        <w:t xml:space="preserve">relationships of </w:t>
      </w:r>
      <w:r w:rsidR="0013723F">
        <w:rPr>
          <w:shd w:val="clear" w:color="auto" w:fill="FFFFFF"/>
        </w:rPr>
        <w:t>muscle density measures to the clinical outcomes of falls and fracture</w:t>
      </w:r>
      <w:r w:rsidR="0013723F">
        <w:t>s</w:t>
      </w:r>
      <w:r>
        <w:t>.</w:t>
      </w:r>
      <w:r w:rsidR="00097A24">
        <w:t xml:space="preserve"> </w:t>
      </w:r>
      <w:r w:rsidR="0013723F">
        <w:t>O</w:t>
      </w:r>
      <w:r w:rsidR="00BC2DFF">
        <w:t xml:space="preserve">ur study demonstrated that </w:t>
      </w:r>
      <w:r w:rsidR="0013723F">
        <w:t xml:space="preserve">demographic and anthropometric </w:t>
      </w:r>
      <w:r w:rsidR="00726A13">
        <w:t>(f</w:t>
      </w:r>
      <w:r w:rsidR="00BC2DFF">
        <w:t>emale sex, older age, and lower adiposity</w:t>
      </w:r>
      <w:r w:rsidR="00726A13">
        <w:t>)</w:t>
      </w:r>
      <w:r w:rsidR="00BC2DFF">
        <w:t xml:space="preserve">, rather than </w:t>
      </w:r>
      <w:r>
        <w:t>lifestyle factors</w:t>
      </w:r>
      <w:r w:rsidR="00454BBB">
        <w:t xml:space="preserve"> </w:t>
      </w:r>
      <w:r w:rsidR="00D85E21">
        <w:t xml:space="preserve">examined </w:t>
      </w:r>
      <w:r w:rsidR="00454BBB">
        <w:t>such as physical activity and diet</w:t>
      </w:r>
      <w:r>
        <w:t>, were associated with lower muscle density</w:t>
      </w:r>
      <w:r w:rsidR="00BC2DFF">
        <w:t xml:space="preserve">, </w:t>
      </w:r>
      <w:r w:rsidR="00CB5895">
        <w:t xml:space="preserve">approximately </w:t>
      </w:r>
      <w:r>
        <w:t>11 years later.</w:t>
      </w:r>
      <w:r w:rsidR="00BC2DFF">
        <w:t xml:space="preserve"> </w:t>
      </w:r>
      <w:r w:rsidR="00097A24">
        <w:t xml:space="preserve">We have also demonstrated that </w:t>
      </w:r>
      <w:r w:rsidR="00726E5A">
        <w:t xml:space="preserve">forearm </w:t>
      </w:r>
      <w:r w:rsidR="00097A24">
        <w:t xml:space="preserve">muscle density </w:t>
      </w:r>
      <w:r w:rsidR="00071930">
        <w:t xml:space="preserve">was </w:t>
      </w:r>
      <w:r w:rsidR="00097A24">
        <w:t>associated with previous fracture</w:t>
      </w:r>
      <w:r w:rsidR="00726E5A">
        <w:t>,</w:t>
      </w:r>
      <w:r w:rsidR="00097A24">
        <w:t xml:space="preserve"> rather than falls history</w:t>
      </w:r>
      <w:r w:rsidR="003C1320">
        <w:t>.</w:t>
      </w:r>
    </w:p>
    <w:p w14:paraId="1416D86B" w14:textId="00C8E42E" w:rsidR="00097A24" w:rsidRDefault="0EC90FBA" w:rsidP="00F83606">
      <w:pPr>
        <w:jc w:val="both"/>
      </w:pPr>
      <w:r w:rsidRPr="0032753D">
        <w:t>These findings complement earlier evidence linking lower muscle density/attenuation</w:t>
      </w:r>
      <w:r>
        <w:rPr>
          <w:sz w:val="32"/>
          <w:szCs w:val="32"/>
          <w:bdr w:val="none" w:sz="0" w:space="0" w:color="auto" w:frame="1"/>
          <w:shd w:val="clear" w:color="auto" w:fill="FFFFFF"/>
        </w:rPr>
        <w:t xml:space="preserve"> </w:t>
      </w:r>
      <w:r>
        <w:t>with adverse clinical outcomes including falls, fractures, poor physical performance, reduced muscle strength, frailty, and poor prognosis</w:t>
      </w:r>
      <w:r w:rsidR="00716746">
        <w:fldChar w:fldCharType="begin" w:fldLock="1"/>
      </w:r>
      <w:r w:rsidR="00AC1341">
        <w:instrText>ADDIN CSL_CITATION {"citationItems":[{"id":"ITEM-1","itemData":{"DOI":"10.1016/j.metabol.2020.154321","ISSN":"15328600","PMID":"32712219","abstract":"Background: Lean muscle plays critical roles in physical functioning and metabolism. However, little is known regarding associations between muscle and mortality in adults. Objective: The purpose was to evaluate associations between abdominal muscle quantity (area) and quality (density) with risk of all-cause mortality in a diverse cohort free of cardiovascular disease. Design: Data were taken from the Abdominal Body Composition, Inflammation, and Cardiovascular Disease ancillary study of the Multi-Ethnic Study of Atherosclerosis prospective cohort study. Participants were adults (45–85 years) free of extant cardiovascular disease, and of Hispanic, African American, Chinese, or Caucasian descent. Of the original 6814 MESA participants, a random, representative sample (n = 1974) participated in the ancillary body composition study. Abdominal muscle area and density were measured from computed tomography scans spanning L2-L4. Muscle density was measured as attenuation in Hounsfield units, and area was quantified as cm2. Gender-stratified cox proportional hazard models assessed the risk of all-cause mortality across gender-specific quartiles of muscle area and density adjusting for confounders, with area and density entered simultaneously. Results: At baseline, the mean age for men (n = 946) and women (n = 955) was 61.5 and 62.5 years and median follow-up time was 10.6 and 10.9 years, respectively. Muscle density was inversely associated with mortality, with the highest quartile of density showing a 73% reduction in risk for men (HR = 0.27, 95% CI = 0.14–0.51; p-trend&lt;0.001) and 57% reduction for women (HR = 0.43, 95% CI = 0.18–1.01; p-trend = 0.04) compared to the lowest quartile when adjusting for mortality risk factors, lifestyle, BMI and visceral fat. There was no association between muscle area and all-cause mortality for men (p-trend = 0.58) or women (p-trend = 0.47). Conclusions: Greater abdominal muscle density, but not muscle area, is associated with markedly lower risk of all-cause mortality across a decade of follow up. Muscle quality may be a powerful predictor of mortality in community dwelling adults.","author":[{"dropping-particle":"","family":"Larsen","given":"Britta","non-dropping-particle":"","parse-names":false,"suffix":""},{"dropping-particle":"","family":"Bellettiere","given":"John","non-dropping-particle":"","parse-names":false,"suffix":""},{"dropping-particle":"","family":"Allison","given":"Matthew","non-dropping-particle":"","parse-names":false,"suffix":""},{"dropping-particle":"","family":"McClelland","given":"Robyn L.","non-dropping-particle":"","parse-names":false,"suffix":""},{"dropping-particle":"","family":"Miljkovic","given":"Iva","non-dropping-particle":"","parse-names":false,"suffix":""},{"dropping-particle":"","family":"Vella","given":"Chantal A.","non-dropping-particle":"","parse-names":false,"suffix":""},{"dropping-particle":"","family":"Ouyang","given":"Pamela","non-dropping-particle":"","parse-names":false,"suffix":""},{"dropping-particle":"","family":"De-guzman","given":"Kimberly R.","non-dropping-particle":"","parse-names":false,"suffix":""},{"dropping-particle":"","family":"Criqui","given":"Michael","non-dropping-particle":"","parse-names":false,"suffix":""},{"dropping-particle":"","family":"Unkart","given":"Jonathan","non-dropping-particle":"","parse-names":false,"suffix":""}],"container-title":"Metabolism: Clinical and Experimental","id":"ITEM-1","issued":{"date-parts":[["2020","10","1"]]},"page":"154321","publisher":"Elsevier Inc.","title":"Muscle area and density and risk of all-cause mortality: The Multi-Ethnic Study of Atherosclerosis","type":"article-journal","volume":"111"},"uris":["http://www.mendeley.com/documents/?uuid=f7b21b8b-fb80-4955-b91b-cba7db1f19d2"]},{"id":"ITEM-2","itemData":{"DOI":"10.1093/GERONA/GLV027","ISSN":"1079-5006","abstract":"Background. Skeletal muscle fat infiltration (myosteatosis) increases with aging, and has been associated with poor metabolic and musculoskeletal health, independent of overall adiposity. Studies examining the relationship of myosteatosis and mortality among older individuals recruited without regard to their health status are sparse. Methods. We evaluated the association of peripheral computed tomography measured calf myosteatosis (intermuscular fat and muscle density as a measure of intramuscular fat) with mortality in 1,063 community-dwelling older men. Cox proportional hazards models were used to estimate the risk of mortality independent of potential confounders. Results. During a mean follow-up of 7.2 years, 317 participants died. After adjustment for potential covariates and additional adjustment for whole body fat, lower skeletal muscle density was associated with increased all-cause mortality and cardiovascular disease mortality (hazard ratio [95% confidence interval] per standard deviation lower skeletal muscle density: 1.24 [1.09-1.41] and 1.46 [1.15-1.86], respectively), and to some extent with noncardiovascular disease mortality (1.18 [1.0-1.38], p = .053). After adjusting for trunk fat in a separate multivariable model, the association between skeletal muscle density and all-cause and cardiovascular disease mortality remained significant (both p &lt; .01), while its association with noncardiovascular disease mortality became of borderline significance (p = .085). No other measures of adiposity, including calf intermuscular fat, were associated with mortality. Conclusion. Our study reveals an independent association between skeletal muscle density and mortality in a community-based sample of older, predominantly Caucasian men. Further studies are needed to establish if this association is independent of other ectopic fat depots, and to identify the biological mechanisms underlying this relationship.","author":[{"dropping-particle":"","family":"Miljkovic","given":"Iva","non-dropping-particle":"","parse-names":false,"suffix":""},{"dropping-particle":"","family":"Kuipers","given":"Allison L.","non-dropping-particle":"","parse-names":false,"suffix":""},{"dropping-particle":"","family":"Cauley","given":"Jane A.","non-dropping-particle":"","parse-names":false,"suffix":""},{"dropping-particle":"","family":"Prasad","given":"Tanushree","non-dropping-particle":"","parse-names":false,"suffix":""},{"dropping-particle":"","family":"Lee","given":"Christine G.","non-dropping-particle":"","parse-names":false,"suffix":""},{"dropping-particle":"","family":"Ensrud","given":"Kristine E.","non-dropping-particle":"","parse-names":false,"suffix":""},{"dropping-particle":"","family":"Cawthon","given":"Peggy M.","non-dropping-particle":"","parse-names":false,"suffix":""},{"dropping-particle":"","family":"Hoffman","given":"Andrew R.","non-dropping-particle":"","parse-names":false,"suffix":""},{"dropping-particle":"","family":"Dam","given":"Thuy-Tien","non-dropping-particle":"","parse-names":false,"suffix":""},{"dropping-particle":"","family":"Gordon","given":"Christopher L.","non-dropping-particle":"","parse-names":false,"suffix":""},{"dropping-particle":"","family":"Zmuda","given":"Joseph M.","non-dropping-particle":"","parse-names":false,"suffix":""},{"dropping-particle":"","family":"Group","given":"for the Osteoporotic Fractures in Men Study","non-dropping-particle":"","parse-names":false,"suffix":""}],"container-title":"The Journals of Gerontology: Series A","id":"ITEM-2","issue":"9","issued":{"date-parts":[["2015","9","1"]]},"page":"1133-1140","publisher":"Oxford Academic","title":"Greater Skeletal Muscle Fat Infiltration Is Associated With Higher All-Cause and Cardiovascular Mortality in Older Men","type":"article-journal","volume":"70"},"uris":["http://www.mendeley.com/documents/?uuid=83e5f370-537c-31e3-904e-98e187723f94"]},{"id":"ITEM-3","itemData":{"DOI":"10.1093/AJE/KWV153","ISSN":"0002-9262","abstract":"Muscle composition may affect mortality risk, but prior studies have been limited to specific samples or less precise determination of muscle composition. We evaluated associations of thigh muscle composition, determined using computed tomography imaging, and knee extension strength with mortality risk among 4,824 participants aged 76.4 (standard deviation (SD), 5.5) years from the Age, Gene/Environment Susceptibility (AGES)-Reykjavik Study (2002-2006). Cox proportional hazards models were used to estimate hazard ratios. After 8.8 years of follow-up, there were 1,942 deaths. For men, each SD-increment increase in muscle lean area, muscle quality, and strength was associated with lower mortality risk, with decreases ranging between 11% and 22%. Each SD-increment increase in intermuscular adipose tissue and intramuscular adipose tissue was associated with higher mortality risk (hazard ratio (HR) = 1.13 (95% confidence interval (CI): 1.06, 1.22) and HR = 1.23 (95% CI: 1.15, 1.30), respectively). For women, each SD-increment increase in muscle lean area, muscle quality, and strength was associated with lower mortality risk, with decreases ranging between 12% and 19%. Greater intramuscular adipose tissue was associated with an 8% higher mortality risk (HR = 1.08, 95% CI: 1.01, 1.16). This study shows that muscle composition is associated with mortality risk. These results also show the importance of improving muscle strength and area and lowering muscle adipose tissue infiltration.","author":[{"dropping-particle":"","family":"Reinders","given":"Ilse","non-dropping-particle":"","parse-names":false,"suffix":""},{"dropping-particle":"","family":"for the Age","given":"Gene/Environment Susceptibility (AGES)-Reykjavik Study","non-dropping-particle":"","parse-names":false,"suffix":""},{"dropping-particle":"","family":"Murphy","given":"Rachel A.","non-dropping-particle":"","parse-names":false,"suffix":""},{"dropping-particle":"","family":"for the Age","given":"Gene/Environment Susceptibility (AGES)-Reykjavik Study","non-dropping-particle":"","parse-names":false,"suffix":""},{"dropping-particle":"","family":"Brouwer","given":"Ingeborg A.","non-dropping-particle":"","parse-names":false,"suffix":""},{"dropping-particle":"","family":"for the Age","given":"Gene/Environment Susceptibility (AGES)-Reykjavik Study","non-dropping-particle":"","parse-names":false,"suffix":""},{"dropping-particle":"","family":"Visser","given":"Marjolein","non-dropping-particle":"","parse-names":false,"suffix":""},{"dropping-particle":"","family":"for the Age","given":"Gene/Environment Susceptibility (AGES)-Reykjavik Study","non-dropping-particle":"","parse-names":false,"suffix":""},{"dropping-particle":"","family":"Launer","given":"Lenore","non-dropping-particle":"","parse-names":false,"suffix":""},{"dropping-particle":"","family":"for the Age","given":"Gene/Environment Susceptibility (AGES)-Reykjavik Study","non-dropping-particle":"","parse-names":false,"suffix":""},{"dropping-particle":"","family":"Siggeirsdottir","given":"Kristin","non-dropping-particle":"","parse-names":false,"suffix":""},{"dropping-particle":"","family":"for the Age","given":"Gene/Environment Susceptibility (AGES)-Reykjavik Study","non-dropping-particle":"","parse-names":false,"suffix":""},{"dropping-particle":"","family":"Eiriksdottir","given":"Gudny","non-dropping-particle":"","parse-names":false,"suffix":""},{"dropping-particle":"","family":"for the Age","given":"Gene/Environment Susceptibility (AGES)-Reykjavik Study","non-dropping-particle":"","parse-names":false,"suffix":""},{"dropping-particle":"","family":"Gudnason","given":"Vilmundur","non-dropping-particle":"","parse-names":false,"suffix":""},{"dropping-particle":"","family":"for the Age","given":"Gene/Environment Susceptibility (AGES)-Reykjavik Study","non-dropping-particle":"","parse-names":false,"suffix":""},{"dropping-particle":"V.","family":"Jonsson","given":"Palmi","non-dropping-particle":"","parse-names":false,"suffix":""},{"dropping-particle":"","family":"for the Age","given":"Gene/Environment Susceptibility (AGES)-Reykjavik Study","non-dropping-particle":"","parse-names":false,"suffix":""},{"dropping-particle":"","family":"Lang","given":"Thomas F.","non-dropping-particle":"","parse-names":false,"suffix":""},{"dropping-particle":"","family":"for the Age","given":"Gene/Environment Susceptibility (AGES)-Reykjavik Study","non-dropping-particle":"","parse-names":false,"suffix":""},{"dropping-particle":"","family":"Harris","given":"Tamara B.","non-dropping-particle":"","parse-names":false,"suffix":""},{"dropping-particle":"","family":"for the Age","given":"Gene/Environment Susceptibility (AGES)-Reykjavik Study","non-dropping-particle":"","parse-names":false,"suffix":""}],"container-title":"American Journal of Epidemiology","id":"ITEM-3","issue":"1","issued":{"date-parts":[["2016","1","1"]]},"page":"53-60","publisher":"Oxford Academic","title":"Muscle Quality and Myosteatosis: Novel Associations With Mortality RiskThe Age, Gene/Environment Susceptibility (AGES)-Reykjavik Study","type":"article-journal","volume":"183"},"uris":["http://www.mendeley.com/documents/?uuid=7ae8317b-88c4-3dcb-ab15-b45ad229a0fb"]},{"id":"ITEM-4","itemData":{"DOI":"10.1186/S12885-020-07753-W","abstract":"Background: To investigate the clinical impact of sarcopenia and skeletal muscle density (SMD) among patients with metastatic pancreatic adenocarcinoma who underwent palliative first line gemcitabine-based chemotherapy. Methods: A total of 330 patients treated with first line gemcitabine-based chemotherapy between January 2010 and March 2017 were included. CT scans before chemotherapy and after 8±2 weeks were evaluated. The L3 skeletal muscle index (SMI) was used to detect sarcopenia and calculated as the total area of the L3 skeletal muscle divided by the height-squared (cm2/m2). SMD was quantified as the mean muscle radiation attenuation of the muscle cross-sectional area across the L3 vertebral body level and was assessed between − 29 and + 150 Hounsfield units. Results: A SMI to SMD comparison revealed a positive correlation (R2 = 0.058, P &lt; 0.001). Compared with high SMD, the risks of low SMI were 1.516 (95% confidence interval [CI]: 1.164–1.973) among patients with low SMD. Kaplan–Meier analysis showed that the low SMD was related to poor overall survival (OS, median, 6.1 versus [vs.] 7.9 months, P = 0.010). Multivariate analysis using Cox regression showed that low SMI (hazard ratio [HR]: 1.35, 95% CI: 1.03–1.78, P = 0.032) and low SMD (HR: 1.45, 95% CI: 1.09–1.93, P = 0.011) were poor prognostic factors for OS, respectively. Co-presence of low SMI and low SMD had more powerful prognostic implication for OS (HR: 1.58, 95% CI: 1.12–2.23, P = 0.010). Grade 3 or higher toxicity of chemotherapy was more frequently observed in patients who have a low SMI (43% vs. 59%, P = 0.019) and low SMD (44% vs. 60%, P = 0.023). OS was not related to SMD status among patients who were chemotherapy responders (complete or partial responses). However, among non-responders (stable or progressive disease), low SMD groups had significantly poorer OS in comparison with high SMD groups (median, 5.6 vs 7.4 months, P = 0.006). Conclusions: Sarcopenia and SMD status can be considered a prognostic factor in patients with metastatic pancreatic adenocarcinoma who received palliative first line gemcitabine-based chemotherapy. Severe chemotherapy toxicity occurred in the sarcopenia and low SMD groups. Our data suggest that a comprehensive assessment of skeletal muscle parameters may be more useful prognostic factors.","author":[{"dropping-particle":"","family":"Kim","given":"In Ho","non-dropping-particle":"","parse-names":false,"suffix":""},{"dropping-particle":"","family":"Choi","given":"Moon Hyung","non-dropping-particle":"","parse-names":false,"suffix":""},{"dropping-particle":"","family":"Lee","given":"In Seok","non-dropping-particle":"","parse-names":false,"suffix":""},{"dropping-particle":"","family":"Hong","given":"Tae Ho","non-dropping-particle":"","parse-names":false,"suffix":""},{"dropping-particle":"","family":"Lee","given":"Myung Ah","non-dropping-particle":"","parse-names":false,"suffix":""}],"container-title":"BMC Cancer","id":"ITEM-4","issue":"1","issued":{"date-parts":[["2021","12","1"]]},"publisher":"BioMed Central Ltd","title":"Clinical significance of skeletal muscle density and sarcopenia in patients with pancreatic cancer undergoing first-line chemotherapy: a retrospective observational study","type":"article-journal","volume":"21"},"uris":["http://www.mendeley.com/documents/?uuid=bf0f29cd-7ddf-3d34-ba5d-85374b259ca6"]},{"id":"ITEM-5","itemData":{"DOI":"10.1093/gerona/glab266","ISSN":"1079-5006","author":[{"dropping-particle":"","family":"Orwoll","given":"Eric","non-dropping-particle":"","parse-names":false,"suffix":""},{"dropping-particle":"","family":"Blackwell","given":"Terri","non-dropping-particle":"","parse-names":false,"suffix":""},{"dropping-particle":"","family":"Cummings","given":"Steven R","non-dropping-particle":"","parse-names":false,"suffix":""},{"dropping-particle":"","family":"Cauley","given":"Jane A","non-dropping-particle":"","parse-names":false,"suffix":""},{"dropping-particle":"","family":"Lane","given":"Nancy E","non-dropping-particle":"","parse-names":false,"suffix":""},{"dropping-particle":"","family":"Hoffman","given":"Andrew R","non-dropping-particle":"","parse-names":false,"suffix":""},{"dropping-particle":"","family":"Burghardt","given":"Andrew J","non-dropping-particle":"","parse-names":false,"suffix":""},{"dropping-particle":"","family":"Evans","given":"William J","non-dropping-particle":"","parse-names":false,"suffix":""},{"dropping-particle":"","family":"Cawthon","given":"Peggy M","non-dropping-particle":"","parse-names":false,"suffix":""}],"container-title":"The Journals of Gerontology: Series A","id":"ITEM-5","issue":"Xx","issued":{"date-parts":[["2021"]]},"page":"1-10","title":"CT muscle density, D3Cr muscle mass and body fat associations with physical performance, mobility outcomes and mortality risk in older men","type":"article-journal","volume":"XX"},"uris":["http://www.mendeley.com/documents/?uuid=1632f4f0-2407-4590-bb73-8b24d03c1f06"]},{"id":"ITEM-6","itemData":{"DOI":"10.1111/J.1532-5415.2011.03389.X","abstract":"Objectives: To empirically identify groupings of strength, physical performance, adiposity, and lean mass and test how such groupings of these interrelated measures may relate to disability risk. Design: Prospective Health, Aging and Body Composition Study. Setting: Two U.S. clinical centers. Participants: One thousand two hundred sixty-three women and 1,221 men. Measurements: Weight, strength (knee extension, grip); walking speed, chair stands, dual X-ray absorptiometry (fat and lean mass for total body, arm, and leg; percent fat), and thigh computed tomography scans (muscle area, muscle density). Analyses were stratified according to sex. Factor analysis reduced these variables into a smaller number of components, and proportional hazards models assessed risk of major disability for the components identified. Results: In both sexes, factor analysis reduced the 14 individual variables into three components that explained 76% to 77% of the data variance: Factor 1, an adiposity component, with strong loading by fat mass, weight, and muscle density; Factor 2, a strength and lean body size component with strong loading by lean mass, weight, and strength; Factor 3, a physical performance component with positive loading by walking speed and chair stand performance. Factor 1 (adiposity) and Factor 3 (performance) but not Factor 2 (strength and lean body size) were associated with disability over 6.1±2.6 years. Conclusion: The adiposity and physical performance constructs but not the strength and lean body size construct were associated with disability risk, suggesting that adiposity and performance should be considered as risk factors for disability. © 2011, The American Geriatrics Society.","author":[{"dropping-particle":"","family":"Cawthon","given":"Peggy M.","non-dropping-particle":"","parse-names":false,"suffix":""},{"dropping-particle":"","family":"Fox","given":"Kathleen M.","non-dropping-particle":"","parse-names":false,"suffix":""},{"dropping-particle":"","family":"Gandra","given":"Shravanthi R.","non-dropping-particle":"","parse-names":false,"suffix":""},{"dropping-particle":"","family":"Delmonico","given":"Matthew J.","non-dropping-particle":"","parse-names":false,"suffix":""},{"dropping-particle":"","family":"Chiou","given":"Chiun Fang","non-dropping-particle":"","parse-names":false,"suffix":""},{"dropping-particle":"","family":"Anthony","given":"Mary S.","non-dropping-particle":"","parse-names":false,"suffix":""},{"dropping-particle":"","family":"Caserotti","given":"Paolo","non-dropping-particle":"","parse-names":false,"suffix":""},{"dropping-particle":"","family":"Kritchevsky","given":"Stephen B.","non-dropping-particle":"","parse-names":false,"suffix":""},{"dropping-particle":"","family":"Newman","given":"Anne B.","non-dropping-particle":"","parse-names":false,"suffix":""},{"dropping-particle":"","family":"Goodpaster","given":"Bret H.","non-dropping-particle":"","parse-names":false,"suffix":""},{"dropping-particle":"","family":"Satterfield","given":"Suzanne","non-dropping-particle":"","parse-names":false,"suffix":""},{"dropping-particle":"","family":"Cummings","given":"Steven R.","non-dropping-particle":"","parse-names":false,"suffix":""},{"dropping-particle":"","family":"Harris","given":"Tamara B.","non-dropping-particle":"","parse-names":false,"suffix":""}],"container-title":"Journal of the American Geriatrics Society","id":"ITEM-6","issue":"5","issued":{"date-parts":[["2011","5"]]},"page":"781-787","title":"Clustering of strength, physical function, muscle, and adiposity characteristics and risk of disability in older adults","type":"article-journal","volume":"59"},"uris":["http://www.mendeley.com/documents/?uuid=78a18508-7820-3eba-8fc8-d7947e15bd0e"]},{"id":"ITEM-7","itemData":{"ISSN":"21514658","PMID":"31841259","abstract":"Objective: Rheumatoid arthritis (RA) is associated with low muscle density due to the accumulation of intramuscular fat. The present study was undertaken to identify predictors of changes in muscle density and to determine whether low muscle density predicted changes in strength and physical function. Methods: Patients with RA, ages 18–70 years, completed whole-body dual-energy x-ray absorptiometry and peripheral quantitative computed tomography to quantify lean and fat mass indices and muscle density. Dynamometry was used to measure strength at the hand, knee, and lower leg. Disability and physical function were measured with the Health Assessment Questionnaire (HAQ) and the Short Physical Performance Battery (SPPB). Assessments were performed at baseline and at follow-up. Regression analyses assessed associations between patient characteristics, muscle density, and deteriorations in strength and function. Results: Muscle density was assessed at baseline in 107 patients with RA. Seventy-nine of these patients (74%) returned for a follow-up assessment at a median follow-up time of 2.71 years (interquartile range 2.35–3.57). Factors associated with declines in muscle density included female sex, higher disease activity, smoking, and lower insulin-like growth factor 1 (IGF-1) levels. Greater muscle density Z score at baseline (per 1 SD) was associated with less worsening per year according to HAQ, SPPB, and 4-meter walk time scores and a lower risk of a clinically important worsening in HAQ score (odds ratio [OR] 1.90 [95% confidence interval (95% CI) 1.06, 3.42]; P = 0.03) and walking speed (OR 2.87 [95% CI 1.05, 7.89]; P = 0.04). Conclusion: Worsening of skeletal muscle density occurred in patients with higher disease activity, in smokers, and in those with lower IGF-1. Low muscle density was associated with worsening of physical function. Interventions addressing reductions in muscle quality might prevent functional decline.","author":[{"dropping-particle":"","family":"Baker","given":"Joshua F.","non-dropping-particle":"","parse-names":false,"suffix":""},{"dropping-particle":"","family":"Mostoufi-Moab","given":"Sogol","non-dropping-particle":"","parse-names":false,"suffix":""},{"dropping-particle":"","family":"Long","given":"Jin","non-dropping-particle":"","parse-names":false,"suffix":""},{"dropping-particle":"","family":"Taratuta","given":"Elena","non-dropping-particle":"","parse-names":false,"suffix":""},{"dropping-particle":"","family":"Leonard","given":"Mary B.","non-dropping-particle":"","parse-names":false,"suffix":""},{"dropping-particle":"","family":"Zemel","given":"Babette","non-dropping-particle":"","parse-names":false,"suffix":""}],"container-title":"Arthritis Care and Research","id":"ITEM-7","issue":"3","issued":{"date-parts":[["2021","3","1"]]},"page":"355-363","publisher":"John Wiley and Sons Inc","title":"Association of Low Muscle Density With Deteriorations in Muscle Strength and Physical Functioning in Rheumatoid Arthritis","type":"article-journal","volume":"73"},"uris":["http://www.mendeley.com/documents/?uuid=5f547e6d-ae84-4d63-93a0-91d8aef50f58"]},{"id":"ITEM-8","itemData":{"DOI":"10.1093/GERONA/60.3.324","ISSN":"1079-5006","PMID":"15860469","abstract":"Background. Lower muscle mass has been correlated with poor physical function; however, no studies have examined this relationship prospectively. This study aims to investigate whether low muscle mass, low muscle strength, and greater fat infiltration into the muscle predict incident mobility limitation. Methods. Our study cohort included 3075 well-functioning black and white men and women aged 70-79 years participating in the Health, Aging, and Body Composition study. Participants were followed for 2.5 years. Muscle cross-sectional area and muscle tissue attenuation (a measure of fat infiltration) were measured by computed tomography at the mid-thigh, and knee extensor strength by using a KinCom dynamometer. Incident mobility limitation was defined as two consecutive self-reports of any difficulty walking one-quarter mile or climbing 10 steps. Results. Mobility limitations were developed by 22.3% of the men and by 31.8% of the women. Cox's proportional hazards models, adjusting for demographic, lifestyle, and health factors, showed a hazard ratio of 1.90 [95% confidence interval (CI), 1.27-2.84] in men and 1.68 (95% CI, 1.23-2.31) in women for the lowest compared to the highest quartile of muscle area (p &lt; .01 for trend). Results for muscle strength were 2.02 (95% CI, 1.39-2.94) and 1.91 (95% CI, 1.41-2.58), p &lt; .001 trend, and for muscle attenuation were 1.91 (95% CI, 1.31-2.83) and 1.68 (95% CI, 1.20-2.35), p &lt; .01 for trend. When included in one model, only muscle attenuation and muscle strength independently predicted mobility limitation (p &lt; .05). Among men and women, associations were similar for blacks and whites. Conclusion. Lower muscle mass (smaller cross-sectional thigh muscle area), greater fat infiltration into the muscle, and lower knee extensor muscle strength are associated with increased risk of mobility loss in older men and women. The association between low muscle mass and functional decline seems to be a function of underlying muscle strength. Copyright 2005 by The Gerontological Society of America.","author":[{"dropping-particle":"","family":"Visser","given":"Marjolein","non-dropping-particle":"","parse-names":false,"suffix":""},{"dropping-particle":"","family":"Study","given":"for the Health ABC","non-dropping-particle":"","parse-names":false,"suffix":""},{"dropping-particle":"","family":"Goodpaster","given":"Bret H.","non-dropping-particle":"","parse-names":false,"suffix":""},{"dropping-particle":"","family":"Study","given":"for the Health ABC","non-dropping-particle":"","parse-names":false,"suffix":""},{"dropping-particle":"","family":"Kritchevsky","given":"Stephen B.","non-dropping-particle":"","parse-names":false,"suffix":""},{"dropping-particle":"","family":"Study","given":"for the Health ABC","non-dropping-particle":"","parse-names":false,"suffix":""},{"dropping-particle":"","family":"Newman","given":"Anne B.","non-dropping-particle":"","parse-names":false,"suffix":""},{"dropping-particle":"","family":"Study","given":"for the Health ABC","non-dropping-particle":"","parse-names":false,"suffix":""},{"dropping-particle":"","family":"Nevitt","given":"Michael","non-dropping-particle":"","parse-names":false,"suffix":""},{"dropping-particle":"","family":"Study","given":"for the Health ABC","non-dropping-particle":"","parse-names":false,"suffix":""},{"dropping-particle":"","family":"Rubin","given":"Susan M.","non-dropping-particle":"","parse-names":false,"suffix":""},{"dropping-particle":"","family":"Study","given":"for the Health ABC","non-dropping-particle":"","parse-names":false,"suffix":""},{"dropping-particle":"","family":"Simonsick","given":"Eleanor M.","non-dropping-particle":"","parse-names":false,"suffix":""},{"dropping-particle":"","family":"Study","given":"for the Health ABC","non-dropping-particle":"","parse-names":false,"suffix":""},{"dropping-particle":"","family":"Harris","given":"Tamara B.","non-dropping-particle":"","parse-names":false,"suffix":""},{"dropping-particle":"","family":"Study","given":"for the Health ABC","non-dropping-particle":"","parse-names":false,"suffix":""}],"container-title":"The Journals of Gerontology: Series A","id":"ITEM-8","issue":"3","issued":{"date-parts":[["2005","3","1"]]},"page":"324-333","publisher":"Oxford Academic","title":"Muscle Mass, Muscle Strength, and Muscle Fat Infiltration as Predictors of Incident Mobility Limitations in Well-Functioning Older Persons","type":"article-journal","volume":"60"},"uris":["http://www.mendeley.com/documents/?uuid=f8c91c24-e6a9-3676-b636-c7f7cb3983db"]},{"id":"ITEM-9","itemData":{"DOI":"10.1152/JAPPL.2001.90.6.2157","abstract":"Although loss of muscle mass is considered a cause of diminished muscle strength with aging, little is known regarding whether composition of aging muscle affects strength. The skeletal muscle atte...","author":[{"dropping-particle":"","family":"Goodpaster","given":"Bret H.","non-dropping-particle":"","parse-names":false,"suffix":""},{"dropping-particle":"","family":"Carlson","given":"Catherine L.","non-dropping-particle":"","parse-names":false,"suffix":""},{"dropping-particle":"","family":"Visser","given":"Marjolein","non-dropping-particle":"","parse-names":false,"suffix":""},{"dropping-particle":"","family":"Kelley","given":"David E.","non-dropping-particle":"","parse-names":false,"suffix":""},{"dropping-particle":"","family":"Scherzinger","given":"Ann","non-dropping-particle":"","parse-names":false,"suffix":""},{"dropping-particle":"","family":"Harris","given":"Tamara B.","non-dropping-particle":"","parse-names":false,"suffix":""},{"dropping-particle":"","family":"Stamm","given":"Elizabeth","non-dropping-particle":"","parse-names":false,"suffix":""},{"dropping-particle":"","family":"Newman","given":"Anne B.","non-dropping-particle":"","parse-names":false,"suffix":""}],"container-title":"https://doi.org/10.1152/jappl.2001.90.6.2157","id":"ITEM-9","issue":"6","issued":{"date-parts":[["2001"]]},"page":"2157-2165","publisher":" American Physiological SocietyBethesda, MD ","title":"Attenuation of skeletal muscle and strength in the elderly: The Health ABC Study","type":"article-journal","volume":"90"},"uris":["http://www.mendeley.com/documents/?uuid=a4631c92-989a-3d9c-a257-1533d2e1e8ef"]},{"id":"ITEM-10","itemData":{"DOI":"10.1002/JCSM.12616","ISSN":"2190-6009","abstract":"Background: Muscle weakness is a key factor in the increase risk of falls and might also play a significant role in the increase of risk of hip fracture. Computed tomography-measured muscle size and muscle density are well-established imaging biomarkers used in studies of physical function, frailty or cancer, but limited to hip fracture. In particular, it is warranted to have a better understanding of the performance of muscle size and density in the discrimination of acute hip fractures. We also aim to determine age-related differences of muscle size and density in healthy controls and hip fracture patients. Methods: Four hundred thirty-eight low-energy acute hip fracture cases and 316 healthy controls from the China Action on Spine and Hip Status study were included in the study. Muscle cross-sectional area and density were measured for the gluteus maximus and gluteus medius and minimus. Areal bone mineral density (aBMD) of the femoral neck and total hip was measured. Using propensity score matching, we generated three samples with cases and controls matched for age, body mass index, and gender: femoral neck fracture (FNF), intertrochanteric fracture (ITF), and any hip fracture vs. controls, respectively. Results: Handgrip strength, gluteus muscle area and density, and bone parameters of the matched hip fracture groups were lower than those of the correspondence control groups, respectively (P &lt; 0.05). The univariate analysis showed that associations of aBMD with FNF and with ITF were significantly weaker than associations between fracture and muscle parameters. Gluteus medius and minimus muscle density showed the highest areas under the curve (AUC) with FNF (0.88, 95% confidence interval, 0.85–0.92) and trochanteric fracture (0.95, 95% confidence interval, 0.92–0.97). The model including all muscle and bone parameters provided the highest AUC (FNF: AUC 0.912; ITF: AUC 0.958), and AUC results of another selected model without muscle density showed that association with fracture significantly dropped (FNF: AUC 0.755; ITF: AUC 0.858). Separate results for the two age groups younger and older than 70 years showed no age-related significant differences in discriminate models. Conclusions: Muscle density performs better than aBMD from hip computed tomography X-ray absorptiometry and muscle size in discrimination of hip fracture. Combination of aBMD and muscle density provided the best discrimination. The integration of muscle assessments may trigger a para…","author":[{"dropping-particle":"","family":"Wang","given":"Ling","non-dropping-particle":"","parse-names":false,"suffix":""},{"dropping-particle":"","family":"Yin","given":"Lu","non-dropping-particle":"","parse-names":false,"suffix":""},{"dropping-particle":"","family":"Zhao","given":"Yue","non-dropping-particle":"","parse-names":false,"suffix":""},{"dropping-particle":"","family":"Su","given":"Yongbin","non-dropping-particle":"","parse-names":false,"suffix":""},{"dropping-particle":"","family":"Sun","given":"Wei","non-dropping-particle":"","parse-names":false,"suffix":""},{"dropping-particle":"","family":"Liu","given":"Yandong","non-dropping-particle":"","parse-names":false,"suffix":""},{"dropping-particle":"","family":"Yang","given":"Minghui","non-dropping-particle":"","parse-names":false,"suffix":""},{"dropping-particle":"","family":"Yu","given":"Aihong","non-dropping-particle":"","parse-names":false,"suffix":""},{"dropping-particle":"","family":"Blake","given":"Glen Mervyn","non-dropping-particle":"","parse-names":false,"suffix":""},{"dropping-particle":"","family":"Cheng","given":"Xiaoguang","non-dropping-particle":"","parse-names":false,"suffix":""},{"dropping-particle":"","family":"Wu","given":"Xinbao","non-dropping-particle":"","parse-names":false,"suffix":""},{"dropping-particle":"","family":"Veldhuis","given":"Annegreet","non-dropping-particle":"","parse-names":false,"suffix":""},{"dropping-particle":"","family":"Engelke","given":"Klaus","non-dropping-particle":"","parse-names":false,"suffix":""}],"container-title":"Journal of Cachexia, Sarcopenia and Muscle","id":"ITEM-10","issue":"6","issued":{"date-parts":[["2020","12","1"]]},"page":"1799-1812","publisher":"Springer Nature","title":"Muscle density discriminates hip fracture better than computed tomography X-ray absorptiometry hip areal bone mineral density","type":"article-journal","volume":"11"},"uris":["http://www.mendeley.com/documents/?uuid=9508b479-15c0-3b87-b486-44f48be727df"]},{"id":"ITEM-11","itemData":{"ISSN":"18623514","PMID":"31617017","abstract":"Summary: A total of 88 subjects were enrolled to investigate the relationship between paraspinal muscle fatty infiltration and lumbar bone mineral density (BMD) using chemical shift encoding-based water-fat MRI and quantitative computed tomography (QCT), respectively. A moderate inverse correlation between paraspinal muscle proton density fat fraction and lumbar QCT-BMD was found with age, sex, and BMI controlled. Purpose: To investigate the relationship between paraspinal muscle fatty infiltration and lumbar bone mineral density (BMD). Methods: A total of 88 subjects were enrolled in this study (52 females, 36 males; age, 46.6 ± 14.2 years old; BMI, 23.2 ± 3.49 kg/m2). Proton density fat fractions (PDFF) of paraspinal muscles (erector spinae, multifidus, and psoas) were measured at L2/3, L3/4, and L4/5 levels using chemical shift encoding-based water-fat MRI. Quantitative computed tomography (QCT) was used to assess BMD of L1, L2, and L3. The differences in paraspinal muscle PDFF among subjects with normal bone density, osteopenia, and osteoporosis were tested using one-way ANOVA. The relationship between paraspinal muscle PDFF and QCT-BMD was analyzed using linear regression with age, sex, and BMI variables. Results: PDFF of the erector spinae, multifidus, and psoas of subjects with normal bone density were all significantly less than those with osteopenia and those with osteoporosis (all p &lt; 0.001). There was an inverse correlation between paraspinal muscle PDFF and BMD after controlling for age, sex, and BMI (standardized beta coefficient, − 0.21~− 0.29; all p &lt; 0.05). Conclusions: Paraspinal muscle fatty infiltration increased while lumbar BMD decreased after adjusting for age, sex, and BMI. Paraspinal muscles and vertebrae are interacting tissues. Paraspinal muscle fatty infiltration may be a marker of low lumbar BMD. Chemical shift imaging is an efficient and fast quantitative method and can be easily added to the clinical protocol to measure paraspinal muscle PDFF when the patient underwent the routine lumbar MRI with low-back pain.","author":[{"dropping-particle":"","family":"Zhao","given":"Yinxia","non-dropping-particle":"","parse-names":false,"suffix":""},{"dropping-particle":"","family":"Huang","given":"Mingqian","non-dropping-particle":"","parse-names":false,"suffix":""},{"dropping-particle":"","family":"Serrano Sosa","given":"Mario","non-dropping-particle":"","parse-names":false,"suffix":""},{"dropping-particle":"","family":"Cattell","given":"Renee","non-dropping-particle":"","parse-names":false,"suffix":""},{"dropping-particle":"","family":"Fan","given":"Wei","non-dropping-particle":"","parse-names":false,"suffix":""},{"dropping-particle":"","family":"Li","given":"Mianwen","non-dropping-particle":"","parse-names":false,"suffix":""},{"dropping-particle":"","family":"Chen","given":"Jialing","non-dropping-particle":"","parse-names":false,"suffix":""},{"dropping-particle":"","family":"Gao","given":"Meng","non-dropping-particle":"","parse-names":false,"suffix":""},{"dropping-particle":"","family":"Zhou","given":"Quan","non-dropping-particle":"","parse-names":false,"suffix":""},{"dropping-particle":"","family":"Li","given":"Shaolin","non-dropping-particle":"","parse-names":false,"suffix":""},{"dropping-particle":"","family":"Zhang","given":"Xiaodong","non-dropping-particle":"","parse-names":false,"suffix":""},{"dropping-particle":"","family":"Huang","given":"Chuan","non-dropping-particle":"","parse-names":false,"suffix":""}],"container-title":"Archives of Osteoporosis","id":"ITEM-11","issue":"1","issued":{"date-parts":[["2019","12","1"]]},"page":"1-9","publisher":"Springer London","title":"Fatty infiltration of paraspinal muscles is associated with bone mineral density of the lumbar spine","type":"article-journal","volume":"14"},"uris":["http://www.mendeley.com/documents/?uuid=3f99d8a6-f09a-41b8-8b21-be9950ec931f"]},{"id":"ITEM-12","itemData":{"DOI":"10.1016/j.bone.2018.12.004","ISSN":"87563282","PMID":"30537557","abstract":"Background: Lower skeletal muscle density, indicating greater infiltration of adipose tissue into muscles, is associated with higher fracture risk in older adults. We aimed to determine whether mid-calf muscle density is associated with falls risk and bone health in community-dwelling older adults. Methods: 2214 community-dwelling men and women who participated in the Healthy Ageing Initiative (Sweden) study at age 70 were included in this analysis. Mid-calf muscle density (mg/cm3) at the proximal tibia, and volumetric bone mineral density (vBMD) and architecture at the distal and proximal tibia and radius, were assessed by peripheral quantitative computed tomography. Whole-body lean and fat mass, lumbar spine and total hip areal bone mineral density (aBMD) were assessed by dual-energy X-ray absorptiometry. Participants completed seven-day accelerometer measurements of physical activity intensity, and self-reported falls data were collected 6 and 12 months later. Results: 302 (13.5%) participants reported a fall at the 6- or 12-month interview, and 29 (1.3%) reported a fall at both interviews. After adjustment for confounders, each standard deviation decrease in mid-calf muscle density was associated with a trend towards greater likelihood of experiencing a fall (OR 1.13; 95% CI 1.00, 1.29 per SD lower) and significantly greater likelihood of multiple falls (1.61; 1.16, 2.23). Higher muscle density was not associated with total hip aBMD, and was associated with lower lumbar spine aBMD (B = -0.003; 95% CI -0.005, -0.001 per mg/cm3) and higher proximal cortical vBMD (0.74; 0.20, 1.28) at the radius. At the tibia, muscle density was positively associated with distal total and trabecular vBMD, and proximal total and cortical vBMD, cortical thickness, cortical area and stress-strain index (all P &lt; 0.05). Only moderate/vigorous (%) intensity physical activity, not sedentary time or light activity, was associated with higher mid-calf muscle density (0.086; 0.034, 0.138). Conclusions: Lower mid-calf muscle density is independently associated with higher likelihood for multiple incident falls and appears to have localised negative effects on bone structure in older adults.","author":[{"dropping-particle":"","family":"Scott","given":"David","non-dropping-particle":"","parse-names":false,"suffix":""},{"dropping-particle":"","family":"Johansson","given":"Jonas","non-dropping-particle":"","parse-names":false,"suffix":""},{"dropping-particle":"","family":"McMillan","given":"Lachlan B.","non-dropping-particle":"","parse-names":false,"suffix":""},{"dropping-particle":"","family":"Ebeling","given":"Peter R.","non-dropping-particle":"","parse-names":false,"suffix":""},{"dropping-particle":"","family":"Nordstrom","given":"Anna","non-dropping-particle":"","parse-names":false,"suffix":""},{"dropping-particle":"","family":"Nordstrom","given":"Peter","non-dropping-particle":"","parse-names":false,"suffix":""}],"container-title":"Bone","id":"ITEM-12","issue":"December 2018","issued":{"date-parts":[["2019","3","1"]]},"page":"446-451","publisher":"Elsevier","title":"Mid-calf skeletal muscle density and its associations with physical activity, bone health and incident 12-month falls in older adults: The Healthy Ageing Initiative","type":"article-journal","volume":"120"},"uris":["http://www.mendeley.com/documents/?uuid=4cef9510-6352-44c5-a41c-85de74b730e2"]},{"id":"ITEM-13","itemData":{"PMID":"26636281","abstract":"Objectives: To determine associations of inter- and intra-muscular adipose tissue (IMAT) with cardiometabolic health and physical function in older adults. Methods: 48 community-dwelling older adults aged ≥65 years (mean 71.6±4.8 years; 52% women) underwent whole-body dual-energy X-ray absorptiometry, to assess appendicular lean mass (ALM), and peripheral quantitative computed tomography (pQCT; 66% tibia), to assess calf IMAT cross-sectional area ([CSA]; cm2) and muscle density (mg/cm3; higher values indicate lower fat infiltration). Fasting glucose, lipids, triglycerides and C-reactive protein (CRP) were analysed. Physical function was assessed by postural sway (computerised posturography; N=41), and gait analysis (GAITRite Electronic Walkway; N=40). Results: Higher IMAT CSA and muscle density were associated with significantly higher (B=0.85 95%CI [0.34, 1.36]) and lower (-2.14 [-4.20, -0.08]) CRP and higher (0.93 [0.56, 1.30]) and lower postural sway (-3.12 [-4.74, -1.50]), respectively, after adjustment for age, sex and ALM/BMI. Higher IMAT CSA was associated with slower gait speed and cadence, and greater step time and step width (all P&lt;0.03), while higher muscle density was associated with smaller step width (P&lt;0.01) only. Conclusions: Older adults with higher calf IMAT have poorer balance, mobility and inflammatory status. Interventions aimed at improving physical function in older adults should incorporate strategies to reduce IMAT.","author":[{"dropping-particle":"","family":"Scott","given":"D.","non-dropping-particle":"","parse-names":false,"suffix":""},{"dropping-particle":"","family":"Trbojevic","given":"T.","non-dropping-particle":"","parse-names":false,"suffix":""},{"dropping-particle":"","family":"Skinner","given":"E.","non-dropping-particle":"","parse-names":false,"suffix":""},{"dropping-particle":"","family":"Clark","given":"R.A.","non-dropping-particle":"","parse-names":false,"suffix":""},{"dropping-particle":"","family":"Levinger","given":"P.","non-dropping-particle":"","parse-names":false,"suffix":""},{"dropping-particle":"","family":"Haines","given":"T.P.","non-dropping-particle":"","parse-names":false,"suffix":""},{"dropping-particle":"","family":"Sanders","given":"K.M.","non-dropping-particle":"","parse-names":false,"suffix":""},{"dropping-particle":"","family":"Ebeling","given":"P.R.","non-dropping-particle":"","parse-names":false,"suffix":""}],"container-title":"Journal of Musculoskeletal &amp; Neuronal Interactions","id":"ITEM-13","issue":"4","issued":{"date-parts":[["2015","12","1"]]},"page":"350","publisher":"International Society of Musculoskeletal and Neuronal Interactions (ISMNI)","title":"Associations of calf inter- and intra-muscular adipose tissue with cardiometabolic health and physical function in community-dwelling older adults","type":"article-journal","volume":"15"},"uris":["http://www.mendeley.com/documents/?uuid=6b4e3a95-e735-391f-9760-2e4af94f4c61"]},{"id":"ITEM-14","itemData":{"DOI":"10.1016/j.archger.2021.104512","ISSN":"18726976","abstract":"Purpose: The assessment of body composition is an integral part in diagnosing sarcopenia. The purpose of this study was to determine the relationships between peripheral quantitative computed tomography (pQCT)-derived measures of body composition and measures of physical performance in older adults. Methods: Muscle density, muscle area, and fat area of 168 patients aged 65 years and older (76.3±6.5) were measured with pQCT at the distal forearm additionally to clinical assessment consisting of medical history, physical examination and physical assessment including hand grip strength, gait speed and chair rise tests. Regression analyses assessed associations between patients’ physical performance and pQCT derived data. Results: Among the three pQCT parameters, especially muscle density was significantly correlated with all of the three measures of physical performance even after adjusting for sex, age, BMI, vitamin D serum level and the level of physical activity. The same analysis for muscle area achieved significance level only for handgrip strength but not for gait speed nor for chair rise time. Fat area was significantly correlated only with gait speed after adjusting for sex and age. The association of muscle density with physical performance held up in an additional subanalysis stratified by body mass index. Conclusion: Muscle density, a proxy for muscle fat infiltration, seems to be better than muscle area or fat area at assessing muscle quality and physical performance in older adults. This association seems to be independent of the body mass index.","author":[{"dropping-particle":"","family":"Martini","given":"Sebastian","non-dropping-particle":"","parse-names":false,"suffix":""},{"dropping-particle":"","family":"Petermeise","given":"Sophie","non-dropping-particle":"","parse-names":false,"suffix":""},{"dropping-particle":"","family":"Henkel","given":"Michaela","non-dropping-particle":"","parse-names":false,"suffix":""},{"dropping-particle":"","family":"Weiß","given":"Stefanie","non-dropping-particle":"","parse-names":false,"suffix":""},{"dropping-particle":"","family":"Schaupp","given":"Anna","non-dropping-particle":"","parse-names":false,"suffix":""},{"dropping-particle":"","family":"Ferrari","given":"Uta","non-dropping-particle":"","parse-names":false,"suffix":""},{"dropping-particle":"","family":"Schmidmaier","given":"Ralf","non-dropping-particle":"","parse-names":false,"suffix":""},{"dropping-particle":"","family":"Drey","given":"Michael","non-dropping-particle":"","parse-names":false,"suffix":""}],"container-title":"Archives of Gerontology and Geriatrics","id":"ITEM-14","issue":"August","issued":{"date-parts":[["2021"]]},"title":"Peripheral Quantitative Computed Tomography Derived Muscle Density Is Associated With Physical Performance in Older Adults","type":"article-journal","volume":"97"},"uris":["http://www.mendeley.com/documents/?uuid=4fa6999a-d72e-4fed-9f31-c446aa40e7aa"]},{"id":"ITEM-15","itemData":{"DOI":"10.1007/S12603-014-0476-6","ISSN":"17604788","PMID":"25560824","abstract":"Objective: Our objectives were to determine whether peripheral quantitative computed tomography (pQCT)-derived lower leg muscle density and area, and basic functional mobility differ between communitydwelling older women who do and do not report recent falls.Design: Matched case-control comparison.Setting: Academic biomedical imaging laboratory.Participants: 147 Women, 60 years or older (mean age 74.3 y, SD 7.7) recruited from a longitudinal, population-based cohort representing community-dwelling residents in the area of Saskatoon, Canada.Measurements: A cross-sectional pQCT scan of the non-dominant lower leg was acquired to determine muscle density and area. Basic functional mobility (Timed Up and Go Test [TUG]) and SF36 health status were also measured. Fallers (one or more falls) and non-fallers (no falls) were grouped according to a 12-month retrospective survey and matched on measured covariates.Results: The muscle density of fallers (n = 35) was a median of 2.1 mg/cm3 lower (P = 0.019, 95% C.I. −3.9 to −0.1) than non-fallers (n = 78) after matching and adjusting for age, body mass index, and SF36 general health scores. Muscle area and TUG did not differ between fallers and non-fallers.Conclusion: Muscle density may serve as a physiological marker in the assessment of lower leg muscular health and fall risk in community-dwelling elderly women. These results are limited to our study population who were mostly Caucasian. Prospective studies are required for verification.","author":[{"dropping-particle":"","family":"Frank","given":"A. W.","non-dropping-particle":"","parse-names":false,"suffix":""},{"dropping-particle":"","family":"Farthing","given":"J. P.","non-dropping-particle":"","parse-names":false,"suffix":""},{"dropping-particle":"","family":"Chilibeck","given":"P. D.","non-dropping-particle":"","parse-names":false,"suffix":""},{"dropping-particle":"","family":"Arnold","given":"C. M.","non-dropping-particle":"","parse-names":false,"suffix":""},{"dropping-particle":"","family":"Olszynski","given":"W. P.","non-dropping-particle":"","parse-names":false,"suffix":""},{"dropping-particle":"","family":"Kontulainen","given":"S. A.","non-dropping-particle":"","parse-names":false,"suffix":""}],"container-title":"Journal of Nutrition, Health and Aging","id":"ITEM-15","issue":"1","issued":{"date-parts":[["2015","1","1"]]},"page":"113-120","publisher":"Springer-Verlag France","title":"Community-dwelling female fallers have lower muscle density in their lower legs than non-fallers: Evidence from the Saskatoon Canadian Multicentre Osteoporosis Study (CaMos) cohort","type":"article-journal","volume":"19"},"uris":["http://www.mendeley.com/documents/?uuid=d21ec866-281f-3816-a7ee-a1e190f484c7"]},{"id":"ITEM-16","itemData":{"DOI":"10.1007/S00198-015-3160-8","ISSN":"14332965","PMID":"26001559","abstract":"Summary: Distal radius (wrist) fracture (DRF) in women over age 50 years is an early sign of bone fragility. Women with a recent DRF compared to women without DRF demonstrated lower bone strength, muscle density, and strength, but no difference in dual-energy x-ray absorptiometry (DXA) measures, suggesting DXA alone may not be a sufficient predictor for DRF risk. Introduction: The objective of this study was to investigate differences in bone and muscle properties between women with and without a recent DRF. Methods: One hundred sixty-six postmenopausal women (50–78 years) were recruited. Participants were excluded if they had taken bone-altering medications in the past 6 months or had medical conditions that severely affected daily living or the upper extremity. Seventy-seven age-matched women with a fracture in the past 6–24 months (Fx, n = 32) and without fracture (NFx, n = 45) were measured for bone and muscle properties using the nondominant (NFx) or non-fractured limb (Fx). Peripheral quantitative computed tomography (pQCT) was used to estimate bone strength in compression (BSIc) at the distal radius and tibia, bone strength in torsion (SSIp) at the shaft sites, muscle density, and area at the forearm and lower leg. Areal bone mineral density at the ultradistal forearm, spine, and femoral neck was measured by DXA. Grip strength and the 30-s chair stand test were used as estimates of upper and lower extremity muscle strength. Limb-specific between-group differences were compared using multivariate analysis of variance (MANOVA). Results: There was a significant group difference (p &lt; 0.05) for the forearm and lower leg, with the Fx group demonstrating 16 and 19 % lower BSIc, 3 and 6 % lower muscle density, and 20 and 21 % lower muscle strength at the upper and lower extremities, respectively. There were no differences between groups for DXA measures. Conclusions: Women with recent DRF had lower pQCT-derived estimated bone strength at the distal radius and tibia and lower muscle density and strength at both extremities.","author":[{"dropping-particle":"","family":"Crockett","given":"K.","non-dropping-particle":"","parse-names":false,"suffix":""},{"dropping-particle":"","family":"Arnold","given":"C. M.","non-dropping-particle":"","parse-names":false,"suffix":""},{"dropping-particle":"","family":"Farthing","given":"J. P.","non-dropping-particle":"","parse-names":false,"suffix":""},{"dropping-particle":"","family":"Chilibeck","given":"P. D.","non-dropping-particle":"","parse-names":false,"suffix":""},{"dropping-particle":"","family":"Johnston","given":"J. D.","non-dropping-particle":"","parse-names":false,"suffix":""},{"dropping-particle":"","family":"Bath","given":"B.","non-dropping-particle":"","parse-names":false,"suffix":""},{"dropping-particle":"","family":"Baxter-Jones","given":"A. D.G.","non-dropping-particle":"","parse-names":false,"suffix":""},{"dropping-particle":"","family":"Kontulainen","given":"S. A.","non-dropping-particle":"","parse-names":false,"suffix":""}],"container-title":"Osteoporosis International","id":"ITEM-16","issue":"10","issued":{"date-parts":[["2015","10","28"]]},"page":"2461-2469","publisher":"Springer-Verlag London Ltd","title":"Bone strength and muscle properties in postmenopausal women with and without a recent distal radius fracture","type":"article-journal","volume":"26"},"uris":["http://www.mendeley.com/documents/?uuid=e4be2620-a947-31e9-a960-dcd139c36310"]},{"id":"ITEM-17","itemData":{"PMID":"25524965","abstract":"Purpose:To determine the degree to which muscle density and fractures are explained by inter and intramuscular fat (IMF). Methods: Women ≥50 years of age (Hamilton, ON, Canada) had peripheral magnetic resonance imaging and peripheral quantitative computed tomography scans at 66% of the tibial length. Muscle on computed tomography images was segmented from subcutaneous fat and bone using fixed thresholds, computing muscle density. IMF was segmented from muscle within magnetic resonance images using a region-growing algorithm, computing IMF volume. Fracture history over the last 14 years was obtained. Odds ratios for fractures were determined for muscle density, adjusting for IMF volume, total hip BMD, age and body mass index. Results: Women with a history of fractures were older (N=32, age:75.6±8.3 years) than those without (N=39, age: 67.0±5.2 years) (&lt;0.01). IMF volume explained 49.3% of variance in muscle density (p&lt;0.001). Odds for fractures were associated with lower muscle density even after adjusting for IMF volume but were attenuated after adjusting for age. Conclusions: Muscle adiposity represents only 50% of the muscle density measurement. Properties of muscle beyond its adiposity may be related to fractures, but larger and prospective studies are needed to confirm these associations.","author":[{"dropping-particle":"","family":"Wong","given":"A.K.O.","non-dropping-particle":"","parse-names":false,"suffix":""},{"dropping-particle":"","family":"Beattie","given":"K.A.","non-dropping-particle":"","parse-names":false,"suffix":""},{"dropping-particle":"","family":"Min","given":"K.K.H.","non-dropping-particle":"","parse-names":false,"suffix":""},{"dropping-particle":"","family":"Gordon","given":"C.","non-dropping-particle":"","parse-names":false,"suffix":""},{"dropping-particle":"","family":"Pickard","given":"L.","non-dropping-particle":"","parse-names":false,"suffix":""},{"dropping-particle":"","family":"Papaioannou","given":"A.","non-dropping-particle":"","parse-names":false,"suffix":""},{"dropping-particle":"","family":"Adachi","given":"J.D.","non-dropping-particle":"","parse-names":false,"suffix":""},{"dropping-particle":"","family":"Group","given":"the Canadian Multicentre Osteoporosis Study (CaMos) Research","non-dropping-particle":"","parse-names":false,"suffix":""}],"container-title":"Journal of musculoskeletal &amp; neuronal interactions","id":"ITEM-17","issue":"4","issued":{"date-parts":[["2014","12","1"]]},"page":"401","publisher":"PMC Canada manuscript submission","title":"Peripheral quantitative computed tomography-derived muscle density and peripheral magnetic resonance imaging-derived muscle adiposity: precision and associations with fragility fractures in women","type":"article-journal","volume":"14"},"uris":["http://www.mendeley.com/documents/?uuid=be635fa6-8c11-33c8-a280-264fa6d5f13f"]}],"mendeley":{"formattedCitation":"(10,18,19,32–45)","plainTextFormattedCitation":"(10,18,19,32–45)","previouslyFormattedCitation":"(10,18,19,32–45)"},"properties":{"noteIndex":0},"schema":"https://github.com/citation-style-language/schema/raw/master/csl-citation.json"}</w:instrText>
      </w:r>
      <w:r w:rsidR="00716746">
        <w:fldChar w:fldCharType="separate"/>
      </w:r>
      <w:r w:rsidR="00A657B7" w:rsidRPr="00A657B7">
        <w:rPr>
          <w:noProof/>
        </w:rPr>
        <w:t>(10,18,19,32–45)</w:t>
      </w:r>
      <w:r w:rsidR="00716746">
        <w:fldChar w:fldCharType="end"/>
      </w:r>
      <w:r w:rsidR="34F7EC9A">
        <w:t>.</w:t>
      </w:r>
      <w:r w:rsidR="22A0988C">
        <w:t xml:space="preserve"> </w:t>
      </w:r>
      <w:r w:rsidR="00A62247">
        <w:t xml:space="preserve">We </w:t>
      </w:r>
      <w:r w:rsidR="00A657B7">
        <w:t>found</w:t>
      </w:r>
      <w:r w:rsidR="00A62247">
        <w:t xml:space="preserve"> that only forearm, and not calf muscle density, was </w:t>
      </w:r>
      <w:r w:rsidR="00E249B3">
        <w:t xml:space="preserve">significantly </w:t>
      </w:r>
      <w:r w:rsidR="00A62247">
        <w:t xml:space="preserve">associated with previous fracture in our </w:t>
      </w:r>
      <w:r w:rsidR="00E249B3">
        <w:t>cohort; w</w:t>
      </w:r>
      <w:r w:rsidR="00A62247">
        <w:t>e examined these associations with previous fractures at any</w:t>
      </w:r>
      <w:r w:rsidR="00E249B3">
        <w:t xml:space="preserve"> site</w:t>
      </w:r>
      <w:r w:rsidR="00A62247" w:rsidRPr="00E249B3">
        <w:t>.</w:t>
      </w:r>
      <w:r w:rsidR="00E249B3" w:rsidRPr="00E249B3">
        <w:t xml:space="preserve"> </w:t>
      </w:r>
      <w:r w:rsidR="00E249B3">
        <w:t>A</w:t>
      </w:r>
      <w:r w:rsidR="00E249B3" w:rsidRPr="00E249B3">
        <w:t>dditional information on fractures since age 45 years, such as their type, date, and total number, was unavailable.</w:t>
      </w:r>
      <w:r w:rsidR="00E249B3">
        <w:t xml:space="preserve"> </w:t>
      </w:r>
      <w:r w:rsidR="00A657B7" w:rsidRPr="00F83606">
        <w:t xml:space="preserve">However, it seems likely that a high proportion of fractures were upper limb distal forearm fractures, as the majority occurred in women in midlife. </w:t>
      </w:r>
      <w:bookmarkStart w:id="6" w:name="_Hlk110260653"/>
      <w:r w:rsidR="00A657B7" w:rsidRPr="00F83606">
        <w:t xml:space="preserve">We suspect that the lack of association of calf muscle </w:t>
      </w:r>
      <w:r w:rsidR="00A657B7" w:rsidRPr="008958DE">
        <w:t xml:space="preserve">density with prior fracture reflects a health survivor bias in this cohort making calf muscle density </w:t>
      </w:r>
      <w:r w:rsidR="00545B61" w:rsidRPr="008958DE">
        <w:t>less reflective of</w:t>
      </w:r>
      <w:r w:rsidR="00A657B7" w:rsidRPr="008958DE">
        <w:t xml:space="preserve"> functional limitations</w:t>
      </w:r>
      <w:r w:rsidR="00AC1341" w:rsidRPr="008958DE">
        <w:t>,</w:t>
      </w:r>
      <w:r w:rsidR="00A657B7" w:rsidRPr="008958DE">
        <w:t xml:space="preserve"> whereas forearm muscle density may be more reflective of </w:t>
      </w:r>
      <w:r w:rsidR="00F862FB" w:rsidRPr="008958DE">
        <w:t>general fragility contrary to lower limbs which are load bearing sites</w:t>
      </w:r>
      <w:r w:rsidR="00A657B7" w:rsidRPr="008958DE">
        <w:t>.</w:t>
      </w:r>
      <w:r w:rsidR="00AC1341" w:rsidRPr="008958DE">
        <w:t xml:space="preserve"> </w:t>
      </w:r>
      <w:bookmarkEnd w:id="6"/>
      <w:r w:rsidR="00A657B7" w:rsidRPr="008958DE">
        <w:t>In</w:t>
      </w:r>
      <w:r w:rsidR="00A657B7">
        <w:t xml:space="preserve"> other studies, f</w:t>
      </w:r>
      <w:r>
        <w:t>at infiltration</w:t>
      </w:r>
      <w:r w:rsidR="00716746">
        <w:t xml:space="preserve"> at mid femur</w:t>
      </w:r>
      <w:r>
        <w:t>, a measure of reduced muscle quality</w:t>
      </w:r>
      <w:r w:rsidR="73C6A999">
        <w:t xml:space="preserve"> likely through reduction in force generating capacity through loss of type II fibres</w:t>
      </w:r>
      <w:r>
        <w:t xml:space="preserve">, </w:t>
      </w:r>
      <w:r>
        <w:rPr>
          <w:color w:val="000000"/>
          <w:shd w:val="clear" w:color="auto" w:fill="FFFFFF"/>
        </w:rPr>
        <w:t>was independently associated with a modest increase risk of incident clinical fracture in</w:t>
      </w:r>
      <w:r w:rsidR="34272F4A">
        <w:rPr>
          <w:color w:val="000000"/>
          <w:shd w:val="clear" w:color="auto" w:fill="FFFFFF"/>
        </w:rPr>
        <w:t xml:space="preserve"> the</w:t>
      </w:r>
      <w:r>
        <w:rPr>
          <w:color w:val="000000"/>
          <w:shd w:val="clear" w:color="auto" w:fill="FFFFFF"/>
        </w:rPr>
        <w:t xml:space="preserve"> Health, Aging, and Body Composition Study </w:t>
      </w:r>
      <w:r w:rsidR="00097A24">
        <w:rPr>
          <w:color w:val="000000"/>
          <w:shd w:val="clear" w:color="auto" w:fill="FFFFFF"/>
        </w:rPr>
        <w:fldChar w:fldCharType="begin" w:fldLock="1"/>
      </w:r>
      <w:r w:rsidR="00AC1341">
        <w:rPr>
          <w:color w:val="000000"/>
          <w:shd w:val="clear" w:color="auto" w:fill="FFFFFF"/>
        </w:rPr>
        <w:instrText>ADDIN CSL_CITATION {"citationItems":[{"id":"ITEM-1","itemData":{"DOI":"10.1210/JC.2010-0780","ISSN":"0021972X","PMID":"20668037","abstract":"Context: Older adults with type 2 diabetes are at higher risk for fracture compared with nondiabetic adults after adjustment for their higher bone mineral density. Infiltration of muscle by fat predicts increased risk of hip fracture. Objective: We investigated whether fat infiltration of muscle, which is greater in diabetic adults, is associated with all clinical fracture and whether it accounts for the increased fracture risk in those with diabetes. Design, Setting, and Participants: Data were analyzed from the Health, Aging, and Body Composition Study, a cohort of community-dwelling adults aged 70-79 yr. Glucose metabolism status and x-ray attenuation of thigh muscle were determined at baseline for 2762 participants. Main Outcome Measures: During a mean 8.2 ± 2.3 yr follow-up, 331 participants reported at least one clinical fracture. Results: Fat infiltration of muscle was higher in those with diabetes or impaired glucose metabolism than in those with normal glucose metabolism (P &lt; 0.001). Fat infiltration of muscle was independently associated with a 19% increased risk of incident clinical fracture (multivariate hazard ratio = 1.19;95%confidence interval = 1.04-1.36); this association did not differ across glucose metabolism groups (P for interaction = 0.65). As previously reported, diabetes was associated with a greater fracture risk compared with normal glucose metabolism (hazard ratio = 1.42; 95% confidence interval = 1.07-1.89) after adjustment forbonemineral density, but further adjustment for fat infiltration of muscle did not attenuate this association. Conclusions: Fat infiltration of muscle predicts clinical fracture in older adults. Although fat infiltration of muscle is higher among those with diabetes, it does not account for their increased fracture risk. Copyright © 2010 by The Endocrine Society.","author":[{"dropping-particle":"","family":"Schafer","given":"Anne L.","non-dropping-particle":"","parse-names":false,"suffix":""},{"dropping-particle":"","family":"Vittinghoff","given":"Eric","non-dropping-particle":"","parse-names":false,"suffix":""},{"dropping-particle":"","family":"Lang","given":"Thomas F.","non-dropping-particle":"","parse-names":false,"suffix":""},{"dropping-particle":"","family":"Sellmeyer","given":"Deborah E.","non-dropping-particle":"","parse-names":false,"suffix":""},{"dropping-particle":"","family":"Harris","given":"Tamara B.","non-dropping-particle":"","parse-names":false,"suffix":""},{"dropping-particle":"","family":"Kanaya","given":"Alka M.","non-dropping-particle":"","parse-names":false,"suffix":""},{"dropping-particle":"","family":"Strotmeyer","given":"Elsa S.","non-dropping-particle":"","parse-names":false,"suffix":""},{"dropping-particle":"","family":"Cawthon","given":"Peggy M.","non-dropping-particle":"","parse-names":false,"suffix":""},{"dropping-particle":"","family":"Cummings","given":"Steven R.","non-dropping-particle":"","parse-names":false,"suffix":""},{"dropping-particle":"","family":"Tylavsky","given":"Frances A.","non-dropping-particle":"","parse-names":false,"suffix":""},{"dropping-particle":"","family":"Scherzinger","given":"Ann L.","non-dropping-particle":"","parse-names":false,"suffix":""},{"dropping-particle":"V.","family":"Schwartz","given":"Ann","non-dropping-particle":"","parse-names":false,"suffix":""},{"dropping-particle":"","family":"Health","given":"for the","non-dropping-particle":"","parse-names":false,"suffix":""},{"dropping-particle":"","family":"Aging","given":"","non-dropping-particle":"","parse-names":false,"suffix":""},{"dropping-particle":"","family":"Study","given":"and Body Composition (Health ABC)","non-dropping-particle":"","parse-names":false,"suffix":""}],"container-title":"The Journal of Clinical Endocrinology and Metabolism","id":"ITEM-1","issue":"11","issued":{"date-parts":[["2010"]]},"page":"E368","publisher":"The Endocrine Society","title":"Fat Infiltration of Muscle, Diabetes, and Clinical Fracture Risk in Older Adults","type":"article-journal","volume":"95"},"uris":["http://www.mendeley.com/documents/?uuid=bc73a19f-76f2-45ff-aba7-90a40a072a4f"]}],"mendeley":{"formattedCitation":"(46)","plainTextFormattedCitation":"(46)","previouslyFormattedCitation":"(46)"},"properties":{"noteIndex":0},"schema":"https://github.com/citation-style-language/schema/raw/master/csl-citation.json"}</w:instrText>
      </w:r>
      <w:r w:rsidR="00097A24">
        <w:rPr>
          <w:color w:val="000000"/>
          <w:shd w:val="clear" w:color="auto" w:fill="FFFFFF"/>
        </w:rPr>
        <w:fldChar w:fldCharType="separate"/>
      </w:r>
      <w:r w:rsidR="00A657B7" w:rsidRPr="00A657B7">
        <w:rPr>
          <w:noProof/>
          <w:color w:val="000000"/>
          <w:shd w:val="clear" w:color="auto" w:fill="FFFFFF"/>
        </w:rPr>
        <w:t>(46)</w:t>
      </w:r>
      <w:r w:rsidR="00097A24">
        <w:rPr>
          <w:color w:val="000000"/>
          <w:shd w:val="clear" w:color="auto" w:fill="FFFFFF"/>
        </w:rPr>
        <w:fldChar w:fldCharType="end"/>
      </w:r>
      <w:r>
        <w:rPr>
          <w:color w:val="000000"/>
          <w:shd w:val="clear" w:color="auto" w:fill="FFFFFF"/>
        </w:rPr>
        <w:t xml:space="preserve">. </w:t>
      </w:r>
      <w:r>
        <w:t xml:space="preserve">As lower extremity muscle attenuation and pQCT-derived muscle density is associated with poor physical performance, this might explain the relative </w:t>
      </w:r>
      <w:r w:rsidR="633FE40B">
        <w:t xml:space="preserve">higher </w:t>
      </w:r>
      <w:r>
        <w:t xml:space="preserve">reported risk of hip fractures in those individuals </w:t>
      </w:r>
      <w:r w:rsidR="00097A24">
        <w:fldChar w:fldCharType="begin" w:fldLock="1"/>
      </w:r>
      <w:r w:rsidR="00AC1341">
        <w:instrText>ADDIN CSL_CITATION {"citationItems":[{"id":"ITEM-1","itemData":{"DOI":"10.1359/JBMR.090807","ISSN":"1523-4681","abstract":"Fatty infiltration of muscle, myosteatosis, increases with age and results in reduced muscle strength and function and increased fall risk. However, it is unknown if increased fatty infiltration of muscle predisposes to hip fracture. We measured the mean Hounsfield unit (HU) of the lean tissue within the midthigh muscle bundle (thigh muscle HU, an indicator of intramuscular fat), its cross-sectional area (CSA, a measure of muscle mass) by computed tomography (CT), bone mineral density (BMD) of the hip and total-body percent fat by dual X-ray absorptiometry (DXA), isokinetic leg extensor strength, and the Short Physical Performance Battery (SPPB) in 2941 white and black women and men aged 70 to 79 years. Sixty-three hip fractures were validated during 6.6 years of follow-up. Proportional hazards regression analysis was used to assess the relative risk (RR) of hip fracture across variations in thigh muscle attenuation, CSA, muscle strength, and physical function for hip fracture. In models adjusted by age, race, gender, body mass index, and percentage fat, decreased thigh muscle HU resulted in increased risk of hip fracture [RR/SD=1.58; 95% confidence interval (CI) 1.10-1.99], an association that continued to be significant after further adjustment for BMD. In models additionally adjusted by CSA, muscle strength, and SPPB score, decreased thigh muscle HU but none of the other muscle parameters continued to be associated with an increased risk of hip fracture (RR/SD=1.42; 95% CI 1.03-1.97). Decreased thigh muscle HU, a measure of fatty infiltration of muscle, is associated with increased risk of hip fracture and appears to account for the association between reduced muscle strength, physical performance, and muscle mass and risk of hip fracture. This characteristic captures a physical characteristic of muscle tissue that may have importance in hip fracture etiology. © 2010 American Society for Bone and Mineral Research.","author":[{"dropping-particle":"","family":"Lang","given":"Thomas","non-dropping-particle":"","parse-names":false,"suffix":""},{"dropping-particle":"","family":"Cauley","given":"Jane A.","non-dropping-particle":"","parse-names":false,"suffix":""},{"dropping-particle":"","family":"Tylavsky","given":"Frances","non-dropping-particle":"","parse-names":false,"suffix":""},{"dropping-particle":"","family":"Bauer","given":"Douglas","non-dropping-particle":"","parse-names":false,"suffix":""},{"dropping-particle":"","family":"Cummings","given":"Steven","non-dropping-particle":"","parse-names":false,"suffix":""},{"dropping-particle":"","family":"Harris","given":"Tamara B.","non-dropping-particle":"","parse-names":false,"suffix":""}],"container-title":"Journal of Bone and Mineral Research","id":"ITEM-1","issue":"3","issued":{"date-parts":[["2010","3","1"]]},"page":"513-519","publisher":"Wiley-Blackwell","title":"Computed tomographic measurements of thigh muscle cross-sectional area and attenuation coefficient predict hip fracture: The health, aging, and body composition study","type":"article-journal","volume":"25"},"uris":["http://www.mendeley.com/documents/?uuid=8c152534-9ca6-4f75-a85c-5877e61acb2b"]},{"id":"ITEM-2","itemData":{"DOI":"10.1016/J.BONE.2007.12.002","ISSN":"8756-3282","abstract":"Introduction: Loss of subcutaneous fat, decreased muscle cross-sectional area (CSA) and increased muscle adiposity are related to declining physical function and disability in the elderly, but there is little information about the relationship of these tissue changes to hip fracture. Thus we have compared body composition measures in women with hip fractures to age-matched controls, using quantitative computed tomography (QCT) imaging of the hip to characterize total adiposity, muscle CSA and muscle attenuation coefficient, a measure of adiposity. Materials and methods: 45 Chinese women (mean age 74.71 ± 5.94) with hip fractures were compared to 66 healthy control subjects (mean age 70.70 ± 4.66). Hip QCT scans were analyzed to compute total adipose CSA as well as CSA and attenuation values of muscle groups in the CT scan field of view, including hip extensors, abductors, adductors and flexors. The total femur areal BMD (aBMD) was estimated from the QCT images. Logistic regression was employed to compare body composition measures between fracture subjects and controls after adjustment for age, height, BMI and aBMD. Receiver-operator curve (ROC) analyses determined whether combinations of aBMD and body composition had higher area under curve (AUC) than aBMD alone. Results and conclusions: Fracture subjects had lower fat CSA (p &lt; 0.0001) than controls but had higher muscle adiposity as indicated by lower attenuation in the adductor, abductor and flexor groups (0.00001 &lt; p &lt; 0.02). Fracture subjects also had lower extensor and adductor CSA values (p &lt; 0.0001). After age and BMI adjustment, the total fat CSA, the extensor and adductor CSA values, and the adductor attenuation values remained significantly lower in the fracture subjects (0.001 &lt; p &lt; 0.05). In ROC analyses, models combining aBMD with soft tissue measures had higher AUC than models containing only BMD (0.001 &lt; p &lt; 0.05). Combining body composition with skeletal measures may improve fracture prediction compared to bone measures alone. © 2007 Elsevier Inc. All rights reserved.","author":[{"dropping-particle":"","family":"Lang","given":"T.","non-dropping-particle":"","parse-names":false,"suffix":""},{"dropping-particle":"","family":"Koyama","given":"A.","non-dropping-particle":"","parse-names":false,"suffix":""},{"dropping-particle":"","family":"Li","given":"C.","non-dropping-particle":"","parse-names":false,"suffix":""},{"dropping-particle":"","family":"Li","given":"J.","non-dropping-particle":"","parse-names":false,"suffix":""},{"dropping-particle":"","family":"Lu","given":"Y.","non-dropping-particle":"","parse-names":false,"suffix":""},{"dropping-particle":"","family":"Saeed","given":"I.","non-dropping-particle":"","parse-names":false,"suffix":""},{"dropping-particle":"","family":"Gazze","given":"E.","non-dropping-particle":"","parse-names":false,"suffix":""},{"dropping-particle":"","family":"Keyak","given":"J.","non-dropping-particle":"","parse-names":false,"suffix":""},{"dropping-particle":"","family":"Harris","given":"T.","non-dropping-particle":"","parse-names":false,"suffix":""},{"dropping-particle":"","family":"Cheng","given":"X.","non-dropping-particle":"","parse-names":false,"suffix":""}],"container-title":"Bone","id":"ITEM-2","issue":"4","issued":{"date-parts":[["2008","4","1"]]},"page":"798-805","publisher":"Elsevier","title":"Pelvic body composition measurements by quantitative computed tomography: Association with recent hip fracture","type":"article-journal","volume":"42"},"uris":["http://www.mendeley.com/documents/?uuid=d7a44c14-cd9a-428c-ba89-0a185683d37d"]},{"id":"ITEM-3","itemData":{"DOI":"10.1111/J.1532-5415.2009.02366.X","PMID":"19682143","abstract":"OBJECTIVES: To examine the association between strength, function, lean mass, muscle density, and risk of hospitalization. DESIGN: Prospective cohort study. SETTING: Two U.S. clinical centers. PARTICIPANTS: Adults aged 70 to 80 (N=3,011) from the Health, Aging and Body Composition Study. MEASUREMENTS: Measurements were of grip strength, knee extension strength, lean mass, walking speed, and chair stand pace. Thigh computed tomography scans assessed muscle area and density (a proxy for muscle fat infiltration). Hospitalizations were confirmed by local review of medical records. Negative binomial regression models estimated incident rate ratios (IRRs) of hospitalization for race- and sex-specific quartiles of each muscle and function parameter separately. Multivariate models adjusted for age, body mass index, health status, and coexisting medical conditions. RESULTS: During an average 4.7 years of follow-up, 1,678 (55.7%) participants experienced one or more hospitalizations. Participants in the lowest quartile of muscle density were more likely to be subsequently hospitalized (multivariate IRR=1.47, 95% confidence interval (CI)=1.24-1.73) than those in the highest quartile. Similarly, participants with the weakest grip strength were at greater risk of hospitalization (multivariate IRR=1.52, 95% CI=1.30-1.78, Q1 vs. Q4). Comparable results were seen for knee strength, walking pace, and chair stands pace. Lean mass and muscle area were not associated with risk of hospitalization. CONCLUSION: Weak strength, poor function, and low muscle density, but not muscle size or lean mass, were associated with greater risk of hospitalization. Interventions to reduce the disease burden associated with sarcopenia should focus on increasing muscle strength and improving physical function rather than simply increasing lean mass. © 2009, The American Geriatrics Society.","author":[{"dropping-particle":"","family":"Cawthon","given":"Peggy Mannen","non-dropping-particle":"","parse-names":false,"suffix":""},{"dropping-particle":"","family":"Fox","given":"Kathleen M.","non-dropping-particle":"","parse-names":false,"suffix":""},{"dropping-particle":"","family":"Gandra","given":"Shravanthi. R.","non-dropping-particle":"","parse-names":false,"suffix":""},{"dropping-particle":"","family":"Delmonico","given":"Matthew J.","non-dropping-particle":"","parse-names":false,"suffix":""},{"dropping-particle":"","family":"Chiou","given":"Chiun-Fang","non-dropping-particle":"","parse-names":false,"suffix":""},{"dropping-particle":"","family":"Anthony","given":"Mary S.","non-dropping-particle":"","parse-names":false,"suffix":""},{"dropping-particle":"","family":"Sewall","given":"Ase","non-dropping-particle":"","parse-names":false,"suffix":""},{"dropping-particle":"","family":"Goodpaster","given":"Bret","non-dropping-particle":"","parse-names":false,"suffix":""},{"dropping-particle":"","family":"Satterfield","given":"Suzanne","non-dropping-particle":"","parse-names":false,"suffix":""},{"dropping-particle":"","family":"Cummings","given":"Steven R.","non-dropping-particle":"","parse-names":false,"suffix":""},{"dropping-particle":"","family":"Harris","given":"Tamara B.","non-dropping-particle":"","parse-names":false,"suffix":""}],"container-title":"Journal of the American Geriatrics Society","id":"ITEM-3","issue":"8","issued":{"date-parts":[["2009","8"]]},"page":"1411","publisher":"NIH Public Access","title":"Do muscle mass, muscle density, strength and physical function similarly influence risk of hospitalization in older adults?","type":"article-journal","volume":"57"},"uris":["http://www.mendeley.com/documents/?uuid=0661b8dc-0bf1-333f-ac0c-fc0266ae5359"]},{"id":"ITEM-4","itemData":{"DOI":"10.1093/GERONA/60.3.324","ISSN":"1079-5006","PMID":"15860469","abstract":"Background. Lower muscle mass has been correlated with poor physical function; however, no studies have examined this relationship prospectively. This study aims to investigate whether low muscle mass, low muscle strength, and greater fat infiltration into the muscle predict incident mobility limitation. Methods. Our study cohort included 3075 well-functioning black and white men and women aged 70-79 years participating in the Health, Aging, and Body Composition study. Participants were followed for 2.5 years. Muscle cross-sectional area and muscle tissue attenuation (a measure of fat infiltration) were measured by computed tomography at the mid-thigh, and knee extensor strength by using a KinCom dynamometer. Incident mobility limitation was defined as two consecutive self-reports of any difficulty walking one-quarter mile or climbing 10 steps. Results. Mobility limitations were developed by 22.3% of the men and by 31.8% of the women. Cox's proportional hazards models, adjusting for demographic, lifestyle, and health factors, showed a hazard ratio of 1.90 [95% confidence interval (CI), 1.27-2.84] in men and 1.68 (95% CI, 1.23-2.31) in women for the lowest compared to the highest quartile of muscle area (p &lt; .01 for trend). Results for muscle strength were 2.02 (95% CI, 1.39-2.94) and 1.91 (95% CI, 1.41-2.58), p &lt; .001 trend, and for muscle attenuation were 1.91 (95% CI, 1.31-2.83) and 1.68 (95% CI, 1.20-2.35), p &lt; .01 for trend. When included in one model, only muscle attenuation and muscle strength independently predicted mobility limitation (p &lt; .05). Among men and women, associations were similar for blacks and whites. Conclusion. Lower muscle mass (smaller cross-sectional thigh muscle area), greater fat infiltration into the muscle, and lower knee extensor muscle strength are associated with increased risk of mobility loss in older men and women. The association between low muscle mass and functional decline seems to be a function of underlying muscle strength. Copyright 2005 by The Gerontological Society of America.","author":[{"dropping-particle":"","family":"Visser","given":"Marjolein","non-dropping-particle":"","parse-names":false,"suffix":""},{"dropping-particle":"","family":"Study","given":"for the Health ABC","non-dropping-particle":"","parse-names":false,"suffix":""},{"dropping-particle":"","family":"Goodpaster","given":"Bret H.","non-dropping-particle":"","parse-names":false,"suffix":""},{"dropping-particle":"","family":"Study","given":"for the Health ABC","non-dropping-particle":"","parse-names":false,"suffix":""},{"dropping-particle":"","family":"Kritchevsky","given":"Stephen B.","non-dropping-particle":"","parse-names":false,"suffix":""},{"dropping-particle":"","family":"Study","given":"for the Health ABC","non-dropping-particle":"","parse-names":false,"suffix":""},{"dropping-particle":"","family":"Newman","given":"Anne B.","non-dropping-particle":"","parse-names":false,"suffix":""},{"dropping-particle":"","family":"Study","given":"for the Health ABC","non-dropping-particle":"","parse-names":false,"suffix":""},{"dropping-particle":"","family":"Nevitt","given":"Michael","non-dropping-particle":"","parse-names":false,"suffix":""},{"dropping-particle":"","family":"Study","given":"for the Health ABC","non-dropping-particle":"","parse-names":false,"suffix":""},{"dropping-particle":"","family":"Rubin","given":"Susan M.","non-dropping-particle":"","parse-names":false,"suffix":""},{"dropping-particle":"","family":"Study","given":"for the Health ABC","non-dropping-particle":"","parse-names":false,"suffix":""},{"dropping-particle":"","family":"Simonsick","given":"Eleanor M.","non-dropping-particle":"","parse-names":false,"suffix":""},{"dropping-particle":"","family":"Study","given":"for the Health ABC","non-dropping-particle":"","parse-names":false,"suffix":""},{"dropping-particle":"","family":"Harris","given":"Tamara B.","non-dropping-particle":"","parse-names":false,"suffix":""},{"dropping-particle":"","family":"Study","given":"for the Health ABC","non-dropping-particle":"","parse-names":false,"suffix":""}],"container-title":"The Journals of Gerontology: Series A","id":"ITEM-4","issue":"3","issued":{"date-parts":[["2005","3","1"]]},"page":"324-333","publisher":"Oxford Academic","title":"Muscle Mass, Muscle Strength, and Muscle Fat Infiltration as Predictors of Incident Mobility Limitations in Well-Functioning Older Persons","type":"article-journal","volume":"60"},"uris":["http://www.mendeley.com/documents/?uuid=f8c91c24-e6a9-3676-b636-c7f7cb3983db"]},{"id":"ITEM-5","itemData":{"DOI":"10.1016/j.bone.2018.12.004","ISSN":"87563282","PMID":"30537557","abstract":"Background: Lower skeletal muscle density, indicating greater infiltration of adipose tissue into muscles, is associated with higher fracture risk in older adults. We aimed to determine whether mid-calf muscle density is associated with falls risk and bone health in community-dwelling older adults. Methods: 2214 community-dwelling men and women who participated in the Healthy Ageing Initiative (Sweden) study at age 70 were included in this analysis. Mid-calf muscle density (mg/cm3) at the proximal tibia, and volumetric bone mineral density (vBMD) and architecture at the distal and proximal tibia and radius, were assessed by peripheral quantitative computed tomography. Whole-body lean and fat mass, lumbar spine and total hip areal bone mineral density (aBMD) were assessed by dual-energy X-ray absorptiometry. Participants completed seven-day accelerometer measurements of physical activity intensity, and self-reported falls data were collected 6 and 12 months later. Results: 302 (13.5%) participants reported a fall at the 6- or 12-month interview, and 29 (1.3%) reported a fall at both interviews. After adjustment for confounders, each standard deviation decrease in mid-calf muscle density was associated with a trend towards greater likelihood of experiencing a fall (OR 1.13; 95% CI 1.00, 1.29 per SD lower) and significantly greater likelihood of multiple falls (1.61; 1.16, 2.23). Higher muscle density was not associated with total hip aBMD, and was associated with lower lumbar spine aBMD (B = -0.003; 95% CI -0.005, -0.001 per mg/cm3) and higher proximal cortical vBMD (0.74; 0.20, 1.28) at the radius. At the tibia, muscle density was positively associated with distal total and trabecular vBMD, and proximal total and cortical vBMD, cortical thickness, cortical area and stress-strain index (all P &lt; 0.05). Only moderate/vigorous (%) intensity physical activity, not sedentary time or light activity, was associated with higher mid-calf muscle density (0.086; 0.034, 0.138). Conclusions: Lower mid-calf muscle density is independently associated with higher likelihood for multiple incident falls and appears to have localised negative effects on bone structure in older adults.","author":[{"dropping-particle":"","family":"Scott","given":"David","non-dropping-particle":"","parse-names":false,"suffix":""},{"dropping-particle":"","family":"Johansson","given":"Jonas","non-dropping-particle":"","parse-names":false,"suffix":""},{"dropping-particle":"","family":"McMillan","given":"Lachlan B.","non-dropping-particle":"","parse-names":false,"suffix":""},{"dropping-particle":"","family":"Ebeling","given":"Peter R.","non-dropping-particle":"","parse-names":false,"suffix":""},{"dropping-particle":"","family":"Nordstrom","given":"Anna","non-dropping-particle":"","parse-names":false,"suffix":""},{"dropping-particle":"","family":"Nordstrom","given":"Peter","non-dropping-particle":"","parse-names":false,"suffix":""}],"container-title":"Bone","id":"ITEM-5","issue":"December 2018","issued":{"date-parts":[["2019","3","1"]]},"page":"446-451","publisher":"Elsevier","title":"Mid-calf skeletal muscle density and its associations with physical activity, bone health and incident 12-month falls in older adults: The Healthy Ageing Initiative","type":"article-journal","volume":"120"},"uris":["http://www.mendeley.com/documents/?uuid=4cef9510-6352-44c5-a41c-85de74b730e2"]},{"id":"ITEM-6","itemData":{"DOI":"10.1016/J.JBIOMECH.2020.109766","ISSN":"18732380","PMID":"32279932","abstract":"Frailty is an important concept in clinical and demographic research in the elderly because of its incidence level and its relationship with adverse outcomes. Functional ability declines with advanced age, likely due to changes in muscle function. This study aimed to examine the relationship between muscle quality and muscle power with kinematics from functional tests in a population of 21 institutionalized frail nonagenarian (91.3 ± 3.1 years). Here, muscle quality was measured by segmenting areas of high- and low-density fibers with computerized tomography. In addition, muscle strength and muscle power were obtained through maximal strength and power tests using resistance exercises. Finally, functional capacity outcomes (i.e., balance, gait velocity and sit-to-stand ability), as well as kinematic parameters, were evaluated from a tri-axial sensor used during a battery of functional tests. Our results show that lower limb muscle quality, maximal strength and power output present statistically significant relationships with different kinematic parameters, especially during the sit-to-stand and gait tests (e.g. leg power and maximum power during sit-to-stand (r = 0.80) as well as quadriceps muscle mass and step asymmetry (r = -0,71). In particular, frail individuals with greater muscle quality needed less trunk range of motion to make the transition between sitting and standing, took less time to stand up, and exerted a major peak power of force. As a conclusion, a loss of muscle quality and power may lead to motor control impairments such as gait, sit-to-stand and balance that can be the cause of adverse events such as falls.","author":[{"dropping-particle":"","family":"Millor","given":"Nora","non-dropping-particle":"","parse-names":false,"suffix":""},{"dropping-particle":"","family":"Cadore","given":"Eduardo L.","non-dropping-particle":"","parse-names":false,"suffix":""},{"dropping-particle":"","family":"Gómez","given":"Marisol","non-dropping-particle":"","parse-names":false,"suffix":""},{"dropping-particle":"","family":"Martínez","given":"Alicia","non-dropping-particle":"","parse-names":false,"suffix":""},{"dropping-particle":"","family":"Lecumberri","given":"Pablo","non-dropping-particle":"","parse-names":false,"suffix":""},{"dropping-particle":"","family":"Martirikorena","given":"Jon","non-dropping-particle":"","parse-names":false,"suffix":""},{"dropping-particle":"","family":"Idoate","given":"Fernando","non-dropping-particle":"","parse-names":false,"suffix":""},{"dropping-particle":"","family":"Izquierdo","given":"Mikel","non-dropping-particle":"","parse-names":false,"suffix":""}],"container-title":"Journal of Biomechanics","id":"ITEM-6","issued":{"date-parts":[["2020","5","22"]]},"publisher":"Elsevier Ltd","title":"High density muscle size and muscle power are associated with both gait and sit-to-stand kinematic parameters in frail nonagenarians","type":"article-journal","volume":"105"},"uris":["http://www.mendeley.com/documents/?uuid=4418a6e6-c1b4-3069-9d11-faad3a326c46"]}],"mendeley":{"formattedCitation":"(20,32,34,47–49)","plainTextFormattedCitation":"(20,32,34,47–49)","previouslyFormattedCitation":"(20,32,34,47–49)"},"properties":{"noteIndex":0},"schema":"https://github.com/citation-style-language/schema/raw/master/csl-citation.json"}</w:instrText>
      </w:r>
      <w:r w:rsidR="00097A24">
        <w:fldChar w:fldCharType="separate"/>
      </w:r>
      <w:r w:rsidR="00A657B7" w:rsidRPr="00A657B7">
        <w:rPr>
          <w:noProof/>
        </w:rPr>
        <w:t>(20,32,34,47–49)</w:t>
      </w:r>
      <w:r w:rsidR="00097A24">
        <w:fldChar w:fldCharType="end"/>
      </w:r>
      <w:r>
        <w:t>.</w:t>
      </w:r>
    </w:p>
    <w:p w14:paraId="37276061" w14:textId="10E16362" w:rsidR="00A657B7" w:rsidRDefault="79600936" w:rsidP="79600936">
      <w:pPr>
        <w:jc w:val="both"/>
      </w:pPr>
      <w:r>
        <w:t xml:space="preserve">The lack of association between grip strength and forearm muscle density among both </w:t>
      </w:r>
      <w:r w:rsidR="00716746">
        <w:t>males</w:t>
      </w:r>
      <w:r>
        <w:t xml:space="preserve"> and </w:t>
      </w:r>
      <w:r w:rsidR="00716746">
        <w:t>females</w:t>
      </w:r>
      <w:r>
        <w:t xml:space="preserve"> was surprising. However, a possible reason for the lack of association is that muscle density was only assessed on the non-dominant side whereas the highest out of six grip strength measurements (three on each side) was used for analysis.</w:t>
      </w:r>
      <w:r w:rsidR="00A62247" w:rsidRPr="00A62247">
        <w:t xml:space="preserve"> </w:t>
      </w:r>
      <w:r w:rsidR="00A62247">
        <w:t xml:space="preserve">We also report no association between forearm or calf muscle density with falls which is somewhat </w:t>
      </w:r>
      <w:r w:rsidR="00E249B3">
        <w:t>unexpected</w:t>
      </w:r>
      <w:r w:rsidR="00A62247">
        <w:t xml:space="preserve">. Muscle density </w:t>
      </w:r>
      <w:r w:rsidR="00545B61">
        <w:t>has</w:t>
      </w:r>
      <w:r w:rsidR="00A62247">
        <w:t xml:space="preserve"> previously </w:t>
      </w:r>
      <w:r w:rsidR="00545B61">
        <w:t xml:space="preserve">been </w:t>
      </w:r>
      <w:r w:rsidR="00A62247">
        <w:t xml:space="preserve">shown to be associated with falls status, and this association is independent of functional mobility </w:t>
      </w:r>
      <w:r w:rsidR="00A62247">
        <w:fldChar w:fldCharType="begin" w:fldLock="1"/>
      </w:r>
      <w:r w:rsidR="00AC1341">
        <w:instrText>ADDIN CSL_CITATION {"citationItems":[{"id":"ITEM-1","itemData":{"DOI":"10.1007/S00198-016-3514-X","ISSN":"14332965","PMID":"26879201","abstract":"Summary: Muscle density is a risk factor for fractures in older adults; however, its association with falls is not well described. After adjusting for biologically relevant confounding factors, a unit decrease in muscle density was associated with a 17 % increase in odds of reporting a fall, independent of functional mobility. Introduction: Falls are the leading cause of injury, disability, and fractures in older adults. Low muscle density (i.e., caused by muscle adiposity) and functional mobility have been identified as risk factors for incident disability and fractures in older adults; however, it is not known if these are also independently associated with falls. The purpose of this study was to explore the associations of muscle density and functional mobility with fall status. Methods: Cross-sectional observational study of 183 men and women aged 60–98 years. Descriptive data, including a 12-month fall recall, Timed Up and Go (TUG) test performance, lower leg muscle area, and density. Odds ratio (OR) of being a faller were calculated, adjusted for age, sex, body mass index, general health status, diabetes, and comorbidities. Results: Every mg/cm3 increase in muscle density (mean 70.2, SD 2.6 mg/cm3) independently reduced the odds of being a faller by 19 % (OR 0.81 [95 % CI 0.67 to 0.97]), and every 1 s longer TUG test time (mean 9.8, SD 2.6 s) independently increased the odds by 17 % (OR 1.17 [95 % CI 1.01 to 1.37]). When both muscle density and TUG test time were included in the same model, only age (OR 0.93 [95 % CI 0.87 to 0.99]) and muscle density (OR 0.83 [95 % CI 0.69 to 0.99]) were independently associated with fall status. Conclusions: Muscle density was associated with fall status, independent of functional mobility. Muscle density may compliment functional mobility tests as a biometric outcome for assessing fall risk in well-functioning older adults.","author":[{"dropping-particle":"","family":"Frank-Wilson","given":"A. W.","non-dropping-particle":"","parse-names":false,"suffix":""},{"dropping-particle":"","family":"Farthing","given":"J. P.","non-dropping-particle":"","parse-names":false,"suffix":""},{"dropping-particle":"","family":"Chilibeck","given":"P. D.","non-dropping-particle":"","parse-names":false,"suffix":""},{"dropping-particle":"","family":"Arnold","given":"C. M.","non-dropping-particle":"","parse-names":false,"suffix":""},{"dropping-particle":"","family":"Davison","given":"K. S.","non-dropping-particle":"","parse-names":false,"suffix":""},{"dropping-particle":"","family":"Olszynski","given":"W. P.","non-dropping-particle":"","parse-names":false,"suffix":""},{"dropping-particle":"","family":"Kontulainen","given":"S. A.","non-dropping-particle":"","parse-names":false,"suffix":""}],"container-title":"Osteoporosis International","id":"ITEM-1","issue":"7","issued":{"date-parts":[["2016","7","1"]]},"page":"2231-2240","publisher":"Springer London","title":"Lower leg muscle density is independently associated with fall status in community-dwelling older adults","type":"article-journal","volume":"27"},"uris":["http://www.mendeley.com/documents/?uuid=1e4899db-ce49-45b1-9441-acbd928e59fc"]},{"id":"ITEM-2","itemData":{"DOI":"10.1016/j.bone.2018.12.004","ISSN":"87563282","PMID":"30537557","abstract":"Background: Lower skeletal muscle density, indicating greater infiltration of adipose tissue into muscles, is associated with higher fracture risk in older adults. We aimed to determine whether mid-calf muscle density is associated with falls risk and bone health in community-dwelling older adults. Methods: 2214 community-dwelling men and women who participated in the Healthy Ageing Initiative (Sweden) study at age 70 were included in this analysis. Mid-calf muscle density (mg/cm3) at the proximal tibia, and volumetric bone mineral density (vBMD) and architecture at the distal and proximal tibia and radius, were assessed by peripheral quantitative computed tomography. Whole-body lean and fat mass, lumbar spine and total hip areal bone mineral density (aBMD) were assessed by dual-energy X-ray absorptiometry. Participants completed seven-day accelerometer measurements of physical activity intensity, and self-reported falls data were collected 6 and 12 months later. Results: 302 (13.5%) participants reported a fall at the 6- or 12-month interview, and 29 (1.3%) reported a fall at both interviews. After adjustment for confounders, each standard deviation decrease in mid-calf muscle density was associated with a trend towards greater likelihood of experiencing a fall (OR 1.13; 95% CI 1.00, 1.29 per SD lower) and significantly greater likelihood of multiple falls (1.61; 1.16, 2.23). Higher muscle density was not associated with total hip aBMD, and was associated with lower lumbar spine aBMD (B = -0.003; 95% CI -0.005, -0.001 per mg/cm3) and higher proximal cortical vBMD (0.74; 0.20, 1.28) at the radius. At the tibia, muscle density was positively associated with distal total and trabecular vBMD, and proximal total and cortical vBMD, cortical thickness, cortical area and stress-strain index (all P &lt; 0.05). Only moderate/vigorous (%) intensity physical activity, not sedentary time or light activity, was associated with higher mid-calf muscle density (0.086; 0.034, 0.138). Conclusions: Lower mid-calf muscle density is independently associated with higher likelihood for multiple incident falls and appears to have localised negative effects on bone structure in older adults.","author":[{"dropping-particle":"","family":"Scott","given":"David","non-dropping-particle":"","parse-names":false,"suffix":""},{"dropping-particle":"","family":"Johansson","given":"Jonas","non-dropping-particle":"","parse-names":false,"suffix":""},{"dropping-particle":"","family":"McMillan","given":"Lachlan B.","non-dropping-particle":"","parse-names":false,"suffix":""},{"dropping-particle":"","family":"Ebeling","given":"Peter R.","non-dropping-particle":"","parse-names":false,"suffix":""},{"dropping-particle":"","family":"Nordstrom","given":"Anna","non-dropping-particle":"","parse-names":false,"suffix":""},{"dropping-particle":"","family":"Nordstrom","given":"Peter","non-dropping-particle":"","parse-names":false,"suffix":""}],"container-title":"Bone","id":"ITEM-2","issue":"December 2018","issued":{"date-parts":[["2019","3","1"]]},"page":"446-451","publisher":"Elsevier","title":"Mid-calf skeletal muscle density and its associations with physical activity, bone health and incident 12-month falls in older adults: The Healthy Ageing Initiative","type":"article-journal","volume":"120"},"uris":["http://www.mendeley.com/documents/?uuid=4cef9510-6352-44c5-a41c-85de74b730e2"]}],"mendeley":{"formattedCitation":"(13,34)","plainTextFormattedCitation":"(13,34)","previouslyFormattedCitation":"(13,34)"},"properties":{"noteIndex":0},"schema":"https://github.com/citation-style-language/schema/raw/master/csl-citation.json"}</w:instrText>
      </w:r>
      <w:r w:rsidR="00A62247">
        <w:fldChar w:fldCharType="separate"/>
      </w:r>
      <w:r w:rsidR="00A657B7" w:rsidRPr="00A657B7">
        <w:rPr>
          <w:noProof/>
        </w:rPr>
        <w:t>(13,34)</w:t>
      </w:r>
      <w:r w:rsidR="00A62247">
        <w:fldChar w:fldCharType="end"/>
      </w:r>
      <w:r w:rsidR="00A62247">
        <w:t xml:space="preserve">. </w:t>
      </w:r>
      <w:r w:rsidR="00A657B7">
        <w:t>Again, this may reflect our use of retrospective questionnaires, which may be limited by recall bias.</w:t>
      </w:r>
    </w:p>
    <w:p w14:paraId="78B2B298" w14:textId="488EE480" w:rsidR="00161BD6" w:rsidRDefault="00A657B7" w:rsidP="00BC5BDD">
      <w:pPr>
        <w:jc w:val="both"/>
      </w:pPr>
      <w:r>
        <w:t xml:space="preserve">Our other findings are certainly consistent with what is currently known. </w:t>
      </w:r>
      <w:r w:rsidR="005B4465">
        <w:t xml:space="preserve">Older age was associated with lower </w:t>
      </w:r>
      <w:r w:rsidR="0021104B">
        <w:t xml:space="preserve">calf </w:t>
      </w:r>
      <w:r w:rsidR="005B4465">
        <w:t xml:space="preserve">muscle density </w:t>
      </w:r>
      <w:r w:rsidR="00831A7E">
        <w:t>in our cohort</w:t>
      </w:r>
      <w:r w:rsidR="0021104B">
        <w:t xml:space="preserve"> after adjustment for sex and follow-up time; </w:t>
      </w:r>
      <w:r w:rsidR="0021104B" w:rsidRPr="002144BD">
        <w:t>this association was also robust when additionally adjusted for weight (data not shown)</w:t>
      </w:r>
      <w:r w:rsidR="00831A7E" w:rsidRPr="002144BD">
        <w:t>.</w:t>
      </w:r>
      <w:r w:rsidR="00831A7E">
        <w:t xml:space="preserve"> </w:t>
      </w:r>
      <w:r w:rsidR="00E06015">
        <w:t>Skeletal muscle fibre changes have been reported in ag</w:t>
      </w:r>
      <w:r w:rsidR="00F63BEE">
        <w:t>e</w:t>
      </w:r>
      <w:r w:rsidR="00E06015">
        <w:t>ing humans</w:t>
      </w:r>
      <w:r w:rsidR="00716746">
        <w:t xml:space="preserve"> </w:t>
      </w:r>
      <w:r w:rsidR="00716746">
        <w:fldChar w:fldCharType="begin" w:fldLock="1"/>
      </w:r>
      <w:r w:rsidR="00AC1341">
        <w:instrText>ADDIN CSL_CITATION {"citationItems":[{"id":"ITEM-1","itemData":{"DOI":"10.1097/01.BLO.0000218757.97063.21","ISSN":"15281132","PMID":"16691139","abstract":"Elderly individuals often fall because of poor muscle strength and reduced balancing ability related to muscle aging. However, it is unclear whether changes in muscle fiber types contribute to poor strength or imbalance. We studied age- associated changes in human skeletal muscle fibers using muscle biopsy specimens taken from 65 male and female Chinese patients aged 17-96 years. The muscle specimens were cryosectioned with alkaline triphosphatase staining at pH 4.4, followed by image analysis. We analyzed morphologic observations and performed quantitative analyses of the number, size, and area percentage of different types of skeletal muscle fibers and connective tissues. Types IIA and IIB muscle fibers decreased with age in the area percentage, fiber number percentage, and mean fiber area, whereas Type I fibers increased in area and number but not in size. Morphologically, Type II fibers appeared smaller and flatter. Our findings suggest deterioration in muscle quality and balancing coordination in elderly patients. We provide data to help determine treatments for reversing muscle fiber changes and reducing the number of falls and related fractures in patients. © 2006 Lippincott Williams &amp; Wilkins.","author":[{"dropping-particle":"","family":"Lee","given":"Wing Sze","non-dropping-particle":"","parse-names":false,"suffix":""},{"dropping-particle":"","family":"Cheung","given":"Wing Hoi","non-dropping-particle":"","parse-names":false,"suffix":""},{"dropping-particle":"","family":"Qin","given":"Ling","non-dropping-particle":"","parse-names":false,"suffix":""},{"dropping-particle":"","family":"Tang","given":"Ning","non-dropping-particle":"","parse-names":false,"suffix":""},{"dropping-particle":"","family":"Leung","given":"Kwok Sui","non-dropping-particle":"","parse-names":false,"suffix":""}],"container-title":"Clinical Orthopaedics and Related Research","id":"ITEM-1","issued":{"date-parts":[["2006"]]},"page":"231-237","publisher":"Lippincott Williams and Wilkins","title":"Age-associated decrease of Type IIA/B human skeletal muscle fibers","type":"article-journal","volume":"450"},"uris":["http://www.mendeley.com/documents/?uuid=238147d0-966e-3767-97ef-337202764ace"]}],"mendeley":{"formattedCitation":"(50)","plainTextFormattedCitation":"(50)","previouslyFormattedCitation":"(50)"},"properties":{"noteIndex":0},"schema":"https://github.com/citation-style-language/schema/raw/master/csl-citation.json"}</w:instrText>
      </w:r>
      <w:r w:rsidR="00716746">
        <w:fldChar w:fldCharType="separate"/>
      </w:r>
      <w:r w:rsidRPr="00A657B7">
        <w:rPr>
          <w:noProof/>
        </w:rPr>
        <w:t>(50)</w:t>
      </w:r>
      <w:r w:rsidR="00716746">
        <w:fldChar w:fldCharType="end"/>
      </w:r>
      <w:r w:rsidR="00716746">
        <w:t>, and c</w:t>
      </w:r>
      <w:r w:rsidR="003C1320">
        <w:t xml:space="preserve">hanges in muscle fibre morphology, infiltration of fat and other non-contractile proteins, altered gene expression, and innervation can all affect muscle quality </w:t>
      </w:r>
      <w:r w:rsidR="003C1320">
        <w:fldChar w:fldCharType="begin" w:fldLock="1"/>
      </w:r>
      <w:r w:rsidR="00AC1341">
        <w:instrText>ADDIN CSL_CITATION {"citationItems":[{"id":"ITEM-1","itemData":{"DOI":"10.1007/S00223-018-0388-2","PMID":"29372275","abstract":"Sarcopenia and osteoporosis are associated with poor health outcomes in older people. Relationships between muscle and bone have typically been reported at a functional or macroscopic level. The aims of this study were to describe the relationships between muscle morphology and bone health among participants of the Hertfordshire Sarcopenia Study (HSS). 105 older men, mean age 72.5 (SD 2.5) years, were recruited into the HSS. Whole body lean mass as well as appendicular lean mass, lumbar spine and femoral neck bone mineral content (BMC) and bone mineral density (BMD) were obtained through dual-energy X-ray absorptiometry scanning. Percutaneous biopsy of the vastus lateralis was performed successfully in 99 participants. Image analysis was used to determine the muscle morphology variables of slow-twitch (type I) and fast-twitch (type II) myofibre area, myofibre density, capillary and satellite cell (SC) density. There were strong relationships between whole and appendicular lean body mass in relation to femoral neck BMC and BMD (r ≥ 0.43, p &lt; 0.001). Type II fibre area was associated with both femoral neck BMC (r = 0.27, p = 0.01) and BMD (r = 0.26, p = 0.01) with relationships robust to adjustment for age and height. In unadjusted analysis, SC density was associated with whole body area (r = 0.30, p = 0.011) and both BMC (r = 0.26, p = 0.031) and area (r = 0.29, p = 0.017) of the femoral neck. We have demonstrated associations between BMC and changes in muscle at a cellular level predominantly involving type II myofibres. Interventions targeted at improving muscle mass, function and quality may improve overall musculoskeletal health. Larger studies that include women are needed to explore these relationships further.","author":[{"dropping-particle":"","family":"Patel","given":"H. P.","non-dropping-particle":"","parse-names":false,"suffix":""},{"dropping-particle":"","family":"Dawson","given":"A.","non-dropping-particle":"","parse-names":false,"suffix":""},{"dropping-particle":"","family":"Westbury","given":"L. D.","non-dropping-particle":"","parse-names":false,"suffix":""},{"dropping-particle":"","family":"Hasnaoui","given":"G.","non-dropping-particle":"","parse-names":false,"suffix":""},{"dropping-particle":"","family":"Syddall","given":"H. E.","non-dropping-particle":"","parse-names":false,"suffix":""},{"dropping-particle":"","family":"Shaw","given":"S.","non-dropping-particle":"","parse-names":false,"suffix":""},{"dropping-particle":"","family":"Sayer","given":"A. A.","non-dropping-particle":"","parse-names":false,"suffix":""},{"dropping-particle":"","family":"Cooper","given":"C.","non-dropping-particle":"","parse-names":false,"suffix":""},{"dropping-particle":"","family":"Dennison","given":"E. M.","non-dropping-particle":"","parse-names":false,"suffix":""}],"container-title":"Calcified Tissue International","id":"ITEM-1","issue":"1","issued":{"date-parts":[["2018","7","1"]]},"page":"35","publisher":"Springer","title":"Muscle Mass, Muscle Morphology and Bone Health Among Community-Dwelling Older Men: Findings from the Hertfordshire Sarcopenia Study (HSS)","type":"article-journal","volume":"103"},"uris":["http://www.mendeley.com/documents/?uuid=7b6e26f3-dcf3-3bbe-a875-8fd07386a092"]},{"id":"ITEM-2","itemData":{"DOI":"10.1038/s41467-019-13694-1","PMID":"31862890","author":[{"dropping-particle":"","family":"Migliavacca","given":"Eugenia","non-dropping-particle":"","parse-names":false,"suffix":""},{"dropping-particle":"","family":"Tay","given":"Stacey K.H. H.","non-dropping-particle":"","parse-names":false,"suffix":""},{"dropping-particle":"","family":"Patel","given":"Harnish P.","non-dropping-particle":"","parse-names":false,"suffix":""},{"dropping-particle":"","family":"Sonntag","given":"Tanja","non-dropping-particle":"","parse-names":false,"suffix":""},{"dropping-particle":"","family":"Civiletto","given":"Gabriele","non-dropping-particle":"","parse-names":false,"suffix":""},{"dropping-particle":"","family":"McFarlane","given":"Craig","non-dropping-particle":"","parse-names":false,"suffix":""},{"dropping-particle":"","family":"Forrester","given":"Terence","non-dropping-particle":"","parse-names":false,"suffix":""},{"dropping-particle":"","family":"Barton","given":"Sheila J.","non-dropping-particle":"","parse-names":false,"suffix":""},{"dropping-particle":"","family":"Leow","given":"Melvin K.","non-dropping-particle":"","parse-names":false,"suffix":""},{"dropping-particle":"","family":"Antoun","given":"Elie","non-dropping-particle":"","parse-names":false,"suffix":""},{"dropping-particle":"","family":"Charpagne","given":"Aline","non-dropping-particle":"","parse-names":false,"suffix":""},{"dropping-particle":"","family":"Seng Chong","given":"Yap","non-dropping-particle":"","parse-names":false,"suffix":""},{"dropping-particle":"","family":"Descombes","given":"Patrick","non-dropping-particle":"","parse-names":false,"suffix":""},{"dropping-particle":"","family":"Feng","given":"Lei","non-dropping-particle":"","parse-names":false,"suffix":""},{"dropping-particle":"","family":"Francis-Emmanuel","given":"Patrice","non-dropping-particle":"","parse-names":false,"suffix":""},{"dropping-particle":"","family":"Garratt","given":"Emma S.","non-dropping-particle":"","parse-names":false,"suffix":""},{"dropping-particle":"","family":"Giner","given":"Maria Pilar","non-dropping-particle":"","parse-names":false,"suffix":""},{"dropping-particle":"","family":"Green","given":"Curtis O.","non-dropping-particle":"","parse-names":false,"suffix":""},{"dropping-particle":"","family":"Karaz","given":"Sonia","non-dropping-particle":"","parse-names":false,"suffix":""},{"dropping-particle":"","family":"Kothandaraman","given":"Narasimhan","non-dropping-particle":"","parse-names":false,"suffix":""},{"dropping-particle":"","family":"Marquis","given":"Julien","non-dropping-particle":"","parse-names":false,"suffix":""},{"dropping-particle":"","family":"Metairon","given":"Sylviane","non-dropping-particle":"","parse-names":false,"suffix":""},{"dropping-particle":"","family":"Moco","given":"Sofia","non-dropping-particle":"","parse-names":false,"suffix":""},{"dropping-particle":"","family":"Nelson","given":"Gail","non-dropping-particle":"","parse-names":false,"suffix":""},{"dropping-particle":"","family":"Ngo","given":"Sherry","non-dropping-particle":"","parse-names":false,"suffix":""},{"dropping-particle":"","family":"Pleasants","given":"Tony","non-dropping-particle":"","parse-names":false,"suffix":""},{"dropping-particle":"","family":"Raymond","given":"Frederic","non-dropping-particle":"","parse-names":false,"suffix":""},{"dropping-particle":"","family":"Sayer","given":"Avan A.","non-dropping-particle":"","parse-names":false,"suffix":""},{"dropping-particle":"","family":"Ming Sim","given":"Chu","non-dropping-particle":"","parse-names":false,"suffix":""},{"dropping-particle":"","family":"Slater-Jefferies","given":"Jo","non-dropping-particle":"","parse-names":false,"suffix":""},{"dropping-particle":"","family":"Syddall","given":"Holly E.","non-dropping-particle":"","parse-names":false,"suffix":""},{"dropping-particle":"","family":"Fang Tan","given":"Pei","non-dropping-particle":"","parse-names":false,"suffix":""},{"dropping-particle":"","family":"Titcombe","given":"Philip","non-dropping-particle":"","parse-names":false,"suffix":""},{"dropping-particle":"","family":"Vaz","given":"Candida","non-dropping-particle":"","parse-names":false,"suffix":""},{"dropping-particle":"","family":"Westbury","given":"Leo D.","non-dropping-particle":"","parse-names":false,"suffix":""},{"dropping-particle":"","family":"Wong","given":"Gerard","non-dropping-particle":"","parse-names":false,"suffix":""},{"dropping-particle":"","family":"Yonghui","given":"Wu","non-dropping-particle":"","parse-names":false,"suffix":""},{"dropping-particle":"","family":"Cooper","given":"Cyrus","non-dropping-particle":"","parse-names":false,"suffix":""},{"dropping-particle":"","family":"Sheppard","given":"Allan","non-dropping-particle":"","parse-names":false,"suffix":""},{"dropping-particle":"","family":"Godfrey","given":"Keith M.","non-dropping-particle":"","parse-names":false,"suffix":""},{"dropping-particle":"","family":"Lillycrop","given":"Karen A.","non-dropping-particle":"","parse-names":false,"suffix":""},{"dropping-particle":"","family":"Karnani","given":"Neerja","non-dropping-particle":"","parse-names":false,"suffix":""},{"dropping-particle":"","family":"Feige","given":"Jerome N.","non-dropping-particle":"","parse-names":false,"suffix":""}],"id":"ITEM-2","issue":"1","issued":{"date-parts":[["2019","12","20"]]},"page":"1-14","title":"Mitochondrial oxidative capacity and NAD+ biosynthesis are reduced in human sarcopenia across ethnicities","type":"article-journal","volume":"10"},"uris":["http://www.mendeley.com/documents/?uuid=7adf2fb6-d9ba-48fc-89d2-793d81968a9a"]},{"id":"ITEM-3","itemData":{"DOI":"10.1093/gerona/glr020","ISSN":"10795006","PMID":"21357193","abstract":"Background. Sarcopenia is associated with disability, morbidity, and mortality. Lower birth weight is associated with reduced muscle mass and strength in older people, suggesting that developmental influences are important in sarcopenia. However, underlying mechanisms are unknown. Our objective was to determine whether low birth weight is associated with altered skeletal muscle morphology in older men. Methods. Ninety-nine men with historical records of birth weight (≤3.18 kg and ≥3.63 kg), aged 68-76 years, consented for detailed characterization of muscle, including a biopsy of the vastus lateralis. Tissue was processed for immunohistochemical studies and analyzed to determine myofibre density, area, and score. Results. Muscle fibre score (fibres kilograms per square millimeter) was significantly reduced in those with lower birth weight: 1.5 × 10 3 vs 1.7 × 10 3, p =. 04 unadjusted; p =. 09 adjusted for age, height, and physical activity. In addition, there was a trend for reduced myofibre density (fibres per square millimeter) in those with lower birth weight: total fibre density: 176 vs 184, type I myofibre density: 77 vs 80, and type II myofibre density: 99 vs 105. Types I and II myofibre areas (square micrometers) were larger in those with lower birth weight: type I: 4903 vs 4643 and type II: 4046 vs 3859. However, none of these differences were statistically significant. Conclusions. This is the first study showing that lower birth weight is associated with a significant decrease in muscle fibre score, suggesting that developmental influences on muscle morphology may explain the widely reported associations between lower birth weight and sarcopenia. However, the study may have been underpowered and did not include women supporting replication in larger cohorts of older men and women. © 2011 The Author.","author":[{"dropping-particle":"","family":"Patel","given":"H. P.","non-dropping-particle":"","parse-names":false,"suffix":""},{"dropping-particle":"","family":"Jameson","given":"K. A.","non-dropping-particle":"","parse-names":false,"suffix":""},{"dropping-particle":"","family":"Syddall","given":"H. E.","non-dropping-particle":"","parse-names":false,"suffix":""},{"dropping-particle":"","family":"Martin","given":"H. J.","non-dropping-particle":"","parse-names":false,"suffix":""},{"dropping-particle":"","family":"Stewart","given":"C. E.","non-dropping-particle":"","parse-names":false,"suffix":""},{"dropping-particle":"","family":"Cooper","given":"C.","non-dropping-particle":"","parse-names":false,"suffix":""},{"dropping-particle":"","family":"Sayer","given":"A. A.","non-dropping-particle":"","parse-names":false,"suffix":""}],"container-title":"Journals of Gerontology - Series A Biological Sciences and Medical Sciences","id":"ITEM-3","issue":"1","issued":{"date-parts":[["2012"]]},"page":"82-87","title":"Developmental influences, muscle morphology, and sarcopenia in community-dwelling older men","type":"article-journal","volume":"67 A"},"uris":["http://www.mendeley.com/documents/?uuid=2a392bc8-7166-4d8a-b86d-5a676868d042"]}],"mendeley":{"formattedCitation":"(51–53)","plainTextFormattedCitation":"(51–53)","previouslyFormattedCitation":"(51–53)"},"properties":{"noteIndex":0},"schema":"https://github.com/citation-style-language/schema/raw/master/csl-citation.json"}</w:instrText>
      </w:r>
      <w:r w:rsidR="003C1320">
        <w:fldChar w:fldCharType="separate"/>
      </w:r>
      <w:r w:rsidRPr="00A657B7">
        <w:rPr>
          <w:noProof/>
        </w:rPr>
        <w:t>(51–53)</w:t>
      </w:r>
      <w:r w:rsidR="003C1320">
        <w:fldChar w:fldCharType="end"/>
      </w:r>
      <w:r w:rsidR="003C1320">
        <w:t xml:space="preserve">. </w:t>
      </w:r>
      <w:r w:rsidR="00E06015">
        <w:t>Previous</w:t>
      </w:r>
      <w:r w:rsidR="00A51A18">
        <w:t xml:space="preserve"> cross sectional and</w:t>
      </w:r>
      <w:r w:rsidR="00E06015">
        <w:t xml:space="preserve"> longitudinal cohorts</w:t>
      </w:r>
      <w:r w:rsidR="005D7198">
        <w:t xml:space="preserve"> have </w:t>
      </w:r>
      <w:r w:rsidR="00E06015">
        <w:t xml:space="preserve">suggested that muscle density changes over time </w:t>
      </w:r>
      <w:r w:rsidR="00C503C3">
        <w:t>a</w:t>
      </w:r>
      <w:r w:rsidR="00E06015">
        <w:t>re also age</w:t>
      </w:r>
      <w:r w:rsidR="00F63BEE">
        <w:t>-</w:t>
      </w:r>
      <w:r w:rsidR="00E06015">
        <w:t>related</w:t>
      </w:r>
      <w:r w:rsidR="00A51A18">
        <w:t xml:space="preserve"> </w:t>
      </w:r>
      <w:r w:rsidR="000A6955">
        <w:fldChar w:fldCharType="begin" w:fldLock="1"/>
      </w:r>
      <w:r w:rsidR="00AC1341">
        <w:instrText>ADDIN CSL_CITATION {"citationItems":[{"id":"ITEM-1","itemData":{"DOI":"10.1093/GERONA/GLX262","abstract":"Background Atrophy and fatty infiltration of muscle with aging are associated with fractures and falls, however, their direct associations with muscle function are not well described. It was hypothesized that participants with lower quadriceps muscle attenuation, area, and greater intramuscular adipose tissue (IMAT) will exhibit slower rates of torque development (RTD) and lower peak knee extension torques. Methods Data from 4,842 participants (2,041 men, 2,801 women) from the Age Gene/Environment Susceptibility Reykjavik Study (mean age 76 ± 0.1 years) with complete thigh computed tomography and isometric knee testing. Regression models were adjusted for health, behavior, and comorbidities. Muscle attenuation was further adjusted for muscle area and IMAT; muscle area adjusted for IMAT and attenuation; and IMAT adjusted for muscle area and attenuation. Standardized betas (β) indicate association effect sizes. Results In the fully-adjusted models, attenuation (men β = 0.06, 95% CI: 0.01, 0.11; women β = 0.07, 95% CI: 0.03, 0.11) and muscle area (men β = 0.13, 95% CI: 0.07, 0.19; women β = 0.10, 95% CI: 0.06, 0.15) were associated with knee RTD. Attenuation (men β = 0.12, 95% CI: 0.08, 0.16; women β = 0.12, 95% CI: 0.09, 0.16) and muscle area (men β = 0.38, 95% CI: 0.33, 0.43; women β = 0.33, 95% CI: 0.29, 0.37) were associated with peak torque. Conclusions These data suggest that muscle attenuation and area are independently associated with RTD and peak torque; and that area and attenuation demonstrate similar contributions to RTD.","author":[{"dropping-particle":"","family":"Frank-Wilson","given":"Andrew W.","non-dropping-particle":"","parse-names":false,"suffix":""},{"dropping-particle":"","family":"Chalhoub","given":"Didier","non-dropping-particle":"","parse-names":false,"suffix":""},{"dropping-particle":"","family":"Figueiredo","given":"Pedro","non-dropping-particle":"","parse-names":false,"suffix":""},{"dropping-particle":"V.","family":"Jónsson","given":"Pálmi","non-dropping-particle":"","parse-names":false,"suffix":""},{"dropping-particle":"","family":"Siggeirsdóttir","given":"Kristín","non-dropping-particle":"","parse-names":false,"suffix":""},{"dropping-particle":"","family":"Sigurdsson","given":"Sigurdur","non-dropping-particle":"","parse-names":false,"suffix":""},{"dropping-particle":"","family":"Eiriksdottir","given":"Gudny","non-dropping-particle":"","parse-names":false,"suffix":""},{"dropping-particle":"","family":"Gunason","given":"Vilmundur","non-dropping-particle":"","parse-names":false,"suffix":""},{"dropping-particle":"","family":"Launer","given":"Lenore","non-dropping-particle":"","parse-names":false,"suffix":""},{"dropping-particle":"","family":"Harris","given":"Tamara B.","non-dropping-particle":"","parse-names":false,"suffix":""}],"container-title":"Journals of Gerontology - Series A Biological Sciences and Medical Sciences","id":"ITEM-1","issue":"7","issued":{"date-parts":[["2018","6","14"]]},"page":"931-938","publisher":"Oxford University Press","title":"Associations of Quadriceps Torque Properties with Muscle Size, Attenuation, and Intramuscular Adipose Tissue in Older Adults","type":"article-journal","volume":"73"},"uris":["http://www.mendeley.com/documents/?uuid=30935435-a2fa-3802-829a-5f77d25f83d8"]},{"id":"ITEM-2","itemData":{"DOI":"10.1093/GERONA/61.10.1059","ISSN":"1079-5006","abstract":"Background. The loss of muscle mass is considered to be a major determinant of strength loss in aging. However, large-scale longitudinal studies examining the association between the loss of mass and strength in older adults are lacking. Methods. Three-year changes in muscle mass and strength were determined in 1880 older adults in the Health, Aging and Body Composition Study. Knee extensor strength was measured by isokinetic dynamometry. Whole body and appendicular lean and fat mass were assessed by dual-energy x-ray absorptiometry and computed tomography. Results. Both men and women lost strength, with men losing almost twice as much strength as women. Blacks lost about 28% more strength than did whites. Annualized rates of leg strength decline (3.4% in white men, 4.1% in black men, 2.6% in white women, and 3.0% in black women) were about three times greater than the rates of loss of leg lean mass (</w:instrText>
      </w:r>
      <w:r w:rsidR="00AC1341">
        <w:rPr>
          <w:rFonts w:ascii="Cambria Math" w:hAnsi="Cambria Math" w:cs="Cambria Math"/>
        </w:rPr>
        <w:instrText>∼</w:instrText>
      </w:r>
      <w:r w:rsidR="00AC1341">
        <w:instrText>1% per year). The loss of lean mass, as well as higher baseline strength, lower baseline leg lean mass, and older age, was independently associated with strength decline in both men and women. However, gain of lean mass was not accompanied by strength maintenance or gain (β coefficients; men, -0.48 ± 4.61, p = .92, women, -1.68 ± 3.57, p = .64). Conclusions. Although the loss of muscle mass is associated with the decline in strength in older adults, this strength decline is much more rapid than the concomitant loss of muscle mass, suggesting a decline in muscle quality. Moreover, maintaining or gaining muscle mass does not prevent aging-associated declines in muscle strength. Copyright 2006 by The Gerontological Society of America.","author":[{"dropping-particle":"","family":"Goodpaster","given":"Bret H.","non-dropping-particle":"","parse-names":false,"suffix":""},{"dropping-particle":"","family":"Study","given":"for the Health ABC","non-dropping-particle":"","parse-names":false,"suffix":""},{"dropping-particle":"","family":"Park","given":"Seok Won","non-dropping-particle":"","parse-names":false,"suffix":""},{"dropping-particle":"","family":"Study","given":"for the Health ABC","non-dropping-particle":"","parse-names":false,"suffix":""},{"dropping-particle":"","family":"Harris","given":"Tamara B.","non-dropping-particle":"","parse-names":false,"suffix":""},{"dropping-particle":"","family":"Study","given":"for the Health ABC","non-dropping-particle":"","parse-names":false,"suffix":""},{"dropping-particle":"","family":"Kritchevsky","given":"Steven B.","non-dropping-particle":"","parse-names":false,"suffix":""},{"dropping-particle":"","family":"Study","given":"for the Health ABC","non-dropping-particle":"","parse-names":false,"suffix":""},{"dropping-particle":"","family":"Nevitt","given":"Michael","non-dropping-particle":"","parse-names":false,"suffix":""},{"dropping-particle":"","family":"Study","given":"for the Health ABC","non-dropping-particle":"","parse-names":false,"suffix":""},{"dropping-particle":"V.","family":"Schwartz","given":"Ann","non-dropping-particle":"","parse-names":false,"suffix":""},{"dropping-particle":"","family":"Study","given":"for the Health ABC","non-dropping-particle":"","parse-names":false,"suffix":""},{"dropping-particle":"","family":"Simonsick","given":"Eleanor M.","non-dropping-particle":"","parse-names":false,"suffix":""},{"dropping-particle":"","family":"Study","given":"for the Health ABC","non-dropping-particle":"","parse-names":false,"suffix":""},{"dropping-particle":"","family":"Tylavsky","given":"Frances A.","non-dropping-particle":"","parse-names":false,"suffix":""},{"dropping-particle":"","family":"Study","given":"for the Health ABC","non-dropping-particle":"","parse-names":false,"suffix":""},{"dropping-particle":"","family":"Visser","given":"Marjolein","non-dropping-particle":"","parse-names":false,"suffix":""},{"dropping-particle":"","family":"Study","given":"for the Health ABC","non-dropping-particle":"","parse-names":false,"suffix":""},{"dropping-particle":"","family":"Newman","given":"Anne B.","non-dropping-particle":"","parse-names":false,"suffix":""},{"dropping-particle":"","family":"Study","given":"for the Health ABC","non-dropping-particle":"","parse-names":false,"suffix":""}],"container-title":"The Journals of Gerontology: Series A","id":"ITEM-2","issue":"10","issued":{"date-parts":[["2006","10","1"]]},"page":"1059-1064","publisher":"Oxford Academic","title":"The Loss of Skeletal Muscle Strength, Mass, and Quality in Older Adults: The Health, Aging and Body Composition Study","type":"article-journal","volume":"61"},"uris":["http://www.mendeley.com/documents/?uuid=c941e95d-1b09-3328-a769-b1fb19c426a6"]},{"id":"ITEM-3","itemData":{"DOI":"10.1152/JAPPL.2001.90.6.2157","abstract":"Although loss of muscle mass is considered a cause of diminished muscle strength with aging, little is known regarding whether composition of aging muscle affects strength. The skeletal muscle atte...","author":[{"dropping-particle":"","family":"Goodpaster","given":"Bret H.","non-dropping-particle":"","parse-names":false,"suffix":""},{"dropping-particle":"","family":"Carlson","given":"Catherine L.","non-dropping-particle":"","parse-names":false,"suffix":""},{"dropping-particle":"","family":"Visser","given":"Marjolein","non-dropping-particle":"","parse-names":false,"suffix":""},{"dropping-particle":"","family":"Kelley","given":"David E.","non-dropping-particle":"","parse-names":false,"suffix":""},{"dropping-particle":"","family":"Scherzinger","given":"Ann","non-dropping-particle":"","parse-names":false,"suffix":""},{"dropping-particle":"","family":"Harris","given":"Tamara B.","non-dropping-particle":"","parse-names":false,"suffix":""},{"dropping-particle":"","family":"Stamm","given":"Elizabeth","non-dropping-particle":"","parse-names":false,"suffix":""},{"dropping-particle":"","family":"Newman","given":"Anne B.","non-dropping-particle":"","parse-names":false,"suffix":""}],"container-title":"https://doi.org/10.1152/jappl.2001.90.6.2157","id":"ITEM-3","issue":"6","issued":{"date-parts":[["2001"]]},"page":"2157-2165","publisher":" American Physiological SocietyBethesda, MD ","title":"Attenuation of skeletal muscle and strength in the elderly: The Health ABC Study","type":"article-journal","volume":"90"},"uris":["http://www.mendeley.com/documents/?uuid=a4631c92-989a-3d9c-a257-1533d2e1e8ef"]},{"id":"ITEM-4","itemData":{"DOI":"10.3945/AJCN.2009.28047","ISSN":"00029165","PMID":"19864405","abstract":"Background: Sarcopenia is thought to be accompanied by increased muscle fat infiltration. However, no longitudinal studies have examined concomitant changes in muscle mass, strength, or fat infiltration in older adults. Objective: We present longitudinal data on age-related changes in leg composition, strength, and muscle quality (MQ) in ambulatory, well-functioning men and women. We hypothesized that muscle cross-sectional area (CSA) and strength would decrease and muscular fat infiltration would increase over 5 y. Design: Midthigh muscle, subcutaneous fat (SF), and intermuscular fat (IMF) CSAs and isokinetic leg muscle torque (MT) and MQ (MT/quadriceps CSA) were examined over 5 y in the Health, Aging, and Body Composition study cohort (n = 1678). Results: Men experienced a 16.1% loss of MT, whereas women experienced a 13.4% loss. Adjusted annualized decreases in MT were 2-5 times greater than the loss of muscle CSA in those who lost weight and in those who remained weight-stable. Weight gain did not prevent the loss of MT, despite a small increase in muscle CSA. Only those who gained weight had an increase in SF (P &lt; 0.001), whereas those who lost weight also lost SF (P &lt; 0.001). There was an age-related increase in IMF in men and women (P &lt; 0.001), and IMF increased in those who lost weight, gained weight, or remained weight-stable (all P &lt; 0.001). Conclusions: Loss of leg MT in older adults is greater than muscle CSA loss, which suggests a decrease in MQ. Additionally, aging is associated with an increase in IMF regardless of changes in weight or SF. © 2009 American Society for Nutrition.","author":[{"dropping-particle":"","family":"Delmonico","given":"Matthew J.","non-dropping-particle":"","parse-names":false,"suffix":""},{"dropping-particle":"","family":"Harris","given":"Tamara B.","non-dropping-particle":"","parse-names":false,"suffix":""},{"dropping-particle":"","family":"Visser","given":"Marjolein","non-dropping-particle":"","parse-names":false,"suffix":""},{"dropping-particle":"","family":"Park","given":"Seok Won","non-dropping-particle":"","parse-names":false,"suffix":""},{"dropping-particle":"","family":"Conroy","given":"Molly B.","non-dropping-particle":"","parse-names":false,"suffix":""},{"dropping-particle":"","family":"Velasquez-Mieyer","given":"Pedro","non-dropping-particle":"","parse-names":false,"suffix":""},{"dropping-particle":"","family":"Boudreau","given":"Robert","non-dropping-particle":"","parse-names":false,"suffix":""},{"dropping-particle":"","family":"Manini","given":"Todd M.","non-dropping-particle":"","parse-names":false,"suffix":""},{"dropping-particle":"","family":"Nevitt","given":"Michael","non-dropping-particle":"","parse-names":false,"suffix":""},{"dropping-particle":"","family":"Newman","given":"Anne B.","non-dropping-particle":"","parse-names":false,"suffix":""},{"dropping-particle":"","family":"Goodpaster","given":"Bret H.","non-dropping-particle":"","parse-names":false,"suffix":""}],"container-title":"The American Journal of Clinical Nutrition","id":"ITEM-4","issue":"6","issued":{"date-parts":[["2009","12","1"]]},"page":"1579","publisher":"American Society for Nutrition","title":"Longitudinal study of muscle strength, quality, and adipose tissue\n                        infiltration","type":"article-journal","volume":"90"},"uris":["http://www.mendeley.com/documents/?uuid=368299f7-745b-365d-962a-a2af8f464df2"]}],"mendeley":{"formattedCitation":"(10,54–56)","plainTextFormattedCitation":"(10,54–56)","previouslyFormattedCitation":"(10,54–56)"},"properties":{"noteIndex":0},"schema":"https://github.com/citation-style-language/schema/raw/master/csl-citation.json"}</w:instrText>
      </w:r>
      <w:r w:rsidR="000A6955">
        <w:fldChar w:fldCharType="separate"/>
      </w:r>
      <w:r w:rsidRPr="00A657B7">
        <w:rPr>
          <w:noProof/>
        </w:rPr>
        <w:t>(10,54–56)</w:t>
      </w:r>
      <w:r w:rsidR="000A6955">
        <w:fldChar w:fldCharType="end"/>
      </w:r>
      <w:r w:rsidR="00716746">
        <w:t xml:space="preserve"> supporting our findings</w:t>
      </w:r>
      <w:r w:rsidR="00E06015">
        <w:t xml:space="preserve">, while female sex and poor quality of life </w:t>
      </w:r>
      <w:r w:rsidR="00F63BEE">
        <w:lastRenderedPageBreak/>
        <w:t>(</w:t>
      </w:r>
      <w:r w:rsidR="00E06015">
        <w:t>according to HAS scores</w:t>
      </w:r>
      <w:r w:rsidR="00F63BEE">
        <w:t>)</w:t>
      </w:r>
      <w:r w:rsidR="00E06015">
        <w:t xml:space="preserve"> were associated with declines in muscle density in</w:t>
      </w:r>
      <w:r w:rsidR="005D7245">
        <w:t xml:space="preserve"> a study of </w:t>
      </w:r>
      <w:r w:rsidR="00AB419C">
        <w:t xml:space="preserve">patients with </w:t>
      </w:r>
      <w:r w:rsidR="005D7198">
        <w:t>r</w:t>
      </w:r>
      <w:r w:rsidR="00E06015">
        <w:t xml:space="preserve">heumatoid arthritis </w:t>
      </w:r>
      <w:r w:rsidR="00E06015">
        <w:fldChar w:fldCharType="begin" w:fldLock="1"/>
      </w:r>
      <w:r w:rsidR="00AC1341">
        <w:instrText>ADDIN CSL_CITATION {"citationItems":[{"id":"ITEM-1","itemData":{"ISSN":"21514658","PMID":"31841259","abstract":"Objective: Rheumatoid arthritis (RA) is associated with low muscle density due to the accumulation of intramuscular fat. The present study was undertaken to identify predictors of changes in muscle density and to determine whether low muscle density predicted changes in strength and physical function. Methods: Patients with RA, ages 18–70 years, completed whole-body dual-energy x-ray absorptiometry and peripheral quantitative computed tomography to quantify lean and fat mass indices and muscle density. Dynamometry was used to measure strength at the hand, knee, and lower leg. Disability and physical function were measured with the Health Assessment Questionnaire (HAQ) and the Short Physical Performance Battery (SPPB). Assessments were performed at baseline and at follow-up. Regression analyses assessed associations between patient characteristics, muscle density, and deteriorations in strength and function. Results: Muscle density was assessed at baseline in 107 patients with RA. Seventy-nine of these patients (74%) returned for a follow-up assessment at a median follow-up time of 2.71 years (interquartile range 2.35–3.57). Factors associated with declines in muscle density included female sex, higher disease activity, smoking, and lower insulin-like growth factor 1 (IGF-1) levels. Greater muscle density Z score at baseline (per 1 SD) was associated with less worsening per year according to HAQ, SPPB, and 4-meter walk time scores and a lower risk of a clinically important worsening in HAQ score (odds ratio [OR] 1.90 [95% confidence interval (95% CI) 1.06, 3.42]; P = 0.03) and walking speed (OR 2.87 [95% CI 1.05, 7.89]; P = 0.04). Conclusion: Worsening of skeletal muscle density occurred in patients with higher disease activity, in smokers, and in those with lower IGF-1. Low muscle density was associated with worsening of physical function. Interventions addressing reductions in muscle quality might prevent functional decline.","author":[{"dropping-particle":"","family":"Baker","given":"Joshua F.","non-dropping-particle":"","parse-names":false,"suffix":""},{"dropping-particle":"","family":"Mostoufi-Moab","given":"Sogol","non-dropping-particle":"","parse-names":false,"suffix":""},{"dropping-particle":"","family":"Long","given":"Jin","non-dropping-particle":"","parse-names":false,"suffix":""},{"dropping-particle":"","family":"Taratuta","given":"Elena","non-dropping-particle":"","parse-names":false,"suffix":""},{"dropping-particle":"","family":"Leonard","given":"Mary B.","non-dropping-particle":"","parse-names":false,"suffix":""},{"dropping-particle":"","family":"Zemel","given":"Babette","non-dropping-particle":"","parse-names":false,"suffix":""}],"container-title":"Arthritis Care and Research","id":"ITEM-1","issue":"3","issued":{"date-parts":[["2021","3","1"]]},"page":"355-363","publisher":"John Wiley and Sons Inc","title":"Association of Low Muscle Density With Deteriorations in Muscle Strength and Physical Functioning in Rheumatoid Arthritis","type":"article-journal","volume":"73"},"uris":["http://www.mendeley.com/documents/?uuid=5f547e6d-ae84-4d63-93a0-91d8aef50f58"]}],"mendeley":{"formattedCitation":"(45)","plainTextFormattedCitation":"(45)","previouslyFormattedCitation":"(45)"},"properties":{"noteIndex":0},"schema":"https://github.com/citation-style-language/schema/raw/master/csl-citation.json"}</w:instrText>
      </w:r>
      <w:r w:rsidR="00E06015">
        <w:fldChar w:fldCharType="separate"/>
      </w:r>
      <w:r w:rsidRPr="00A657B7">
        <w:rPr>
          <w:noProof/>
        </w:rPr>
        <w:t>(45)</w:t>
      </w:r>
      <w:r w:rsidR="00E06015">
        <w:fldChar w:fldCharType="end"/>
      </w:r>
      <w:r w:rsidR="00E06015">
        <w:t>.</w:t>
      </w:r>
      <w:r w:rsidR="00D75553">
        <w:t xml:space="preserve"> </w:t>
      </w:r>
      <w:r w:rsidR="00D75553" w:rsidRPr="00D75553">
        <w:rPr>
          <w:color w:val="000000"/>
          <w:shd w:val="clear" w:color="auto" w:fill="FFFFFF"/>
        </w:rPr>
        <w:t>Therefore, c</w:t>
      </w:r>
      <w:r w:rsidR="00D75553">
        <w:rPr>
          <w:color w:val="000000"/>
          <w:shd w:val="clear" w:color="auto" w:fill="FFFFFF"/>
        </w:rPr>
        <w:t xml:space="preserve">hanges in muscle density over time might </w:t>
      </w:r>
      <w:r w:rsidR="00BE4A13">
        <w:rPr>
          <w:color w:val="000000"/>
          <w:shd w:val="clear" w:color="auto" w:fill="FFFFFF"/>
        </w:rPr>
        <w:t>p</w:t>
      </w:r>
      <w:r w:rsidR="00D75553">
        <w:rPr>
          <w:color w:val="000000"/>
          <w:shd w:val="clear" w:color="auto" w:fill="FFFFFF"/>
        </w:rPr>
        <w:t xml:space="preserve">recede </w:t>
      </w:r>
      <w:r w:rsidR="00D75553" w:rsidRPr="005D7245">
        <w:rPr>
          <w:color w:val="000000"/>
          <w:shd w:val="clear" w:color="auto" w:fill="FFFFFF"/>
        </w:rPr>
        <w:t xml:space="preserve">adverse outcomes </w:t>
      </w:r>
      <w:r w:rsidR="00F00CEF" w:rsidRPr="005D7245">
        <w:rPr>
          <w:color w:val="000000"/>
          <w:shd w:val="clear" w:color="auto" w:fill="FFFFFF"/>
        </w:rPr>
        <w:t>such as falls and fractures</w:t>
      </w:r>
      <w:r w:rsidR="00716746">
        <w:rPr>
          <w:color w:val="000000"/>
          <w:shd w:val="clear" w:color="auto" w:fill="FFFFFF"/>
        </w:rPr>
        <w:t xml:space="preserve"> and</w:t>
      </w:r>
      <w:r w:rsidR="00D75553" w:rsidRPr="005D7245">
        <w:rPr>
          <w:color w:val="000000"/>
          <w:shd w:val="clear" w:color="auto" w:fill="FFFFFF"/>
        </w:rPr>
        <w:t xml:space="preserve"> may be a long‐term predictor of frailty</w:t>
      </w:r>
      <w:r w:rsidR="006D635F" w:rsidRPr="005D7245">
        <w:rPr>
          <w:color w:val="000000"/>
          <w:shd w:val="clear" w:color="auto" w:fill="FFFFFF"/>
        </w:rPr>
        <w:t>.</w:t>
      </w:r>
      <w:r w:rsidR="00B35183" w:rsidRPr="005D7245">
        <w:rPr>
          <w:color w:val="000000"/>
          <w:shd w:val="clear" w:color="auto" w:fill="FFFFFF"/>
        </w:rPr>
        <w:t xml:space="preserve"> </w:t>
      </w:r>
      <w:r w:rsidR="00716746">
        <w:t>It could be also suggested</w:t>
      </w:r>
      <w:r w:rsidR="005D7245" w:rsidRPr="005D7245">
        <w:t xml:space="preserve"> </w:t>
      </w:r>
      <w:r w:rsidR="0032753D" w:rsidRPr="005D7245">
        <w:t xml:space="preserve">that muscle density </w:t>
      </w:r>
      <w:r w:rsidR="005D7245" w:rsidRPr="005D7245">
        <w:t xml:space="preserve">could be </w:t>
      </w:r>
      <w:r w:rsidR="0032753D" w:rsidRPr="005D7245">
        <w:t xml:space="preserve">a more clinically meaningful surrogate of </w:t>
      </w:r>
      <w:r w:rsidR="00D85E21">
        <w:t xml:space="preserve">functional decline and disability </w:t>
      </w:r>
      <w:r w:rsidR="0032753D" w:rsidRPr="005D7245">
        <w:t>than muscle size</w:t>
      </w:r>
      <w:r w:rsidR="003C1320">
        <w:t xml:space="preserve"> or mass</w:t>
      </w:r>
      <w:r w:rsidR="00D85E21">
        <w:t xml:space="preserve"> </w:t>
      </w:r>
      <w:r w:rsidR="00716746">
        <w:t>but more studies are neede</w:t>
      </w:r>
      <w:r w:rsidR="00E249B3">
        <w:t xml:space="preserve">d to support this notion </w:t>
      </w:r>
      <w:r w:rsidR="00D85E21">
        <w:fldChar w:fldCharType="begin" w:fldLock="1"/>
      </w:r>
      <w:r w:rsidR="00AC1341">
        <w:instrText>ADDIN CSL_CITATION {"citationItems":[{"id":"ITEM-1","itemData":{"DOI":"10.1111/J.1532-5415.2009.02366.X","PMID":"19682143","abstract":"OBJECTIVES: To examine the association between strength, function, lean mass, muscle density, and risk of hospitalization. DESIGN: Prospective cohort study. SETTING: Two U.S. clinical centers. PARTICIPANTS: Adults aged 70 to 80 (N=3,011) from the Health, Aging and Body Composition Study. MEASUREMENTS: Measurements were of grip strength, knee extension strength, lean mass, walking speed, and chair stand pace. Thigh computed tomography scans assessed muscle area and density (a proxy for muscle fat infiltration). Hospitalizations were confirmed by local review of medical records. Negative binomial regression models estimated incident rate ratios (IRRs) of hospitalization for race- and sex-specific quartiles of each muscle and function parameter separately. Multivariate models adjusted for age, body mass index, health status, and coexisting medical conditions. RESULTS: During an average 4.7 years of follow-up, 1,678 (55.7%) participants experienced one or more hospitalizations. Participants in the lowest quartile of muscle density were more likely to be subsequently hospitalized (multivariate IRR=1.47, 95% confidence interval (CI)=1.24-1.73) than those in the highest quartile. Similarly, participants with the weakest grip strength were at greater risk of hospitalization (multivariate IRR=1.52, 95% CI=1.30-1.78, Q1 vs. Q4). Comparable results were seen for knee strength, walking pace, and chair stands pace. Lean mass and muscle area were not associated with risk of hospitalization. CONCLUSION: Weak strength, poor function, and low muscle density, but not muscle size or lean mass, were associated with greater risk of hospitalization. Interventions to reduce the disease burden associated with sarcopenia should focus on increasing muscle strength and improving physical function rather than simply increasing lean mass. © 2009, The American Geriatrics Society.","author":[{"dropping-particle":"","family":"Cawthon","given":"Peggy Mannen","non-dropping-particle":"","parse-names":false,"suffix":""},{"dropping-particle":"","family":"Fox","given":"Kathleen M.","non-dropping-particle":"","parse-names":false,"suffix":""},{"dropping-particle":"","family":"Gandra","given":"Shravanthi. R.","non-dropping-particle":"","parse-names":false,"suffix":""},{"dropping-particle":"","family":"Delmonico","given":"Matthew J.","non-dropping-particle":"","parse-names":false,"suffix":""},{"dropping-particle":"","family":"Chiou","given":"Chiun-Fang","non-dropping-particle":"","parse-names":false,"suffix":""},{"dropping-particle":"","family":"Anthony","given":"Mary S.","non-dropping-particle":"","parse-names":false,"suffix":""},{"dropping-particle":"","family":"Sewall","given":"Ase","non-dropping-particle":"","parse-names":false,"suffix":""},{"dropping-particle":"","family":"Goodpaster","given":"Bret","non-dropping-particle":"","parse-names":false,"suffix":""},{"dropping-particle":"","family":"Satterfield","given":"Suzanne","non-dropping-particle":"","parse-names":false,"suffix":""},{"dropping-particle":"","family":"Cummings","given":"Steven R.","non-dropping-particle":"","parse-names":false,"suffix":""},{"dropping-particle":"","family":"Harris","given":"Tamara B.","non-dropping-particle":"","parse-names":false,"suffix":""}],"container-title":"Journal of the American Geriatrics Society","id":"ITEM-1","issue":"8","issued":{"date-parts":[["2009","8"]]},"page":"1411","publisher":"NIH Public Access","title":"Do muscle mass, muscle density, strength and physical function similarly influence risk of hospitalization in older adults?","type":"article-journal","volume":"57"},"uris":["http://www.mendeley.com/documents/?uuid=0661b8dc-0bf1-333f-ac0c-fc0266ae5359"]},{"id":"ITEM-2","itemData":{"DOI":"10.1016/J.JAMDA.2020.06.052","abstract":"Objectives: There is increasing evidence that muscle volume and mass are poor predictors of muscle strength and physical performance. Other assessments of muscle quality such as skeletal muscle density measured by computed tomography (CT) may be more important. The aim of this study was to explore associations of muscle size and density with handgrip strength (HGS) and the Timed Up and Go test (TUG). We also hypothesized that the strength of these associations would depend on the specific muscle of muscle group, namely trunk, hip, and mid-thigh muscles. Design: Cross-sectional study. Setting and Participants: University hospital; 316 volunteers aged 59 to 85 years. Methods: HGS, TUG, and quantitative CT imaging of the lumber, hip, and mid-thigh were performed in volunteers. From the CT images, cross-sectional area and attenuation were determined for the gluteus muscle, trunk muscle at vertebrae L2 level, and mid-thigh muscle. Results: In men and women, associations of muscle area with TUG were insignificant after adjustment for age, height, and weight. Associations with HGS were only significant in men for the gluteus maximus and the mid-thigh but slopes were rather low (β &lt; 0.20). Associations between muscle density and TUG/HGS were more pronounced, in particular for HGS. After adjustment, associations with TUG were significant in women for the gluteus maximus and trunk muscle even (β −0.06, P.001 and β −0.07, P.031, respectively). Conclusions and Implications: Muscle density is more strongly associated with muscle strength than muscle size andin women muscle density was also more strongly associated than muscle size with physical performance. Therefore, muscle density may represent a more clinically meaningful surrogate of muscle performance than muscle size. Muscle density measurements of trunk and gluteus muscles can be easily obtained from routine CT scan and, therefore, may become an important measurement to diagnose and screen for sarcopenia.","author":[{"dropping-particle":"","family":"Wang","given":"Ling","non-dropping-particle":"","parse-names":false,"suffix":""},{"dropping-particle":"","family":"Yin","given":"Lu","non-dropping-particle":"","parse-names":false,"suffix":""},{"dropping-particle":"","family":"Zhao","given":"Yue","non-dropping-particle":"","parse-names":false,"suffix":""},{"dropping-particle":"","family":"Su","given":"Yongbin","non-dropping-particle":"","parse-names":false,"suffix":""},{"dropping-particle":"","family":"Sun","given":"Wei","non-dropping-particle":"","parse-names":false,"suffix":""},{"dropping-particle":"","family":"Chen","given":"Shuo","non-dropping-particle":"","parse-names":false,"suffix":""},{"dropping-particle":"","family":"Liu","given":"Yandong","non-dropping-particle":"","parse-names":false,"suffix":""},{"dropping-particle":"","family":"Yang","given":"Minghui","non-dropping-particle":"","parse-names":false,"suffix":""},{"dropping-particle":"","family":"Yu","given":"Aihong","non-dropping-particle":"","parse-names":false,"suffix":""},{"dropping-particle":"","family":"Guglielmi","given":"Giuseppe","non-dropping-particle":"","parse-names":false,"suffix":""},{"dropping-particle":"","family":"Blake","given":"Glen M.","non-dropping-particle":"","parse-names":false,"suffix":""},{"dropping-particle":"","family":"Cheng","given":"Xiaoguang","non-dropping-particle":"","parse-names":false,"suffix":""},{"dropping-particle":"","family":"Wu","given":"Xinbao","non-dropping-particle":"","parse-names":false,"suffix":""},{"dropping-particle":"","family":"Veldhuis-Vlug","given":"Annegreet G.","non-dropping-particle":"","parse-names":false,"suffix":""},{"dropping-particle":"","family":"Engelke","given":"Klaus","non-dropping-particle":"","parse-names":false,"suffix":""}],"container-title":"Journal of the American Medical Directors Association","id":"ITEM-2","issue":"4","issued":{"date-parts":[["2021","4","1"]]},"page":"751-759.e2","publisher":"Elsevier Inc.","title":"Muscle Density, but Not Size, Correlates Well With Muscle Strength and Physical Performance","type":"article-journal","volume":"22"},"uris":["http://www.mendeley.com/documents/?uuid=05b4842f-54a4-3464-afca-46a89b7bd228"]}],"mendeley":{"formattedCitation":"(20,57)","plainTextFormattedCitation":"(20,57)","previouslyFormattedCitation":"(20,57)"},"properties":{"noteIndex":0},"schema":"https://github.com/citation-style-language/schema/raw/master/csl-citation.json"}</w:instrText>
      </w:r>
      <w:r w:rsidR="00D85E21">
        <w:fldChar w:fldCharType="separate"/>
      </w:r>
      <w:r w:rsidRPr="00A657B7">
        <w:rPr>
          <w:noProof/>
        </w:rPr>
        <w:t>(20,57)</w:t>
      </w:r>
      <w:r w:rsidR="00D85E21">
        <w:fldChar w:fldCharType="end"/>
      </w:r>
      <w:r w:rsidR="0032753D" w:rsidRPr="005D7245">
        <w:t>.</w:t>
      </w:r>
      <w:r w:rsidR="0032753D">
        <w:t xml:space="preserve"> </w:t>
      </w:r>
    </w:p>
    <w:p w14:paraId="5B8EDF1F" w14:textId="4A962B1A" w:rsidR="007B665B" w:rsidRDefault="007B665B" w:rsidP="00B815E0">
      <w:pPr>
        <w:jc w:val="both"/>
        <w:rPr>
          <w:rFonts w:ascii="Arial" w:hAnsi="Arial" w:cs="Arial"/>
          <w:color w:val="1F1F1F"/>
          <w:shd w:val="clear" w:color="auto" w:fill="FFFFFF"/>
        </w:rPr>
      </w:pPr>
      <w:r>
        <w:rPr>
          <w:shd w:val="clear" w:color="auto" w:fill="FFFFFF"/>
        </w:rPr>
        <w:t>In our cohort, lifestyle factors such as physical activity, diet, smoking, and alcohol consumption were not associated with future muscle density.</w:t>
      </w:r>
      <w:r w:rsidR="00AC5D31" w:rsidRPr="00AC5D31">
        <w:rPr>
          <w:shd w:val="clear" w:color="auto" w:fill="FFFFFF"/>
        </w:rPr>
        <w:t xml:space="preserve"> </w:t>
      </w:r>
      <w:r w:rsidR="00AC5D31">
        <w:rPr>
          <w:shd w:val="clear" w:color="auto" w:fill="FFFFFF"/>
        </w:rPr>
        <w:t xml:space="preserve">Previous studies </w:t>
      </w:r>
      <w:r w:rsidR="00C503C3">
        <w:rPr>
          <w:shd w:val="clear" w:color="auto" w:fill="FFFFFF"/>
        </w:rPr>
        <w:t xml:space="preserve">have </w:t>
      </w:r>
      <w:r w:rsidR="00AC5D31">
        <w:rPr>
          <w:shd w:val="clear" w:color="auto" w:fill="FFFFFF"/>
        </w:rPr>
        <w:t xml:space="preserve">examined the effect of smoking </w:t>
      </w:r>
      <w:r w:rsidR="00C503C3">
        <w:rPr>
          <w:shd w:val="clear" w:color="auto" w:fill="FFFFFF"/>
        </w:rPr>
        <w:t>o</w:t>
      </w:r>
      <w:r w:rsidR="00AC5D31">
        <w:rPr>
          <w:shd w:val="clear" w:color="auto" w:fill="FFFFFF"/>
        </w:rPr>
        <w:t xml:space="preserve">n muscle mass </w:t>
      </w:r>
      <w:r w:rsidR="00F63BEE">
        <w:rPr>
          <w:shd w:val="clear" w:color="auto" w:fill="FFFFFF"/>
        </w:rPr>
        <w:t xml:space="preserve">and </w:t>
      </w:r>
      <w:r w:rsidR="00AC5D31">
        <w:rPr>
          <w:shd w:val="clear" w:color="auto" w:fill="FFFFFF"/>
        </w:rPr>
        <w:t xml:space="preserve">strength in older adults, but not muscle density </w:t>
      </w:r>
      <w:r w:rsidR="00A657B7">
        <w:rPr>
          <w:shd w:val="clear" w:color="auto" w:fill="FFFFFF"/>
        </w:rPr>
        <w:t xml:space="preserve">in </w:t>
      </w:r>
      <w:r w:rsidR="00545B61">
        <w:rPr>
          <w:shd w:val="clear" w:color="auto" w:fill="FFFFFF"/>
        </w:rPr>
        <w:t xml:space="preserve">the </w:t>
      </w:r>
      <w:r w:rsidR="00A657B7">
        <w:rPr>
          <w:shd w:val="clear" w:color="auto" w:fill="FFFFFF"/>
        </w:rPr>
        <w:t xml:space="preserve">general population </w:t>
      </w:r>
      <w:r w:rsidR="00AC5D31">
        <w:rPr>
          <w:shd w:val="clear" w:color="auto" w:fill="FFFFFF"/>
        </w:rPr>
        <w:fldChar w:fldCharType="begin" w:fldLock="1"/>
      </w:r>
      <w:r w:rsidR="00AC1341">
        <w:rPr>
          <w:shd w:val="clear" w:color="auto" w:fill="FFFFFF"/>
        </w:rPr>
        <w:instrText xml:space="preserve">ADDIN CSL_CITATION {"citationItems":[{"id":"ITEM-1","itemData":{"DOI":"10.1016/j.puhe.2021.01.017","ISSN":"14765616","PMID":"33773322","abstract":"Introduction: The association of tobacco use and incidence of muscle impairments has not been extensively explored in research. In this study, the relationship between smoking and the incidence of sarcopenia is investigated. Methods: The present longitudinal study used data from the Sarcopenia and Physical Impairment with advancing Age (SarcoPhAge) cohort, which includes older adults aged ≥65 years. All individuals with follow-up data on muscle health were included in this post hoc analysis. A diagnosis of sarcopenia was established, at each year of follow-up, according to the European Working Group on Sarcopenia in older People 2 (EWGSOP2) criteria. A sensitivity analysis was performed using other diagnostic criteria for sarcopenia. The smoking status and the number of cigarettes smoked per day were self-reported. The relationship between smoking status or the number of cigarettes smoked per day and the incidence of sarcopenia/severe sarcopenia throughout the 5 years of follow-up was evaluated using the Cox proportional hazards model. Results: In total, the study population included 420 participants, with a median age of 71.7 years (P25–P75 = 67.7–76.9 years) and 59.8% were female. Over the 5 years of follow-up, 78 participants (18.6%) became sarcopenic as per the EWGSOP2 criteria and 41 individuals (9.8%) developed severe sarcopenia. There were significantly more smokers than non-smokers who developed sarcopenia (35.9% vs 16.8%, P-value = 0.003). A fully adjusted Cox model confirmed this observation, yielding a hazard ratio of 2.36 (95% confidence interval [CI]: 1.31–4.26), meaning that smokers have a 2.36-fold higher risk of developing sarcopenia. Furthermore, individuals who smoked had a 2.68 times increased risk of developing severe sarcopenia (95% CI: 1.21–5.93) than those who did not smoke. Sensitivity analyses globally confirmed these findings when applying other diagnostic criteria for sarcopenia. Discussion: Smoking seems to be an important predictor for the onset of sarcopenia, highlighting, once again, that tobacco use is a major public health problem.","author":[{"dropping-particle":"","family":"Locquet","given":"M.","non-dropping-particle":"","parse-names":false,"suffix":""},{"dropping-particle":"","family":"Bruyère","given":"O.","non-dropping-particle":"","parse-names":false,"suffix":""},{"dropping-particle":"","family":"Lengelé","given":"L.","non-dropping-particle":"","parse-names":false,"suffix":""},{"dropping-particle":"","family":"Reginster","given":"J. Y.","non-dropping-particle":"","parse-names":false,"suffix":""},{"dropping-particle":"","family":"Beaudart","given":"C.","non-dropping-particle":"","parse-names":false,"suffix":""}],"container-title":"Public Health","id":"ITEM-1","issued":{"date-parts":[["2021","4","1"]]},"page":"101-108","publisher":"Elsevier B.V.","title":"Relationship between smoking and the incidence of sarcopenia: The SarcoPhAge cohort","type":"article-journal","volume":"193"},"uris":["http://www.mendeley.com/documents/?uuid=8a4b6245-6f18-3b8f-81a8-a0975d8d75c4"]},{"id":"ITEM-2","itemData":{"ISBN":"80/2/496/4690338","abstract":"Background: Aging-related sarcopenia is characterized by a loss of muscle mass and strength and increased fatigability. However, studies of its determinants in elderly men are scarce. Objective: We investigated risk factors for sarcopenia in a large cohort of men. Design: We analyzed 845 men aged 45-85 y who belonged to the MINOS cohort. Lifestyle factors (physical activity, tobacco smoking , alcohol intake, caffeine intake) were evaluated by using a standardized questionnaire. Appendicular skeletal muscle mass (ASM) was estimated by using dual-energy X-ray absorptiometry. The relative appendicular skeletal muscle mass index (RASM) was calculated as ASM/body height 2.3. Apparent free testosterone concentration (AFTC) and free testosterone index (FTI) were calculated on the basis of concentrations of total testosterone and sex hormone-binding globulin. Results: RASM decreased with age (r 0.29, P </w:instrText>
      </w:r>
      <w:r w:rsidR="00AC1341">
        <w:rPr>
          <w:rFonts w:ascii="Calibri" w:hAnsi="Calibri" w:cs="Calibri"/>
          <w:shd w:val="clear" w:color="auto" w:fill="FFFFFF"/>
        </w:rPr>
        <w:instrText></w:instrText>
      </w:r>
      <w:r w:rsidR="00AC1341">
        <w:rPr>
          <w:shd w:val="clear" w:color="auto" w:fill="FFFFFF"/>
        </w:rPr>
        <w:instrText xml:space="preserve"> 0.0001). Current smokers had lower RASM than did subjects who never smoked (3.2%; P </w:instrText>
      </w:r>
      <w:r w:rsidR="00AC1341">
        <w:rPr>
          <w:rFonts w:ascii="Calibri" w:hAnsi="Calibri" w:cs="Calibri"/>
          <w:shd w:val="clear" w:color="auto" w:fill="FFFFFF"/>
        </w:rPr>
        <w:instrText></w:instrText>
      </w:r>
      <w:r w:rsidR="00AC1341">
        <w:rPr>
          <w:shd w:val="clear" w:color="auto" w:fill="FFFFFF"/>
        </w:rPr>
        <w:instrText xml:space="preserve"> 0.003). RASM increased with the intensity of physical activity at work (P for trend </w:instrText>
      </w:r>
      <w:r w:rsidR="00AC1341">
        <w:rPr>
          <w:rFonts w:ascii="Calibri" w:hAnsi="Calibri" w:cs="Calibri"/>
          <w:shd w:val="clear" w:color="auto" w:fill="FFFFFF"/>
        </w:rPr>
        <w:instrText></w:instrText>
      </w:r>
      <w:r w:rsidR="00AC1341">
        <w:rPr>
          <w:shd w:val="clear" w:color="auto" w:fill="FFFFFF"/>
        </w:rPr>
        <w:instrText xml:space="preserve"> 0.001). Men who participated in regular exercise during leisure time had 2.2% higher RASM than did those who did not (P </w:instrText>
      </w:r>
      <w:r w:rsidR="00AC1341">
        <w:rPr>
          <w:rFonts w:ascii="Calibri" w:hAnsi="Calibri" w:cs="Calibri"/>
          <w:shd w:val="clear" w:color="auto" w:fill="FFFFFF"/>
        </w:rPr>
        <w:instrText></w:instrText>
      </w:r>
      <w:r w:rsidR="00AC1341">
        <w:rPr>
          <w:shd w:val="clear" w:color="auto" w:fill="FFFFFF"/>
        </w:rPr>
        <w:instrText xml:space="preserve"> 0.03). Men whose values for AFTC, FTI, or 25-hydroxycholecalciferol [25(OH)D] were </w:instrText>
      </w:r>
      <w:r w:rsidR="00AC1341">
        <w:rPr>
          <w:rFonts w:ascii="Calibri" w:hAnsi="Calibri" w:cs="Calibri"/>
          <w:shd w:val="clear" w:color="auto" w:fill="FFFFFF"/>
        </w:rPr>
        <w:instrText></w:instrText>
      </w:r>
      <w:r w:rsidR="00AC1341">
        <w:rPr>
          <w:shd w:val="clear" w:color="auto" w:fill="FFFFFF"/>
        </w:rPr>
        <w:instrText>2 SDs below the mean for young men had significantly lower RASM than did men with higher values. Men with sarcopenia, defined as the lowest quartile of RASM in the studied cohort (</w:instrText>
      </w:r>
      <w:r w:rsidR="00AC1341">
        <w:rPr>
          <w:rFonts w:ascii="Calibri" w:hAnsi="Calibri" w:cs="Calibri"/>
          <w:shd w:val="clear" w:color="auto" w:fill="FFFFFF"/>
        </w:rPr>
        <w:instrText></w:instrText>
      </w:r>
      <w:r w:rsidR="00AC1341">
        <w:rPr>
          <w:shd w:val="clear" w:color="auto" w:fill="FFFFFF"/>
        </w:rPr>
        <w:instrText>6.32 kg/m 2.3), were significantly older than men with normal RASM, weighed significantly less, smoked more, and spent significantly less time on leisure-time activities. Sarcopenic men also had lower values for testosterone, AFTC, FTI, and 25(OH)D. Conclusion: In elderly men, low physical activity, tobacco smoking , thinness, low testosterone (AFTC and FTI), and decreased 25(OH)D concentrations are risk factors for sarcopenia.","author":[{"dropping-particle":"","family":"Szulc","given":"Pawel","non-dropping-particle":"","parse-names":false,"suffix":""},{"dropping-particle":"","family":"Duboeuf","given":"François","non-dropping-particle":"","parse-names":false,"suffix":""},{"dropping-particle":"","family":"Marchand","given":"François","non-dropping-particle":"","parse-names":false,"suffix":""},{"dropping-particle":"","family":"Delmas","given":"Pierre D","non-dropping-particle":"","parse-names":false,"suffix":""}],"container-title":"Am J Clin Nutr","id":"ITEM-2","issued":{"date-parts":[["2004"]]},"number-of-pages":"496-503","title":"Hormonal and lifestyle determinants of appendicular skeletal muscle mass in men: the MINOS study 1-3","type":"report","volume":"80"},"uris":["http://www.mendeley.com/documents/?uuid=d236dd34-2f70-4a5e-b90b-6f35051e1217"]}],"mendeley":{"formattedCitation":"(58,59)","plainTextFormattedCitation":"(58,59)","previouslyFormattedCitation":"(58,59)"},"properties":{"noteIndex":0},"schema":"https://github.com/citation-style-language/schema/raw/master/csl-citation.json"}</w:instrText>
      </w:r>
      <w:r w:rsidR="00AC5D31">
        <w:rPr>
          <w:shd w:val="clear" w:color="auto" w:fill="FFFFFF"/>
        </w:rPr>
        <w:fldChar w:fldCharType="separate"/>
      </w:r>
      <w:r w:rsidR="00A657B7" w:rsidRPr="00A657B7">
        <w:rPr>
          <w:noProof/>
          <w:shd w:val="clear" w:color="auto" w:fill="FFFFFF"/>
        </w:rPr>
        <w:t>(58,59)</w:t>
      </w:r>
      <w:r w:rsidR="00AC5D31">
        <w:rPr>
          <w:shd w:val="clear" w:color="auto" w:fill="FFFFFF"/>
        </w:rPr>
        <w:fldChar w:fldCharType="end"/>
      </w:r>
      <w:r w:rsidR="00A657B7">
        <w:rPr>
          <w:shd w:val="clear" w:color="auto" w:fill="FFFFFF"/>
        </w:rPr>
        <w:t xml:space="preserve">, though </w:t>
      </w:r>
      <w:r w:rsidR="005D7245">
        <w:rPr>
          <w:shd w:val="clear" w:color="auto" w:fill="FFFFFF"/>
        </w:rPr>
        <w:t>one</w:t>
      </w:r>
      <w:r w:rsidR="00AC5D31">
        <w:rPr>
          <w:shd w:val="clear" w:color="auto" w:fill="FFFFFF"/>
        </w:rPr>
        <w:t xml:space="preserve"> study examining factors associated with declines in pQCT derived-muscle density in </w:t>
      </w:r>
      <w:r w:rsidR="00C503C3">
        <w:rPr>
          <w:shd w:val="clear" w:color="auto" w:fill="FFFFFF"/>
        </w:rPr>
        <w:t>r</w:t>
      </w:r>
      <w:r w:rsidR="00AC5D31">
        <w:rPr>
          <w:shd w:val="clear" w:color="auto" w:fill="FFFFFF"/>
        </w:rPr>
        <w:t xml:space="preserve">heumatoid arthritis patients </w:t>
      </w:r>
      <w:r w:rsidR="00C90286">
        <w:rPr>
          <w:shd w:val="clear" w:color="auto" w:fill="FFFFFF"/>
        </w:rPr>
        <w:t>showed</w:t>
      </w:r>
      <w:r w:rsidR="00AC5D31">
        <w:rPr>
          <w:shd w:val="clear" w:color="auto" w:fill="FFFFFF"/>
        </w:rPr>
        <w:t xml:space="preserve"> that active smoking </w:t>
      </w:r>
      <w:r w:rsidR="00545B61">
        <w:rPr>
          <w:shd w:val="clear" w:color="auto" w:fill="FFFFFF"/>
        </w:rPr>
        <w:t xml:space="preserve">was </w:t>
      </w:r>
      <w:r w:rsidR="00AC5D31">
        <w:rPr>
          <w:shd w:val="clear" w:color="auto" w:fill="FFFFFF"/>
        </w:rPr>
        <w:t xml:space="preserve">associated with lower muscle density </w:t>
      </w:r>
      <w:r w:rsidR="00AC5D31">
        <w:rPr>
          <w:shd w:val="clear" w:color="auto" w:fill="FFFFFF"/>
        </w:rPr>
        <w:fldChar w:fldCharType="begin" w:fldLock="1"/>
      </w:r>
      <w:r w:rsidR="00AC1341">
        <w:rPr>
          <w:shd w:val="clear" w:color="auto" w:fill="FFFFFF"/>
        </w:rPr>
        <w:instrText>ADDIN CSL_CITATION {"citationItems":[{"id":"ITEM-1","itemData":{"DOI":"10.1111/ACEL.12568","ISSN":"1474-9726","PMID":"28181388","abstract":"Skeletal muscle mitochondrial oxidative capacity declines with age and negatively affects walking performance, but the mechanism for this association is not fully clear. We tested the hypothesis that impaired oxidative capacity affects muscle performance and, through this mechanism, has a negative effect on walking speed. Muscle mitochondrial oxidative capacity was measured by in vivo phosphorus magnetic resonance spectroscopy as the postexercise phosphocreatine resynthesis rate, kPCr, in 326 participants (154 men), aged 24–97 years (mean 71), in the Baltimore Longitudinal Study of Aging. Muscle strength and quality were determined by knee extension isokinetic strength, and the ratio of knee extension strength to thigh muscle cross-sectional area derived from computed topography, respectively. Four walking tasks were evaluated: a usual pace over 6 m and for 150 s, and a rapid pace over 6 m and 400 m. In multivariate linear regression analyses, kPCr was associated with muscle strength (β = 0.140, P = 0.007) and muscle quality (β = 0.127, P = 0.022), independent of age, sex, height, and weight; muscle strength was also a significant independent correlate of walking speed (P &lt; 0.02 for all tasks) and in a formal mediation analysis significantly attenuated the association between kPCr and three of four walking tasks (18–29% reduction in β for kPCr). This is the first demonstration in human adults that mitochondrial function affects muscle strength and that inefficiency in muscle bioenergetics partially accounts for differences in mobility through this mechanism.","author":[{"dropping-particle":"","family":"Zane","given":"Ariel C.","non-dropping-particle":"","parse-names":false,"suffix":""},{"dropping-particle":"","family":"Reiter","given":"David A.","non-dropping-particle":"","parse-names":false,"suffix":""},{"dropping-particle":"","family":"Shardell","given":"Michelle","non-dropping-particle":"","parse-names":false,"suffix":""},{"dropping-particle":"","family":"Cameron","given":"Donnie","non-dropping-particle":"","parse-names":false,"suffix":""},{"dropping-particle":"","family":"Simonsick","given":"Eleanor M.","non-dropping-particle":"","parse-names":false,"suffix":""},{"dropping-particle":"","family":"Fishbein","given":"Kenneth W.","non-dropping-particle":"","parse-names":false,"suffix":""},{"dropping-particle":"","family":"Studenski","given":"Stephanie A.","non-dropping-particle":"","parse-names":false,"suffix":""},{"dropping-particle":"","family":"Spencer","given":"Richard G.","non-dropping-particle":"","parse-names":false,"suffix":""},{"dropping-particle":"","family":"Ferrucci","given":"Luigi","non-dropping-particle":"","parse-names":false,"suffix":""}],"container-title":"Aging Cell","id":"ITEM-1","issue":"3","issued":{"date-parts":[["2017","6","1"]]},"page":"461-468","publisher":"John Wiley &amp; Sons, Ltd","title":"Muscle strength mediates the relationship between mitochondrial energetics and walking performance","type":"article-journal","volume":"16"},"uris":["http://www.mendeley.com/documents/?uuid=d770266b-068e-334c-98a0-1525360d43e9"]}],"mendeley":{"formattedCitation":"(60)","plainTextFormattedCitation":"(60)","previouslyFormattedCitation":"(60)"},"properties":{"noteIndex":0},"schema":"https://github.com/citation-style-language/schema/raw/master/csl-citation.json"}</w:instrText>
      </w:r>
      <w:r w:rsidR="00AC5D31">
        <w:rPr>
          <w:shd w:val="clear" w:color="auto" w:fill="FFFFFF"/>
        </w:rPr>
        <w:fldChar w:fldCharType="separate"/>
      </w:r>
      <w:r w:rsidR="00A657B7" w:rsidRPr="00A657B7">
        <w:rPr>
          <w:noProof/>
          <w:shd w:val="clear" w:color="auto" w:fill="FFFFFF"/>
        </w:rPr>
        <w:t>(60)</w:t>
      </w:r>
      <w:r w:rsidR="00AC5D31">
        <w:rPr>
          <w:shd w:val="clear" w:color="auto" w:fill="FFFFFF"/>
        </w:rPr>
        <w:fldChar w:fldCharType="end"/>
      </w:r>
      <w:r w:rsidR="00AC5D31">
        <w:rPr>
          <w:shd w:val="clear" w:color="auto" w:fill="FFFFFF"/>
        </w:rPr>
        <w:t xml:space="preserve">. In addition, the toxic effects of </w:t>
      </w:r>
      <w:r w:rsidR="005D7245">
        <w:rPr>
          <w:shd w:val="clear" w:color="auto" w:fill="FFFFFF"/>
        </w:rPr>
        <w:t xml:space="preserve">excess </w:t>
      </w:r>
      <w:r w:rsidR="00AC5D31">
        <w:rPr>
          <w:shd w:val="clear" w:color="auto" w:fill="FFFFFF"/>
        </w:rPr>
        <w:t xml:space="preserve">alcohol on skeletal muscle are </w:t>
      </w:r>
      <w:r w:rsidR="005D7245">
        <w:rPr>
          <w:shd w:val="clear" w:color="auto" w:fill="FFFFFF"/>
        </w:rPr>
        <w:t xml:space="preserve">recognised as </w:t>
      </w:r>
      <w:r w:rsidR="00AC5D31">
        <w:rPr>
          <w:shd w:val="clear" w:color="auto" w:fill="FFFFFF"/>
        </w:rPr>
        <w:t xml:space="preserve">important </w:t>
      </w:r>
      <w:r w:rsidR="00AC5D31">
        <w:rPr>
          <w:shd w:val="clear" w:color="auto" w:fill="FFFFFF"/>
        </w:rPr>
        <w:fldChar w:fldCharType="begin" w:fldLock="1"/>
      </w:r>
      <w:r w:rsidR="00AC1341">
        <w:rPr>
          <w:shd w:val="clear" w:color="auto" w:fill="FFFFFF"/>
        </w:rPr>
        <w:instrText>ADDIN CSL_CITATION {"citationItems":[{"id":"ITEM-1","itemData":{"DOI":"10.1136/bmj.315.7112.841","ISSN":"09598146","PMID":"9353503","abstract":"Objective: To determine the magnitude and importance of the relation between smoking, bone mineral density, and risk of hip fracture according to age. Design: Meta-analysis of 29 published cross sectional studies reporting the difference in bone density in 2156 smokers and 9705 non-smokers according to age, and of 19 cohort and case-control studies recording 3889 hip fractures reporting risk in smokers relative to non-smokers. Results: In premenopausal women bone density was similar in smokers and non-smokers. Postmenopausal bone loss was greater in current smokers than non-smokers, bone density diminishing by about an additional 2% for every 10 year increase in age, with a difference of 6% at age 80. In current smokers relative to non-smokers the risk of hip fracture was similar at age 50 but greater thereafter by an estimated 17% at age 60, 41% at 70, 71% at 80, and 108% at 90. These estimates of relative risk by age, derived directly from a regression analysis of the studies of smoking and hip fracture, were close to estimates using the difference in bone density between smokers and non-smokers and the association between bone density and risk of hip fracture. The estimated cumulative risk of hip fracture in women in England was 19% in smokers and 12% in non-smokers to age 85; 37% and 22% to age 90. Among all women, one hip fracture in eight is attributable to smoking. Limited data in men suggest a similar proportionate effect of smoking as in women. The association was not explained by smokers being thinner, younger at menopause, and exercising less nor by actions of smoking on oestrogen, but smoking may have a direct action on bone. Conclusions: Hip fracture in old age is a major adverse effect of smoking after the menopause. The cumulative excess bone loss over decades is substantial, increasing the lifetime risk of hip fracture by about half.","author":[{"dropping-particle":"","family":"Law","given":"M. R.","non-dropping-particle":"","parse-names":false,"suffix":""},{"dropping-particle":"","family":"Hackshaw","given":"A. K.","non-dropping-particle":"","parse-names":false,"suffix":""}],"container-title":"British Medical Journal","id":"ITEM-1","issue":"7112","issued":{"date-parts":[["1997"]]},"page":"841-846","publisher":"BMJ Publishing Group","title":"A meta-analysis of cigarette smoking, bone mineral density and risk of hip fracture: Recognition of a major effect","type":"article-journal","volume":"315"},"uris":["http://www.mendeley.com/documents/?uuid=9730300a-a67c-335e-a1af-99564d6a41b1"]},{"id":"ITEM-2","itemData":{"DOI":"10.1038/s41598-019-47787-0","ISSN":"2045-2322","PMID":"31427589","abstract":"Problematic drinking behavior is common in the old and negative consequences of hypoglycemic episodes in type 2 diabetes (T2D) as a result of alcohol consumption have been described previously. Although, associations between such hypoglycemic episodes with reduced muscle mass are discussed, it is uncertain if problematic drinking behavior drives decline of muscle mass and/or muscle function. In the current study, we analyzed data of the Berlin Aging Study II (BASE-II) to examine the association of problematic drinking behavior with muscle mass and grip strength in T2D. Cross-sectional data of 1451 old BASE-II participants (51.6% women; 60–84 years old) were analyzed. Problematic drinking behavior was assessed using the Alcohol Use Identification Test (AUDIT). Muscle mass was measured using dual energy X-ray absorptiometry (DXA), grip strength using a Smedley dynamometer. Adjusted regression models were calculated to assess the association of problematic drinking with muscle mass and grip strength. Problematic drinking was evident in 11.2% of BASE-II participants and in 12.5% of BASE-II participants diabetes was evident. In the fully adjusted model (adjusted for age, trunk fat mass, HbA1c, antidiabetic medication, TSH, CRP, testosterone, physical inactivity, depression (GDS-score), morbidities, smoking status and total energy intake/day, we found a statistically significant association between problematic drinking and muscle mass (β-3.7, SE: 1.3, R2 0.481, partial eta square 0.166, observed power 0.816, p-value 0.005) and grip strength (β-8.1, SE: 3.3, R2 0.222, partial eta square 0.134, observed power 0.670, p-value 0.018) in old diabetic men. These associations were not evident in women and subjects without T2D. Problematic drinking behavior was associated with lower muscle mass and grip strength in old men with diabetes. This topic should be addressed in these subjects as they could be at increased risk for early functional decline, sarcopenia or frailty.","author":[{"dropping-particle":"","family":"Buchmann","given":"Nikolaus","non-dropping-particle":"","parse-names":false,"suffix":""},{"dropping-particle":"","family":"Spira","given":"Dominik","non-dropping-particle":"","parse-names":false,"suffix":""},{"dropping-particle":"","family":"König","given":"Maximilian","non-dropping-particle":"","parse-names":false,"suffix":""},{"dropping-particle":"","family":"Norman","given":"Kristina","non-dropping-particle":"","parse-names":false,"suffix":""},{"dropping-particle":"","family":"Demuth","given":"Ilja","non-dropping-particle":"","parse-names":false,"suffix":""},{"dropping-particle":"","family":"Steinhagen-Thiessen","given":"Elisabeth","non-dropping-particle":"","parse-names":false,"suffix":""}],"container-title":"Scientific Reports 2019 9:1","id":"ITEM-2","issue":"1","issued":{"date-parts":[["2019","8","19"]]},"page":"1-8","publisher":"Nature Publishing Group","title":"Problematic drinking in the old and its association with muscle mass and muscle function in type II diabetes","type":"article-journal","volume":"9"},"uris":["http://www.mendeley.com/documents/?uuid=2f99fa92-c7f0-343b-9380-54ad9187894b"]}],"mendeley":{"formattedCitation":"(61,62)","plainTextFormattedCitation":"(61,62)","previouslyFormattedCitation":"(61,62)"},"properties":{"noteIndex":0},"schema":"https://github.com/citation-style-language/schema/raw/master/csl-citation.json"}</w:instrText>
      </w:r>
      <w:r w:rsidR="00AC5D31">
        <w:rPr>
          <w:shd w:val="clear" w:color="auto" w:fill="FFFFFF"/>
        </w:rPr>
        <w:fldChar w:fldCharType="separate"/>
      </w:r>
      <w:r w:rsidR="00A657B7" w:rsidRPr="00A657B7">
        <w:rPr>
          <w:noProof/>
          <w:shd w:val="clear" w:color="auto" w:fill="FFFFFF"/>
        </w:rPr>
        <w:t>(61,62)</w:t>
      </w:r>
      <w:r w:rsidR="00AC5D31">
        <w:rPr>
          <w:shd w:val="clear" w:color="auto" w:fill="FFFFFF"/>
        </w:rPr>
        <w:fldChar w:fldCharType="end"/>
      </w:r>
      <w:r w:rsidR="00AC5D31">
        <w:rPr>
          <w:shd w:val="clear" w:color="auto" w:fill="FFFFFF"/>
        </w:rPr>
        <w:t xml:space="preserve">; </w:t>
      </w:r>
      <w:r w:rsidR="00CA4D7A">
        <w:rPr>
          <w:shd w:val="clear" w:color="auto" w:fill="FFFFFF"/>
        </w:rPr>
        <w:t xml:space="preserve">however, </w:t>
      </w:r>
      <w:r w:rsidR="00AC5D31">
        <w:rPr>
          <w:shd w:val="clear" w:color="auto" w:fill="FFFFFF"/>
        </w:rPr>
        <w:t>a recent meta-analysis did not show alcohol as a risk factor for sarcopenia</w:t>
      </w:r>
      <w:r w:rsidR="00C90286">
        <w:rPr>
          <w:shd w:val="clear" w:color="auto" w:fill="FFFFFF"/>
        </w:rPr>
        <w:t xml:space="preserve"> </w:t>
      </w:r>
      <w:r w:rsidR="00AC5D31">
        <w:rPr>
          <w:shd w:val="clear" w:color="auto" w:fill="FFFFFF"/>
        </w:rPr>
        <w:fldChar w:fldCharType="begin" w:fldLock="1"/>
      </w:r>
      <w:r w:rsidR="00AC1341">
        <w:rPr>
          <w:shd w:val="clear" w:color="auto" w:fill="FFFFFF"/>
        </w:rPr>
        <w:instrText>ADDIN CSL_CITATION {"citationItems":[{"id":"ITEM-1","itemData":{"DOI":"10.2147/CIA.S132940","ISSN":"11781998","PMID":"28553092","abstract":"Physical activity (PA) has been identified as beneficial for many diseases and health disorders, including sarcopenia. The positive influence of PA interventions on sarcopenia has been described previously on many occasions. Current reviews on the topic include studies with varied PA interventions for sarcopenia; nevertheless, no systematic review exploring the effects of PA in general on sarcopenia has been published. The main aim of this study was to explore the relationship between PA and sarcopenia in older people on the basis of cross-sectional and cohort studies. We searched PubMed, Scopus, EBSCOhost, and ScienceDirect for articles addressing the relationship between PA and sarcopenia. Twenty-five articles were ultimately included in the qualitative and quantitative syntheses. A statistically significant association between PA and sarcopenia was documented in most of the studies, as well as the protective role of PA against sarcopenia development. Furthermore, the meta-analysis indicated that PA reduces the odds of acquiring sarcopenia in later life (odds ratio [OR] =0.45; 95% confidence interval [CI] 0.37–0.55). The results of this systematic review and meta-analysis confirm the beneficial influence of PA in general for the prevention of sarcopenia.","author":[{"dropping-particle":"","family":"Steffl","given":"Michal","non-dropping-particle":"","parse-names":false,"suffix":""},{"dropping-particle":"","family":"Bohannon","given":"Richard W.","non-dropping-particle":"","parse-names":false,"suffix":""},{"dropping-particle":"","family":"Sontakova","given":"Lenka","non-dropping-particle":"","parse-names":false,"suffix":""},{"dropping-particle":"","family":"Tufano","given":"James J.","non-dropping-particle":"","parse-names":false,"suffix":""},{"dropping-particle":"","family":"Shiells","given":"Kate","non-dropping-particle":"","parse-names":false,"suffix":""},{"dropping-particle":"","family":"Holmerova","given":"Iva","non-dropping-particle":"","parse-names":false,"suffix":""}],"container-title":"Clinical Interventions in Aging","id":"ITEM-1","issued":{"date-parts":[["2017","5","17"]]},"page":"835-845","publisher":"Dove Medical Press Ltd.","title":"Relationship between sarcopenia and physical activity in older people: A systematic review and meta-analysis","type":"article","volume":"12"},"uris":["http://www.mendeley.com/documents/?uuid=08ddedd8-cd7d-49c9-b094-11f9d3258a73"]}],"mendeley":{"formattedCitation":"(63)","plainTextFormattedCitation":"(63)","previouslyFormattedCitation":"(63)"},"properties":{"noteIndex":0},"schema":"https://github.com/citation-style-language/schema/raw/master/csl-citation.json"}</w:instrText>
      </w:r>
      <w:r w:rsidR="00AC5D31">
        <w:rPr>
          <w:shd w:val="clear" w:color="auto" w:fill="FFFFFF"/>
        </w:rPr>
        <w:fldChar w:fldCharType="separate"/>
      </w:r>
      <w:r w:rsidR="00A657B7" w:rsidRPr="00A657B7">
        <w:rPr>
          <w:noProof/>
          <w:shd w:val="clear" w:color="auto" w:fill="FFFFFF"/>
        </w:rPr>
        <w:t>(63)</w:t>
      </w:r>
      <w:r w:rsidR="00AC5D31">
        <w:rPr>
          <w:shd w:val="clear" w:color="auto" w:fill="FFFFFF"/>
        </w:rPr>
        <w:fldChar w:fldCharType="end"/>
      </w:r>
      <w:r w:rsidR="00AC5D31">
        <w:rPr>
          <w:shd w:val="clear" w:color="auto" w:fill="FFFFFF"/>
        </w:rPr>
        <w:t xml:space="preserve"> and studies examining the associations of alcohol specifically with muscle density are absent</w:t>
      </w:r>
      <w:r w:rsidR="005D7245">
        <w:rPr>
          <w:shd w:val="clear" w:color="auto" w:fill="FFFFFF"/>
        </w:rPr>
        <w:t>, so our observations here (where few participants drank to excess, or were current smokers) are perhaps unsurprising</w:t>
      </w:r>
      <w:r w:rsidR="00AC5D31">
        <w:rPr>
          <w:shd w:val="clear" w:color="auto" w:fill="FFFFFF"/>
        </w:rPr>
        <w:t>.</w:t>
      </w:r>
      <w:r w:rsidR="005D7245">
        <w:rPr>
          <w:shd w:val="clear" w:color="auto" w:fill="FFFFFF"/>
        </w:rPr>
        <w:t xml:space="preserve"> </w:t>
      </w:r>
      <w:r w:rsidR="008D33DE">
        <w:rPr>
          <w:shd w:val="clear" w:color="auto" w:fill="FFFFFF"/>
        </w:rPr>
        <w:t>Nutrition intake, specifically dietary protein, alone and/or resistance exercise</w:t>
      </w:r>
      <w:r w:rsidR="005D7245">
        <w:rPr>
          <w:shd w:val="clear" w:color="auto" w:fill="FFFFFF"/>
        </w:rPr>
        <w:t xml:space="preserve"> are recognised as important for muscle health </w:t>
      </w:r>
      <w:r w:rsidR="008D33DE">
        <w:rPr>
          <w:shd w:val="clear" w:color="auto" w:fill="FFFFFF"/>
        </w:rPr>
        <w:fldChar w:fldCharType="begin" w:fldLock="1"/>
      </w:r>
      <w:r w:rsidR="00AC1341">
        <w:rPr>
          <w:shd w:val="clear" w:color="auto" w:fill="FFFFFF"/>
        </w:rPr>
        <w:instrText>ADDIN CSL_CITATION {"citationItems":[{"id":"ITEM-1","itemData":{"ISBN":"87507587/21","ISSN":"15221601","PMID":"33180646","abstract":"Muscle tissue typically contains only small amounts of adipose tissue, and the excess deposition of adiposity is considered a pathological phenomenon termed myosteatosis. Several studies have assessed the effects of exercise alone on the severity of myosteatosis, and some studies have reported promising results. We performed a systematic review and meta-analysis to investigate the effects of exercise interventions on myosteatosis (i.e., lipid infiltration and muscle radiation attenuation). Studies were identified through a systematic search of three databases and limited to randomized controlled trials (RCTs) focused on evaluating the effect of exercise interventions on lipid infiltration and/or muscle attenuation in adults. Thirteen studies met the inclusion criteria, and 12 were included in the meta-analysis (n = 465, 84.7% women). The volume of lipid infiltration was decreased in the exercise group compared with the control group [Hedges' g = -0.45, 95% confidence interval (CI), -0.74 to -0.16; P = 0.008, I2 = 0%], and the degree of muscle radiation attenuation was increased (Hedges' g = 0.67, 95% CI, 0.22 to 1.13; P = 0.009, I2 = 59.3%). Based on meta-regression analyses, there were no significant effects of mean age at baseline (lipid infiltration, b = -0.008, 95% CI, -0.035 to 0.019; P = 0.495; muscle radiation attenuation, b = -0.013, 95% CI, -0.036 to 0.011; P = 0.248) and intervention duration (lipid infiltration, b = -0.008, 95% CI, -0.028 to 0.010; P = 0.311; muscle radiation attenuation, b = -0.018, 95% CI, -0.050 to 0.014; P = 0.230) on the effect size estimates. Overall, our findings indicate that exercise can significantly improve muscle quality in populations at risk of developing obesity and sarcopenia-related disability.","author":[{"dropping-particle":"","family":"Ramírez-Vélez","given":"Robinson","non-dropping-particle":"","parse-names":false,"suffix":""},{"dropping-particle":"","family":"Ezzatvar","given":"Yasmin","non-dropping-particle":"","parse-names":false,"suffix":""},{"dropping-particle":"","family":"Izquierdo","given":"Mikel","non-dropping-particle":"","parse-names":false,"suffix":""},{"dropping-particle":"","family":"García-Hermoso","given":"Antonio","non-dropping-particle":"","parse-names":false,"suffix":""}],"container-title":"Journal of Applied Physiology","id":"ITEM-1","issue":"1","issued":{"date-parts":[["2021","1","1"]]},"page":"245-255","publisher":"American Physiological Society","title":"Effect of exercise on myosteatosis in adults: A systematic review and meta-analysis","type":"article-journal","volume":"130"},"uris":["http://www.mendeley.com/documents/?uuid=74e2ff70-e98c-4e34-b52d-a5f558e73115"]},{"id":"ITEM-2","itemData":{"DOI":"10.1136/bjsports-2017-097608","ISBN":"2017097608","abstract":"Objective We performed a systematic review, meta-analysis and meta-regression to determine if dietary protein supplementation augments resistance exercise training (RET)-induced gains in muscle mass and strength. Data sources A systematic search of Medline, Embase, CINAHL and SportDiscus. Eligibility criteria Only randomised controlled trials with RET ≥6 weeks in duration and dietary protein supplementation. Design Random-effects meta-analyses and meta-regressions with four a priori determined covariates. Two-phase break point analysis was used to determine the relationship between total protein intake and changes in fat-free mass (FFM). Results Data from 49 studies with 1863 participants showed that dietary protein supplementation significantly (all p&lt;0.05) increased changes (means (95% CI)) in: strength-one-repetition-maximum (2.49 kg (0.64, 4.33)), FFM (0.30 kg (0.09, 0.52)) and muscle size-muscle fibre cross-sectional area (CSA; 310 µm 2 (51, 570)) and mid-femur CSA (7.2 mm 2 (0.20, 14.30)) during periods of prolonged RET. The impact of protein supplementation on gains in FFM was reduced with increasing age (−0.01 kg (−0.02,-0.00), p=0.002) and was more effective in resistance-trained individuals (0.75 kg (0.09, 1.40), p=0.03). Protein supplementation beyond total protein intakes of 1.62 g/kg/day resulted in no further RET-induced gains in FFM. summary/conclusion Dietary protein supplementation significantly enhanced changes in muscle strength and size during prolonged RET in healthy adults. Increasing age reduces and training experience increases the efficacy of protein supplementation during RET. With protein supplementation, protein intakes at amounts greater than ~1.6 g/kg/day do not further contribute RET-induced gains in FFM.","author":[{"dropping-particle":"","family":"Morton","given":"Robert W","non-dropping-particle":"","parse-names":false,"suffix":""},{"dropping-particle":"","family":"Murphy","given":"Kevin T","non-dropping-particle":"","parse-names":false,"suffix":""},{"dropping-particle":"","family":"Mckellar","given":"Sean R","non-dropping-particle":"","parse-names":false,"suffix":""},{"dropping-particle":"","family":"Schoenfeld","given":"Brad J","non-dropping-particle":"","parse-names":false,"suffix":""},{"dropping-particle":"","family":"Henselmans","given":"Menno","non-dropping-particle":"","parse-names":false,"suffix":""},{"dropping-particle":"","family":"Helms","given":"Eric","non-dropping-particle":"","parse-names":false,"suffix":""},{"dropping-particle":"","family":"Aragon","given":"Alan A","non-dropping-particle":"","parse-names":false,"suffix":""},{"dropping-particle":"","family":"Devries","given":"Michaela C","non-dropping-particle":"","parse-names":false,"suffix":""},{"dropping-particle":"","family":"Banfield","given":"Laura","non-dropping-particle":"","parse-names":false,"suffix":""},{"dropping-particle":"","family":"Krieger","given":"James W","non-dropping-particle":"","parse-names":false,"suffix":""},{"dropping-particle":"","family":"Phillips","given":"Stuart M","non-dropping-particle":"","parse-names":false,"suffix":""}],"container-title":"Br J Sports Med","id":"ITEM-2","issued":{"date-parts":[["2018"]]},"page":"376-384","title":"A systematic review, meta-analysis and meta-regression of the effect of protein supplementation on resistance training-induced gains in muscle mass and strength in healthy adults","type":"article-journal","volume":"52"},"uris":["http://www.mendeley.com/documents/?uuid=4813c0da-74eb-4225-b08b-47202c32eef0"]}],"mendeley":{"formattedCitation":"(64,65)","plainTextFormattedCitation":"(64,65)","previouslyFormattedCitation":"(64,65)"},"properties":{"noteIndex":0},"schema":"https://github.com/citation-style-language/schema/raw/master/csl-citation.json"}</w:instrText>
      </w:r>
      <w:r w:rsidR="008D33DE">
        <w:rPr>
          <w:shd w:val="clear" w:color="auto" w:fill="FFFFFF"/>
        </w:rPr>
        <w:fldChar w:fldCharType="separate"/>
      </w:r>
      <w:r w:rsidR="00A657B7" w:rsidRPr="00A657B7">
        <w:rPr>
          <w:noProof/>
          <w:shd w:val="clear" w:color="auto" w:fill="FFFFFF"/>
        </w:rPr>
        <w:t>(64,65)</w:t>
      </w:r>
      <w:r w:rsidR="008D33DE">
        <w:rPr>
          <w:shd w:val="clear" w:color="auto" w:fill="FFFFFF"/>
        </w:rPr>
        <w:fldChar w:fldCharType="end"/>
      </w:r>
      <w:r w:rsidR="005D7245">
        <w:rPr>
          <w:shd w:val="clear" w:color="auto" w:fill="FFFFFF"/>
        </w:rPr>
        <w:t xml:space="preserve">. </w:t>
      </w:r>
      <w:r w:rsidR="00F63BEE">
        <w:rPr>
          <w:shd w:val="clear" w:color="auto" w:fill="FFFFFF"/>
        </w:rPr>
        <w:t>In contrast, dietary protein intake was not related to subsequent muscle density in our cohort</w:t>
      </w:r>
      <w:r w:rsidR="00857ECB">
        <w:rPr>
          <w:shd w:val="clear" w:color="auto" w:fill="FFFFFF"/>
        </w:rPr>
        <w:t xml:space="preserve"> </w:t>
      </w:r>
      <w:r w:rsidR="00857ECB" w:rsidRPr="005F4CC5">
        <w:rPr>
          <w:shd w:val="clear" w:color="auto" w:fill="FFFFFF"/>
        </w:rPr>
        <w:t>possibly because the proportion of adults not consuming recommended levels was low</w:t>
      </w:r>
      <w:r w:rsidR="00C77DB3">
        <w:rPr>
          <w:shd w:val="clear" w:color="auto" w:fill="FFFFFF"/>
        </w:rPr>
        <w:t xml:space="preserve">er than </w:t>
      </w:r>
      <w:r w:rsidR="00545B61">
        <w:rPr>
          <w:shd w:val="clear" w:color="auto" w:fill="FFFFFF"/>
        </w:rPr>
        <w:t xml:space="preserve">in </w:t>
      </w:r>
      <w:r w:rsidR="00C77DB3">
        <w:rPr>
          <w:shd w:val="clear" w:color="auto" w:fill="FFFFFF"/>
        </w:rPr>
        <w:t>other samples</w:t>
      </w:r>
      <w:r w:rsidR="00A657B7">
        <w:rPr>
          <w:shd w:val="clear" w:color="auto" w:fill="FFFFFF"/>
        </w:rPr>
        <w:t xml:space="preserve"> </w:t>
      </w:r>
      <w:r w:rsidR="005F4CC5">
        <w:rPr>
          <w:shd w:val="clear" w:color="auto" w:fill="FFFFFF"/>
        </w:rPr>
        <w:fldChar w:fldCharType="begin" w:fldLock="1"/>
      </w:r>
      <w:r w:rsidR="00AC1341">
        <w:rPr>
          <w:shd w:val="clear" w:color="auto" w:fill="FFFFFF"/>
        </w:rPr>
        <w:instrText>ADDIN CSL_CITATION {"citationItems":[{"id":"ITEM-1","itemData":{"DOI":"10.1002/JCSM.12580","ISSN":"21906009","PMID":"32548960","abstract":"Background: Lower protein intake in older adults is associated with loss of muscle mass and strength. The present study aimed to provide a pooled estimate of the overall prevalence of protein intake below recommended (according to different cut-off values) among community-dwelling older adults, both within the general older population and within specific subgroups. Methods: As part of the PRevention Of Malnutrition In Senior Subjects in the EU (PROMISS) project, a meta-analysis was performed using data from four cohorts (from the Netherlands, UK, Canada, and USA) and four national surveys [from the Netherlands, Finland (two), and Italy]. Within those studies, data on protein and energy intake of community-dwelling men and women aged ≥55 years were obtained by either a food frequency questionnaire, 24 h recalls administered on 2 or 3 days, or food diaries administered on 3 days. Protein intake below recommended was based on the recommended dietary allowance of 0.8 g/kg body weight (BW)/d, by using adjusted BW (aBW) instead of actual BW. Cut-off values of 1.0 and 1.2 were applied in additional analyses. Prevalences were also examined for subgroups according to sex, age, body mass index (BMI), education level, appetite, living status, and recent weight loss. Results: The study sample comprised 8107 older persons. Mean ± standard deviation protein intake ranged from 64.3 ± 22.3 (UK) to 80.6 ± 23.7 g/d [the Netherlands (cohort)] or from 0.94 ± 0.38 (USA) to 1.17z ± 0.30 g/kg aBW/d (Italy) when related to BW. The overall pooled prevalence of protein intake below recommended was 21.5% (95% confidence interval: 14.0–30.1), 46.7% (38.3–55.3), and 70.8% (65.1–76.3) using the 0.8, 1.0, and 1.2 cut-off value, respectively. A higher prevalence was observed among women, individuals with higher BMI, and individuals with poor appetite. The prevalence differed only marginally by age, education level, living status, and recent weight loss. Conclusions: In community-dwelling older adults, the prevalence of protein intake below the current recommendation of 0.8 g/kg aBW/d is substantial (14–30%) and increases to 65–76% according to a cut-off value of 1.2 g/kg aBW/d. To what extent the protein intakes are below the requirements of these older people warrants further investigation.","author":[{"dropping-particle":"","family":"Hengeveld","given":"Linda M.","non-dropping-particle":"","parse-names":false,"suffix":""},{"dropping-particle":"","family":"Boer","given":"Jolanda M.A.","non-dropping-particle":"","parse-names":false,"suffix":""},{"dropping-particle":"","family":"Gaudreau","given":"Pierrette","non-dropping-particle":"","parse-names":false,"suffix":""},{"dropping-particle":"","family":"Heymans","given":"Martijn W.","non-dropping-particle":"","parse-names":false,"suffix":""},{"dropping-particle":"","family":"Jagger","given":"Carol","non-dropping-particle":"","parse-names":false,"suffix":""},{"dropping-particle":"","family":"Mendonça","given":"Nuno","non-dropping-particle":"","parse-names":false,"suffix":""},{"dropping-particle":"","family":"Ocké","given":"Marga C.","non-dropping-particle":"","parse-names":false,"suffix":""},{"dropping-particle":"","family":"Presse","given":"Nancy","non-dropping-particle":"","parse-names":false,"suffix":""},{"dropping-particle":"","family":"Sette","given":"Stefania","non-dropping-particle":"","parse-names":false,"suffix":""},{"dropping-particle":"","family":"Simonsick","given":"Eleanor M.","non-dropping-particle":"","parse-names":false,"suffix":""},{"dropping-particle":"","family":"Tapanainen","given":"Heli","non-dropping-particle":"","parse-names":false,"suffix":""},{"dropping-particle":"","family":"Turrini","given":"Aida","non-dropping-particle":"","parse-names":false,"suffix":""},{"dropping-particle":"","family":"Virtanen","given":"Suvi M.","non-dropping-particle":"","parse-names":false,"suffix":""},{"dropping-particle":"","family":"Wijnhoven","given":"Hanneke A.H.","non-dropping-particle":"","parse-names":false,"suffix":""},{"dropping-particle":"","family":"Visser","given":"Marjolein","non-dropping-particle":"","parse-names":false,"suffix":""}],"container-title":"Journal of Cachexia, Sarcopenia and Muscle","id":"ITEM-1","issue":"5","issued":{"date-parts":[["2020","10","1"]]},"page":"1212","publisher":"Wiley-Blackwell","title":"Prevalence of protein intake below recommended in community‐dwelling older adults: a meta‐analysis across cohorts from the PROMISS consortium","type":"article-journal","volume":"11"},"uris":["http://www.mendeley.com/documents/?uuid=0fda1fcf-99f4-3bd9-8ac1-9b0c9d652693"]}],"mendeley":{"formattedCitation":"(66)","plainTextFormattedCitation":"(66)","previouslyFormattedCitation":"(66)"},"properties":{"noteIndex":0},"schema":"https://github.com/citation-style-language/schema/raw/master/csl-citation.json"}</w:instrText>
      </w:r>
      <w:r w:rsidR="005F4CC5">
        <w:rPr>
          <w:shd w:val="clear" w:color="auto" w:fill="FFFFFF"/>
        </w:rPr>
        <w:fldChar w:fldCharType="separate"/>
      </w:r>
      <w:r w:rsidR="00A657B7" w:rsidRPr="00A657B7">
        <w:rPr>
          <w:noProof/>
          <w:shd w:val="clear" w:color="auto" w:fill="FFFFFF"/>
        </w:rPr>
        <w:t>(66)</w:t>
      </w:r>
      <w:r w:rsidR="005F4CC5">
        <w:rPr>
          <w:shd w:val="clear" w:color="auto" w:fill="FFFFFF"/>
        </w:rPr>
        <w:fldChar w:fldCharType="end"/>
      </w:r>
      <w:r w:rsidR="00F63BEE" w:rsidRPr="005F4CC5">
        <w:rPr>
          <w:shd w:val="clear" w:color="auto" w:fill="FFFFFF"/>
        </w:rPr>
        <w:t>.</w:t>
      </w:r>
      <w:r w:rsidR="00F63BEE">
        <w:rPr>
          <w:shd w:val="clear" w:color="auto" w:fill="FFFFFF"/>
        </w:rPr>
        <w:t xml:space="preserve"> </w:t>
      </w:r>
      <w:r w:rsidR="00F63BEE" w:rsidRPr="00F63BEE">
        <w:rPr>
          <w:shd w:val="clear" w:color="auto" w:fill="FFFFFF"/>
        </w:rPr>
        <w:t xml:space="preserve">Information on resistance exercises was not available </w:t>
      </w:r>
      <w:r w:rsidR="00C77DB3">
        <w:rPr>
          <w:shd w:val="clear" w:color="auto" w:fill="FFFFFF"/>
        </w:rPr>
        <w:t xml:space="preserve">in our cohort </w:t>
      </w:r>
      <w:r w:rsidR="00F63BEE" w:rsidRPr="00F63BEE">
        <w:rPr>
          <w:shd w:val="clear" w:color="auto" w:fill="FFFFFF"/>
        </w:rPr>
        <w:t xml:space="preserve">at baseline; however, </w:t>
      </w:r>
      <w:r w:rsidR="00F63BEE" w:rsidRPr="00D948E8">
        <w:rPr>
          <w:shd w:val="clear" w:color="auto" w:fill="FFFFFF"/>
        </w:rPr>
        <w:t xml:space="preserve">carrying loads of 10lb more frequently was related (p=0.038) to greater subsequent calf muscle density at follow-up after adjustment for sex, </w:t>
      </w:r>
      <w:r w:rsidR="003C1320" w:rsidRPr="00D948E8">
        <w:rPr>
          <w:shd w:val="clear" w:color="auto" w:fill="FFFFFF"/>
        </w:rPr>
        <w:t>age,</w:t>
      </w:r>
      <w:r w:rsidR="00F63BEE" w:rsidRPr="00D948E8">
        <w:rPr>
          <w:shd w:val="clear" w:color="auto" w:fill="FFFFFF"/>
        </w:rPr>
        <w:t xml:space="preserve"> and follow-up time (data not shown).</w:t>
      </w:r>
    </w:p>
    <w:p w14:paraId="40A97DFF" w14:textId="172E8C0B" w:rsidR="004E4250" w:rsidRDefault="7B5ED723" w:rsidP="00F83606">
      <w:pPr>
        <w:jc w:val="both"/>
      </w:pPr>
      <w:r>
        <w:rPr>
          <w:color w:val="000000"/>
          <w:shd w:val="clear" w:color="auto" w:fill="FFFFFF"/>
        </w:rPr>
        <w:t xml:space="preserve">There are strengths </w:t>
      </w:r>
      <w:r w:rsidR="42668188">
        <w:rPr>
          <w:color w:val="000000"/>
          <w:shd w:val="clear" w:color="auto" w:fill="FFFFFF"/>
        </w:rPr>
        <w:t xml:space="preserve">and limitations </w:t>
      </w:r>
      <w:r>
        <w:rPr>
          <w:color w:val="000000"/>
          <w:shd w:val="clear" w:color="auto" w:fill="FFFFFF"/>
        </w:rPr>
        <w:t>of the current study</w:t>
      </w:r>
      <w:r w:rsidR="00A657B7">
        <w:rPr>
          <w:color w:val="000000"/>
          <w:shd w:val="clear" w:color="auto" w:fill="FFFFFF"/>
        </w:rPr>
        <w:t xml:space="preserve">, some of which </w:t>
      </w:r>
      <w:r w:rsidR="00545B61">
        <w:rPr>
          <w:color w:val="000000"/>
          <w:shd w:val="clear" w:color="auto" w:fill="FFFFFF"/>
        </w:rPr>
        <w:t>have</w:t>
      </w:r>
      <w:r w:rsidR="00A657B7">
        <w:rPr>
          <w:color w:val="000000"/>
          <w:shd w:val="clear" w:color="auto" w:fill="FFFFFF"/>
        </w:rPr>
        <w:t xml:space="preserve"> been discussed previously</w:t>
      </w:r>
      <w:r>
        <w:rPr>
          <w:color w:val="000000"/>
          <w:shd w:val="clear" w:color="auto" w:fill="FFFFFF"/>
        </w:rPr>
        <w:t>.</w:t>
      </w:r>
      <w:r w:rsidR="6975FA62" w:rsidRPr="00EC3020">
        <w:t xml:space="preserve"> </w:t>
      </w:r>
      <w:r w:rsidR="6975FA62">
        <w:t xml:space="preserve">The determinants of future muscle density have not been previously explored in a community or hospital-based cohort. The literature on pQCT analyses in older adults is limited and previous studies have focused on associations between pQCT derived muscle data and outcomes but not determinants of future muscle density </w:t>
      </w:r>
      <w:r w:rsidR="00EC3020">
        <w:fldChar w:fldCharType="begin" w:fldLock="1"/>
      </w:r>
      <w:r w:rsidR="00AC1341">
        <w:instrText>ADDIN CSL_CITATION {"citationItems":[{"id":"ITEM-1","itemData":{"DOI":"10.1519/JSC.0000000000001241","ISSN":"15334295","PMID":"26473521","abstract":"Weeks, BK, Gerrits, TAJ, Horan, SA, and Beck, BR. Muscle size not density predicts variance in muscle strength and neuromuscular performance in healthy adult men and women. J Strength Cond Res 30(6): 1577-1584, 2016 - The purpose of this study was to determine the relationships between peripheral quantitative computed tomography (pQCT)-derived measures of muscle area and density and markers of muscle strength and performance in men and women. Fifty-two apparently healthy adults (26 men, 26 women; age 33.8 ± 12.0 years) volunteered to participate. Dual-energy x-ray absorptiometry (XR-800; Norland Medical Systems, Inc., Trumbull, CT, USA) was used to determine whole body and regional lean and fat tissue mass, whereas pQCT (XCT-3000; Stratec, Pforzheim, Germany) was used to determine muscle cross-sectional area (MCSA) and muscle density of the leg, thigh, and forearm. Ankle plantar flexor and knee extensor strengths were examined using isokinetic dynamometry, and grip strength was examined with dynamometry. Impulse generated during a maximal vertical jump was used as an index of neuromuscular performance. Thigh, forearm, and leg MCSA strongly predicted variance in knee extensor (R 2 0.77, p &lt; 0.001) and grip strength (R 2 0.77, p &lt; 0.001) and weakly predicted variance in ankle plantar flexor strength (R 2 0.20, p &lt; 0.001), respectively, whereas muscle density was only a weak predictor of variance in knee extensor strength (R 2 0.18, p &lt; 0.001). Thigh and leg MCSA accounted for 79 and 69% of the variance in impulse generated from a maximal vertical jump (p &lt; 0.001), whereas thigh muscle density predicted only 18% of the variance (p &lt; 0.002). In conclusion, we found that pQCT-derived muscle area is more strongly related to strength and neuromuscular performance than muscle density in adult men and women.","author":[{"dropping-particle":"","family":"Weeks","given":"Benjamin K.","non-dropping-particle":"","parse-names":false,"suffix":""},{"dropping-particle":"","family":"Gerrits","given":"Tom A.J.","non-dropping-particle":"","parse-names":false,"suffix":""},{"dropping-particle":"","family":"Horan","given":"Sean A.","non-dropping-particle":"","parse-names":false,"suffix":""},{"dropping-particle":"","family":"Beck","given":"Belinda R.","non-dropping-particle":"","parse-names":false,"suffix":""}],"container-title":"Journal of Strength and Conditioning Research","id":"ITEM-1","issue":"6","issued":{"date-parts":[["2016","6","1"]]},"page":"1577-1584","publisher":"NSCA National Strength and Conditioning Association","title":"Muscle Size Not Density Predicts Variance in Muscle Strength and Neuromuscular Performance in Healthy Adult Men and Women","type":"article-journal","volume":"30"},"uris":["http://www.mendeley.com/documents/?uuid=0f85ee61-79ab-3c59-82ff-77da525583a6"]},{"id":"ITEM-2","itemData":{"DOI":"10.1016/J.BONE.2015.01.016","abstract":"Peripheral quantitative computed tomography (pQCT) imaging has been used to quantify muscle area and density as well as intermuscular adipose tissue (IMAT) and subcutaneous adipose tissue (SAT) area in the lower and upper limb. Numerous protocols have been reported to derive these soft-tissue outcomes, but their precision has not been assessed in community-dwelling postmenopausal women. The objective of this study was to compare the precision of previously reported analysis protocols for quantifying muscle area and density, as well as IMAT and SAT area in postmenopausal women.Six image analysis protocols using two available software suites (Stratec XCT, BoneJ) were identified from the pQCT literature. Analysis protocols were applied to a sample of 35 older female adults (mean age 73.7; SD 7.2years), randomly selected from a population based-cohort and scanned twice within an average of 9.7 (SD 3.6) days. Relative precision was calculated as absolute values and as a percentage of the sample mean (root mean square coefficient of variation; CV%RMS). Soft-tissue outcomes across protocols were compared on their log-transformed coefficients of variation using multilevel linear models and Tukey contrasts.For most protocols, CV%RMS for muscle area, density, and SAT area ranged between 2.1 and 3.7%, 0.7 and 1.9%, and 2.4 and 6.4%, respectively. Precision for IMAT area varied considerably, from 3 to 42%. Consideration of these study results will aid in the selection of appropriate image analysis protocols for pQCT-derived soft-tissue outcomes in postmenopausal women.","author":[{"dropping-particle":"","family":"Frank-Wilson","given":"Andrew W.","non-dropping-particle":"","parse-names":false,"suffix":""},{"dropping-particle":"","family":"Johnston","given":"James D.","non-dropping-particle":"","parse-names":false,"suffix":""},{"dropping-particle":"","family":"Olszynski","given":"Wojciech P.","non-dropping-particle":"","parse-names":false,"suffix":""},{"dropping-particle":"","family":"Kontulainen","given":"Saija A.","non-dropping-particle":"","parse-names":false,"suffix":""}],"container-title":"Bone","id":"ITEM-2","issued":{"date-parts":[["2015","6","1"]]},"page":"49-54","publisher":"Elsevier Inc.","title":"Measurement of muscle and fat in postmenopausal women: Precision of previously reported pQCT imaging methods","type":"article-journal","volume":"75"},"uris":["http://www.mendeley.com/documents/?uuid=77ae52e0-3a14-38bc-9b67-67bf6ef716b8"]},{"id":"ITEM-3","itemData":{"DOI":"10.1093/GERONA/GLN031","ISSN":"1079-5006","abstract":"Background. Sarcopenia, the age-related loss of muscle mass, may not be an isolated process but is associated with an increase in fat mass. The aim of this study was to estimate the mortality risk of sarcopenia in the presence or absence of obesity. Methods. Data are from 934 participants aged 65 years or older, enrolled in the \"Invecchiare in Chianti\" study, and followed for 6 years. At baseline, a peripheral quantitative computerized tomography (pQCT) scan was performed on all participants to evaluate the muscle density, and the muscular and fat cross-sectional areas of the calf. Walking speed was measured on a 7-m track. Cox proportional hazard models were performed to estimate the association of pQCT measures (per 1 standard deviation increase) with mortality. Results. Unadjusted analyses showed significant associations of muscle density (hazard ratio [HR] 0.78, 95% confidence interval [CI] 0.69-0.88), muscle area (HR 0.75, 95% CI 0.66-0.86), and fat area (HR 0.82, 95% CI 0.73-0.92) with mortality. After adjustment for potential confounders, no body composition parameter was significantly associated with mortality. Walking speed (used as a reference measure to verify whether the negative results were due to peculiarities of the study sample) confirmed its well-established association with mortality risk (HR 0.73, 95% CI 0.60-0.88). These results did not change after the analyses were stratified according to sarcopenia and body mass index groups, and restricted to participants with frailty or a high inflammatory profile. Conclusions. Calf skeletal muscle and fat mass are not significant risk factors for mortality in community-dwelling older adults. Walking speed confirmed to be a powerful predictor of health-related events. © The Author 2009. Published by Oxford University Press on behalf of The Gerontological Society of America. All rights reserved.","author":[{"dropping-particle":"","family":"Cesari","given":"Matteo","non-dropping-particle":"","parse-names":false,"suffix":""},{"dropping-particle":"","family":"Pahor","given":"Marco","non-dropping-particle":"","parse-names":false,"suffix":""},{"dropping-particle":"","family":"Lauretani","given":"Fulvio","non-dropping-particle":"","parse-names":false,"suffix":""},{"dropping-particle":"","family":"Zamboni","given":"Valentina","non-dropping-particle":"","parse-names":false,"suffix":""},{"dropping-particle":"","family":"Bandinelli","given":"Stefania","non-dropping-particle":"","parse-names":false,"suffix":""},{"dropping-particle":"","family":"Bernabei","given":"Roberto","non-dropping-particle":"","parse-names":false,"suffix":""},{"dropping-particle":"","family":"Guralnik","given":"Jack M.","non-dropping-particle":"","parse-names":false,"suffix":""},{"dropping-particle":"","family":"Ferrucci","given":"Luigi","non-dropping-particle":"","parse-names":false,"suffix":""}],"container-title":"The Journals of Gerontology: Series A","id":"ITEM-3","issue":"3","issued":{"date-parts":[["2009","3","1"]]},"page":"377-384","publisher":"Oxford Academic","title":"Skeletal Muscle and Mortality Results From the InCHIANTI Study","type":"article-journal","volume":"64A"},"uris":["http://www.mendeley.com/documents/?uuid=dac38c66-328b-3d56-9ac7-989ff3afe87d"]},{"id":"ITEM-4","itemData":{"PMID":"26636281","abstract":"Objectives: To determine associations of inter- and intra-muscular adipose tissue (IMAT) with cardiometabolic health and physical function in older adults. Methods: 48 community-dwelling older adults aged ≥65 years (mean 71.6±4.8 years; 52% women) underwent whole-body dual-energy X-ray absorptiometry, to assess appendicular lean mass (ALM), and peripheral quantitative computed tomography (pQCT; 66% tibia), to assess calf IMAT cross-sectional area ([CSA]; cm2) and muscle density (mg/cm3; higher values indicate lower fat infiltration). Fasting glucose, lipids, triglycerides and C-reactive protein (CRP) were analysed. Physical function was assessed by postural sway (computerised posturography; N=41), and gait analysis (GAITRite Electronic Walkway; N=40). Results: Higher IMAT CSA and muscle density were associated with significantly higher (B=0.85 95%CI [0.34, 1.36]) and lower (-2.14 [-4.20, -0.08]) CRP and higher (0.93 [0.56, 1.30]) and lower postural sway (-3.12 [-4.74, -1.50]), respectively, after adjustment for age, sex and ALM/BMI. Higher IMAT CSA was associated with slower gait speed and cadence, and greater step time and step width (all P&lt;0.03), while higher muscle density was associated with smaller step width (P&lt;0.01) only. Conclusions: Older adults with higher calf IMAT have poorer balance, mobility and inflammatory status. Interventions aimed at improving physical function in older adults should incorporate strategies to reduce IMAT.","author":[{"dropping-particle":"","family":"Scott","given":"D.","non-dropping-particle":"","parse-names":false,"suffix":""},{"dropping-particle":"","family":"Trbojevic","given":"T.","non-dropping-particle":"","parse-names":false,"suffix":""},{"dropping-particle":"","family":"Skinner","given":"E.","non-dropping-particle":"","parse-names":false,"suffix":""},{"dropping-particle":"","family":"Clark","given":"R.A.","non-dropping-particle":"","parse-names":false,"suffix":""},{"dropping-particle":"","family":"Levinger","given":"P.","non-dropping-particle":"","parse-names":false,"suffix":""},{"dropping-particle":"","family":"Haines","given":"T.P.","non-dropping-particle":"","parse-names":false,"suffix":""},{"dropping-particle":"","family":"Sanders","given":"K.M.","non-dropping-particle":"","parse-names":false,"suffix":""},{"dropping-particle":"","family":"Ebeling","given":"P.R.","non-dropping-particle":"","parse-names":false,"suffix":""}],"container-title":"Journal of Musculoskeletal &amp; Neuronal Interactions","id":"ITEM-4","issue":"4","issued":{"date-parts":[["2015","12","1"]]},"page":"350","publisher":"International Society of Musculoskeletal and Neuronal Interactions (ISMNI)","title":"Associations of calf inter- and intra-muscular adipose tissue with cardiometabolic health and physical function in community-dwelling older adults","type":"article-journal","volume":"15"},"uris":["http://www.mendeley.com/documents/?uuid=6b4e3a95-e735-391f-9760-2e4af94f4c61"]}],"mendeley":{"formattedCitation":"(35,67–69)","plainTextFormattedCitation":"(35,67–69)","previouslyFormattedCitation":"(35,67–69)"},"properties":{"noteIndex":0},"schema":"https://github.com/citation-style-language/schema/raw/master/csl-citation.json"}</w:instrText>
      </w:r>
      <w:r w:rsidR="00EC3020">
        <w:fldChar w:fldCharType="separate"/>
      </w:r>
      <w:r w:rsidR="00A657B7" w:rsidRPr="00A657B7">
        <w:rPr>
          <w:noProof/>
        </w:rPr>
        <w:t>(35,67–69)</w:t>
      </w:r>
      <w:r w:rsidR="00EC3020">
        <w:fldChar w:fldCharType="end"/>
      </w:r>
      <w:r w:rsidR="6975FA62">
        <w:t xml:space="preserve">. Peripheral QCT is proving to be a useful tool for the measurement of muscle density and has been found to be highly correlated to MRI-derived measures of </w:t>
      </w:r>
      <w:r w:rsidR="6975FA62" w:rsidRPr="00E943EC">
        <w:t>muscle cross-sectional area</w:t>
      </w:r>
      <w:r w:rsidR="6975FA62">
        <w:t xml:space="preserve"> </w:t>
      </w:r>
      <w:r w:rsidR="00EC3020">
        <w:fldChar w:fldCharType="begin" w:fldLock="1"/>
      </w:r>
      <w:r w:rsidR="00AC1341">
        <w:instrText>ADDIN CSL_CITATION {"citationItems":[{"id":"ITEM-1","itemData":{"DOI":"10.1016/J.EJRAD.2016.03.001","abstract":"Skeletal muscle is one of the larger organs of the body and is integrally involved in metabolic processes in both health and disease. The ability to accurately and precisely measure skeletal muscle structure is essential for understanding the changes that occur naturally over the lifespan as well as those observed in chronic disease, and in response to targeted interventions. Musculoskeletal imaging allows for the quantification of skeletal muscle mass and select modalities are also able to determine muscle quality. The purpose of this paper is to review peripheral quantitative computed tomography (pQCT), dual X-ray energy absorptiometry (DXA) and magnetic resonance imaging (MRI) techniques used to assess skeletal muscle size and quality in-vivo. Each modality is briefly described and the strengths and limitations are provided. No single imaging technique will be able to best address every clinical and research question of interest. Selecting the most appropriate imaging device for measuring skeletal muscle depends on access to technology, availability of expertise required for image acquisition and analysis, characteristics of the population, anatomical site of interest, and the level of structural detail required.","author":[{"dropping-particle":"","family":"Erlandson","given":"M. C.","non-dropping-particle":"","parse-names":false,"suffix":""},{"dropping-particle":"","family":"Lorbergs","given":"A. L.","non-dropping-particle":"","parse-names":false,"suffix":""},{"dropping-particle":"","family":"Mathur","given":"S.","non-dropping-particle":"","parse-names":false,"suffix":""},{"dropping-particle":"","family":"Cheung","given":"A. M.","non-dropping-particle":"","parse-names":false,"suffix":""}],"container-title":"European Journal of Radiology","id":"ITEM-1","issue":"8","issued":{"date-parts":[["2016","8","1"]]},"page":"1505-1511","publisher":"Elsevier Ireland Ltd","title":"Muscle analysis using pQCT, DXA and MRI","type":"article-journal","volume":"85"},"uris":["http://www.mendeley.com/documents/?uuid=15bf0a9f-bc9d-37e7-851a-fb615b0507e4"]}],"mendeley":{"formattedCitation":"(70)","plainTextFormattedCitation":"(70)","previouslyFormattedCitation":"(70)"},"properties":{"noteIndex":0},"schema":"https://github.com/citation-style-language/schema/raw/master/csl-citation.json"}</w:instrText>
      </w:r>
      <w:r w:rsidR="00EC3020">
        <w:fldChar w:fldCharType="separate"/>
      </w:r>
      <w:r w:rsidR="00A657B7" w:rsidRPr="00A657B7">
        <w:rPr>
          <w:noProof/>
        </w:rPr>
        <w:t>(70)</w:t>
      </w:r>
      <w:r w:rsidR="00EC3020">
        <w:fldChar w:fldCharType="end"/>
      </w:r>
      <w:r w:rsidR="6975FA62">
        <w:t>.</w:t>
      </w:r>
      <w:r w:rsidR="00AB77A3">
        <w:t xml:space="preserve"> </w:t>
      </w:r>
      <w:r>
        <w:rPr>
          <w:color w:val="000000"/>
          <w:shd w:val="clear" w:color="auto" w:fill="FFFFFF"/>
        </w:rPr>
        <w:t>HCS is</w:t>
      </w:r>
      <w:r w:rsidR="42668188">
        <w:rPr>
          <w:color w:val="000000"/>
          <w:shd w:val="clear" w:color="auto" w:fill="FFFFFF"/>
        </w:rPr>
        <w:t xml:space="preserve"> a</w:t>
      </w:r>
      <w:r>
        <w:rPr>
          <w:color w:val="000000"/>
          <w:shd w:val="clear" w:color="auto" w:fill="FFFFFF"/>
        </w:rPr>
        <w:t xml:space="preserve"> well characterized cohort</w:t>
      </w:r>
      <w:r w:rsidR="4E655DF2">
        <w:rPr>
          <w:color w:val="000000"/>
          <w:shd w:val="clear" w:color="auto" w:fill="FFFFFF"/>
        </w:rPr>
        <w:t xml:space="preserve"> that has been extensively </w:t>
      </w:r>
      <w:r w:rsidR="4E655DF2" w:rsidRPr="00637D78">
        <w:rPr>
          <w:color w:val="000000"/>
          <w:shd w:val="clear" w:color="auto" w:fill="FFFFFF"/>
        </w:rPr>
        <w:t>phenotyped according to strict protocols by highly-trained fieldworkers</w:t>
      </w:r>
      <w:r w:rsidR="4E655DF2">
        <w:rPr>
          <w:color w:val="000000"/>
          <w:shd w:val="clear" w:color="auto" w:fill="FFFFFF"/>
        </w:rPr>
        <w:t xml:space="preserve"> </w:t>
      </w:r>
      <w:r w:rsidR="008D33DE">
        <w:rPr>
          <w:color w:val="000000"/>
          <w:shd w:val="clear" w:color="auto" w:fill="FFFFFF"/>
        </w:rPr>
        <w:fldChar w:fldCharType="begin" w:fldLock="1"/>
      </w:r>
      <w:r w:rsidR="00AC1341">
        <w:rPr>
          <w:color w:val="000000"/>
          <w:shd w:val="clear" w:color="auto" w:fill="FFFFFF"/>
        </w:rPr>
        <w:instrText>ADDIN CSL_CITATION {"citationItems":[{"id":"ITEM-1","itemData":{"DOI":"10.12688/f1000research.17457.1","ISSN":"1759796X","PMID":"30828442","abstract":"The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-1","issued":{"date-parts":[["2019"]]},"publisher":"Faculty of 1000 Ltd","title":"The hertfordshire cohort study: An overview [version 1; referees: 3 approved]","type":"article","volume":"8"},"uris":["http://www.mendeley.com/documents/?uuid=0fe59414-3d54-39af-a0e9-ea2d5c765d90"]}],"mendeley":{"formattedCitation":"(26)","plainTextFormattedCitation":"(26)","previouslyFormattedCitation":"(26)"},"properties":{"noteIndex":0},"schema":"https://github.com/citation-style-language/schema/raw/master/csl-citation.json"}</w:instrText>
      </w:r>
      <w:r w:rsidR="008D33DE">
        <w:rPr>
          <w:color w:val="000000"/>
          <w:shd w:val="clear" w:color="auto" w:fill="FFFFFF"/>
        </w:rPr>
        <w:fldChar w:fldCharType="separate"/>
      </w:r>
      <w:r w:rsidR="00A657B7" w:rsidRPr="00A657B7">
        <w:rPr>
          <w:noProof/>
          <w:color w:val="000000"/>
          <w:shd w:val="clear" w:color="auto" w:fill="FFFFFF"/>
        </w:rPr>
        <w:t>(26)</w:t>
      </w:r>
      <w:r w:rsidR="008D33DE">
        <w:rPr>
          <w:color w:val="000000"/>
          <w:shd w:val="clear" w:color="auto" w:fill="FFFFFF"/>
        </w:rPr>
        <w:fldChar w:fldCharType="end"/>
      </w:r>
      <w:r w:rsidR="42668188">
        <w:rPr>
          <w:color w:val="000000"/>
          <w:shd w:val="clear" w:color="auto" w:fill="FFFFFF"/>
        </w:rPr>
        <w:t xml:space="preserve">. </w:t>
      </w:r>
      <w:r w:rsidR="42668188" w:rsidRPr="006D6931">
        <w:t xml:space="preserve">Individuals recruited were selected because they had been born in Hertfordshire and continued to live there </w:t>
      </w:r>
      <w:r w:rsidR="00AB77A3">
        <w:t>in 1998-2004</w:t>
      </w:r>
      <w:r w:rsidR="42668188" w:rsidRPr="006D6931">
        <w:t>, as in previous studies. Although our cohort might be expected to demonstrate a healthy cohort effect (as evidenced by low rates of smoking and high dietary calcium intakes), we have previously demonstrated that the Hertfordshire population studied have similar smoking characteristics and bone density to national figures</w:t>
      </w:r>
      <w:r w:rsidR="2AF66D7D">
        <w:rPr>
          <w:noProof/>
        </w:rPr>
        <w:t xml:space="preserve"> </w:t>
      </w:r>
      <w:r w:rsidR="008C7A3B">
        <w:rPr>
          <w:noProof/>
        </w:rPr>
        <w:fldChar w:fldCharType="begin" w:fldLock="1"/>
      </w:r>
      <w:r w:rsidR="00AC1341">
        <w:rPr>
          <w:noProof/>
        </w:rPr>
        <w:instrText>ADDIN CSL_CITATION {"citationItems":[{"id":"ITEM-1","itemData":{"DOI":"10.1093/ije/dyi127","ISSN":"03005771","PMID":"15964908","abstract":"1234 be related to low birth weight in these men and women, and to low weight at 1 year among the men. 3 This was the first study based on individual (rather than ecological) level data to demonstrate such relationships. Having studied mortality, the next stage was to explore the relationship between the early environment and a range of morbidity outcomes in surviving members of the cohort. Detailed physiological investigations of men and women born in Hertfordshire between 1920 and 30 and still living there in the early 1990s were conducted. These studies ranged in size from 224 to 468 men, and 189 to 306 women. Small size at birth and during infancy was shown to be associated with increased risk of developing coronary heart disease and type II diabetes mellitus, 4,5 the metabolic syndrome and insulin resistance, 6 osteoporosis 7 and sarcopenia 8 in later life. These studies led to the 'developmental origins' hypothesis which states that the nourishment a baby receives from its mother during pregnancy, and its nutrition and illnesses in infancy and early childhood, determine its susceptibility to disease in later life. Men and women born in Hertfordshire between 1931 and 1939: the Hertfordshire Cohort Study The early Hertfordshire studies described above were important for establishing relationships between the early environment and physiological markers of disease but (i) they were too small a sample for investigation of the early environment and adult risk factors in the aetiology of clinical outcomes (such as incident or fatal coronary heart disease, cerebrovascular disease or osteo-porotic fracture); (ii) the sample size was inadequate for research into gene-environment interactions; (iii) detailed information on adult anthropometry and diet was unavailable; and (iv) the men and women born before 1930 were becoming too frail to take part in further studies. As a consequence, a younger cohort of 3000 men and women born in Hertfordshire between 1931 and 1939, and included in the Hertfordshire records described above, were recruited to a new Hertfordshire Cohort Study (HCS); the rest of this article relates to this study.","author":[{"dropping-particle":"","family":"Syddall","given":"H. E.","non-dropping-particle":"","parse-names":false,"suffix":""},{"dropping-particle":"","family":"Sayer","given":"A. Aihie","non-dropping-particle":"","parse-names":false,"suffix":""},{"dropping-particle":"","family":"Dennison","given":"E. M.","non-dropping-particle":"","parse-names":false,"suffix":""},{"dropping-particle":"","family":"Martin","given":"H. J.","non-dropping-particle":"","parse-names":false,"suffix":""},{"dropping-particle":"","family":"Barker","given":"D. J.P.","non-dropping-particle":"","parse-names":false,"suffix":""},{"dropping-particle":"","family":"Cooper","given":"C","non-dropping-particle":"","parse-names":false,"suffix":""},{"dropping-particle":"","family":"Cox","given":"Vanessa","non-dropping-particle":"","parse-names":false,"suffix":""},{"dropping-particle":"","family":"Craighead","given":"Sue","non-dropping-particle":"","parse-names":false,"suffix":""},{"dropping-particle":"","family":"Watson","given":"Clare","non-dropping-particle":"","parse-names":false,"suffix":""},{"dropping-particle":"","family":"Statham","given":"Clare","non-dropping-particle":"","parse-names":false,"suffix":""},{"dropping-particle":"","family":"Simmonds","given":"Shirley","non-dropping-particle":"","parse-names":false,"suffix":""},{"dropping-particle":"","family":"Robinson","given":"Sian","non-dropping-particle":"","parse-names":false,"suffix":""},{"dropping-particle":"","family":"Batelaan","given":"Sue","non-dropping-particle":"","parse-names":false,"suffix":""},{"dropping-particle":"","family":"Phillips","given":"David","non-dropping-particle":"","parse-names":false,"suffix":""},{"dropping-particle":"","family":"Day","given":"Ian","non-dropping-particle":"","parse-names":false,"suffix":""}],"container-title":"International Journal of Epidemiology","id":"ITEM-1","issue":"6","issued":{"date-parts":[["2005","12","1"]]},"page":"1234-1242","publisher":"Oxford University Press on","title":"Cohort profile: The Hertfordshire Cohort Study","type":"article-journal","volume":"34"},"uris":["http://www.mendeley.com/documents/?uuid=6fee4a74-e466-31d9-b6c4-876d1bd3e811"]}],"mendeley":{"formattedCitation":"(25)","plainTextFormattedCitation":"(25)","previouslyFormattedCitation":"(25)"},"properties":{"noteIndex":0},"schema":"https://github.com/citation-style-language/schema/raw/master/csl-citation.json"}</w:instrText>
      </w:r>
      <w:r w:rsidR="008C7A3B">
        <w:rPr>
          <w:noProof/>
        </w:rPr>
        <w:fldChar w:fldCharType="separate"/>
      </w:r>
      <w:r w:rsidR="00A657B7" w:rsidRPr="00A657B7">
        <w:rPr>
          <w:noProof/>
        </w:rPr>
        <w:t>(25)</w:t>
      </w:r>
      <w:r w:rsidR="008C7A3B">
        <w:rPr>
          <w:noProof/>
        </w:rPr>
        <w:fldChar w:fldCharType="end"/>
      </w:r>
      <w:r w:rsidR="42668188">
        <w:rPr>
          <w:color w:val="000000"/>
          <w:shd w:val="clear" w:color="auto" w:fill="FFFFFF"/>
        </w:rPr>
        <w:t>.</w:t>
      </w:r>
      <w:r w:rsidR="1F520B4C">
        <w:rPr>
          <w:color w:val="000000"/>
          <w:shd w:val="clear" w:color="auto" w:fill="FFFFFF"/>
        </w:rPr>
        <w:t xml:space="preserve"> </w:t>
      </w:r>
      <w:r w:rsidR="1F520B4C" w:rsidRPr="4076E5A1">
        <w:rPr>
          <w:color w:val="000000" w:themeColor="text1"/>
        </w:rPr>
        <w:t>This healthy cohort effect</w:t>
      </w:r>
      <w:r w:rsidR="1F520B4C">
        <w:rPr>
          <w:color w:val="000000"/>
          <w:shd w:val="clear" w:color="auto" w:fill="FFFFFF"/>
        </w:rPr>
        <w:t xml:space="preserve"> might have </w:t>
      </w:r>
      <w:r w:rsidR="771A2FE4">
        <w:rPr>
          <w:color w:val="000000"/>
          <w:shd w:val="clear" w:color="auto" w:fill="FFFFFF"/>
        </w:rPr>
        <w:t>contributed</w:t>
      </w:r>
      <w:r w:rsidR="1F520B4C">
        <w:rPr>
          <w:color w:val="000000"/>
          <w:shd w:val="clear" w:color="auto" w:fill="FFFFFF"/>
        </w:rPr>
        <w:t xml:space="preserve"> </w:t>
      </w:r>
      <w:r w:rsidR="771A2FE4">
        <w:rPr>
          <w:color w:val="000000"/>
          <w:shd w:val="clear" w:color="auto" w:fill="FFFFFF"/>
        </w:rPr>
        <w:t>to</w:t>
      </w:r>
      <w:r w:rsidR="1F520B4C">
        <w:rPr>
          <w:color w:val="000000"/>
          <w:shd w:val="clear" w:color="auto" w:fill="FFFFFF"/>
        </w:rPr>
        <w:t xml:space="preserve"> the absence of </w:t>
      </w:r>
      <w:r w:rsidR="771A2FE4">
        <w:rPr>
          <w:color w:val="000000"/>
          <w:shd w:val="clear" w:color="auto" w:fill="FFFFFF"/>
        </w:rPr>
        <w:t xml:space="preserve">associations between </w:t>
      </w:r>
      <w:r w:rsidR="1F520B4C">
        <w:rPr>
          <w:color w:val="000000"/>
          <w:shd w:val="clear" w:color="auto" w:fill="FFFFFF"/>
        </w:rPr>
        <w:t>li</w:t>
      </w:r>
      <w:r w:rsidR="771A2FE4">
        <w:rPr>
          <w:color w:val="000000"/>
          <w:shd w:val="clear" w:color="auto" w:fill="FFFFFF"/>
        </w:rPr>
        <w:t>festyle factors and future muscle density in our cohort</w:t>
      </w:r>
      <w:r w:rsidR="771A2FE4" w:rsidRPr="4076E5A1">
        <w:rPr>
          <w:color w:val="000000" w:themeColor="text1"/>
        </w:rPr>
        <w:t xml:space="preserve"> and the fairly high mean values of muscle density observed</w:t>
      </w:r>
      <w:r w:rsidR="771A2FE4">
        <w:rPr>
          <w:color w:val="000000"/>
          <w:shd w:val="clear" w:color="auto" w:fill="FFFFFF"/>
        </w:rPr>
        <w:t>.</w:t>
      </w:r>
      <w:r w:rsidR="42668188" w:rsidRPr="006D6931">
        <w:rPr>
          <w:rFonts w:ascii="Georgia" w:hAnsi="Georgia"/>
          <w:color w:val="2E2E2E"/>
          <w:sz w:val="27"/>
          <w:szCs w:val="27"/>
        </w:rPr>
        <w:t xml:space="preserve"> </w:t>
      </w:r>
      <w:r w:rsidR="42668188">
        <w:t>D</w:t>
      </w:r>
      <w:r w:rsidR="42668188" w:rsidRPr="006D6931">
        <w:t xml:space="preserve">rop out at each stage </w:t>
      </w:r>
      <w:r w:rsidR="42668188">
        <w:t xml:space="preserve">of the study </w:t>
      </w:r>
      <w:r w:rsidR="42668188" w:rsidRPr="006D6931">
        <w:t xml:space="preserve">occurred due to participants moving away </w:t>
      </w:r>
      <w:r w:rsidR="4E655DF2">
        <w:t xml:space="preserve">or </w:t>
      </w:r>
      <w:r w:rsidR="42668188" w:rsidRPr="006D6931">
        <w:t>becoming unwilling to participate in further studies</w:t>
      </w:r>
      <w:r w:rsidR="4E655DF2">
        <w:t>; this</w:t>
      </w:r>
      <w:r w:rsidR="42668188">
        <w:t xml:space="preserve"> has contributed to the relatively small number of participants examined. </w:t>
      </w:r>
      <w:r w:rsidR="19D3700E">
        <w:t>W</w:t>
      </w:r>
      <w:r w:rsidR="19D3700E" w:rsidRPr="00E943EC">
        <w:t xml:space="preserve">e also recognise the limitations associated with self-reported </w:t>
      </w:r>
      <w:r w:rsidR="61F562D3">
        <w:t>information</w:t>
      </w:r>
      <w:r w:rsidR="41073EBB">
        <w:t xml:space="preserve">, and the lack of phenotypic data around time </w:t>
      </w:r>
      <w:r w:rsidR="00AB77A3">
        <w:t>spent participating in</w:t>
      </w:r>
      <w:r w:rsidR="41073EBB">
        <w:t xml:space="preserve"> resistance exercise</w:t>
      </w:r>
      <w:r w:rsidR="00AB77A3">
        <w:t>s</w:t>
      </w:r>
      <w:r w:rsidR="41073EBB">
        <w:t xml:space="preserve"> at baseline</w:t>
      </w:r>
      <w:r w:rsidR="61F562D3" w:rsidRPr="00E943EC">
        <w:t>.</w:t>
      </w:r>
      <w:r w:rsidR="61F562D3" w:rsidRPr="003C1320">
        <w:rPr>
          <w:shd w:val="clear" w:color="auto" w:fill="FFFFFF"/>
        </w:rPr>
        <w:t xml:space="preserve"> </w:t>
      </w:r>
      <w:r w:rsidR="61F562D3" w:rsidRPr="00E249B3">
        <w:t xml:space="preserve">Another </w:t>
      </w:r>
      <w:r w:rsidR="61F562D3" w:rsidRPr="00E249B3">
        <w:lastRenderedPageBreak/>
        <w:t xml:space="preserve">limitation is the potential for recall bias from participants self-reporting previous fractures and falls </w:t>
      </w:r>
      <w:r w:rsidR="61F562D3" w:rsidRPr="0024651B">
        <w:t>which may have</w:t>
      </w:r>
      <w:r w:rsidR="61F562D3" w:rsidRPr="00E23BB6">
        <w:t xml:space="preserve"> occurred decades ago</w:t>
      </w:r>
      <w:r w:rsidR="61F562D3" w:rsidRPr="004C475E">
        <w:t xml:space="preserve">. Furthermore, additional </w:t>
      </w:r>
      <w:r w:rsidR="61F562D3" w:rsidRPr="00E249B3">
        <w:t xml:space="preserve">information on falls and fractures since age 45 years, such as their type, </w:t>
      </w:r>
      <w:proofErr w:type="gramStart"/>
      <w:r w:rsidR="61F562D3" w:rsidRPr="00E249B3">
        <w:t>date</w:t>
      </w:r>
      <w:proofErr w:type="gramEnd"/>
      <w:r w:rsidR="61F562D3" w:rsidRPr="00E249B3">
        <w:t xml:space="preserve"> and total number, was unavailable. A key limitation is that only </w:t>
      </w:r>
      <w:proofErr w:type="gramStart"/>
      <w:r w:rsidR="00716746" w:rsidRPr="00E249B3">
        <w:t>falls</w:t>
      </w:r>
      <w:proofErr w:type="gramEnd"/>
      <w:r w:rsidR="61F562D3" w:rsidRPr="00E249B3">
        <w:t xml:space="preserve"> and fractures ascertained prior to the muscle density measures were available; determining whether muscle density influences risk of adverse outcomes or vice versa is limited without also having incident outcomes assessed after the muscle density measures. Finally, the narrow age range of the analysis sample prevents a detailed characterisation of how muscle density varies over the lifecourse.</w:t>
      </w:r>
    </w:p>
    <w:p w14:paraId="070FF5CD" w14:textId="3D5A7162" w:rsidR="004E4250" w:rsidRDefault="004E4250" w:rsidP="00BC5BDD">
      <w:pPr>
        <w:pStyle w:val="Heading1"/>
        <w:jc w:val="both"/>
      </w:pPr>
      <w:r>
        <w:t xml:space="preserve">Conclusion </w:t>
      </w:r>
    </w:p>
    <w:p w14:paraId="51BC9D1C" w14:textId="54F54C64" w:rsidR="0095538A" w:rsidRDefault="00651379" w:rsidP="00BC5BDD">
      <w:pPr>
        <w:jc w:val="both"/>
        <w:rPr>
          <w:color w:val="000000"/>
          <w:shd w:val="clear" w:color="auto" w:fill="FFFFFF"/>
        </w:rPr>
      </w:pPr>
      <w:r>
        <w:t xml:space="preserve">This study provides further insights into the </w:t>
      </w:r>
      <w:r w:rsidR="00F50AC7">
        <w:t xml:space="preserve">determinants of future muscle density and the associations of muscle density </w:t>
      </w:r>
      <w:r w:rsidR="00ED798D">
        <w:t>with clinical outcomes such as falls and fractures in a well characterised community</w:t>
      </w:r>
      <w:r w:rsidR="00637D78">
        <w:t>-</w:t>
      </w:r>
      <w:r w:rsidR="00ED798D">
        <w:t xml:space="preserve">dwelling </w:t>
      </w:r>
      <w:r w:rsidR="00B815E0">
        <w:t xml:space="preserve">cohort of </w:t>
      </w:r>
      <w:r w:rsidR="00ED798D">
        <w:t xml:space="preserve">older adults. </w:t>
      </w:r>
      <w:r w:rsidR="001B4262">
        <w:t>pQCT-derived</w:t>
      </w:r>
      <w:r w:rsidR="0067138F">
        <w:t xml:space="preserve"> muscle density </w:t>
      </w:r>
      <w:r w:rsidR="00234655">
        <w:t>could provide</w:t>
      </w:r>
      <w:r w:rsidR="0067138F">
        <w:t xml:space="preserve"> a biomarker to further </w:t>
      </w:r>
      <w:r w:rsidR="00C92E34">
        <w:t>complement</w:t>
      </w:r>
      <w:r w:rsidR="0067138F">
        <w:t xml:space="preserve"> the </w:t>
      </w:r>
      <w:r w:rsidR="00C92E34">
        <w:t>musculos</w:t>
      </w:r>
      <w:r w:rsidR="00857ECB">
        <w:t>ke</w:t>
      </w:r>
      <w:r w:rsidR="00C92E34">
        <w:t>letal</w:t>
      </w:r>
      <w:r w:rsidR="0067138F">
        <w:t xml:space="preserve"> health assessment </w:t>
      </w:r>
      <w:r w:rsidR="00C92E34">
        <w:t xml:space="preserve">in </w:t>
      </w:r>
      <w:r w:rsidR="00A657B7">
        <w:t>older adults and further studies are now warranted.</w:t>
      </w:r>
    </w:p>
    <w:p w14:paraId="2BA01053" w14:textId="330ADC61" w:rsidR="000F45B3" w:rsidRDefault="000F45B3" w:rsidP="00BC5BDD">
      <w:pPr>
        <w:jc w:val="both"/>
      </w:pPr>
      <w:r>
        <w:br w:type="page"/>
      </w:r>
    </w:p>
    <w:p w14:paraId="1898F043" w14:textId="11B39FEC" w:rsidR="004E4250" w:rsidRDefault="000F45B3" w:rsidP="002A15AF">
      <w:pPr>
        <w:pStyle w:val="Heading1"/>
      </w:pPr>
      <w:r>
        <w:lastRenderedPageBreak/>
        <w:t xml:space="preserve">Acknowledgements </w:t>
      </w:r>
    </w:p>
    <w:p w14:paraId="0E986FD7" w14:textId="42B6503C" w:rsidR="002A15AF" w:rsidRDefault="002A15AF" w:rsidP="00680C53">
      <w:pPr>
        <w:pStyle w:val="Heading2"/>
        <w:tabs>
          <w:tab w:val="left" w:pos="2940"/>
        </w:tabs>
      </w:pPr>
      <w:r>
        <w:t>Author’s contribution</w:t>
      </w:r>
    </w:p>
    <w:p w14:paraId="6730DC18" w14:textId="6B2923C2" w:rsidR="00680C53" w:rsidRPr="00680C53" w:rsidRDefault="00680C53" w:rsidP="00680C53">
      <w:r w:rsidRPr="00B80882">
        <w:rPr>
          <w:shd w:val="clear" w:color="auto" w:fill="FFFFFF"/>
        </w:rPr>
        <w:t xml:space="preserve">FL, NF, </w:t>
      </w:r>
      <w:r w:rsidR="00052A40">
        <w:rPr>
          <w:shd w:val="clear" w:color="auto" w:fill="FFFFFF"/>
        </w:rPr>
        <w:t xml:space="preserve">NCH, </w:t>
      </w:r>
      <w:r w:rsidRPr="00B80882">
        <w:rPr>
          <w:shd w:val="clear" w:color="auto" w:fill="FFFFFF"/>
        </w:rPr>
        <w:t>HPP, CC</w:t>
      </w:r>
      <w:r w:rsidR="00052A40">
        <w:rPr>
          <w:shd w:val="clear" w:color="auto" w:fill="FFFFFF"/>
        </w:rPr>
        <w:t xml:space="preserve">, KW </w:t>
      </w:r>
      <w:r w:rsidRPr="00B80882">
        <w:rPr>
          <w:shd w:val="clear" w:color="auto" w:fill="FFFFFF"/>
        </w:rPr>
        <w:t xml:space="preserve">and ED participated in the conception, design and conduct of the study. </w:t>
      </w:r>
      <w:r>
        <w:rPr>
          <w:shd w:val="clear" w:color="auto" w:fill="FFFFFF"/>
        </w:rPr>
        <w:t>LW</w:t>
      </w:r>
      <w:r w:rsidRPr="00B80882">
        <w:rPr>
          <w:shd w:val="clear" w:color="auto" w:fill="FFFFFF"/>
        </w:rPr>
        <w:t xml:space="preserve"> conducted </w:t>
      </w:r>
      <w:r w:rsidR="00AB77A3">
        <w:rPr>
          <w:shd w:val="clear" w:color="auto" w:fill="FFFFFF"/>
        </w:rPr>
        <w:t xml:space="preserve">the </w:t>
      </w:r>
      <w:r w:rsidRPr="00B80882">
        <w:rPr>
          <w:shd w:val="clear" w:color="auto" w:fill="FFFFFF"/>
        </w:rPr>
        <w:t>statistical analyses. FL drafted the first version of the manuscript. All authors read and approved the final manuscript.</w:t>
      </w:r>
    </w:p>
    <w:p w14:paraId="63D0414B" w14:textId="7307C298" w:rsidR="002A15AF" w:rsidRDefault="002A15AF" w:rsidP="000F45B3">
      <w:pPr>
        <w:pStyle w:val="Heading2"/>
      </w:pPr>
      <w:r>
        <w:t xml:space="preserve">Conflict of interest </w:t>
      </w:r>
    </w:p>
    <w:p w14:paraId="37623D7B" w14:textId="179B6635" w:rsidR="00052A40" w:rsidRDefault="00AB51D6" w:rsidP="00AB51D6">
      <w:r w:rsidRPr="0069501C">
        <w:t>ED declares consultancy and speak</w:t>
      </w:r>
      <w:r>
        <w:t>er</w:t>
      </w:r>
      <w:r w:rsidRPr="0069501C">
        <w:t xml:space="preserve"> fees from </w:t>
      </w:r>
      <w:r w:rsidR="00D170B8">
        <w:t xml:space="preserve">Viatris, </w:t>
      </w:r>
      <w:r w:rsidRPr="0069501C">
        <w:t>Pfizer, UCB and Lilly</w:t>
      </w:r>
      <w:r>
        <w:t>.</w:t>
      </w:r>
    </w:p>
    <w:p w14:paraId="10AF95B5" w14:textId="4EDD7113" w:rsidR="00AB51D6" w:rsidRDefault="00AB51D6" w:rsidP="00AB51D6">
      <w:r>
        <w:t xml:space="preserve">CC has received lecture fees and honoraria from Amgen, Danone, Eli Lilly, GSK, </w:t>
      </w:r>
      <w:r>
        <w:rPr>
          <w:color w:val="000000"/>
        </w:rPr>
        <w:t xml:space="preserve">Kyowa Kirin, </w:t>
      </w:r>
      <w:r>
        <w:t>Medtronic, Merck, Nestlé, Novartis, Pfizer, Roche, Servier, Shire, Takeda and UCB outside of the submitted work.</w:t>
      </w:r>
    </w:p>
    <w:p w14:paraId="3B0EFF8B" w14:textId="77777777" w:rsidR="00AB51D6" w:rsidRDefault="00AB51D6" w:rsidP="00AB51D6">
      <w:r>
        <w:t>NF declares travel bursaries from Pfizer and Eli Lilly.</w:t>
      </w:r>
    </w:p>
    <w:p w14:paraId="0BC14638" w14:textId="3E87EBCA" w:rsidR="00AB51D6" w:rsidRDefault="00AB51D6" w:rsidP="00AB51D6">
      <w:r>
        <w:t>HPP has received lecture fees from Abbott, Pfizer, and HC-UK conferences outside of the submitted work.</w:t>
      </w:r>
    </w:p>
    <w:p w14:paraId="7F6D894F" w14:textId="3C627D97" w:rsidR="00637D78" w:rsidRPr="00AB51D6" w:rsidRDefault="00637D78" w:rsidP="00AB51D6">
      <w:r>
        <w:t>The remaining authors declare that they have no conflicts of interest.</w:t>
      </w:r>
    </w:p>
    <w:p w14:paraId="14DAB996" w14:textId="0B191AE5" w:rsidR="002A15AF" w:rsidRDefault="002A15AF" w:rsidP="000F45B3">
      <w:pPr>
        <w:pStyle w:val="Heading2"/>
      </w:pPr>
      <w:r>
        <w:t xml:space="preserve">Ethical approval </w:t>
      </w:r>
    </w:p>
    <w:p w14:paraId="1D8BCF56" w14:textId="48956520" w:rsidR="009C2649" w:rsidRDefault="009C2649" w:rsidP="009C2649">
      <w:pPr>
        <w:rPr>
          <w:shd w:val="clear" w:color="auto" w:fill="FFFFFF"/>
        </w:rPr>
      </w:pPr>
      <w:r w:rsidRPr="00B80882">
        <w:t xml:space="preserve">All study participants provided written informed consent and </w:t>
      </w:r>
      <w:r w:rsidRPr="00B80882">
        <w:rPr>
          <w:shd w:val="clear" w:color="auto" w:fill="FFFFFF"/>
        </w:rPr>
        <w:t>Ethical approval was obtained from the Hertfordshire Research Ethics Committee</w:t>
      </w:r>
      <w:r>
        <w:rPr>
          <w:shd w:val="clear" w:color="auto" w:fill="FFFFFF"/>
        </w:rPr>
        <w:t xml:space="preserve"> (</w:t>
      </w:r>
      <w:r w:rsidR="00F83606" w:rsidRPr="00F83606">
        <w:rPr>
          <w:rFonts w:cstheme="minorHAnsi"/>
          <w:color w:val="333333"/>
          <w:szCs w:val="24"/>
          <w:shd w:val="clear" w:color="auto" w:fill="FCFCFC"/>
        </w:rPr>
        <w:t>reference 07/MRE01/30</w:t>
      </w:r>
      <w:r>
        <w:rPr>
          <w:shd w:val="clear" w:color="auto" w:fill="FFFFFF"/>
        </w:rPr>
        <w:t xml:space="preserve">). </w:t>
      </w:r>
      <w:r w:rsidR="005E7005" w:rsidRPr="0028543B">
        <w:rPr>
          <w:shd w:val="clear" w:color="auto" w:fill="FFFFFF"/>
        </w:rPr>
        <w:t>The baseline Hertfordshire Cohort Study had ethical approval from the Hertfordshire and Bedfordshire Local Research Ethics Committee and the follow-up had ethical approval from the East and North Hertfordshire Ethical Committees.</w:t>
      </w:r>
    </w:p>
    <w:p w14:paraId="0CB945F7" w14:textId="2BC8FC01" w:rsidR="002A15AF" w:rsidRDefault="002A15AF" w:rsidP="000F45B3">
      <w:pPr>
        <w:pStyle w:val="Heading2"/>
      </w:pPr>
      <w:r>
        <w:t xml:space="preserve">Funding </w:t>
      </w:r>
    </w:p>
    <w:p w14:paraId="2C9E5E40" w14:textId="77777777" w:rsidR="00A57597" w:rsidRDefault="0094635C" w:rsidP="000F45B3">
      <w:r w:rsidRPr="00521C30">
        <w:t>FL</w:t>
      </w:r>
      <w:r>
        <w:t xml:space="preserve"> and HPP</w:t>
      </w:r>
      <w:r w:rsidRPr="00521C30">
        <w:t xml:space="preserve"> are supported by the NIHR Southampton Biomedical Research Centre, Nutrition, and the University of Southampton. This report is independent research and the views expressed in this publication are those of the authors and not necessarily those of the NHS, the NIHR or the Department of Health. These funding bodies had no role in writing of the manuscript or decision to submit for publication.</w:t>
      </w:r>
    </w:p>
    <w:p w14:paraId="3DBB4A57" w14:textId="77777777" w:rsidR="00A57597" w:rsidRDefault="00A57597" w:rsidP="000F45B3">
      <w:pPr>
        <w:rPr>
          <w:rFonts w:eastAsia="Times New Roman"/>
          <w:color w:val="000000"/>
          <w:szCs w:val="24"/>
        </w:rPr>
      </w:pPr>
      <w:r>
        <w:t xml:space="preserve">NRF is supported by </w:t>
      </w:r>
      <w:r>
        <w:rPr>
          <w:rFonts w:eastAsia="Times New Roman"/>
          <w:color w:val="000000"/>
          <w:szCs w:val="24"/>
        </w:rPr>
        <w:t>Dunhill Medical Trust.</w:t>
      </w:r>
    </w:p>
    <w:p w14:paraId="58788FCC" w14:textId="4102DFC6" w:rsidR="000F45B3" w:rsidRPr="000F45B3" w:rsidRDefault="0094712E" w:rsidP="000F45B3">
      <w:r>
        <w:t xml:space="preserve">CC, EMD and NCH acknowledge funding from the UK Medical Research Council </w:t>
      </w:r>
      <w:r w:rsidRPr="0094712E">
        <w:t>(MC_PC_21003; MC_PC_21001)</w:t>
      </w:r>
      <w:r>
        <w:t>.</w:t>
      </w:r>
    </w:p>
    <w:p w14:paraId="17FCE075" w14:textId="77777777" w:rsidR="000F45B3" w:rsidRDefault="000F45B3">
      <w:pPr>
        <w:rPr>
          <w:rFonts w:asciiTheme="majorHAnsi" w:eastAsiaTheme="majorEastAsia" w:hAnsiTheme="majorHAnsi" w:cstheme="majorBidi"/>
          <w:b/>
          <w:color w:val="262626" w:themeColor="text1" w:themeTint="D9"/>
          <w:sz w:val="32"/>
          <w:szCs w:val="32"/>
        </w:rPr>
      </w:pPr>
      <w:r>
        <w:br w:type="page"/>
      </w:r>
    </w:p>
    <w:p w14:paraId="71C7175A" w14:textId="475EFDFD" w:rsidR="004E4250" w:rsidRDefault="004E4250" w:rsidP="004E4250">
      <w:pPr>
        <w:pStyle w:val="Heading1"/>
      </w:pPr>
      <w:r>
        <w:lastRenderedPageBreak/>
        <w:t xml:space="preserve">References </w:t>
      </w:r>
    </w:p>
    <w:p w14:paraId="51A9715E" w14:textId="72F3DB3C" w:rsidR="00AC1341" w:rsidRPr="00AC1341" w:rsidRDefault="00DC7FBD" w:rsidP="00AC1341">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AC1341" w:rsidRPr="00AC1341">
        <w:rPr>
          <w:rFonts w:ascii="Calibri" w:hAnsi="Calibri" w:cs="Calibri"/>
          <w:noProof/>
          <w:szCs w:val="24"/>
        </w:rPr>
        <w:t xml:space="preserve">1. </w:t>
      </w:r>
      <w:r w:rsidR="00AC1341" w:rsidRPr="00AC1341">
        <w:rPr>
          <w:rFonts w:ascii="Calibri" w:hAnsi="Calibri" w:cs="Calibri"/>
          <w:noProof/>
          <w:szCs w:val="24"/>
        </w:rPr>
        <w:tab/>
        <w:t xml:space="preserve">Bischoff-Ferrari HA, Orav JE, Kanis JA, Rizzoli R, Schlögl M, Staehelin HB, et al. Comparative performance of current definitions of sarcopenia against the prospective incidence of falls among community-dwelling seniors age 65 and older. Osteoporos Int 2015 2612. 2015 Jun 12;26(12):2793–802. </w:t>
      </w:r>
    </w:p>
    <w:p w14:paraId="6C6EFCAF"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 </w:t>
      </w:r>
      <w:r w:rsidRPr="00AC1341">
        <w:rPr>
          <w:rFonts w:ascii="Calibri" w:hAnsi="Calibri" w:cs="Calibri"/>
          <w:noProof/>
          <w:szCs w:val="24"/>
        </w:rPr>
        <w:tab/>
        <w:t xml:space="preserve">Lauretani F, Russo CR, Bandinelli S, Bartali B, Cavazzini C, Iorio A Di, et al. Age-associated changes in skeletal muscles and their effect on mobility: an operational diagnosis of sarcopenia. https://doi.org/101152/japplphysiol002462003. 2003;95(5):1851–60. </w:t>
      </w:r>
    </w:p>
    <w:p w14:paraId="78E0C819"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 </w:t>
      </w:r>
      <w:r w:rsidRPr="00AC1341">
        <w:rPr>
          <w:rFonts w:ascii="Calibri" w:hAnsi="Calibri" w:cs="Calibri"/>
          <w:noProof/>
          <w:szCs w:val="24"/>
        </w:rPr>
        <w:tab/>
        <w:t xml:space="preserve">Guralnik JM, Ferrucci L, Pieper CF, Leveille SG, Markides KS, Ostir G V., et al. Lower Extremity Function and Subsequent Disability: Consistency Across Studies, Predictive Models, and Value of Gait Speed Alone Compared With the Short Physical Performance Battery. Journals Gerontol Ser A. 2000 Apr 1;55(4):M221–31. </w:t>
      </w:r>
    </w:p>
    <w:p w14:paraId="6269511B"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 </w:t>
      </w:r>
      <w:r w:rsidRPr="00AC1341">
        <w:rPr>
          <w:rFonts w:ascii="Calibri" w:hAnsi="Calibri" w:cs="Calibri"/>
          <w:noProof/>
          <w:szCs w:val="24"/>
        </w:rPr>
        <w:tab/>
        <w:t xml:space="preserve">Landi F, Cruz-Jentoft AJ, Liperoti R, Russo A, Giovannini S, Tosato M, et al. Sarcopenia and mortality risk in frail older persons aged 80 years and older: results from ilSIRENTE study. Age Ageing. 2013 Mar 1;42(2):203–9. </w:t>
      </w:r>
    </w:p>
    <w:p w14:paraId="7D59538B"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 </w:t>
      </w:r>
      <w:r w:rsidRPr="00AC1341">
        <w:rPr>
          <w:rFonts w:ascii="Calibri" w:hAnsi="Calibri" w:cs="Calibri"/>
          <w:noProof/>
          <w:szCs w:val="24"/>
        </w:rPr>
        <w:tab/>
        <w:t xml:space="preserve">Beaudart C, Zaaria M, Pasleau F, Reginster JY, Bruyère O. Health outcomes of sarcopenia: A systematic review and meta-analysis. PLoS One. 2017 Jan 1;12(1). </w:t>
      </w:r>
    </w:p>
    <w:p w14:paraId="66E6FA6C"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 </w:t>
      </w:r>
      <w:r w:rsidRPr="00AC1341">
        <w:rPr>
          <w:rFonts w:ascii="Calibri" w:hAnsi="Calibri" w:cs="Calibri"/>
          <w:noProof/>
          <w:szCs w:val="24"/>
        </w:rPr>
        <w:tab/>
        <w:t xml:space="preserve">Batsis JA, Mackenzie TA, Lopez-Jimenez F, Bartels SJ. Sarcopenia, sarcopenic obesity, and functional impairments in older adults: National Health and Nutrition Examination Surveys 1999-2004. Nutr Res. 2015 Dec 1;35(12):1031–9. </w:t>
      </w:r>
    </w:p>
    <w:p w14:paraId="4621F60C"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7. </w:t>
      </w:r>
      <w:r w:rsidRPr="00AC1341">
        <w:rPr>
          <w:rFonts w:ascii="Calibri" w:hAnsi="Calibri" w:cs="Calibri"/>
          <w:noProof/>
          <w:szCs w:val="24"/>
        </w:rPr>
        <w:tab/>
        <w:t xml:space="preserve">Gariballa S, Alessa A. Sarcopenia: Prevalence and prognostic significance in hospitalized patients. Clin Nutr. 2013 Oct;32(5):772–6. </w:t>
      </w:r>
    </w:p>
    <w:p w14:paraId="1FE90B05"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8. </w:t>
      </w:r>
      <w:r w:rsidRPr="00AC1341">
        <w:rPr>
          <w:rFonts w:ascii="Calibri" w:hAnsi="Calibri" w:cs="Calibri"/>
          <w:noProof/>
          <w:szCs w:val="24"/>
        </w:rPr>
        <w:tab/>
        <w:t xml:space="preserve">Russ DW, Gregg-Cornell K, Conaway MJ, Clark BC. Evolving concepts on the age-related changes in “muscle quality.” Vol. 3, Journal of Cachexia, Sarcopenia and Muscle. Wiley Online Library; 2012. p. 95–109. </w:t>
      </w:r>
    </w:p>
    <w:p w14:paraId="4A587E6E"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9. </w:t>
      </w:r>
      <w:r w:rsidRPr="00AC1341">
        <w:rPr>
          <w:rFonts w:ascii="Calibri" w:hAnsi="Calibri" w:cs="Calibri"/>
          <w:noProof/>
          <w:szCs w:val="24"/>
        </w:rPr>
        <w:tab/>
        <w:t xml:space="preserve">Conroy MB, Kwoh CK, Krishnan E, Nevitt MC, Boudreau R, Carbone LD, et al. Muscle strength, mass, and quality in older men and women with knee osteoarthritis. Arthritis Care Res (Hoboken). 2012 Jan 1;64(1):15–21. </w:t>
      </w:r>
    </w:p>
    <w:p w14:paraId="3FF723F8"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10. </w:t>
      </w:r>
      <w:r w:rsidRPr="00AC1341">
        <w:rPr>
          <w:rFonts w:ascii="Calibri" w:hAnsi="Calibri" w:cs="Calibri"/>
          <w:noProof/>
          <w:szCs w:val="24"/>
        </w:rPr>
        <w:tab/>
        <w:t xml:space="preserve">Goodpaster BH, Carlson CL, Visser M, Kelley DE, Scherzinger A, Harris TB, et al. Attenuation of skeletal muscle and strength in the elderly: The Health ABC Study. https://doi.org/101152/jappl20019062157. 2001;90(6):2157–65. </w:t>
      </w:r>
    </w:p>
    <w:p w14:paraId="072BAB0D"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11. </w:t>
      </w:r>
      <w:r w:rsidRPr="00AC1341">
        <w:rPr>
          <w:rFonts w:ascii="Calibri" w:hAnsi="Calibri" w:cs="Calibri"/>
          <w:noProof/>
          <w:szCs w:val="24"/>
        </w:rPr>
        <w:tab/>
        <w:t xml:space="preserve">Lauretani F, Bandinelli S, Bartali B, Iorio A Di, Giacomini V, Corsi AM, et al. Axonal degeneration affects muscle density in older men and women. Neurobiol Aging. 2006 Aug 1;27(8):1145–54. </w:t>
      </w:r>
    </w:p>
    <w:p w14:paraId="314DCFEA"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12. </w:t>
      </w:r>
      <w:r w:rsidRPr="00AC1341">
        <w:rPr>
          <w:rFonts w:ascii="Calibri" w:hAnsi="Calibri" w:cs="Calibri"/>
          <w:noProof/>
          <w:szCs w:val="24"/>
        </w:rPr>
        <w:tab/>
        <w:t xml:space="preserve">Hirschfeld HP, Kinsella &amp; R, Duque G. Osteosarcopenia: where bone, muscle, and fat collide. </w:t>
      </w:r>
    </w:p>
    <w:p w14:paraId="112E14B5"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13. </w:t>
      </w:r>
      <w:r w:rsidRPr="00AC1341">
        <w:rPr>
          <w:rFonts w:ascii="Calibri" w:hAnsi="Calibri" w:cs="Calibri"/>
          <w:noProof/>
          <w:szCs w:val="24"/>
        </w:rPr>
        <w:tab/>
        <w:t xml:space="preserve">Frank-Wilson AW, Farthing JP, Chilibeck PD, Arnold CM, Davison KS, Olszynski WP, et al. Lower leg muscle density is independently associated with fall status in community-dwelling older adults. Osteoporos Int. 2016 Jul 1;27(7):2231–40. </w:t>
      </w:r>
    </w:p>
    <w:p w14:paraId="2FDD2F48"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lastRenderedPageBreak/>
        <w:t xml:space="preserve">14. </w:t>
      </w:r>
      <w:r w:rsidRPr="00AC1341">
        <w:rPr>
          <w:rFonts w:ascii="Calibri" w:hAnsi="Calibri" w:cs="Calibri"/>
          <w:noProof/>
          <w:szCs w:val="24"/>
        </w:rPr>
        <w:tab/>
        <w:t xml:space="preserve">Scott D, Shore-Lorenti C, McMillan LB, Mesinovic J, Clark RA, Hayes A, et al. Calf muscle density is independently associated with physical function in overweight and obese older adults. J Musculoskelet Neuronal Interact. 2018 Mar 1;18(1):9. </w:t>
      </w:r>
    </w:p>
    <w:p w14:paraId="536BBA97"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15. </w:t>
      </w:r>
      <w:r w:rsidRPr="00AC1341">
        <w:rPr>
          <w:rFonts w:ascii="Calibri" w:hAnsi="Calibri" w:cs="Calibri"/>
          <w:noProof/>
          <w:szCs w:val="24"/>
        </w:rPr>
        <w:tab/>
        <w:t xml:space="preserve">Laroche DP, Cremin KA, Greenleaf B, Croce R V. Rapid torque development in older female fallers and nonfallers: A comparison across lower-extremity muscles. J Electromyogr Kinesiol. 20:482–8. </w:t>
      </w:r>
    </w:p>
    <w:p w14:paraId="66E22019"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16. </w:t>
      </w:r>
      <w:r w:rsidRPr="00AC1341">
        <w:rPr>
          <w:rFonts w:ascii="Calibri" w:hAnsi="Calibri" w:cs="Calibri"/>
          <w:noProof/>
          <w:szCs w:val="24"/>
        </w:rPr>
        <w:tab/>
        <w:t xml:space="preserve">Tinetti ME. Preventing Falls in Elderly Persons. N Engl J Med. 2003 Jan 2;348(1):42–9. </w:t>
      </w:r>
    </w:p>
    <w:p w14:paraId="0BF658D8"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17. </w:t>
      </w:r>
      <w:r w:rsidRPr="00AC1341">
        <w:rPr>
          <w:rFonts w:ascii="Calibri" w:hAnsi="Calibri" w:cs="Calibri"/>
          <w:noProof/>
          <w:szCs w:val="24"/>
        </w:rPr>
        <w:tab/>
        <w:t xml:space="preserve">McDermott MMG, Ferrucci L, Guralnik J, Tian L, Liu K, Hoff F, et al. Pathophysiological changes in calf muscle predict mobility loss at 2-year follow-up in men and women with peripheral arterial disease. Circulation. 2009 Sep;120(12):1048–55. </w:t>
      </w:r>
    </w:p>
    <w:p w14:paraId="04BB1051"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18. </w:t>
      </w:r>
      <w:r w:rsidRPr="00AC1341">
        <w:rPr>
          <w:rFonts w:ascii="Calibri" w:hAnsi="Calibri" w:cs="Calibri"/>
          <w:noProof/>
          <w:szCs w:val="24"/>
        </w:rPr>
        <w:tab/>
        <w:t xml:space="preserve">Wang L, Yin L, Zhao Y, Su Y, Sun W, Liu Y, et al. Muscle density discriminates hip fracture better than computed tomography X-ray absorptiometry hip areal bone mineral density. J Cachexia Sarcopenia Muscle. 2020 Dec 1;11(6):1799–812. </w:t>
      </w:r>
    </w:p>
    <w:p w14:paraId="176DAF99"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19. </w:t>
      </w:r>
      <w:r w:rsidRPr="00AC1341">
        <w:rPr>
          <w:rFonts w:ascii="Calibri" w:hAnsi="Calibri" w:cs="Calibri"/>
          <w:noProof/>
          <w:szCs w:val="24"/>
        </w:rPr>
        <w:tab/>
        <w:t xml:space="preserve">Martini S, Petermeise S, Henkel M, Weiß S, Schaupp A, Ferrari U, et al. Peripheral Quantitative Computed Tomography Derived Muscle Density Is Associated With Physical Performance in Older Adults. Arch Gerontol Geriatr. 2021;97(August). </w:t>
      </w:r>
    </w:p>
    <w:p w14:paraId="65F62E96"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20. </w:t>
      </w:r>
      <w:r w:rsidRPr="00AC1341">
        <w:rPr>
          <w:rFonts w:ascii="Calibri" w:hAnsi="Calibri" w:cs="Calibri"/>
          <w:noProof/>
          <w:szCs w:val="24"/>
        </w:rPr>
        <w:tab/>
        <w:t xml:space="preserve">Cawthon PM, Fox KM, Gandra SR, Delmonico MJ, Chiou C-F, Anthony MS, et al. Do muscle mass, muscle density, strength and physical function similarly influence risk of hospitalization in older adults? J Am Geriatr Soc. 2009 Aug;57(8):1411. </w:t>
      </w:r>
    </w:p>
    <w:p w14:paraId="30661E90"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21. </w:t>
      </w:r>
      <w:r w:rsidRPr="00AC1341">
        <w:rPr>
          <w:rFonts w:ascii="Calibri" w:hAnsi="Calibri" w:cs="Calibri"/>
          <w:noProof/>
          <w:szCs w:val="24"/>
        </w:rPr>
        <w:tab/>
        <w:t xml:space="preserve">Goodpaster BH, Thaete FL, Kelley DE. Composition of skeletal muscle evaluated with computed tomography. Ann N Y Acad Sci. 2000;904:18–24. </w:t>
      </w:r>
    </w:p>
    <w:p w14:paraId="58AF4DA2"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22. </w:t>
      </w:r>
      <w:r w:rsidRPr="00AC1341">
        <w:rPr>
          <w:rFonts w:ascii="Calibri" w:hAnsi="Calibri" w:cs="Calibri"/>
          <w:noProof/>
          <w:szCs w:val="24"/>
        </w:rPr>
        <w:tab/>
        <w:t xml:space="preserve">N. C. Harvey, E. Orwoll, J.A. Cauley, T. Kwok, M. K. Karlsson, B. E. Rosengren, E.Ribom, P.M. Cawthon, K.Ensrud, E. Liu, K. A. Ward, C. Cooper, J. A. Kanis, M. Lorentzon, C. Ohlsson, D. Mellström, H. Johansson EVM. Greater pQCT calf muscle density is associated with lower hip fracture risk, independent of FRAX, falls and BMD: a meta-analysis in the osteoporotic fractures in men (MRoS) study. In: Osteoporosis International. 2022. p. 119–410. </w:t>
      </w:r>
    </w:p>
    <w:p w14:paraId="58421917"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23. </w:t>
      </w:r>
      <w:r w:rsidRPr="00AC1341">
        <w:rPr>
          <w:rFonts w:ascii="Calibri" w:hAnsi="Calibri" w:cs="Calibri"/>
          <w:noProof/>
          <w:szCs w:val="24"/>
        </w:rPr>
        <w:tab/>
        <w:t xml:space="preserve">Edwards MH, Gregson CL, Patel HP, Jameson KA, Harvey NC, Sayer AA, et al. Muscle size, strength, and physical performance and their associations with bone structure in the Hertfordshire Cohort Study. J Bone Miner Res. 2013 Nov;28(11):2295–304. </w:t>
      </w:r>
    </w:p>
    <w:p w14:paraId="7AC96E01"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24. </w:t>
      </w:r>
      <w:r w:rsidRPr="00AC1341">
        <w:rPr>
          <w:rFonts w:ascii="Calibri" w:hAnsi="Calibri" w:cs="Calibri"/>
          <w:noProof/>
          <w:szCs w:val="24"/>
        </w:rPr>
        <w:tab/>
        <w:t xml:space="preserve">Patel A, Edwards MH, Jameson KA, Ward KA, Fuggle N, Cooper C, et al. Longitudinal Change in Peripheral Quantitative Computed Tomography Assessment in Older Adults: The Hertfordshire Cohort Study. Calcif Tissue Int. 2018 Nov 1;103(5):476–82. </w:t>
      </w:r>
    </w:p>
    <w:p w14:paraId="1C8E16B9"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25. </w:t>
      </w:r>
      <w:r w:rsidRPr="00AC1341">
        <w:rPr>
          <w:rFonts w:ascii="Calibri" w:hAnsi="Calibri" w:cs="Calibri"/>
          <w:noProof/>
          <w:szCs w:val="24"/>
        </w:rPr>
        <w:tab/>
        <w:t xml:space="preserve">Syddall HE, Sayer AA, Dennison EM, Martin HJ, Barker DJP, Cooper C, et al. Cohort profile: The Hertfordshire Cohort Study. Int J Epidemiol. 2005 Dec 1;34(6):1234–42. </w:t>
      </w:r>
    </w:p>
    <w:p w14:paraId="120A8283"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26. </w:t>
      </w:r>
      <w:r w:rsidRPr="00AC1341">
        <w:rPr>
          <w:rFonts w:ascii="Calibri" w:hAnsi="Calibri" w:cs="Calibri"/>
          <w:noProof/>
          <w:szCs w:val="24"/>
        </w:rPr>
        <w:tab/>
        <w:t xml:space="preserve">Syddall HE, Simmonds SJ, Carter SA, Robinson SM, Dennison EM, Cooper C, et al. The hertfordshire cohort study: An overview [version 1; referees: 3 approved] [Internet]. Vol. 8, F1000Research. Faculty of 1000 Ltd; 2019. </w:t>
      </w:r>
    </w:p>
    <w:p w14:paraId="383DA41F"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27. </w:t>
      </w:r>
      <w:r w:rsidRPr="00AC1341">
        <w:rPr>
          <w:rFonts w:ascii="Calibri" w:hAnsi="Calibri" w:cs="Calibri"/>
          <w:noProof/>
          <w:szCs w:val="24"/>
        </w:rPr>
        <w:tab/>
        <w:t xml:space="preserve">Dallosso HM, Morgan K, Bassey EJ, Ebrahim SB, Fentem PH, Arie TH. Levels of customary physical activity among the old and the very old living at home. J Epidemiol </w:t>
      </w:r>
      <w:r w:rsidRPr="00AC1341">
        <w:rPr>
          <w:rFonts w:ascii="Calibri" w:hAnsi="Calibri" w:cs="Calibri"/>
          <w:noProof/>
          <w:szCs w:val="24"/>
        </w:rPr>
        <w:lastRenderedPageBreak/>
        <w:t xml:space="preserve">Community Health. 1988;42(2):121. </w:t>
      </w:r>
    </w:p>
    <w:p w14:paraId="2FCE0C82"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28. </w:t>
      </w:r>
      <w:r w:rsidRPr="00AC1341">
        <w:rPr>
          <w:rFonts w:ascii="Calibri" w:hAnsi="Calibri" w:cs="Calibri"/>
          <w:noProof/>
          <w:szCs w:val="24"/>
        </w:rPr>
        <w:tab/>
        <w:t xml:space="preserve">Robinson S, Syddall H, Jameson K, Batelaan S, Martin H, Dennison EM, et al. Current patterns of diet in community-dwelling older men and women: Results from the Hertfordshire Cohort Study. Age Ageing. 2009;38(5):594–9. </w:t>
      </w:r>
    </w:p>
    <w:p w14:paraId="0EC2A980"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29. </w:t>
      </w:r>
      <w:r w:rsidRPr="00AC1341">
        <w:rPr>
          <w:rFonts w:ascii="Calibri" w:hAnsi="Calibri" w:cs="Calibri"/>
          <w:noProof/>
          <w:szCs w:val="24"/>
        </w:rPr>
        <w:tab/>
        <w:t xml:space="preserve">Higher Education Statisitcs Agency. Standard Occupational Classification - SOC90. 1st ed. 2015; </w:t>
      </w:r>
    </w:p>
    <w:p w14:paraId="5CED57E8"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30. </w:t>
      </w:r>
      <w:r w:rsidRPr="00AC1341">
        <w:rPr>
          <w:rFonts w:ascii="Calibri" w:hAnsi="Calibri" w:cs="Calibri"/>
          <w:noProof/>
          <w:szCs w:val="24"/>
        </w:rPr>
        <w:tab/>
        <w:t xml:space="preserve">Dennison EM, Jameson KA, Edwards MH, Denison HJ, Aihie Sayer A, Cooper C. Peripheral quantitative computed tomography measures are associated with adult fracture risk: The Hertfordshire Cohort Study. Bone. 2014 Jul 1;64:13–7. </w:t>
      </w:r>
    </w:p>
    <w:p w14:paraId="18525944"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31. </w:t>
      </w:r>
      <w:r w:rsidRPr="00AC1341">
        <w:rPr>
          <w:rFonts w:ascii="Calibri" w:hAnsi="Calibri" w:cs="Calibri"/>
          <w:noProof/>
          <w:szCs w:val="24"/>
        </w:rPr>
        <w:tab/>
        <w:t xml:space="preserve">Genant HK, Wu CY, van Kuijk C, Nevitt MC. Vertebral fracture assessment using a semiquantitative technique. J Bone Miner Res. 1993;8(9):1137–48. </w:t>
      </w:r>
    </w:p>
    <w:p w14:paraId="2A375474"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32. </w:t>
      </w:r>
      <w:r w:rsidRPr="00AC1341">
        <w:rPr>
          <w:rFonts w:ascii="Calibri" w:hAnsi="Calibri" w:cs="Calibri"/>
          <w:noProof/>
          <w:szCs w:val="24"/>
        </w:rPr>
        <w:tab/>
        <w:t xml:space="preserve">Visser M, Study  for the HA, Goodpaster BH, Study  for the HA, Kritchevsky SB, Study  for the HA, et al. Muscle Mass, Muscle Strength, and Muscle Fat Infiltration as Predictors of Incident Mobility Limitations in Well-Functioning Older Persons. Journals Gerontol Ser A. 2005 Mar 1;60(3):324–33. </w:t>
      </w:r>
    </w:p>
    <w:p w14:paraId="27AFBC4F"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33. </w:t>
      </w:r>
      <w:r w:rsidRPr="00AC1341">
        <w:rPr>
          <w:rFonts w:ascii="Calibri" w:hAnsi="Calibri" w:cs="Calibri"/>
          <w:noProof/>
          <w:szCs w:val="24"/>
        </w:rPr>
        <w:tab/>
        <w:t xml:space="preserve">Zhao Y, Huang M, Serrano Sosa M, Cattell R, Fan W, Li M, et al. Fatty infiltration of paraspinal muscles is associated with bone mineral density of the lumbar spine. Arch Osteoporos. 2019 Dec 1;14(1):1–9. </w:t>
      </w:r>
    </w:p>
    <w:p w14:paraId="1BD7F832"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34. </w:t>
      </w:r>
      <w:r w:rsidRPr="00AC1341">
        <w:rPr>
          <w:rFonts w:ascii="Calibri" w:hAnsi="Calibri" w:cs="Calibri"/>
          <w:noProof/>
          <w:szCs w:val="24"/>
        </w:rPr>
        <w:tab/>
        <w:t xml:space="preserve">Scott D, Johansson J, McMillan LB, Ebeling PR, Nordstrom A, Nordstrom P. Mid-calf skeletal muscle density and its associations with physical activity, bone health and incident 12-month falls in older adults: The Healthy Ageing Initiative. Bone. 2019 Mar 1;120(December 2018):446–51. </w:t>
      </w:r>
    </w:p>
    <w:p w14:paraId="4759534E"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35. </w:t>
      </w:r>
      <w:r w:rsidRPr="00AC1341">
        <w:rPr>
          <w:rFonts w:ascii="Calibri" w:hAnsi="Calibri" w:cs="Calibri"/>
          <w:noProof/>
          <w:szCs w:val="24"/>
        </w:rPr>
        <w:tab/>
        <w:t xml:space="preserve">Scott D, Trbojevic T, Skinner E, Clark RA, Levinger P, Haines TP, et al. Associations of calf inter- and intra-muscular adipose tissue with cardiometabolic health and physical function in community-dwelling older adults. J Musculoskelet Neuronal Interact. 2015 Dec 1;15(4):350. </w:t>
      </w:r>
    </w:p>
    <w:p w14:paraId="48DDB991"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36. </w:t>
      </w:r>
      <w:r w:rsidRPr="00AC1341">
        <w:rPr>
          <w:rFonts w:ascii="Calibri" w:hAnsi="Calibri" w:cs="Calibri"/>
          <w:noProof/>
          <w:szCs w:val="24"/>
        </w:rPr>
        <w:tab/>
        <w:t xml:space="preserve">Frank AW, Farthing JP, Chilibeck PD, Arnold CM, Olszynski WP, Kontulainen SA. Community-dwelling female fallers have lower muscle density in their lower legs than non-fallers: Evidence from the Saskatoon Canadian Multicentre Osteoporosis Study (CaMos) cohort. J Nutr Heal Aging. 2015 Jan 1;19(1):113–20. </w:t>
      </w:r>
    </w:p>
    <w:p w14:paraId="7D24CE88"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37. </w:t>
      </w:r>
      <w:r w:rsidRPr="00AC1341">
        <w:rPr>
          <w:rFonts w:ascii="Calibri" w:hAnsi="Calibri" w:cs="Calibri"/>
          <w:noProof/>
          <w:szCs w:val="24"/>
        </w:rPr>
        <w:tab/>
        <w:t xml:space="preserve">Crockett K, Arnold CM, Farthing JP, Chilibeck PD, Johnston JD, Bath B, et al. Bone strength and muscle properties in postmenopausal women with and without a recent distal radius fracture. Osteoporos Int. 2015 Oct 28;26(10):2461–9. </w:t>
      </w:r>
    </w:p>
    <w:p w14:paraId="081435F7"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38. </w:t>
      </w:r>
      <w:r w:rsidRPr="00AC1341">
        <w:rPr>
          <w:rFonts w:ascii="Calibri" w:hAnsi="Calibri" w:cs="Calibri"/>
          <w:noProof/>
          <w:szCs w:val="24"/>
        </w:rPr>
        <w:tab/>
        <w:t xml:space="preserve">Wong AKO, Beattie KA, Min KKH, Gordon C, Pickard L, Papaioannou A, et al. Peripheral quantitative computed tomography-derived muscle density and peripheral magnetic resonance imaging-derived muscle adiposity: precision and associations with fragility fractures in women. J Musculoskelet Neuronal Interact. 2014 Dec 1;14(4):401. </w:t>
      </w:r>
    </w:p>
    <w:p w14:paraId="0A66F044"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39. </w:t>
      </w:r>
      <w:r w:rsidRPr="00AC1341">
        <w:rPr>
          <w:rFonts w:ascii="Calibri" w:hAnsi="Calibri" w:cs="Calibri"/>
          <w:noProof/>
          <w:szCs w:val="24"/>
        </w:rPr>
        <w:tab/>
        <w:t xml:space="preserve">Larsen B, Bellettiere J, Allison M, McClelland RL, Miljkovic I, Vella CA, et al. Muscle area and density and risk of all-cause mortality: The Multi-Ethnic Study of Atherosclerosis. Metabolism. 2020 Oct 1;111:154321. </w:t>
      </w:r>
    </w:p>
    <w:p w14:paraId="2A1C28A3"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lastRenderedPageBreak/>
        <w:t xml:space="preserve">40. </w:t>
      </w:r>
      <w:r w:rsidRPr="00AC1341">
        <w:rPr>
          <w:rFonts w:ascii="Calibri" w:hAnsi="Calibri" w:cs="Calibri"/>
          <w:noProof/>
          <w:szCs w:val="24"/>
        </w:rPr>
        <w:tab/>
        <w:t xml:space="preserve">Miljkovic I, Kuipers AL, Cauley JA, Prasad T, Lee CG, Ensrud KE, et al. Greater Skeletal Muscle Fat Infiltration Is Associated With Higher All-Cause and Cardiovascular Mortality in Older Men. Journals Gerontol Ser A. 2015 Sep 1;70(9):1133–40. </w:t>
      </w:r>
    </w:p>
    <w:p w14:paraId="154FB714"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41. </w:t>
      </w:r>
      <w:r w:rsidRPr="00AC1341">
        <w:rPr>
          <w:rFonts w:ascii="Calibri" w:hAnsi="Calibri" w:cs="Calibri"/>
          <w:noProof/>
          <w:szCs w:val="24"/>
        </w:rPr>
        <w:tab/>
        <w:t xml:space="preserve">Reinders I, for the Age GS (AGES)-RS, Murphy RA, for the Age GS (AGES)-RS, Brouwer IA, for the Age GS (AGES)-RS, et al. Muscle Quality and Myosteatosis: Novel Associations With Mortality RiskThe Age, Gene/Environment Susceptibility (AGES)-Reykjavik Study. Am J Epidemiol. 2016 Jan 1;183(1):53–60. </w:t>
      </w:r>
    </w:p>
    <w:p w14:paraId="2E2F4725"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42. </w:t>
      </w:r>
      <w:r w:rsidRPr="00AC1341">
        <w:rPr>
          <w:rFonts w:ascii="Calibri" w:hAnsi="Calibri" w:cs="Calibri"/>
          <w:noProof/>
          <w:szCs w:val="24"/>
        </w:rPr>
        <w:tab/>
        <w:t xml:space="preserve">Kim IH, Choi MH, Lee IS, Hong TH, Lee MA. Clinical significance of skeletal muscle density and sarcopenia in patients with pancreatic cancer undergoing first-line chemotherapy: a retrospective observational study. BMC Cancer. 2021 Dec 1;21(1). </w:t>
      </w:r>
    </w:p>
    <w:p w14:paraId="66C917DA"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43. </w:t>
      </w:r>
      <w:r w:rsidRPr="00AC1341">
        <w:rPr>
          <w:rFonts w:ascii="Calibri" w:hAnsi="Calibri" w:cs="Calibri"/>
          <w:noProof/>
          <w:szCs w:val="24"/>
        </w:rPr>
        <w:tab/>
        <w:t xml:space="preserve">Orwoll E, Blackwell T, Cummings SR, Cauley JA, Lane NE, Hoffman AR, et al. CT muscle density, D3Cr muscle mass and body fat associations with physical performance, mobility outcomes and mortality risk in older men. Journals Gerontol Ser A. 2021;XX(Xx):1–10. </w:t>
      </w:r>
    </w:p>
    <w:p w14:paraId="4BA4F5FD"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44. </w:t>
      </w:r>
      <w:r w:rsidRPr="00AC1341">
        <w:rPr>
          <w:rFonts w:ascii="Calibri" w:hAnsi="Calibri" w:cs="Calibri"/>
          <w:noProof/>
          <w:szCs w:val="24"/>
        </w:rPr>
        <w:tab/>
        <w:t xml:space="preserve">Cawthon PM, Fox KM, Gandra SR, Delmonico MJ, Chiou CF, Anthony MS, et al. Clustering of strength, physical function, muscle, and adiposity characteristics and risk of disability in older adults. J Am Geriatr Soc. 2011 May;59(5):781–7. </w:t>
      </w:r>
    </w:p>
    <w:p w14:paraId="127DC50D"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45. </w:t>
      </w:r>
      <w:r w:rsidRPr="00AC1341">
        <w:rPr>
          <w:rFonts w:ascii="Calibri" w:hAnsi="Calibri" w:cs="Calibri"/>
          <w:noProof/>
          <w:szCs w:val="24"/>
        </w:rPr>
        <w:tab/>
        <w:t xml:space="preserve">Baker JF, Mostoufi-Moab S, Long J, Taratuta E, Leonard MB, Zemel B. Association of Low Muscle Density With Deteriorations in Muscle Strength and Physical Functioning in Rheumatoid Arthritis. Arthritis Care Res. 2021 Mar 1;73(3):355–63. </w:t>
      </w:r>
    </w:p>
    <w:p w14:paraId="7DFD4AE7"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46. </w:t>
      </w:r>
      <w:r w:rsidRPr="00AC1341">
        <w:rPr>
          <w:rFonts w:ascii="Calibri" w:hAnsi="Calibri" w:cs="Calibri"/>
          <w:noProof/>
          <w:szCs w:val="24"/>
        </w:rPr>
        <w:tab/>
        <w:t xml:space="preserve">Schafer AL, Vittinghoff E, Lang TF, Sellmeyer DE, Harris TB, Kanaya AM, et al. Fat Infiltration of Muscle, Diabetes, and Clinical Fracture Risk in Older Adults. J Clin Endocrinol Metab. 2010;95(11):E368. </w:t>
      </w:r>
    </w:p>
    <w:p w14:paraId="792F6F2F"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47. </w:t>
      </w:r>
      <w:r w:rsidRPr="00AC1341">
        <w:rPr>
          <w:rFonts w:ascii="Calibri" w:hAnsi="Calibri" w:cs="Calibri"/>
          <w:noProof/>
          <w:szCs w:val="24"/>
        </w:rPr>
        <w:tab/>
        <w:t xml:space="preserve">Lang T, Cauley JA, Tylavsky F, Bauer D, Cummings S, Harris TB. Computed tomographic measurements of thigh muscle cross-sectional area and attenuation coefficient predict hip fracture: The health, aging, and body composition study. J Bone Miner Res. 2010 Mar 1;25(3):513–9. </w:t>
      </w:r>
    </w:p>
    <w:p w14:paraId="2BC9543D"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48. </w:t>
      </w:r>
      <w:r w:rsidRPr="00AC1341">
        <w:rPr>
          <w:rFonts w:ascii="Calibri" w:hAnsi="Calibri" w:cs="Calibri"/>
          <w:noProof/>
          <w:szCs w:val="24"/>
        </w:rPr>
        <w:tab/>
        <w:t xml:space="preserve">Lang T, Koyama A, Li C, Li J, Lu Y, Saeed I, et al. Pelvic body composition measurements by quantitative computed tomography: Association with recent hip fracture. Bone. 2008 Apr 1;42(4):798–805. </w:t>
      </w:r>
    </w:p>
    <w:p w14:paraId="65B16CDE"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49. </w:t>
      </w:r>
      <w:r w:rsidRPr="00AC1341">
        <w:rPr>
          <w:rFonts w:ascii="Calibri" w:hAnsi="Calibri" w:cs="Calibri"/>
          <w:noProof/>
          <w:szCs w:val="24"/>
        </w:rPr>
        <w:tab/>
        <w:t xml:space="preserve">Millor N, Cadore EL, Gómez M, Martínez A, Lecumberri P, Martirikorena J, et al. High density muscle size and muscle power are associated with both gait and sit-to-stand kinematic parameters in frail nonagenarians. J Biomech. 2020 May 22;105. </w:t>
      </w:r>
    </w:p>
    <w:p w14:paraId="62AA7024"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50. </w:t>
      </w:r>
      <w:r w:rsidRPr="00AC1341">
        <w:rPr>
          <w:rFonts w:ascii="Calibri" w:hAnsi="Calibri" w:cs="Calibri"/>
          <w:noProof/>
          <w:szCs w:val="24"/>
        </w:rPr>
        <w:tab/>
        <w:t xml:space="preserve">Lee WS, Cheung WH, Qin L, Tang N, Leung KS. Age-associated decrease of Type IIA/B human skeletal muscle fibers. Clin Orthop Relat Res. 2006;450:231–7. </w:t>
      </w:r>
    </w:p>
    <w:p w14:paraId="3F9CF9B5"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51. </w:t>
      </w:r>
      <w:r w:rsidRPr="00AC1341">
        <w:rPr>
          <w:rFonts w:ascii="Calibri" w:hAnsi="Calibri" w:cs="Calibri"/>
          <w:noProof/>
          <w:szCs w:val="24"/>
        </w:rPr>
        <w:tab/>
        <w:t xml:space="preserve">Patel HP, Dawson A, Westbury LD, Hasnaoui G, Syddall HE, Shaw S, et al. Muscle Mass, Muscle Morphology and Bone Health Among Community-Dwelling Older Men: Findings from the Hertfordshire Sarcopenia Study (HSS). Calcif Tissue Int. 2018 Jul 1;103(1):35. </w:t>
      </w:r>
    </w:p>
    <w:p w14:paraId="04246C6D"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52. </w:t>
      </w:r>
      <w:r w:rsidRPr="00AC1341">
        <w:rPr>
          <w:rFonts w:ascii="Calibri" w:hAnsi="Calibri" w:cs="Calibri"/>
          <w:noProof/>
          <w:szCs w:val="24"/>
        </w:rPr>
        <w:tab/>
        <w:t xml:space="preserve">Migliavacca E, Tay SKHH, Patel HP, Sonntag T, Civiletto G, McFarlane C, et al. Mitochondrial oxidative capacity and NAD+ biosynthesis are reduced in human </w:t>
      </w:r>
      <w:r w:rsidRPr="00AC1341">
        <w:rPr>
          <w:rFonts w:ascii="Calibri" w:hAnsi="Calibri" w:cs="Calibri"/>
          <w:noProof/>
          <w:szCs w:val="24"/>
        </w:rPr>
        <w:lastRenderedPageBreak/>
        <w:t xml:space="preserve">sarcopenia across ethnicities. 2019 Dec 20;10(1):1–14. </w:t>
      </w:r>
    </w:p>
    <w:p w14:paraId="046032A5"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53. </w:t>
      </w:r>
      <w:r w:rsidRPr="00AC1341">
        <w:rPr>
          <w:rFonts w:ascii="Calibri" w:hAnsi="Calibri" w:cs="Calibri"/>
          <w:noProof/>
          <w:szCs w:val="24"/>
        </w:rPr>
        <w:tab/>
        <w:t xml:space="preserve">Patel HP, Jameson KA, Syddall HE, Martin HJ, Stewart CE, Cooper C, et al. Developmental influences, muscle morphology, and sarcopenia in community-dwelling older men. Journals Gerontol - Ser A Biol Sci Med Sci. 2012;67 A(1):82–7. </w:t>
      </w:r>
    </w:p>
    <w:p w14:paraId="79839B63"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54. </w:t>
      </w:r>
      <w:r w:rsidRPr="00AC1341">
        <w:rPr>
          <w:rFonts w:ascii="Calibri" w:hAnsi="Calibri" w:cs="Calibri"/>
          <w:noProof/>
          <w:szCs w:val="24"/>
        </w:rPr>
        <w:tab/>
        <w:t xml:space="preserve">Frank-Wilson AW, Chalhoub D, Figueiredo P, Jónsson P V., Siggeirsdóttir K, Sigurdsson S, et al. Associations of Quadriceps Torque Properties with Muscle Size, Attenuation, and Intramuscular Adipose Tissue in Older Adults. Journals Gerontol - Ser A Biol Sci Med Sci. 2018 Jun 14;73(7):931–8. </w:t>
      </w:r>
    </w:p>
    <w:p w14:paraId="48ED0EB0"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55. </w:t>
      </w:r>
      <w:r w:rsidRPr="00AC1341">
        <w:rPr>
          <w:rFonts w:ascii="Calibri" w:hAnsi="Calibri" w:cs="Calibri"/>
          <w:noProof/>
          <w:szCs w:val="24"/>
        </w:rPr>
        <w:tab/>
        <w:t xml:space="preserve">Goodpaster BH, Study  for the HA, Park SW, Study  for the HA, Harris TB, Study  for the HA, et al. The Loss of Skeletal Muscle Strength, Mass, and Quality in Older Adults: The Health, Aging and Body Composition Study. Journals Gerontol Ser A. 2006 Oct 1;61(10):1059–64. </w:t>
      </w:r>
    </w:p>
    <w:p w14:paraId="49595B2A"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56. </w:t>
      </w:r>
      <w:r w:rsidRPr="00AC1341">
        <w:rPr>
          <w:rFonts w:ascii="Calibri" w:hAnsi="Calibri" w:cs="Calibri"/>
          <w:noProof/>
          <w:szCs w:val="24"/>
        </w:rPr>
        <w:tab/>
        <w:t xml:space="preserve">Delmonico MJ, Harris TB, Visser M, Park SW, Conroy MB, Velasquez-Mieyer P, et al. Longitudinal study of muscle strength, quality, and adipose tissue                        infiltration. Am J Clin Nutr. 2009 Dec 1;90(6):1579. </w:t>
      </w:r>
    </w:p>
    <w:p w14:paraId="040B4350"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57. </w:t>
      </w:r>
      <w:r w:rsidRPr="00AC1341">
        <w:rPr>
          <w:rFonts w:ascii="Calibri" w:hAnsi="Calibri" w:cs="Calibri"/>
          <w:noProof/>
          <w:szCs w:val="24"/>
        </w:rPr>
        <w:tab/>
        <w:t xml:space="preserve">Wang L, Yin L, Zhao Y, Su Y, Sun W, Chen S, et al. Muscle Density, but Not Size, Correlates Well With Muscle Strength and Physical Performance. J Am Med Dir Assoc. 2021 Apr 1;22(4):751-759.e2. </w:t>
      </w:r>
    </w:p>
    <w:p w14:paraId="3F21FA80"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58. </w:t>
      </w:r>
      <w:r w:rsidRPr="00AC1341">
        <w:rPr>
          <w:rFonts w:ascii="Calibri" w:hAnsi="Calibri" w:cs="Calibri"/>
          <w:noProof/>
          <w:szCs w:val="24"/>
        </w:rPr>
        <w:tab/>
        <w:t xml:space="preserve">Locquet M, Bruyère O, Lengelé L, Reginster JY, Beaudart C. Relationship between smoking and the incidence of sarcopenia: The SarcoPhAge cohort. Public Health. 2021 Apr 1;193:101–8. </w:t>
      </w:r>
    </w:p>
    <w:p w14:paraId="1593E14F"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59. </w:t>
      </w:r>
      <w:r w:rsidRPr="00AC1341">
        <w:rPr>
          <w:rFonts w:ascii="Calibri" w:hAnsi="Calibri" w:cs="Calibri"/>
          <w:noProof/>
          <w:szCs w:val="24"/>
        </w:rPr>
        <w:tab/>
        <w:t xml:space="preserve">Szulc P, Duboeuf F, Marchand F, Delmas PD. Hormonal and lifestyle determinants of appendicular skeletal muscle mass in men: the MINOS study 1-3 [Internet]. Vol. 80, Am J Clin Nutr. 2004. </w:t>
      </w:r>
    </w:p>
    <w:p w14:paraId="65376140"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60. </w:t>
      </w:r>
      <w:r w:rsidRPr="00AC1341">
        <w:rPr>
          <w:rFonts w:ascii="Calibri" w:hAnsi="Calibri" w:cs="Calibri"/>
          <w:noProof/>
          <w:szCs w:val="24"/>
        </w:rPr>
        <w:tab/>
        <w:t xml:space="preserve">Zane AC, Reiter DA, Shardell M, Cameron D, Simonsick EM, Fishbein KW, et al. Muscle strength mediates the relationship between mitochondrial energetics and walking performance. Aging Cell. 2017 Jun 1;16(3):461–8. </w:t>
      </w:r>
    </w:p>
    <w:p w14:paraId="189AAE04"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61. </w:t>
      </w:r>
      <w:r w:rsidRPr="00AC1341">
        <w:rPr>
          <w:rFonts w:ascii="Calibri" w:hAnsi="Calibri" w:cs="Calibri"/>
          <w:noProof/>
          <w:szCs w:val="24"/>
        </w:rPr>
        <w:tab/>
        <w:t xml:space="preserve">Law MR, Hackshaw AK. A meta-analysis of cigarette smoking, bone mineral density and risk of hip fracture: Recognition of a major effect. Br Med J. 1997;315(7112):841–6. </w:t>
      </w:r>
    </w:p>
    <w:p w14:paraId="01129A29"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62. </w:t>
      </w:r>
      <w:r w:rsidRPr="00AC1341">
        <w:rPr>
          <w:rFonts w:ascii="Calibri" w:hAnsi="Calibri" w:cs="Calibri"/>
          <w:noProof/>
          <w:szCs w:val="24"/>
        </w:rPr>
        <w:tab/>
        <w:t xml:space="preserve">Buchmann N, Spira D, König M, Norman K, Demuth I, Steinhagen-Thiessen E. Problematic drinking in the old and its association with muscle mass and muscle function in type II diabetes. Sci Reports 2019 91. 2019 Aug 19;9(1):1–8. </w:t>
      </w:r>
    </w:p>
    <w:p w14:paraId="41B0CE0B"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63. </w:t>
      </w:r>
      <w:r w:rsidRPr="00AC1341">
        <w:rPr>
          <w:rFonts w:ascii="Calibri" w:hAnsi="Calibri" w:cs="Calibri"/>
          <w:noProof/>
          <w:szCs w:val="24"/>
        </w:rPr>
        <w:tab/>
        <w:t xml:space="preserve">Steffl M, Bohannon RW, Sontakova L, Tufano JJ, Shiells K, Holmerova I. Relationship between sarcopenia and physical activity in older people: A systematic review and meta-analysis [Internet]. Vol. 12, Clinical Interventions in Aging. Dove Medical Press Ltd.; 2017. p. 835–45. </w:t>
      </w:r>
    </w:p>
    <w:p w14:paraId="36DD49D9"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64. </w:t>
      </w:r>
      <w:r w:rsidRPr="00AC1341">
        <w:rPr>
          <w:rFonts w:ascii="Calibri" w:hAnsi="Calibri" w:cs="Calibri"/>
          <w:noProof/>
          <w:szCs w:val="24"/>
        </w:rPr>
        <w:tab/>
        <w:t xml:space="preserve">Ramírez-Vélez R, Ezzatvar Y, Izquierdo M, García-Hermoso A. Effect of exercise on myosteatosis in adults: A systematic review and meta-analysis. J Appl Physiol. 2021 Jan 1;130(1):245–55. </w:t>
      </w:r>
    </w:p>
    <w:p w14:paraId="6266E492"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lastRenderedPageBreak/>
        <w:t xml:space="preserve">65. </w:t>
      </w:r>
      <w:r w:rsidRPr="00AC1341">
        <w:rPr>
          <w:rFonts w:ascii="Calibri" w:hAnsi="Calibri" w:cs="Calibri"/>
          <w:noProof/>
          <w:szCs w:val="24"/>
        </w:rPr>
        <w:tab/>
        <w:t xml:space="preserve">Morton RW, Murphy KT, Mckellar SR, Schoenfeld BJ, Henselmans M, Helms E, et al. A systematic review, meta-analysis and meta-regression of the effect of protein supplementation on resistance training-induced gains in muscle mass and strength in healthy adults. Br J Sport Med. 2018;52:376–84. </w:t>
      </w:r>
    </w:p>
    <w:p w14:paraId="205B8D9B"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66. </w:t>
      </w:r>
      <w:r w:rsidRPr="00AC1341">
        <w:rPr>
          <w:rFonts w:ascii="Calibri" w:hAnsi="Calibri" w:cs="Calibri"/>
          <w:noProof/>
          <w:szCs w:val="24"/>
        </w:rPr>
        <w:tab/>
        <w:t xml:space="preserve">Hengeveld LM, Boer JMA, Gaudreau P, Heymans MW, Jagger C, Mendonça N, et al. Prevalence of protein intake below recommended in community‐dwelling older adults: a meta‐analysis across cohorts from the PROMISS consortium. J Cachexia Sarcopenia Muscle. 2020 Oct 1;11(5):1212. </w:t>
      </w:r>
    </w:p>
    <w:p w14:paraId="7354419B"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67. </w:t>
      </w:r>
      <w:r w:rsidRPr="00AC1341">
        <w:rPr>
          <w:rFonts w:ascii="Calibri" w:hAnsi="Calibri" w:cs="Calibri"/>
          <w:noProof/>
          <w:szCs w:val="24"/>
        </w:rPr>
        <w:tab/>
        <w:t xml:space="preserve">Weeks BK, Gerrits TAJ, Horan SA, Beck BR. Muscle Size Not Density Predicts Variance in Muscle Strength and Neuromuscular Performance in Healthy Adult Men and Women. J Strength Cond Res. 2016 Jun 1;30(6):1577–84. </w:t>
      </w:r>
    </w:p>
    <w:p w14:paraId="0265D066"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68. </w:t>
      </w:r>
      <w:r w:rsidRPr="00AC1341">
        <w:rPr>
          <w:rFonts w:ascii="Calibri" w:hAnsi="Calibri" w:cs="Calibri"/>
          <w:noProof/>
          <w:szCs w:val="24"/>
        </w:rPr>
        <w:tab/>
        <w:t xml:space="preserve">Frank-Wilson AW, Johnston JD, Olszynski WP, Kontulainen SA. Measurement of muscle and fat in postmenopausal women: Precision of previously reported pQCT imaging methods. Bone. 2015 Jun 1;75:49–54. </w:t>
      </w:r>
    </w:p>
    <w:p w14:paraId="16F87A8D"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szCs w:val="24"/>
        </w:rPr>
      </w:pPr>
      <w:r w:rsidRPr="00AC1341">
        <w:rPr>
          <w:rFonts w:ascii="Calibri" w:hAnsi="Calibri" w:cs="Calibri"/>
          <w:noProof/>
          <w:szCs w:val="24"/>
        </w:rPr>
        <w:t xml:space="preserve">69. </w:t>
      </w:r>
      <w:r w:rsidRPr="00AC1341">
        <w:rPr>
          <w:rFonts w:ascii="Calibri" w:hAnsi="Calibri" w:cs="Calibri"/>
          <w:noProof/>
          <w:szCs w:val="24"/>
        </w:rPr>
        <w:tab/>
        <w:t xml:space="preserve">Cesari M, Pahor M, Lauretani F, Zamboni V, Bandinelli S, Bernabei R, et al. Skeletal Muscle and Mortality Results From the InCHIANTI Study. Journals Gerontol Ser A. 2009 Mar 1;64A(3):377–84. </w:t>
      </w:r>
    </w:p>
    <w:p w14:paraId="55822E1E" w14:textId="77777777" w:rsidR="00AC1341" w:rsidRPr="00AC1341" w:rsidRDefault="00AC1341" w:rsidP="00AC1341">
      <w:pPr>
        <w:widowControl w:val="0"/>
        <w:autoSpaceDE w:val="0"/>
        <w:autoSpaceDN w:val="0"/>
        <w:adjustRightInd w:val="0"/>
        <w:spacing w:line="240" w:lineRule="auto"/>
        <w:ind w:left="640" w:hanging="640"/>
        <w:rPr>
          <w:rFonts w:ascii="Calibri" w:hAnsi="Calibri" w:cs="Calibri"/>
          <w:noProof/>
        </w:rPr>
      </w:pPr>
      <w:r w:rsidRPr="00AC1341">
        <w:rPr>
          <w:rFonts w:ascii="Calibri" w:hAnsi="Calibri" w:cs="Calibri"/>
          <w:noProof/>
          <w:szCs w:val="24"/>
        </w:rPr>
        <w:t xml:space="preserve">70. </w:t>
      </w:r>
      <w:r w:rsidRPr="00AC1341">
        <w:rPr>
          <w:rFonts w:ascii="Calibri" w:hAnsi="Calibri" w:cs="Calibri"/>
          <w:noProof/>
          <w:szCs w:val="24"/>
        </w:rPr>
        <w:tab/>
        <w:t xml:space="preserve">Erlandson MC, Lorbergs AL, Mathur S, Cheung AM. Muscle analysis using pQCT, DXA and MRI. Eur J Radiol. 2016 Aug 1;85(8):1505–11. </w:t>
      </w:r>
    </w:p>
    <w:p w14:paraId="1C6B00BD" w14:textId="362AC867" w:rsidR="000F45B3" w:rsidRPr="000F45B3" w:rsidRDefault="00DC7FBD" w:rsidP="000F45B3">
      <w:r>
        <w:fldChar w:fldCharType="end"/>
      </w:r>
    </w:p>
    <w:sectPr w:rsidR="000F45B3" w:rsidRPr="000F45B3" w:rsidSect="00137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22116"/>
    <w:multiLevelType w:val="hybridMultilevel"/>
    <w:tmpl w:val="FFC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62282"/>
    <w:multiLevelType w:val="hybridMultilevel"/>
    <w:tmpl w:val="04F4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3CCCFE-42F9-417C-89B7-02B4074EC36E}"/>
    <w:docVar w:name="dgnword-eventsink" w:val="1936174227520"/>
  </w:docVars>
  <w:rsids>
    <w:rsidRoot w:val="00FC0D60"/>
    <w:rsid w:val="000257D6"/>
    <w:rsid w:val="00030008"/>
    <w:rsid w:val="000346A7"/>
    <w:rsid w:val="00042DC9"/>
    <w:rsid w:val="0004647E"/>
    <w:rsid w:val="00047038"/>
    <w:rsid w:val="00052A40"/>
    <w:rsid w:val="00054DBC"/>
    <w:rsid w:val="00060E32"/>
    <w:rsid w:val="00061E98"/>
    <w:rsid w:val="000659A0"/>
    <w:rsid w:val="0006729E"/>
    <w:rsid w:val="00070761"/>
    <w:rsid w:val="00071930"/>
    <w:rsid w:val="00072350"/>
    <w:rsid w:val="00076D9C"/>
    <w:rsid w:val="00080D0E"/>
    <w:rsid w:val="00087B16"/>
    <w:rsid w:val="00087BBF"/>
    <w:rsid w:val="00091907"/>
    <w:rsid w:val="000946D7"/>
    <w:rsid w:val="00097A24"/>
    <w:rsid w:val="000A118C"/>
    <w:rsid w:val="000A4AE4"/>
    <w:rsid w:val="000A6955"/>
    <w:rsid w:val="000B25D8"/>
    <w:rsid w:val="000C06F0"/>
    <w:rsid w:val="000C292C"/>
    <w:rsid w:val="000C73FF"/>
    <w:rsid w:val="000E3535"/>
    <w:rsid w:val="000F0E5C"/>
    <w:rsid w:val="000F18F7"/>
    <w:rsid w:val="000F45B3"/>
    <w:rsid w:val="001048C5"/>
    <w:rsid w:val="001140A5"/>
    <w:rsid w:val="00121EBA"/>
    <w:rsid w:val="00127E76"/>
    <w:rsid w:val="00134F86"/>
    <w:rsid w:val="0013723F"/>
    <w:rsid w:val="00161BD6"/>
    <w:rsid w:val="00164757"/>
    <w:rsid w:val="00165125"/>
    <w:rsid w:val="00175B8F"/>
    <w:rsid w:val="0017723C"/>
    <w:rsid w:val="00177D69"/>
    <w:rsid w:val="00182652"/>
    <w:rsid w:val="00183CBC"/>
    <w:rsid w:val="001917A3"/>
    <w:rsid w:val="0019386C"/>
    <w:rsid w:val="001A188C"/>
    <w:rsid w:val="001A7954"/>
    <w:rsid w:val="001B3222"/>
    <w:rsid w:val="001B4262"/>
    <w:rsid w:val="001B6585"/>
    <w:rsid w:val="001C0D6E"/>
    <w:rsid w:val="001C0FD0"/>
    <w:rsid w:val="001C197C"/>
    <w:rsid w:val="001C19C6"/>
    <w:rsid w:val="001C57D8"/>
    <w:rsid w:val="001D085C"/>
    <w:rsid w:val="001D2464"/>
    <w:rsid w:val="001D2D56"/>
    <w:rsid w:val="001D6C76"/>
    <w:rsid w:val="001E6772"/>
    <w:rsid w:val="001E6A69"/>
    <w:rsid w:val="001F6394"/>
    <w:rsid w:val="0020012C"/>
    <w:rsid w:val="002003A2"/>
    <w:rsid w:val="0021104B"/>
    <w:rsid w:val="00213313"/>
    <w:rsid w:val="002144BD"/>
    <w:rsid w:val="00215376"/>
    <w:rsid w:val="002168EA"/>
    <w:rsid w:val="00216C48"/>
    <w:rsid w:val="002178AD"/>
    <w:rsid w:val="00217B55"/>
    <w:rsid w:val="00221767"/>
    <w:rsid w:val="00222D91"/>
    <w:rsid w:val="00227C13"/>
    <w:rsid w:val="00231B48"/>
    <w:rsid w:val="00232B7D"/>
    <w:rsid w:val="00232D28"/>
    <w:rsid w:val="00234655"/>
    <w:rsid w:val="00234E9F"/>
    <w:rsid w:val="00243DF5"/>
    <w:rsid w:val="0024651B"/>
    <w:rsid w:val="0025009B"/>
    <w:rsid w:val="00251A0B"/>
    <w:rsid w:val="00253E82"/>
    <w:rsid w:val="00253FA7"/>
    <w:rsid w:val="00254E76"/>
    <w:rsid w:val="00256BCD"/>
    <w:rsid w:val="00257CAB"/>
    <w:rsid w:val="002663F9"/>
    <w:rsid w:val="00274EED"/>
    <w:rsid w:val="002820CE"/>
    <w:rsid w:val="00283E70"/>
    <w:rsid w:val="002A15AF"/>
    <w:rsid w:val="002A28F8"/>
    <w:rsid w:val="002A644C"/>
    <w:rsid w:val="002A6A2D"/>
    <w:rsid w:val="002B214A"/>
    <w:rsid w:val="002B2D63"/>
    <w:rsid w:val="002B5E28"/>
    <w:rsid w:val="002C0001"/>
    <w:rsid w:val="002C2453"/>
    <w:rsid w:val="002C4F7F"/>
    <w:rsid w:val="002C5CB9"/>
    <w:rsid w:val="002D08F2"/>
    <w:rsid w:val="002D41A0"/>
    <w:rsid w:val="002D7C38"/>
    <w:rsid w:val="002E0581"/>
    <w:rsid w:val="002E0E97"/>
    <w:rsid w:val="002F24CC"/>
    <w:rsid w:val="00307116"/>
    <w:rsid w:val="00311CCF"/>
    <w:rsid w:val="00312333"/>
    <w:rsid w:val="00312937"/>
    <w:rsid w:val="003165B5"/>
    <w:rsid w:val="00317241"/>
    <w:rsid w:val="0032753D"/>
    <w:rsid w:val="0033181A"/>
    <w:rsid w:val="003333A9"/>
    <w:rsid w:val="00333BA3"/>
    <w:rsid w:val="003347A9"/>
    <w:rsid w:val="00340718"/>
    <w:rsid w:val="00340786"/>
    <w:rsid w:val="003442D5"/>
    <w:rsid w:val="0035246C"/>
    <w:rsid w:val="00352D4F"/>
    <w:rsid w:val="00370103"/>
    <w:rsid w:val="0037159E"/>
    <w:rsid w:val="00373EBD"/>
    <w:rsid w:val="003745A5"/>
    <w:rsid w:val="00374EEB"/>
    <w:rsid w:val="00377E80"/>
    <w:rsid w:val="00381AA8"/>
    <w:rsid w:val="00386DDE"/>
    <w:rsid w:val="00396FBA"/>
    <w:rsid w:val="00397C2E"/>
    <w:rsid w:val="003A22EE"/>
    <w:rsid w:val="003A29CD"/>
    <w:rsid w:val="003A56C8"/>
    <w:rsid w:val="003B0B5B"/>
    <w:rsid w:val="003B375A"/>
    <w:rsid w:val="003B675B"/>
    <w:rsid w:val="003C12E8"/>
    <w:rsid w:val="003C1320"/>
    <w:rsid w:val="003C397B"/>
    <w:rsid w:val="003C54D8"/>
    <w:rsid w:val="003C7FB6"/>
    <w:rsid w:val="003D011C"/>
    <w:rsid w:val="003D1200"/>
    <w:rsid w:val="003D173C"/>
    <w:rsid w:val="003D36D3"/>
    <w:rsid w:val="003D3B88"/>
    <w:rsid w:val="003D3FC4"/>
    <w:rsid w:val="003E2314"/>
    <w:rsid w:val="003E326A"/>
    <w:rsid w:val="003F7516"/>
    <w:rsid w:val="00402348"/>
    <w:rsid w:val="00402E5B"/>
    <w:rsid w:val="00406714"/>
    <w:rsid w:val="0041103B"/>
    <w:rsid w:val="00411816"/>
    <w:rsid w:val="0041263E"/>
    <w:rsid w:val="00416078"/>
    <w:rsid w:val="00416503"/>
    <w:rsid w:val="00423844"/>
    <w:rsid w:val="00433090"/>
    <w:rsid w:val="00437DAC"/>
    <w:rsid w:val="0044351B"/>
    <w:rsid w:val="00444C3A"/>
    <w:rsid w:val="00452BCC"/>
    <w:rsid w:val="00452C5B"/>
    <w:rsid w:val="00454BBB"/>
    <w:rsid w:val="00455EC6"/>
    <w:rsid w:val="004566E8"/>
    <w:rsid w:val="00457182"/>
    <w:rsid w:val="0045721F"/>
    <w:rsid w:val="00457F51"/>
    <w:rsid w:val="004633BF"/>
    <w:rsid w:val="004641E4"/>
    <w:rsid w:val="004727FE"/>
    <w:rsid w:val="004757A9"/>
    <w:rsid w:val="0047741C"/>
    <w:rsid w:val="0048106A"/>
    <w:rsid w:val="00481577"/>
    <w:rsid w:val="004822EE"/>
    <w:rsid w:val="004825E7"/>
    <w:rsid w:val="00483640"/>
    <w:rsid w:val="00484FD8"/>
    <w:rsid w:val="00486788"/>
    <w:rsid w:val="004905D7"/>
    <w:rsid w:val="004961DD"/>
    <w:rsid w:val="00496E8F"/>
    <w:rsid w:val="00496F36"/>
    <w:rsid w:val="004A436F"/>
    <w:rsid w:val="004B0AB5"/>
    <w:rsid w:val="004B13CD"/>
    <w:rsid w:val="004B4587"/>
    <w:rsid w:val="004B4DE5"/>
    <w:rsid w:val="004B6461"/>
    <w:rsid w:val="004C18F5"/>
    <w:rsid w:val="004C475E"/>
    <w:rsid w:val="004D005E"/>
    <w:rsid w:val="004D199A"/>
    <w:rsid w:val="004D2E53"/>
    <w:rsid w:val="004D794C"/>
    <w:rsid w:val="004E14D0"/>
    <w:rsid w:val="004E4250"/>
    <w:rsid w:val="004E42AF"/>
    <w:rsid w:val="004F1684"/>
    <w:rsid w:val="005027F9"/>
    <w:rsid w:val="00502B85"/>
    <w:rsid w:val="00504902"/>
    <w:rsid w:val="00511F63"/>
    <w:rsid w:val="00517FE8"/>
    <w:rsid w:val="00521ABE"/>
    <w:rsid w:val="00524DA8"/>
    <w:rsid w:val="00531E8A"/>
    <w:rsid w:val="00532379"/>
    <w:rsid w:val="00536CA6"/>
    <w:rsid w:val="005370A5"/>
    <w:rsid w:val="00545B61"/>
    <w:rsid w:val="005474B9"/>
    <w:rsid w:val="00553FD1"/>
    <w:rsid w:val="00556CBE"/>
    <w:rsid w:val="00557D4A"/>
    <w:rsid w:val="0056126A"/>
    <w:rsid w:val="00561441"/>
    <w:rsid w:val="00572707"/>
    <w:rsid w:val="0057573D"/>
    <w:rsid w:val="0058170E"/>
    <w:rsid w:val="00582B00"/>
    <w:rsid w:val="00583752"/>
    <w:rsid w:val="00585D9F"/>
    <w:rsid w:val="005861A9"/>
    <w:rsid w:val="005867EE"/>
    <w:rsid w:val="00590A2E"/>
    <w:rsid w:val="005941C4"/>
    <w:rsid w:val="005A1C79"/>
    <w:rsid w:val="005A4CA9"/>
    <w:rsid w:val="005B2524"/>
    <w:rsid w:val="005B4465"/>
    <w:rsid w:val="005B516D"/>
    <w:rsid w:val="005C301D"/>
    <w:rsid w:val="005C3446"/>
    <w:rsid w:val="005C5B47"/>
    <w:rsid w:val="005C69E2"/>
    <w:rsid w:val="005C7FCF"/>
    <w:rsid w:val="005D7198"/>
    <w:rsid w:val="005D7245"/>
    <w:rsid w:val="005D74FD"/>
    <w:rsid w:val="005D7914"/>
    <w:rsid w:val="005E56EF"/>
    <w:rsid w:val="005E57BB"/>
    <w:rsid w:val="005E5C6F"/>
    <w:rsid w:val="005E7005"/>
    <w:rsid w:val="005F169F"/>
    <w:rsid w:val="005F1AB3"/>
    <w:rsid w:val="005F4730"/>
    <w:rsid w:val="005F4CC5"/>
    <w:rsid w:val="00603ABB"/>
    <w:rsid w:val="006108C3"/>
    <w:rsid w:val="00610F0B"/>
    <w:rsid w:val="0061221F"/>
    <w:rsid w:val="00621BCE"/>
    <w:rsid w:val="00621C5C"/>
    <w:rsid w:val="00633770"/>
    <w:rsid w:val="00637D78"/>
    <w:rsid w:val="00644292"/>
    <w:rsid w:val="006447BE"/>
    <w:rsid w:val="00646182"/>
    <w:rsid w:val="00646464"/>
    <w:rsid w:val="00647C4F"/>
    <w:rsid w:val="00651379"/>
    <w:rsid w:val="00652440"/>
    <w:rsid w:val="006556A6"/>
    <w:rsid w:val="00661533"/>
    <w:rsid w:val="00666AAF"/>
    <w:rsid w:val="00666DC5"/>
    <w:rsid w:val="0067138F"/>
    <w:rsid w:val="00672820"/>
    <w:rsid w:val="00672864"/>
    <w:rsid w:val="006745FF"/>
    <w:rsid w:val="00680C53"/>
    <w:rsid w:val="00685C69"/>
    <w:rsid w:val="00686D7B"/>
    <w:rsid w:val="00697DED"/>
    <w:rsid w:val="006A7CB1"/>
    <w:rsid w:val="006B2DEB"/>
    <w:rsid w:val="006C09C7"/>
    <w:rsid w:val="006D1323"/>
    <w:rsid w:val="006D21AF"/>
    <w:rsid w:val="006D365C"/>
    <w:rsid w:val="006D58A6"/>
    <w:rsid w:val="006D631B"/>
    <w:rsid w:val="006D635F"/>
    <w:rsid w:val="006D6931"/>
    <w:rsid w:val="006E139D"/>
    <w:rsid w:val="006E1529"/>
    <w:rsid w:val="006E3030"/>
    <w:rsid w:val="006E3981"/>
    <w:rsid w:val="006E5D7F"/>
    <w:rsid w:val="006F04A6"/>
    <w:rsid w:val="006F65F8"/>
    <w:rsid w:val="00700EA6"/>
    <w:rsid w:val="00716279"/>
    <w:rsid w:val="00716746"/>
    <w:rsid w:val="00716A8B"/>
    <w:rsid w:val="00720832"/>
    <w:rsid w:val="00723572"/>
    <w:rsid w:val="00725AF4"/>
    <w:rsid w:val="00726A13"/>
    <w:rsid w:val="00726E5A"/>
    <w:rsid w:val="00727D31"/>
    <w:rsid w:val="007410E0"/>
    <w:rsid w:val="00742C35"/>
    <w:rsid w:val="007434D0"/>
    <w:rsid w:val="007449FE"/>
    <w:rsid w:val="00751672"/>
    <w:rsid w:val="0075436A"/>
    <w:rsid w:val="00755D88"/>
    <w:rsid w:val="0076077E"/>
    <w:rsid w:val="0076489B"/>
    <w:rsid w:val="00772764"/>
    <w:rsid w:val="00775C9D"/>
    <w:rsid w:val="007953A4"/>
    <w:rsid w:val="00796217"/>
    <w:rsid w:val="007A345C"/>
    <w:rsid w:val="007A35C4"/>
    <w:rsid w:val="007B665B"/>
    <w:rsid w:val="007C2E83"/>
    <w:rsid w:val="007D0ECF"/>
    <w:rsid w:val="007D34EA"/>
    <w:rsid w:val="007D4924"/>
    <w:rsid w:val="007D494F"/>
    <w:rsid w:val="007D5279"/>
    <w:rsid w:val="007D765E"/>
    <w:rsid w:val="007E28AB"/>
    <w:rsid w:val="007F0650"/>
    <w:rsid w:val="007F105D"/>
    <w:rsid w:val="007F6609"/>
    <w:rsid w:val="007F6AA4"/>
    <w:rsid w:val="00802DF4"/>
    <w:rsid w:val="0080454E"/>
    <w:rsid w:val="00807DBF"/>
    <w:rsid w:val="00811105"/>
    <w:rsid w:val="0081440C"/>
    <w:rsid w:val="00816E01"/>
    <w:rsid w:val="0081736F"/>
    <w:rsid w:val="00817C22"/>
    <w:rsid w:val="0082067E"/>
    <w:rsid w:val="008209B9"/>
    <w:rsid w:val="00822C39"/>
    <w:rsid w:val="00831A7E"/>
    <w:rsid w:val="00832790"/>
    <w:rsid w:val="00832B02"/>
    <w:rsid w:val="00833FC1"/>
    <w:rsid w:val="00834E29"/>
    <w:rsid w:val="00840359"/>
    <w:rsid w:val="008405F6"/>
    <w:rsid w:val="00847EE2"/>
    <w:rsid w:val="00857ECB"/>
    <w:rsid w:val="00860E70"/>
    <w:rsid w:val="0086164A"/>
    <w:rsid w:val="00863518"/>
    <w:rsid w:val="008716BE"/>
    <w:rsid w:val="00874819"/>
    <w:rsid w:val="00875DA9"/>
    <w:rsid w:val="00875DD9"/>
    <w:rsid w:val="008832A1"/>
    <w:rsid w:val="00887285"/>
    <w:rsid w:val="008921A0"/>
    <w:rsid w:val="008958DE"/>
    <w:rsid w:val="00895B77"/>
    <w:rsid w:val="008A352F"/>
    <w:rsid w:val="008B01BA"/>
    <w:rsid w:val="008B04AC"/>
    <w:rsid w:val="008B0E80"/>
    <w:rsid w:val="008B405B"/>
    <w:rsid w:val="008B4D1B"/>
    <w:rsid w:val="008B5440"/>
    <w:rsid w:val="008C42D8"/>
    <w:rsid w:val="008C6788"/>
    <w:rsid w:val="008C7A3B"/>
    <w:rsid w:val="008D011B"/>
    <w:rsid w:val="008D3183"/>
    <w:rsid w:val="008D33DE"/>
    <w:rsid w:val="008E22A3"/>
    <w:rsid w:val="008E2A48"/>
    <w:rsid w:val="008E3AB3"/>
    <w:rsid w:val="008F0789"/>
    <w:rsid w:val="009001D8"/>
    <w:rsid w:val="009009CC"/>
    <w:rsid w:val="00902A9D"/>
    <w:rsid w:val="00902F97"/>
    <w:rsid w:val="0090649E"/>
    <w:rsid w:val="00911899"/>
    <w:rsid w:val="00911900"/>
    <w:rsid w:val="00916766"/>
    <w:rsid w:val="00920197"/>
    <w:rsid w:val="009274C5"/>
    <w:rsid w:val="00927A46"/>
    <w:rsid w:val="00927C91"/>
    <w:rsid w:val="00935EA5"/>
    <w:rsid w:val="0094635C"/>
    <w:rsid w:val="0094712E"/>
    <w:rsid w:val="00950B33"/>
    <w:rsid w:val="00953D34"/>
    <w:rsid w:val="0095538A"/>
    <w:rsid w:val="00956DCD"/>
    <w:rsid w:val="00962A01"/>
    <w:rsid w:val="00963465"/>
    <w:rsid w:val="0096780D"/>
    <w:rsid w:val="00967BD9"/>
    <w:rsid w:val="00970EAA"/>
    <w:rsid w:val="00977525"/>
    <w:rsid w:val="009837CD"/>
    <w:rsid w:val="0099203A"/>
    <w:rsid w:val="00992674"/>
    <w:rsid w:val="009A42B6"/>
    <w:rsid w:val="009A4E9D"/>
    <w:rsid w:val="009A6533"/>
    <w:rsid w:val="009B1C83"/>
    <w:rsid w:val="009B60DE"/>
    <w:rsid w:val="009C059E"/>
    <w:rsid w:val="009C1284"/>
    <w:rsid w:val="009C2649"/>
    <w:rsid w:val="009C30D2"/>
    <w:rsid w:val="009C605A"/>
    <w:rsid w:val="009C71EB"/>
    <w:rsid w:val="009C766E"/>
    <w:rsid w:val="009C7788"/>
    <w:rsid w:val="009C7AB6"/>
    <w:rsid w:val="009D6303"/>
    <w:rsid w:val="009E3CF4"/>
    <w:rsid w:val="009E7AA3"/>
    <w:rsid w:val="009F0983"/>
    <w:rsid w:val="009F2648"/>
    <w:rsid w:val="00A014E7"/>
    <w:rsid w:val="00A020F9"/>
    <w:rsid w:val="00A04262"/>
    <w:rsid w:val="00A068CF"/>
    <w:rsid w:val="00A10A6F"/>
    <w:rsid w:val="00A110A3"/>
    <w:rsid w:val="00A156F7"/>
    <w:rsid w:val="00A16384"/>
    <w:rsid w:val="00A17D51"/>
    <w:rsid w:val="00A23CA3"/>
    <w:rsid w:val="00A32A7E"/>
    <w:rsid w:val="00A35C9E"/>
    <w:rsid w:val="00A51A18"/>
    <w:rsid w:val="00A57597"/>
    <w:rsid w:val="00A57895"/>
    <w:rsid w:val="00A6046A"/>
    <w:rsid w:val="00A618FB"/>
    <w:rsid w:val="00A62247"/>
    <w:rsid w:val="00A657B7"/>
    <w:rsid w:val="00A6621E"/>
    <w:rsid w:val="00A71F0A"/>
    <w:rsid w:val="00A722D0"/>
    <w:rsid w:val="00A73D56"/>
    <w:rsid w:val="00A762A1"/>
    <w:rsid w:val="00A95C4C"/>
    <w:rsid w:val="00A95CB5"/>
    <w:rsid w:val="00A95CF2"/>
    <w:rsid w:val="00AA3E1F"/>
    <w:rsid w:val="00AA571A"/>
    <w:rsid w:val="00AA7C22"/>
    <w:rsid w:val="00AB419C"/>
    <w:rsid w:val="00AB51D6"/>
    <w:rsid w:val="00AB77A3"/>
    <w:rsid w:val="00AC0DC4"/>
    <w:rsid w:val="00AC1341"/>
    <w:rsid w:val="00AC1934"/>
    <w:rsid w:val="00AC5D31"/>
    <w:rsid w:val="00AC6E2F"/>
    <w:rsid w:val="00AC7721"/>
    <w:rsid w:val="00AD3FA5"/>
    <w:rsid w:val="00AE2FC1"/>
    <w:rsid w:val="00AE45AA"/>
    <w:rsid w:val="00AE4A7E"/>
    <w:rsid w:val="00AF1622"/>
    <w:rsid w:val="00AF3972"/>
    <w:rsid w:val="00AF6B43"/>
    <w:rsid w:val="00B00916"/>
    <w:rsid w:val="00B10C62"/>
    <w:rsid w:val="00B13D98"/>
    <w:rsid w:val="00B14AFE"/>
    <w:rsid w:val="00B2079A"/>
    <w:rsid w:val="00B217AA"/>
    <w:rsid w:val="00B329AA"/>
    <w:rsid w:val="00B347E6"/>
    <w:rsid w:val="00B35183"/>
    <w:rsid w:val="00B36A21"/>
    <w:rsid w:val="00B44576"/>
    <w:rsid w:val="00B46EE5"/>
    <w:rsid w:val="00B5180A"/>
    <w:rsid w:val="00B52E17"/>
    <w:rsid w:val="00B5555B"/>
    <w:rsid w:val="00B56382"/>
    <w:rsid w:val="00B619A9"/>
    <w:rsid w:val="00B6729E"/>
    <w:rsid w:val="00B80301"/>
    <w:rsid w:val="00B81403"/>
    <w:rsid w:val="00B815E0"/>
    <w:rsid w:val="00B83608"/>
    <w:rsid w:val="00B850A0"/>
    <w:rsid w:val="00B915B2"/>
    <w:rsid w:val="00B92485"/>
    <w:rsid w:val="00B92A55"/>
    <w:rsid w:val="00B9549D"/>
    <w:rsid w:val="00B95692"/>
    <w:rsid w:val="00BA1A06"/>
    <w:rsid w:val="00BA7B81"/>
    <w:rsid w:val="00BB0EB9"/>
    <w:rsid w:val="00BB2B90"/>
    <w:rsid w:val="00BC222D"/>
    <w:rsid w:val="00BC264A"/>
    <w:rsid w:val="00BC2DFF"/>
    <w:rsid w:val="00BC5BDD"/>
    <w:rsid w:val="00BC74A8"/>
    <w:rsid w:val="00BD3079"/>
    <w:rsid w:val="00BD4ECB"/>
    <w:rsid w:val="00BD5E33"/>
    <w:rsid w:val="00BE19AB"/>
    <w:rsid w:val="00BE3031"/>
    <w:rsid w:val="00BE4A13"/>
    <w:rsid w:val="00BE6279"/>
    <w:rsid w:val="00BE6ABD"/>
    <w:rsid w:val="00BF2239"/>
    <w:rsid w:val="00BF4D21"/>
    <w:rsid w:val="00BF6BDA"/>
    <w:rsid w:val="00C012C0"/>
    <w:rsid w:val="00C0177D"/>
    <w:rsid w:val="00C125CB"/>
    <w:rsid w:val="00C17A9A"/>
    <w:rsid w:val="00C17E6F"/>
    <w:rsid w:val="00C25EBF"/>
    <w:rsid w:val="00C266D4"/>
    <w:rsid w:val="00C354CC"/>
    <w:rsid w:val="00C355D5"/>
    <w:rsid w:val="00C45647"/>
    <w:rsid w:val="00C47787"/>
    <w:rsid w:val="00C503C3"/>
    <w:rsid w:val="00C50D46"/>
    <w:rsid w:val="00C56832"/>
    <w:rsid w:val="00C5688E"/>
    <w:rsid w:val="00C615ED"/>
    <w:rsid w:val="00C77DB3"/>
    <w:rsid w:val="00C77EDF"/>
    <w:rsid w:val="00C813FF"/>
    <w:rsid w:val="00C861C5"/>
    <w:rsid w:val="00C90286"/>
    <w:rsid w:val="00C92A2C"/>
    <w:rsid w:val="00C92E34"/>
    <w:rsid w:val="00C94278"/>
    <w:rsid w:val="00CA45C1"/>
    <w:rsid w:val="00CA4D7A"/>
    <w:rsid w:val="00CA5B31"/>
    <w:rsid w:val="00CB077F"/>
    <w:rsid w:val="00CB2E90"/>
    <w:rsid w:val="00CB5895"/>
    <w:rsid w:val="00CB7867"/>
    <w:rsid w:val="00CC49CD"/>
    <w:rsid w:val="00CD0D0C"/>
    <w:rsid w:val="00CD1C9C"/>
    <w:rsid w:val="00CD2627"/>
    <w:rsid w:val="00CD38E3"/>
    <w:rsid w:val="00CD4869"/>
    <w:rsid w:val="00CE00D9"/>
    <w:rsid w:val="00CE7EAB"/>
    <w:rsid w:val="00CF6128"/>
    <w:rsid w:val="00CF6BC1"/>
    <w:rsid w:val="00D031FE"/>
    <w:rsid w:val="00D07580"/>
    <w:rsid w:val="00D11125"/>
    <w:rsid w:val="00D12425"/>
    <w:rsid w:val="00D170B8"/>
    <w:rsid w:val="00D21797"/>
    <w:rsid w:val="00D225C6"/>
    <w:rsid w:val="00D25D3D"/>
    <w:rsid w:val="00D41005"/>
    <w:rsid w:val="00D413BC"/>
    <w:rsid w:val="00D507C0"/>
    <w:rsid w:val="00D513CA"/>
    <w:rsid w:val="00D5308C"/>
    <w:rsid w:val="00D536BB"/>
    <w:rsid w:val="00D53BF0"/>
    <w:rsid w:val="00D55B43"/>
    <w:rsid w:val="00D5773E"/>
    <w:rsid w:val="00D57A39"/>
    <w:rsid w:val="00D6154B"/>
    <w:rsid w:val="00D64525"/>
    <w:rsid w:val="00D64DF0"/>
    <w:rsid w:val="00D6B454"/>
    <w:rsid w:val="00D72C29"/>
    <w:rsid w:val="00D73C15"/>
    <w:rsid w:val="00D75553"/>
    <w:rsid w:val="00D77CF9"/>
    <w:rsid w:val="00D817A3"/>
    <w:rsid w:val="00D82984"/>
    <w:rsid w:val="00D844F2"/>
    <w:rsid w:val="00D85A42"/>
    <w:rsid w:val="00D85E21"/>
    <w:rsid w:val="00D948E8"/>
    <w:rsid w:val="00D965DC"/>
    <w:rsid w:val="00D96C2E"/>
    <w:rsid w:val="00DA1521"/>
    <w:rsid w:val="00DA51C4"/>
    <w:rsid w:val="00DB004C"/>
    <w:rsid w:val="00DB2FE8"/>
    <w:rsid w:val="00DB7144"/>
    <w:rsid w:val="00DC2A71"/>
    <w:rsid w:val="00DC2B97"/>
    <w:rsid w:val="00DC77B2"/>
    <w:rsid w:val="00DC7FBD"/>
    <w:rsid w:val="00DD7BED"/>
    <w:rsid w:val="00DE2938"/>
    <w:rsid w:val="00DE4861"/>
    <w:rsid w:val="00DE4C94"/>
    <w:rsid w:val="00DE51C2"/>
    <w:rsid w:val="00DF060A"/>
    <w:rsid w:val="00DF09F5"/>
    <w:rsid w:val="00DF52B3"/>
    <w:rsid w:val="00DF75BA"/>
    <w:rsid w:val="00E011C9"/>
    <w:rsid w:val="00E06015"/>
    <w:rsid w:val="00E120DD"/>
    <w:rsid w:val="00E12CE6"/>
    <w:rsid w:val="00E23BB6"/>
    <w:rsid w:val="00E249B3"/>
    <w:rsid w:val="00E34117"/>
    <w:rsid w:val="00E34351"/>
    <w:rsid w:val="00E374E9"/>
    <w:rsid w:val="00E40E1F"/>
    <w:rsid w:val="00E413FA"/>
    <w:rsid w:val="00E42BBA"/>
    <w:rsid w:val="00E42C2A"/>
    <w:rsid w:val="00E439B0"/>
    <w:rsid w:val="00E55838"/>
    <w:rsid w:val="00E5605A"/>
    <w:rsid w:val="00E56150"/>
    <w:rsid w:val="00E61C7A"/>
    <w:rsid w:val="00E6542C"/>
    <w:rsid w:val="00E70C90"/>
    <w:rsid w:val="00E77B7B"/>
    <w:rsid w:val="00E943EC"/>
    <w:rsid w:val="00E96552"/>
    <w:rsid w:val="00EA22CD"/>
    <w:rsid w:val="00EA6884"/>
    <w:rsid w:val="00EA689E"/>
    <w:rsid w:val="00EB34DF"/>
    <w:rsid w:val="00EC0993"/>
    <w:rsid w:val="00EC3020"/>
    <w:rsid w:val="00EC3225"/>
    <w:rsid w:val="00EC5BFD"/>
    <w:rsid w:val="00ED1FD9"/>
    <w:rsid w:val="00ED305B"/>
    <w:rsid w:val="00ED3ABE"/>
    <w:rsid w:val="00ED798D"/>
    <w:rsid w:val="00EE14C4"/>
    <w:rsid w:val="00EE4DC2"/>
    <w:rsid w:val="00EF0F1A"/>
    <w:rsid w:val="00EF1FB4"/>
    <w:rsid w:val="00EF2BF1"/>
    <w:rsid w:val="00F00CEF"/>
    <w:rsid w:val="00F01054"/>
    <w:rsid w:val="00F01848"/>
    <w:rsid w:val="00F0219E"/>
    <w:rsid w:val="00F05161"/>
    <w:rsid w:val="00F06918"/>
    <w:rsid w:val="00F07F23"/>
    <w:rsid w:val="00F23442"/>
    <w:rsid w:val="00F33108"/>
    <w:rsid w:val="00F35E4F"/>
    <w:rsid w:val="00F37027"/>
    <w:rsid w:val="00F37603"/>
    <w:rsid w:val="00F37773"/>
    <w:rsid w:val="00F410C0"/>
    <w:rsid w:val="00F42334"/>
    <w:rsid w:val="00F42CE8"/>
    <w:rsid w:val="00F461F0"/>
    <w:rsid w:val="00F5046A"/>
    <w:rsid w:val="00F50AC7"/>
    <w:rsid w:val="00F554B0"/>
    <w:rsid w:val="00F60A2F"/>
    <w:rsid w:val="00F63BEE"/>
    <w:rsid w:val="00F657FA"/>
    <w:rsid w:val="00F752A4"/>
    <w:rsid w:val="00F75527"/>
    <w:rsid w:val="00F83606"/>
    <w:rsid w:val="00F862FB"/>
    <w:rsid w:val="00F93C52"/>
    <w:rsid w:val="00FA0A1A"/>
    <w:rsid w:val="00FA4395"/>
    <w:rsid w:val="00FA60E6"/>
    <w:rsid w:val="00FB2153"/>
    <w:rsid w:val="00FB420C"/>
    <w:rsid w:val="00FB7408"/>
    <w:rsid w:val="00FC02CD"/>
    <w:rsid w:val="00FC0D60"/>
    <w:rsid w:val="00FC6C53"/>
    <w:rsid w:val="00FD06FE"/>
    <w:rsid w:val="00FD46F7"/>
    <w:rsid w:val="00FD787F"/>
    <w:rsid w:val="00FE2AE2"/>
    <w:rsid w:val="00FE4383"/>
    <w:rsid w:val="00FE4500"/>
    <w:rsid w:val="00FF0BE0"/>
    <w:rsid w:val="00FF163C"/>
    <w:rsid w:val="00FF3678"/>
    <w:rsid w:val="00FF5F5A"/>
    <w:rsid w:val="01352540"/>
    <w:rsid w:val="013DB113"/>
    <w:rsid w:val="01535EAE"/>
    <w:rsid w:val="01623F68"/>
    <w:rsid w:val="01E2E8C9"/>
    <w:rsid w:val="02D0F5A1"/>
    <w:rsid w:val="03608C08"/>
    <w:rsid w:val="03CDA69A"/>
    <w:rsid w:val="04895AC3"/>
    <w:rsid w:val="052D59BD"/>
    <w:rsid w:val="052F4E38"/>
    <w:rsid w:val="057121BC"/>
    <w:rsid w:val="05A83D54"/>
    <w:rsid w:val="05CAC784"/>
    <w:rsid w:val="06CB1E99"/>
    <w:rsid w:val="0803E00D"/>
    <w:rsid w:val="08740006"/>
    <w:rsid w:val="09B0F9DE"/>
    <w:rsid w:val="09C1794E"/>
    <w:rsid w:val="0A0E6B87"/>
    <w:rsid w:val="0B5C7C14"/>
    <w:rsid w:val="0B63EC77"/>
    <w:rsid w:val="0BD52B6E"/>
    <w:rsid w:val="0CBD105C"/>
    <w:rsid w:val="0CCA9A7E"/>
    <w:rsid w:val="0CCF7243"/>
    <w:rsid w:val="0DAE97E3"/>
    <w:rsid w:val="0DCE5AF1"/>
    <w:rsid w:val="0E38A469"/>
    <w:rsid w:val="0E543E81"/>
    <w:rsid w:val="0EC90FBA"/>
    <w:rsid w:val="1066683D"/>
    <w:rsid w:val="11EC8E9F"/>
    <w:rsid w:val="13613F9D"/>
    <w:rsid w:val="13885F00"/>
    <w:rsid w:val="13A8E71B"/>
    <w:rsid w:val="13AAE984"/>
    <w:rsid w:val="13E776D3"/>
    <w:rsid w:val="149C3967"/>
    <w:rsid w:val="14F6E157"/>
    <w:rsid w:val="165F6E5E"/>
    <w:rsid w:val="171001FB"/>
    <w:rsid w:val="175FB011"/>
    <w:rsid w:val="181224EA"/>
    <w:rsid w:val="181C9E73"/>
    <w:rsid w:val="18360207"/>
    <w:rsid w:val="1924BB8B"/>
    <w:rsid w:val="197AE92F"/>
    <w:rsid w:val="19D3700E"/>
    <w:rsid w:val="1A3265FB"/>
    <w:rsid w:val="1A62757B"/>
    <w:rsid w:val="1BDC10F8"/>
    <w:rsid w:val="1C10DC0F"/>
    <w:rsid w:val="1E8E50F7"/>
    <w:rsid w:val="1EEF3792"/>
    <w:rsid w:val="1F1B268D"/>
    <w:rsid w:val="1F520B4C"/>
    <w:rsid w:val="2008C262"/>
    <w:rsid w:val="20C5EE9C"/>
    <w:rsid w:val="20E9AF70"/>
    <w:rsid w:val="215C046C"/>
    <w:rsid w:val="21E9CEE8"/>
    <w:rsid w:val="229972CA"/>
    <w:rsid w:val="22A0988C"/>
    <w:rsid w:val="23406324"/>
    <w:rsid w:val="235E82F9"/>
    <w:rsid w:val="236C76EC"/>
    <w:rsid w:val="23C8BDC5"/>
    <w:rsid w:val="24804460"/>
    <w:rsid w:val="25887B21"/>
    <w:rsid w:val="25BAC548"/>
    <w:rsid w:val="26112EC1"/>
    <w:rsid w:val="261C14C1"/>
    <w:rsid w:val="27B0BE22"/>
    <w:rsid w:val="280298AC"/>
    <w:rsid w:val="2831D696"/>
    <w:rsid w:val="293A1DE7"/>
    <w:rsid w:val="2942CCDB"/>
    <w:rsid w:val="2982051C"/>
    <w:rsid w:val="29821A46"/>
    <w:rsid w:val="29897194"/>
    <w:rsid w:val="29A797B4"/>
    <w:rsid w:val="29E58175"/>
    <w:rsid w:val="2AF66D7D"/>
    <w:rsid w:val="2B238A8B"/>
    <w:rsid w:val="2BF36309"/>
    <w:rsid w:val="2C7A6D9D"/>
    <w:rsid w:val="2C8BC499"/>
    <w:rsid w:val="2CB199C6"/>
    <w:rsid w:val="2CCE1D0D"/>
    <w:rsid w:val="2D989E80"/>
    <w:rsid w:val="2EAF2993"/>
    <w:rsid w:val="2F5424AC"/>
    <w:rsid w:val="30C6A158"/>
    <w:rsid w:val="30EB6281"/>
    <w:rsid w:val="324C092E"/>
    <w:rsid w:val="325A18BA"/>
    <w:rsid w:val="328BC56E"/>
    <w:rsid w:val="32D7BE93"/>
    <w:rsid w:val="33892039"/>
    <w:rsid w:val="34272F4A"/>
    <w:rsid w:val="34423CED"/>
    <w:rsid w:val="34857F82"/>
    <w:rsid w:val="34F7EC9A"/>
    <w:rsid w:val="3583A9F0"/>
    <w:rsid w:val="35AD3C13"/>
    <w:rsid w:val="3614A933"/>
    <w:rsid w:val="36B37BFF"/>
    <w:rsid w:val="370BD2E5"/>
    <w:rsid w:val="374EB0AD"/>
    <w:rsid w:val="3769C528"/>
    <w:rsid w:val="37D65601"/>
    <w:rsid w:val="38C72582"/>
    <w:rsid w:val="39FE1DAC"/>
    <w:rsid w:val="3A02738F"/>
    <w:rsid w:val="3B502F48"/>
    <w:rsid w:val="3B50324E"/>
    <w:rsid w:val="3B505DFC"/>
    <w:rsid w:val="3BF03DB3"/>
    <w:rsid w:val="3CCF81FB"/>
    <w:rsid w:val="3CF22CD6"/>
    <w:rsid w:val="3D712EA5"/>
    <w:rsid w:val="3D85137A"/>
    <w:rsid w:val="3E609B7A"/>
    <w:rsid w:val="3E827EC8"/>
    <w:rsid w:val="3EE82B78"/>
    <w:rsid w:val="3F0B015E"/>
    <w:rsid w:val="3FD3FE1D"/>
    <w:rsid w:val="402A4DED"/>
    <w:rsid w:val="40683A80"/>
    <w:rsid w:val="4076E5A1"/>
    <w:rsid w:val="41073EBB"/>
    <w:rsid w:val="412C067F"/>
    <w:rsid w:val="4132AEEA"/>
    <w:rsid w:val="41768D11"/>
    <w:rsid w:val="42668188"/>
    <w:rsid w:val="435362ED"/>
    <w:rsid w:val="4463A741"/>
    <w:rsid w:val="44A62420"/>
    <w:rsid w:val="44DBACA5"/>
    <w:rsid w:val="44E1E6E5"/>
    <w:rsid w:val="45007BE8"/>
    <w:rsid w:val="45019204"/>
    <w:rsid w:val="45315222"/>
    <w:rsid w:val="45F93435"/>
    <w:rsid w:val="46644E46"/>
    <w:rsid w:val="469310A3"/>
    <w:rsid w:val="4693763F"/>
    <w:rsid w:val="471387AF"/>
    <w:rsid w:val="472F074D"/>
    <w:rsid w:val="4759DFA8"/>
    <w:rsid w:val="47D2F1DF"/>
    <w:rsid w:val="491DF007"/>
    <w:rsid w:val="49F5ED97"/>
    <w:rsid w:val="4B25F625"/>
    <w:rsid w:val="4B99035B"/>
    <w:rsid w:val="4BCC5709"/>
    <w:rsid w:val="4BE57F66"/>
    <w:rsid w:val="4C4A6BFD"/>
    <w:rsid w:val="4CA165BC"/>
    <w:rsid w:val="4CCF4C77"/>
    <w:rsid w:val="4CE3A9D4"/>
    <w:rsid w:val="4E655DF2"/>
    <w:rsid w:val="4E93D3FB"/>
    <w:rsid w:val="506E133B"/>
    <w:rsid w:val="50971938"/>
    <w:rsid w:val="51DD821C"/>
    <w:rsid w:val="5241A74A"/>
    <w:rsid w:val="52B029E7"/>
    <w:rsid w:val="53EBAB95"/>
    <w:rsid w:val="53F5EAD9"/>
    <w:rsid w:val="5401E2B5"/>
    <w:rsid w:val="542F81DF"/>
    <w:rsid w:val="552C2179"/>
    <w:rsid w:val="556D7AF9"/>
    <w:rsid w:val="55877BF6"/>
    <w:rsid w:val="56857E8C"/>
    <w:rsid w:val="5795E68B"/>
    <w:rsid w:val="57AB41F7"/>
    <w:rsid w:val="58A4C187"/>
    <w:rsid w:val="590B3D5F"/>
    <w:rsid w:val="597FCC1E"/>
    <w:rsid w:val="59C20A6C"/>
    <w:rsid w:val="5A0A5DB4"/>
    <w:rsid w:val="5C2FDCE2"/>
    <w:rsid w:val="5CD63DC6"/>
    <w:rsid w:val="5E4288CF"/>
    <w:rsid w:val="5F0FB551"/>
    <w:rsid w:val="5F151498"/>
    <w:rsid w:val="5F6E2347"/>
    <w:rsid w:val="5F734D4B"/>
    <w:rsid w:val="6071D1C8"/>
    <w:rsid w:val="60A83771"/>
    <w:rsid w:val="61A9AEE9"/>
    <w:rsid w:val="61F562D3"/>
    <w:rsid w:val="62636B85"/>
    <w:rsid w:val="633FE40B"/>
    <w:rsid w:val="6462520B"/>
    <w:rsid w:val="64BE8DE3"/>
    <w:rsid w:val="672F6533"/>
    <w:rsid w:val="6736DCA8"/>
    <w:rsid w:val="67E9ACC4"/>
    <w:rsid w:val="68222D96"/>
    <w:rsid w:val="6831C69B"/>
    <w:rsid w:val="68EC5323"/>
    <w:rsid w:val="69171ADB"/>
    <w:rsid w:val="6957B72E"/>
    <w:rsid w:val="6975FA62"/>
    <w:rsid w:val="699CD5BC"/>
    <w:rsid w:val="69D695D1"/>
    <w:rsid w:val="6A575574"/>
    <w:rsid w:val="6A73A1C8"/>
    <w:rsid w:val="6B0E2DB9"/>
    <w:rsid w:val="6B8F2F2A"/>
    <w:rsid w:val="6BFF3DA5"/>
    <w:rsid w:val="6CD59B7F"/>
    <w:rsid w:val="6D0CC61D"/>
    <w:rsid w:val="6D7D88D6"/>
    <w:rsid w:val="6E24FC0E"/>
    <w:rsid w:val="6EE3CEE7"/>
    <w:rsid w:val="6F8132F3"/>
    <w:rsid w:val="70260DA3"/>
    <w:rsid w:val="7098C7A5"/>
    <w:rsid w:val="70FE9CE8"/>
    <w:rsid w:val="720DA499"/>
    <w:rsid w:val="7339E9FB"/>
    <w:rsid w:val="73C6A999"/>
    <w:rsid w:val="747E243A"/>
    <w:rsid w:val="748057B1"/>
    <w:rsid w:val="756F725E"/>
    <w:rsid w:val="76822660"/>
    <w:rsid w:val="771A2FE4"/>
    <w:rsid w:val="773C7D07"/>
    <w:rsid w:val="7805A79F"/>
    <w:rsid w:val="794B94B6"/>
    <w:rsid w:val="79600936"/>
    <w:rsid w:val="7A26818E"/>
    <w:rsid w:val="7A7C4415"/>
    <w:rsid w:val="7AD84C4E"/>
    <w:rsid w:val="7B5ED723"/>
    <w:rsid w:val="7C2A88D5"/>
    <w:rsid w:val="7CE89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2E23"/>
  <w15:chartTrackingRefBased/>
  <w15:docId w15:val="{CD7422F6-48A4-4947-86D9-36742C23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E0"/>
    <w:rPr>
      <w:sz w:val="24"/>
    </w:rPr>
  </w:style>
  <w:style w:type="paragraph" w:styleId="Heading1">
    <w:name w:val="heading 1"/>
    <w:basedOn w:val="Normal"/>
    <w:next w:val="Normal"/>
    <w:link w:val="Heading1Char"/>
    <w:uiPriority w:val="9"/>
    <w:qFormat/>
    <w:rsid w:val="007410E0"/>
    <w:pPr>
      <w:keepNext/>
      <w:keepLines/>
      <w:spacing w:before="240" w:after="0"/>
      <w:outlineLvl w:val="0"/>
    </w:pPr>
    <w:rPr>
      <w:rFonts w:asciiTheme="majorHAnsi" w:eastAsiaTheme="majorEastAsia" w:hAnsiTheme="majorHAnsi" w:cstheme="majorBidi"/>
      <w:b/>
      <w:color w:val="262626" w:themeColor="text1" w:themeTint="D9"/>
      <w:sz w:val="32"/>
      <w:szCs w:val="32"/>
    </w:rPr>
  </w:style>
  <w:style w:type="paragraph" w:styleId="Heading2">
    <w:name w:val="heading 2"/>
    <w:basedOn w:val="Normal"/>
    <w:next w:val="Normal"/>
    <w:link w:val="Heading2Char"/>
    <w:uiPriority w:val="9"/>
    <w:unhideWhenUsed/>
    <w:qFormat/>
    <w:rsid w:val="007410E0"/>
    <w:pPr>
      <w:keepNext/>
      <w:keepLines/>
      <w:spacing w:before="40" w:after="0"/>
      <w:outlineLvl w:val="1"/>
    </w:pPr>
    <w:rPr>
      <w:rFonts w:asciiTheme="majorHAnsi" w:eastAsiaTheme="majorEastAsia" w:hAnsiTheme="majorHAnsi" w:cstheme="majorBidi"/>
      <w:b/>
      <w:color w:val="262626" w:themeColor="text1" w:themeTint="D9"/>
      <w:sz w:val="28"/>
      <w:szCs w:val="28"/>
    </w:rPr>
  </w:style>
  <w:style w:type="paragraph" w:styleId="Heading3">
    <w:name w:val="heading 3"/>
    <w:basedOn w:val="Normal"/>
    <w:next w:val="Normal"/>
    <w:link w:val="Heading3Char"/>
    <w:uiPriority w:val="9"/>
    <w:semiHidden/>
    <w:unhideWhenUsed/>
    <w:qFormat/>
    <w:rsid w:val="00DE4861"/>
    <w:pPr>
      <w:keepNext/>
      <w:keepLines/>
      <w:spacing w:before="40" w:after="0"/>
      <w:outlineLvl w:val="2"/>
    </w:pPr>
    <w:rPr>
      <w:rFonts w:asciiTheme="majorHAnsi" w:eastAsiaTheme="majorEastAsia" w:hAnsiTheme="majorHAnsi" w:cstheme="majorBidi"/>
      <w:color w:val="0D0D0D" w:themeColor="text1" w:themeTint="F2"/>
      <w:szCs w:val="24"/>
    </w:rPr>
  </w:style>
  <w:style w:type="paragraph" w:styleId="Heading4">
    <w:name w:val="heading 4"/>
    <w:basedOn w:val="Normal"/>
    <w:next w:val="Normal"/>
    <w:link w:val="Heading4Char"/>
    <w:uiPriority w:val="9"/>
    <w:semiHidden/>
    <w:unhideWhenUsed/>
    <w:qFormat/>
    <w:rsid w:val="00DE486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DE486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DE4861"/>
    <w:pPr>
      <w:keepNext/>
      <w:keepLines/>
      <w:spacing w:before="40" w:after="0"/>
      <w:outlineLvl w:val="5"/>
    </w:pPr>
  </w:style>
  <w:style w:type="paragraph" w:styleId="Heading7">
    <w:name w:val="heading 7"/>
    <w:basedOn w:val="Normal"/>
    <w:next w:val="Normal"/>
    <w:link w:val="Heading7Char"/>
    <w:uiPriority w:val="9"/>
    <w:semiHidden/>
    <w:unhideWhenUsed/>
    <w:qFormat/>
    <w:rsid w:val="00DE486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486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DE486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486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E4861"/>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DE4861"/>
    <w:rPr>
      <w:i/>
      <w:iCs/>
      <w:color w:val="auto"/>
    </w:rPr>
  </w:style>
  <w:style w:type="character" w:customStyle="1" w:styleId="Heading1Char">
    <w:name w:val="Heading 1 Char"/>
    <w:basedOn w:val="DefaultParagraphFont"/>
    <w:link w:val="Heading1"/>
    <w:uiPriority w:val="9"/>
    <w:rsid w:val="007410E0"/>
    <w:rPr>
      <w:rFonts w:asciiTheme="majorHAnsi" w:eastAsiaTheme="majorEastAsia" w:hAnsiTheme="majorHAnsi" w:cstheme="majorBidi"/>
      <w:b/>
      <w:color w:val="262626" w:themeColor="text1" w:themeTint="D9"/>
      <w:sz w:val="32"/>
      <w:szCs w:val="32"/>
    </w:rPr>
  </w:style>
  <w:style w:type="character" w:customStyle="1" w:styleId="Heading2Char">
    <w:name w:val="Heading 2 Char"/>
    <w:basedOn w:val="DefaultParagraphFont"/>
    <w:link w:val="Heading2"/>
    <w:uiPriority w:val="9"/>
    <w:rsid w:val="007410E0"/>
    <w:rPr>
      <w:rFonts w:asciiTheme="majorHAnsi" w:eastAsiaTheme="majorEastAsia" w:hAnsiTheme="majorHAnsi" w:cstheme="majorBidi"/>
      <w:b/>
      <w:color w:val="262626" w:themeColor="text1" w:themeTint="D9"/>
      <w:sz w:val="28"/>
      <w:szCs w:val="28"/>
    </w:rPr>
  </w:style>
  <w:style w:type="character" w:customStyle="1" w:styleId="Heading3Char">
    <w:name w:val="Heading 3 Char"/>
    <w:basedOn w:val="DefaultParagraphFont"/>
    <w:link w:val="Heading3"/>
    <w:uiPriority w:val="9"/>
    <w:semiHidden/>
    <w:rsid w:val="00DE486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DE4861"/>
    <w:rPr>
      <w:i/>
      <w:iCs/>
    </w:rPr>
  </w:style>
  <w:style w:type="character" w:customStyle="1" w:styleId="Heading5Char">
    <w:name w:val="Heading 5 Char"/>
    <w:basedOn w:val="DefaultParagraphFont"/>
    <w:link w:val="Heading5"/>
    <w:uiPriority w:val="9"/>
    <w:semiHidden/>
    <w:rsid w:val="00DE4861"/>
    <w:rPr>
      <w:color w:val="404040" w:themeColor="text1" w:themeTint="BF"/>
    </w:rPr>
  </w:style>
  <w:style w:type="character" w:customStyle="1" w:styleId="Heading6Char">
    <w:name w:val="Heading 6 Char"/>
    <w:basedOn w:val="DefaultParagraphFont"/>
    <w:link w:val="Heading6"/>
    <w:uiPriority w:val="9"/>
    <w:semiHidden/>
    <w:rsid w:val="00DE4861"/>
  </w:style>
  <w:style w:type="character" w:customStyle="1" w:styleId="Heading7Char">
    <w:name w:val="Heading 7 Char"/>
    <w:basedOn w:val="DefaultParagraphFont"/>
    <w:link w:val="Heading7"/>
    <w:uiPriority w:val="9"/>
    <w:semiHidden/>
    <w:rsid w:val="00DE48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4861"/>
    <w:rPr>
      <w:color w:val="262626" w:themeColor="text1" w:themeTint="D9"/>
      <w:sz w:val="21"/>
      <w:szCs w:val="21"/>
    </w:rPr>
  </w:style>
  <w:style w:type="character" w:customStyle="1" w:styleId="Heading9Char">
    <w:name w:val="Heading 9 Char"/>
    <w:basedOn w:val="DefaultParagraphFont"/>
    <w:link w:val="Heading9"/>
    <w:uiPriority w:val="9"/>
    <w:semiHidden/>
    <w:rsid w:val="00DE4861"/>
    <w:rPr>
      <w:rFonts w:asciiTheme="majorHAnsi" w:eastAsiaTheme="majorEastAsia" w:hAnsiTheme="majorHAnsi" w:cstheme="majorBidi"/>
      <w:i/>
      <w:iCs/>
      <w:color w:val="262626" w:themeColor="text1" w:themeTint="D9"/>
      <w:sz w:val="21"/>
      <w:szCs w:val="21"/>
    </w:rPr>
  </w:style>
  <w:style w:type="paragraph" w:styleId="Subtitle">
    <w:name w:val="Subtitle"/>
    <w:basedOn w:val="Normal"/>
    <w:next w:val="Normal"/>
    <w:link w:val="SubtitleChar"/>
    <w:uiPriority w:val="11"/>
    <w:qFormat/>
    <w:rsid w:val="00DE486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E4861"/>
    <w:rPr>
      <w:color w:val="5A5A5A" w:themeColor="text1" w:themeTint="A5"/>
      <w:spacing w:val="15"/>
    </w:rPr>
  </w:style>
  <w:style w:type="character" w:styleId="Strong">
    <w:name w:val="Strong"/>
    <w:basedOn w:val="DefaultParagraphFont"/>
    <w:uiPriority w:val="22"/>
    <w:qFormat/>
    <w:rsid w:val="00DE4861"/>
    <w:rPr>
      <w:b/>
      <w:bCs/>
      <w:color w:val="auto"/>
    </w:rPr>
  </w:style>
  <w:style w:type="paragraph" w:styleId="NoSpacing">
    <w:name w:val="No Spacing"/>
    <w:uiPriority w:val="1"/>
    <w:qFormat/>
    <w:rsid w:val="00DE4861"/>
    <w:pPr>
      <w:spacing w:after="0" w:line="240" w:lineRule="auto"/>
    </w:pPr>
  </w:style>
  <w:style w:type="paragraph" w:styleId="ListParagraph">
    <w:name w:val="List Paragraph"/>
    <w:basedOn w:val="Normal"/>
    <w:uiPriority w:val="34"/>
    <w:qFormat/>
    <w:rsid w:val="005C7FCF"/>
    <w:pPr>
      <w:ind w:left="720"/>
      <w:contextualSpacing/>
    </w:pPr>
  </w:style>
  <w:style w:type="paragraph" w:styleId="Quote">
    <w:name w:val="Quote"/>
    <w:basedOn w:val="Normal"/>
    <w:next w:val="Normal"/>
    <w:link w:val="QuoteChar"/>
    <w:uiPriority w:val="29"/>
    <w:qFormat/>
    <w:rsid w:val="00DE486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E4861"/>
    <w:rPr>
      <w:i/>
      <w:iCs/>
      <w:color w:val="404040" w:themeColor="text1" w:themeTint="BF"/>
    </w:rPr>
  </w:style>
  <w:style w:type="paragraph" w:styleId="IntenseQuote">
    <w:name w:val="Intense Quote"/>
    <w:basedOn w:val="Normal"/>
    <w:next w:val="Normal"/>
    <w:link w:val="IntenseQuoteChar"/>
    <w:uiPriority w:val="30"/>
    <w:qFormat/>
    <w:rsid w:val="00DE486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E4861"/>
    <w:rPr>
      <w:i/>
      <w:iCs/>
      <w:color w:val="404040" w:themeColor="text1" w:themeTint="BF"/>
    </w:rPr>
  </w:style>
  <w:style w:type="character" w:styleId="SubtleEmphasis">
    <w:name w:val="Subtle Emphasis"/>
    <w:basedOn w:val="DefaultParagraphFont"/>
    <w:uiPriority w:val="19"/>
    <w:qFormat/>
    <w:rsid w:val="00DE4861"/>
    <w:rPr>
      <w:i/>
      <w:iCs/>
      <w:color w:val="404040" w:themeColor="text1" w:themeTint="BF"/>
    </w:rPr>
  </w:style>
  <w:style w:type="character" w:styleId="IntenseEmphasis">
    <w:name w:val="Intense Emphasis"/>
    <w:basedOn w:val="DefaultParagraphFont"/>
    <w:uiPriority w:val="21"/>
    <w:qFormat/>
    <w:rsid w:val="00DE4861"/>
    <w:rPr>
      <w:b/>
      <w:bCs/>
      <w:i/>
      <w:iCs/>
      <w:color w:val="auto"/>
    </w:rPr>
  </w:style>
  <w:style w:type="character" w:styleId="SubtleReference">
    <w:name w:val="Subtle Reference"/>
    <w:basedOn w:val="DefaultParagraphFont"/>
    <w:uiPriority w:val="31"/>
    <w:qFormat/>
    <w:rsid w:val="00DE4861"/>
    <w:rPr>
      <w:smallCaps/>
      <w:color w:val="404040" w:themeColor="text1" w:themeTint="BF"/>
    </w:rPr>
  </w:style>
  <w:style w:type="character" w:styleId="IntenseReference">
    <w:name w:val="Intense Reference"/>
    <w:basedOn w:val="DefaultParagraphFont"/>
    <w:uiPriority w:val="32"/>
    <w:qFormat/>
    <w:rsid w:val="00DE4861"/>
    <w:rPr>
      <w:b/>
      <w:bCs/>
      <w:smallCaps/>
      <w:color w:val="404040" w:themeColor="text1" w:themeTint="BF"/>
      <w:spacing w:val="5"/>
    </w:rPr>
  </w:style>
  <w:style w:type="character" w:styleId="BookTitle">
    <w:name w:val="Book Title"/>
    <w:basedOn w:val="DefaultParagraphFont"/>
    <w:uiPriority w:val="33"/>
    <w:qFormat/>
    <w:rsid w:val="00DE4861"/>
    <w:rPr>
      <w:b/>
      <w:bCs/>
      <w:i/>
      <w:iCs/>
      <w:spacing w:val="5"/>
    </w:rPr>
  </w:style>
  <w:style w:type="paragraph" w:styleId="TOCHeading">
    <w:name w:val="TOC Heading"/>
    <w:basedOn w:val="Heading1"/>
    <w:next w:val="Normal"/>
    <w:uiPriority w:val="39"/>
    <w:semiHidden/>
    <w:unhideWhenUsed/>
    <w:qFormat/>
    <w:rsid w:val="00DE4861"/>
    <w:pPr>
      <w:outlineLvl w:val="9"/>
    </w:pPr>
  </w:style>
  <w:style w:type="paragraph" w:styleId="Caption">
    <w:name w:val="caption"/>
    <w:basedOn w:val="Normal"/>
    <w:next w:val="Normal"/>
    <w:uiPriority w:val="35"/>
    <w:unhideWhenUsed/>
    <w:qFormat/>
    <w:rsid w:val="0013723F"/>
    <w:pPr>
      <w:spacing w:after="200" w:line="240" w:lineRule="auto"/>
    </w:pPr>
    <w:rPr>
      <w:i/>
      <w:iCs/>
      <w:color w:val="44546A" w:themeColor="text2"/>
      <w:sz w:val="22"/>
      <w:szCs w:val="18"/>
    </w:rPr>
  </w:style>
  <w:style w:type="character" w:styleId="Hyperlink">
    <w:name w:val="Hyperlink"/>
    <w:uiPriority w:val="99"/>
    <w:unhideWhenUsed/>
    <w:rsid w:val="009C2649"/>
    <w:rPr>
      <w:color w:val="0563C1" w:themeColor="hyperlink"/>
      <w:u w:val="single"/>
    </w:rPr>
  </w:style>
  <w:style w:type="character" w:styleId="CommentReference">
    <w:name w:val="annotation reference"/>
    <w:basedOn w:val="DefaultParagraphFont"/>
    <w:uiPriority w:val="99"/>
    <w:semiHidden/>
    <w:unhideWhenUsed/>
    <w:rsid w:val="009E7AA3"/>
    <w:rPr>
      <w:sz w:val="16"/>
      <w:szCs w:val="16"/>
    </w:rPr>
  </w:style>
  <w:style w:type="paragraph" w:styleId="CommentText">
    <w:name w:val="annotation text"/>
    <w:basedOn w:val="Normal"/>
    <w:link w:val="CommentTextChar"/>
    <w:uiPriority w:val="99"/>
    <w:semiHidden/>
    <w:unhideWhenUsed/>
    <w:rsid w:val="009E7AA3"/>
    <w:pPr>
      <w:spacing w:line="240" w:lineRule="auto"/>
    </w:pPr>
    <w:rPr>
      <w:sz w:val="20"/>
      <w:szCs w:val="20"/>
    </w:rPr>
  </w:style>
  <w:style w:type="character" w:customStyle="1" w:styleId="CommentTextChar">
    <w:name w:val="Comment Text Char"/>
    <w:basedOn w:val="DefaultParagraphFont"/>
    <w:link w:val="CommentText"/>
    <w:uiPriority w:val="99"/>
    <w:semiHidden/>
    <w:rsid w:val="009E7AA3"/>
    <w:rPr>
      <w:sz w:val="20"/>
      <w:szCs w:val="20"/>
    </w:rPr>
  </w:style>
  <w:style w:type="paragraph" w:styleId="CommentSubject">
    <w:name w:val="annotation subject"/>
    <w:basedOn w:val="CommentText"/>
    <w:next w:val="CommentText"/>
    <w:link w:val="CommentSubjectChar"/>
    <w:uiPriority w:val="99"/>
    <w:semiHidden/>
    <w:unhideWhenUsed/>
    <w:rsid w:val="009E7AA3"/>
    <w:rPr>
      <w:b/>
      <w:bCs/>
    </w:rPr>
  </w:style>
  <w:style w:type="character" w:customStyle="1" w:styleId="CommentSubjectChar">
    <w:name w:val="Comment Subject Char"/>
    <w:basedOn w:val="CommentTextChar"/>
    <w:link w:val="CommentSubject"/>
    <w:uiPriority w:val="99"/>
    <w:semiHidden/>
    <w:rsid w:val="009E7AA3"/>
    <w:rPr>
      <w:b/>
      <w:bCs/>
      <w:sz w:val="20"/>
      <w:szCs w:val="20"/>
    </w:rPr>
  </w:style>
  <w:style w:type="character" w:styleId="UnresolvedMention">
    <w:name w:val="Unresolved Mention"/>
    <w:basedOn w:val="DefaultParagraphFont"/>
    <w:uiPriority w:val="99"/>
    <w:semiHidden/>
    <w:unhideWhenUsed/>
    <w:rsid w:val="00D507C0"/>
    <w:rPr>
      <w:color w:val="605E5C"/>
      <w:shd w:val="clear" w:color="auto" w:fill="E1DFDD"/>
    </w:rPr>
  </w:style>
  <w:style w:type="character" w:styleId="FollowedHyperlink">
    <w:name w:val="FollowedHyperlink"/>
    <w:basedOn w:val="DefaultParagraphFont"/>
    <w:uiPriority w:val="99"/>
    <w:semiHidden/>
    <w:unhideWhenUsed/>
    <w:rsid w:val="00726A13"/>
    <w:rPr>
      <w:color w:val="954F72" w:themeColor="followedHyperlink"/>
      <w:u w:val="single"/>
    </w:rPr>
  </w:style>
  <w:style w:type="paragraph" w:customStyle="1" w:styleId="MDPI14history">
    <w:name w:val="MDPI_1.4_history"/>
    <w:basedOn w:val="Normal"/>
    <w:next w:val="Normal"/>
    <w:rsid w:val="00E943EC"/>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rsid w:val="00E943EC"/>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rsid w:val="00E943EC"/>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rsid w:val="00E943EC"/>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15academiceditor">
    <w:name w:val="MDPI_1.5_academic_editor"/>
    <w:rsid w:val="00E943EC"/>
    <w:pPr>
      <w:adjustRightInd w:val="0"/>
      <w:snapToGrid w:val="0"/>
      <w:spacing w:before="240" w:after="0" w:line="240" w:lineRule="atLeast"/>
      <w:ind w:right="113"/>
    </w:pPr>
    <w:rPr>
      <w:rFonts w:ascii="Palatino Linotype" w:eastAsia="Times New Roman" w:hAnsi="Palatino Linotype" w:cs="Times New Roman"/>
      <w:color w:val="000000"/>
      <w:sz w:val="14"/>
      <w:lang w:val="en-US" w:eastAsia="de-DE" w:bidi="en-US"/>
    </w:rPr>
  </w:style>
  <w:style w:type="character" w:customStyle="1" w:styleId="mixed-citation">
    <w:name w:val="mixed-citation"/>
    <w:basedOn w:val="DefaultParagraphFont"/>
    <w:rsid w:val="005E7005"/>
  </w:style>
  <w:style w:type="paragraph" w:styleId="Revision">
    <w:name w:val="Revision"/>
    <w:hidden/>
    <w:uiPriority w:val="99"/>
    <w:semiHidden/>
    <w:rsid w:val="00AC6E2F"/>
    <w:pPr>
      <w:spacing w:after="0" w:line="240" w:lineRule="auto"/>
    </w:pPr>
    <w:rPr>
      <w:sz w:val="24"/>
    </w:rPr>
  </w:style>
  <w:style w:type="paragraph" w:styleId="NormalWeb">
    <w:name w:val="Normal (Web)"/>
    <w:basedOn w:val="Normal"/>
    <w:uiPriority w:val="99"/>
    <w:semiHidden/>
    <w:unhideWhenUsed/>
    <w:rsid w:val="003E326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ontents">
    <w:name w:val="Contents"/>
    <w:basedOn w:val="Normal"/>
    <w:next w:val="Normal"/>
    <w:link w:val="ContentsChar"/>
    <w:qFormat/>
    <w:rsid w:val="005A1C79"/>
    <w:pPr>
      <w:spacing w:after="240" w:line="360" w:lineRule="auto"/>
      <w:outlineLvl w:val="0"/>
    </w:pPr>
    <w:rPr>
      <w:rFonts w:ascii="Calibri" w:eastAsiaTheme="minorHAnsi" w:hAnsi="Calibri"/>
      <w:b/>
      <w:sz w:val="36"/>
    </w:rPr>
  </w:style>
  <w:style w:type="character" w:customStyle="1" w:styleId="ContentsChar">
    <w:name w:val="Contents Char"/>
    <w:basedOn w:val="DefaultParagraphFont"/>
    <w:link w:val="Contents"/>
    <w:rsid w:val="005A1C79"/>
    <w:rPr>
      <w:rFonts w:ascii="Calibri" w:eastAsiaTheme="minorHAnsi" w:hAnsi="Calibri"/>
      <w:b/>
      <w:sz w:val="36"/>
    </w:rPr>
  </w:style>
  <w:style w:type="paragraph" w:customStyle="1" w:styleId="xmsonormal">
    <w:name w:val="x_msonormal"/>
    <w:basedOn w:val="Normal"/>
    <w:rsid w:val="005F4CC5"/>
    <w:pPr>
      <w:spacing w:after="0"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7021">
      <w:bodyDiv w:val="1"/>
      <w:marLeft w:val="0"/>
      <w:marRight w:val="0"/>
      <w:marTop w:val="0"/>
      <w:marBottom w:val="0"/>
      <w:divBdr>
        <w:top w:val="none" w:sz="0" w:space="0" w:color="auto"/>
        <w:left w:val="none" w:sz="0" w:space="0" w:color="auto"/>
        <w:bottom w:val="none" w:sz="0" w:space="0" w:color="auto"/>
        <w:right w:val="none" w:sz="0" w:space="0" w:color="auto"/>
      </w:divBdr>
    </w:div>
    <w:div w:id="475996226">
      <w:bodyDiv w:val="1"/>
      <w:marLeft w:val="0"/>
      <w:marRight w:val="0"/>
      <w:marTop w:val="0"/>
      <w:marBottom w:val="0"/>
      <w:divBdr>
        <w:top w:val="none" w:sz="0" w:space="0" w:color="auto"/>
        <w:left w:val="none" w:sz="0" w:space="0" w:color="auto"/>
        <w:bottom w:val="none" w:sz="0" w:space="0" w:color="auto"/>
        <w:right w:val="none" w:sz="0" w:space="0" w:color="auto"/>
      </w:divBdr>
    </w:div>
    <w:div w:id="541357792">
      <w:bodyDiv w:val="1"/>
      <w:marLeft w:val="0"/>
      <w:marRight w:val="0"/>
      <w:marTop w:val="0"/>
      <w:marBottom w:val="0"/>
      <w:divBdr>
        <w:top w:val="none" w:sz="0" w:space="0" w:color="auto"/>
        <w:left w:val="none" w:sz="0" w:space="0" w:color="auto"/>
        <w:bottom w:val="none" w:sz="0" w:space="0" w:color="auto"/>
        <w:right w:val="none" w:sz="0" w:space="0" w:color="auto"/>
      </w:divBdr>
    </w:div>
    <w:div w:id="651252650">
      <w:bodyDiv w:val="1"/>
      <w:marLeft w:val="0"/>
      <w:marRight w:val="0"/>
      <w:marTop w:val="0"/>
      <w:marBottom w:val="0"/>
      <w:divBdr>
        <w:top w:val="none" w:sz="0" w:space="0" w:color="auto"/>
        <w:left w:val="none" w:sz="0" w:space="0" w:color="auto"/>
        <w:bottom w:val="none" w:sz="0" w:space="0" w:color="auto"/>
        <w:right w:val="none" w:sz="0" w:space="0" w:color="auto"/>
      </w:divBdr>
    </w:div>
    <w:div w:id="661617007">
      <w:bodyDiv w:val="1"/>
      <w:marLeft w:val="0"/>
      <w:marRight w:val="0"/>
      <w:marTop w:val="0"/>
      <w:marBottom w:val="0"/>
      <w:divBdr>
        <w:top w:val="none" w:sz="0" w:space="0" w:color="auto"/>
        <w:left w:val="none" w:sz="0" w:space="0" w:color="auto"/>
        <w:bottom w:val="none" w:sz="0" w:space="0" w:color="auto"/>
        <w:right w:val="none" w:sz="0" w:space="0" w:color="auto"/>
      </w:divBdr>
    </w:div>
    <w:div w:id="664013501">
      <w:bodyDiv w:val="1"/>
      <w:marLeft w:val="0"/>
      <w:marRight w:val="0"/>
      <w:marTop w:val="0"/>
      <w:marBottom w:val="0"/>
      <w:divBdr>
        <w:top w:val="none" w:sz="0" w:space="0" w:color="auto"/>
        <w:left w:val="none" w:sz="0" w:space="0" w:color="auto"/>
        <w:bottom w:val="none" w:sz="0" w:space="0" w:color="auto"/>
        <w:right w:val="none" w:sz="0" w:space="0" w:color="auto"/>
      </w:divBdr>
      <w:divsChild>
        <w:div w:id="1619026295">
          <w:marLeft w:val="0"/>
          <w:marRight w:val="0"/>
          <w:marTop w:val="0"/>
          <w:marBottom w:val="0"/>
          <w:divBdr>
            <w:top w:val="none" w:sz="0" w:space="0" w:color="auto"/>
            <w:left w:val="none" w:sz="0" w:space="0" w:color="auto"/>
            <w:bottom w:val="none" w:sz="0" w:space="0" w:color="auto"/>
            <w:right w:val="none" w:sz="0" w:space="0" w:color="auto"/>
          </w:divBdr>
          <w:divsChild>
            <w:div w:id="1200554854">
              <w:marLeft w:val="0"/>
              <w:marRight w:val="0"/>
              <w:marTop w:val="0"/>
              <w:marBottom w:val="0"/>
              <w:divBdr>
                <w:top w:val="none" w:sz="0" w:space="0" w:color="auto"/>
                <w:left w:val="none" w:sz="0" w:space="0" w:color="auto"/>
                <w:bottom w:val="none" w:sz="0" w:space="0" w:color="auto"/>
                <w:right w:val="none" w:sz="0" w:space="0" w:color="auto"/>
              </w:divBdr>
              <w:divsChild>
                <w:div w:id="510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8599">
      <w:bodyDiv w:val="1"/>
      <w:marLeft w:val="0"/>
      <w:marRight w:val="0"/>
      <w:marTop w:val="0"/>
      <w:marBottom w:val="0"/>
      <w:divBdr>
        <w:top w:val="none" w:sz="0" w:space="0" w:color="auto"/>
        <w:left w:val="none" w:sz="0" w:space="0" w:color="auto"/>
        <w:bottom w:val="none" w:sz="0" w:space="0" w:color="auto"/>
        <w:right w:val="none" w:sz="0" w:space="0" w:color="auto"/>
      </w:divBdr>
    </w:div>
    <w:div w:id="873076275">
      <w:bodyDiv w:val="1"/>
      <w:marLeft w:val="0"/>
      <w:marRight w:val="0"/>
      <w:marTop w:val="0"/>
      <w:marBottom w:val="0"/>
      <w:divBdr>
        <w:top w:val="none" w:sz="0" w:space="0" w:color="auto"/>
        <w:left w:val="none" w:sz="0" w:space="0" w:color="auto"/>
        <w:bottom w:val="none" w:sz="0" w:space="0" w:color="auto"/>
        <w:right w:val="none" w:sz="0" w:space="0" w:color="auto"/>
      </w:divBdr>
    </w:div>
    <w:div w:id="874851081">
      <w:bodyDiv w:val="1"/>
      <w:marLeft w:val="0"/>
      <w:marRight w:val="0"/>
      <w:marTop w:val="0"/>
      <w:marBottom w:val="0"/>
      <w:divBdr>
        <w:top w:val="none" w:sz="0" w:space="0" w:color="auto"/>
        <w:left w:val="none" w:sz="0" w:space="0" w:color="auto"/>
        <w:bottom w:val="none" w:sz="0" w:space="0" w:color="auto"/>
        <w:right w:val="none" w:sz="0" w:space="0" w:color="auto"/>
      </w:divBdr>
    </w:div>
    <w:div w:id="998003654">
      <w:bodyDiv w:val="1"/>
      <w:marLeft w:val="0"/>
      <w:marRight w:val="0"/>
      <w:marTop w:val="0"/>
      <w:marBottom w:val="0"/>
      <w:divBdr>
        <w:top w:val="none" w:sz="0" w:space="0" w:color="auto"/>
        <w:left w:val="none" w:sz="0" w:space="0" w:color="auto"/>
        <w:bottom w:val="none" w:sz="0" w:space="0" w:color="auto"/>
        <w:right w:val="none" w:sz="0" w:space="0" w:color="auto"/>
      </w:divBdr>
    </w:div>
    <w:div w:id="1020938478">
      <w:bodyDiv w:val="1"/>
      <w:marLeft w:val="0"/>
      <w:marRight w:val="0"/>
      <w:marTop w:val="0"/>
      <w:marBottom w:val="0"/>
      <w:divBdr>
        <w:top w:val="none" w:sz="0" w:space="0" w:color="auto"/>
        <w:left w:val="none" w:sz="0" w:space="0" w:color="auto"/>
        <w:bottom w:val="none" w:sz="0" w:space="0" w:color="auto"/>
        <w:right w:val="none" w:sz="0" w:space="0" w:color="auto"/>
      </w:divBdr>
    </w:div>
    <w:div w:id="1106535444">
      <w:bodyDiv w:val="1"/>
      <w:marLeft w:val="0"/>
      <w:marRight w:val="0"/>
      <w:marTop w:val="0"/>
      <w:marBottom w:val="0"/>
      <w:divBdr>
        <w:top w:val="none" w:sz="0" w:space="0" w:color="auto"/>
        <w:left w:val="none" w:sz="0" w:space="0" w:color="auto"/>
        <w:bottom w:val="none" w:sz="0" w:space="0" w:color="auto"/>
        <w:right w:val="none" w:sz="0" w:space="0" w:color="auto"/>
      </w:divBdr>
      <w:divsChild>
        <w:div w:id="1854411856">
          <w:marLeft w:val="0"/>
          <w:marRight w:val="0"/>
          <w:marTop w:val="0"/>
          <w:marBottom w:val="0"/>
          <w:divBdr>
            <w:top w:val="none" w:sz="0" w:space="0" w:color="auto"/>
            <w:left w:val="none" w:sz="0" w:space="0" w:color="auto"/>
            <w:bottom w:val="none" w:sz="0" w:space="0" w:color="auto"/>
            <w:right w:val="none" w:sz="0" w:space="0" w:color="auto"/>
          </w:divBdr>
          <w:divsChild>
            <w:div w:id="2050446164">
              <w:marLeft w:val="0"/>
              <w:marRight w:val="0"/>
              <w:marTop w:val="0"/>
              <w:marBottom w:val="0"/>
              <w:divBdr>
                <w:top w:val="none" w:sz="0" w:space="0" w:color="auto"/>
                <w:left w:val="none" w:sz="0" w:space="0" w:color="auto"/>
                <w:bottom w:val="none" w:sz="0" w:space="0" w:color="auto"/>
                <w:right w:val="none" w:sz="0" w:space="0" w:color="auto"/>
              </w:divBdr>
              <w:divsChild>
                <w:div w:id="1233273760">
                  <w:marLeft w:val="0"/>
                  <w:marRight w:val="0"/>
                  <w:marTop w:val="0"/>
                  <w:marBottom w:val="0"/>
                  <w:divBdr>
                    <w:top w:val="none" w:sz="0" w:space="0" w:color="auto"/>
                    <w:left w:val="none" w:sz="0" w:space="0" w:color="auto"/>
                    <w:bottom w:val="none" w:sz="0" w:space="0" w:color="auto"/>
                    <w:right w:val="none" w:sz="0" w:space="0" w:color="auto"/>
                  </w:divBdr>
                  <w:divsChild>
                    <w:div w:id="499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7570">
      <w:bodyDiv w:val="1"/>
      <w:marLeft w:val="0"/>
      <w:marRight w:val="0"/>
      <w:marTop w:val="0"/>
      <w:marBottom w:val="0"/>
      <w:divBdr>
        <w:top w:val="none" w:sz="0" w:space="0" w:color="auto"/>
        <w:left w:val="none" w:sz="0" w:space="0" w:color="auto"/>
        <w:bottom w:val="none" w:sz="0" w:space="0" w:color="auto"/>
        <w:right w:val="none" w:sz="0" w:space="0" w:color="auto"/>
      </w:divBdr>
    </w:div>
    <w:div w:id="1299872385">
      <w:bodyDiv w:val="1"/>
      <w:marLeft w:val="0"/>
      <w:marRight w:val="0"/>
      <w:marTop w:val="0"/>
      <w:marBottom w:val="0"/>
      <w:divBdr>
        <w:top w:val="none" w:sz="0" w:space="0" w:color="auto"/>
        <w:left w:val="none" w:sz="0" w:space="0" w:color="auto"/>
        <w:bottom w:val="none" w:sz="0" w:space="0" w:color="auto"/>
        <w:right w:val="none" w:sz="0" w:space="0" w:color="auto"/>
      </w:divBdr>
    </w:div>
    <w:div w:id="1353343591">
      <w:bodyDiv w:val="1"/>
      <w:marLeft w:val="0"/>
      <w:marRight w:val="0"/>
      <w:marTop w:val="0"/>
      <w:marBottom w:val="0"/>
      <w:divBdr>
        <w:top w:val="none" w:sz="0" w:space="0" w:color="auto"/>
        <w:left w:val="none" w:sz="0" w:space="0" w:color="auto"/>
        <w:bottom w:val="none" w:sz="0" w:space="0" w:color="auto"/>
        <w:right w:val="none" w:sz="0" w:space="0" w:color="auto"/>
      </w:divBdr>
    </w:div>
    <w:div w:id="1396003187">
      <w:bodyDiv w:val="1"/>
      <w:marLeft w:val="0"/>
      <w:marRight w:val="0"/>
      <w:marTop w:val="0"/>
      <w:marBottom w:val="0"/>
      <w:divBdr>
        <w:top w:val="none" w:sz="0" w:space="0" w:color="auto"/>
        <w:left w:val="none" w:sz="0" w:space="0" w:color="auto"/>
        <w:bottom w:val="none" w:sz="0" w:space="0" w:color="auto"/>
        <w:right w:val="none" w:sz="0" w:space="0" w:color="auto"/>
      </w:divBdr>
    </w:div>
    <w:div w:id="1483766394">
      <w:bodyDiv w:val="1"/>
      <w:marLeft w:val="0"/>
      <w:marRight w:val="0"/>
      <w:marTop w:val="0"/>
      <w:marBottom w:val="0"/>
      <w:divBdr>
        <w:top w:val="none" w:sz="0" w:space="0" w:color="auto"/>
        <w:left w:val="none" w:sz="0" w:space="0" w:color="auto"/>
        <w:bottom w:val="none" w:sz="0" w:space="0" w:color="auto"/>
        <w:right w:val="none" w:sz="0" w:space="0" w:color="auto"/>
      </w:divBdr>
    </w:div>
    <w:div w:id="1492986039">
      <w:bodyDiv w:val="1"/>
      <w:marLeft w:val="0"/>
      <w:marRight w:val="0"/>
      <w:marTop w:val="0"/>
      <w:marBottom w:val="0"/>
      <w:divBdr>
        <w:top w:val="none" w:sz="0" w:space="0" w:color="auto"/>
        <w:left w:val="none" w:sz="0" w:space="0" w:color="auto"/>
        <w:bottom w:val="none" w:sz="0" w:space="0" w:color="auto"/>
        <w:right w:val="none" w:sz="0" w:space="0" w:color="auto"/>
      </w:divBdr>
    </w:div>
    <w:div w:id="1549796894">
      <w:bodyDiv w:val="1"/>
      <w:marLeft w:val="0"/>
      <w:marRight w:val="0"/>
      <w:marTop w:val="0"/>
      <w:marBottom w:val="0"/>
      <w:divBdr>
        <w:top w:val="none" w:sz="0" w:space="0" w:color="auto"/>
        <w:left w:val="none" w:sz="0" w:space="0" w:color="auto"/>
        <w:bottom w:val="none" w:sz="0" w:space="0" w:color="auto"/>
        <w:right w:val="none" w:sz="0" w:space="0" w:color="auto"/>
      </w:divBdr>
      <w:divsChild>
        <w:div w:id="808742575">
          <w:marLeft w:val="0"/>
          <w:marRight w:val="0"/>
          <w:marTop w:val="0"/>
          <w:marBottom w:val="0"/>
          <w:divBdr>
            <w:top w:val="none" w:sz="0" w:space="0" w:color="auto"/>
            <w:left w:val="none" w:sz="0" w:space="0" w:color="auto"/>
            <w:bottom w:val="none" w:sz="0" w:space="0" w:color="auto"/>
            <w:right w:val="none" w:sz="0" w:space="0" w:color="auto"/>
          </w:divBdr>
          <w:divsChild>
            <w:div w:id="2002076067">
              <w:marLeft w:val="0"/>
              <w:marRight w:val="0"/>
              <w:marTop w:val="0"/>
              <w:marBottom w:val="0"/>
              <w:divBdr>
                <w:top w:val="none" w:sz="0" w:space="0" w:color="auto"/>
                <w:left w:val="none" w:sz="0" w:space="0" w:color="auto"/>
                <w:bottom w:val="none" w:sz="0" w:space="0" w:color="auto"/>
                <w:right w:val="none" w:sz="0" w:space="0" w:color="auto"/>
              </w:divBdr>
              <w:divsChild>
                <w:div w:id="13046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21506">
      <w:bodyDiv w:val="1"/>
      <w:marLeft w:val="0"/>
      <w:marRight w:val="0"/>
      <w:marTop w:val="0"/>
      <w:marBottom w:val="0"/>
      <w:divBdr>
        <w:top w:val="none" w:sz="0" w:space="0" w:color="auto"/>
        <w:left w:val="none" w:sz="0" w:space="0" w:color="auto"/>
        <w:bottom w:val="none" w:sz="0" w:space="0" w:color="auto"/>
        <w:right w:val="none" w:sz="0" w:space="0" w:color="auto"/>
      </w:divBdr>
      <w:divsChild>
        <w:div w:id="1561330768">
          <w:marLeft w:val="0"/>
          <w:marRight w:val="0"/>
          <w:marTop w:val="0"/>
          <w:marBottom w:val="0"/>
          <w:divBdr>
            <w:top w:val="none" w:sz="0" w:space="0" w:color="auto"/>
            <w:left w:val="none" w:sz="0" w:space="0" w:color="auto"/>
            <w:bottom w:val="none" w:sz="0" w:space="0" w:color="auto"/>
            <w:right w:val="none" w:sz="0" w:space="0" w:color="auto"/>
          </w:divBdr>
          <w:divsChild>
            <w:div w:id="1478914912">
              <w:marLeft w:val="0"/>
              <w:marRight w:val="0"/>
              <w:marTop w:val="0"/>
              <w:marBottom w:val="0"/>
              <w:divBdr>
                <w:top w:val="none" w:sz="0" w:space="0" w:color="auto"/>
                <w:left w:val="none" w:sz="0" w:space="0" w:color="auto"/>
                <w:bottom w:val="none" w:sz="0" w:space="0" w:color="auto"/>
                <w:right w:val="none" w:sz="0" w:space="0" w:color="auto"/>
              </w:divBdr>
              <w:divsChild>
                <w:div w:id="1266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1974">
      <w:bodyDiv w:val="1"/>
      <w:marLeft w:val="0"/>
      <w:marRight w:val="0"/>
      <w:marTop w:val="0"/>
      <w:marBottom w:val="0"/>
      <w:divBdr>
        <w:top w:val="none" w:sz="0" w:space="0" w:color="auto"/>
        <w:left w:val="none" w:sz="0" w:space="0" w:color="auto"/>
        <w:bottom w:val="none" w:sz="0" w:space="0" w:color="auto"/>
        <w:right w:val="none" w:sz="0" w:space="0" w:color="auto"/>
      </w:divBdr>
      <w:divsChild>
        <w:div w:id="1362171735">
          <w:marLeft w:val="0"/>
          <w:marRight w:val="0"/>
          <w:marTop w:val="0"/>
          <w:marBottom w:val="0"/>
          <w:divBdr>
            <w:top w:val="none" w:sz="0" w:space="0" w:color="auto"/>
            <w:left w:val="none" w:sz="0" w:space="0" w:color="auto"/>
            <w:bottom w:val="none" w:sz="0" w:space="0" w:color="auto"/>
            <w:right w:val="none" w:sz="0" w:space="0" w:color="auto"/>
          </w:divBdr>
          <w:divsChild>
            <w:div w:id="507906391">
              <w:marLeft w:val="0"/>
              <w:marRight w:val="0"/>
              <w:marTop w:val="0"/>
              <w:marBottom w:val="0"/>
              <w:divBdr>
                <w:top w:val="none" w:sz="0" w:space="0" w:color="auto"/>
                <w:left w:val="none" w:sz="0" w:space="0" w:color="auto"/>
                <w:bottom w:val="none" w:sz="0" w:space="0" w:color="auto"/>
                <w:right w:val="none" w:sz="0" w:space="0" w:color="auto"/>
              </w:divBdr>
              <w:divsChild>
                <w:div w:id="18779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md@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9943E189B6254D8ACAFD91B32BD29E" ma:contentTypeVersion="12" ma:contentTypeDescription="Create a new document." ma:contentTypeScope="" ma:versionID="1922a697cbc498d8577af7942575789e">
  <xsd:schema xmlns:xsd="http://www.w3.org/2001/XMLSchema" xmlns:xs="http://www.w3.org/2001/XMLSchema" xmlns:p="http://schemas.microsoft.com/office/2006/metadata/properties" xmlns:ns2="bc09887c-98cc-4faa-9fbf-ef292bbea06d" xmlns:ns3="c1693c98-324b-4a61-8212-6a86d06fc07c" targetNamespace="http://schemas.microsoft.com/office/2006/metadata/properties" ma:root="true" ma:fieldsID="f1f75e47644ef9c59b8f1763c36ea25a" ns2:_="" ns3:_="">
    <xsd:import namespace="bc09887c-98cc-4faa-9fbf-ef292bbea06d"/>
    <xsd:import namespace="c1693c98-324b-4a61-8212-6a86d06fc0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9887c-98cc-4faa-9fbf-ef292bbe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693c98-324b-4a61-8212-6a86d06fc0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35FC7-6663-4751-8F46-19E3960770D1}">
  <ds:schemaRefs>
    <ds:schemaRef ds:uri="http://schemas.microsoft.com/sharepoint/v3/contenttype/forms"/>
  </ds:schemaRefs>
</ds:datastoreItem>
</file>

<file path=customXml/itemProps2.xml><?xml version="1.0" encoding="utf-8"?>
<ds:datastoreItem xmlns:ds="http://schemas.openxmlformats.org/officeDocument/2006/customXml" ds:itemID="{4049C166-E671-4BE2-9CCD-C974B61FD7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080B79-7100-41DA-8ACC-F663DD6B9D5B}">
  <ds:schemaRefs>
    <ds:schemaRef ds:uri="http://schemas.openxmlformats.org/officeDocument/2006/bibliography"/>
  </ds:schemaRefs>
</ds:datastoreItem>
</file>

<file path=customXml/itemProps4.xml><?xml version="1.0" encoding="utf-8"?>
<ds:datastoreItem xmlns:ds="http://schemas.openxmlformats.org/officeDocument/2006/customXml" ds:itemID="{980CC6DE-1237-4B85-8384-D71F7CD5E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9887c-98cc-4faa-9fbf-ef292bbea06d"/>
    <ds:schemaRef ds:uri="c1693c98-324b-4a61-8212-6a86d06fc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49593</Words>
  <Characters>282685</Characters>
  <Application>Microsoft Office Word</Application>
  <DocSecurity>4</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Laskou</dc:creator>
  <cp:keywords/>
  <dc:description/>
  <cp:lastModifiedBy>Karen Drake</cp:lastModifiedBy>
  <cp:revision>2</cp:revision>
  <cp:lastPrinted>2022-03-04T13:46:00Z</cp:lastPrinted>
  <dcterms:created xsi:type="dcterms:W3CDTF">2022-08-16T10:53:00Z</dcterms:created>
  <dcterms:modified xsi:type="dcterms:W3CDTF">2022-08-16T10:53:00Z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http://www.zotero.org/styles/journal-of-cachexia-sarcopenia-and-muscle</vt:lpwstr>
  </property>
  <property fmtid="{D5CDD505-2E9C-101B-9397-08002B2CF9AE}" pid="11" name="Mendeley Recent Style Name 4_1">
    <vt:lpwstr>Journal of Cachexia, Sarcopenia and Muscle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http://csl.mendeley.com/styles/590562071/vancouver-4</vt:lpwstr>
  </property>
  <property fmtid="{D5CDD505-2E9C-101B-9397-08002B2CF9AE}" pid="17" name="Mendeley Recent Style Name 7_1">
    <vt:lpwstr>Vancouver - Faidra Laskou</vt:lpwstr>
  </property>
  <property fmtid="{D5CDD505-2E9C-101B-9397-08002B2CF9AE}" pid="18" name="Mendeley Recent Style Id 8_1">
    <vt:lpwstr>http://csl.mendeley.com/styles/590562071/vancouver</vt:lpwstr>
  </property>
  <property fmtid="{D5CDD505-2E9C-101B-9397-08002B2CF9AE}" pid="19" name="Mendeley Recent Style Name 8_1">
    <vt:lpwstr>Vancouver - Faidra Laskou</vt:lpwstr>
  </property>
  <property fmtid="{D5CDD505-2E9C-101B-9397-08002B2CF9AE}" pid="20" name="Mendeley Recent Style Id 9_1">
    <vt:lpwstr>http://www.zotero.org/styles/zotero-to-endnote-title</vt:lpwstr>
  </property>
  <property fmtid="{D5CDD505-2E9C-101B-9397-08002B2CF9AE}" pid="21" name="Mendeley Recent Style Name 9_1">
    <vt:lpwstr>Zotero to EndNote Title </vt:lpwstr>
  </property>
  <property fmtid="{D5CDD505-2E9C-101B-9397-08002B2CF9AE}" pid="22" name="Mendeley Document_1">
    <vt:lpwstr>True</vt:lpwstr>
  </property>
  <property fmtid="{D5CDD505-2E9C-101B-9397-08002B2CF9AE}" pid="23" name="Mendeley Unique User Id_1">
    <vt:lpwstr>c8fcf20c-f4b8-3213-b306-9bfcffdaf0cf</vt:lpwstr>
  </property>
  <property fmtid="{D5CDD505-2E9C-101B-9397-08002B2CF9AE}" pid="24" name="Mendeley Citation Style_1">
    <vt:lpwstr>http://csl.mendeley.com/styles/590562071/vancouver-4</vt:lpwstr>
  </property>
  <property fmtid="{D5CDD505-2E9C-101B-9397-08002B2CF9AE}" pid="25" name="ContentTypeId">
    <vt:lpwstr>0x010100AF9943E189B6254D8ACAFD91B32BD29E</vt:lpwstr>
  </property>
</Properties>
</file>