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13BE" w14:textId="77777777" w:rsidR="0013308F" w:rsidRDefault="008E6E59" w:rsidP="008E6E59">
      <w:pPr>
        <w:tabs>
          <w:tab w:val="left" w:pos="450"/>
        </w:tabs>
        <w:spacing w:after="0" w:line="360" w:lineRule="auto"/>
        <w:jc w:val="center"/>
        <w:outlineLvl w:val="0"/>
        <w:rPr>
          <w:rFonts w:ascii="Times New Roman" w:hAnsi="Times New Roman" w:cs="Times New Roman"/>
          <w:b/>
          <w:sz w:val="28"/>
          <w:szCs w:val="28"/>
        </w:rPr>
      </w:pPr>
      <w:bookmarkStart w:id="0" w:name="_Hlk56786612"/>
      <w:bookmarkStart w:id="1" w:name="_Hlk110981691"/>
      <w:r w:rsidRPr="008E6E59">
        <w:rPr>
          <w:rFonts w:ascii="Times New Roman" w:hAnsi="Times New Roman" w:cs="Times New Roman"/>
          <w:b/>
          <w:sz w:val="28"/>
          <w:szCs w:val="28"/>
        </w:rPr>
        <w:t xml:space="preserve">Monetary Policy Shock and Impact Asymmetry </w:t>
      </w:r>
      <w:r w:rsidR="0013308F">
        <w:rPr>
          <w:rFonts w:ascii="Times New Roman" w:hAnsi="Times New Roman" w:cs="Times New Roman"/>
          <w:b/>
          <w:sz w:val="28"/>
          <w:szCs w:val="28"/>
        </w:rPr>
        <w:t>in</w:t>
      </w:r>
    </w:p>
    <w:p w14:paraId="65F7FBDA" w14:textId="70271AED" w:rsidR="008E6E59" w:rsidRPr="008E6E59" w:rsidRDefault="008E6E59" w:rsidP="008E6E59">
      <w:pPr>
        <w:tabs>
          <w:tab w:val="left" w:pos="450"/>
        </w:tabs>
        <w:spacing w:after="0" w:line="360" w:lineRule="auto"/>
        <w:jc w:val="center"/>
        <w:outlineLvl w:val="0"/>
        <w:rPr>
          <w:rFonts w:ascii="Times New Roman" w:hAnsi="Times New Roman" w:cs="Times New Roman"/>
          <w:b/>
          <w:sz w:val="28"/>
          <w:szCs w:val="28"/>
        </w:rPr>
      </w:pPr>
      <w:r w:rsidRPr="008E6E59">
        <w:rPr>
          <w:rFonts w:ascii="Times New Roman" w:hAnsi="Times New Roman" w:cs="Times New Roman"/>
          <w:b/>
          <w:sz w:val="28"/>
          <w:szCs w:val="28"/>
        </w:rPr>
        <w:t xml:space="preserve"> Bank Lending Channel: Evidence from the UK housing sector</w:t>
      </w:r>
    </w:p>
    <w:bookmarkEnd w:id="0"/>
    <w:p w14:paraId="2FA4A527" w14:textId="77777777" w:rsidR="009225CF" w:rsidRDefault="009225CF" w:rsidP="00A43E7F">
      <w:pPr>
        <w:tabs>
          <w:tab w:val="left" w:pos="450"/>
        </w:tabs>
        <w:spacing w:after="0" w:line="480" w:lineRule="auto"/>
        <w:jc w:val="center"/>
        <w:outlineLvl w:val="0"/>
        <w:rPr>
          <w:rFonts w:ascii="Times New Roman" w:hAnsi="Times New Roman" w:cs="Times New Roman"/>
          <w:bCs/>
          <w:i/>
          <w:iCs/>
          <w:sz w:val="26"/>
          <w:szCs w:val="26"/>
        </w:rPr>
      </w:pPr>
    </w:p>
    <w:p w14:paraId="2DBB8AAD" w14:textId="5B2D023F" w:rsidR="004C58E8" w:rsidRPr="005940E1" w:rsidRDefault="004C58E8" w:rsidP="004F100A">
      <w:pPr>
        <w:tabs>
          <w:tab w:val="left" w:pos="450"/>
        </w:tabs>
        <w:spacing w:after="0" w:line="480" w:lineRule="auto"/>
        <w:jc w:val="center"/>
        <w:outlineLvl w:val="0"/>
        <w:rPr>
          <w:rFonts w:ascii="Times New Roman" w:hAnsi="Times New Roman" w:cs="Times New Roman"/>
          <w:bCs/>
          <w:i/>
          <w:iCs/>
          <w:sz w:val="26"/>
          <w:szCs w:val="26"/>
        </w:rPr>
      </w:pPr>
      <w:r w:rsidRPr="005940E1">
        <w:rPr>
          <w:rFonts w:ascii="Times New Roman" w:hAnsi="Times New Roman" w:cs="Times New Roman"/>
          <w:bCs/>
          <w:i/>
          <w:iCs/>
          <w:sz w:val="26"/>
          <w:szCs w:val="26"/>
        </w:rPr>
        <w:t>Rosen Azad Chowdhur</w:t>
      </w:r>
      <w:r w:rsidR="004F100A">
        <w:rPr>
          <w:rFonts w:ascii="Times New Roman" w:hAnsi="Times New Roman" w:cs="Times New Roman"/>
          <w:bCs/>
          <w:i/>
          <w:iCs/>
          <w:sz w:val="26"/>
          <w:szCs w:val="26"/>
        </w:rPr>
        <w:t>y</w:t>
      </w:r>
      <w:r w:rsidR="0084420C">
        <w:rPr>
          <w:rFonts w:ascii="Times New Roman" w:hAnsi="Times New Roman" w:cs="Times New Roman"/>
          <w:bCs/>
          <w:i/>
          <w:iCs/>
          <w:sz w:val="26"/>
          <w:szCs w:val="26"/>
        </w:rPr>
        <w:t xml:space="preserve"> </w:t>
      </w:r>
      <w:r w:rsidRPr="005940E1">
        <w:rPr>
          <w:rFonts w:ascii="Times New Roman" w:hAnsi="Times New Roman" w:cs="Times New Roman"/>
          <w:b/>
          <w:i/>
          <w:iCs/>
          <w:sz w:val="26"/>
          <w:szCs w:val="26"/>
          <w:vertAlign w:val="superscript"/>
        </w:rPr>
        <w:t>1</w:t>
      </w:r>
      <w:r w:rsidRPr="005940E1">
        <w:rPr>
          <w:rFonts w:ascii="Times New Roman" w:hAnsi="Times New Roman" w:cs="Times New Roman"/>
          <w:bCs/>
          <w:i/>
          <w:iCs/>
          <w:sz w:val="26"/>
          <w:szCs w:val="26"/>
        </w:rPr>
        <w:t>, Dilshad Jahan</w:t>
      </w:r>
      <w:r w:rsidR="0084420C">
        <w:rPr>
          <w:rFonts w:ascii="Times New Roman" w:hAnsi="Times New Roman" w:cs="Times New Roman"/>
          <w:bCs/>
          <w:i/>
          <w:iCs/>
          <w:sz w:val="26"/>
          <w:szCs w:val="26"/>
        </w:rPr>
        <w:t xml:space="preserve"> </w:t>
      </w:r>
      <w:r w:rsidR="00BE5C88">
        <w:rPr>
          <w:rFonts w:ascii="Times New Roman" w:hAnsi="Times New Roman" w:cs="Times New Roman"/>
          <w:bCs/>
          <w:i/>
          <w:iCs/>
          <w:sz w:val="26"/>
          <w:szCs w:val="26"/>
          <w:vertAlign w:val="superscript"/>
        </w:rPr>
        <w:t>1</w:t>
      </w:r>
      <w:r w:rsidR="00BE5C88">
        <w:rPr>
          <w:rFonts w:ascii="Times New Roman" w:hAnsi="Times New Roman" w:cs="Times New Roman"/>
          <w:bCs/>
          <w:i/>
          <w:iCs/>
          <w:sz w:val="26"/>
          <w:szCs w:val="26"/>
        </w:rPr>
        <w:t>,</w:t>
      </w:r>
      <w:r w:rsidR="00BE5C88" w:rsidRPr="004C58E8">
        <w:rPr>
          <w:rFonts w:ascii="Times New Roman" w:hAnsi="Times New Roman" w:cs="Times New Roman"/>
          <w:bCs/>
          <w:i/>
          <w:iCs/>
          <w:sz w:val="26"/>
          <w:szCs w:val="26"/>
        </w:rPr>
        <w:t xml:space="preserve"> Tapas</w:t>
      </w:r>
      <w:r w:rsidRPr="005940E1">
        <w:rPr>
          <w:rFonts w:ascii="Times New Roman" w:hAnsi="Times New Roman" w:cs="Times New Roman"/>
          <w:bCs/>
          <w:i/>
          <w:iCs/>
          <w:sz w:val="26"/>
          <w:szCs w:val="26"/>
        </w:rPr>
        <w:t xml:space="preserve"> Mishra</w:t>
      </w:r>
      <w:r>
        <w:rPr>
          <w:rFonts w:ascii="Times New Roman" w:hAnsi="Times New Roman" w:cs="Times New Roman"/>
          <w:bCs/>
          <w:i/>
          <w:iCs/>
          <w:sz w:val="26"/>
          <w:szCs w:val="26"/>
        </w:rPr>
        <w:t xml:space="preserve"> </w:t>
      </w:r>
      <w:r>
        <w:rPr>
          <w:rFonts w:ascii="Times New Roman" w:hAnsi="Times New Roman" w:cs="Times New Roman"/>
          <w:b/>
          <w:i/>
          <w:iCs/>
          <w:sz w:val="26"/>
          <w:szCs w:val="26"/>
          <w:vertAlign w:val="superscript"/>
        </w:rPr>
        <w:t>2</w:t>
      </w:r>
      <w:r w:rsidR="0084420C">
        <w:rPr>
          <w:rFonts w:ascii="Times New Roman" w:hAnsi="Times New Roman" w:cs="Times New Roman"/>
          <w:b/>
          <w:i/>
          <w:iCs/>
          <w:sz w:val="26"/>
          <w:szCs w:val="26"/>
          <w:vertAlign w:val="superscript"/>
        </w:rPr>
        <w:t>,</w:t>
      </w:r>
      <w:r w:rsidR="0084420C" w:rsidRPr="0084420C">
        <w:rPr>
          <w:rStyle w:val="FootnoteReference"/>
          <w:rFonts w:ascii="Times New Roman" w:hAnsi="Times New Roman" w:cs="Times New Roman"/>
          <w:b/>
          <w:i/>
          <w:iCs/>
          <w:sz w:val="26"/>
          <w:szCs w:val="26"/>
        </w:rPr>
        <w:footnoteReference w:customMarkFollows="1" w:id="1"/>
        <w:sym w:font="Symbol" w:char="F066"/>
      </w:r>
      <w:r w:rsidRPr="005940E1">
        <w:rPr>
          <w:rFonts w:ascii="Times New Roman" w:hAnsi="Times New Roman" w:cs="Times New Roman"/>
          <w:bCs/>
          <w:i/>
          <w:iCs/>
          <w:sz w:val="26"/>
          <w:szCs w:val="26"/>
        </w:rPr>
        <w:t>, Mamata Parhi</w:t>
      </w:r>
      <w:r>
        <w:rPr>
          <w:rFonts w:ascii="Times New Roman" w:hAnsi="Times New Roman" w:cs="Times New Roman"/>
          <w:bCs/>
          <w:i/>
          <w:iCs/>
          <w:sz w:val="26"/>
          <w:szCs w:val="26"/>
        </w:rPr>
        <w:t xml:space="preserve"> </w:t>
      </w:r>
      <w:r>
        <w:rPr>
          <w:rFonts w:ascii="Times New Roman" w:hAnsi="Times New Roman" w:cs="Times New Roman"/>
          <w:b/>
          <w:i/>
          <w:iCs/>
          <w:sz w:val="26"/>
          <w:szCs w:val="26"/>
          <w:vertAlign w:val="superscript"/>
        </w:rPr>
        <w:t>3</w:t>
      </w:r>
    </w:p>
    <w:p w14:paraId="0EC3EC23" w14:textId="77777777" w:rsidR="004C58E8" w:rsidRDefault="004C58E8" w:rsidP="004C58E8">
      <w:pPr>
        <w:spacing w:after="0"/>
        <w:jc w:val="center"/>
        <w:rPr>
          <w:rFonts w:ascii="Times New Roman" w:hAnsi="Times New Roman" w:cs="Times New Roman"/>
          <w:bCs/>
        </w:rPr>
      </w:pPr>
      <w:r w:rsidRPr="005940E1">
        <w:rPr>
          <w:rFonts w:ascii="Times New Roman" w:hAnsi="Times New Roman" w:cs="Times New Roman"/>
          <w:b/>
          <w:i/>
          <w:iCs/>
          <w:sz w:val="26"/>
          <w:szCs w:val="26"/>
          <w:vertAlign w:val="superscript"/>
        </w:rPr>
        <w:t>1</w:t>
      </w:r>
      <w:r>
        <w:rPr>
          <w:rFonts w:ascii="Times New Roman" w:hAnsi="Times New Roman" w:cs="Times New Roman"/>
          <w:b/>
          <w:i/>
          <w:iCs/>
          <w:sz w:val="26"/>
          <w:szCs w:val="26"/>
          <w:vertAlign w:val="superscript"/>
        </w:rPr>
        <w:t xml:space="preserve"> </w:t>
      </w:r>
      <w:r>
        <w:rPr>
          <w:rFonts w:ascii="Times New Roman" w:hAnsi="Times New Roman" w:cs="Times New Roman"/>
          <w:bCs/>
        </w:rPr>
        <w:t>Department of Economics, Swansea University, UK</w:t>
      </w:r>
    </w:p>
    <w:p w14:paraId="0D46B3AA" w14:textId="77777777" w:rsidR="004C58E8" w:rsidRDefault="004C58E8" w:rsidP="004C58E8">
      <w:pPr>
        <w:spacing w:after="0"/>
        <w:jc w:val="center"/>
        <w:rPr>
          <w:rFonts w:ascii="Times New Roman" w:hAnsi="Times New Roman" w:cs="Times New Roman"/>
          <w:bCs/>
        </w:rPr>
      </w:pPr>
    </w:p>
    <w:p w14:paraId="6C673608" w14:textId="77777777" w:rsidR="004C58E8" w:rsidRDefault="004C58E8" w:rsidP="004C58E8">
      <w:pPr>
        <w:spacing w:after="0"/>
        <w:jc w:val="center"/>
        <w:rPr>
          <w:rFonts w:ascii="Times New Roman" w:hAnsi="Times New Roman" w:cs="Times New Roman"/>
          <w:bCs/>
        </w:rPr>
      </w:pPr>
      <w:r>
        <w:rPr>
          <w:rFonts w:ascii="Times New Roman" w:hAnsi="Times New Roman" w:cs="Times New Roman"/>
          <w:b/>
          <w:i/>
          <w:iCs/>
          <w:sz w:val="26"/>
          <w:szCs w:val="26"/>
          <w:vertAlign w:val="superscript"/>
        </w:rPr>
        <w:t xml:space="preserve">2 </w:t>
      </w:r>
      <w:r>
        <w:rPr>
          <w:rFonts w:ascii="Times New Roman" w:hAnsi="Times New Roman" w:cs="Times New Roman"/>
          <w:bCs/>
        </w:rPr>
        <w:t>Southampton Business School, Southampton University, UK</w:t>
      </w:r>
    </w:p>
    <w:p w14:paraId="4E90B05D" w14:textId="77777777" w:rsidR="004C58E8" w:rsidRDefault="004C58E8" w:rsidP="004C58E8">
      <w:pPr>
        <w:spacing w:after="0"/>
        <w:jc w:val="center"/>
        <w:rPr>
          <w:rFonts w:ascii="Times New Roman" w:hAnsi="Times New Roman" w:cs="Times New Roman"/>
          <w:bCs/>
        </w:rPr>
      </w:pPr>
    </w:p>
    <w:p w14:paraId="1FCAC983" w14:textId="2FC992A9" w:rsidR="004C58E8" w:rsidRPr="005940E1" w:rsidRDefault="004C58E8" w:rsidP="004C58E8">
      <w:pPr>
        <w:spacing w:after="0"/>
        <w:jc w:val="center"/>
        <w:rPr>
          <w:rFonts w:ascii="Times New Roman" w:hAnsi="Times New Roman" w:cs="Times New Roman"/>
          <w:bCs/>
        </w:rPr>
      </w:pPr>
      <w:r>
        <w:rPr>
          <w:rFonts w:ascii="Times New Roman" w:hAnsi="Times New Roman" w:cs="Times New Roman"/>
          <w:b/>
          <w:i/>
          <w:iCs/>
          <w:sz w:val="26"/>
          <w:szCs w:val="26"/>
          <w:vertAlign w:val="superscript"/>
        </w:rPr>
        <w:t xml:space="preserve">3 </w:t>
      </w:r>
      <w:r w:rsidR="00F5073C">
        <w:rPr>
          <w:rFonts w:ascii="Times New Roman" w:hAnsi="Times New Roman" w:cs="Times New Roman"/>
          <w:bCs/>
        </w:rPr>
        <w:t>Faculty of Business and Law</w:t>
      </w:r>
      <w:r>
        <w:rPr>
          <w:rFonts w:ascii="Times New Roman" w:hAnsi="Times New Roman" w:cs="Times New Roman"/>
          <w:bCs/>
        </w:rPr>
        <w:t>, Roehampton University, UK</w:t>
      </w:r>
    </w:p>
    <w:p w14:paraId="41A16561" w14:textId="77777777" w:rsidR="004C58E8" w:rsidRPr="008E6E59" w:rsidRDefault="004C58E8" w:rsidP="004C58E8">
      <w:pPr>
        <w:spacing w:after="0"/>
        <w:rPr>
          <w:rFonts w:ascii="Times New Roman" w:hAnsi="Times New Roman" w:cs="Times New Roman"/>
          <w:b/>
        </w:rPr>
      </w:pPr>
    </w:p>
    <w:p w14:paraId="4FC49798" w14:textId="77777777" w:rsidR="00A048CE" w:rsidRPr="008E6E59" w:rsidRDefault="00A048CE" w:rsidP="00270963">
      <w:pPr>
        <w:spacing w:after="0"/>
        <w:rPr>
          <w:rFonts w:ascii="Times New Roman" w:hAnsi="Times New Roman" w:cs="Times New Roman"/>
          <w:b/>
        </w:rPr>
      </w:pPr>
    </w:p>
    <w:p w14:paraId="2DB3A905" w14:textId="710CC3CE" w:rsidR="00A048CE" w:rsidRDefault="00142918" w:rsidP="00142918">
      <w:pPr>
        <w:spacing w:after="0"/>
        <w:jc w:val="center"/>
        <w:rPr>
          <w:rFonts w:ascii="Times New Roman" w:hAnsi="Times New Roman" w:cs="Times New Roman"/>
          <w:b/>
          <w:sz w:val="28"/>
          <w:szCs w:val="28"/>
        </w:rPr>
      </w:pPr>
      <w:r w:rsidRPr="00F1177B">
        <w:rPr>
          <w:rFonts w:ascii="Times New Roman" w:hAnsi="Times New Roman" w:cs="Times New Roman"/>
          <w:b/>
          <w:sz w:val="28"/>
          <w:szCs w:val="28"/>
        </w:rPr>
        <w:t>Abstract</w:t>
      </w:r>
    </w:p>
    <w:p w14:paraId="11C0AB67" w14:textId="77777777" w:rsidR="00370ECE" w:rsidRPr="00F1177B" w:rsidRDefault="00370ECE" w:rsidP="00142918">
      <w:pPr>
        <w:spacing w:after="0"/>
        <w:jc w:val="center"/>
        <w:rPr>
          <w:rFonts w:ascii="Times New Roman" w:hAnsi="Times New Roman" w:cs="Times New Roman"/>
          <w:b/>
          <w:sz w:val="28"/>
          <w:szCs w:val="28"/>
        </w:rPr>
      </w:pPr>
    </w:p>
    <w:p w14:paraId="58228BE6" w14:textId="1B602485" w:rsidR="00C85B2B" w:rsidRPr="00A778D8" w:rsidRDefault="00C85B2B" w:rsidP="00C85B2B">
      <w:pPr>
        <w:spacing w:after="0" w:line="360" w:lineRule="auto"/>
        <w:jc w:val="both"/>
        <w:rPr>
          <w:rFonts w:ascii="Times" w:hAnsi="Times" w:cs="Times New Roman"/>
          <w:color w:val="000000" w:themeColor="text1"/>
        </w:rPr>
      </w:pPr>
      <w:r w:rsidRPr="00A778D8">
        <w:rPr>
          <w:rFonts w:ascii="Times" w:hAnsi="Times" w:cs="Times New Roman"/>
          <w:color w:val="000000" w:themeColor="text1"/>
        </w:rPr>
        <w:t xml:space="preserve">Banks play a defining role in translating monetary policy shocks to pull or push-effects in the housing market. The literature is ambiguous on the exact role of Bank Lending Channel (BLC) in translating such effects into either moderation or acceleration of dynamics in the housing market. This paper argues that monetary policy shocks, of the same magnitude, can have asymmetric implications for a housing market via a </w:t>
      </w:r>
      <w:r w:rsidR="00A778D8" w:rsidRPr="00A778D8">
        <w:rPr>
          <w:rFonts w:ascii="Times" w:hAnsi="Times" w:cs="Times New Roman"/>
          <w:color w:val="000000" w:themeColor="text1"/>
        </w:rPr>
        <w:t>state dependent</w:t>
      </w:r>
      <w:r w:rsidRPr="00A778D8">
        <w:rPr>
          <w:rFonts w:ascii="Times" w:hAnsi="Times" w:cs="Times New Roman"/>
          <w:color w:val="000000" w:themeColor="text1"/>
        </w:rPr>
        <w:t xml:space="preserve"> BLC, particularly during expansion and recessionary phases of the business cycle. We test this hypothesis for the UK housing sector using a long quarterly data (1973Q1-2015Q4) and </w:t>
      </w:r>
      <w:r w:rsidR="00D546A1" w:rsidRPr="00A778D8">
        <w:rPr>
          <w:rFonts w:ascii="Times" w:hAnsi="Times" w:cs="Times New Roman"/>
          <w:color w:val="000000" w:themeColor="text1"/>
        </w:rPr>
        <w:t>employing</w:t>
      </w:r>
      <w:r w:rsidRPr="00A778D8">
        <w:rPr>
          <w:rFonts w:ascii="Times" w:hAnsi="Times" w:cs="Times New Roman"/>
          <w:color w:val="000000" w:themeColor="text1"/>
        </w:rPr>
        <w:t xml:space="preserve"> Markov Switching Vector Auto </w:t>
      </w:r>
      <w:bookmarkStart w:id="2" w:name="_Hlk110981677"/>
      <w:r w:rsidRPr="00A778D8">
        <w:rPr>
          <w:rFonts w:ascii="Times" w:hAnsi="Times" w:cs="Times New Roman"/>
          <w:color w:val="000000" w:themeColor="text1"/>
        </w:rPr>
        <w:t>Regression (MSVAR) model</w:t>
      </w:r>
      <w:bookmarkStart w:id="3" w:name="_Hlk56786859"/>
      <w:r w:rsidR="00D546A1" w:rsidRPr="00A778D8">
        <w:rPr>
          <w:rFonts w:ascii="Times" w:hAnsi="Times" w:cs="Times New Roman"/>
          <w:color w:val="000000" w:themeColor="text1"/>
        </w:rPr>
        <w:t>s</w:t>
      </w:r>
      <w:r w:rsidR="00A95D6C" w:rsidRPr="00A778D8">
        <w:rPr>
          <w:rFonts w:ascii="Times" w:hAnsi="Times" w:cs="Times New Roman"/>
          <w:color w:val="000000" w:themeColor="text1"/>
        </w:rPr>
        <w:t xml:space="preserve">. </w:t>
      </w:r>
      <w:r w:rsidRPr="00A778D8">
        <w:rPr>
          <w:rFonts w:ascii="Times" w:hAnsi="Times" w:cs="Times New Roman"/>
          <w:color w:val="000000" w:themeColor="text1"/>
        </w:rPr>
        <w:t xml:space="preserve">Our results show that the magnitude of the bank lending channel is </w:t>
      </w:r>
      <w:r w:rsidR="00A95D6C" w:rsidRPr="00A778D8">
        <w:rPr>
          <w:rFonts w:ascii="Times" w:hAnsi="Times" w:cs="Times New Roman"/>
          <w:color w:val="000000" w:themeColor="text1"/>
        </w:rPr>
        <w:t xml:space="preserve">contingent upon the </w:t>
      </w:r>
      <w:r w:rsidRPr="00A778D8">
        <w:rPr>
          <w:rFonts w:ascii="Times" w:hAnsi="Times" w:cs="Times New Roman"/>
          <w:color w:val="000000" w:themeColor="text1"/>
        </w:rPr>
        <w:t>state of the economy, with a one standard deviation expansionary monetary policy shock produc</w:t>
      </w:r>
      <w:r w:rsidR="00A95D6C" w:rsidRPr="00A778D8">
        <w:rPr>
          <w:rFonts w:ascii="Times" w:hAnsi="Times" w:cs="Times New Roman"/>
          <w:color w:val="000000" w:themeColor="text1"/>
        </w:rPr>
        <w:t>ing</w:t>
      </w:r>
      <w:r w:rsidRPr="00A778D8">
        <w:rPr>
          <w:rFonts w:ascii="Times" w:hAnsi="Times" w:cs="Times New Roman"/>
          <w:color w:val="000000" w:themeColor="text1"/>
        </w:rPr>
        <w:t xml:space="preserve"> a significant effect only in normal economic times. </w:t>
      </w:r>
      <w:r w:rsidR="00A95D6C" w:rsidRPr="00A778D8">
        <w:rPr>
          <w:rFonts w:ascii="Times" w:hAnsi="Times" w:cs="Times New Roman"/>
          <w:color w:val="000000" w:themeColor="text1"/>
        </w:rPr>
        <w:t>Furthe</w:t>
      </w:r>
      <w:r w:rsidR="00771E92">
        <w:rPr>
          <w:rFonts w:ascii="Times" w:hAnsi="Times" w:cs="Times New Roman"/>
          <w:color w:val="000000" w:themeColor="text1"/>
        </w:rPr>
        <w:t>r study on</w:t>
      </w:r>
      <w:r w:rsidR="00A95D6C" w:rsidRPr="00A778D8">
        <w:rPr>
          <w:rFonts w:ascii="Times" w:hAnsi="Times" w:cs="Times New Roman"/>
          <w:color w:val="000000" w:themeColor="text1"/>
        </w:rPr>
        <w:t xml:space="preserve"> whether </w:t>
      </w:r>
      <w:r w:rsidRPr="00A778D8">
        <w:rPr>
          <w:rFonts w:ascii="Times" w:hAnsi="Times" w:cs="Times New Roman"/>
          <w:color w:val="000000" w:themeColor="text1"/>
        </w:rPr>
        <w:t>larg</w:t>
      </w:r>
      <w:r w:rsidR="00A95D6C" w:rsidRPr="00A778D8">
        <w:rPr>
          <w:rFonts w:ascii="Times" w:hAnsi="Times" w:cs="Times New Roman"/>
          <w:color w:val="000000" w:themeColor="text1"/>
        </w:rPr>
        <w:t xml:space="preserve">e </w:t>
      </w:r>
      <w:r w:rsidRPr="00A778D8">
        <w:rPr>
          <w:rFonts w:ascii="Times" w:hAnsi="Times" w:cs="Times New Roman"/>
          <w:color w:val="000000" w:themeColor="text1"/>
        </w:rPr>
        <w:t xml:space="preserve">cuts in policy rates </w:t>
      </w:r>
      <w:r w:rsidR="00A95D6C" w:rsidRPr="00A778D8">
        <w:rPr>
          <w:rFonts w:ascii="Times" w:hAnsi="Times" w:cs="Times New Roman"/>
          <w:color w:val="000000" w:themeColor="text1"/>
        </w:rPr>
        <w:t xml:space="preserve">could </w:t>
      </w:r>
      <w:r w:rsidRPr="00A778D8">
        <w:rPr>
          <w:rFonts w:ascii="Times" w:hAnsi="Times" w:cs="Times New Roman"/>
          <w:color w:val="000000" w:themeColor="text1"/>
        </w:rPr>
        <w:t xml:space="preserve">stimulate mortgage lending and </w:t>
      </w:r>
      <w:r w:rsidR="00A95D6C" w:rsidRPr="00A778D8">
        <w:rPr>
          <w:rFonts w:ascii="Times" w:hAnsi="Times" w:cs="Times New Roman"/>
          <w:color w:val="000000" w:themeColor="text1"/>
        </w:rPr>
        <w:t>whether there is</w:t>
      </w:r>
      <w:r w:rsidRPr="00A778D8">
        <w:rPr>
          <w:rFonts w:ascii="Times" w:hAnsi="Times" w:cs="Times New Roman"/>
          <w:color w:val="000000" w:themeColor="text1"/>
        </w:rPr>
        <w:t xml:space="preserve"> impact asymmetry to dissimilar expansionary monetary policy shocks during </w:t>
      </w:r>
      <w:r w:rsidR="00A95D6C" w:rsidRPr="00A778D8">
        <w:rPr>
          <w:rFonts w:ascii="Times" w:hAnsi="Times" w:cs="Times New Roman"/>
          <w:color w:val="000000" w:themeColor="text1"/>
        </w:rPr>
        <w:t>financial</w:t>
      </w:r>
      <w:r w:rsidRPr="00A778D8">
        <w:rPr>
          <w:rFonts w:ascii="Times" w:hAnsi="Times" w:cs="Times New Roman"/>
          <w:color w:val="000000" w:themeColor="text1"/>
        </w:rPr>
        <w:t xml:space="preserve"> crisis</w:t>
      </w:r>
      <w:r w:rsidR="00A95D6C" w:rsidRPr="00A778D8">
        <w:rPr>
          <w:rFonts w:ascii="Times" w:hAnsi="Times" w:cs="Times New Roman"/>
          <w:color w:val="000000" w:themeColor="text1"/>
        </w:rPr>
        <w:t>, we show that</w:t>
      </w:r>
      <w:r w:rsidRPr="00A778D8">
        <w:rPr>
          <w:rFonts w:ascii="Times" w:hAnsi="Times" w:cs="Times New Roman"/>
          <w:color w:val="000000" w:themeColor="text1"/>
        </w:rPr>
        <w:t xml:space="preserve"> a sharp cut in policy rate indeed stimulates the BLC </w:t>
      </w:r>
      <w:r w:rsidR="00A95D6C" w:rsidRPr="00A778D8">
        <w:rPr>
          <w:rFonts w:ascii="Times" w:hAnsi="Times" w:cs="Times New Roman"/>
          <w:color w:val="000000" w:themeColor="text1"/>
        </w:rPr>
        <w:t>greater</w:t>
      </w:r>
      <w:r w:rsidRPr="00A778D8">
        <w:rPr>
          <w:rFonts w:ascii="Times" w:hAnsi="Times" w:cs="Times New Roman"/>
          <w:color w:val="000000" w:themeColor="text1"/>
        </w:rPr>
        <w:t xml:space="preserve"> compared to smaller expansionary money policy shocks during recessions.</w:t>
      </w:r>
    </w:p>
    <w:bookmarkEnd w:id="3"/>
    <w:p w14:paraId="64E78366" w14:textId="77777777" w:rsidR="00E0079A" w:rsidRPr="008E6E59" w:rsidRDefault="00E0079A" w:rsidP="00270963">
      <w:pPr>
        <w:spacing w:after="0"/>
        <w:rPr>
          <w:rFonts w:ascii="Times New Roman" w:hAnsi="Times New Roman" w:cs="Times New Roman"/>
          <w:b/>
        </w:rPr>
      </w:pPr>
    </w:p>
    <w:p w14:paraId="64F3001F" w14:textId="77777777" w:rsidR="00370ECE" w:rsidRDefault="005940E1" w:rsidP="00FD356B">
      <w:pPr>
        <w:spacing w:after="0"/>
        <w:rPr>
          <w:rFonts w:ascii="Times New Roman" w:hAnsi="Times New Roman" w:cs="Times New Roman"/>
          <w:bCs/>
        </w:rPr>
      </w:pPr>
      <w:r>
        <w:rPr>
          <w:rFonts w:ascii="Times New Roman" w:hAnsi="Times New Roman" w:cs="Times New Roman"/>
          <w:b/>
        </w:rPr>
        <w:t xml:space="preserve">Key Words: </w:t>
      </w:r>
      <w:r w:rsidR="00FD356B">
        <w:rPr>
          <w:rFonts w:ascii="Times New Roman" w:hAnsi="Times New Roman" w:cs="Times New Roman"/>
          <w:bCs/>
        </w:rPr>
        <w:t>Real Estate economics</w:t>
      </w:r>
      <w:r>
        <w:rPr>
          <w:rFonts w:ascii="Times New Roman" w:hAnsi="Times New Roman" w:cs="Times New Roman"/>
          <w:bCs/>
        </w:rPr>
        <w:t>; Monetary transmission; Bank Lending Channel; Markov</w:t>
      </w:r>
    </w:p>
    <w:p w14:paraId="18A6B555" w14:textId="3FEC6BB7" w:rsidR="009F66CC" w:rsidRDefault="00370ECE" w:rsidP="00FD356B">
      <w:pPr>
        <w:spacing w:after="0"/>
        <w:rPr>
          <w:rFonts w:ascii="Times New Roman" w:hAnsi="Times New Roman" w:cs="Times New Roman"/>
          <w:bCs/>
        </w:rPr>
      </w:pPr>
      <w:r>
        <w:rPr>
          <w:rFonts w:ascii="Times New Roman" w:hAnsi="Times New Roman" w:cs="Times New Roman"/>
          <w:bCs/>
        </w:rPr>
        <w:t xml:space="preserve">                    </w:t>
      </w:r>
      <w:r w:rsidR="005940E1">
        <w:rPr>
          <w:rFonts w:ascii="Times New Roman" w:hAnsi="Times New Roman" w:cs="Times New Roman"/>
          <w:bCs/>
        </w:rPr>
        <w:t xml:space="preserve"> Switching VAR</w:t>
      </w:r>
    </w:p>
    <w:p w14:paraId="06D48E5E" w14:textId="77777777" w:rsidR="005940E1" w:rsidRPr="005940E1" w:rsidRDefault="005940E1">
      <w:pPr>
        <w:spacing w:after="0"/>
        <w:rPr>
          <w:rFonts w:ascii="Times New Roman" w:hAnsi="Times New Roman" w:cs="Times New Roman"/>
          <w:bCs/>
        </w:rPr>
      </w:pPr>
    </w:p>
    <w:p w14:paraId="32E48CFF" w14:textId="4A547561" w:rsidR="00800E05" w:rsidRDefault="005940E1">
      <w:pPr>
        <w:spacing w:after="0"/>
        <w:rPr>
          <w:rFonts w:ascii="Times New Roman" w:hAnsi="Times New Roman" w:cs="Times New Roman"/>
          <w:b/>
        </w:rPr>
      </w:pPr>
      <w:r>
        <w:rPr>
          <w:rFonts w:ascii="Times New Roman" w:hAnsi="Times New Roman" w:cs="Times New Roman"/>
          <w:b/>
        </w:rPr>
        <w:t>JEL Classification:</w:t>
      </w:r>
      <w:r w:rsidR="00FD356B">
        <w:rPr>
          <w:rFonts w:ascii="Times New Roman" w:hAnsi="Times New Roman" w:cs="Times New Roman"/>
          <w:b/>
        </w:rPr>
        <w:t xml:space="preserve"> R30, E5</w:t>
      </w:r>
      <w:r w:rsidR="001C0948">
        <w:rPr>
          <w:rFonts w:ascii="Times New Roman" w:hAnsi="Times New Roman" w:cs="Times New Roman"/>
          <w:b/>
        </w:rPr>
        <w:t>0</w:t>
      </w:r>
      <w:r w:rsidR="00FD356B">
        <w:rPr>
          <w:rFonts w:ascii="Times New Roman" w:hAnsi="Times New Roman" w:cs="Times New Roman"/>
          <w:b/>
        </w:rPr>
        <w:t>,</w:t>
      </w:r>
      <w:r w:rsidR="001C0948">
        <w:rPr>
          <w:rFonts w:ascii="Times New Roman" w:hAnsi="Times New Roman" w:cs="Times New Roman"/>
          <w:b/>
        </w:rPr>
        <w:t xml:space="preserve"> G21,</w:t>
      </w:r>
      <w:r w:rsidR="00FD356B">
        <w:rPr>
          <w:rFonts w:ascii="Times New Roman" w:hAnsi="Times New Roman" w:cs="Times New Roman"/>
          <w:b/>
        </w:rPr>
        <w:t xml:space="preserve"> C34</w:t>
      </w:r>
      <w:bookmarkEnd w:id="1"/>
    </w:p>
    <w:p w14:paraId="7353CE08" w14:textId="595650E0" w:rsidR="00E0079A" w:rsidRPr="00800E05" w:rsidRDefault="00800E05" w:rsidP="00F234DA">
      <w:pPr>
        <w:tabs>
          <w:tab w:val="left" w:pos="6237"/>
        </w:tabs>
        <w:spacing w:after="0"/>
        <w:rPr>
          <w:rFonts w:ascii="Times New Roman" w:hAnsi="Times New Roman" w:cs="Times New Roman"/>
          <w:b/>
        </w:rPr>
      </w:pPr>
      <w:r>
        <w:rPr>
          <w:rFonts w:ascii="Times New Roman" w:hAnsi="Times New Roman" w:cs="Times New Roman"/>
          <w:b/>
        </w:rPr>
        <w:br w:type="page"/>
      </w:r>
    </w:p>
    <w:bookmarkEnd w:id="2"/>
    <w:p w14:paraId="18DDD196" w14:textId="202376ED" w:rsidR="001F52C3" w:rsidRPr="00142918" w:rsidRDefault="00142918" w:rsidP="00B35D43">
      <w:pPr>
        <w:spacing w:after="0" w:line="276" w:lineRule="auto"/>
        <w:rPr>
          <w:rFonts w:ascii="Times New Roman" w:hAnsi="Times New Roman" w:cs="Times New Roman"/>
          <w:b/>
        </w:rPr>
      </w:pPr>
      <w:r>
        <w:rPr>
          <w:rFonts w:ascii="Times New Roman" w:hAnsi="Times New Roman" w:cs="Times New Roman"/>
          <w:b/>
        </w:rPr>
        <w:lastRenderedPageBreak/>
        <w:t xml:space="preserve">1. </w:t>
      </w:r>
      <w:r w:rsidR="0093768F" w:rsidRPr="00142918">
        <w:rPr>
          <w:rFonts w:ascii="Times New Roman" w:hAnsi="Times New Roman" w:cs="Times New Roman"/>
          <w:b/>
        </w:rPr>
        <w:t>Introduction</w:t>
      </w:r>
    </w:p>
    <w:p w14:paraId="183974E7" w14:textId="77777777" w:rsidR="00142918" w:rsidRDefault="00142918" w:rsidP="00B35D43">
      <w:pPr>
        <w:spacing w:after="0" w:line="276" w:lineRule="auto"/>
        <w:ind w:right="90"/>
        <w:jc w:val="both"/>
        <w:rPr>
          <w:rFonts w:ascii="Times New Roman" w:hAnsi="Times New Roman" w:cs="Times New Roman"/>
          <w:color w:val="000000" w:themeColor="text1"/>
        </w:rPr>
      </w:pPr>
    </w:p>
    <w:p w14:paraId="5CA0C33D" w14:textId="79344DC4" w:rsidR="005C3B02" w:rsidRDefault="00DE1600" w:rsidP="00FD6D95">
      <w:pPr>
        <w:spacing w:after="0" w:line="480" w:lineRule="auto"/>
        <w:ind w:right="90"/>
        <w:jc w:val="both"/>
        <w:rPr>
          <w:rFonts w:ascii="Times New Roman" w:hAnsi="Times New Roman" w:cs="Times New Roman"/>
        </w:rPr>
      </w:pPr>
      <w:r w:rsidRPr="00154957">
        <w:rPr>
          <w:rFonts w:ascii="Times New Roman" w:hAnsi="Times New Roman" w:cs="Times New Roman"/>
          <w:color w:val="000000" w:themeColor="text1"/>
        </w:rPr>
        <w:t>T</w:t>
      </w:r>
      <w:r w:rsidR="00F73FF1" w:rsidRPr="00154957">
        <w:rPr>
          <w:rFonts w:ascii="Times New Roman" w:hAnsi="Times New Roman" w:cs="Times New Roman"/>
          <w:color w:val="000000" w:themeColor="text1"/>
        </w:rPr>
        <w:t xml:space="preserve">he financial innovations during the great moderation years, followed by the housing crisis </w:t>
      </w:r>
      <w:r w:rsidR="00EB24DF" w:rsidRPr="00154957">
        <w:rPr>
          <w:rFonts w:ascii="Times New Roman" w:hAnsi="Times New Roman" w:cs="Times New Roman"/>
          <w:color w:val="000000" w:themeColor="text1"/>
        </w:rPr>
        <w:t xml:space="preserve">in </w:t>
      </w:r>
      <w:r w:rsidR="00893568" w:rsidRPr="00154957">
        <w:rPr>
          <w:rFonts w:ascii="Times New Roman" w:hAnsi="Times New Roman" w:cs="Times New Roman"/>
          <w:color w:val="000000" w:themeColor="text1"/>
        </w:rPr>
        <w:t>2008, have</w:t>
      </w:r>
      <w:r w:rsidR="00CA01FE" w:rsidRPr="00154957">
        <w:rPr>
          <w:rFonts w:ascii="Times New Roman" w:hAnsi="Times New Roman" w:cs="Times New Roman"/>
          <w:color w:val="000000" w:themeColor="text1"/>
        </w:rPr>
        <w:t xml:space="preserve"> </w:t>
      </w:r>
      <w:r w:rsidRPr="00154957">
        <w:rPr>
          <w:rFonts w:ascii="Times New Roman" w:hAnsi="Times New Roman" w:cs="Times New Roman"/>
          <w:color w:val="000000" w:themeColor="text1"/>
        </w:rPr>
        <w:t xml:space="preserve">germinated </w:t>
      </w:r>
      <w:r w:rsidR="00CA0EFB" w:rsidRPr="00154957">
        <w:rPr>
          <w:rFonts w:ascii="Times New Roman" w:hAnsi="Times New Roman" w:cs="Times New Roman"/>
          <w:color w:val="000000" w:themeColor="text1"/>
        </w:rPr>
        <w:t>a</w:t>
      </w:r>
      <w:r w:rsidR="00F73FF1" w:rsidRPr="00154957">
        <w:rPr>
          <w:rFonts w:ascii="Times New Roman" w:hAnsi="Times New Roman" w:cs="Times New Roman"/>
          <w:color w:val="000000" w:themeColor="text1"/>
        </w:rPr>
        <w:t xml:space="preserve"> renewed interest</w:t>
      </w:r>
      <w:r w:rsidR="00A43142" w:rsidRPr="00154957">
        <w:rPr>
          <w:rFonts w:ascii="Times New Roman" w:hAnsi="Times New Roman" w:cs="Times New Roman"/>
          <w:color w:val="000000" w:themeColor="text1"/>
        </w:rPr>
        <w:t xml:space="preserve"> towards understanding </w:t>
      </w:r>
      <w:r w:rsidR="007620DE" w:rsidRPr="00154957">
        <w:rPr>
          <w:rFonts w:ascii="Times New Roman" w:hAnsi="Times New Roman" w:cs="Times New Roman"/>
          <w:color w:val="000000" w:themeColor="text1"/>
        </w:rPr>
        <w:t>the</w:t>
      </w:r>
      <w:r w:rsidR="001D4146" w:rsidRPr="00154957">
        <w:rPr>
          <w:rFonts w:ascii="Times New Roman" w:hAnsi="Times New Roman" w:cs="Times New Roman"/>
          <w:color w:val="000000" w:themeColor="text1"/>
        </w:rPr>
        <w:t xml:space="preserve"> complex interpl</w:t>
      </w:r>
      <w:r w:rsidR="00342EB6" w:rsidRPr="00154957">
        <w:rPr>
          <w:rFonts w:ascii="Times New Roman" w:hAnsi="Times New Roman" w:cs="Times New Roman"/>
          <w:color w:val="000000" w:themeColor="text1"/>
        </w:rPr>
        <w:t>ay between the</w:t>
      </w:r>
      <w:r w:rsidR="001D4146" w:rsidRPr="00154957">
        <w:rPr>
          <w:rFonts w:ascii="Times New Roman" w:hAnsi="Times New Roman" w:cs="Times New Roman"/>
          <w:color w:val="000000" w:themeColor="text1"/>
        </w:rPr>
        <w:t xml:space="preserve"> real economy</w:t>
      </w:r>
      <w:r w:rsidR="00342EB6" w:rsidRPr="00154957">
        <w:rPr>
          <w:rFonts w:ascii="Times New Roman" w:hAnsi="Times New Roman" w:cs="Times New Roman"/>
          <w:color w:val="000000" w:themeColor="text1"/>
        </w:rPr>
        <w:t xml:space="preserve">, </w:t>
      </w:r>
      <w:r w:rsidR="006D305A" w:rsidRPr="00154957">
        <w:rPr>
          <w:rFonts w:ascii="Times New Roman" w:hAnsi="Times New Roman" w:cs="Times New Roman"/>
          <w:color w:val="000000" w:themeColor="text1"/>
        </w:rPr>
        <w:t xml:space="preserve">the </w:t>
      </w:r>
      <w:r w:rsidR="00342EB6" w:rsidRPr="00154957">
        <w:rPr>
          <w:rFonts w:ascii="Times New Roman" w:hAnsi="Times New Roman" w:cs="Times New Roman"/>
          <w:color w:val="000000" w:themeColor="text1"/>
        </w:rPr>
        <w:t xml:space="preserve">financial </w:t>
      </w:r>
      <w:r w:rsidR="00E168FD" w:rsidRPr="00154957">
        <w:rPr>
          <w:rFonts w:ascii="Times New Roman" w:hAnsi="Times New Roman" w:cs="Times New Roman"/>
          <w:color w:val="000000" w:themeColor="text1"/>
        </w:rPr>
        <w:t>sector,</w:t>
      </w:r>
      <w:r w:rsidR="001D4146" w:rsidRPr="00154957">
        <w:rPr>
          <w:rFonts w:ascii="Times New Roman" w:hAnsi="Times New Roman" w:cs="Times New Roman"/>
          <w:color w:val="000000" w:themeColor="text1"/>
        </w:rPr>
        <w:t xml:space="preserve"> and the housing market.</w:t>
      </w:r>
      <w:r w:rsidRPr="00154957">
        <w:rPr>
          <w:rFonts w:ascii="Times New Roman" w:hAnsi="Times New Roman" w:cs="Times New Roman"/>
          <w:color w:val="000000" w:themeColor="text1"/>
        </w:rPr>
        <w:t xml:space="preserve"> During </w:t>
      </w:r>
      <w:r w:rsidR="001B663E" w:rsidRPr="00154957">
        <w:rPr>
          <w:rFonts w:ascii="Times New Roman" w:hAnsi="Times New Roman" w:cs="Times New Roman"/>
          <w:color w:val="000000" w:themeColor="text1"/>
        </w:rPr>
        <w:t xml:space="preserve">both </w:t>
      </w:r>
      <w:r w:rsidR="0076442D">
        <w:rPr>
          <w:rFonts w:ascii="Times New Roman" w:hAnsi="Times New Roman" w:cs="Times New Roman"/>
          <w:color w:val="000000" w:themeColor="text1"/>
        </w:rPr>
        <w:t>recession</w:t>
      </w:r>
      <w:r w:rsidRPr="00154957">
        <w:rPr>
          <w:rFonts w:ascii="Times New Roman" w:hAnsi="Times New Roman" w:cs="Times New Roman"/>
          <w:color w:val="000000" w:themeColor="text1"/>
        </w:rPr>
        <w:t xml:space="preserve"> </w:t>
      </w:r>
      <w:r w:rsidR="001B663E" w:rsidRPr="00154957">
        <w:rPr>
          <w:rFonts w:ascii="Times New Roman" w:hAnsi="Times New Roman" w:cs="Times New Roman"/>
          <w:color w:val="000000" w:themeColor="text1"/>
        </w:rPr>
        <w:t xml:space="preserve">and good times, monetary mechanism is often used as </w:t>
      </w:r>
      <w:r w:rsidR="00A43142" w:rsidRPr="00154957">
        <w:rPr>
          <w:rFonts w:ascii="Times New Roman" w:hAnsi="Times New Roman" w:cs="Times New Roman"/>
          <w:color w:val="000000" w:themeColor="text1"/>
        </w:rPr>
        <w:t xml:space="preserve">the main vehicle of </w:t>
      </w:r>
      <w:r w:rsidR="001B663E" w:rsidRPr="00154957">
        <w:rPr>
          <w:rFonts w:ascii="Times New Roman" w:hAnsi="Times New Roman" w:cs="Times New Roman"/>
          <w:color w:val="000000" w:themeColor="text1"/>
        </w:rPr>
        <w:t xml:space="preserve">transmission </w:t>
      </w:r>
      <w:r w:rsidR="00A43142" w:rsidRPr="00154957">
        <w:rPr>
          <w:rFonts w:ascii="Times New Roman" w:hAnsi="Times New Roman" w:cs="Times New Roman"/>
          <w:color w:val="000000" w:themeColor="text1"/>
        </w:rPr>
        <w:t>medium that</w:t>
      </w:r>
      <w:r w:rsidR="001B663E" w:rsidRPr="00154957">
        <w:rPr>
          <w:rFonts w:ascii="Times New Roman" w:hAnsi="Times New Roman" w:cs="Times New Roman"/>
          <w:color w:val="000000" w:themeColor="text1"/>
        </w:rPr>
        <w:t xml:space="preserve"> translate</w:t>
      </w:r>
      <w:r w:rsidR="00A43142" w:rsidRPr="00154957">
        <w:rPr>
          <w:rFonts w:ascii="Times New Roman" w:hAnsi="Times New Roman" w:cs="Times New Roman"/>
          <w:color w:val="000000" w:themeColor="text1"/>
        </w:rPr>
        <w:t>s</w:t>
      </w:r>
      <w:r w:rsidR="001B663E" w:rsidRPr="00154957">
        <w:rPr>
          <w:rFonts w:ascii="Times New Roman" w:hAnsi="Times New Roman" w:cs="Times New Roman"/>
          <w:color w:val="000000" w:themeColor="text1"/>
        </w:rPr>
        <w:t xml:space="preserve"> impulses from policy into effective response of the real economy, </w:t>
      </w:r>
      <w:r w:rsidR="0048310B" w:rsidRPr="00154957">
        <w:rPr>
          <w:rFonts w:ascii="Times New Roman" w:hAnsi="Times New Roman" w:cs="Times New Roman"/>
          <w:color w:val="000000" w:themeColor="text1"/>
        </w:rPr>
        <w:t>particularly</w:t>
      </w:r>
      <w:r w:rsidR="001B663E" w:rsidRPr="00154957">
        <w:rPr>
          <w:rFonts w:ascii="Times New Roman" w:hAnsi="Times New Roman" w:cs="Times New Roman"/>
          <w:color w:val="000000" w:themeColor="text1"/>
        </w:rPr>
        <w:t>, the housing sector</w:t>
      </w:r>
      <w:r w:rsidR="001B663E" w:rsidRPr="00A43142">
        <w:rPr>
          <w:rFonts w:ascii="Times New Roman" w:hAnsi="Times New Roman" w:cs="Times New Roman"/>
          <w:color w:val="4472C4" w:themeColor="accent1"/>
        </w:rPr>
        <w:t xml:space="preserve">. </w:t>
      </w:r>
      <w:r w:rsidR="001B663E">
        <w:rPr>
          <w:rFonts w:ascii="Times New Roman" w:hAnsi="Times New Roman" w:cs="Times New Roman"/>
        </w:rPr>
        <w:t xml:space="preserve">Despite a robust body of work, significant ambiguity persists on the relative </w:t>
      </w:r>
      <w:r w:rsidR="0048310B">
        <w:rPr>
          <w:rFonts w:ascii="Times New Roman" w:hAnsi="Times New Roman" w:cs="Times New Roman"/>
        </w:rPr>
        <w:t>(</w:t>
      </w:r>
      <w:r w:rsidR="001B663E">
        <w:rPr>
          <w:rFonts w:ascii="Times New Roman" w:hAnsi="Times New Roman" w:cs="Times New Roman"/>
        </w:rPr>
        <w:t>in</w:t>
      </w:r>
      <w:r w:rsidR="0048310B">
        <w:rPr>
          <w:rFonts w:ascii="Times New Roman" w:hAnsi="Times New Roman" w:cs="Times New Roman"/>
        </w:rPr>
        <w:t>)</w:t>
      </w:r>
      <w:r w:rsidR="001B663E">
        <w:rPr>
          <w:rFonts w:ascii="Times New Roman" w:hAnsi="Times New Roman" w:cs="Times New Roman"/>
        </w:rPr>
        <w:t xml:space="preserve">effectiveness of policy </w:t>
      </w:r>
      <w:r w:rsidR="0048310B">
        <w:rPr>
          <w:rFonts w:ascii="Times New Roman" w:hAnsi="Times New Roman" w:cs="Times New Roman"/>
        </w:rPr>
        <w:t>i</w:t>
      </w:r>
      <w:r w:rsidR="001B663E">
        <w:rPr>
          <w:rFonts w:ascii="Times New Roman" w:hAnsi="Times New Roman" w:cs="Times New Roman"/>
        </w:rPr>
        <w:t>n this sector because there is a visible mismatch of the expected heat of policy intervention with that of the actual response</w:t>
      </w:r>
      <w:r w:rsidR="0048310B">
        <w:rPr>
          <w:rFonts w:ascii="Times New Roman" w:hAnsi="Times New Roman" w:cs="Times New Roman"/>
        </w:rPr>
        <w:t>s</w:t>
      </w:r>
      <w:r w:rsidR="004E6E0D">
        <w:rPr>
          <w:rFonts w:ascii="Times New Roman" w:hAnsi="Times New Roman" w:cs="Times New Roman"/>
        </w:rPr>
        <w:t xml:space="preserve"> (Duan et al. 2019; Bekiros et al. 2019)</w:t>
      </w:r>
      <w:r w:rsidR="001B663E">
        <w:rPr>
          <w:rFonts w:ascii="Times New Roman" w:hAnsi="Times New Roman" w:cs="Times New Roman"/>
        </w:rPr>
        <w:t xml:space="preserve">. </w:t>
      </w:r>
      <w:r w:rsidR="004E6E0D">
        <w:rPr>
          <w:rFonts w:ascii="Times New Roman" w:hAnsi="Times New Roman" w:cs="Times New Roman"/>
        </w:rPr>
        <w:t xml:space="preserve">Duan et al. (2019) </w:t>
      </w:r>
      <w:r w:rsidR="00D43B47">
        <w:rPr>
          <w:rFonts w:ascii="Times New Roman" w:hAnsi="Times New Roman" w:cs="Times New Roman"/>
        </w:rPr>
        <w:t>exploits</w:t>
      </w:r>
      <w:r w:rsidR="004E6E0D">
        <w:rPr>
          <w:rFonts w:ascii="Times New Roman" w:hAnsi="Times New Roman" w:cs="Times New Roman"/>
        </w:rPr>
        <w:t xml:space="preserve"> spatial interdependent dynamics and show that macroeconomic policy interventions have somewhat subdued effect on housing sector when spatial contiguity with respect to knowledge spillover is accounted for. The authors claim that bank lending channel</w:t>
      </w:r>
      <w:r w:rsidR="004D300C">
        <w:rPr>
          <w:rFonts w:ascii="Times New Roman" w:hAnsi="Times New Roman" w:cs="Times New Roman"/>
        </w:rPr>
        <w:t xml:space="preserve"> (BLC)</w:t>
      </w:r>
      <w:r w:rsidR="004E6E0D">
        <w:rPr>
          <w:rFonts w:ascii="Times New Roman" w:hAnsi="Times New Roman" w:cs="Times New Roman"/>
        </w:rPr>
        <w:t xml:space="preserve"> and its structural changes over various states of intervention would have considerable effects on housing sector. Bekiros et al. (2019) emplo</w:t>
      </w:r>
      <w:r w:rsidR="004D300C">
        <w:rPr>
          <w:rFonts w:ascii="Times New Roman" w:hAnsi="Times New Roman" w:cs="Times New Roman"/>
        </w:rPr>
        <w:t>ying</w:t>
      </w:r>
      <w:r w:rsidR="004E6E0D">
        <w:rPr>
          <w:rFonts w:ascii="Times New Roman" w:hAnsi="Times New Roman" w:cs="Times New Roman"/>
        </w:rPr>
        <w:t xml:space="preserve"> quantile regression</w:t>
      </w:r>
      <w:r w:rsidR="004D300C">
        <w:rPr>
          <w:rFonts w:ascii="Times New Roman" w:hAnsi="Times New Roman" w:cs="Times New Roman"/>
        </w:rPr>
        <w:t>,</w:t>
      </w:r>
      <w:r w:rsidR="004E6E0D">
        <w:rPr>
          <w:rFonts w:ascii="Times New Roman" w:hAnsi="Times New Roman" w:cs="Times New Roman"/>
        </w:rPr>
        <w:t xml:space="preserve"> examine the role of monetary policy, among other important variables, on international housing price variations. </w:t>
      </w:r>
      <w:r w:rsidR="001B663E">
        <w:rPr>
          <w:rFonts w:ascii="Times New Roman" w:hAnsi="Times New Roman" w:cs="Times New Roman"/>
        </w:rPr>
        <w:t>The empirically quantified effects in the extant literature</w:t>
      </w:r>
      <w:r w:rsidR="004E6E0D">
        <w:rPr>
          <w:rFonts w:ascii="Times New Roman" w:hAnsi="Times New Roman" w:cs="Times New Roman"/>
        </w:rPr>
        <w:t>, however,</w:t>
      </w:r>
      <w:r w:rsidR="001B663E">
        <w:rPr>
          <w:rFonts w:ascii="Times New Roman" w:hAnsi="Times New Roman" w:cs="Times New Roman"/>
        </w:rPr>
        <w:t xml:space="preserve"> appear to </w:t>
      </w:r>
      <w:r w:rsidR="005C3B02">
        <w:rPr>
          <w:rFonts w:ascii="Times New Roman" w:hAnsi="Times New Roman" w:cs="Times New Roman"/>
        </w:rPr>
        <w:t>suffer measurably from</w:t>
      </w:r>
      <w:r w:rsidR="004E6E0D">
        <w:rPr>
          <w:rFonts w:ascii="Times New Roman" w:hAnsi="Times New Roman" w:cs="Times New Roman"/>
        </w:rPr>
        <w:t xml:space="preserve"> the lack of</w:t>
      </w:r>
      <w:r w:rsidR="005C3B02">
        <w:rPr>
          <w:rFonts w:ascii="Times New Roman" w:hAnsi="Times New Roman" w:cs="Times New Roman"/>
        </w:rPr>
        <w:t xml:space="preserve"> </w:t>
      </w:r>
      <w:r w:rsidR="004E6E0D">
        <w:rPr>
          <w:rFonts w:ascii="Times New Roman" w:hAnsi="Times New Roman" w:cs="Times New Roman"/>
        </w:rPr>
        <w:t xml:space="preserve">modelling and </w:t>
      </w:r>
      <w:r w:rsidR="005C3B02">
        <w:rPr>
          <w:rFonts w:ascii="Times New Roman" w:hAnsi="Times New Roman" w:cs="Times New Roman"/>
        </w:rPr>
        <w:t>non-distinction of state-dependent variable/asymmetric responses</w:t>
      </w:r>
      <w:r w:rsidR="004E6E0D">
        <w:rPr>
          <w:rFonts w:ascii="Times New Roman" w:hAnsi="Times New Roman" w:cs="Times New Roman"/>
        </w:rPr>
        <w:t xml:space="preserve"> of monetary policy shocks on the housing prices</w:t>
      </w:r>
      <w:r w:rsidR="005C3B02">
        <w:rPr>
          <w:rFonts w:ascii="Times New Roman" w:hAnsi="Times New Roman" w:cs="Times New Roman"/>
        </w:rPr>
        <w:t>. This paper aims to fill the gap in the literature in this direction.</w:t>
      </w:r>
    </w:p>
    <w:p w14:paraId="54670ECE" w14:textId="55A1E231" w:rsidR="0021231C" w:rsidRDefault="005C3B02" w:rsidP="00FD6D95">
      <w:pPr>
        <w:spacing w:after="0" w:line="480" w:lineRule="auto"/>
        <w:ind w:right="90"/>
        <w:jc w:val="both"/>
        <w:rPr>
          <w:rFonts w:ascii="Times New Roman" w:hAnsi="Times New Roman" w:cs="Times New Roman"/>
        </w:rPr>
      </w:pPr>
      <w:r>
        <w:rPr>
          <w:rFonts w:ascii="Times New Roman" w:hAnsi="Times New Roman" w:cs="Times New Roman"/>
        </w:rPr>
        <w:tab/>
      </w:r>
      <w:r w:rsidR="00B35D43">
        <w:rPr>
          <w:rFonts w:ascii="Times New Roman" w:hAnsi="Times New Roman" w:cs="Times New Roman"/>
        </w:rPr>
        <w:t>Conditioning impulse-response</w:t>
      </w:r>
      <w:r w:rsidR="0021231C">
        <w:rPr>
          <w:rFonts w:ascii="Times New Roman" w:hAnsi="Times New Roman" w:cs="Times New Roman"/>
        </w:rPr>
        <w:t xml:space="preserve">s of a monetary policy shock to the state-specific BLC is important because a shift in the state of an economic system conserves bounded dynamics following measured changes in macroeconomic indicators, for instance. Each state is identified with a specific data generation mechanism and an elevation of a system to the next level or some regressive changes within can depict varied effects of a specific policy, such as monetary policy on a housing market. When channelized via </w:t>
      </w:r>
      <w:r w:rsidR="0021231C" w:rsidRPr="006B412E">
        <w:rPr>
          <w:rFonts w:ascii="Times New Roman" w:hAnsi="Times New Roman" w:cs="Times New Roman"/>
          <w:color w:val="000000" w:themeColor="text1"/>
        </w:rPr>
        <w:t>BL</w:t>
      </w:r>
      <w:r w:rsidR="007B13D8" w:rsidRPr="006B412E">
        <w:rPr>
          <w:rFonts w:ascii="Times New Roman" w:hAnsi="Times New Roman" w:cs="Times New Roman"/>
          <w:color w:val="000000" w:themeColor="text1"/>
        </w:rPr>
        <w:t>C</w:t>
      </w:r>
      <w:r w:rsidR="0021231C">
        <w:rPr>
          <w:rFonts w:ascii="Times New Roman" w:hAnsi="Times New Roman" w:cs="Times New Roman"/>
        </w:rPr>
        <w:t>, the translated effects of the same policy with similar magnitudes may exhibit heterogeneous magnitudes of responses. If</w:t>
      </w:r>
      <w:r w:rsidR="00D6559C">
        <w:rPr>
          <w:rFonts w:ascii="Times New Roman" w:hAnsi="Times New Roman" w:cs="Times New Roman"/>
        </w:rPr>
        <w:t xml:space="preserve"> </w:t>
      </w:r>
      <w:r w:rsidR="00A43142">
        <w:rPr>
          <w:rFonts w:ascii="Times New Roman" w:hAnsi="Times New Roman" w:cs="Times New Roman"/>
        </w:rPr>
        <w:t>impact</w:t>
      </w:r>
      <w:r w:rsidR="0021231C">
        <w:rPr>
          <w:rFonts w:ascii="Times New Roman" w:hAnsi="Times New Roman" w:cs="Times New Roman"/>
        </w:rPr>
        <w:t xml:space="preserve"> heterogene</w:t>
      </w:r>
      <w:r w:rsidR="00A43142">
        <w:rPr>
          <w:rFonts w:ascii="Times New Roman" w:hAnsi="Times New Roman" w:cs="Times New Roman"/>
        </w:rPr>
        <w:t xml:space="preserve">ity </w:t>
      </w:r>
      <w:r w:rsidR="006D32AB">
        <w:rPr>
          <w:rFonts w:ascii="Times New Roman" w:hAnsi="Times New Roman" w:cs="Times New Roman"/>
        </w:rPr>
        <w:t>is</w:t>
      </w:r>
      <w:r w:rsidR="0021231C">
        <w:rPr>
          <w:rFonts w:ascii="Times New Roman" w:hAnsi="Times New Roman" w:cs="Times New Roman"/>
        </w:rPr>
        <w:t xml:space="preserve"> disregarded in favour of a </w:t>
      </w:r>
      <w:r w:rsidR="00A43142">
        <w:rPr>
          <w:rFonts w:ascii="Times New Roman" w:hAnsi="Times New Roman" w:cs="Times New Roman"/>
        </w:rPr>
        <w:t>uniform pattern of effects</w:t>
      </w:r>
      <w:r w:rsidR="0021231C">
        <w:rPr>
          <w:rFonts w:ascii="Times New Roman" w:hAnsi="Times New Roman" w:cs="Times New Roman"/>
        </w:rPr>
        <w:t>, an under-</w:t>
      </w:r>
      <w:r w:rsidR="00A43142">
        <w:rPr>
          <w:rFonts w:ascii="Times New Roman" w:hAnsi="Times New Roman" w:cs="Times New Roman"/>
        </w:rPr>
        <w:t xml:space="preserve"> </w:t>
      </w:r>
      <w:r w:rsidR="0021231C">
        <w:rPr>
          <w:rFonts w:ascii="Times New Roman" w:hAnsi="Times New Roman" w:cs="Times New Roman"/>
        </w:rPr>
        <w:t xml:space="preserve">or over-estimation bias may </w:t>
      </w:r>
      <w:r w:rsidR="00A43142">
        <w:rPr>
          <w:rFonts w:ascii="Times New Roman" w:hAnsi="Times New Roman" w:cs="Times New Roman"/>
        </w:rPr>
        <w:t xml:space="preserve">influence </w:t>
      </w:r>
      <w:r w:rsidR="00EF0C95">
        <w:rPr>
          <w:rFonts w:ascii="Times New Roman" w:hAnsi="Times New Roman" w:cs="Times New Roman"/>
        </w:rPr>
        <w:t>our</w:t>
      </w:r>
      <w:r w:rsidR="00A43142">
        <w:rPr>
          <w:rFonts w:ascii="Times New Roman" w:hAnsi="Times New Roman" w:cs="Times New Roman"/>
        </w:rPr>
        <w:t xml:space="preserve"> </w:t>
      </w:r>
      <w:r w:rsidR="0021231C">
        <w:rPr>
          <w:rFonts w:ascii="Times New Roman" w:hAnsi="Times New Roman" w:cs="Times New Roman"/>
        </w:rPr>
        <w:t>inferences o</w:t>
      </w:r>
      <w:r w:rsidR="00A43142">
        <w:rPr>
          <w:rFonts w:ascii="Times New Roman" w:hAnsi="Times New Roman" w:cs="Times New Roman"/>
        </w:rPr>
        <w:t>f</w:t>
      </w:r>
      <w:r w:rsidR="0021231C">
        <w:rPr>
          <w:rFonts w:ascii="Times New Roman" w:hAnsi="Times New Roman" w:cs="Times New Roman"/>
        </w:rPr>
        <w:t xml:space="preserve"> the </w:t>
      </w:r>
      <w:r w:rsidR="0021231C">
        <w:rPr>
          <w:rFonts w:ascii="Times New Roman" w:hAnsi="Times New Roman" w:cs="Times New Roman"/>
        </w:rPr>
        <w:lastRenderedPageBreak/>
        <w:t xml:space="preserve">impact of a monetary policy shock on housing market via a BLC. This paper </w:t>
      </w:r>
      <w:r w:rsidR="00EF0C95">
        <w:rPr>
          <w:rFonts w:ascii="Times New Roman" w:hAnsi="Times New Roman" w:cs="Times New Roman"/>
        </w:rPr>
        <w:t>examines</w:t>
      </w:r>
      <w:r w:rsidR="0021231C">
        <w:rPr>
          <w:rFonts w:ascii="Times New Roman" w:hAnsi="Times New Roman" w:cs="Times New Roman"/>
        </w:rPr>
        <w:t xml:space="preserve"> this state-dependent nature of BLC while channelizing the impact of monetary policy to desired effectiveness in housing market responses. </w:t>
      </w:r>
    </w:p>
    <w:p w14:paraId="0DD3B940" w14:textId="62C356F1" w:rsidR="0099155E" w:rsidRDefault="005C3B02" w:rsidP="0099155E">
      <w:pPr>
        <w:spacing w:after="0" w:line="480" w:lineRule="auto"/>
        <w:ind w:right="90" w:firstLine="720"/>
        <w:jc w:val="both"/>
        <w:rPr>
          <w:rFonts w:ascii="Times New Roman" w:hAnsi="Times New Roman" w:cs="Times New Roman"/>
        </w:rPr>
      </w:pPr>
      <w:r>
        <w:rPr>
          <w:rFonts w:ascii="Times New Roman" w:hAnsi="Times New Roman" w:cs="Times New Roman"/>
        </w:rPr>
        <w:t xml:space="preserve">Our empirical context is </w:t>
      </w:r>
      <w:r w:rsidR="00BB4D13">
        <w:rPr>
          <w:rFonts w:ascii="Times New Roman" w:hAnsi="Times New Roman" w:cs="Times New Roman"/>
        </w:rPr>
        <w:t xml:space="preserve">the </w:t>
      </w:r>
      <w:r w:rsidR="00BB4D13" w:rsidRPr="008E6E59">
        <w:rPr>
          <w:rFonts w:ascii="Times New Roman" w:hAnsi="Times New Roman" w:cs="Times New Roman"/>
        </w:rPr>
        <w:t>United Kingdom (UK)</w:t>
      </w:r>
      <w:r w:rsidR="00BB4D13">
        <w:rPr>
          <w:rFonts w:ascii="Times New Roman" w:hAnsi="Times New Roman" w:cs="Times New Roman"/>
        </w:rPr>
        <w:t xml:space="preserve">, where </w:t>
      </w:r>
      <w:r w:rsidR="0048310B">
        <w:rPr>
          <w:rFonts w:ascii="Times New Roman" w:hAnsi="Times New Roman" w:cs="Times New Roman"/>
        </w:rPr>
        <w:t>housing sector is an integral</w:t>
      </w:r>
      <w:r w:rsidR="001D4146" w:rsidRPr="008E6E59">
        <w:rPr>
          <w:rFonts w:ascii="Times New Roman" w:hAnsi="Times New Roman" w:cs="Times New Roman"/>
        </w:rPr>
        <w:t xml:space="preserve"> component of the economy</w:t>
      </w:r>
      <w:r w:rsidR="00BB4D13">
        <w:rPr>
          <w:rFonts w:ascii="Times New Roman" w:hAnsi="Times New Roman" w:cs="Times New Roman"/>
        </w:rPr>
        <w:t xml:space="preserve">. </w:t>
      </w:r>
      <w:r w:rsidR="00DA58A1">
        <w:rPr>
          <w:rFonts w:ascii="Times New Roman" w:hAnsi="Times New Roman" w:cs="Times New Roman"/>
        </w:rPr>
        <w:t>T</w:t>
      </w:r>
      <w:r w:rsidR="001D4146" w:rsidRPr="008E6E59">
        <w:rPr>
          <w:rFonts w:ascii="Times New Roman" w:hAnsi="Times New Roman" w:cs="Times New Roman"/>
        </w:rPr>
        <w:t xml:space="preserve">he volatile nature of the housing sector makes it a crucial contributor </w:t>
      </w:r>
      <w:r w:rsidR="007C7A73" w:rsidRPr="008E6E59">
        <w:rPr>
          <w:rFonts w:ascii="Times New Roman" w:hAnsi="Times New Roman" w:cs="Times New Roman"/>
        </w:rPr>
        <w:t xml:space="preserve">to </w:t>
      </w:r>
      <w:r w:rsidR="00595E0C" w:rsidRPr="008E6E59">
        <w:rPr>
          <w:rFonts w:ascii="Times New Roman" w:hAnsi="Times New Roman" w:cs="Times New Roman"/>
        </w:rPr>
        <w:t>the</w:t>
      </w:r>
      <w:r w:rsidR="001D4146" w:rsidRPr="008E6E59">
        <w:rPr>
          <w:rFonts w:ascii="Times New Roman" w:hAnsi="Times New Roman" w:cs="Times New Roman"/>
        </w:rPr>
        <w:t xml:space="preserve"> UK busine</w:t>
      </w:r>
      <w:r w:rsidR="001D764B" w:rsidRPr="008E6E59">
        <w:rPr>
          <w:rFonts w:ascii="Times New Roman" w:hAnsi="Times New Roman" w:cs="Times New Roman"/>
        </w:rPr>
        <w:t>ss cycle fluctuations.</w:t>
      </w:r>
      <w:r w:rsidR="0048310B">
        <w:rPr>
          <w:rStyle w:val="FootnoteReference"/>
          <w:rFonts w:ascii="Times New Roman" w:hAnsi="Times New Roman" w:cs="Times New Roman"/>
        </w:rPr>
        <w:footnoteReference w:id="2"/>
      </w:r>
      <w:r w:rsidR="001D764B" w:rsidRPr="008E6E59">
        <w:rPr>
          <w:rFonts w:ascii="Times New Roman" w:hAnsi="Times New Roman" w:cs="Times New Roman"/>
        </w:rPr>
        <w:t xml:space="preserve"> Extensive work has been</w:t>
      </w:r>
      <w:r w:rsidR="00BF3CA3" w:rsidRPr="008E6E59">
        <w:rPr>
          <w:rFonts w:ascii="Times New Roman" w:hAnsi="Times New Roman" w:cs="Times New Roman"/>
        </w:rPr>
        <w:t xml:space="preserve"> carried out</w:t>
      </w:r>
      <w:r w:rsidR="001D4146" w:rsidRPr="008E6E59">
        <w:rPr>
          <w:rFonts w:ascii="Times New Roman" w:hAnsi="Times New Roman" w:cs="Times New Roman"/>
        </w:rPr>
        <w:t xml:space="preserve"> underpinning the theoretical and empirical linkage between monetary transmission mechanism </w:t>
      </w:r>
      <w:r w:rsidR="00515AED" w:rsidRPr="008E6E59">
        <w:rPr>
          <w:rFonts w:ascii="Times New Roman" w:hAnsi="Times New Roman" w:cs="Times New Roman"/>
        </w:rPr>
        <w:t>and house</w:t>
      </w:r>
      <w:r w:rsidR="001D4146" w:rsidRPr="008E6E59">
        <w:rPr>
          <w:rFonts w:ascii="Times New Roman" w:hAnsi="Times New Roman" w:cs="Times New Roman"/>
        </w:rPr>
        <w:t xml:space="preserve"> prices</w:t>
      </w:r>
      <w:r w:rsidR="00E002A5" w:rsidRPr="008E6E59">
        <w:rPr>
          <w:rFonts w:ascii="Times New Roman" w:hAnsi="Times New Roman" w:cs="Times New Roman"/>
        </w:rPr>
        <w:t xml:space="preserve"> fluctuations</w:t>
      </w:r>
      <w:r w:rsidR="009F3CD0" w:rsidRPr="008E6E59">
        <w:rPr>
          <w:rFonts w:ascii="Times New Roman" w:hAnsi="Times New Roman" w:cs="Times New Roman"/>
        </w:rPr>
        <w:t>,</w:t>
      </w:r>
      <w:r w:rsidR="00E81CA3" w:rsidRPr="008E6E59">
        <w:rPr>
          <w:rFonts w:ascii="Times New Roman" w:hAnsi="Times New Roman" w:cs="Times New Roman"/>
        </w:rPr>
        <w:t xml:space="preserve"> </w:t>
      </w:r>
      <w:r w:rsidR="009F3CD0" w:rsidRPr="008E6E59">
        <w:rPr>
          <w:rFonts w:ascii="Times New Roman" w:hAnsi="Times New Roman" w:cs="Times New Roman"/>
        </w:rPr>
        <w:t>asserting</w:t>
      </w:r>
      <w:r w:rsidR="009D36F2" w:rsidRPr="008E6E59">
        <w:rPr>
          <w:rFonts w:ascii="Times New Roman" w:hAnsi="Times New Roman" w:cs="Times New Roman"/>
        </w:rPr>
        <w:t xml:space="preserve"> the role of</w:t>
      </w:r>
      <w:r w:rsidR="00005F69" w:rsidRPr="008E6E59">
        <w:rPr>
          <w:rFonts w:ascii="Times New Roman" w:hAnsi="Times New Roman" w:cs="Times New Roman"/>
        </w:rPr>
        <w:t xml:space="preserve"> both</w:t>
      </w:r>
      <w:r w:rsidR="001D4146" w:rsidRPr="008E6E59">
        <w:rPr>
          <w:rFonts w:ascii="Times New Roman" w:hAnsi="Times New Roman" w:cs="Times New Roman"/>
        </w:rPr>
        <w:t xml:space="preserve"> n</w:t>
      </w:r>
      <w:r w:rsidR="001F2815" w:rsidRPr="008E6E59">
        <w:rPr>
          <w:rFonts w:ascii="Times New Roman" w:hAnsi="Times New Roman" w:cs="Times New Roman"/>
        </w:rPr>
        <w:t>on-neoclassical</w:t>
      </w:r>
      <w:r w:rsidR="00FB4FF3" w:rsidRPr="008E6E59">
        <w:rPr>
          <w:rFonts w:ascii="Times New Roman" w:hAnsi="Times New Roman" w:cs="Times New Roman"/>
        </w:rPr>
        <w:t xml:space="preserve"> and </w:t>
      </w:r>
      <w:r w:rsidR="001D4146" w:rsidRPr="008E6E59">
        <w:rPr>
          <w:rFonts w:ascii="Times New Roman" w:hAnsi="Times New Roman" w:cs="Times New Roman"/>
        </w:rPr>
        <w:t>traditional neoclassical channel</w:t>
      </w:r>
      <w:r w:rsidR="0063381D">
        <w:rPr>
          <w:rFonts w:ascii="Times New Roman" w:hAnsi="Times New Roman" w:cs="Times New Roman"/>
        </w:rPr>
        <w:t xml:space="preserve"> </w:t>
      </w:r>
      <w:r w:rsidR="0063381D" w:rsidRPr="008436D6">
        <w:rPr>
          <w:rFonts w:ascii="Times New Roman" w:hAnsi="Times New Roman" w:cs="Times New Roman"/>
        </w:rPr>
        <w:t xml:space="preserve">(see for instance, </w:t>
      </w:r>
      <w:r w:rsidR="0063381D" w:rsidRPr="008436D6">
        <w:rPr>
          <w:rStyle w:val="EndnoteReference"/>
          <w:rFonts w:ascii="Times New Roman" w:hAnsi="Times New Roman" w:cs="Times New Roman"/>
          <w:color w:val="000000" w:themeColor="text1"/>
          <w:vertAlign w:val="baseline"/>
        </w:rPr>
        <w:t>MacLennan et al.</w:t>
      </w:r>
      <w:r w:rsidR="0012146E">
        <w:rPr>
          <w:rFonts w:ascii="Times New Roman" w:hAnsi="Times New Roman" w:cs="Times New Roman"/>
          <w:color w:val="000000" w:themeColor="text1"/>
        </w:rPr>
        <w:t>,</w:t>
      </w:r>
      <w:r w:rsidR="0063381D" w:rsidRPr="008436D6">
        <w:rPr>
          <w:rFonts w:ascii="Times New Roman" w:hAnsi="Times New Roman" w:cs="Times New Roman"/>
          <w:color w:val="000000" w:themeColor="text1"/>
        </w:rPr>
        <w:t xml:space="preserve"> </w:t>
      </w:r>
      <w:r w:rsidR="0063381D" w:rsidRPr="008436D6">
        <w:rPr>
          <w:rStyle w:val="EndnoteReference"/>
          <w:rFonts w:ascii="Times New Roman" w:hAnsi="Times New Roman" w:cs="Times New Roman"/>
          <w:color w:val="000000" w:themeColor="text1"/>
          <w:vertAlign w:val="baseline"/>
        </w:rPr>
        <w:t>1998)</w:t>
      </w:r>
      <w:r w:rsidR="00895AF5" w:rsidRPr="008436D6">
        <w:rPr>
          <w:rFonts w:ascii="Times New Roman" w:hAnsi="Times New Roman" w:cs="Times New Roman"/>
        </w:rPr>
        <w:t>.</w:t>
      </w:r>
      <w:r w:rsidR="007857B4" w:rsidRPr="008436D6">
        <w:rPr>
          <w:rFonts w:ascii="Times New Roman" w:hAnsi="Times New Roman" w:cs="Times New Roman"/>
          <w:color w:val="000000" w:themeColor="text1"/>
        </w:rPr>
        <w:t xml:space="preserve"> </w:t>
      </w:r>
      <w:r w:rsidR="007674FA" w:rsidRPr="008E6E59">
        <w:rPr>
          <w:rFonts w:ascii="Times New Roman" w:hAnsi="Times New Roman" w:cs="Times New Roman"/>
        </w:rPr>
        <w:t xml:space="preserve">Among </w:t>
      </w:r>
      <w:r w:rsidR="00FC2134" w:rsidRPr="008E6E59">
        <w:rPr>
          <w:rFonts w:ascii="Times New Roman" w:hAnsi="Times New Roman" w:cs="Times New Roman"/>
        </w:rPr>
        <w:t>th</w:t>
      </w:r>
      <w:r w:rsidR="00C4480C">
        <w:rPr>
          <w:rFonts w:ascii="Times New Roman" w:hAnsi="Times New Roman" w:cs="Times New Roman"/>
        </w:rPr>
        <w:t>ese</w:t>
      </w:r>
      <w:r w:rsidR="00684543" w:rsidRPr="008E6E59">
        <w:rPr>
          <w:rFonts w:ascii="Times New Roman" w:hAnsi="Times New Roman" w:cs="Times New Roman"/>
        </w:rPr>
        <w:t xml:space="preserve"> </w:t>
      </w:r>
      <w:r w:rsidR="00C4480C" w:rsidRPr="008E6E59">
        <w:rPr>
          <w:rFonts w:ascii="Times New Roman" w:hAnsi="Times New Roman" w:cs="Times New Roman"/>
        </w:rPr>
        <w:t>the BLC</w:t>
      </w:r>
      <w:r w:rsidR="007674FA" w:rsidRPr="008E6E59">
        <w:rPr>
          <w:rFonts w:ascii="Times New Roman" w:hAnsi="Times New Roman" w:cs="Times New Roman"/>
        </w:rPr>
        <w:t>, given its strong presence both at</w:t>
      </w:r>
      <w:r w:rsidR="007E7B16" w:rsidRPr="008E6E59">
        <w:rPr>
          <w:rFonts w:ascii="Times New Roman" w:hAnsi="Times New Roman" w:cs="Times New Roman"/>
        </w:rPr>
        <w:t xml:space="preserve"> the</w:t>
      </w:r>
      <w:r w:rsidR="007674FA" w:rsidRPr="008E6E59">
        <w:rPr>
          <w:rFonts w:ascii="Times New Roman" w:hAnsi="Times New Roman" w:cs="Times New Roman"/>
        </w:rPr>
        <w:t xml:space="preserve"> source (</w:t>
      </w:r>
      <w:r w:rsidR="00684543" w:rsidRPr="008E6E59">
        <w:rPr>
          <w:rFonts w:ascii="Times New Roman" w:hAnsi="Times New Roman" w:cs="Times New Roman"/>
        </w:rPr>
        <w:t xml:space="preserve">at </w:t>
      </w:r>
      <w:r w:rsidR="007674FA" w:rsidRPr="008E6E59">
        <w:rPr>
          <w:rFonts w:ascii="Times New Roman" w:hAnsi="Times New Roman" w:cs="Times New Roman"/>
        </w:rPr>
        <w:t>depository institutions) and at the destination level (households)</w:t>
      </w:r>
      <w:r w:rsidR="00AD3D79" w:rsidRPr="008E6E59">
        <w:rPr>
          <w:rFonts w:ascii="Times New Roman" w:hAnsi="Times New Roman" w:cs="Times New Roman"/>
        </w:rPr>
        <w:t>,</w:t>
      </w:r>
      <w:r w:rsidR="007674FA" w:rsidRPr="008E6E59">
        <w:rPr>
          <w:rFonts w:ascii="Times New Roman" w:hAnsi="Times New Roman" w:cs="Times New Roman"/>
        </w:rPr>
        <w:t xml:space="preserve"> is thought to play a vital role in the UK housing market</w:t>
      </w:r>
      <w:r w:rsidR="0063381D">
        <w:rPr>
          <w:rFonts w:ascii="Times New Roman" w:hAnsi="Times New Roman" w:cs="Times New Roman"/>
        </w:rPr>
        <w:t xml:space="preserve"> (</w:t>
      </w:r>
      <w:r w:rsidR="0063381D" w:rsidRPr="0063381D">
        <w:rPr>
          <w:rFonts w:ascii="Times New Roman" w:hAnsi="Times New Roman" w:cs="Times New Roman"/>
          <w:color w:val="000000" w:themeColor="text1"/>
        </w:rPr>
        <w:t>See Iacoviello and Minetti, 2008</w:t>
      </w:r>
      <w:r w:rsidR="0063381D" w:rsidRPr="00332BB8">
        <w:rPr>
          <w:rFonts w:ascii="Times New Roman" w:hAnsi="Times New Roman" w:cs="Times New Roman"/>
          <w:color w:val="000000" w:themeColor="text1"/>
        </w:rPr>
        <w:t xml:space="preserve"> for further details</w:t>
      </w:r>
      <w:r w:rsidR="00332BB8">
        <w:rPr>
          <w:rFonts w:ascii="Times New Roman" w:hAnsi="Times New Roman" w:cs="Times New Roman"/>
          <w:color w:val="000000" w:themeColor="text1"/>
        </w:rPr>
        <w:t>)</w:t>
      </w:r>
      <w:r w:rsidR="00FB4FF3" w:rsidRPr="00332BB8">
        <w:rPr>
          <w:rFonts w:ascii="Times New Roman" w:hAnsi="Times New Roman" w:cs="Times New Roman"/>
        </w:rPr>
        <w:t>.</w:t>
      </w:r>
      <w:r w:rsidR="00D2574A" w:rsidRPr="008E6E59">
        <w:rPr>
          <w:rFonts w:ascii="Times New Roman" w:hAnsi="Times New Roman" w:cs="Times New Roman"/>
        </w:rPr>
        <w:t xml:space="preserve"> </w:t>
      </w:r>
    </w:p>
    <w:p w14:paraId="261AA484" w14:textId="301244F8" w:rsidR="004F7AAB" w:rsidRDefault="00050779" w:rsidP="004F7AAB">
      <w:pPr>
        <w:spacing w:after="0" w:line="480" w:lineRule="auto"/>
        <w:ind w:right="90" w:firstLine="720"/>
        <w:jc w:val="both"/>
        <w:rPr>
          <w:rFonts w:ascii="Times New Roman" w:hAnsi="Times New Roman" w:cs="Times New Roman"/>
          <w:color w:val="0D0D0D" w:themeColor="text1" w:themeTint="F2"/>
        </w:rPr>
      </w:pPr>
      <w:r w:rsidRPr="00C4480C">
        <w:rPr>
          <w:rFonts w:ascii="Times New Roman" w:hAnsi="Times New Roman" w:cs="Times New Roman"/>
          <w:color w:val="000000" w:themeColor="text1"/>
        </w:rPr>
        <w:t>Considering t</w:t>
      </w:r>
      <w:r w:rsidR="00B071E0" w:rsidRPr="00C4480C">
        <w:rPr>
          <w:rFonts w:ascii="Times New Roman" w:hAnsi="Times New Roman" w:cs="Times New Roman"/>
          <w:color w:val="000000" w:themeColor="text1"/>
        </w:rPr>
        <w:t>h</w:t>
      </w:r>
      <w:r w:rsidR="007620DE" w:rsidRPr="00C4480C">
        <w:rPr>
          <w:rFonts w:ascii="Times New Roman" w:hAnsi="Times New Roman" w:cs="Times New Roman"/>
          <w:color w:val="000000" w:themeColor="text1"/>
        </w:rPr>
        <w:t>is</w:t>
      </w:r>
      <w:r w:rsidRPr="00C4480C">
        <w:rPr>
          <w:rFonts w:ascii="Times New Roman" w:hAnsi="Times New Roman" w:cs="Times New Roman"/>
          <w:color w:val="000000" w:themeColor="text1"/>
        </w:rPr>
        <w:t xml:space="preserve"> </w:t>
      </w:r>
      <w:r w:rsidR="0091340B" w:rsidRPr="00C4480C">
        <w:rPr>
          <w:rFonts w:ascii="Times New Roman" w:hAnsi="Times New Roman" w:cs="Times New Roman"/>
          <w:color w:val="000000" w:themeColor="text1"/>
        </w:rPr>
        <w:t xml:space="preserve">and </w:t>
      </w:r>
      <w:r w:rsidR="00B819AC" w:rsidRPr="00C4480C">
        <w:rPr>
          <w:rFonts w:ascii="Times New Roman" w:hAnsi="Times New Roman" w:cs="Times New Roman"/>
          <w:color w:val="000000" w:themeColor="text1"/>
        </w:rPr>
        <w:t xml:space="preserve">in view of </w:t>
      </w:r>
      <w:r w:rsidR="007620DE" w:rsidRPr="00C4480C">
        <w:rPr>
          <w:rFonts w:ascii="Times New Roman" w:hAnsi="Times New Roman" w:cs="Times New Roman"/>
          <w:color w:val="000000" w:themeColor="text1"/>
        </w:rPr>
        <w:t>the</w:t>
      </w:r>
      <w:r w:rsidR="0091340B" w:rsidRPr="00C4480C">
        <w:rPr>
          <w:rFonts w:ascii="Times New Roman" w:hAnsi="Times New Roman" w:cs="Times New Roman"/>
          <w:color w:val="000000" w:themeColor="text1"/>
        </w:rPr>
        <w:t xml:space="preserve"> observed</w:t>
      </w:r>
      <w:r w:rsidR="00E86A26" w:rsidRPr="00C4480C">
        <w:rPr>
          <w:rFonts w:ascii="Times New Roman" w:hAnsi="Times New Roman" w:cs="Times New Roman"/>
          <w:color w:val="000000" w:themeColor="text1"/>
        </w:rPr>
        <w:t xml:space="preserve"> sharp appreciation of UK house prices during the great moderation years followed by contraction throughout the recession</w:t>
      </w:r>
      <w:r w:rsidR="00B819AC" w:rsidRPr="00C4480C">
        <w:rPr>
          <w:rStyle w:val="FootnoteReference"/>
          <w:rFonts w:ascii="Times New Roman" w:hAnsi="Times New Roman" w:cs="Times New Roman"/>
          <w:color w:val="000000" w:themeColor="text1"/>
        </w:rPr>
        <w:footnoteReference w:id="3"/>
      </w:r>
      <w:r w:rsidR="00E86A26" w:rsidRPr="00C4480C">
        <w:rPr>
          <w:rFonts w:ascii="Times New Roman" w:hAnsi="Times New Roman" w:cs="Times New Roman"/>
          <w:color w:val="000000" w:themeColor="text1"/>
        </w:rPr>
        <w:t xml:space="preserve"> </w:t>
      </w:r>
      <w:r w:rsidR="00E73411" w:rsidRPr="00C4480C">
        <w:rPr>
          <w:rFonts w:ascii="Times New Roman" w:hAnsi="Times New Roman" w:cs="Times New Roman"/>
          <w:color w:val="000000" w:themeColor="text1"/>
        </w:rPr>
        <w:t>motivates</w:t>
      </w:r>
      <w:r w:rsidR="0091340B" w:rsidRPr="00C4480C">
        <w:rPr>
          <w:rFonts w:ascii="Times New Roman" w:hAnsi="Times New Roman" w:cs="Times New Roman"/>
          <w:color w:val="000000" w:themeColor="text1"/>
        </w:rPr>
        <w:t xml:space="preserve"> </w:t>
      </w:r>
      <w:r w:rsidR="00DA384E" w:rsidRPr="00C4480C">
        <w:rPr>
          <w:rFonts w:ascii="Times New Roman" w:hAnsi="Times New Roman" w:cs="Times New Roman"/>
          <w:color w:val="000000" w:themeColor="text1"/>
        </w:rPr>
        <w:t>us to</w:t>
      </w:r>
      <w:r w:rsidR="00E73411" w:rsidRPr="00C4480C">
        <w:rPr>
          <w:rFonts w:ascii="Times New Roman" w:hAnsi="Times New Roman" w:cs="Times New Roman"/>
          <w:color w:val="000000" w:themeColor="text1"/>
        </w:rPr>
        <w:t xml:space="preserve"> </w:t>
      </w:r>
      <w:r w:rsidR="001B3139" w:rsidRPr="00C4480C">
        <w:rPr>
          <w:rFonts w:ascii="Times New Roman" w:hAnsi="Times New Roman" w:cs="Times New Roman"/>
          <w:color w:val="000000" w:themeColor="text1"/>
        </w:rPr>
        <w:t xml:space="preserve">examine whether </w:t>
      </w:r>
      <w:r w:rsidR="009C0CB2" w:rsidRPr="00C4480C">
        <w:rPr>
          <w:rFonts w:ascii="Times New Roman" w:hAnsi="Times New Roman" w:cs="Times New Roman"/>
          <w:color w:val="000000" w:themeColor="text1"/>
        </w:rPr>
        <w:t>t</w:t>
      </w:r>
      <w:r w:rsidR="001B3139" w:rsidRPr="00C4480C">
        <w:rPr>
          <w:rFonts w:ascii="Times New Roman" w:hAnsi="Times New Roman" w:cs="Times New Roman"/>
          <w:color w:val="000000" w:themeColor="text1"/>
        </w:rPr>
        <w:t xml:space="preserve">he BLC </w:t>
      </w:r>
      <w:r w:rsidR="002E1083" w:rsidRPr="00C4480C">
        <w:rPr>
          <w:rFonts w:ascii="Times New Roman" w:hAnsi="Times New Roman" w:cs="Times New Roman"/>
          <w:color w:val="000000" w:themeColor="text1"/>
        </w:rPr>
        <w:t>is state</w:t>
      </w:r>
      <w:r w:rsidR="00506C63" w:rsidRPr="00C4480C">
        <w:rPr>
          <w:rFonts w:ascii="Times New Roman" w:hAnsi="Times New Roman" w:cs="Times New Roman"/>
          <w:color w:val="000000" w:themeColor="text1"/>
        </w:rPr>
        <w:t>-</w:t>
      </w:r>
      <w:r w:rsidR="002E1083" w:rsidRPr="00C4480C">
        <w:rPr>
          <w:rFonts w:ascii="Times New Roman" w:hAnsi="Times New Roman" w:cs="Times New Roman"/>
          <w:color w:val="000000" w:themeColor="text1"/>
        </w:rPr>
        <w:t>dependent in the UK</w:t>
      </w:r>
      <w:r w:rsidR="0091340B" w:rsidRPr="00C4480C">
        <w:rPr>
          <w:rFonts w:ascii="Times New Roman" w:hAnsi="Times New Roman" w:cs="Times New Roman"/>
          <w:color w:val="000000" w:themeColor="text1"/>
        </w:rPr>
        <w:t xml:space="preserve"> </w:t>
      </w:r>
      <w:r w:rsidR="009713A0" w:rsidRPr="00C4480C">
        <w:rPr>
          <w:rFonts w:ascii="Times New Roman" w:hAnsi="Times New Roman" w:cs="Times New Roman"/>
          <w:color w:val="000000" w:themeColor="text1"/>
        </w:rPr>
        <w:t>hous</w:t>
      </w:r>
      <w:r w:rsidR="007C7A73" w:rsidRPr="00C4480C">
        <w:rPr>
          <w:rFonts w:ascii="Times New Roman" w:hAnsi="Times New Roman" w:cs="Times New Roman"/>
          <w:color w:val="000000" w:themeColor="text1"/>
        </w:rPr>
        <w:t>ing</w:t>
      </w:r>
      <w:r w:rsidR="009713A0" w:rsidRPr="00C4480C">
        <w:rPr>
          <w:rFonts w:ascii="Times New Roman" w:hAnsi="Times New Roman" w:cs="Times New Roman"/>
          <w:color w:val="000000" w:themeColor="text1"/>
        </w:rPr>
        <w:t xml:space="preserve"> sector</w:t>
      </w:r>
      <w:r w:rsidR="003A01AA" w:rsidRPr="00C4480C">
        <w:rPr>
          <w:rFonts w:ascii="Times New Roman" w:hAnsi="Times New Roman" w:cs="Times New Roman"/>
          <w:color w:val="000000" w:themeColor="text1"/>
        </w:rPr>
        <w:t>.</w:t>
      </w:r>
      <w:r w:rsidR="008A013A" w:rsidRPr="00C4480C">
        <w:rPr>
          <w:rFonts w:ascii="Times New Roman" w:hAnsi="Times New Roman" w:cs="Times New Roman"/>
          <w:color w:val="000000" w:themeColor="text1"/>
        </w:rPr>
        <w:t xml:space="preserve"> </w:t>
      </w:r>
      <w:r w:rsidR="00D43E3B" w:rsidRPr="00C4480C">
        <w:rPr>
          <w:rFonts w:ascii="Times New Roman" w:hAnsi="Times New Roman" w:cs="Times New Roman"/>
          <w:color w:val="000000" w:themeColor="text1"/>
        </w:rPr>
        <w:t xml:space="preserve">Furthermore, </w:t>
      </w:r>
      <w:r w:rsidR="00881BC3" w:rsidRPr="00C4480C">
        <w:rPr>
          <w:rFonts w:ascii="Times New Roman" w:hAnsi="Times New Roman" w:cs="Times New Roman"/>
          <w:color w:val="000000" w:themeColor="text1"/>
        </w:rPr>
        <w:t>compared to</w:t>
      </w:r>
      <w:r w:rsidR="00E346A1" w:rsidRPr="00C4480C">
        <w:rPr>
          <w:rFonts w:ascii="Times New Roman" w:hAnsi="Times New Roman" w:cs="Times New Roman"/>
          <w:color w:val="000000" w:themeColor="text1"/>
        </w:rPr>
        <w:t xml:space="preserve"> previous</w:t>
      </w:r>
      <w:r w:rsidR="00881BC3" w:rsidRPr="00C4480C">
        <w:rPr>
          <w:rFonts w:ascii="Times New Roman" w:hAnsi="Times New Roman" w:cs="Times New Roman"/>
          <w:color w:val="000000" w:themeColor="text1"/>
        </w:rPr>
        <w:t xml:space="preserve"> recessions</w:t>
      </w:r>
      <w:r w:rsidR="00E346A1" w:rsidRPr="00C4480C">
        <w:rPr>
          <w:rFonts w:ascii="Times New Roman" w:hAnsi="Times New Roman" w:cs="Times New Roman"/>
          <w:color w:val="000000" w:themeColor="text1"/>
        </w:rPr>
        <w:t>,</w:t>
      </w:r>
      <w:r w:rsidR="00881BC3" w:rsidRPr="00C4480C">
        <w:rPr>
          <w:rFonts w:ascii="Times New Roman" w:hAnsi="Times New Roman" w:cs="Times New Roman"/>
          <w:color w:val="000000" w:themeColor="text1"/>
        </w:rPr>
        <w:t xml:space="preserve"> </w:t>
      </w:r>
      <w:r w:rsidR="008712FD" w:rsidRPr="00C4480C">
        <w:rPr>
          <w:rFonts w:ascii="Times New Roman" w:hAnsi="Times New Roman" w:cs="Times New Roman"/>
          <w:color w:val="000000" w:themeColor="text1"/>
        </w:rPr>
        <w:t>during the 2008-2010</w:t>
      </w:r>
      <w:r w:rsidR="005C3B02" w:rsidRPr="00C4480C">
        <w:rPr>
          <w:rFonts w:ascii="Times New Roman" w:hAnsi="Times New Roman" w:cs="Times New Roman"/>
          <w:color w:val="000000" w:themeColor="text1"/>
        </w:rPr>
        <w:t>, the</w:t>
      </w:r>
      <w:r w:rsidR="008712FD" w:rsidRPr="00C4480C">
        <w:rPr>
          <w:rFonts w:ascii="Times New Roman" w:hAnsi="Times New Roman" w:cs="Times New Roman"/>
          <w:color w:val="000000" w:themeColor="text1"/>
        </w:rPr>
        <w:t xml:space="preserve"> </w:t>
      </w:r>
      <w:r w:rsidR="002E6C73" w:rsidRPr="00C4480C">
        <w:rPr>
          <w:rFonts w:ascii="Times New Roman" w:hAnsi="Times New Roman" w:cs="Times New Roman"/>
          <w:color w:val="000000" w:themeColor="text1"/>
        </w:rPr>
        <w:t xml:space="preserve">BoE </w:t>
      </w:r>
      <w:r w:rsidR="00E674CB" w:rsidRPr="00C4480C">
        <w:rPr>
          <w:rFonts w:ascii="Times New Roman" w:hAnsi="Times New Roman" w:cs="Times New Roman"/>
          <w:color w:val="000000" w:themeColor="text1"/>
        </w:rPr>
        <w:t>reduced</w:t>
      </w:r>
      <w:r w:rsidR="002E6C73" w:rsidRPr="00C4480C">
        <w:rPr>
          <w:rFonts w:ascii="Times New Roman" w:hAnsi="Times New Roman" w:cs="Times New Roman"/>
          <w:color w:val="000000" w:themeColor="text1"/>
        </w:rPr>
        <w:t xml:space="preserve"> policy </w:t>
      </w:r>
      <w:r w:rsidR="00881BC3" w:rsidRPr="00C4480C">
        <w:rPr>
          <w:rFonts w:ascii="Times New Roman" w:hAnsi="Times New Roman" w:cs="Times New Roman"/>
          <w:color w:val="000000" w:themeColor="text1"/>
        </w:rPr>
        <w:t>rates sharply</w:t>
      </w:r>
      <w:r w:rsidR="003939B9" w:rsidRPr="00C4480C">
        <w:rPr>
          <w:rFonts w:ascii="Times New Roman" w:hAnsi="Times New Roman" w:cs="Times New Roman"/>
          <w:color w:val="000000" w:themeColor="text1"/>
        </w:rPr>
        <w:t xml:space="preserve"> and hence giving us the impetus</w:t>
      </w:r>
      <w:r w:rsidR="005C3B02" w:rsidRPr="00C4480C">
        <w:rPr>
          <w:rFonts w:ascii="Times New Roman" w:hAnsi="Times New Roman" w:cs="Times New Roman"/>
          <w:color w:val="000000" w:themeColor="text1"/>
        </w:rPr>
        <w:t xml:space="preserve"> </w:t>
      </w:r>
      <w:r w:rsidR="00E6538E" w:rsidRPr="00C4480C">
        <w:rPr>
          <w:rFonts w:ascii="Times New Roman" w:hAnsi="Times New Roman" w:cs="Times New Roman"/>
          <w:color w:val="000000" w:themeColor="text1"/>
        </w:rPr>
        <w:t xml:space="preserve">to examine whether mortgage </w:t>
      </w:r>
      <w:r w:rsidR="009B33CD" w:rsidRPr="00C4480C">
        <w:rPr>
          <w:rFonts w:ascii="Times New Roman" w:hAnsi="Times New Roman" w:cs="Times New Roman"/>
          <w:color w:val="000000" w:themeColor="text1"/>
        </w:rPr>
        <w:t>supply</w:t>
      </w:r>
      <w:r w:rsidR="006D0775" w:rsidRPr="00C4480C">
        <w:rPr>
          <w:rFonts w:ascii="Times New Roman" w:hAnsi="Times New Roman" w:cs="Times New Roman"/>
          <w:color w:val="000000" w:themeColor="text1"/>
        </w:rPr>
        <w:t xml:space="preserve"> is</w:t>
      </w:r>
      <w:r w:rsidR="00E6538E" w:rsidRPr="00C4480C">
        <w:rPr>
          <w:rFonts w:ascii="Times New Roman" w:hAnsi="Times New Roman" w:cs="Times New Roman"/>
          <w:color w:val="000000" w:themeColor="text1"/>
        </w:rPr>
        <w:t xml:space="preserve"> amplified by</w:t>
      </w:r>
      <w:r w:rsidR="00B32EA8" w:rsidRPr="00C4480C">
        <w:rPr>
          <w:rFonts w:ascii="Times New Roman" w:hAnsi="Times New Roman" w:cs="Times New Roman"/>
          <w:color w:val="000000" w:themeColor="text1"/>
        </w:rPr>
        <w:t xml:space="preserve"> large expansionary monetary policy</w:t>
      </w:r>
      <w:r w:rsidR="00EE21CA" w:rsidRPr="00C4480C">
        <w:rPr>
          <w:rFonts w:ascii="Times New Roman" w:hAnsi="Times New Roman" w:cs="Times New Roman"/>
          <w:color w:val="000000" w:themeColor="text1"/>
        </w:rPr>
        <w:t xml:space="preserve"> </w:t>
      </w:r>
      <w:r w:rsidR="00B43CC2" w:rsidRPr="00C4480C">
        <w:rPr>
          <w:rFonts w:ascii="Times New Roman" w:hAnsi="Times New Roman" w:cs="Times New Roman"/>
          <w:color w:val="000000" w:themeColor="text1"/>
        </w:rPr>
        <w:t>shocks</w:t>
      </w:r>
      <w:r w:rsidR="007E7B16" w:rsidRPr="00C4480C">
        <w:rPr>
          <w:rFonts w:ascii="Times New Roman" w:hAnsi="Times New Roman" w:cs="Times New Roman"/>
          <w:color w:val="000000" w:themeColor="text1"/>
        </w:rPr>
        <w:t xml:space="preserve"> during periods of economic </w:t>
      </w:r>
      <w:r w:rsidR="00877AE2" w:rsidRPr="00C4480C">
        <w:rPr>
          <w:rFonts w:ascii="Times New Roman" w:hAnsi="Times New Roman" w:cs="Times New Roman"/>
          <w:color w:val="000000" w:themeColor="text1"/>
        </w:rPr>
        <w:t>uncertainty</w:t>
      </w:r>
      <w:r w:rsidR="00B43CC2" w:rsidRPr="00C4480C">
        <w:rPr>
          <w:rFonts w:ascii="Times New Roman" w:hAnsi="Times New Roman" w:cs="Times New Roman"/>
          <w:color w:val="000000" w:themeColor="text1"/>
        </w:rPr>
        <w:t>.</w:t>
      </w:r>
      <w:r w:rsidR="00FD6D95" w:rsidRPr="00C4480C">
        <w:rPr>
          <w:rFonts w:ascii="Times New Roman" w:hAnsi="Times New Roman" w:cs="Times New Roman"/>
          <w:color w:val="000000" w:themeColor="text1"/>
        </w:rPr>
        <w:t xml:space="preserve"> </w:t>
      </w:r>
      <w:r w:rsidR="001D2D74" w:rsidRPr="00C4480C">
        <w:rPr>
          <w:rFonts w:ascii="Times New Roman" w:hAnsi="Times New Roman" w:cs="Times New Roman"/>
          <w:color w:val="000000" w:themeColor="text1"/>
        </w:rPr>
        <w:t>Therefore</w:t>
      </w:r>
      <w:r w:rsidR="00FD6D95" w:rsidRPr="00C4480C">
        <w:rPr>
          <w:rFonts w:ascii="Times New Roman" w:hAnsi="Times New Roman" w:cs="Times New Roman"/>
          <w:color w:val="000000" w:themeColor="text1"/>
        </w:rPr>
        <w:t>, th</w:t>
      </w:r>
      <w:r w:rsidR="00E6538E" w:rsidRPr="00C4480C">
        <w:rPr>
          <w:rFonts w:ascii="Times New Roman" w:hAnsi="Times New Roman" w:cs="Times New Roman"/>
          <w:color w:val="000000" w:themeColor="text1"/>
        </w:rPr>
        <w:t>is</w:t>
      </w:r>
      <w:r w:rsidR="00FD6D95" w:rsidRPr="00C4480C">
        <w:rPr>
          <w:rFonts w:ascii="Times New Roman" w:hAnsi="Times New Roman" w:cs="Times New Roman"/>
          <w:color w:val="000000" w:themeColor="text1"/>
        </w:rPr>
        <w:t xml:space="preserve"> paper address</w:t>
      </w:r>
      <w:r w:rsidR="0012146E">
        <w:rPr>
          <w:rFonts w:ascii="Times New Roman" w:hAnsi="Times New Roman" w:cs="Times New Roman"/>
          <w:color w:val="000000" w:themeColor="text1"/>
        </w:rPr>
        <w:t>es</w:t>
      </w:r>
      <w:r w:rsidR="00FD6D95" w:rsidRPr="00C4480C">
        <w:rPr>
          <w:rFonts w:ascii="Times New Roman" w:hAnsi="Times New Roman" w:cs="Times New Roman"/>
          <w:color w:val="000000" w:themeColor="text1"/>
        </w:rPr>
        <w:t xml:space="preserve"> two non-linearity. </w:t>
      </w:r>
      <w:r w:rsidR="00FD6D95" w:rsidRPr="00C4480C">
        <w:rPr>
          <w:rFonts w:ascii="Times New Roman" w:hAnsi="Times New Roman" w:cs="Times New Roman"/>
          <w:i/>
          <w:iCs/>
          <w:color w:val="000000" w:themeColor="text1"/>
        </w:rPr>
        <w:t>Firstly</w:t>
      </w:r>
      <w:r w:rsidR="00FD6D95" w:rsidRPr="00C4480C">
        <w:rPr>
          <w:rFonts w:ascii="Times New Roman" w:hAnsi="Times New Roman" w:cs="Times New Roman"/>
          <w:color w:val="000000" w:themeColor="text1"/>
        </w:rPr>
        <w:t>,</w:t>
      </w:r>
      <w:r w:rsidR="00283358" w:rsidRPr="00C4480C">
        <w:rPr>
          <w:rFonts w:ascii="Times New Roman" w:hAnsi="Times New Roman" w:cs="Times New Roman"/>
          <w:color w:val="000000" w:themeColor="text1"/>
        </w:rPr>
        <w:t xml:space="preserve"> </w:t>
      </w:r>
      <w:r w:rsidR="003D4BA3" w:rsidRPr="00C4480C">
        <w:rPr>
          <w:rFonts w:ascii="Times New Roman" w:hAnsi="Times New Roman" w:cs="Times New Roman"/>
          <w:color w:val="000000" w:themeColor="text1"/>
        </w:rPr>
        <w:t>quantifying,</w:t>
      </w:r>
      <w:r w:rsidR="00506C63" w:rsidRPr="00C4480C">
        <w:rPr>
          <w:rFonts w:ascii="Times New Roman" w:hAnsi="Times New Roman" w:cs="Times New Roman"/>
          <w:color w:val="000000" w:themeColor="text1"/>
        </w:rPr>
        <w:t xml:space="preserve"> and distinguishing</w:t>
      </w:r>
      <w:r w:rsidR="00283358" w:rsidRPr="00C4480C">
        <w:rPr>
          <w:rFonts w:ascii="Times New Roman" w:hAnsi="Times New Roman" w:cs="Times New Roman"/>
          <w:color w:val="000000" w:themeColor="text1"/>
        </w:rPr>
        <w:t xml:space="preserve"> similar size expansionary monetary policy shock on</w:t>
      </w:r>
      <w:r w:rsidR="00FD6D95" w:rsidRPr="00C4480C">
        <w:rPr>
          <w:rFonts w:ascii="Times New Roman" w:hAnsi="Times New Roman" w:cs="Times New Roman"/>
          <w:color w:val="000000" w:themeColor="text1"/>
        </w:rPr>
        <w:t xml:space="preserve"> the BLC during </w:t>
      </w:r>
      <w:r w:rsidR="00FD6D95" w:rsidRPr="00142918">
        <w:rPr>
          <w:rFonts w:ascii="Times New Roman" w:hAnsi="Times New Roman" w:cs="Times New Roman"/>
          <w:color w:val="0D0D0D" w:themeColor="text1" w:themeTint="F2"/>
        </w:rPr>
        <w:t>expansion and recessionary phase</w:t>
      </w:r>
      <w:r w:rsidR="00506C63">
        <w:rPr>
          <w:rFonts w:ascii="Times New Roman" w:hAnsi="Times New Roman" w:cs="Times New Roman"/>
          <w:color w:val="0D0D0D" w:themeColor="text1" w:themeTint="F2"/>
        </w:rPr>
        <w:t>s</w:t>
      </w:r>
      <w:r w:rsidR="00FD6D95" w:rsidRPr="00142918">
        <w:rPr>
          <w:rFonts w:ascii="Times New Roman" w:hAnsi="Times New Roman" w:cs="Times New Roman"/>
          <w:color w:val="0D0D0D" w:themeColor="text1" w:themeTint="F2"/>
        </w:rPr>
        <w:t xml:space="preserve"> of the UK business cycle.</w:t>
      </w:r>
      <w:r w:rsidR="00BE3BC9" w:rsidRPr="00142918">
        <w:rPr>
          <w:rFonts w:ascii="Times New Roman" w:hAnsi="Times New Roman" w:cs="Times New Roman"/>
          <w:color w:val="0D0D0D" w:themeColor="text1" w:themeTint="F2"/>
        </w:rPr>
        <w:t xml:space="preserve"> And</w:t>
      </w:r>
      <w:r w:rsidR="00FD6D95" w:rsidRPr="00142918">
        <w:rPr>
          <w:rFonts w:ascii="Times New Roman" w:hAnsi="Times New Roman" w:cs="Times New Roman"/>
          <w:color w:val="0D0D0D" w:themeColor="text1" w:themeTint="F2"/>
        </w:rPr>
        <w:t xml:space="preserve"> </w:t>
      </w:r>
      <w:r w:rsidR="00BE3BC9" w:rsidRPr="005C3B02">
        <w:rPr>
          <w:rFonts w:ascii="Times New Roman" w:hAnsi="Times New Roman" w:cs="Times New Roman"/>
          <w:i/>
          <w:iCs/>
          <w:color w:val="0D0D0D" w:themeColor="text1" w:themeTint="F2"/>
        </w:rPr>
        <w:t>s</w:t>
      </w:r>
      <w:r w:rsidR="00FD6D95" w:rsidRPr="005C3B02">
        <w:rPr>
          <w:rFonts w:ascii="Times New Roman" w:hAnsi="Times New Roman" w:cs="Times New Roman"/>
          <w:i/>
          <w:iCs/>
          <w:color w:val="0D0D0D" w:themeColor="text1" w:themeTint="F2"/>
        </w:rPr>
        <w:t>econdly</w:t>
      </w:r>
      <w:r w:rsidR="00FD6D95" w:rsidRPr="00142918">
        <w:rPr>
          <w:rFonts w:ascii="Times New Roman" w:hAnsi="Times New Roman" w:cs="Times New Roman"/>
          <w:color w:val="0D0D0D" w:themeColor="text1" w:themeTint="F2"/>
        </w:rPr>
        <w:t>,</w:t>
      </w:r>
      <w:r w:rsidR="001211EE" w:rsidRPr="00142918">
        <w:rPr>
          <w:rFonts w:ascii="Times New Roman" w:hAnsi="Times New Roman" w:cs="Times New Roman"/>
          <w:color w:val="0D0D0D" w:themeColor="text1" w:themeTint="F2"/>
        </w:rPr>
        <w:t xml:space="preserve"> response</w:t>
      </w:r>
      <w:r w:rsidR="00F13DD9" w:rsidRPr="00142918">
        <w:rPr>
          <w:rFonts w:ascii="Times New Roman" w:hAnsi="Times New Roman" w:cs="Times New Roman"/>
          <w:color w:val="0D0D0D" w:themeColor="text1" w:themeTint="F2"/>
        </w:rPr>
        <w:t xml:space="preserve"> of</w:t>
      </w:r>
      <w:r w:rsidR="00BE3BC9" w:rsidRPr="00142918">
        <w:rPr>
          <w:rFonts w:ascii="Times New Roman" w:hAnsi="Times New Roman" w:cs="Times New Roman"/>
          <w:color w:val="0D0D0D" w:themeColor="text1" w:themeTint="F2"/>
        </w:rPr>
        <w:t xml:space="preserve"> mortgage loan supply is</w:t>
      </w:r>
      <w:r w:rsidR="00F13DD9" w:rsidRPr="00142918">
        <w:rPr>
          <w:rFonts w:ascii="Times New Roman" w:hAnsi="Times New Roman" w:cs="Times New Roman"/>
          <w:color w:val="0D0D0D" w:themeColor="text1" w:themeTint="F2"/>
        </w:rPr>
        <w:t xml:space="preserve"> examined to various </w:t>
      </w:r>
      <w:r w:rsidR="00EB50B1" w:rsidRPr="00142918">
        <w:rPr>
          <w:rFonts w:ascii="Times New Roman" w:hAnsi="Times New Roman" w:cs="Times New Roman"/>
          <w:color w:val="0D0D0D" w:themeColor="text1" w:themeTint="F2"/>
        </w:rPr>
        <w:t>degrees of expansionary monetary policy shocks during the 2008</w:t>
      </w:r>
      <w:r w:rsidR="009B33CD" w:rsidRPr="00142918">
        <w:rPr>
          <w:rFonts w:ascii="Times New Roman" w:hAnsi="Times New Roman" w:cs="Times New Roman"/>
          <w:color w:val="0D0D0D" w:themeColor="text1" w:themeTint="F2"/>
        </w:rPr>
        <w:t>-10</w:t>
      </w:r>
      <w:r w:rsidR="00EB50B1" w:rsidRPr="00142918">
        <w:rPr>
          <w:rFonts w:ascii="Times New Roman" w:hAnsi="Times New Roman" w:cs="Times New Roman"/>
          <w:color w:val="0D0D0D" w:themeColor="text1" w:themeTint="F2"/>
        </w:rPr>
        <w:t xml:space="preserve"> recessionary period.</w:t>
      </w:r>
      <w:r w:rsidR="004F7AAB">
        <w:rPr>
          <w:rFonts w:ascii="Times New Roman" w:hAnsi="Times New Roman" w:cs="Times New Roman"/>
          <w:color w:val="0D0D0D" w:themeColor="text1" w:themeTint="F2"/>
        </w:rPr>
        <w:t xml:space="preserve"> </w:t>
      </w:r>
    </w:p>
    <w:p w14:paraId="03945F66" w14:textId="3E3F88DD" w:rsidR="005C20C7" w:rsidRPr="00FA7ECA" w:rsidRDefault="00840626" w:rsidP="00B973AE">
      <w:pPr>
        <w:spacing w:after="0" w:line="480" w:lineRule="auto"/>
        <w:ind w:right="90" w:firstLine="720"/>
        <w:jc w:val="both"/>
        <w:rPr>
          <w:rFonts w:ascii="Times New Roman" w:hAnsi="Times New Roman" w:cs="Times New Roman"/>
          <w:color w:val="000000" w:themeColor="text1"/>
        </w:rPr>
      </w:pPr>
      <w:r w:rsidRPr="00B80F00">
        <w:rPr>
          <w:rFonts w:ascii="Times New Roman" w:hAnsi="Times New Roman" w:cs="Times New Roman"/>
          <w:color w:val="000000" w:themeColor="text1"/>
          <w:szCs w:val="32"/>
        </w:rPr>
        <w:lastRenderedPageBreak/>
        <w:t>Early empirical work</w:t>
      </w:r>
      <w:r w:rsidR="005D279A" w:rsidRPr="00B80F00">
        <w:rPr>
          <w:rFonts w:ascii="Times New Roman" w:hAnsi="Times New Roman" w:cs="Times New Roman"/>
          <w:color w:val="000000" w:themeColor="text1"/>
          <w:szCs w:val="32"/>
        </w:rPr>
        <w:t xml:space="preserve"> </w:t>
      </w:r>
      <w:r w:rsidRPr="00B80F00">
        <w:rPr>
          <w:rFonts w:ascii="Times New Roman" w:hAnsi="Times New Roman" w:cs="Times New Roman"/>
          <w:color w:val="000000" w:themeColor="text1"/>
          <w:szCs w:val="32"/>
        </w:rPr>
        <w:t xml:space="preserve">on the </w:t>
      </w:r>
      <w:r w:rsidR="005D279A" w:rsidRPr="00B80F00">
        <w:rPr>
          <w:rFonts w:ascii="Times New Roman" w:hAnsi="Times New Roman" w:cs="Times New Roman"/>
          <w:color w:val="000000" w:themeColor="text1"/>
          <w:szCs w:val="32"/>
        </w:rPr>
        <w:t xml:space="preserve">BLC </w:t>
      </w:r>
      <w:r w:rsidRPr="00B80F00">
        <w:rPr>
          <w:rFonts w:ascii="Times New Roman" w:hAnsi="Times New Roman" w:cs="Times New Roman"/>
          <w:color w:val="000000" w:themeColor="text1"/>
          <w:szCs w:val="32"/>
        </w:rPr>
        <w:t>such as one conducted by</w:t>
      </w:r>
      <w:r w:rsidR="005D279A" w:rsidRPr="00B80F00">
        <w:rPr>
          <w:rFonts w:ascii="Times New Roman" w:hAnsi="Times New Roman" w:cs="Times New Roman"/>
          <w:color w:val="000000" w:themeColor="text1"/>
          <w:szCs w:val="32"/>
        </w:rPr>
        <w:t xml:space="preserve"> </w:t>
      </w:r>
      <w:bookmarkStart w:id="4" w:name="_Hlk110697841"/>
      <w:r w:rsidR="005D279A" w:rsidRPr="00B80F00">
        <w:rPr>
          <w:rFonts w:ascii="Times New Roman" w:hAnsi="Times New Roman" w:cs="Times New Roman"/>
          <w:color w:val="000000" w:themeColor="text1"/>
          <w:szCs w:val="32"/>
        </w:rPr>
        <w:t xml:space="preserve">Bernanke </w:t>
      </w:r>
      <w:r w:rsidR="004C5C94" w:rsidRPr="00B80F00">
        <w:rPr>
          <w:rFonts w:ascii="Times New Roman" w:hAnsi="Times New Roman" w:cs="Times New Roman"/>
          <w:color w:val="000000" w:themeColor="text1"/>
          <w:szCs w:val="32"/>
        </w:rPr>
        <w:t>and Blinder</w:t>
      </w:r>
      <w:r w:rsidR="005D279A" w:rsidRPr="00B80F00">
        <w:rPr>
          <w:rFonts w:ascii="Times New Roman" w:hAnsi="Times New Roman" w:cs="Times New Roman"/>
          <w:color w:val="000000" w:themeColor="text1"/>
          <w:szCs w:val="32"/>
        </w:rPr>
        <w:t xml:space="preserve"> (1988) </w:t>
      </w:r>
      <w:bookmarkEnd w:id="4"/>
      <w:r w:rsidR="005D279A" w:rsidRPr="00B80F00">
        <w:rPr>
          <w:rFonts w:ascii="Times New Roman" w:hAnsi="Times New Roman" w:cs="Times New Roman"/>
          <w:color w:val="000000" w:themeColor="text1"/>
          <w:szCs w:val="32"/>
        </w:rPr>
        <w:t xml:space="preserve">suffer from </w:t>
      </w:r>
      <w:r w:rsidR="00A9217C" w:rsidRPr="00B80F00">
        <w:rPr>
          <w:rFonts w:ascii="Times New Roman" w:hAnsi="Times New Roman" w:cs="Times New Roman"/>
          <w:color w:val="000000" w:themeColor="text1"/>
          <w:szCs w:val="32"/>
        </w:rPr>
        <w:t xml:space="preserve">simultaneity </w:t>
      </w:r>
      <w:r w:rsidR="005D279A" w:rsidRPr="00B80F00">
        <w:rPr>
          <w:rFonts w:ascii="Times New Roman" w:hAnsi="Times New Roman" w:cs="Times New Roman"/>
          <w:color w:val="000000" w:themeColor="text1"/>
          <w:szCs w:val="32"/>
        </w:rPr>
        <w:t>problem</w:t>
      </w:r>
      <w:r w:rsidR="008A52C3" w:rsidRPr="00B80F00">
        <w:rPr>
          <w:rFonts w:ascii="Times New Roman" w:hAnsi="Times New Roman" w:cs="Times New Roman"/>
          <w:color w:val="000000" w:themeColor="text1"/>
          <w:szCs w:val="32"/>
        </w:rPr>
        <w:t>,</w:t>
      </w:r>
      <w:r w:rsidRPr="00B80F00">
        <w:rPr>
          <w:rFonts w:ascii="Times New Roman" w:hAnsi="Times New Roman" w:cs="Times New Roman"/>
          <w:color w:val="000000" w:themeColor="text1"/>
          <w:szCs w:val="32"/>
        </w:rPr>
        <w:t xml:space="preserve"> </w:t>
      </w:r>
      <w:r w:rsidR="00B80F00" w:rsidRPr="00B80F00">
        <w:rPr>
          <w:rFonts w:ascii="Times New Roman" w:hAnsi="Times New Roman" w:cs="Times New Roman"/>
          <w:color w:val="000000" w:themeColor="text1"/>
          <w:szCs w:val="32"/>
        </w:rPr>
        <w:t xml:space="preserve">which are </w:t>
      </w:r>
      <w:r w:rsidRPr="00B80F00">
        <w:rPr>
          <w:rFonts w:ascii="Times New Roman" w:hAnsi="Times New Roman" w:cs="Times New Roman"/>
          <w:color w:val="000000" w:themeColor="text1"/>
          <w:szCs w:val="32"/>
        </w:rPr>
        <w:t>unable</w:t>
      </w:r>
      <w:r w:rsidR="00A9217C" w:rsidRPr="00B80F00">
        <w:rPr>
          <w:rFonts w:ascii="Times New Roman" w:hAnsi="Times New Roman" w:cs="Times New Roman"/>
          <w:color w:val="000000" w:themeColor="text1"/>
          <w:szCs w:val="32"/>
        </w:rPr>
        <w:t xml:space="preserve"> </w:t>
      </w:r>
      <w:r w:rsidRPr="00B80F00">
        <w:rPr>
          <w:rFonts w:ascii="Times New Roman" w:hAnsi="Times New Roman" w:cs="Times New Roman"/>
          <w:color w:val="000000" w:themeColor="text1"/>
          <w:szCs w:val="32"/>
        </w:rPr>
        <w:t xml:space="preserve">to </w:t>
      </w:r>
      <w:r w:rsidR="00A9217C" w:rsidRPr="00B80F00">
        <w:rPr>
          <w:rFonts w:ascii="Times New Roman" w:hAnsi="Times New Roman" w:cs="Times New Roman"/>
          <w:color w:val="000000" w:themeColor="text1"/>
          <w:szCs w:val="32"/>
        </w:rPr>
        <w:t>identify the balance sheet channel (BSC) from</w:t>
      </w:r>
      <w:r w:rsidR="001A29D9" w:rsidRPr="00B80F00">
        <w:rPr>
          <w:rFonts w:ascii="Times New Roman" w:hAnsi="Times New Roman" w:cs="Times New Roman"/>
          <w:color w:val="000000" w:themeColor="text1"/>
          <w:szCs w:val="32"/>
        </w:rPr>
        <w:t xml:space="preserve"> the</w:t>
      </w:r>
      <w:r w:rsidR="00A9217C" w:rsidRPr="00B80F00">
        <w:rPr>
          <w:rFonts w:ascii="Times New Roman" w:hAnsi="Times New Roman" w:cs="Times New Roman"/>
          <w:color w:val="000000" w:themeColor="text1"/>
          <w:szCs w:val="32"/>
        </w:rPr>
        <w:t xml:space="preserve"> BLC and </w:t>
      </w:r>
      <w:r w:rsidR="00274B1B" w:rsidRPr="00B80F00">
        <w:rPr>
          <w:rFonts w:ascii="Times New Roman" w:hAnsi="Times New Roman" w:cs="Times New Roman"/>
          <w:color w:val="000000" w:themeColor="text1"/>
          <w:szCs w:val="32"/>
        </w:rPr>
        <w:t>opt</w:t>
      </w:r>
      <w:r w:rsidR="00A9217C" w:rsidRPr="00B80F00">
        <w:rPr>
          <w:rFonts w:ascii="Times New Roman" w:hAnsi="Times New Roman" w:cs="Times New Roman"/>
          <w:color w:val="000000" w:themeColor="text1"/>
          <w:szCs w:val="32"/>
        </w:rPr>
        <w:t xml:space="preserve"> for a broad credit channel.</w:t>
      </w:r>
      <w:r w:rsidR="00B80F00" w:rsidRPr="00B80F00">
        <w:rPr>
          <w:rFonts w:ascii="Times New Roman" w:hAnsi="Times New Roman" w:cs="Times New Roman"/>
          <w:color w:val="000000" w:themeColor="text1"/>
          <w:szCs w:val="32"/>
        </w:rPr>
        <w:t xml:space="preserve"> </w:t>
      </w:r>
      <w:r w:rsidR="00B80F00" w:rsidRPr="004F7AAB">
        <w:rPr>
          <w:rFonts w:ascii="Times New Roman" w:hAnsi="Times New Roman" w:cs="Times New Roman"/>
          <w:color w:val="000000" w:themeColor="text1"/>
          <w:szCs w:val="32"/>
        </w:rPr>
        <w:t>The credit channel is the amalgamation of the BLC and the BSC (See more in Mishkin, 1995).</w:t>
      </w:r>
      <w:r w:rsidR="004F7AAB">
        <w:rPr>
          <w:rFonts w:ascii="Times New Roman" w:hAnsi="Times New Roman" w:cs="Times New Roman"/>
          <w:color w:val="000000" w:themeColor="text1"/>
          <w:szCs w:val="32"/>
        </w:rPr>
        <w:t xml:space="preserve"> </w:t>
      </w:r>
      <w:r w:rsidR="00B80F00" w:rsidRPr="00C4480C">
        <w:rPr>
          <w:rFonts w:ascii="Times New Roman" w:hAnsi="Times New Roman" w:cs="Times New Roman"/>
          <w:color w:val="000000" w:themeColor="text1"/>
        </w:rPr>
        <w:t xml:space="preserve"> </w:t>
      </w:r>
      <w:r w:rsidR="008A52C3" w:rsidRPr="00C4480C">
        <w:rPr>
          <w:rFonts w:ascii="Times New Roman" w:hAnsi="Times New Roman" w:cs="Times New Roman"/>
          <w:color w:val="000000" w:themeColor="text1"/>
        </w:rPr>
        <w:t xml:space="preserve">To </w:t>
      </w:r>
      <w:r w:rsidR="00332BB8">
        <w:rPr>
          <w:rFonts w:ascii="Times New Roman" w:hAnsi="Times New Roman" w:cs="Times New Roman"/>
          <w:color w:val="000000" w:themeColor="text1"/>
        </w:rPr>
        <w:t>mitigate</w:t>
      </w:r>
      <w:r w:rsidR="008A52C3" w:rsidRPr="00C4480C">
        <w:rPr>
          <w:rFonts w:ascii="Times New Roman" w:hAnsi="Times New Roman" w:cs="Times New Roman"/>
          <w:color w:val="000000" w:themeColor="text1"/>
        </w:rPr>
        <w:t xml:space="preserve"> the identification problem</w:t>
      </w:r>
      <w:r w:rsidR="00332BB8">
        <w:rPr>
          <w:rFonts w:ascii="Times New Roman" w:hAnsi="Times New Roman" w:cs="Times New Roman"/>
          <w:color w:val="000000" w:themeColor="text1"/>
        </w:rPr>
        <w:t>,</w:t>
      </w:r>
      <w:r w:rsidR="008A52C3" w:rsidRPr="00C4480C">
        <w:rPr>
          <w:rFonts w:ascii="Times New Roman" w:hAnsi="Times New Roman" w:cs="Times New Roman"/>
          <w:color w:val="000000" w:themeColor="text1"/>
        </w:rPr>
        <w:t xml:space="preserve"> </w:t>
      </w:r>
      <w:r w:rsidR="00E72D76" w:rsidRPr="00C4480C">
        <w:rPr>
          <w:rFonts w:ascii="Times New Roman" w:hAnsi="Times New Roman" w:cs="Times New Roman"/>
          <w:color w:val="000000" w:themeColor="text1"/>
        </w:rPr>
        <w:t xml:space="preserve">later work have </w:t>
      </w:r>
      <w:r w:rsidR="00332BB8">
        <w:rPr>
          <w:rFonts w:ascii="Times New Roman" w:hAnsi="Times New Roman" w:cs="Times New Roman"/>
          <w:color w:val="000000" w:themeColor="text1"/>
        </w:rPr>
        <w:t>relied</w:t>
      </w:r>
      <w:r w:rsidR="00E72D76" w:rsidRPr="00C4480C">
        <w:rPr>
          <w:rFonts w:ascii="Times New Roman" w:hAnsi="Times New Roman" w:cs="Times New Roman"/>
          <w:color w:val="000000" w:themeColor="text1"/>
        </w:rPr>
        <w:t xml:space="preserve"> on t</w:t>
      </w:r>
      <w:r w:rsidR="00FB69F8" w:rsidRPr="00C4480C">
        <w:rPr>
          <w:rFonts w:ascii="Times New Roman" w:hAnsi="Times New Roman" w:cs="Times New Roman"/>
          <w:color w:val="000000" w:themeColor="text1"/>
        </w:rPr>
        <w:t>w</w:t>
      </w:r>
      <w:r w:rsidR="00E72D76" w:rsidRPr="00C4480C">
        <w:rPr>
          <w:rFonts w:ascii="Times New Roman" w:hAnsi="Times New Roman" w:cs="Times New Roman"/>
          <w:color w:val="000000" w:themeColor="text1"/>
        </w:rPr>
        <w:t xml:space="preserve">o separate methodologies. </w:t>
      </w:r>
      <w:r w:rsidR="000705D0" w:rsidRPr="00C4480C">
        <w:rPr>
          <w:rFonts w:ascii="Times New Roman" w:hAnsi="Times New Roman" w:cs="Times New Roman"/>
          <w:color w:val="000000" w:themeColor="text1"/>
        </w:rPr>
        <w:t>The first strand</w:t>
      </w:r>
      <w:r w:rsidR="00E72D76" w:rsidRPr="00C4480C">
        <w:rPr>
          <w:rFonts w:ascii="Times New Roman" w:hAnsi="Times New Roman" w:cs="Times New Roman"/>
          <w:color w:val="000000" w:themeColor="text1"/>
        </w:rPr>
        <w:t xml:space="preserve"> </w:t>
      </w:r>
      <w:r w:rsidR="00E95399" w:rsidRPr="00C4480C">
        <w:rPr>
          <w:rFonts w:ascii="Times New Roman" w:hAnsi="Times New Roman" w:cs="Times New Roman"/>
          <w:color w:val="000000" w:themeColor="text1"/>
        </w:rPr>
        <w:t>uses</w:t>
      </w:r>
      <w:r w:rsidR="000705D0" w:rsidRPr="00C4480C">
        <w:rPr>
          <w:rFonts w:ascii="Times New Roman" w:hAnsi="Times New Roman" w:cs="Times New Roman"/>
          <w:color w:val="000000" w:themeColor="text1"/>
        </w:rPr>
        <w:t xml:space="preserve"> aggregate</w:t>
      </w:r>
      <w:r w:rsidR="00781F1F" w:rsidRPr="00C4480C">
        <w:rPr>
          <w:rFonts w:ascii="Times New Roman" w:hAnsi="Times New Roman" w:cs="Times New Roman"/>
          <w:color w:val="000000" w:themeColor="text1"/>
        </w:rPr>
        <w:t xml:space="preserve"> time series</w:t>
      </w:r>
      <w:r w:rsidR="000705D0" w:rsidRPr="00C4480C">
        <w:rPr>
          <w:rFonts w:ascii="Times New Roman" w:hAnsi="Times New Roman" w:cs="Times New Roman"/>
          <w:color w:val="000000" w:themeColor="text1"/>
        </w:rPr>
        <w:t xml:space="preserve"> data and </w:t>
      </w:r>
      <w:r w:rsidR="00E95399">
        <w:rPr>
          <w:rFonts w:ascii="Times New Roman" w:hAnsi="Times New Roman" w:cs="Times New Roman"/>
          <w:color w:val="000000" w:themeColor="text1"/>
        </w:rPr>
        <w:t>employ</w:t>
      </w:r>
      <w:r w:rsidR="00781F1F" w:rsidRPr="00C4480C">
        <w:rPr>
          <w:rFonts w:ascii="Times New Roman" w:hAnsi="Times New Roman" w:cs="Times New Roman"/>
          <w:color w:val="000000" w:themeColor="text1"/>
        </w:rPr>
        <w:t xml:space="preserve"> a </w:t>
      </w:r>
      <w:r w:rsidR="00781F1F" w:rsidRPr="003D4BA3">
        <w:rPr>
          <w:rFonts w:ascii="Times New Roman" w:hAnsi="Times New Roman" w:cs="Times New Roman"/>
          <w:i/>
          <w:iCs/>
          <w:color w:val="000000" w:themeColor="text1"/>
        </w:rPr>
        <w:t>mix</w:t>
      </w:r>
      <w:r w:rsidR="00781F1F" w:rsidRPr="00C4480C">
        <w:rPr>
          <w:rFonts w:ascii="Times New Roman" w:hAnsi="Times New Roman" w:cs="Times New Roman"/>
          <w:color w:val="000000" w:themeColor="text1"/>
        </w:rPr>
        <w:t xml:space="preserve"> variable, a</w:t>
      </w:r>
      <w:r w:rsidR="000705D0" w:rsidRPr="00C4480C">
        <w:rPr>
          <w:rFonts w:ascii="Times New Roman" w:hAnsi="Times New Roman" w:cs="Times New Roman"/>
          <w:color w:val="000000" w:themeColor="text1"/>
        </w:rPr>
        <w:t xml:space="preserve"> ratio of bank credit to the sum of bank and non-bank credi</w:t>
      </w:r>
      <w:r w:rsidR="00781F1F" w:rsidRPr="00C4480C">
        <w:rPr>
          <w:rFonts w:ascii="Times New Roman" w:hAnsi="Times New Roman" w:cs="Times New Roman"/>
          <w:color w:val="000000" w:themeColor="text1"/>
        </w:rPr>
        <w:t>t</w:t>
      </w:r>
      <w:r w:rsidR="00BA0CF6" w:rsidRPr="00C4480C">
        <w:rPr>
          <w:rFonts w:ascii="Times New Roman" w:hAnsi="Times New Roman" w:cs="Times New Roman"/>
          <w:color w:val="000000" w:themeColor="text1"/>
        </w:rPr>
        <w:t xml:space="preserve"> in VAR/VECM setting to identify loan supply changes arising from monetary policy shocks. </w:t>
      </w:r>
      <w:r w:rsidR="00540074" w:rsidRPr="00C4480C">
        <w:rPr>
          <w:rFonts w:ascii="Times New Roman" w:hAnsi="Times New Roman" w:cs="Times New Roman"/>
          <w:color w:val="000000" w:themeColor="text1"/>
        </w:rPr>
        <w:t xml:space="preserve">The significant response of </w:t>
      </w:r>
      <w:r w:rsidR="00B20AF6">
        <w:rPr>
          <w:rFonts w:ascii="Times New Roman" w:hAnsi="Times New Roman" w:cs="Times New Roman"/>
          <w:color w:val="000000" w:themeColor="text1"/>
        </w:rPr>
        <w:t xml:space="preserve">the </w:t>
      </w:r>
      <w:r w:rsidR="00B20AF6" w:rsidRPr="003D4BA3">
        <w:rPr>
          <w:rFonts w:ascii="Times New Roman" w:hAnsi="Times New Roman" w:cs="Times New Roman"/>
          <w:i/>
          <w:iCs/>
          <w:color w:val="000000" w:themeColor="text1"/>
        </w:rPr>
        <w:t>mix</w:t>
      </w:r>
      <w:r w:rsidR="00540074" w:rsidRPr="00C4480C">
        <w:rPr>
          <w:rFonts w:ascii="Times New Roman" w:hAnsi="Times New Roman" w:cs="Times New Roman"/>
          <w:color w:val="000000" w:themeColor="text1"/>
        </w:rPr>
        <w:t xml:space="preserve"> to monetary policy change indicates an operational BLC</w:t>
      </w:r>
      <w:r w:rsidR="002C3458" w:rsidRPr="00C4480C">
        <w:rPr>
          <w:rFonts w:ascii="Times New Roman" w:hAnsi="Times New Roman" w:cs="Times New Roman"/>
          <w:color w:val="000000" w:themeColor="text1"/>
        </w:rPr>
        <w:t xml:space="preserve"> </w:t>
      </w:r>
      <w:r w:rsidR="00B973AE" w:rsidRPr="00CB5416">
        <w:rPr>
          <w:rFonts w:ascii="Times New Roman" w:hAnsi="Times New Roman" w:cs="Times New Roman"/>
          <w:color w:val="000000" w:themeColor="text1"/>
        </w:rPr>
        <w:t>(</w:t>
      </w:r>
      <w:r w:rsidR="00540074" w:rsidRPr="00CB5416">
        <w:rPr>
          <w:rFonts w:ascii="Times New Roman" w:hAnsi="Times New Roman" w:cs="Times New Roman"/>
          <w:color w:val="000000" w:themeColor="text1"/>
        </w:rPr>
        <w:t>Kashyap</w:t>
      </w:r>
      <w:r w:rsidR="005D279A" w:rsidRPr="00CB5416">
        <w:rPr>
          <w:rFonts w:ascii="Times New Roman" w:hAnsi="Times New Roman" w:cs="Times New Roman"/>
          <w:color w:val="000000" w:themeColor="text1"/>
        </w:rPr>
        <w:t xml:space="preserve"> et al.</w:t>
      </w:r>
      <w:r w:rsidR="002C3458" w:rsidRPr="00CB5416">
        <w:rPr>
          <w:rFonts w:ascii="Times New Roman" w:hAnsi="Times New Roman" w:cs="Times New Roman"/>
          <w:color w:val="000000" w:themeColor="text1"/>
        </w:rPr>
        <w:t>,</w:t>
      </w:r>
      <w:r w:rsidR="00540074" w:rsidRPr="00CB5416">
        <w:rPr>
          <w:rFonts w:ascii="Times New Roman" w:hAnsi="Times New Roman" w:cs="Times New Roman"/>
          <w:color w:val="000000" w:themeColor="text1"/>
        </w:rPr>
        <w:t xml:space="preserve"> 199</w:t>
      </w:r>
      <w:r w:rsidR="00CB5416">
        <w:rPr>
          <w:rFonts w:ascii="Times New Roman" w:hAnsi="Times New Roman" w:cs="Times New Roman"/>
          <w:color w:val="000000" w:themeColor="text1"/>
        </w:rPr>
        <w:t>5</w:t>
      </w:r>
      <w:r w:rsidR="00540074" w:rsidRPr="00CB5416">
        <w:rPr>
          <w:rFonts w:ascii="Times New Roman" w:hAnsi="Times New Roman" w:cs="Times New Roman"/>
          <w:color w:val="000000" w:themeColor="text1"/>
        </w:rPr>
        <w:t>)</w:t>
      </w:r>
      <w:r w:rsidR="0021088C" w:rsidRPr="00CB5416">
        <w:rPr>
          <w:rFonts w:ascii="Times New Roman" w:hAnsi="Times New Roman" w:cs="Times New Roman"/>
          <w:color w:val="000000" w:themeColor="text1"/>
        </w:rPr>
        <w:t>.</w:t>
      </w:r>
      <w:r w:rsidR="008569E1" w:rsidRPr="00C4480C">
        <w:rPr>
          <w:rFonts w:ascii="Times New Roman" w:hAnsi="Times New Roman" w:cs="Times New Roman"/>
          <w:color w:val="000000" w:themeColor="text1"/>
        </w:rPr>
        <w:t xml:space="preserve"> </w:t>
      </w:r>
      <w:r w:rsidR="008A78E6" w:rsidRPr="00C4480C">
        <w:rPr>
          <w:rFonts w:ascii="Times New Roman" w:hAnsi="Times New Roman" w:cs="Times New Roman"/>
          <w:color w:val="000000" w:themeColor="text1"/>
        </w:rPr>
        <w:t>Employing</w:t>
      </w:r>
      <w:r w:rsidR="00E72D76" w:rsidRPr="00C4480C">
        <w:rPr>
          <w:rFonts w:ascii="Times New Roman" w:hAnsi="Times New Roman" w:cs="Times New Roman"/>
          <w:color w:val="000000" w:themeColor="text1"/>
        </w:rPr>
        <w:t xml:space="preserve"> </w:t>
      </w:r>
      <w:r w:rsidR="00FB69F8" w:rsidRPr="00C4480C">
        <w:rPr>
          <w:rFonts w:ascii="Times New Roman" w:hAnsi="Times New Roman" w:cs="Times New Roman"/>
          <w:color w:val="000000" w:themeColor="text1"/>
        </w:rPr>
        <w:t>this</w:t>
      </w:r>
      <w:r w:rsidR="00E72D76" w:rsidRPr="00C4480C">
        <w:rPr>
          <w:rFonts w:ascii="Times New Roman" w:hAnsi="Times New Roman" w:cs="Times New Roman"/>
          <w:color w:val="000000" w:themeColor="text1"/>
        </w:rPr>
        <w:t xml:space="preserve"> methodology</w:t>
      </w:r>
      <w:r w:rsidR="001F73E4">
        <w:rPr>
          <w:rFonts w:ascii="Times New Roman" w:hAnsi="Times New Roman" w:cs="Times New Roman"/>
          <w:color w:val="000000" w:themeColor="text1"/>
        </w:rPr>
        <w:t>,</w:t>
      </w:r>
      <w:r w:rsidR="0021088C" w:rsidRPr="00C4480C">
        <w:rPr>
          <w:rFonts w:ascii="Times New Roman" w:hAnsi="Times New Roman" w:cs="Times New Roman"/>
          <w:color w:val="000000" w:themeColor="text1"/>
        </w:rPr>
        <w:t xml:space="preserve"> </w:t>
      </w:r>
      <w:r w:rsidR="0021088C" w:rsidRPr="00CB5416">
        <w:rPr>
          <w:rFonts w:ascii="Times New Roman" w:hAnsi="Times New Roman" w:cs="Times New Roman"/>
          <w:color w:val="000000" w:themeColor="text1"/>
        </w:rPr>
        <w:t>Iacoviello</w:t>
      </w:r>
      <w:r w:rsidR="00E72D76" w:rsidRPr="00CB5416">
        <w:rPr>
          <w:rFonts w:ascii="Times New Roman" w:hAnsi="Times New Roman" w:cs="Times New Roman"/>
          <w:color w:val="000000" w:themeColor="text1"/>
        </w:rPr>
        <w:t xml:space="preserve"> </w:t>
      </w:r>
      <w:r w:rsidR="00875CB1" w:rsidRPr="00CB5416">
        <w:rPr>
          <w:rFonts w:ascii="Times New Roman" w:hAnsi="Times New Roman" w:cs="Times New Roman"/>
          <w:color w:val="000000" w:themeColor="text1"/>
        </w:rPr>
        <w:t xml:space="preserve">and Minette </w:t>
      </w:r>
      <w:r w:rsidR="0026663A" w:rsidRPr="00CB5416">
        <w:rPr>
          <w:rFonts w:ascii="Times New Roman" w:hAnsi="Times New Roman" w:cs="Times New Roman"/>
          <w:color w:val="000000" w:themeColor="text1"/>
        </w:rPr>
        <w:t>(2008)</w:t>
      </w:r>
      <w:r w:rsidR="00FB69F8" w:rsidRPr="00CB5416">
        <w:rPr>
          <w:rFonts w:ascii="Times New Roman" w:hAnsi="Times New Roman" w:cs="Times New Roman"/>
          <w:color w:val="000000" w:themeColor="text1"/>
        </w:rPr>
        <w:t xml:space="preserve"> and</w:t>
      </w:r>
      <w:r w:rsidR="0026663A" w:rsidRPr="00CB5416">
        <w:rPr>
          <w:rFonts w:ascii="Times New Roman" w:hAnsi="Times New Roman" w:cs="Times New Roman"/>
          <w:color w:val="000000" w:themeColor="text1"/>
        </w:rPr>
        <w:t xml:space="preserve"> Halvorsen </w:t>
      </w:r>
      <w:r w:rsidR="004D2463" w:rsidRPr="00CB5416">
        <w:rPr>
          <w:rFonts w:ascii="Times New Roman" w:hAnsi="Times New Roman" w:cs="Times New Roman"/>
          <w:color w:val="000000" w:themeColor="text1"/>
        </w:rPr>
        <w:t>and Jacobsen</w:t>
      </w:r>
      <w:r w:rsidR="0026663A" w:rsidRPr="00CB5416">
        <w:rPr>
          <w:rFonts w:ascii="Times New Roman" w:hAnsi="Times New Roman" w:cs="Times New Roman"/>
          <w:color w:val="000000" w:themeColor="text1"/>
        </w:rPr>
        <w:t xml:space="preserve"> (20</w:t>
      </w:r>
      <w:r w:rsidR="005D279A" w:rsidRPr="00CB5416">
        <w:rPr>
          <w:rFonts w:ascii="Times New Roman" w:hAnsi="Times New Roman" w:cs="Times New Roman"/>
          <w:color w:val="000000" w:themeColor="text1"/>
        </w:rPr>
        <w:t>14</w:t>
      </w:r>
      <w:r w:rsidR="0026663A" w:rsidRPr="00CB5416">
        <w:rPr>
          <w:rFonts w:ascii="Times New Roman" w:hAnsi="Times New Roman" w:cs="Times New Roman"/>
          <w:color w:val="000000" w:themeColor="text1"/>
        </w:rPr>
        <w:t>)</w:t>
      </w:r>
      <w:r w:rsidR="00C83B57" w:rsidRPr="00C4480C">
        <w:rPr>
          <w:rFonts w:ascii="Times New Roman" w:hAnsi="Times New Roman" w:cs="Times New Roman"/>
          <w:color w:val="000000" w:themeColor="text1"/>
        </w:rPr>
        <w:t xml:space="preserve"> </w:t>
      </w:r>
      <w:r w:rsidR="00E72D76" w:rsidRPr="00C4480C">
        <w:rPr>
          <w:rFonts w:ascii="Times New Roman" w:hAnsi="Times New Roman" w:cs="Times New Roman"/>
          <w:color w:val="000000" w:themeColor="text1"/>
        </w:rPr>
        <w:t xml:space="preserve">find </w:t>
      </w:r>
      <w:r w:rsidR="00FB69F8" w:rsidRPr="00C4480C">
        <w:rPr>
          <w:rFonts w:ascii="Times New Roman" w:hAnsi="Times New Roman" w:cs="Times New Roman"/>
          <w:color w:val="000000" w:themeColor="text1"/>
        </w:rPr>
        <w:t>an operational</w:t>
      </w:r>
      <w:r w:rsidR="000705D0" w:rsidRPr="00C4480C">
        <w:rPr>
          <w:rFonts w:ascii="Times New Roman" w:hAnsi="Times New Roman" w:cs="Times New Roman"/>
          <w:color w:val="000000" w:themeColor="text1"/>
        </w:rPr>
        <w:t xml:space="preserve"> </w:t>
      </w:r>
      <w:r w:rsidR="0022534C" w:rsidRPr="00C4480C">
        <w:rPr>
          <w:rFonts w:ascii="Times New Roman" w:hAnsi="Times New Roman" w:cs="Times New Roman"/>
          <w:color w:val="000000" w:themeColor="text1"/>
        </w:rPr>
        <w:t>BLC</w:t>
      </w:r>
      <w:r w:rsidR="00FB69F8" w:rsidRPr="00C4480C">
        <w:rPr>
          <w:rFonts w:ascii="Times New Roman" w:hAnsi="Times New Roman" w:cs="Times New Roman"/>
          <w:color w:val="000000" w:themeColor="text1"/>
        </w:rPr>
        <w:t xml:space="preserve"> in the</w:t>
      </w:r>
      <w:r w:rsidR="00C4480C" w:rsidRPr="00C4480C">
        <w:rPr>
          <w:rFonts w:ascii="Times New Roman" w:hAnsi="Times New Roman" w:cs="Times New Roman"/>
          <w:color w:val="000000" w:themeColor="text1"/>
        </w:rPr>
        <w:t xml:space="preserve"> UK</w:t>
      </w:r>
      <w:r w:rsidR="000705D0" w:rsidRPr="00C4480C">
        <w:rPr>
          <w:rFonts w:ascii="Times New Roman" w:hAnsi="Times New Roman" w:cs="Times New Roman"/>
          <w:color w:val="000000" w:themeColor="text1"/>
        </w:rPr>
        <w:t xml:space="preserve">. </w:t>
      </w:r>
      <w:r w:rsidR="000705D0" w:rsidRPr="00FA7ECA">
        <w:rPr>
          <w:rFonts w:ascii="Times New Roman" w:hAnsi="Times New Roman" w:cs="Times New Roman"/>
          <w:color w:val="000000" w:themeColor="text1"/>
        </w:rPr>
        <w:t xml:space="preserve">The second strand of empirical work </w:t>
      </w:r>
      <w:r w:rsidR="002960D3" w:rsidRPr="00FA7ECA">
        <w:rPr>
          <w:rFonts w:ascii="Times New Roman" w:hAnsi="Times New Roman" w:cs="Times New Roman"/>
          <w:color w:val="000000" w:themeColor="text1"/>
        </w:rPr>
        <w:t xml:space="preserve">on </w:t>
      </w:r>
      <w:r w:rsidR="004E3D54" w:rsidRPr="00FA7ECA">
        <w:rPr>
          <w:rFonts w:ascii="Times New Roman" w:hAnsi="Times New Roman" w:cs="Times New Roman"/>
          <w:color w:val="000000" w:themeColor="text1"/>
        </w:rPr>
        <w:t>BLC</w:t>
      </w:r>
      <w:r w:rsidR="000705D0" w:rsidRPr="00FA7ECA">
        <w:rPr>
          <w:rFonts w:ascii="Times New Roman" w:hAnsi="Times New Roman" w:cs="Times New Roman"/>
          <w:color w:val="000000" w:themeColor="text1"/>
        </w:rPr>
        <w:t xml:space="preserve"> utilizes bank specific </w:t>
      </w:r>
      <w:r w:rsidR="00FB3AF0" w:rsidRPr="00FA7ECA">
        <w:rPr>
          <w:rFonts w:ascii="Times New Roman" w:hAnsi="Times New Roman" w:cs="Times New Roman"/>
          <w:color w:val="000000" w:themeColor="text1"/>
        </w:rPr>
        <w:t>cross-sectional</w:t>
      </w:r>
      <w:r w:rsidR="000705D0" w:rsidRPr="00FA7ECA">
        <w:rPr>
          <w:rFonts w:ascii="Times New Roman" w:hAnsi="Times New Roman" w:cs="Times New Roman"/>
          <w:color w:val="000000" w:themeColor="text1"/>
        </w:rPr>
        <w:t xml:space="preserve"> heterogeneities </w:t>
      </w:r>
      <w:r w:rsidR="00B81DD1" w:rsidRPr="00FA7ECA">
        <w:rPr>
          <w:rFonts w:ascii="Times New Roman" w:hAnsi="Times New Roman" w:cs="Times New Roman"/>
          <w:color w:val="000000" w:themeColor="text1"/>
        </w:rPr>
        <w:t>(such as size, capitalization, liquidity</w:t>
      </w:r>
      <w:r w:rsidR="009C5103" w:rsidRPr="00FA7ECA">
        <w:rPr>
          <w:rFonts w:ascii="Times New Roman" w:hAnsi="Times New Roman" w:cs="Times New Roman"/>
          <w:color w:val="000000" w:themeColor="text1"/>
        </w:rPr>
        <w:t xml:space="preserve"> and securitization activity</w:t>
      </w:r>
      <w:r w:rsidR="00B81DD1" w:rsidRPr="00FA7ECA">
        <w:rPr>
          <w:rFonts w:ascii="Times New Roman" w:hAnsi="Times New Roman" w:cs="Times New Roman"/>
          <w:color w:val="000000" w:themeColor="text1"/>
        </w:rPr>
        <w:t xml:space="preserve">) </w:t>
      </w:r>
      <w:r w:rsidR="000705D0" w:rsidRPr="00FA7ECA">
        <w:rPr>
          <w:rFonts w:ascii="Times New Roman" w:hAnsi="Times New Roman" w:cs="Times New Roman"/>
          <w:color w:val="000000" w:themeColor="text1"/>
        </w:rPr>
        <w:t>to capture loan supply shifts arising from monetary policy changes</w:t>
      </w:r>
      <w:r w:rsidR="00AA6D47" w:rsidRPr="00FA7ECA">
        <w:rPr>
          <w:rFonts w:ascii="Times New Roman" w:hAnsi="Times New Roman" w:cs="Times New Roman"/>
          <w:color w:val="000000" w:themeColor="text1"/>
        </w:rPr>
        <w:t>.</w:t>
      </w:r>
      <w:r w:rsidR="00AA6D47" w:rsidRPr="00FA7ECA">
        <w:rPr>
          <w:rStyle w:val="FootnoteReference"/>
          <w:rFonts w:ascii="Times New Roman" w:hAnsi="Times New Roman" w:cs="Times New Roman"/>
          <w:color w:val="000000" w:themeColor="text1"/>
        </w:rPr>
        <w:footnoteReference w:id="4"/>
      </w:r>
      <w:r w:rsidR="00E50FB2" w:rsidRPr="00FA7ECA">
        <w:rPr>
          <w:rFonts w:ascii="Times New Roman" w:hAnsi="Times New Roman" w:cs="Times New Roman"/>
          <w:color w:val="000000" w:themeColor="text1"/>
        </w:rPr>
        <w:t xml:space="preserve"> </w:t>
      </w:r>
      <w:r w:rsidR="009A3577" w:rsidRPr="00FA7ECA">
        <w:rPr>
          <w:rFonts w:ascii="Times New Roman" w:hAnsi="Times New Roman" w:cs="Times New Roman"/>
          <w:color w:val="000000" w:themeColor="text1"/>
        </w:rPr>
        <w:t xml:space="preserve">There are two </w:t>
      </w:r>
      <w:r w:rsidR="000705D0" w:rsidRPr="00FA7ECA">
        <w:rPr>
          <w:rFonts w:ascii="Times New Roman" w:hAnsi="Times New Roman" w:cs="Times New Roman"/>
          <w:color w:val="000000" w:themeColor="text1"/>
        </w:rPr>
        <w:t xml:space="preserve">major </w:t>
      </w:r>
      <w:r w:rsidR="00FB3AF0" w:rsidRPr="00FA7ECA">
        <w:rPr>
          <w:rFonts w:ascii="Times New Roman" w:hAnsi="Times New Roman" w:cs="Times New Roman"/>
          <w:color w:val="000000" w:themeColor="text1"/>
        </w:rPr>
        <w:t>drawbacks</w:t>
      </w:r>
      <w:r w:rsidR="000705D0" w:rsidRPr="00FA7ECA">
        <w:rPr>
          <w:rFonts w:ascii="Times New Roman" w:hAnsi="Times New Roman" w:cs="Times New Roman"/>
          <w:color w:val="000000" w:themeColor="text1"/>
        </w:rPr>
        <w:t xml:space="preserve"> of</w:t>
      </w:r>
      <w:r w:rsidR="00C415F5" w:rsidRPr="00FA7ECA">
        <w:rPr>
          <w:rFonts w:ascii="Times New Roman" w:hAnsi="Times New Roman" w:cs="Times New Roman"/>
          <w:color w:val="000000" w:themeColor="text1"/>
        </w:rPr>
        <w:t xml:space="preserve"> using</w:t>
      </w:r>
      <w:r w:rsidR="000705D0" w:rsidRPr="00FA7ECA">
        <w:rPr>
          <w:rFonts w:ascii="Times New Roman" w:hAnsi="Times New Roman" w:cs="Times New Roman"/>
          <w:color w:val="000000" w:themeColor="text1"/>
        </w:rPr>
        <w:t xml:space="preserve"> bank level microeconomic data</w:t>
      </w:r>
      <w:r w:rsidR="00753D3E" w:rsidRPr="00FA7ECA">
        <w:rPr>
          <w:rFonts w:ascii="Times New Roman" w:hAnsi="Times New Roman" w:cs="Times New Roman"/>
          <w:color w:val="000000" w:themeColor="text1"/>
        </w:rPr>
        <w:t>:</w:t>
      </w:r>
      <w:r w:rsidR="009A3577" w:rsidRPr="00FA7ECA">
        <w:rPr>
          <w:rFonts w:ascii="Times New Roman" w:hAnsi="Times New Roman" w:cs="Times New Roman"/>
          <w:color w:val="000000" w:themeColor="text1"/>
        </w:rPr>
        <w:t xml:space="preserve"> </w:t>
      </w:r>
      <w:r w:rsidR="009C5103" w:rsidRPr="007C7C65">
        <w:rPr>
          <w:rFonts w:ascii="Times New Roman" w:hAnsi="Times New Roman" w:cs="Times New Roman"/>
          <w:i/>
          <w:iCs/>
          <w:color w:val="000000" w:themeColor="text1"/>
        </w:rPr>
        <w:t>firstly</w:t>
      </w:r>
      <w:r w:rsidR="009C5103" w:rsidRPr="00FA7ECA">
        <w:rPr>
          <w:rFonts w:ascii="Times New Roman" w:hAnsi="Times New Roman" w:cs="Times New Roman"/>
          <w:color w:val="000000" w:themeColor="text1"/>
        </w:rPr>
        <w:t>,</w:t>
      </w:r>
      <w:r w:rsidR="009A3577" w:rsidRPr="00FA7ECA">
        <w:rPr>
          <w:rFonts w:ascii="Times New Roman" w:hAnsi="Times New Roman" w:cs="Times New Roman"/>
          <w:color w:val="000000" w:themeColor="text1"/>
        </w:rPr>
        <w:t xml:space="preserve"> they do not</w:t>
      </w:r>
      <w:r w:rsidR="000705D0" w:rsidRPr="00FA7ECA">
        <w:rPr>
          <w:rFonts w:ascii="Times New Roman" w:hAnsi="Times New Roman" w:cs="Times New Roman"/>
          <w:color w:val="000000" w:themeColor="text1"/>
        </w:rPr>
        <w:t xml:space="preserve"> ascertain whether the </w:t>
      </w:r>
      <w:r w:rsidR="00C92C3B" w:rsidRPr="00FA7ECA">
        <w:rPr>
          <w:rFonts w:ascii="Times New Roman" w:hAnsi="Times New Roman" w:cs="Times New Roman"/>
          <w:color w:val="000000" w:themeColor="text1"/>
        </w:rPr>
        <w:t xml:space="preserve">shifts in loan supply </w:t>
      </w:r>
      <w:r w:rsidR="000705D0" w:rsidRPr="00FA7ECA">
        <w:rPr>
          <w:rFonts w:ascii="Times New Roman" w:hAnsi="Times New Roman" w:cs="Times New Roman"/>
          <w:color w:val="000000" w:themeColor="text1"/>
        </w:rPr>
        <w:t>affects aggregate economic activity</w:t>
      </w:r>
      <w:r w:rsidR="009A3577" w:rsidRPr="00FA7ECA">
        <w:rPr>
          <w:rFonts w:ascii="Times New Roman" w:hAnsi="Times New Roman" w:cs="Times New Roman"/>
          <w:color w:val="000000" w:themeColor="text1"/>
        </w:rPr>
        <w:t xml:space="preserve"> and </w:t>
      </w:r>
      <w:r w:rsidR="00C92C3B" w:rsidRPr="00B44419">
        <w:rPr>
          <w:rFonts w:ascii="Times New Roman" w:hAnsi="Times New Roman" w:cs="Times New Roman"/>
          <w:i/>
          <w:iCs/>
          <w:color w:val="000000" w:themeColor="text1"/>
        </w:rPr>
        <w:t>secondly</w:t>
      </w:r>
      <w:r w:rsidR="005F4803">
        <w:rPr>
          <w:rFonts w:ascii="Times New Roman" w:hAnsi="Times New Roman" w:cs="Times New Roman"/>
          <w:i/>
          <w:iCs/>
          <w:color w:val="000000" w:themeColor="text1"/>
        </w:rPr>
        <w:t>,</w:t>
      </w:r>
      <w:r w:rsidR="009A3577" w:rsidRPr="00FA7ECA">
        <w:rPr>
          <w:rFonts w:ascii="Times New Roman" w:hAnsi="Times New Roman" w:cs="Times New Roman"/>
          <w:color w:val="000000" w:themeColor="text1"/>
        </w:rPr>
        <w:t xml:space="preserve"> as</w:t>
      </w:r>
      <w:r w:rsidR="00C92C3B" w:rsidRPr="00FA7ECA">
        <w:rPr>
          <w:rFonts w:ascii="Times New Roman" w:hAnsi="Times New Roman" w:cs="Times New Roman"/>
          <w:color w:val="000000" w:themeColor="text1"/>
        </w:rPr>
        <w:t xml:space="preserve"> </w:t>
      </w:r>
      <w:r w:rsidR="000705D0" w:rsidRPr="00FA7ECA">
        <w:rPr>
          <w:rFonts w:ascii="Times New Roman" w:hAnsi="Times New Roman" w:cs="Times New Roman"/>
          <w:color w:val="000000" w:themeColor="text1"/>
        </w:rPr>
        <w:t>Generalized Method of Moments (GMM)</w:t>
      </w:r>
      <w:r w:rsidR="00AB053A" w:rsidRPr="00FA7ECA">
        <w:rPr>
          <w:rFonts w:ascii="Times New Roman" w:hAnsi="Times New Roman" w:cs="Times New Roman"/>
          <w:color w:val="000000" w:themeColor="text1"/>
        </w:rPr>
        <w:t xml:space="preserve"> estimators are</w:t>
      </w:r>
      <w:r w:rsidR="00C92C3B" w:rsidRPr="00FA7ECA">
        <w:rPr>
          <w:rFonts w:ascii="Times New Roman" w:hAnsi="Times New Roman" w:cs="Times New Roman"/>
          <w:color w:val="000000" w:themeColor="text1"/>
        </w:rPr>
        <w:t xml:space="preserve"> mainly</w:t>
      </w:r>
      <w:r w:rsidR="00AB053A" w:rsidRPr="00FA7ECA">
        <w:rPr>
          <w:rFonts w:ascii="Times New Roman" w:hAnsi="Times New Roman" w:cs="Times New Roman"/>
          <w:color w:val="000000" w:themeColor="text1"/>
        </w:rPr>
        <w:t xml:space="preserve"> employed</w:t>
      </w:r>
      <w:r w:rsidR="000705D0" w:rsidRPr="00FA7ECA">
        <w:rPr>
          <w:rFonts w:ascii="Times New Roman" w:hAnsi="Times New Roman" w:cs="Times New Roman"/>
          <w:color w:val="000000" w:themeColor="text1"/>
        </w:rPr>
        <w:t>,</w:t>
      </w:r>
      <w:r w:rsidR="009A3577" w:rsidRPr="00FA7ECA">
        <w:rPr>
          <w:rFonts w:ascii="Times New Roman" w:hAnsi="Times New Roman" w:cs="Times New Roman"/>
          <w:color w:val="000000" w:themeColor="text1"/>
        </w:rPr>
        <w:t xml:space="preserve"> </w:t>
      </w:r>
      <w:r w:rsidR="000705D0" w:rsidRPr="00FA7ECA">
        <w:rPr>
          <w:rFonts w:ascii="Times New Roman" w:hAnsi="Times New Roman" w:cs="Times New Roman"/>
          <w:color w:val="000000" w:themeColor="text1"/>
        </w:rPr>
        <w:t xml:space="preserve">biased results </w:t>
      </w:r>
      <w:r w:rsidR="00AB053A" w:rsidRPr="00FA7ECA">
        <w:rPr>
          <w:rFonts w:ascii="Times New Roman" w:hAnsi="Times New Roman" w:cs="Times New Roman"/>
          <w:color w:val="000000" w:themeColor="text1"/>
        </w:rPr>
        <w:t xml:space="preserve">are </w:t>
      </w:r>
      <w:r w:rsidR="00C92C3B" w:rsidRPr="00FA7ECA">
        <w:rPr>
          <w:rFonts w:ascii="Times New Roman" w:hAnsi="Times New Roman" w:cs="Times New Roman"/>
          <w:color w:val="000000" w:themeColor="text1"/>
        </w:rPr>
        <w:t>produced</w:t>
      </w:r>
      <w:r w:rsidR="00AB053A" w:rsidRPr="00FA7ECA">
        <w:rPr>
          <w:rFonts w:ascii="Times New Roman" w:hAnsi="Times New Roman" w:cs="Times New Roman"/>
          <w:color w:val="000000" w:themeColor="text1"/>
        </w:rPr>
        <w:t xml:space="preserve"> </w:t>
      </w:r>
      <w:r w:rsidR="000705D0" w:rsidRPr="00FA7ECA">
        <w:rPr>
          <w:rFonts w:ascii="Times New Roman" w:hAnsi="Times New Roman" w:cs="Times New Roman"/>
          <w:color w:val="000000" w:themeColor="text1"/>
        </w:rPr>
        <w:t>when there are unaccounted structural breaks in the d</w:t>
      </w:r>
      <w:r w:rsidR="00BE69F4" w:rsidRPr="00FA7ECA">
        <w:rPr>
          <w:rFonts w:ascii="Times New Roman" w:hAnsi="Times New Roman" w:cs="Times New Roman"/>
          <w:color w:val="000000" w:themeColor="text1"/>
        </w:rPr>
        <w:t>ata</w:t>
      </w:r>
      <w:r w:rsidR="00EB6286" w:rsidRPr="00FA7ECA">
        <w:rPr>
          <w:rFonts w:ascii="Times New Roman" w:hAnsi="Times New Roman" w:cs="Times New Roman"/>
          <w:color w:val="000000" w:themeColor="text1"/>
        </w:rPr>
        <w:t xml:space="preserve"> (Chowdhury </w:t>
      </w:r>
      <w:r w:rsidR="00FA73D0" w:rsidRPr="00FA7ECA">
        <w:rPr>
          <w:rFonts w:ascii="Times New Roman" w:hAnsi="Times New Roman" w:cs="Times New Roman"/>
          <w:color w:val="000000" w:themeColor="text1"/>
        </w:rPr>
        <w:t>and Russell</w:t>
      </w:r>
      <w:r w:rsidR="00FA7ECA">
        <w:rPr>
          <w:rFonts w:ascii="Times New Roman" w:hAnsi="Times New Roman" w:cs="Times New Roman"/>
          <w:color w:val="000000" w:themeColor="text1"/>
        </w:rPr>
        <w:t>,</w:t>
      </w:r>
      <w:r w:rsidR="00EB6286" w:rsidRPr="00FA7ECA">
        <w:rPr>
          <w:rFonts w:ascii="Times New Roman" w:hAnsi="Times New Roman" w:cs="Times New Roman"/>
          <w:color w:val="000000" w:themeColor="text1"/>
        </w:rPr>
        <w:t xml:space="preserve"> 2018</w:t>
      </w:r>
      <w:r w:rsidR="00FA7ECA">
        <w:rPr>
          <w:rFonts w:ascii="Times New Roman" w:hAnsi="Times New Roman" w:cs="Times New Roman"/>
          <w:color w:val="000000" w:themeColor="text1"/>
        </w:rPr>
        <w:t>)</w:t>
      </w:r>
      <w:r w:rsidR="00EB6286" w:rsidRPr="00FA7ECA">
        <w:rPr>
          <w:rFonts w:ascii="Times New Roman" w:hAnsi="Times New Roman" w:cs="Times New Roman"/>
          <w:color w:val="000000" w:themeColor="text1"/>
        </w:rPr>
        <w:t>.</w:t>
      </w:r>
      <w:r w:rsidR="005A39AD" w:rsidRPr="00FA7ECA">
        <w:rPr>
          <w:rFonts w:ascii="Times New Roman" w:hAnsi="Times New Roman" w:cs="Times New Roman"/>
          <w:color w:val="000000" w:themeColor="text1"/>
        </w:rPr>
        <w:t xml:space="preserve"> </w:t>
      </w:r>
    </w:p>
    <w:p w14:paraId="21E85CA6" w14:textId="51DBE7D7" w:rsidR="001D46CB" w:rsidRDefault="00613C31" w:rsidP="001F758D">
      <w:pPr>
        <w:spacing w:after="0" w:line="480" w:lineRule="auto"/>
        <w:ind w:right="90" w:firstLine="720"/>
        <w:jc w:val="both"/>
        <w:rPr>
          <w:rFonts w:ascii="Times New Roman" w:hAnsi="Times New Roman" w:cs="Times New Roman"/>
        </w:rPr>
      </w:pPr>
      <w:r w:rsidRPr="008E6E59">
        <w:rPr>
          <w:rFonts w:ascii="Times New Roman" w:hAnsi="Times New Roman" w:cs="Times New Roman"/>
          <w:noProof/>
        </w:rPr>
        <mc:AlternateContent>
          <mc:Choice Requires="aink">
            <w:drawing>
              <wp:anchor distT="0" distB="0" distL="114300" distR="114300" simplePos="0" relativeHeight="251659264" behindDoc="0" locked="0" layoutInCell="1" allowOverlap="1" wp14:anchorId="27E75C5D" wp14:editId="116E3364">
                <wp:simplePos x="0" y="0"/>
                <wp:positionH relativeFrom="column">
                  <wp:posOffset>6337946</wp:posOffset>
                </wp:positionH>
                <wp:positionV relativeFrom="paragraph">
                  <wp:posOffset>-153015</wp:posOffset>
                </wp:positionV>
                <wp:extent cx="360" cy="360"/>
                <wp:effectExtent l="0" t="0" r="0" b="0"/>
                <wp:wrapNone/>
                <wp:docPr id="17" name="Ink 1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oel="http://schemas.microsoft.com/office/2019/extlst">
            <w:drawing>
              <wp:anchor distT="0" distB="0" distL="114300" distR="114300" simplePos="0" relativeHeight="251659264" behindDoc="0" locked="0" layoutInCell="1" allowOverlap="1" wp14:anchorId="27E75C5D" wp14:editId="116E3364">
                <wp:simplePos x="0" y="0"/>
                <wp:positionH relativeFrom="column">
                  <wp:posOffset>6337946</wp:posOffset>
                </wp:positionH>
                <wp:positionV relativeFrom="paragraph">
                  <wp:posOffset>-153015</wp:posOffset>
                </wp:positionV>
                <wp:extent cx="360" cy="360"/>
                <wp:effectExtent l="0" t="0" r="0" b="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9"/>
                        <a:stretch>
                          <a:fillRect/>
                        </a:stretch>
                      </pic:blipFill>
                      <pic:spPr>
                        <a:xfrm>
                          <a:off x="0" y="0"/>
                          <a:ext cx="9000" cy="54000"/>
                        </a:xfrm>
                        <a:prstGeom prst="rect">
                          <a:avLst/>
                        </a:prstGeom>
                      </pic:spPr>
                    </pic:pic>
                  </a:graphicData>
                </a:graphic>
              </wp:anchor>
            </w:drawing>
          </mc:Fallback>
        </mc:AlternateContent>
      </w:r>
      <w:r w:rsidR="003905B5" w:rsidRPr="008E6E59">
        <w:rPr>
          <w:rFonts w:ascii="Times New Roman" w:hAnsi="Times New Roman" w:cs="Times New Roman"/>
        </w:rPr>
        <w:t>T</w:t>
      </w:r>
      <w:r w:rsidR="00C214AC" w:rsidRPr="008E6E59">
        <w:rPr>
          <w:rFonts w:ascii="Times New Roman" w:hAnsi="Times New Roman" w:cs="Times New Roman"/>
        </w:rPr>
        <w:t>he explicit recognition of</w:t>
      </w:r>
      <w:r w:rsidR="001778C5" w:rsidRPr="008E6E59">
        <w:rPr>
          <w:rFonts w:ascii="Times New Roman" w:hAnsi="Times New Roman" w:cs="Times New Roman"/>
        </w:rPr>
        <w:t xml:space="preserve"> the impact of</w:t>
      </w:r>
      <w:r w:rsidR="003905B5" w:rsidRPr="008E6E59">
        <w:rPr>
          <w:rFonts w:ascii="Times New Roman" w:hAnsi="Times New Roman" w:cs="Times New Roman"/>
        </w:rPr>
        <w:t xml:space="preserve"> non-line</w:t>
      </w:r>
      <w:r w:rsidR="00C214AC" w:rsidRPr="008E6E59">
        <w:rPr>
          <w:rFonts w:ascii="Times New Roman" w:hAnsi="Times New Roman" w:cs="Times New Roman"/>
        </w:rPr>
        <w:t>ar behaviour of econ</w:t>
      </w:r>
      <w:r w:rsidR="001778C5" w:rsidRPr="008E6E59">
        <w:rPr>
          <w:rFonts w:ascii="Times New Roman" w:hAnsi="Times New Roman" w:cs="Times New Roman"/>
        </w:rPr>
        <w:t xml:space="preserve">omic </w:t>
      </w:r>
      <w:r w:rsidR="00217F5A" w:rsidRPr="008E6E59">
        <w:rPr>
          <w:rFonts w:ascii="Times New Roman" w:hAnsi="Times New Roman" w:cs="Times New Roman"/>
        </w:rPr>
        <w:t>agents on</w:t>
      </w:r>
      <w:r w:rsidR="003905B5" w:rsidRPr="008E6E59">
        <w:rPr>
          <w:rFonts w:ascii="Times New Roman" w:hAnsi="Times New Roman" w:cs="Times New Roman"/>
        </w:rPr>
        <w:t xml:space="preserve"> the macro economy w</w:t>
      </w:r>
      <w:r w:rsidR="00292C89">
        <w:rPr>
          <w:rFonts w:ascii="Times New Roman" w:hAnsi="Times New Roman" w:cs="Times New Roman"/>
        </w:rPr>
        <w:t>ere</w:t>
      </w:r>
      <w:r w:rsidR="003905B5" w:rsidRPr="008E6E59">
        <w:rPr>
          <w:rFonts w:ascii="Times New Roman" w:hAnsi="Times New Roman" w:cs="Times New Roman"/>
        </w:rPr>
        <w:t xml:space="preserve"> formally incorporate</w:t>
      </w:r>
      <w:r w:rsidR="00AE11EA" w:rsidRPr="008E6E59">
        <w:rPr>
          <w:rFonts w:ascii="Times New Roman" w:hAnsi="Times New Roman" w:cs="Times New Roman"/>
        </w:rPr>
        <w:t xml:space="preserve">d in theoretical </w:t>
      </w:r>
      <w:r w:rsidR="0068421C" w:rsidRPr="008E6E59">
        <w:rPr>
          <w:rFonts w:ascii="Times New Roman" w:hAnsi="Times New Roman" w:cs="Times New Roman"/>
        </w:rPr>
        <w:t>models</w:t>
      </w:r>
      <w:r w:rsidR="001D07D0" w:rsidRPr="008E6E59">
        <w:rPr>
          <w:rFonts w:ascii="Times New Roman" w:hAnsi="Times New Roman" w:cs="Times New Roman"/>
        </w:rPr>
        <w:t xml:space="preserve"> proposed by</w:t>
      </w:r>
      <w:r w:rsidR="003905B5" w:rsidRPr="008E6E59">
        <w:rPr>
          <w:rFonts w:ascii="Times New Roman" w:hAnsi="Times New Roman" w:cs="Times New Roman"/>
        </w:rPr>
        <w:t xml:space="preserve"> Bernanke and Gertler (1989) and </w:t>
      </w:r>
      <w:r w:rsidR="00FF1162" w:rsidRPr="00CB5416">
        <w:rPr>
          <w:rFonts w:ascii="Times New Roman" w:hAnsi="Times New Roman" w:cs="Times New Roman"/>
        </w:rPr>
        <w:t xml:space="preserve">Kiyotaki </w:t>
      </w:r>
      <w:r w:rsidR="003905B5" w:rsidRPr="00CB5416">
        <w:rPr>
          <w:rFonts w:ascii="Times New Roman" w:hAnsi="Times New Roman" w:cs="Times New Roman"/>
        </w:rPr>
        <w:t>and Moore (1997)</w:t>
      </w:r>
      <w:r w:rsidR="003F07E8" w:rsidRPr="00CB5416">
        <w:rPr>
          <w:rFonts w:ascii="Times New Roman" w:hAnsi="Times New Roman" w:cs="Times New Roman"/>
        </w:rPr>
        <w:t>.</w:t>
      </w:r>
      <w:r w:rsidR="003F07E8" w:rsidRPr="008E6E59">
        <w:rPr>
          <w:rFonts w:ascii="Times New Roman" w:hAnsi="Times New Roman" w:cs="Times New Roman"/>
        </w:rPr>
        <w:t xml:space="preserve"> </w:t>
      </w:r>
      <w:r w:rsidR="00B35D43">
        <w:rPr>
          <w:rFonts w:ascii="Times New Roman" w:hAnsi="Times New Roman" w:cs="Times New Roman"/>
        </w:rPr>
        <w:t>B</w:t>
      </w:r>
      <w:r w:rsidR="003F07E8" w:rsidRPr="008E6E59">
        <w:rPr>
          <w:rFonts w:ascii="Times New Roman" w:hAnsi="Times New Roman" w:cs="Times New Roman"/>
        </w:rPr>
        <w:t xml:space="preserve">y incorporating </w:t>
      </w:r>
      <w:r w:rsidR="003905B5" w:rsidRPr="008E6E59">
        <w:rPr>
          <w:rFonts w:ascii="Times New Roman" w:hAnsi="Times New Roman" w:cs="Times New Roman"/>
        </w:rPr>
        <w:t>agency costs</w:t>
      </w:r>
      <w:r w:rsidR="00B35D43">
        <w:rPr>
          <w:rFonts w:ascii="Times New Roman" w:hAnsi="Times New Roman" w:cs="Times New Roman"/>
        </w:rPr>
        <w:t>, these models demonstrate</w:t>
      </w:r>
      <w:r w:rsidR="003F07E8" w:rsidRPr="008E6E59">
        <w:rPr>
          <w:rFonts w:ascii="Times New Roman" w:hAnsi="Times New Roman" w:cs="Times New Roman"/>
        </w:rPr>
        <w:t xml:space="preserve"> </w:t>
      </w:r>
      <w:r w:rsidR="003905B5" w:rsidRPr="008E6E59">
        <w:rPr>
          <w:rFonts w:ascii="Times New Roman" w:hAnsi="Times New Roman" w:cs="Times New Roman"/>
        </w:rPr>
        <w:t>when information asymmetry is high in financial markets agents behave as if they are financially</w:t>
      </w:r>
      <w:r w:rsidR="006F033F" w:rsidRPr="008E6E59">
        <w:rPr>
          <w:rFonts w:ascii="Times New Roman" w:hAnsi="Times New Roman" w:cs="Times New Roman"/>
        </w:rPr>
        <w:t xml:space="preserve"> constrained</w:t>
      </w:r>
      <w:r w:rsidR="008B700A" w:rsidRPr="008E6E59">
        <w:rPr>
          <w:rFonts w:ascii="Times New Roman" w:hAnsi="Times New Roman" w:cs="Times New Roman"/>
        </w:rPr>
        <w:t>,</w:t>
      </w:r>
      <w:r w:rsidR="004449FA" w:rsidRPr="008E6E59">
        <w:rPr>
          <w:rFonts w:ascii="Times New Roman" w:hAnsi="Times New Roman" w:cs="Times New Roman"/>
        </w:rPr>
        <w:t xml:space="preserve"> </w:t>
      </w:r>
      <w:r w:rsidR="00B35D43">
        <w:rPr>
          <w:rFonts w:ascii="Times New Roman" w:hAnsi="Times New Roman" w:cs="Times New Roman"/>
        </w:rPr>
        <w:t>a situation which</w:t>
      </w:r>
      <w:r w:rsidR="004449FA" w:rsidRPr="008E6E59">
        <w:rPr>
          <w:rFonts w:ascii="Times New Roman" w:hAnsi="Times New Roman" w:cs="Times New Roman"/>
        </w:rPr>
        <w:t xml:space="preserve"> is</w:t>
      </w:r>
      <w:r w:rsidR="0037174B" w:rsidRPr="008E6E59">
        <w:rPr>
          <w:rFonts w:ascii="Times New Roman" w:hAnsi="Times New Roman" w:cs="Times New Roman"/>
        </w:rPr>
        <w:t xml:space="preserve"> likely to be</w:t>
      </w:r>
      <w:r w:rsidR="003905B5" w:rsidRPr="008E6E59">
        <w:rPr>
          <w:rFonts w:ascii="Times New Roman" w:hAnsi="Times New Roman" w:cs="Times New Roman"/>
        </w:rPr>
        <w:t xml:space="preserve"> binding in reces</w:t>
      </w:r>
      <w:r w:rsidR="005330E1">
        <w:rPr>
          <w:rFonts w:ascii="Times New Roman" w:hAnsi="Times New Roman" w:cs="Times New Roman"/>
        </w:rPr>
        <w:t>sions</w:t>
      </w:r>
      <w:r w:rsidR="003905B5" w:rsidRPr="008E6E59">
        <w:rPr>
          <w:rFonts w:ascii="Times New Roman" w:hAnsi="Times New Roman" w:cs="Times New Roman"/>
        </w:rPr>
        <w:t xml:space="preserve"> rather than in expansionary phase</w:t>
      </w:r>
      <w:r w:rsidR="00DB39E3" w:rsidRPr="008E6E59">
        <w:rPr>
          <w:rFonts w:ascii="Times New Roman" w:hAnsi="Times New Roman" w:cs="Times New Roman"/>
        </w:rPr>
        <w:t>s</w:t>
      </w:r>
      <w:r w:rsidR="003905B5" w:rsidRPr="008E6E59">
        <w:rPr>
          <w:rFonts w:ascii="Times New Roman" w:hAnsi="Times New Roman" w:cs="Times New Roman"/>
        </w:rPr>
        <w:t xml:space="preserve">. As financial friction </w:t>
      </w:r>
      <w:r w:rsidR="002446FB" w:rsidRPr="008E6E59">
        <w:rPr>
          <w:rFonts w:ascii="Times New Roman" w:hAnsi="Times New Roman" w:cs="Times New Roman"/>
        </w:rPr>
        <w:t>varies</w:t>
      </w:r>
      <w:r w:rsidR="003905B5" w:rsidRPr="008E6E59">
        <w:rPr>
          <w:rFonts w:ascii="Times New Roman" w:hAnsi="Times New Roman" w:cs="Times New Roman"/>
        </w:rPr>
        <w:t xml:space="preserve"> over the business cycles,</w:t>
      </w:r>
      <w:r w:rsidR="00DC6FC1" w:rsidRPr="008E6E59">
        <w:rPr>
          <w:rFonts w:ascii="Times New Roman" w:hAnsi="Times New Roman" w:cs="Times New Roman"/>
        </w:rPr>
        <w:t xml:space="preserve"> it is typical to expect</w:t>
      </w:r>
      <w:r w:rsidR="003905B5" w:rsidRPr="008E6E59">
        <w:rPr>
          <w:rFonts w:ascii="Times New Roman" w:hAnsi="Times New Roman" w:cs="Times New Roman"/>
        </w:rPr>
        <w:t xml:space="preserve"> </w:t>
      </w:r>
      <w:r w:rsidR="006E25A6" w:rsidRPr="008E6E59">
        <w:rPr>
          <w:rFonts w:ascii="Times New Roman" w:hAnsi="Times New Roman" w:cs="Times New Roman"/>
        </w:rPr>
        <w:t xml:space="preserve">channels of </w:t>
      </w:r>
      <w:r w:rsidR="003905B5" w:rsidRPr="008E6E59">
        <w:rPr>
          <w:rFonts w:ascii="Times New Roman" w:hAnsi="Times New Roman" w:cs="Times New Roman"/>
        </w:rPr>
        <w:t xml:space="preserve">monetary </w:t>
      </w:r>
      <w:r w:rsidR="00DC6FC1" w:rsidRPr="008E6E59">
        <w:rPr>
          <w:rFonts w:ascii="Times New Roman" w:hAnsi="Times New Roman" w:cs="Times New Roman"/>
        </w:rPr>
        <w:t>transmission mechanism</w:t>
      </w:r>
      <w:r w:rsidR="003905B5" w:rsidRPr="008E6E59">
        <w:rPr>
          <w:rFonts w:ascii="Times New Roman" w:hAnsi="Times New Roman" w:cs="Times New Roman"/>
        </w:rPr>
        <w:t xml:space="preserve"> that are based on asym</w:t>
      </w:r>
      <w:r w:rsidR="00DC6FC1" w:rsidRPr="008E6E59">
        <w:rPr>
          <w:rFonts w:ascii="Times New Roman" w:hAnsi="Times New Roman" w:cs="Times New Roman"/>
        </w:rPr>
        <w:t>metric information</w:t>
      </w:r>
      <w:r w:rsidR="003905B5" w:rsidRPr="008E6E59">
        <w:rPr>
          <w:rFonts w:ascii="Times New Roman" w:hAnsi="Times New Roman" w:cs="Times New Roman"/>
        </w:rPr>
        <w:t>, s</w:t>
      </w:r>
      <w:r w:rsidR="00DC6FC1" w:rsidRPr="008E6E59">
        <w:rPr>
          <w:rFonts w:ascii="Times New Roman" w:hAnsi="Times New Roman" w:cs="Times New Roman"/>
        </w:rPr>
        <w:t xml:space="preserve">uch as </w:t>
      </w:r>
      <w:r w:rsidR="00F212B9" w:rsidRPr="008E6E59">
        <w:rPr>
          <w:rFonts w:ascii="Times New Roman" w:hAnsi="Times New Roman" w:cs="Times New Roman"/>
        </w:rPr>
        <w:t>the credit channel</w:t>
      </w:r>
      <w:r w:rsidR="00DC6FC1" w:rsidRPr="008E6E59">
        <w:rPr>
          <w:rFonts w:ascii="Times New Roman" w:hAnsi="Times New Roman" w:cs="Times New Roman"/>
        </w:rPr>
        <w:t xml:space="preserve"> </w:t>
      </w:r>
      <w:r w:rsidR="003905B5" w:rsidRPr="008E6E59">
        <w:rPr>
          <w:rFonts w:ascii="Times New Roman" w:hAnsi="Times New Roman" w:cs="Times New Roman"/>
        </w:rPr>
        <w:t>to</w:t>
      </w:r>
      <w:r w:rsidR="008B700A" w:rsidRPr="008E6E59">
        <w:rPr>
          <w:rFonts w:ascii="Times New Roman" w:hAnsi="Times New Roman" w:cs="Times New Roman"/>
        </w:rPr>
        <w:t xml:space="preserve"> also</w:t>
      </w:r>
      <w:r w:rsidR="003905B5" w:rsidRPr="008E6E59">
        <w:rPr>
          <w:rFonts w:ascii="Times New Roman" w:hAnsi="Times New Roman" w:cs="Times New Roman"/>
        </w:rPr>
        <w:t xml:space="preserve"> </w:t>
      </w:r>
      <w:r w:rsidR="008B700A" w:rsidRPr="008E6E59">
        <w:rPr>
          <w:rFonts w:ascii="Times New Roman" w:hAnsi="Times New Roman" w:cs="Times New Roman"/>
        </w:rPr>
        <w:t>fluctuate</w:t>
      </w:r>
      <w:r w:rsidR="003905B5" w:rsidRPr="008E6E59">
        <w:rPr>
          <w:rFonts w:ascii="Times New Roman" w:hAnsi="Times New Roman" w:cs="Times New Roman"/>
        </w:rPr>
        <w:t xml:space="preserve"> over the business cycle. </w:t>
      </w:r>
    </w:p>
    <w:p w14:paraId="5ABCB5F6" w14:textId="0A6339E2" w:rsidR="00167008" w:rsidRPr="00556547" w:rsidRDefault="0037486F" w:rsidP="001F758D">
      <w:pPr>
        <w:spacing w:after="0" w:line="480" w:lineRule="auto"/>
        <w:ind w:right="90" w:firstLine="720"/>
        <w:jc w:val="both"/>
        <w:rPr>
          <w:rFonts w:ascii="Times New Roman" w:hAnsi="Times New Roman" w:cs="Times New Roman"/>
          <w:color w:val="000000" w:themeColor="text1"/>
        </w:rPr>
      </w:pPr>
      <w:r w:rsidRPr="00556547">
        <w:rPr>
          <w:rFonts w:ascii="Times New Roman" w:hAnsi="Times New Roman" w:cs="Times New Roman"/>
          <w:color w:val="000000" w:themeColor="text1"/>
        </w:rPr>
        <w:lastRenderedPageBreak/>
        <w:t>Although substantial amount of</w:t>
      </w:r>
      <w:r w:rsidR="00A44717" w:rsidRPr="00556547">
        <w:rPr>
          <w:rFonts w:ascii="Times New Roman" w:hAnsi="Times New Roman" w:cs="Times New Roman"/>
          <w:color w:val="000000" w:themeColor="text1"/>
        </w:rPr>
        <w:t xml:space="preserve"> work</w:t>
      </w:r>
      <w:r w:rsidRPr="00556547">
        <w:rPr>
          <w:rFonts w:ascii="Times New Roman" w:hAnsi="Times New Roman" w:cs="Times New Roman"/>
          <w:color w:val="000000" w:themeColor="text1"/>
        </w:rPr>
        <w:t xml:space="preserve"> </w:t>
      </w:r>
      <w:r w:rsidR="001A29D9" w:rsidRPr="00556547">
        <w:rPr>
          <w:rFonts w:ascii="Times New Roman" w:hAnsi="Times New Roman" w:cs="Times New Roman"/>
          <w:color w:val="000000" w:themeColor="text1"/>
        </w:rPr>
        <w:t>ha</w:t>
      </w:r>
      <w:r w:rsidR="006B742C">
        <w:rPr>
          <w:rFonts w:ascii="Times New Roman" w:hAnsi="Times New Roman" w:cs="Times New Roman"/>
          <w:color w:val="000000" w:themeColor="text1"/>
        </w:rPr>
        <w:t>s</w:t>
      </w:r>
      <w:r w:rsidR="00A44717" w:rsidRPr="00556547">
        <w:rPr>
          <w:rFonts w:ascii="Times New Roman" w:hAnsi="Times New Roman" w:cs="Times New Roman"/>
          <w:color w:val="000000" w:themeColor="text1"/>
        </w:rPr>
        <w:t xml:space="preserve"> examin</w:t>
      </w:r>
      <w:r w:rsidRPr="00556547">
        <w:rPr>
          <w:rFonts w:ascii="Times New Roman" w:hAnsi="Times New Roman" w:cs="Times New Roman"/>
          <w:color w:val="000000" w:themeColor="text1"/>
        </w:rPr>
        <w:t>ed</w:t>
      </w:r>
      <w:r w:rsidR="00A44717" w:rsidRPr="00556547">
        <w:rPr>
          <w:rFonts w:ascii="Times New Roman" w:hAnsi="Times New Roman" w:cs="Times New Roman"/>
          <w:color w:val="000000" w:themeColor="text1"/>
        </w:rPr>
        <w:t xml:space="preserve"> the impact of monetary policy on output over the business cycle, research examining a specific monetary transmission channel is sparse</w:t>
      </w:r>
      <w:r w:rsidR="00467DD4">
        <w:rPr>
          <w:rFonts w:ascii="Times New Roman" w:hAnsi="Times New Roman" w:cs="Times New Roman"/>
          <w:color w:val="000000" w:themeColor="text1"/>
        </w:rPr>
        <w:t xml:space="preserve"> (f</w:t>
      </w:r>
      <w:r w:rsidR="00467DD4" w:rsidRPr="00467DD4">
        <w:rPr>
          <w:rFonts w:ascii="Times New Roman" w:hAnsi="Times New Roman" w:cs="Times New Roman"/>
        </w:rPr>
        <w:t xml:space="preserve">or </w:t>
      </w:r>
      <w:r w:rsidR="00467DD4">
        <w:rPr>
          <w:rFonts w:ascii="Times New Roman" w:hAnsi="Times New Roman" w:cs="Times New Roman"/>
        </w:rPr>
        <w:t xml:space="preserve">further work, </w:t>
      </w:r>
      <w:r w:rsidR="00467DD4" w:rsidRPr="00467DD4">
        <w:rPr>
          <w:rFonts w:ascii="Times New Roman" w:hAnsi="Times New Roman" w:cs="Times New Roman"/>
        </w:rPr>
        <w:t xml:space="preserve">see </w:t>
      </w:r>
      <w:r w:rsidR="00467DD4" w:rsidRPr="00467DD4">
        <w:rPr>
          <w:rFonts w:ascii="Times New Roman" w:hAnsi="Times New Roman" w:cs="Times New Roman"/>
          <w:color w:val="000000" w:themeColor="text1"/>
        </w:rPr>
        <w:t>Lo and Piger</w:t>
      </w:r>
      <w:r w:rsidR="00467DD4">
        <w:rPr>
          <w:rFonts w:ascii="Times New Roman" w:hAnsi="Times New Roman" w:cs="Times New Roman"/>
          <w:color w:val="000000" w:themeColor="text1"/>
        </w:rPr>
        <w:t xml:space="preserve">, </w:t>
      </w:r>
      <w:r w:rsidR="00467DD4" w:rsidRPr="00467DD4">
        <w:rPr>
          <w:rFonts w:ascii="Times New Roman" w:hAnsi="Times New Roman" w:cs="Times New Roman"/>
          <w:color w:val="000000" w:themeColor="text1"/>
        </w:rPr>
        <w:t>2003</w:t>
      </w:r>
      <w:r w:rsidR="00467DD4">
        <w:rPr>
          <w:rFonts w:ascii="Times New Roman" w:hAnsi="Times New Roman" w:cs="Times New Roman"/>
          <w:color w:val="000000" w:themeColor="text1"/>
        </w:rPr>
        <w:t>;</w:t>
      </w:r>
      <w:r w:rsidR="00467DD4" w:rsidRPr="00467DD4">
        <w:rPr>
          <w:rFonts w:ascii="Times New Roman" w:hAnsi="Times New Roman" w:cs="Times New Roman"/>
          <w:color w:val="000000" w:themeColor="text1"/>
        </w:rPr>
        <w:t xml:space="preserve"> Zheng</w:t>
      </w:r>
      <w:r w:rsidR="00467DD4">
        <w:rPr>
          <w:rFonts w:ascii="Times New Roman" w:hAnsi="Times New Roman" w:cs="Times New Roman"/>
          <w:color w:val="000000" w:themeColor="text1"/>
        </w:rPr>
        <w:t xml:space="preserve">, </w:t>
      </w:r>
      <w:r w:rsidR="00467DD4" w:rsidRPr="00467DD4">
        <w:rPr>
          <w:rFonts w:ascii="Times New Roman" w:hAnsi="Times New Roman" w:cs="Times New Roman"/>
          <w:color w:val="000000" w:themeColor="text1"/>
        </w:rPr>
        <w:t>2013</w:t>
      </w:r>
      <w:r w:rsidR="00467DD4">
        <w:rPr>
          <w:rFonts w:ascii="Times New Roman" w:hAnsi="Times New Roman" w:cs="Times New Roman"/>
          <w:color w:val="000000" w:themeColor="text1"/>
        </w:rPr>
        <w:t>;</w:t>
      </w:r>
      <w:r w:rsidR="00467DD4" w:rsidRPr="00467DD4">
        <w:rPr>
          <w:rFonts w:ascii="Times New Roman" w:hAnsi="Times New Roman" w:cs="Times New Roman"/>
          <w:color w:val="000000" w:themeColor="text1"/>
        </w:rPr>
        <w:t xml:space="preserve"> and Chen</w:t>
      </w:r>
      <w:r w:rsidR="00467DD4">
        <w:rPr>
          <w:rFonts w:ascii="Times New Roman" w:hAnsi="Times New Roman" w:cs="Times New Roman"/>
          <w:color w:val="000000" w:themeColor="text1"/>
        </w:rPr>
        <w:t xml:space="preserve">, </w:t>
      </w:r>
      <w:r w:rsidR="00467DD4" w:rsidRPr="00467DD4">
        <w:rPr>
          <w:rFonts w:ascii="Times New Roman" w:hAnsi="Times New Roman" w:cs="Times New Roman"/>
          <w:color w:val="000000" w:themeColor="text1"/>
        </w:rPr>
        <w:t>2007)</w:t>
      </w:r>
      <w:r w:rsidR="00A44717" w:rsidRPr="00556547">
        <w:rPr>
          <w:rFonts w:ascii="Times New Roman" w:hAnsi="Times New Roman" w:cs="Times New Roman"/>
          <w:color w:val="000000" w:themeColor="text1"/>
        </w:rPr>
        <w:t>. In the BLC literature most research assume the magnitude of</w:t>
      </w:r>
      <w:r w:rsidRPr="00556547">
        <w:rPr>
          <w:rFonts w:ascii="Times New Roman" w:hAnsi="Times New Roman" w:cs="Times New Roman"/>
          <w:color w:val="000000" w:themeColor="text1"/>
        </w:rPr>
        <w:t xml:space="preserve"> the</w:t>
      </w:r>
      <w:r w:rsidR="00A44717" w:rsidRPr="00556547">
        <w:rPr>
          <w:rFonts w:ascii="Times New Roman" w:hAnsi="Times New Roman" w:cs="Times New Roman"/>
          <w:color w:val="000000" w:themeColor="text1"/>
        </w:rPr>
        <w:t xml:space="preserve"> channel is identical over the business cycle and employ linear framework. Additionally, studies that look at this nonlinearity</w:t>
      </w:r>
      <w:r w:rsidR="001D46CB" w:rsidRPr="00556547">
        <w:rPr>
          <w:rFonts w:ascii="Times New Roman" w:hAnsi="Times New Roman" w:cs="Times New Roman"/>
          <w:color w:val="000000" w:themeColor="text1"/>
        </w:rPr>
        <w:t xml:space="preserve"> </w:t>
      </w:r>
      <w:r w:rsidR="00C35548" w:rsidRPr="00556547">
        <w:rPr>
          <w:rFonts w:ascii="Times New Roman" w:hAnsi="Times New Roman" w:cs="Times New Roman"/>
          <w:color w:val="000000" w:themeColor="text1"/>
        </w:rPr>
        <w:t>(e.g.,</w:t>
      </w:r>
      <w:r w:rsidR="005330E1" w:rsidRPr="00556547">
        <w:rPr>
          <w:rFonts w:ascii="Times New Roman" w:hAnsi="Times New Roman" w:cs="Times New Roman"/>
          <w:color w:val="000000" w:themeColor="text1"/>
        </w:rPr>
        <w:t xml:space="preserve"> </w:t>
      </w:r>
      <w:r w:rsidR="001D46CB" w:rsidRPr="00556547">
        <w:rPr>
          <w:rFonts w:ascii="Times New Roman" w:hAnsi="Times New Roman" w:cs="Times New Roman"/>
          <w:color w:val="000000" w:themeColor="text1"/>
        </w:rPr>
        <w:t xml:space="preserve">Salachas </w:t>
      </w:r>
      <w:r w:rsidR="001D46CB" w:rsidRPr="00556547">
        <w:rPr>
          <w:rFonts w:ascii="Times New Roman" w:hAnsi="Times New Roman" w:cs="Times New Roman"/>
          <w:i/>
          <w:iCs/>
          <w:color w:val="000000" w:themeColor="text1"/>
        </w:rPr>
        <w:t>et al</w:t>
      </w:r>
      <w:r w:rsidR="001D46CB" w:rsidRPr="00556547">
        <w:rPr>
          <w:rFonts w:ascii="Times New Roman" w:hAnsi="Times New Roman" w:cs="Times New Roman"/>
          <w:color w:val="000000" w:themeColor="text1"/>
        </w:rPr>
        <w:t>.</w:t>
      </w:r>
      <w:r w:rsidR="005330E1" w:rsidRPr="00556547">
        <w:rPr>
          <w:rFonts w:ascii="Times New Roman" w:hAnsi="Times New Roman" w:cs="Times New Roman"/>
          <w:color w:val="000000" w:themeColor="text1"/>
        </w:rPr>
        <w:t>,</w:t>
      </w:r>
      <w:r w:rsidR="00C35548" w:rsidRPr="00556547">
        <w:rPr>
          <w:rFonts w:ascii="Times New Roman" w:hAnsi="Times New Roman" w:cs="Times New Roman"/>
          <w:color w:val="000000" w:themeColor="text1"/>
        </w:rPr>
        <w:t xml:space="preserve"> </w:t>
      </w:r>
      <w:r w:rsidR="001D46CB" w:rsidRPr="00556547">
        <w:rPr>
          <w:rFonts w:ascii="Times New Roman" w:hAnsi="Times New Roman" w:cs="Times New Roman"/>
          <w:color w:val="000000" w:themeColor="text1"/>
        </w:rPr>
        <w:t>2017)</w:t>
      </w:r>
      <w:r w:rsidR="00A44717" w:rsidRPr="00556547">
        <w:rPr>
          <w:rFonts w:ascii="Times New Roman" w:hAnsi="Times New Roman" w:cs="Times New Roman"/>
          <w:color w:val="000000" w:themeColor="text1"/>
        </w:rPr>
        <w:t xml:space="preserve"> use bank level data and hence are fraught with the above-mentioned</w:t>
      </w:r>
      <w:r w:rsidR="00FA73D0" w:rsidRPr="00556547">
        <w:rPr>
          <w:rFonts w:ascii="Times New Roman" w:hAnsi="Times New Roman" w:cs="Times New Roman"/>
          <w:color w:val="000000" w:themeColor="text1"/>
        </w:rPr>
        <w:t xml:space="preserve"> </w:t>
      </w:r>
      <w:r w:rsidR="00B27A23" w:rsidRPr="00556547">
        <w:rPr>
          <w:rFonts w:ascii="Times New Roman" w:hAnsi="Times New Roman" w:cs="Times New Roman"/>
          <w:color w:val="000000" w:themeColor="text1"/>
        </w:rPr>
        <w:t>problems of the second strand</w:t>
      </w:r>
      <w:r w:rsidR="00A44717" w:rsidRPr="00556547">
        <w:rPr>
          <w:rFonts w:ascii="Times New Roman" w:hAnsi="Times New Roman" w:cs="Times New Roman"/>
          <w:color w:val="000000" w:themeColor="text1"/>
        </w:rPr>
        <w:t>. Furthermore,</w:t>
      </w:r>
      <w:r w:rsidR="00B27A23" w:rsidRPr="00556547">
        <w:rPr>
          <w:rFonts w:ascii="Times New Roman" w:hAnsi="Times New Roman" w:cs="Times New Roman"/>
          <w:color w:val="000000" w:themeColor="text1"/>
        </w:rPr>
        <w:t xml:space="preserve"> these studies </w:t>
      </w:r>
      <w:r w:rsidR="00344E98" w:rsidRPr="00556547">
        <w:rPr>
          <w:rFonts w:ascii="Times New Roman" w:hAnsi="Times New Roman" w:cs="Times New Roman"/>
          <w:color w:val="000000" w:themeColor="text1"/>
        </w:rPr>
        <w:t>classify</w:t>
      </w:r>
      <w:r w:rsidR="00B27A23" w:rsidRPr="00556547">
        <w:rPr>
          <w:rFonts w:ascii="Times New Roman" w:hAnsi="Times New Roman" w:cs="Times New Roman"/>
          <w:color w:val="000000" w:themeColor="text1"/>
        </w:rPr>
        <w:t xml:space="preserve"> recession </w:t>
      </w:r>
      <w:r w:rsidR="00344E98" w:rsidRPr="00556547">
        <w:rPr>
          <w:rFonts w:ascii="Times New Roman" w:hAnsi="Times New Roman" w:cs="Times New Roman"/>
          <w:color w:val="000000" w:themeColor="text1"/>
        </w:rPr>
        <w:t xml:space="preserve">dates exogenously, which may not be efficient when compared to endogenous procedures. </w:t>
      </w:r>
      <w:r w:rsidR="00C35548" w:rsidRPr="00556547">
        <w:rPr>
          <w:rFonts w:ascii="Times New Roman" w:hAnsi="Times New Roman" w:cs="Times New Roman"/>
          <w:color w:val="000000" w:themeColor="text1"/>
        </w:rPr>
        <w:t>Also</w:t>
      </w:r>
      <w:r w:rsidR="00344E98" w:rsidRPr="00556547">
        <w:rPr>
          <w:rFonts w:ascii="Times New Roman" w:hAnsi="Times New Roman" w:cs="Times New Roman"/>
          <w:color w:val="000000" w:themeColor="text1"/>
        </w:rPr>
        <w:t xml:space="preserve">, due to the unavailability </w:t>
      </w:r>
      <w:r w:rsidR="008651B7" w:rsidRPr="00556547">
        <w:rPr>
          <w:rFonts w:ascii="Times New Roman" w:hAnsi="Times New Roman" w:cs="Times New Roman"/>
          <w:color w:val="000000" w:themeColor="text1"/>
        </w:rPr>
        <w:t>of historical</w:t>
      </w:r>
      <w:r w:rsidR="00A44717" w:rsidRPr="00556547">
        <w:rPr>
          <w:rFonts w:ascii="Times New Roman" w:hAnsi="Times New Roman" w:cs="Times New Roman"/>
          <w:color w:val="000000" w:themeColor="text1"/>
        </w:rPr>
        <w:t xml:space="preserve"> bank level data</w:t>
      </w:r>
      <w:r w:rsidR="00344E98" w:rsidRPr="00556547">
        <w:rPr>
          <w:rFonts w:ascii="Times New Roman" w:hAnsi="Times New Roman" w:cs="Times New Roman"/>
          <w:color w:val="000000" w:themeColor="text1"/>
        </w:rPr>
        <w:t xml:space="preserve"> they</w:t>
      </w:r>
      <w:r w:rsidR="00A44717" w:rsidRPr="00556547">
        <w:rPr>
          <w:rFonts w:ascii="Times New Roman" w:hAnsi="Times New Roman" w:cs="Times New Roman"/>
          <w:color w:val="000000" w:themeColor="text1"/>
        </w:rPr>
        <w:t xml:space="preserve"> only </w:t>
      </w:r>
      <w:r w:rsidR="00344E98" w:rsidRPr="00556547">
        <w:rPr>
          <w:rFonts w:ascii="Times New Roman" w:hAnsi="Times New Roman" w:cs="Times New Roman"/>
          <w:color w:val="000000" w:themeColor="text1"/>
        </w:rPr>
        <w:t>focus on</w:t>
      </w:r>
      <w:r w:rsidR="00A44717" w:rsidRPr="00556547">
        <w:rPr>
          <w:rFonts w:ascii="Times New Roman" w:hAnsi="Times New Roman" w:cs="Times New Roman"/>
          <w:color w:val="000000" w:themeColor="text1"/>
        </w:rPr>
        <w:t xml:space="preserve"> recent </w:t>
      </w:r>
      <w:r w:rsidR="00FA73D0" w:rsidRPr="00556547">
        <w:rPr>
          <w:rFonts w:ascii="Times New Roman" w:hAnsi="Times New Roman" w:cs="Times New Roman"/>
          <w:color w:val="000000" w:themeColor="text1"/>
        </w:rPr>
        <w:t>episodes</w:t>
      </w:r>
      <w:r w:rsidR="00A44717" w:rsidRPr="00556547">
        <w:rPr>
          <w:rFonts w:ascii="Times New Roman" w:hAnsi="Times New Roman" w:cs="Times New Roman"/>
          <w:color w:val="000000" w:themeColor="text1"/>
        </w:rPr>
        <w:t>.</w:t>
      </w:r>
    </w:p>
    <w:p w14:paraId="32F520FB" w14:textId="393CEA4E" w:rsidR="001545DF" w:rsidRPr="008E6E59" w:rsidRDefault="003E1CD2" w:rsidP="001F758D">
      <w:pPr>
        <w:spacing w:after="0" w:line="480" w:lineRule="auto"/>
        <w:ind w:right="90" w:firstLine="720"/>
        <w:jc w:val="both"/>
        <w:rPr>
          <w:rFonts w:ascii="Times New Roman" w:hAnsi="Times New Roman" w:cs="Times New Roman"/>
          <w:color w:val="0D0D0D" w:themeColor="text1" w:themeTint="F2"/>
        </w:rPr>
      </w:pPr>
      <w:r>
        <w:rPr>
          <w:rFonts w:ascii="Times New Roman" w:hAnsi="Times New Roman" w:cs="Times New Roman"/>
          <w:color w:val="000000" w:themeColor="text1"/>
        </w:rPr>
        <w:t>By</w:t>
      </w:r>
      <w:r w:rsidR="0097246B" w:rsidRPr="00292C89">
        <w:rPr>
          <w:rFonts w:ascii="Times New Roman" w:hAnsi="Times New Roman" w:cs="Times New Roman"/>
          <w:color w:val="000000" w:themeColor="text1"/>
        </w:rPr>
        <w:t xml:space="preserve"> </w:t>
      </w:r>
      <w:r>
        <w:rPr>
          <w:rFonts w:ascii="Times New Roman" w:hAnsi="Times New Roman" w:cs="Times New Roman"/>
          <w:color w:val="000000" w:themeColor="text1"/>
        </w:rPr>
        <w:t>utilising</w:t>
      </w:r>
      <w:r w:rsidR="0097246B" w:rsidRPr="00292C89">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0097246B" w:rsidRPr="00292C89">
        <w:rPr>
          <w:rFonts w:ascii="Times New Roman" w:hAnsi="Times New Roman" w:cs="Times New Roman"/>
          <w:color w:val="000000" w:themeColor="text1"/>
        </w:rPr>
        <w:t xml:space="preserve"> </w:t>
      </w:r>
      <w:r w:rsidR="0097246B" w:rsidRPr="00E3565D">
        <w:rPr>
          <w:rFonts w:ascii="Times New Roman" w:hAnsi="Times New Roman" w:cs="Times New Roman"/>
          <w:i/>
          <w:iCs/>
          <w:color w:val="000000" w:themeColor="text1"/>
        </w:rPr>
        <w:t xml:space="preserve">mix </w:t>
      </w:r>
      <w:r w:rsidR="0097246B" w:rsidRPr="00292C89">
        <w:rPr>
          <w:rFonts w:ascii="Times New Roman" w:hAnsi="Times New Roman" w:cs="Times New Roman"/>
          <w:color w:val="000000" w:themeColor="text1"/>
        </w:rPr>
        <w:t>variable from the first strand</w:t>
      </w:r>
      <w:r w:rsidR="001A29D9" w:rsidRPr="00292C89">
        <w:rPr>
          <w:rFonts w:ascii="Times New Roman" w:hAnsi="Times New Roman" w:cs="Times New Roman"/>
          <w:color w:val="000000" w:themeColor="text1"/>
        </w:rPr>
        <w:t>,</w:t>
      </w:r>
      <w:r>
        <w:rPr>
          <w:rFonts w:ascii="Times New Roman" w:hAnsi="Times New Roman" w:cs="Times New Roman"/>
          <w:color w:val="000000" w:themeColor="text1"/>
        </w:rPr>
        <w:t xml:space="preserve"> our work</w:t>
      </w:r>
      <w:r w:rsidR="000E5295" w:rsidRPr="008E6E59">
        <w:rPr>
          <w:rFonts w:ascii="Times New Roman" w:hAnsi="Times New Roman" w:cs="Times New Roman"/>
          <w:color w:val="0D0D0D" w:themeColor="text1" w:themeTint="F2"/>
        </w:rPr>
        <w:t xml:space="preserve"> identif</w:t>
      </w:r>
      <w:r>
        <w:rPr>
          <w:rFonts w:ascii="Times New Roman" w:hAnsi="Times New Roman" w:cs="Times New Roman"/>
          <w:color w:val="0D0D0D" w:themeColor="text1" w:themeTint="F2"/>
        </w:rPr>
        <w:t>ies</w:t>
      </w:r>
      <w:r w:rsidR="000E5295" w:rsidRPr="008E6E59">
        <w:rPr>
          <w:rFonts w:ascii="Times New Roman" w:hAnsi="Times New Roman" w:cs="Times New Roman"/>
          <w:color w:val="0D0D0D" w:themeColor="text1" w:themeTint="F2"/>
        </w:rPr>
        <w:t xml:space="preserve"> and </w:t>
      </w:r>
      <w:r w:rsidR="00685D2F" w:rsidRPr="008E6E59">
        <w:rPr>
          <w:rFonts w:ascii="Times New Roman" w:hAnsi="Times New Roman" w:cs="Times New Roman"/>
          <w:color w:val="0D0D0D" w:themeColor="text1" w:themeTint="F2"/>
        </w:rPr>
        <w:t>concurrently</w:t>
      </w:r>
      <w:r w:rsidR="000E5295" w:rsidRPr="008E6E59">
        <w:rPr>
          <w:rFonts w:ascii="Times New Roman" w:hAnsi="Times New Roman" w:cs="Times New Roman"/>
          <w:color w:val="0D0D0D" w:themeColor="text1" w:themeTint="F2"/>
        </w:rPr>
        <w:t xml:space="preserve"> </w:t>
      </w:r>
      <w:r w:rsidR="00B763E9" w:rsidRPr="008E6E59">
        <w:rPr>
          <w:rFonts w:ascii="Times New Roman" w:hAnsi="Times New Roman" w:cs="Times New Roman"/>
          <w:color w:val="0D0D0D" w:themeColor="text1" w:themeTint="F2"/>
        </w:rPr>
        <w:t>compare</w:t>
      </w:r>
      <w:r>
        <w:rPr>
          <w:rFonts w:ascii="Times New Roman" w:hAnsi="Times New Roman" w:cs="Times New Roman"/>
          <w:color w:val="0D0D0D" w:themeColor="text1" w:themeTint="F2"/>
        </w:rPr>
        <w:t>s</w:t>
      </w:r>
      <w:r w:rsidR="00B763E9" w:rsidRPr="008E6E59">
        <w:rPr>
          <w:rFonts w:ascii="Times New Roman" w:hAnsi="Times New Roman" w:cs="Times New Roman"/>
          <w:color w:val="0D0D0D" w:themeColor="text1" w:themeTint="F2"/>
        </w:rPr>
        <w:t xml:space="preserve"> the magnitude of the BLC</w:t>
      </w:r>
      <w:r w:rsidR="00036CD8" w:rsidRPr="008E6E59">
        <w:rPr>
          <w:rFonts w:ascii="Times New Roman" w:hAnsi="Times New Roman" w:cs="Times New Roman"/>
          <w:color w:val="0D0D0D" w:themeColor="text1" w:themeTint="F2"/>
        </w:rPr>
        <w:t xml:space="preserve"> in the UK housing market</w:t>
      </w:r>
      <w:r w:rsidR="007F5E6E" w:rsidRPr="008E6E59">
        <w:rPr>
          <w:rFonts w:ascii="Times New Roman" w:hAnsi="Times New Roman" w:cs="Times New Roman"/>
          <w:color w:val="0D0D0D" w:themeColor="text1" w:themeTint="F2"/>
        </w:rPr>
        <w:t xml:space="preserve"> to analogous</w:t>
      </w:r>
      <w:r w:rsidR="00A06EF4" w:rsidRPr="008E6E59">
        <w:rPr>
          <w:rFonts w:ascii="Times New Roman" w:hAnsi="Times New Roman" w:cs="Times New Roman"/>
          <w:color w:val="0D0D0D" w:themeColor="text1" w:themeTint="F2"/>
        </w:rPr>
        <w:t xml:space="preserve"> expansionary</w:t>
      </w:r>
      <w:r w:rsidR="007F5E6E" w:rsidRPr="008E6E59">
        <w:rPr>
          <w:rFonts w:ascii="Times New Roman" w:hAnsi="Times New Roman" w:cs="Times New Roman"/>
          <w:color w:val="0D0D0D" w:themeColor="text1" w:themeTint="F2"/>
        </w:rPr>
        <w:t xml:space="preserve"> monetary policy shocks,</w:t>
      </w:r>
      <w:r w:rsidR="00007FCB" w:rsidRPr="008E6E59">
        <w:rPr>
          <w:rFonts w:ascii="Times New Roman" w:hAnsi="Times New Roman" w:cs="Times New Roman"/>
          <w:color w:val="0D0D0D" w:themeColor="text1" w:themeTint="F2"/>
        </w:rPr>
        <w:t xml:space="preserve"> during </w:t>
      </w:r>
      <w:r w:rsidR="00CA566C" w:rsidRPr="008E6E59">
        <w:rPr>
          <w:rFonts w:ascii="Times New Roman" w:hAnsi="Times New Roman" w:cs="Times New Roman"/>
          <w:color w:val="0D0D0D" w:themeColor="text1" w:themeTint="F2"/>
        </w:rPr>
        <w:t>boom</w:t>
      </w:r>
      <w:r w:rsidR="00326252" w:rsidRPr="008E6E59">
        <w:rPr>
          <w:rFonts w:ascii="Times New Roman" w:hAnsi="Times New Roman" w:cs="Times New Roman"/>
          <w:color w:val="0D0D0D" w:themeColor="text1" w:themeTint="F2"/>
        </w:rPr>
        <w:t xml:space="preserve"> and recessionary periods</w:t>
      </w:r>
      <w:r w:rsidR="00413A54" w:rsidRPr="008E6E59">
        <w:rPr>
          <w:rFonts w:ascii="Times New Roman" w:hAnsi="Times New Roman" w:cs="Times New Roman"/>
          <w:color w:val="0D0D0D" w:themeColor="text1" w:themeTint="F2"/>
        </w:rPr>
        <w:t>,</w:t>
      </w:r>
      <w:r w:rsidR="00121989" w:rsidRPr="008E6E59">
        <w:rPr>
          <w:rFonts w:ascii="Times New Roman" w:hAnsi="Times New Roman" w:cs="Times New Roman"/>
          <w:color w:val="0D0D0D" w:themeColor="text1" w:themeTint="F2"/>
        </w:rPr>
        <w:t xml:space="preserve"> </w:t>
      </w:r>
      <w:r w:rsidR="00C56EA0" w:rsidRPr="008E6E59">
        <w:rPr>
          <w:rFonts w:ascii="Times New Roman" w:hAnsi="Times New Roman" w:cs="Times New Roman"/>
          <w:color w:val="0D0D0D" w:themeColor="text1" w:themeTint="F2"/>
        </w:rPr>
        <w:t>over the period of 1973</w:t>
      </w:r>
      <w:r w:rsidR="00467DD4">
        <w:rPr>
          <w:rFonts w:ascii="Times New Roman" w:hAnsi="Times New Roman" w:cs="Times New Roman"/>
          <w:color w:val="0D0D0D" w:themeColor="text1" w:themeTint="F2"/>
        </w:rPr>
        <w:t xml:space="preserve"> quarter 1</w:t>
      </w:r>
      <w:r w:rsidR="00C56EA0" w:rsidRPr="008E6E59">
        <w:rPr>
          <w:rFonts w:ascii="Times New Roman" w:hAnsi="Times New Roman" w:cs="Times New Roman"/>
          <w:color w:val="0D0D0D" w:themeColor="text1" w:themeTint="F2"/>
        </w:rPr>
        <w:t xml:space="preserve"> to 2015</w:t>
      </w:r>
      <w:r w:rsidR="00467DD4">
        <w:rPr>
          <w:rFonts w:ascii="Times New Roman" w:hAnsi="Times New Roman" w:cs="Times New Roman"/>
          <w:color w:val="0D0D0D" w:themeColor="text1" w:themeTint="F2"/>
        </w:rPr>
        <w:t xml:space="preserve"> quarter </w:t>
      </w:r>
      <w:r w:rsidR="00C56EA0" w:rsidRPr="008E6E59">
        <w:rPr>
          <w:rFonts w:ascii="Times New Roman" w:hAnsi="Times New Roman" w:cs="Times New Roman"/>
          <w:color w:val="0D0D0D" w:themeColor="text1" w:themeTint="F2"/>
        </w:rPr>
        <w:t>4</w:t>
      </w:r>
      <w:r w:rsidR="005C20C7" w:rsidRPr="008E6E59">
        <w:rPr>
          <w:rFonts w:ascii="Times New Roman" w:hAnsi="Times New Roman" w:cs="Times New Roman"/>
          <w:color w:val="0D0D0D" w:themeColor="text1" w:themeTint="F2"/>
        </w:rPr>
        <w:t xml:space="preserve">. </w:t>
      </w:r>
      <w:r w:rsidR="00BE3BC9" w:rsidRPr="00AE75F1">
        <w:rPr>
          <w:rFonts w:ascii="Times New Roman" w:hAnsi="Times New Roman" w:cs="Times New Roman"/>
          <w:color w:val="000000" w:themeColor="text1"/>
        </w:rPr>
        <w:t>Th</w:t>
      </w:r>
      <w:r w:rsidR="005C20C7" w:rsidRPr="00AE75F1">
        <w:rPr>
          <w:rFonts w:ascii="Times New Roman" w:hAnsi="Times New Roman" w:cs="Times New Roman"/>
          <w:color w:val="000000" w:themeColor="text1"/>
        </w:rPr>
        <w:t>e work</w:t>
      </w:r>
      <w:r w:rsidR="00BE3BC9" w:rsidRPr="00AE75F1">
        <w:rPr>
          <w:rFonts w:ascii="Times New Roman" w:hAnsi="Times New Roman" w:cs="Times New Roman"/>
          <w:color w:val="000000" w:themeColor="text1"/>
        </w:rPr>
        <w:t xml:space="preserve"> is </w:t>
      </w:r>
      <w:r w:rsidR="005C20C7" w:rsidRPr="00AE75F1">
        <w:rPr>
          <w:rFonts w:ascii="Times New Roman" w:hAnsi="Times New Roman" w:cs="Times New Roman"/>
          <w:color w:val="000000" w:themeColor="text1"/>
        </w:rPr>
        <w:t>carried out</w:t>
      </w:r>
      <w:r w:rsidR="0097246B" w:rsidRPr="00AE75F1">
        <w:rPr>
          <w:rFonts w:ascii="Times New Roman" w:hAnsi="Times New Roman" w:cs="Times New Roman"/>
          <w:color w:val="000000" w:themeColor="text1"/>
        </w:rPr>
        <w:t xml:space="preserve"> </w:t>
      </w:r>
      <w:r w:rsidR="009D022F">
        <w:rPr>
          <w:rFonts w:ascii="Times New Roman" w:hAnsi="Times New Roman" w:cs="Times New Roman"/>
          <w:color w:val="000000" w:themeColor="text1"/>
        </w:rPr>
        <w:t>exploits</w:t>
      </w:r>
      <w:r w:rsidR="00EB50B1" w:rsidRPr="008E6E59">
        <w:rPr>
          <w:rFonts w:ascii="Times New Roman" w:hAnsi="Times New Roman" w:cs="Times New Roman"/>
          <w:color w:val="0D0D0D" w:themeColor="text1" w:themeTint="F2"/>
        </w:rPr>
        <w:t xml:space="preserve"> </w:t>
      </w:r>
      <w:r w:rsidR="00F53B3B" w:rsidRPr="008E6E59">
        <w:rPr>
          <w:rFonts w:ascii="Times New Roman" w:hAnsi="Times New Roman" w:cs="Times New Roman"/>
          <w:color w:val="0D0D0D" w:themeColor="text1" w:themeTint="F2"/>
        </w:rPr>
        <w:t>MSVAR</w:t>
      </w:r>
      <w:r w:rsidR="007B21D1" w:rsidRPr="008E6E59">
        <w:rPr>
          <w:rFonts w:ascii="Times New Roman" w:hAnsi="Times New Roman" w:cs="Times New Roman"/>
          <w:color w:val="0D0D0D" w:themeColor="text1" w:themeTint="F2"/>
        </w:rPr>
        <w:t xml:space="preserve"> model</w:t>
      </w:r>
      <w:r w:rsidR="00EB50B1" w:rsidRPr="008E6E59">
        <w:rPr>
          <w:rFonts w:ascii="Times New Roman" w:hAnsi="Times New Roman" w:cs="Times New Roman"/>
          <w:color w:val="0D0D0D" w:themeColor="text1" w:themeTint="F2"/>
        </w:rPr>
        <w:t xml:space="preserve"> and regime dependent impulse response</w:t>
      </w:r>
      <w:r w:rsidR="00281FAC" w:rsidRPr="008E6E59">
        <w:rPr>
          <w:rFonts w:ascii="Times New Roman" w:hAnsi="Times New Roman" w:cs="Times New Roman"/>
          <w:color w:val="0D0D0D" w:themeColor="text1" w:themeTint="F2"/>
        </w:rPr>
        <w:t xml:space="preserve"> functions (IRF)</w:t>
      </w:r>
      <w:r w:rsidR="009D022F">
        <w:rPr>
          <w:rFonts w:ascii="Times New Roman" w:hAnsi="Times New Roman" w:cs="Times New Roman"/>
          <w:color w:val="0D0D0D" w:themeColor="text1" w:themeTint="F2"/>
        </w:rPr>
        <w:t xml:space="preserve"> to help us understand asymmetric effects of shocks</w:t>
      </w:r>
      <w:r w:rsidR="00EB50B1" w:rsidRPr="008E6E59">
        <w:rPr>
          <w:rFonts w:ascii="Times New Roman" w:hAnsi="Times New Roman" w:cs="Times New Roman"/>
          <w:color w:val="0D0D0D" w:themeColor="text1" w:themeTint="F2"/>
        </w:rPr>
        <w:t>.</w:t>
      </w:r>
      <w:r w:rsidR="007B21D1" w:rsidRPr="008E6E59">
        <w:rPr>
          <w:rFonts w:ascii="Times New Roman" w:hAnsi="Times New Roman" w:cs="Times New Roman"/>
          <w:color w:val="0D0D0D" w:themeColor="text1" w:themeTint="F2"/>
        </w:rPr>
        <w:t xml:space="preserve"> </w:t>
      </w:r>
      <w:r w:rsidR="0023242C">
        <w:rPr>
          <w:rFonts w:ascii="Times New Roman" w:hAnsi="Times New Roman" w:cs="Times New Roman"/>
          <w:color w:val="0D0D0D" w:themeColor="text1" w:themeTint="F2"/>
        </w:rPr>
        <w:t>T</w:t>
      </w:r>
      <w:r w:rsidR="005C20C7" w:rsidRPr="008E6E59">
        <w:rPr>
          <w:rFonts w:ascii="Times New Roman" w:hAnsi="Times New Roman" w:cs="Times New Roman"/>
          <w:color w:val="0D0D0D" w:themeColor="text1" w:themeTint="F2"/>
        </w:rPr>
        <w:t xml:space="preserve">he benefit of using </w:t>
      </w:r>
      <w:r w:rsidR="005C20C7" w:rsidRPr="00CB5416">
        <w:rPr>
          <w:rFonts w:ascii="Times New Roman" w:hAnsi="Times New Roman" w:cs="Times New Roman"/>
          <w:color w:val="0D0D0D" w:themeColor="text1" w:themeTint="F2"/>
        </w:rPr>
        <w:t>MSVAR</w:t>
      </w:r>
      <w:r w:rsidR="003C0F10" w:rsidRPr="00CB5416">
        <w:rPr>
          <w:rFonts w:ascii="Times New Roman" w:hAnsi="Times New Roman" w:cs="Times New Roman"/>
          <w:color w:val="0D0D0D" w:themeColor="text1" w:themeTint="F2"/>
        </w:rPr>
        <w:t xml:space="preserve"> is</w:t>
      </w:r>
      <w:r w:rsidR="005C20C7" w:rsidRPr="00CB5416">
        <w:rPr>
          <w:rFonts w:ascii="Times New Roman" w:hAnsi="Times New Roman" w:cs="Times New Roman"/>
          <w:color w:val="0D0D0D" w:themeColor="text1" w:themeTint="F2"/>
        </w:rPr>
        <w:t xml:space="preserve"> th</w:t>
      </w:r>
      <w:r w:rsidR="00A7170C" w:rsidRPr="00CB5416">
        <w:rPr>
          <w:rFonts w:ascii="Times New Roman" w:hAnsi="Times New Roman" w:cs="Times New Roman"/>
          <w:color w:val="0D0D0D" w:themeColor="text1" w:themeTint="F2"/>
        </w:rPr>
        <w:t>at</w:t>
      </w:r>
      <w:r w:rsidR="009D022F">
        <w:rPr>
          <w:rFonts w:ascii="Times New Roman" w:hAnsi="Times New Roman" w:cs="Times New Roman"/>
          <w:color w:val="0D0D0D" w:themeColor="text1" w:themeTint="F2"/>
        </w:rPr>
        <w:t>,</w:t>
      </w:r>
      <w:r w:rsidR="00CB5416">
        <w:rPr>
          <w:rFonts w:ascii="Times New Roman" w:hAnsi="Times New Roman" w:cs="Times New Roman"/>
          <w:color w:val="0D0D0D" w:themeColor="text1" w:themeTint="F2"/>
        </w:rPr>
        <w:t xml:space="preserve"> </w:t>
      </w:r>
      <w:r w:rsidR="00B32B6D">
        <w:rPr>
          <w:rFonts w:ascii="Times New Roman" w:hAnsi="Times New Roman" w:cs="Times New Roman"/>
          <w:color w:val="0D0D0D" w:themeColor="text1" w:themeTint="F2"/>
        </w:rPr>
        <w:t xml:space="preserve">if modelled </w:t>
      </w:r>
      <w:r w:rsidR="009D022F">
        <w:rPr>
          <w:rFonts w:ascii="Times New Roman" w:hAnsi="Times New Roman" w:cs="Times New Roman"/>
          <w:color w:val="0D0D0D" w:themeColor="text1" w:themeTint="F2"/>
        </w:rPr>
        <w:t>accurately,</w:t>
      </w:r>
      <w:r w:rsidR="00B32B6D">
        <w:rPr>
          <w:rFonts w:ascii="Times New Roman" w:hAnsi="Times New Roman" w:cs="Times New Roman"/>
          <w:color w:val="0D0D0D" w:themeColor="text1" w:themeTint="F2"/>
        </w:rPr>
        <w:t xml:space="preserve"> the</w:t>
      </w:r>
      <w:r w:rsidR="005C20C7" w:rsidRPr="00CB5416">
        <w:rPr>
          <w:rFonts w:ascii="Times New Roman" w:hAnsi="Times New Roman" w:cs="Times New Roman"/>
          <w:color w:val="0D0D0D" w:themeColor="text1" w:themeTint="F2"/>
        </w:rPr>
        <w:t xml:space="preserve"> latent</w:t>
      </w:r>
      <w:r w:rsidR="00F62C11" w:rsidRPr="00CB5416">
        <w:rPr>
          <w:rFonts w:ascii="Times New Roman" w:hAnsi="Times New Roman" w:cs="Times New Roman"/>
          <w:color w:val="0D0D0D" w:themeColor="text1" w:themeTint="F2"/>
        </w:rPr>
        <w:t xml:space="preserve"> </w:t>
      </w:r>
      <w:r w:rsidR="0072139D">
        <w:rPr>
          <w:rFonts w:ascii="Times New Roman" w:hAnsi="Times New Roman" w:cs="Times New Roman"/>
          <w:color w:val="0D0D0D" w:themeColor="text1" w:themeTint="F2"/>
        </w:rPr>
        <w:t>M</w:t>
      </w:r>
      <w:r w:rsidR="00F62C11" w:rsidRPr="00CB5416">
        <w:rPr>
          <w:rFonts w:ascii="Times New Roman" w:hAnsi="Times New Roman" w:cs="Times New Roman"/>
          <w:color w:val="0D0D0D" w:themeColor="text1" w:themeTint="F2"/>
        </w:rPr>
        <w:t>arkov</w:t>
      </w:r>
      <w:r w:rsidR="00F62C11" w:rsidRPr="008E6E59">
        <w:rPr>
          <w:rFonts w:ascii="Times New Roman" w:hAnsi="Times New Roman" w:cs="Times New Roman"/>
          <w:color w:val="0D0D0D" w:themeColor="text1" w:themeTint="F2"/>
        </w:rPr>
        <w:t xml:space="preserve"> process </w:t>
      </w:r>
      <w:r w:rsidR="00B32B6D">
        <w:rPr>
          <w:rFonts w:ascii="Times New Roman" w:hAnsi="Times New Roman" w:cs="Times New Roman"/>
          <w:color w:val="0D0D0D" w:themeColor="text1" w:themeTint="F2"/>
        </w:rPr>
        <w:t>is</w:t>
      </w:r>
      <w:r w:rsidR="00F62C11" w:rsidRPr="008E6E59">
        <w:rPr>
          <w:rFonts w:ascii="Times New Roman" w:hAnsi="Times New Roman" w:cs="Times New Roman"/>
          <w:color w:val="0D0D0D" w:themeColor="text1" w:themeTint="F2"/>
        </w:rPr>
        <w:t xml:space="preserve"> able to identify the UK business cycle endogenously. </w:t>
      </w:r>
      <w:r w:rsidR="009D022F">
        <w:rPr>
          <w:rFonts w:ascii="Times New Roman" w:hAnsi="Times New Roman" w:cs="Times New Roman"/>
          <w:color w:val="0D0D0D" w:themeColor="text1" w:themeTint="F2"/>
        </w:rPr>
        <w:t>Our r</w:t>
      </w:r>
      <w:r w:rsidR="006A2B8C" w:rsidRPr="008E6E59">
        <w:rPr>
          <w:rFonts w:ascii="Times New Roman" w:hAnsi="Times New Roman" w:cs="Times New Roman"/>
          <w:color w:val="0D0D0D" w:themeColor="text1" w:themeTint="F2"/>
        </w:rPr>
        <w:t xml:space="preserve">esults </w:t>
      </w:r>
      <w:r w:rsidR="008B5906" w:rsidRPr="008E6E59">
        <w:rPr>
          <w:rFonts w:ascii="Times New Roman" w:hAnsi="Times New Roman" w:cs="Times New Roman"/>
          <w:color w:val="0D0D0D" w:themeColor="text1" w:themeTint="F2"/>
        </w:rPr>
        <w:t>indicate</w:t>
      </w:r>
      <w:r w:rsidR="009D022F">
        <w:rPr>
          <w:rFonts w:ascii="Times New Roman" w:hAnsi="Times New Roman" w:cs="Times New Roman"/>
          <w:color w:val="0D0D0D" w:themeColor="text1" w:themeTint="F2"/>
        </w:rPr>
        <w:t xml:space="preserve"> that the</w:t>
      </w:r>
      <w:r w:rsidR="0015587A" w:rsidRPr="008E6E59">
        <w:rPr>
          <w:rFonts w:ascii="Times New Roman" w:hAnsi="Times New Roman" w:cs="Times New Roman"/>
          <w:color w:val="0D0D0D" w:themeColor="text1" w:themeTint="F2"/>
        </w:rPr>
        <w:t xml:space="preserve"> magnitude of the </w:t>
      </w:r>
      <w:r w:rsidR="00A87160" w:rsidRPr="008E6E59">
        <w:rPr>
          <w:rFonts w:ascii="Times New Roman" w:hAnsi="Times New Roman" w:cs="Times New Roman"/>
          <w:color w:val="0D0D0D" w:themeColor="text1" w:themeTint="F2"/>
        </w:rPr>
        <w:t>BLC is</w:t>
      </w:r>
      <w:r w:rsidR="00EA3D00" w:rsidRPr="008E6E59">
        <w:rPr>
          <w:rFonts w:ascii="Times New Roman" w:hAnsi="Times New Roman" w:cs="Times New Roman"/>
          <w:color w:val="0D0D0D" w:themeColor="text1" w:themeTint="F2"/>
        </w:rPr>
        <w:t xml:space="preserve"> dependent on the </w:t>
      </w:r>
      <w:r w:rsidR="0015587A" w:rsidRPr="008E6E59">
        <w:rPr>
          <w:rFonts w:ascii="Times New Roman" w:hAnsi="Times New Roman" w:cs="Times New Roman"/>
          <w:color w:val="0D0D0D" w:themeColor="text1" w:themeTint="F2"/>
        </w:rPr>
        <w:t>state</w:t>
      </w:r>
      <w:r w:rsidR="00A43DC9" w:rsidRPr="008E6E59">
        <w:rPr>
          <w:rFonts w:ascii="Times New Roman" w:hAnsi="Times New Roman" w:cs="Times New Roman"/>
          <w:color w:val="0D0D0D" w:themeColor="text1" w:themeTint="F2"/>
        </w:rPr>
        <w:t xml:space="preserve"> of the economy;</w:t>
      </w:r>
      <w:r w:rsidR="0015587A" w:rsidRPr="008E6E59">
        <w:rPr>
          <w:rFonts w:ascii="Times New Roman" w:hAnsi="Times New Roman" w:cs="Times New Roman"/>
          <w:color w:val="0D0D0D" w:themeColor="text1" w:themeTint="F2"/>
        </w:rPr>
        <w:t xml:space="preserve"> </w:t>
      </w:r>
      <w:r w:rsidR="008F4426" w:rsidRPr="008E6E59">
        <w:rPr>
          <w:rFonts w:ascii="Times New Roman" w:hAnsi="Times New Roman" w:cs="Times New Roman"/>
          <w:color w:val="0D0D0D" w:themeColor="text1" w:themeTint="F2"/>
        </w:rPr>
        <w:t>a</w:t>
      </w:r>
      <w:r w:rsidR="00AC1378" w:rsidRPr="008E6E59">
        <w:rPr>
          <w:rFonts w:ascii="Times New Roman" w:hAnsi="Times New Roman" w:cs="Times New Roman"/>
          <w:color w:val="0D0D0D" w:themeColor="text1" w:themeTint="F2"/>
        </w:rPr>
        <w:t xml:space="preserve"> one standard </w:t>
      </w:r>
      <w:r w:rsidR="00B50622" w:rsidRPr="008E6E59">
        <w:rPr>
          <w:rFonts w:ascii="Times New Roman" w:hAnsi="Times New Roman" w:cs="Times New Roman"/>
          <w:color w:val="0D0D0D" w:themeColor="text1" w:themeTint="F2"/>
        </w:rPr>
        <w:t>deviation expansionary</w:t>
      </w:r>
      <w:r w:rsidR="00A87160" w:rsidRPr="008E6E59">
        <w:rPr>
          <w:rFonts w:ascii="Times New Roman" w:hAnsi="Times New Roman" w:cs="Times New Roman"/>
          <w:color w:val="0D0D0D" w:themeColor="text1" w:themeTint="F2"/>
        </w:rPr>
        <w:t xml:space="preserve"> monetary policy shock produces</w:t>
      </w:r>
      <w:r w:rsidR="00AC1378" w:rsidRPr="008E6E59">
        <w:rPr>
          <w:rFonts w:ascii="Times New Roman" w:hAnsi="Times New Roman" w:cs="Times New Roman"/>
          <w:color w:val="0D0D0D" w:themeColor="text1" w:themeTint="F2"/>
        </w:rPr>
        <w:t xml:space="preserve"> a </w:t>
      </w:r>
      <w:r w:rsidR="00B50622" w:rsidRPr="008E6E59">
        <w:rPr>
          <w:rFonts w:ascii="Times New Roman" w:hAnsi="Times New Roman" w:cs="Times New Roman"/>
          <w:color w:val="0D0D0D" w:themeColor="text1" w:themeTint="F2"/>
        </w:rPr>
        <w:t>significant BLC</w:t>
      </w:r>
      <w:r w:rsidR="00A87160" w:rsidRPr="008E6E59">
        <w:rPr>
          <w:rFonts w:ascii="Times New Roman" w:hAnsi="Times New Roman" w:cs="Times New Roman"/>
          <w:color w:val="0D0D0D" w:themeColor="text1" w:themeTint="F2"/>
        </w:rPr>
        <w:t xml:space="preserve"> only</w:t>
      </w:r>
      <w:r w:rsidR="007C1AC3" w:rsidRPr="008E6E59">
        <w:rPr>
          <w:rFonts w:ascii="Times New Roman" w:hAnsi="Times New Roman" w:cs="Times New Roman"/>
          <w:color w:val="0D0D0D" w:themeColor="text1" w:themeTint="F2"/>
        </w:rPr>
        <w:t xml:space="preserve"> </w:t>
      </w:r>
      <w:r w:rsidR="00AC1378" w:rsidRPr="008E6E59">
        <w:rPr>
          <w:rFonts w:ascii="Times New Roman" w:hAnsi="Times New Roman" w:cs="Times New Roman"/>
          <w:color w:val="0D0D0D" w:themeColor="text1" w:themeTint="F2"/>
        </w:rPr>
        <w:t>in normal economic times</w:t>
      </w:r>
      <w:r w:rsidR="00C7388C" w:rsidRPr="008E6E59">
        <w:rPr>
          <w:rFonts w:ascii="Times New Roman" w:hAnsi="Times New Roman" w:cs="Times New Roman"/>
          <w:color w:val="0D0D0D" w:themeColor="text1" w:themeTint="F2"/>
        </w:rPr>
        <w:t>.</w:t>
      </w:r>
      <w:r w:rsidR="00075F8C" w:rsidRPr="008E6E59">
        <w:rPr>
          <w:rFonts w:ascii="Times New Roman" w:hAnsi="Times New Roman" w:cs="Times New Roman"/>
          <w:color w:val="0D0D0D" w:themeColor="text1" w:themeTint="F2"/>
        </w:rPr>
        <w:t xml:space="preserve"> </w:t>
      </w:r>
      <w:r w:rsidR="00CE2BF3" w:rsidRPr="008E6E59">
        <w:rPr>
          <w:rFonts w:ascii="Times New Roman" w:hAnsi="Times New Roman" w:cs="Times New Roman"/>
          <w:color w:val="0D0D0D" w:themeColor="text1" w:themeTint="F2"/>
        </w:rPr>
        <w:t xml:space="preserve">Given </w:t>
      </w:r>
      <w:r w:rsidR="002B33CD" w:rsidRPr="008E6E59">
        <w:rPr>
          <w:rFonts w:ascii="Times New Roman" w:hAnsi="Times New Roman" w:cs="Times New Roman"/>
          <w:color w:val="0D0D0D" w:themeColor="text1" w:themeTint="F2"/>
        </w:rPr>
        <w:t>this finding</w:t>
      </w:r>
      <w:r w:rsidR="00562B56" w:rsidRPr="008E6E59">
        <w:rPr>
          <w:rFonts w:ascii="Times New Roman" w:hAnsi="Times New Roman" w:cs="Times New Roman"/>
          <w:color w:val="0D0D0D" w:themeColor="text1" w:themeTint="F2"/>
        </w:rPr>
        <w:t xml:space="preserve"> and the fact</w:t>
      </w:r>
      <w:r w:rsidR="000141AA">
        <w:rPr>
          <w:rFonts w:ascii="Times New Roman" w:hAnsi="Times New Roman" w:cs="Times New Roman"/>
          <w:color w:val="0D0D0D" w:themeColor="text1" w:themeTint="F2"/>
        </w:rPr>
        <w:t xml:space="preserve"> that</w:t>
      </w:r>
      <w:r w:rsidR="00562B56" w:rsidRPr="008E6E59">
        <w:rPr>
          <w:rFonts w:ascii="Times New Roman" w:hAnsi="Times New Roman" w:cs="Times New Roman"/>
          <w:color w:val="0D0D0D" w:themeColor="text1" w:themeTint="F2"/>
        </w:rPr>
        <w:t xml:space="preserve"> major central banks</w:t>
      </w:r>
      <w:r w:rsidR="005E3C17" w:rsidRPr="008E6E59">
        <w:rPr>
          <w:rFonts w:ascii="Times New Roman" w:hAnsi="Times New Roman" w:cs="Times New Roman"/>
          <w:color w:val="0D0D0D" w:themeColor="text1" w:themeTint="F2"/>
        </w:rPr>
        <w:t xml:space="preserve"> including the BoE</w:t>
      </w:r>
      <w:r w:rsidR="00562B56" w:rsidRPr="008E6E59">
        <w:rPr>
          <w:rFonts w:ascii="Times New Roman" w:hAnsi="Times New Roman" w:cs="Times New Roman"/>
          <w:color w:val="0D0D0D" w:themeColor="text1" w:themeTint="F2"/>
        </w:rPr>
        <w:t xml:space="preserve"> </w:t>
      </w:r>
      <w:r w:rsidR="00DF53C3" w:rsidRPr="008E6E59">
        <w:rPr>
          <w:rFonts w:ascii="Times New Roman" w:hAnsi="Times New Roman" w:cs="Times New Roman"/>
          <w:color w:val="0D0D0D" w:themeColor="text1" w:themeTint="F2"/>
        </w:rPr>
        <w:t>reduce</w:t>
      </w:r>
      <w:r w:rsidR="00D62E95" w:rsidRPr="008E6E59">
        <w:rPr>
          <w:rFonts w:ascii="Times New Roman" w:hAnsi="Times New Roman" w:cs="Times New Roman"/>
          <w:color w:val="0D0D0D" w:themeColor="text1" w:themeTint="F2"/>
        </w:rPr>
        <w:t>d</w:t>
      </w:r>
      <w:r w:rsidR="00DF53C3" w:rsidRPr="008E6E59">
        <w:rPr>
          <w:rFonts w:ascii="Times New Roman" w:hAnsi="Times New Roman" w:cs="Times New Roman"/>
          <w:color w:val="0D0D0D" w:themeColor="text1" w:themeTint="F2"/>
        </w:rPr>
        <w:t xml:space="preserve"> </w:t>
      </w:r>
      <w:r w:rsidR="00AD26FA" w:rsidRPr="008E6E59">
        <w:rPr>
          <w:rFonts w:ascii="Times New Roman" w:hAnsi="Times New Roman" w:cs="Times New Roman"/>
          <w:color w:val="0D0D0D" w:themeColor="text1" w:themeTint="F2"/>
        </w:rPr>
        <w:t>policy</w:t>
      </w:r>
      <w:r w:rsidR="00562B56" w:rsidRPr="008E6E59">
        <w:rPr>
          <w:rFonts w:ascii="Times New Roman" w:hAnsi="Times New Roman" w:cs="Times New Roman"/>
          <w:color w:val="0D0D0D" w:themeColor="text1" w:themeTint="F2"/>
        </w:rPr>
        <w:t xml:space="preserve"> rates sharply in the</w:t>
      </w:r>
      <w:r w:rsidR="00BE3F02" w:rsidRPr="008E6E59">
        <w:rPr>
          <w:rFonts w:ascii="Times New Roman" w:hAnsi="Times New Roman" w:cs="Times New Roman"/>
          <w:color w:val="0D0D0D" w:themeColor="text1" w:themeTint="F2"/>
        </w:rPr>
        <w:t xml:space="preserve"> 2008-2010</w:t>
      </w:r>
      <w:r w:rsidR="00562B56" w:rsidRPr="008E6E59">
        <w:rPr>
          <w:rFonts w:ascii="Times New Roman" w:hAnsi="Times New Roman" w:cs="Times New Roman"/>
          <w:color w:val="0D0D0D" w:themeColor="text1" w:themeTint="F2"/>
        </w:rPr>
        <w:t xml:space="preserve"> crisis</w:t>
      </w:r>
      <w:r w:rsidR="005E3C17" w:rsidRPr="008E6E59">
        <w:rPr>
          <w:rFonts w:ascii="Times New Roman" w:hAnsi="Times New Roman" w:cs="Times New Roman"/>
          <w:color w:val="0D0D0D" w:themeColor="text1" w:themeTint="F2"/>
        </w:rPr>
        <w:t xml:space="preserve"> (relative to previous</w:t>
      </w:r>
      <w:r w:rsidR="000C64C5" w:rsidRPr="008E6E59">
        <w:rPr>
          <w:rFonts w:ascii="Times New Roman" w:hAnsi="Times New Roman" w:cs="Times New Roman"/>
          <w:color w:val="0D0D0D" w:themeColor="text1" w:themeTint="F2"/>
        </w:rPr>
        <w:t xml:space="preserve"> recessions)</w:t>
      </w:r>
      <w:r w:rsidR="00562B56" w:rsidRPr="008E6E59">
        <w:rPr>
          <w:rFonts w:ascii="Times New Roman" w:hAnsi="Times New Roman" w:cs="Times New Roman"/>
          <w:color w:val="0D0D0D" w:themeColor="text1" w:themeTint="F2"/>
        </w:rPr>
        <w:t xml:space="preserve">, </w:t>
      </w:r>
      <w:r w:rsidR="003C2A98" w:rsidRPr="008E6E59">
        <w:rPr>
          <w:rFonts w:ascii="Times New Roman" w:hAnsi="Times New Roman" w:cs="Times New Roman"/>
          <w:color w:val="0D0D0D" w:themeColor="text1" w:themeTint="F2"/>
        </w:rPr>
        <w:t>persuades us to examine</w:t>
      </w:r>
      <w:r w:rsidR="00D176CC" w:rsidRPr="008E6E59">
        <w:rPr>
          <w:rFonts w:ascii="Times New Roman" w:hAnsi="Times New Roman" w:cs="Times New Roman"/>
          <w:color w:val="0D0D0D" w:themeColor="text1" w:themeTint="F2"/>
        </w:rPr>
        <w:t xml:space="preserve"> whether </w:t>
      </w:r>
      <w:r w:rsidR="004F785F" w:rsidRPr="008E6E59">
        <w:rPr>
          <w:rFonts w:ascii="Times New Roman" w:hAnsi="Times New Roman" w:cs="Times New Roman"/>
          <w:color w:val="0D0D0D" w:themeColor="text1" w:themeTint="F2"/>
        </w:rPr>
        <w:t>larger</w:t>
      </w:r>
      <w:r w:rsidR="009F1FBA" w:rsidRPr="008E6E59">
        <w:rPr>
          <w:rFonts w:ascii="Times New Roman" w:hAnsi="Times New Roman" w:cs="Times New Roman"/>
          <w:color w:val="0D0D0D" w:themeColor="text1" w:themeTint="F2"/>
        </w:rPr>
        <w:t xml:space="preserve"> cuts in</w:t>
      </w:r>
      <w:r w:rsidR="00CE3536" w:rsidRPr="008E6E59">
        <w:rPr>
          <w:rFonts w:ascii="Times New Roman" w:hAnsi="Times New Roman" w:cs="Times New Roman"/>
          <w:color w:val="0D0D0D" w:themeColor="text1" w:themeTint="F2"/>
        </w:rPr>
        <w:t xml:space="preserve"> policy</w:t>
      </w:r>
      <w:r w:rsidR="00CA6D22" w:rsidRPr="008E6E59">
        <w:rPr>
          <w:rFonts w:ascii="Times New Roman" w:hAnsi="Times New Roman" w:cs="Times New Roman"/>
          <w:color w:val="0D0D0D" w:themeColor="text1" w:themeTint="F2"/>
        </w:rPr>
        <w:t xml:space="preserve"> rates</w:t>
      </w:r>
      <w:r w:rsidR="00562B56" w:rsidRPr="008E6E59">
        <w:rPr>
          <w:rFonts w:ascii="Times New Roman" w:hAnsi="Times New Roman" w:cs="Times New Roman"/>
          <w:color w:val="0D0D0D" w:themeColor="text1" w:themeTint="F2"/>
        </w:rPr>
        <w:t xml:space="preserve"> stimulated </w:t>
      </w:r>
      <w:r w:rsidR="00AA1781" w:rsidRPr="008E6E59">
        <w:rPr>
          <w:rFonts w:ascii="Times New Roman" w:hAnsi="Times New Roman" w:cs="Times New Roman"/>
          <w:color w:val="0D0D0D" w:themeColor="text1" w:themeTint="F2"/>
        </w:rPr>
        <w:t>mortgage lending</w:t>
      </w:r>
      <w:r w:rsidR="00562B56" w:rsidRPr="008E6E59">
        <w:rPr>
          <w:rFonts w:ascii="Times New Roman" w:hAnsi="Times New Roman" w:cs="Times New Roman"/>
          <w:color w:val="0D0D0D" w:themeColor="text1" w:themeTint="F2"/>
        </w:rPr>
        <w:t xml:space="preserve"> </w:t>
      </w:r>
      <w:r w:rsidR="00AA1781" w:rsidRPr="008E6E59">
        <w:rPr>
          <w:rFonts w:ascii="Times New Roman" w:hAnsi="Times New Roman" w:cs="Times New Roman"/>
          <w:color w:val="0D0D0D" w:themeColor="text1" w:themeTint="F2"/>
        </w:rPr>
        <w:t xml:space="preserve">and </w:t>
      </w:r>
      <w:r w:rsidR="004F785F" w:rsidRPr="008E6E59">
        <w:rPr>
          <w:rFonts w:ascii="Times New Roman" w:hAnsi="Times New Roman" w:cs="Times New Roman"/>
          <w:color w:val="0D0D0D" w:themeColor="text1" w:themeTint="F2"/>
        </w:rPr>
        <w:t>by doing so</w:t>
      </w:r>
      <w:r w:rsidR="00AA1781" w:rsidRPr="008E6E59">
        <w:rPr>
          <w:rFonts w:ascii="Times New Roman" w:hAnsi="Times New Roman" w:cs="Times New Roman"/>
          <w:color w:val="0D0D0D" w:themeColor="text1" w:themeTint="F2"/>
        </w:rPr>
        <w:t xml:space="preserve"> the impact</w:t>
      </w:r>
      <w:r w:rsidR="00BE059C" w:rsidRPr="008E6E59">
        <w:rPr>
          <w:rFonts w:ascii="Times New Roman" w:hAnsi="Times New Roman" w:cs="Times New Roman"/>
          <w:color w:val="0D0D0D" w:themeColor="text1" w:themeTint="F2"/>
        </w:rPr>
        <w:t xml:space="preserve"> of dissimilar</w:t>
      </w:r>
      <w:r w:rsidR="00AA1781" w:rsidRPr="008E6E59">
        <w:rPr>
          <w:rFonts w:ascii="Times New Roman" w:hAnsi="Times New Roman" w:cs="Times New Roman"/>
          <w:color w:val="0D0D0D" w:themeColor="text1" w:themeTint="F2"/>
        </w:rPr>
        <w:t xml:space="preserve"> expansionary </w:t>
      </w:r>
      <w:r w:rsidR="00BE059C" w:rsidRPr="008E6E59">
        <w:rPr>
          <w:rFonts w:ascii="Times New Roman" w:hAnsi="Times New Roman" w:cs="Times New Roman"/>
          <w:color w:val="0D0D0D" w:themeColor="text1" w:themeTint="F2"/>
        </w:rPr>
        <w:t>monetary policy shocks on mortgage lending during crisis period</w:t>
      </w:r>
      <w:r w:rsidR="004F785F" w:rsidRPr="008E6E59">
        <w:rPr>
          <w:rFonts w:ascii="Times New Roman" w:hAnsi="Times New Roman" w:cs="Times New Roman"/>
          <w:color w:val="0D0D0D" w:themeColor="text1" w:themeTint="F2"/>
        </w:rPr>
        <w:t xml:space="preserve"> is explored</w:t>
      </w:r>
      <w:r w:rsidR="00CE3536" w:rsidRPr="008E6E59">
        <w:rPr>
          <w:rFonts w:ascii="Times New Roman" w:hAnsi="Times New Roman" w:cs="Times New Roman"/>
          <w:color w:val="0D0D0D" w:themeColor="text1" w:themeTint="F2"/>
        </w:rPr>
        <w:t>.</w:t>
      </w:r>
      <w:r w:rsidR="0034167F" w:rsidRPr="008E6E59">
        <w:rPr>
          <w:rFonts w:ascii="Times New Roman" w:hAnsi="Times New Roman" w:cs="Times New Roman"/>
          <w:color w:val="0D0D0D" w:themeColor="text1" w:themeTint="F2"/>
        </w:rPr>
        <w:t xml:space="preserve"> </w:t>
      </w:r>
      <w:r w:rsidR="00562B56" w:rsidRPr="008E6E59">
        <w:rPr>
          <w:rFonts w:ascii="Times New Roman" w:hAnsi="Times New Roman" w:cs="Times New Roman"/>
          <w:color w:val="0D0D0D" w:themeColor="text1" w:themeTint="F2"/>
        </w:rPr>
        <w:t>R</w:t>
      </w:r>
      <w:r w:rsidR="00D55521" w:rsidRPr="008E6E59">
        <w:rPr>
          <w:rFonts w:ascii="Times New Roman" w:hAnsi="Times New Roman" w:cs="Times New Roman"/>
          <w:color w:val="0D0D0D" w:themeColor="text1" w:themeTint="F2"/>
        </w:rPr>
        <w:t xml:space="preserve">esults from </w:t>
      </w:r>
      <w:r w:rsidR="00E34CDC" w:rsidRPr="008E6E59">
        <w:rPr>
          <w:rFonts w:ascii="Times New Roman" w:hAnsi="Times New Roman" w:cs="Times New Roman"/>
          <w:color w:val="0D0D0D" w:themeColor="text1" w:themeTint="F2"/>
        </w:rPr>
        <w:t>this</w:t>
      </w:r>
      <w:r w:rsidR="002446BE" w:rsidRPr="008E6E59">
        <w:rPr>
          <w:rFonts w:ascii="Times New Roman" w:hAnsi="Times New Roman" w:cs="Times New Roman"/>
          <w:color w:val="0D0D0D" w:themeColor="text1" w:themeTint="F2"/>
        </w:rPr>
        <w:t xml:space="preserve"> p</w:t>
      </w:r>
      <w:r w:rsidR="00913EF4" w:rsidRPr="008E6E59">
        <w:rPr>
          <w:rFonts w:ascii="Times New Roman" w:hAnsi="Times New Roman" w:cs="Times New Roman"/>
          <w:color w:val="0D0D0D" w:themeColor="text1" w:themeTint="F2"/>
        </w:rPr>
        <w:t>art sugges</w:t>
      </w:r>
      <w:r w:rsidR="0034167F" w:rsidRPr="008E6E59">
        <w:rPr>
          <w:rFonts w:ascii="Times New Roman" w:hAnsi="Times New Roman" w:cs="Times New Roman"/>
          <w:color w:val="0D0D0D" w:themeColor="text1" w:themeTint="F2"/>
        </w:rPr>
        <w:t xml:space="preserve">t </w:t>
      </w:r>
      <w:r w:rsidR="00035B44" w:rsidRPr="008E6E59">
        <w:rPr>
          <w:rFonts w:ascii="Times New Roman" w:hAnsi="Times New Roman" w:cs="Times New Roman"/>
          <w:color w:val="0D0D0D" w:themeColor="text1" w:themeTint="F2"/>
        </w:rPr>
        <w:t>sharp cut</w:t>
      </w:r>
      <w:r w:rsidR="00EB5C50" w:rsidRPr="008E6E59">
        <w:rPr>
          <w:rFonts w:ascii="Times New Roman" w:hAnsi="Times New Roman" w:cs="Times New Roman"/>
          <w:color w:val="0D0D0D" w:themeColor="text1" w:themeTint="F2"/>
        </w:rPr>
        <w:t>s</w:t>
      </w:r>
      <w:r w:rsidR="00035B44" w:rsidRPr="008E6E59">
        <w:rPr>
          <w:rFonts w:ascii="Times New Roman" w:hAnsi="Times New Roman" w:cs="Times New Roman"/>
          <w:color w:val="0D0D0D" w:themeColor="text1" w:themeTint="F2"/>
        </w:rPr>
        <w:t xml:space="preserve"> in policy rate do indeed</w:t>
      </w:r>
      <w:r w:rsidR="00E34CDC" w:rsidRPr="008E6E59">
        <w:rPr>
          <w:rFonts w:ascii="Times New Roman" w:hAnsi="Times New Roman" w:cs="Times New Roman"/>
          <w:color w:val="0D0D0D" w:themeColor="text1" w:themeTint="F2"/>
        </w:rPr>
        <w:t xml:space="preserve"> </w:t>
      </w:r>
      <w:r w:rsidR="003C2A98" w:rsidRPr="008E6E59">
        <w:rPr>
          <w:rFonts w:ascii="Times New Roman" w:hAnsi="Times New Roman" w:cs="Times New Roman"/>
          <w:color w:val="0D0D0D" w:themeColor="text1" w:themeTint="F2"/>
        </w:rPr>
        <w:t>stimulate the</w:t>
      </w:r>
      <w:r w:rsidR="00035B44" w:rsidRPr="008E6E59">
        <w:rPr>
          <w:rFonts w:ascii="Times New Roman" w:hAnsi="Times New Roman" w:cs="Times New Roman"/>
          <w:color w:val="0D0D0D" w:themeColor="text1" w:themeTint="F2"/>
        </w:rPr>
        <w:t xml:space="preserve"> BLC more compared to smaller expansionary money policy shocks</w:t>
      </w:r>
      <w:r w:rsidR="00D47DBF" w:rsidRPr="008E6E59">
        <w:rPr>
          <w:rFonts w:ascii="Times New Roman" w:hAnsi="Times New Roman" w:cs="Times New Roman"/>
          <w:color w:val="0D0D0D" w:themeColor="text1" w:themeTint="F2"/>
        </w:rPr>
        <w:t xml:space="preserve"> during recessions.</w:t>
      </w:r>
      <w:r w:rsidR="004B5BF3" w:rsidRPr="008E6E59">
        <w:rPr>
          <w:rFonts w:ascii="Times New Roman" w:hAnsi="Times New Roman" w:cs="Times New Roman"/>
          <w:color w:val="0D0D0D" w:themeColor="text1" w:themeTint="F2"/>
        </w:rPr>
        <w:t xml:space="preserve"> </w:t>
      </w:r>
    </w:p>
    <w:p w14:paraId="454B71BF" w14:textId="3C7FC09D" w:rsidR="00CA50C9" w:rsidRDefault="003905B5" w:rsidP="00CA50C9">
      <w:pPr>
        <w:widowControl w:val="0"/>
        <w:autoSpaceDE w:val="0"/>
        <w:autoSpaceDN w:val="0"/>
        <w:adjustRightInd w:val="0"/>
        <w:spacing w:after="0" w:line="480" w:lineRule="auto"/>
        <w:ind w:right="90" w:firstLine="720"/>
        <w:jc w:val="both"/>
        <w:rPr>
          <w:rFonts w:ascii="Times New Roman" w:hAnsi="Times New Roman" w:cs="Times New Roman"/>
          <w:color w:val="000000" w:themeColor="text1"/>
        </w:rPr>
      </w:pPr>
      <w:r w:rsidRPr="0067305B">
        <w:rPr>
          <w:rFonts w:ascii="Times New Roman" w:hAnsi="Times New Roman" w:cs="Times New Roman"/>
          <w:color w:val="000000" w:themeColor="text1"/>
        </w:rPr>
        <w:t>The rest of the p</w:t>
      </w:r>
      <w:r w:rsidR="000F2B57" w:rsidRPr="0067305B">
        <w:rPr>
          <w:rFonts w:ascii="Times New Roman" w:hAnsi="Times New Roman" w:cs="Times New Roman"/>
          <w:color w:val="000000" w:themeColor="text1"/>
        </w:rPr>
        <w:t>aper is organized as follows</w:t>
      </w:r>
      <w:r w:rsidR="00140432" w:rsidRPr="0067305B">
        <w:rPr>
          <w:rFonts w:ascii="Times New Roman" w:hAnsi="Times New Roman" w:cs="Times New Roman"/>
          <w:color w:val="000000" w:themeColor="text1"/>
        </w:rPr>
        <w:t xml:space="preserve">. An </w:t>
      </w:r>
      <w:r w:rsidRPr="0067305B">
        <w:rPr>
          <w:rFonts w:ascii="Times New Roman" w:hAnsi="Times New Roman" w:cs="Times New Roman"/>
          <w:color w:val="000000" w:themeColor="text1"/>
        </w:rPr>
        <w:t>overview</w:t>
      </w:r>
      <w:r w:rsidR="000F2B57" w:rsidRPr="0067305B">
        <w:rPr>
          <w:rFonts w:ascii="Times New Roman" w:hAnsi="Times New Roman" w:cs="Times New Roman"/>
          <w:color w:val="000000" w:themeColor="text1"/>
        </w:rPr>
        <w:t xml:space="preserve"> </w:t>
      </w:r>
      <w:r w:rsidR="00B74526" w:rsidRPr="0067305B">
        <w:rPr>
          <w:rFonts w:ascii="Times New Roman" w:hAnsi="Times New Roman" w:cs="Times New Roman"/>
          <w:color w:val="000000" w:themeColor="text1"/>
        </w:rPr>
        <w:t>and factors</w:t>
      </w:r>
      <w:r w:rsidR="0064729E" w:rsidRPr="0067305B">
        <w:rPr>
          <w:rFonts w:ascii="Times New Roman" w:hAnsi="Times New Roman" w:cs="Times New Roman"/>
          <w:color w:val="000000" w:themeColor="text1"/>
        </w:rPr>
        <w:t xml:space="preserve"> that create </w:t>
      </w:r>
      <w:r w:rsidR="00A43142" w:rsidRPr="0067305B">
        <w:rPr>
          <w:rFonts w:ascii="Times New Roman" w:hAnsi="Times New Roman" w:cs="Times New Roman"/>
          <w:color w:val="000000" w:themeColor="text1"/>
        </w:rPr>
        <w:t xml:space="preserve">impact </w:t>
      </w:r>
      <w:r w:rsidR="0064729E" w:rsidRPr="0067305B">
        <w:rPr>
          <w:rFonts w:ascii="Times New Roman" w:hAnsi="Times New Roman" w:cs="Times New Roman"/>
          <w:color w:val="000000" w:themeColor="text1"/>
        </w:rPr>
        <w:t>asymmetry</w:t>
      </w:r>
      <w:r w:rsidRPr="0067305B">
        <w:rPr>
          <w:rFonts w:ascii="Times New Roman" w:hAnsi="Times New Roman" w:cs="Times New Roman"/>
          <w:color w:val="000000" w:themeColor="text1"/>
        </w:rPr>
        <w:t xml:space="preserve"> in the magnitude of t</w:t>
      </w:r>
      <w:r w:rsidR="00A07F1E" w:rsidRPr="0067305B">
        <w:rPr>
          <w:rFonts w:ascii="Times New Roman" w:hAnsi="Times New Roman" w:cs="Times New Roman"/>
          <w:color w:val="000000" w:themeColor="text1"/>
        </w:rPr>
        <w:t>he BLC over the business cycle</w:t>
      </w:r>
      <w:r w:rsidR="00BA06E9" w:rsidRPr="0067305B">
        <w:rPr>
          <w:rFonts w:ascii="Times New Roman" w:hAnsi="Times New Roman" w:cs="Times New Roman"/>
          <w:color w:val="000000" w:themeColor="text1"/>
        </w:rPr>
        <w:t xml:space="preserve"> is discussed in section </w:t>
      </w:r>
      <w:r w:rsidR="00140432" w:rsidRPr="0067305B">
        <w:rPr>
          <w:rFonts w:ascii="Times New Roman" w:hAnsi="Times New Roman" w:cs="Times New Roman"/>
          <w:color w:val="000000" w:themeColor="text1"/>
        </w:rPr>
        <w:t>2</w:t>
      </w:r>
      <w:r w:rsidR="00993890">
        <w:rPr>
          <w:rFonts w:ascii="Times New Roman" w:hAnsi="Times New Roman" w:cs="Times New Roman"/>
          <w:color w:val="000000" w:themeColor="text1"/>
        </w:rPr>
        <w:t xml:space="preserve">, followed by the associated </w:t>
      </w:r>
      <w:r w:rsidR="00FB1D11">
        <w:rPr>
          <w:rFonts w:ascii="Times New Roman" w:hAnsi="Times New Roman" w:cs="Times New Roman"/>
          <w:color w:val="000000" w:themeColor="text1"/>
        </w:rPr>
        <w:t>e</w:t>
      </w:r>
      <w:r w:rsidR="00545822" w:rsidRPr="0067305B">
        <w:rPr>
          <w:rFonts w:ascii="Times New Roman" w:hAnsi="Times New Roman" w:cs="Times New Roman"/>
          <w:color w:val="000000" w:themeColor="text1"/>
        </w:rPr>
        <w:t>conometric methodology</w:t>
      </w:r>
      <w:r w:rsidR="00545822">
        <w:rPr>
          <w:rFonts w:ascii="Times New Roman" w:hAnsi="Times New Roman" w:cs="Times New Roman"/>
          <w:color w:val="000000" w:themeColor="text1"/>
        </w:rPr>
        <w:t xml:space="preserve"> and data characteristics</w:t>
      </w:r>
      <w:r w:rsidR="00D4551D">
        <w:rPr>
          <w:rFonts w:ascii="Times New Roman" w:hAnsi="Times New Roman" w:cs="Times New Roman"/>
          <w:color w:val="000000" w:themeColor="text1"/>
        </w:rPr>
        <w:t xml:space="preserve"> in section 3</w:t>
      </w:r>
      <w:r w:rsidR="00B74526">
        <w:rPr>
          <w:rFonts w:ascii="Times New Roman" w:hAnsi="Times New Roman" w:cs="Times New Roman"/>
          <w:color w:val="000000" w:themeColor="text1"/>
        </w:rPr>
        <w:t>.</w:t>
      </w:r>
      <w:r w:rsidR="004415B1" w:rsidRPr="0067305B">
        <w:rPr>
          <w:rFonts w:ascii="Times New Roman" w:hAnsi="Times New Roman" w:cs="Times New Roman"/>
          <w:color w:val="000000" w:themeColor="text1"/>
        </w:rPr>
        <w:t xml:space="preserve"> </w:t>
      </w:r>
      <w:r w:rsidR="00B96F0B" w:rsidRPr="0067305B">
        <w:rPr>
          <w:rFonts w:ascii="Times New Roman" w:hAnsi="Times New Roman" w:cs="Times New Roman"/>
          <w:color w:val="000000" w:themeColor="text1"/>
        </w:rPr>
        <w:t xml:space="preserve"> </w:t>
      </w:r>
      <w:r w:rsidR="00B576C7" w:rsidRPr="0067305B">
        <w:rPr>
          <w:rFonts w:ascii="Times New Roman" w:hAnsi="Times New Roman" w:cs="Times New Roman"/>
          <w:color w:val="000000" w:themeColor="text1"/>
        </w:rPr>
        <w:t>Section 4 presents</w:t>
      </w:r>
      <w:r w:rsidR="001F67F5" w:rsidRPr="0067305B">
        <w:rPr>
          <w:rFonts w:ascii="Times New Roman" w:hAnsi="Times New Roman" w:cs="Times New Roman"/>
          <w:color w:val="000000" w:themeColor="text1"/>
        </w:rPr>
        <w:t xml:space="preserve"> </w:t>
      </w:r>
      <w:r w:rsidR="001F67F5" w:rsidRPr="0067305B">
        <w:rPr>
          <w:rFonts w:ascii="Times New Roman" w:hAnsi="Times New Roman" w:cs="Times New Roman"/>
          <w:color w:val="000000" w:themeColor="text1"/>
        </w:rPr>
        <w:lastRenderedPageBreak/>
        <w:t>the</w:t>
      </w:r>
      <w:r w:rsidR="0076225A" w:rsidRPr="0067305B">
        <w:rPr>
          <w:rFonts w:ascii="Times New Roman" w:hAnsi="Times New Roman" w:cs="Times New Roman"/>
          <w:color w:val="000000" w:themeColor="text1"/>
        </w:rPr>
        <w:t xml:space="preserve"> main</w:t>
      </w:r>
      <w:r w:rsidR="001F67F5" w:rsidRPr="0067305B">
        <w:rPr>
          <w:rFonts w:ascii="Times New Roman" w:hAnsi="Times New Roman" w:cs="Times New Roman"/>
          <w:color w:val="000000" w:themeColor="text1"/>
        </w:rPr>
        <w:t xml:space="preserve"> results and the robustness tests.</w:t>
      </w:r>
      <w:r w:rsidR="00042784">
        <w:rPr>
          <w:rFonts w:ascii="Times New Roman" w:hAnsi="Times New Roman" w:cs="Times New Roman"/>
          <w:color w:val="000000" w:themeColor="text1"/>
        </w:rPr>
        <w:t xml:space="preserve"> In </w:t>
      </w:r>
      <w:r w:rsidR="00042784" w:rsidRPr="0067305B">
        <w:rPr>
          <w:rFonts w:ascii="Times New Roman" w:hAnsi="Times New Roman" w:cs="Times New Roman"/>
          <w:color w:val="000000" w:themeColor="text1"/>
        </w:rPr>
        <w:t>section</w:t>
      </w:r>
      <w:r w:rsidR="0067305B">
        <w:rPr>
          <w:rFonts w:ascii="Times New Roman" w:hAnsi="Times New Roman" w:cs="Times New Roman"/>
          <w:color w:val="000000" w:themeColor="text1"/>
        </w:rPr>
        <w:t xml:space="preserve"> 5</w:t>
      </w:r>
      <w:r w:rsidR="00B576C7" w:rsidRPr="0067305B">
        <w:rPr>
          <w:rFonts w:ascii="Times New Roman" w:hAnsi="Times New Roman" w:cs="Times New Roman"/>
          <w:color w:val="000000" w:themeColor="text1"/>
        </w:rPr>
        <w:t xml:space="preserve"> a </w:t>
      </w:r>
      <w:r w:rsidR="00D25A82" w:rsidRPr="0067305B">
        <w:rPr>
          <w:rFonts w:ascii="Times New Roman" w:hAnsi="Times New Roman" w:cs="Times New Roman"/>
          <w:color w:val="000000" w:themeColor="text1"/>
        </w:rPr>
        <w:t xml:space="preserve">small experiment </w:t>
      </w:r>
      <w:r w:rsidR="00042784">
        <w:rPr>
          <w:rFonts w:ascii="Times New Roman" w:hAnsi="Times New Roman" w:cs="Times New Roman"/>
          <w:color w:val="000000" w:themeColor="text1"/>
        </w:rPr>
        <w:t>is undertaken to</w:t>
      </w:r>
      <w:r w:rsidR="00B576C7" w:rsidRPr="0067305B">
        <w:rPr>
          <w:rFonts w:ascii="Times New Roman" w:hAnsi="Times New Roman" w:cs="Times New Roman"/>
          <w:color w:val="000000" w:themeColor="text1"/>
        </w:rPr>
        <w:t xml:space="preserve"> </w:t>
      </w:r>
      <w:r w:rsidR="006E1AB3" w:rsidRPr="0067305B">
        <w:rPr>
          <w:rFonts w:ascii="Times New Roman" w:hAnsi="Times New Roman" w:cs="Times New Roman"/>
          <w:color w:val="000000" w:themeColor="text1"/>
        </w:rPr>
        <w:t>examine</w:t>
      </w:r>
      <w:r w:rsidR="00D25A82" w:rsidRPr="0067305B">
        <w:rPr>
          <w:rFonts w:ascii="Times New Roman" w:hAnsi="Times New Roman" w:cs="Times New Roman"/>
          <w:color w:val="000000" w:themeColor="text1"/>
        </w:rPr>
        <w:t xml:space="preserve"> the</w:t>
      </w:r>
      <w:r w:rsidR="009A088C" w:rsidRPr="0067305B">
        <w:rPr>
          <w:rFonts w:ascii="Times New Roman" w:hAnsi="Times New Roman" w:cs="Times New Roman"/>
          <w:color w:val="000000" w:themeColor="text1"/>
        </w:rPr>
        <w:t xml:space="preserve"> response</w:t>
      </w:r>
      <w:r w:rsidR="00712B5A" w:rsidRPr="0067305B">
        <w:rPr>
          <w:rFonts w:ascii="Times New Roman" w:hAnsi="Times New Roman" w:cs="Times New Roman"/>
          <w:color w:val="000000" w:themeColor="text1"/>
        </w:rPr>
        <w:t xml:space="preserve"> of</w:t>
      </w:r>
      <w:r w:rsidR="009A088C" w:rsidRPr="0067305B">
        <w:rPr>
          <w:rFonts w:ascii="Times New Roman" w:hAnsi="Times New Roman" w:cs="Times New Roman"/>
          <w:color w:val="000000" w:themeColor="text1"/>
        </w:rPr>
        <w:t xml:space="preserve"> mortgage supply </w:t>
      </w:r>
      <w:r w:rsidR="0048548B">
        <w:rPr>
          <w:rFonts w:ascii="Times New Roman" w:hAnsi="Times New Roman" w:cs="Times New Roman"/>
          <w:color w:val="000000" w:themeColor="text1"/>
        </w:rPr>
        <w:t>by</w:t>
      </w:r>
      <w:r w:rsidR="009A088C" w:rsidRPr="0067305B">
        <w:rPr>
          <w:rFonts w:ascii="Times New Roman" w:hAnsi="Times New Roman" w:cs="Times New Roman"/>
          <w:color w:val="000000" w:themeColor="text1"/>
        </w:rPr>
        <w:t xml:space="preserve"> depository institutions</w:t>
      </w:r>
      <w:r w:rsidR="00712B5A" w:rsidRPr="0067305B">
        <w:rPr>
          <w:rFonts w:ascii="Times New Roman" w:hAnsi="Times New Roman" w:cs="Times New Roman"/>
          <w:color w:val="000000" w:themeColor="text1"/>
        </w:rPr>
        <w:t xml:space="preserve"> to </w:t>
      </w:r>
      <w:r w:rsidR="005B7E7D" w:rsidRPr="0067305B">
        <w:rPr>
          <w:rFonts w:ascii="Times New Roman" w:hAnsi="Times New Roman" w:cs="Times New Roman"/>
          <w:color w:val="000000" w:themeColor="text1"/>
        </w:rPr>
        <w:t>dissimilar</w:t>
      </w:r>
      <w:r w:rsidR="00712B5A" w:rsidRPr="0067305B">
        <w:rPr>
          <w:rFonts w:ascii="Times New Roman" w:hAnsi="Times New Roman" w:cs="Times New Roman"/>
          <w:color w:val="000000" w:themeColor="text1"/>
        </w:rPr>
        <w:t xml:space="preserve"> expansionary monetary policy shock</w:t>
      </w:r>
      <w:r w:rsidR="006E1AB3" w:rsidRPr="0067305B">
        <w:rPr>
          <w:rFonts w:ascii="Times New Roman" w:hAnsi="Times New Roman" w:cs="Times New Roman"/>
          <w:color w:val="000000" w:themeColor="text1"/>
        </w:rPr>
        <w:t>s</w:t>
      </w:r>
      <w:r w:rsidR="00B576C7" w:rsidRPr="0067305B">
        <w:rPr>
          <w:rFonts w:ascii="Times New Roman" w:hAnsi="Times New Roman" w:cs="Times New Roman"/>
          <w:color w:val="000000" w:themeColor="text1"/>
        </w:rPr>
        <w:t xml:space="preserve">. </w:t>
      </w:r>
      <w:r w:rsidR="00D25A82" w:rsidRPr="0067305B">
        <w:rPr>
          <w:rFonts w:ascii="Times New Roman" w:hAnsi="Times New Roman" w:cs="Times New Roman"/>
          <w:color w:val="000000" w:themeColor="text1"/>
        </w:rPr>
        <w:t>F</w:t>
      </w:r>
      <w:r w:rsidR="004B4E42" w:rsidRPr="0067305B">
        <w:rPr>
          <w:rFonts w:ascii="Times New Roman" w:hAnsi="Times New Roman" w:cs="Times New Roman"/>
          <w:color w:val="000000" w:themeColor="text1"/>
        </w:rPr>
        <w:t>inally</w:t>
      </w:r>
      <w:r w:rsidR="00910EB2" w:rsidRPr="0067305B">
        <w:rPr>
          <w:rFonts w:ascii="Times New Roman" w:hAnsi="Times New Roman" w:cs="Times New Roman"/>
          <w:color w:val="000000" w:themeColor="text1"/>
        </w:rPr>
        <w:t xml:space="preserve">, </w:t>
      </w:r>
      <w:r w:rsidR="00A43142" w:rsidRPr="0067305B">
        <w:rPr>
          <w:rFonts w:ascii="Times New Roman" w:hAnsi="Times New Roman" w:cs="Times New Roman"/>
          <w:color w:val="000000" w:themeColor="text1"/>
        </w:rPr>
        <w:t>S</w:t>
      </w:r>
      <w:r w:rsidR="00910EB2" w:rsidRPr="0067305B">
        <w:rPr>
          <w:rFonts w:ascii="Times New Roman" w:hAnsi="Times New Roman" w:cs="Times New Roman"/>
          <w:color w:val="000000" w:themeColor="text1"/>
        </w:rPr>
        <w:t xml:space="preserve">ection </w:t>
      </w:r>
      <w:r w:rsidR="00042784">
        <w:rPr>
          <w:rFonts w:ascii="Times New Roman" w:hAnsi="Times New Roman" w:cs="Times New Roman"/>
          <w:color w:val="000000" w:themeColor="text1"/>
        </w:rPr>
        <w:t>6</w:t>
      </w:r>
      <w:r w:rsidR="004B4E42" w:rsidRPr="0067305B">
        <w:rPr>
          <w:rFonts w:ascii="Times New Roman" w:hAnsi="Times New Roman" w:cs="Times New Roman"/>
          <w:color w:val="000000" w:themeColor="text1"/>
        </w:rPr>
        <w:t xml:space="preserve"> </w:t>
      </w:r>
      <w:r w:rsidR="00A43142" w:rsidRPr="0067305B">
        <w:rPr>
          <w:rFonts w:ascii="Times New Roman" w:hAnsi="Times New Roman" w:cs="Times New Roman"/>
          <w:color w:val="000000" w:themeColor="text1"/>
        </w:rPr>
        <w:t>concludes with the main implications</w:t>
      </w:r>
      <w:r w:rsidR="00187134">
        <w:rPr>
          <w:rFonts w:ascii="Times New Roman" w:hAnsi="Times New Roman" w:cs="Times New Roman"/>
          <w:color w:val="000000" w:themeColor="text1"/>
        </w:rPr>
        <w:t>.</w:t>
      </w:r>
      <w:r w:rsidR="00A43142" w:rsidRPr="0067305B">
        <w:rPr>
          <w:rFonts w:ascii="Times New Roman" w:hAnsi="Times New Roman" w:cs="Times New Roman"/>
          <w:color w:val="000000" w:themeColor="text1"/>
        </w:rPr>
        <w:t xml:space="preserve"> </w:t>
      </w:r>
    </w:p>
    <w:p w14:paraId="1DF3670A" w14:textId="77777777" w:rsidR="00467DD4" w:rsidRDefault="00467DD4" w:rsidP="00FC01A3">
      <w:pPr>
        <w:spacing w:after="0"/>
        <w:ind w:right="91"/>
        <w:rPr>
          <w:rFonts w:ascii="Times New Roman" w:hAnsi="Times New Roman" w:cs="Times New Roman"/>
          <w:b/>
        </w:rPr>
      </w:pPr>
    </w:p>
    <w:p w14:paraId="566E149B" w14:textId="06E1C29B" w:rsidR="00CA50C9" w:rsidRDefault="00B407D0" w:rsidP="00FC01A3">
      <w:pPr>
        <w:spacing w:after="0"/>
        <w:ind w:right="91"/>
        <w:rPr>
          <w:rFonts w:ascii="Times New Roman" w:hAnsi="Times New Roman" w:cs="Times New Roman"/>
          <w:b/>
        </w:rPr>
      </w:pPr>
      <w:r w:rsidRPr="008E6E59">
        <w:rPr>
          <w:rFonts w:ascii="Times New Roman" w:hAnsi="Times New Roman" w:cs="Times New Roman"/>
          <w:b/>
        </w:rPr>
        <w:t>2</w:t>
      </w:r>
      <w:r w:rsidR="000C64C5" w:rsidRPr="008E6E59">
        <w:rPr>
          <w:rFonts w:ascii="Times New Roman" w:hAnsi="Times New Roman" w:cs="Times New Roman"/>
          <w:b/>
        </w:rPr>
        <w:t>.</w:t>
      </w:r>
      <w:r w:rsidR="001F758D" w:rsidRPr="008E6E59">
        <w:rPr>
          <w:rFonts w:ascii="Times New Roman" w:hAnsi="Times New Roman" w:cs="Times New Roman"/>
          <w:b/>
        </w:rPr>
        <w:t xml:space="preserve"> </w:t>
      </w:r>
      <w:r w:rsidRPr="008E6E59">
        <w:rPr>
          <w:rFonts w:ascii="Times New Roman" w:hAnsi="Times New Roman" w:cs="Times New Roman"/>
          <w:b/>
        </w:rPr>
        <w:t>Bank Lending Channel and Business Cycle</w:t>
      </w:r>
    </w:p>
    <w:p w14:paraId="1E0EEAEA" w14:textId="77777777" w:rsidR="00CA50C9" w:rsidRPr="00FC01A3" w:rsidRDefault="00CA50C9" w:rsidP="00FC01A3">
      <w:pPr>
        <w:spacing w:after="0"/>
        <w:ind w:right="91"/>
        <w:rPr>
          <w:rFonts w:ascii="Times New Roman" w:hAnsi="Times New Roman" w:cs="Times New Roman"/>
          <w:b/>
        </w:rPr>
      </w:pPr>
    </w:p>
    <w:p w14:paraId="3ABA1D79" w14:textId="59816653" w:rsidR="00701A66" w:rsidRPr="00993890" w:rsidRDefault="004E4EE2" w:rsidP="000F7E69">
      <w:pPr>
        <w:widowControl w:val="0"/>
        <w:autoSpaceDE w:val="0"/>
        <w:autoSpaceDN w:val="0"/>
        <w:adjustRightInd w:val="0"/>
        <w:spacing w:after="0" w:line="480" w:lineRule="auto"/>
        <w:ind w:right="91"/>
        <w:jc w:val="both"/>
        <w:rPr>
          <w:rFonts w:ascii="Times New Roman" w:hAnsi="Times New Roman" w:cs="Times New Roman"/>
          <w:color w:val="000000" w:themeColor="text1"/>
        </w:rPr>
      </w:pPr>
      <w:r w:rsidRPr="008E6E59">
        <w:rPr>
          <w:rFonts w:ascii="Times New Roman" w:hAnsi="Times New Roman" w:cs="Times New Roman"/>
        </w:rPr>
        <w:t>Bernanke and Blinder</w:t>
      </w:r>
      <w:r w:rsidR="00594D97">
        <w:rPr>
          <w:rFonts w:ascii="Times New Roman" w:hAnsi="Times New Roman" w:cs="Times New Roman"/>
        </w:rPr>
        <w:t xml:space="preserve"> </w:t>
      </w:r>
      <w:r w:rsidR="00F93470">
        <w:rPr>
          <w:rFonts w:ascii="Times New Roman" w:hAnsi="Times New Roman" w:cs="Times New Roman"/>
          <w:color w:val="000000" w:themeColor="text1"/>
        </w:rPr>
        <w:t>(</w:t>
      </w:r>
      <w:r w:rsidR="0000201F">
        <w:rPr>
          <w:rFonts w:ascii="Times New Roman" w:hAnsi="Times New Roman" w:cs="Times New Roman"/>
          <w:color w:val="000000" w:themeColor="text1"/>
        </w:rPr>
        <w:t>1988</w:t>
      </w:r>
      <w:r w:rsidR="00F93470">
        <w:rPr>
          <w:rFonts w:ascii="Times New Roman" w:hAnsi="Times New Roman" w:cs="Times New Roman"/>
          <w:color w:val="000000" w:themeColor="text1"/>
        </w:rPr>
        <w:t>)</w:t>
      </w:r>
      <w:r w:rsidR="00EF581A" w:rsidRPr="008E6E59">
        <w:rPr>
          <w:rFonts w:ascii="Times New Roman" w:hAnsi="Times New Roman" w:cs="Times New Roman"/>
          <w:color w:val="000000" w:themeColor="text1"/>
        </w:rPr>
        <w:t xml:space="preserve"> </w:t>
      </w:r>
      <w:r w:rsidR="00F93470">
        <w:rPr>
          <w:rFonts w:ascii="Times New Roman" w:hAnsi="Times New Roman" w:cs="Times New Roman"/>
          <w:color w:val="000000" w:themeColor="text1"/>
        </w:rPr>
        <w:t>illustrate</w:t>
      </w:r>
      <w:r w:rsidR="005C3B02">
        <w:rPr>
          <w:rFonts w:ascii="Times New Roman" w:hAnsi="Times New Roman" w:cs="Times New Roman"/>
          <w:color w:val="000000" w:themeColor="text1"/>
        </w:rPr>
        <w:t xml:space="preserve"> </w:t>
      </w:r>
      <w:r w:rsidR="001F4617" w:rsidRPr="008E6E59">
        <w:rPr>
          <w:rFonts w:ascii="Times New Roman" w:hAnsi="Times New Roman" w:cs="Times New Roman"/>
          <w:color w:val="000000" w:themeColor="text1"/>
        </w:rPr>
        <w:t>changes</w:t>
      </w:r>
      <w:r w:rsidRPr="008E6E59">
        <w:rPr>
          <w:rFonts w:ascii="Times New Roman" w:hAnsi="Times New Roman" w:cs="Times New Roman"/>
          <w:color w:val="000000" w:themeColor="text1"/>
        </w:rPr>
        <w:t xml:space="preserve"> in monetary policy </w:t>
      </w:r>
      <w:r w:rsidR="0000201F">
        <w:rPr>
          <w:rFonts w:ascii="Times New Roman" w:hAnsi="Times New Roman" w:cs="Times New Roman"/>
          <w:color w:val="000000" w:themeColor="text1"/>
        </w:rPr>
        <w:t>affect</w:t>
      </w:r>
      <w:r w:rsidRPr="008E6E59">
        <w:rPr>
          <w:rFonts w:ascii="Times New Roman" w:hAnsi="Times New Roman" w:cs="Times New Roman"/>
          <w:color w:val="000000" w:themeColor="text1"/>
        </w:rPr>
        <w:t xml:space="preserve"> banks’ reserv</w:t>
      </w:r>
      <w:r w:rsidR="00FC069D" w:rsidRPr="008E6E59">
        <w:rPr>
          <w:rFonts w:ascii="Times New Roman" w:hAnsi="Times New Roman" w:cs="Times New Roman"/>
          <w:color w:val="000000" w:themeColor="text1"/>
        </w:rPr>
        <w:t>es and</w:t>
      </w:r>
      <w:r w:rsidR="000A6055" w:rsidRPr="008E6E59">
        <w:rPr>
          <w:rFonts w:ascii="Times New Roman" w:hAnsi="Times New Roman" w:cs="Times New Roman"/>
          <w:color w:val="000000" w:themeColor="text1"/>
        </w:rPr>
        <w:t xml:space="preserve"> insured deposits</w:t>
      </w:r>
      <w:r w:rsidR="0032326A">
        <w:rPr>
          <w:rFonts w:ascii="Times New Roman" w:hAnsi="Times New Roman" w:cs="Times New Roman"/>
          <w:color w:val="000000" w:themeColor="text1"/>
        </w:rPr>
        <w:t xml:space="preserve">, thus </w:t>
      </w:r>
      <w:r w:rsidR="005C3B02">
        <w:rPr>
          <w:rFonts w:ascii="Times New Roman" w:hAnsi="Times New Roman" w:cs="Times New Roman"/>
          <w:color w:val="000000" w:themeColor="text1"/>
        </w:rPr>
        <w:t>impacting</w:t>
      </w:r>
      <w:r w:rsidRPr="008E6E59">
        <w:rPr>
          <w:rFonts w:ascii="Times New Roman" w:hAnsi="Times New Roman" w:cs="Times New Roman"/>
          <w:color w:val="000000" w:themeColor="text1"/>
        </w:rPr>
        <w:t xml:space="preserve"> </w:t>
      </w:r>
      <w:r w:rsidR="00B068A0" w:rsidRPr="008E6E59">
        <w:rPr>
          <w:rFonts w:ascii="Times New Roman" w:hAnsi="Times New Roman" w:cs="Times New Roman"/>
          <w:color w:val="000000" w:themeColor="text1"/>
        </w:rPr>
        <w:t>banks’</w:t>
      </w:r>
      <w:r w:rsidR="00A312BB" w:rsidRPr="008E6E59">
        <w:rPr>
          <w:rFonts w:ascii="Times New Roman" w:hAnsi="Times New Roman" w:cs="Times New Roman"/>
          <w:color w:val="000000" w:themeColor="text1"/>
        </w:rPr>
        <w:t xml:space="preserve"> ability </w:t>
      </w:r>
      <w:r w:rsidR="00B068A0" w:rsidRPr="008E6E59">
        <w:rPr>
          <w:rFonts w:ascii="Times New Roman" w:hAnsi="Times New Roman" w:cs="Times New Roman"/>
          <w:color w:val="000000" w:themeColor="text1"/>
        </w:rPr>
        <w:t>to generate loan</w:t>
      </w:r>
      <w:r w:rsidR="00E55C45">
        <w:rPr>
          <w:rFonts w:ascii="Times New Roman" w:hAnsi="Times New Roman" w:cs="Times New Roman"/>
          <w:color w:val="000000" w:themeColor="text1"/>
        </w:rPr>
        <w:t>,</w:t>
      </w:r>
      <w:r w:rsidR="00431B3D">
        <w:rPr>
          <w:rFonts w:ascii="Times New Roman" w:hAnsi="Times New Roman" w:cs="Times New Roman"/>
          <w:color w:val="000000" w:themeColor="text1"/>
        </w:rPr>
        <w:t xml:space="preserve"> which</w:t>
      </w:r>
      <w:r w:rsidR="00D378DB">
        <w:rPr>
          <w:rFonts w:ascii="Times New Roman" w:hAnsi="Times New Roman" w:cs="Times New Roman"/>
          <w:color w:val="000000" w:themeColor="text1"/>
        </w:rPr>
        <w:t xml:space="preserve"> finally</w:t>
      </w:r>
      <w:r w:rsidR="00431B3D">
        <w:rPr>
          <w:rFonts w:ascii="Times New Roman" w:hAnsi="Times New Roman" w:cs="Times New Roman"/>
          <w:color w:val="000000" w:themeColor="text1"/>
        </w:rPr>
        <w:t xml:space="preserve"> affects</w:t>
      </w:r>
      <w:r w:rsidR="00E55C45">
        <w:rPr>
          <w:rFonts w:ascii="Times New Roman" w:hAnsi="Times New Roman" w:cs="Times New Roman"/>
          <w:color w:val="000000" w:themeColor="text1"/>
        </w:rPr>
        <w:t xml:space="preserve"> economic activity</w:t>
      </w:r>
      <w:r w:rsidR="00431B3D">
        <w:rPr>
          <w:rFonts w:ascii="Times New Roman" w:hAnsi="Times New Roman" w:cs="Times New Roman"/>
          <w:color w:val="000000" w:themeColor="text1"/>
        </w:rPr>
        <w:t>.</w:t>
      </w:r>
      <w:r w:rsidRPr="008E6E59">
        <w:rPr>
          <w:rFonts w:ascii="Times New Roman" w:hAnsi="Times New Roman" w:cs="Times New Roman"/>
          <w:color w:val="000000" w:themeColor="text1"/>
        </w:rPr>
        <w:t xml:space="preserve"> This proposition is based on</w:t>
      </w:r>
      <w:r w:rsidR="00E87635" w:rsidRPr="008E6E59">
        <w:rPr>
          <w:rFonts w:ascii="Times New Roman" w:hAnsi="Times New Roman" w:cs="Times New Roman"/>
          <w:color w:val="000000" w:themeColor="text1"/>
        </w:rPr>
        <w:t xml:space="preserve"> two</w:t>
      </w:r>
      <w:r w:rsidRPr="008E6E59">
        <w:rPr>
          <w:rFonts w:ascii="Times New Roman" w:hAnsi="Times New Roman" w:cs="Times New Roman"/>
          <w:color w:val="000000" w:themeColor="text1"/>
        </w:rPr>
        <w:t xml:space="preserve"> </w:t>
      </w:r>
      <w:r w:rsidR="00CA50C9" w:rsidRPr="008E6E59">
        <w:rPr>
          <w:rFonts w:ascii="Times New Roman" w:hAnsi="Times New Roman" w:cs="Times New Roman"/>
          <w:color w:val="000000" w:themeColor="text1"/>
        </w:rPr>
        <w:t>assumptions</w:t>
      </w:r>
      <w:r w:rsidR="00CA50C9">
        <w:rPr>
          <w:rFonts w:ascii="Times New Roman" w:hAnsi="Times New Roman" w:cs="Times New Roman"/>
          <w:color w:val="000000" w:themeColor="text1"/>
        </w:rPr>
        <w:t xml:space="preserve">; </w:t>
      </w:r>
      <w:r w:rsidR="00CA50C9" w:rsidRPr="002A497B">
        <w:rPr>
          <w:rFonts w:ascii="Times New Roman" w:hAnsi="Times New Roman" w:cs="Times New Roman"/>
          <w:i/>
          <w:iCs/>
          <w:color w:val="000000" w:themeColor="text1"/>
        </w:rPr>
        <w:t>firstly</w:t>
      </w:r>
      <w:r w:rsidR="008F03D2" w:rsidRPr="008E6E59">
        <w:rPr>
          <w:rFonts w:ascii="Times New Roman" w:hAnsi="Times New Roman" w:cs="Times New Roman"/>
          <w:color w:val="000000" w:themeColor="text1"/>
        </w:rPr>
        <w:t>,</w:t>
      </w:r>
      <w:r w:rsidRPr="008E6E59">
        <w:rPr>
          <w:rFonts w:ascii="Times New Roman" w:hAnsi="Times New Roman" w:cs="Times New Roman"/>
          <w:color w:val="000000" w:themeColor="text1"/>
        </w:rPr>
        <w:t xml:space="preserve"> </w:t>
      </w:r>
      <w:r w:rsidR="002304E0" w:rsidRPr="0000201F">
        <w:rPr>
          <w:rFonts w:ascii="Times New Roman" w:hAnsi="Times New Roman" w:cs="Times New Roman"/>
          <w:color w:val="000000" w:themeColor="text1"/>
        </w:rPr>
        <w:t xml:space="preserve">banks’ deposits and non-reservable </w:t>
      </w:r>
      <w:r w:rsidR="00A60031" w:rsidRPr="0000201F">
        <w:rPr>
          <w:rFonts w:ascii="Times New Roman" w:hAnsi="Times New Roman" w:cs="Times New Roman"/>
          <w:color w:val="000000" w:themeColor="text1"/>
        </w:rPr>
        <w:t>liabilities are</w:t>
      </w:r>
      <w:r w:rsidR="00A60031" w:rsidRPr="00DA684D">
        <w:rPr>
          <w:rFonts w:ascii="Times New Roman" w:hAnsi="Times New Roman" w:cs="Times New Roman"/>
          <w:color w:val="4472C4" w:themeColor="accent1"/>
        </w:rPr>
        <w:t xml:space="preserve"> </w:t>
      </w:r>
      <w:r w:rsidRPr="008E6E59">
        <w:rPr>
          <w:rFonts w:ascii="Times New Roman" w:hAnsi="Times New Roman" w:cs="Times New Roman"/>
          <w:color w:val="000000" w:themeColor="text1"/>
        </w:rPr>
        <w:t xml:space="preserve">imperfect substitutes </w:t>
      </w:r>
      <w:r w:rsidR="00BF1438" w:rsidRPr="008E6E59">
        <w:rPr>
          <w:rFonts w:ascii="Times New Roman" w:hAnsi="Times New Roman" w:cs="Times New Roman"/>
          <w:color w:val="000000" w:themeColor="text1"/>
        </w:rPr>
        <w:t xml:space="preserve">and </w:t>
      </w:r>
      <w:r w:rsidR="00BF1438" w:rsidRPr="002A497B">
        <w:rPr>
          <w:rFonts w:ascii="Times New Roman" w:hAnsi="Times New Roman" w:cs="Times New Roman"/>
          <w:i/>
          <w:iCs/>
          <w:color w:val="000000" w:themeColor="text1"/>
        </w:rPr>
        <w:t>second</w:t>
      </w:r>
      <w:r w:rsidR="008F03D2" w:rsidRPr="002A497B">
        <w:rPr>
          <w:rFonts w:ascii="Times New Roman" w:hAnsi="Times New Roman" w:cs="Times New Roman"/>
          <w:i/>
          <w:iCs/>
          <w:color w:val="000000" w:themeColor="text1"/>
        </w:rPr>
        <w:t>ly</w:t>
      </w:r>
      <w:r w:rsidR="00BF1438" w:rsidRPr="00CA50C9">
        <w:rPr>
          <w:rFonts w:ascii="Times New Roman" w:hAnsi="Times New Roman" w:cs="Times New Roman"/>
          <w:color w:val="000000" w:themeColor="text1"/>
        </w:rPr>
        <w:t>,</w:t>
      </w:r>
      <w:r w:rsidRPr="008E6E59">
        <w:rPr>
          <w:rFonts w:ascii="Times New Roman" w:hAnsi="Times New Roman" w:cs="Times New Roman"/>
          <w:color w:val="000000" w:themeColor="text1"/>
        </w:rPr>
        <w:t xml:space="preserve"> bank loans and internal sources of funds are imperfect substitutes for </w:t>
      </w:r>
      <w:r w:rsidR="000B3B83">
        <w:rPr>
          <w:rFonts w:ascii="Times New Roman" w:hAnsi="Times New Roman" w:cs="Times New Roman"/>
          <w:color w:val="000000" w:themeColor="text1"/>
        </w:rPr>
        <w:t>firms</w:t>
      </w:r>
      <w:r w:rsidRPr="008E6E59">
        <w:rPr>
          <w:rFonts w:ascii="Times New Roman" w:hAnsi="Times New Roman" w:cs="Times New Roman"/>
          <w:color w:val="000000" w:themeColor="text1"/>
        </w:rPr>
        <w:t xml:space="preserve">. </w:t>
      </w:r>
      <w:r w:rsidR="003B0291">
        <w:rPr>
          <w:rFonts w:ascii="Times New Roman" w:hAnsi="Times New Roman" w:cs="Times New Roman"/>
          <w:color w:val="000000" w:themeColor="text1"/>
        </w:rPr>
        <w:t>Wi</w:t>
      </w:r>
      <w:r w:rsidRPr="008E6E59">
        <w:rPr>
          <w:rFonts w:ascii="Times New Roman" w:hAnsi="Times New Roman" w:cs="Times New Roman"/>
          <w:color w:val="000000" w:themeColor="text1"/>
        </w:rPr>
        <w:t>th the advent o</w:t>
      </w:r>
      <w:r w:rsidR="00D37B15">
        <w:rPr>
          <w:rFonts w:ascii="Times New Roman" w:hAnsi="Times New Roman" w:cs="Times New Roman"/>
          <w:color w:val="000000" w:themeColor="text1"/>
        </w:rPr>
        <w:t>f</w:t>
      </w:r>
      <w:r w:rsidRPr="008E6E59">
        <w:rPr>
          <w:rFonts w:ascii="Times New Roman" w:hAnsi="Times New Roman" w:cs="Times New Roman"/>
          <w:color w:val="000000" w:themeColor="text1"/>
        </w:rPr>
        <w:t xml:space="preserve"> wholesale funding, dependence on</w:t>
      </w:r>
      <w:r w:rsidR="00BA17EE" w:rsidRPr="008E6E59">
        <w:rPr>
          <w:rFonts w:ascii="Times New Roman" w:hAnsi="Times New Roman" w:cs="Times New Roman"/>
          <w:color w:val="000000" w:themeColor="text1"/>
        </w:rPr>
        <w:t xml:space="preserve"> retail</w:t>
      </w:r>
      <w:r w:rsidRPr="008E6E59">
        <w:rPr>
          <w:rFonts w:ascii="Times New Roman" w:hAnsi="Times New Roman" w:cs="Times New Roman"/>
          <w:color w:val="000000" w:themeColor="text1"/>
        </w:rPr>
        <w:t xml:space="preserve"> deposits has become less in the banking</w:t>
      </w:r>
      <w:r w:rsidR="00F93470">
        <w:rPr>
          <w:rFonts w:ascii="Times New Roman" w:hAnsi="Times New Roman" w:cs="Times New Roman"/>
          <w:color w:val="000000" w:themeColor="text1"/>
        </w:rPr>
        <w:t xml:space="preserve"> sector</w:t>
      </w:r>
      <w:r w:rsidR="00D37B15">
        <w:rPr>
          <w:rFonts w:ascii="Times New Roman" w:hAnsi="Times New Roman" w:cs="Times New Roman"/>
          <w:color w:val="000000" w:themeColor="text1"/>
        </w:rPr>
        <w:t>, thus making the</w:t>
      </w:r>
      <w:r w:rsidRPr="008E6E59">
        <w:rPr>
          <w:rFonts w:ascii="Times New Roman" w:hAnsi="Times New Roman" w:cs="Times New Roman"/>
          <w:color w:val="000000" w:themeColor="text1"/>
        </w:rPr>
        <w:t xml:space="preserve"> Bernanke and Blinder (1988)</w:t>
      </w:r>
      <w:r w:rsidR="00E026B3" w:rsidRPr="008E6E59">
        <w:rPr>
          <w:rFonts w:ascii="Times New Roman" w:hAnsi="Times New Roman" w:cs="Times New Roman"/>
          <w:color w:val="000000" w:themeColor="text1"/>
        </w:rPr>
        <w:t xml:space="preserve"> </w:t>
      </w:r>
      <w:r w:rsidR="000B3B83">
        <w:rPr>
          <w:rFonts w:ascii="Times New Roman" w:hAnsi="Times New Roman" w:cs="Times New Roman"/>
          <w:color w:val="000000" w:themeColor="text1"/>
        </w:rPr>
        <w:t>view</w:t>
      </w:r>
      <w:r w:rsidRPr="008E6E59">
        <w:rPr>
          <w:rFonts w:ascii="Times New Roman" w:hAnsi="Times New Roman" w:cs="Times New Roman"/>
          <w:color w:val="000000" w:themeColor="text1"/>
        </w:rPr>
        <w:t xml:space="preserve"> obsolete</w:t>
      </w:r>
      <w:r w:rsidR="003B0291">
        <w:rPr>
          <w:rFonts w:ascii="Times New Roman" w:hAnsi="Times New Roman" w:cs="Times New Roman"/>
          <w:color w:val="000000" w:themeColor="text1"/>
        </w:rPr>
        <w:t xml:space="preserve"> to a great extent</w:t>
      </w:r>
      <w:r w:rsidR="0063381D">
        <w:rPr>
          <w:rFonts w:ascii="Times New Roman" w:hAnsi="Times New Roman" w:cs="Times New Roman"/>
          <w:color w:val="000000" w:themeColor="text1"/>
        </w:rPr>
        <w:t xml:space="preserve"> (e.g</w:t>
      </w:r>
      <w:r w:rsidR="0063381D" w:rsidRPr="0063381D">
        <w:rPr>
          <w:rFonts w:ascii="Times New Roman" w:hAnsi="Times New Roman" w:cs="Times New Roman"/>
          <w:color w:val="000000" w:themeColor="text1"/>
        </w:rPr>
        <w:t>.,</w:t>
      </w:r>
      <w:r w:rsidR="0063381D" w:rsidRPr="0063381D">
        <w:rPr>
          <w:rFonts w:ascii="Times New Roman" w:hAnsi="Times New Roman" w:cs="Times New Roman"/>
          <w:szCs w:val="20"/>
        </w:rPr>
        <w:t xml:space="preserve"> </w:t>
      </w:r>
      <w:r w:rsidR="0063381D" w:rsidRPr="0063381D">
        <w:rPr>
          <w:rFonts w:ascii="Times New Roman" w:hAnsi="Times New Roman" w:cs="Times New Roman"/>
          <w:color w:val="000000" w:themeColor="text1"/>
          <w:szCs w:val="20"/>
        </w:rPr>
        <w:t>Halvorsen and Jacobsen, 2016)</w:t>
      </w:r>
      <w:r w:rsidR="006307B5" w:rsidRPr="0063381D">
        <w:rPr>
          <w:rFonts w:ascii="Times New Roman" w:hAnsi="Times New Roman" w:cs="Times New Roman"/>
          <w:color w:val="000000" w:themeColor="text1"/>
        </w:rPr>
        <w:t>.</w:t>
      </w:r>
      <w:r w:rsidR="00601227" w:rsidRPr="008E6E59">
        <w:rPr>
          <w:rFonts w:ascii="Times New Roman" w:hAnsi="Times New Roman" w:cs="Times New Roman"/>
          <w:color w:val="000000"/>
        </w:rPr>
        <w:t xml:space="preserve"> </w:t>
      </w:r>
      <w:r w:rsidRPr="008E6E59">
        <w:rPr>
          <w:rFonts w:ascii="Times New Roman" w:hAnsi="Times New Roman" w:cs="Times New Roman"/>
          <w:color w:val="000000" w:themeColor="text1"/>
        </w:rPr>
        <w:t>Disyatat (2011)</w:t>
      </w:r>
      <w:r w:rsidR="005C3B02" w:rsidRPr="005E7A7D">
        <w:rPr>
          <w:rFonts w:ascii="Times New Roman" w:hAnsi="Times New Roman" w:cs="Times New Roman"/>
          <w:color w:val="000000" w:themeColor="text1"/>
        </w:rPr>
        <w:t>,</w:t>
      </w:r>
      <w:r w:rsidRPr="008E6E59">
        <w:rPr>
          <w:rFonts w:ascii="Times New Roman" w:hAnsi="Times New Roman" w:cs="Times New Roman"/>
          <w:color w:val="000000" w:themeColor="text1"/>
        </w:rPr>
        <w:t xml:space="preserve"> reformulate</w:t>
      </w:r>
      <w:r w:rsidR="00D37B15">
        <w:rPr>
          <w:rFonts w:ascii="Times New Roman" w:hAnsi="Times New Roman" w:cs="Times New Roman"/>
          <w:color w:val="000000" w:themeColor="text1"/>
        </w:rPr>
        <w:t>s</w:t>
      </w:r>
      <w:r w:rsidRPr="008E6E59">
        <w:rPr>
          <w:rFonts w:ascii="Times New Roman" w:hAnsi="Times New Roman" w:cs="Times New Roman"/>
          <w:color w:val="000000" w:themeColor="text1"/>
        </w:rPr>
        <w:t xml:space="preserve"> </w:t>
      </w:r>
      <w:r w:rsidR="006B4628">
        <w:rPr>
          <w:rFonts w:ascii="Times New Roman" w:hAnsi="Times New Roman" w:cs="Times New Roman"/>
          <w:color w:val="000000" w:themeColor="text1"/>
        </w:rPr>
        <w:t xml:space="preserve">the </w:t>
      </w:r>
      <w:r w:rsidR="006B4628" w:rsidRPr="008E6E59">
        <w:rPr>
          <w:rFonts w:ascii="Times New Roman" w:hAnsi="Times New Roman" w:cs="Times New Roman"/>
        </w:rPr>
        <w:t>Bernanke and Blinder</w:t>
      </w:r>
      <w:r w:rsidR="006B4628">
        <w:rPr>
          <w:rFonts w:ascii="Times New Roman" w:hAnsi="Times New Roman" w:cs="Times New Roman"/>
        </w:rPr>
        <w:t xml:space="preserve"> </w:t>
      </w:r>
      <w:r w:rsidR="006B4628">
        <w:rPr>
          <w:rFonts w:ascii="Times New Roman" w:hAnsi="Times New Roman" w:cs="Times New Roman"/>
          <w:color w:val="000000" w:themeColor="text1"/>
        </w:rPr>
        <w:t xml:space="preserve">(1988) view </w:t>
      </w:r>
      <w:r w:rsidR="00AF4D7A">
        <w:rPr>
          <w:rFonts w:ascii="Times New Roman" w:hAnsi="Times New Roman" w:cs="Times New Roman"/>
          <w:color w:val="000000" w:themeColor="text1"/>
        </w:rPr>
        <w:t>by</w:t>
      </w:r>
      <w:r w:rsidRPr="008E6E59">
        <w:rPr>
          <w:rFonts w:ascii="Times New Roman" w:hAnsi="Times New Roman" w:cs="Times New Roman"/>
          <w:color w:val="000000" w:themeColor="text1"/>
        </w:rPr>
        <w:t xml:space="preserve"> emp</w:t>
      </w:r>
      <w:r w:rsidR="00AF4D7A">
        <w:rPr>
          <w:rFonts w:ascii="Times New Roman" w:hAnsi="Times New Roman" w:cs="Times New Roman"/>
          <w:color w:val="000000" w:themeColor="text1"/>
        </w:rPr>
        <w:t>hasising</w:t>
      </w:r>
      <w:r w:rsidRPr="008E6E59">
        <w:rPr>
          <w:rFonts w:ascii="Times New Roman" w:hAnsi="Times New Roman" w:cs="Times New Roman"/>
          <w:color w:val="000000" w:themeColor="text1"/>
        </w:rPr>
        <w:t xml:space="preserve"> the</w:t>
      </w:r>
      <w:r w:rsidRPr="008E6E59">
        <w:rPr>
          <w:rFonts w:ascii="Times New Roman" w:hAnsi="Times New Roman" w:cs="Times New Roman"/>
          <w:b/>
          <w:color w:val="000000" w:themeColor="text1"/>
        </w:rPr>
        <w:t xml:space="preserve"> </w:t>
      </w:r>
      <w:r w:rsidRPr="008E6E59">
        <w:rPr>
          <w:rFonts w:ascii="Times New Roman" w:hAnsi="Times New Roman" w:cs="Times New Roman"/>
          <w:color w:val="000000" w:themeColor="text1"/>
        </w:rPr>
        <w:t xml:space="preserve">greater dependence </w:t>
      </w:r>
      <w:r w:rsidR="00AF4D7A">
        <w:rPr>
          <w:rFonts w:ascii="Times New Roman" w:hAnsi="Times New Roman" w:cs="Times New Roman"/>
          <w:color w:val="000000" w:themeColor="text1"/>
        </w:rPr>
        <w:t>of</w:t>
      </w:r>
      <w:r w:rsidRPr="008E6E59">
        <w:rPr>
          <w:rFonts w:ascii="Times New Roman" w:hAnsi="Times New Roman" w:cs="Times New Roman"/>
          <w:color w:val="000000" w:themeColor="text1"/>
        </w:rPr>
        <w:t xml:space="preserve"> market-based funding</w:t>
      </w:r>
      <w:r w:rsidR="000A6BFC">
        <w:rPr>
          <w:rFonts w:ascii="Times New Roman" w:hAnsi="Times New Roman" w:cs="Times New Roman"/>
          <w:color w:val="000000" w:themeColor="text1"/>
        </w:rPr>
        <w:t xml:space="preserve"> and</w:t>
      </w:r>
      <w:r w:rsidRPr="008E6E59">
        <w:rPr>
          <w:rFonts w:ascii="Times New Roman" w:hAnsi="Times New Roman" w:cs="Times New Roman"/>
          <w:color w:val="000000" w:themeColor="text1"/>
        </w:rPr>
        <w:t xml:space="preserve"> </w:t>
      </w:r>
      <w:r w:rsidR="000B1460" w:rsidRPr="008E6E59">
        <w:rPr>
          <w:rFonts w:ascii="Times New Roman" w:hAnsi="Times New Roman" w:cs="Times New Roman"/>
          <w:color w:val="000000" w:themeColor="text1"/>
        </w:rPr>
        <w:t>contends</w:t>
      </w:r>
      <w:r w:rsidR="006B4628">
        <w:rPr>
          <w:rFonts w:ascii="Times New Roman" w:hAnsi="Times New Roman" w:cs="Times New Roman"/>
          <w:color w:val="000000" w:themeColor="text1"/>
        </w:rPr>
        <w:t xml:space="preserve"> that</w:t>
      </w:r>
      <w:r w:rsidRPr="008E6E59">
        <w:rPr>
          <w:rFonts w:ascii="Times New Roman" w:hAnsi="Times New Roman" w:cs="Times New Roman"/>
          <w:color w:val="000000" w:themeColor="text1"/>
        </w:rPr>
        <w:t xml:space="preserve"> </w:t>
      </w:r>
      <w:r w:rsidR="006B4628">
        <w:rPr>
          <w:rFonts w:ascii="Times New Roman" w:hAnsi="Times New Roman" w:cs="Times New Roman"/>
          <w:color w:val="000000" w:themeColor="text1"/>
        </w:rPr>
        <w:t>BLC</w:t>
      </w:r>
      <w:r w:rsidRPr="008E6E59">
        <w:rPr>
          <w:rFonts w:ascii="Times New Roman" w:hAnsi="Times New Roman" w:cs="Times New Roman"/>
          <w:color w:val="000000" w:themeColor="text1"/>
        </w:rPr>
        <w:t xml:space="preserve"> operates through the impact of monetary policy on banks</w:t>
      </w:r>
      <w:r w:rsidR="00A8653F">
        <w:rPr>
          <w:rFonts w:ascii="Times New Roman" w:hAnsi="Times New Roman" w:cs="Times New Roman"/>
          <w:color w:val="000000" w:themeColor="text1"/>
        </w:rPr>
        <w:t>’</w:t>
      </w:r>
      <w:r w:rsidRPr="008E6E59">
        <w:rPr>
          <w:rFonts w:ascii="Times New Roman" w:hAnsi="Times New Roman" w:cs="Times New Roman"/>
          <w:color w:val="000000" w:themeColor="text1"/>
        </w:rPr>
        <w:t xml:space="preserve"> external finance premium which is determined by </w:t>
      </w:r>
      <w:r w:rsidR="00D7593F" w:rsidRPr="008E6E59">
        <w:rPr>
          <w:rFonts w:ascii="Times New Roman" w:hAnsi="Times New Roman" w:cs="Times New Roman"/>
          <w:color w:val="000000" w:themeColor="text1"/>
        </w:rPr>
        <w:t>its</w:t>
      </w:r>
      <w:r w:rsidRPr="008E6E59">
        <w:rPr>
          <w:rFonts w:ascii="Times New Roman" w:hAnsi="Times New Roman" w:cs="Times New Roman"/>
          <w:color w:val="000000" w:themeColor="text1"/>
        </w:rPr>
        <w:t xml:space="preserve"> balance</w:t>
      </w:r>
      <w:r w:rsidR="008B16AE" w:rsidRPr="008E6E59">
        <w:rPr>
          <w:rFonts w:ascii="Times New Roman" w:hAnsi="Times New Roman" w:cs="Times New Roman"/>
          <w:color w:val="000000" w:themeColor="text1"/>
        </w:rPr>
        <w:t xml:space="preserve"> sheet</w:t>
      </w:r>
      <w:r w:rsidRPr="008E6E59">
        <w:rPr>
          <w:rFonts w:ascii="Times New Roman" w:hAnsi="Times New Roman" w:cs="Times New Roman"/>
          <w:color w:val="000000" w:themeColor="text1"/>
        </w:rPr>
        <w:t xml:space="preserve"> strength</w:t>
      </w:r>
      <w:r w:rsidR="00345162" w:rsidRPr="008E6E59">
        <w:rPr>
          <w:rFonts w:ascii="Times New Roman" w:hAnsi="Times New Roman" w:cs="Times New Roman"/>
          <w:color w:val="000000" w:themeColor="text1"/>
        </w:rPr>
        <w:t xml:space="preserve"> and risk perception</w:t>
      </w:r>
      <w:r w:rsidRPr="008E6E59">
        <w:rPr>
          <w:rFonts w:ascii="Times New Roman" w:hAnsi="Times New Roman" w:cs="Times New Roman"/>
          <w:color w:val="000000" w:themeColor="text1"/>
        </w:rPr>
        <w:t xml:space="preserve">. </w:t>
      </w:r>
      <w:r w:rsidRPr="004B29BD">
        <w:rPr>
          <w:rFonts w:ascii="Times New Roman" w:hAnsi="Times New Roman" w:cs="Times New Roman"/>
          <w:color w:val="000000" w:themeColor="text1"/>
        </w:rPr>
        <w:t>Beside</w:t>
      </w:r>
      <w:r w:rsidR="00AA0BEE" w:rsidRPr="004B29BD">
        <w:rPr>
          <w:rFonts w:ascii="Times New Roman" w:hAnsi="Times New Roman" w:cs="Times New Roman"/>
          <w:color w:val="000000" w:themeColor="text1"/>
        </w:rPr>
        <w:t>s</w:t>
      </w:r>
      <w:r w:rsidRPr="008E6E59">
        <w:rPr>
          <w:rFonts w:ascii="Times New Roman" w:hAnsi="Times New Roman" w:cs="Times New Roman"/>
          <w:color w:val="000000" w:themeColor="text1"/>
        </w:rPr>
        <w:t xml:space="preserve"> demand, supply of</w:t>
      </w:r>
      <w:r w:rsidR="001A4185">
        <w:rPr>
          <w:rFonts w:ascii="Times New Roman" w:hAnsi="Times New Roman" w:cs="Times New Roman"/>
          <w:color w:val="000000" w:themeColor="text1"/>
        </w:rPr>
        <w:t xml:space="preserve"> bank</w:t>
      </w:r>
      <w:r w:rsidR="00F04C81" w:rsidRPr="008E6E59">
        <w:rPr>
          <w:rFonts w:ascii="Times New Roman" w:hAnsi="Times New Roman" w:cs="Times New Roman"/>
          <w:color w:val="000000" w:themeColor="text1"/>
        </w:rPr>
        <w:t xml:space="preserve"> </w:t>
      </w:r>
      <w:r w:rsidRPr="008E6E59">
        <w:rPr>
          <w:rFonts w:ascii="Times New Roman" w:hAnsi="Times New Roman" w:cs="Times New Roman"/>
          <w:color w:val="000000" w:themeColor="text1"/>
        </w:rPr>
        <w:t>loans is influenced by funding conditions in the market</w:t>
      </w:r>
      <w:r w:rsidR="00345162" w:rsidRPr="008E6E59">
        <w:rPr>
          <w:rFonts w:ascii="Times New Roman" w:hAnsi="Times New Roman" w:cs="Times New Roman"/>
          <w:color w:val="000000" w:themeColor="text1"/>
        </w:rPr>
        <w:t xml:space="preserve">. The impact of monetary policy changes </w:t>
      </w:r>
      <w:r w:rsidR="00F93B2C">
        <w:rPr>
          <w:rFonts w:ascii="Times New Roman" w:hAnsi="Times New Roman" w:cs="Times New Roman"/>
          <w:color w:val="000000" w:themeColor="text1"/>
        </w:rPr>
        <w:t>is</w:t>
      </w:r>
      <w:r w:rsidR="00117A3B">
        <w:rPr>
          <w:rFonts w:ascii="Times New Roman" w:hAnsi="Times New Roman" w:cs="Times New Roman"/>
          <w:color w:val="000000" w:themeColor="text1"/>
        </w:rPr>
        <w:t xml:space="preserve"> then</w:t>
      </w:r>
      <w:r w:rsidR="00345162" w:rsidRPr="008E6E59">
        <w:rPr>
          <w:rFonts w:ascii="Times New Roman" w:hAnsi="Times New Roman" w:cs="Times New Roman"/>
          <w:color w:val="000000" w:themeColor="text1"/>
        </w:rPr>
        <w:t xml:space="preserve"> </w:t>
      </w:r>
      <w:r w:rsidR="00F03592" w:rsidRPr="008E6E59">
        <w:rPr>
          <w:rFonts w:ascii="Times New Roman" w:hAnsi="Times New Roman" w:cs="Times New Roman"/>
          <w:color w:val="000000" w:themeColor="text1"/>
        </w:rPr>
        <w:t>transmitted through</w:t>
      </w:r>
      <w:r w:rsidR="00345162" w:rsidRPr="008E6E59">
        <w:rPr>
          <w:rFonts w:ascii="Times New Roman" w:hAnsi="Times New Roman" w:cs="Times New Roman"/>
          <w:color w:val="000000" w:themeColor="text1"/>
        </w:rPr>
        <w:t xml:space="preserve"> </w:t>
      </w:r>
      <w:r w:rsidRPr="008E6E59">
        <w:rPr>
          <w:rFonts w:ascii="Times New Roman" w:hAnsi="Times New Roman" w:cs="Times New Roman"/>
          <w:color w:val="000000" w:themeColor="text1"/>
        </w:rPr>
        <w:t>changes in required rate of returns rather than changes</w:t>
      </w:r>
      <w:r w:rsidR="0074654A" w:rsidRPr="008E6E59">
        <w:rPr>
          <w:rFonts w:ascii="Times New Roman" w:hAnsi="Times New Roman" w:cs="Times New Roman"/>
          <w:color w:val="000000" w:themeColor="text1"/>
        </w:rPr>
        <w:t xml:space="preserve"> </w:t>
      </w:r>
      <w:r w:rsidRPr="008E6E59">
        <w:rPr>
          <w:rFonts w:ascii="Times New Roman" w:hAnsi="Times New Roman" w:cs="Times New Roman"/>
          <w:color w:val="000000" w:themeColor="text1"/>
        </w:rPr>
        <w:t>in</w:t>
      </w:r>
      <w:r w:rsidR="00345162" w:rsidRPr="008E6E59">
        <w:rPr>
          <w:rFonts w:ascii="Times New Roman" w:hAnsi="Times New Roman" w:cs="Times New Roman"/>
          <w:color w:val="000000" w:themeColor="text1"/>
        </w:rPr>
        <w:t xml:space="preserve"> quantity of</w:t>
      </w:r>
      <w:r w:rsidRPr="008E6E59">
        <w:rPr>
          <w:rFonts w:ascii="Times New Roman" w:hAnsi="Times New Roman" w:cs="Times New Roman"/>
          <w:color w:val="000000" w:themeColor="text1"/>
        </w:rPr>
        <w:t xml:space="preserve"> deposits. Thus, according to the two views a contraction in monetary </w:t>
      </w:r>
      <w:r w:rsidR="00BA6E30" w:rsidRPr="008E6E59">
        <w:rPr>
          <w:rFonts w:ascii="Times New Roman" w:hAnsi="Times New Roman" w:cs="Times New Roman"/>
          <w:color w:val="000000" w:themeColor="text1"/>
        </w:rPr>
        <w:t>policy can</w:t>
      </w:r>
      <w:r w:rsidRPr="008E6E59">
        <w:rPr>
          <w:rFonts w:ascii="Times New Roman" w:hAnsi="Times New Roman" w:cs="Times New Roman"/>
          <w:color w:val="000000" w:themeColor="text1"/>
        </w:rPr>
        <w:t xml:space="preserve"> lead either to a decrease in </w:t>
      </w:r>
      <w:r w:rsidR="001A4185">
        <w:rPr>
          <w:rFonts w:ascii="Times New Roman" w:hAnsi="Times New Roman" w:cs="Times New Roman"/>
          <w:color w:val="000000" w:themeColor="text1"/>
        </w:rPr>
        <w:t>quantity</w:t>
      </w:r>
      <w:r w:rsidRPr="008E6E59">
        <w:rPr>
          <w:rFonts w:ascii="Times New Roman" w:hAnsi="Times New Roman" w:cs="Times New Roman"/>
          <w:color w:val="000000" w:themeColor="text1"/>
        </w:rPr>
        <w:t xml:space="preserve"> of liquidity or a disproportionate rise in the price of </w:t>
      </w:r>
      <w:r w:rsidR="00842FFF" w:rsidRPr="008E6E59">
        <w:rPr>
          <w:rFonts w:ascii="Times New Roman" w:hAnsi="Times New Roman" w:cs="Times New Roman"/>
          <w:color w:val="000000" w:themeColor="text1"/>
        </w:rPr>
        <w:t>liquid</w:t>
      </w:r>
      <w:r w:rsidR="009A6746">
        <w:rPr>
          <w:rFonts w:ascii="Times New Roman" w:hAnsi="Times New Roman" w:cs="Times New Roman"/>
          <w:color w:val="000000" w:themeColor="text1"/>
        </w:rPr>
        <w:t>ity</w:t>
      </w:r>
      <w:r w:rsidRPr="008E6E59">
        <w:rPr>
          <w:rFonts w:ascii="Times New Roman" w:hAnsi="Times New Roman" w:cs="Times New Roman"/>
          <w:color w:val="000000" w:themeColor="text1"/>
        </w:rPr>
        <w:t xml:space="preserve">. If banks </w:t>
      </w:r>
      <w:r w:rsidR="00AA0BEE" w:rsidRPr="004B29BD">
        <w:rPr>
          <w:rFonts w:ascii="Times New Roman" w:hAnsi="Times New Roman" w:cs="Times New Roman"/>
          <w:color w:val="000000" w:themeColor="text1"/>
        </w:rPr>
        <w:t>cannot</w:t>
      </w:r>
      <w:r w:rsidRPr="004B29BD">
        <w:rPr>
          <w:rFonts w:ascii="Times New Roman" w:hAnsi="Times New Roman" w:cs="Times New Roman"/>
          <w:color w:val="000000" w:themeColor="text1"/>
        </w:rPr>
        <w:t xml:space="preserve"> c</w:t>
      </w:r>
      <w:r w:rsidRPr="008E6E59">
        <w:rPr>
          <w:rFonts w:ascii="Times New Roman" w:hAnsi="Times New Roman" w:cs="Times New Roman"/>
          <w:color w:val="000000" w:themeColor="text1"/>
        </w:rPr>
        <w:t>ompensate this reduction in balance sheet strength by changing the composition of their portfolio or by increasing debt, they</w:t>
      </w:r>
      <w:r w:rsidR="00C05906" w:rsidRPr="008E6E59">
        <w:rPr>
          <w:rFonts w:ascii="Times New Roman" w:hAnsi="Times New Roman" w:cs="Times New Roman"/>
          <w:color w:val="000000" w:themeColor="text1"/>
        </w:rPr>
        <w:t xml:space="preserve"> ultimately</w:t>
      </w:r>
      <w:r w:rsidRPr="008E6E59">
        <w:rPr>
          <w:rFonts w:ascii="Times New Roman" w:hAnsi="Times New Roman" w:cs="Times New Roman"/>
          <w:color w:val="000000" w:themeColor="text1"/>
        </w:rPr>
        <w:t xml:space="preserve"> reduce loan supply. </w:t>
      </w:r>
      <w:r w:rsidRPr="008E6E59">
        <w:rPr>
          <w:rFonts w:ascii="Times New Roman" w:hAnsi="Times New Roman" w:cs="Times New Roman"/>
          <w:color w:val="000000"/>
        </w:rPr>
        <w:t xml:space="preserve"> </w:t>
      </w:r>
    </w:p>
    <w:p w14:paraId="6357D72C" w14:textId="543F59F0" w:rsidR="004B41A0" w:rsidRPr="00F57D2F" w:rsidRDefault="006A60C5" w:rsidP="00497AED">
      <w:pPr>
        <w:widowControl w:val="0"/>
        <w:autoSpaceDE w:val="0"/>
        <w:autoSpaceDN w:val="0"/>
        <w:adjustRightInd w:val="0"/>
        <w:spacing w:after="0" w:line="480" w:lineRule="auto"/>
        <w:ind w:right="91"/>
        <w:jc w:val="both"/>
        <w:rPr>
          <w:rFonts w:ascii="Times New Roman" w:hAnsi="Times New Roman" w:cs="Times New Roman"/>
          <w:color w:val="000000" w:themeColor="text1"/>
        </w:rPr>
      </w:pPr>
      <w:r>
        <w:rPr>
          <w:color w:val="FF0000"/>
        </w:rPr>
        <w:t xml:space="preserve"> </w:t>
      </w:r>
      <w:r w:rsidR="00DA684D">
        <w:rPr>
          <w:color w:val="FF0000"/>
        </w:rPr>
        <w:tab/>
      </w:r>
      <w:r w:rsidR="00907846" w:rsidRPr="00F57D2F">
        <w:rPr>
          <w:rFonts w:ascii="Times New Roman" w:hAnsi="Times New Roman" w:cs="Times New Roman"/>
          <w:color w:val="000000" w:themeColor="text1"/>
        </w:rPr>
        <w:t>T</w:t>
      </w:r>
      <w:r w:rsidRPr="00F57D2F">
        <w:rPr>
          <w:rFonts w:ascii="Times New Roman" w:hAnsi="Times New Roman" w:cs="Times New Roman"/>
          <w:color w:val="000000" w:themeColor="text1"/>
        </w:rPr>
        <w:t xml:space="preserve">he </w:t>
      </w:r>
      <w:r w:rsidR="002C555C" w:rsidRPr="00F57D2F">
        <w:rPr>
          <w:rFonts w:ascii="Times New Roman" w:hAnsi="Times New Roman" w:cs="Times New Roman"/>
          <w:color w:val="000000" w:themeColor="text1"/>
        </w:rPr>
        <w:t xml:space="preserve">existence </w:t>
      </w:r>
      <w:r w:rsidR="001A7876" w:rsidRPr="00F57D2F">
        <w:rPr>
          <w:rFonts w:ascii="Times New Roman" w:hAnsi="Times New Roman" w:cs="Times New Roman"/>
          <w:color w:val="000000" w:themeColor="text1"/>
        </w:rPr>
        <w:t>of</w:t>
      </w:r>
      <w:r w:rsidR="00B93224" w:rsidRPr="00F57D2F">
        <w:rPr>
          <w:rFonts w:ascii="Times New Roman" w:hAnsi="Times New Roman" w:cs="Times New Roman"/>
          <w:color w:val="000000" w:themeColor="text1"/>
        </w:rPr>
        <w:t xml:space="preserve"> the</w:t>
      </w:r>
      <w:r w:rsidRPr="00F57D2F">
        <w:rPr>
          <w:rFonts w:ascii="Times New Roman" w:hAnsi="Times New Roman" w:cs="Times New Roman"/>
          <w:color w:val="000000" w:themeColor="text1"/>
        </w:rPr>
        <w:t xml:space="preserve"> BLC</w:t>
      </w:r>
      <w:r w:rsidR="00F70986" w:rsidRPr="00F57D2F">
        <w:rPr>
          <w:rFonts w:ascii="Times New Roman" w:hAnsi="Times New Roman" w:cs="Times New Roman"/>
          <w:color w:val="000000" w:themeColor="text1"/>
        </w:rPr>
        <w:t xml:space="preserve"> </w:t>
      </w:r>
      <w:r w:rsidR="002C555C" w:rsidRPr="00F57D2F">
        <w:rPr>
          <w:rFonts w:ascii="Times New Roman" w:hAnsi="Times New Roman" w:cs="Times New Roman"/>
          <w:color w:val="000000" w:themeColor="text1"/>
        </w:rPr>
        <w:t>depends on the assumption that</w:t>
      </w:r>
      <w:r w:rsidR="005461CC" w:rsidRPr="00F57D2F">
        <w:rPr>
          <w:rFonts w:ascii="Times New Roman" w:hAnsi="Times New Roman" w:cs="Times New Roman"/>
          <w:color w:val="000000" w:themeColor="text1"/>
        </w:rPr>
        <w:t xml:space="preserve"> asymmetric information</w:t>
      </w:r>
      <w:r w:rsidR="001A7876" w:rsidRPr="00F57D2F">
        <w:rPr>
          <w:rFonts w:ascii="Times New Roman" w:hAnsi="Times New Roman" w:cs="Times New Roman"/>
          <w:color w:val="000000" w:themeColor="text1"/>
        </w:rPr>
        <w:t xml:space="preserve"> </w:t>
      </w:r>
      <w:r w:rsidR="00CA2234" w:rsidRPr="00F57D2F">
        <w:rPr>
          <w:rFonts w:ascii="Times New Roman" w:hAnsi="Times New Roman" w:cs="Times New Roman"/>
          <w:color w:val="000000" w:themeColor="text1"/>
        </w:rPr>
        <w:t>exist</w:t>
      </w:r>
      <w:r w:rsidR="00E55C45">
        <w:rPr>
          <w:rFonts w:ascii="Times New Roman" w:hAnsi="Times New Roman" w:cs="Times New Roman"/>
          <w:color w:val="000000" w:themeColor="text1"/>
        </w:rPr>
        <w:t>s</w:t>
      </w:r>
      <w:r w:rsidR="001A7876" w:rsidRPr="00F57D2F">
        <w:rPr>
          <w:rFonts w:ascii="Times New Roman" w:hAnsi="Times New Roman" w:cs="Times New Roman"/>
          <w:color w:val="000000" w:themeColor="text1"/>
        </w:rPr>
        <w:t xml:space="preserve"> </w:t>
      </w:r>
      <w:r w:rsidR="009A78B9" w:rsidRPr="00F57D2F">
        <w:rPr>
          <w:rFonts w:ascii="Times New Roman" w:hAnsi="Times New Roman" w:cs="Times New Roman"/>
          <w:color w:val="000000" w:themeColor="text1"/>
        </w:rPr>
        <w:t>between</w:t>
      </w:r>
      <w:r w:rsidR="005461CC" w:rsidRPr="00F57D2F">
        <w:rPr>
          <w:rFonts w:ascii="Times New Roman" w:hAnsi="Times New Roman" w:cs="Times New Roman"/>
          <w:color w:val="000000" w:themeColor="text1"/>
        </w:rPr>
        <w:t xml:space="preserve"> borrowers</w:t>
      </w:r>
      <w:r w:rsidR="009A78B9" w:rsidRPr="00F57D2F">
        <w:rPr>
          <w:rFonts w:ascii="Times New Roman" w:hAnsi="Times New Roman" w:cs="Times New Roman"/>
          <w:color w:val="000000" w:themeColor="text1"/>
        </w:rPr>
        <w:t xml:space="preserve"> and </w:t>
      </w:r>
      <w:r w:rsidR="00274D2D" w:rsidRPr="00F57D2F">
        <w:rPr>
          <w:rFonts w:ascii="Times New Roman" w:hAnsi="Times New Roman" w:cs="Times New Roman"/>
          <w:color w:val="000000" w:themeColor="text1"/>
        </w:rPr>
        <w:t>lenders,</w:t>
      </w:r>
      <w:r w:rsidR="004A2FAD">
        <w:rPr>
          <w:rFonts w:ascii="Times New Roman" w:hAnsi="Times New Roman" w:cs="Times New Roman"/>
          <w:color w:val="000000" w:themeColor="text1"/>
        </w:rPr>
        <w:t xml:space="preserve"> is</w:t>
      </w:r>
      <w:r w:rsidR="00012B8F" w:rsidRPr="00F57D2F">
        <w:rPr>
          <w:rFonts w:ascii="Times New Roman" w:hAnsi="Times New Roman" w:cs="Times New Roman"/>
          <w:color w:val="000000" w:themeColor="text1"/>
        </w:rPr>
        <w:t xml:space="preserve"> </w:t>
      </w:r>
      <w:r w:rsidR="00882850" w:rsidRPr="00F57D2F">
        <w:rPr>
          <w:rFonts w:ascii="Times New Roman" w:hAnsi="Times New Roman" w:cs="Times New Roman"/>
          <w:color w:val="000000" w:themeColor="text1"/>
        </w:rPr>
        <w:t xml:space="preserve">reflected in </w:t>
      </w:r>
      <w:r w:rsidR="00F708DA" w:rsidRPr="00F57D2F">
        <w:rPr>
          <w:rFonts w:ascii="Times New Roman" w:hAnsi="Times New Roman" w:cs="Times New Roman"/>
          <w:color w:val="000000" w:themeColor="text1"/>
        </w:rPr>
        <w:t>banks</w:t>
      </w:r>
      <w:r w:rsidR="00882850" w:rsidRPr="00F57D2F">
        <w:rPr>
          <w:rFonts w:ascii="Times New Roman" w:hAnsi="Times New Roman" w:cs="Times New Roman"/>
          <w:color w:val="000000" w:themeColor="text1"/>
        </w:rPr>
        <w:t xml:space="preserve"> external finance premium</w:t>
      </w:r>
      <w:r w:rsidR="00907846" w:rsidRPr="00F57D2F">
        <w:rPr>
          <w:rFonts w:ascii="Times New Roman" w:hAnsi="Times New Roman" w:cs="Times New Roman"/>
          <w:color w:val="000000" w:themeColor="text1"/>
        </w:rPr>
        <w:t xml:space="preserve">. </w:t>
      </w:r>
      <w:r w:rsidR="00CA7D65">
        <w:rPr>
          <w:rFonts w:ascii="Times New Roman" w:hAnsi="Times New Roman" w:cs="Times New Roman"/>
          <w:color w:val="000000" w:themeColor="text1"/>
        </w:rPr>
        <w:t>With</w:t>
      </w:r>
      <w:r w:rsidR="00F708DA" w:rsidRPr="00F57D2F">
        <w:rPr>
          <w:rFonts w:ascii="Times New Roman" w:hAnsi="Times New Roman" w:cs="Times New Roman"/>
          <w:color w:val="000000" w:themeColor="text1"/>
        </w:rPr>
        <w:t xml:space="preserve"> </w:t>
      </w:r>
      <w:r w:rsidR="00796628" w:rsidRPr="00F57D2F">
        <w:rPr>
          <w:rFonts w:ascii="Times New Roman" w:hAnsi="Times New Roman" w:cs="Times New Roman"/>
          <w:color w:val="000000" w:themeColor="text1"/>
        </w:rPr>
        <w:t>asymmetric information</w:t>
      </w:r>
      <w:r w:rsidR="00FC55C3" w:rsidRPr="00F57D2F">
        <w:rPr>
          <w:rFonts w:ascii="Times New Roman" w:hAnsi="Times New Roman" w:cs="Times New Roman"/>
          <w:color w:val="000000" w:themeColor="text1"/>
        </w:rPr>
        <w:t xml:space="preserve"> </w:t>
      </w:r>
      <w:r w:rsidR="00CA7D65">
        <w:rPr>
          <w:rFonts w:ascii="Times New Roman" w:hAnsi="Times New Roman" w:cs="Times New Roman"/>
          <w:color w:val="000000" w:themeColor="text1"/>
        </w:rPr>
        <w:t>varying</w:t>
      </w:r>
      <w:r w:rsidR="00FC55C3" w:rsidRPr="00F57D2F">
        <w:rPr>
          <w:rFonts w:ascii="Times New Roman" w:hAnsi="Times New Roman" w:cs="Times New Roman"/>
          <w:color w:val="000000" w:themeColor="text1"/>
        </w:rPr>
        <w:t xml:space="preserve"> over the</w:t>
      </w:r>
      <w:r w:rsidR="00796628" w:rsidRPr="00F57D2F">
        <w:rPr>
          <w:rFonts w:ascii="Times New Roman" w:hAnsi="Times New Roman" w:cs="Times New Roman"/>
          <w:color w:val="000000" w:themeColor="text1"/>
        </w:rPr>
        <w:t xml:space="preserve"> business </w:t>
      </w:r>
      <w:r w:rsidR="00882850" w:rsidRPr="00F57D2F">
        <w:rPr>
          <w:rFonts w:ascii="Times New Roman" w:hAnsi="Times New Roman" w:cs="Times New Roman"/>
          <w:color w:val="000000" w:themeColor="text1"/>
        </w:rPr>
        <w:t>cycle</w:t>
      </w:r>
      <w:r w:rsidR="00274D2D" w:rsidRPr="00F57D2F">
        <w:rPr>
          <w:rFonts w:ascii="Times New Roman" w:hAnsi="Times New Roman" w:cs="Times New Roman"/>
          <w:color w:val="000000" w:themeColor="text1"/>
        </w:rPr>
        <w:t>,</w:t>
      </w:r>
      <w:r w:rsidR="00882850" w:rsidRPr="00F57D2F">
        <w:rPr>
          <w:rFonts w:ascii="Times New Roman" w:hAnsi="Times New Roman" w:cs="Times New Roman"/>
          <w:color w:val="000000" w:themeColor="text1"/>
        </w:rPr>
        <w:t xml:space="preserve"> it</w:t>
      </w:r>
      <w:r w:rsidR="00796628" w:rsidRPr="00F57D2F">
        <w:rPr>
          <w:rFonts w:ascii="Times New Roman" w:hAnsi="Times New Roman" w:cs="Times New Roman"/>
          <w:color w:val="000000" w:themeColor="text1"/>
        </w:rPr>
        <w:t xml:space="preserve"> become</w:t>
      </w:r>
      <w:r w:rsidR="007E5A75" w:rsidRPr="00F57D2F">
        <w:rPr>
          <w:rFonts w:ascii="Times New Roman" w:hAnsi="Times New Roman" w:cs="Times New Roman"/>
          <w:color w:val="000000" w:themeColor="text1"/>
        </w:rPr>
        <w:t>s</w:t>
      </w:r>
      <w:r w:rsidR="007F36B4" w:rsidRPr="00F57D2F">
        <w:rPr>
          <w:rFonts w:ascii="Times New Roman" w:hAnsi="Times New Roman" w:cs="Times New Roman"/>
          <w:color w:val="000000" w:themeColor="text1"/>
        </w:rPr>
        <w:t xml:space="preserve"> </w:t>
      </w:r>
      <w:r w:rsidR="00796628" w:rsidRPr="00F57D2F">
        <w:rPr>
          <w:rFonts w:ascii="Times New Roman" w:hAnsi="Times New Roman" w:cs="Times New Roman"/>
          <w:color w:val="000000" w:themeColor="text1"/>
        </w:rPr>
        <w:t>imperative</w:t>
      </w:r>
      <w:r w:rsidR="00882850" w:rsidRPr="00F57D2F">
        <w:rPr>
          <w:rFonts w:ascii="Times New Roman" w:hAnsi="Times New Roman" w:cs="Times New Roman"/>
          <w:color w:val="000000" w:themeColor="text1"/>
        </w:rPr>
        <w:t xml:space="preserve"> extern</w:t>
      </w:r>
      <w:r w:rsidR="00B9708B" w:rsidRPr="00F57D2F">
        <w:rPr>
          <w:rFonts w:ascii="Times New Roman" w:hAnsi="Times New Roman" w:cs="Times New Roman"/>
          <w:color w:val="000000" w:themeColor="text1"/>
        </w:rPr>
        <w:t xml:space="preserve">al premium will </w:t>
      </w:r>
      <w:r w:rsidR="008D0B81" w:rsidRPr="00F57D2F">
        <w:rPr>
          <w:rFonts w:ascii="Times New Roman" w:hAnsi="Times New Roman" w:cs="Times New Roman"/>
          <w:color w:val="000000" w:themeColor="text1"/>
        </w:rPr>
        <w:t>vary</w:t>
      </w:r>
      <w:r w:rsidR="005931EF">
        <w:rPr>
          <w:rFonts w:ascii="Times New Roman" w:hAnsi="Times New Roman" w:cs="Times New Roman"/>
          <w:color w:val="000000" w:themeColor="text1"/>
        </w:rPr>
        <w:t xml:space="preserve"> also</w:t>
      </w:r>
      <w:r w:rsidR="008D0B81" w:rsidRPr="00F57D2F">
        <w:rPr>
          <w:rFonts w:ascii="Times New Roman" w:hAnsi="Times New Roman" w:cs="Times New Roman"/>
          <w:color w:val="000000" w:themeColor="text1"/>
        </w:rPr>
        <w:t>,</w:t>
      </w:r>
      <w:r w:rsidR="00B9708B" w:rsidRPr="00F57D2F">
        <w:rPr>
          <w:rFonts w:ascii="Times New Roman" w:hAnsi="Times New Roman" w:cs="Times New Roman"/>
          <w:color w:val="000000" w:themeColor="text1"/>
        </w:rPr>
        <w:t xml:space="preserve"> </w:t>
      </w:r>
      <w:r w:rsidR="00CA2234">
        <w:rPr>
          <w:rFonts w:ascii="Times New Roman" w:hAnsi="Times New Roman" w:cs="Times New Roman"/>
          <w:color w:val="000000" w:themeColor="text1"/>
        </w:rPr>
        <w:t>increasing</w:t>
      </w:r>
      <w:r w:rsidR="00B9708B" w:rsidRPr="00F57D2F">
        <w:rPr>
          <w:rFonts w:ascii="Times New Roman" w:hAnsi="Times New Roman" w:cs="Times New Roman"/>
          <w:color w:val="000000" w:themeColor="text1"/>
        </w:rPr>
        <w:t xml:space="preserve"> during periods of financial stress and less during expansion. </w:t>
      </w:r>
      <w:r w:rsidR="00B51F0A" w:rsidRPr="00F57D2F">
        <w:rPr>
          <w:rFonts w:ascii="Times New Roman" w:hAnsi="Times New Roman" w:cs="Times New Roman"/>
          <w:color w:val="000000" w:themeColor="text1"/>
        </w:rPr>
        <w:t>During recession in</w:t>
      </w:r>
      <w:r w:rsidR="00B9708B" w:rsidRPr="00F57D2F">
        <w:rPr>
          <w:rFonts w:ascii="Times New Roman" w:hAnsi="Times New Roman" w:cs="Times New Roman"/>
          <w:color w:val="000000" w:themeColor="text1"/>
        </w:rPr>
        <w:t xml:space="preserve"> the</w:t>
      </w:r>
      <w:r w:rsidR="00F708DA" w:rsidRPr="00F57D2F">
        <w:rPr>
          <w:rFonts w:ascii="Times New Roman" w:hAnsi="Times New Roman" w:cs="Times New Roman"/>
          <w:color w:val="000000" w:themeColor="text1"/>
        </w:rPr>
        <w:t xml:space="preserve"> presence of</w:t>
      </w:r>
      <w:r w:rsidR="00B9708B" w:rsidRPr="00F57D2F">
        <w:rPr>
          <w:rFonts w:ascii="Times New Roman" w:hAnsi="Times New Roman" w:cs="Times New Roman"/>
          <w:color w:val="000000" w:themeColor="text1"/>
        </w:rPr>
        <w:t xml:space="preserve"> </w:t>
      </w:r>
      <w:r w:rsidR="000615D9" w:rsidRPr="00F57D2F">
        <w:rPr>
          <w:rFonts w:ascii="Times New Roman" w:hAnsi="Times New Roman" w:cs="Times New Roman"/>
          <w:color w:val="000000" w:themeColor="text1"/>
        </w:rPr>
        <w:t>add</w:t>
      </w:r>
      <w:r w:rsidR="00F708DA" w:rsidRPr="00F57D2F">
        <w:rPr>
          <w:rFonts w:ascii="Times New Roman" w:hAnsi="Times New Roman" w:cs="Times New Roman"/>
          <w:color w:val="000000" w:themeColor="text1"/>
        </w:rPr>
        <w:t>itional funding cost</w:t>
      </w:r>
      <w:r w:rsidR="008D0B81" w:rsidRPr="00F57D2F">
        <w:rPr>
          <w:rFonts w:ascii="Times New Roman" w:hAnsi="Times New Roman" w:cs="Times New Roman"/>
          <w:color w:val="000000" w:themeColor="text1"/>
        </w:rPr>
        <w:t xml:space="preserve"> an expansionary monetary policy become</w:t>
      </w:r>
      <w:r w:rsidR="004416EB" w:rsidRPr="00F57D2F">
        <w:rPr>
          <w:rFonts w:ascii="Times New Roman" w:hAnsi="Times New Roman" w:cs="Times New Roman"/>
          <w:color w:val="000000" w:themeColor="text1"/>
        </w:rPr>
        <w:t>s</w:t>
      </w:r>
      <w:r w:rsidR="008D0B81" w:rsidRPr="00F57D2F">
        <w:rPr>
          <w:rFonts w:ascii="Times New Roman" w:hAnsi="Times New Roman" w:cs="Times New Roman"/>
          <w:color w:val="000000" w:themeColor="text1"/>
        </w:rPr>
        <w:t xml:space="preserve"> less effective in generating </w:t>
      </w:r>
      <w:r w:rsidR="004416EB" w:rsidRPr="00F57D2F">
        <w:rPr>
          <w:rFonts w:ascii="Times New Roman" w:hAnsi="Times New Roman" w:cs="Times New Roman"/>
          <w:color w:val="000000" w:themeColor="text1"/>
        </w:rPr>
        <w:t>liquidity</w:t>
      </w:r>
      <w:r w:rsidR="008D0B81" w:rsidRPr="00F57D2F">
        <w:rPr>
          <w:rFonts w:ascii="Times New Roman" w:hAnsi="Times New Roman" w:cs="Times New Roman"/>
          <w:color w:val="000000" w:themeColor="text1"/>
        </w:rPr>
        <w:t xml:space="preserve"> and loan</w:t>
      </w:r>
      <w:r w:rsidR="00274D2D" w:rsidRPr="00F57D2F">
        <w:rPr>
          <w:rFonts w:ascii="Times New Roman" w:hAnsi="Times New Roman" w:cs="Times New Roman"/>
          <w:color w:val="000000" w:themeColor="text1"/>
        </w:rPr>
        <w:t>s</w:t>
      </w:r>
      <w:r w:rsidR="008D0B81" w:rsidRPr="00F57D2F">
        <w:rPr>
          <w:rFonts w:ascii="Times New Roman" w:hAnsi="Times New Roman" w:cs="Times New Roman"/>
          <w:color w:val="000000" w:themeColor="text1"/>
        </w:rPr>
        <w:t xml:space="preserve"> compared </w:t>
      </w:r>
      <w:r w:rsidR="00FC55C3" w:rsidRPr="00F57D2F">
        <w:rPr>
          <w:rFonts w:ascii="Times New Roman" w:hAnsi="Times New Roman" w:cs="Times New Roman"/>
          <w:color w:val="000000" w:themeColor="text1"/>
        </w:rPr>
        <w:t>to</w:t>
      </w:r>
      <w:r w:rsidR="008D0B81" w:rsidRPr="00F57D2F">
        <w:rPr>
          <w:rFonts w:ascii="Times New Roman" w:hAnsi="Times New Roman" w:cs="Times New Roman"/>
          <w:color w:val="000000" w:themeColor="text1"/>
        </w:rPr>
        <w:t xml:space="preserve"> similar sized shock in expan</w:t>
      </w:r>
      <w:r w:rsidR="004A2FAD">
        <w:rPr>
          <w:rFonts w:ascii="Times New Roman" w:hAnsi="Times New Roman" w:cs="Times New Roman"/>
          <w:color w:val="000000" w:themeColor="text1"/>
        </w:rPr>
        <w:t>sion</w:t>
      </w:r>
      <w:r w:rsidR="00796628" w:rsidRPr="00F57D2F">
        <w:rPr>
          <w:rFonts w:ascii="Times New Roman" w:hAnsi="Times New Roman" w:cs="Times New Roman"/>
          <w:color w:val="000000" w:themeColor="text1"/>
        </w:rPr>
        <w:t>.</w:t>
      </w:r>
      <w:r w:rsidR="007F670E" w:rsidRPr="00F57D2F">
        <w:rPr>
          <w:rFonts w:ascii="Times New Roman" w:hAnsi="Times New Roman" w:cs="Times New Roman"/>
          <w:color w:val="000000" w:themeColor="text1"/>
        </w:rPr>
        <w:t xml:space="preserve"> </w:t>
      </w:r>
      <w:r w:rsidR="007D1C0B" w:rsidRPr="00F57D2F">
        <w:rPr>
          <w:rFonts w:ascii="Times New Roman" w:hAnsi="Times New Roman" w:cs="Times New Roman"/>
          <w:color w:val="000000" w:themeColor="text1"/>
        </w:rPr>
        <w:t>With</w:t>
      </w:r>
      <w:r w:rsidR="007A198E">
        <w:rPr>
          <w:rFonts w:ascii="Times New Roman" w:hAnsi="Times New Roman" w:cs="Times New Roman"/>
          <w:color w:val="000000" w:themeColor="text1"/>
        </w:rPr>
        <w:t xml:space="preserve"> more</w:t>
      </w:r>
      <w:r w:rsidR="00345E03" w:rsidRPr="00F57D2F">
        <w:rPr>
          <w:rFonts w:ascii="Times New Roman" w:hAnsi="Times New Roman" w:cs="Times New Roman"/>
          <w:color w:val="000000" w:themeColor="text1"/>
        </w:rPr>
        <w:t xml:space="preserve"> </w:t>
      </w:r>
      <w:r w:rsidR="007A6B01" w:rsidRPr="00F57D2F">
        <w:rPr>
          <w:rFonts w:ascii="Times New Roman" w:hAnsi="Times New Roman" w:cs="Times New Roman"/>
          <w:color w:val="000000" w:themeColor="text1"/>
        </w:rPr>
        <w:t>dependen</w:t>
      </w:r>
      <w:r w:rsidR="00540B6F">
        <w:rPr>
          <w:rFonts w:ascii="Times New Roman" w:hAnsi="Times New Roman" w:cs="Times New Roman"/>
          <w:color w:val="000000" w:themeColor="text1"/>
        </w:rPr>
        <w:t>ce</w:t>
      </w:r>
      <w:r w:rsidR="007A6B01" w:rsidRPr="00F57D2F">
        <w:rPr>
          <w:rFonts w:ascii="Times New Roman" w:hAnsi="Times New Roman" w:cs="Times New Roman"/>
          <w:color w:val="000000" w:themeColor="text1"/>
        </w:rPr>
        <w:t xml:space="preserve"> </w:t>
      </w:r>
      <w:r w:rsidR="007A6B01" w:rsidRPr="00F57D2F">
        <w:rPr>
          <w:rFonts w:ascii="Times New Roman" w:hAnsi="Times New Roman" w:cs="Times New Roman"/>
          <w:color w:val="000000" w:themeColor="text1"/>
        </w:rPr>
        <w:lastRenderedPageBreak/>
        <w:t xml:space="preserve">on </w:t>
      </w:r>
      <w:r w:rsidR="00372E1C" w:rsidRPr="00F57D2F">
        <w:rPr>
          <w:rFonts w:ascii="Times New Roman" w:hAnsi="Times New Roman" w:cs="Times New Roman"/>
          <w:color w:val="000000" w:themeColor="text1"/>
        </w:rPr>
        <w:t>market-based</w:t>
      </w:r>
      <w:r w:rsidR="005461CC" w:rsidRPr="00F57D2F">
        <w:rPr>
          <w:rFonts w:ascii="Times New Roman" w:hAnsi="Times New Roman" w:cs="Times New Roman"/>
          <w:color w:val="000000" w:themeColor="text1"/>
        </w:rPr>
        <w:t xml:space="preserve"> funding</w:t>
      </w:r>
      <w:r w:rsidR="00540B6F">
        <w:rPr>
          <w:rFonts w:ascii="Times New Roman" w:hAnsi="Times New Roman" w:cs="Times New Roman"/>
          <w:color w:val="000000" w:themeColor="text1"/>
        </w:rPr>
        <w:t xml:space="preserve"> </w:t>
      </w:r>
      <w:r w:rsidR="00DC5D48">
        <w:rPr>
          <w:rFonts w:ascii="Times New Roman" w:hAnsi="Times New Roman" w:cs="Times New Roman"/>
          <w:color w:val="000000" w:themeColor="text1"/>
        </w:rPr>
        <w:t>banks</w:t>
      </w:r>
      <w:r w:rsidR="00540B6F">
        <w:rPr>
          <w:rFonts w:ascii="Times New Roman" w:hAnsi="Times New Roman" w:cs="Times New Roman"/>
          <w:color w:val="000000" w:themeColor="text1"/>
        </w:rPr>
        <w:t xml:space="preserve"> have become</w:t>
      </w:r>
      <w:r w:rsidR="005461CC" w:rsidRPr="00F57D2F">
        <w:rPr>
          <w:rFonts w:ascii="Times New Roman" w:hAnsi="Times New Roman" w:cs="Times New Roman"/>
          <w:color w:val="000000" w:themeColor="text1"/>
        </w:rPr>
        <w:t xml:space="preserve"> </w:t>
      </w:r>
      <w:r w:rsidR="001B2D10" w:rsidRPr="00F57D2F">
        <w:rPr>
          <w:rFonts w:ascii="Times New Roman" w:hAnsi="Times New Roman" w:cs="Times New Roman"/>
          <w:color w:val="000000" w:themeColor="text1"/>
        </w:rPr>
        <w:t>prone</w:t>
      </w:r>
      <w:r w:rsidR="005461CC" w:rsidRPr="00F57D2F">
        <w:rPr>
          <w:rFonts w:ascii="Times New Roman" w:hAnsi="Times New Roman" w:cs="Times New Roman"/>
          <w:color w:val="000000" w:themeColor="text1"/>
        </w:rPr>
        <w:t xml:space="preserve"> </w:t>
      </w:r>
      <w:r w:rsidR="001B2D10" w:rsidRPr="00F57D2F">
        <w:rPr>
          <w:rFonts w:ascii="Times New Roman" w:hAnsi="Times New Roman" w:cs="Times New Roman"/>
          <w:color w:val="000000" w:themeColor="text1"/>
        </w:rPr>
        <w:t>to market</w:t>
      </w:r>
      <w:r w:rsidR="00254F9D" w:rsidRPr="00F57D2F">
        <w:rPr>
          <w:rFonts w:ascii="Times New Roman" w:hAnsi="Times New Roman" w:cs="Times New Roman"/>
          <w:color w:val="000000" w:themeColor="text1"/>
        </w:rPr>
        <w:t xml:space="preserve"> perception</w:t>
      </w:r>
      <w:r w:rsidR="005E0627" w:rsidRPr="00F57D2F">
        <w:rPr>
          <w:rFonts w:ascii="Times New Roman" w:hAnsi="Times New Roman" w:cs="Times New Roman"/>
          <w:color w:val="000000" w:themeColor="text1"/>
        </w:rPr>
        <w:t>s</w:t>
      </w:r>
      <w:r w:rsidR="00AD0BDD" w:rsidRPr="00F57D2F">
        <w:rPr>
          <w:rFonts w:ascii="Times New Roman" w:hAnsi="Times New Roman" w:cs="Times New Roman"/>
          <w:color w:val="000000" w:themeColor="text1"/>
        </w:rPr>
        <w:t xml:space="preserve"> and the business cycle</w:t>
      </w:r>
      <w:r w:rsidR="00540B6F">
        <w:rPr>
          <w:rFonts w:ascii="Times New Roman" w:hAnsi="Times New Roman" w:cs="Times New Roman"/>
          <w:color w:val="000000" w:themeColor="text1"/>
        </w:rPr>
        <w:t xml:space="preserve">, </w:t>
      </w:r>
      <w:r w:rsidR="00336A8D">
        <w:rPr>
          <w:rFonts w:ascii="Times New Roman" w:hAnsi="Times New Roman" w:cs="Times New Roman"/>
          <w:color w:val="000000" w:themeColor="text1"/>
        </w:rPr>
        <w:t xml:space="preserve">hence </w:t>
      </w:r>
      <w:r w:rsidR="00540B6F">
        <w:rPr>
          <w:rFonts w:ascii="Times New Roman" w:hAnsi="Times New Roman" w:cs="Times New Roman"/>
          <w:color w:val="000000" w:themeColor="text1"/>
        </w:rPr>
        <w:t xml:space="preserve">contributing </w:t>
      </w:r>
      <w:r w:rsidR="009447F2" w:rsidRPr="00F57D2F">
        <w:rPr>
          <w:rFonts w:ascii="Times New Roman" w:hAnsi="Times New Roman" w:cs="Times New Roman"/>
          <w:color w:val="000000" w:themeColor="text1"/>
        </w:rPr>
        <w:t xml:space="preserve">further towards making </w:t>
      </w:r>
      <w:r w:rsidR="006625E3" w:rsidRPr="00F57D2F">
        <w:rPr>
          <w:rFonts w:ascii="Times New Roman" w:hAnsi="Times New Roman" w:cs="Times New Roman"/>
          <w:color w:val="000000" w:themeColor="text1"/>
        </w:rPr>
        <w:t>the magnitude</w:t>
      </w:r>
      <w:r w:rsidR="0078673B" w:rsidRPr="00F57D2F">
        <w:rPr>
          <w:rFonts w:ascii="Times New Roman" w:hAnsi="Times New Roman" w:cs="Times New Roman"/>
          <w:color w:val="000000" w:themeColor="text1"/>
        </w:rPr>
        <w:t xml:space="preserve"> of the</w:t>
      </w:r>
      <w:r w:rsidR="00A5005B" w:rsidRPr="00F57D2F">
        <w:rPr>
          <w:rFonts w:ascii="Times New Roman" w:hAnsi="Times New Roman" w:cs="Times New Roman"/>
          <w:color w:val="000000" w:themeColor="text1"/>
        </w:rPr>
        <w:t xml:space="preserve"> </w:t>
      </w:r>
      <w:r w:rsidR="00DB18DF" w:rsidRPr="00F57D2F">
        <w:rPr>
          <w:rFonts w:ascii="Times New Roman" w:hAnsi="Times New Roman" w:cs="Times New Roman"/>
          <w:color w:val="000000" w:themeColor="text1"/>
        </w:rPr>
        <w:t>BLC</w:t>
      </w:r>
      <w:r w:rsidR="0078673B" w:rsidRPr="00F57D2F">
        <w:rPr>
          <w:rFonts w:ascii="Times New Roman" w:hAnsi="Times New Roman" w:cs="Times New Roman"/>
          <w:color w:val="000000" w:themeColor="text1"/>
        </w:rPr>
        <w:t xml:space="preserve"> asymmetric over the</w:t>
      </w:r>
      <w:r w:rsidR="00DB18DF" w:rsidRPr="00F57D2F">
        <w:rPr>
          <w:rFonts w:ascii="Times New Roman" w:hAnsi="Times New Roman" w:cs="Times New Roman"/>
          <w:color w:val="000000" w:themeColor="text1"/>
        </w:rPr>
        <w:t xml:space="preserve"> business cycle.</w:t>
      </w:r>
      <w:r w:rsidR="006625E3" w:rsidRPr="00F57D2F">
        <w:rPr>
          <w:rFonts w:ascii="Times New Roman" w:hAnsi="Times New Roman" w:cs="Times New Roman"/>
          <w:color w:val="000000" w:themeColor="text1"/>
        </w:rPr>
        <w:t xml:space="preserve"> </w:t>
      </w:r>
      <w:r w:rsidR="007328F3" w:rsidRPr="00F57D2F">
        <w:rPr>
          <w:rFonts w:ascii="Times New Roman" w:hAnsi="Times New Roman" w:cs="Times New Roman"/>
          <w:color w:val="000000" w:themeColor="text1"/>
        </w:rPr>
        <w:t>T</w:t>
      </w:r>
      <w:r w:rsidR="006625E3" w:rsidRPr="00F57D2F">
        <w:rPr>
          <w:rFonts w:ascii="Times New Roman" w:hAnsi="Times New Roman" w:cs="Times New Roman"/>
          <w:color w:val="000000" w:themeColor="text1"/>
        </w:rPr>
        <w:t>o</w:t>
      </w:r>
      <w:r w:rsidR="00A5005B" w:rsidRPr="00F57D2F">
        <w:rPr>
          <w:rFonts w:ascii="Times New Roman" w:hAnsi="Times New Roman" w:cs="Times New Roman"/>
          <w:color w:val="000000" w:themeColor="text1"/>
        </w:rPr>
        <w:t xml:space="preserve"> </w:t>
      </w:r>
      <w:r w:rsidR="004331F7" w:rsidRPr="00F57D2F">
        <w:rPr>
          <w:rFonts w:ascii="Times New Roman" w:hAnsi="Times New Roman" w:cs="Times New Roman"/>
          <w:color w:val="000000" w:themeColor="text1"/>
        </w:rPr>
        <w:t>identify</w:t>
      </w:r>
      <w:r w:rsidR="00A5005B" w:rsidRPr="00F57D2F">
        <w:rPr>
          <w:rFonts w:ascii="Times New Roman" w:hAnsi="Times New Roman" w:cs="Times New Roman"/>
          <w:color w:val="000000" w:themeColor="text1"/>
        </w:rPr>
        <w:t xml:space="preserve"> why </w:t>
      </w:r>
      <w:r w:rsidR="000B7EB7" w:rsidRPr="00F57D2F">
        <w:rPr>
          <w:rFonts w:ascii="Times New Roman" w:hAnsi="Times New Roman" w:cs="Times New Roman"/>
          <w:color w:val="000000" w:themeColor="text1"/>
        </w:rPr>
        <w:t>magnitude of the BLC</w:t>
      </w:r>
      <w:r w:rsidR="007A198E">
        <w:rPr>
          <w:rFonts w:ascii="Times New Roman" w:hAnsi="Times New Roman" w:cs="Times New Roman"/>
          <w:color w:val="000000" w:themeColor="text1"/>
        </w:rPr>
        <w:t xml:space="preserve"> may</w:t>
      </w:r>
      <w:r w:rsidR="004331F7" w:rsidRPr="00F57D2F">
        <w:rPr>
          <w:rFonts w:ascii="Times New Roman" w:hAnsi="Times New Roman" w:cs="Times New Roman"/>
          <w:color w:val="000000" w:themeColor="text1"/>
        </w:rPr>
        <w:t xml:space="preserve"> vary</w:t>
      </w:r>
      <w:r w:rsidR="000B7EB7" w:rsidRPr="00F57D2F">
        <w:rPr>
          <w:rFonts w:ascii="Times New Roman" w:hAnsi="Times New Roman" w:cs="Times New Roman"/>
          <w:color w:val="000000" w:themeColor="text1"/>
        </w:rPr>
        <w:t xml:space="preserve"> over the business cycle</w:t>
      </w:r>
      <w:r w:rsidR="00145924" w:rsidRPr="00F57D2F">
        <w:rPr>
          <w:rFonts w:ascii="Times New Roman" w:hAnsi="Times New Roman" w:cs="Times New Roman"/>
          <w:color w:val="000000" w:themeColor="text1"/>
        </w:rPr>
        <w:t xml:space="preserve"> we</w:t>
      </w:r>
      <w:r w:rsidR="00305AF4" w:rsidRPr="00F57D2F">
        <w:rPr>
          <w:rFonts w:ascii="Times New Roman" w:hAnsi="Times New Roman" w:cs="Times New Roman"/>
          <w:color w:val="000000" w:themeColor="text1"/>
        </w:rPr>
        <w:t xml:space="preserve"> </w:t>
      </w:r>
      <w:r w:rsidR="00074FD6" w:rsidRPr="00F57D2F">
        <w:rPr>
          <w:rFonts w:ascii="Times New Roman" w:hAnsi="Times New Roman" w:cs="Times New Roman"/>
          <w:color w:val="000000" w:themeColor="text1"/>
        </w:rPr>
        <w:t>focus on t</w:t>
      </w:r>
      <w:r w:rsidR="00492D21" w:rsidRPr="00F57D2F">
        <w:rPr>
          <w:rFonts w:ascii="Times New Roman" w:hAnsi="Times New Roman" w:cs="Times New Roman"/>
          <w:color w:val="000000" w:themeColor="text1"/>
        </w:rPr>
        <w:t xml:space="preserve">hree </w:t>
      </w:r>
      <w:r w:rsidR="004331F7" w:rsidRPr="00F57D2F">
        <w:rPr>
          <w:rFonts w:ascii="Times New Roman" w:hAnsi="Times New Roman" w:cs="Times New Roman"/>
          <w:color w:val="000000" w:themeColor="text1"/>
        </w:rPr>
        <w:t>factors:</w:t>
      </w:r>
      <w:r w:rsidR="004B6D63" w:rsidRPr="00F57D2F">
        <w:rPr>
          <w:rFonts w:ascii="Times New Roman" w:hAnsi="Times New Roman" w:cs="Times New Roman"/>
          <w:color w:val="000000" w:themeColor="text1"/>
        </w:rPr>
        <w:t xml:space="preserve"> </w:t>
      </w:r>
      <w:r w:rsidR="009447F2" w:rsidRPr="00F57D2F">
        <w:rPr>
          <w:rFonts w:ascii="Times New Roman" w:hAnsi="Times New Roman" w:cs="Times New Roman"/>
          <w:color w:val="000000" w:themeColor="text1"/>
        </w:rPr>
        <w:t xml:space="preserve">(1) </w:t>
      </w:r>
      <w:r w:rsidR="00CC5850" w:rsidRPr="00F57D2F">
        <w:rPr>
          <w:rFonts w:ascii="Times New Roman" w:hAnsi="Times New Roman" w:cs="Times New Roman"/>
          <w:color w:val="000000" w:themeColor="text1"/>
        </w:rPr>
        <w:t xml:space="preserve">bank </w:t>
      </w:r>
      <w:r w:rsidR="004331F7" w:rsidRPr="00F57D2F">
        <w:rPr>
          <w:rFonts w:ascii="Times New Roman" w:hAnsi="Times New Roman" w:cs="Times New Roman"/>
          <w:color w:val="000000" w:themeColor="text1"/>
        </w:rPr>
        <w:t>capital, (</w:t>
      </w:r>
      <w:r w:rsidR="009447F2" w:rsidRPr="00F57D2F">
        <w:rPr>
          <w:rFonts w:ascii="Times New Roman" w:hAnsi="Times New Roman" w:cs="Times New Roman"/>
          <w:color w:val="000000" w:themeColor="text1"/>
        </w:rPr>
        <w:t xml:space="preserve">2) </w:t>
      </w:r>
      <w:r w:rsidR="00CC5850" w:rsidRPr="00F57D2F">
        <w:rPr>
          <w:rFonts w:ascii="Times New Roman" w:hAnsi="Times New Roman" w:cs="Times New Roman"/>
          <w:color w:val="000000" w:themeColor="text1"/>
        </w:rPr>
        <w:t xml:space="preserve">market funding </w:t>
      </w:r>
      <w:r w:rsidR="004F25E9" w:rsidRPr="00F57D2F">
        <w:rPr>
          <w:rFonts w:ascii="Times New Roman" w:hAnsi="Times New Roman" w:cs="Times New Roman"/>
          <w:color w:val="000000" w:themeColor="text1"/>
        </w:rPr>
        <w:t>and</w:t>
      </w:r>
      <w:r w:rsidR="00CC5850" w:rsidRPr="00F57D2F">
        <w:rPr>
          <w:rFonts w:ascii="Times New Roman" w:hAnsi="Times New Roman" w:cs="Times New Roman"/>
          <w:color w:val="000000" w:themeColor="text1"/>
        </w:rPr>
        <w:t xml:space="preserve"> </w:t>
      </w:r>
      <w:r w:rsidR="00E53BAA" w:rsidRPr="00F57D2F">
        <w:rPr>
          <w:rFonts w:ascii="Times New Roman" w:hAnsi="Times New Roman" w:cs="Times New Roman"/>
          <w:color w:val="000000" w:themeColor="text1"/>
        </w:rPr>
        <w:t>securitization</w:t>
      </w:r>
      <w:r w:rsidR="00CC5850" w:rsidRPr="00F57D2F">
        <w:rPr>
          <w:rFonts w:ascii="Times New Roman" w:hAnsi="Times New Roman" w:cs="Times New Roman"/>
          <w:color w:val="000000" w:themeColor="text1"/>
        </w:rPr>
        <w:t xml:space="preserve"> and</w:t>
      </w:r>
      <w:r w:rsidR="009447F2" w:rsidRPr="00F57D2F">
        <w:rPr>
          <w:rFonts w:ascii="Times New Roman" w:hAnsi="Times New Roman" w:cs="Times New Roman"/>
          <w:color w:val="000000" w:themeColor="text1"/>
        </w:rPr>
        <w:t xml:space="preserve"> (3)</w:t>
      </w:r>
      <w:r w:rsidR="00CC5850" w:rsidRPr="00F57D2F">
        <w:rPr>
          <w:rFonts w:ascii="Times New Roman" w:hAnsi="Times New Roman" w:cs="Times New Roman"/>
          <w:color w:val="000000" w:themeColor="text1"/>
        </w:rPr>
        <w:t xml:space="preserve"> the link between monetary policy and risk taking</w:t>
      </w:r>
      <w:r w:rsidR="004F25E9" w:rsidRPr="00F57D2F">
        <w:rPr>
          <w:rFonts w:ascii="Times New Roman" w:hAnsi="Times New Roman" w:cs="Times New Roman"/>
          <w:color w:val="000000" w:themeColor="text1"/>
        </w:rPr>
        <w:t>.</w:t>
      </w:r>
    </w:p>
    <w:p w14:paraId="2919A031" w14:textId="6A0F9729" w:rsidR="004328CA" w:rsidRPr="00F57D2F" w:rsidRDefault="004331F7" w:rsidP="001A5353">
      <w:pPr>
        <w:widowControl w:val="0"/>
        <w:autoSpaceDE w:val="0"/>
        <w:autoSpaceDN w:val="0"/>
        <w:adjustRightInd w:val="0"/>
        <w:spacing w:after="0" w:line="480" w:lineRule="auto"/>
        <w:ind w:right="91" w:firstLine="720"/>
        <w:jc w:val="both"/>
        <w:rPr>
          <w:rFonts w:ascii="Times New Roman" w:hAnsi="Times New Roman" w:cs="Times New Roman"/>
          <w:color w:val="000000" w:themeColor="text1"/>
        </w:rPr>
      </w:pPr>
      <w:r w:rsidRPr="00F57D2F">
        <w:rPr>
          <w:rFonts w:ascii="Times New Roman" w:hAnsi="Times New Roman" w:cs="Times New Roman"/>
          <w:color w:val="000000" w:themeColor="text1"/>
        </w:rPr>
        <w:t>Compared to other form of fund</w:t>
      </w:r>
      <w:r w:rsidR="00790343">
        <w:rPr>
          <w:rFonts w:ascii="Times New Roman" w:hAnsi="Times New Roman" w:cs="Times New Roman"/>
          <w:color w:val="000000" w:themeColor="text1"/>
        </w:rPr>
        <w:t>s</w:t>
      </w:r>
      <w:r w:rsidRPr="00F57D2F">
        <w:rPr>
          <w:rFonts w:ascii="Times New Roman" w:hAnsi="Times New Roman" w:cs="Times New Roman"/>
          <w:color w:val="000000" w:themeColor="text1"/>
        </w:rPr>
        <w:t xml:space="preserve"> bank capital is more </w:t>
      </w:r>
      <w:r w:rsidR="004B6D63" w:rsidRPr="00F57D2F">
        <w:rPr>
          <w:rFonts w:ascii="Times New Roman" w:hAnsi="Times New Roman" w:cs="Times New Roman"/>
          <w:color w:val="000000" w:themeColor="text1"/>
        </w:rPr>
        <w:t>expensive</w:t>
      </w:r>
      <w:r w:rsidRPr="00F57D2F">
        <w:rPr>
          <w:rFonts w:ascii="Times New Roman" w:hAnsi="Times New Roman" w:cs="Times New Roman"/>
          <w:color w:val="000000" w:themeColor="text1"/>
        </w:rPr>
        <w:t xml:space="preserve">. </w:t>
      </w:r>
      <w:r w:rsidR="002D538B" w:rsidRPr="00F57D2F">
        <w:rPr>
          <w:rFonts w:ascii="Times New Roman" w:hAnsi="Times New Roman" w:cs="Times New Roman"/>
          <w:color w:val="000000" w:themeColor="text1"/>
        </w:rPr>
        <w:t>Furthermore,</w:t>
      </w:r>
      <w:r w:rsidRPr="00F57D2F">
        <w:rPr>
          <w:rFonts w:ascii="Times New Roman" w:hAnsi="Times New Roman" w:cs="Times New Roman"/>
          <w:color w:val="000000" w:themeColor="text1"/>
        </w:rPr>
        <w:t xml:space="preserve"> </w:t>
      </w:r>
      <w:r w:rsidR="00770140">
        <w:rPr>
          <w:rFonts w:ascii="Times New Roman" w:hAnsi="Times New Roman" w:cs="Times New Roman"/>
          <w:color w:val="000000" w:themeColor="text1"/>
        </w:rPr>
        <w:t xml:space="preserve">due to </w:t>
      </w:r>
      <w:r w:rsidRPr="00F57D2F">
        <w:rPr>
          <w:rFonts w:ascii="Times New Roman" w:hAnsi="Times New Roman" w:cs="Times New Roman"/>
          <w:color w:val="000000" w:themeColor="text1"/>
        </w:rPr>
        <w:t>imperfect equity</w:t>
      </w:r>
      <w:r w:rsidR="00B7642A">
        <w:rPr>
          <w:rFonts w:ascii="Times New Roman" w:hAnsi="Times New Roman" w:cs="Times New Roman"/>
          <w:color w:val="000000" w:themeColor="text1"/>
        </w:rPr>
        <w:t xml:space="preserve"> market</w:t>
      </w:r>
      <w:r w:rsidR="00770140">
        <w:rPr>
          <w:rFonts w:ascii="Times New Roman" w:hAnsi="Times New Roman" w:cs="Times New Roman"/>
          <w:color w:val="000000" w:themeColor="text1"/>
        </w:rPr>
        <w:t>s</w:t>
      </w:r>
      <w:r w:rsidRPr="00F57D2F">
        <w:rPr>
          <w:rFonts w:ascii="Times New Roman" w:hAnsi="Times New Roman" w:cs="Times New Roman"/>
          <w:color w:val="000000" w:themeColor="text1"/>
        </w:rPr>
        <w:t>, banks cannot easily issue new equity</w:t>
      </w:r>
      <w:r w:rsidR="002D538B" w:rsidRPr="00F57D2F">
        <w:rPr>
          <w:rFonts w:ascii="Times New Roman" w:hAnsi="Times New Roman" w:cs="Times New Roman"/>
          <w:color w:val="000000" w:themeColor="text1"/>
        </w:rPr>
        <w:t>,</w:t>
      </w:r>
      <w:r w:rsidRPr="00F57D2F">
        <w:rPr>
          <w:rFonts w:ascii="Times New Roman" w:hAnsi="Times New Roman" w:cs="Times New Roman"/>
          <w:color w:val="000000" w:themeColor="text1"/>
        </w:rPr>
        <w:t xml:space="preserve"> </w:t>
      </w:r>
      <w:r w:rsidR="00790343" w:rsidRPr="00F57D2F">
        <w:rPr>
          <w:rFonts w:ascii="Times New Roman" w:hAnsi="Times New Roman" w:cs="Times New Roman"/>
          <w:color w:val="000000" w:themeColor="text1"/>
        </w:rPr>
        <w:t>especially</w:t>
      </w:r>
      <w:r w:rsidR="002D538B" w:rsidRPr="00F57D2F">
        <w:rPr>
          <w:rFonts w:ascii="Times New Roman" w:hAnsi="Times New Roman" w:cs="Times New Roman"/>
          <w:color w:val="000000" w:themeColor="text1"/>
        </w:rPr>
        <w:t xml:space="preserve"> in recessi</w:t>
      </w:r>
      <w:r w:rsidR="0033318D" w:rsidRPr="00F57D2F">
        <w:rPr>
          <w:rFonts w:ascii="Times New Roman" w:hAnsi="Times New Roman" w:cs="Times New Roman"/>
          <w:color w:val="000000" w:themeColor="text1"/>
        </w:rPr>
        <w:t>ons</w:t>
      </w:r>
      <w:r w:rsidR="002D538B" w:rsidRPr="00F57D2F">
        <w:rPr>
          <w:rFonts w:ascii="Times New Roman" w:hAnsi="Times New Roman" w:cs="Times New Roman"/>
          <w:color w:val="000000" w:themeColor="text1"/>
        </w:rPr>
        <w:t xml:space="preserve"> due to high agency costs</w:t>
      </w:r>
      <w:r w:rsidR="006A4A00">
        <w:rPr>
          <w:rFonts w:ascii="Times New Roman" w:hAnsi="Times New Roman" w:cs="Times New Roman"/>
          <w:color w:val="000000" w:themeColor="text1"/>
        </w:rPr>
        <w:t xml:space="preserve"> and</w:t>
      </w:r>
      <w:r w:rsidR="002D538B" w:rsidRPr="00F57D2F">
        <w:rPr>
          <w:rFonts w:ascii="Times New Roman" w:hAnsi="Times New Roman" w:cs="Times New Roman"/>
          <w:color w:val="000000" w:themeColor="text1"/>
        </w:rPr>
        <w:t xml:space="preserve"> adverse selection problem. Empirical work by </w:t>
      </w:r>
      <w:r w:rsidR="00915783" w:rsidRPr="00F57D2F">
        <w:rPr>
          <w:rFonts w:ascii="Times New Roman" w:hAnsi="Times New Roman" w:cs="Times New Roman"/>
          <w:color w:val="000000" w:themeColor="text1"/>
        </w:rPr>
        <w:t>K</w:t>
      </w:r>
      <w:r w:rsidR="002D538B" w:rsidRPr="00F57D2F">
        <w:rPr>
          <w:rFonts w:ascii="Times New Roman" w:hAnsi="Times New Roman" w:cs="Times New Roman"/>
          <w:color w:val="000000" w:themeColor="text1"/>
        </w:rPr>
        <w:t>ishan and Opiela (2000)</w:t>
      </w:r>
      <w:r w:rsidR="00C2325C" w:rsidRPr="00F57D2F">
        <w:rPr>
          <w:rFonts w:ascii="Times New Roman" w:hAnsi="Times New Roman" w:cs="Times New Roman"/>
          <w:color w:val="000000" w:themeColor="text1"/>
        </w:rPr>
        <w:t xml:space="preserve"> </w:t>
      </w:r>
      <w:r w:rsidR="002D538B" w:rsidRPr="00F57D2F">
        <w:rPr>
          <w:rFonts w:ascii="Times New Roman" w:hAnsi="Times New Roman" w:cs="Times New Roman"/>
          <w:color w:val="000000" w:themeColor="text1"/>
        </w:rPr>
        <w:t xml:space="preserve">and Altunbus </w:t>
      </w:r>
      <w:r w:rsidR="002D538B" w:rsidRPr="006A4A00">
        <w:rPr>
          <w:rFonts w:ascii="Times New Roman" w:hAnsi="Times New Roman" w:cs="Times New Roman"/>
          <w:color w:val="000000" w:themeColor="text1"/>
        </w:rPr>
        <w:t>et al.</w:t>
      </w:r>
      <w:r w:rsidR="002D538B" w:rsidRPr="00F57D2F">
        <w:rPr>
          <w:rFonts w:ascii="Times New Roman" w:hAnsi="Times New Roman" w:cs="Times New Roman"/>
          <w:color w:val="000000" w:themeColor="text1"/>
        </w:rPr>
        <w:t xml:space="preserve"> (2009)</w:t>
      </w:r>
      <w:r w:rsidR="002D538B" w:rsidRPr="00F57D2F">
        <w:rPr>
          <w:rFonts w:ascii="Times New Roman" w:hAnsi="Times New Roman" w:cs="Times New Roman"/>
          <w:i/>
          <w:iCs/>
          <w:color w:val="000000" w:themeColor="text1"/>
        </w:rPr>
        <w:t xml:space="preserve"> </w:t>
      </w:r>
      <w:r w:rsidR="002D538B" w:rsidRPr="00F57D2F">
        <w:rPr>
          <w:rFonts w:ascii="Times New Roman" w:hAnsi="Times New Roman" w:cs="Times New Roman"/>
          <w:color w:val="000000" w:themeColor="text1"/>
        </w:rPr>
        <w:t>illustrate bank capital become a crucial driver of banks’ incentive structure during recession</w:t>
      </w:r>
      <w:r w:rsidR="00770140">
        <w:rPr>
          <w:rFonts w:ascii="Times New Roman" w:hAnsi="Times New Roman" w:cs="Times New Roman"/>
          <w:color w:val="000000" w:themeColor="text1"/>
        </w:rPr>
        <w:t>s</w:t>
      </w:r>
      <w:r w:rsidR="002D538B" w:rsidRPr="00F57D2F">
        <w:rPr>
          <w:rFonts w:ascii="Times New Roman" w:hAnsi="Times New Roman" w:cs="Times New Roman"/>
          <w:color w:val="000000" w:themeColor="text1"/>
        </w:rPr>
        <w:t>, as</w:t>
      </w:r>
      <w:r w:rsidR="00770140">
        <w:rPr>
          <w:rFonts w:ascii="Times New Roman" w:hAnsi="Times New Roman" w:cs="Times New Roman"/>
          <w:color w:val="000000" w:themeColor="text1"/>
        </w:rPr>
        <w:t xml:space="preserve"> in</w:t>
      </w:r>
      <w:r w:rsidR="002D538B" w:rsidRPr="00F57D2F">
        <w:rPr>
          <w:rFonts w:ascii="Times New Roman" w:hAnsi="Times New Roman" w:cs="Times New Roman"/>
          <w:color w:val="000000" w:themeColor="text1"/>
        </w:rPr>
        <w:t xml:space="preserve"> such periods </w:t>
      </w:r>
      <w:r w:rsidR="007A0DE8">
        <w:rPr>
          <w:rFonts w:ascii="Times New Roman" w:hAnsi="Times New Roman" w:cs="Times New Roman"/>
          <w:color w:val="000000" w:themeColor="text1"/>
        </w:rPr>
        <w:t>increasing</w:t>
      </w:r>
      <w:r w:rsidR="002D538B" w:rsidRPr="00F57D2F">
        <w:rPr>
          <w:rFonts w:ascii="Times New Roman" w:hAnsi="Times New Roman" w:cs="Times New Roman"/>
          <w:color w:val="000000" w:themeColor="text1"/>
        </w:rPr>
        <w:t xml:space="preserve"> capital becomes expensive and</w:t>
      </w:r>
      <w:r w:rsidR="00C2325C" w:rsidRPr="00F57D2F">
        <w:rPr>
          <w:rFonts w:ascii="Times New Roman" w:hAnsi="Times New Roman" w:cs="Times New Roman"/>
          <w:color w:val="000000" w:themeColor="text1"/>
        </w:rPr>
        <w:t xml:space="preserve"> hence</w:t>
      </w:r>
      <w:r w:rsidR="002D538B" w:rsidRPr="00F57D2F">
        <w:rPr>
          <w:rFonts w:ascii="Times New Roman" w:hAnsi="Times New Roman" w:cs="Times New Roman"/>
          <w:color w:val="000000" w:themeColor="text1"/>
        </w:rPr>
        <w:t xml:space="preserve"> unfeasible. </w:t>
      </w:r>
      <w:r w:rsidR="001A5353" w:rsidRPr="00F57D2F">
        <w:rPr>
          <w:rFonts w:ascii="Times New Roman" w:hAnsi="Times New Roman" w:cs="Times New Roman"/>
          <w:color w:val="000000" w:themeColor="text1"/>
        </w:rPr>
        <w:t>During recession</w:t>
      </w:r>
      <w:r w:rsidR="00D10ECA">
        <w:rPr>
          <w:rFonts w:ascii="Times New Roman" w:hAnsi="Times New Roman" w:cs="Times New Roman"/>
          <w:color w:val="000000" w:themeColor="text1"/>
        </w:rPr>
        <w:t xml:space="preserve">, </w:t>
      </w:r>
      <w:r w:rsidR="001A5353" w:rsidRPr="00F57D2F">
        <w:rPr>
          <w:rFonts w:ascii="Times New Roman" w:hAnsi="Times New Roman" w:cs="Times New Roman"/>
          <w:color w:val="000000" w:themeColor="text1"/>
        </w:rPr>
        <w:t>confronted with</w:t>
      </w:r>
      <w:r w:rsidR="00F941DC">
        <w:rPr>
          <w:rFonts w:ascii="Times New Roman" w:hAnsi="Times New Roman" w:cs="Times New Roman"/>
          <w:color w:val="000000" w:themeColor="text1"/>
        </w:rPr>
        <w:t xml:space="preserve"> an</w:t>
      </w:r>
      <w:r w:rsidR="00B90F8E" w:rsidRPr="00F57D2F">
        <w:rPr>
          <w:rFonts w:ascii="Times New Roman" w:hAnsi="Times New Roman" w:cs="Times New Roman"/>
          <w:color w:val="000000" w:themeColor="text1"/>
        </w:rPr>
        <w:t xml:space="preserve"> excessive cost of issuing new capital </w:t>
      </w:r>
      <w:r w:rsidR="0033318D" w:rsidRPr="00F57D2F">
        <w:rPr>
          <w:rFonts w:ascii="Times New Roman" w:hAnsi="Times New Roman" w:cs="Times New Roman"/>
          <w:color w:val="000000" w:themeColor="text1"/>
        </w:rPr>
        <w:t>and</w:t>
      </w:r>
      <w:r w:rsidR="001A5353" w:rsidRPr="00F57D2F">
        <w:rPr>
          <w:rFonts w:ascii="Times New Roman" w:hAnsi="Times New Roman" w:cs="Times New Roman"/>
          <w:color w:val="000000" w:themeColor="text1"/>
        </w:rPr>
        <w:t xml:space="preserve"> faced with fulfilling a minimum capital requirement, banks tend to issue less loans compared to </w:t>
      </w:r>
      <w:r w:rsidR="001A5353" w:rsidRPr="004B29BD">
        <w:rPr>
          <w:rFonts w:ascii="Times New Roman" w:hAnsi="Times New Roman" w:cs="Times New Roman"/>
          <w:color w:val="000000" w:themeColor="text1"/>
        </w:rPr>
        <w:t>expans</w:t>
      </w:r>
      <w:r w:rsidR="00F57D2F" w:rsidRPr="004B29BD">
        <w:rPr>
          <w:rFonts w:ascii="Times New Roman" w:hAnsi="Times New Roman" w:cs="Times New Roman"/>
          <w:color w:val="000000" w:themeColor="text1"/>
        </w:rPr>
        <w:t>ions</w:t>
      </w:r>
      <w:r w:rsidR="001A5353" w:rsidRPr="00F57D2F">
        <w:rPr>
          <w:rFonts w:ascii="Times New Roman" w:hAnsi="Times New Roman" w:cs="Times New Roman"/>
          <w:color w:val="000000" w:themeColor="text1"/>
        </w:rPr>
        <w:t xml:space="preserve"> when the cost is less. </w:t>
      </w:r>
      <w:r w:rsidR="005C5FFB" w:rsidRPr="00F57D2F">
        <w:rPr>
          <w:rFonts w:ascii="Times New Roman" w:hAnsi="Times New Roman" w:cs="Times New Roman"/>
          <w:color w:val="000000" w:themeColor="text1"/>
        </w:rPr>
        <w:t>As a result of this excessive cost of capita</w:t>
      </w:r>
      <w:r w:rsidR="00017565">
        <w:rPr>
          <w:rFonts w:ascii="Times New Roman" w:hAnsi="Times New Roman" w:cs="Times New Roman"/>
          <w:color w:val="000000" w:themeColor="text1"/>
        </w:rPr>
        <w:t>l</w:t>
      </w:r>
      <w:r w:rsidR="00F57D2F" w:rsidRPr="00F57D2F">
        <w:rPr>
          <w:rFonts w:ascii="Times New Roman" w:hAnsi="Times New Roman" w:cs="Times New Roman"/>
          <w:color w:val="000000" w:themeColor="text1"/>
        </w:rPr>
        <w:t>,</w:t>
      </w:r>
      <w:r w:rsidR="005C5FFB" w:rsidRPr="00F57D2F">
        <w:rPr>
          <w:rFonts w:ascii="Times New Roman" w:hAnsi="Times New Roman" w:cs="Times New Roman"/>
          <w:color w:val="000000" w:themeColor="text1"/>
        </w:rPr>
        <w:t xml:space="preserve"> an</w:t>
      </w:r>
      <w:r w:rsidR="00B90F8E" w:rsidRPr="00F57D2F">
        <w:rPr>
          <w:rFonts w:ascii="Times New Roman" w:hAnsi="Times New Roman" w:cs="Times New Roman"/>
          <w:color w:val="000000" w:themeColor="text1"/>
        </w:rPr>
        <w:t xml:space="preserve"> expansionary monetary policy becomes less effective in increasing loan </w:t>
      </w:r>
      <w:r w:rsidR="005C5FFB" w:rsidRPr="00F57D2F">
        <w:rPr>
          <w:rFonts w:ascii="Times New Roman" w:hAnsi="Times New Roman" w:cs="Times New Roman"/>
          <w:color w:val="000000" w:themeColor="text1"/>
        </w:rPr>
        <w:t xml:space="preserve">supply during recession </w:t>
      </w:r>
      <w:r w:rsidR="00B90F8E" w:rsidRPr="00F57D2F">
        <w:rPr>
          <w:rFonts w:ascii="Times New Roman" w:hAnsi="Times New Roman" w:cs="Times New Roman"/>
          <w:color w:val="000000" w:themeColor="text1"/>
        </w:rPr>
        <w:t>compared to a similar size shock during normal per</w:t>
      </w:r>
      <w:r w:rsidR="005C5FFB" w:rsidRPr="00F57D2F">
        <w:rPr>
          <w:rFonts w:ascii="Times New Roman" w:hAnsi="Times New Roman" w:cs="Times New Roman"/>
          <w:color w:val="000000" w:themeColor="text1"/>
        </w:rPr>
        <w:t>iod</w:t>
      </w:r>
      <w:r w:rsidR="004328CA" w:rsidRPr="00F57D2F">
        <w:rPr>
          <w:rFonts w:ascii="Times New Roman" w:hAnsi="Times New Roman" w:cs="Times New Roman"/>
          <w:color w:val="000000" w:themeColor="text1"/>
        </w:rPr>
        <w:t>.</w:t>
      </w:r>
    </w:p>
    <w:p w14:paraId="43164FBD" w14:textId="5F1BE077" w:rsidR="00AF61B7" w:rsidRPr="00AC5194" w:rsidRDefault="00DE160B" w:rsidP="005C5FFB">
      <w:pPr>
        <w:spacing w:after="0"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w:t>
      </w:r>
      <w:r w:rsidR="00514E03" w:rsidRPr="00B606DB">
        <w:rPr>
          <w:rFonts w:ascii="Times New Roman" w:hAnsi="Times New Roman" w:cs="Times New Roman"/>
          <w:color w:val="000000" w:themeColor="text1"/>
        </w:rPr>
        <w:t>nnovation</w:t>
      </w:r>
      <w:r w:rsidR="004B4A64" w:rsidRPr="00B606DB">
        <w:rPr>
          <w:rFonts w:ascii="Times New Roman" w:hAnsi="Times New Roman" w:cs="Times New Roman"/>
          <w:color w:val="000000" w:themeColor="text1"/>
        </w:rPr>
        <w:t xml:space="preserve">s </w:t>
      </w:r>
      <w:r w:rsidR="00D81323" w:rsidRPr="00B606DB">
        <w:rPr>
          <w:rFonts w:ascii="Times New Roman" w:hAnsi="Times New Roman" w:cs="Times New Roman"/>
          <w:color w:val="000000" w:themeColor="text1"/>
        </w:rPr>
        <w:t>in</w:t>
      </w:r>
      <w:r w:rsidR="001024EE" w:rsidRPr="00B606DB">
        <w:rPr>
          <w:rFonts w:ascii="Times New Roman" w:hAnsi="Times New Roman" w:cs="Times New Roman"/>
          <w:color w:val="000000" w:themeColor="text1"/>
        </w:rPr>
        <w:t xml:space="preserve"> securitization process</w:t>
      </w:r>
      <w:r w:rsidR="004B4A64" w:rsidRPr="00B606DB">
        <w:rPr>
          <w:rFonts w:ascii="Times New Roman" w:hAnsi="Times New Roman" w:cs="Times New Roman"/>
          <w:color w:val="000000" w:themeColor="text1"/>
        </w:rPr>
        <w:t>,</w:t>
      </w:r>
      <w:r w:rsidR="00514E03" w:rsidRPr="00B606DB">
        <w:rPr>
          <w:rFonts w:ascii="Times New Roman" w:hAnsi="Times New Roman" w:cs="Times New Roman"/>
          <w:color w:val="000000" w:themeColor="text1"/>
        </w:rPr>
        <w:t xml:space="preserve"> </w:t>
      </w:r>
      <w:r w:rsidR="00514E03" w:rsidRPr="004B29BD">
        <w:rPr>
          <w:rFonts w:ascii="Times New Roman" w:hAnsi="Times New Roman" w:cs="Times New Roman"/>
          <w:color w:val="000000" w:themeColor="text1"/>
        </w:rPr>
        <w:t>traditional</w:t>
      </w:r>
      <w:r w:rsidR="00086F41" w:rsidRPr="004B29BD">
        <w:rPr>
          <w:rFonts w:ascii="Times New Roman" w:hAnsi="Times New Roman" w:cs="Times New Roman"/>
          <w:color w:val="000000" w:themeColor="text1"/>
        </w:rPr>
        <w:t>l</w:t>
      </w:r>
      <w:r w:rsidR="00086F41">
        <w:rPr>
          <w:rFonts w:ascii="Times New Roman" w:hAnsi="Times New Roman" w:cs="Times New Roman"/>
          <w:color w:val="000000" w:themeColor="text1"/>
        </w:rPr>
        <w:t>y</w:t>
      </w:r>
      <w:r w:rsidR="00514E03" w:rsidRPr="00B606DB">
        <w:rPr>
          <w:rFonts w:ascii="Times New Roman" w:hAnsi="Times New Roman" w:cs="Times New Roman"/>
          <w:color w:val="000000" w:themeColor="text1"/>
        </w:rPr>
        <w:t xml:space="preserve"> covered </w:t>
      </w:r>
      <w:r w:rsidR="007E0292" w:rsidRPr="00B606DB">
        <w:rPr>
          <w:rFonts w:ascii="Times New Roman" w:hAnsi="Times New Roman" w:cs="Times New Roman"/>
          <w:color w:val="000000" w:themeColor="text1"/>
        </w:rPr>
        <w:t xml:space="preserve">bond </w:t>
      </w:r>
      <w:r w:rsidR="00514E03" w:rsidRPr="00B606DB">
        <w:rPr>
          <w:rFonts w:ascii="Times New Roman" w:hAnsi="Times New Roman" w:cs="Times New Roman"/>
          <w:color w:val="000000" w:themeColor="text1"/>
        </w:rPr>
        <w:t>market</w:t>
      </w:r>
      <w:r w:rsidR="00D81323" w:rsidRPr="00B606DB">
        <w:rPr>
          <w:rFonts w:ascii="Times New Roman" w:hAnsi="Times New Roman" w:cs="Times New Roman"/>
          <w:color w:val="000000" w:themeColor="text1"/>
        </w:rPr>
        <w:t>s</w:t>
      </w:r>
      <w:r w:rsidR="004B4A64" w:rsidRPr="00B606DB">
        <w:rPr>
          <w:rFonts w:ascii="Times New Roman" w:hAnsi="Times New Roman" w:cs="Times New Roman"/>
          <w:color w:val="000000" w:themeColor="text1"/>
        </w:rPr>
        <w:t xml:space="preserve"> </w:t>
      </w:r>
      <w:r w:rsidR="005A5FDE" w:rsidRPr="00B606DB">
        <w:rPr>
          <w:rFonts w:ascii="Times New Roman" w:hAnsi="Times New Roman" w:cs="Times New Roman"/>
          <w:color w:val="000000" w:themeColor="text1"/>
        </w:rPr>
        <w:t>and</w:t>
      </w:r>
      <w:r w:rsidR="004B4A64" w:rsidRPr="00B606DB">
        <w:rPr>
          <w:rFonts w:ascii="Times New Roman" w:hAnsi="Times New Roman" w:cs="Times New Roman"/>
          <w:color w:val="000000" w:themeColor="text1"/>
        </w:rPr>
        <w:t xml:space="preserve"> in non-interest earning activity</w:t>
      </w:r>
      <w:r w:rsidR="007E0292" w:rsidRPr="00B606DB">
        <w:rPr>
          <w:rFonts w:ascii="Times New Roman" w:hAnsi="Times New Roman" w:cs="Times New Roman"/>
          <w:color w:val="000000" w:themeColor="text1"/>
        </w:rPr>
        <w:t xml:space="preserve"> have</w:t>
      </w:r>
      <w:r w:rsidR="004639AA" w:rsidRPr="00B606DB">
        <w:rPr>
          <w:rFonts w:ascii="Times New Roman" w:hAnsi="Times New Roman" w:cs="Times New Roman"/>
          <w:color w:val="000000" w:themeColor="text1"/>
        </w:rPr>
        <w:t xml:space="preserve"> not only</w:t>
      </w:r>
      <w:r w:rsidR="001024EE" w:rsidRPr="00B606DB">
        <w:rPr>
          <w:rFonts w:ascii="Times New Roman" w:hAnsi="Times New Roman" w:cs="Times New Roman"/>
          <w:color w:val="000000" w:themeColor="text1"/>
        </w:rPr>
        <w:t xml:space="preserve"> provided banks with </w:t>
      </w:r>
      <w:r w:rsidR="008622FE" w:rsidRPr="00B606DB">
        <w:rPr>
          <w:rFonts w:ascii="Times New Roman" w:hAnsi="Times New Roman" w:cs="Times New Roman"/>
          <w:color w:val="000000" w:themeColor="text1"/>
        </w:rPr>
        <w:t>additional</w:t>
      </w:r>
      <w:r w:rsidR="00E6711C" w:rsidRPr="00B606DB">
        <w:rPr>
          <w:rFonts w:ascii="Times New Roman" w:hAnsi="Times New Roman" w:cs="Times New Roman"/>
          <w:color w:val="000000" w:themeColor="text1"/>
        </w:rPr>
        <w:t xml:space="preserve"> market-based</w:t>
      </w:r>
      <w:r w:rsidR="008622FE" w:rsidRPr="00B606DB">
        <w:rPr>
          <w:rFonts w:ascii="Times New Roman" w:hAnsi="Times New Roman" w:cs="Times New Roman"/>
          <w:color w:val="000000" w:themeColor="text1"/>
        </w:rPr>
        <w:t xml:space="preserve"> funding </w:t>
      </w:r>
      <w:r w:rsidR="004639AA" w:rsidRPr="00B606DB">
        <w:rPr>
          <w:rFonts w:ascii="Times New Roman" w:hAnsi="Times New Roman" w:cs="Times New Roman"/>
          <w:color w:val="000000" w:themeColor="text1"/>
        </w:rPr>
        <w:t xml:space="preserve">but </w:t>
      </w:r>
      <w:r w:rsidR="00D64234">
        <w:rPr>
          <w:rFonts w:ascii="Times New Roman" w:hAnsi="Times New Roman" w:cs="Times New Roman"/>
          <w:color w:val="000000" w:themeColor="text1"/>
        </w:rPr>
        <w:t>also</w:t>
      </w:r>
      <w:r w:rsidR="005A5FDE" w:rsidRPr="00B606DB">
        <w:rPr>
          <w:rFonts w:ascii="Times New Roman" w:hAnsi="Times New Roman" w:cs="Times New Roman"/>
          <w:color w:val="000000" w:themeColor="text1"/>
        </w:rPr>
        <w:t xml:space="preserve"> significantly </w:t>
      </w:r>
      <w:r w:rsidR="004639AA" w:rsidRPr="00B606DB">
        <w:rPr>
          <w:rFonts w:ascii="Times New Roman" w:hAnsi="Times New Roman" w:cs="Times New Roman"/>
          <w:color w:val="000000" w:themeColor="text1"/>
        </w:rPr>
        <w:t>reduced</w:t>
      </w:r>
      <w:r w:rsidR="005A5FDE" w:rsidRPr="00B606DB">
        <w:rPr>
          <w:rFonts w:ascii="Times New Roman" w:hAnsi="Times New Roman" w:cs="Times New Roman"/>
          <w:color w:val="000000" w:themeColor="text1"/>
        </w:rPr>
        <w:t xml:space="preserve"> </w:t>
      </w:r>
      <w:r w:rsidR="004639AA" w:rsidRPr="00B606DB">
        <w:rPr>
          <w:rFonts w:ascii="Times New Roman" w:hAnsi="Times New Roman" w:cs="Times New Roman"/>
          <w:color w:val="000000" w:themeColor="text1"/>
        </w:rPr>
        <w:t>dependence on retail deposits.</w:t>
      </w:r>
      <w:r w:rsidR="008111ED" w:rsidRPr="00B606DB">
        <w:rPr>
          <w:rFonts w:ascii="Times New Roman" w:hAnsi="Times New Roman" w:cs="Times New Roman"/>
          <w:color w:val="000000" w:themeColor="text1"/>
        </w:rPr>
        <w:t xml:space="preserve"> </w:t>
      </w:r>
      <w:r w:rsidR="00D64234" w:rsidRPr="00B606DB">
        <w:rPr>
          <w:rFonts w:ascii="Times New Roman" w:hAnsi="Times New Roman" w:cs="Times New Roman"/>
          <w:color w:val="000000" w:themeColor="text1"/>
        </w:rPr>
        <w:t>However</w:t>
      </w:r>
      <w:r w:rsidR="008111ED" w:rsidRPr="00B606DB">
        <w:rPr>
          <w:rFonts w:ascii="Times New Roman" w:hAnsi="Times New Roman" w:cs="Times New Roman"/>
          <w:color w:val="000000" w:themeColor="text1"/>
        </w:rPr>
        <w:t>, these funding sources depend on the state of the econom</w:t>
      </w:r>
      <w:r w:rsidR="00683C0E" w:rsidRPr="00B606DB">
        <w:rPr>
          <w:rFonts w:ascii="Times New Roman" w:hAnsi="Times New Roman" w:cs="Times New Roman"/>
          <w:color w:val="000000" w:themeColor="text1"/>
        </w:rPr>
        <w:t>y.</w:t>
      </w:r>
      <w:r w:rsidR="00D756C5">
        <w:rPr>
          <w:rFonts w:ascii="Times New Roman" w:hAnsi="Times New Roman" w:cs="Times New Roman"/>
          <w:color w:val="000000" w:themeColor="text1"/>
        </w:rPr>
        <w:t xml:space="preserve"> </w:t>
      </w:r>
      <w:r w:rsidR="00AF61B7" w:rsidRPr="00B606DB">
        <w:rPr>
          <w:rFonts w:ascii="Times New Roman" w:hAnsi="Times New Roman" w:cs="Times New Roman"/>
          <w:color w:val="000000" w:themeColor="text1"/>
        </w:rPr>
        <w:t xml:space="preserve">Estrella (2002) </w:t>
      </w:r>
      <w:r w:rsidR="00683C0E" w:rsidRPr="004B29BD">
        <w:rPr>
          <w:rFonts w:ascii="Times New Roman" w:hAnsi="Times New Roman" w:cs="Times New Roman"/>
          <w:color w:val="000000" w:themeColor="text1"/>
        </w:rPr>
        <w:t>illustrate</w:t>
      </w:r>
      <w:r w:rsidR="00E55C45">
        <w:rPr>
          <w:rFonts w:ascii="Times New Roman" w:hAnsi="Times New Roman" w:cs="Times New Roman"/>
          <w:color w:val="000000" w:themeColor="text1"/>
        </w:rPr>
        <w:t>s</w:t>
      </w:r>
      <w:r w:rsidR="00683C0E" w:rsidRPr="00B606DB">
        <w:rPr>
          <w:rFonts w:ascii="Times New Roman" w:hAnsi="Times New Roman" w:cs="Times New Roman"/>
          <w:color w:val="000000" w:themeColor="text1"/>
        </w:rPr>
        <w:t xml:space="preserve"> securitization</w:t>
      </w:r>
      <w:r w:rsidR="00AF61B7" w:rsidRPr="00B606DB">
        <w:rPr>
          <w:rFonts w:ascii="Times New Roman" w:hAnsi="Times New Roman" w:cs="Times New Roman"/>
          <w:color w:val="000000" w:themeColor="text1"/>
        </w:rPr>
        <w:t xml:space="preserve"> have pro-cyclical effects on loan supply</w:t>
      </w:r>
      <w:r w:rsidR="005C5FFB" w:rsidRPr="00B606DB">
        <w:rPr>
          <w:rFonts w:ascii="Times New Roman" w:hAnsi="Times New Roman" w:cs="Times New Roman"/>
          <w:color w:val="000000" w:themeColor="text1"/>
        </w:rPr>
        <w:t>.</w:t>
      </w:r>
      <w:r w:rsidR="009F76C6" w:rsidRPr="00B606DB">
        <w:rPr>
          <w:rFonts w:ascii="Times New Roman" w:hAnsi="Times New Roman" w:cs="Times New Roman"/>
          <w:color w:val="000000" w:themeColor="text1"/>
        </w:rPr>
        <w:t xml:space="preserve"> </w:t>
      </w:r>
      <w:r w:rsidR="005C5FFB" w:rsidRPr="00B606DB">
        <w:rPr>
          <w:rFonts w:ascii="Times New Roman" w:hAnsi="Times New Roman" w:cs="Times New Roman"/>
          <w:color w:val="000000" w:themeColor="text1"/>
        </w:rPr>
        <w:t>D</w:t>
      </w:r>
      <w:r w:rsidR="009F76C6" w:rsidRPr="00B606DB">
        <w:rPr>
          <w:rFonts w:ascii="Times New Roman" w:hAnsi="Times New Roman" w:cs="Times New Roman"/>
          <w:color w:val="000000" w:themeColor="text1"/>
        </w:rPr>
        <w:t>uring</w:t>
      </w:r>
      <w:r w:rsidR="00FF0A75">
        <w:rPr>
          <w:rFonts w:ascii="Times New Roman" w:hAnsi="Times New Roman" w:cs="Times New Roman"/>
          <w:color w:val="000000" w:themeColor="text1"/>
        </w:rPr>
        <w:t xml:space="preserve"> periods of</w:t>
      </w:r>
      <w:r w:rsidR="009F76C6" w:rsidRPr="00B606DB">
        <w:rPr>
          <w:rFonts w:ascii="Times New Roman" w:hAnsi="Times New Roman" w:cs="Times New Roman"/>
          <w:color w:val="000000" w:themeColor="text1"/>
        </w:rPr>
        <w:t xml:space="preserve"> expansion when asset prices are high securitization works smoothly</w:t>
      </w:r>
      <w:r w:rsidR="00FC01A3">
        <w:rPr>
          <w:rFonts w:ascii="Times New Roman" w:hAnsi="Times New Roman" w:cs="Times New Roman"/>
          <w:color w:val="000000" w:themeColor="text1"/>
        </w:rPr>
        <w:t>,</w:t>
      </w:r>
      <w:r w:rsidR="0008042B" w:rsidRPr="00B606DB">
        <w:rPr>
          <w:rFonts w:ascii="Times New Roman" w:hAnsi="Times New Roman" w:cs="Times New Roman"/>
          <w:color w:val="000000" w:themeColor="text1"/>
        </w:rPr>
        <w:t xml:space="preserve"> </w:t>
      </w:r>
      <w:r>
        <w:rPr>
          <w:rFonts w:ascii="Times New Roman" w:hAnsi="Times New Roman" w:cs="Times New Roman"/>
          <w:color w:val="000000" w:themeColor="text1"/>
        </w:rPr>
        <w:t>providing</w:t>
      </w:r>
      <w:r w:rsidR="005C5FFB" w:rsidRPr="00B606DB">
        <w:rPr>
          <w:rFonts w:ascii="Times New Roman" w:hAnsi="Times New Roman" w:cs="Times New Roman"/>
          <w:color w:val="000000" w:themeColor="text1"/>
        </w:rPr>
        <w:t xml:space="preserve"> banks with</w:t>
      </w:r>
      <w:r w:rsidR="00AF61B7" w:rsidRPr="00B606DB">
        <w:rPr>
          <w:rFonts w:ascii="Times New Roman" w:hAnsi="Times New Roman" w:cs="Times New Roman"/>
          <w:color w:val="000000" w:themeColor="text1"/>
        </w:rPr>
        <w:t xml:space="preserve"> liquid funds.</w:t>
      </w:r>
      <w:r w:rsidR="005C5FFB" w:rsidRPr="00B606DB">
        <w:rPr>
          <w:rFonts w:ascii="Times New Roman" w:hAnsi="Times New Roman" w:cs="Times New Roman"/>
          <w:color w:val="000000" w:themeColor="text1"/>
        </w:rPr>
        <w:t xml:space="preserve"> </w:t>
      </w:r>
      <w:r w:rsidR="005C5FFB" w:rsidRPr="00394B32">
        <w:rPr>
          <w:rFonts w:ascii="Times New Roman" w:hAnsi="Times New Roman" w:cs="Times New Roman"/>
          <w:color w:val="000000" w:themeColor="text1"/>
        </w:rPr>
        <w:t xml:space="preserve">During </w:t>
      </w:r>
      <w:r w:rsidR="00D81323" w:rsidRPr="00394B32">
        <w:rPr>
          <w:rFonts w:ascii="Times New Roman" w:hAnsi="Times New Roman" w:cs="Times New Roman"/>
          <w:color w:val="000000" w:themeColor="text1"/>
        </w:rPr>
        <w:t>expansion</w:t>
      </w:r>
      <w:r w:rsidRPr="00394B32">
        <w:rPr>
          <w:rFonts w:ascii="Times New Roman" w:hAnsi="Times New Roman" w:cs="Times New Roman"/>
          <w:color w:val="000000" w:themeColor="text1"/>
        </w:rPr>
        <w:t>s</w:t>
      </w:r>
      <w:r w:rsidR="00632DD6" w:rsidRPr="00394B32">
        <w:rPr>
          <w:rFonts w:ascii="Times New Roman" w:hAnsi="Times New Roman" w:cs="Times New Roman"/>
          <w:color w:val="000000" w:themeColor="text1"/>
        </w:rPr>
        <w:t xml:space="preserve"> asset prices</w:t>
      </w:r>
      <w:r w:rsidR="005A567D">
        <w:rPr>
          <w:rFonts w:ascii="Times New Roman" w:hAnsi="Times New Roman" w:cs="Times New Roman"/>
          <w:color w:val="000000" w:themeColor="text1"/>
        </w:rPr>
        <w:t xml:space="preserve"> tend to be high and</w:t>
      </w:r>
      <w:r w:rsidR="00632DD6" w:rsidRPr="00394B32">
        <w:rPr>
          <w:rFonts w:ascii="Times New Roman" w:hAnsi="Times New Roman" w:cs="Times New Roman"/>
          <w:color w:val="000000" w:themeColor="text1"/>
        </w:rPr>
        <w:t xml:space="preserve"> an</w:t>
      </w:r>
      <w:r w:rsidR="00AF61B7" w:rsidRPr="00394B32">
        <w:rPr>
          <w:rFonts w:ascii="Times New Roman" w:hAnsi="Times New Roman" w:cs="Times New Roman"/>
          <w:color w:val="000000" w:themeColor="text1"/>
        </w:rPr>
        <w:t xml:space="preserve"> expansionary monetary policy</w:t>
      </w:r>
      <w:r w:rsidR="005A567D">
        <w:rPr>
          <w:rFonts w:ascii="Times New Roman" w:hAnsi="Times New Roman" w:cs="Times New Roman"/>
          <w:color w:val="000000" w:themeColor="text1"/>
        </w:rPr>
        <w:t xml:space="preserve"> during this period</w:t>
      </w:r>
      <w:r w:rsidR="00632DD6" w:rsidRPr="00394B32">
        <w:rPr>
          <w:rFonts w:ascii="Times New Roman" w:hAnsi="Times New Roman" w:cs="Times New Roman"/>
          <w:color w:val="000000" w:themeColor="text1"/>
        </w:rPr>
        <w:t xml:space="preserve"> further increases </w:t>
      </w:r>
      <w:r w:rsidR="00B7217C" w:rsidRPr="00394B32">
        <w:rPr>
          <w:rFonts w:ascii="Times New Roman" w:hAnsi="Times New Roman" w:cs="Times New Roman"/>
          <w:color w:val="000000" w:themeColor="text1"/>
        </w:rPr>
        <w:t>asset prices</w:t>
      </w:r>
      <w:r w:rsidR="00793122" w:rsidRPr="00394B32">
        <w:rPr>
          <w:rFonts w:ascii="Times New Roman" w:hAnsi="Times New Roman" w:cs="Times New Roman"/>
          <w:color w:val="000000" w:themeColor="text1"/>
        </w:rPr>
        <w:t>,</w:t>
      </w:r>
      <w:r w:rsidR="00B7217C" w:rsidRPr="00394B32">
        <w:rPr>
          <w:rFonts w:ascii="Times New Roman" w:hAnsi="Times New Roman" w:cs="Times New Roman"/>
          <w:color w:val="000000" w:themeColor="text1"/>
        </w:rPr>
        <w:t xml:space="preserve"> facilit</w:t>
      </w:r>
      <w:r w:rsidR="005C5FFB" w:rsidRPr="00394B32">
        <w:rPr>
          <w:rFonts w:ascii="Times New Roman" w:hAnsi="Times New Roman" w:cs="Times New Roman"/>
          <w:color w:val="000000" w:themeColor="text1"/>
        </w:rPr>
        <w:t>ating</w:t>
      </w:r>
      <w:r w:rsidR="00B7217C" w:rsidRPr="00394B32">
        <w:rPr>
          <w:rFonts w:ascii="Times New Roman" w:hAnsi="Times New Roman" w:cs="Times New Roman"/>
          <w:color w:val="000000" w:themeColor="text1"/>
        </w:rPr>
        <w:t xml:space="preserve"> securitization activity</w:t>
      </w:r>
      <w:r w:rsidR="00AF61B7" w:rsidRPr="00394B32">
        <w:rPr>
          <w:rFonts w:ascii="Times New Roman" w:hAnsi="Times New Roman" w:cs="Times New Roman"/>
          <w:color w:val="000000" w:themeColor="text1"/>
        </w:rPr>
        <w:t xml:space="preserve"> </w:t>
      </w:r>
      <w:r w:rsidR="00915783" w:rsidRPr="00394B32">
        <w:rPr>
          <w:rFonts w:ascii="Times New Roman" w:hAnsi="Times New Roman" w:cs="Times New Roman"/>
          <w:color w:val="000000" w:themeColor="text1"/>
        </w:rPr>
        <w:t>and amplif</w:t>
      </w:r>
      <w:r w:rsidR="00E45500">
        <w:rPr>
          <w:rFonts w:ascii="Times New Roman" w:hAnsi="Times New Roman" w:cs="Times New Roman"/>
          <w:color w:val="000000" w:themeColor="text1"/>
        </w:rPr>
        <w:t>ying</w:t>
      </w:r>
      <w:r w:rsidR="00AF61B7" w:rsidRPr="00394B32">
        <w:rPr>
          <w:rFonts w:ascii="Times New Roman" w:hAnsi="Times New Roman" w:cs="Times New Roman"/>
          <w:color w:val="000000" w:themeColor="text1"/>
        </w:rPr>
        <w:t xml:space="preserve"> liquidity generation</w:t>
      </w:r>
      <w:r w:rsidR="00FF0A75">
        <w:rPr>
          <w:rFonts w:ascii="Times New Roman" w:hAnsi="Times New Roman" w:cs="Times New Roman"/>
          <w:color w:val="000000" w:themeColor="text1"/>
        </w:rPr>
        <w:t>,</w:t>
      </w:r>
      <w:r w:rsidR="008A4895" w:rsidRPr="00394B32">
        <w:rPr>
          <w:rFonts w:ascii="Times New Roman" w:hAnsi="Times New Roman" w:cs="Times New Roman"/>
          <w:color w:val="000000" w:themeColor="text1"/>
        </w:rPr>
        <w:t xml:space="preserve"> hence</w:t>
      </w:r>
      <w:r w:rsidR="00AF61B7" w:rsidRPr="00394B32">
        <w:rPr>
          <w:rFonts w:ascii="Times New Roman" w:hAnsi="Times New Roman" w:cs="Times New Roman"/>
          <w:color w:val="000000" w:themeColor="text1"/>
        </w:rPr>
        <w:t xml:space="preserve"> magnif</w:t>
      </w:r>
      <w:r w:rsidR="00E45500">
        <w:rPr>
          <w:rFonts w:ascii="Times New Roman" w:hAnsi="Times New Roman" w:cs="Times New Roman"/>
          <w:color w:val="000000" w:themeColor="text1"/>
        </w:rPr>
        <w:t>ying</w:t>
      </w:r>
      <w:r w:rsidR="00AF61B7" w:rsidRPr="00394B32">
        <w:rPr>
          <w:rFonts w:ascii="Times New Roman" w:hAnsi="Times New Roman" w:cs="Times New Roman"/>
          <w:color w:val="000000" w:themeColor="text1"/>
        </w:rPr>
        <w:t xml:space="preserve"> the BLC (</w:t>
      </w:r>
      <w:bookmarkStart w:id="6" w:name="_Hlk110703661"/>
      <w:r w:rsidR="00AF61B7" w:rsidRPr="00394B32">
        <w:rPr>
          <w:rFonts w:ascii="Times New Roman" w:eastAsia="Times New Roman" w:hAnsi="Times New Roman" w:cs="Times New Roman"/>
          <w:color w:val="000000" w:themeColor="text1"/>
          <w:lang w:eastAsia="en-GB"/>
        </w:rPr>
        <w:t xml:space="preserve">Loutskina </w:t>
      </w:r>
      <w:r w:rsidR="00B606DB" w:rsidRPr="00394B32">
        <w:rPr>
          <w:rFonts w:ascii="Times New Roman" w:eastAsia="Times New Roman" w:hAnsi="Times New Roman" w:cs="Times New Roman"/>
          <w:color w:val="000000" w:themeColor="text1"/>
          <w:lang w:eastAsia="en-GB"/>
        </w:rPr>
        <w:t>et al.</w:t>
      </w:r>
      <w:r w:rsidR="00F57D2F" w:rsidRPr="00394B32">
        <w:rPr>
          <w:rFonts w:ascii="Times New Roman" w:eastAsia="Times New Roman" w:hAnsi="Times New Roman" w:cs="Times New Roman"/>
          <w:color w:val="000000" w:themeColor="text1"/>
          <w:lang w:eastAsia="en-GB"/>
        </w:rPr>
        <w:t>,</w:t>
      </w:r>
      <w:r w:rsidR="00AF61B7" w:rsidRPr="00394B32">
        <w:rPr>
          <w:rFonts w:ascii="Times New Roman" w:eastAsia="Times New Roman" w:hAnsi="Times New Roman" w:cs="Times New Roman"/>
          <w:color w:val="000000" w:themeColor="text1"/>
          <w:lang w:eastAsia="en-GB"/>
        </w:rPr>
        <w:t xml:space="preserve"> 2006</w:t>
      </w:r>
      <w:bookmarkEnd w:id="6"/>
      <w:r w:rsidR="00B24FD7" w:rsidRPr="00394B32">
        <w:rPr>
          <w:rFonts w:ascii="Times New Roman" w:eastAsia="Times New Roman" w:hAnsi="Times New Roman" w:cs="Times New Roman"/>
          <w:color w:val="000000" w:themeColor="text1"/>
          <w:lang w:eastAsia="en-GB"/>
        </w:rPr>
        <w:t>)</w:t>
      </w:r>
      <w:r w:rsidR="00AF61B7" w:rsidRPr="00394B32">
        <w:rPr>
          <w:rFonts w:ascii="Times New Roman" w:hAnsi="Times New Roman" w:cs="Times New Roman"/>
          <w:color w:val="000000" w:themeColor="text1"/>
        </w:rPr>
        <w:t>.</w:t>
      </w:r>
      <w:r w:rsidR="00AF61B7" w:rsidRPr="00B606DB">
        <w:rPr>
          <w:rFonts w:ascii="Times New Roman" w:hAnsi="Times New Roman" w:cs="Times New Roman"/>
          <w:color w:val="000000" w:themeColor="text1"/>
        </w:rPr>
        <w:t xml:space="preserve"> On the contrary, during recession</w:t>
      </w:r>
      <w:r w:rsidR="00E17A2D" w:rsidRPr="00B606DB">
        <w:rPr>
          <w:rFonts w:ascii="Times New Roman" w:hAnsi="Times New Roman" w:cs="Times New Roman"/>
          <w:color w:val="000000" w:themeColor="text1"/>
        </w:rPr>
        <w:t xml:space="preserve"> with low house prices and due to</w:t>
      </w:r>
      <w:r w:rsidR="008A4895" w:rsidRPr="00B606DB">
        <w:rPr>
          <w:rFonts w:ascii="Times New Roman" w:hAnsi="Times New Roman" w:cs="Times New Roman"/>
          <w:color w:val="000000" w:themeColor="text1"/>
        </w:rPr>
        <w:t xml:space="preserve"> presence of</w:t>
      </w:r>
      <w:r w:rsidR="00E17A2D" w:rsidRPr="00B606DB">
        <w:rPr>
          <w:rFonts w:ascii="Times New Roman" w:hAnsi="Times New Roman" w:cs="Times New Roman"/>
          <w:color w:val="000000" w:themeColor="text1"/>
        </w:rPr>
        <w:t xml:space="preserve"> loss aversion </w:t>
      </w:r>
      <w:r w:rsidR="00DD2AF9" w:rsidRPr="00B606DB">
        <w:rPr>
          <w:rFonts w:ascii="Times New Roman" w:hAnsi="Times New Roman" w:cs="Times New Roman"/>
          <w:color w:val="000000" w:themeColor="text1"/>
        </w:rPr>
        <w:t>behaviour,</w:t>
      </w:r>
      <w:r w:rsidR="00E17A2D" w:rsidRPr="00B606DB">
        <w:rPr>
          <w:rFonts w:ascii="Times New Roman" w:hAnsi="Times New Roman" w:cs="Times New Roman"/>
          <w:color w:val="000000" w:themeColor="text1"/>
        </w:rPr>
        <w:t xml:space="preserve"> expansionary monetary policy becomes </w:t>
      </w:r>
      <w:r w:rsidR="00E1730E" w:rsidRPr="00B606DB">
        <w:rPr>
          <w:rFonts w:ascii="Times New Roman" w:hAnsi="Times New Roman" w:cs="Times New Roman"/>
          <w:color w:val="000000" w:themeColor="text1"/>
        </w:rPr>
        <w:t>ineffective</w:t>
      </w:r>
      <w:r w:rsidR="00DD2AF9" w:rsidRPr="00B606DB">
        <w:rPr>
          <w:rFonts w:ascii="Times New Roman" w:hAnsi="Times New Roman" w:cs="Times New Roman"/>
          <w:color w:val="000000" w:themeColor="text1"/>
        </w:rPr>
        <w:t xml:space="preserve"> in</w:t>
      </w:r>
      <w:r w:rsidR="00E17A2D" w:rsidRPr="00B606DB">
        <w:rPr>
          <w:rFonts w:ascii="Times New Roman" w:hAnsi="Times New Roman" w:cs="Times New Roman"/>
          <w:color w:val="000000" w:themeColor="text1"/>
        </w:rPr>
        <w:t xml:space="preserve"> increasing</w:t>
      </w:r>
      <w:r w:rsidR="00DD2AF9" w:rsidRPr="00B606DB">
        <w:rPr>
          <w:rFonts w:ascii="Times New Roman" w:hAnsi="Times New Roman" w:cs="Times New Roman"/>
          <w:color w:val="000000" w:themeColor="text1"/>
        </w:rPr>
        <w:t xml:space="preserve"> market activity</w:t>
      </w:r>
      <w:r w:rsidR="00E45500">
        <w:rPr>
          <w:rFonts w:ascii="Times New Roman" w:hAnsi="Times New Roman" w:cs="Times New Roman"/>
          <w:color w:val="000000" w:themeColor="text1"/>
        </w:rPr>
        <w:t>,</w:t>
      </w:r>
      <w:r w:rsidR="00DD2AF9" w:rsidRPr="00B606DB">
        <w:rPr>
          <w:rFonts w:ascii="Times New Roman" w:hAnsi="Times New Roman" w:cs="Times New Roman"/>
          <w:color w:val="000000" w:themeColor="text1"/>
        </w:rPr>
        <w:t xml:space="preserve"> and house price</w:t>
      </w:r>
      <w:r w:rsidR="00E1730E" w:rsidRPr="00B606DB">
        <w:rPr>
          <w:rFonts w:ascii="Times New Roman" w:hAnsi="Times New Roman" w:cs="Times New Roman"/>
          <w:color w:val="000000" w:themeColor="text1"/>
        </w:rPr>
        <w:t xml:space="preserve"> (Tsai</w:t>
      </w:r>
      <w:r w:rsidR="00B24FD7" w:rsidRPr="00B606DB">
        <w:rPr>
          <w:rFonts w:ascii="Times New Roman" w:hAnsi="Times New Roman" w:cs="Times New Roman"/>
          <w:color w:val="000000" w:themeColor="text1"/>
        </w:rPr>
        <w:t xml:space="preserve">, </w:t>
      </w:r>
      <w:r w:rsidR="009B32D6" w:rsidRPr="00B606DB">
        <w:rPr>
          <w:rFonts w:ascii="Times New Roman" w:hAnsi="Times New Roman" w:cs="Times New Roman"/>
          <w:color w:val="000000" w:themeColor="text1"/>
        </w:rPr>
        <w:t>2013)</w:t>
      </w:r>
      <w:r w:rsidR="00DD2AF9" w:rsidRPr="00B606DB">
        <w:rPr>
          <w:rFonts w:ascii="Times New Roman" w:hAnsi="Times New Roman" w:cs="Times New Roman"/>
          <w:color w:val="000000" w:themeColor="text1"/>
        </w:rPr>
        <w:t xml:space="preserve">. As a </w:t>
      </w:r>
      <w:r w:rsidR="009B32D6" w:rsidRPr="00B606DB">
        <w:rPr>
          <w:rFonts w:ascii="Times New Roman" w:hAnsi="Times New Roman" w:cs="Times New Roman"/>
          <w:color w:val="000000" w:themeColor="text1"/>
        </w:rPr>
        <w:t>result,</w:t>
      </w:r>
      <w:r w:rsidR="00DD2AF9" w:rsidRPr="00B606DB">
        <w:rPr>
          <w:rFonts w:ascii="Times New Roman" w:hAnsi="Times New Roman" w:cs="Times New Roman"/>
          <w:color w:val="000000" w:themeColor="text1"/>
        </w:rPr>
        <w:t xml:space="preserve"> securitization</w:t>
      </w:r>
      <w:r w:rsidR="00AF61B7" w:rsidRPr="00B606DB">
        <w:rPr>
          <w:rFonts w:ascii="Times New Roman" w:hAnsi="Times New Roman" w:cs="Times New Roman"/>
          <w:color w:val="000000" w:themeColor="text1"/>
        </w:rPr>
        <w:t xml:space="preserve"> process </w:t>
      </w:r>
      <w:r w:rsidR="009B32D6" w:rsidRPr="00B606DB">
        <w:rPr>
          <w:rFonts w:ascii="Times New Roman" w:hAnsi="Times New Roman" w:cs="Times New Roman"/>
          <w:color w:val="000000" w:themeColor="text1"/>
        </w:rPr>
        <w:t>stagnates,</w:t>
      </w:r>
      <w:r w:rsidR="00AF61B7" w:rsidRPr="00B606DB">
        <w:rPr>
          <w:rFonts w:ascii="Times New Roman" w:hAnsi="Times New Roman" w:cs="Times New Roman"/>
          <w:color w:val="000000" w:themeColor="text1"/>
        </w:rPr>
        <w:t xml:space="preserve"> </w:t>
      </w:r>
      <w:r w:rsidR="009B32D6" w:rsidRPr="00B606DB">
        <w:rPr>
          <w:rFonts w:ascii="Times New Roman" w:hAnsi="Times New Roman" w:cs="Times New Roman"/>
          <w:color w:val="000000" w:themeColor="text1"/>
        </w:rPr>
        <w:t>curtailing banks from</w:t>
      </w:r>
      <w:r w:rsidR="00AF61B7" w:rsidRPr="00B606DB">
        <w:rPr>
          <w:rFonts w:ascii="Times New Roman" w:hAnsi="Times New Roman" w:cs="Times New Roman"/>
          <w:color w:val="000000" w:themeColor="text1"/>
        </w:rPr>
        <w:t xml:space="preserve"> liquid</w:t>
      </w:r>
      <w:r w:rsidR="009B32D6" w:rsidRPr="00B606DB">
        <w:rPr>
          <w:rFonts w:ascii="Times New Roman" w:hAnsi="Times New Roman" w:cs="Times New Roman"/>
          <w:color w:val="000000" w:themeColor="text1"/>
        </w:rPr>
        <w:t xml:space="preserve"> </w:t>
      </w:r>
      <w:r w:rsidR="009B32D6" w:rsidRPr="00B606DB">
        <w:rPr>
          <w:rFonts w:ascii="Times New Roman" w:hAnsi="Times New Roman" w:cs="Times New Roman"/>
          <w:color w:val="000000" w:themeColor="text1"/>
        </w:rPr>
        <w:lastRenderedPageBreak/>
        <w:t>funds</w:t>
      </w:r>
      <w:r w:rsidR="00AF61B7" w:rsidRPr="00B606DB">
        <w:rPr>
          <w:rFonts w:ascii="Times New Roman" w:hAnsi="Times New Roman" w:cs="Times New Roman"/>
          <w:color w:val="000000" w:themeColor="text1"/>
        </w:rPr>
        <w:t>.</w:t>
      </w:r>
      <w:r w:rsidR="00AC5194" w:rsidRPr="00B606DB">
        <w:rPr>
          <w:rFonts w:ascii="Times New Roman" w:hAnsi="Times New Roman" w:cs="Times New Roman"/>
          <w:color w:val="000000" w:themeColor="text1"/>
        </w:rPr>
        <w:t xml:space="preserve"> </w:t>
      </w:r>
      <w:r w:rsidR="00AF61B7" w:rsidRPr="00B606DB">
        <w:rPr>
          <w:rFonts w:ascii="Times New Roman" w:hAnsi="Times New Roman" w:cs="Times New Roman"/>
          <w:color w:val="000000" w:themeColor="text1"/>
        </w:rPr>
        <w:t xml:space="preserve">Gambacorta and Marques-Ibanez (2011) illustrate, banks that are more dependent on securitization are most </w:t>
      </w:r>
      <w:r w:rsidR="008A5CAB" w:rsidRPr="00C846B5">
        <w:rPr>
          <w:rFonts w:ascii="Times New Roman" w:hAnsi="Times New Roman" w:cs="Times New Roman"/>
          <w:color w:val="000000" w:themeColor="text1"/>
        </w:rPr>
        <w:t>a</w:t>
      </w:r>
      <w:r w:rsidR="00AF61B7" w:rsidRPr="00C846B5">
        <w:rPr>
          <w:rFonts w:ascii="Times New Roman" w:hAnsi="Times New Roman" w:cs="Times New Roman"/>
          <w:color w:val="000000" w:themeColor="text1"/>
        </w:rPr>
        <w:t>ffected</w:t>
      </w:r>
      <w:r w:rsidR="00AF61B7" w:rsidRPr="00B606DB">
        <w:rPr>
          <w:rFonts w:ascii="Times New Roman" w:hAnsi="Times New Roman" w:cs="Times New Roman"/>
          <w:color w:val="000000" w:themeColor="text1"/>
        </w:rPr>
        <w:t xml:space="preserve"> and reduce loan supply more during crisis periods (even in the presence of expansionary policy). Furthermore, </w:t>
      </w:r>
      <w:r w:rsidR="003D38F7">
        <w:rPr>
          <w:rFonts w:ascii="Times New Roman" w:hAnsi="Times New Roman" w:cs="Times New Roman"/>
          <w:color w:val="000000" w:themeColor="text1"/>
        </w:rPr>
        <w:t>in times</w:t>
      </w:r>
      <w:r w:rsidR="00AF61B7" w:rsidRPr="00B606DB">
        <w:rPr>
          <w:rFonts w:ascii="Times New Roman" w:hAnsi="Times New Roman" w:cs="Times New Roman"/>
          <w:color w:val="000000" w:themeColor="text1"/>
        </w:rPr>
        <w:t xml:space="preserve"> </w:t>
      </w:r>
      <w:r w:rsidR="001877EA" w:rsidRPr="00B606DB">
        <w:rPr>
          <w:rFonts w:ascii="Times New Roman" w:hAnsi="Times New Roman" w:cs="Times New Roman"/>
          <w:color w:val="000000" w:themeColor="text1"/>
        </w:rPr>
        <w:t xml:space="preserve">of </w:t>
      </w:r>
      <w:r w:rsidR="001877EA">
        <w:rPr>
          <w:rFonts w:ascii="Times New Roman" w:hAnsi="Times New Roman" w:cs="Times New Roman"/>
          <w:color w:val="000000" w:themeColor="text1"/>
        </w:rPr>
        <w:t>recession</w:t>
      </w:r>
      <w:r w:rsidR="00AF61B7" w:rsidRPr="00B606DB">
        <w:rPr>
          <w:rFonts w:ascii="Times New Roman" w:hAnsi="Times New Roman" w:cs="Times New Roman"/>
          <w:color w:val="000000" w:themeColor="text1"/>
        </w:rPr>
        <w:t xml:space="preserve"> as asset prices fall bank balance sheet become weak leading to a decrease in their net worth. The impact </w:t>
      </w:r>
      <w:r w:rsidR="00881223" w:rsidRPr="00B606DB">
        <w:rPr>
          <w:rFonts w:ascii="Times New Roman" w:hAnsi="Times New Roman" w:cs="Times New Roman"/>
          <w:color w:val="000000" w:themeColor="text1"/>
        </w:rPr>
        <w:t>of lower</w:t>
      </w:r>
      <w:r w:rsidR="00AF61B7" w:rsidRPr="00B606DB">
        <w:rPr>
          <w:rFonts w:ascii="Times New Roman" w:hAnsi="Times New Roman" w:cs="Times New Roman"/>
          <w:color w:val="000000" w:themeColor="text1"/>
        </w:rPr>
        <w:t xml:space="preserve"> net worth increases asymmetric information &amp; moral hazard problem in the wholesale funds market. Consequently, in such states the effectiveness of expansionary monetary policy in reducing external finance premium becomes less, </w:t>
      </w:r>
      <w:r w:rsidR="008A4895" w:rsidRPr="00B606DB">
        <w:rPr>
          <w:rFonts w:ascii="Times New Roman" w:hAnsi="Times New Roman" w:cs="Times New Roman"/>
          <w:color w:val="000000" w:themeColor="text1"/>
        </w:rPr>
        <w:t>compared</w:t>
      </w:r>
      <w:r w:rsidR="00AF61B7" w:rsidRPr="00B606DB">
        <w:rPr>
          <w:rFonts w:ascii="Times New Roman" w:hAnsi="Times New Roman" w:cs="Times New Roman"/>
          <w:color w:val="000000" w:themeColor="text1"/>
        </w:rPr>
        <w:t xml:space="preserve"> to a similar sized monetary shock in normal times, when banks’ balance sheets are in better shape</w:t>
      </w:r>
      <w:r w:rsidR="00AF61B7" w:rsidRPr="00AD66F4">
        <w:rPr>
          <w:rFonts w:ascii="Times New Roman" w:hAnsi="Times New Roman" w:cs="Times New Roman"/>
          <w:color w:val="000000" w:themeColor="text1"/>
        </w:rPr>
        <w:t xml:space="preserve">.  </w:t>
      </w:r>
    </w:p>
    <w:p w14:paraId="1566346E" w14:textId="2F58D254" w:rsidR="00D64234" w:rsidRDefault="001D3CE3" w:rsidP="00FC01A3">
      <w:pPr>
        <w:widowControl w:val="0"/>
        <w:autoSpaceDE w:val="0"/>
        <w:autoSpaceDN w:val="0"/>
        <w:adjustRightInd w:val="0"/>
        <w:spacing w:after="0" w:line="480" w:lineRule="auto"/>
        <w:ind w:firstLine="720"/>
        <w:contextualSpacing/>
        <w:jc w:val="both"/>
        <w:rPr>
          <w:rFonts w:ascii="Times New Roman" w:hAnsi="Times New Roman" w:cs="Times New Roman"/>
        </w:rPr>
      </w:pPr>
      <w:r w:rsidRPr="00AD66F4">
        <w:rPr>
          <w:rFonts w:ascii="Times New Roman" w:hAnsi="Times New Roman" w:cs="Times New Roman"/>
          <w:color w:val="000000" w:themeColor="text1"/>
        </w:rPr>
        <w:t>BLC</w:t>
      </w:r>
      <w:r w:rsidR="004E4EE2" w:rsidRPr="00AD66F4">
        <w:rPr>
          <w:rFonts w:ascii="Times New Roman" w:hAnsi="Times New Roman" w:cs="Times New Roman"/>
          <w:color w:val="000000" w:themeColor="text1"/>
        </w:rPr>
        <w:t xml:space="preserve"> can</w:t>
      </w:r>
      <w:r w:rsidR="006134F9" w:rsidRPr="00AD66F4">
        <w:rPr>
          <w:rFonts w:ascii="Times New Roman" w:hAnsi="Times New Roman" w:cs="Times New Roman"/>
          <w:color w:val="000000" w:themeColor="text1"/>
        </w:rPr>
        <w:t xml:space="preserve"> also</w:t>
      </w:r>
      <w:r w:rsidR="004E4EE2" w:rsidRPr="00AD66F4">
        <w:rPr>
          <w:rFonts w:ascii="Times New Roman" w:hAnsi="Times New Roman" w:cs="Times New Roman"/>
          <w:color w:val="000000" w:themeColor="text1"/>
        </w:rPr>
        <w:t xml:space="preserve"> be influenced by the impact of monetary policy o</w:t>
      </w:r>
      <w:r w:rsidR="006134F9" w:rsidRPr="00AD66F4">
        <w:rPr>
          <w:rFonts w:ascii="Times New Roman" w:hAnsi="Times New Roman" w:cs="Times New Roman"/>
          <w:color w:val="000000" w:themeColor="text1"/>
        </w:rPr>
        <w:t>n</w:t>
      </w:r>
      <w:r w:rsidR="00B92920" w:rsidRPr="00AD66F4">
        <w:rPr>
          <w:rFonts w:ascii="Times New Roman" w:hAnsi="Times New Roman" w:cs="Times New Roman"/>
          <w:color w:val="000000" w:themeColor="text1"/>
        </w:rPr>
        <w:t xml:space="preserve"> banks’</w:t>
      </w:r>
      <w:r w:rsidR="006134F9" w:rsidRPr="00AD66F4">
        <w:rPr>
          <w:rFonts w:ascii="Times New Roman" w:hAnsi="Times New Roman" w:cs="Times New Roman"/>
          <w:color w:val="000000" w:themeColor="text1"/>
        </w:rPr>
        <w:t xml:space="preserve"> perception of risk/or willing</w:t>
      </w:r>
      <w:r w:rsidR="004E4EE2" w:rsidRPr="00AD66F4">
        <w:rPr>
          <w:rFonts w:ascii="Times New Roman" w:hAnsi="Times New Roman" w:cs="Times New Roman"/>
          <w:color w:val="000000" w:themeColor="text1"/>
        </w:rPr>
        <w:t>ness to bear risk</w:t>
      </w:r>
      <w:r w:rsidR="006603FE">
        <w:rPr>
          <w:rFonts w:ascii="Times New Roman" w:hAnsi="Times New Roman" w:cs="Times New Roman"/>
          <w:color w:val="000000" w:themeColor="text1"/>
        </w:rPr>
        <w:t xml:space="preserve"> </w:t>
      </w:r>
      <w:r w:rsidR="006603FE" w:rsidRPr="000A7EFA">
        <w:rPr>
          <w:rFonts w:ascii="Times New Roman" w:hAnsi="Times New Roman" w:cs="Times New Roman"/>
          <w:color w:val="000000" w:themeColor="text1"/>
        </w:rPr>
        <w:t>(</w:t>
      </w:r>
      <w:r w:rsidR="006603FE" w:rsidRPr="000A7EFA">
        <w:rPr>
          <w:rFonts w:ascii="Times New Roman" w:eastAsia="Times New Roman" w:hAnsi="Times New Roman" w:cs="Times New Roman"/>
          <w:color w:val="000000" w:themeColor="text1"/>
        </w:rPr>
        <w:t>Borio and Zhu</w:t>
      </w:r>
      <w:r w:rsidR="00B24FD7">
        <w:rPr>
          <w:rFonts w:ascii="Times New Roman" w:eastAsia="Times New Roman" w:hAnsi="Times New Roman" w:cs="Times New Roman"/>
          <w:color w:val="000000" w:themeColor="text1"/>
        </w:rPr>
        <w:t xml:space="preserve">, </w:t>
      </w:r>
      <w:r w:rsidR="006603FE" w:rsidRPr="000A7EFA">
        <w:rPr>
          <w:rFonts w:ascii="Times New Roman" w:eastAsia="Times New Roman" w:hAnsi="Times New Roman" w:cs="Times New Roman"/>
          <w:color w:val="000000" w:themeColor="text1"/>
        </w:rPr>
        <w:t>2008</w:t>
      </w:r>
      <w:r w:rsidR="001877EA">
        <w:rPr>
          <w:rFonts w:ascii="Times New Roman" w:eastAsia="Times New Roman" w:hAnsi="Times New Roman" w:cs="Times New Roman"/>
          <w:color w:val="000000" w:themeColor="text1"/>
        </w:rPr>
        <w:t>;</w:t>
      </w:r>
      <w:r w:rsidR="008C0840">
        <w:rPr>
          <w:rFonts w:ascii="Times New Roman" w:eastAsia="Times New Roman" w:hAnsi="Times New Roman" w:cs="Times New Roman"/>
          <w:color w:val="000000" w:themeColor="text1"/>
        </w:rPr>
        <w:t xml:space="preserve"> </w:t>
      </w:r>
      <w:r w:rsidR="006603FE" w:rsidRPr="000A7EFA">
        <w:rPr>
          <w:rFonts w:ascii="Times New Roman" w:hAnsi="Times New Roman" w:cs="Times New Roman"/>
          <w:color w:val="000000" w:themeColor="text1"/>
        </w:rPr>
        <w:t>Adrian and Shin</w:t>
      </w:r>
      <w:r w:rsidR="00BC6638">
        <w:rPr>
          <w:rFonts w:ascii="Times New Roman" w:hAnsi="Times New Roman" w:cs="Times New Roman"/>
          <w:color w:val="000000" w:themeColor="text1"/>
        </w:rPr>
        <w:t>,</w:t>
      </w:r>
      <w:r w:rsidR="006603FE" w:rsidRPr="000A7EFA">
        <w:rPr>
          <w:rFonts w:ascii="Times New Roman" w:hAnsi="Times New Roman" w:cs="Times New Roman"/>
          <w:color w:val="000000" w:themeColor="text1"/>
        </w:rPr>
        <w:t xml:space="preserve"> 2009)</w:t>
      </w:r>
      <w:r w:rsidR="004E4EE2" w:rsidRPr="000A7EFA">
        <w:rPr>
          <w:rFonts w:ascii="Times New Roman" w:hAnsi="Times New Roman" w:cs="Times New Roman"/>
          <w:color w:val="000000" w:themeColor="text1"/>
        </w:rPr>
        <w:t>.</w:t>
      </w:r>
      <w:r w:rsidR="004E4EE2" w:rsidRPr="00AD66F4">
        <w:rPr>
          <w:rFonts w:ascii="Times New Roman" w:hAnsi="Times New Roman" w:cs="Times New Roman"/>
          <w:color w:val="000000" w:themeColor="text1"/>
        </w:rPr>
        <w:t xml:space="preserve"> </w:t>
      </w:r>
      <w:r w:rsidR="00D66022">
        <w:rPr>
          <w:rFonts w:ascii="Times New Roman" w:hAnsi="Times New Roman" w:cs="Times New Roman"/>
          <w:color w:val="000000" w:themeColor="text1"/>
        </w:rPr>
        <w:t>In</w:t>
      </w:r>
      <w:r w:rsidR="007F6B9A" w:rsidRPr="00AD66F4">
        <w:rPr>
          <w:rFonts w:ascii="Times New Roman" w:hAnsi="Times New Roman" w:cs="Times New Roman"/>
          <w:color w:val="000000" w:themeColor="text1"/>
        </w:rPr>
        <w:t xml:space="preserve"> expansion</w:t>
      </w:r>
      <w:r w:rsidR="00D66022">
        <w:rPr>
          <w:rFonts w:ascii="Times New Roman" w:hAnsi="Times New Roman" w:cs="Times New Roman"/>
          <w:color w:val="000000" w:themeColor="text1"/>
        </w:rPr>
        <w:t>s</w:t>
      </w:r>
      <w:r w:rsidR="007F6B9A" w:rsidRPr="00AD66F4">
        <w:rPr>
          <w:rFonts w:ascii="Times New Roman" w:hAnsi="Times New Roman" w:cs="Times New Roman"/>
          <w:color w:val="000000" w:themeColor="text1"/>
        </w:rPr>
        <w:t xml:space="preserve"> if monetary policy is kept low </w:t>
      </w:r>
      <w:r w:rsidR="00D254AA" w:rsidRPr="00AD66F4">
        <w:rPr>
          <w:rFonts w:ascii="Times New Roman" w:hAnsi="Times New Roman" w:cs="Times New Roman"/>
          <w:color w:val="000000" w:themeColor="text1"/>
        </w:rPr>
        <w:t>for long</w:t>
      </w:r>
      <w:r w:rsidR="004E4EE2" w:rsidRPr="00AD66F4">
        <w:rPr>
          <w:rFonts w:ascii="Times New Roman" w:hAnsi="Times New Roman" w:cs="Times New Roman"/>
          <w:color w:val="000000" w:themeColor="text1"/>
        </w:rPr>
        <w:t xml:space="preserve"> periods</w:t>
      </w:r>
      <w:r w:rsidR="007F6B9A" w:rsidRPr="00AD66F4">
        <w:rPr>
          <w:rFonts w:ascii="Times New Roman" w:hAnsi="Times New Roman" w:cs="Times New Roman"/>
          <w:color w:val="000000" w:themeColor="text1"/>
        </w:rPr>
        <w:t>, bank’s</w:t>
      </w:r>
      <w:r w:rsidR="004E4EE2" w:rsidRPr="00AD66F4">
        <w:rPr>
          <w:rFonts w:ascii="Times New Roman" w:hAnsi="Times New Roman" w:cs="Times New Roman"/>
          <w:color w:val="000000" w:themeColor="text1"/>
        </w:rPr>
        <w:t xml:space="preserve"> </w:t>
      </w:r>
      <w:r w:rsidR="006603FE" w:rsidRPr="00AD66F4">
        <w:rPr>
          <w:rFonts w:ascii="Times New Roman" w:hAnsi="Times New Roman" w:cs="Times New Roman"/>
          <w:color w:val="000000" w:themeColor="text1"/>
        </w:rPr>
        <w:t>perception</w:t>
      </w:r>
      <w:r w:rsidR="004E4EE2" w:rsidRPr="00AD66F4">
        <w:rPr>
          <w:rFonts w:ascii="Times New Roman" w:hAnsi="Times New Roman" w:cs="Times New Roman"/>
          <w:color w:val="000000" w:themeColor="text1"/>
        </w:rPr>
        <w:t xml:space="preserve"> and attitude towards risk ch</w:t>
      </w:r>
      <w:r w:rsidR="005C29AB" w:rsidRPr="00AD66F4">
        <w:rPr>
          <w:rFonts w:ascii="Times New Roman" w:hAnsi="Times New Roman" w:cs="Times New Roman"/>
          <w:color w:val="000000" w:themeColor="text1"/>
        </w:rPr>
        <w:t xml:space="preserve">anges; </w:t>
      </w:r>
      <w:r w:rsidR="0032469D" w:rsidRPr="00AD66F4">
        <w:rPr>
          <w:rFonts w:ascii="Times New Roman" w:hAnsi="Times New Roman" w:cs="Times New Roman"/>
          <w:color w:val="000000" w:themeColor="text1"/>
        </w:rPr>
        <w:t>primarily</w:t>
      </w:r>
      <w:r w:rsidR="005C29AB" w:rsidRPr="00AD66F4">
        <w:rPr>
          <w:rFonts w:ascii="Times New Roman" w:hAnsi="Times New Roman" w:cs="Times New Roman"/>
          <w:color w:val="000000" w:themeColor="text1"/>
        </w:rPr>
        <w:t xml:space="preserve"> due to fact that</w:t>
      </w:r>
      <w:r w:rsidR="004E4EE2" w:rsidRPr="00AD66F4">
        <w:rPr>
          <w:rFonts w:ascii="Times New Roman" w:hAnsi="Times New Roman" w:cs="Times New Roman"/>
          <w:color w:val="000000" w:themeColor="text1"/>
        </w:rPr>
        <w:t xml:space="preserve"> low interest rate scenarios reduce borrowers default probability</w:t>
      </w:r>
      <w:r w:rsidR="00211175" w:rsidRPr="00AD66F4">
        <w:rPr>
          <w:rFonts w:ascii="Times New Roman" w:hAnsi="Times New Roman" w:cs="Times New Roman"/>
          <w:color w:val="000000" w:themeColor="text1"/>
        </w:rPr>
        <w:t xml:space="preserve"> which in turn</w:t>
      </w:r>
      <w:r w:rsidR="00D254AA" w:rsidRPr="00AD66F4">
        <w:rPr>
          <w:rFonts w:ascii="Times New Roman" w:hAnsi="Times New Roman" w:cs="Times New Roman"/>
          <w:color w:val="000000" w:themeColor="text1"/>
        </w:rPr>
        <w:t xml:space="preserve"> increa</w:t>
      </w:r>
      <w:r w:rsidR="00211175" w:rsidRPr="00AD66F4">
        <w:rPr>
          <w:rFonts w:ascii="Times New Roman" w:hAnsi="Times New Roman" w:cs="Times New Roman"/>
          <w:color w:val="000000" w:themeColor="text1"/>
        </w:rPr>
        <w:t>ses</w:t>
      </w:r>
      <w:r w:rsidR="004E4EE2" w:rsidRPr="00AD66F4">
        <w:rPr>
          <w:rFonts w:ascii="Times New Roman" w:hAnsi="Times New Roman" w:cs="Times New Roman"/>
          <w:color w:val="000000" w:themeColor="text1"/>
        </w:rPr>
        <w:t xml:space="preserve"> bank</w:t>
      </w:r>
      <w:r w:rsidR="000872F1" w:rsidRPr="00AD66F4">
        <w:rPr>
          <w:rFonts w:ascii="Times New Roman" w:hAnsi="Times New Roman" w:cs="Times New Roman"/>
          <w:color w:val="000000" w:themeColor="text1"/>
        </w:rPr>
        <w:t>’</w:t>
      </w:r>
      <w:r w:rsidR="004E4EE2" w:rsidRPr="00AD66F4">
        <w:rPr>
          <w:rFonts w:ascii="Times New Roman" w:hAnsi="Times New Roman" w:cs="Times New Roman"/>
          <w:color w:val="000000" w:themeColor="text1"/>
        </w:rPr>
        <w:t>s cash flow</w:t>
      </w:r>
      <w:r w:rsidR="006603FE">
        <w:rPr>
          <w:rFonts w:ascii="Times New Roman" w:hAnsi="Times New Roman" w:cs="Times New Roman"/>
          <w:color w:val="000000" w:themeColor="text1"/>
        </w:rPr>
        <w:t>,</w:t>
      </w:r>
      <w:r w:rsidR="001B0C91" w:rsidRPr="00AD66F4">
        <w:rPr>
          <w:rFonts w:ascii="Times New Roman" w:hAnsi="Times New Roman" w:cs="Times New Roman"/>
          <w:color w:val="000000" w:themeColor="text1"/>
        </w:rPr>
        <w:t xml:space="preserve"> </w:t>
      </w:r>
      <w:r w:rsidR="00BC6638" w:rsidRPr="00AD66F4">
        <w:rPr>
          <w:rFonts w:ascii="Times New Roman" w:hAnsi="Times New Roman" w:cs="Times New Roman"/>
          <w:color w:val="000000" w:themeColor="text1"/>
        </w:rPr>
        <w:t>profits,</w:t>
      </w:r>
      <w:r w:rsidR="001B0C91" w:rsidRPr="00AD66F4">
        <w:rPr>
          <w:rFonts w:ascii="Times New Roman" w:hAnsi="Times New Roman" w:cs="Times New Roman"/>
          <w:color w:val="000000" w:themeColor="text1"/>
        </w:rPr>
        <w:t xml:space="preserve"> and hence strengthens</w:t>
      </w:r>
      <w:r w:rsidR="004E4EE2" w:rsidRPr="00AD66F4">
        <w:rPr>
          <w:rFonts w:ascii="Times New Roman" w:hAnsi="Times New Roman" w:cs="Times New Roman"/>
          <w:color w:val="000000" w:themeColor="text1"/>
        </w:rPr>
        <w:t xml:space="preserve"> bank</w:t>
      </w:r>
      <w:r w:rsidR="00211175" w:rsidRPr="00AD66F4">
        <w:rPr>
          <w:rFonts w:ascii="Times New Roman" w:hAnsi="Times New Roman" w:cs="Times New Roman"/>
          <w:color w:val="000000" w:themeColor="text1"/>
        </w:rPr>
        <w:t>’</w:t>
      </w:r>
      <w:r w:rsidR="00514BDF" w:rsidRPr="00AD66F4">
        <w:rPr>
          <w:rFonts w:ascii="Times New Roman" w:hAnsi="Times New Roman" w:cs="Times New Roman"/>
          <w:color w:val="000000" w:themeColor="text1"/>
        </w:rPr>
        <w:t xml:space="preserve">s net worth. </w:t>
      </w:r>
      <w:r w:rsidR="00AF37DA" w:rsidRPr="00AD66F4">
        <w:rPr>
          <w:rFonts w:ascii="Times New Roman" w:hAnsi="Times New Roman" w:cs="Times New Roman"/>
          <w:color w:val="000000" w:themeColor="text1"/>
        </w:rPr>
        <w:t>This</w:t>
      </w:r>
      <w:r w:rsidR="00CA6167">
        <w:rPr>
          <w:rFonts w:ascii="Times New Roman" w:hAnsi="Times New Roman" w:cs="Times New Roman"/>
          <w:color w:val="000000" w:themeColor="text1"/>
        </w:rPr>
        <w:t xml:space="preserve"> </w:t>
      </w:r>
      <w:r w:rsidR="00B65E63">
        <w:rPr>
          <w:rFonts w:ascii="Times New Roman" w:hAnsi="Times New Roman" w:cs="Times New Roman"/>
          <w:color w:val="000000" w:themeColor="text1"/>
        </w:rPr>
        <w:t xml:space="preserve">consequently </w:t>
      </w:r>
      <w:r w:rsidR="00226922" w:rsidRPr="00AD66F4">
        <w:rPr>
          <w:rFonts w:ascii="Times New Roman" w:hAnsi="Times New Roman" w:cs="Times New Roman"/>
          <w:color w:val="000000" w:themeColor="text1"/>
        </w:rPr>
        <w:t>diminishes</w:t>
      </w:r>
      <w:r w:rsidR="00CA6167">
        <w:rPr>
          <w:rFonts w:ascii="Times New Roman" w:hAnsi="Times New Roman" w:cs="Times New Roman"/>
          <w:color w:val="000000" w:themeColor="text1"/>
        </w:rPr>
        <w:t xml:space="preserve"> asymmetric information</w:t>
      </w:r>
      <w:r w:rsidR="00B65E63">
        <w:rPr>
          <w:rFonts w:ascii="Times New Roman" w:hAnsi="Times New Roman" w:cs="Times New Roman"/>
          <w:color w:val="000000" w:themeColor="text1"/>
        </w:rPr>
        <w:t xml:space="preserve"> problem</w:t>
      </w:r>
      <w:r w:rsidR="00CA6167">
        <w:rPr>
          <w:rFonts w:ascii="Times New Roman" w:hAnsi="Times New Roman" w:cs="Times New Roman"/>
          <w:color w:val="000000" w:themeColor="text1"/>
        </w:rPr>
        <w:t xml:space="preserve"> between investors and the </w:t>
      </w:r>
      <w:r w:rsidR="00B65E63">
        <w:rPr>
          <w:rFonts w:ascii="Times New Roman" w:hAnsi="Times New Roman" w:cs="Times New Roman"/>
          <w:color w:val="000000" w:themeColor="text1"/>
        </w:rPr>
        <w:t xml:space="preserve">bank, </w:t>
      </w:r>
      <w:r w:rsidR="000A7EFA">
        <w:rPr>
          <w:rFonts w:ascii="Times New Roman" w:hAnsi="Times New Roman" w:cs="Times New Roman"/>
          <w:color w:val="000000" w:themeColor="text1"/>
        </w:rPr>
        <w:t>resulting in reduced</w:t>
      </w:r>
      <w:r w:rsidR="00B65E63">
        <w:rPr>
          <w:rFonts w:ascii="Times New Roman" w:hAnsi="Times New Roman" w:cs="Times New Roman"/>
          <w:color w:val="000000" w:themeColor="text1"/>
        </w:rPr>
        <w:t xml:space="preserve"> funding</w:t>
      </w:r>
      <w:r w:rsidR="00AF37DA" w:rsidRPr="00AD66F4">
        <w:rPr>
          <w:rFonts w:ascii="Times New Roman" w:hAnsi="Times New Roman" w:cs="Times New Roman"/>
          <w:color w:val="000000" w:themeColor="text1"/>
        </w:rPr>
        <w:t xml:space="preserve"> cost and </w:t>
      </w:r>
      <w:r w:rsidR="000A7EFA" w:rsidRPr="00AD66F4">
        <w:rPr>
          <w:rFonts w:ascii="Times New Roman" w:hAnsi="Times New Roman" w:cs="Times New Roman"/>
          <w:color w:val="000000" w:themeColor="text1"/>
        </w:rPr>
        <w:t>enh</w:t>
      </w:r>
      <w:r w:rsidR="000A7EFA">
        <w:rPr>
          <w:rFonts w:ascii="Times New Roman" w:hAnsi="Times New Roman" w:cs="Times New Roman"/>
          <w:color w:val="000000" w:themeColor="text1"/>
        </w:rPr>
        <w:t>ancing</w:t>
      </w:r>
      <w:r w:rsidR="00AF37DA" w:rsidRPr="00AD66F4">
        <w:rPr>
          <w:rFonts w:ascii="Times New Roman" w:hAnsi="Times New Roman" w:cs="Times New Roman"/>
          <w:color w:val="000000" w:themeColor="text1"/>
        </w:rPr>
        <w:t xml:space="preserve"> the BLC.</w:t>
      </w:r>
      <w:r w:rsidR="00EB4492">
        <w:rPr>
          <w:rFonts w:ascii="Times New Roman" w:hAnsi="Times New Roman" w:cs="Times New Roman"/>
          <w:color w:val="000000" w:themeColor="text1"/>
        </w:rPr>
        <w:t xml:space="preserve"> Rao and Mishra (2020) argue for an asymmetric effects in this situation.</w:t>
      </w:r>
      <w:r w:rsidR="00AF37DA" w:rsidRPr="00AD66F4">
        <w:rPr>
          <w:rFonts w:ascii="Times New Roman" w:hAnsi="Times New Roman" w:cs="Times New Roman"/>
          <w:color w:val="000000" w:themeColor="text1"/>
        </w:rPr>
        <w:t xml:space="preserve"> </w:t>
      </w:r>
      <w:r w:rsidR="006F3828" w:rsidRPr="00AD66F4">
        <w:rPr>
          <w:rFonts w:ascii="Times New Roman" w:hAnsi="Times New Roman" w:cs="Times New Roman"/>
        </w:rPr>
        <w:t xml:space="preserve">However, during </w:t>
      </w:r>
      <w:r w:rsidR="000247B9">
        <w:rPr>
          <w:rFonts w:ascii="Times New Roman" w:hAnsi="Times New Roman" w:cs="Times New Roman"/>
        </w:rPr>
        <w:t>recessions</w:t>
      </w:r>
      <w:r w:rsidR="004E4EE2" w:rsidRPr="00AD66F4">
        <w:rPr>
          <w:rFonts w:ascii="Times New Roman" w:hAnsi="Times New Roman" w:cs="Times New Roman"/>
        </w:rPr>
        <w:t xml:space="preserve"> increase</w:t>
      </w:r>
      <w:r w:rsidR="000247B9">
        <w:rPr>
          <w:rFonts w:ascii="Times New Roman" w:hAnsi="Times New Roman" w:cs="Times New Roman"/>
        </w:rPr>
        <w:t>d</w:t>
      </w:r>
      <w:r w:rsidR="004E4EE2" w:rsidRPr="00AD66F4">
        <w:rPr>
          <w:rFonts w:ascii="Times New Roman" w:hAnsi="Times New Roman" w:cs="Times New Roman"/>
        </w:rPr>
        <w:t xml:space="preserve"> </w:t>
      </w:r>
      <w:r w:rsidR="002334DB" w:rsidRPr="00AD66F4">
        <w:rPr>
          <w:rFonts w:ascii="Times New Roman" w:hAnsi="Times New Roman" w:cs="Times New Roman"/>
        </w:rPr>
        <w:t>default frequency among borrow</w:t>
      </w:r>
      <w:r w:rsidR="00881223">
        <w:rPr>
          <w:rFonts w:ascii="Times New Roman" w:hAnsi="Times New Roman" w:cs="Times New Roman"/>
        </w:rPr>
        <w:t>er</w:t>
      </w:r>
      <w:r w:rsidR="002334DB" w:rsidRPr="00AD66F4">
        <w:rPr>
          <w:rFonts w:ascii="Times New Roman" w:hAnsi="Times New Roman" w:cs="Times New Roman"/>
        </w:rPr>
        <w:t>s</w:t>
      </w:r>
      <w:r w:rsidR="00D95E96" w:rsidRPr="00AD66F4">
        <w:rPr>
          <w:rFonts w:ascii="Times New Roman" w:hAnsi="Times New Roman" w:cs="Times New Roman"/>
        </w:rPr>
        <w:t xml:space="preserve"> tend</w:t>
      </w:r>
      <w:r w:rsidR="006F3828" w:rsidRPr="00AD66F4">
        <w:rPr>
          <w:rFonts w:ascii="Times New Roman" w:hAnsi="Times New Roman" w:cs="Times New Roman"/>
        </w:rPr>
        <w:t xml:space="preserve"> to</w:t>
      </w:r>
      <w:r w:rsidR="007A4D8D" w:rsidRPr="00AD66F4">
        <w:rPr>
          <w:rFonts w:ascii="Times New Roman" w:hAnsi="Times New Roman" w:cs="Times New Roman"/>
        </w:rPr>
        <w:t xml:space="preserve"> </w:t>
      </w:r>
      <w:r w:rsidR="0019084B" w:rsidRPr="00AD66F4">
        <w:rPr>
          <w:rFonts w:ascii="Times New Roman" w:hAnsi="Times New Roman" w:cs="Times New Roman"/>
        </w:rPr>
        <w:t>reduce</w:t>
      </w:r>
      <w:r w:rsidR="004E4EE2" w:rsidRPr="00AD66F4">
        <w:rPr>
          <w:rFonts w:ascii="Times New Roman" w:hAnsi="Times New Roman" w:cs="Times New Roman"/>
        </w:rPr>
        <w:t xml:space="preserve"> </w:t>
      </w:r>
      <w:r w:rsidR="00D95E96" w:rsidRPr="00AD66F4">
        <w:rPr>
          <w:rFonts w:ascii="Times New Roman" w:hAnsi="Times New Roman" w:cs="Times New Roman"/>
        </w:rPr>
        <w:t>bank</w:t>
      </w:r>
      <w:r w:rsidR="00211175" w:rsidRPr="00AD66F4">
        <w:rPr>
          <w:rFonts w:ascii="Times New Roman" w:hAnsi="Times New Roman" w:cs="Times New Roman"/>
        </w:rPr>
        <w:t>’</w:t>
      </w:r>
      <w:r w:rsidR="00D95E96" w:rsidRPr="00AD66F4">
        <w:rPr>
          <w:rFonts w:ascii="Times New Roman" w:hAnsi="Times New Roman" w:cs="Times New Roman"/>
        </w:rPr>
        <w:t xml:space="preserve">s net worth </w:t>
      </w:r>
      <w:r w:rsidR="00FC01A3">
        <w:rPr>
          <w:rFonts w:ascii="Times New Roman" w:hAnsi="Times New Roman" w:cs="Times New Roman"/>
        </w:rPr>
        <w:t>and</w:t>
      </w:r>
      <w:r w:rsidR="00D95E96" w:rsidRPr="00AD66F4">
        <w:rPr>
          <w:rFonts w:ascii="Times New Roman" w:hAnsi="Times New Roman" w:cs="Times New Roman"/>
        </w:rPr>
        <w:t xml:space="preserve"> increase bank</w:t>
      </w:r>
      <w:r w:rsidR="00211175" w:rsidRPr="00AD66F4">
        <w:rPr>
          <w:rFonts w:ascii="Times New Roman" w:hAnsi="Times New Roman" w:cs="Times New Roman"/>
        </w:rPr>
        <w:t>’</w:t>
      </w:r>
      <w:r w:rsidR="00D95E96" w:rsidRPr="00AD66F4">
        <w:rPr>
          <w:rFonts w:ascii="Times New Roman" w:hAnsi="Times New Roman" w:cs="Times New Roman"/>
        </w:rPr>
        <w:t>s risk perception</w:t>
      </w:r>
      <w:r w:rsidR="00B80F00">
        <w:rPr>
          <w:rFonts w:ascii="Times New Roman" w:hAnsi="Times New Roman" w:cs="Times New Roman"/>
        </w:rPr>
        <w:t xml:space="preserve"> (see </w:t>
      </w:r>
      <w:r w:rsidR="00B80F00" w:rsidRPr="00B80F00">
        <w:rPr>
          <w:rFonts w:ascii="Times New Roman" w:hAnsi="Times New Roman" w:cs="Times New Roman"/>
        </w:rPr>
        <w:t>Gambacorta, 2009</w:t>
      </w:r>
      <w:r w:rsidR="00B80F00" w:rsidRPr="00C846B5">
        <w:rPr>
          <w:rFonts w:cs="Times New Roman"/>
        </w:rPr>
        <w:t>)</w:t>
      </w:r>
      <w:r w:rsidR="00B80F00">
        <w:rPr>
          <w:rFonts w:cs="Times New Roman"/>
        </w:rPr>
        <w:t>.</w:t>
      </w:r>
      <w:r w:rsidR="004E4EE2" w:rsidRPr="00AD66F4">
        <w:rPr>
          <w:rFonts w:ascii="Times New Roman" w:hAnsi="Times New Roman" w:cs="Times New Roman"/>
        </w:rPr>
        <w:t xml:space="preserve"> Given th</w:t>
      </w:r>
      <w:r w:rsidR="00D4025D">
        <w:rPr>
          <w:rFonts w:ascii="Times New Roman" w:hAnsi="Times New Roman" w:cs="Times New Roman"/>
        </w:rPr>
        <w:t>e</w:t>
      </w:r>
      <w:r w:rsidR="008C0840">
        <w:rPr>
          <w:rFonts w:ascii="Times New Roman" w:hAnsi="Times New Roman" w:cs="Times New Roman"/>
        </w:rPr>
        <w:t xml:space="preserve"> </w:t>
      </w:r>
      <w:r w:rsidR="00D4025D">
        <w:rPr>
          <w:rFonts w:ascii="Times New Roman" w:hAnsi="Times New Roman" w:cs="Times New Roman"/>
        </w:rPr>
        <w:t>heightened</w:t>
      </w:r>
      <w:r w:rsidR="008C0840">
        <w:rPr>
          <w:rFonts w:ascii="Times New Roman" w:hAnsi="Times New Roman" w:cs="Times New Roman"/>
        </w:rPr>
        <w:t xml:space="preserve"> risk perception</w:t>
      </w:r>
      <w:r w:rsidR="000247B9">
        <w:rPr>
          <w:rFonts w:ascii="Times New Roman" w:hAnsi="Times New Roman" w:cs="Times New Roman"/>
        </w:rPr>
        <w:t xml:space="preserve"> a</w:t>
      </w:r>
      <w:r w:rsidR="00AF11F1" w:rsidRPr="00AD66F4">
        <w:rPr>
          <w:rFonts w:ascii="Times New Roman" w:hAnsi="Times New Roman" w:cs="Times New Roman"/>
        </w:rPr>
        <w:t xml:space="preserve"> similar magnitude</w:t>
      </w:r>
      <w:r w:rsidR="000247B9">
        <w:rPr>
          <w:rFonts w:ascii="Times New Roman" w:hAnsi="Times New Roman" w:cs="Times New Roman"/>
        </w:rPr>
        <w:t xml:space="preserve"> expansionar</w:t>
      </w:r>
      <w:r w:rsidR="00C71DA2">
        <w:rPr>
          <w:rFonts w:ascii="Times New Roman" w:hAnsi="Times New Roman" w:cs="Times New Roman"/>
        </w:rPr>
        <w:t>y monetary policy</w:t>
      </w:r>
      <w:r w:rsidR="00433CAC" w:rsidRPr="00AD66F4">
        <w:rPr>
          <w:rFonts w:ascii="Times New Roman" w:hAnsi="Times New Roman" w:cs="Times New Roman"/>
        </w:rPr>
        <w:t xml:space="preserve"> </w:t>
      </w:r>
      <w:r w:rsidR="00D4025D">
        <w:rPr>
          <w:rFonts w:ascii="Times New Roman" w:hAnsi="Times New Roman" w:cs="Times New Roman"/>
        </w:rPr>
        <w:t xml:space="preserve">is </w:t>
      </w:r>
      <w:r w:rsidR="008C0840" w:rsidRPr="00AD66F4">
        <w:rPr>
          <w:rFonts w:ascii="Times New Roman" w:hAnsi="Times New Roman" w:cs="Times New Roman"/>
        </w:rPr>
        <w:t>expected</w:t>
      </w:r>
      <w:r w:rsidR="000726FA">
        <w:rPr>
          <w:rFonts w:ascii="Times New Roman" w:hAnsi="Times New Roman" w:cs="Times New Roman"/>
        </w:rPr>
        <w:t xml:space="preserve"> </w:t>
      </w:r>
      <w:r w:rsidR="000726FA" w:rsidRPr="00C846B5">
        <w:rPr>
          <w:rFonts w:ascii="Times New Roman" w:hAnsi="Times New Roman" w:cs="Times New Roman"/>
        </w:rPr>
        <w:t>to</w:t>
      </w:r>
      <w:r w:rsidR="008C0840">
        <w:rPr>
          <w:rFonts w:ascii="Times New Roman" w:hAnsi="Times New Roman" w:cs="Times New Roman"/>
        </w:rPr>
        <w:t xml:space="preserve"> </w:t>
      </w:r>
      <w:r w:rsidR="00433CAC" w:rsidRPr="00AD66F4">
        <w:rPr>
          <w:rFonts w:ascii="Times New Roman" w:hAnsi="Times New Roman" w:cs="Times New Roman"/>
        </w:rPr>
        <w:t>be</w:t>
      </w:r>
      <w:r w:rsidR="004E4EE2" w:rsidRPr="00AD66F4">
        <w:rPr>
          <w:rFonts w:ascii="Times New Roman" w:hAnsi="Times New Roman" w:cs="Times New Roman"/>
        </w:rPr>
        <w:t xml:space="preserve"> </w:t>
      </w:r>
      <w:r w:rsidR="00284BA4" w:rsidRPr="00AD66F4">
        <w:rPr>
          <w:rFonts w:ascii="Times New Roman" w:hAnsi="Times New Roman" w:cs="Times New Roman"/>
        </w:rPr>
        <w:t xml:space="preserve">less </w:t>
      </w:r>
      <w:r w:rsidR="004E4EE2" w:rsidRPr="00AD66F4">
        <w:rPr>
          <w:rFonts w:ascii="Times New Roman" w:hAnsi="Times New Roman" w:cs="Times New Roman"/>
        </w:rPr>
        <w:t xml:space="preserve">effective in increasing loan supply during </w:t>
      </w:r>
      <w:r w:rsidR="00C71DA2">
        <w:rPr>
          <w:rFonts w:ascii="Times New Roman" w:hAnsi="Times New Roman" w:cs="Times New Roman"/>
        </w:rPr>
        <w:t>this period,</w:t>
      </w:r>
      <w:r w:rsidR="0027314E" w:rsidRPr="00AD66F4">
        <w:rPr>
          <w:rFonts w:ascii="Times New Roman" w:hAnsi="Times New Roman" w:cs="Times New Roman"/>
        </w:rPr>
        <w:t xml:space="preserve"> thus result</w:t>
      </w:r>
      <w:r w:rsidR="00C71DA2">
        <w:rPr>
          <w:rFonts w:ascii="Times New Roman" w:hAnsi="Times New Roman" w:cs="Times New Roman"/>
        </w:rPr>
        <w:t>ing</w:t>
      </w:r>
      <w:r w:rsidR="0027314E" w:rsidRPr="00AD66F4">
        <w:rPr>
          <w:rFonts w:ascii="Times New Roman" w:hAnsi="Times New Roman" w:cs="Times New Roman"/>
        </w:rPr>
        <w:t xml:space="preserve"> in</w:t>
      </w:r>
      <w:r w:rsidR="008D5843" w:rsidRPr="00AD66F4">
        <w:rPr>
          <w:rFonts w:ascii="Times New Roman" w:hAnsi="Times New Roman" w:cs="Times New Roman"/>
        </w:rPr>
        <w:t xml:space="preserve"> a</w:t>
      </w:r>
      <w:r w:rsidR="0027314E" w:rsidRPr="00AD66F4">
        <w:rPr>
          <w:rFonts w:ascii="Times New Roman" w:hAnsi="Times New Roman" w:cs="Times New Roman"/>
        </w:rPr>
        <w:t xml:space="preserve"> weak BLC.</w:t>
      </w:r>
    </w:p>
    <w:p w14:paraId="73A8047C" w14:textId="77777777" w:rsidR="001877EA" w:rsidRDefault="001877EA" w:rsidP="0051360B">
      <w:pPr>
        <w:widowControl w:val="0"/>
        <w:autoSpaceDE w:val="0"/>
        <w:autoSpaceDN w:val="0"/>
        <w:adjustRightInd w:val="0"/>
        <w:spacing w:after="0" w:line="480" w:lineRule="auto"/>
        <w:contextualSpacing/>
        <w:jc w:val="both"/>
        <w:rPr>
          <w:rFonts w:ascii="Times New Roman" w:hAnsi="Times New Roman" w:cs="Times New Roman"/>
          <w:b/>
          <w:color w:val="000000" w:themeColor="text1"/>
        </w:rPr>
      </w:pPr>
    </w:p>
    <w:p w14:paraId="4E90451B" w14:textId="1F073C7B" w:rsidR="00D64234" w:rsidRPr="000E02BA" w:rsidRDefault="008D3718" w:rsidP="0051360B">
      <w:pPr>
        <w:widowControl w:val="0"/>
        <w:autoSpaceDE w:val="0"/>
        <w:autoSpaceDN w:val="0"/>
        <w:adjustRightInd w:val="0"/>
        <w:spacing w:after="0" w:line="480" w:lineRule="auto"/>
        <w:contextualSpacing/>
        <w:jc w:val="both"/>
        <w:rPr>
          <w:rFonts w:ascii="Times New Roman" w:hAnsi="Times New Roman" w:cs="Times New Roman"/>
          <w:b/>
          <w:color w:val="4472C4" w:themeColor="accent1"/>
        </w:rPr>
      </w:pPr>
      <w:r w:rsidRPr="004B6F89">
        <w:rPr>
          <w:rFonts w:ascii="Times New Roman" w:hAnsi="Times New Roman" w:cs="Times New Roman"/>
          <w:b/>
          <w:color w:val="000000" w:themeColor="text1"/>
        </w:rPr>
        <w:t>3.</w:t>
      </w:r>
      <w:r w:rsidR="001F758D" w:rsidRPr="004B6F89">
        <w:rPr>
          <w:rFonts w:ascii="Times New Roman" w:hAnsi="Times New Roman" w:cs="Times New Roman"/>
          <w:b/>
          <w:color w:val="000000" w:themeColor="text1"/>
        </w:rPr>
        <w:t xml:space="preserve"> </w:t>
      </w:r>
      <w:r w:rsidR="00140432" w:rsidRPr="004B6F89">
        <w:rPr>
          <w:rFonts w:ascii="Times New Roman" w:hAnsi="Times New Roman" w:cs="Times New Roman"/>
          <w:b/>
          <w:color w:val="000000" w:themeColor="text1"/>
        </w:rPr>
        <w:t>Methodolog</w:t>
      </w:r>
      <w:r w:rsidR="000E02BA" w:rsidRPr="004B6F89">
        <w:rPr>
          <w:rFonts w:ascii="Times New Roman" w:hAnsi="Times New Roman" w:cs="Times New Roman"/>
          <w:b/>
          <w:color w:val="000000" w:themeColor="text1"/>
        </w:rPr>
        <w:t>y</w:t>
      </w:r>
      <w:r w:rsidR="00140432" w:rsidRPr="004B6F89">
        <w:rPr>
          <w:rFonts w:ascii="Times New Roman" w:hAnsi="Times New Roman" w:cs="Times New Roman"/>
          <w:b/>
          <w:color w:val="000000" w:themeColor="text1"/>
        </w:rPr>
        <w:t xml:space="preserve"> </w:t>
      </w:r>
      <w:r w:rsidR="000E02BA" w:rsidRPr="004B6F89">
        <w:rPr>
          <w:rFonts w:ascii="Times New Roman" w:hAnsi="Times New Roman" w:cs="Times New Roman"/>
          <w:b/>
          <w:color w:val="000000" w:themeColor="text1"/>
        </w:rPr>
        <w:t>and Estimation</w:t>
      </w:r>
    </w:p>
    <w:p w14:paraId="1F0C15D7" w14:textId="77777777" w:rsidR="00207B66" w:rsidRPr="00207B66" w:rsidRDefault="00207B66" w:rsidP="0051360B">
      <w:pPr>
        <w:widowControl w:val="0"/>
        <w:autoSpaceDE w:val="0"/>
        <w:autoSpaceDN w:val="0"/>
        <w:adjustRightInd w:val="0"/>
        <w:spacing w:after="0" w:line="480" w:lineRule="auto"/>
        <w:ind w:right="91"/>
        <w:jc w:val="both"/>
        <w:rPr>
          <w:rFonts w:ascii="Times New Roman" w:hAnsi="Times New Roman" w:cs="Times New Roman"/>
          <w:b/>
          <w:bCs/>
          <w:i/>
          <w:iCs/>
          <w:color w:val="000000" w:themeColor="text1"/>
        </w:rPr>
      </w:pPr>
      <w:r w:rsidRPr="00207B66">
        <w:rPr>
          <w:rFonts w:ascii="Times New Roman" w:hAnsi="Times New Roman" w:cs="Times New Roman"/>
          <w:b/>
          <w:bCs/>
          <w:i/>
          <w:iCs/>
          <w:color w:val="000000" w:themeColor="text1"/>
        </w:rPr>
        <w:t>3.1 Methodological setting</w:t>
      </w:r>
    </w:p>
    <w:p w14:paraId="18C39D8C" w14:textId="244EABC3" w:rsidR="00161AD6" w:rsidRDefault="00BD006F" w:rsidP="000A3051">
      <w:pPr>
        <w:widowControl w:val="0"/>
        <w:autoSpaceDE w:val="0"/>
        <w:autoSpaceDN w:val="0"/>
        <w:adjustRightInd w:val="0"/>
        <w:spacing w:after="0" w:line="480" w:lineRule="auto"/>
        <w:ind w:right="91"/>
        <w:jc w:val="both"/>
        <w:rPr>
          <w:rFonts w:ascii="Times New Roman" w:hAnsi="Times New Roman" w:cs="Times New Roman"/>
          <w:color w:val="000000" w:themeColor="text1"/>
        </w:rPr>
      </w:pPr>
      <w:r w:rsidRPr="004B6F89">
        <w:rPr>
          <w:rFonts w:ascii="Times New Roman" w:hAnsi="Times New Roman" w:cs="Times New Roman"/>
          <w:color w:val="000000" w:themeColor="text1"/>
        </w:rPr>
        <w:t>T</w:t>
      </w:r>
      <w:r w:rsidR="000527BE" w:rsidRPr="004B6F89">
        <w:rPr>
          <w:rFonts w:ascii="Times New Roman" w:hAnsi="Times New Roman" w:cs="Times New Roman"/>
          <w:color w:val="000000" w:themeColor="text1"/>
        </w:rPr>
        <w:t>h</w:t>
      </w:r>
      <w:r w:rsidR="0027314E" w:rsidRPr="004B6F89">
        <w:rPr>
          <w:rFonts w:ascii="Times New Roman" w:hAnsi="Times New Roman" w:cs="Times New Roman"/>
          <w:color w:val="000000" w:themeColor="text1"/>
        </w:rPr>
        <w:t>is</w:t>
      </w:r>
      <w:r w:rsidR="00C93549" w:rsidRPr="004B6F89">
        <w:rPr>
          <w:rFonts w:ascii="Times New Roman" w:hAnsi="Times New Roman" w:cs="Times New Roman"/>
          <w:color w:val="000000" w:themeColor="text1"/>
        </w:rPr>
        <w:t xml:space="preserve"> </w:t>
      </w:r>
      <w:r w:rsidR="0051360B">
        <w:rPr>
          <w:rFonts w:ascii="Times New Roman" w:hAnsi="Times New Roman" w:cs="Times New Roman"/>
          <w:color w:val="000000" w:themeColor="text1"/>
        </w:rPr>
        <w:t>section</w:t>
      </w:r>
      <w:r w:rsidR="00CB2C46" w:rsidRPr="004B6F89">
        <w:rPr>
          <w:rFonts w:ascii="Times New Roman" w:hAnsi="Times New Roman" w:cs="Times New Roman"/>
          <w:color w:val="000000" w:themeColor="text1"/>
        </w:rPr>
        <w:t xml:space="preserve"> </w:t>
      </w:r>
      <w:r w:rsidR="00140432" w:rsidRPr="004B6F89">
        <w:rPr>
          <w:rFonts w:ascii="Times New Roman" w:hAnsi="Times New Roman" w:cs="Times New Roman"/>
          <w:color w:val="000000" w:themeColor="text1"/>
        </w:rPr>
        <w:t>discusses</w:t>
      </w:r>
      <w:r w:rsidR="00CB2C46" w:rsidRPr="004B6F89">
        <w:rPr>
          <w:rFonts w:ascii="Times New Roman" w:hAnsi="Times New Roman" w:cs="Times New Roman"/>
          <w:color w:val="000000" w:themeColor="text1"/>
        </w:rPr>
        <w:t xml:space="preserve"> the associated</w:t>
      </w:r>
      <w:r w:rsidR="00C15FC5" w:rsidRPr="004B6F89">
        <w:rPr>
          <w:rFonts w:ascii="Times New Roman" w:hAnsi="Times New Roman" w:cs="Times New Roman"/>
          <w:color w:val="000000" w:themeColor="text1"/>
        </w:rPr>
        <w:t xml:space="preserve"> </w:t>
      </w:r>
      <w:r w:rsidR="00AF2EB8" w:rsidRPr="004B6F89">
        <w:rPr>
          <w:rFonts w:ascii="Times New Roman" w:hAnsi="Times New Roman" w:cs="Times New Roman"/>
          <w:color w:val="000000" w:themeColor="text1"/>
        </w:rPr>
        <w:t>econometric</w:t>
      </w:r>
      <w:r w:rsidR="00081E1D" w:rsidRPr="004B6F89">
        <w:rPr>
          <w:rFonts w:ascii="Times New Roman" w:hAnsi="Times New Roman" w:cs="Times New Roman"/>
          <w:color w:val="000000" w:themeColor="text1"/>
        </w:rPr>
        <w:t xml:space="preserve"> methodology</w:t>
      </w:r>
      <w:r w:rsidR="0051360B">
        <w:rPr>
          <w:rFonts w:ascii="Times New Roman" w:hAnsi="Times New Roman" w:cs="Times New Roman"/>
          <w:color w:val="000000" w:themeColor="text1"/>
        </w:rPr>
        <w:t xml:space="preserve"> needed to</w:t>
      </w:r>
      <w:r w:rsidR="0051360B" w:rsidRPr="0051360B">
        <w:rPr>
          <w:rFonts w:ascii="Times New Roman" w:hAnsi="Times New Roman" w:cs="Times New Roman"/>
          <w:color w:val="000000" w:themeColor="text1"/>
        </w:rPr>
        <w:t xml:space="preserve"> </w:t>
      </w:r>
      <w:r w:rsidR="0051360B">
        <w:rPr>
          <w:rFonts w:ascii="Times New Roman" w:hAnsi="Times New Roman" w:cs="Times New Roman"/>
          <w:color w:val="000000" w:themeColor="text1"/>
        </w:rPr>
        <w:t>examine</w:t>
      </w:r>
      <w:r w:rsidR="0051360B" w:rsidRPr="004B6F89">
        <w:rPr>
          <w:rFonts w:ascii="Times New Roman" w:hAnsi="Times New Roman" w:cs="Times New Roman"/>
          <w:color w:val="000000" w:themeColor="text1"/>
        </w:rPr>
        <w:t xml:space="preserve"> the magnitude of the BLC at different stages of the UK business </w:t>
      </w:r>
      <w:r w:rsidR="00D4025D" w:rsidRPr="004B6F89">
        <w:rPr>
          <w:rFonts w:ascii="Times New Roman" w:hAnsi="Times New Roman" w:cs="Times New Roman"/>
          <w:color w:val="000000" w:themeColor="text1"/>
        </w:rPr>
        <w:t>cycle</w:t>
      </w:r>
      <w:r w:rsidR="00D4025D">
        <w:rPr>
          <w:rFonts w:ascii="Times New Roman" w:hAnsi="Times New Roman" w:cs="Times New Roman"/>
          <w:color w:val="000000" w:themeColor="text1"/>
        </w:rPr>
        <w:t>.</w:t>
      </w:r>
      <w:r w:rsidR="00140432" w:rsidRPr="004B6F89">
        <w:rPr>
          <w:rFonts w:ascii="Times New Roman" w:hAnsi="Times New Roman" w:cs="Times New Roman"/>
          <w:color w:val="000000" w:themeColor="text1"/>
        </w:rPr>
        <w:t xml:space="preserve"> </w:t>
      </w:r>
      <w:r w:rsidR="00D57752" w:rsidRPr="004B6F89">
        <w:rPr>
          <w:rFonts w:ascii="Times New Roman" w:hAnsi="Times New Roman" w:cs="Times New Roman"/>
          <w:color w:val="000000" w:themeColor="text1"/>
        </w:rPr>
        <w:t>To</w:t>
      </w:r>
      <w:r w:rsidR="00732950" w:rsidRPr="004B6F89">
        <w:rPr>
          <w:rFonts w:ascii="Times New Roman" w:hAnsi="Times New Roman" w:cs="Times New Roman"/>
          <w:color w:val="000000" w:themeColor="text1"/>
        </w:rPr>
        <w:t xml:space="preserve"> </w:t>
      </w:r>
      <w:r w:rsidR="00963BBB" w:rsidRPr="004B6F89">
        <w:rPr>
          <w:rFonts w:ascii="Times New Roman" w:hAnsi="Times New Roman" w:cs="Times New Roman"/>
          <w:color w:val="000000" w:themeColor="text1"/>
        </w:rPr>
        <w:t>apprehend</w:t>
      </w:r>
      <w:r w:rsidR="00732950" w:rsidRPr="004B6F89">
        <w:rPr>
          <w:rFonts w:ascii="Times New Roman" w:hAnsi="Times New Roman" w:cs="Times New Roman"/>
          <w:color w:val="000000" w:themeColor="text1"/>
        </w:rPr>
        <w:t xml:space="preserve"> the</w:t>
      </w:r>
      <w:r w:rsidR="00963BBB" w:rsidRPr="004B6F89">
        <w:rPr>
          <w:rFonts w:ascii="Times New Roman" w:hAnsi="Times New Roman" w:cs="Times New Roman"/>
          <w:color w:val="000000" w:themeColor="text1"/>
        </w:rPr>
        <w:t xml:space="preserve"> impact of the</w:t>
      </w:r>
      <w:r w:rsidR="00732950" w:rsidRPr="004B6F89">
        <w:rPr>
          <w:rFonts w:ascii="Times New Roman" w:hAnsi="Times New Roman" w:cs="Times New Roman"/>
          <w:color w:val="000000" w:themeColor="text1"/>
        </w:rPr>
        <w:t xml:space="preserve"> BLC over the business cycle we face</w:t>
      </w:r>
      <w:r w:rsidR="00A1142E" w:rsidRPr="004B6F89">
        <w:rPr>
          <w:rFonts w:ascii="Times New Roman" w:hAnsi="Times New Roman" w:cs="Times New Roman"/>
          <w:color w:val="000000" w:themeColor="text1"/>
        </w:rPr>
        <w:t xml:space="preserve"> two </w:t>
      </w:r>
      <w:r w:rsidR="000F6F29" w:rsidRPr="004B6F89">
        <w:rPr>
          <w:rFonts w:ascii="Times New Roman" w:hAnsi="Times New Roman" w:cs="Times New Roman"/>
          <w:color w:val="000000" w:themeColor="text1"/>
        </w:rPr>
        <w:t>main</w:t>
      </w:r>
      <w:r w:rsidR="005010F0" w:rsidRPr="004B6F89">
        <w:rPr>
          <w:rFonts w:ascii="Times New Roman" w:hAnsi="Times New Roman" w:cs="Times New Roman"/>
          <w:color w:val="000000" w:themeColor="text1"/>
        </w:rPr>
        <w:t xml:space="preserve"> difficulties; </w:t>
      </w:r>
      <w:r w:rsidR="005010F0" w:rsidRPr="004B6F89">
        <w:rPr>
          <w:rFonts w:ascii="Times New Roman" w:hAnsi="Times New Roman" w:cs="Times New Roman"/>
          <w:i/>
          <w:iCs/>
          <w:color w:val="000000" w:themeColor="text1"/>
        </w:rPr>
        <w:t>firstly</w:t>
      </w:r>
      <w:r w:rsidR="00A1142E" w:rsidRPr="004B6F89">
        <w:rPr>
          <w:rFonts w:ascii="Times New Roman" w:hAnsi="Times New Roman" w:cs="Times New Roman"/>
          <w:color w:val="000000" w:themeColor="text1"/>
        </w:rPr>
        <w:t>, to s</w:t>
      </w:r>
      <w:r w:rsidR="0062323E" w:rsidRPr="004B6F89">
        <w:rPr>
          <w:rFonts w:ascii="Times New Roman" w:hAnsi="Times New Roman" w:cs="Times New Roman"/>
          <w:color w:val="000000" w:themeColor="text1"/>
        </w:rPr>
        <w:t>eparate the BLC</w:t>
      </w:r>
      <w:r w:rsidR="00A1142E" w:rsidRPr="004B6F89">
        <w:rPr>
          <w:rFonts w:ascii="Times New Roman" w:hAnsi="Times New Roman" w:cs="Times New Roman"/>
          <w:color w:val="000000" w:themeColor="text1"/>
        </w:rPr>
        <w:t xml:space="preserve"> from the other monetary transmission mechanism channels and </w:t>
      </w:r>
      <w:r w:rsidR="00A1142E" w:rsidRPr="004D16CB">
        <w:rPr>
          <w:rFonts w:ascii="Times New Roman" w:hAnsi="Times New Roman" w:cs="Times New Roman"/>
          <w:i/>
          <w:iCs/>
          <w:color w:val="000000" w:themeColor="text1"/>
        </w:rPr>
        <w:t>second</w:t>
      </w:r>
      <w:r w:rsidR="00126C4B" w:rsidRPr="004D16CB">
        <w:rPr>
          <w:rFonts w:ascii="Times New Roman" w:hAnsi="Times New Roman" w:cs="Times New Roman"/>
          <w:i/>
          <w:iCs/>
          <w:color w:val="000000" w:themeColor="text1"/>
        </w:rPr>
        <w:t>ly</w:t>
      </w:r>
      <w:r w:rsidR="004D16CB">
        <w:rPr>
          <w:rFonts w:ascii="Times New Roman" w:hAnsi="Times New Roman" w:cs="Times New Roman"/>
          <w:i/>
          <w:iCs/>
          <w:color w:val="000000" w:themeColor="text1"/>
        </w:rPr>
        <w:t>,</w:t>
      </w:r>
      <w:r w:rsidR="00A1142E" w:rsidRPr="004B6F89">
        <w:rPr>
          <w:rFonts w:ascii="Times New Roman" w:hAnsi="Times New Roman" w:cs="Times New Roman"/>
          <w:color w:val="000000" w:themeColor="text1"/>
        </w:rPr>
        <w:t xml:space="preserve"> to use an </w:t>
      </w:r>
      <w:r w:rsidR="00A50392" w:rsidRPr="004B6F89">
        <w:rPr>
          <w:rFonts w:ascii="Times New Roman" w:hAnsi="Times New Roman" w:cs="Times New Roman"/>
          <w:color w:val="000000" w:themeColor="text1"/>
        </w:rPr>
        <w:t xml:space="preserve">appropriate </w:t>
      </w:r>
      <w:r w:rsidR="00A1142E" w:rsidRPr="004B6F89">
        <w:rPr>
          <w:rFonts w:ascii="Times New Roman" w:hAnsi="Times New Roman" w:cs="Times New Roman"/>
          <w:color w:val="000000" w:themeColor="text1"/>
        </w:rPr>
        <w:t xml:space="preserve">econometric methodology to </w:t>
      </w:r>
      <w:r w:rsidR="00A1142E" w:rsidRPr="004B6F89">
        <w:rPr>
          <w:rFonts w:ascii="Times New Roman" w:hAnsi="Times New Roman" w:cs="Times New Roman"/>
          <w:color w:val="000000" w:themeColor="text1"/>
        </w:rPr>
        <w:lastRenderedPageBreak/>
        <w:t xml:space="preserve">capture the </w:t>
      </w:r>
      <w:r w:rsidR="006D1E78" w:rsidRPr="004B6F89">
        <w:rPr>
          <w:rFonts w:ascii="Times New Roman" w:hAnsi="Times New Roman" w:cs="Times New Roman"/>
          <w:color w:val="000000" w:themeColor="text1"/>
        </w:rPr>
        <w:t>non-linear</w:t>
      </w:r>
      <w:r w:rsidR="00A1142E" w:rsidRPr="004B6F89">
        <w:rPr>
          <w:rFonts w:ascii="Times New Roman" w:hAnsi="Times New Roman" w:cs="Times New Roman"/>
          <w:color w:val="000000" w:themeColor="text1"/>
        </w:rPr>
        <w:t xml:space="preserve"> effects over the business cycle. The first problem is </w:t>
      </w:r>
      <w:r w:rsidR="00DC3333" w:rsidRPr="004B6F89">
        <w:rPr>
          <w:rFonts w:ascii="Times New Roman" w:hAnsi="Times New Roman" w:cs="Times New Roman"/>
          <w:color w:val="000000" w:themeColor="text1"/>
        </w:rPr>
        <w:t>confronted</w:t>
      </w:r>
      <w:r w:rsidR="00D57752" w:rsidRPr="004B6F89">
        <w:rPr>
          <w:rFonts w:ascii="Times New Roman" w:hAnsi="Times New Roman" w:cs="Times New Roman"/>
          <w:color w:val="000000" w:themeColor="text1"/>
        </w:rPr>
        <w:t xml:space="preserve"> by using a methodology </w:t>
      </w:r>
      <w:r w:rsidR="006665B4" w:rsidRPr="004B6F89">
        <w:rPr>
          <w:rFonts w:ascii="Times New Roman" w:hAnsi="Times New Roman" w:cs="Times New Roman"/>
          <w:color w:val="000000" w:themeColor="text1"/>
        </w:rPr>
        <w:t>analogous</w:t>
      </w:r>
      <w:r w:rsidR="00D57752" w:rsidRPr="004B6F89">
        <w:rPr>
          <w:rFonts w:ascii="Times New Roman" w:hAnsi="Times New Roman" w:cs="Times New Roman"/>
          <w:color w:val="000000" w:themeColor="text1"/>
        </w:rPr>
        <w:t xml:space="preserve"> </w:t>
      </w:r>
      <w:r w:rsidR="00A1142E" w:rsidRPr="004B6F89">
        <w:rPr>
          <w:rFonts w:ascii="Times New Roman" w:hAnsi="Times New Roman" w:cs="Times New Roman"/>
          <w:color w:val="000000" w:themeColor="text1"/>
        </w:rPr>
        <w:t xml:space="preserve">to Iacoviello and Minetti (2008) where a </w:t>
      </w:r>
      <w:r w:rsidR="00D4025D">
        <w:rPr>
          <w:rFonts w:ascii="Times New Roman" w:hAnsi="Times New Roman" w:cs="Times New Roman"/>
          <w:color w:val="000000" w:themeColor="text1"/>
        </w:rPr>
        <w:t>‘</w:t>
      </w:r>
      <w:r w:rsidR="00A1142E" w:rsidRPr="004B6F89">
        <w:rPr>
          <w:rFonts w:ascii="Times New Roman" w:hAnsi="Times New Roman" w:cs="Times New Roman"/>
          <w:color w:val="000000" w:themeColor="text1"/>
        </w:rPr>
        <w:t xml:space="preserve">mix’ variable is used in </w:t>
      </w:r>
      <w:r w:rsidR="002C6BE7" w:rsidRPr="004B6F89">
        <w:rPr>
          <w:rFonts w:ascii="Times New Roman" w:hAnsi="Times New Roman" w:cs="Times New Roman"/>
          <w:color w:val="000000" w:themeColor="text1"/>
        </w:rPr>
        <w:t xml:space="preserve">a </w:t>
      </w:r>
      <w:r w:rsidR="00A1142E" w:rsidRPr="004B6F89">
        <w:rPr>
          <w:rFonts w:ascii="Times New Roman" w:hAnsi="Times New Roman" w:cs="Times New Roman"/>
          <w:color w:val="000000" w:themeColor="text1"/>
        </w:rPr>
        <w:t>succession of</w:t>
      </w:r>
      <w:r w:rsidR="00DD650B" w:rsidRPr="004B6F89">
        <w:rPr>
          <w:rFonts w:ascii="Times New Roman" w:hAnsi="Times New Roman" w:cs="Times New Roman"/>
          <w:color w:val="000000" w:themeColor="text1"/>
        </w:rPr>
        <w:t xml:space="preserve"> simultaneous</w:t>
      </w:r>
      <w:r w:rsidR="00DC3333" w:rsidRPr="004B6F89">
        <w:rPr>
          <w:rFonts w:ascii="Times New Roman" w:hAnsi="Times New Roman" w:cs="Times New Roman"/>
          <w:color w:val="000000" w:themeColor="text1"/>
        </w:rPr>
        <w:t xml:space="preserve"> equation</w:t>
      </w:r>
      <w:r w:rsidR="00DD650B" w:rsidRPr="004B6F89">
        <w:rPr>
          <w:rFonts w:ascii="Times New Roman" w:hAnsi="Times New Roman" w:cs="Times New Roman"/>
          <w:color w:val="000000" w:themeColor="text1"/>
        </w:rPr>
        <w:t xml:space="preserve"> </w:t>
      </w:r>
      <w:r w:rsidR="004B6F89" w:rsidRPr="004B6F89">
        <w:rPr>
          <w:rFonts w:ascii="Times New Roman" w:hAnsi="Times New Roman" w:cs="Times New Roman"/>
          <w:color w:val="000000" w:themeColor="text1"/>
        </w:rPr>
        <w:t>frameworks,</w:t>
      </w:r>
      <w:r w:rsidR="00A1142E" w:rsidRPr="004B6F89">
        <w:rPr>
          <w:rFonts w:ascii="Times New Roman" w:hAnsi="Times New Roman" w:cs="Times New Roman"/>
          <w:color w:val="000000" w:themeColor="text1"/>
        </w:rPr>
        <w:t xml:space="preserve"> </w:t>
      </w:r>
      <w:r w:rsidR="004B6F89" w:rsidRPr="004B6F89">
        <w:rPr>
          <w:rFonts w:ascii="Times New Roman" w:hAnsi="Times New Roman" w:cs="Times New Roman"/>
          <w:color w:val="000000" w:themeColor="text1"/>
        </w:rPr>
        <w:t xml:space="preserve">is </w:t>
      </w:r>
      <w:r w:rsidR="00A1142E" w:rsidRPr="004B6F89">
        <w:rPr>
          <w:rFonts w:ascii="Times New Roman" w:hAnsi="Times New Roman" w:cs="Times New Roman"/>
          <w:color w:val="000000" w:themeColor="text1"/>
        </w:rPr>
        <w:t>explained in section</w:t>
      </w:r>
      <w:r w:rsidR="008D1EAC" w:rsidRPr="004B6F89">
        <w:rPr>
          <w:rFonts w:ascii="Times New Roman" w:hAnsi="Times New Roman" w:cs="Times New Roman"/>
          <w:color w:val="000000" w:themeColor="text1"/>
        </w:rPr>
        <w:t xml:space="preserve"> </w:t>
      </w:r>
      <w:r w:rsidR="00F74724" w:rsidRPr="004B6F89">
        <w:rPr>
          <w:rFonts w:ascii="Times New Roman" w:hAnsi="Times New Roman" w:cs="Times New Roman"/>
          <w:i/>
          <w:iCs/>
          <w:color w:val="000000" w:themeColor="text1"/>
        </w:rPr>
        <w:t>3.</w:t>
      </w:r>
      <w:r w:rsidR="00372170" w:rsidRPr="004B6F89">
        <w:rPr>
          <w:rFonts w:ascii="Times New Roman" w:hAnsi="Times New Roman" w:cs="Times New Roman"/>
          <w:i/>
          <w:iCs/>
          <w:color w:val="000000" w:themeColor="text1"/>
        </w:rPr>
        <w:t>1.</w:t>
      </w:r>
      <w:r w:rsidR="00F74724" w:rsidRPr="004B6F89">
        <w:rPr>
          <w:rFonts w:ascii="Times New Roman" w:hAnsi="Times New Roman" w:cs="Times New Roman"/>
          <w:i/>
          <w:iCs/>
          <w:color w:val="000000" w:themeColor="text1"/>
        </w:rPr>
        <w:t>2</w:t>
      </w:r>
      <w:r w:rsidR="00A1142E" w:rsidRPr="004B6F89">
        <w:rPr>
          <w:rFonts w:ascii="Times New Roman" w:hAnsi="Times New Roman" w:cs="Times New Roman"/>
          <w:color w:val="000000" w:themeColor="text1"/>
        </w:rPr>
        <w:t xml:space="preserve">. </w:t>
      </w:r>
      <w:r w:rsidR="00016271" w:rsidRPr="004B6F89">
        <w:rPr>
          <w:rFonts w:ascii="Times New Roman" w:hAnsi="Times New Roman" w:cs="Times New Roman"/>
          <w:color w:val="000000" w:themeColor="text1"/>
        </w:rPr>
        <w:t>We confront the second problem</w:t>
      </w:r>
      <w:r w:rsidR="00CF4C21" w:rsidRPr="004B6F89">
        <w:rPr>
          <w:rFonts w:ascii="Times New Roman" w:hAnsi="Times New Roman" w:cs="Times New Roman"/>
          <w:color w:val="000000" w:themeColor="text1"/>
        </w:rPr>
        <w:t xml:space="preserve"> by using</w:t>
      </w:r>
      <w:r w:rsidR="00016271" w:rsidRPr="004B6F89">
        <w:rPr>
          <w:rFonts w:ascii="Times New Roman" w:hAnsi="Times New Roman" w:cs="Times New Roman"/>
          <w:color w:val="000000" w:themeColor="text1"/>
        </w:rPr>
        <w:t xml:space="preserve"> </w:t>
      </w:r>
      <w:r w:rsidR="00A1142E" w:rsidRPr="004B6F89">
        <w:rPr>
          <w:rFonts w:ascii="Times New Roman" w:hAnsi="Times New Roman" w:cs="Times New Roman"/>
          <w:color w:val="000000" w:themeColor="text1"/>
        </w:rPr>
        <w:t>MSVAR</w:t>
      </w:r>
      <w:r w:rsidR="00DC1818">
        <w:rPr>
          <w:rFonts w:ascii="Times New Roman" w:hAnsi="Times New Roman" w:cs="Times New Roman"/>
          <w:color w:val="000000" w:themeColor="text1"/>
        </w:rPr>
        <w:t>s</w:t>
      </w:r>
      <w:r w:rsidR="00A1142E" w:rsidRPr="004B6F89">
        <w:rPr>
          <w:rFonts w:ascii="Times New Roman" w:hAnsi="Times New Roman" w:cs="Times New Roman"/>
          <w:color w:val="000000" w:themeColor="text1"/>
        </w:rPr>
        <w:t xml:space="preserve"> in combination with regime dependent </w:t>
      </w:r>
      <w:r w:rsidR="006D38DB" w:rsidRPr="004B6F89">
        <w:rPr>
          <w:rFonts w:ascii="Times New Roman" w:hAnsi="Times New Roman" w:cs="Times New Roman"/>
          <w:color w:val="000000" w:themeColor="text1"/>
        </w:rPr>
        <w:t>IRF</w:t>
      </w:r>
      <w:r w:rsidR="00DC1818">
        <w:rPr>
          <w:rFonts w:ascii="Times New Roman" w:hAnsi="Times New Roman" w:cs="Times New Roman"/>
          <w:color w:val="000000" w:themeColor="text1"/>
        </w:rPr>
        <w:t>s</w:t>
      </w:r>
      <w:r w:rsidR="00A1142E" w:rsidRPr="004B6F89">
        <w:rPr>
          <w:rFonts w:ascii="Times New Roman" w:hAnsi="Times New Roman" w:cs="Times New Roman"/>
          <w:color w:val="000000" w:themeColor="text1"/>
        </w:rPr>
        <w:t xml:space="preserve"> proposed by Ehrmann</w:t>
      </w:r>
      <w:r w:rsidR="001D48BE" w:rsidRPr="004B6F89">
        <w:rPr>
          <w:rFonts w:ascii="Times New Roman" w:hAnsi="Times New Roman" w:cs="Times New Roman"/>
          <w:color w:val="000000" w:themeColor="text1"/>
        </w:rPr>
        <w:t xml:space="preserve"> et al.</w:t>
      </w:r>
      <w:r w:rsidR="00A1142E" w:rsidRPr="004B6F89">
        <w:rPr>
          <w:rFonts w:ascii="Times New Roman" w:hAnsi="Times New Roman" w:cs="Times New Roman"/>
          <w:color w:val="000000" w:themeColor="text1"/>
        </w:rPr>
        <w:t xml:space="preserve"> (2003)</w:t>
      </w:r>
      <w:r w:rsidR="00CF4C21" w:rsidRPr="004B6F89">
        <w:rPr>
          <w:rFonts w:ascii="Times New Roman" w:hAnsi="Times New Roman" w:cs="Times New Roman"/>
          <w:color w:val="000000" w:themeColor="text1"/>
        </w:rPr>
        <w:t xml:space="preserve"> which allows us to capture and examine the </w:t>
      </w:r>
      <w:r w:rsidR="001E60BF" w:rsidRPr="004B6F89">
        <w:rPr>
          <w:rFonts w:ascii="Times New Roman" w:hAnsi="Times New Roman" w:cs="Times New Roman"/>
          <w:color w:val="000000" w:themeColor="text1"/>
        </w:rPr>
        <w:t>state dependence</w:t>
      </w:r>
      <w:r w:rsidR="00CF4C21" w:rsidRPr="004B6F89">
        <w:rPr>
          <w:rFonts w:ascii="Times New Roman" w:hAnsi="Times New Roman" w:cs="Times New Roman"/>
          <w:color w:val="000000" w:themeColor="text1"/>
        </w:rPr>
        <w:t xml:space="preserve"> of the </w:t>
      </w:r>
      <w:r w:rsidR="006D1E78" w:rsidRPr="004B6F89">
        <w:rPr>
          <w:rFonts w:ascii="Times New Roman" w:hAnsi="Times New Roman" w:cs="Times New Roman"/>
          <w:color w:val="000000" w:themeColor="text1"/>
        </w:rPr>
        <w:t>BLC</w:t>
      </w:r>
      <w:r w:rsidR="00CF4C21" w:rsidRPr="004B6F89">
        <w:rPr>
          <w:rFonts w:ascii="Times New Roman" w:hAnsi="Times New Roman" w:cs="Times New Roman"/>
          <w:color w:val="000000" w:themeColor="text1"/>
        </w:rPr>
        <w:t xml:space="preserve"> during </w:t>
      </w:r>
      <w:r w:rsidR="00DC1818">
        <w:rPr>
          <w:rFonts w:ascii="Times New Roman" w:hAnsi="Times New Roman" w:cs="Times New Roman"/>
          <w:color w:val="000000" w:themeColor="text1"/>
        </w:rPr>
        <w:t>expansio</w:t>
      </w:r>
      <w:r w:rsidR="002D59BB">
        <w:rPr>
          <w:rFonts w:ascii="Times New Roman" w:hAnsi="Times New Roman" w:cs="Times New Roman"/>
          <w:color w:val="000000" w:themeColor="text1"/>
        </w:rPr>
        <w:t>n</w:t>
      </w:r>
      <w:r w:rsidR="00CF4C21" w:rsidRPr="004B6F89">
        <w:rPr>
          <w:rFonts w:ascii="Times New Roman" w:hAnsi="Times New Roman" w:cs="Times New Roman"/>
          <w:color w:val="000000" w:themeColor="text1"/>
        </w:rPr>
        <w:t xml:space="preserve"> and recession</w:t>
      </w:r>
      <w:r w:rsidR="001D48BE" w:rsidRPr="004B6F89">
        <w:rPr>
          <w:rFonts w:ascii="Times New Roman" w:hAnsi="Times New Roman" w:cs="Times New Roman"/>
          <w:color w:val="000000" w:themeColor="text1"/>
        </w:rPr>
        <w:t>s</w:t>
      </w:r>
      <w:r w:rsidR="002D59BB">
        <w:rPr>
          <w:rFonts w:ascii="Times New Roman" w:hAnsi="Times New Roman" w:cs="Times New Roman"/>
          <w:color w:val="000000" w:themeColor="text1"/>
        </w:rPr>
        <w:t xml:space="preserve">, is explained in section </w:t>
      </w:r>
      <w:r w:rsidR="002D59BB" w:rsidRPr="00080D47">
        <w:rPr>
          <w:rFonts w:ascii="Times New Roman" w:hAnsi="Times New Roman" w:cs="Times New Roman"/>
          <w:i/>
          <w:iCs/>
          <w:color w:val="000000" w:themeColor="text1"/>
        </w:rPr>
        <w:t>3.1.1</w:t>
      </w:r>
      <w:r w:rsidR="00CF4C21" w:rsidRPr="004B6F89">
        <w:rPr>
          <w:rFonts w:ascii="Times New Roman" w:hAnsi="Times New Roman" w:cs="Times New Roman"/>
          <w:color w:val="000000" w:themeColor="text1"/>
        </w:rPr>
        <w:t>.</w:t>
      </w:r>
      <w:r w:rsidR="002D59BB">
        <w:rPr>
          <w:rFonts w:ascii="Times New Roman" w:hAnsi="Times New Roman" w:cs="Times New Roman"/>
          <w:color w:val="000000" w:themeColor="text1"/>
        </w:rPr>
        <w:t xml:space="preserve"> </w:t>
      </w:r>
      <w:r w:rsidR="00557A3F" w:rsidRPr="004B6F89">
        <w:rPr>
          <w:rStyle w:val="FootnoteReference"/>
          <w:rFonts w:ascii="Times New Roman" w:hAnsi="Times New Roman" w:cs="Times New Roman"/>
          <w:color w:val="000000" w:themeColor="text1"/>
        </w:rPr>
        <w:footnoteReference w:id="5"/>
      </w:r>
      <w:r w:rsidR="00DA684D" w:rsidRPr="004B6F89">
        <w:rPr>
          <w:rFonts w:ascii="Times New Roman" w:hAnsi="Times New Roman" w:cs="Times New Roman"/>
          <w:color w:val="000000" w:themeColor="text1"/>
        </w:rPr>
        <w:t xml:space="preserve"> </w:t>
      </w:r>
    </w:p>
    <w:p w14:paraId="79201F51" w14:textId="77777777" w:rsidR="003F045A" w:rsidRPr="004B6F89" w:rsidRDefault="003F045A" w:rsidP="000A3051">
      <w:pPr>
        <w:widowControl w:val="0"/>
        <w:autoSpaceDE w:val="0"/>
        <w:autoSpaceDN w:val="0"/>
        <w:adjustRightInd w:val="0"/>
        <w:spacing w:after="0" w:line="480" w:lineRule="auto"/>
        <w:ind w:right="91"/>
        <w:jc w:val="both"/>
        <w:rPr>
          <w:rFonts w:ascii="Times New Roman" w:hAnsi="Times New Roman" w:cs="Times New Roman"/>
          <w:color w:val="000000" w:themeColor="text1"/>
        </w:rPr>
      </w:pPr>
    </w:p>
    <w:p w14:paraId="7B7A0407" w14:textId="319E1620" w:rsidR="006D38DB" w:rsidRPr="002E18F1" w:rsidRDefault="00613A79" w:rsidP="000A3051">
      <w:pPr>
        <w:widowControl w:val="0"/>
        <w:autoSpaceDE w:val="0"/>
        <w:autoSpaceDN w:val="0"/>
        <w:adjustRightInd w:val="0"/>
        <w:spacing w:after="0" w:line="480" w:lineRule="auto"/>
        <w:ind w:right="91"/>
        <w:jc w:val="both"/>
        <w:rPr>
          <w:rFonts w:ascii="Times New Roman" w:hAnsi="Times New Roman" w:cs="Times New Roman"/>
          <w:b/>
          <w:bCs/>
          <w:i/>
          <w:iCs/>
          <w:color w:val="000000" w:themeColor="text1"/>
        </w:rPr>
      </w:pPr>
      <w:r w:rsidRPr="002E18F1">
        <w:rPr>
          <w:rFonts w:ascii="Times New Roman" w:hAnsi="Times New Roman" w:cs="Times New Roman"/>
          <w:b/>
          <w:bCs/>
          <w:i/>
          <w:iCs/>
          <w:color w:val="000000" w:themeColor="text1"/>
        </w:rPr>
        <w:t>3.1.1</w:t>
      </w:r>
      <w:r w:rsidR="00590202" w:rsidRPr="002E18F1">
        <w:rPr>
          <w:rFonts w:ascii="Times New Roman" w:hAnsi="Times New Roman" w:cs="Times New Roman"/>
          <w:b/>
          <w:bCs/>
          <w:i/>
          <w:iCs/>
          <w:color w:val="000000" w:themeColor="text1"/>
        </w:rPr>
        <w:t xml:space="preserve"> </w:t>
      </w:r>
      <w:r w:rsidR="006D38DB" w:rsidRPr="002E18F1">
        <w:rPr>
          <w:rFonts w:ascii="Times New Roman" w:hAnsi="Times New Roman" w:cs="Times New Roman"/>
          <w:b/>
          <w:bCs/>
          <w:i/>
          <w:iCs/>
          <w:color w:val="000000" w:themeColor="text1"/>
        </w:rPr>
        <w:t>MSVAR, identification and regime dependent IRF</w:t>
      </w:r>
    </w:p>
    <w:p w14:paraId="6ED1FF79" w14:textId="08A179FF" w:rsidR="000B4EB6" w:rsidRPr="00EC20FA" w:rsidRDefault="000B4EB6" w:rsidP="000A3051">
      <w:pPr>
        <w:widowControl w:val="0"/>
        <w:autoSpaceDE w:val="0"/>
        <w:autoSpaceDN w:val="0"/>
        <w:adjustRightInd w:val="0"/>
        <w:spacing w:after="0" w:line="480" w:lineRule="auto"/>
        <w:ind w:right="91"/>
        <w:jc w:val="both"/>
        <w:rPr>
          <w:rFonts w:ascii="Times New Roman" w:hAnsi="Times New Roman" w:cs="Times New Roman"/>
          <w:i/>
          <w:iCs/>
          <w:color w:val="FF0000"/>
        </w:rPr>
      </w:pPr>
      <w:r w:rsidRPr="00EC20FA">
        <w:rPr>
          <w:rFonts w:ascii="Times New Roman" w:hAnsi="Times New Roman" w:cs="Times New Roman"/>
          <w:i/>
          <w:iCs/>
          <w:color w:val="000000" w:themeColor="text1"/>
        </w:rPr>
        <w:t>a)</w:t>
      </w:r>
      <w:r w:rsidR="00590202" w:rsidRPr="00EC20FA">
        <w:rPr>
          <w:rFonts w:ascii="Times New Roman" w:hAnsi="Times New Roman" w:cs="Times New Roman"/>
          <w:i/>
          <w:iCs/>
          <w:color w:val="000000" w:themeColor="text1"/>
        </w:rPr>
        <w:t xml:space="preserve"> </w:t>
      </w:r>
      <w:r w:rsidRPr="00EC20FA">
        <w:rPr>
          <w:rFonts w:ascii="Times New Roman" w:hAnsi="Times New Roman" w:cs="Times New Roman"/>
          <w:i/>
          <w:iCs/>
          <w:color w:val="000000" w:themeColor="text1"/>
        </w:rPr>
        <w:t>MSVAR</w:t>
      </w:r>
    </w:p>
    <w:p w14:paraId="6091B2AA" w14:textId="1937F31C" w:rsidR="00C47FD1" w:rsidRPr="002E18F1" w:rsidRDefault="000E02BA" w:rsidP="009A0EE6">
      <w:pPr>
        <w:spacing w:after="0" w:line="480" w:lineRule="auto"/>
        <w:ind w:right="90"/>
        <w:jc w:val="both"/>
        <w:rPr>
          <w:rFonts w:ascii="Times New Roman" w:hAnsi="Times New Roman" w:cs="Times New Roman"/>
          <w:color w:val="000000" w:themeColor="text1"/>
          <w:shd w:val="clear" w:color="auto" w:fill="FFFFFF"/>
        </w:rPr>
      </w:pPr>
      <w:r w:rsidRPr="002E18F1">
        <w:rPr>
          <w:rFonts w:ascii="Times New Roman" w:hAnsi="Times New Roman" w:cs="Times New Roman"/>
          <w:color w:val="000000" w:themeColor="text1"/>
        </w:rPr>
        <w:t xml:space="preserve">While it is atypical to use </w:t>
      </w:r>
      <w:r w:rsidR="0072139D">
        <w:rPr>
          <w:rFonts w:ascii="Times New Roman" w:hAnsi="Times New Roman" w:cs="Times New Roman"/>
          <w:color w:val="000000" w:themeColor="text1"/>
        </w:rPr>
        <w:t>M</w:t>
      </w:r>
      <w:r w:rsidR="008C172D" w:rsidRPr="002E18F1">
        <w:rPr>
          <w:rFonts w:ascii="Times New Roman" w:hAnsi="Times New Roman" w:cs="Times New Roman"/>
          <w:color w:val="000000" w:themeColor="text1"/>
        </w:rPr>
        <w:t>arkov</w:t>
      </w:r>
      <w:r w:rsidR="00A1142E" w:rsidRPr="002E18F1">
        <w:rPr>
          <w:rFonts w:ascii="Times New Roman" w:hAnsi="Times New Roman" w:cs="Times New Roman"/>
          <w:color w:val="000000" w:themeColor="text1"/>
        </w:rPr>
        <w:t xml:space="preserve"> Switching </w:t>
      </w:r>
      <w:r w:rsidR="00204824" w:rsidRPr="002E18F1">
        <w:rPr>
          <w:rFonts w:ascii="Times New Roman" w:hAnsi="Times New Roman" w:cs="Times New Roman"/>
          <w:color w:val="000000" w:themeColor="text1"/>
        </w:rPr>
        <w:t xml:space="preserve">models </w:t>
      </w:r>
      <w:r w:rsidRPr="002E18F1">
        <w:rPr>
          <w:rFonts w:ascii="Times New Roman" w:hAnsi="Times New Roman" w:cs="Times New Roman"/>
          <w:color w:val="000000" w:themeColor="text1"/>
        </w:rPr>
        <w:t xml:space="preserve">in the </w:t>
      </w:r>
      <w:r w:rsidR="00633B08" w:rsidRPr="002E18F1">
        <w:rPr>
          <w:rFonts w:ascii="Times New Roman" w:hAnsi="Times New Roman" w:cs="Times New Roman"/>
          <w:color w:val="000000" w:themeColor="text1"/>
        </w:rPr>
        <w:t>BLC literature</w:t>
      </w:r>
      <w:r w:rsidRPr="002E18F1">
        <w:rPr>
          <w:rFonts w:ascii="Times New Roman" w:hAnsi="Times New Roman" w:cs="Times New Roman"/>
          <w:color w:val="000000" w:themeColor="text1"/>
        </w:rPr>
        <w:t xml:space="preserve">, the MSVAR has a great advantage over </w:t>
      </w:r>
      <w:r w:rsidR="008C172D">
        <w:rPr>
          <w:rFonts w:ascii="Times New Roman" w:hAnsi="Times New Roman" w:cs="Times New Roman"/>
          <w:color w:val="000000" w:themeColor="text1"/>
        </w:rPr>
        <w:t>other</w:t>
      </w:r>
      <w:r w:rsidR="00A1142E" w:rsidRPr="002E18F1">
        <w:rPr>
          <w:rFonts w:ascii="Times New Roman" w:hAnsi="Times New Roman" w:cs="Times New Roman"/>
          <w:color w:val="000000" w:themeColor="text1"/>
        </w:rPr>
        <w:t xml:space="preserve"> non-linear econometric framework</w:t>
      </w:r>
      <w:r w:rsidRPr="002E18F1">
        <w:rPr>
          <w:rFonts w:ascii="Times New Roman" w:hAnsi="Times New Roman" w:cs="Times New Roman"/>
          <w:color w:val="000000" w:themeColor="text1"/>
        </w:rPr>
        <w:t xml:space="preserve">, in terms of the switching of </w:t>
      </w:r>
      <w:r w:rsidR="000266B0" w:rsidRPr="002E18F1">
        <w:rPr>
          <w:rFonts w:ascii="Times New Roman" w:hAnsi="Times New Roman" w:cs="Times New Roman"/>
          <w:color w:val="000000" w:themeColor="text1"/>
        </w:rPr>
        <w:t>all</w:t>
      </w:r>
      <w:r w:rsidR="00A1142E" w:rsidRPr="002E18F1">
        <w:rPr>
          <w:rFonts w:ascii="Times New Roman" w:hAnsi="Times New Roman" w:cs="Times New Roman"/>
          <w:color w:val="000000" w:themeColor="text1"/>
        </w:rPr>
        <w:t xml:space="preserve"> components (</w:t>
      </w:r>
      <w:r w:rsidRPr="002E18F1">
        <w:rPr>
          <w:rFonts w:ascii="Times New Roman" w:hAnsi="Times New Roman" w:cs="Times New Roman"/>
          <w:color w:val="000000" w:themeColor="text1"/>
        </w:rPr>
        <w:t xml:space="preserve">viz., </w:t>
      </w:r>
      <w:r w:rsidR="00A1142E" w:rsidRPr="002E18F1">
        <w:rPr>
          <w:rFonts w:ascii="Times New Roman" w:hAnsi="Times New Roman" w:cs="Times New Roman"/>
          <w:color w:val="000000" w:themeColor="text1"/>
        </w:rPr>
        <w:t xml:space="preserve">intercept, </w:t>
      </w:r>
      <w:r w:rsidR="00556844" w:rsidRPr="002E18F1">
        <w:rPr>
          <w:rFonts w:ascii="Times New Roman" w:hAnsi="Times New Roman" w:cs="Times New Roman"/>
          <w:color w:val="000000" w:themeColor="text1"/>
        </w:rPr>
        <w:t>variance,</w:t>
      </w:r>
      <w:r w:rsidR="00A1142E" w:rsidRPr="002E18F1">
        <w:rPr>
          <w:rFonts w:ascii="Times New Roman" w:hAnsi="Times New Roman" w:cs="Times New Roman"/>
          <w:color w:val="000000" w:themeColor="text1"/>
        </w:rPr>
        <w:t xml:space="preserve"> </w:t>
      </w:r>
      <w:r w:rsidR="008771D6" w:rsidRPr="002E18F1">
        <w:rPr>
          <w:rFonts w:ascii="Times New Roman" w:hAnsi="Times New Roman" w:cs="Times New Roman"/>
          <w:color w:val="000000" w:themeColor="text1"/>
        </w:rPr>
        <w:t>and the coefficients</w:t>
      </w:r>
      <w:r w:rsidR="000266B0" w:rsidRPr="002E18F1">
        <w:rPr>
          <w:rFonts w:ascii="Times New Roman" w:hAnsi="Times New Roman" w:cs="Times New Roman"/>
          <w:color w:val="000000" w:themeColor="text1"/>
        </w:rPr>
        <w:t>)</w:t>
      </w:r>
      <w:r w:rsidRPr="002E18F1">
        <w:rPr>
          <w:rFonts w:ascii="Times New Roman" w:hAnsi="Times New Roman" w:cs="Times New Roman"/>
          <w:color w:val="000000" w:themeColor="text1"/>
        </w:rPr>
        <w:t>. This way, the MSVAR</w:t>
      </w:r>
      <w:r w:rsidR="000266B0" w:rsidRPr="002E18F1">
        <w:rPr>
          <w:rFonts w:ascii="Times New Roman" w:hAnsi="Times New Roman" w:cs="Times New Roman"/>
          <w:color w:val="000000" w:themeColor="text1"/>
        </w:rPr>
        <w:t xml:space="preserve"> </w:t>
      </w:r>
      <w:r w:rsidRPr="002E18F1">
        <w:rPr>
          <w:rFonts w:ascii="Times New Roman" w:hAnsi="Times New Roman" w:cs="Times New Roman"/>
          <w:color w:val="000000" w:themeColor="text1"/>
        </w:rPr>
        <w:t>allows</w:t>
      </w:r>
      <w:r w:rsidR="00634F1D" w:rsidRPr="002E18F1">
        <w:rPr>
          <w:rFonts w:ascii="Times New Roman" w:hAnsi="Times New Roman" w:cs="Times New Roman"/>
          <w:color w:val="000000" w:themeColor="text1"/>
        </w:rPr>
        <w:t xml:space="preserve"> </w:t>
      </w:r>
      <w:r w:rsidR="002F3442">
        <w:rPr>
          <w:rFonts w:ascii="Times New Roman" w:hAnsi="Times New Roman" w:cs="Times New Roman"/>
          <w:color w:val="000000" w:themeColor="text1"/>
        </w:rPr>
        <w:t>one</w:t>
      </w:r>
      <w:r w:rsidRPr="002E18F1">
        <w:rPr>
          <w:rFonts w:ascii="Times New Roman" w:hAnsi="Times New Roman" w:cs="Times New Roman"/>
          <w:color w:val="000000" w:themeColor="text1"/>
        </w:rPr>
        <w:t xml:space="preserve"> to</w:t>
      </w:r>
      <w:r w:rsidR="00A1142E" w:rsidRPr="002E18F1">
        <w:rPr>
          <w:rFonts w:ascii="Times New Roman" w:hAnsi="Times New Roman" w:cs="Times New Roman"/>
          <w:color w:val="000000" w:themeColor="text1"/>
        </w:rPr>
        <w:t xml:space="preserve"> capture</w:t>
      </w:r>
      <w:r w:rsidR="00A1142E" w:rsidRPr="002E18F1">
        <w:rPr>
          <w:rFonts w:ascii="Times New Roman" w:hAnsi="Times New Roman" w:cs="Times New Roman"/>
          <w:color w:val="000000" w:themeColor="text1"/>
          <w:shd w:val="clear" w:color="auto" w:fill="FFFFFF"/>
        </w:rPr>
        <w:t xml:space="preserve"> complex dynamic patterns within th</w:t>
      </w:r>
      <w:r w:rsidR="00C25D36" w:rsidRPr="002E18F1">
        <w:rPr>
          <w:rFonts w:ascii="Times New Roman" w:hAnsi="Times New Roman" w:cs="Times New Roman"/>
          <w:color w:val="000000" w:themeColor="text1"/>
          <w:shd w:val="clear" w:color="auto" w:fill="FFFFFF"/>
        </w:rPr>
        <w:t>e data, such as business cycles</w:t>
      </w:r>
      <w:r w:rsidR="00112695" w:rsidRPr="002E18F1">
        <w:rPr>
          <w:rFonts w:ascii="Times New Roman" w:hAnsi="Times New Roman" w:cs="Times New Roman"/>
          <w:color w:val="000000" w:themeColor="text1"/>
          <w:shd w:val="clear" w:color="auto" w:fill="FFFFFF"/>
        </w:rPr>
        <w:t xml:space="preserve">. </w:t>
      </w:r>
      <w:r w:rsidRPr="002E18F1">
        <w:rPr>
          <w:rFonts w:ascii="Times New Roman" w:hAnsi="Times New Roman" w:cs="Times New Roman"/>
          <w:color w:val="000000" w:themeColor="text1"/>
          <w:shd w:val="clear" w:color="auto" w:fill="FFFFFF"/>
        </w:rPr>
        <w:t>Accordingly, we</w:t>
      </w:r>
      <w:r w:rsidR="00112695" w:rsidRPr="002E18F1">
        <w:rPr>
          <w:rFonts w:ascii="Times New Roman" w:hAnsi="Times New Roman" w:cs="Times New Roman"/>
          <w:color w:val="000000" w:themeColor="text1"/>
          <w:shd w:val="clear" w:color="auto" w:fill="FFFFFF"/>
        </w:rPr>
        <w:t xml:space="preserve"> use</w:t>
      </w:r>
      <w:r w:rsidR="002F3D42" w:rsidRPr="002E18F1">
        <w:rPr>
          <w:rFonts w:ascii="Times New Roman" w:hAnsi="Times New Roman" w:cs="Times New Roman"/>
          <w:color w:val="000000" w:themeColor="text1"/>
          <w:shd w:val="clear" w:color="auto" w:fill="FFFFFF"/>
        </w:rPr>
        <w:t xml:space="preserve"> </w:t>
      </w:r>
      <w:r w:rsidR="00112695" w:rsidRPr="002E18F1">
        <w:rPr>
          <w:rFonts w:ascii="Times New Roman" w:hAnsi="Times New Roman" w:cs="Times New Roman"/>
          <w:color w:val="000000" w:themeColor="text1"/>
          <w:shd w:val="clear" w:color="auto" w:fill="FFFFFF"/>
        </w:rPr>
        <w:t>MSVAR</w:t>
      </w:r>
      <w:r w:rsidR="006D1E78" w:rsidRPr="002E18F1">
        <w:rPr>
          <w:rFonts w:ascii="Times New Roman" w:hAnsi="Times New Roman" w:cs="Times New Roman"/>
          <w:color w:val="000000" w:themeColor="text1"/>
          <w:shd w:val="clear" w:color="auto" w:fill="FFFFFF"/>
        </w:rPr>
        <w:t>s</w:t>
      </w:r>
      <w:r w:rsidR="002A24B1" w:rsidRPr="002E18F1">
        <w:rPr>
          <w:rFonts w:ascii="Times New Roman" w:hAnsi="Times New Roman" w:cs="Times New Roman"/>
          <w:color w:val="000000" w:themeColor="text1"/>
          <w:shd w:val="clear" w:color="auto" w:fill="FFFFFF"/>
        </w:rPr>
        <w:t xml:space="preserve"> </w:t>
      </w:r>
      <w:r w:rsidR="00C24968" w:rsidRPr="002E18F1">
        <w:rPr>
          <w:rFonts w:ascii="Times New Roman" w:hAnsi="Times New Roman" w:cs="Times New Roman"/>
          <w:color w:val="000000" w:themeColor="text1"/>
          <w:shd w:val="clear" w:color="auto" w:fill="FFFFFF"/>
        </w:rPr>
        <w:t>proposed by Krolzig (1997)</w:t>
      </w:r>
      <w:r w:rsidR="00467DD4">
        <w:rPr>
          <w:rFonts w:ascii="Times New Roman" w:hAnsi="Times New Roman" w:cs="Times New Roman"/>
          <w:color w:val="000000" w:themeColor="text1"/>
          <w:shd w:val="clear" w:color="auto" w:fill="FFFFFF"/>
        </w:rPr>
        <w:t>, which is a multivariate generalization of Hamilton’s (1989) work:</w:t>
      </w:r>
    </w:p>
    <w:p w14:paraId="58FD069C" w14:textId="046B3B65" w:rsidR="00A1142E" w:rsidRPr="00634F1D" w:rsidRDefault="00227DF5" w:rsidP="00634F1D">
      <w:pPr>
        <w:spacing w:after="0" w:line="480" w:lineRule="auto"/>
        <w:ind w:left="1701"/>
        <w:jc w:val="both"/>
        <w:rPr>
          <w:rFonts w:ascii="Times New Roman" w:hAnsi="Times New Roman" w:cs="Times New Roman"/>
          <w:color w:val="4472C4" w:themeColor="accent1"/>
          <w:shd w:val="clear" w:color="auto" w:fill="FFFFFF"/>
        </w:rPr>
      </w:pP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t</m:t>
            </m:r>
          </m:sub>
        </m:sSub>
        <m:r>
          <w:rPr>
            <w:rFonts w:ascii="Cambria Math" w:eastAsia="Times New Roman" w:hAnsi="Cambria Math" w:cs="Times New Roman"/>
            <w:lang w:val="en-US"/>
          </w:rPr>
          <m:t>=</m:t>
        </m:r>
        <m:d>
          <m:dPr>
            <m:begChr m:val="{"/>
            <m:endChr m:val=""/>
            <m:ctrlPr>
              <w:rPr>
                <w:rFonts w:ascii="Cambria Math" w:eastAsia="Times New Roman" w:hAnsi="Cambria Math" w:cs="Times New Roman"/>
                <w:i/>
                <w:lang w:val="en-US"/>
              </w:rPr>
            </m:ctrlPr>
          </m:dPr>
          <m:e>
            <m:eqArr>
              <m:eqArrPr>
                <m:ctrlPr>
                  <w:rPr>
                    <w:rFonts w:ascii="Cambria Math" w:eastAsia="Times New Roman" w:hAnsi="Cambria Math" w:cs="Times New Roman"/>
                    <w:i/>
                    <w:lang w:val="en-US"/>
                  </w:rPr>
                </m:ctrlPr>
              </m:eqArrPr>
              <m:e>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11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p1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t-p</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ε</m:t>
                    </m:r>
                  </m:e>
                  <m:sub>
                    <m:r>
                      <w:rPr>
                        <w:rFonts w:ascii="Cambria Math" w:eastAsia="Times New Roman" w:hAnsi="Cambria Math" w:cs="Times New Roman"/>
                        <w:lang w:val="en-US"/>
                      </w:rPr>
                      <m:t>t</m:t>
                    </m:r>
                  </m:sub>
                </m:sSub>
                <m:r>
                  <w:rPr>
                    <w:rFonts w:ascii="Cambria Math" w:eastAsia="Times New Roman" w:hAnsi="Cambria Math" w:cs="Times New Roman"/>
                    <w:lang w:val="en-US"/>
                  </w:rPr>
                  <m:t>, if</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 xml:space="preserve">  S</m:t>
                    </m:r>
                  </m:e>
                  <m:sub>
                    <m:r>
                      <w:rPr>
                        <w:rFonts w:ascii="Cambria Math" w:eastAsia="Times New Roman" w:hAnsi="Cambria Math" w:cs="Times New Roman"/>
                        <w:lang w:val="en-US"/>
                      </w:rPr>
                      <m:t>t</m:t>
                    </m:r>
                  </m:sub>
                </m:sSub>
                <m:r>
                  <w:rPr>
                    <w:rFonts w:ascii="Cambria Math" w:eastAsia="Times New Roman" w:hAnsi="Cambria Math" w:cs="Times New Roman"/>
                    <w:lang w:val="en-US"/>
                  </w:rPr>
                  <m:t>=1</m:t>
                </m:r>
              </m:e>
              <m:e>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22</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p1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t-p</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2</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ε</m:t>
                    </m:r>
                  </m:e>
                  <m:sub>
                    <m:r>
                      <w:rPr>
                        <w:rFonts w:ascii="Cambria Math" w:eastAsia="Times New Roman" w:hAnsi="Cambria Math" w:cs="Times New Roman"/>
                        <w:lang w:val="en-US"/>
                      </w:rPr>
                      <m:t>t</m:t>
                    </m:r>
                  </m:sub>
                </m:sSub>
                <m:r>
                  <w:rPr>
                    <w:rFonts w:ascii="Cambria Math" w:eastAsia="Times New Roman" w:hAnsi="Cambria Math" w:cs="Times New Roman"/>
                    <w:lang w:val="en-US"/>
                  </w:rPr>
                  <m:t>,  if</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 xml:space="preserve">  S</m:t>
                    </m:r>
                  </m:e>
                  <m:sub>
                    <m:r>
                      <w:rPr>
                        <w:rFonts w:ascii="Cambria Math" w:eastAsia="Times New Roman" w:hAnsi="Cambria Math" w:cs="Times New Roman"/>
                        <w:lang w:val="en-US"/>
                      </w:rPr>
                      <m:t>t</m:t>
                    </m:r>
                  </m:sub>
                </m:sSub>
                <m:r>
                  <w:rPr>
                    <w:rFonts w:ascii="Cambria Math" w:eastAsia="Times New Roman" w:hAnsi="Cambria Math" w:cs="Times New Roman"/>
                    <w:lang w:val="en-US"/>
                  </w:rPr>
                  <m:t>=2</m:t>
                </m:r>
              </m:e>
            </m:eqArr>
          </m:e>
        </m:d>
      </m:oMath>
      <w:r w:rsidR="00634F1D">
        <w:rPr>
          <w:rFonts w:ascii="Times New Roman" w:eastAsiaTheme="minorEastAsia" w:hAnsi="Times New Roman" w:cs="Times New Roman"/>
          <w:lang w:val="en-US"/>
        </w:rPr>
        <w:t xml:space="preserve"> </w:t>
      </w:r>
      <m:oMath>
        <m:r>
          <w:rPr>
            <w:rFonts w:ascii="Cambria Math" w:eastAsia="Times New Roman" w:hAnsi="Cambria Math" w:cs="Times New Roman"/>
            <w:color w:val="000000" w:themeColor="text1"/>
            <w:lang w:val="en-US"/>
          </w:rPr>
          <m:t>,</m:t>
        </m:r>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ε</m:t>
            </m:r>
          </m:e>
          <m:sub>
            <m:r>
              <w:rPr>
                <w:rFonts w:ascii="Cambria Math" w:eastAsia="Times New Roman" w:hAnsi="Cambria Math" w:cs="Times New Roman"/>
                <w:color w:val="000000" w:themeColor="text1"/>
                <w:lang w:val="en-US"/>
              </w:rPr>
              <m:t>t</m:t>
            </m:r>
          </m:sub>
        </m:sSub>
        <m:r>
          <w:rPr>
            <w:rFonts w:ascii="Cambria Math" w:hAnsi="Cambria Math" w:cs="Times New Roman"/>
            <w:color w:val="000000" w:themeColor="text1"/>
            <w:shd w:val="clear" w:color="auto" w:fill="FFFFFF"/>
          </w:rPr>
          <m:t>~N</m:t>
        </m:r>
        <m:d>
          <m:dPr>
            <m:ctrlPr>
              <w:rPr>
                <w:rFonts w:ascii="Cambria Math" w:hAnsi="Cambria Math" w:cs="Times New Roman"/>
                <w:i/>
                <w:color w:val="000000" w:themeColor="text1"/>
                <w:shd w:val="clear" w:color="auto" w:fill="FFFFFF"/>
              </w:rPr>
            </m:ctrlPr>
          </m:dPr>
          <m:e>
            <m:r>
              <w:rPr>
                <w:rFonts w:ascii="Cambria Math" w:hAnsi="Cambria Math" w:cs="Times New Roman"/>
                <w:color w:val="000000" w:themeColor="text1"/>
                <w:shd w:val="clear" w:color="auto" w:fill="FFFFFF"/>
              </w:rPr>
              <m:t>0;</m:t>
            </m:r>
            <m:sSub>
              <m:sSubPr>
                <m:ctrlPr>
                  <w:rPr>
                    <w:rFonts w:ascii="Cambria Math" w:hAnsi="Cambria Math" w:cs="Times New Roman"/>
                    <w:i/>
                    <w:color w:val="000000" w:themeColor="text1"/>
                    <w:shd w:val="clear" w:color="auto" w:fill="FFFFFF"/>
                  </w:rPr>
                </m:ctrlPr>
              </m:sSubPr>
              <m:e>
                <m:r>
                  <w:rPr>
                    <w:rFonts w:ascii="Cambria Math" w:hAnsi="Cambria Math" w:cs="Times New Roman"/>
                    <w:color w:val="000000" w:themeColor="text1"/>
                    <w:shd w:val="clear" w:color="auto" w:fill="FFFFFF"/>
                  </w:rPr>
                  <m:t>I</m:t>
                </m:r>
              </m:e>
              <m:sub>
                <m:r>
                  <w:rPr>
                    <w:rFonts w:ascii="Cambria Math" w:hAnsi="Cambria Math" w:cs="Times New Roman"/>
                    <w:color w:val="000000" w:themeColor="text1"/>
                    <w:shd w:val="clear" w:color="auto" w:fill="FFFFFF"/>
                  </w:rPr>
                  <m:t>K</m:t>
                </m:r>
              </m:sub>
            </m:sSub>
          </m:e>
        </m:d>
        <m:r>
          <w:rPr>
            <w:rFonts w:ascii="Cambria Math" w:hAnsi="Cambria Math" w:cs="Times New Roman"/>
            <w:color w:val="4472C4" w:themeColor="accent1"/>
            <w:shd w:val="clear" w:color="auto" w:fill="FFFFFF"/>
          </w:rPr>
          <m:t xml:space="preserve">     </m:t>
        </m:r>
      </m:oMath>
      <w:r w:rsidR="00C00535" w:rsidRPr="008E6E59">
        <w:rPr>
          <w:rFonts w:ascii="Times New Roman" w:eastAsiaTheme="minorEastAsia" w:hAnsi="Times New Roman" w:cs="Times New Roman"/>
          <w:lang w:val="en-US"/>
        </w:rPr>
        <w:t>(1)</w:t>
      </w:r>
    </w:p>
    <w:p w14:paraId="43EFC628" w14:textId="1BD6E951" w:rsidR="00C47FD1" w:rsidRPr="008E6E59" w:rsidRDefault="00A1142E" w:rsidP="00BF4C7C">
      <w:pPr>
        <w:spacing w:after="0" w:line="480" w:lineRule="auto"/>
        <w:jc w:val="both"/>
        <w:rPr>
          <w:rFonts w:ascii="Times New Roman" w:eastAsiaTheme="minorEastAsia" w:hAnsi="Times New Roman" w:cs="Times New Roman"/>
        </w:rPr>
      </w:pPr>
      <w:r w:rsidRPr="002E18F1">
        <w:rPr>
          <w:rFonts w:ascii="Times New Roman" w:eastAsia="Times New Roman" w:hAnsi="Times New Roman" w:cs="Times New Roman"/>
          <w:color w:val="000000" w:themeColor="text1"/>
          <w:lang w:val="en-US"/>
        </w:rPr>
        <w:t xml:space="preserve">where, </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X</m:t>
            </m:r>
          </m:e>
          <m:sub>
            <m:r>
              <w:rPr>
                <w:rFonts w:ascii="Cambria Math" w:eastAsia="Times New Roman" w:hAnsi="Cambria Math" w:cs="Times New Roman"/>
                <w:color w:val="000000" w:themeColor="text1"/>
                <w:lang w:val="en-US"/>
              </w:rPr>
              <m:t>t</m:t>
            </m:r>
          </m:sub>
        </m:sSub>
      </m:oMath>
      <w:r w:rsidRPr="002E18F1">
        <w:rPr>
          <w:rFonts w:ascii="Times New Roman" w:eastAsia="Times New Roman" w:hAnsi="Times New Roman" w:cs="Times New Roman"/>
          <w:color w:val="000000" w:themeColor="text1"/>
          <w:lang w:val="en-US"/>
        </w:rPr>
        <w:t xml:space="preserve"> is the set of endogenous variables</w:t>
      </w:r>
      <m:oMath>
        <m:r>
          <w:rPr>
            <w:rFonts w:ascii="Cambria Math" w:eastAsiaTheme="minorEastAsia" w:hAnsi="Cambria Math" w:cs="Times New Roman"/>
            <w:color w:val="000000" w:themeColor="text1"/>
          </w:rPr>
          <m:t>,</m:t>
        </m:r>
        <m:sSub>
          <m:sSubPr>
            <m:ctrlPr>
              <w:rPr>
                <w:rFonts w:ascii="Cambria Math" w:eastAsia="Times New Roman" w:hAnsi="Cambria Math" w:cs="Times New Roman"/>
                <w:i/>
                <w:color w:val="000000" w:themeColor="text1"/>
              </w:rPr>
            </m:ctrlPr>
          </m:sSubPr>
          <m:e>
            <m:r>
              <w:rPr>
                <w:rFonts w:ascii="Cambria Math" w:eastAsia="Times New Roman" w:hAnsi="Cambria Math" w:cs="Times New Roman"/>
                <w:color w:val="000000" w:themeColor="text1"/>
              </w:rPr>
              <m:t xml:space="preserve"> ε</m:t>
            </m:r>
          </m:e>
          <m:sub>
            <m:r>
              <w:rPr>
                <w:rFonts w:ascii="Cambria Math" w:eastAsia="Times New Roman" w:hAnsi="Cambria Math" w:cs="Times New Roman"/>
                <w:color w:val="000000" w:themeColor="text1"/>
              </w:rPr>
              <m:t>t</m:t>
            </m:r>
          </m:sub>
        </m:sSub>
      </m:oMath>
      <w:r w:rsidRPr="002E18F1">
        <w:rPr>
          <w:rFonts w:ascii="Times New Roman" w:eastAsiaTheme="minorEastAsia" w:hAnsi="Times New Roman" w:cs="Times New Roman"/>
          <w:color w:val="000000" w:themeColor="text1"/>
        </w:rPr>
        <w:t xml:space="preserve"> is </w:t>
      </w:r>
      <w:r w:rsidR="0079349C" w:rsidRPr="002E18F1">
        <w:rPr>
          <w:rFonts w:ascii="Times New Roman" w:eastAsiaTheme="minorEastAsia" w:hAnsi="Times New Roman" w:cs="Times New Roman"/>
          <w:color w:val="000000" w:themeColor="text1"/>
        </w:rPr>
        <w:t>a</w:t>
      </w:r>
      <w:r w:rsidR="00C31FF3" w:rsidRPr="002E18F1">
        <w:rPr>
          <w:rFonts w:ascii="Times New Roman" w:eastAsiaTheme="minorEastAsia" w:hAnsi="Times New Roman" w:cs="Times New Roman"/>
          <w:i/>
          <w:iCs/>
          <w:color w:val="000000" w:themeColor="text1"/>
        </w:rPr>
        <w:t xml:space="preserve"> K </w:t>
      </w:r>
      <w:r w:rsidR="00C31FF3" w:rsidRPr="002E18F1">
        <w:rPr>
          <w:rFonts w:ascii="Times New Roman" w:eastAsiaTheme="minorEastAsia" w:hAnsi="Times New Roman" w:cs="Times New Roman"/>
          <w:color w:val="000000" w:themeColor="text1"/>
        </w:rPr>
        <w:t>dimensional vector of</w:t>
      </w:r>
      <w:r w:rsidRPr="002E18F1">
        <w:rPr>
          <w:rFonts w:ascii="Times New Roman" w:eastAsiaTheme="minorEastAsia" w:hAnsi="Times New Roman" w:cs="Times New Roman"/>
          <w:color w:val="000000" w:themeColor="text1"/>
        </w:rPr>
        <w:t xml:space="preserve"> fundamental residual</w:t>
      </w:r>
      <w:r w:rsidR="0054009C" w:rsidRPr="002E18F1">
        <w:rPr>
          <w:rFonts w:ascii="Times New Roman" w:eastAsiaTheme="minorEastAsia" w:hAnsi="Times New Roman" w:cs="Times New Roman"/>
          <w:color w:val="000000" w:themeColor="text1"/>
        </w:rPr>
        <w:t>s</w:t>
      </w:r>
      <w:r w:rsidR="00467DD4">
        <w:rPr>
          <w:rFonts w:ascii="Times New Roman" w:eastAsiaTheme="minorEastAsia" w:hAnsi="Times New Roman" w:cs="Times New Roman"/>
          <w:color w:val="000000" w:themeColor="text1"/>
        </w:rPr>
        <w:t xml:space="preserve"> with the latter being uncorrelated at all leads and lags.</w:t>
      </w:r>
      <w:r w:rsidRPr="008E6E59">
        <w:rPr>
          <w:rFonts w:ascii="Times New Roman" w:eastAsiaTheme="minorEastAsia" w:hAnsi="Times New Roman" w:cs="Times New Roman"/>
        </w:rPr>
        <w:t xml:space="preserve"> </w:t>
      </w:r>
      <w:r w:rsidR="006C4EDF">
        <w:rPr>
          <w:rFonts w:ascii="Times New Roman" w:eastAsiaTheme="minorEastAsia" w:hAnsi="Times New Roman" w:cs="Times New Roman"/>
        </w:rPr>
        <w:t xml:space="preserve">The variance of each fundamental </w:t>
      </w:r>
      <w:r w:rsidR="00E5717B">
        <w:rPr>
          <w:rFonts w:ascii="Times New Roman" w:eastAsiaTheme="minorEastAsia" w:hAnsi="Times New Roman" w:cs="Times New Roman"/>
        </w:rPr>
        <w:t>disturbance</w:t>
      </w:r>
      <w:r w:rsidR="006C4EDF">
        <w:rPr>
          <w:rFonts w:ascii="Times New Roman" w:eastAsiaTheme="minorEastAsia" w:hAnsi="Times New Roman" w:cs="Times New Roman"/>
        </w:rPr>
        <w:t xml:space="preserve"> is normalized to unity</w:t>
      </w:r>
      <w:r w:rsidR="00D272D4">
        <w:rPr>
          <w:rFonts w:ascii="Times New Roman" w:eastAsiaTheme="minorEastAsia" w:hAnsi="Times New Roman" w:cs="Times New Roman"/>
        </w:rPr>
        <w:t>.</w:t>
      </w:r>
      <w:r w:rsidRPr="008E6E59">
        <w:rPr>
          <w:rFonts w:ascii="Times New Roman" w:eastAsiaTheme="minorEastAsia" w:hAnsi="Times New Roman" w:cs="Times New Roman"/>
        </w:rPr>
        <w:t xml:space="preserve"> </w:t>
      </w:r>
      <w:r w:rsidR="00DB3077">
        <w:rPr>
          <w:rFonts w:ascii="Times New Roman" w:eastAsiaTheme="minorEastAsia" w:hAnsi="Times New Roman" w:cs="Times New Roman"/>
        </w:rPr>
        <w:t>E</w:t>
      </w:r>
      <w:r w:rsidRPr="008E6E59">
        <w:rPr>
          <w:rFonts w:ascii="Times New Roman" w:eastAsiaTheme="minorEastAsia" w:hAnsi="Times New Roman" w:cs="Times New Roman"/>
        </w:rPr>
        <w:t xml:space="preserve">ach fundamental </w:t>
      </w:r>
      <w:r w:rsidR="00E5717B">
        <w:rPr>
          <w:rFonts w:ascii="Times New Roman" w:eastAsiaTheme="minorEastAsia" w:hAnsi="Times New Roman" w:cs="Times New Roman"/>
        </w:rPr>
        <w:t>disturbance</w:t>
      </w:r>
      <w:r w:rsidRPr="008E6E59">
        <w:rPr>
          <w:rFonts w:ascii="Times New Roman" w:eastAsiaTheme="minorEastAsia" w:hAnsi="Times New Roman" w:cs="Times New Roman"/>
        </w:rPr>
        <w:t xml:space="preserve"> is pre-multiplied by a switching matrix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r>
          <w:rPr>
            <w:rFonts w:ascii="Cambria Math" w:eastAsiaTheme="minorEastAsia" w:hAnsi="Cambria Math" w:cs="Times New Roman"/>
          </w:rPr>
          <m:t>.</m:t>
        </m:r>
      </m:oMath>
      <w:r w:rsidRPr="008E6E59">
        <w:rPr>
          <w:rFonts w:ascii="Times New Roman" w:eastAsiaTheme="minorEastAsia" w:hAnsi="Times New Roman" w:cs="Times New Roman"/>
        </w:rPr>
        <w:t xml:space="preserve"> Equ</w:t>
      </w:r>
      <w:r w:rsidR="00046635" w:rsidRPr="008E6E59">
        <w:rPr>
          <w:rFonts w:ascii="Times New Roman" w:eastAsiaTheme="minorEastAsia" w:hAnsi="Times New Roman" w:cs="Times New Roman"/>
        </w:rPr>
        <w:t>ation (2) illustrat</w:t>
      </w:r>
      <w:r w:rsidR="00DB3077">
        <w:rPr>
          <w:rFonts w:ascii="Times New Roman" w:eastAsiaTheme="minorEastAsia" w:hAnsi="Times New Roman" w:cs="Times New Roman"/>
        </w:rPr>
        <w:t>e</w:t>
      </w:r>
      <w:r w:rsidR="00881223">
        <w:rPr>
          <w:rFonts w:ascii="Times New Roman" w:eastAsiaTheme="minorEastAsia" w:hAnsi="Times New Roman" w:cs="Times New Roman"/>
        </w:rPr>
        <w:t>s</w:t>
      </w:r>
      <w:r w:rsidRPr="008E6E59">
        <w:rPr>
          <w:rFonts w:ascii="Times New Roman" w:eastAsiaTheme="minorEastAsia" w:hAnsi="Times New Roman" w:cs="Times New Roman"/>
        </w:rPr>
        <w:t xml:space="preserve"> the</w:t>
      </w:r>
      <w:r w:rsidR="00046635" w:rsidRPr="008E6E59">
        <w:rPr>
          <w:rFonts w:ascii="Times New Roman" w:eastAsiaTheme="minorEastAsia" w:hAnsi="Times New Roman" w:cs="Times New Roman"/>
        </w:rPr>
        <w:t xml:space="preserve"> regime dependent</w:t>
      </w:r>
      <w:r w:rsidRPr="008E6E59">
        <w:rPr>
          <w:rFonts w:ascii="Times New Roman" w:eastAsiaTheme="minorEastAsia" w:hAnsi="Times New Roman" w:cs="Times New Roman"/>
        </w:rPr>
        <w:t xml:space="preserve"> variance–covariance matrix, </w:t>
      </w:r>
      <m:oMath>
        <m:sSub>
          <m:sSubPr>
            <m:ctrlPr>
              <w:rPr>
                <w:rFonts w:ascii="Cambria Math" w:eastAsiaTheme="minorEastAsia" w:hAnsi="Cambria Math" w:cs="Times New Roman"/>
                <w:i/>
              </w:rPr>
            </m:ctrlPr>
          </m:sSubPr>
          <m:e>
            <m:r>
              <w:rPr>
                <w:rFonts w:ascii="Cambria Math" w:eastAsiaTheme="minorEastAsia" w:hAnsi="Cambria Math" w:cs="Times New Roman"/>
              </w:rPr>
              <m:t>∑</m:t>
            </m:r>
          </m:e>
          <m:sub>
            <m:r>
              <w:rPr>
                <w:rFonts w:ascii="Cambria Math" w:eastAsiaTheme="minorEastAsia" w:hAnsi="Cambria Math" w:cs="Times New Roman"/>
              </w:rPr>
              <m:t>i</m:t>
            </m:r>
          </m:sub>
        </m:sSub>
      </m:oMath>
      <w:r w:rsidRPr="008E6E59">
        <w:rPr>
          <w:rFonts w:ascii="Times New Roman" w:eastAsiaTheme="minorEastAsia" w:hAnsi="Times New Roman" w:cs="Times New Roman"/>
        </w:rPr>
        <w:t xml:space="preserve"> of the residuals</w:t>
      </w:r>
      <w:r w:rsidR="00D272D4">
        <w:rPr>
          <w:rFonts w:ascii="Times New Roman" w:eastAsiaTheme="minorEastAsia" w:hAnsi="Times New Roman" w:cs="Times New Roman"/>
        </w:rPr>
        <w:t>,</w:t>
      </w:r>
      <w:r w:rsidRPr="008E6E59">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i</m:t>
            </m:r>
          </m:sub>
        </m:sSub>
        <m:sSub>
          <m:sSubPr>
            <m:ctrlPr>
              <w:rPr>
                <w:rFonts w:ascii="Cambria Math" w:eastAsiaTheme="minorEastAsia" w:hAnsi="Cambria Math" w:cs="Times New Roman"/>
                <w:i/>
              </w:rPr>
            </m:ctrlPr>
          </m:sSubPr>
          <m:e>
            <m:r>
              <w:rPr>
                <w:rFonts w:ascii="Cambria Math" w:eastAsiaTheme="minorEastAsia" w:hAnsi="Cambria Math" w:cs="Times New Roman"/>
              </w:rPr>
              <m:t>ɛ</m:t>
            </m:r>
          </m:e>
          <m:sub>
            <m:r>
              <w:rPr>
                <w:rFonts w:ascii="Cambria Math" w:eastAsiaTheme="minorEastAsia" w:hAnsi="Cambria Math" w:cs="Times New Roman"/>
              </w:rPr>
              <m:t xml:space="preserve">t </m:t>
            </m:r>
          </m:sub>
        </m:sSub>
      </m:oMath>
      <w:r w:rsidR="00D272D4">
        <w:rPr>
          <w:rFonts w:ascii="Times New Roman" w:eastAsiaTheme="minorEastAsia" w:hAnsi="Times New Roman" w:cs="Times New Roman"/>
        </w:rPr>
        <w:t xml:space="preserve"> will also be regime dependent</w:t>
      </w:r>
      <w:r w:rsidR="00651C48">
        <w:rPr>
          <w:rFonts w:ascii="Times New Roman" w:eastAsiaTheme="minorEastAsia" w:hAnsi="Times New Roman" w:cs="Times New Roman"/>
        </w:rPr>
        <w:t>:</w:t>
      </w:r>
    </w:p>
    <w:p w14:paraId="7F396D08" w14:textId="77777777" w:rsidR="00A1142E" w:rsidRPr="008E6E59" w:rsidRDefault="00227DF5" w:rsidP="00EA7AF8">
      <w:pPr>
        <w:spacing w:after="0" w:line="480" w:lineRule="auto"/>
        <w:ind w:left="126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i</m:t>
            </m:r>
          </m:sub>
        </m:sSub>
        <m:r>
          <w:rPr>
            <w:rFonts w:ascii="Cambria Math" w:hAnsi="Cambria Math" w:cs="Times New Roman"/>
          </w:rPr>
          <m:t>=E</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ɛ</m:t>
                </m:r>
              </m:e>
              <m:sub>
                <m:r>
                  <w:rPr>
                    <w:rFonts w:ascii="Cambria Math" w:hAnsi="Cambria Math" w:cs="Times New Roman"/>
                  </w:rPr>
                  <m:t>t</m:t>
                </m:r>
              </m:sub>
            </m:sSub>
            <m:sSubSup>
              <m:sSubSupPr>
                <m:ctrlPr>
                  <w:rPr>
                    <w:rFonts w:ascii="Cambria Math" w:hAnsi="Cambria Math" w:cs="Times New Roman"/>
                    <w:i/>
                  </w:rPr>
                </m:ctrlPr>
              </m:sSubSupPr>
              <m:e>
                <m:r>
                  <w:rPr>
                    <w:rFonts w:ascii="Cambria Math" w:hAnsi="Cambria Math" w:cs="Times New Roman"/>
                  </w:rPr>
                  <m:t>ɛ</m:t>
                </m:r>
              </m:e>
              <m:sub>
                <m:r>
                  <w:rPr>
                    <w:rFonts w:ascii="Cambria Math" w:hAnsi="Cambria Math" w:cs="Times New Roman"/>
                  </w:rPr>
                  <m:t>t</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m:t>
                </m:r>
              </m:sub>
              <m:sup>
                <m:r>
                  <w:rPr>
                    <w:rFonts w:ascii="Cambria Math" w:hAnsi="Cambria Math" w:cs="Times New Roman"/>
                  </w:rPr>
                  <m:t>'</m:t>
                </m:r>
              </m:sup>
            </m:sSubSup>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E</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ɛ</m:t>
                </m:r>
              </m:e>
              <m:sub>
                <m:r>
                  <w:rPr>
                    <w:rFonts w:ascii="Cambria Math" w:hAnsi="Cambria Math" w:cs="Times New Roman"/>
                  </w:rPr>
                  <m:t>t</m:t>
                </m:r>
              </m:sub>
            </m:sSub>
            <m:sSubSup>
              <m:sSubSupPr>
                <m:ctrlPr>
                  <w:rPr>
                    <w:rFonts w:ascii="Cambria Math" w:hAnsi="Cambria Math" w:cs="Times New Roman"/>
                    <w:i/>
                  </w:rPr>
                </m:ctrlPr>
              </m:sSubSupPr>
              <m:e>
                <m:r>
                  <w:rPr>
                    <w:rFonts w:ascii="Cambria Math" w:hAnsi="Cambria Math" w:cs="Times New Roman"/>
                  </w:rPr>
                  <m:t>ɛ</m:t>
                </m:r>
              </m:e>
              <m:sub>
                <m:r>
                  <w:rPr>
                    <w:rFonts w:ascii="Cambria Math" w:hAnsi="Cambria Math" w:cs="Times New Roman"/>
                  </w:rPr>
                  <m:t>t</m:t>
                </m:r>
              </m:sub>
              <m:sup>
                <m:r>
                  <w:rPr>
                    <w:rFonts w:ascii="Cambria Math" w:hAnsi="Cambria Math" w:cs="Times New Roman"/>
                  </w:rPr>
                  <m:t>'</m:t>
                </m:r>
              </m:sup>
            </m:sSubSup>
          </m:e>
        </m:d>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sSubSup>
          <m:sSubSupPr>
            <m:ctrlPr>
              <w:rPr>
                <w:rFonts w:ascii="Cambria Math" w:hAnsi="Cambria Math" w:cs="Times New Roman"/>
                <w:i/>
              </w:rPr>
            </m:ctrlPr>
          </m:sSubSupPr>
          <m:e>
            <m:r>
              <w:rPr>
                <w:rFonts w:ascii="Cambria Math" w:hAnsi="Cambria Math" w:cs="Times New Roman"/>
              </w:rPr>
              <m:t>A</m:t>
            </m:r>
          </m:e>
          <m:sub>
            <m:r>
              <w:rPr>
                <w:rFonts w:ascii="Cambria Math" w:hAnsi="Cambria Math" w:cs="Times New Roman"/>
              </w:rPr>
              <m:t>i</m:t>
            </m:r>
          </m:sub>
          <m:sup>
            <m:r>
              <w:rPr>
                <w:rFonts w:ascii="Cambria Math" w:hAnsi="Cambria Math" w:cs="Times New Roman"/>
              </w:rPr>
              <m:t>'</m:t>
            </m:r>
          </m:sup>
        </m:sSubSup>
      </m:oMath>
      <w:r w:rsidR="00A1142E" w:rsidRPr="008E6E59">
        <w:rPr>
          <w:rFonts w:ascii="Times New Roman" w:eastAsiaTheme="minorEastAsia" w:hAnsi="Times New Roman" w:cs="Times New Roman"/>
        </w:rPr>
        <w:tab/>
      </w:r>
      <w:r w:rsidR="00A1142E" w:rsidRPr="008E6E59">
        <w:rPr>
          <w:rFonts w:ascii="Times New Roman" w:eastAsiaTheme="minorEastAsia" w:hAnsi="Times New Roman" w:cs="Times New Roman"/>
        </w:rPr>
        <w:tab/>
      </w:r>
      <w:r w:rsidR="00A1142E" w:rsidRPr="008E6E59">
        <w:rPr>
          <w:rFonts w:ascii="Times New Roman" w:eastAsiaTheme="minorEastAsia" w:hAnsi="Times New Roman" w:cs="Times New Roman"/>
        </w:rPr>
        <w:tab/>
      </w:r>
      <w:r w:rsidR="00A1142E" w:rsidRPr="008E6E59">
        <w:rPr>
          <w:rFonts w:ascii="Times New Roman" w:eastAsiaTheme="minorEastAsia" w:hAnsi="Times New Roman" w:cs="Times New Roman"/>
        </w:rPr>
        <w:tab/>
        <w:t>(2)</w:t>
      </w:r>
    </w:p>
    <w:p w14:paraId="5918D2B3" w14:textId="1C848C4C" w:rsidR="00A1142E" w:rsidRPr="008E6E59" w:rsidRDefault="00856D74" w:rsidP="00EA7AF8">
      <w:pPr>
        <w:autoSpaceDE w:val="0"/>
        <w:autoSpaceDN w:val="0"/>
        <w:adjustRightInd w:val="0"/>
        <w:spacing w:after="0" w:line="480" w:lineRule="auto"/>
        <w:jc w:val="both"/>
        <w:rPr>
          <w:rFonts w:ascii="Times New Roman" w:eastAsia="Calibri" w:hAnsi="Times New Roman" w:cs="Times New Roman"/>
          <w:lang w:val="en-US"/>
        </w:rPr>
      </w:pPr>
      <w:r w:rsidRPr="008E6E59">
        <w:rPr>
          <w:rFonts w:ascii="Times New Roman" w:eastAsia="Calibri" w:hAnsi="Times New Roman" w:cs="Times New Roman"/>
          <w:lang w:val="en-US"/>
        </w:rPr>
        <w:lastRenderedPageBreak/>
        <w:t xml:space="preserve"> I</w:t>
      </w:r>
      <w:r w:rsidR="00A1142E" w:rsidRPr="008E6E59">
        <w:rPr>
          <w:rFonts w:ascii="Times New Roman" w:eastAsia="Calibri" w:hAnsi="Times New Roman" w:cs="Times New Roman"/>
          <w:lang w:val="en-US"/>
        </w:rPr>
        <w:t>n equation (1) the latent variable</w:t>
      </w:r>
      <w:r w:rsidRPr="008E6E59">
        <w:rPr>
          <w:rFonts w:ascii="Times New Roman" w:eastAsia="Calibri" w:hAnsi="Times New Roman" w:cs="Times New Roman"/>
          <w:lang w:val="en-US"/>
        </w:rPr>
        <w:t>,</w:t>
      </w:r>
      <w:r w:rsidR="00A1142E" w:rsidRPr="008E6E59">
        <w:rPr>
          <w:rFonts w:ascii="Times New Roman" w:eastAsia="Calibri" w:hAnsi="Times New Roman" w:cs="Times New Roman"/>
          <w:lang w:val="en-US"/>
        </w:rPr>
        <w:t xml:space="preserve"> </w:t>
      </w:r>
      <m:oMath>
        <m:sSub>
          <m:sSubPr>
            <m:ctrlPr>
              <w:rPr>
                <w:rFonts w:ascii="Cambria Math" w:eastAsia="Calibri" w:hAnsi="Cambria Math" w:cs="Times New Roman"/>
                <w:i/>
                <w:lang w:val="en-US"/>
              </w:rPr>
            </m:ctrlPr>
          </m:sSubPr>
          <m:e>
            <m:r>
              <w:rPr>
                <w:rFonts w:ascii="Cambria Math" w:eastAsia="Calibri" w:hAnsi="Cambria Math" w:cs="Times New Roman"/>
                <w:lang w:val="en-US"/>
              </w:rPr>
              <m:t>S</m:t>
            </m:r>
          </m:e>
          <m:sub>
            <m:r>
              <w:rPr>
                <w:rFonts w:ascii="Cambria Math" w:eastAsia="Calibri" w:hAnsi="Cambria Math" w:cs="Times New Roman"/>
                <w:lang w:val="en-US"/>
              </w:rPr>
              <m:t>t</m:t>
            </m:r>
          </m:sub>
        </m:sSub>
      </m:oMath>
      <w:r w:rsidR="00A1142E" w:rsidRPr="008E6E59">
        <w:rPr>
          <w:rFonts w:ascii="Times New Roman" w:eastAsia="Times New Roman" w:hAnsi="Times New Roman" w:cs="Times New Roman"/>
          <w:lang w:val="en-US"/>
        </w:rPr>
        <w:t xml:space="preserve"> indicates either expansionary or recessiona</w:t>
      </w:r>
      <w:r w:rsidR="00140EA2" w:rsidRPr="008E6E59">
        <w:rPr>
          <w:rFonts w:ascii="Times New Roman" w:eastAsia="Times New Roman" w:hAnsi="Times New Roman" w:cs="Times New Roman"/>
          <w:lang w:val="en-US"/>
        </w:rPr>
        <w:t>ry regime</w:t>
      </w:r>
      <w:r w:rsidR="00312537" w:rsidRPr="008E6E59">
        <w:rPr>
          <w:rFonts w:ascii="Times New Roman" w:eastAsia="Times New Roman" w:hAnsi="Times New Roman" w:cs="Times New Roman"/>
          <w:lang w:val="en-US"/>
        </w:rPr>
        <w:t>.</w:t>
      </w:r>
      <w:r w:rsidR="00A1142E" w:rsidRPr="008E6E59">
        <w:rPr>
          <w:rFonts w:ascii="Times New Roman" w:eastAsia="Calibri" w:hAnsi="Times New Roman" w:cs="Times New Roman"/>
          <w:lang w:val="en-US"/>
        </w:rPr>
        <w:t xml:space="preserve"> </w:t>
      </w:r>
      <m:oMath>
        <m:sSub>
          <m:sSubPr>
            <m:ctrlPr>
              <w:rPr>
                <w:rFonts w:ascii="Cambria Math" w:eastAsia="Calibri" w:hAnsi="Cambria Math" w:cs="Times New Roman"/>
                <w:i/>
                <w:lang w:val="en-US"/>
              </w:rPr>
            </m:ctrlPr>
          </m:sSubPr>
          <m:e>
            <m:r>
              <w:rPr>
                <w:rFonts w:ascii="Cambria Math" w:eastAsia="Calibri" w:hAnsi="Cambria Math" w:cs="Times New Roman"/>
                <w:lang w:val="en-US"/>
              </w:rPr>
              <m:t>S</m:t>
            </m:r>
          </m:e>
          <m:sub>
            <m:r>
              <w:rPr>
                <w:rFonts w:ascii="Cambria Math" w:eastAsia="Calibri" w:hAnsi="Cambria Math" w:cs="Times New Roman"/>
                <w:lang w:val="en-US"/>
              </w:rPr>
              <m:t>t</m:t>
            </m:r>
          </m:sub>
        </m:sSub>
      </m:oMath>
      <w:r w:rsidR="00A1142E" w:rsidRPr="008E6E59">
        <w:rPr>
          <w:rFonts w:ascii="Times New Roman" w:eastAsia="Calibri" w:hAnsi="Times New Roman" w:cs="Times New Roman"/>
          <w:lang w:val="en-US"/>
        </w:rPr>
        <w:t xml:space="preserve">, is governed by a discrete state of a Markov stochastic process, which is defined by the following transition </w:t>
      </w:r>
      <w:r w:rsidR="00507373" w:rsidRPr="008E6E59">
        <w:rPr>
          <w:rFonts w:ascii="Times New Roman" w:eastAsia="Calibri" w:hAnsi="Times New Roman" w:cs="Times New Roman"/>
          <w:lang w:val="en-US"/>
        </w:rPr>
        <w:t>probabilities</w:t>
      </w:r>
      <w:r w:rsidR="00651C48">
        <w:rPr>
          <w:rFonts w:ascii="Times New Roman" w:eastAsia="Calibri" w:hAnsi="Times New Roman" w:cs="Times New Roman"/>
          <w:lang w:val="en-US"/>
        </w:rPr>
        <w:t>:</w:t>
      </w:r>
    </w:p>
    <w:p w14:paraId="2858148A" w14:textId="77777777" w:rsidR="00A1142E" w:rsidRPr="008E6E59" w:rsidRDefault="00227DF5" w:rsidP="00EA7AF8">
      <w:pPr>
        <w:autoSpaceDE w:val="0"/>
        <w:autoSpaceDN w:val="0"/>
        <w:adjustRightInd w:val="0"/>
        <w:spacing w:after="0" w:line="480" w:lineRule="auto"/>
        <w:jc w:val="both"/>
        <w:rPr>
          <w:rFonts w:ascii="Times New Roman" w:eastAsia="Times New Roman" w:hAnsi="Times New Roman" w:cs="Times New Roman"/>
          <w:lang w:val="en-US"/>
        </w:rPr>
      </w:pPr>
      <m:oMathPara>
        <m:oMath>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ij</m:t>
              </m:r>
            </m:sub>
          </m:sSub>
          <m:r>
            <w:rPr>
              <w:rFonts w:ascii="Cambria Math" w:eastAsia="Calibri" w:hAnsi="Cambria Math" w:cs="Times New Roman"/>
              <w:lang w:val="en-US"/>
            </w:rPr>
            <m:t>=</m:t>
          </m:r>
          <m:func>
            <m:funcPr>
              <m:ctrlPr>
                <w:rPr>
                  <w:rFonts w:ascii="Cambria Math" w:eastAsia="Calibri" w:hAnsi="Cambria Math" w:cs="Times New Roman"/>
                  <w:i/>
                  <w:lang w:val="en-US"/>
                </w:rPr>
              </m:ctrlPr>
            </m:funcPr>
            <m:fName>
              <m:r>
                <m:rPr>
                  <m:sty m:val="p"/>
                </m:rPr>
                <w:rPr>
                  <w:rFonts w:ascii="Cambria Math" w:eastAsia="Calibri" w:hAnsi="Cambria Math" w:cs="Times New Roman"/>
                  <w:lang w:val="en-US"/>
                </w:rPr>
                <m:t>Pr</m:t>
              </m:r>
            </m:fName>
            <m:e>
              <m:d>
                <m:dPr>
                  <m:ctrlPr>
                    <w:rPr>
                      <w:rFonts w:ascii="Cambria Math" w:eastAsia="Calibri" w:hAnsi="Cambria Math" w:cs="Times New Roman"/>
                      <w:i/>
                      <w:lang w:val="en-US"/>
                    </w:rPr>
                  </m:ctrlPr>
                </m:dPr>
                <m:e>
                  <m:sSub>
                    <m:sSubPr>
                      <m:ctrlPr>
                        <w:rPr>
                          <w:rFonts w:ascii="Cambria Math" w:eastAsia="Calibri" w:hAnsi="Cambria Math" w:cs="Times New Roman"/>
                          <w:i/>
                          <w:lang w:val="en-US"/>
                        </w:rPr>
                      </m:ctrlPr>
                    </m:sSubPr>
                    <m:e>
                      <m:r>
                        <w:rPr>
                          <w:rFonts w:ascii="Cambria Math" w:eastAsia="Calibri" w:hAnsi="Cambria Math" w:cs="Times New Roman"/>
                          <w:lang w:val="en-US"/>
                        </w:rPr>
                        <m:t>s</m:t>
                      </m:r>
                    </m:e>
                    <m:sub>
                      <m:r>
                        <w:rPr>
                          <w:rFonts w:ascii="Cambria Math" w:eastAsia="Calibri" w:hAnsi="Cambria Math" w:cs="Times New Roman"/>
                          <w:lang w:val="en-US"/>
                        </w:rPr>
                        <m:t>t+1</m:t>
                      </m:r>
                    </m:sub>
                  </m:sSub>
                  <m:r>
                    <w:rPr>
                      <w:rFonts w:ascii="Cambria Math" w:eastAsia="Calibri" w:hAnsi="Cambria Math" w:cs="Times New Roman"/>
                      <w:lang w:val="en-US"/>
                    </w:rPr>
                    <m:t>=j</m:t>
                  </m:r>
                </m:e>
                <m:e>
                  <m:sSub>
                    <m:sSubPr>
                      <m:ctrlPr>
                        <w:rPr>
                          <w:rFonts w:ascii="Cambria Math" w:eastAsia="Calibri" w:hAnsi="Cambria Math" w:cs="Times New Roman"/>
                          <w:i/>
                          <w:lang w:val="en-US"/>
                        </w:rPr>
                      </m:ctrlPr>
                    </m:sSubPr>
                    <m:e>
                      <m:r>
                        <w:rPr>
                          <w:rFonts w:ascii="Cambria Math" w:eastAsia="Calibri" w:hAnsi="Cambria Math" w:cs="Times New Roman"/>
                          <w:lang w:val="en-US"/>
                        </w:rPr>
                        <m:t>s</m:t>
                      </m:r>
                    </m:e>
                    <m:sub>
                      <m:r>
                        <w:rPr>
                          <w:rFonts w:ascii="Cambria Math" w:eastAsia="Calibri" w:hAnsi="Cambria Math" w:cs="Times New Roman"/>
                          <w:lang w:val="en-US"/>
                        </w:rPr>
                        <m:t>t</m:t>
                      </m:r>
                    </m:sub>
                  </m:sSub>
                  <m:r>
                    <w:rPr>
                      <w:rFonts w:ascii="Cambria Math" w:eastAsia="Calibri" w:hAnsi="Cambria Math" w:cs="Times New Roman"/>
                      <w:lang w:val="en-US"/>
                    </w:rPr>
                    <m:t>=i</m:t>
                  </m:r>
                </m:e>
              </m:d>
            </m:e>
          </m:func>
          <m:r>
            <w:rPr>
              <w:rFonts w:ascii="Cambria Math" w:eastAsia="Calibri" w:hAnsi="Cambria Math" w:cs="Times New Roman"/>
              <w:lang w:val="en-US"/>
            </w:rPr>
            <m:t xml:space="preserve">   </m:t>
          </m:r>
          <m:acc>
            <m:accPr>
              <m:ctrlPr>
                <w:rPr>
                  <w:rFonts w:ascii="Cambria Math" w:eastAsia="Calibri" w:hAnsi="Cambria Math" w:cs="Times New Roman"/>
                  <w:i/>
                  <w:lang w:val="en-US"/>
                </w:rPr>
              </m:ctrlPr>
            </m:accPr>
            <m:e>
              <m:r>
                <w:rPr>
                  <w:rFonts w:ascii="Cambria Math" w:eastAsia="Calibri" w:hAnsi="Cambria Math" w:cs="Times New Roman"/>
                  <w:lang w:val="en-US"/>
                </w:rPr>
                <m:t>P</m:t>
              </m:r>
            </m:e>
          </m:acc>
          <m:r>
            <w:rPr>
              <w:rFonts w:ascii="Cambria Math" w:eastAsia="Calibri" w:hAnsi="Cambria Math" w:cs="Times New Roman"/>
              <w:lang w:val="en-US"/>
            </w:rPr>
            <m:t>=</m:t>
          </m:r>
          <m:d>
            <m:dPr>
              <m:begChr m:val="|"/>
              <m:endChr m:val="|"/>
              <m:ctrlPr>
                <w:rPr>
                  <w:rFonts w:ascii="Cambria Math" w:eastAsia="Calibri" w:hAnsi="Cambria Math" w:cs="Times New Roman"/>
                  <w:i/>
                  <w:lang w:val="en-US"/>
                </w:rPr>
              </m:ctrlPr>
            </m:dPr>
            <m:e>
              <m:m>
                <m:mPr>
                  <m:mcs>
                    <m:mc>
                      <m:mcPr>
                        <m:count m:val="2"/>
                        <m:mcJc m:val="center"/>
                      </m:mcPr>
                    </m:mc>
                  </m:mcs>
                  <m:ctrlPr>
                    <w:rPr>
                      <w:rFonts w:ascii="Cambria Math" w:eastAsia="Calibri" w:hAnsi="Cambria Math" w:cs="Times New Roman"/>
                      <w:i/>
                      <w:lang w:val="en-US"/>
                    </w:rPr>
                  </m:ctrlPr>
                </m:mPr>
                <m:mr>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11</m:t>
                        </m:r>
                      </m:sub>
                    </m:sSub>
                  </m:e>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12</m:t>
                        </m:r>
                      </m:sub>
                    </m:sSub>
                  </m:e>
                </m:mr>
                <m:mr>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21</m:t>
                        </m:r>
                      </m:sub>
                    </m:sSub>
                  </m:e>
                  <m:e>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22</m:t>
                        </m:r>
                      </m:sub>
                    </m:sSub>
                  </m:e>
                </m:mr>
              </m:m>
            </m:e>
          </m:d>
        </m:oMath>
      </m:oMathPara>
    </w:p>
    <w:p w14:paraId="53AAAC56" w14:textId="4789C706" w:rsidR="00161AD6" w:rsidRDefault="00A1142E" w:rsidP="00161AD6">
      <w:pPr>
        <w:autoSpaceDE w:val="0"/>
        <w:autoSpaceDN w:val="0"/>
        <w:adjustRightInd w:val="0"/>
        <w:spacing w:after="0" w:line="480" w:lineRule="auto"/>
        <w:ind w:right="90"/>
        <w:jc w:val="both"/>
        <w:rPr>
          <w:rFonts w:ascii="Times New Roman" w:eastAsia="Times New Roman" w:hAnsi="Times New Roman" w:cs="Times New Roman"/>
          <w:lang w:val="en-US"/>
        </w:rPr>
      </w:pPr>
      <w:r w:rsidRPr="008E6E59">
        <w:rPr>
          <w:rFonts w:ascii="Times New Roman" w:hAnsi="Times New Roman" w:cs="Times New Roman"/>
          <w:color w:val="000000"/>
        </w:rPr>
        <w:t>w</w:t>
      </w:r>
      <w:r w:rsidR="0026455F" w:rsidRPr="008E6E59">
        <w:rPr>
          <w:rFonts w:ascii="Times New Roman" w:hAnsi="Times New Roman" w:cs="Times New Roman"/>
          <w:color w:val="000000"/>
        </w:rPr>
        <w:t>here transition probability,</w:t>
      </w:r>
      <w:r w:rsidRPr="008E6E59">
        <w:rPr>
          <w:rFonts w:ascii="Times New Roman" w:hAnsi="Times New Roman" w:cs="Times New Roman"/>
          <w:color w:val="000000"/>
        </w:rPr>
        <w:t xml:space="preserve"> </w:t>
      </w:r>
      <m:oMath>
        <m:sSub>
          <m:sSubPr>
            <m:ctrlPr>
              <w:rPr>
                <w:rFonts w:ascii="Cambria Math" w:hAnsi="Cambria Math" w:cs="Times New Roman"/>
                <w:i/>
                <w:color w:val="000000"/>
              </w:rPr>
            </m:ctrlPr>
          </m:sSubPr>
          <m:e>
            <m:r>
              <w:rPr>
                <w:rFonts w:ascii="Cambria Math" w:hAnsi="Cambria Math" w:cs="Times New Roman"/>
                <w:color w:val="000000"/>
              </w:rPr>
              <m:t>P</m:t>
            </m:r>
          </m:e>
          <m:sub>
            <m:r>
              <w:rPr>
                <w:rFonts w:ascii="Cambria Math" w:hAnsi="Cambria Math" w:cs="Times New Roman"/>
                <w:color w:val="000000"/>
              </w:rPr>
              <m:t>ij</m:t>
            </m:r>
          </m:sub>
        </m:sSub>
      </m:oMath>
      <w:r w:rsidRPr="008E6E59">
        <w:rPr>
          <w:rFonts w:ascii="Times New Roman" w:hAnsi="Times New Roman" w:cs="Times New Roman"/>
          <w:i/>
          <w:color w:val="000000"/>
          <w:position w:val="-6"/>
        </w:rPr>
        <w:t xml:space="preserve"> </w:t>
      </w:r>
      <w:r w:rsidR="0026455F" w:rsidRPr="008E6E59">
        <w:rPr>
          <w:rFonts w:ascii="Times New Roman" w:hAnsi="Times New Roman" w:cs="Times New Roman"/>
          <w:color w:val="000000"/>
        </w:rPr>
        <w:t>states</w:t>
      </w:r>
      <w:r w:rsidR="003D4373">
        <w:rPr>
          <w:rFonts w:ascii="Times New Roman" w:hAnsi="Times New Roman" w:cs="Times New Roman"/>
          <w:color w:val="000000"/>
        </w:rPr>
        <w:t>,</w:t>
      </w:r>
      <w:r w:rsidR="00651C48">
        <w:rPr>
          <w:rFonts w:ascii="Times New Roman" w:hAnsi="Times New Roman" w:cs="Times New Roman"/>
          <w:color w:val="000000"/>
        </w:rPr>
        <w:t xml:space="preserve"> the</w:t>
      </w:r>
      <w:r w:rsidR="00D50A74" w:rsidRPr="008E6E59">
        <w:rPr>
          <w:rFonts w:ascii="Times New Roman" w:hAnsi="Times New Roman" w:cs="Times New Roman"/>
          <w:color w:val="000000"/>
        </w:rPr>
        <w:t xml:space="preserve"> probability of</w:t>
      </w:r>
      <w:r w:rsidRPr="008E6E59">
        <w:rPr>
          <w:rFonts w:ascii="Times New Roman" w:hAnsi="Times New Roman" w:cs="Times New Roman"/>
          <w:color w:val="000000"/>
        </w:rPr>
        <w:t xml:space="preserve"> state </w:t>
      </w:r>
      <w:r w:rsidR="00055669" w:rsidRPr="008E6E59">
        <w:rPr>
          <w:rFonts w:ascii="Times New Roman" w:hAnsi="Times New Roman" w:cs="Times New Roman"/>
          <w:color w:val="000000"/>
        </w:rPr>
        <w:t>‘</w:t>
      </w:r>
      <w:r w:rsidR="00055669" w:rsidRPr="008E6E59">
        <w:rPr>
          <w:rFonts w:ascii="Times New Roman" w:hAnsi="Times New Roman" w:cs="Times New Roman"/>
          <w:i/>
          <w:color w:val="000000"/>
        </w:rPr>
        <w:t>i’</w:t>
      </w:r>
      <w:r w:rsidR="0026455F" w:rsidRPr="008E6E59">
        <w:rPr>
          <w:rFonts w:ascii="Times New Roman" w:hAnsi="Times New Roman" w:cs="Times New Roman"/>
          <w:color w:val="000000"/>
        </w:rPr>
        <w:t xml:space="preserve"> at</w:t>
      </w:r>
      <w:r w:rsidRPr="008E6E59">
        <w:rPr>
          <w:rFonts w:ascii="Times New Roman" w:hAnsi="Times New Roman" w:cs="Times New Roman"/>
          <w:color w:val="000000"/>
        </w:rPr>
        <w:t xml:space="preserve"> period </w:t>
      </w:r>
      <w:r w:rsidRPr="008E6E59">
        <w:rPr>
          <w:rFonts w:ascii="Times New Roman" w:hAnsi="Times New Roman" w:cs="Times New Roman"/>
          <w:i/>
          <w:color w:val="000000"/>
        </w:rPr>
        <w:t>t</w:t>
      </w:r>
      <w:r w:rsidRPr="008E6E59">
        <w:rPr>
          <w:rFonts w:ascii="Times New Roman" w:hAnsi="Times New Roman" w:cs="Times New Roman"/>
          <w:color w:val="000000"/>
        </w:rPr>
        <w:t xml:space="preserve"> will be followed by state </w:t>
      </w:r>
      <w:r w:rsidR="00055669" w:rsidRPr="008E6E59">
        <w:rPr>
          <w:rFonts w:ascii="Times New Roman" w:hAnsi="Times New Roman" w:cs="Times New Roman"/>
          <w:color w:val="000000"/>
        </w:rPr>
        <w:t>‘</w:t>
      </w:r>
      <w:r w:rsidRPr="008E6E59">
        <w:rPr>
          <w:rFonts w:ascii="Times New Roman" w:hAnsi="Times New Roman" w:cs="Times New Roman"/>
          <w:i/>
          <w:color w:val="000000"/>
        </w:rPr>
        <w:t>j</w:t>
      </w:r>
      <w:r w:rsidR="00055669" w:rsidRPr="008E6E59">
        <w:rPr>
          <w:rFonts w:ascii="Times New Roman" w:hAnsi="Times New Roman" w:cs="Times New Roman"/>
          <w:i/>
          <w:color w:val="000000"/>
        </w:rPr>
        <w:t>’</w:t>
      </w:r>
      <w:r w:rsidRPr="008E6E59">
        <w:rPr>
          <w:rFonts w:ascii="Times New Roman" w:hAnsi="Times New Roman" w:cs="Times New Roman"/>
          <w:i/>
          <w:color w:val="000000"/>
        </w:rPr>
        <w:t xml:space="preserve"> </w:t>
      </w:r>
      <w:r w:rsidR="0041396B" w:rsidRPr="008E6E59">
        <w:rPr>
          <w:rFonts w:ascii="Times New Roman" w:hAnsi="Times New Roman" w:cs="Times New Roman"/>
          <w:color w:val="000000"/>
        </w:rPr>
        <w:t>at period</w:t>
      </w:r>
      <w:r w:rsidRPr="008E6E59">
        <w:rPr>
          <w:rFonts w:ascii="Times New Roman" w:hAnsi="Times New Roman" w:cs="Times New Roman"/>
          <w:color w:val="000000"/>
        </w:rPr>
        <w:t xml:space="preserve"> </w:t>
      </w:r>
      <w:r w:rsidRPr="008E6E59">
        <w:rPr>
          <w:rFonts w:ascii="Times New Roman" w:hAnsi="Times New Roman" w:cs="Times New Roman"/>
          <w:i/>
          <w:color w:val="000000"/>
        </w:rPr>
        <w:t>t+1</w:t>
      </w:r>
      <w:r w:rsidRPr="008E6E59">
        <w:rPr>
          <w:rFonts w:ascii="Times New Roman" w:hAnsi="Times New Roman" w:cs="Times New Roman"/>
          <w:color w:val="000000"/>
        </w:rPr>
        <w:t xml:space="preserve">. </w:t>
      </w:r>
      <w:r w:rsidRPr="008E6E59">
        <w:rPr>
          <w:rFonts w:ascii="Times New Roman" w:eastAsia="Times New Roman" w:hAnsi="Times New Roman" w:cs="Times New Roman"/>
          <w:lang w:val="en-US"/>
        </w:rPr>
        <w:t>Estimation of the model is carried out using Expectation–Maximization (EM) algorithm.</w:t>
      </w:r>
    </w:p>
    <w:p w14:paraId="1FAF5754" w14:textId="6871981D" w:rsidR="00A544A3" w:rsidRPr="002E18F1" w:rsidRDefault="00A544A3" w:rsidP="00161AD6">
      <w:pPr>
        <w:autoSpaceDE w:val="0"/>
        <w:autoSpaceDN w:val="0"/>
        <w:adjustRightInd w:val="0"/>
        <w:spacing w:after="0" w:line="480" w:lineRule="auto"/>
        <w:ind w:right="90" w:firstLine="720"/>
        <w:jc w:val="both"/>
        <w:rPr>
          <w:rFonts w:ascii="Times New Roman" w:eastAsia="Times New Roman" w:hAnsi="Times New Roman" w:cs="Times New Roman"/>
          <w:color w:val="000000" w:themeColor="text1"/>
          <w:lang w:val="en-US"/>
        </w:rPr>
      </w:pPr>
      <w:r w:rsidRPr="002E18F1">
        <w:rPr>
          <w:rFonts w:ascii="Times New Roman" w:hAnsi="Times New Roman" w:cs="Times New Roman"/>
          <w:color w:val="000000" w:themeColor="text1"/>
        </w:rPr>
        <w:t xml:space="preserve">A typical characteristic of MSVAR is the way non-linearity is naturally embedded within the model setting. A switch (typically in the slope) introduces non-linear interdependence within the system. </w:t>
      </w:r>
      <w:bookmarkStart w:id="7" w:name="_Hlk110710371"/>
      <w:r w:rsidRPr="00FC28FC">
        <w:rPr>
          <w:rFonts w:ascii="Times New Roman" w:hAnsi="Times New Roman" w:cs="Times New Roman"/>
          <w:color w:val="000000" w:themeColor="text1"/>
        </w:rPr>
        <w:t>Terasvirta</w:t>
      </w:r>
      <w:r w:rsidR="0042429C" w:rsidRPr="00FC28FC">
        <w:rPr>
          <w:rFonts w:ascii="Times New Roman" w:hAnsi="Times New Roman" w:cs="Times New Roman"/>
          <w:color w:val="000000" w:themeColor="text1"/>
        </w:rPr>
        <w:t xml:space="preserve"> and Anderson</w:t>
      </w:r>
      <w:r w:rsidRPr="00FC28FC">
        <w:rPr>
          <w:rFonts w:ascii="Times New Roman" w:hAnsi="Times New Roman" w:cs="Times New Roman"/>
          <w:color w:val="000000" w:themeColor="text1"/>
        </w:rPr>
        <w:t xml:space="preserve"> (199</w:t>
      </w:r>
      <w:r w:rsidR="0087646F" w:rsidRPr="00FC28FC">
        <w:rPr>
          <w:rFonts w:ascii="Times New Roman" w:hAnsi="Times New Roman" w:cs="Times New Roman"/>
          <w:color w:val="000000" w:themeColor="text1"/>
        </w:rPr>
        <w:t>2</w:t>
      </w:r>
      <w:bookmarkEnd w:id="7"/>
      <w:r w:rsidRPr="00FC28FC">
        <w:rPr>
          <w:rFonts w:ascii="Times New Roman" w:hAnsi="Times New Roman" w:cs="Times New Roman"/>
          <w:color w:val="000000" w:themeColor="text1"/>
        </w:rPr>
        <w:t>)</w:t>
      </w:r>
      <w:r w:rsidRPr="002E18F1">
        <w:rPr>
          <w:rFonts w:ascii="Times New Roman" w:hAnsi="Times New Roman" w:cs="Times New Roman"/>
          <w:color w:val="000000" w:themeColor="text1"/>
        </w:rPr>
        <w:t xml:space="preserve"> for instance use smoothed transition autoregressive (STAR) model whereas latter research </w:t>
      </w:r>
      <w:r w:rsidR="00900775" w:rsidRPr="002E18F1">
        <w:rPr>
          <w:rFonts w:ascii="Times New Roman" w:hAnsi="Times New Roman" w:cs="Times New Roman"/>
          <w:color w:val="000000" w:themeColor="text1"/>
        </w:rPr>
        <w:t>has</w:t>
      </w:r>
      <w:r w:rsidRPr="002E18F1">
        <w:rPr>
          <w:rFonts w:ascii="Times New Roman" w:hAnsi="Times New Roman" w:cs="Times New Roman"/>
          <w:color w:val="000000" w:themeColor="text1"/>
        </w:rPr>
        <w:t xml:space="preserve"> used self-exciting STAR </w:t>
      </w:r>
      <w:r w:rsidR="0087646F" w:rsidRPr="002E18F1">
        <w:rPr>
          <w:rFonts w:ascii="Times New Roman" w:hAnsi="Times New Roman" w:cs="Times New Roman"/>
          <w:color w:val="000000" w:themeColor="text1"/>
        </w:rPr>
        <w:t xml:space="preserve">(SETAR) </w:t>
      </w:r>
      <w:r w:rsidRPr="002E18F1">
        <w:rPr>
          <w:rFonts w:ascii="Times New Roman" w:hAnsi="Times New Roman" w:cs="Times New Roman"/>
          <w:color w:val="000000" w:themeColor="text1"/>
        </w:rPr>
        <w:t xml:space="preserve">model to embed features of nonlinearity. MSVAR is another mechanism where a switch in the mean, variance, </w:t>
      </w:r>
      <w:r w:rsidR="00DC36CA" w:rsidRPr="002E18F1">
        <w:rPr>
          <w:rFonts w:ascii="Times New Roman" w:hAnsi="Times New Roman" w:cs="Times New Roman"/>
          <w:color w:val="000000" w:themeColor="text1"/>
        </w:rPr>
        <w:t>intercept,</w:t>
      </w:r>
      <w:r w:rsidRPr="002E18F1">
        <w:rPr>
          <w:rFonts w:ascii="Times New Roman" w:hAnsi="Times New Roman" w:cs="Times New Roman"/>
          <w:color w:val="000000" w:themeColor="text1"/>
        </w:rPr>
        <w:t xml:space="preserve"> and slope typically introduces nonlinearity in the relationship within the VAR systems (lags of all variables)</w:t>
      </w:r>
      <w:r w:rsidR="00B27EF0" w:rsidRPr="002E18F1">
        <w:rPr>
          <w:rFonts w:ascii="Times New Roman" w:hAnsi="Times New Roman" w:cs="Times New Roman"/>
          <w:color w:val="000000" w:themeColor="text1"/>
        </w:rPr>
        <w:t xml:space="preserve">. One simple example is that </w:t>
      </w:r>
      <w:r w:rsidR="0087646F" w:rsidRPr="002E18F1">
        <w:rPr>
          <w:rFonts w:ascii="Times New Roman" w:hAnsi="Times New Roman" w:cs="Times New Roman"/>
          <w:color w:val="000000" w:themeColor="text1"/>
        </w:rPr>
        <w:t xml:space="preserve">if we have a slope, say </w:t>
      </w:r>
      <w:r w:rsidR="0087646F" w:rsidRPr="002E18F1">
        <w:rPr>
          <w:rFonts w:ascii="Times New Roman" w:hAnsi="Times New Roman" w:cs="Times New Roman"/>
          <w:i/>
          <w:iCs/>
          <w:color w:val="000000" w:themeColor="text1"/>
        </w:rPr>
        <w:t xml:space="preserve">S1 </w:t>
      </w:r>
      <w:r w:rsidR="0087646F" w:rsidRPr="002E18F1">
        <w:rPr>
          <w:rFonts w:ascii="Times New Roman" w:hAnsi="Times New Roman" w:cs="Times New Roman"/>
          <w:color w:val="000000" w:themeColor="text1"/>
        </w:rPr>
        <w:t xml:space="preserve">in regime 1 and a slope, </w:t>
      </w:r>
      <w:r w:rsidR="0087646F" w:rsidRPr="002E18F1">
        <w:rPr>
          <w:rFonts w:ascii="Times New Roman" w:hAnsi="Times New Roman" w:cs="Times New Roman"/>
          <w:i/>
          <w:iCs/>
          <w:color w:val="000000" w:themeColor="text1"/>
        </w:rPr>
        <w:t xml:space="preserve">S2 </w:t>
      </w:r>
      <w:r w:rsidR="0087646F" w:rsidRPr="002E18F1">
        <w:rPr>
          <w:rFonts w:ascii="Times New Roman" w:hAnsi="Times New Roman" w:cs="Times New Roman"/>
          <w:color w:val="000000" w:themeColor="text1"/>
        </w:rPr>
        <w:t xml:space="preserve">in regime 2, the change in the slope from </w:t>
      </w:r>
      <w:r w:rsidR="0087646F" w:rsidRPr="002E18F1">
        <w:rPr>
          <w:rFonts w:ascii="Times New Roman" w:hAnsi="Times New Roman" w:cs="Times New Roman"/>
          <w:i/>
          <w:iCs/>
          <w:color w:val="000000" w:themeColor="text1"/>
        </w:rPr>
        <w:t xml:space="preserve">S1 </w:t>
      </w:r>
      <w:r w:rsidR="0087646F" w:rsidRPr="002E18F1">
        <w:rPr>
          <w:rFonts w:ascii="Times New Roman" w:hAnsi="Times New Roman" w:cs="Times New Roman"/>
          <w:color w:val="000000" w:themeColor="text1"/>
        </w:rPr>
        <w:t xml:space="preserve">to </w:t>
      </w:r>
      <w:r w:rsidR="0087646F" w:rsidRPr="002E18F1">
        <w:rPr>
          <w:rFonts w:ascii="Times New Roman" w:hAnsi="Times New Roman" w:cs="Times New Roman"/>
          <w:i/>
          <w:iCs/>
          <w:color w:val="000000" w:themeColor="text1"/>
        </w:rPr>
        <w:t xml:space="preserve">S2 </w:t>
      </w:r>
      <w:r w:rsidR="0087646F" w:rsidRPr="002E18F1">
        <w:rPr>
          <w:rFonts w:ascii="Times New Roman" w:hAnsi="Times New Roman" w:cs="Times New Roman"/>
          <w:color w:val="000000" w:themeColor="text1"/>
        </w:rPr>
        <w:t xml:space="preserve">introduces changes in the response mechanism (the rate of change of the curvature). The regime dependent effects thus </w:t>
      </w:r>
      <w:r w:rsidR="001543AB" w:rsidRPr="002E18F1">
        <w:rPr>
          <w:rFonts w:ascii="Times New Roman" w:hAnsi="Times New Roman" w:cs="Times New Roman"/>
          <w:color w:val="000000" w:themeColor="text1"/>
        </w:rPr>
        <w:t>become</w:t>
      </w:r>
      <w:r w:rsidR="0087646F" w:rsidRPr="002E18F1">
        <w:rPr>
          <w:rFonts w:ascii="Times New Roman" w:hAnsi="Times New Roman" w:cs="Times New Roman"/>
          <w:color w:val="000000" w:themeColor="text1"/>
        </w:rPr>
        <w:t xml:space="preserve"> naturally non-linear in character. Of course, regime dependency is not the only mechanism to generate non-linearity (an example we have provided is Terasvirta </w:t>
      </w:r>
      <w:r w:rsidR="0042429C">
        <w:rPr>
          <w:rFonts w:ascii="Times New Roman" w:hAnsi="Times New Roman" w:cs="Times New Roman"/>
          <w:color w:val="000000" w:themeColor="text1"/>
        </w:rPr>
        <w:t xml:space="preserve">and Anderson, </w:t>
      </w:r>
      <w:r w:rsidR="0087646F" w:rsidRPr="002E18F1">
        <w:rPr>
          <w:rFonts w:ascii="Times New Roman" w:hAnsi="Times New Roman" w:cs="Times New Roman"/>
          <w:color w:val="000000" w:themeColor="text1"/>
        </w:rPr>
        <w:t>1992</w:t>
      </w:r>
      <w:r w:rsidR="00D911D7">
        <w:rPr>
          <w:rFonts w:ascii="Times New Roman" w:hAnsi="Times New Roman" w:cs="Times New Roman"/>
          <w:color w:val="000000" w:themeColor="text1"/>
        </w:rPr>
        <w:t>)</w:t>
      </w:r>
    </w:p>
    <w:p w14:paraId="79DB6C0F" w14:textId="51D8F124" w:rsidR="00A42F97" w:rsidRPr="00EC20FA" w:rsidRDefault="000B4EB6" w:rsidP="00BF4C7C">
      <w:pPr>
        <w:autoSpaceDE w:val="0"/>
        <w:autoSpaceDN w:val="0"/>
        <w:adjustRightInd w:val="0"/>
        <w:spacing w:after="0" w:line="480" w:lineRule="auto"/>
        <w:ind w:right="90"/>
        <w:jc w:val="both"/>
        <w:rPr>
          <w:rFonts w:ascii="Times New Roman" w:eastAsia="Times New Roman" w:hAnsi="Times New Roman" w:cs="Times New Roman"/>
          <w:i/>
          <w:iCs/>
          <w:color w:val="000000" w:themeColor="text1"/>
          <w:lang w:val="en-US"/>
        </w:rPr>
      </w:pPr>
      <w:r w:rsidRPr="00EC20FA">
        <w:rPr>
          <w:rFonts w:ascii="Times New Roman" w:eastAsia="Times New Roman" w:hAnsi="Times New Roman" w:cs="Times New Roman"/>
          <w:i/>
          <w:iCs/>
          <w:color w:val="000000" w:themeColor="text1"/>
          <w:lang w:val="en-US"/>
        </w:rPr>
        <w:t>b</w:t>
      </w:r>
      <w:r w:rsidR="000E02BA" w:rsidRPr="00EC20FA">
        <w:rPr>
          <w:rFonts w:ascii="Times New Roman" w:eastAsia="Times New Roman" w:hAnsi="Times New Roman" w:cs="Times New Roman"/>
          <w:i/>
          <w:iCs/>
          <w:color w:val="000000" w:themeColor="text1"/>
          <w:lang w:val="en-US"/>
        </w:rPr>
        <w:t>)</w:t>
      </w:r>
      <w:r w:rsidR="00590202" w:rsidRPr="00EC20FA">
        <w:rPr>
          <w:rFonts w:ascii="Times New Roman" w:eastAsia="Times New Roman" w:hAnsi="Times New Roman" w:cs="Times New Roman"/>
          <w:i/>
          <w:iCs/>
          <w:color w:val="000000" w:themeColor="text1"/>
          <w:lang w:val="en-US"/>
        </w:rPr>
        <w:t xml:space="preserve"> </w:t>
      </w:r>
      <w:r w:rsidR="009B0BAE" w:rsidRPr="00EC20FA">
        <w:rPr>
          <w:rFonts w:ascii="Times New Roman" w:eastAsia="Times New Roman" w:hAnsi="Times New Roman" w:cs="Times New Roman"/>
          <w:i/>
          <w:iCs/>
          <w:color w:val="000000" w:themeColor="text1"/>
          <w:lang w:val="en-US"/>
        </w:rPr>
        <w:t>Identification</w:t>
      </w:r>
    </w:p>
    <w:p w14:paraId="02969CA9" w14:textId="0AA1E062" w:rsidR="002F16A3" w:rsidRPr="00D91F98" w:rsidRDefault="000E02BA" w:rsidP="00BF4C7C">
      <w:pPr>
        <w:autoSpaceDE w:val="0"/>
        <w:autoSpaceDN w:val="0"/>
        <w:adjustRightInd w:val="0"/>
        <w:spacing w:after="0" w:line="480" w:lineRule="auto"/>
        <w:ind w:right="90"/>
        <w:jc w:val="both"/>
        <w:rPr>
          <w:rFonts w:ascii="Times New Roman" w:eastAsia="Times New Roman" w:hAnsi="Times New Roman" w:cs="Times New Roman"/>
          <w:color w:val="000000" w:themeColor="text1"/>
          <w:lang w:val="en-US"/>
        </w:rPr>
      </w:pPr>
      <w:r w:rsidRPr="00DC36CA">
        <w:rPr>
          <w:rFonts w:ascii="Times New Roman" w:eastAsia="Times New Roman" w:hAnsi="Times New Roman" w:cs="Times New Roman"/>
          <w:color w:val="000000" w:themeColor="text1"/>
          <w:lang w:val="en-US"/>
        </w:rPr>
        <w:t>A key challenge in any VAR is to identify the shocks.</w:t>
      </w:r>
      <w:r w:rsidR="003F0E8A">
        <w:rPr>
          <w:rFonts w:ascii="Times New Roman" w:eastAsia="Times New Roman" w:hAnsi="Times New Roman" w:cs="Times New Roman"/>
          <w:color w:val="000000" w:themeColor="text1"/>
          <w:lang w:val="en-US"/>
        </w:rPr>
        <w:t xml:space="preserve"> Here</w:t>
      </w:r>
      <w:r w:rsidRPr="00DC36CA">
        <w:rPr>
          <w:rFonts w:ascii="Times New Roman" w:eastAsia="Times New Roman" w:hAnsi="Times New Roman" w:cs="Times New Roman"/>
          <w:color w:val="000000" w:themeColor="text1"/>
          <w:lang w:val="en-US"/>
        </w:rPr>
        <w:t xml:space="preserve"> </w:t>
      </w:r>
      <w:r w:rsidR="003F0E8A">
        <w:rPr>
          <w:rFonts w:ascii="Times New Roman" w:eastAsia="Times New Roman" w:hAnsi="Times New Roman" w:cs="Times New Roman"/>
          <w:color w:val="000000" w:themeColor="text1"/>
          <w:lang w:val="en-US"/>
        </w:rPr>
        <w:t>t</w:t>
      </w:r>
      <w:r w:rsidRPr="00DC36CA">
        <w:rPr>
          <w:rFonts w:ascii="Times New Roman" w:eastAsia="Times New Roman" w:hAnsi="Times New Roman" w:cs="Times New Roman"/>
          <w:color w:val="000000" w:themeColor="text1"/>
          <w:lang w:val="en-US"/>
        </w:rPr>
        <w:t xml:space="preserve">he challenge extends to identification of </w:t>
      </w:r>
      <w:r w:rsidR="00827DF6" w:rsidRPr="00DC36CA">
        <w:rPr>
          <w:rFonts w:ascii="Times New Roman" w:eastAsia="Times New Roman" w:hAnsi="Times New Roman" w:cs="Times New Roman"/>
          <w:color w:val="000000" w:themeColor="text1"/>
          <w:lang w:val="en-US"/>
        </w:rPr>
        <w:t xml:space="preserve">the relationship between the fundamental shocks and endogenous variables </w:t>
      </w:r>
      <w:r w:rsidRPr="00DC36CA">
        <w:rPr>
          <w:rFonts w:ascii="Times New Roman" w:eastAsia="Times New Roman" w:hAnsi="Times New Roman" w:cs="Times New Roman"/>
          <w:color w:val="000000" w:themeColor="text1"/>
          <w:lang w:val="en-US"/>
        </w:rPr>
        <w:t xml:space="preserve">within </w:t>
      </w:r>
      <w:r w:rsidR="00827DF6" w:rsidRPr="00DC36CA">
        <w:rPr>
          <w:rFonts w:ascii="Times New Roman" w:eastAsia="Times New Roman" w:hAnsi="Times New Roman" w:cs="Times New Roman"/>
          <w:color w:val="000000" w:themeColor="text1"/>
          <w:lang w:val="en-US"/>
        </w:rPr>
        <w:t xml:space="preserve">each </w:t>
      </w:r>
      <w:r w:rsidR="00BF022E" w:rsidRPr="00DC36CA">
        <w:rPr>
          <w:rFonts w:ascii="Times New Roman" w:eastAsia="Times New Roman" w:hAnsi="Times New Roman" w:cs="Times New Roman"/>
          <w:color w:val="000000" w:themeColor="text1"/>
          <w:lang w:val="en-US"/>
        </w:rPr>
        <w:t>regime</w:t>
      </w:r>
      <w:r w:rsidR="00827DF6" w:rsidRPr="00DC36CA">
        <w:rPr>
          <w:rFonts w:ascii="Times New Roman" w:eastAsia="Times New Roman" w:hAnsi="Times New Roman" w:cs="Times New Roman"/>
          <w:color w:val="000000" w:themeColor="text1"/>
          <w:lang w:val="en-US"/>
        </w:rPr>
        <w:t>.</w:t>
      </w:r>
      <w:r w:rsidR="00BF022E" w:rsidRPr="00DC36CA">
        <w:rPr>
          <w:rFonts w:ascii="Times New Roman" w:eastAsia="Times New Roman" w:hAnsi="Times New Roman" w:cs="Times New Roman"/>
          <w:color w:val="000000" w:themeColor="text1"/>
          <w:lang w:val="en-US"/>
        </w:rPr>
        <w:t xml:space="preserve"> </w:t>
      </w:r>
      <w:r w:rsidR="00F4220A">
        <w:rPr>
          <w:rFonts w:ascii="Times New Roman" w:eastAsia="Times New Roman" w:hAnsi="Times New Roman" w:cs="Times New Roman"/>
          <w:color w:val="000000" w:themeColor="text1"/>
          <w:lang w:val="en-US"/>
        </w:rPr>
        <w:t>T</w:t>
      </w:r>
      <w:r w:rsidR="00BB76B2" w:rsidRPr="00DC36CA">
        <w:rPr>
          <w:rFonts w:ascii="Times New Roman" w:eastAsia="Times New Roman" w:hAnsi="Times New Roman" w:cs="Times New Roman"/>
          <w:color w:val="000000" w:themeColor="text1"/>
          <w:lang w:val="en-US"/>
        </w:rPr>
        <w:t>he</w:t>
      </w:r>
      <w:r w:rsidR="00BF022E" w:rsidRPr="00DC36CA">
        <w:rPr>
          <w:rFonts w:ascii="Times New Roman" w:eastAsia="Times New Roman" w:hAnsi="Times New Roman" w:cs="Times New Roman"/>
          <w:color w:val="000000" w:themeColor="text1"/>
          <w:lang w:val="en-US"/>
        </w:rPr>
        <w:t xml:space="preserve"> EM algorithm </w:t>
      </w:r>
      <w:r w:rsidR="00C50451">
        <w:rPr>
          <w:rFonts w:ascii="Times New Roman" w:eastAsia="Times New Roman" w:hAnsi="Times New Roman" w:cs="Times New Roman"/>
          <w:color w:val="000000" w:themeColor="text1"/>
          <w:lang w:val="en-US"/>
        </w:rPr>
        <w:t xml:space="preserve">does not </w:t>
      </w:r>
      <w:r w:rsidR="00BF022E" w:rsidRPr="00DC36CA">
        <w:rPr>
          <w:rFonts w:ascii="Times New Roman" w:eastAsia="Times New Roman" w:hAnsi="Times New Roman" w:cs="Times New Roman"/>
          <w:color w:val="000000" w:themeColor="text1"/>
          <w:lang w:val="en-US"/>
        </w:rPr>
        <w:t xml:space="preserve">provide estimates </w:t>
      </w:r>
      <w:r w:rsidR="00C50451">
        <w:rPr>
          <w:rFonts w:ascii="Times New Roman" w:eastAsia="Times New Roman" w:hAnsi="Times New Roman" w:cs="Times New Roman"/>
          <w:color w:val="000000" w:themeColor="text1"/>
          <w:lang w:val="en-US"/>
        </w:rPr>
        <w:t>of</w:t>
      </w:r>
      <w:r w:rsidR="0083486E" w:rsidRPr="00DC36CA">
        <w:rPr>
          <w:rFonts w:ascii="Times New Roman" w:eastAsia="Times New Roman" w:hAnsi="Times New Roman" w:cs="Times New Roman"/>
          <w:color w:val="000000" w:themeColor="text1"/>
          <w:lang w:val="en-US"/>
        </w:rPr>
        <w:t xml:space="preserve"> </w:t>
      </w:r>
      <w:r w:rsidR="002A52C4" w:rsidRPr="00DC36CA">
        <w:rPr>
          <w:rFonts w:ascii="Times New Roman" w:eastAsia="Times New Roman" w:hAnsi="Times New Roman" w:cs="Times New Roman"/>
          <w:color w:val="000000" w:themeColor="text1"/>
          <w:lang w:val="en-US"/>
        </w:rPr>
        <w:t>matri</w:t>
      </w:r>
      <w:r w:rsidR="00C50451">
        <w:rPr>
          <w:rFonts w:ascii="Times New Roman" w:eastAsia="Times New Roman" w:hAnsi="Times New Roman" w:cs="Times New Roman"/>
          <w:color w:val="000000" w:themeColor="text1"/>
          <w:lang w:val="en-US"/>
        </w:rPr>
        <w:t>x</w:t>
      </w:r>
      <w:r w:rsidR="002A52C4" w:rsidRPr="00DC36CA">
        <w:rPr>
          <w:rFonts w:ascii="Times New Roman" w:eastAsia="Times New Roman" w:hAnsi="Times New Roman" w:cs="Times New Roman"/>
          <w:color w:val="000000" w:themeColor="text1"/>
          <w:lang w:val="en-US"/>
        </w:rPr>
        <w:t xml:space="preserve"> </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1</m:t>
            </m:r>
          </m:sub>
        </m:sSub>
        <m:r>
          <w:rPr>
            <w:rFonts w:ascii="Cambria Math" w:eastAsia="Times New Roman" w:hAnsi="Cambria Math" w:cs="Times New Roman"/>
            <w:color w:val="000000" w:themeColor="text1"/>
            <w:lang w:val="en-US"/>
          </w:rPr>
          <m:t xml:space="preserve"> </m:t>
        </m:r>
        <m:r>
          <m:rPr>
            <m:sty m:val="p"/>
          </m:rPr>
          <w:rPr>
            <w:rFonts w:ascii="Cambria Math" w:eastAsia="Times New Roman" w:hAnsi="Cambria Math" w:cs="Times New Roman"/>
            <w:color w:val="000000" w:themeColor="text1"/>
            <w:lang w:val="en-US"/>
          </w:rPr>
          <m:t>and</m:t>
        </m:r>
        <m:r>
          <w:rPr>
            <w:rFonts w:ascii="Cambria Math" w:eastAsia="Times New Roman" w:hAnsi="Cambria Math" w:cs="Times New Roman"/>
            <w:color w:val="000000" w:themeColor="text1"/>
            <w:lang w:val="en-US"/>
          </w:rPr>
          <m:t xml:space="preserve"> </m:t>
        </m:r>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2</m:t>
            </m:r>
          </m:sub>
        </m:sSub>
      </m:oMath>
      <w:r w:rsidR="00930117" w:rsidRPr="00DC36CA">
        <w:rPr>
          <w:rFonts w:ascii="Times New Roman" w:eastAsia="Times New Roman" w:hAnsi="Times New Roman" w:cs="Times New Roman"/>
          <w:color w:val="000000" w:themeColor="text1"/>
          <w:lang w:val="en-US"/>
        </w:rPr>
        <w:t>.To identify the</w:t>
      </w:r>
      <w:r w:rsidR="00D94268">
        <w:rPr>
          <w:rFonts w:ascii="Times New Roman" w:eastAsia="Times New Roman" w:hAnsi="Times New Roman" w:cs="Times New Roman"/>
          <w:color w:val="000000" w:themeColor="text1"/>
          <w:lang w:val="en-US"/>
        </w:rPr>
        <w:t>se</w:t>
      </w:r>
      <w:r w:rsidR="00930117" w:rsidRPr="00DC36CA">
        <w:rPr>
          <w:rFonts w:ascii="Times New Roman" w:eastAsia="Times New Roman" w:hAnsi="Times New Roman" w:cs="Times New Roman"/>
          <w:color w:val="000000" w:themeColor="text1"/>
          <w:lang w:val="en-US"/>
        </w:rPr>
        <w:t xml:space="preserve"> matrices restrictions are imposed on the </w:t>
      </w:r>
      <w:r w:rsidR="003F0E8A">
        <w:rPr>
          <w:rFonts w:ascii="Times New Roman" w:eastAsia="Times New Roman" w:hAnsi="Times New Roman" w:cs="Times New Roman"/>
          <w:color w:val="000000" w:themeColor="text1"/>
          <w:lang w:val="en-US"/>
        </w:rPr>
        <w:t xml:space="preserve">estimated </w:t>
      </w:r>
      <w:r w:rsidR="00930117" w:rsidRPr="00DC36CA">
        <w:rPr>
          <w:rFonts w:ascii="Times New Roman" w:eastAsia="Times New Roman" w:hAnsi="Times New Roman" w:cs="Times New Roman"/>
          <w:color w:val="000000" w:themeColor="text1"/>
          <w:lang w:val="en-US"/>
        </w:rPr>
        <w:t>unrestricted model</w:t>
      </w:r>
      <w:r w:rsidR="003F0E8A">
        <w:rPr>
          <w:rFonts w:ascii="Times New Roman" w:eastAsia="Times New Roman" w:hAnsi="Times New Roman" w:cs="Times New Roman"/>
          <w:color w:val="000000" w:themeColor="text1"/>
          <w:lang w:val="en-US"/>
        </w:rPr>
        <w:t xml:space="preserve"> parameters</w:t>
      </w:r>
      <w:r w:rsidR="00930117" w:rsidRPr="00DC36CA">
        <w:rPr>
          <w:rFonts w:ascii="Times New Roman" w:eastAsia="Times New Roman" w:hAnsi="Times New Roman" w:cs="Times New Roman"/>
          <w:color w:val="000000" w:themeColor="text1"/>
          <w:lang w:val="en-US"/>
        </w:rPr>
        <w:t xml:space="preserve">. </w:t>
      </w:r>
      <w:r w:rsidR="00043BE0" w:rsidRPr="00DC36CA">
        <w:rPr>
          <w:rFonts w:ascii="Times New Roman" w:eastAsia="Times New Roman" w:hAnsi="Times New Roman" w:cs="Times New Roman"/>
          <w:color w:val="000000" w:themeColor="text1"/>
          <w:lang w:val="en-US"/>
        </w:rPr>
        <w:t xml:space="preserve"> </w:t>
      </w:r>
      <w:r w:rsidR="00B766AD">
        <w:rPr>
          <w:rFonts w:ascii="Times New Roman" w:eastAsia="Times New Roman" w:hAnsi="Times New Roman" w:cs="Times New Roman"/>
          <w:color w:val="000000" w:themeColor="text1"/>
          <w:lang w:val="en-US"/>
        </w:rPr>
        <w:t xml:space="preserve">For </w:t>
      </w:r>
      <w:r w:rsidR="00043BE0" w:rsidRPr="00DC36CA">
        <w:rPr>
          <w:rFonts w:ascii="Times New Roman" w:eastAsia="Times New Roman" w:hAnsi="Times New Roman" w:cs="Times New Roman"/>
          <w:color w:val="000000" w:themeColor="text1"/>
          <w:lang w:val="en-US"/>
        </w:rPr>
        <w:t xml:space="preserve">each </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 xml:space="preserve">i </m:t>
            </m:r>
          </m:sub>
        </m:sSub>
      </m:oMath>
      <w:r w:rsidR="00B766AD">
        <w:rPr>
          <w:rFonts w:ascii="Times New Roman" w:eastAsia="Times New Roman" w:hAnsi="Times New Roman" w:cs="Times New Roman"/>
          <w:color w:val="000000" w:themeColor="text1"/>
          <w:lang w:val="en-US"/>
        </w:rPr>
        <w:t>to be identified</w:t>
      </w:r>
      <m:oMath>
        <m:sSup>
          <m:sSupPr>
            <m:ctrlPr>
              <w:rPr>
                <w:rFonts w:ascii="Cambria Math" w:eastAsia="Times New Roman" w:hAnsi="Cambria Math" w:cs="Times New Roman"/>
                <w:i/>
                <w:color w:val="000000" w:themeColor="text1"/>
                <w:lang w:val="en-US"/>
              </w:rPr>
            </m:ctrlPr>
          </m:sSupPr>
          <m:e>
            <m:r>
              <w:rPr>
                <w:rFonts w:ascii="Cambria Math" w:eastAsia="Times New Roman" w:hAnsi="Cambria Math" w:cs="Times New Roman"/>
                <w:color w:val="000000" w:themeColor="text1"/>
                <w:lang w:val="en-US"/>
              </w:rPr>
              <m:t xml:space="preserve"> K</m:t>
            </m:r>
          </m:e>
          <m:sup>
            <m:r>
              <w:rPr>
                <w:rFonts w:ascii="Cambria Math" w:eastAsia="Times New Roman" w:hAnsi="Cambria Math" w:cs="Times New Roman"/>
                <w:color w:val="000000" w:themeColor="text1"/>
                <w:lang w:val="en-US"/>
              </w:rPr>
              <m:t>2</m:t>
            </m:r>
          </m:sup>
        </m:sSup>
      </m:oMath>
      <w:r w:rsidR="005447AF" w:rsidRPr="00DC36CA">
        <w:rPr>
          <w:rFonts w:ascii="Times New Roman" w:eastAsia="Times New Roman" w:hAnsi="Times New Roman" w:cs="Times New Roman"/>
          <w:color w:val="000000" w:themeColor="text1"/>
          <w:lang w:val="en-US"/>
        </w:rPr>
        <w:t xml:space="preserve"> restrictions are imposed. From equation (2) the identity </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i</m:t>
            </m:r>
          </m:sub>
        </m:sSub>
        <m:sSubSup>
          <m:sSubSupPr>
            <m:ctrlPr>
              <w:rPr>
                <w:rFonts w:ascii="Cambria Math" w:eastAsia="Times New Roman" w:hAnsi="Cambria Math" w:cs="Times New Roman"/>
                <w:i/>
                <w:color w:val="000000" w:themeColor="text1"/>
                <w:lang w:val="en-US"/>
              </w:rPr>
            </m:ctrlPr>
          </m:sSubSup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i</m:t>
            </m:r>
          </m:sub>
          <m:sup>
            <m:r>
              <w:rPr>
                <w:rFonts w:ascii="Cambria Math" w:eastAsia="Times New Roman" w:hAnsi="Cambria Math" w:cs="Times New Roman"/>
                <w:color w:val="000000" w:themeColor="text1"/>
                <w:lang w:val="en-US"/>
              </w:rPr>
              <m:t>'</m:t>
            </m:r>
          </m:sup>
        </m:sSubSup>
        <m:r>
          <w:rPr>
            <w:rFonts w:ascii="Cambria Math" w:eastAsia="Times New Roman" w:hAnsi="Cambria Math" w:cs="Times New Roman"/>
            <w:color w:val="000000" w:themeColor="text1"/>
            <w:lang w:val="en-US"/>
          </w:rPr>
          <m:t>=</m:t>
        </m:r>
        <m:sSub>
          <m:sSubPr>
            <m:ctrlPr>
              <w:rPr>
                <w:rFonts w:ascii="Cambria Math" w:eastAsia="Times New Roman" w:hAnsi="Cambria Math" w:cs="Times New Roman"/>
                <w:i/>
                <w:color w:val="000000" w:themeColor="text1"/>
                <w:lang w:val="en-US"/>
              </w:rPr>
            </m:ctrlPr>
          </m:sSubPr>
          <m:e>
            <m:r>
              <m:rPr>
                <m:sty m:val="p"/>
              </m:rPr>
              <w:rPr>
                <w:rFonts w:ascii="Cambria Math" w:eastAsia="Times New Roman" w:hAnsi="Cambria Math" w:cs="Times New Roman"/>
                <w:color w:val="000000" w:themeColor="text1"/>
                <w:lang w:val="en-US"/>
              </w:rPr>
              <m:t>Σ</m:t>
            </m:r>
          </m:e>
          <m:sub>
            <m:r>
              <w:rPr>
                <w:rFonts w:ascii="Cambria Math" w:eastAsia="Times New Roman" w:hAnsi="Cambria Math" w:cs="Times New Roman"/>
                <w:color w:val="000000" w:themeColor="text1"/>
                <w:lang w:val="en-US"/>
              </w:rPr>
              <m:t>i</m:t>
            </m:r>
          </m:sub>
        </m:sSub>
      </m:oMath>
      <w:r w:rsidR="00CB523B" w:rsidRPr="00DC36CA">
        <w:rPr>
          <w:rFonts w:ascii="Times New Roman" w:eastAsia="Times New Roman" w:hAnsi="Times New Roman" w:cs="Times New Roman"/>
          <w:color w:val="000000" w:themeColor="text1"/>
          <w:lang w:val="en-US"/>
        </w:rPr>
        <w:t xml:space="preserve"> </w:t>
      </w:r>
      <w:r w:rsidR="00BB76B2" w:rsidRPr="00DC36CA">
        <w:rPr>
          <w:rFonts w:ascii="Times New Roman" w:eastAsia="Times New Roman" w:hAnsi="Times New Roman" w:cs="Times New Roman"/>
          <w:color w:val="000000" w:themeColor="text1"/>
          <w:lang w:val="en-US"/>
        </w:rPr>
        <w:t>inherently</w:t>
      </w:r>
      <w:r w:rsidR="00CB523B" w:rsidRPr="00DC36CA">
        <w:rPr>
          <w:rFonts w:ascii="Times New Roman" w:eastAsia="Times New Roman" w:hAnsi="Times New Roman" w:cs="Times New Roman"/>
          <w:color w:val="000000" w:themeColor="text1"/>
          <w:lang w:val="en-US"/>
        </w:rPr>
        <w:t xml:space="preserve"> imposes </w:t>
      </w:r>
      <m:oMath>
        <m:f>
          <m:fPr>
            <m:type m:val="lin"/>
            <m:ctrlPr>
              <w:rPr>
                <w:rFonts w:ascii="Cambria Math" w:eastAsia="Times New Roman" w:hAnsi="Cambria Math" w:cs="Times New Roman"/>
                <w:i/>
                <w:color w:val="000000" w:themeColor="text1"/>
                <w:lang w:val="en-US"/>
              </w:rPr>
            </m:ctrlPr>
          </m:fPr>
          <m:num>
            <m:r>
              <w:rPr>
                <w:rFonts w:ascii="Cambria Math" w:eastAsia="Times New Roman" w:hAnsi="Cambria Math" w:cs="Times New Roman"/>
                <w:color w:val="000000" w:themeColor="text1"/>
                <w:lang w:val="en-US"/>
              </w:rPr>
              <m:t>K(K+1)</m:t>
            </m:r>
          </m:num>
          <m:den>
            <m:r>
              <w:rPr>
                <w:rFonts w:ascii="Cambria Math" w:eastAsia="Times New Roman" w:hAnsi="Cambria Math" w:cs="Times New Roman"/>
                <w:color w:val="000000" w:themeColor="text1"/>
                <w:lang w:val="en-US"/>
              </w:rPr>
              <m:t>2</m:t>
            </m:r>
          </m:den>
        </m:f>
      </m:oMath>
      <w:r w:rsidR="00BB76B2" w:rsidRPr="00DC36CA">
        <w:rPr>
          <w:rFonts w:ascii="Times New Roman" w:eastAsia="Times New Roman" w:hAnsi="Times New Roman" w:cs="Times New Roman"/>
          <w:color w:val="000000" w:themeColor="text1"/>
          <w:lang w:val="en-US"/>
        </w:rPr>
        <w:t>, due to</w:t>
      </w:r>
      <w:r w:rsidR="00CB523B" w:rsidRPr="00DC36CA">
        <w:rPr>
          <w:rFonts w:ascii="Times New Roman" w:eastAsia="Times New Roman" w:hAnsi="Times New Roman" w:cs="Times New Roman"/>
          <w:color w:val="000000" w:themeColor="text1"/>
          <w:lang w:val="en-US"/>
        </w:rPr>
        <w:t xml:space="preserve"> the symmetry of the variance-covariance matrix </w:t>
      </w:r>
      <m:oMath>
        <m:sSub>
          <m:sSubPr>
            <m:ctrlPr>
              <w:rPr>
                <w:rFonts w:ascii="Cambria Math" w:eastAsia="Times New Roman" w:hAnsi="Cambria Math" w:cs="Times New Roman"/>
                <w:i/>
                <w:color w:val="000000" w:themeColor="text1"/>
                <w:lang w:val="en-US"/>
              </w:rPr>
            </m:ctrlPr>
          </m:sSubPr>
          <m:e>
            <m:r>
              <m:rPr>
                <m:sty m:val="p"/>
              </m:rPr>
              <w:rPr>
                <w:rFonts w:ascii="Cambria Math" w:eastAsia="Times New Roman" w:hAnsi="Cambria Math" w:cs="Times New Roman"/>
                <w:color w:val="000000" w:themeColor="text1"/>
                <w:lang w:val="en-US"/>
              </w:rPr>
              <m:t>Σ</m:t>
            </m:r>
          </m:e>
          <m:sub>
            <m:r>
              <w:rPr>
                <w:rFonts w:ascii="Cambria Math" w:eastAsia="Times New Roman" w:hAnsi="Cambria Math" w:cs="Times New Roman"/>
                <w:color w:val="000000" w:themeColor="text1"/>
                <w:lang w:val="en-US"/>
              </w:rPr>
              <m:t>i</m:t>
            </m:r>
          </m:sub>
        </m:sSub>
      </m:oMath>
      <w:r w:rsidR="007E4E92" w:rsidRPr="00DC36CA">
        <w:rPr>
          <w:rFonts w:ascii="Times New Roman" w:eastAsia="Times New Roman" w:hAnsi="Times New Roman" w:cs="Times New Roman"/>
          <w:color w:val="000000" w:themeColor="text1"/>
          <w:lang w:val="en-US"/>
        </w:rPr>
        <w:t xml:space="preserve">. The </w:t>
      </w:r>
      <w:r w:rsidR="00A30355" w:rsidRPr="00DC36CA">
        <w:rPr>
          <w:rFonts w:ascii="Times New Roman" w:eastAsia="Times New Roman" w:hAnsi="Times New Roman" w:cs="Times New Roman"/>
          <w:color w:val="000000" w:themeColor="text1"/>
          <w:lang w:val="en-US"/>
        </w:rPr>
        <w:t>remaining</w:t>
      </w:r>
      <w:r w:rsidR="007E4E92" w:rsidRPr="00DC36CA">
        <w:rPr>
          <w:rFonts w:ascii="Times New Roman" w:eastAsia="Times New Roman" w:hAnsi="Times New Roman" w:cs="Times New Roman"/>
          <w:color w:val="000000" w:themeColor="text1"/>
          <w:lang w:val="en-US"/>
        </w:rPr>
        <w:t xml:space="preserve"> </w:t>
      </w:r>
      <m:oMath>
        <m:f>
          <m:fPr>
            <m:type m:val="lin"/>
            <m:ctrlPr>
              <w:rPr>
                <w:rFonts w:ascii="Cambria Math" w:eastAsia="Times New Roman" w:hAnsi="Cambria Math" w:cs="Times New Roman"/>
                <w:i/>
                <w:color w:val="000000" w:themeColor="text1"/>
                <w:lang w:val="en-US"/>
              </w:rPr>
            </m:ctrlPr>
          </m:fPr>
          <m:num>
            <m:r>
              <w:rPr>
                <w:rFonts w:ascii="Cambria Math" w:eastAsia="Times New Roman" w:hAnsi="Cambria Math" w:cs="Times New Roman"/>
                <w:color w:val="000000" w:themeColor="text1"/>
                <w:lang w:val="en-US"/>
              </w:rPr>
              <m:t>K(K-1)</m:t>
            </m:r>
          </m:num>
          <m:den>
            <m:r>
              <w:rPr>
                <w:rFonts w:ascii="Cambria Math" w:eastAsia="Times New Roman" w:hAnsi="Cambria Math" w:cs="Times New Roman"/>
                <w:color w:val="000000" w:themeColor="text1"/>
                <w:lang w:val="en-US"/>
              </w:rPr>
              <m:t>2</m:t>
            </m:r>
          </m:den>
        </m:f>
      </m:oMath>
      <w:r w:rsidR="00A30355" w:rsidRPr="00DC36CA">
        <w:rPr>
          <w:rFonts w:ascii="Times New Roman" w:eastAsia="Times New Roman" w:hAnsi="Times New Roman" w:cs="Times New Roman"/>
          <w:color w:val="000000" w:themeColor="text1"/>
          <w:lang w:val="en-US"/>
        </w:rPr>
        <w:t xml:space="preserve"> restrictions are imposed following a recursive identification scheme</w:t>
      </w:r>
      <w:r w:rsidR="00E252F6">
        <w:rPr>
          <w:rFonts w:ascii="Times New Roman" w:eastAsia="Times New Roman" w:hAnsi="Times New Roman" w:cs="Times New Roman"/>
          <w:color w:val="000000" w:themeColor="text1"/>
          <w:lang w:val="en-US"/>
        </w:rPr>
        <w:t xml:space="preserve">. </w:t>
      </w:r>
      <w:r w:rsidR="00D91F98" w:rsidRPr="00D91F98">
        <w:rPr>
          <w:rFonts w:ascii="Times New Roman" w:eastAsia="Times New Roman" w:hAnsi="Times New Roman" w:cs="Times New Roman"/>
          <w:color w:val="000000" w:themeColor="text1"/>
          <w:lang w:val="en-US"/>
        </w:rPr>
        <w:t xml:space="preserve">Under this identification </w:t>
      </w:r>
      <w:r w:rsidR="00D91F98" w:rsidRPr="00D91F98">
        <w:rPr>
          <w:rFonts w:ascii="Times New Roman" w:eastAsia="Times New Roman" w:hAnsi="Times New Roman" w:cs="Times New Roman"/>
          <w:color w:val="000000" w:themeColor="text1"/>
          <w:lang w:val="en-US"/>
        </w:rPr>
        <w:lastRenderedPageBreak/>
        <w:t xml:space="preserve">scheme the matrix </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A</m:t>
            </m:r>
          </m:e>
          <m:sub>
            <m:r>
              <w:rPr>
                <w:rFonts w:ascii="Cambria Math" w:eastAsia="Times New Roman" w:hAnsi="Cambria Math" w:cs="Times New Roman"/>
                <w:color w:val="000000" w:themeColor="text1"/>
                <w:lang w:val="en-US"/>
              </w:rPr>
              <m:t>i</m:t>
            </m:r>
          </m:sub>
        </m:sSub>
      </m:oMath>
      <w:r w:rsidR="00D91F98" w:rsidRPr="00D91F98">
        <w:rPr>
          <w:rFonts w:ascii="Times New Roman" w:eastAsia="Times New Roman" w:hAnsi="Times New Roman" w:cs="Times New Roman"/>
          <w:color w:val="000000" w:themeColor="text1"/>
          <w:lang w:val="en-US"/>
        </w:rPr>
        <w:t>is lower triangular and exactly identified</w:t>
      </w:r>
      <w:r w:rsidR="00D91F98">
        <w:rPr>
          <w:rFonts w:ascii="Times New Roman" w:eastAsia="Times New Roman" w:hAnsi="Times New Roman" w:cs="Times New Roman"/>
          <w:color w:val="000000" w:themeColor="text1"/>
          <w:lang w:val="en-US"/>
        </w:rPr>
        <w:t>,</w:t>
      </w:r>
      <w:r w:rsidR="00D91F98" w:rsidRPr="00D91F98">
        <w:rPr>
          <w:rFonts w:ascii="Times New Roman" w:eastAsia="Times New Roman" w:hAnsi="Times New Roman" w:cs="Times New Roman"/>
          <w:color w:val="000000" w:themeColor="text1"/>
          <w:lang w:val="en-US"/>
        </w:rPr>
        <w:t xml:space="preserve"> is recovered from a Choleski decomposition of the matrix </w:t>
      </w:r>
      <m:oMath>
        <m:sSub>
          <m:sSubPr>
            <m:ctrlPr>
              <w:rPr>
                <w:rFonts w:ascii="Cambria Math" w:eastAsia="Times New Roman" w:hAnsi="Cambria Math" w:cs="Times New Roman"/>
                <w:i/>
                <w:color w:val="000000" w:themeColor="text1"/>
                <w:lang w:val="en-US"/>
              </w:rPr>
            </m:ctrlPr>
          </m:sSubPr>
          <m:e>
            <m:r>
              <m:rPr>
                <m:sty m:val="p"/>
              </m:rPr>
              <w:rPr>
                <w:rFonts w:ascii="Cambria Math" w:eastAsia="Times New Roman" w:hAnsi="Cambria Math" w:cs="Times New Roman"/>
                <w:color w:val="000000" w:themeColor="text1"/>
                <w:lang w:val="en-US"/>
              </w:rPr>
              <m:t>Σ</m:t>
            </m:r>
          </m:e>
          <m:sub>
            <m:r>
              <w:rPr>
                <w:rFonts w:ascii="Cambria Math" w:eastAsia="Times New Roman" w:hAnsi="Cambria Math" w:cs="Times New Roman"/>
                <w:color w:val="000000" w:themeColor="text1"/>
                <w:lang w:val="en-US"/>
              </w:rPr>
              <m:t>i</m:t>
            </m:r>
          </m:sub>
        </m:sSub>
      </m:oMath>
    </w:p>
    <w:p w14:paraId="55C9EECE" w14:textId="77777777" w:rsidR="003D4373" w:rsidRDefault="003D4373" w:rsidP="00BF4C7C">
      <w:pPr>
        <w:autoSpaceDE w:val="0"/>
        <w:autoSpaceDN w:val="0"/>
        <w:adjustRightInd w:val="0"/>
        <w:spacing w:after="0" w:line="480" w:lineRule="auto"/>
        <w:ind w:right="90"/>
        <w:jc w:val="both"/>
        <w:rPr>
          <w:rFonts w:ascii="Times New Roman" w:eastAsia="Times New Roman" w:hAnsi="Times New Roman" w:cs="Times New Roman"/>
          <w:i/>
          <w:iCs/>
          <w:color w:val="000000" w:themeColor="text1"/>
          <w:lang w:val="en-US"/>
        </w:rPr>
      </w:pPr>
    </w:p>
    <w:p w14:paraId="1521E5C9" w14:textId="0BA50BFF" w:rsidR="002F16A3" w:rsidRPr="00EC20FA" w:rsidRDefault="000B4EB6" w:rsidP="00BF4C7C">
      <w:pPr>
        <w:autoSpaceDE w:val="0"/>
        <w:autoSpaceDN w:val="0"/>
        <w:adjustRightInd w:val="0"/>
        <w:spacing w:after="0" w:line="480" w:lineRule="auto"/>
        <w:ind w:right="90"/>
        <w:jc w:val="both"/>
        <w:rPr>
          <w:rFonts w:ascii="Times New Roman" w:eastAsia="Times New Roman" w:hAnsi="Times New Roman" w:cs="Times New Roman"/>
          <w:i/>
          <w:iCs/>
          <w:color w:val="000000" w:themeColor="text1"/>
          <w:lang w:val="en-US"/>
        </w:rPr>
      </w:pPr>
      <w:r w:rsidRPr="00EC20FA">
        <w:rPr>
          <w:rFonts w:ascii="Times New Roman" w:eastAsia="Times New Roman" w:hAnsi="Times New Roman" w:cs="Times New Roman"/>
          <w:i/>
          <w:iCs/>
          <w:color w:val="000000" w:themeColor="text1"/>
          <w:lang w:val="en-US"/>
        </w:rPr>
        <w:t>c</w:t>
      </w:r>
      <w:r w:rsidR="000E02BA" w:rsidRPr="00EC20FA">
        <w:rPr>
          <w:rFonts w:ascii="Times New Roman" w:eastAsia="Times New Roman" w:hAnsi="Times New Roman" w:cs="Times New Roman"/>
          <w:i/>
          <w:iCs/>
          <w:color w:val="000000" w:themeColor="text1"/>
          <w:lang w:val="en-US"/>
        </w:rPr>
        <w:t>)</w:t>
      </w:r>
      <w:r w:rsidR="00590202" w:rsidRPr="00EC20FA">
        <w:rPr>
          <w:rFonts w:ascii="Times New Roman" w:eastAsia="Times New Roman" w:hAnsi="Times New Roman" w:cs="Times New Roman"/>
          <w:i/>
          <w:iCs/>
          <w:color w:val="000000" w:themeColor="text1"/>
          <w:lang w:val="en-US"/>
        </w:rPr>
        <w:t xml:space="preserve"> </w:t>
      </w:r>
      <w:r w:rsidR="002F16A3" w:rsidRPr="00EC20FA">
        <w:rPr>
          <w:rFonts w:ascii="Times New Roman" w:eastAsia="Times New Roman" w:hAnsi="Times New Roman" w:cs="Times New Roman"/>
          <w:i/>
          <w:iCs/>
          <w:color w:val="000000" w:themeColor="text1"/>
          <w:lang w:val="en-US"/>
        </w:rPr>
        <w:t>Regime dependent IRF</w:t>
      </w:r>
    </w:p>
    <w:p w14:paraId="53C88E3B" w14:textId="1111970F" w:rsidR="00A1142E" w:rsidRPr="000D3AA2" w:rsidRDefault="00AA62CF" w:rsidP="00FB7DB8">
      <w:pPr>
        <w:spacing w:after="0" w:line="480" w:lineRule="auto"/>
        <w:ind w:right="142"/>
        <w:jc w:val="both"/>
        <w:rPr>
          <w:rFonts w:ascii="Times New Roman" w:hAnsi="Times New Roman" w:cs="Times New Roman"/>
          <w:iCs/>
        </w:rPr>
      </w:pPr>
      <w:r w:rsidRPr="00F502D4">
        <w:rPr>
          <w:rFonts w:ascii="Times New Roman" w:hAnsi="Times New Roman" w:cs="Times New Roman"/>
          <w:color w:val="000000" w:themeColor="text1"/>
        </w:rPr>
        <w:t>R</w:t>
      </w:r>
      <w:r w:rsidR="00A1142E" w:rsidRPr="00F502D4">
        <w:rPr>
          <w:rFonts w:ascii="Times New Roman" w:hAnsi="Times New Roman" w:cs="Times New Roman"/>
          <w:color w:val="000000" w:themeColor="text1"/>
        </w:rPr>
        <w:t xml:space="preserve">egime-dependent </w:t>
      </w:r>
      <w:r w:rsidR="00281FAC" w:rsidRPr="00F502D4">
        <w:rPr>
          <w:rFonts w:ascii="Times New Roman" w:hAnsi="Times New Roman" w:cs="Times New Roman"/>
          <w:color w:val="000000" w:themeColor="text1"/>
        </w:rPr>
        <w:t>IRF</w:t>
      </w:r>
      <w:r w:rsidR="00AE2850" w:rsidRPr="00F502D4">
        <w:rPr>
          <w:rFonts w:ascii="Times New Roman" w:hAnsi="Times New Roman" w:cs="Times New Roman"/>
          <w:color w:val="000000" w:themeColor="text1"/>
        </w:rPr>
        <w:t>s</w:t>
      </w:r>
      <w:r w:rsidR="00633B08" w:rsidRPr="00F502D4">
        <w:rPr>
          <w:rFonts w:ascii="Times New Roman" w:hAnsi="Times New Roman" w:cs="Times New Roman"/>
          <w:color w:val="000000" w:themeColor="text1"/>
        </w:rPr>
        <w:t xml:space="preserve"> </w:t>
      </w:r>
      <w:r w:rsidR="00A1142E" w:rsidRPr="00F502D4">
        <w:rPr>
          <w:rFonts w:ascii="Times New Roman" w:hAnsi="Times New Roman" w:cs="Times New Roman"/>
          <w:color w:val="000000" w:themeColor="text1"/>
        </w:rPr>
        <w:t xml:space="preserve">depict the relationship between the endogenous variables and fundamental disturbances within a regime, which </w:t>
      </w:r>
      <w:r w:rsidR="00F502D4" w:rsidRPr="00F502D4">
        <w:rPr>
          <w:rFonts w:ascii="Times New Roman" w:hAnsi="Times New Roman" w:cs="Times New Roman"/>
          <w:color w:val="000000" w:themeColor="text1"/>
        </w:rPr>
        <w:t>is</w:t>
      </w:r>
      <w:r w:rsidR="00A1142E" w:rsidRPr="00F502D4">
        <w:rPr>
          <w:rFonts w:ascii="Times New Roman" w:hAnsi="Times New Roman" w:cs="Times New Roman"/>
          <w:color w:val="000000" w:themeColor="text1"/>
        </w:rPr>
        <w:t xml:space="preserve"> a convenient way to track down the magnitude and the persistence of each variable’s response to</w:t>
      </w:r>
      <w:r w:rsidR="000D3AA2">
        <w:rPr>
          <w:rFonts w:ascii="Times New Roman" w:hAnsi="Times New Roman" w:cs="Times New Roman"/>
          <w:color w:val="000000" w:themeColor="text1"/>
        </w:rPr>
        <w:t xml:space="preserve"> a</w:t>
      </w:r>
      <w:r w:rsidR="00A1142E" w:rsidRPr="00F502D4">
        <w:rPr>
          <w:rFonts w:ascii="Times New Roman" w:hAnsi="Times New Roman" w:cs="Times New Roman"/>
          <w:color w:val="000000" w:themeColor="text1"/>
        </w:rPr>
        <w:t xml:space="preserve"> shock over time.</w:t>
      </w:r>
      <w:r w:rsidR="00F6301F" w:rsidRPr="00F502D4">
        <w:rPr>
          <w:rFonts w:ascii="Times New Roman" w:hAnsi="Times New Roman" w:cs="Times New Roman"/>
          <w:color w:val="000000" w:themeColor="text1"/>
        </w:rPr>
        <w:t xml:space="preserve"> Regime dependent </w:t>
      </w:r>
      <w:r w:rsidR="009B3120" w:rsidRPr="00F502D4">
        <w:rPr>
          <w:rFonts w:ascii="Times New Roman" w:hAnsi="Times New Roman" w:cs="Times New Roman"/>
          <w:color w:val="000000" w:themeColor="text1"/>
        </w:rPr>
        <w:t>IRFs are condition</w:t>
      </w:r>
      <w:r w:rsidR="00F8661C" w:rsidRPr="00F502D4">
        <w:rPr>
          <w:rFonts w:ascii="Times New Roman" w:hAnsi="Times New Roman" w:cs="Times New Roman"/>
          <w:color w:val="000000" w:themeColor="text1"/>
        </w:rPr>
        <w:t>al</w:t>
      </w:r>
      <w:r w:rsidR="009B3120" w:rsidRPr="00F502D4">
        <w:rPr>
          <w:rFonts w:ascii="Times New Roman" w:hAnsi="Times New Roman" w:cs="Times New Roman"/>
          <w:color w:val="000000" w:themeColor="text1"/>
        </w:rPr>
        <w:t xml:space="preserve"> on a given regime prevailing at the time of the disturbance and throughout the duration of the response.</w:t>
      </w:r>
      <w:r w:rsidR="00F2420C" w:rsidRPr="00F502D4">
        <w:rPr>
          <w:rFonts w:ascii="Times New Roman" w:hAnsi="Times New Roman" w:cs="Times New Roman"/>
          <w:color w:val="000000" w:themeColor="text1"/>
        </w:rPr>
        <w:t xml:space="preserve"> According to the model presented by equation (1) there are </w:t>
      </w:r>
      <m:oMath>
        <m:r>
          <w:rPr>
            <w:rFonts w:ascii="Cambria Math" w:hAnsi="Cambria Math" w:cs="Times New Roman"/>
            <w:color w:val="000000" w:themeColor="text1"/>
          </w:rPr>
          <m:t>2</m:t>
        </m:r>
        <m:sSup>
          <m:sSupPr>
            <m:ctrlPr>
              <w:rPr>
                <w:rFonts w:ascii="Cambria Math" w:hAnsi="Cambria Math" w:cs="Times New Roman"/>
                <w:i/>
                <w:color w:val="000000" w:themeColor="text1"/>
              </w:rPr>
            </m:ctrlPr>
          </m:sSupPr>
          <m:e>
            <m:r>
              <w:rPr>
                <w:rFonts w:ascii="Cambria Math" w:hAnsi="Cambria Math" w:cs="Times New Roman"/>
                <w:color w:val="000000" w:themeColor="text1"/>
              </w:rPr>
              <m:t>K</m:t>
            </m:r>
          </m:e>
          <m:sup>
            <m:r>
              <w:rPr>
                <w:rFonts w:ascii="Cambria Math" w:hAnsi="Cambria Math" w:cs="Times New Roman"/>
                <w:color w:val="000000" w:themeColor="text1"/>
              </w:rPr>
              <m:t>2</m:t>
            </m:r>
          </m:sup>
        </m:sSup>
      </m:oMath>
      <w:r w:rsidR="00F2420C" w:rsidRPr="00F502D4">
        <w:rPr>
          <w:rFonts w:ascii="Times New Roman" w:hAnsi="Times New Roman" w:cs="Times New Roman"/>
          <w:color w:val="000000" w:themeColor="text1"/>
        </w:rPr>
        <w:t xml:space="preserve"> regime dependent IRFs, corresponding to the reaction of </w:t>
      </w:r>
      <w:r w:rsidR="003213D6" w:rsidRPr="00F502D4">
        <w:rPr>
          <w:rFonts w:ascii="Times New Roman" w:hAnsi="Times New Roman" w:cs="Times New Roman"/>
          <w:i/>
          <w:iCs/>
          <w:color w:val="000000" w:themeColor="text1"/>
        </w:rPr>
        <w:t>K</w:t>
      </w:r>
      <w:r w:rsidR="003213D6" w:rsidRPr="00F502D4">
        <w:rPr>
          <w:rFonts w:ascii="Times New Roman" w:hAnsi="Times New Roman" w:cs="Times New Roman"/>
          <w:color w:val="000000" w:themeColor="text1"/>
        </w:rPr>
        <w:t xml:space="preserve"> variables to </w:t>
      </w:r>
      <w:r w:rsidR="003213D6" w:rsidRPr="00F502D4">
        <w:rPr>
          <w:rFonts w:ascii="Times New Roman" w:hAnsi="Times New Roman" w:cs="Times New Roman"/>
          <w:i/>
          <w:iCs/>
          <w:color w:val="000000" w:themeColor="text1"/>
        </w:rPr>
        <w:t>K</w:t>
      </w:r>
      <w:r w:rsidR="003213D6" w:rsidRPr="00F502D4">
        <w:rPr>
          <w:rFonts w:ascii="Times New Roman" w:hAnsi="Times New Roman" w:cs="Times New Roman"/>
          <w:color w:val="000000" w:themeColor="text1"/>
        </w:rPr>
        <w:t xml:space="preserve"> disturbances in two regimes.</w:t>
      </w:r>
      <w:r w:rsidR="00A1142E" w:rsidRPr="00F502D4">
        <w:rPr>
          <w:rFonts w:ascii="Times New Roman" w:hAnsi="Times New Roman" w:cs="Times New Roman"/>
          <w:color w:val="000000" w:themeColor="text1"/>
        </w:rPr>
        <w:t xml:space="preserve"> </w:t>
      </w:r>
      <w:r w:rsidR="00454DCE" w:rsidRPr="00F502D4">
        <w:rPr>
          <w:rFonts w:ascii="Times New Roman" w:hAnsi="Times New Roman" w:cs="Times New Roman"/>
          <w:color w:val="000000" w:themeColor="text1"/>
        </w:rPr>
        <w:t>E</w:t>
      </w:r>
      <w:r w:rsidR="00A1142E" w:rsidRPr="00F502D4">
        <w:rPr>
          <w:rFonts w:ascii="Times New Roman" w:hAnsi="Times New Roman" w:cs="Times New Roman"/>
          <w:color w:val="000000" w:themeColor="text1"/>
        </w:rPr>
        <w:t xml:space="preserve">quation </w:t>
      </w:r>
      <w:r w:rsidR="00444269" w:rsidRPr="00F502D4">
        <w:rPr>
          <w:rFonts w:ascii="Times New Roman" w:hAnsi="Times New Roman" w:cs="Times New Roman"/>
          <w:color w:val="000000" w:themeColor="text1"/>
        </w:rPr>
        <w:t>(</w:t>
      </w:r>
      <w:r w:rsidR="00A1142E" w:rsidRPr="00F502D4">
        <w:rPr>
          <w:rFonts w:ascii="Times New Roman" w:hAnsi="Times New Roman" w:cs="Times New Roman"/>
          <w:color w:val="000000" w:themeColor="text1"/>
        </w:rPr>
        <w:t>3</w:t>
      </w:r>
      <w:r w:rsidR="00444269" w:rsidRPr="00F502D4">
        <w:rPr>
          <w:rFonts w:ascii="Times New Roman" w:hAnsi="Times New Roman" w:cs="Times New Roman"/>
          <w:color w:val="000000" w:themeColor="text1"/>
        </w:rPr>
        <w:t>)</w:t>
      </w:r>
      <w:r w:rsidR="00A1142E" w:rsidRPr="00F502D4">
        <w:rPr>
          <w:rFonts w:ascii="Times New Roman" w:hAnsi="Times New Roman" w:cs="Times New Roman"/>
          <w:color w:val="000000" w:themeColor="text1"/>
        </w:rPr>
        <w:t xml:space="preserve"> provides the mathematical definition of </w:t>
      </w:r>
      <w:r w:rsidR="00941F3C" w:rsidRPr="00F502D4">
        <w:rPr>
          <w:rFonts w:ascii="Times New Roman" w:hAnsi="Times New Roman" w:cs="Times New Roman"/>
          <w:color w:val="000000" w:themeColor="text1"/>
        </w:rPr>
        <w:t xml:space="preserve">the </w:t>
      </w:r>
      <w:r w:rsidR="00A1142E" w:rsidRPr="00F502D4">
        <w:rPr>
          <w:rFonts w:ascii="Times New Roman" w:hAnsi="Times New Roman" w:cs="Times New Roman"/>
          <w:color w:val="000000" w:themeColor="text1"/>
        </w:rPr>
        <w:t xml:space="preserve">response of regime-dependent impulse. It traces the expected path of endogenous variables at time </w:t>
      </w:r>
      <w:r w:rsidR="00A1142E" w:rsidRPr="00F502D4">
        <w:rPr>
          <w:rFonts w:ascii="Times New Roman" w:hAnsi="Times New Roman" w:cs="Times New Roman"/>
          <w:i/>
          <w:color w:val="000000" w:themeColor="text1"/>
        </w:rPr>
        <w:t xml:space="preserve">t+h </w:t>
      </w:r>
      <w:r w:rsidR="00A1142E" w:rsidRPr="00F502D4">
        <w:rPr>
          <w:rFonts w:ascii="Times New Roman" w:hAnsi="Times New Roman" w:cs="Times New Roman"/>
          <w:color w:val="000000" w:themeColor="text1"/>
        </w:rPr>
        <w:t xml:space="preserve">following a one standard deviation shock to the </w:t>
      </w:r>
      <w:r w:rsidR="00A1142E" w:rsidRPr="00F502D4">
        <w:rPr>
          <w:rFonts w:ascii="Times New Roman" w:hAnsi="Times New Roman" w:cs="Times New Roman"/>
          <w:i/>
          <w:color w:val="000000" w:themeColor="text1"/>
        </w:rPr>
        <w:t>k-</w:t>
      </w:r>
      <w:r w:rsidR="00856D74" w:rsidRPr="00F502D4">
        <w:rPr>
          <w:rFonts w:ascii="Times New Roman" w:hAnsi="Times New Roman" w:cs="Times New Roman"/>
          <w:color w:val="000000" w:themeColor="text1"/>
        </w:rPr>
        <w:t>th</w:t>
      </w:r>
      <w:r w:rsidR="00A1142E" w:rsidRPr="00F502D4">
        <w:rPr>
          <w:rFonts w:ascii="Times New Roman" w:hAnsi="Times New Roman" w:cs="Times New Roman"/>
          <w:color w:val="000000" w:themeColor="text1"/>
        </w:rPr>
        <w:t xml:space="preserve"> initial disturbance at time </w:t>
      </w:r>
      <w:r w:rsidR="00A1142E" w:rsidRPr="00F502D4">
        <w:rPr>
          <w:rFonts w:ascii="Times New Roman" w:hAnsi="Times New Roman" w:cs="Times New Roman"/>
          <w:i/>
          <w:color w:val="000000" w:themeColor="text1"/>
        </w:rPr>
        <w:t xml:space="preserve">t, </w:t>
      </w:r>
      <w:r w:rsidR="00A1142E" w:rsidRPr="00F502D4">
        <w:rPr>
          <w:rFonts w:ascii="Times New Roman" w:hAnsi="Times New Roman" w:cs="Times New Roman"/>
          <w:color w:val="000000" w:themeColor="text1"/>
        </w:rPr>
        <w:t xml:space="preserve">conditional on regime </w:t>
      </w:r>
      <w:r w:rsidR="00BA610D" w:rsidRPr="00F502D4">
        <w:rPr>
          <w:rFonts w:ascii="Times New Roman" w:hAnsi="Times New Roman" w:cs="Times New Roman"/>
          <w:i/>
          <w:color w:val="000000" w:themeColor="text1"/>
        </w:rPr>
        <w:t>i</w:t>
      </w:r>
      <w:r w:rsidR="000D3AA2">
        <w:rPr>
          <w:rFonts w:ascii="Times New Roman" w:hAnsi="Times New Roman" w:cs="Times New Roman"/>
          <w:iCs/>
          <w:color w:val="000000" w:themeColor="text1"/>
        </w:rPr>
        <w:t>.</w:t>
      </w:r>
    </w:p>
    <w:p w14:paraId="50055210" w14:textId="67D57D4E" w:rsidR="00A1142E" w:rsidRPr="008E6E59" w:rsidRDefault="00227DF5" w:rsidP="00BD4E49">
      <w:pPr>
        <w:spacing w:after="0" w:line="480" w:lineRule="auto"/>
        <w:ind w:firstLine="2410"/>
        <w:jc w:val="center"/>
        <w:rPr>
          <w:rFonts w:ascii="Times New Roman" w:hAnsi="Times New Roman" w:cs="Times New Roman"/>
        </w:rPr>
      </w:pPr>
      <m:oMath>
        <m:sSub>
          <m:sSubPr>
            <m:ctrlPr>
              <w:rPr>
                <w:rFonts w:ascii="Cambria Math" w:hAnsi="Cambria Math" w:cs="Times New Roman"/>
                <w:i/>
                <w:iCs/>
              </w:rPr>
            </m:ctrlPr>
          </m:sSubPr>
          <m:e>
            <m:r>
              <w:rPr>
                <w:rFonts w:ascii="Cambria Math" w:hAnsi="Cambria Math" w:cs="Times New Roman"/>
              </w:rPr>
              <m:t>θ</m:t>
            </m:r>
          </m:e>
          <m:sub>
            <m:r>
              <w:rPr>
                <w:rFonts w:ascii="Cambria Math" w:hAnsi="Cambria Math" w:cs="Times New Roman"/>
              </w:rPr>
              <m:t>k,i,h</m:t>
            </m:r>
          </m:sub>
        </m:sSub>
        <m:r>
          <w:rPr>
            <w:rFonts w:ascii="Cambria Math" w:hAnsi="Cambria Math" w:cs="Times New Roman"/>
          </w:rPr>
          <m:t>=</m:t>
        </m:r>
        <m:f>
          <m:fPr>
            <m:ctrlPr>
              <w:rPr>
                <w:rFonts w:ascii="Cambria Math" w:hAnsi="Cambria Math" w:cs="Times New Roman"/>
                <w:i/>
                <w:iCs/>
              </w:rPr>
            </m:ctrlPr>
          </m:fPr>
          <m:num>
            <m:sSub>
              <m:sSubPr>
                <m:ctrlPr>
                  <w:rPr>
                    <w:rFonts w:ascii="Cambria Math" w:hAnsi="Cambria Math" w:cs="Times New Roman"/>
                    <w:i/>
                    <w:iCs/>
                  </w:rPr>
                </m:ctrlPr>
              </m:sSubPr>
              <m:e>
                <m:r>
                  <w:rPr>
                    <w:rFonts w:ascii="Cambria Math" w:hAnsi="Cambria Math" w:cs="Times New Roman"/>
                  </w:rPr>
                  <m:t>∂E</m:t>
                </m:r>
              </m:e>
              <m:sub>
                <m:r>
                  <w:rPr>
                    <w:rFonts w:ascii="Cambria Math" w:hAnsi="Cambria Math" w:cs="Times New Roman"/>
                  </w:rPr>
                  <m:t>t</m:t>
                </m:r>
              </m:sub>
            </m:sSub>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t+h</m:t>
                </m:r>
              </m:sub>
            </m:sSub>
          </m:num>
          <m:den>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ɛ</m:t>
                </m:r>
              </m:e>
              <m:sub>
                <m:r>
                  <w:rPr>
                    <w:rFonts w:ascii="Cambria Math" w:hAnsi="Cambria Math" w:cs="Times New Roman"/>
                  </w:rPr>
                  <m:t>k,t</m:t>
                </m:r>
              </m:sub>
            </m:sSub>
          </m:den>
        </m:f>
        <m:sSub>
          <m:sSubPr>
            <m:ctrlPr>
              <w:rPr>
                <w:rFonts w:ascii="Cambria Math" w:hAnsi="Cambria Math" w:cs="Times New Roman"/>
                <w:i/>
                <w:iCs/>
              </w:rPr>
            </m:ctrlPr>
          </m:sSubPr>
          <m:e>
            <m:r>
              <w:rPr>
                <w:rFonts w:ascii="Cambria Math" w:hAnsi="Cambria Math" w:cs="Times New Roman"/>
              </w:rPr>
              <m:t>|</m:t>
            </m:r>
          </m:e>
          <m:sub>
            <m:sSub>
              <m:sSubPr>
                <m:ctrlPr>
                  <w:rPr>
                    <w:rFonts w:ascii="Cambria Math" w:hAnsi="Cambria Math" w:cs="Times New Roman"/>
                    <w:i/>
                    <w:iCs/>
                  </w:rPr>
                </m:ctrlPr>
              </m:sSubPr>
              <m:e>
                <m:r>
                  <w:rPr>
                    <w:rFonts w:ascii="Cambria Math" w:hAnsi="Cambria Math" w:cs="Times New Roman"/>
                  </w:rPr>
                  <m:t>s</m:t>
                </m:r>
              </m:e>
              <m:sub>
                <m:r>
                  <w:rPr>
                    <w:rFonts w:ascii="Cambria Math" w:hAnsi="Cambria Math" w:cs="Times New Roman"/>
                  </w:rPr>
                  <m:t>t=</m:t>
                </m:r>
              </m:sub>
            </m:sSub>
            <m:sSub>
              <m:sSubPr>
                <m:ctrlPr>
                  <w:rPr>
                    <w:rFonts w:ascii="Cambria Math" w:hAnsi="Cambria Math" w:cs="Times New Roman"/>
                    <w:i/>
                    <w:iCs/>
                  </w:rPr>
                </m:ctrlPr>
              </m:sSubPr>
              <m:e>
                <m:r>
                  <w:rPr>
                    <w:rFonts w:ascii="Cambria Math" w:hAnsi="Cambria Math" w:cs="Times New Roman"/>
                  </w:rPr>
                  <m:t>s</m:t>
                </m:r>
              </m:e>
              <m:sub>
                <m:r>
                  <w:rPr>
                    <w:rFonts w:ascii="Cambria Math" w:hAnsi="Cambria Math" w:cs="Times New Roman"/>
                  </w:rPr>
                  <m:t>t+h=i</m:t>
                </m:r>
              </m:sub>
            </m:sSub>
          </m:sub>
        </m:sSub>
        <m:r>
          <w:rPr>
            <w:rFonts w:ascii="Cambria Math" w:hAnsi="Cambria Math" w:cs="Times New Roman"/>
          </w:rPr>
          <m:t xml:space="preserve">         for h≥</m:t>
        </m:r>
        <m:r>
          <w:rPr>
            <w:rFonts w:ascii="Cambria Math" w:hAnsi="Cambria Math" w:cs="Times New Roman"/>
          </w:rPr>
          <m:t>0</m:t>
        </m:r>
      </m:oMath>
      <w:r w:rsidR="00A1142E" w:rsidRPr="008E6E59">
        <w:rPr>
          <w:rFonts w:ascii="Times New Roman" w:eastAsiaTheme="minorEastAsia" w:hAnsi="Times New Roman" w:cs="Times New Roman"/>
        </w:rPr>
        <w:tab/>
      </w:r>
      <w:r w:rsidR="00A1142E" w:rsidRPr="008E6E59">
        <w:rPr>
          <w:rFonts w:ascii="Times New Roman" w:eastAsiaTheme="minorEastAsia" w:hAnsi="Times New Roman" w:cs="Times New Roman"/>
        </w:rPr>
        <w:tab/>
      </w:r>
      <w:r w:rsidR="00BD4E49">
        <w:rPr>
          <w:rFonts w:ascii="Times New Roman" w:eastAsiaTheme="minorEastAsia" w:hAnsi="Times New Roman" w:cs="Times New Roman"/>
        </w:rPr>
        <w:tab/>
      </w:r>
      <w:r w:rsidR="00BD4E49">
        <w:rPr>
          <w:rFonts w:ascii="Times New Roman" w:eastAsiaTheme="minorEastAsia" w:hAnsi="Times New Roman" w:cs="Times New Roman"/>
        </w:rPr>
        <w:tab/>
      </w:r>
      <w:r w:rsidR="00A1142E" w:rsidRPr="008E6E59">
        <w:rPr>
          <w:rFonts w:ascii="Times New Roman" w:eastAsiaTheme="minorEastAsia" w:hAnsi="Times New Roman" w:cs="Times New Roman"/>
        </w:rPr>
        <w:t>(3)</w:t>
      </w:r>
    </w:p>
    <w:p w14:paraId="67E6A453" w14:textId="70D28516" w:rsidR="00710FC3" w:rsidRPr="00FB7DB8" w:rsidRDefault="005B2DDF" w:rsidP="00BF4C7C">
      <w:pPr>
        <w:autoSpaceDE w:val="0"/>
        <w:autoSpaceDN w:val="0"/>
        <w:adjustRightInd w:val="0"/>
        <w:spacing w:after="0" w:line="480" w:lineRule="auto"/>
        <w:ind w:right="90"/>
        <w:jc w:val="both"/>
        <w:rPr>
          <w:rFonts w:ascii="Times New Roman" w:eastAsia="Times New Roman" w:hAnsi="Times New Roman" w:cs="Times New Roman"/>
          <w:color w:val="000000" w:themeColor="text1"/>
          <w:lang w:val="en-US"/>
        </w:rPr>
      </w:pPr>
      <w:r>
        <w:rPr>
          <w:rFonts w:ascii="Times New Roman" w:eastAsia="Calibri" w:hAnsi="Times New Roman" w:cs="Times New Roman"/>
          <w:lang w:val="en-US"/>
        </w:rPr>
        <w:t xml:space="preserve">Estimates of the response vectors </w:t>
      </w:r>
      <w:r w:rsidR="00566195">
        <w:rPr>
          <w:rFonts w:ascii="Times New Roman" w:eastAsia="Calibri" w:hAnsi="Times New Roman" w:cs="Times New Roman"/>
          <w:lang w:val="en-US"/>
        </w:rPr>
        <w:t>are</w:t>
      </w:r>
      <w:r>
        <w:rPr>
          <w:rFonts w:ascii="Times New Roman" w:eastAsia="Calibri" w:hAnsi="Times New Roman" w:cs="Times New Roman"/>
          <w:lang w:val="en-US"/>
        </w:rPr>
        <w:t xml:space="preserve"> derived by combining the </w:t>
      </w:r>
      <w:r w:rsidR="00566195">
        <w:rPr>
          <w:rFonts w:ascii="Times New Roman" w:eastAsia="Calibri" w:hAnsi="Times New Roman" w:cs="Times New Roman"/>
          <w:lang w:val="en-US"/>
        </w:rPr>
        <w:t>parameters from the unrestricted MSVAR with the estimates of the</w:t>
      </w:r>
      <w:r w:rsidR="004D54B5">
        <w:rPr>
          <w:rFonts w:ascii="Times New Roman" w:eastAsia="Calibri" w:hAnsi="Times New Roman" w:cs="Times New Roman"/>
          <w:lang w:val="en-US"/>
        </w:rPr>
        <w:t xml:space="preserve"> matrix</w:t>
      </w:r>
      <w:r w:rsidR="0014702A">
        <w:rPr>
          <w:rFonts w:ascii="Times New Roman" w:eastAsia="Calibri" w:hAnsi="Times New Roman" w:cs="Times New Roman"/>
          <w:lang w:val="en-US"/>
        </w:rPr>
        <w:t xml:space="preserve"> </w:t>
      </w:r>
      <m:oMath>
        <m:sSub>
          <m:sSubPr>
            <m:ctrlPr>
              <w:rPr>
                <w:rFonts w:ascii="Cambria Math" w:eastAsia="Calibri"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A</m:t>
                </m:r>
              </m:e>
            </m:acc>
          </m:e>
          <m:sub>
            <m:r>
              <w:rPr>
                <w:rFonts w:ascii="Cambria Math" w:eastAsia="Calibri" w:hAnsi="Cambria Math" w:cs="Times New Roman"/>
                <w:color w:val="000000" w:themeColor="text1"/>
                <w:lang w:val="en-US"/>
              </w:rPr>
              <m:t>i</m:t>
            </m:r>
          </m:sub>
        </m:sSub>
      </m:oMath>
      <w:r w:rsidR="00710FC3" w:rsidRPr="00CF598C">
        <w:rPr>
          <w:rFonts w:ascii="Times New Roman" w:eastAsia="Times New Roman" w:hAnsi="Times New Roman" w:cs="Times New Roman"/>
          <w:color w:val="000000" w:themeColor="text1"/>
          <w:lang w:val="en-US"/>
        </w:rPr>
        <w:t>.</w:t>
      </w:r>
      <w:r w:rsidR="00A1142E" w:rsidRPr="00CF598C">
        <w:rPr>
          <w:rFonts w:ascii="Times New Roman" w:eastAsia="Times New Roman" w:hAnsi="Times New Roman" w:cs="Times New Roman"/>
          <w:color w:val="000000" w:themeColor="text1"/>
          <w:lang w:val="en-US"/>
        </w:rPr>
        <w:t xml:space="preserve"> </w:t>
      </w:r>
      <w:r w:rsidR="00064DD4" w:rsidRPr="00FB7DB8">
        <w:rPr>
          <w:rFonts w:ascii="Times New Roman" w:eastAsia="Times New Roman" w:hAnsi="Times New Roman" w:cs="Times New Roman"/>
          <w:color w:val="000000" w:themeColor="text1"/>
          <w:lang w:val="en-US"/>
        </w:rPr>
        <w:t xml:space="preserve">The first response vector measures the impact effect on endogenous variables of the </w:t>
      </w:r>
      <w:r w:rsidR="00064DD4" w:rsidRPr="00FB7DB8">
        <w:rPr>
          <w:rFonts w:ascii="Times New Roman" w:eastAsia="Times New Roman" w:hAnsi="Times New Roman" w:cs="Times New Roman"/>
          <w:i/>
          <w:iCs/>
          <w:color w:val="000000" w:themeColor="text1"/>
          <w:lang w:val="en-US"/>
        </w:rPr>
        <w:t>k-</w:t>
      </w:r>
      <w:r w:rsidR="00064DD4" w:rsidRPr="00FB7DB8">
        <w:rPr>
          <w:rFonts w:ascii="Times New Roman" w:eastAsia="Times New Roman" w:hAnsi="Times New Roman" w:cs="Times New Roman"/>
          <w:color w:val="000000" w:themeColor="text1"/>
          <w:lang w:val="en-US"/>
        </w:rPr>
        <w:t xml:space="preserve">th fundamental disturbance. A one standard deviation shock to the </w:t>
      </w:r>
      <w:r w:rsidR="006B7060" w:rsidRPr="00FB7DB8">
        <w:rPr>
          <w:rFonts w:ascii="Times New Roman" w:eastAsia="Times New Roman" w:hAnsi="Times New Roman" w:cs="Times New Roman"/>
          <w:i/>
          <w:iCs/>
          <w:color w:val="000000" w:themeColor="text1"/>
          <w:lang w:val="en-US"/>
        </w:rPr>
        <w:t>k-</w:t>
      </w:r>
      <w:r w:rsidR="006B7060" w:rsidRPr="00FB7DB8">
        <w:rPr>
          <w:rFonts w:ascii="Times New Roman" w:eastAsia="Times New Roman" w:hAnsi="Times New Roman" w:cs="Times New Roman"/>
          <w:color w:val="000000" w:themeColor="text1"/>
          <w:lang w:val="en-US"/>
        </w:rPr>
        <w:t>th fundamental disturbance implies that the initial disturbance vector is</w:t>
      </w:r>
      <m:oMath>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 xml:space="preserve"> ε</m:t>
            </m:r>
          </m:e>
          <m:sub>
            <m:r>
              <w:rPr>
                <w:rFonts w:ascii="Cambria Math" w:eastAsia="Times New Roman" w:hAnsi="Cambria Math" w:cs="Times New Roman"/>
                <w:color w:val="000000" w:themeColor="text1"/>
                <w:lang w:val="en-US"/>
              </w:rPr>
              <m:t>0</m:t>
            </m:r>
          </m:sub>
        </m:sSub>
        <m:r>
          <w:rPr>
            <w:rFonts w:ascii="Cambria Math" w:eastAsia="Times New Roman" w:hAnsi="Cambria Math" w:cs="Times New Roman"/>
            <w:color w:val="000000" w:themeColor="text1"/>
            <w:lang w:val="en-US"/>
          </w:rPr>
          <m:t>=(0,..,0,1,0…0)</m:t>
        </m:r>
      </m:oMath>
      <w:r w:rsidR="005065C9" w:rsidRPr="00FB7DB8">
        <w:rPr>
          <w:rFonts w:ascii="Times New Roman" w:eastAsia="Times New Roman" w:hAnsi="Times New Roman" w:cs="Times New Roman"/>
          <w:color w:val="000000" w:themeColor="text1"/>
          <w:lang w:val="en-US"/>
        </w:rPr>
        <w:t xml:space="preserve">, </w:t>
      </w:r>
      <w:r w:rsidR="00E9787C" w:rsidRPr="00FB7DB8">
        <w:rPr>
          <w:rFonts w:ascii="Times New Roman" w:eastAsia="Times New Roman" w:hAnsi="Times New Roman" w:cs="Times New Roman"/>
          <w:color w:val="000000" w:themeColor="text1"/>
          <w:lang w:val="en-US"/>
        </w:rPr>
        <w:t>i.e.,</w:t>
      </w:r>
      <w:r w:rsidR="005065C9" w:rsidRPr="00FB7DB8">
        <w:rPr>
          <w:rFonts w:ascii="Times New Roman" w:eastAsia="Times New Roman" w:hAnsi="Times New Roman" w:cs="Times New Roman"/>
          <w:color w:val="000000" w:themeColor="text1"/>
          <w:lang w:val="en-US"/>
        </w:rPr>
        <w:t xml:space="preserve"> a vector of zeros except for </w:t>
      </w:r>
      <w:r w:rsidR="005065C9" w:rsidRPr="00FB7DB8">
        <w:rPr>
          <w:rFonts w:ascii="Times New Roman" w:eastAsia="Times New Roman" w:hAnsi="Times New Roman" w:cs="Times New Roman"/>
          <w:i/>
          <w:iCs/>
          <w:color w:val="000000" w:themeColor="text1"/>
          <w:lang w:val="en-US"/>
        </w:rPr>
        <w:t>k-</w:t>
      </w:r>
      <w:r w:rsidR="005065C9" w:rsidRPr="00FB7DB8">
        <w:rPr>
          <w:rFonts w:ascii="Times New Roman" w:eastAsia="Times New Roman" w:hAnsi="Times New Roman" w:cs="Times New Roman"/>
          <w:color w:val="000000" w:themeColor="text1"/>
          <w:lang w:val="en-US"/>
        </w:rPr>
        <w:t xml:space="preserve">th fundamental disturbance which is one. </w:t>
      </w:r>
      <w:r w:rsidR="003F07BC" w:rsidRPr="00FB7DB8">
        <w:rPr>
          <w:rFonts w:ascii="Times New Roman" w:eastAsia="Times New Roman" w:hAnsi="Times New Roman" w:cs="Times New Roman"/>
          <w:color w:val="000000" w:themeColor="text1"/>
          <w:lang w:val="en-US"/>
        </w:rPr>
        <w:t xml:space="preserve">Multiplying this vector by the regime dependent matrix </w:t>
      </w:r>
      <m:oMath>
        <m:sSub>
          <m:sSubPr>
            <m:ctrlPr>
              <w:rPr>
                <w:rFonts w:ascii="Cambria Math" w:eastAsia="Times New Roman"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A</m:t>
                </m:r>
              </m:e>
            </m:acc>
          </m:e>
          <m:sub>
            <m:r>
              <w:rPr>
                <w:rFonts w:ascii="Cambria Math" w:eastAsia="Times New Roman" w:hAnsi="Cambria Math" w:cs="Times New Roman"/>
                <w:color w:val="000000" w:themeColor="text1"/>
                <w:lang w:val="en-US"/>
              </w:rPr>
              <m:t>i</m:t>
            </m:r>
          </m:sub>
        </m:sSub>
      </m:oMath>
      <w:r w:rsidR="003F07BC" w:rsidRPr="00FB7DB8">
        <w:rPr>
          <w:rFonts w:ascii="Times New Roman" w:eastAsia="Times New Roman" w:hAnsi="Times New Roman" w:cs="Times New Roman"/>
          <w:color w:val="000000" w:themeColor="text1"/>
          <w:lang w:val="en-US"/>
        </w:rPr>
        <w:t xml:space="preserve"> provides the impact responses. </w:t>
      </w:r>
      <w:r w:rsidR="000338FC" w:rsidRPr="00FB7DB8">
        <w:rPr>
          <w:rFonts w:ascii="Times New Roman" w:eastAsia="Times New Roman" w:hAnsi="Times New Roman" w:cs="Times New Roman"/>
          <w:color w:val="000000" w:themeColor="text1"/>
          <w:lang w:val="en-US"/>
        </w:rPr>
        <w:t>By solving forward for the endogenous variables in equation (1)</w:t>
      </w:r>
      <w:r w:rsidR="003F07BC" w:rsidRPr="00FB7DB8">
        <w:rPr>
          <w:rFonts w:ascii="Times New Roman" w:eastAsia="Times New Roman" w:hAnsi="Times New Roman" w:cs="Times New Roman"/>
          <w:color w:val="000000" w:themeColor="text1"/>
          <w:lang w:val="en-US"/>
        </w:rPr>
        <w:t xml:space="preserve"> </w:t>
      </w:r>
      <w:r w:rsidR="000338FC" w:rsidRPr="00FB7DB8">
        <w:rPr>
          <w:rFonts w:ascii="Times New Roman" w:eastAsia="Times New Roman" w:hAnsi="Times New Roman" w:cs="Times New Roman"/>
          <w:color w:val="000000" w:themeColor="text1"/>
          <w:lang w:val="en-US"/>
        </w:rPr>
        <w:t xml:space="preserve">the remaining response vectors </w:t>
      </w:r>
      <w:r w:rsidR="00D82882" w:rsidRPr="00FB7DB8">
        <w:rPr>
          <w:rFonts w:ascii="Times New Roman" w:eastAsia="Times New Roman" w:hAnsi="Times New Roman" w:cs="Times New Roman"/>
          <w:color w:val="000000" w:themeColor="text1"/>
          <w:lang w:val="en-US"/>
        </w:rPr>
        <w:t>are</w:t>
      </w:r>
      <w:r w:rsidR="000338FC" w:rsidRPr="00FB7DB8">
        <w:rPr>
          <w:rFonts w:ascii="Times New Roman" w:eastAsia="Times New Roman" w:hAnsi="Times New Roman" w:cs="Times New Roman"/>
          <w:color w:val="000000" w:themeColor="text1"/>
          <w:lang w:val="en-US"/>
        </w:rPr>
        <w:t xml:space="preserve"> obtained. Equation (</w:t>
      </w:r>
      <w:r w:rsidR="00B42129" w:rsidRPr="00FB7DB8">
        <w:rPr>
          <w:rFonts w:ascii="Times New Roman" w:eastAsia="Times New Roman" w:hAnsi="Times New Roman" w:cs="Times New Roman"/>
          <w:color w:val="000000" w:themeColor="text1"/>
          <w:lang w:val="en-US"/>
        </w:rPr>
        <w:t>4</w:t>
      </w:r>
      <w:r w:rsidR="000338FC" w:rsidRPr="00FB7DB8">
        <w:rPr>
          <w:rFonts w:ascii="Times New Roman" w:eastAsia="Times New Roman" w:hAnsi="Times New Roman" w:cs="Times New Roman"/>
          <w:color w:val="000000" w:themeColor="text1"/>
          <w:lang w:val="en-US"/>
        </w:rPr>
        <w:t>) and (</w:t>
      </w:r>
      <w:r w:rsidR="00B42129" w:rsidRPr="00FB7DB8">
        <w:rPr>
          <w:rFonts w:ascii="Times New Roman" w:eastAsia="Times New Roman" w:hAnsi="Times New Roman" w:cs="Times New Roman"/>
          <w:color w:val="000000" w:themeColor="text1"/>
          <w:lang w:val="en-US"/>
        </w:rPr>
        <w:t>5</w:t>
      </w:r>
      <w:r w:rsidR="000338FC" w:rsidRPr="00FB7DB8">
        <w:rPr>
          <w:rFonts w:ascii="Times New Roman" w:eastAsia="Times New Roman" w:hAnsi="Times New Roman" w:cs="Times New Roman"/>
          <w:color w:val="000000" w:themeColor="text1"/>
          <w:lang w:val="en-US"/>
        </w:rPr>
        <w:t xml:space="preserve">) illustrate </w:t>
      </w:r>
      <w:r w:rsidR="00D82882" w:rsidRPr="00FB7DB8">
        <w:rPr>
          <w:rFonts w:ascii="Times New Roman" w:eastAsia="Times New Roman" w:hAnsi="Times New Roman" w:cs="Times New Roman"/>
          <w:color w:val="000000" w:themeColor="text1"/>
          <w:lang w:val="en-US"/>
        </w:rPr>
        <w:t>connecting</w:t>
      </w:r>
      <w:r w:rsidR="000338FC" w:rsidRPr="00FB7DB8">
        <w:rPr>
          <w:rFonts w:ascii="Times New Roman" w:eastAsia="Times New Roman" w:hAnsi="Times New Roman" w:cs="Times New Roman"/>
          <w:color w:val="000000" w:themeColor="text1"/>
          <w:lang w:val="en-US"/>
        </w:rPr>
        <w:t xml:space="preserve"> the </w:t>
      </w:r>
      <w:r w:rsidR="005F6A32" w:rsidRPr="00FB7DB8">
        <w:rPr>
          <w:rFonts w:ascii="Times New Roman" w:eastAsia="Times New Roman" w:hAnsi="Times New Roman" w:cs="Times New Roman"/>
          <w:color w:val="000000" w:themeColor="text1"/>
          <w:lang w:val="en-US"/>
        </w:rPr>
        <w:t>estimated vectors with the estimated parameters</w:t>
      </w:r>
      <w:r w:rsidR="00D82882" w:rsidRPr="00FB7DB8">
        <w:rPr>
          <w:rFonts w:ascii="Times New Roman" w:eastAsia="Times New Roman" w:hAnsi="Times New Roman" w:cs="Times New Roman"/>
          <w:color w:val="000000" w:themeColor="text1"/>
          <w:lang w:val="en-US"/>
        </w:rPr>
        <w:t xml:space="preserve"> </w:t>
      </w:r>
      <m:oMath>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A</m:t>
            </m:r>
          </m:e>
        </m:acc>
      </m:oMath>
      <w:r w:rsidR="00D82882" w:rsidRPr="00FB7DB8">
        <w:rPr>
          <w:rFonts w:ascii="Times New Roman" w:eastAsia="Times New Roman" w:hAnsi="Times New Roman" w:cs="Times New Roman"/>
          <w:color w:val="000000" w:themeColor="text1"/>
          <w:lang w:val="en-US"/>
        </w:rPr>
        <w:t>.</w:t>
      </w:r>
    </w:p>
    <w:p w14:paraId="07AA9621" w14:textId="0092D56A" w:rsidR="00064DD4" w:rsidRPr="00FB7DB8" w:rsidRDefault="00227DF5" w:rsidP="00AB443D">
      <w:pPr>
        <w:autoSpaceDE w:val="0"/>
        <w:autoSpaceDN w:val="0"/>
        <w:adjustRightInd w:val="0"/>
        <w:spacing w:after="0" w:line="480" w:lineRule="auto"/>
        <w:ind w:right="90" w:firstLine="3402"/>
        <w:jc w:val="both"/>
        <w:rPr>
          <w:rFonts w:ascii="Times New Roman" w:eastAsia="Times New Roman" w:hAnsi="Times New Roman" w:cs="Times New Roman"/>
          <w:color w:val="000000" w:themeColor="text1"/>
          <w:lang w:val="en-US"/>
        </w:rPr>
      </w:pPr>
      <m:oMath>
        <m:sSub>
          <m:sSubPr>
            <m:ctrlPr>
              <w:rPr>
                <w:rFonts w:ascii="Cambria Math" w:eastAsia="Times New Roman"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θ</m:t>
                </m:r>
              </m:e>
            </m:acc>
          </m:e>
          <m:sub>
            <m:r>
              <w:rPr>
                <w:rFonts w:ascii="Cambria Math" w:eastAsia="Times New Roman" w:hAnsi="Cambria Math" w:cs="Times New Roman"/>
                <w:color w:val="000000" w:themeColor="text1"/>
                <w:lang w:val="en-US"/>
              </w:rPr>
              <m:t>k,i,0</m:t>
            </m:r>
          </m:sub>
        </m:sSub>
        <m:r>
          <w:rPr>
            <w:rFonts w:ascii="Cambria Math" w:eastAsia="Times New Roman" w:hAnsi="Cambria Math" w:cs="Times New Roman"/>
            <w:color w:val="000000" w:themeColor="text1"/>
            <w:lang w:val="en-US"/>
          </w:rPr>
          <m:t>=</m:t>
        </m:r>
        <m:sSub>
          <m:sSubPr>
            <m:ctrlPr>
              <w:rPr>
                <w:rFonts w:ascii="Cambria Math" w:eastAsia="Times New Roman"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A</m:t>
                </m:r>
              </m:e>
            </m:acc>
          </m:e>
          <m:sub>
            <m:r>
              <w:rPr>
                <w:rFonts w:ascii="Cambria Math" w:eastAsia="Times New Roman" w:hAnsi="Cambria Math" w:cs="Times New Roman"/>
                <w:color w:val="000000" w:themeColor="text1"/>
                <w:lang w:val="en-US"/>
              </w:rPr>
              <m:t>i</m:t>
            </m:r>
          </m:sub>
        </m:sSub>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ε</m:t>
            </m:r>
          </m:e>
          <m:sub>
            <m:r>
              <w:rPr>
                <w:rFonts w:ascii="Cambria Math" w:eastAsia="Times New Roman" w:hAnsi="Cambria Math" w:cs="Times New Roman"/>
                <w:color w:val="000000" w:themeColor="text1"/>
                <w:lang w:val="en-US"/>
              </w:rPr>
              <m:t>0</m:t>
            </m:r>
          </m:sub>
        </m:sSub>
      </m:oMath>
      <w:r w:rsidR="00B42129" w:rsidRPr="00FB7DB8">
        <w:rPr>
          <w:rFonts w:ascii="Times New Roman" w:eastAsia="Times New Roman" w:hAnsi="Times New Roman" w:cs="Times New Roman"/>
          <w:color w:val="000000" w:themeColor="text1"/>
          <w:lang w:val="en-US"/>
        </w:rPr>
        <w:tab/>
      </w:r>
      <w:r w:rsidR="00B42129" w:rsidRPr="00FB7DB8">
        <w:rPr>
          <w:rFonts w:ascii="Times New Roman" w:eastAsia="Times New Roman" w:hAnsi="Times New Roman" w:cs="Times New Roman"/>
          <w:color w:val="000000" w:themeColor="text1"/>
          <w:lang w:val="en-US"/>
        </w:rPr>
        <w:tab/>
      </w:r>
      <w:r w:rsidR="00B42129" w:rsidRPr="00FB7DB8">
        <w:rPr>
          <w:rFonts w:ascii="Times New Roman" w:eastAsia="Times New Roman" w:hAnsi="Times New Roman" w:cs="Times New Roman"/>
          <w:color w:val="000000" w:themeColor="text1"/>
          <w:lang w:val="en-US"/>
        </w:rPr>
        <w:tab/>
      </w:r>
      <w:r w:rsidR="00B42129" w:rsidRPr="00FB7DB8">
        <w:rPr>
          <w:rFonts w:ascii="Times New Roman" w:eastAsia="Times New Roman" w:hAnsi="Times New Roman" w:cs="Times New Roman"/>
          <w:color w:val="000000" w:themeColor="text1"/>
          <w:lang w:val="en-US"/>
        </w:rPr>
        <w:tab/>
      </w:r>
      <w:r w:rsidR="00B42129" w:rsidRPr="00FB7DB8">
        <w:rPr>
          <w:rFonts w:ascii="Times New Roman" w:eastAsia="Times New Roman" w:hAnsi="Times New Roman" w:cs="Times New Roman"/>
          <w:color w:val="000000" w:themeColor="text1"/>
          <w:lang w:val="en-US"/>
        </w:rPr>
        <w:tab/>
      </w:r>
      <w:r w:rsidR="00B42129" w:rsidRPr="00FB7DB8">
        <w:rPr>
          <w:rFonts w:ascii="Times New Roman" w:eastAsia="Times New Roman" w:hAnsi="Times New Roman" w:cs="Times New Roman"/>
          <w:color w:val="000000" w:themeColor="text1"/>
          <w:lang w:val="en-US"/>
        </w:rPr>
        <w:tab/>
        <w:t>(4)</w:t>
      </w:r>
    </w:p>
    <w:p w14:paraId="33DDFD3C" w14:textId="1649995E" w:rsidR="00B42129" w:rsidRPr="00FB7DB8" w:rsidRDefault="00227DF5" w:rsidP="00B42129">
      <w:pPr>
        <w:autoSpaceDE w:val="0"/>
        <w:autoSpaceDN w:val="0"/>
        <w:adjustRightInd w:val="0"/>
        <w:spacing w:after="0" w:line="480" w:lineRule="auto"/>
        <w:ind w:right="90" w:firstLine="3402"/>
        <w:jc w:val="both"/>
        <w:rPr>
          <w:rFonts w:ascii="Times New Roman" w:eastAsia="Times New Roman" w:hAnsi="Times New Roman" w:cs="Times New Roman"/>
          <w:color w:val="000000" w:themeColor="text1"/>
          <w:lang w:val="en-US"/>
        </w:rPr>
      </w:pPr>
      <m:oMath>
        <m:sSub>
          <m:sSubPr>
            <m:ctrlPr>
              <w:rPr>
                <w:rFonts w:ascii="Cambria Math" w:eastAsia="Times New Roman"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θ</m:t>
                </m:r>
              </m:e>
            </m:acc>
          </m:e>
          <m:sub>
            <m:r>
              <w:rPr>
                <w:rFonts w:ascii="Cambria Math" w:eastAsia="Times New Roman" w:hAnsi="Cambria Math" w:cs="Times New Roman"/>
                <w:color w:val="000000" w:themeColor="text1"/>
                <w:lang w:val="en-US"/>
              </w:rPr>
              <m:t>k,i,h</m:t>
            </m:r>
          </m:sub>
        </m:sSub>
        <m:r>
          <w:rPr>
            <w:rFonts w:ascii="Cambria Math" w:eastAsia="Times New Roman" w:hAnsi="Cambria Math" w:cs="Times New Roman"/>
            <w:color w:val="000000" w:themeColor="text1"/>
            <w:lang w:val="en-US"/>
          </w:rPr>
          <m:t>=</m:t>
        </m:r>
        <m:nary>
          <m:naryPr>
            <m:chr m:val="∑"/>
            <m:limLoc m:val="undOvr"/>
            <m:ctrlPr>
              <w:rPr>
                <w:rFonts w:ascii="Cambria Math" w:eastAsia="Times New Roman" w:hAnsi="Cambria Math" w:cs="Times New Roman"/>
                <w:i/>
                <w:color w:val="000000" w:themeColor="text1"/>
                <w:lang w:val="en-US"/>
              </w:rPr>
            </m:ctrlPr>
          </m:naryPr>
          <m:sub>
            <m:r>
              <w:rPr>
                <w:rFonts w:ascii="Cambria Math" w:eastAsia="Times New Roman" w:hAnsi="Cambria Math" w:cs="Times New Roman"/>
                <w:color w:val="000000" w:themeColor="text1"/>
                <w:lang w:val="en-US"/>
              </w:rPr>
              <m:t>j=1</m:t>
            </m:r>
          </m:sub>
          <m:sup>
            <m:r>
              <m:rPr>
                <m:sty m:val="p"/>
              </m:rPr>
              <w:rPr>
                <w:rFonts w:ascii="Cambria Math" w:eastAsia="Times New Roman" w:hAnsi="Cambria Math" w:cs="Times New Roman"/>
                <w:color w:val="000000" w:themeColor="text1"/>
                <w:lang w:val="en-US"/>
              </w:rPr>
              <m:t>min⁡</m:t>
            </m:r>
            <m:r>
              <w:rPr>
                <w:rFonts w:ascii="Cambria Math" w:eastAsia="Times New Roman" w:hAnsi="Cambria Math" w:cs="Times New Roman"/>
                <w:color w:val="000000" w:themeColor="text1"/>
                <w:lang w:val="en-US"/>
              </w:rPr>
              <m:t>(h,p)</m:t>
            </m:r>
          </m:sup>
          <m:e>
            <m:sSubSup>
              <m:sSubSupPr>
                <m:ctrlPr>
                  <w:rPr>
                    <w:rFonts w:ascii="Cambria Math" w:eastAsia="Times New Roman" w:hAnsi="Cambria Math" w:cs="Times New Roman"/>
                    <w:i/>
                    <w:color w:val="000000" w:themeColor="text1"/>
                    <w:lang w:val="en-US"/>
                  </w:rPr>
                </m:ctrlPr>
              </m:sSubSup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θ</m:t>
                    </m:r>
                  </m:e>
                </m:acc>
              </m:e>
              <m:sub>
                <m:r>
                  <w:rPr>
                    <w:rFonts w:ascii="Cambria Math" w:eastAsia="Times New Roman" w:hAnsi="Cambria Math" w:cs="Times New Roman"/>
                    <w:color w:val="000000" w:themeColor="text1"/>
                    <w:lang w:val="en-US"/>
                  </w:rPr>
                  <m:t>ji</m:t>
                </m:r>
              </m:sub>
              <m:sup>
                <m:r>
                  <w:rPr>
                    <w:rFonts w:ascii="Cambria Math" w:eastAsia="Times New Roman" w:hAnsi="Cambria Math" w:cs="Times New Roman"/>
                    <w:color w:val="000000" w:themeColor="text1"/>
                    <w:lang w:val="en-US"/>
                  </w:rPr>
                  <m:t>h-j+1</m:t>
                </m:r>
              </m:sup>
            </m:sSubSup>
            <m:sSub>
              <m:sSubPr>
                <m:ctrlPr>
                  <w:rPr>
                    <w:rFonts w:ascii="Cambria Math" w:eastAsia="Times New Roman" w:hAnsi="Cambria Math" w:cs="Times New Roman"/>
                    <w:i/>
                    <w:color w:val="000000" w:themeColor="text1"/>
                    <w:lang w:val="en-US"/>
                  </w:rPr>
                </m:ctrlPr>
              </m:sSubPr>
              <m:e>
                <m:acc>
                  <m:accPr>
                    <m:ctrlPr>
                      <w:rPr>
                        <w:rFonts w:ascii="Cambria Math" w:eastAsia="Times New Roman" w:hAnsi="Cambria Math" w:cs="Times New Roman"/>
                        <w:i/>
                        <w:color w:val="000000" w:themeColor="text1"/>
                        <w:lang w:val="en-US"/>
                      </w:rPr>
                    </m:ctrlPr>
                  </m:accPr>
                  <m:e>
                    <m:r>
                      <w:rPr>
                        <w:rFonts w:ascii="Cambria Math" w:eastAsia="Times New Roman" w:hAnsi="Cambria Math" w:cs="Times New Roman"/>
                        <w:color w:val="000000" w:themeColor="text1"/>
                        <w:lang w:val="en-US"/>
                      </w:rPr>
                      <m:t>A</m:t>
                    </m:r>
                  </m:e>
                </m:acc>
              </m:e>
              <m:sub>
                <m:r>
                  <w:rPr>
                    <w:rFonts w:ascii="Cambria Math" w:eastAsia="Times New Roman" w:hAnsi="Cambria Math" w:cs="Times New Roman"/>
                    <w:color w:val="000000" w:themeColor="text1"/>
                    <w:lang w:val="en-US"/>
                  </w:rPr>
                  <m:t>i</m:t>
                </m:r>
              </m:sub>
            </m:sSub>
            <m:sSub>
              <m:sSubPr>
                <m:ctrlPr>
                  <w:rPr>
                    <w:rFonts w:ascii="Cambria Math" w:eastAsia="Times New Roman" w:hAnsi="Cambria Math" w:cs="Times New Roman"/>
                    <w:i/>
                    <w:color w:val="000000" w:themeColor="text1"/>
                    <w:lang w:val="en-US"/>
                  </w:rPr>
                </m:ctrlPr>
              </m:sSubPr>
              <m:e>
                <m:r>
                  <w:rPr>
                    <w:rFonts w:ascii="Cambria Math" w:eastAsia="Times New Roman" w:hAnsi="Cambria Math" w:cs="Times New Roman"/>
                    <w:color w:val="000000" w:themeColor="text1"/>
                    <w:lang w:val="en-US"/>
                  </w:rPr>
                  <m:t>ε</m:t>
                </m:r>
              </m:e>
              <m:sub>
                <m:r>
                  <w:rPr>
                    <w:rFonts w:ascii="Cambria Math" w:eastAsia="Times New Roman" w:hAnsi="Cambria Math" w:cs="Times New Roman"/>
                    <w:color w:val="000000" w:themeColor="text1"/>
                    <w:lang w:val="en-US"/>
                  </w:rPr>
                  <m:t>0</m:t>
                </m:r>
              </m:sub>
            </m:sSub>
          </m:e>
        </m:nary>
      </m:oMath>
      <w:r w:rsidR="0014702A" w:rsidRPr="00FB7DB8">
        <w:rPr>
          <w:rFonts w:ascii="Times New Roman" w:eastAsia="Times New Roman" w:hAnsi="Times New Roman" w:cs="Times New Roman"/>
          <w:color w:val="000000" w:themeColor="text1"/>
          <w:lang w:val="en-US"/>
        </w:rPr>
        <w:tab/>
      </w:r>
      <w:r w:rsidR="0014702A" w:rsidRPr="00FB7DB8">
        <w:rPr>
          <w:rFonts w:ascii="Times New Roman" w:eastAsia="Times New Roman" w:hAnsi="Times New Roman" w:cs="Times New Roman"/>
          <w:color w:val="000000" w:themeColor="text1"/>
          <w:lang w:val="en-US"/>
        </w:rPr>
        <w:tab/>
      </w:r>
      <w:r w:rsidR="0014702A" w:rsidRPr="00FB7DB8">
        <w:rPr>
          <w:rFonts w:ascii="Times New Roman" w:eastAsia="Times New Roman" w:hAnsi="Times New Roman" w:cs="Times New Roman"/>
          <w:color w:val="000000" w:themeColor="text1"/>
          <w:lang w:val="en-US"/>
        </w:rPr>
        <w:tab/>
      </w:r>
      <w:r w:rsidR="0014702A" w:rsidRPr="00FB7DB8">
        <w:rPr>
          <w:rFonts w:ascii="Times New Roman" w:eastAsia="Times New Roman" w:hAnsi="Times New Roman" w:cs="Times New Roman"/>
          <w:color w:val="000000" w:themeColor="text1"/>
          <w:lang w:val="en-US"/>
        </w:rPr>
        <w:tab/>
        <w:t>(5)</w:t>
      </w:r>
    </w:p>
    <w:p w14:paraId="772A077A" w14:textId="6285FD2E" w:rsidR="00A1142E" w:rsidRDefault="00520388" w:rsidP="00BF4C7C">
      <w:pPr>
        <w:autoSpaceDE w:val="0"/>
        <w:autoSpaceDN w:val="0"/>
        <w:adjustRightInd w:val="0"/>
        <w:spacing w:after="0" w:line="480" w:lineRule="auto"/>
        <w:ind w:right="90"/>
        <w:jc w:val="both"/>
        <w:rPr>
          <w:rFonts w:ascii="Times New Roman" w:eastAsia="Calibri" w:hAnsi="Times New Roman" w:cs="Times New Roman"/>
          <w:lang w:val="en-US"/>
        </w:rPr>
      </w:pPr>
      <w:r w:rsidRPr="008E6E59">
        <w:rPr>
          <w:rFonts w:ascii="Times New Roman" w:eastAsia="Calibri" w:hAnsi="Times New Roman" w:cs="Times New Roman"/>
          <w:lang w:val="en-US"/>
        </w:rPr>
        <w:lastRenderedPageBreak/>
        <w:t>The confidence bands of the impulse response functions are</w:t>
      </w:r>
      <w:r w:rsidR="00A1142E" w:rsidRPr="008E6E59">
        <w:rPr>
          <w:rFonts w:ascii="Times New Roman" w:eastAsia="Calibri" w:hAnsi="Times New Roman" w:cs="Times New Roman"/>
          <w:lang w:val="en-US"/>
        </w:rPr>
        <w:t xml:space="preserve"> obtained by Markov Chain Monte Carlo (MCMC) simulation with Gibbs sampling of 5000 draws with a burn-in of 2000.</w:t>
      </w:r>
    </w:p>
    <w:p w14:paraId="494EA620" w14:textId="49E6AF72" w:rsidR="00C57F27" w:rsidRPr="000352F7" w:rsidRDefault="000B4EB6" w:rsidP="00BF4C7C">
      <w:pPr>
        <w:autoSpaceDE w:val="0"/>
        <w:autoSpaceDN w:val="0"/>
        <w:adjustRightInd w:val="0"/>
        <w:spacing w:after="0" w:line="480" w:lineRule="auto"/>
        <w:ind w:right="90"/>
        <w:jc w:val="both"/>
        <w:rPr>
          <w:rFonts w:ascii="Times New Roman" w:eastAsia="Calibri" w:hAnsi="Times New Roman" w:cs="Times New Roman"/>
          <w:b/>
          <w:bCs/>
          <w:i/>
          <w:iCs/>
          <w:color w:val="000000" w:themeColor="text1"/>
          <w:lang w:val="en-US"/>
        </w:rPr>
      </w:pPr>
      <w:r w:rsidRPr="000352F7">
        <w:rPr>
          <w:rFonts w:ascii="Times New Roman" w:eastAsia="Calibri" w:hAnsi="Times New Roman" w:cs="Times New Roman"/>
          <w:b/>
          <w:bCs/>
          <w:i/>
          <w:iCs/>
          <w:color w:val="000000" w:themeColor="text1"/>
          <w:lang w:val="en-US"/>
        </w:rPr>
        <w:t>3.1.2</w:t>
      </w:r>
      <w:r w:rsidR="000E02BA" w:rsidRPr="000352F7">
        <w:rPr>
          <w:rFonts w:ascii="Times New Roman" w:eastAsia="Calibri" w:hAnsi="Times New Roman" w:cs="Times New Roman"/>
          <w:b/>
          <w:bCs/>
          <w:i/>
          <w:iCs/>
          <w:color w:val="000000" w:themeColor="text1"/>
          <w:lang w:val="en-US"/>
        </w:rPr>
        <w:t xml:space="preserve"> </w:t>
      </w:r>
      <w:r w:rsidR="00BD4E49" w:rsidRPr="000352F7">
        <w:rPr>
          <w:rFonts w:ascii="Times New Roman" w:eastAsia="Calibri" w:hAnsi="Times New Roman" w:cs="Times New Roman"/>
          <w:b/>
          <w:bCs/>
          <w:i/>
          <w:iCs/>
          <w:color w:val="000000" w:themeColor="text1"/>
          <w:lang w:val="en-US"/>
        </w:rPr>
        <w:t>Identif</w:t>
      </w:r>
      <w:r w:rsidR="000E02BA" w:rsidRPr="000352F7">
        <w:rPr>
          <w:rFonts w:ascii="Times New Roman" w:eastAsia="Calibri" w:hAnsi="Times New Roman" w:cs="Times New Roman"/>
          <w:b/>
          <w:bCs/>
          <w:i/>
          <w:iCs/>
          <w:color w:val="000000" w:themeColor="text1"/>
          <w:lang w:val="en-US"/>
        </w:rPr>
        <w:t>ication of</w:t>
      </w:r>
      <w:r w:rsidR="00BD4E49" w:rsidRPr="000352F7">
        <w:rPr>
          <w:rFonts w:ascii="Times New Roman" w:eastAsia="Calibri" w:hAnsi="Times New Roman" w:cs="Times New Roman"/>
          <w:b/>
          <w:bCs/>
          <w:i/>
          <w:iCs/>
          <w:color w:val="000000" w:themeColor="text1"/>
          <w:lang w:val="en-US"/>
        </w:rPr>
        <w:t xml:space="preserve"> the </w:t>
      </w:r>
      <w:r w:rsidR="00910C11" w:rsidRPr="000352F7">
        <w:rPr>
          <w:rFonts w:ascii="Times New Roman" w:eastAsia="Calibri" w:hAnsi="Times New Roman" w:cs="Times New Roman"/>
          <w:b/>
          <w:bCs/>
          <w:i/>
          <w:iCs/>
          <w:color w:val="000000" w:themeColor="text1"/>
          <w:lang w:val="en-US"/>
        </w:rPr>
        <w:t>BLC</w:t>
      </w:r>
    </w:p>
    <w:p w14:paraId="26520112" w14:textId="685E13F7" w:rsidR="000E02BA" w:rsidRPr="00EC20FA" w:rsidRDefault="00E9787C" w:rsidP="00BD4E49">
      <w:pPr>
        <w:widowControl w:val="0"/>
        <w:autoSpaceDE w:val="0"/>
        <w:autoSpaceDN w:val="0"/>
        <w:adjustRightInd w:val="0"/>
        <w:spacing w:after="0" w:line="480" w:lineRule="auto"/>
        <w:ind w:right="91"/>
        <w:jc w:val="both"/>
        <w:rPr>
          <w:rFonts w:ascii="Times New Roman" w:hAnsi="Times New Roman" w:cs="Times New Roman"/>
          <w:color w:val="000000" w:themeColor="text1"/>
        </w:rPr>
      </w:pPr>
      <w:r>
        <w:rPr>
          <w:rFonts w:ascii="Times New Roman" w:hAnsi="Times New Roman" w:cs="Times New Roman"/>
          <w:color w:val="000000" w:themeColor="text1"/>
        </w:rPr>
        <w:t>M</w:t>
      </w:r>
      <w:r w:rsidR="00A1142E" w:rsidRPr="008E6E59">
        <w:rPr>
          <w:rFonts w:ascii="Times New Roman" w:hAnsi="Times New Roman" w:cs="Times New Roman"/>
          <w:color w:val="000000" w:themeColor="text1"/>
        </w:rPr>
        <w:t xml:space="preserve">onetary </w:t>
      </w:r>
      <w:r>
        <w:rPr>
          <w:rFonts w:ascii="Times New Roman" w:hAnsi="Times New Roman" w:cs="Times New Roman"/>
          <w:color w:val="000000" w:themeColor="text1"/>
        </w:rPr>
        <w:t>shocks</w:t>
      </w:r>
      <w:r w:rsidR="00A1142E" w:rsidRPr="008E6E59">
        <w:rPr>
          <w:rFonts w:ascii="Times New Roman" w:hAnsi="Times New Roman" w:cs="Times New Roman"/>
          <w:color w:val="000000" w:themeColor="text1"/>
        </w:rPr>
        <w:t xml:space="preserve"> tend to have simultaneous effects on loan supply and </w:t>
      </w:r>
      <w:r w:rsidR="00A06951" w:rsidRPr="008E6E59">
        <w:rPr>
          <w:rFonts w:ascii="Times New Roman" w:hAnsi="Times New Roman" w:cs="Times New Roman"/>
          <w:color w:val="000000" w:themeColor="text1"/>
        </w:rPr>
        <w:t>loan demand, creating a simultaneity proble</w:t>
      </w:r>
      <w:r w:rsidR="00BD4E49">
        <w:rPr>
          <w:rFonts w:ascii="Times New Roman" w:hAnsi="Times New Roman" w:cs="Times New Roman"/>
          <w:color w:val="000000" w:themeColor="text1"/>
        </w:rPr>
        <w:t>m</w:t>
      </w:r>
      <w:r w:rsidR="00A06951" w:rsidRPr="008E6E59">
        <w:rPr>
          <w:rFonts w:ascii="Times New Roman" w:hAnsi="Times New Roman" w:cs="Times New Roman"/>
          <w:color w:val="000000" w:themeColor="text1"/>
        </w:rPr>
        <w:t>.</w:t>
      </w:r>
      <w:r w:rsidR="00F234B6" w:rsidRPr="008E6E59">
        <w:rPr>
          <w:rFonts w:ascii="Times New Roman" w:hAnsi="Times New Roman" w:cs="Times New Roman"/>
          <w:color w:val="000000" w:themeColor="text1"/>
        </w:rPr>
        <w:t xml:space="preserve">  To isolate loan supply from </w:t>
      </w:r>
      <w:r w:rsidR="000352F7">
        <w:rPr>
          <w:rFonts w:ascii="Times New Roman" w:hAnsi="Times New Roman" w:cs="Times New Roman"/>
          <w:color w:val="000000" w:themeColor="text1"/>
        </w:rPr>
        <w:t>loan</w:t>
      </w:r>
      <w:r w:rsidR="00A1142E" w:rsidRPr="008E6E59">
        <w:rPr>
          <w:rFonts w:ascii="Times New Roman" w:hAnsi="Times New Roman" w:cs="Times New Roman"/>
          <w:color w:val="000000" w:themeColor="text1"/>
        </w:rPr>
        <w:t xml:space="preserve"> demand shocks we use the ‘</w:t>
      </w:r>
      <w:r w:rsidR="00A1142E" w:rsidRPr="00AC5777">
        <w:rPr>
          <w:rFonts w:ascii="Times New Roman" w:hAnsi="Times New Roman" w:cs="Times New Roman"/>
          <w:i/>
          <w:iCs/>
          <w:color w:val="000000" w:themeColor="text1"/>
        </w:rPr>
        <w:t>mix</w:t>
      </w:r>
      <w:r w:rsidR="00A1142E" w:rsidRPr="008E6E59">
        <w:rPr>
          <w:rFonts w:ascii="Times New Roman" w:hAnsi="Times New Roman" w:cs="Times New Roman"/>
          <w:color w:val="000000" w:themeColor="text1"/>
        </w:rPr>
        <w:t xml:space="preserve">’ variable which is the ratio between mortgage holding by depository </w:t>
      </w:r>
      <w:r w:rsidR="0083670B" w:rsidRPr="008E6E59">
        <w:rPr>
          <w:rFonts w:ascii="Times New Roman" w:hAnsi="Times New Roman" w:cs="Times New Roman"/>
          <w:color w:val="000000" w:themeColor="text1"/>
        </w:rPr>
        <w:t>institutions and</w:t>
      </w:r>
      <w:r w:rsidR="00A1142E" w:rsidRPr="008E6E59">
        <w:rPr>
          <w:rFonts w:ascii="Times New Roman" w:hAnsi="Times New Roman" w:cs="Times New Roman"/>
          <w:color w:val="000000" w:themeColor="text1"/>
        </w:rPr>
        <w:t xml:space="preserve"> the </w:t>
      </w:r>
      <w:r w:rsidR="0083670B" w:rsidRPr="008E6E59">
        <w:rPr>
          <w:rFonts w:ascii="Times New Roman" w:hAnsi="Times New Roman" w:cs="Times New Roman"/>
          <w:color w:val="000000" w:themeColor="text1"/>
        </w:rPr>
        <w:t>sum of mortgage holding by depository institutions</w:t>
      </w:r>
      <w:r w:rsidR="00A1142E" w:rsidRPr="008E6E59">
        <w:rPr>
          <w:rFonts w:ascii="Times New Roman" w:hAnsi="Times New Roman" w:cs="Times New Roman"/>
          <w:color w:val="000000" w:themeColor="text1"/>
        </w:rPr>
        <w:t xml:space="preserve"> and market-based financial intermediaries.</w:t>
      </w:r>
      <w:r w:rsidR="00910C11">
        <w:rPr>
          <w:rStyle w:val="FootnoteReference"/>
          <w:rFonts w:ascii="Times New Roman" w:hAnsi="Times New Roman" w:cs="Times New Roman"/>
          <w:color w:val="000000" w:themeColor="text1"/>
        </w:rPr>
        <w:footnoteReference w:id="6"/>
      </w:r>
      <w:r w:rsidR="00910C11" w:rsidRPr="008E6E59">
        <w:rPr>
          <w:rFonts w:ascii="Times New Roman" w:hAnsi="Times New Roman" w:cs="Times New Roman"/>
          <w:color w:val="000000" w:themeColor="text1"/>
        </w:rPr>
        <w:t xml:space="preserve"> </w:t>
      </w:r>
      <w:r w:rsidR="001B16F5" w:rsidRPr="008E6E59">
        <w:rPr>
          <w:rFonts w:ascii="Times New Roman" w:hAnsi="Times New Roman" w:cs="Times New Roman"/>
          <w:color w:val="000000" w:themeColor="text1"/>
        </w:rPr>
        <w:t xml:space="preserve">Given the assumption that </w:t>
      </w:r>
      <w:r w:rsidR="003F3EDF" w:rsidRPr="008E6E59">
        <w:rPr>
          <w:rFonts w:ascii="Times New Roman" w:hAnsi="Times New Roman" w:cs="Times New Roman"/>
          <w:color w:val="000000" w:themeColor="text1"/>
        </w:rPr>
        <w:t>managed liabilities are</w:t>
      </w:r>
      <w:r w:rsidR="001B16F5" w:rsidRPr="008E6E59">
        <w:rPr>
          <w:rFonts w:ascii="Times New Roman" w:hAnsi="Times New Roman" w:cs="Times New Roman"/>
          <w:color w:val="000000" w:themeColor="text1"/>
        </w:rPr>
        <w:t xml:space="preserve"> </w:t>
      </w:r>
      <w:r w:rsidR="003F3EDF" w:rsidRPr="008E6E59">
        <w:rPr>
          <w:rFonts w:ascii="Times New Roman" w:hAnsi="Times New Roman" w:cs="Times New Roman"/>
          <w:color w:val="000000" w:themeColor="text1"/>
        </w:rPr>
        <w:t>im</w:t>
      </w:r>
      <w:r w:rsidR="001B16F5" w:rsidRPr="008E6E59">
        <w:rPr>
          <w:rFonts w:ascii="Times New Roman" w:hAnsi="Times New Roman" w:cs="Times New Roman"/>
          <w:color w:val="000000" w:themeColor="text1"/>
        </w:rPr>
        <w:t>perfect substitute of retail deposits</w:t>
      </w:r>
      <w:r w:rsidR="00FF24BC" w:rsidRPr="008E6E59">
        <w:rPr>
          <w:rFonts w:ascii="Times New Roman" w:hAnsi="Times New Roman" w:cs="Times New Roman"/>
          <w:color w:val="000000" w:themeColor="text1"/>
        </w:rPr>
        <w:t>,</w:t>
      </w:r>
      <w:r w:rsidR="00A34F0B" w:rsidRPr="008E6E59">
        <w:rPr>
          <w:rFonts w:ascii="Times New Roman" w:hAnsi="Times New Roman" w:cs="Times New Roman"/>
          <w:color w:val="000000" w:themeColor="text1"/>
        </w:rPr>
        <w:t xml:space="preserve"> </w:t>
      </w:r>
      <w:r w:rsidR="001B16F5" w:rsidRPr="008E6E59">
        <w:rPr>
          <w:rFonts w:ascii="Times New Roman" w:hAnsi="Times New Roman" w:cs="Times New Roman"/>
          <w:color w:val="000000" w:themeColor="text1"/>
        </w:rPr>
        <w:t>a contractionary monetary policy</w:t>
      </w:r>
      <w:r w:rsidR="00F053B2" w:rsidRPr="008E6E59">
        <w:rPr>
          <w:rFonts w:ascii="Times New Roman" w:hAnsi="Times New Roman" w:cs="Times New Roman"/>
          <w:color w:val="000000" w:themeColor="text1"/>
        </w:rPr>
        <w:t xml:space="preserve"> tend to reduce</w:t>
      </w:r>
      <w:r w:rsidR="001B16F5" w:rsidRPr="008E6E59">
        <w:rPr>
          <w:rFonts w:ascii="Times New Roman" w:hAnsi="Times New Roman" w:cs="Times New Roman"/>
          <w:color w:val="000000" w:themeColor="text1"/>
        </w:rPr>
        <w:t xml:space="preserve"> </w:t>
      </w:r>
      <w:r w:rsidR="000E2240" w:rsidRPr="008E6E59">
        <w:rPr>
          <w:rFonts w:ascii="Times New Roman" w:hAnsi="Times New Roman" w:cs="Times New Roman"/>
          <w:color w:val="000000" w:themeColor="text1"/>
        </w:rPr>
        <w:t>deposi</w:t>
      </w:r>
      <w:r w:rsidR="00F053B2" w:rsidRPr="008E6E59">
        <w:rPr>
          <w:rFonts w:ascii="Times New Roman" w:hAnsi="Times New Roman" w:cs="Times New Roman"/>
          <w:color w:val="000000" w:themeColor="text1"/>
        </w:rPr>
        <w:t>tory institutions mortgage lending</w:t>
      </w:r>
      <w:r w:rsidR="000E2240" w:rsidRPr="008E6E59">
        <w:rPr>
          <w:rFonts w:ascii="Times New Roman" w:hAnsi="Times New Roman" w:cs="Times New Roman"/>
          <w:color w:val="000000" w:themeColor="text1"/>
        </w:rPr>
        <w:t>.</w:t>
      </w:r>
      <w:r w:rsidR="00407232" w:rsidRPr="008E6E59">
        <w:rPr>
          <w:rFonts w:ascii="Times New Roman" w:hAnsi="Times New Roman" w:cs="Times New Roman"/>
          <w:color w:val="000000" w:themeColor="text1"/>
        </w:rPr>
        <w:t xml:space="preserve"> </w:t>
      </w:r>
      <w:r w:rsidR="00C63890">
        <w:rPr>
          <w:rFonts w:ascii="Times New Roman" w:hAnsi="Times New Roman" w:cs="Times New Roman"/>
          <w:color w:val="000000" w:themeColor="text1"/>
        </w:rPr>
        <w:t>I</w:t>
      </w:r>
      <w:r w:rsidR="00407232" w:rsidRPr="008E6E59">
        <w:rPr>
          <w:rFonts w:ascii="Times New Roman" w:hAnsi="Times New Roman" w:cs="Times New Roman"/>
          <w:color w:val="000000" w:themeColor="text1"/>
        </w:rPr>
        <w:t xml:space="preserve">f the </w:t>
      </w:r>
      <w:r w:rsidR="002C77B8" w:rsidRPr="008E6E59">
        <w:rPr>
          <w:rFonts w:ascii="Times New Roman" w:hAnsi="Times New Roman" w:cs="Times New Roman"/>
          <w:color w:val="000000" w:themeColor="text1"/>
        </w:rPr>
        <w:t>decline in</w:t>
      </w:r>
      <w:r w:rsidR="00407232" w:rsidRPr="008E6E59">
        <w:rPr>
          <w:rFonts w:ascii="Times New Roman" w:hAnsi="Times New Roman" w:cs="Times New Roman"/>
          <w:color w:val="000000" w:themeColor="text1"/>
        </w:rPr>
        <w:t xml:space="preserve"> mortgage supply is not compensated by alternative sources of </w:t>
      </w:r>
      <w:r w:rsidR="001B4E08" w:rsidRPr="008E6E59">
        <w:rPr>
          <w:rFonts w:ascii="Times New Roman" w:hAnsi="Times New Roman" w:cs="Times New Roman"/>
          <w:color w:val="000000" w:themeColor="text1"/>
        </w:rPr>
        <w:t xml:space="preserve">funding then the </w:t>
      </w:r>
      <w:r w:rsidR="00AC5777">
        <w:rPr>
          <w:rFonts w:ascii="Times New Roman" w:hAnsi="Times New Roman" w:cs="Times New Roman"/>
          <w:color w:val="000000" w:themeColor="text1"/>
        </w:rPr>
        <w:t>‘</w:t>
      </w:r>
      <w:r w:rsidR="001B4E08" w:rsidRPr="00AC5777">
        <w:rPr>
          <w:rFonts w:ascii="Times New Roman" w:hAnsi="Times New Roman" w:cs="Times New Roman"/>
          <w:i/>
          <w:iCs/>
          <w:color w:val="000000" w:themeColor="text1"/>
        </w:rPr>
        <w:t>mix</w:t>
      </w:r>
      <w:r w:rsidR="00AC5777">
        <w:rPr>
          <w:rFonts w:ascii="Times New Roman" w:hAnsi="Times New Roman" w:cs="Times New Roman"/>
          <w:i/>
          <w:iCs/>
          <w:color w:val="000000" w:themeColor="text1"/>
        </w:rPr>
        <w:t>’</w:t>
      </w:r>
      <w:r w:rsidR="00AC5777">
        <w:rPr>
          <w:rFonts w:ascii="Times New Roman" w:hAnsi="Times New Roman" w:cs="Times New Roman"/>
          <w:color w:val="000000" w:themeColor="text1"/>
        </w:rPr>
        <w:t xml:space="preserve"> variable</w:t>
      </w:r>
      <w:r w:rsidR="001B4E08" w:rsidRPr="008E6E59">
        <w:rPr>
          <w:rFonts w:ascii="Times New Roman" w:hAnsi="Times New Roman" w:cs="Times New Roman"/>
          <w:color w:val="000000" w:themeColor="text1"/>
        </w:rPr>
        <w:t xml:space="preserve"> will </w:t>
      </w:r>
      <w:r w:rsidR="00D9131B" w:rsidRPr="008E6E59">
        <w:rPr>
          <w:rFonts w:ascii="Times New Roman" w:hAnsi="Times New Roman" w:cs="Times New Roman"/>
          <w:color w:val="000000" w:themeColor="text1"/>
        </w:rPr>
        <w:t>decrease, hence advocating an effective BLC.</w:t>
      </w:r>
      <w:r w:rsidR="00110F93" w:rsidRPr="008E6E59">
        <w:rPr>
          <w:rStyle w:val="FootnoteReference"/>
          <w:rFonts w:ascii="Times New Roman" w:hAnsi="Times New Roman" w:cs="Times New Roman"/>
          <w:color w:val="000000" w:themeColor="text1"/>
        </w:rPr>
        <w:footnoteReference w:id="7"/>
      </w:r>
      <w:r w:rsidR="009422FC">
        <w:rPr>
          <w:rFonts w:ascii="Times New Roman" w:hAnsi="Times New Roman" w:cs="Times New Roman"/>
          <w:color w:val="000000" w:themeColor="text1"/>
        </w:rPr>
        <w:t xml:space="preserve"> </w:t>
      </w:r>
      <w:r w:rsidR="0091076E" w:rsidRPr="008E6E59">
        <w:rPr>
          <w:rFonts w:ascii="Times New Roman" w:hAnsi="Times New Roman" w:cs="Times New Roman"/>
          <w:color w:val="000000" w:themeColor="text1"/>
        </w:rPr>
        <w:t xml:space="preserve">One of the benefits of using the </w:t>
      </w:r>
      <w:r w:rsidR="00AC5777">
        <w:rPr>
          <w:rFonts w:ascii="Times New Roman" w:hAnsi="Times New Roman" w:cs="Times New Roman"/>
          <w:color w:val="000000" w:themeColor="text1"/>
        </w:rPr>
        <w:t>‘</w:t>
      </w:r>
      <w:r w:rsidR="0091076E" w:rsidRPr="00AC5777">
        <w:rPr>
          <w:rFonts w:ascii="Times New Roman" w:hAnsi="Times New Roman" w:cs="Times New Roman"/>
          <w:i/>
          <w:iCs/>
          <w:color w:val="000000" w:themeColor="text1"/>
        </w:rPr>
        <w:t>mix</w:t>
      </w:r>
      <w:r w:rsidR="00AC5777">
        <w:rPr>
          <w:rFonts w:ascii="Times New Roman" w:hAnsi="Times New Roman" w:cs="Times New Roman"/>
          <w:i/>
          <w:iCs/>
          <w:color w:val="000000" w:themeColor="text1"/>
        </w:rPr>
        <w:t>’</w:t>
      </w:r>
      <w:r w:rsidR="0091076E" w:rsidRPr="008E6E59">
        <w:rPr>
          <w:rFonts w:ascii="Times New Roman" w:hAnsi="Times New Roman" w:cs="Times New Roman"/>
          <w:color w:val="000000" w:themeColor="text1"/>
        </w:rPr>
        <w:t xml:space="preserve"> is that it remains unaltered by mortgage demand shocks</w:t>
      </w:r>
      <w:r w:rsidR="002C77B8" w:rsidRPr="008E6E59">
        <w:rPr>
          <w:rFonts w:ascii="Times New Roman" w:hAnsi="Times New Roman" w:cs="Times New Roman"/>
          <w:color w:val="000000" w:themeColor="text1"/>
        </w:rPr>
        <w:t xml:space="preserve"> since such shocks</w:t>
      </w:r>
      <w:r w:rsidR="00AF454D" w:rsidRPr="008E6E59">
        <w:rPr>
          <w:rFonts w:ascii="Times New Roman" w:hAnsi="Times New Roman" w:cs="Times New Roman"/>
          <w:color w:val="000000" w:themeColor="text1"/>
        </w:rPr>
        <w:t xml:space="preserve"> typically effect both depository and non-depository market based institutions in the same magnitude</w:t>
      </w:r>
      <w:r w:rsidR="00007FD7" w:rsidRPr="008E6E59">
        <w:rPr>
          <w:rFonts w:ascii="Times New Roman" w:hAnsi="Times New Roman" w:cs="Times New Roman"/>
          <w:color w:val="000000" w:themeColor="text1"/>
        </w:rPr>
        <w:t>.</w:t>
      </w:r>
      <w:r w:rsidR="002C77B8" w:rsidRPr="008E6E59">
        <w:rPr>
          <w:rStyle w:val="FootnoteReference"/>
          <w:rFonts w:ascii="Times New Roman" w:hAnsi="Times New Roman" w:cs="Times New Roman"/>
          <w:color w:val="000000" w:themeColor="text1"/>
        </w:rPr>
        <w:footnoteReference w:id="8"/>
      </w:r>
      <w:r w:rsidR="00D0364A" w:rsidRPr="008E6E59">
        <w:rPr>
          <w:rFonts w:ascii="Times New Roman" w:hAnsi="Times New Roman" w:cs="Times New Roman"/>
          <w:color w:val="000000" w:themeColor="text1"/>
        </w:rPr>
        <w:t xml:space="preserve"> In </w:t>
      </w:r>
      <w:r w:rsidR="00A1142E" w:rsidRPr="008E6E59">
        <w:rPr>
          <w:rFonts w:ascii="Times New Roman" w:hAnsi="Times New Roman" w:cs="Times New Roman"/>
          <w:color w:val="000000"/>
        </w:rPr>
        <w:t>Ia</w:t>
      </w:r>
      <w:r w:rsidR="00200D51" w:rsidRPr="008E6E59">
        <w:rPr>
          <w:rFonts w:ascii="Times New Roman" w:hAnsi="Times New Roman" w:cs="Times New Roman"/>
          <w:color w:val="000000"/>
        </w:rPr>
        <w:t>coviello and Minetti (2008)</w:t>
      </w:r>
      <w:r w:rsidR="00D0364A" w:rsidRPr="008E6E59">
        <w:rPr>
          <w:rFonts w:ascii="Times New Roman" w:hAnsi="Times New Roman" w:cs="Times New Roman"/>
          <w:color w:val="000000"/>
        </w:rPr>
        <w:t xml:space="preserve"> </w:t>
      </w:r>
      <w:r w:rsidR="00200D51" w:rsidRPr="008E6E59">
        <w:rPr>
          <w:rFonts w:ascii="Times New Roman" w:hAnsi="Times New Roman" w:cs="Times New Roman"/>
          <w:color w:val="000000"/>
        </w:rPr>
        <w:t>the</w:t>
      </w:r>
      <w:r w:rsidR="00A1142E" w:rsidRPr="008E6E59">
        <w:rPr>
          <w:rFonts w:ascii="Times New Roman" w:hAnsi="Times New Roman" w:cs="Times New Roman"/>
          <w:color w:val="000000"/>
        </w:rPr>
        <w:t xml:space="preserve"> </w:t>
      </w:r>
      <w:r w:rsidR="00390F84" w:rsidRPr="00AC5777">
        <w:rPr>
          <w:rFonts w:ascii="Times New Roman" w:hAnsi="Times New Roman" w:cs="Times New Roman"/>
          <w:i/>
          <w:iCs/>
          <w:color w:val="000000"/>
        </w:rPr>
        <w:t>m</w:t>
      </w:r>
      <w:r w:rsidR="00200D51" w:rsidRPr="00AC5777">
        <w:rPr>
          <w:rFonts w:ascii="Times New Roman" w:hAnsi="Times New Roman" w:cs="Times New Roman"/>
          <w:i/>
          <w:iCs/>
          <w:color w:val="000000"/>
        </w:rPr>
        <w:t>ix</w:t>
      </w:r>
      <w:r w:rsidR="00D0364A" w:rsidRPr="008E6E59">
        <w:rPr>
          <w:rFonts w:ascii="Times New Roman" w:hAnsi="Times New Roman" w:cs="Times New Roman"/>
          <w:color w:val="000000"/>
        </w:rPr>
        <w:t xml:space="preserve"> is used</w:t>
      </w:r>
      <w:r w:rsidR="00200D51" w:rsidRPr="008E6E59">
        <w:rPr>
          <w:rFonts w:ascii="Times New Roman" w:hAnsi="Times New Roman" w:cs="Times New Roman"/>
          <w:color w:val="000000"/>
        </w:rPr>
        <w:t xml:space="preserve"> </w:t>
      </w:r>
      <w:r w:rsidR="00A1142E" w:rsidRPr="008E6E59">
        <w:rPr>
          <w:rFonts w:ascii="Times New Roman" w:hAnsi="Times New Roman" w:cs="Times New Roman"/>
          <w:color w:val="000000"/>
        </w:rPr>
        <w:t>in a succession of linear VAR’s</w:t>
      </w:r>
      <w:r w:rsidR="00200D51" w:rsidRPr="008E6E59">
        <w:rPr>
          <w:rFonts w:ascii="Times New Roman" w:hAnsi="Times New Roman" w:cs="Times New Roman"/>
          <w:color w:val="000000"/>
        </w:rPr>
        <w:t xml:space="preserve"> first</w:t>
      </w:r>
      <w:r w:rsidR="00B112C5" w:rsidRPr="008E6E59">
        <w:rPr>
          <w:rFonts w:ascii="Times New Roman" w:hAnsi="Times New Roman" w:cs="Times New Roman"/>
          <w:color w:val="000000"/>
        </w:rPr>
        <w:t xml:space="preserve"> to</w:t>
      </w:r>
      <w:r w:rsidR="00D16855" w:rsidRPr="008E6E59">
        <w:rPr>
          <w:rFonts w:ascii="Times New Roman" w:hAnsi="Times New Roman" w:cs="Times New Roman"/>
          <w:color w:val="000000"/>
        </w:rPr>
        <w:t xml:space="preserve"> </w:t>
      </w:r>
      <w:r w:rsidR="00EB7B7D">
        <w:rPr>
          <w:rFonts w:ascii="Times New Roman" w:hAnsi="Times New Roman" w:cs="Times New Roman"/>
          <w:color w:val="000000"/>
        </w:rPr>
        <w:t xml:space="preserve">see the overall impact of monetary policy, then </w:t>
      </w:r>
      <w:r w:rsidR="00E7153E" w:rsidRPr="008E6E59">
        <w:rPr>
          <w:rFonts w:ascii="Times New Roman" w:hAnsi="Times New Roman" w:cs="Times New Roman"/>
          <w:color w:val="000000"/>
        </w:rPr>
        <w:t xml:space="preserve">identify </w:t>
      </w:r>
      <w:r w:rsidR="00FF6763" w:rsidRPr="008E6E59">
        <w:rPr>
          <w:rFonts w:ascii="Times New Roman" w:hAnsi="Times New Roman" w:cs="Times New Roman"/>
          <w:color w:val="000000"/>
        </w:rPr>
        <w:t xml:space="preserve">the </w:t>
      </w:r>
      <w:r w:rsidR="00A1142E" w:rsidRPr="008E6E59">
        <w:rPr>
          <w:rFonts w:ascii="Times New Roman" w:hAnsi="Times New Roman" w:cs="Times New Roman"/>
          <w:color w:val="000000"/>
        </w:rPr>
        <w:t xml:space="preserve">credit channel and </w:t>
      </w:r>
      <w:r w:rsidR="00C71767">
        <w:rPr>
          <w:rFonts w:ascii="Times New Roman" w:hAnsi="Times New Roman" w:cs="Times New Roman"/>
          <w:color w:val="000000"/>
        </w:rPr>
        <w:t>finally</w:t>
      </w:r>
      <w:r w:rsidR="00E7153E" w:rsidRPr="008E6E59">
        <w:rPr>
          <w:rFonts w:ascii="Times New Roman" w:hAnsi="Times New Roman" w:cs="Times New Roman"/>
          <w:color w:val="000000"/>
        </w:rPr>
        <w:t xml:space="preserve"> disentangle the credit channel</w:t>
      </w:r>
      <w:r w:rsidR="00BE3BC9" w:rsidRPr="008E6E59">
        <w:rPr>
          <w:rFonts w:ascii="Times New Roman" w:hAnsi="Times New Roman" w:cs="Times New Roman"/>
          <w:color w:val="000000"/>
        </w:rPr>
        <w:t>;</w:t>
      </w:r>
      <w:r w:rsidR="00E7153E" w:rsidRPr="008E6E59">
        <w:rPr>
          <w:rFonts w:ascii="Times New Roman" w:hAnsi="Times New Roman" w:cs="Times New Roman"/>
          <w:color w:val="000000"/>
        </w:rPr>
        <w:t xml:space="preserve"> separate </w:t>
      </w:r>
      <w:r w:rsidR="00C71767">
        <w:rPr>
          <w:rFonts w:ascii="Times New Roman" w:hAnsi="Times New Roman" w:cs="Times New Roman"/>
          <w:color w:val="000000"/>
        </w:rPr>
        <w:t>the</w:t>
      </w:r>
      <w:r w:rsidR="00A1142E" w:rsidRPr="008E6E59">
        <w:rPr>
          <w:rFonts w:ascii="Times New Roman" w:hAnsi="Times New Roman" w:cs="Times New Roman"/>
          <w:color w:val="000000"/>
        </w:rPr>
        <w:t xml:space="preserve"> </w:t>
      </w:r>
      <w:r w:rsidR="00AF4819" w:rsidRPr="008E6E59">
        <w:rPr>
          <w:rFonts w:ascii="Times New Roman" w:hAnsi="Times New Roman" w:cs="Times New Roman"/>
          <w:color w:val="000000"/>
        </w:rPr>
        <w:t>BLC</w:t>
      </w:r>
      <w:r w:rsidR="00A1142E" w:rsidRPr="008E6E59">
        <w:rPr>
          <w:rFonts w:ascii="Times New Roman" w:hAnsi="Times New Roman" w:cs="Times New Roman"/>
          <w:color w:val="000000"/>
        </w:rPr>
        <w:t xml:space="preserve"> </w:t>
      </w:r>
      <w:r w:rsidR="00D16855" w:rsidRPr="008E6E59">
        <w:rPr>
          <w:rFonts w:ascii="Times New Roman" w:hAnsi="Times New Roman" w:cs="Times New Roman"/>
          <w:color w:val="000000"/>
        </w:rPr>
        <w:t>from the</w:t>
      </w:r>
      <w:r w:rsidR="00AF4819" w:rsidRPr="008E6E59">
        <w:rPr>
          <w:rFonts w:ascii="Times New Roman" w:hAnsi="Times New Roman" w:cs="Times New Roman"/>
          <w:color w:val="000000"/>
        </w:rPr>
        <w:t xml:space="preserve"> </w:t>
      </w:r>
      <w:r w:rsidR="00FF6763" w:rsidRPr="008E6E59">
        <w:rPr>
          <w:rFonts w:ascii="Times New Roman" w:hAnsi="Times New Roman" w:cs="Times New Roman"/>
          <w:color w:val="000000"/>
        </w:rPr>
        <w:t>BSC</w:t>
      </w:r>
      <w:r w:rsidR="00BE3BC9" w:rsidRPr="008E6E59">
        <w:rPr>
          <w:rFonts w:ascii="Times New Roman" w:hAnsi="Times New Roman" w:cs="Times New Roman"/>
          <w:color w:val="000000"/>
        </w:rPr>
        <w:t>.</w:t>
      </w:r>
      <w:r w:rsidR="00D16855" w:rsidRPr="008E6E59">
        <w:rPr>
          <w:rFonts w:ascii="Times New Roman" w:hAnsi="Times New Roman" w:cs="Times New Roman"/>
          <w:color w:val="000000"/>
        </w:rPr>
        <w:t xml:space="preserve"> </w:t>
      </w:r>
      <w:r w:rsidR="00C71767">
        <w:rPr>
          <w:rFonts w:ascii="Times New Roman" w:hAnsi="Times New Roman" w:cs="Times New Roman"/>
          <w:color w:val="000000"/>
        </w:rPr>
        <w:t xml:space="preserve">Instead of </w:t>
      </w:r>
      <w:r w:rsidR="00C71767" w:rsidRPr="00FC28FC">
        <w:rPr>
          <w:rFonts w:ascii="Times New Roman" w:hAnsi="Times New Roman" w:cs="Times New Roman"/>
          <w:color w:val="000000"/>
        </w:rPr>
        <w:t>line</w:t>
      </w:r>
      <w:r w:rsidR="00DD77A2" w:rsidRPr="00FC28FC">
        <w:rPr>
          <w:rFonts w:ascii="Times New Roman" w:hAnsi="Times New Roman" w:cs="Times New Roman"/>
          <w:color w:val="000000"/>
        </w:rPr>
        <w:t>a</w:t>
      </w:r>
      <w:r w:rsidR="00C71767" w:rsidRPr="00FC28FC">
        <w:rPr>
          <w:rFonts w:ascii="Times New Roman" w:hAnsi="Times New Roman" w:cs="Times New Roman"/>
          <w:color w:val="000000"/>
        </w:rPr>
        <w:t>r</w:t>
      </w:r>
      <w:r w:rsidR="00C71767">
        <w:rPr>
          <w:rFonts w:ascii="Times New Roman" w:hAnsi="Times New Roman" w:cs="Times New Roman"/>
          <w:color w:val="000000"/>
        </w:rPr>
        <w:t xml:space="preserve"> VARs w</w:t>
      </w:r>
      <w:r w:rsidR="00A1142E" w:rsidRPr="008E6E59">
        <w:rPr>
          <w:rFonts w:ascii="Times New Roman" w:hAnsi="Times New Roman" w:cs="Times New Roman"/>
          <w:color w:val="000000"/>
        </w:rPr>
        <w:t>e</w:t>
      </w:r>
      <w:r w:rsidR="00963BBB" w:rsidRPr="008E6E59">
        <w:rPr>
          <w:rFonts w:ascii="Times New Roman" w:hAnsi="Times New Roman" w:cs="Times New Roman"/>
          <w:color w:val="000000"/>
        </w:rPr>
        <w:t xml:space="preserve"> </w:t>
      </w:r>
      <w:r w:rsidR="00AB7C77">
        <w:rPr>
          <w:rFonts w:ascii="Times New Roman" w:hAnsi="Times New Roman" w:cs="Times New Roman"/>
          <w:color w:val="000000"/>
        </w:rPr>
        <w:t>employ</w:t>
      </w:r>
      <w:r w:rsidR="00A1142E" w:rsidRPr="008E6E59">
        <w:rPr>
          <w:rFonts w:ascii="Times New Roman" w:hAnsi="Times New Roman" w:cs="Times New Roman"/>
          <w:color w:val="000000"/>
        </w:rPr>
        <w:t xml:space="preserve"> </w:t>
      </w:r>
      <w:r w:rsidR="00BE711A">
        <w:rPr>
          <w:rFonts w:ascii="Times New Roman" w:hAnsi="Times New Roman" w:cs="Times New Roman"/>
          <w:color w:val="000000"/>
        </w:rPr>
        <w:t>MSVAR</w:t>
      </w:r>
      <w:r w:rsidR="0055122E" w:rsidRPr="008E6E59">
        <w:rPr>
          <w:rFonts w:ascii="Times New Roman" w:hAnsi="Times New Roman" w:cs="Times New Roman"/>
          <w:color w:val="000000"/>
        </w:rPr>
        <w:t>s</w:t>
      </w:r>
      <w:r w:rsidR="00525F19">
        <w:rPr>
          <w:rFonts w:ascii="Times New Roman" w:hAnsi="Times New Roman" w:cs="Times New Roman"/>
          <w:color w:val="000000"/>
        </w:rPr>
        <w:t xml:space="preserve"> and regime dependent IRFs</w:t>
      </w:r>
      <w:r w:rsidR="007F50B5">
        <w:rPr>
          <w:rFonts w:ascii="Times New Roman" w:hAnsi="Times New Roman" w:cs="Times New Roman"/>
          <w:color w:val="000000"/>
        </w:rPr>
        <w:t xml:space="preserve"> </w:t>
      </w:r>
      <w:r w:rsidR="00525F19">
        <w:rPr>
          <w:rFonts w:ascii="Times New Roman" w:hAnsi="Times New Roman" w:cs="Times New Roman"/>
          <w:color w:val="000000"/>
        </w:rPr>
        <w:t xml:space="preserve">as </w:t>
      </w:r>
      <w:r w:rsidR="00A1142E" w:rsidRPr="008E6E59">
        <w:rPr>
          <w:rFonts w:ascii="Times New Roman" w:hAnsi="Times New Roman" w:cs="Times New Roman"/>
          <w:color w:val="000000"/>
        </w:rPr>
        <w:t>our objective is to identify the magnitude of the</w:t>
      </w:r>
      <w:r w:rsidR="007F50B5">
        <w:rPr>
          <w:rFonts w:ascii="Times New Roman" w:hAnsi="Times New Roman" w:cs="Times New Roman"/>
          <w:color w:val="000000"/>
        </w:rPr>
        <w:t xml:space="preserve"> BLC</w:t>
      </w:r>
      <w:r w:rsidR="00A1142E" w:rsidRPr="008E6E59">
        <w:rPr>
          <w:rFonts w:ascii="Times New Roman" w:hAnsi="Times New Roman" w:cs="Times New Roman"/>
          <w:color w:val="000000"/>
        </w:rPr>
        <w:t xml:space="preserve"> during </w:t>
      </w:r>
      <w:r w:rsidR="007F50B5">
        <w:rPr>
          <w:rFonts w:ascii="Times New Roman" w:hAnsi="Times New Roman" w:cs="Times New Roman"/>
          <w:color w:val="000000"/>
        </w:rPr>
        <w:t>expansion</w:t>
      </w:r>
      <w:r w:rsidR="00A1142E" w:rsidRPr="008E6E59">
        <w:rPr>
          <w:rFonts w:ascii="Times New Roman" w:hAnsi="Times New Roman" w:cs="Times New Roman"/>
          <w:color w:val="000000"/>
        </w:rPr>
        <w:t xml:space="preserve"> and recession</w:t>
      </w:r>
      <w:r w:rsidR="00EC20FA">
        <w:rPr>
          <w:rFonts w:ascii="Times New Roman" w:hAnsi="Times New Roman" w:cs="Times New Roman"/>
          <w:color w:val="000000"/>
        </w:rPr>
        <w:t>s</w:t>
      </w:r>
      <w:r w:rsidR="00A1142E" w:rsidRPr="008E6E59">
        <w:rPr>
          <w:rFonts w:ascii="Times New Roman" w:hAnsi="Times New Roman" w:cs="Times New Roman"/>
          <w:color w:val="000000"/>
        </w:rPr>
        <w:t xml:space="preserve">. </w:t>
      </w:r>
      <w:r w:rsidR="00FC5992" w:rsidRPr="00EC20FA">
        <w:rPr>
          <w:rFonts w:ascii="Times New Roman" w:hAnsi="Times New Roman" w:cs="Times New Roman"/>
          <w:color w:val="000000" w:themeColor="text1"/>
        </w:rPr>
        <w:t>Recursive identification scheme</w:t>
      </w:r>
      <w:r w:rsidR="0048179E" w:rsidRPr="00EC20FA">
        <w:rPr>
          <w:rFonts w:ascii="Times New Roman" w:hAnsi="Times New Roman" w:cs="Times New Roman"/>
          <w:color w:val="000000" w:themeColor="text1"/>
        </w:rPr>
        <w:t xml:space="preserve"> </w:t>
      </w:r>
      <w:r w:rsidR="00EC20FA" w:rsidRPr="00EC20FA">
        <w:rPr>
          <w:rFonts w:ascii="Times New Roman" w:hAnsi="Times New Roman" w:cs="Times New Roman"/>
          <w:color w:val="000000" w:themeColor="text1"/>
        </w:rPr>
        <w:t>analogous</w:t>
      </w:r>
      <w:r w:rsidR="0048179E" w:rsidRPr="00EC20FA">
        <w:rPr>
          <w:rFonts w:ascii="Times New Roman" w:hAnsi="Times New Roman" w:cs="Times New Roman"/>
          <w:color w:val="000000" w:themeColor="text1"/>
        </w:rPr>
        <w:t xml:space="preserve"> </w:t>
      </w:r>
      <w:r w:rsidR="00EC20FA">
        <w:rPr>
          <w:rFonts w:ascii="Times New Roman" w:hAnsi="Times New Roman" w:cs="Times New Roman"/>
          <w:color w:val="000000" w:themeColor="text1"/>
        </w:rPr>
        <w:t>to</w:t>
      </w:r>
      <w:r w:rsidR="00FC5992" w:rsidRPr="00EC20FA">
        <w:rPr>
          <w:rFonts w:ascii="Times New Roman" w:hAnsi="Times New Roman" w:cs="Times New Roman"/>
          <w:color w:val="000000" w:themeColor="text1"/>
        </w:rPr>
        <w:t xml:space="preserve"> Milcheva (2013)</w:t>
      </w:r>
      <w:r w:rsidR="00C71767" w:rsidRPr="00EC20FA">
        <w:rPr>
          <w:rFonts w:ascii="Times New Roman" w:hAnsi="Times New Roman" w:cs="Times New Roman"/>
          <w:color w:val="000000" w:themeColor="text1"/>
        </w:rPr>
        <w:t xml:space="preserve"> and Musso et al. (2011)</w:t>
      </w:r>
      <w:r w:rsidR="00FC5992" w:rsidRPr="00EC20FA">
        <w:rPr>
          <w:rFonts w:ascii="Times New Roman" w:hAnsi="Times New Roman" w:cs="Times New Roman"/>
          <w:color w:val="000000" w:themeColor="text1"/>
        </w:rPr>
        <w:t xml:space="preserve"> </w:t>
      </w:r>
      <w:r w:rsidR="00C71767" w:rsidRPr="00EC20FA">
        <w:rPr>
          <w:rFonts w:ascii="Times New Roman" w:hAnsi="Times New Roman" w:cs="Times New Roman"/>
          <w:color w:val="000000" w:themeColor="text1"/>
        </w:rPr>
        <w:t>are</w:t>
      </w:r>
      <w:r w:rsidR="00FC5992" w:rsidRPr="00EC20FA">
        <w:rPr>
          <w:rFonts w:ascii="Times New Roman" w:hAnsi="Times New Roman" w:cs="Times New Roman"/>
          <w:color w:val="000000" w:themeColor="text1"/>
        </w:rPr>
        <w:t xml:space="preserve"> </w:t>
      </w:r>
      <w:r w:rsidR="00EB7B7D" w:rsidRPr="00EC20FA">
        <w:rPr>
          <w:rFonts w:ascii="Times New Roman" w:hAnsi="Times New Roman" w:cs="Times New Roman"/>
          <w:color w:val="000000" w:themeColor="text1"/>
        </w:rPr>
        <w:t>employed</w:t>
      </w:r>
      <w:r w:rsidR="00FC5992" w:rsidRPr="00EC20FA">
        <w:rPr>
          <w:rFonts w:ascii="Times New Roman" w:hAnsi="Times New Roman" w:cs="Times New Roman"/>
          <w:color w:val="000000" w:themeColor="text1"/>
        </w:rPr>
        <w:t xml:space="preserve"> in the MSVARs</w:t>
      </w:r>
      <w:r w:rsidR="004516E0" w:rsidRPr="00EC20FA">
        <w:rPr>
          <w:rFonts w:ascii="Times New Roman" w:hAnsi="Times New Roman" w:cs="Times New Roman"/>
          <w:color w:val="000000" w:themeColor="text1"/>
        </w:rPr>
        <w:t xml:space="preserve"> (see Table 1).</w:t>
      </w:r>
      <w:r w:rsidR="00FC5992" w:rsidRPr="00EC20FA">
        <w:rPr>
          <w:rFonts w:ascii="Times New Roman" w:hAnsi="Times New Roman" w:cs="Times New Roman"/>
          <w:color w:val="000000" w:themeColor="text1"/>
        </w:rPr>
        <w:t xml:space="preserve"> For robustness alternate ordering</w:t>
      </w:r>
      <w:r w:rsidR="009422FC" w:rsidRPr="00EC20FA">
        <w:rPr>
          <w:rFonts w:ascii="Times New Roman" w:hAnsi="Times New Roman" w:cs="Times New Roman"/>
          <w:color w:val="000000" w:themeColor="text1"/>
        </w:rPr>
        <w:t xml:space="preserve"> has also been used</w:t>
      </w:r>
      <w:r w:rsidR="0048179E" w:rsidRPr="00EC20FA">
        <w:rPr>
          <w:rFonts w:ascii="Times New Roman" w:hAnsi="Times New Roman" w:cs="Times New Roman"/>
          <w:color w:val="000000" w:themeColor="text1"/>
        </w:rPr>
        <w:t>. Furthermore, special attention</w:t>
      </w:r>
      <w:r w:rsidR="004516E0" w:rsidRPr="00EC20FA">
        <w:rPr>
          <w:rFonts w:ascii="Times New Roman" w:hAnsi="Times New Roman" w:cs="Times New Roman"/>
          <w:color w:val="000000" w:themeColor="text1"/>
        </w:rPr>
        <w:t xml:space="preserve"> is</w:t>
      </w:r>
      <w:r w:rsidR="00EB7B7D" w:rsidRPr="00EC20FA">
        <w:rPr>
          <w:rFonts w:ascii="Times New Roman" w:hAnsi="Times New Roman" w:cs="Times New Roman"/>
          <w:color w:val="000000" w:themeColor="text1"/>
        </w:rPr>
        <w:t xml:space="preserve"> provided</w:t>
      </w:r>
      <w:r w:rsidR="0048179E" w:rsidRPr="00EC20FA">
        <w:rPr>
          <w:rFonts w:ascii="Times New Roman" w:hAnsi="Times New Roman" w:cs="Times New Roman"/>
          <w:color w:val="000000" w:themeColor="text1"/>
        </w:rPr>
        <w:t xml:space="preserve"> to</w:t>
      </w:r>
      <w:r w:rsidR="00145D60" w:rsidRPr="00EC20FA">
        <w:rPr>
          <w:rFonts w:ascii="Times New Roman" w:hAnsi="Times New Roman" w:cs="Times New Roman"/>
          <w:color w:val="000000" w:themeColor="text1"/>
        </w:rPr>
        <w:t xml:space="preserve"> monetary policy shocks on</w:t>
      </w:r>
      <w:r w:rsidR="0048179E" w:rsidRPr="00EC20FA">
        <w:rPr>
          <w:rFonts w:ascii="Times New Roman" w:hAnsi="Times New Roman" w:cs="Times New Roman"/>
          <w:color w:val="000000" w:themeColor="text1"/>
        </w:rPr>
        <w:t xml:space="preserve"> output and inflation responses. </w:t>
      </w:r>
      <w:r w:rsidR="00A1142E" w:rsidRPr="00EC20FA">
        <w:rPr>
          <w:rFonts w:ascii="Times New Roman" w:hAnsi="Times New Roman" w:cs="Times New Roman"/>
          <w:color w:val="000000" w:themeColor="text1"/>
        </w:rPr>
        <w:t xml:space="preserve">The MSVARs that we estimate are as </w:t>
      </w:r>
      <w:r w:rsidR="00507373" w:rsidRPr="00EC20FA">
        <w:rPr>
          <w:rFonts w:ascii="Times New Roman" w:hAnsi="Times New Roman" w:cs="Times New Roman"/>
          <w:color w:val="000000" w:themeColor="text1"/>
        </w:rPr>
        <w:t>follow.</w:t>
      </w:r>
      <w:r w:rsidR="007F50B5" w:rsidRPr="00EC20FA">
        <w:rPr>
          <w:rFonts w:ascii="Times New Roman" w:hAnsi="Times New Roman" w:cs="Times New Roman"/>
          <w:color w:val="000000" w:themeColor="text1"/>
        </w:rPr>
        <w:t xml:space="preserve"> </w:t>
      </w:r>
    </w:p>
    <w:p w14:paraId="318A1B56" w14:textId="72683162" w:rsidR="00850DA1" w:rsidRPr="00733321" w:rsidRDefault="00733321" w:rsidP="00733321">
      <w:pPr>
        <w:widowControl w:val="0"/>
        <w:autoSpaceDE w:val="0"/>
        <w:autoSpaceDN w:val="0"/>
        <w:adjustRightInd w:val="0"/>
        <w:spacing w:after="0" w:line="360" w:lineRule="auto"/>
        <w:ind w:right="91"/>
        <w:jc w:val="both"/>
        <w:outlineLvl w:val="0"/>
        <w:rPr>
          <w:rFonts w:ascii="Times New Roman" w:hAnsi="Times New Roman" w:cs="Times New Roman"/>
          <w:i/>
          <w:color w:val="000000" w:themeColor="text1"/>
        </w:rPr>
      </w:pPr>
      <w:r>
        <w:rPr>
          <w:rFonts w:ascii="Times New Roman" w:hAnsi="Times New Roman" w:cs="Times New Roman"/>
          <w:i/>
          <w:color w:val="000000" w:themeColor="text1"/>
        </w:rPr>
        <w:t>a)</w:t>
      </w:r>
      <w:r w:rsidRPr="00733321">
        <w:rPr>
          <w:rFonts w:ascii="Times New Roman" w:hAnsi="Times New Roman" w:cs="Times New Roman"/>
          <w:i/>
          <w:color w:val="000000" w:themeColor="text1"/>
        </w:rPr>
        <w:t xml:space="preserve"> </w:t>
      </w:r>
      <w:r w:rsidR="00A1142E" w:rsidRPr="00733321">
        <w:rPr>
          <w:rFonts w:ascii="Times New Roman" w:hAnsi="Times New Roman" w:cs="Times New Roman"/>
          <w:i/>
          <w:color w:val="000000" w:themeColor="text1"/>
        </w:rPr>
        <w:t>First MSVAR</w:t>
      </w:r>
    </w:p>
    <w:p w14:paraId="324A3936" w14:textId="5B9042F8" w:rsidR="00C47FD1" w:rsidRPr="008E6E59" w:rsidRDefault="00D16855" w:rsidP="00507373">
      <w:pPr>
        <w:widowControl w:val="0"/>
        <w:autoSpaceDE w:val="0"/>
        <w:autoSpaceDN w:val="0"/>
        <w:adjustRightInd w:val="0"/>
        <w:spacing w:before="120" w:line="480" w:lineRule="auto"/>
        <w:ind w:right="91"/>
        <w:jc w:val="both"/>
        <w:rPr>
          <w:rFonts w:ascii="Times New Roman" w:hAnsi="Times New Roman" w:cs="Times New Roman"/>
          <w:color w:val="000000" w:themeColor="text1"/>
        </w:rPr>
      </w:pPr>
      <w:r w:rsidRPr="008E6E59">
        <w:rPr>
          <w:rFonts w:ascii="Times New Roman" w:hAnsi="Times New Roman" w:cs="Times New Roman"/>
          <w:color w:val="000000" w:themeColor="text1"/>
        </w:rPr>
        <w:t>The first MSVAR</w:t>
      </w:r>
      <w:r w:rsidR="00A1142E" w:rsidRPr="008E6E59">
        <w:rPr>
          <w:rFonts w:ascii="Times New Roman" w:hAnsi="Times New Roman" w:cs="Times New Roman"/>
          <w:color w:val="000000" w:themeColor="text1"/>
        </w:rPr>
        <w:t xml:space="preserve"> includes </w:t>
      </w:r>
      <w:r w:rsidR="00A1142E" w:rsidRPr="008E6E59">
        <w:rPr>
          <w:rFonts w:ascii="Times New Roman" w:hAnsi="Times New Roman" w:cs="Times New Roman"/>
          <w:i/>
          <w:color w:val="000000" w:themeColor="text1"/>
        </w:rPr>
        <w:t>∆</w:t>
      </w:r>
      <w:r w:rsidR="00DB2AB0" w:rsidRPr="008E6E59">
        <w:rPr>
          <w:rFonts w:ascii="Times New Roman" w:hAnsi="Times New Roman" w:cs="Times New Roman"/>
          <w:i/>
          <w:color w:val="000000" w:themeColor="text1"/>
        </w:rPr>
        <w:t>gdp</w:t>
      </w:r>
      <w:r w:rsidR="00A1142E" w:rsidRPr="008E6E59">
        <w:rPr>
          <w:rFonts w:ascii="Times New Roman" w:hAnsi="Times New Roman" w:cs="Times New Roman"/>
          <w:i/>
          <w:color w:val="000000" w:themeColor="text1"/>
        </w:rPr>
        <w:t>, inflation, ∆total mortgage loa</w:t>
      </w:r>
      <w:r w:rsidR="00F77407" w:rsidRPr="008E6E59">
        <w:rPr>
          <w:rFonts w:ascii="Times New Roman" w:hAnsi="Times New Roman" w:cs="Times New Roman"/>
          <w:i/>
          <w:color w:val="000000" w:themeColor="text1"/>
        </w:rPr>
        <w:t>ns</w:t>
      </w:r>
      <w:r w:rsidR="00A1142E" w:rsidRPr="008E6E59">
        <w:rPr>
          <w:rFonts w:ascii="Times New Roman" w:hAnsi="Times New Roman" w:cs="Times New Roman"/>
          <w:i/>
          <w:color w:val="000000" w:themeColor="text1"/>
        </w:rPr>
        <w:t>, ∆house prices a</w:t>
      </w:r>
      <w:r w:rsidR="0055122E" w:rsidRPr="008E6E59">
        <w:rPr>
          <w:rFonts w:ascii="Times New Roman" w:hAnsi="Times New Roman" w:cs="Times New Roman"/>
          <w:i/>
          <w:color w:val="000000" w:themeColor="text1"/>
        </w:rPr>
        <w:t>nd ∆</w:t>
      </w:r>
      <w:r w:rsidR="00507373" w:rsidRPr="008E6E59">
        <w:rPr>
          <w:rFonts w:ascii="Times New Roman" w:hAnsi="Times New Roman" w:cs="Times New Roman"/>
          <w:i/>
          <w:color w:val="000000" w:themeColor="text1"/>
        </w:rPr>
        <w:t>UK policy</w:t>
      </w:r>
      <w:r w:rsidR="0055122E" w:rsidRPr="008E6E59">
        <w:rPr>
          <w:rFonts w:ascii="Times New Roman" w:hAnsi="Times New Roman" w:cs="Times New Roman"/>
          <w:i/>
          <w:color w:val="000000" w:themeColor="text1"/>
        </w:rPr>
        <w:t xml:space="preserve"> rate</w:t>
      </w:r>
      <w:r w:rsidR="00A1142E" w:rsidRPr="008E6E59">
        <w:rPr>
          <w:rFonts w:ascii="Times New Roman" w:hAnsi="Times New Roman" w:cs="Times New Roman"/>
          <w:i/>
          <w:color w:val="000000" w:themeColor="text1"/>
        </w:rPr>
        <w:t>.</w:t>
      </w:r>
      <w:r w:rsidR="007D475D" w:rsidRPr="008E6E59">
        <w:rPr>
          <w:rFonts w:ascii="Times New Roman" w:hAnsi="Times New Roman" w:cs="Times New Roman"/>
          <w:color w:val="000000" w:themeColor="text1"/>
        </w:rPr>
        <w:t xml:space="preserve"> </w:t>
      </w:r>
      <w:r w:rsidR="00D52B24" w:rsidRPr="008E6E59">
        <w:rPr>
          <w:rFonts w:ascii="Times New Roman" w:hAnsi="Times New Roman" w:cs="Times New Roman"/>
          <w:color w:val="000000" w:themeColor="text1"/>
        </w:rPr>
        <w:t>A</w:t>
      </w:r>
      <w:r w:rsidR="00F65C74" w:rsidRPr="008E6E59">
        <w:rPr>
          <w:rFonts w:ascii="Times New Roman" w:hAnsi="Times New Roman" w:cs="Times New Roman"/>
          <w:color w:val="000000" w:themeColor="text1"/>
        </w:rPr>
        <w:t>s</w:t>
      </w:r>
      <w:r w:rsidR="00D52B24" w:rsidRPr="008E6E59">
        <w:rPr>
          <w:rFonts w:ascii="Times New Roman" w:hAnsi="Times New Roman" w:cs="Times New Roman"/>
          <w:color w:val="000000" w:themeColor="text1"/>
        </w:rPr>
        <w:t xml:space="preserve"> </w:t>
      </w:r>
      <w:r w:rsidR="00C13FAF" w:rsidRPr="008E6E59">
        <w:rPr>
          <w:rFonts w:ascii="Times New Roman" w:hAnsi="Times New Roman" w:cs="Times New Roman"/>
          <w:color w:val="000000" w:themeColor="text1"/>
        </w:rPr>
        <w:t>changes</w:t>
      </w:r>
      <w:r w:rsidR="007D475D" w:rsidRPr="008E6E59">
        <w:rPr>
          <w:rFonts w:ascii="Times New Roman" w:hAnsi="Times New Roman" w:cs="Times New Roman"/>
          <w:color w:val="000000" w:themeColor="text1"/>
        </w:rPr>
        <w:t xml:space="preserve"> in total</w:t>
      </w:r>
      <w:r w:rsidR="00FB3DBC" w:rsidRPr="008E6E59">
        <w:rPr>
          <w:rFonts w:ascii="Times New Roman" w:hAnsi="Times New Roman" w:cs="Times New Roman"/>
          <w:color w:val="000000" w:themeColor="text1"/>
        </w:rPr>
        <w:t xml:space="preserve"> mortgage</w:t>
      </w:r>
      <w:r w:rsidR="007D475D" w:rsidRPr="008E6E59">
        <w:rPr>
          <w:rFonts w:ascii="Times New Roman" w:hAnsi="Times New Roman" w:cs="Times New Roman"/>
          <w:color w:val="000000" w:themeColor="text1"/>
        </w:rPr>
        <w:t xml:space="preserve"> after a monetary policy change can </w:t>
      </w:r>
      <w:r w:rsidR="00D0364A" w:rsidRPr="008E6E59">
        <w:rPr>
          <w:rFonts w:ascii="Times New Roman" w:hAnsi="Times New Roman" w:cs="Times New Roman"/>
          <w:color w:val="000000" w:themeColor="text1"/>
        </w:rPr>
        <w:t xml:space="preserve">be </w:t>
      </w:r>
      <w:r w:rsidR="000B225B" w:rsidRPr="008E6E59">
        <w:rPr>
          <w:rFonts w:ascii="Times New Roman" w:hAnsi="Times New Roman" w:cs="Times New Roman"/>
          <w:color w:val="000000" w:themeColor="text1"/>
        </w:rPr>
        <w:t>explained either</w:t>
      </w:r>
      <w:r w:rsidR="00A740A6" w:rsidRPr="008E6E59">
        <w:rPr>
          <w:rFonts w:ascii="Times New Roman" w:hAnsi="Times New Roman" w:cs="Times New Roman"/>
          <w:color w:val="000000" w:themeColor="text1"/>
        </w:rPr>
        <w:t xml:space="preserve"> </w:t>
      </w:r>
      <w:r w:rsidR="008D0E3C">
        <w:rPr>
          <w:rFonts w:ascii="Times New Roman" w:hAnsi="Times New Roman" w:cs="Times New Roman"/>
          <w:color w:val="000000" w:themeColor="text1"/>
        </w:rPr>
        <w:t>by</w:t>
      </w:r>
      <w:r w:rsidR="007D475D" w:rsidRPr="008E6E59">
        <w:rPr>
          <w:rFonts w:ascii="Times New Roman" w:hAnsi="Times New Roman" w:cs="Times New Roman"/>
          <w:color w:val="000000" w:themeColor="text1"/>
        </w:rPr>
        <w:t xml:space="preserve"> </w:t>
      </w:r>
      <w:r w:rsidR="007D475D" w:rsidRPr="008E6E59">
        <w:rPr>
          <w:rFonts w:ascii="Times New Roman" w:hAnsi="Times New Roman" w:cs="Times New Roman"/>
          <w:color w:val="000000" w:themeColor="text1"/>
        </w:rPr>
        <w:lastRenderedPageBreak/>
        <w:t>Keynesian interest rate channel</w:t>
      </w:r>
      <w:r w:rsidR="008D0E3C">
        <w:rPr>
          <w:rFonts w:ascii="Times New Roman" w:hAnsi="Times New Roman" w:cs="Times New Roman"/>
          <w:color w:val="000000" w:themeColor="text1"/>
        </w:rPr>
        <w:t>,</w:t>
      </w:r>
      <w:r w:rsidR="007D475D" w:rsidRPr="008E6E59">
        <w:rPr>
          <w:rFonts w:ascii="Times New Roman" w:hAnsi="Times New Roman" w:cs="Times New Roman"/>
          <w:color w:val="000000" w:themeColor="text1"/>
        </w:rPr>
        <w:t xml:space="preserve"> credit channel</w:t>
      </w:r>
      <w:r w:rsidR="00D52B24" w:rsidRPr="008E6E59">
        <w:rPr>
          <w:rFonts w:ascii="Times New Roman" w:hAnsi="Times New Roman" w:cs="Times New Roman"/>
          <w:color w:val="000000" w:themeColor="text1"/>
        </w:rPr>
        <w:t xml:space="preserve"> or</w:t>
      </w:r>
      <w:r w:rsidR="00F65C74" w:rsidRPr="008E6E59">
        <w:rPr>
          <w:rFonts w:ascii="Times New Roman" w:hAnsi="Times New Roman" w:cs="Times New Roman"/>
          <w:color w:val="000000" w:themeColor="text1"/>
        </w:rPr>
        <w:t xml:space="preserve"> by</w:t>
      </w:r>
      <w:r w:rsidR="00D52B24" w:rsidRPr="008E6E59">
        <w:rPr>
          <w:rFonts w:ascii="Times New Roman" w:hAnsi="Times New Roman" w:cs="Times New Roman"/>
          <w:color w:val="000000" w:themeColor="text1"/>
        </w:rPr>
        <w:t xml:space="preserve"> both</w:t>
      </w:r>
      <w:r w:rsidR="00F65C74" w:rsidRPr="008E6E59">
        <w:rPr>
          <w:rFonts w:ascii="Times New Roman" w:hAnsi="Times New Roman" w:cs="Times New Roman"/>
          <w:color w:val="000000" w:themeColor="text1"/>
        </w:rPr>
        <w:t xml:space="preserve">, </w:t>
      </w:r>
      <w:r w:rsidR="00F77407" w:rsidRPr="008E6E59">
        <w:rPr>
          <w:rFonts w:ascii="Times New Roman" w:hAnsi="Times New Roman" w:cs="Times New Roman"/>
          <w:color w:val="000000" w:themeColor="text1"/>
        </w:rPr>
        <w:t>this</w:t>
      </w:r>
      <w:r w:rsidR="00A1142E" w:rsidRPr="008E6E59">
        <w:rPr>
          <w:rFonts w:ascii="Times New Roman" w:hAnsi="Times New Roman" w:cs="Times New Roman"/>
          <w:color w:val="000000" w:themeColor="text1"/>
        </w:rPr>
        <w:t xml:space="preserve"> </w:t>
      </w:r>
      <w:r w:rsidR="00F77407" w:rsidRPr="008E6E59">
        <w:rPr>
          <w:rFonts w:ascii="Times New Roman" w:hAnsi="Times New Roman" w:cs="Times New Roman"/>
          <w:color w:val="000000" w:themeColor="text1"/>
        </w:rPr>
        <w:t>MSVAR is</w:t>
      </w:r>
      <w:r w:rsidR="00A1142E" w:rsidRPr="008E6E59">
        <w:rPr>
          <w:rFonts w:ascii="Times New Roman" w:hAnsi="Times New Roman" w:cs="Times New Roman"/>
          <w:color w:val="000000" w:themeColor="text1"/>
        </w:rPr>
        <w:t xml:space="preserve"> uninformative in </w:t>
      </w:r>
      <w:r w:rsidR="00B26537" w:rsidRPr="008E6E59">
        <w:rPr>
          <w:rFonts w:ascii="Times New Roman" w:hAnsi="Times New Roman" w:cs="Times New Roman"/>
          <w:color w:val="000000" w:themeColor="text1"/>
        </w:rPr>
        <w:t>identifying</w:t>
      </w:r>
      <w:r w:rsidR="00A1142E" w:rsidRPr="008E6E59">
        <w:rPr>
          <w:rFonts w:ascii="Times New Roman" w:hAnsi="Times New Roman" w:cs="Times New Roman"/>
          <w:color w:val="000000" w:themeColor="text1"/>
        </w:rPr>
        <w:t xml:space="preserve"> the credit channel or the </w:t>
      </w:r>
      <w:r w:rsidR="00C13FAF" w:rsidRPr="008E6E59">
        <w:rPr>
          <w:rFonts w:ascii="Times New Roman" w:hAnsi="Times New Roman" w:cs="Times New Roman"/>
          <w:color w:val="000000" w:themeColor="text1"/>
        </w:rPr>
        <w:t>BLC</w:t>
      </w:r>
      <w:r w:rsidR="00B665A3" w:rsidRPr="008E6E59">
        <w:rPr>
          <w:rFonts w:ascii="Times New Roman" w:hAnsi="Times New Roman" w:cs="Times New Roman"/>
          <w:color w:val="000000" w:themeColor="text1"/>
        </w:rPr>
        <w:t xml:space="preserve">. </w:t>
      </w:r>
      <w:r w:rsidR="00F65C74" w:rsidRPr="008E6E59">
        <w:rPr>
          <w:rFonts w:ascii="Times New Roman" w:hAnsi="Times New Roman" w:cs="Times New Roman"/>
          <w:color w:val="000000" w:themeColor="text1"/>
        </w:rPr>
        <w:t xml:space="preserve"> </w:t>
      </w:r>
      <w:r w:rsidR="00B665A3" w:rsidRPr="008E6E59">
        <w:rPr>
          <w:rFonts w:ascii="Times New Roman" w:hAnsi="Times New Roman" w:cs="Times New Roman"/>
          <w:color w:val="000000" w:themeColor="text1"/>
        </w:rPr>
        <w:t>Nevertheless, this model</w:t>
      </w:r>
      <w:r w:rsidR="00A1142E" w:rsidRPr="008E6E59">
        <w:rPr>
          <w:rFonts w:ascii="Times New Roman" w:hAnsi="Times New Roman" w:cs="Times New Roman"/>
          <w:color w:val="000000" w:themeColor="text1"/>
        </w:rPr>
        <w:t xml:space="preserve"> enables</w:t>
      </w:r>
      <w:r w:rsidR="003573AE" w:rsidRPr="008E6E59">
        <w:rPr>
          <w:rFonts w:ascii="Times New Roman" w:hAnsi="Times New Roman" w:cs="Times New Roman"/>
          <w:color w:val="000000" w:themeColor="text1"/>
        </w:rPr>
        <w:t xml:space="preserve"> one</w:t>
      </w:r>
      <w:r w:rsidR="00A1142E" w:rsidRPr="008E6E59">
        <w:rPr>
          <w:rFonts w:ascii="Times New Roman" w:hAnsi="Times New Roman" w:cs="Times New Roman"/>
          <w:color w:val="000000" w:themeColor="text1"/>
        </w:rPr>
        <w:t xml:space="preserve"> to capture the overall </w:t>
      </w:r>
      <w:r w:rsidR="001E60BF" w:rsidRPr="008E6E59">
        <w:rPr>
          <w:rFonts w:ascii="Times New Roman" w:hAnsi="Times New Roman" w:cs="Times New Roman"/>
          <w:color w:val="000000" w:themeColor="text1"/>
        </w:rPr>
        <w:t>nonlinear</w:t>
      </w:r>
      <w:r w:rsidR="00A1142E" w:rsidRPr="008E6E59">
        <w:rPr>
          <w:rFonts w:ascii="Times New Roman" w:hAnsi="Times New Roman" w:cs="Times New Roman"/>
          <w:color w:val="000000" w:themeColor="text1"/>
        </w:rPr>
        <w:t xml:space="preserve"> effects of monetary policy on house price</w:t>
      </w:r>
      <w:r w:rsidR="003573AE" w:rsidRPr="008E6E59">
        <w:rPr>
          <w:rFonts w:ascii="Times New Roman" w:hAnsi="Times New Roman" w:cs="Times New Roman"/>
          <w:color w:val="000000" w:themeColor="text1"/>
        </w:rPr>
        <w:t>s, GDP and mortgages during expansion</w:t>
      </w:r>
      <w:r w:rsidR="00A1142E" w:rsidRPr="008E6E59">
        <w:rPr>
          <w:rFonts w:ascii="Times New Roman" w:hAnsi="Times New Roman" w:cs="Times New Roman"/>
          <w:color w:val="000000" w:themeColor="text1"/>
        </w:rPr>
        <w:t xml:space="preserve"> and rece</w:t>
      </w:r>
      <w:r w:rsidR="000B225B">
        <w:rPr>
          <w:rFonts w:ascii="Times New Roman" w:hAnsi="Times New Roman" w:cs="Times New Roman"/>
          <w:color w:val="000000" w:themeColor="text1"/>
        </w:rPr>
        <w:t>ssions</w:t>
      </w:r>
      <w:r w:rsidR="00A1142E" w:rsidRPr="008E6E59">
        <w:rPr>
          <w:rFonts w:ascii="Times New Roman" w:hAnsi="Times New Roman" w:cs="Times New Roman"/>
          <w:color w:val="000000" w:themeColor="text1"/>
        </w:rPr>
        <w:t>.</w:t>
      </w:r>
    </w:p>
    <w:p w14:paraId="7955FFA7" w14:textId="77777777" w:rsidR="0097085F" w:rsidRDefault="0097085F" w:rsidP="00733321">
      <w:pPr>
        <w:widowControl w:val="0"/>
        <w:autoSpaceDE w:val="0"/>
        <w:autoSpaceDN w:val="0"/>
        <w:adjustRightInd w:val="0"/>
        <w:spacing w:after="0" w:line="360" w:lineRule="auto"/>
        <w:ind w:right="90"/>
        <w:jc w:val="both"/>
        <w:outlineLvl w:val="0"/>
        <w:rPr>
          <w:rFonts w:ascii="Times New Roman" w:hAnsi="Times New Roman" w:cs="Times New Roman"/>
          <w:i/>
          <w:color w:val="000000" w:themeColor="text1"/>
        </w:rPr>
      </w:pPr>
    </w:p>
    <w:p w14:paraId="429438CE" w14:textId="7C30DB32" w:rsidR="00850DA1" w:rsidRPr="00733321" w:rsidRDefault="00733321" w:rsidP="00733321">
      <w:pPr>
        <w:widowControl w:val="0"/>
        <w:autoSpaceDE w:val="0"/>
        <w:autoSpaceDN w:val="0"/>
        <w:adjustRightInd w:val="0"/>
        <w:spacing w:after="0" w:line="360" w:lineRule="auto"/>
        <w:ind w:right="90"/>
        <w:jc w:val="both"/>
        <w:outlineLvl w:val="0"/>
        <w:rPr>
          <w:rFonts w:ascii="Times New Roman" w:hAnsi="Times New Roman" w:cs="Times New Roman"/>
          <w:i/>
          <w:color w:val="000000" w:themeColor="text1"/>
        </w:rPr>
      </w:pPr>
      <w:r>
        <w:rPr>
          <w:rFonts w:ascii="Times New Roman" w:hAnsi="Times New Roman" w:cs="Times New Roman"/>
          <w:i/>
          <w:color w:val="000000" w:themeColor="text1"/>
        </w:rPr>
        <w:t xml:space="preserve">b) </w:t>
      </w:r>
      <w:r w:rsidR="00A1142E" w:rsidRPr="00733321">
        <w:rPr>
          <w:rFonts w:ascii="Times New Roman" w:hAnsi="Times New Roman" w:cs="Times New Roman"/>
          <w:i/>
          <w:color w:val="000000" w:themeColor="text1"/>
        </w:rPr>
        <w:t>Second MSVAR</w:t>
      </w:r>
    </w:p>
    <w:p w14:paraId="6481A28F" w14:textId="6A3B468F" w:rsidR="00C47FD1" w:rsidRDefault="00D16855" w:rsidP="00507373">
      <w:pPr>
        <w:widowControl w:val="0"/>
        <w:autoSpaceDE w:val="0"/>
        <w:autoSpaceDN w:val="0"/>
        <w:adjustRightInd w:val="0"/>
        <w:spacing w:before="120" w:line="480" w:lineRule="auto"/>
        <w:ind w:right="91"/>
        <w:jc w:val="both"/>
        <w:rPr>
          <w:rFonts w:ascii="Times New Roman" w:hAnsi="Times New Roman" w:cs="Times New Roman"/>
          <w:color w:val="000000" w:themeColor="text1"/>
        </w:rPr>
      </w:pPr>
      <w:r w:rsidRPr="008E6E59">
        <w:rPr>
          <w:rFonts w:ascii="Times New Roman" w:hAnsi="Times New Roman" w:cs="Times New Roman"/>
          <w:color w:val="000000" w:themeColor="text1"/>
        </w:rPr>
        <w:t xml:space="preserve">The second </w:t>
      </w:r>
      <w:r w:rsidR="00BE711A">
        <w:rPr>
          <w:rFonts w:ascii="Times New Roman" w:hAnsi="Times New Roman" w:cs="Times New Roman"/>
          <w:color w:val="000000" w:themeColor="text1"/>
        </w:rPr>
        <w:t>MSVAR</w:t>
      </w:r>
      <w:r w:rsidR="002A7E12" w:rsidRPr="008E6E59">
        <w:rPr>
          <w:rFonts w:ascii="Times New Roman" w:hAnsi="Times New Roman" w:cs="Times New Roman"/>
          <w:color w:val="000000" w:themeColor="text1"/>
        </w:rPr>
        <w:t xml:space="preserve"> </w:t>
      </w:r>
      <w:r w:rsidR="000B52C8" w:rsidRPr="008E6E59">
        <w:rPr>
          <w:rFonts w:ascii="Times New Roman" w:hAnsi="Times New Roman" w:cs="Times New Roman"/>
          <w:color w:val="000000" w:themeColor="text1"/>
        </w:rPr>
        <w:t>inc</w:t>
      </w:r>
      <w:r w:rsidR="00616537" w:rsidRPr="008E6E59">
        <w:rPr>
          <w:rFonts w:ascii="Times New Roman" w:hAnsi="Times New Roman" w:cs="Times New Roman"/>
          <w:color w:val="000000" w:themeColor="text1"/>
        </w:rPr>
        <w:t>ludes</w:t>
      </w:r>
      <w:r w:rsidR="00A1142E" w:rsidRPr="008E6E59">
        <w:rPr>
          <w:rFonts w:ascii="Times New Roman" w:hAnsi="Times New Roman" w:cs="Times New Roman"/>
          <w:color w:val="000000" w:themeColor="text1"/>
        </w:rPr>
        <w:t xml:space="preserve"> </w:t>
      </w:r>
      <w:r w:rsidR="00A1142E" w:rsidRPr="008E6E59">
        <w:rPr>
          <w:rFonts w:ascii="Times New Roman" w:hAnsi="Times New Roman" w:cs="Times New Roman"/>
          <w:i/>
          <w:color w:val="000000" w:themeColor="text1"/>
        </w:rPr>
        <w:t>∆</w:t>
      </w:r>
      <w:r w:rsidR="00DB2AB0" w:rsidRPr="008E6E59">
        <w:rPr>
          <w:rFonts w:ascii="Times New Roman" w:hAnsi="Times New Roman" w:cs="Times New Roman"/>
          <w:i/>
          <w:color w:val="000000" w:themeColor="text1"/>
        </w:rPr>
        <w:t>gdp</w:t>
      </w:r>
      <w:r w:rsidR="00A1142E" w:rsidRPr="008E6E59">
        <w:rPr>
          <w:rFonts w:ascii="Times New Roman" w:hAnsi="Times New Roman" w:cs="Times New Roman"/>
          <w:i/>
          <w:color w:val="000000" w:themeColor="text1"/>
        </w:rPr>
        <w:t>, inflation,</w:t>
      </w:r>
      <w:r w:rsidR="003573AE" w:rsidRPr="008E6E59">
        <w:rPr>
          <w:rFonts w:ascii="Times New Roman" w:hAnsi="Times New Roman" w:cs="Times New Roman"/>
          <w:i/>
          <w:color w:val="000000" w:themeColor="text1"/>
        </w:rPr>
        <w:t xml:space="preserve"> mortgage</w:t>
      </w:r>
      <w:r w:rsidR="007F4972" w:rsidRPr="008E6E59">
        <w:rPr>
          <w:rFonts w:ascii="Times New Roman" w:hAnsi="Times New Roman" w:cs="Times New Roman"/>
          <w:i/>
          <w:color w:val="000000" w:themeColor="text1"/>
        </w:rPr>
        <w:t xml:space="preserve"> spread</w:t>
      </w:r>
      <w:r w:rsidR="00A1142E" w:rsidRPr="008E6E59">
        <w:rPr>
          <w:rFonts w:ascii="Times New Roman" w:hAnsi="Times New Roman" w:cs="Times New Roman"/>
          <w:i/>
          <w:color w:val="000000" w:themeColor="text1"/>
        </w:rPr>
        <w:t xml:space="preserve">, ∆house price index </w:t>
      </w:r>
      <w:r w:rsidR="00A1142E" w:rsidRPr="0022456B">
        <w:rPr>
          <w:rFonts w:ascii="Times New Roman" w:hAnsi="Times New Roman" w:cs="Times New Roman"/>
          <w:iCs/>
          <w:color w:val="000000" w:themeColor="text1"/>
        </w:rPr>
        <w:t>and</w:t>
      </w:r>
      <w:r w:rsidR="00A1142E" w:rsidRPr="008E6E59">
        <w:rPr>
          <w:rFonts w:ascii="Times New Roman" w:hAnsi="Times New Roman" w:cs="Times New Roman"/>
          <w:i/>
          <w:color w:val="000000" w:themeColor="text1"/>
        </w:rPr>
        <w:t xml:space="preserve"> </w:t>
      </w:r>
      <w:r w:rsidR="007F4972" w:rsidRPr="008E6E59">
        <w:rPr>
          <w:rFonts w:ascii="Times New Roman" w:hAnsi="Times New Roman" w:cs="Times New Roman"/>
          <w:i/>
          <w:color w:val="000000" w:themeColor="text1"/>
        </w:rPr>
        <w:t xml:space="preserve">the </w:t>
      </w:r>
      <w:r w:rsidR="00A1142E" w:rsidRPr="008E6E59">
        <w:rPr>
          <w:rFonts w:ascii="Times New Roman" w:hAnsi="Times New Roman" w:cs="Times New Roman"/>
          <w:i/>
          <w:color w:val="000000" w:themeColor="text1"/>
        </w:rPr>
        <w:t>∆</w:t>
      </w:r>
      <w:r w:rsidR="00454A3A" w:rsidRPr="008E6E59">
        <w:rPr>
          <w:rFonts w:ascii="Times New Roman" w:hAnsi="Times New Roman" w:cs="Times New Roman"/>
          <w:i/>
          <w:color w:val="000000" w:themeColor="text1"/>
        </w:rPr>
        <w:t>UK</w:t>
      </w:r>
      <w:r w:rsidR="003573AE" w:rsidRPr="008E6E59">
        <w:rPr>
          <w:rFonts w:ascii="Times New Roman" w:hAnsi="Times New Roman" w:cs="Times New Roman"/>
          <w:i/>
          <w:color w:val="000000" w:themeColor="text1"/>
        </w:rPr>
        <w:t xml:space="preserve"> policy</w:t>
      </w:r>
      <w:r w:rsidR="00A1142E" w:rsidRPr="008E6E59">
        <w:rPr>
          <w:rFonts w:ascii="Times New Roman" w:hAnsi="Times New Roman" w:cs="Times New Roman"/>
          <w:i/>
          <w:color w:val="000000" w:themeColor="text1"/>
        </w:rPr>
        <w:t xml:space="preserve"> rate. </w:t>
      </w:r>
      <w:r w:rsidR="00A1142E" w:rsidRPr="008E6E59">
        <w:rPr>
          <w:rFonts w:ascii="Times New Roman" w:hAnsi="Times New Roman" w:cs="Times New Roman"/>
          <w:color w:val="000000" w:themeColor="text1"/>
        </w:rPr>
        <w:t>A rise (</w:t>
      </w:r>
      <w:r w:rsidR="00A1142E" w:rsidRPr="008E6E59">
        <w:rPr>
          <w:rFonts w:ascii="Times New Roman" w:hAnsi="Times New Roman" w:cs="Times New Roman"/>
          <w:i/>
          <w:color w:val="000000" w:themeColor="text1"/>
        </w:rPr>
        <w:t>decrease</w:t>
      </w:r>
      <w:r w:rsidR="00A1142E" w:rsidRPr="008E6E59">
        <w:rPr>
          <w:rFonts w:ascii="Times New Roman" w:hAnsi="Times New Roman" w:cs="Times New Roman"/>
          <w:color w:val="000000" w:themeColor="text1"/>
        </w:rPr>
        <w:t>) in</w:t>
      </w:r>
      <w:r w:rsidRPr="008E6E59">
        <w:rPr>
          <w:rFonts w:ascii="Times New Roman" w:hAnsi="Times New Roman" w:cs="Times New Roman"/>
          <w:color w:val="000000" w:themeColor="text1"/>
        </w:rPr>
        <w:t xml:space="preserve"> mortgage</w:t>
      </w:r>
      <w:r w:rsidR="00A1142E" w:rsidRPr="008E6E59">
        <w:rPr>
          <w:rFonts w:ascii="Times New Roman" w:hAnsi="Times New Roman" w:cs="Times New Roman"/>
          <w:color w:val="000000" w:themeColor="text1"/>
        </w:rPr>
        <w:t xml:space="preserve"> </w:t>
      </w:r>
      <w:r w:rsidR="00090FC4" w:rsidRPr="008E6E59">
        <w:rPr>
          <w:rFonts w:ascii="Times New Roman" w:hAnsi="Times New Roman" w:cs="Times New Roman"/>
          <w:color w:val="000000" w:themeColor="text1"/>
        </w:rPr>
        <w:t>spread after a contractionary</w:t>
      </w:r>
      <w:r w:rsidR="00A1142E" w:rsidRPr="008E6E59">
        <w:rPr>
          <w:rFonts w:ascii="Times New Roman" w:hAnsi="Times New Roman" w:cs="Times New Roman"/>
          <w:color w:val="000000" w:themeColor="text1"/>
        </w:rPr>
        <w:t xml:space="preserve"> (</w:t>
      </w:r>
      <w:r w:rsidR="00090FC4" w:rsidRPr="008E6E59">
        <w:rPr>
          <w:rFonts w:ascii="Times New Roman" w:hAnsi="Times New Roman" w:cs="Times New Roman"/>
          <w:i/>
          <w:color w:val="000000" w:themeColor="text1"/>
        </w:rPr>
        <w:t>expansionary</w:t>
      </w:r>
      <w:r w:rsidR="00732ACC" w:rsidRPr="008E6E59">
        <w:rPr>
          <w:rFonts w:ascii="Times New Roman" w:hAnsi="Times New Roman" w:cs="Times New Roman"/>
          <w:color w:val="000000" w:themeColor="text1"/>
        </w:rPr>
        <w:t>)</w:t>
      </w:r>
      <w:r w:rsidR="00246BA7" w:rsidRPr="008E6E59">
        <w:rPr>
          <w:rFonts w:ascii="Times New Roman" w:hAnsi="Times New Roman" w:cs="Times New Roman"/>
          <w:color w:val="000000" w:themeColor="text1"/>
        </w:rPr>
        <w:t xml:space="preserve"> monetary</w:t>
      </w:r>
      <w:r w:rsidR="00732ACC" w:rsidRPr="008E6E59">
        <w:rPr>
          <w:rFonts w:ascii="Times New Roman" w:hAnsi="Times New Roman" w:cs="Times New Roman"/>
          <w:color w:val="000000" w:themeColor="text1"/>
        </w:rPr>
        <w:t xml:space="preserve"> </w:t>
      </w:r>
      <w:r w:rsidR="00090FC4" w:rsidRPr="008E6E59">
        <w:rPr>
          <w:rFonts w:ascii="Times New Roman" w:hAnsi="Times New Roman" w:cs="Times New Roman"/>
          <w:color w:val="000000" w:themeColor="text1"/>
        </w:rPr>
        <w:t>policy</w:t>
      </w:r>
      <w:r w:rsidR="00A1142E" w:rsidRPr="008E6E59">
        <w:rPr>
          <w:rFonts w:ascii="Times New Roman" w:hAnsi="Times New Roman" w:cs="Times New Roman"/>
          <w:color w:val="000000" w:themeColor="text1"/>
        </w:rPr>
        <w:t xml:space="preserve"> can capture the increase (</w:t>
      </w:r>
      <w:r w:rsidR="00A1142E" w:rsidRPr="008E6E59">
        <w:rPr>
          <w:rFonts w:ascii="Times New Roman" w:hAnsi="Times New Roman" w:cs="Times New Roman"/>
          <w:i/>
          <w:color w:val="000000" w:themeColor="text1"/>
        </w:rPr>
        <w:t>decrease</w:t>
      </w:r>
      <w:r w:rsidR="00A1142E" w:rsidRPr="008E6E59">
        <w:rPr>
          <w:rFonts w:ascii="Times New Roman" w:hAnsi="Times New Roman" w:cs="Times New Roman"/>
          <w:color w:val="000000" w:themeColor="text1"/>
        </w:rPr>
        <w:t>) in the external finance premium</w:t>
      </w:r>
      <w:r w:rsidRPr="008E6E59">
        <w:rPr>
          <w:rFonts w:ascii="Times New Roman" w:hAnsi="Times New Roman" w:cs="Times New Roman"/>
          <w:color w:val="000000" w:themeColor="text1"/>
        </w:rPr>
        <w:t xml:space="preserve"> which</w:t>
      </w:r>
      <w:r w:rsidR="00090FC4" w:rsidRPr="008E6E59">
        <w:rPr>
          <w:rFonts w:ascii="Times New Roman" w:hAnsi="Times New Roman" w:cs="Times New Roman"/>
          <w:color w:val="000000" w:themeColor="text1"/>
        </w:rPr>
        <w:t xml:space="preserve"> is</w:t>
      </w:r>
      <w:r w:rsidR="00A1142E" w:rsidRPr="008E6E59">
        <w:rPr>
          <w:rFonts w:ascii="Times New Roman" w:hAnsi="Times New Roman" w:cs="Times New Roman"/>
          <w:color w:val="000000" w:themeColor="text1"/>
        </w:rPr>
        <w:t xml:space="preserve"> associated with the credit channel. However, </w:t>
      </w:r>
      <w:r w:rsidR="00FD672C" w:rsidRPr="008E6E59">
        <w:rPr>
          <w:rFonts w:ascii="Times New Roman" w:hAnsi="Times New Roman" w:cs="Times New Roman"/>
          <w:color w:val="000000" w:themeColor="text1"/>
        </w:rPr>
        <w:t xml:space="preserve">due to lack of </w:t>
      </w:r>
      <w:r w:rsidR="00893FE8" w:rsidRPr="008E6E59">
        <w:rPr>
          <w:rFonts w:ascii="Times New Roman" w:hAnsi="Times New Roman" w:cs="Times New Roman"/>
          <w:color w:val="000000" w:themeColor="text1"/>
        </w:rPr>
        <w:t xml:space="preserve">detailed data on the </w:t>
      </w:r>
      <w:r w:rsidR="00FD672C" w:rsidRPr="008E6E59">
        <w:rPr>
          <w:rFonts w:ascii="Times New Roman" w:hAnsi="Times New Roman" w:cs="Times New Roman"/>
          <w:color w:val="000000" w:themeColor="text1"/>
        </w:rPr>
        <w:t xml:space="preserve">mortgage rates, charged by different type of lenders </w:t>
      </w:r>
      <w:r w:rsidR="00B26537" w:rsidRPr="008E6E59">
        <w:rPr>
          <w:rFonts w:ascii="Times New Roman" w:hAnsi="Times New Roman" w:cs="Times New Roman"/>
          <w:color w:val="000000" w:themeColor="text1"/>
        </w:rPr>
        <w:t>prevents</w:t>
      </w:r>
      <w:r w:rsidR="00FD672C" w:rsidRPr="008E6E59">
        <w:rPr>
          <w:rFonts w:ascii="Times New Roman" w:hAnsi="Times New Roman" w:cs="Times New Roman"/>
          <w:color w:val="000000" w:themeColor="text1"/>
        </w:rPr>
        <w:t xml:space="preserve"> us from</w:t>
      </w:r>
      <w:r w:rsidR="00FB780F" w:rsidRPr="008E6E59">
        <w:rPr>
          <w:rFonts w:ascii="Times New Roman" w:hAnsi="Times New Roman" w:cs="Times New Roman"/>
          <w:color w:val="000000" w:themeColor="text1"/>
        </w:rPr>
        <w:t xml:space="preserve"> further </w:t>
      </w:r>
      <w:r w:rsidR="00FD672C" w:rsidRPr="008E6E59">
        <w:rPr>
          <w:rFonts w:ascii="Times New Roman" w:hAnsi="Times New Roman" w:cs="Times New Roman"/>
          <w:color w:val="000000" w:themeColor="text1"/>
        </w:rPr>
        <w:t xml:space="preserve">using the </w:t>
      </w:r>
      <w:r w:rsidR="000627B9" w:rsidRPr="008E6E59">
        <w:rPr>
          <w:rFonts w:ascii="Times New Roman" w:hAnsi="Times New Roman" w:cs="Times New Roman"/>
          <w:color w:val="000000" w:themeColor="text1"/>
        </w:rPr>
        <w:t>model</w:t>
      </w:r>
      <w:r w:rsidR="00FD672C" w:rsidRPr="008E6E59">
        <w:rPr>
          <w:rFonts w:ascii="Times New Roman" w:hAnsi="Times New Roman" w:cs="Times New Roman"/>
          <w:color w:val="000000" w:themeColor="text1"/>
        </w:rPr>
        <w:t xml:space="preserve"> to </w:t>
      </w:r>
      <w:r w:rsidR="00D0364A" w:rsidRPr="008E6E59">
        <w:rPr>
          <w:rFonts w:ascii="Times New Roman" w:hAnsi="Times New Roman" w:cs="Times New Roman"/>
          <w:color w:val="000000" w:themeColor="text1"/>
        </w:rPr>
        <w:t>disentangle the</w:t>
      </w:r>
      <w:r w:rsidR="00FD672C" w:rsidRPr="008E6E59">
        <w:rPr>
          <w:rFonts w:ascii="Times New Roman" w:hAnsi="Times New Roman" w:cs="Times New Roman"/>
          <w:color w:val="000000" w:themeColor="text1"/>
        </w:rPr>
        <w:t xml:space="preserve"> </w:t>
      </w:r>
      <w:r w:rsidR="00D0364A" w:rsidRPr="008E6E59">
        <w:rPr>
          <w:rFonts w:ascii="Times New Roman" w:hAnsi="Times New Roman" w:cs="Times New Roman"/>
          <w:color w:val="000000" w:themeColor="text1"/>
        </w:rPr>
        <w:t>BLC</w:t>
      </w:r>
      <w:r w:rsidR="00FD672C" w:rsidRPr="008E6E59">
        <w:rPr>
          <w:rFonts w:ascii="Times New Roman" w:hAnsi="Times New Roman" w:cs="Times New Roman"/>
          <w:color w:val="000000" w:themeColor="text1"/>
        </w:rPr>
        <w:t xml:space="preserve"> from </w:t>
      </w:r>
      <w:r w:rsidR="00D0364A" w:rsidRPr="008E6E59">
        <w:rPr>
          <w:rFonts w:ascii="Times New Roman" w:hAnsi="Times New Roman" w:cs="Times New Roman"/>
          <w:color w:val="000000" w:themeColor="text1"/>
        </w:rPr>
        <w:t>the</w:t>
      </w:r>
      <w:r w:rsidR="00FD672C" w:rsidRPr="008E6E59">
        <w:rPr>
          <w:rFonts w:ascii="Times New Roman" w:hAnsi="Times New Roman" w:cs="Times New Roman"/>
          <w:color w:val="000000" w:themeColor="text1"/>
        </w:rPr>
        <w:t xml:space="preserve"> </w:t>
      </w:r>
      <w:r w:rsidR="00B47F25" w:rsidRPr="008E6E59">
        <w:rPr>
          <w:rFonts w:ascii="Times New Roman" w:hAnsi="Times New Roman" w:cs="Times New Roman"/>
          <w:color w:val="000000" w:themeColor="text1"/>
        </w:rPr>
        <w:t>BSC</w:t>
      </w:r>
      <w:r w:rsidR="004D3A97" w:rsidRPr="008E6E59">
        <w:rPr>
          <w:rFonts w:ascii="Times New Roman" w:hAnsi="Times New Roman" w:cs="Times New Roman"/>
          <w:color w:val="000000" w:themeColor="text1"/>
        </w:rPr>
        <w:t>.</w:t>
      </w:r>
      <w:r w:rsidR="00FD672C" w:rsidRPr="008E6E59">
        <w:rPr>
          <w:rFonts w:ascii="Times New Roman" w:hAnsi="Times New Roman" w:cs="Times New Roman"/>
          <w:color w:val="000000" w:themeColor="text1"/>
        </w:rPr>
        <w:t xml:space="preserve"> </w:t>
      </w:r>
      <w:r w:rsidR="001C6F3D" w:rsidRPr="008E6E59">
        <w:rPr>
          <w:rFonts w:ascii="Times New Roman" w:hAnsi="Times New Roman" w:cs="Times New Roman"/>
          <w:color w:val="000000" w:themeColor="text1"/>
        </w:rPr>
        <w:t>Therefore</w:t>
      </w:r>
      <w:r w:rsidR="004D3A97" w:rsidRPr="008E6E59">
        <w:rPr>
          <w:rFonts w:ascii="Times New Roman" w:hAnsi="Times New Roman" w:cs="Times New Roman"/>
          <w:color w:val="000000" w:themeColor="text1"/>
        </w:rPr>
        <w:t>,</w:t>
      </w:r>
      <w:r w:rsidR="009743EF" w:rsidRPr="008E6E59">
        <w:rPr>
          <w:rFonts w:ascii="Times New Roman" w:hAnsi="Times New Roman" w:cs="Times New Roman"/>
          <w:color w:val="000000" w:themeColor="text1"/>
        </w:rPr>
        <w:t xml:space="preserve"> the model enables</w:t>
      </w:r>
      <w:r w:rsidR="00B35A19" w:rsidRPr="008E6E59">
        <w:rPr>
          <w:rFonts w:ascii="Times New Roman" w:hAnsi="Times New Roman" w:cs="Times New Roman"/>
          <w:color w:val="000000" w:themeColor="text1"/>
        </w:rPr>
        <w:t xml:space="preserve">, </w:t>
      </w:r>
      <w:r w:rsidR="007225F7">
        <w:rPr>
          <w:rFonts w:ascii="Times New Roman" w:hAnsi="Times New Roman" w:cs="Times New Roman"/>
          <w:color w:val="000000" w:themeColor="text1"/>
        </w:rPr>
        <w:t>only</w:t>
      </w:r>
      <w:r w:rsidR="009743EF" w:rsidRPr="008E6E59">
        <w:rPr>
          <w:rFonts w:ascii="Times New Roman" w:hAnsi="Times New Roman" w:cs="Times New Roman"/>
          <w:color w:val="000000" w:themeColor="text1"/>
        </w:rPr>
        <w:t xml:space="preserve"> to </w:t>
      </w:r>
      <w:r w:rsidR="00045B82" w:rsidRPr="008E6E59">
        <w:rPr>
          <w:rFonts w:ascii="Times New Roman" w:hAnsi="Times New Roman" w:cs="Times New Roman"/>
          <w:color w:val="000000" w:themeColor="text1"/>
        </w:rPr>
        <w:t>identify</w:t>
      </w:r>
      <w:r w:rsidR="00A1142E" w:rsidRPr="008E6E59">
        <w:rPr>
          <w:rFonts w:ascii="Times New Roman" w:hAnsi="Times New Roman" w:cs="Times New Roman"/>
          <w:color w:val="000000" w:themeColor="text1"/>
        </w:rPr>
        <w:t xml:space="preserve"> the magnitude of the credit channel during boom and recessi</w:t>
      </w:r>
      <w:r w:rsidR="00B26537">
        <w:rPr>
          <w:rFonts w:ascii="Times New Roman" w:hAnsi="Times New Roman" w:cs="Times New Roman"/>
          <w:color w:val="000000" w:themeColor="text1"/>
        </w:rPr>
        <w:t>on</w:t>
      </w:r>
      <w:r w:rsidR="00A1142E" w:rsidRPr="008E6E59">
        <w:rPr>
          <w:rFonts w:ascii="Times New Roman" w:hAnsi="Times New Roman" w:cs="Times New Roman"/>
          <w:color w:val="000000" w:themeColor="text1"/>
        </w:rPr>
        <w:t xml:space="preserve">. </w:t>
      </w:r>
    </w:p>
    <w:p w14:paraId="73DF8535" w14:textId="1BD68EA6" w:rsidR="00850DA1" w:rsidRPr="00733321" w:rsidRDefault="00733321" w:rsidP="00733321">
      <w:pPr>
        <w:widowControl w:val="0"/>
        <w:autoSpaceDE w:val="0"/>
        <w:autoSpaceDN w:val="0"/>
        <w:adjustRightInd w:val="0"/>
        <w:spacing w:after="0" w:line="360" w:lineRule="auto"/>
        <w:ind w:right="90"/>
        <w:jc w:val="both"/>
        <w:outlineLvl w:val="0"/>
        <w:rPr>
          <w:rFonts w:ascii="Times New Roman" w:hAnsi="Times New Roman" w:cs="Times New Roman"/>
          <w:i/>
          <w:color w:val="000000" w:themeColor="text1"/>
        </w:rPr>
      </w:pPr>
      <w:r>
        <w:rPr>
          <w:rFonts w:ascii="Times New Roman" w:hAnsi="Times New Roman" w:cs="Times New Roman"/>
          <w:i/>
          <w:color w:val="000000" w:themeColor="text1"/>
        </w:rPr>
        <w:t xml:space="preserve">c) </w:t>
      </w:r>
      <w:r w:rsidR="00A1142E" w:rsidRPr="00733321">
        <w:rPr>
          <w:rFonts w:ascii="Times New Roman" w:hAnsi="Times New Roman" w:cs="Times New Roman"/>
          <w:i/>
          <w:color w:val="000000" w:themeColor="text1"/>
        </w:rPr>
        <w:t>Third MSVAR</w:t>
      </w:r>
    </w:p>
    <w:p w14:paraId="3185D11A" w14:textId="63850425" w:rsidR="00DB2BAF" w:rsidRPr="008E6E59" w:rsidRDefault="006D5D47" w:rsidP="00305F5A">
      <w:pPr>
        <w:widowControl w:val="0"/>
        <w:autoSpaceDE w:val="0"/>
        <w:autoSpaceDN w:val="0"/>
        <w:adjustRightInd w:val="0"/>
        <w:spacing w:before="120" w:line="480" w:lineRule="auto"/>
        <w:ind w:right="91"/>
        <w:jc w:val="both"/>
        <w:rPr>
          <w:rFonts w:ascii="Times New Roman" w:hAnsi="Times New Roman" w:cs="Times New Roman"/>
          <w:color w:val="000000" w:themeColor="text1"/>
        </w:rPr>
      </w:pPr>
      <w:r w:rsidRPr="008E6E59">
        <w:rPr>
          <w:rFonts w:ascii="Times New Roman" w:hAnsi="Times New Roman" w:cs="Times New Roman"/>
          <w:color w:val="000000" w:themeColor="text1"/>
        </w:rPr>
        <w:t>The third MS</w:t>
      </w:r>
      <w:r w:rsidR="00597E6D" w:rsidRPr="008E6E59">
        <w:rPr>
          <w:rFonts w:ascii="Times New Roman" w:hAnsi="Times New Roman" w:cs="Times New Roman"/>
          <w:color w:val="000000" w:themeColor="text1"/>
        </w:rPr>
        <w:t>VAR incorporating</w:t>
      </w:r>
      <w:r w:rsidR="00A1142E" w:rsidRPr="008E6E59">
        <w:rPr>
          <w:rFonts w:ascii="Times New Roman" w:hAnsi="Times New Roman" w:cs="Times New Roman"/>
          <w:color w:val="000000" w:themeColor="text1"/>
        </w:rPr>
        <w:t xml:space="preserve"> ∆</w:t>
      </w:r>
      <w:r w:rsidR="00045B82" w:rsidRPr="008E6E59">
        <w:rPr>
          <w:rFonts w:ascii="Times New Roman" w:hAnsi="Times New Roman" w:cs="Times New Roman"/>
          <w:i/>
          <w:color w:val="000000" w:themeColor="text1"/>
        </w:rPr>
        <w:t>gdp</w:t>
      </w:r>
      <w:r w:rsidR="00A1142E" w:rsidRPr="008E6E59">
        <w:rPr>
          <w:rFonts w:ascii="Times New Roman" w:hAnsi="Times New Roman" w:cs="Times New Roman"/>
          <w:i/>
          <w:color w:val="000000" w:themeColor="text1"/>
        </w:rPr>
        <w:t>, inflation, ∆</w:t>
      </w:r>
      <w:r w:rsidR="00F339E8" w:rsidRPr="008E6E59">
        <w:rPr>
          <w:rFonts w:ascii="Times New Roman" w:hAnsi="Times New Roman" w:cs="Times New Roman"/>
          <w:i/>
          <w:color w:val="000000" w:themeColor="text1"/>
        </w:rPr>
        <w:t xml:space="preserve">money market </w:t>
      </w:r>
      <w:r w:rsidR="00A1142E" w:rsidRPr="008E6E59">
        <w:rPr>
          <w:rFonts w:ascii="Times New Roman" w:hAnsi="Times New Roman" w:cs="Times New Roman"/>
          <w:i/>
          <w:color w:val="000000" w:themeColor="text1"/>
        </w:rPr>
        <w:t>spread</w:t>
      </w:r>
      <w:r w:rsidR="00B6514E" w:rsidRPr="008E6E59">
        <w:rPr>
          <w:rFonts w:ascii="Times New Roman" w:hAnsi="Times New Roman" w:cs="Times New Roman"/>
          <w:i/>
          <w:color w:val="000000" w:themeColor="text1"/>
        </w:rPr>
        <w:t>, ∆house prices</w:t>
      </w:r>
      <w:r w:rsidR="00845058" w:rsidRPr="008E6E59">
        <w:rPr>
          <w:rFonts w:ascii="Times New Roman" w:hAnsi="Times New Roman" w:cs="Times New Roman"/>
          <w:i/>
          <w:color w:val="000000" w:themeColor="text1"/>
        </w:rPr>
        <w:t xml:space="preserve"> index</w:t>
      </w:r>
      <w:r w:rsidR="00B6514E" w:rsidRPr="008E6E59">
        <w:rPr>
          <w:rFonts w:ascii="Times New Roman" w:hAnsi="Times New Roman" w:cs="Times New Roman"/>
          <w:i/>
          <w:color w:val="000000" w:themeColor="text1"/>
        </w:rPr>
        <w:t xml:space="preserve"> </w:t>
      </w:r>
      <w:r w:rsidR="00B6514E" w:rsidRPr="00F421AC">
        <w:rPr>
          <w:rFonts w:ascii="Times New Roman" w:hAnsi="Times New Roman" w:cs="Times New Roman"/>
          <w:iCs/>
          <w:color w:val="000000" w:themeColor="text1"/>
        </w:rPr>
        <w:t>and</w:t>
      </w:r>
      <w:r w:rsidR="00B6514E" w:rsidRPr="008E6E59">
        <w:rPr>
          <w:rFonts w:ascii="Times New Roman" w:hAnsi="Times New Roman" w:cs="Times New Roman"/>
          <w:i/>
          <w:color w:val="000000" w:themeColor="text1"/>
        </w:rPr>
        <w:t xml:space="preserve"> ∆</w:t>
      </w:r>
      <w:r w:rsidR="000627B9" w:rsidRPr="008E6E59">
        <w:rPr>
          <w:rFonts w:ascii="Times New Roman" w:hAnsi="Times New Roman" w:cs="Times New Roman"/>
          <w:i/>
          <w:color w:val="000000" w:themeColor="text1"/>
        </w:rPr>
        <w:t>UK</w:t>
      </w:r>
      <w:r w:rsidR="00B6514E" w:rsidRPr="008E6E59">
        <w:rPr>
          <w:rFonts w:ascii="Times New Roman" w:hAnsi="Times New Roman" w:cs="Times New Roman"/>
          <w:i/>
          <w:color w:val="000000" w:themeColor="text1"/>
        </w:rPr>
        <w:t xml:space="preserve"> policy rate</w:t>
      </w:r>
      <w:r w:rsidR="00597E6D" w:rsidRPr="008E6E59">
        <w:rPr>
          <w:rFonts w:ascii="Times New Roman" w:hAnsi="Times New Roman" w:cs="Times New Roman"/>
          <w:i/>
          <w:color w:val="000000" w:themeColor="text1"/>
        </w:rPr>
        <w:t xml:space="preserve"> </w:t>
      </w:r>
      <w:r w:rsidR="0028352B">
        <w:rPr>
          <w:rFonts w:ascii="Times New Roman" w:hAnsi="Times New Roman" w:cs="Times New Roman"/>
          <w:color w:val="000000" w:themeColor="text1"/>
        </w:rPr>
        <w:t>illustrate how</w:t>
      </w:r>
      <w:r w:rsidR="007A05A3" w:rsidRPr="008E6E59">
        <w:rPr>
          <w:rFonts w:ascii="Times New Roman" w:hAnsi="Times New Roman" w:cs="Times New Roman"/>
          <w:color w:val="000000" w:themeColor="text1"/>
        </w:rPr>
        <w:t xml:space="preserve"> banks</w:t>
      </w:r>
      <w:r w:rsidR="00A95FFA">
        <w:rPr>
          <w:rFonts w:ascii="Times New Roman" w:hAnsi="Times New Roman" w:cs="Times New Roman"/>
          <w:color w:val="000000" w:themeColor="text1"/>
        </w:rPr>
        <w:t>’</w:t>
      </w:r>
      <w:r w:rsidR="00236371" w:rsidRPr="008E6E59">
        <w:rPr>
          <w:rFonts w:ascii="Times New Roman" w:hAnsi="Times New Roman" w:cs="Times New Roman"/>
          <w:color w:val="000000" w:themeColor="text1"/>
        </w:rPr>
        <w:t xml:space="preserve"> funding costs</w:t>
      </w:r>
      <w:r w:rsidR="00C26B2E" w:rsidRPr="008E6E59">
        <w:rPr>
          <w:rFonts w:ascii="Times New Roman" w:hAnsi="Times New Roman" w:cs="Times New Roman"/>
          <w:color w:val="000000" w:themeColor="text1"/>
        </w:rPr>
        <w:t xml:space="preserve"> </w:t>
      </w:r>
      <w:r w:rsidR="007A05A3" w:rsidRPr="008E6E59">
        <w:rPr>
          <w:rFonts w:ascii="Times New Roman" w:hAnsi="Times New Roman" w:cs="Times New Roman"/>
          <w:color w:val="000000" w:themeColor="text1"/>
        </w:rPr>
        <w:t xml:space="preserve">respond </w:t>
      </w:r>
      <w:r w:rsidR="00B94C0C" w:rsidRPr="008E6E59">
        <w:rPr>
          <w:rFonts w:ascii="Times New Roman" w:hAnsi="Times New Roman" w:cs="Times New Roman"/>
          <w:color w:val="000000" w:themeColor="text1"/>
        </w:rPr>
        <w:t xml:space="preserve">to monetary policy changes during recession and </w:t>
      </w:r>
      <w:r w:rsidR="004C4992">
        <w:rPr>
          <w:rFonts w:ascii="Times New Roman" w:hAnsi="Times New Roman" w:cs="Times New Roman"/>
          <w:color w:val="000000" w:themeColor="text1"/>
        </w:rPr>
        <w:t>expansions</w:t>
      </w:r>
      <w:r w:rsidR="00B94C0C" w:rsidRPr="008E6E59">
        <w:rPr>
          <w:rFonts w:ascii="Times New Roman" w:hAnsi="Times New Roman" w:cs="Times New Roman"/>
          <w:color w:val="000000" w:themeColor="text1"/>
        </w:rPr>
        <w:t xml:space="preserve">. </w:t>
      </w:r>
      <w:r w:rsidR="00A1142E" w:rsidRPr="008E6E59">
        <w:rPr>
          <w:rFonts w:ascii="Times New Roman" w:hAnsi="Times New Roman" w:cs="Times New Roman"/>
          <w:color w:val="000000" w:themeColor="text1"/>
        </w:rPr>
        <w:t>A</w:t>
      </w:r>
      <w:r w:rsidR="006F0A76" w:rsidRPr="008E6E59">
        <w:rPr>
          <w:rFonts w:ascii="Times New Roman" w:hAnsi="Times New Roman" w:cs="Times New Roman"/>
          <w:color w:val="000000" w:themeColor="text1"/>
        </w:rPr>
        <w:t xml:space="preserve"> significant</w:t>
      </w:r>
      <w:r w:rsidR="00A1142E" w:rsidRPr="008E6E59">
        <w:rPr>
          <w:rFonts w:ascii="Times New Roman" w:hAnsi="Times New Roman" w:cs="Times New Roman"/>
          <w:color w:val="000000" w:themeColor="text1"/>
        </w:rPr>
        <w:t xml:space="preserve"> rise (</w:t>
      </w:r>
      <w:r w:rsidR="00A1142E" w:rsidRPr="008E6E59">
        <w:rPr>
          <w:rFonts w:ascii="Times New Roman" w:hAnsi="Times New Roman" w:cs="Times New Roman"/>
          <w:i/>
          <w:color w:val="000000" w:themeColor="text1"/>
        </w:rPr>
        <w:t>decrease</w:t>
      </w:r>
      <w:r w:rsidR="00A1142E" w:rsidRPr="008E6E59">
        <w:rPr>
          <w:rFonts w:ascii="Times New Roman" w:hAnsi="Times New Roman" w:cs="Times New Roman"/>
          <w:color w:val="000000" w:themeColor="text1"/>
        </w:rPr>
        <w:t xml:space="preserve">) in </w:t>
      </w:r>
      <w:r w:rsidR="00F339E8" w:rsidRPr="008E6E59">
        <w:rPr>
          <w:rFonts w:ascii="Times New Roman" w:hAnsi="Times New Roman" w:cs="Times New Roman"/>
          <w:color w:val="000000" w:themeColor="text1"/>
        </w:rPr>
        <w:t xml:space="preserve">money market </w:t>
      </w:r>
      <w:r w:rsidR="00A1142E" w:rsidRPr="008E6E59">
        <w:rPr>
          <w:rFonts w:ascii="Times New Roman" w:hAnsi="Times New Roman" w:cs="Times New Roman"/>
          <w:color w:val="000000" w:themeColor="text1"/>
        </w:rPr>
        <w:t>spread after an increase (</w:t>
      </w:r>
      <w:r w:rsidR="00A1142E" w:rsidRPr="008E6E59">
        <w:rPr>
          <w:rFonts w:ascii="Times New Roman" w:hAnsi="Times New Roman" w:cs="Times New Roman"/>
          <w:i/>
          <w:color w:val="000000" w:themeColor="text1"/>
        </w:rPr>
        <w:t>decrease</w:t>
      </w:r>
      <w:r w:rsidR="00A1142E" w:rsidRPr="008E6E59">
        <w:rPr>
          <w:rFonts w:ascii="Times New Roman" w:hAnsi="Times New Roman" w:cs="Times New Roman"/>
          <w:color w:val="000000" w:themeColor="text1"/>
        </w:rPr>
        <w:t xml:space="preserve">) in short term policy rate can capture the </w:t>
      </w:r>
      <w:r w:rsidR="0028352B">
        <w:rPr>
          <w:rFonts w:ascii="Times New Roman" w:hAnsi="Times New Roman" w:cs="Times New Roman"/>
          <w:color w:val="000000" w:themeColor="text1"/>
        </w:rPr>
        <w:t>change</w:t>
      </w:r>
      <w:r w:rsidR="00A1142E" w:rsidRPr="008E6E59">
        <w:rPr>
          <w:rFonts w:ascii="Times New Roman" w:hAnsi="Times New Roman" w:cs="Times New Roman"/>
          <w:color w:val="000000" w:themeColor="text1"/>
        </w:rPr>
        <w:t xml:space="preserve"> in </w:t>
      </w:r>
      <w:r w:rsidR="0028352B">
        <w:rPr>
          <w:rFonts w:ascii="Times New Roman" w:hAnsi="Times New Roman" w:cs="Times New Roman"/>
          <w:color w:val="000000" w:themeColor="text1"/>
        </w:rPr>
        <w:t>banks’</w:t>
      </w:r>
      <w:r w:rsidR="00A1142E" w:rsidRPr="008E6E59">
        <w:rPr>
          <w:rFonts w:ascii="Times New Roman" w:hAnsi="Times New Roman" w:cs="Times New Roman"/>
          <w:color w:val="000000" w:themeColor="text1"/>
        </w:rPr>
        <w:t xml:space="preserve"> external</w:t>
      </w:r>
      <w:r w:rsidR="00CE5D97" w:rsidRPr="008E6E59">
        <w:rPr>
          <w:rFonts w:ascii="Times New Roman" w:hAnsi="Times New Roman" w:cs="Times New Roman"/>
          <w:color w:val="000000" w:themeColor="text1"/>
        </w:rPr>
        <w:t xml:space="preserve"> finance</w:t>
      </w:r>
      <w:r w:rsidR="00597E6D" w:rsidRPr="008E6E59">
        <w:rPr>
          <w:rFonts w:ascii="Times New Roman" w:hAnsi="Times New Roman" w:cs="Times New Roman"/>
          <w:color w:val="000000" w:themeColor="text1"/>
        </w:rPr>
        <w:t xml:space="preserve"> premium</w:t>
      </w:r>
      <w:r w:rsidR="0028352B">
        <w:rPr>
          <w:rFonts w:ascii="Times New Roman" w:hAnsi="Times New Roman" w:cs="Times New Roman"/>
          <w:color w:val="000000" w:themeColor="text1"/>
        </w:rPr>
        <w:t>,</w:t>
      </w:r>
      <w:r w:rsidR="00597E6D" w:rsidRPr="008E6E59">
        <w:rPr>
          <w:rFonts w:ascii="Times New Roman" w:hAnsi="Times New Roman" w:cs="Times New Roman"/>
          <w:color w:val="000000" w:themeColor="text1"/>
        </w:rPr>
        <w:t xml:space="preserve"> </w:t>
      </w:r>
      <w:r w:rsidR="00475DF1" w:rsidRPr="008E6E59">
        <w:rPr>
          <w:rFonts w:ascii="Times New Roman" w:hAnsi="Times New Roman" w:cs="Times New Roman"/>
          <w:color w:val="000000" w:themeColor="text1"/>
        </w:rPr>
        <w:t>can be</w:t>
      </w:r>
      <w:r w:rsidR="00CF274C">
        <w:rPr>
          <w:rFonts w:ascii="Times New Roman" w:hAnsi="Times New Roman" w:cs="Times New Roman"/>
          <w:color w:val="000000" w:themeColor="text1"/>
        </w:rPr>
        <w:t xml:space="preserve"> viewed</w:t>
      </w:r>
      <w:r w:rsidR="0028352B">
        <w:rPr>
          <w:rFonts w:ascii="Times New Roman" w:hAnsi="Times New Roman" w:cs="Times New Roman"/>
          <w:color w:val="000000" w:themeColor="text1"/>
        </w:rPr>
        <w:t xml:space="preserve"> as</w:t>
      </w:r>
      <w:r w:rsidR="00A1142E" w:rsidRPr="008E6E59">
        <w:rPr>
          <w:rFonts w:ascii="Times New Roman" w:hAnsi="Times New Roman" w:cs="Times New Roman"/>
          <w:color w:val="000000" w:themeColor="text1"/>
        </w:rPr>
        <w:t xml:space="preserve"> the</w:t>
      </w:r>
      <w:r w:rsidR="000A5746">
        <w:rPr>
          <w:rFonts w:ascii="Times New Roman" w:hAnsi="Times New Roman" w:cs="Times New Roman"/>
          <w:color w:val="000000" w:themeColor="text1"/>
        </w:rPr>
        <w:t xml:space="preserve"> new </w:t>
      </w:r>
      <w:r w:rsidR="004C4992">
        <w:rPr>
          <w:rFonts w:ascii="Times New Roman" w:hAnsi="Times New Roman" w:cs="Times New Roman"/>
          <w:color w:val="000000" w:themeColor="text1"/>
        </w:rPr>
        <w:t>BLC</w:t>
      </w:r>
      <w:r w:rsidR="00A1142E" w:rsidRPr="008E6E59">
        <w:rPr>
          <w:rFonts w:ascii="Times New Roman" w:hAnsi="Times New Roman" w:cs="Times New Roman"/>
          <w:color w:val="000000" w:themeColor="text1"/>
        </w:rPr>
        <w:t xml:space="preserve"> theory, proposed by Disyatata (2011).</w:t>
      </w:r>
      <w:r w:rsidR="0016466D" w:rsidRPr="008E6E59">
        <w:rPr>
          <w:rStyle w:val="FootnoteReference"/>
          <w:rFonts w:ascii="Times New Roman" w:hAnsi="Times New Roman" w:cs="Times New Roman"/>
          <w:color w:val="000000" w:themeColor="text1"/>
        </w:rPr>
        <w:footnoteReference w:id="9"/>
      </w:r>
    </w:p>
    <w:p w14:paraId="1DE1C97C" w14:textId="70950CBC" w:rsidR="00DB2BAF" w:rsidRPr="00733321" w:rsidRDefault="00CF274C" w:rsidP="00DE4846">
      <w:pPr>
        <w:widowControl w:val="0"/>
        <w:autoSpaceDE w:val="0"/>
        <w:autoSpaceDN w:val="0"/>
        <w:adjustRightInd w:val="0"/>
        <w:spacing w:after="0"/>
        <w:ind w:right="91"/>
        <w:jc w:val="both"/>
        <w:outlineLvl w:val="0"/>
        <w:rPr>
          <w:rFonts w:ascii="Times New Roman" w:hAnsi="Times New Roman" w:cs="Times New Roman"/>
          <w:i/>
          <w:color w:val="000000"/>
        </w:rPr>
      </w:pPr>
      <w:r>
        <w:rPr>
          <w:rFonts w:ascii="Times New Roman" w:hAnsi="Times New Roman" w:cs="Times New Roman"/>
          <w:i/>
          <w:color w:val="000000"/>
        </w:rPr>
        <w:t>D</w:t>
      </w:r>
      <w:r w:rsidR="00733321">
        <w:rPr>
          <w:rFonts w:ascii="Times New Roman" w:hAnsi="Times New Roman" w:cs="Times New Roman"/>
          <w:i/>
          <w:color w:val="000000"/>
        </w:rPr>
        <w:t xml:space="preserve">) </w:t>
      </w:r>
      <w:r w:rsidR="00D24744" w:rsidRPr="00733321">
        <w:rPr>
          <w:rFonts w:ascii="Times New Roman" w:hAnsi="Times New Roman" w:cs="Times New Roman"/>
          <w:i/>
          <w:color w:val="000000"/>
        </w:rPr>
        <w:t>Fourth MSVA</w:t>
      </w:r>
      <w:r w:rsidR="001518A3" w:rsidRPr="00733321">
        <w:rPr>
          <w:rFonts w:ascii="Times New Roman" w:hAnsi="Times New Roman" w:cs="Times New Roman"/>
          <w:i/>
          <w:color w:val="000000"/>
        </w:rPr>
        <w:t>R</w:t>
      </w:r>
    </w:p>
    <w:p w14:paraId="549EBF04" w14:textId="792E5DE8" w:rsidR="00EE4C67" w:rsidRDefault="00A1142E" w:rsidP="00305F5A">
      <w:pPr>
        <w:widowControl w:val="0"/>
        <w:autoSpaceDE w:val="0"/>
        <w:autoSpaceDN w:val="0"/>
        <w:adjustRightInd w:val="0"/>
        <w:spacing w:before="120" w:line="480" w:lineRule="auto"/>
        <w:ind w:right="91"/>
        <w:jc w:val="both"/>
        <w:rPr>
          <w:rFonts w:ascii="Times New Roman" w:hAnsi="Times New Roman" w:cs="Times New Roman"/>
          <w:color w:val="000000"/>
        </w:rPr>
      </w:pPr>
      <w:r w:rsidRPr="008E6E59">
        <w:rPr>
          <w:rFonts w:ascii="Times New Roman" w:hAnsi="Times New Roman" w:cs="Times New Roman"/>
          <w:color w:val="000000"/>
        </w:rPr>
        <w:t xml:space="preserve">The fourth </w:t>
      </w:r>
      <w:r w:rsidR="00C66647" w:rsidRPr="008E6E59">
        <w:rPr>
          <w:rFonts w:ascii="Times New Roman" w:hAnsi="Times New Roman" w:cs="Times New Roman"/>
          <w:color w:val="000000" w:themeColor="text1"/>
        </w:rPr>
        <w:t>MS</w:t>
      </w:r>
      <w:r w:rsidR="00253601" w:rsidRPr="008E6E59">
        <w:rPr>
          <w:rFonts w:ascii="Times New Roman" w:hAnsi="Times New Roman" w:cs="Times New Roman"/>
          <w:color w:val="000000" w:themeColor="text1"/>
        </w:rPr>
        <w:t>VAR</w:t>
      </w:r>
      <w:r w:rsidRPr="008E6E59">
        <w:rPr>
          <w:rFonts w:ascii="Times New Roman" w:hAnsi="Times New Roman" w:cs="Times New Roman"/>
          <w:color w:val="000000"/>
        </w:rPr>
        <w:t xml:space="preserve"> includes,</w:t>
      </w:r>
      <w:r w:rsidRPr="008E6E59">
        <w:rPr>
          <w:rFonts w:ascii="Times New Roman" w:hAnsi="Times New Roman" w:cs="Times New Roman"/>
          <w:color w:val="000000" w:themeColor="text1"/>
        </w:rPr>
        <w:t xml:space="preserve"> </w:t>
      </w:r>
      <w:bookmarkStart w:id="8" w:name="OLE_LINK1"/>
      <w:r w:rsidRPr="008E6E59">
        <w:rPr>
          <w:rFonts w:ascii="Times New Roman" w:hAnsi="Times New Roman" w:cs="Times New Roman"/>
          <w:color w:val="000000" w:themeColor="text1"/>
        </w:rPr>
        <w:t>∆</w:t>
      </w:r>
      <w:r w:rsidR="00EF433C" w:rsidRPr="008E6E59">
        <w:rPr>
          <w:rFonts w:ascii="Times New Roman" w:hAnsi="Times New Roman" w:cs="Times New Roman"/>
          <w:i/>
          <w:color w:val="000000" w:themeColor="text1"/>
        </w:rPr>
        <w:t>gdp</w:t>
      </w:r>
      <w:bookmarkEnd w:id="8"/>
      <w:r w:rsidRPr="008E6E59">
        <w:rPr>
          <w:rFonts w:ascii="Times New Roman" w:hAnsi="Times New Roman" w:cs="Times New Roman"/>
          <w:i/>
          <w:color w:val="000000" w:themeColor="text1"/>
        </w:rPr>
        <w:t>, inflation</w:t>
      </w:r>
      <w:r w:rsidR="00E46F7B" w:rsidRPr="008E6E59">
        <w:rPr>
          <w:rFonts w:ascii="Times New Roman" w:hAnsi="Times New Roman" w:cs="Times New Roman"/>
          <w:i/>
          <w:color w:val="000000" w:themeColor="text1"/>
        </w:rPr>
        <w:t>, ∆house prices, ∆</w:t>
      </w:r>
      <w:r w:rsidR="00F63F57" w:rsidRPr="008E6E59">
        <w:rPr>
          <w:rFonts w:ascii="Times New Roman" w:hAnsi="Times New Roman" w:cs="Times New Roman"/>
          <w:i/>
          <w:color w:val="000000" w:themeColor="text1"/>
        </w:rPr>
        <w:t>UK</w:t>
      </w:r>
      <w:r w:rsidR="00E46F7B" w:rsidRPr="008E6E59">
        <w:rPr>
          <w:rFonts w:ascii="Times New Roman" w:hAnsi="Times New Roman" w:cs="Times New Roman"/>
          <w:i/>
          <w:color w:val="000000" w:themeColor="text1"/>
        </w:rPr>
        <w:t xml:space="preserve"> policy rate</w:t>
      </w:r>
      <w:r w:rsidRPr="008E6E59">
        <w:rPr>
          <w:rFonts w:ascii="Times New Roman" w:hAnsi="Times New Roman" w:cs="Times New Roman"/>
          <w:i/>
          <w:color w:val="000000" w:themeColor="text1"/>
        </w:rPr>
        <w:t xml:space="preserve"> </w:t>
      </w:r>
      <w:r w:rsidRPr="009B2AD2">
        <w:rPr>
          <w:rFonts w:ascii="Times New Roman" w:hAnsi="Times New Roman" w:cs="Times New Roman"/>
          <w:iCs/>
          <w:color w:val="000000" w:themeColor="text1"/>
        </w:rPr>
        <w:t>and</w:t>
      </w:r>
      <w:r w:rsidRPr="008E6E59">
        <w:rPr>
          <w:rFonts w:ascii="Times New Roman" w:hAnsi="Times New Roman" w:cs="Times New Roman"/>
          <w:i/>
          <w:color w:val="000000" w:themeColor="text1"/>
        </w:rPr>
        <w:t xml:space="preserve"> </w:t>
      </w:r>
      <w:r w:rsidRPr="008E6E59">
        <w:rPr>
          <w:rFonts w:ascii="Times New Roman" w:hAnsi="Times New Roman" w:cs="Times New Roman"/>
          <w:iCs/>
          <w:color w:val="000000" w:themeColor="text1"/>
        </w:rPr>
        <w:t>the</w:t>
      </w:r>
      <w:r w:rsidRPr="008E6E59">
        <w:rPr>
          <w:rFonts w:ascii="Times New Roman" w:hAnsi="Times New Roman" w:cs="Times New Roman"/>
          <w:i/>
          <w:color w:val="000000" w:themeColor="text1"/>
        </w:rPr>
        <w:t xml:space="preserve"> </w:t>
      </w:r>
      <w:r w:rsidR="00EF433C" w:rsidRPr="008E6E59">
        <w:rPr>
          <w:rFonts w:ascii="Times New Roman" w:hAnsi="Times New Roman" w:cs="Times New Roman"/>
          <w:i/>
          <w:color w:val="000000" w:themeColor="text1"/>
        </w:rPr>
        <w:t>m</w:t>
      </w:r>
      <w:r w:rsidRPr="008E6E59">
        <w:rPr>
          <w:rFonts w:ascii="Times New Roman" w:hAnsi="Times New Roman" w:cs="Times New Roman"/>
          <w:i/>
          <w:color w:val="000000" w:themeColor="text1"/>
        </w:rPr>
        <w:t>ix.</w:t>
      </w:r>
      <w:r w:rsidRPr="008E6E59">
        <w:rPr>
          <w:rFonts w:ascii="Times New Roman" w:hAnsi="Times New Roman" w:cs="Times New Roman"/>
          <w:color w:val="000000"/>
        </w:rPr>
        <w:t xml:space="preserve"> </w:t>
      </w:r>
      <w:r w:rsidR="00E83863">
        <w:rPr>
          <w:rFonts w:ascii="Times New Roman" w:hAnsi="Times New Roman" w:cs="Times New Roman"/>
          <w:color w:val="000000"/>
        </w:rPr>
        <w:t>I</w:t>
      </w:r>
      <w:r w:rsidRPr="008E6E59">
        <w:rPr>
          <w:rFonts w:ascii="Times New Roman" w:hAnsi="Times New Roman" w:cs="Times New Roman"/>
          <w:color w:val="000000"/>
        </w:rPr>
        <w:t xml:space="preserve">f the </w:t>
      </w:r>
      <w:r w:rsidR="00343305" w:rsidRPr="008E6E59">
        <w:rPr>
          <w:rFonts w:ascii="Times New Roman" w:hAnsi="Times New Roman" w:cs="Times New Roman"/>
          <w:color w:val="000000"/>
        </w:rPr>
        <w:t>BLC</w:t>
      </w:r>
      <w:r w:rsidR="00B709DD" w:rsidRPr="008E6E59">
        <w:rPr>
          <w:rFonts w:ascii="Times New Roman" w:hAnsi="Times New Roman" w:cs="Times New Roman"/>
          <w:color w:val="000000"/>
        </w:rPr>
        <w:t xml:space="preserve"> is </w:t>
      </w:r>
      <w:r w:rsidR="00E83863" w:rsidRPr="008E6E59">
        <w:rPr>
          <w:rFonts w:ascii="Times New Roman" w:hAnsi="Times New Roman" w:cs="Times New Roman"/>
          <w:color w:val="000000"/>
        </w:rPr>
        <w:t>operational,</w:t>
      </w:r>
      <w:r w:rsidR="00B709DD" w:rsidRPr="008E6E59">
        <w:rPr>
          <w:rFonts w:ascii="Times New Roman" w:hAnsi="Times New Roman" w:cs="Times New Roman"/>
          <w:color w:val="000000"/>
        </w:rPr>
        <w:t xml:space="preserve"> then after a</w:t>
      </w:r>
      <w:r w:rsidRPr="008E6E59">
        <w:rPr>
          <w:rFonts w:ascii="Times New Roman" w:hAnsi="Times New Roman" w:cs="Times New Roman"/>
          <w:color w:val="000000"/>
        </w:rPr>
        <w:t xml:space="preserve"> </w:t>
      </w:r>
      <w:r w:rsidR="0016466D" w:rsidRPr="008E6E59">
        <w:rPr>
          <w:rFonts w:ascii="Times New Roman" w:hAnsi="Times New Roman" w:cs="Times New Roman"/>
          <w:color w:val="000000"/>
        </w:rPr>
        <w:t>contractionary (</w:t>
      </w:r>
      <w:r w:rsidRPr="008E6E59">
        <w:rPr>
          <w:rFonts w:ascii="Times New Roman" w:hAnsi="Times New Roman" w:cs="Times New Roman"/>
          <w:i/>
          <w:color w:val="000000"/>
        </w:rPr>
        <w:t>expansionary</w:t>
      </w:r>
      <w:r w:rsidR="00B709DD" w:rsidRPr="008E6E59">
        <w:rPr>
          <w:rFonts w:ascii="Times New Roman" w:hAnsi="Times New Roman" w:cs="Times New Roman"/>
          <w:color w:val="000000"/>
        </w:rPr>
        <w:t>)</w:t>
      </w:r>
      <w:r w:rsidRPr="008E6E59">
        <w:rPr>
          <w:rFonts w:ascii="Times New Roman" w:hAnsi="Times New Roman" w:cs="Times New Roman"/>
          <w:color w:val="000000"/>
        </w:rPr>
        <w:t xml:space="preserve"> monetary policy there will be a significant</w:t>
      </w:r>
      <w:r w:rsidR="00B709DD" w:rsidRPr="008E6E59">
        <w:rPr>
          <w:rFonts w:ascii="Times New Roman" w:hAnsi="Times New Roman" w:cs="Times New Roman"/>
          <w:color w:val="000000"/>
        </w:rPr>
        <w:t xml:space="preserve"> decrease</w:t>
      </w:r>
      <w:r w:rsidRPr="008E6E59">
        <w:rPr>
          <w:rFonts w:ascii="Times New Roman" w:hAnsi="Times New Roman" w:cs="Times New Roman"/>
          <w:color w:val="000000"/>
        </w:rPr>
        <w:t xml:space="preserve"> </w:t>
      </w:r>
      <w:r w:rsidR="00B709DD" w:rsidRPr="008E6E59">
        <w:rPr>
          <w:rFonts w:ascii="Times New Roman" w:hAnsi="Times New Roman" w:cs="Times New Roman"/>
          <w:color w:val="000000"/>
        </w:rPr>
        <w:t>(</w:t>
      </w:r>
      <w:r w:rsidRPr="008E6E59">
        <w:rPr>
          <w:rFonts w:ascii="Times New Roman" w:hAnsi="Times New Roman" w:cs="Times New Roman"/>
          <w:i/>
          <w:color w:val="000000"/>
        </w:rPr>
        <w:t>increase</w:t>
      </w:r>
      <w:r w:rsidR="00B709DD" w:rsidRPr="008E6E59">
        <w:rPr>
          <w:rFonts w:ascii="Times New Roman" w:hAnsi="Times New Roman" w:cs="Times New Roman"/>
          <w:color w:val="000000"/>
        </w:rPr>
        <w:t>)</w:t>
      </w:r>
      <w:r w:rsidR="00607DBA" w:rsidRPr="008E6E59">
        <w:rPr>
          <w:rFonts w:ascii="Times New Roman" w:hAnsi="Times New Roman" w:cs="Times New Roman"/>
          <w:color w:val="000000"/>
        </w:rPr>
        <w:t xml:space="preserve"> in the </w:t>
      </w:r>
      <w:r w:rsidR="00607DBA" w:rsidRPr="008E6E59">
        <w:rPr>
          <w:rFonts w:ascii="Times New Roman" w:hAnsi="Times New Roman" w:cs="Times New Roman"/>
          <w:i/>
          <w:color w:val="000000"/>
        </w:rPr>
        <w:t>mix</w:t>
      </w:r>
      <w:r w:rsidR="00607DBA" w:rsidRPr="008E6E59">
        <w:rPr>
          <w:rFonts w:ascii="Times New Roman" w:hAnsi="Times New Roman" w:cs="Times New Roman"/>
          <w:color w:val="000000"/>
        </w:rPr>
        <w:t xml:space="preserve"> and</w:t>
      </w:r>
      <w:r w:rsidR="006A05C6" w:rsidRPr="008E6E59">
        <w:rPr>
          <w:rFonts w:ascii="Times New Roman" w:hAnsi="Times New Roman" w:cs="Times New Roman"/>
          <w:color w:val="000000"/>
        </w:rPr>
        <w:t xml:space="preserve"> </w:t>
      </w:r>
      <w:r w:rsidR="00B709DD" w:rsidRPr="008E6E59">
        <w:rPr>
          <w:rFonts w:ascii="Times New Roman" w:hAnsi="Times New Roman" w:cs="Times New Roman"/>
          <w:color w:val="000000"/>
        </w:rPr>
        <w:t>by comparing the response</w:t>
      </w:r>
      <w:r w:rsidRPr="008E6E59">
        <w:rPr>
          <w:rFonts w:ascii="Times New Roman" w:hAnsi="Times New Roman" w:cs="Times New Roman"/>
          <w:color w:val="000000"/>
        </w:rPr>
        <w:t xml:space="preserve"> o</w:t>
      </w:r>
      <w:r w:rsidR="00B709DD" w:rsidRPr="008E6E59">
        <w:rPr>
          <w:rFonts w:ascii="Times New Roman" w:hAnsi="Times New Roman" w:cs="Times New Roman"/>
          <w:color w:val="000000"/>
        </w:rPr>
        <w:t xml:space="preserve">f the </w:t>
      </w:r>
      <w:r w:rsidR="00B709DD" w:rsidRPr="008E6E59">
        <w:rPr>
          <w:rFonts w:ascii="Times New Roman" w:hAnsi="Times New Roman" w:cs="Times New Roman"/>
          <w:i/>
          <w:iCs/>
          <w:color w:val="000000"/>
        </w:rPr>
        <w:t>mix</w:t>
      </w:r>
      <w:r w:rsidRPr="008E6E59">
        <w:rPr>
          <w:rFonts w:ascii="Times New Roman" w:hAnsi="Times New Roman" w:cs="Times New Roman"/>
          <w:color w:val="000000"/>
        </w:rPr>
        <w:t xml:space="preserve"> during boom and recession </w:t>
      </w:r>
      <w:r w:rsidR="0025404B" w:rsidRPr="008E6E59">
        <w:rPr>
          <w:rFonts w:ascii="Times New Roman" w:hAnsi="Times New Roman" w:cs="Times New Roman"/>
          <w:color w:val="000000"/>
        </w:rPr>
        <w:t>one</w:t>
      </w:r>
      <w:r w:rsidRPr="008E6E59">
        <w:rPr>
          <w:rFonts w:ascii="Times New Roman" w:hAnsi="Times New Roman" w:cs="Times New Roman"/>
          <w:color w:val="000000"/>
        </w:rPr>
        <w:t xml:space="preserve"> can </w:t>
      </w:r>
      <w:r w:rsidR="007C22E5" w:rsidRPr="008E6E59">
        <w:rPr>
          <w:rFonts w:ascii="Times New Roman" w:hAnsi="Times New Roman" w:cs="Times New Roman"/>
          <w:color w:val="000000"/>
        </w:rPr>
        <w:t>validate</w:t>
      </w:r>
      <w:r w:rsidRPr="008E6E59">
        <w:rPr>
          <w:rFonts w:ascii="Times New Roman" w:hAnsi="Times New Roman" w:cs="Times New Roman"/>
          <w:color w:val="000000"/>
        </w:rPr>
        <w:t xml:space="preserve"> the magnitude of the BLC </w:t>
      </w:r>
      <w:r w:rsidR="00E72EA4" w:rsidRPr="008E6E59">
        <w:rPr>
          <w:rFonts w:ascii="Times New Roman" w:hAnsi="Times New Roman" w:cs="Times New Roman"/>
          <w:color w:val="000000"/>
        </w:rPr>
        <w:t>in</w:t>
      </w:r>
      <w:r w:rsidRPr="008E6E59">
        <w:rPr>
          <w:rFonts w:ascii="Times New Roman" w:hAnsi="Times New Roman" w:cs="Times New Roman"/>
          <w:color w:val="000000"/>
        </w:rPr>
        <w:t xml:space="preserve"> the two </w:t>
      </w:r>
      <w:r w:rsidR="001F10ED" w:rsidRPr="008E6E59">
        <w:rPr>
          <w:rFonts w:ascii="Times New Roman" w:hAnsi="Times New Roman" w:cs="Times New Roman"/>
          <w:color w:val="000000"/>
        </w:rPr>
        <w:t>regimes</w:t>
      </w:r>
      <w:r w:rsidRPr="008E6E59">
        <w:rPr>
          <w:rFonts w:ascii="Times New Roman" w:hAnsi="Times New Roman" w:cs="Times New Roman"/>
          <w:color w:val="000000"/>
        </w:rPr>
        <w:t xml:space="preserve">. </w:t>
      </w:r>
      <w:r w:rsidR="00E83863" w:rsidRPr="008E6E59">
        <w:rPr>
          <w:rFonts w:ascii="Times New Roman" w:hAnsi="Times New Roman" w:cs="Times New Roman"/>
          <w:color w:val="000000"/>
        </w:rPr>
        <w:t>Nonetheless</w:t>
      </w:r>
      <w:r w:rsidR="00031C23" w:rsidRPr="008E6E59">
        <w:rPr>
          <w:rFonts w:ascii="Times New Roman" w:hAnsi="Times New Roman" w:cs="Times New Roman"/>
          <w:color w:val="000000"/>
        </w:rPr>
        <w:t xml:space="preserve">, one might </w:t>
      </w:r>
      <w:r w:rsidR="00031C23" w:rsidRPr="008E6E59">
        <w:rPr>
          <w:rFonts w:ascii="Times New Roman" w:hAnsi="Times New Roman" w:cs="Times New Roman"/>
          <w:color w:val="000000"/>
        </w:rPr>
        <w:lastRenderedPageBreak/>
        <w:t>argue</w:t>
      </w:r>
      <w:r w:rsidR="00FE3FBD" w:rsidRPr="008E6E59">
        <w:rPr>
          <w:rFonts w:ascii="Times New Roman" w:hAnsi="Times New Roman" w:cs="Times New Roman"/>
          <w:color w:val="000000"/>
        </w:rPr>
        <w:t xml:space="preserve"> even if there</w:t>
      </w:r>
      <w:r w:rsidRPr="008E6E59">
        <w:rPr>
          <w:rFonts w:ascii="Times New Roman" w:hAnsi="Times New Roman" w:cs="Times New Roman"/>
          <w:color w:val="000000"/>
        </w:rPr>
        <w:t xml:space="preserve"> is a significant</w:t>
      </w:r>
      <w:r w:rsidR="0004370E" w:rsidRPr="008E6E59">
        <w:rPr>
          <w:rFonts w:ascii="Times New Roman" w:hAnsi="Times New Roman" w:cs="Times New Roman"/>
          <w:color w:val="000000"/>
        </w:rPr>
        <w:t xml:space="preserve"> decrease</w:t>
      </w:r>
      <w:r w:rsidRPr="008E6E59">
        <w:rPr>
          <w:rFonts w:ascii="Times New Roman" w:hAnsi="Times New Roman" w:cs="Times New Roman"/>
          <w:color w:val="000000"/>
        </w:rPr>
        <w:t xml:space="preserve"> </w:t>
      </w:r>
      <w:r w:rsidR="0004370E" w:rsidRPr="008E6E59">
        <w:rPr>
          <w:rFonts w:ascii="Times New Roman" w:hAnsi="Times New Roman" w:cs="Times New Roman"/>
          <w:color w:val="000000"/>
        </w:rPr>
        <w:t>(</w:t>
      </w:r>
      <w:r w:rsidRPr="008E6E59">
        <w:rPr>
          <w:rFonts w:ascii="Times New Roman" w:hAnsi="Times New Roman" w:cs="Times New Roman"/>
          <w:i/>
          <w:iCs/>
          <w:color w:val="000000"/>
        </w:rPr>
        <w:t>increase</w:t>
      </w:r>
      <w:r w:rsidR="0004370E" w:rsidRPr="008E6E59">
        <w:rPr>
          <w:rFonts w:ascii="Times New Roman" w:hAnsi="Times New Roman" w:cs="Times New Roman"/>
          <w:i/>
          <w:iCs/>
          <w:color w:val="000000"/>
        </w:rPr>
        <w:t>)</w:t>
      </w:r>
      <w:r w:rsidRPr="008E6E59">
        <w:rPr>
          <w:rFonts w:ascii="Times New Roman" w:hAnsi="Times New Roman" w:cs="Times New Roman"/>
          <w:color w:val="000000"/>
        </w:rPr>
        <w:t xml:space="preserve"> in the </w:t>
      </w:r>
      <w:r w:rsidRPr="008E6E59">
        <w:rPr>
          <w:rFonts w:ascii="Times New Roman" w:hAnsi="Times New Roman" w:cs="Times New Roman"/>
          <w:i/>
          <w:iCs/>
          <w:color w:val="000000"/>
        </w:rPr>
        <w:t>mix</w:t>
      </w:r>
      <w:r w:rsidR="00970018" w:rsidRPr="008E6E59">
        <w:rPr>
          <w:rFonts w:ascii="Times New Roman" w:hAnsi="Times New Roman" w:cs="Times New Roman"/>
          <w:i/>
          <w:iCs/>
          <w:color w:val="000000"/>
        </w:rPr>
        <w:t xml:space="preserve"> </w:t>
      </w:r>
      <w:r w:rsidR="00D61616" w:rsidRPr="008E6E59">
        <w:rPr>
          <w:rFonts w:ascii="Times New Roman" w:hAnsi="Times New Roman" w:cs="Times New Roman"/>
          <w:color w:val="000000"/>
        </w:rPr>
        <w:t>after a</w:t>
      </w:r>
      <w:r w:rsidR="0004370E" w:rsidRPr="008E6E59">
        <w:rPr>
          <w:rFonts w:ascii="Times New Roman" w:hAnsi="Times New Roman" w:cs="Times New Roman"/>
          <w:color w:val="000000"/>
        </w:rPr>
        <w:t xml:space="preserve"> contractionary</w:t>
      </w:r>
      <w:r w:rsidR="00D61616" w:rsidRPr="008E6E59">
        <w:rPr>
          <w:rFonts w:ascii="Times New Roman" w:hAnsi="Times New Roman" w:cs="Times New Roman"/>
          <w:color w:val="000000"/>
        </w:rPr>
        <w:t xml:space="preserve"> </w:t>
      </w:r>
      <w:r w:rsidR="0004370E" w:rsidRPr="008E6E59">
        <w:rPr>
          <w:rFonts w:ascii="Times New Roman" w:hAnsi="Times New Roman" w:cs="Times New Roman"/>
          <w:color w:val="000000"/>
        </w:rPr>
        <w:t>(</w:t>
      </w:r>
      <w:r w:rsidR="00D61616" w:rsidRPr="008E6E59">
        <w:rPr>
          <w:rFonts w:ascii="Times New Roman" w:hAnsi="Times New Roman" w:cs="Times New Roman"/>
          <w:i/>
          <w:iCs/>
          <w:color w:val="000000"/>
        </w:rPr>
        <w:t>expansionary</w:t>
      </w:r>
      <w:r w:rsidR="0004370E" w:rsidRPr="008E6E59">
        <w:rPr>
          <w:rFonts w:ascii="Times New Roman" w:hAnsi="Times New Roman" w:cs="Times New Roman"/>
          <w:i/>
          <w:iCs/>
          <w:color w:val="000000"/>
        </w:rPr>
        <w:t>)</w:t>
      </w:r>
      <w:r w:rsidR="00D61616" w:rsidRPr="008E6E59">
        <w:rPr>
          <w:rFonts w:ascii="Times New Roman" w:hAnsi="Times New Roman" w:cs="Times New Roman"/>
          <w:color w:val="000000"/>
        </w:rPr>
        <w:t xml:space="preserve"> monetary policy</w:t>
      </w:r>
      <w:r w:rsidR="00AF0A17" w:rsidRPr="008E6E59">
        <w:rPr>
          <w:rFonts w:ascii="Times New Roman" w:hAnsi="Times New Roman" w:cs="Times New Roman"/>
          <w:color w:val="000000"/>
        </w:rPr>
        <w:t>,</w:t>
      </w:r>
      <w:r w:rsidRPr="008E6E59">
        <w:rPr>
          <w:rFonts w:ascii="Times New Roman" w:hAnsi="Times New Roman" w:cs="Times New Roman"/>
          <w:color w:val="000000"/>
        </w:rPr>
        <w:t xml:space="preserve"> then that only demonstrates a relative </w:t>
      </w:r>
      <w:r w:rsidR="00B53733">
        <w:rPr>
          <w:rFonts w:ascii="Times New Roman" w:hAnsi="Times New Roman" w:cs="Times New Roman"/>
          <w:color w:val="000000"/>
        </w:rPr>
        <w:t>change</w:t>
      </w:r>
      <w:r w:rsidRPr="008E6E59">
        <w:rPr>
          <w:rFonts w:ascii="Times New Roman" w:hAnsi="Times New Roman" w:cs="Times New Roman"/>
          <w:color w:val="000000"/>
        </w:rPr>
        <w:t xml:space="preserve"> in the mortgages provided by depository institutions over </w:t>
      </w:r>
      <w:r w:rsidR="0021605E" w:rsidRPr="008E6E59">
        <w:rPr>
          <w:rFonts w:ascii="Times New Roman" w:hAnsi="Times New Roman" w:cs="Times New Roman"/>
          <w:color w:val="000000"/>
        </w:rPr>
        <w:t>non-depository</w:t>
      </w:r>
      <w:r w:rsidRPr="008E6E59">
        <w:rPr>
          <w:rFonts w:ascii="Times New Roman" w:hAnsi="Times New Roman" w:cs="Times New Roman"/>
          <w:color w:val="000000"/>
        </w:rPr>
        <w:t xml:space="preserve"> </w:t>
      </w:r>
      <w:r w:rsidR="00B53733">
        <w:rPr>
          <w:rFonts w:ascii="Times New Roman" w:hAnsi="Times New Roman" w:cs="Times New Roman"/>
          <w:color w:val="000000"/>
        </w:rPr>
        <w:t>ones</w:t>
      </w:r>
      <w:r w:rsidRPr="008E6E59">
        <w:rPr>
          <w:rFonts w:ascii="Times New Roman" w:hAnsi="Times New Roman" w:cs="Times New Roman"/>
          <w:color w:val="000000"/>
        </w:rPr>
        <w:t xml:space="preserve">. </w:t>
      </w:r>
      <w:r w:rsidR="00BE3BC9" w:rsidRPr="008E6E59">
        <w:rPr>
          <w:rFonts w:ascii="Times New Roman" w:hAnsi="Times New Roman" w:cs="Times New Roman"/>
          <w:color w:val="000000"/>
        </w:rPr>
        <w:t xml:space="preserve">Henceforth, to accentuate the effect of a significant change in the </w:t>
      </w:r>
      <w:r w:rsidR="00BE3BC9" w:rsidRPr="008E6E59">
        <w:rPr>
          <w:rFonts w:ascii="Times New Roman" w:hAnsi="Times New Roman" w:cs="Times New Roman"/>
          <w:i/>
          <w:iCs/>
          <w:color w:val="000000"/>
        </w:rPr>
        <w:t xml:space="preserve">mix </w:t>
      </w:r>
      <w:r w:rsidR="00BE3BC9" w:rsidRPr="008E6E59">
        <w:rPr>
          <w:rFonts w:ascii="Times New Roman" w:hAnsi="Times New Roman" w:cs="Times New Roman"/>
          <w:color w:val="000000"/>
        </w:rPr>
        <w:t xml:space="preserve">on housing demand </w:t>
      </w:r>
      <w:r w:rsidR="0010698C" w:rsidRPr="008E6E59">
        <w:rPr>
          <w:rFonts w:ascii="Times New Roman" w:hAnsi="Times New Roman" w:cs="Times New Roman"/>
          <w:color w:val="000000"/>
        </w:rPr>
        <w:t xml:space="preserve">the </w:t>
      </w:r>
      <w:r w:rsidR="00CF274C" w:rsidRPr="008E6E59">
        <w:rPr>
          <w:rFonts w:ascii="Times New Roman" w:hAnsi="Times New Roman" w:cs="Times New Roman"/>
          <w:color w:val="000000"/>
        </w:rPr>
        <w:t>analysis entail</w:t>
      </w:r>
      <w:r w:rsidRPr="008E6E59">
        <w:rPr>
          <w:rFonts w:ascii="Times New Roman" w:hAnsi="Times New Roman" w:cs="Times New Roman"/>
          <w:color w:val="000000"/>
        </w:rPr>
        <w:t xml:space="preserve"> two steps</w:t>
      </w:r>
      <w:r w:rsidR="00D10F1B">
        <w:rPr>
          <w:rFonts w:ascii="Times New Roman" w:hAnsi="Times New Roman" w:cs="Times New Roman"/>
          <w:color w:val="000000"/>
        </w:rPr>
        <w:t>;</w:t>
      </w:r>
      <w:r w:rsidRPr="008E6E59">
        <w:rPr>
          <w:rFonts w:ascii="Times New Roman" w:hAnsi="Times New Roman" w:cs="Times New Roman"/>
          <w:color w:val="000000"/>
        </w:rPr>
        <w:t xml:space="preserve"> </w:t>
      </w:r>
      <w:r w:rsidRPr="00B53733">
        <w:rPr>
          <w:rFonts w:ascii="Times New Roman" w:hAnsi="Times New Roman" w:cs="Times New Roman"/>
          <w:i/>
          <w:iCs/>
          <w:color w:val="000000"/>
        </w:rPr>
        <w:t>firstly</w:t>
      </w:r>
      <w:r w:rsidR="00D10F1B">
        <w:rPr>
          <w:rFonts w:ascii="Times New Roman" w:hAnsi="Times New Roman" w:cs="Times New Roman"/>
          <w:i/>
          <w:iCs/>
          <w:color w:val="000000"/>
        </w:rPr>
        <w:t>,</w:t>
      </w:r>
      <w:r w:rsidRPr="008E6E59">
        <w:rPr>
          <w:rFonts w:ascii="Times New Roman" w:hAnsi="Times New Roman" w:cs="Times New Roman"/>
          <w:color w:val="000000"/>
        </w:rPr>
        <w:t xml:space="preserve"> to analyse wheth</w:t>
      </w:r>
      <w:r w:rsidR="0010698C" w:rsidRPr="008E6E59">
        <w:rPr>
          <w:rFonts w:ascii="Times New Roman" w:hAnsi="Times New Roman" w:cs="Times New Roman"/>
          <w:color w:val="000000"/>
        </w:rPr>
        <w:t xml:space="preserve">er monetary policy affects the </w:t>
      </w:r>
      <w:r w:rsidR="0010698C" w:rsidRPr="008E6E59">
        <w:rPr>
          <w:rFonts w:ascii="Times New Roman" w:hAnsi="Times New Roman" w:cs="Times New Roman"/>
          <w:i/>
          <w:color w:val="000000"/>
        </w:rPr>
        <w:t>m</w:t>
      </w:r>
      <w:r w:rsidRPr="008E6E59">
        <w:rPr>
          <w:rFonts w:ascii="Times New Roman" w:hAnsi="Times New Roman" w:cs="Times New Roman"/>
          <w:i/>
          <w:color w:val="000000"/>
        </w:rPr>
        <w:t>ix</w:t>
      </w:r>
      <w:r w:rsidRPr="008E6E59">
        <w:rPr>
          <w:rFonts w:ascii="Times New Roman" w:hAnsi="Times New Roman" w:cs="Times New Roman"/>
          <w:color w:val="000000"/>
        </w:rPr>
        <w:t xml:space="preserve"> </w:t>
      </w:r>
      <w:r w:rsidR="00D61616" w:rsidRPr="008E6E59">
        <w:rPr>
          <w:rFonts w:ascii="Times New Roman" w:hAnsi="Times New Roman" w:cs="Times New Roman"/>
          <w:color w:val="000000"/>
        </w:rPr>
        <w:t>(fourth MSVAR</w:t>
      </w:r>
      <w:r w:rsidRPr="008E6E59">
        <w:rPr>
          <w:rFonts w:ascii="Times New Roman" w:hAnsi="Times New Roman" w:cs="Times New Roman"/>
          <w:color w:val="000000"/>
        </w:rPr>
        <w:t xml:space="preserve">) and if so </w:t>
      </w:r>
      <w:r w:rsidR="00D10F1B">
        <w:rPr>
          <w:rFonts w:ascii="Times New Roman" w:hAnsi="Times New Roman" w:cs="Times New Roman"/>
          <w:color w:val="000000"/>
        </w:rPr>
        <w:t xml:space="preserve">then </w:t>
      </w:r>
      <w:r w:rsidRPr="008E6E59">
        <w:rPr>
          <w:rFonts w:ascii="Times New Roman" w:hAnsi="Times New Roman" w:cs="Times New Roman"/>
          <w:color w:val="000000"/>
        </w:rPr>
        <w:t>analyse wheth</w:t>
      </w:r>
      <w:r w:rsidR="0010698C" w:rsidRPr="008E6E59">
        <w:rPr>
          <w:rFonts w:ascii="Times New Roman" w:hAnsi="Times New Roman" w:cs="Times New Roman"/>
          <w:color w:val="000000"/>
        </w:rPr>
        <w:t xml:space="preserve">er changes in the </w:t>
      </w:r>
      <w:r w:rsidR="00970018" w:rsidRPr="008E6E59">
        <w:rPr>
          <w:rFonts w:ascii="Times New Roman" w:hAnsi="Times New Roman" w:cs="Times New Roman"/>
          <w:i/>
          <w:color w:val="000000"/>
        </w:rPr>
        <w:t xml:space="preserve">mix </w:t>
      </w:r>
      <w:r w:rsidR="00970018" w:rsidRPr="008E6E59">
        <w:rPr>
          <w:rFonts w:ascii="Times New Roman" w:hAnsi="Times New Roman" w:cs="Times New Roman"/>
          <w:color w:val="000000"/>
        </w:rPr>
        <w:t>affect</w:t>
      </w:r>
      <w:r w:rsidR="00EE4C67" w:rsidRPr="008E6E59">
        <w:rPr>
          <w:rFonts w:ascii="Times New Roman" w:hAnsi="Times New Roman" w:cs="Times New Roman"/>
          <w:color w:val="000000"/>
        </w:rPr>
        <w:t xml:space="preserve"> </w:t>
      </w:r>
      <w:r w:rsidR="00E5089A" w:rsidRPr="008E6E59">
        <w:rPr>
          <w:rFonts w:ascii="Times New Roman" w:hAnsi="Times New Roman" w:cs="Times New Roman"/>
          <w:color w:val="000000"/>
        </w:rPr>
        <w:t>house</w:t>
      </w:r>
      <w:r w:rsidR="00C07EBB" w:rsidRPr="008E6E59">
        <w:rPr>
          <w:rFonts w:ascii="Times New Roman" w:hAnsi="Times New Roman" w:cs="Times New Roman"/>
          <w:color w:val="000000"/>
        </w:rPr>
        <w:t xml:space="preserve"> prices</w:t>
      </w:r>
      <w:r w:rsidRPr="008E6E59">
        <w:rPr>
          <w:rFonts w:ascii="Times New Roman" w:hAnsi="Times New Roman" w:cs="Times New Roman"/>
          <w:color w:val="000000"/>
        </w:rPr>
        <w:t xml:space="preserve"> (</w:t>
      </w:r>
      <w:r w:rsidR="00D61616" w:rsidRPr="008E6E59">
        <w:rPr>
          <w:rFonts w:ascii="Times New Roman" w:hAnsi="Times New Roman" w:cs="Times New Roman"/>
          <w:color w:val="000000"/>
        </w:rPr>
        <w:t>fifth MSVAR</w:t>
      </w:r>
      <w:r w:rsidRPr="008E6E59">
        <w:rPr>
          <w:rFonts w:ascii="Times New Roman" w:hAnsi="Times New Roman" w:cs="Times New Roman"/>
          <w:color w:val="000000"/>
        </w:rPr>
        <w:t xml:space="preserve">). </w:t>
      </w:r>
    </w:p>
    <w:p w14:paraId="2787484D" w14:textId="1FA87248" w:rsidR="00850DA1" w:rsidRPr="00733321" w:rsidRDefault="00733321" w:rsidP="00733321">
      <w:pPr>
        <w:widowControl w:val="0"/>
        <w:autoSpaceDE w:val="0"/>
        <w:autoSpaceDN w:val="0"/>
        <w:adjustRightInd w:val="0"/>
        <w:spacing w:after="0" w:line="360" w:lineRule="auto"/>
        <w:ind w:right="91"/>
        <w:jc w:val="both"/>
        <w:outlineLvl w:val="0"/>
        <w:rPr>
          <w:rFonts w:ascii="Times New Roman" w:hAnsi="Times New Roman" w:cs="Times New Roman"/>
          <w:i/>
          <w:color w:val="000000" w:themeColor="text1"/>
        </w:rPr>
      </w:pPr>
      <w:r>
        <w:rPr>
          <w:rFonts w:ascii="Times New Roman" w:hAnsi="Times New Roman" w:cs="Times New Roman"/>
          <w:i/>
          <w:color w:val="000000" w:themeColor="text1"/>
        </w:rPr>
        <w:t xml:space="preserve">e) </w:t>
      </w:r>
      <w:r w:rsidR="00A1142E" w:rsidRPr="00733321">
        <w:rPr>
          <w:rFonts w:ascii="Times New Roman" w:hAnsi="Times New Roman" w:cs="Times New Roman"/>
          <w:i/>
          <w:color w:val="000000" w:themeColor="text1"/>
        </w:rPr>
        <w:t>Fifth MSVAR</w:t>
      </w:r>
    </w:p>
    <w:p w14:paraId="2C20A31E" w14:textId="77314EE4" w:rsidR="00C165F0" w:rsidRDefault="00A1142E" w:rsidP="00B2093B">
      <w:pPr>
        <w:pStyle w:val="NormalWeb"/>
        <w:spacing w:before="120" w:beforeAutospacing="0" w:afterAutospacing="0" w:line="480" w:lineRule="auto"/>
        <w:jc w:val="both"/>
        <w:rPr>
          <w:color w:val="000000"/>
        </w:rPr>
      </w:pPr>
      <w:r w:rsidRPr="008E6E59">
        <w:rPr>
          <w:color w:val="000000"/>
        </w:rPr>
        <w:t>If monetary policy has significant e</w:t>
      </w:r>
      <w:r w:rsidR="0010698C" w:rsidRPr="008E6E59">
        <w:rPr>
          <w:color w:val="000000"/>
        </w:rPr>
        <w:t xml:space="preserve">ffect on the </w:t>
      </w:r>
      <w:r w:rsidR="0010698C" w:rsidRPr="008E6E59">
        <w:rPr>
          <w:i/>
          <w:iCs/>
          <w:color w:val="000000"/>
        </w:rPr>
        <w:t>m</w:t>
      </w:r>
      <w:r w:rsidR="001534C6" w:rsidRPr="008E6E59">
        <w:rPr>
          <w:i/>
          <w:iCs/>
          <w:color w:val="000000"/>
        </w:rPr>
        <w:t>ix</w:t>
      </w:r>
      <w:r w:rsidR="001534C6" w:rsidRPr="008E6E59">
        <w:rPr>
          <w:color w:val="000000"/>
        </w:rPr>
        <w:t xml:space="preserve">, we run </w:t>
      </w:r>
      <w:r w:rsidR="00475DF1" w:rsidRPr="008E6E59">
        <w:rPr>
          <w:color w:val="000000"/>
        </w:rPr>
        <w:t>the</w:t>
      </w:r>
      <w:r w:rsidR="00972EF4" w:rsidRPr="008E6E59">
        <w:rPr>
          <w:color w:val="000000"/>
        </w:rPr>
        <w:t xml:space="preserve"> fifth</w:t>
      </w:r>
      <w:r w:rsidRPr="008E6E59">
        <w:rPr>
          <w:color w:val="000000"/>
        </w:rPr>
        <w:t xml:space="preserve"> MSVAR which </w:t>
      </w:r>
      <w:r w:rsidR="00305F5A" w:rsidRPr="008E6E59">
        <w:rPr>
          <w:color w:val="000000"/>
        </w:rPr>
        <w:t>includes</w:t>
      </w:r>
      <w:r w:rsidR="00305F5A">
        <w:rPr>
          <w:color w:val="000000"/>
        </w:rPr>
        <w:t>,</w:t>
      </w:r>
      <w:r w:rsidRPr="008E6E59">
        <w:rPr>
          <w:color w:val="000000"/>
        </w:rPr>
        <w:t xml:space="preserve"> </w:t>
      </w:r>
      <w:r w:rsidRPr="008E6E59">
        <w:rPr>
          <w:i/>
          <w:iCs/>
          <w:color w:val="000000" w:themeColor="text1"/>
        </w:rPr>
        <w:t>∆</w:t>
      </w:r>
      <w:r w:rsidR="0021605E" w:rsidRPr="008E6E59">
        <w:rPr>
          <w:i/>
          <w:iCs/>
          <w:color w:val="000000" w:themeColor="text1"/>
        </w:rPr>
        <w:t>gdp</w:t>
      </w:r>
      <w:r w:rsidRPr="008E6E59">
        <w:rPr>
          <w:i/>
          <w:iCs/>
          <w:color w:val="000000" w:themeColor="text1"/>
        </w:rPr>
        <w:t xml:space="preserve">, inflation, ∆house prices </w:t>
      </w:r>
      <w:r w:rsidRPr="0077257E">
        <w:rPr>
          <w:color w:val="000000" w:themeColor="text1"/>
        </w:rPr>
        <w:t>and</w:t>
      </w:r>
      <w:r w:rsidRPr="008E6E59">
        <w:rPr>
          <w:i/>
          <w:iCs/>
          <w:color w:val="000000" w:themeColor="text1"/>
        </w:rPr>
        <w:t xml:space="preserve"> the</w:t>
      </w:r>
      <w:r w:rsidR="0010698C" w:rsidRPr="008E6E59">
        <w:rPr>
          <w:i/>
          <w:iCs/>
          <w:color w:val="000000" w:themeColor="text1"/>
        </w:rPr>
        <w:t xml:space="preserve"> m</w:t>
      </w:r>
      <w:r w:rsidRPr="008E6E59">
        <w:rPr>
          <w:i/>
          <w:iCs/>
          <w:color w:val="000000" w:themeColor="text1"/>
        </w:rPr>
        <w:t>ix</w:t>
      </w:r>
      <w:r w:rsidRPr="008E6E59">
        <w:rPr>
          <w:color w:val="000000" w:themeColor="text1"/>
        </w:rPr>
        <w:t>.</w:t>
      </w:r>
      <w:r w:rsidR="007B3132" w:rsidRPr="008E6E59">
        <w:rPr>
          <w:color w:val="000000"/>
        </w:rPr>
        <w:t xml:space="preserve">  This model examines</w:t>
      </w:r>
      <w:r w:rsidRPr="008E6E59">
        <w:rPr>
          <w:color w:val="000000"/>
        </w:rPr>
        <w:t xml:space="preserve"> the effects of an exogenous</w:t>
      </w:r>
      <w:r w:rsidR="00AC327A" w:rsidRPr="008E6E59">
        <w:rPr>
          <w:color w:val="000000"/>
        </w:rPr>
        <w:t xml:space="preserve"> increase </w:t>
      </w:r>
      <w:r w:rsidR="005C54E4" w:rsidRPr="008E6E59">
        <w:rPr>
          <w:color w:val="000000"/>
        </w:rPr>
        <w:t>in</w:t>
      </w:r>
      <w:r w:rsidR="0010698C" w:rsidRPr="008E6E59">
        <w:rPr>
          <w:color w:val="000000"/>
        </w:rPr>
        <w:t xml:space="preserve"> </w:t>
      </w:r>
      <w:r w:rsidR="0010698C" w:rsidRPr="008E6E59">
        <w:rPr>
          <w:i/>
          <w:iCs/>
          <w:color w:val="000000"/>
        </w:rPr>
        <w:t>m</w:t>
      </w:r>
      <w:r w:rsidR="005C54E4" w:rsidRPr="008E6E59">
        <w:rPr>
          <w:i/>
          <w:iCs/>
          <w:color w:val="000000"/>
        </w:rPr>
        <w:t>ix</w:t>
      </w:r>
      <w:r w:rsidR="001E36D6" w:rsidRPr="008E6E59">
        <w:rPr>
          <w:color w:val="000000"/>
        </w:rPr>
        <w:t xml:space="preserve"> (</w:t>
      </w:r>
      <w:r w:rsidRPr="008E6E59">
        <w:rPr>
          <w:color w:val="000000"/>
        </w:rPr>
        <w:t>external finance shock</w:t>
      </w:r>
      <w:r w:rsidR="001E36D6" w:rsidRPr="008E6E59">
        <w:rPr>
          <w:color w:val="000000"/>
        </w:rPr>
        <w:t>) on house prices</w:t>
      </w:r>
      <w:r w:rsidR="00FC1BB5" w:rsidRPr="008E6E59">
        <w:rPr>
          <w:color w:val="000000"/>
        </w:rPr>
        <w:t>,</w:t>
      </w:r>
      <w:r w:rsidRPr="008E6E59">
        <w:rPr>
          <w:color w:val="000000"/>
        </w:rPr>
        <w:t xml:space="preserve"> during boom and recess</w:t>
      </w:r>
      <w:r w:rsidR="00A731F9">
        <w:rPr>
          <w:color w:val="000000"/>
        </w:rPr>
        <w:t>ions</w:t>
      </w:r>
      <w:r w:rsidRPr="008E6E59">
        <w:rPr>
          <w:color w:val="000000"/>
        </w:rPr>
        <w:t>. If the</w:t>
      </w:r>
      <w:r w:rsidR="0010698C" w:rsidRPr="008E6E59">
        <w:rPr>
          <w:color w:val="000000"/>
        </w:rPr>
        <w:t xml:space="preserve"> </w:t>
      </w:r>
      <w:r w:rsidR="0010698C" w:rsidRPr="008E6E59">
        <w:rPr>
          <w:i/>
          <w:iCs/>
          <w:color w:val="000000"/>
        </w:rPr>
        <w:t>m</w:t>
      </w:r>
      <w:r w:rsidR="006E6990" w:rsidRPr="008E6E59">
        <w:rPr>
          <w:i/>
          <w:iCs/>
          <w:color w:val="000000"/>
        </w:rPr>
        <w:t>ix</w:t>
      </w:r>
      <w:r w:rsidR="006E6990" w:rsidRPr="008E6E59">
        <w:rPr>
          <w:color w:val="000000"/>
        </w:rPr>
        <w:t xml:space="preserve"> has any explanatory power on house price</w:t>
      </w:r>
      <w:r w:rsidR="00A34034" w:rsidRPr="008E6E59">
        <w:rPr>
          <w:color w:val="000000"/>
        </w:rPr>
        <w:t xml:space="preserve"> in a</w:t>
      </w:r>
      <w:r w:rsidR="0050707D" w:rsidRPr="008E6E59">
        <w:rPr>
          <w:color w:val="000000"/>
        </w:rPr>
        <w:t xml:space="preserve"> reduced form regression</w:t>
      </w:r>
      <w:r w:rsidR="00C165F0">
        <w:rPr>
          <w:color w:val="000000"/>
        </w:rPr>
        <w:t xml:space="preserve"> containing </w:t>
      </w:r>
      <w:r w:rsidR="00C165F0" w:rsidRPr="008E6E59">
        <w:rPr>
          <w:color w:val="000000" w:themeColor="text1"/>
        </w:rPr>
        <w:t>∆</w:t>
      </w:r>
      <w:r w:rsidR="00C165F0" w:rsidRPr="008E6E59">
        <w:rPr>
          <w:i/>
          <w:color w:val="000000" w:themeColor="text1"/>
        </w:rPr>
        <w:t>gdp</w:t>
      </w:r>
      <w:r w:rsidR="00C165F0" w:rsidRPr="008E6E59">
        <w:rPr>
          <w:color w:val="000000"/>
        </w:rPr>
        <w:t xml:space="preserve"> and inflation, </w:t>
      </w:r>
      <w:r w:rsidR="00CF274C" w:rsidRPr="008E6E59">
        <w:rPr>
          <w:color w:val="000000"/>
        </w:rPr>
        <w:t>its</w:t>
      </w:r>
      <w:r w:rsidR="00C165F0" w:rsidRPr="008E6E59">
        <w:rPr>
          <w:color w:val="000000"/>
        </w:rPr>
        <w:t xml:space="preserve"> incremental explanatory power </w:t>
      </w:r>
      <w:r w:rsidR="00D26AD0">
        <w:rPr>
          <w:color w:val="000000"/>
        </w:rPr>
        <w:t xml:space="preserve">underpins </w:t>
      </w:r>
      <w:r w:rsidR="00C165F0" w:rsidRPr="008E6E59">
        <w:rPr>
          <w:color w:val="000000"/>
        </w:rPr>
        <w:t>the existence of</w:t>
      </w:r>
      <w:r w:rsidR="00C165F0">
        <w:rPr>
          <w:color w:val="000000"/>
        </w:rPr>
        <w:t xml:space="preserve"> </w:t>
      </w:r>
      <w:r w:rsidR="00C165F0" w:rsidRPr="008E6E59">
        <w:rPr>
          <w:color w:val="000000"/>
        </w:rPr>
        <w:t>an independent BLC.</w:t>
      </w:r>
      <w:r w:rsidR="00C165F0" w:rsidRPr="008E6E59">
        <w:rPr>
          <w:rStyle w:val="FootnoteReference"/>
          <w:color w:val="000000"/>
        </w:rPr>
        <w:footnoteReference w:id="10"/>
      </w:r>
    </w:p>
    <w:p w14:paraId="22B63080" w14:textId="063F0513" w:rsidR="00850DA1" w:rsidRPr="00AE21FC" w:rsidRDefault="00362859" w:rsidP="00305F5A">
      <w:pPr>
        <w:widowControl w:val="0"/>
        <w:autoSpaceDE w:val="0"/>
        <w:autoSpaceDN w:val="0"/>
        <w:adjustRightInd w:val="0"/>
        <w:spacing w:before="120" w:after="0"/>
        <w:ind w:right="90"/>
        <w:jc w:val="both"/>
        <w:outlineLvl w:val="0"/>
        <w:rPr>
          <w:rFonts w:ascii="Times New Roman" w:hAnsi="Times New Roman" w:cs="Times New Roman"/>
          <w:b/>
          <w:bCs/>
          <w:i/>
          <w:color w:val="000000" w:themeColor="text1"/>
        </w:rPr>
      </w:pPr>
      <w:r w:rsidRPr="00AE21FC">
        <w:rPr>
          <w:rFonts w:ascii="Times New Roman" w:hAnsi="Times New Roman" w:cs="Times New Roman"/>
          <w:b/>
          <w:bCs/>
          <w:i/>
          <w:color w:val="000000" w:themeColor="text1"/>
        </w:rPr>
        <w:t>3.2</w:t>
      </w:r>
      <w:r w:rsidR="000E02BA" w:rsidRPr="00AE21FC">
        <w:rPr>
          <w:rFonts w:ascii="Times New Roman" w:hAnsi="Times New Roman" w:cs="Times New Roman"/>
          <w:b/>
          <w:bCs/>
          <w:iCs/>
          <w:color w:val="000000" w:themeColor="text1"/>
        </w:rPr>
        <w:t xml:space="preserve"> </w:t>
      </w:r>
      <w:r w:rsidR="00F14F80" w:rsidRPr="00AE21FC">
        <w:rPr>
          <w:rFonts w:ascii="Times New Roman" w:hAnsi="Times New Roman" w:cs="Times New Roman"/>
          <w:b/>
          <w:bCs/>
          <w:i/>
          <w:color w:val="000000" w:themeColor="text1"/>
        </w:rPr>
        <w:t>Data</w:t>
      </w:r>
      <w:r w:rsidR="00DB2BAF" w:rsidRPr="00AE21FC">
        <w:rPr>
          <w:rFonts w:ascii="Times New Roman" w:hAnsi="Times New Roman" w:cs="Times New Roman"/>
          <w:b/>
          <w:bCs/>
          <w:i/>
          <w:color w:val="000000" w:themeColor="text1"/>
        </w:rPr>
        <w:t xml:space="preserve"> characteristics</w:t>
      </w:r>
      <w:r w:rsidR="000E02BA" w:rsidRPr="00AE21FC">
        <w:rPr>
          <w:rFonts w:ascii="Times New Roman" w:hAnsi="Times New Roman" w:cs="Times New Roman"/>
          <w:b/>
          <w:bCs/>
          <w:i/>
          <w:color w:val="000000" w:themeColor="text1"/>
        </w:rPr>
        <w:t xml:space="preserve"> and empirical analyses</w:t>
      </w:r>
    </w:p>
    <w:p w14:paraId="4AEA5BAE" w14:textId="77777777" w:rsidR="00AE21FC" w:rsidRDefault="00AE21FC" w:rsidP="00AE21FC">
      <w:pPr>
        <w:widowControl w:val="0"/>
        <w:autoSpaceDE w:val="0"/>
        <w:autoSpaceDN w:val="0"/>
        <w:adjustRightInd w:val="0"/>
        <w:spacing w:after="0"/>
        <w:ind w:right="90"/>
        <w:jc w:val="both"/>
        <w:rPr>
          <w:rFonts w:ascii="Times New Roman" w:hAnsi="Times New Roman" w:cs="Times New Roman"/>
          <w:b/>
          <w:bCs/>
          <w:i/>
          <w:color w:val="000000" w:themeColor="text1"/>
        </w:rPr>
      </w:pPr>
    </w:p>
    <w:p w14:paraId="1F4BE48B" w14:textId="4B86ECEA" w:rsidR="00972EF4" w:rsidRDefault="00DB2BAF" w:rsidP="000B2DA4">
      <w:pPr>
        <w:widowControl w:val="0"/>
        <w:autoSpaceDE w:val="0"/>
        <w:autoSpaceDN w:val="0"/>
        <w:adjustRightInd w:val="0"/>
        <w:spacing w:after="0" w:line="480" w:lineRule="auto"/>
        <w:ind w:right="90"/>
        <w:jc w:val="both"/>
        <w:rPr>
          <w:rFonts w:ascii="Times New Roman" w:hAnsi="Times New Roman" w:cs="Times New Roman"/>
          <w:color w:val="000000"/>
        </w:rPr>
      </w:pPr>
      <w:r>
        <w:rPr>
          <w:rFonts w:ascii="Times New Roman" w:hAnsi="Times New Roman" w:cs="Times New Roman"/>
          <w:color w:val="000000"/>
        </w:rPr>
        <w:t xml:space="preserve">Our data is quarterly and covers the period: </w:t>
      </w:r>
      <w:r w:rsidR="00F14F80" w:rsidRPr="008E6E59">
        <w:rPr>
          <w:rFonts w:ascii="Times New Roman" w:hAnsi="Times New Roman" w:cs="Times New Roman"/>
          <w:color w:val="000000"/>
        </w:rPr>
        <w:t>1973</w:t>
      </w:r>
      <w:r w:rsidR="00841BD9" w:rsidRPr="008E6E59">
        <w:rPr>
          <w:rFonts w:ascii="Times New Roman" w:hAnsi="Times New Roman" w:cs="Times New Roman"/>
          <w:color w:val="000000"/>
        </w:rPr>
        <w:t>q4</w:t>
      </w:r>
      <w:r>
        <w:rPr>
          <w:rFonts w:ascii="Times New Roman" w:hAnsi="Times New Roman" w:cs="Times New Roman"/>
          <w:color w:val="000000"/>
        </w:rPr>
        <w:t xml:space="preserve"> - </w:t>
      </w:r>
      <w:r w:rsidR="00D3290F" w:rsidRPr="008E6E59">
        <w:rPr>
          <w:rFonts w:ascii="Times New Roman" w:hAnsi="Times New Roman" w:cs="Times New Roman"/>
          <w:color w:val="000000"/>
        </w:rPr>
        <w:t>2015</w:t>
      </w:r>
      <w:r w:rsidR="00841BD9" w:rsidRPr="008E6E59">
        <w:rPr>
          <w:rFonts w:ascii="Times New Roman" w:hAnsi="Times New Roman" w:cs="Times New Roman"/>
          <w:color w:val="000000"/>
        </w:rPr>
        <w:t>q4</w:t>
      </w:r>
      <w:r w:rsidR="00D3290F" w:rsidRPr="008E6E59">
        <w:rPr>
          <w:rFonts w:ascii="Times New Roman" w:hAnsi="Times New Roman" w:cs="Times New Roman"/>
          <w:color w:val="000000"/>
        </w:rPr>
        <w:t>.</w:t>
      </w:r>
      <w:r w:rsidR="00C6218F">
        <w:rPr>
          <w:rStyle w:val="FootnoteReference"/>
          <w:rFonts w:ascii="Times New Roman" w:hAnsi="Times New Roman" w:cs="Times New Roman"/>
          <w:color w:val="000000"/>
        </w:rPr>
        <w:footnoteReference w:id="11"/>
      </w:r>
      <w:r w:rsidR="00A45D36" w:rsidRPr="008E6E59">
        <w:rPr>
          <w:rFonts w:ascii="Times New Roman" w:hAnsi="Times New Roman" w:cs="Times New Roman"/>
          <w:color w:val="000000"/>
        </w:rPr>
        <w:t xml:space="preserve"> </w:t>
      </w:r>
      <w:r w:rsidR="00F14F80" w:rsidRPr="008E6E59">
        <w:rPr>
          <w:rFonts w:ascii="Times New Roman" w:hAnsi="Times New Roman" w:cs="Times New Roman"/>
          <w:color w:val="000000"/>
        </w:rPr>
        <w:t>Hansen (1992) stability test reported in table</w:t>
      </w:r>
      <w:r w:rsidR="00684D98" w:rsidRPr="008E6E59">
        <w:rPr>
          <w:rFonts w:ascii="Times New Roman" w:hAnsi="Times New Roman" w:cs="Times New Roman"/>
          <w:color w:val="000000"/>
        </w:rPr>
        <w:t xml:space="preserve"> </w:t>
      </w:r>
      <w:r w:rsidR="00A46104">
        <w:rPr>
          <w:rFonts w:ascii="Times New Roman" w:hAnsi="Times New Roman" w:cs="Times New Roman"/>
          <w:color w:val="000000"/>
        </w:rPr>
        <w:t>2</w:t>
      </w:r>
      <w:r w:rsidR="00841BD9" w:rsidRPr="008E6E59">
        <w:rPr>
          <w:rFonts w:ascii="Times New Roman" w:hAnsi="Times New Roman" w:cs="Times New Roman"/>
          <w:color w:val="000000"/>
        </w:rPr>
        <w:t xml:space="preserve"> show</w:t>
      </w:r>
      <w:r w:rsidR="008F606E">
        <w:rPr>
          <w:rFonts w:ascii="Times New Roman" w:hAnsi="Times New Roman" w:cs="Times New Roman"/>
          <w:color w:val="000000"/>
        </w:rPr>
        <w:t>s</w:t>
      </w:r>
      <w:r>
        <w:rPr>
          <w:rFonts w:ascii="Times New Roman" w:hAnsi="Times New Roman" w:cs="Times New Roman"/>
          <w:color w:val="000000"/>
        </w:rPr>
        <w:t xml:space="preserve"> </w:t>
      </w:r>
      <w:r w:rsidR="004F6B99" w:rsidRPr="008E6E59">
        <w:rPr>
          <w:rFonts w:ascii="Times New Roman" w:hAnsi="Times New Roman" w:cs="Times New Roman"/>
          <w:color w:val="000000"/>
        </w:rPr>
        <w:t xml:space="preserve">variables </w:t>
      </w:r>
      <w:r w:rsidR="00F801D3">
        <w:rPr>
          <w:rFonts w:ascii="Times New Roman" w:hAnsi="Times New Roman" w:cs="Times New Roman"/>
          <w:color w:val="000000"/>
        </w:rPr>
        <w:t>have</w:t>
      </w:r>
      <w:r w:rsidR="007778BA" w:rsidRPr="008E6E59">
        <w:rPr>
          <w:rFonts w:ascii="Times New Roman" w:hAnsi="Times New Roman" w:cs="Times New Roman"/>
          <w:color w:val="000000"/>
        </w:rPr>
        <w:t xml:space="preserve"> </w:t>
      </w:r>
      <w:r w:rsidR="00F14F80" w:rsidRPr="008E6E59">
        <w:rPr>
          <w:rFonts w:ascii="Times New Roman" w:hAnsi="Times New Roman" w:cs="Times New Roman"/>
          <w:color w:val="000000"/>
        </w:rPr>
        <w:t>breaks in</w:t>
      </w:r>
      <w:r w:rsidR="003979A9" w:rsidRPr="008E6E59">
        <w:rPr>
          <w:rFonts w:ascii="Times New Roman" w:hAnsi="Times New Roman" w:cs="Times New Roman"/>
          <w:color w:val="000000"/>
        </w:rPr>
        <w:t xml:space="preserve"> </w:t>
      </w:r>
      <w:r w:rsidR="00D63B48" w:rsidRPr="008E6E59">
        <w:rPr>
          <w:rFonts w:ascii="Times New Roman" w:hAnsi="Times New Roman" w:cs="Times New Roman"/>
          <w:color w:val="000000"/>
        </w:rPr>
        <w:t>the mean</w:t>
      </w:r>
      <w:r w:rsidR="00E425E9" w:rsidRPr="008E6E59">
        <w:rPr>
          <w:rFonts w:ascii="Times New Roman" w:hAnsi="Times New Roman" w:cs="Times New Roman"/>
          <w:color w:val="000000"/>
        </w:rPr>
        <w:t>,</w:t>
      </w:r>
      <w:r w:rsidR="00523849" w:rsidRPr="008E6E59">
        <w:rPr>
          <w:rFonts w:ascii="Times New Roman" w:hAnsi="Times New Roman" w:cs="Times New Roman"/>
          <w:color w:val="000000"/>
        </w:rPr>
        <w:t xml:space="preserve"> variance</w:t>
      </w:r>
      <w:r w:rsidR="00F14F80" w:rsidRPr="008E6E59">
        <w:rPr>
          <w:rFonts w:ascii="Times New Roman" w:hAnsi="Times New Roman" w:cs="Times New Roman"/>
          <w:color w:val="000000"/>
        </w:rPr>
        <w:t xml:space="preserve"> </w:t>
      </w:r>
      <w:r w:rsidR="00523849" w:rsidRPr="008E6E59">
        <w:rPr>
          <w:rFonts w:ascii="Times New Roman" w:hAnsi="Times New Roman" w:cs="Times New Roman"/>
          <w:color w:val="000000"/>
        </w:rPr>
        <w:t>or in both</w:t>
      </w:r>
      <w:r w:rsidR="00F14F80" w:rsidRPr="008E6E59">
        <w:rPr>
          <w:rFonts w:ascii="Times New Roman" w:hAnsi="Times New Roman" w:cs="Times New Roman"/>
          <w:color w:val="000000"/>
        </w:rPr>
        <w:t xml:space="preserve"> compone</w:t>
      </w:r>
      <w:r w:rsidR="004E5112" w:rsidRPr="008E6E59">
        <w:rPr>
          <w:rFonts w:ascii="Times New Roman" w:hAnsi="Times New Roman" w:cs="Times New Roman"/>
          <w:color w:val="000000"/>
        </w:rPr>
        <w:t>nts jointly</w:t>
      </w:r>
      <w:r w:rsidR="00D26AD0">
        <w:rPr>
          <w:rFonts w:ascii="Times New Roman" w:hAnsi="Times New Roman" w:cs="Times New Roman"/>
          <w:color w:val="000000"/>
        </w:rPr>
        <w:t>,</w:t>
      </w:r>
      <w:r w:rsidR="004E5112" w:rsidRPr="008E6E59">
        <w:rPr>
          <w:rFonts w:ascii="Times New Roman" w:hAnsi="Times New Roman" w:cs="Times New Roman"/>
          <w:color w:val="000000"/>
        </w:rPr>
        <w:t xml:space="preserve"> </w:t>
      </w:r>
      <w:r w:rsidR="001C4ABB" w:rsidRPr="008E6E59">
        <w:rPr>
          <w:rFonts w:ascii="Times New Roman" w:hAnsi="Times New Roman" w:cs="Times New Roman"/>
          <w:color w:val="000000"/>
        </w:rPr>
        <w:t>hence</w:t>
      </w:r>
      <w:r w:rsidR="004259A9" w:rsidRPr="008E6E59">
        <w:rPr>
          <w:rFonts w:ascii="Times New Roman" w:hAnsi="Times New Roman" w:cs="Times New Roman"/>
          <w:color w:val="000000"/>
        </w:rPr>
        <w:t xml:space="preserve"> </w:t>
      </w:r>
      <w:r w:rsidR="009D4289" w:rsidRPr="008E6E59">
        <w:rPr>
          <w:rFonts w:ascii="Times New Roman" w:hAnsi="Times New Roman" w:cs="Times New Roman"/>
          <w:color w:val="000000"/>
        </w:rPr>
        <w:t>validat</w:t>
      </w:r>
      <w:r w:rsidR="00D26AD0">
        <w:rPr>
          <w:rFonts w:ascii="Times New Roman" w:hAnsi="Times New Roman" w:cs="Times New Roman"/>
          <w:color w:val="000000"/>
        </w:rPr>
        <w:t>ing</w:t>
      </w:r>
      <w:r w:rsidR="005436C5" w:rsidRPr="008E6E59">
        <w:rPr>
          <w:rFonts w:ascii="Times New Roman" w:hAnsi="Times New Roman" w:cs="Times New Roman"/>
          <w:color w:val="000000"/>
        </w:rPr>
        <w:t xml:space="preserve"> our rational of using a MSIAH-</w:t>
      </w:r>
      <w:r w:rsidR="007A3DD5" w:rsidRPr="008E6E59">
        <w:rPr>
          <w:rFonts w:ascii="Times New Roman" w:hAnsi="Times New Roman" w:cs="Times New Roman"/>
          <w:color w:val="000000"/>
        </w:rPr>
        <w:t>VAR</w:t>
      </w:r>
      <w:r w:rsidR="00AC327A" w:rsidRPr="008E6E59">
        <w:rPr>
          <w:rFonts w:ascii="Times New Roman" w:hAnsi="Times New Roman" w:cs="Times New Roman"/>
          <w:color w:val="000000"/>
        </w:rPr>
        <w:t xml:space="preserve"> </w:t>
      </w:r>
      <w:r w:rsidR="00A60E16" w:rsidRPr="008E6E59">
        <w:rPr>
          <w:rFonts w:ascii="Times New Roman" w:hAnsi="Times New Roman" w:cs="Times New Roman"/>
          <w:color w:val="000000"/>
        </w:rPr>
        <w:t>type</w:t>
      </w:r>
      <w:r w:rsidR="006E6990" w:rsidRPr="008E6E59">
        <w:rPr>
          <w:rFonts w:ascii="Times New Roman" w:hAnsi="Times New Roman" w:cs="Times New Roman"/>
          <w:color w:val="000000"/>
        </w:rPr>
        <w:t xml:space="preserve"> of MS</w:t>
      </w:r>
      <w:r w:rsidR="00A60E16" w:rsidRPr="008E6E59">
        <w:rPr>
          <w:rFonts w:ascii="Times New Roman" w:hAnsi="Times New Roman" w:cs="Times New Roman"/>
          <w:color w:val="000000"/>
        </w:rPr>
        <w:t>VAR</w:t>
      </w:r>
      <w:r w:rsidR="00EA4A3B" w:rsidRPr="008E6E59">
        <w:rPr>
          <w:rFonts w:ascii="Times New Roman" w:hAnsi="Times New Roman" w:cs="Times New Roman"/>
          <w:color w:val="000000"/>
        </w:rPr>
        <w:t>.</w:t>
      </w:r>
      <w:r w:rsidR="008804CF">
        <w:rPr>
          <w:rFonts w:ascii="Times New Roman" w:hAnsi="Times New Roman" w:cs="Times New Roman"/>
          <w:color w:val="000000"/>
        </w:rPr>
        <w:t xml:space="preserve"> Note that in </w:t>
      </w:r>
      <w:r w:rsidR="008804CF" w:rsidRPr="008804CF">
        <w:rPr>
          <w:rFonts w:ascii="Times New Roman" w:hAnsi="Times New Roman" w:cs="Times New Roman"/>
          <w:szCs w:val="32"/>
        </w:rPr>
        <w:t>a MSAIH-VAR the intercepts, mean, autoregressive parameters and the variances switch.</w:t>
      </w:r>
      <w:r w:rsidR="008804CF">
        <w:rPr>
          <w:rFonts w:ascii="Times New Roman" w:hAnsi="Times New Roman" w:cs="Times New Roman"/>
          <w:szCs w:val="32"/>
        </w:rPr>
        <w:t xml:space="preserve"> </w:t>
      </w:r>
      <w:r w:rsidR="00922895" w:rsidRPr="008E6E59">
        <w:rPr>
          <w:rFonts w:ascii="Times New Roman" w:hAnsi="Times New Roman" w:cs="Times New Roman"/>
          <w:color w:val="000000"/>
        </w:rPr>
        <w:t>Linearity test</w:t>
      </w:r>
      <w:r w:rsidR="00344F1C" w:rsidRPr="008E6E59">
        <w:rPr>
          <w:rFonts w:ascii="Times New Roman" w:hAnsi="Times New Roman" w:cs="Times New Roman"/>
          <w:color w:val="000000"/>
        </w:rPr>
        <w:t>s</w:t>
      </w:r>
      <w:r w:rsidR="00922895" w:rsidRPr="008E6E59">
        <w:rPr>
          <w:rFonts w:ascii="Times New Roman" w:hAnsi="Times New Roman" w:cs="Times New Roman"/>
          <w:color w:val="000000"/>
        </w:rPr>
        <w:t xml:space="preserve"> represented i</w:t>
      </w:r>
      <w:r w:rsidR="00771A6D" w:rsidRPr="008E6E59">
        <w:rPr>
          <w:rFonts w:ascii="Times New Roman" w:hAnsi="Times New Roman" w:cs="Times New Roman"/>
          <w:color w:val="000000"/>
        </w:rPr>
        <w:t xml:space="preserve">n table </w:t>
      </w:r>
      <w:r w:rsidR="00D26AD0">
        <w:rPr>
          <w:rFonts w:ascii="Times New Roman" w:hAnsi="Times New Roman" w:cs="Times New Roman"/>
          <w:color w:val="000000"/>
        </w:rPr>
        <w:t>3</w:t>
      </w:r>
      <w:r w:rsidR="00344F1C" w:rsidRPr="008E6E59">
        <w:rPr>
          <w:rFonts w:ascii="Times New Roman" w:hAnsi="Times New Roman" w:cs="Times New Roman"/>
          <w:color w:val="000000"/>
        </w:rPr>
        <w:t xml:space="preserve"> </w:t>
      </w:r>
      <w:r>
        <w:rPr>
          <w:rFonts w:ascii="Times New Roman" w:hAnsi="Times New Roman" w:cs="Times New Roman"/>
          <w:color w:val="000000"/>
        </w:rPr>
        <w:t xml:space="preserve">further </w:t>
      </w:r>
      <w:r w:rsidR="00F801D3">
        <w:rPr>
          <w:rFonts w:ascii="Times New Roman" w:hAnsi="Times New Roman" w:cs="Times New Roman"/>
          <w:color w:val="000000"/>
        </w:rPr>
        <w:t>illustrate</w:t>
      </w:r>
      <w:r w:rsidR="008F606E">
        <w:rPr>
          <w:rFonts w:ascii="Times New Roman" w:hAnsi="Times New Roman" w:cs="Times New Roman"/>
          <w:color w:val="000000"/>
        </w:rPr>
        <w:t>s</w:t>
      </w:r>
      <w:r w:rsidR="009C2CBC" w:rsidRPr="008E6E59">
        <w:rPr>
          <w:rFonts w:ascii="Times New Roman" w:hAnsi="Times New Roman" w:cs="Times New Roman"/>
          <w:color w:val="000000"/>
        </w:rPr>
        <w:t xml:space="preserve"> linear </w:t>
      </w:r>
      <w:r w:rsidR="00A474EE" w:rsidRPr="008E6E59">
        <w:rPr>
          <w:rFonts w:ascii="Times New Roman" w:hAnsi="Times New Roman" w:cs="Times New Roman"/>
          <w:color w:val="000000"/>
        </w:rPr>
        <w:t>VARs are</w:t>
      </w:r>
      <w:r w:rsidR="00ED556A" w:rsidRPr="008E6E59">
        <w:rPr>
          <w:rFonts w:ascii="Times New Roman" w:hAnsi="Times New Roman" w:cs="Times New Roman"/>
          <w:color w:val="000000"/>
        </w:rPr>
        <w:t xml:space="preserve"> rejected in favour of the MSIAH-VA</w:t>
      </w:r>
      <w:r w:rsidR="009C2CBC" w:rsidRPr="008E6E59">
        <w:rPr>
          <w:rFonts w:ascii="Times New Roman" w:hAnsi="Times New Roman" w:cs="Times New Roman"/>
          <w:color w:val="000000"/>
        </w:rPr>
        <w:t>Rs</w:t>
      </w:r>
      <w:r w:rsidR="00A474EE" w:rsidRPr="008E6E59">
        <w:rPr>
          <w:rFonts w:ascii="Times New Roman" w:hAnsi="Times New Roman" w:cs="Times New Roman"/>
          <w:color w:val="000000"/>
        </w:rPr>
        <w:t xml:space="preserve"> in all</w:t>
      </w:r>
      <w:r w:rsidR="00EB1A85" w:rsidRPr="008E6E59">
        <w:rPr>
          <w:rFonts w:ascii="Times New Roman" w:hAnsi="Times New Roman" w:cs="Times New Roman"/>
          <w:color w:val="000000"/>
        </w:rPr>
        <w:t xml:space="preserve"> five </w:t>
      </w:r>
      <w:r w:rsidR="00AC327A" w:rsidRPr="008E6E59">
        <w:rPr>
          <w:rFonts w:ascii="Times New Roman" w:hAnsi="Times New Roman" w:cs="Times New Roman"/>
          <w:color w:val="000000"/>
        </w:rPr>
        <w:t>models</w:t>
      </w:r>
      <w:r w:rsidR="00ED556A" w:rsidRPr="008E6E59">
        <w:rPr>
          <w:rFonts w:ascii="Times New Roman" w:hAnsi="Times New Roman" w:cs="Times New Roman"/>
          <w:color w:val="000000"/>
        </w:rPr>
        <w:t>.</w:t>
      </w:r>
      <w:r w:rsidR="00512D9C" w:rsidRPr="008E6E59">
        <w:rPr>
          <w:rFonts w:ascii="Times New Roman" w:hAnsi="Times New Roman" w:cs="Times New Roman"/>
          <w:color w:val="000000"/>
        </w:rPr>
        <w:t xml:space="preserve"> </w:t>
      </w:r>
      <w:r w:rsidR="00D63B48" w:rsidRPr="008E6E59">
        <w:rPr>
          <w:rFonts w:ascii="Times New Roman" w:hAnsi="Times New Roman" w:cs="Times New Roman"/>
          <w:color w:val="000000"/>
        </w:rPr>
        <w:t xml:space="preserve">   </w:t>
      </w:r>
      <w:r w:rsidR="007778BA" w:rsidRPr="008E6E59">
        <w:rPr>
          <w:rFonts w:ascii="Times New Roman" w:hAnsi="Times New Roman" w:cs="Times New Roman"/>
          <w:color w:val="000000"/>
        </w:rPr>
        <w:t xml:space="preserve"> </w:t>
      </w:r>
    </w:p>
    <w:p w14:paraId="69FAE566" w14:textId="2237AD5B" w:rsidR="008804CF" w:rsidRDefault="00F14F80" w:rsidP="003F045A">
      <w:pPr>
        <w:widowControl w:val="0"/>
        <w:autoSpaceDE w:val="0"/>
        <w:autoSpaceDN w:val="0"/>
        <w:adjustRightInd w:val="0"/>
        <w:spacing w:before="120" w:after="0" w:line="480" w:lineRule="auto"/>
        <w:ind w:right="90" w:firstLine="720"/>
        <w:jc w:val="both"/>
        <w:rPr>
          <w:rFonts w:ascii="Times New Roman" w:hAnsi="Times New Roman" w:cs="Times New Roman"/>
          <w:color w:val="000000"/>
        </w:rPr>
      </w:pPr>
      <w:r w:rsidRPr="008E6E59">
        <w:rPr>
          <w:rFonts w:ascii="Times New Roman" w:hAnsi="Times New Roman" w:cs="Times New Roman"/>
          <w:color w:val="000000"/>
        </w:rPr>
        <w:t>Figure 1 represents the smoothed</w:t>
      </w:r>
      <w:r w:rsidR="00EB1A85" w:rsidRPr="008E6E59">
        <w:rPr>
          <w:rFonts w:ascii="Times New Roman" w:hAnsi="Times New Roman" w:cs="Times New Roman"/>
          <w:color w:val="000000"/>
        </w:rPr>
        <w:t xml:space="preserve"> transition</w:t>
      </w:r>
      <w:r w:rsidRPr="008E6E59">
        <w:rPr>
          <w:rFonts w:ascii="Times New Roman" w:hAnsi="Times New Roman" w:cs="Times New Roman"/>
          <w:color w:val="000000"/>
        </w:rPr>
        <w:t xml:space="preserve"> probability o</w:t>
      </w:r>
      <w:r w:rsidR="005436C5" w:rsidRPr="008E6E59">
        <w:rPr>
          <w:rFonts w:ascii="Times New Roman" w:hAnsi="Times New Roman" w:cs="Times New Roman"/>
          <w:color w:val="000000"/>
        </w:rPr>
        <w:t>f regime 1 obtained from the MSIAH-</w:t>
      </w:r>
      <w:r w:rsidRPr="008E6E59">
        <w:rPr>
          <w:rFonts w:ascii="Times New Roman" w:hAnsi="Times New Roman" w:cs="Times New Roman"/>
          <w:color w:val="000000"/>
        </w:rPr>
        <w:t xml:space="preserve">VARs. </w:t>
      </w:r>
      <w:r w:rsidR="004C3E61" w:rsidRPr="008E6E59">
        <w:rPr>
          <w:rFonts w:ascii="Times New Roman" w:hAnsi="Times New Roman" w:cs="Times New Roman"/>
          <w:color w:val="000000"/>
        </w:rPr>
        <w:t>The transition probabili</w:t>
      </w:r>
      <w:r w:rsidR="00721CAF">
        <w:rPr>
          <w:rFonts w:ascii="Times New Roman" w:hAnsi="Times New Roman" w:cs="Times New Roman"/>
          <w:color w:val="000000"/>
        </w:rPr>
        <w:t>ty</w:t>
      </w:r>
      <w:r w:rsidR="00BD4127" w:rsidRPr="008E6E59">
        <w:rPr>
          <w:rFonts w:ascii="Times New Roman" w:hAnsi="Times New Roman" w:cs="Times New Roman"/>
          <w:color w:val="000000"/>
        </w:rPr>
        <w:t xml:space="preserve"> </w:t>
      </w:r>
      <w:r w:rsidR="00D64310" w:rsidRPr="008E6E59">
        <w:rPr>
          <w:rFonts w:ascii="Times New Roman" w:hAnsi="Times New Roman" w:cs="Times New Roman"/>
          <w:color w:val="000000"/>
        </w:rPr>
        <w:t>of</w:t>
      </w:r>
      <w:r w:rsidR="00721CAF">
        <w:rPr>
          <w:rFonts w:ascii="Times New Roman" w:hAnsi="Times New Roman" w:cs="Times New Roman"/>
          <w:color w:val="000000"/>
        </w:rPr>
        <w:t xml:space="preserve"> the</w:t>
      </w:r>
      <w:r w:rsidR="00BD4127" w:rsidRPr="008E6E59">
        <w:rPr>
          <w:rFonts w:ascii="Times New Roman" w:hAnsi="Times New Roman" w:cs="Times New Roman"/>
          <w:color w:val="000000"/>
        </w:rPr>
        <w:t xml:space="preserve"> models</w:t>
      </w:r>
      <w:r w:rsidRPr="008E6E59">
        <w:rPr>
          <w:rFonts w:ascii="Times New Roman" w:hAnsi="Times New Roman" w:cs="Times New Roman"/>
          <w:color w:val="000000"/>
        </w:rPr>
        <w:t xml:space="preserve"> </w:t>
      </w:r>
      <w:r w:rsidR="004C3E61" w:rsidRPr="008E6E59">
        <w:rPr>
          <w:rFonts w:ascii="Times New Roman" w:hAnsi="Times New Roman" w:cs="Times New Roman"/>
          <w:color w:val="000000"/>
        </w:rPr>
        <w:t>tend</w:t>
      </w:r>
      <w:r w:rsidRPr="008E6E59">
        <w:rPr>
          <w:rFonts w:ascii="Times New Roman" w:hAnsi="Times New Roman" w:cs="Times New Roman"/>
          <w:color w:val="000000"/>
        </w:rPr>
        <w:t xml:space="preserve"> to exhibit high similarities</w:t>
      </w:r>
      <w:r w:rsidR="00D64310" w:rsidRPr="008E6E59">
        <w:rPr>
          <w:rFonts w:ascii="Times New Roman" w:hAnsi="Times New Roman" w:cs="Times New Roman"/>
          <w:color w:val="000000"/>
        </w:rPr>
        <w:t>.</w:t>
      </w:r>
      <w:r w:rsidRPr="008E6E59">
        <w:rPr>
          <w:rFonts w:ascii="Times New Roman" w:hAnsi="Times New Roman" w:cs="Times New Roman"/>
          <w:color w:val="000000"/>
        </w:rPr>
        <w:t xml:space="preserve"> </w:t>
      </w:r>
      <w:r w:rsidR="00D64310" w:rsidRPr="008E6E59">
        <w:rPr>
          <w:rFonts w:ascii="Times New Roman" w:hAnsi="Times New Roman" w:cs="Times New Roman"/>
          <w:color w:val="000000"/>
        </w:rPr>
        <w:t>T</w:t>
      </w:r>
      <w:r w:rsidRPr="008E6E59">
        <w:rPr>
          <w:rFonts w:ascii="Times New Roman" w:hAnsi="Times New Roman" w:cs="Times New Roman"/>
          <w:color w:val="000000"/>
        </w:rPr>
        <w:t>hey</w:t>
      </w:r>
      <w:r w:rsidR="00D64310" w:rsidRPr="008E6E59">
        <w:rPr>
          <w:rFonts w:ascii="Times New Roman" w:hAnsi="Times New Roman" w:cs="Times New Roman"/>
          <w:color w:val="000000"/>
        </w:rPr>
        <w:t xml:space="preserve"> all</w:t>
      </w:r>
      <w:r w:rsidRPr="008E6E59">
        <w:rPr>
          <w:rFonts w:ascii="Times New Roman" w:hAnsi="Times New Roman" w:cs="Times New Roman"/>
          <w:color w:val="000000"/>
        </w:rPr>
        <w:t xml:space="preserve"> </w:t>
      </w:r>
      <w:r w:rsidR="00D64310" w:rsidRPr="008E6E59">
        <w:rPr>
          <w:rFonts w:ascii="Times New Roman" w:hAnsi="Times New Roman" w:cs="Times New Roman"/>
          <w:color w:val="000000"/>
        </w:rPr>
        <w:lastRenderedPageBreak/>
        <w:t>tend to</w:t>
      </w:r>
      <w:r w:rsidRPr="008E6E59">
        <w:rPr>
          <w:rFonts w:ascii="Times New Roman" w:hAnsi="Times New Roman" w:cs="Times New Roman"/>
          <w:color w:val="000000"/>
        </w:rPr>
        <w:t xml:space="preserve"> capture the </w:t>
      </w:r>
      <w:r w:rsidRPr="00FC28FC">
        <w:rPr>
          <w:rFonts w:ascii="Times New Roman" w:hAnsi="Times New Roman" w:cs="Times New Roman"/>
          <w:color w:val="000000"/>
        </w:rPr>
        <w:t>late 7</w:t>
      </w:r>
      <w:r w:rsidR="00523849" w:rsidRPr="00FC28FC">
        <w:rPr>
          <w:rFonts w:ascii="Times New Roman" w:hAnsi="Times New Roman" w:cs="Times New Roman"/>
          <w:color w:val="000000"/>
        </w:rPr>
        <w:t>0s</w:t>
      </w:r>
      <w:r w:rsidR="00F801D3" w:rsidRPr="00FC28FC">
        <w:rPr>
          <w:rFonts w:ascii="Times New Roman" w:hAnsi="Times New Roman" w:cs="Times New Roman"/>
          <w:color w:val="000000"/>
        </w:rPr>
        <w:t xml:space="preserve"> and</w:t>
      </w:r>
      <w:r w:rsidR="00523849" w:rsidRPr="00FC28FC">
        <w:rPr>
          <w:rFonts w:ascii="Times New Roman" w:hAnsi="Times New Roman" w:cs="Times New Roman"/>
          <w:color w:val="000000"/>
        </w:rPr>
        <w:t xml:space="preserve"> early 80s recession</w:t>
      </w:r>
      <w:r w:rsidR="00523849" w:rsidRPr="008E6E59">
        <w:rPr>
          <w:rFonts w:ascii="Times New Roman" w:hAnsi="Times New Roman" w:cs="Times New Roman"/>
          <w:color w:val="000000"/>
        </w:rPr>
        <w:t>,</w:t>
      </w:r>
      <w:r w:rsidRPr="008E6E59">
        <w:rPr>
          <w:rFonts w:ascii="Times New Roman" w:hAnsi="Times New Roman" w:cs="Times New Roman"/>
          <w:color w:val="000000"/>
        </w:rPr>
        <w:t xml:space="preserve"> Laws</w:t>
      </w:r>
      <w:r w:rsidR="00FE1E65" w:rsidRPr="008E6E59">
        <w:rPr>
          <w:rFonts w:ascii="Times New Roman" w:hAnsi="Times New Roman" w:cs="Times New Roman"/>
          <w:color w:val="000000"/>
        </w:rPr>
        <w:t>on boom and the volatile period</w:t>
      </w:r>
      <w:r w:rsidRPr="008E6E59">
        <w:rPr>
          <w:rFonts w:ascii="Times New Roman" w:hAnsi="Times New Roman" w:cs="Times New Roman"/>
          <w:color w:val="000000"/>
        </w:rPr>
        <w:t xml:space="preserve"> during the ERM crisis. More recent events such</w:t>
      </w:r>
      <w:r w:rsidR="00A80C78" w:rsidRPr="008E6E59">
        <w:rPr>
          <w:rFonts w:ascii="Times New Roman" w:hAnsi="Times New Roman" w:cs="Times New Roman"/>
          <w:color w:val="000000"/>
        </w:rPr>
        <w:t xml:space="preserve"> as the</w:t>
      </w:r>
      <w:r w:rsidRPr="008E6E59">
        <w:rPr>
          <w:rFonts w:ascii="Times New Roman" w:hAnsi="Times New Roman" w:cs="Times New Roman"/>
          <w:color w:val="000000"/>
        </w:rPr>
        <w:t xml:space="preserve"> 2008 financial crisis and the great moder</w:t>
      </w:r>
      <w:r w:rsidR="004A3FD4" w:rsidRPr="008E6E59">
        <w:rPr>
          <w:rFonts w:ascii="Times New Roman" w:hAnsi="Times New Roman" w:cs="Times New Roman"/>
          <w:color w:val="000000"/>
        </w:rPr>
        <w:t xml:space="preserve">ation era are also well </w:t>
      </w:r>
      <w:r w:rsidR="00A96735" w:rsidRPr="008E6E59">
        <w:rPr>
          <w:rFonts w:ascii="Times New Roman" w:hAnsi="Times New Roman" w:cs="Times New Roman"/>
          <w:color w:val="000000"/>
        </w:rPr>
        <w:t>captured</w:t>
      </w:r>
      <w:r w:rsidRPr="008E6E59">
        <w:rPr>
          <w:rFonts w:ascii="Times New Roman" w:hAnsi="Times New Roman" w:cs="Times New Roman"/>
          <w:color w:val="000000"/>
        </w:rPr>
        <w:t>. Observing the</w:t>
      </w:r>
      <w:r w:rsidR="00F0529C" w:rsidRPr="008E6E59">
        <w:rPr>
          <w:rFonts w:ascii="Times New Roman" w:hAnsi="Times New Roman" w:cs="Times New Roman"/>
          <w:color w:val="000000"/>
        </w:rPr>
        <w:t xml:space="preserve"> transition</w:t>
      </w:r>
      <w:r w:rsidRPr="008E6E59">
        <w:rPr>
          <w:rFonts w:ascii="Times New Roman" w:hAnsi="Times New Roman" w:cs="Times New Roman"/>
          <w:color w:val="000000"/>
        </w:rPr>
        <w:t xml:space="preserve"> </w:t>
      </w:r>
      <w:r w:rsidR="00AE21FC" w:rsidRPr="008E6E59">
        <w:rPr>
          <w:rFonts w:ascii="Times New Roman" w:hAnsi="Times New Roman" w:cs="Times New Roman"/>
          <w:color w:val="000000"/>
        </w:rPr>
        <w:t>probabilities,</w:t>
      </w:r>
      <w:r w:rsidR="00AE21FC">
        <w:rPr>
          <w:rFonts w:ascii="Times New Roman" w:hAnsi="Times New Roman" w:cs="Times New Roman"/>
          <w:color w:val="000000"/>
        </w:rPr>
        <w:t xml:space="preserve"> </w:t>
      </w:r>
      <w:r w:rsidR="00AE21FC" w:rsidRPr="008E6E59">
        <w:rPr>
          <w:rFonts w:ascii="Times New Roman" w:hAnsi="Times New Roman" w:cs="Times New Roman"/>
          <w:color w:val="000000"/>
        </w:rPr>
        <w:t>it</w:t>
      </w:r>
      <w:r w:rsidR="00AE21FC">
        <w:rPr>
          <w:rFonts w:ascii="Times New Roman" w:hAnsi="Times New Roman" w:cs="Times New Roman"/>
          <w:color w:val="000000"/>
        </w:rPr>
        <w:t xml:space="preserve"> is</w:t>
      </w:r>
      <w:r w:rsidRPr="008E6E59">
        <w:rPr>
          <w:rFonts w:ascii="Times New Roman" w:hAnsi="Times New Roman" w:cs="Times New Roman"/>
          <w:color w:val="000000"/>
        </w:rPr>
        <w:t xml:space="preserve"> evident</w:t>
      </w:r>
      <w:r w:rsidR="009B077F" w:rsidRPr="008E6E59">
        <w:rPr>
          <w:rFonts w:ascii="Times New Roman" w:hAnsi="Times New Roman" w:cs="Times New Roman"/>
          <w:color w:val="000000"/>
        </w:rPr>
        <w:t xml:space="preserve"> regime 1 represents expansionary</w:t>
      </w:r>
      <w:r w:rsidRPr="008E6E59">
        <w:rPr>
          <w:rFonts w:ascii="Times New Roman" w:hAnsi="Times New Roman" w:cs="Times New Roman"/>
          <w:color w:val="000000"/>
        </w:rPr>
        <w:t xml:space="preserve"> phase of the UK business cycle in al</w:t>
      </w:r>
      <w:r w:rsidR="00DA5DCB">
        <w:rPr>
          <w:rFonts w:ascii="Times New Roman" w:hAnsi="Times New Roman" w:cs="Times New Roman"/>
          <w:color w:val="000000"/>
        </w:rPr>
        <w:t>l</w:t>
      </w:r>
      <w:r w:rsidR="00AF7872" w:rsidRPr="008E6E59">
        <w:rPr>
          <w:rFonts w:ascii="Times New Roman" w:hAnsi="Times New Roman" w:cs="Times New Roman"/>
          <w:color w:val="000000"/>
        </w:rPr>
        <w:t xml:space="preserve"> models. </w:t>
      </w:r>
      <w:r w:rsidR="00DA5DCB">
        <w:rPr>
          <w:rFonts w:ascii="Times New Roman" w:hAnsi="Times New Roman" w:cs="Times New Roman"/>
          <w:color w:val="000000"/>
        </w:rPr>
        <w:t>Table 4 represents the</w:t>
      </w:r>
      <w:r w:rsidR="00AF7872" w:rsidRPr="008E6E59">
        <w:rPr>
          <w:rFonts w:ascii="Times New Roman" w:hAnsi="Times New Roman" w:cs="Times New Roman"/>
          <w:color w:val="000000"/>
        </w:rPr>
        <w:t xml:space="preserve"> trans</w:t>
      </w:r>
      <w:r w:rsidR="00ED7D71" w:rsidRPr="008E6E59">
        <w:rPr>
          <w:rFonts w:ascii="Times New Roman" w:hAnsi="Times New Roman" w:cs="Times New Roman"/>
          <w:color w:val="000000"/>
        </w:rPr>
        <w:t>ition probabilit</w:t>
      </w:r>
      <w:r w:rsidR="001F3C98">
        <w:rPr>
          <w:rFonts w:ascii="Times New Roman" w:hAnsi="Times New Roman" w:cs="Times New Roman"/>
          <w:color w:val="000000"/>
        </w:rPr>
        <w:t>y</w:t>
      </w:r>
      <w:r w:rsidR="008729A5" w:rsidRPr="008E6E59">
        <w:rPr>
          <w:rFonts w:ascii="Times New Roman" w:hAnsi="Times New Roman" w:cs="Times New Roman"/>
          <w:color w:val="000000"/>
        </w:rPr>
        <w:t xml:space="preserve"> </w:t>
      </w:r>
      <w:r w:rsidR="00ED7D71" w:rsidRPr="008E6E59">
        <w:rPr>
          <w:rFonts w:ascii="Times New Roman" w:hAnsi="Times New Roman" w:cs="Times New Roman"/>
          <w:color w:val="000000"/>
        </w:rPr>
        <w:t xml:space="preserve">and </w:t>
      </w:r>
      <w:r w:rsidR="009B077F" w:rsidRPr="008E6E59">
        <w:rPr>
          <w:rFonts w:ascii="Times New Roman" w:hAnsi="Times New Roman" w:cs="Times New Roman"/>
          <w:color w:val="000000"/>
        </w:rPr>
        <w:t>average</w:t>
      </w:r>
      <w:r w:rsidR="00DA1D65" w:rsidRPr="008E6E59">
        <w:rPr>
          <w:rFonts w:ascii="Times New Roman" w:hAnsi="Times New Roman" w:cs="Times New Roman"/>
          <w:color w:val="000000"/>
        </w:rPr>
        <w:t xml:space="preserve"> duration of the regimes</w:t>
      </w:r>
      <w:r w:rsidR="008406E2">
        <w:rPr>
          <w:rFonts w:ascii="Times New Roman" w:hAnsi="Times New Roman" w:cs="Times New Roman"/>
          <w:color w:val="000000"/>
        </w:rPr>
        <w:t>,</w:t>
      </w:r>
      <w:r w:rsidR="002661B5" w:rsidRPr="008E6E59">
        <w:rPr>
          <w:rFonts w:ascii="Times New Roman" w:hAnsi="Times New Roman" w:cs="Times New Roman"/>
          <w:color w:val="000000"/>
        </w:rPr>
        <w:t xml:space="preserve"> </w:t>
      </w:r>
      <w:r w:rsidR="008406E2">
        <w:rPr>
          <w:rFonts w:ascii="Times New Roman" w:hAnsi="Times New Roman" w:cs="Times New Roman"/>
          <w:color w:val="000000"/>
        </w:rPr>
        <w:t>illustrat</w:t>
      </w:r>
      <w:r w:rsidR="001F3C98">
        <w:rPr>
          <w:rFonts w:ascii="Times New Roman" w:hAnsi="Times New Roman" w:cs="Times New Roman"/>
          <w:color w:val="000000"/>
        </w:rPr>
        <w:t>ing</w:t>
      </w:r>
      <w:r w:rsidR="008406E2">
        <w:rPr>
          <w:rFonts w:ascii="Times New Roman" w:hAnsi="Times New Roman" w:cs="Times New Roman"/>
          <w:color w:val="000000"/>
        </w:rPr>
        <w:t xml:space="preserve"> average</w:t>
      </w:r>
      <w:r w:rsidR="00CE4457" w:rsidRPr="008E6E59">
        <w:rPr>
          <w:rFonts w:ascii="Times New Roman" w:hAnsi="Times New Roman" w:cs="Times New Roman"/>
          <w:color w:val="000000"/>
        </w:rPr>
        <w:t xml:space="preserve"> duration of the expansionary phase </w:t>
      </w:r>
      <w:r w:rsidR="006E5E30" w:rsidRPr="008E6E59">
        <w:rPr>
          <w:rFonts w:ascii="Times New Roman" w:hAnsi="Times New Roman" w:cs="Times New Roman"/>
          <w:color w:val="000000"/>
        </w:rPr>
        <w:t>(</w:t>
      </w:r>
      <w:r w:rsidR="00CE4457" w:rsidRPr="008E6E59">
        <w:rPr>
          <w:rFonts w:ascii="Times New Roman" w:hAnsi="Times New Roman" w:cs="Times New Roman"/>
          <w:color w:val="000000"/>
        </w:rPr>
        <w:t xml:space="preserve">regime 1) is about 9.5 to 11 years which is </w:t>
      </w:r>
      <w:r w:rsidR="001F3C98" w:rsidRPr="008E6E59">
        <w:rPr>
          <w:rFonts w:ascii="Times New Roman" w:hAnsi="Times New Roman" w:cs="Times New Roman"/>
          <w:color w:val="000000"/>
        </w:rPr>
        <w:t>comparable</w:t>
      </w:r>
      <w:r w:rsidR="001F3C98">
        <w:rPr>
          <w:rFonts w:ascii="Times New Roman" w:hAnsi="Times New Roman" w:cs="Times New Roman"/>
          <w:color w:val="000000"/>
        </w:rPr>
        <w:t xml:space="preserve"> to</w:t>
      </w:r>
      <w:r w:rsidR="00F0529C" w:rsidRPr="008E6E59">
        <w:rPr>
          <w:rFonts w:ascii="Times New Roman" w:hAnsi="Times New Roman" w:cs="Times New Roman"/>
          <w:color w:val="000000"/>
        </w:rPr>
        <w:t xml:space="preserve"> the</w:t>
      </w:r>
      <w:r w:rsidR="00CE4457" w:rsidRPr="008E6E59">
        <w:rPr>
          <w:rFonts w:ascii="Times New Roman" w:hAnsi="Times New Roman" w:cs="Times New Roman"/>
          <w:color w:val="000000"/>
        </w:rPr>
        <w:t xml:space="preserve"> recent findings</w:t>
      </w:r>
      <w:r w:rsidR="009B077F" w:rsidRPr="008E6E59">
        <w:rPr>
          <w:rFonts w:ascii="Times New Roman" w:hAnsi="Times New Roman" w:cs="Times New Roman"/>
          <w:color w:val="000000"/>
        </w:rPr>
        <w:t xml:space="preserve"> </w:t>
      </w:r>
      <w:r w:rsidR="0015632B" w:rsidRPr="008E6E59">
        <w:rPr>
          <w:rFonts w:ascii="Times New Roman" w:hAnsi="Times New Roman" w:cs="Times New Roman"/>
          <w:color w:val="000000"/>
        </w:rPr>
        <w:t xml:space="preserve">by </w:t>
      </w:r>
      <w:r w:rsidR="00D3701D" w:rsidRPr="008E6E59">
        <w:rPr>
          <w:rFonts w:ascii="Times New Roman" w:hAnsi="Times New Roman" w:cs="Times New Roman"/>
          <w:color w:val="000000"/>
        </w:rPr>
        <w:t xml:space="preserve">Drehmann </w:t>
      </w:r>
      <w:r w:rsidR="00D3701D" w:rsidRPr="008E6E59">
        <w:rPr>
          <w:rFonts w:ascii="Times New Roman" w:hAnsi="Times New Roman" w:cs="Times New Roman"/>
          <w:i/>
          <w:iCs/>
          <w:color w:val="000000"/>
        </w:rPr>
        <w:t>et al.</w:t>
      </w:r>
      <w:r w:rsidR="00EC6C96" w:rsidRPr="008E6E59">
        <w:rPr>
          <w:rFonts w:ascii="Times New Roman" w:hAnsi="Times New Roman" w:cs="Times New Roman"/>
          <w:color w:val="000000"/>
        </w:rPr>
        <w:t xml:space="preserve"> (</w:t>
      </w:r>
      <w:r w:rsidR="00D3701D" w:rsidRPr="008E6E59">
        <w:rPr>
          <w:rFonts w:ascii="Times New Roman" w:hAnsi="Times New Roman" w:cs="Times New Roman"/>
          <w:color w:val="000000"/>
        </w:rPr>
        <w:t>2012</w:t>
      </w:r>
      <w:r w:rsidR="00EC6C96" w:rsidRPr="008E6E59">
        <w:rPr>
          <w:rFonts w:ascii="Times New Roman" w:hAnsi="Times New Roman" w:cs="Times New Roman"/>
          <w:color w:val="000000"/>
        </w:rPr>
        <w:t>)</w:t>
      </w:r>
      <w:r w:rsidR="004C3E61" w:rsidRPr="008E6E59">
        <w:rPr>
          <w:rFonts w:ascii="Times New Roman" w:hAnsi="Times New Roman" w:cs="Times New Roman"/>
          <w:color w:val="000000"/>
        </w:rPr>
        <w:t xml:space="preserve"> and Bario </w:t>
      </w:r>
      <w:r w:rsidR="00EC6C96" w:rsidRPr="008E6E59">
        <w:rPr>
          <w:rFonts w:ascii="Times New Roman" w:hAnsi="Times New Roman" w:cs="Times New Roman"/>
          <w:color w:val="000000"/>
        </w:rPr>
        <w:t>(</w:t>
      </w:r>
      <w:r w:rsidR="004C3E61" w:rsidRPr="008E6E59">
        <w:rPr>
          <w:rFonts w:ascii="Times New Roman" w:hAnsi="Times New Roman" w:cs="Times New Roman"/>
          <w:color w:val="000000"/>
        </w:rPr>
        <w:t>2014</w:t>
      </w:r>
      <w:r w:rsidR="00EC6C96" w:rsidRPr="008E6E59">
        <w:rPr>
          <w:rFonts w:ascii="Times New Roman" w:hAnsi="Times New Roman" w:cs="Times New Roman"/>
          <w:color w:val="000000"/>
        </w:rPr>
        <w:t>)</w:t>
      </w:r>
      <w:r w:rsidR="00FB7261" w:rsidRPr="008E6E59">
        <w:rPr>
          <w:rFonts w:ascii="Times New Roman" w:hAnsi="Times New Roman" w:cs="Times New Roman"/>
          <w:color w:val="000000"/>
        </w:rPr>
        <w:t>.</w:t>
      </w:r>
    </w:p>
    <w:p w14:paraId="4D024231" w14:textId="77777777" w:rsidR="003F045A" w:rsidRDefault="003F045A" w:rsidP="003F045A">
      <w:pPr>
        <w:widowControl w:val="0"/>
        <w:autoSpaceDE w:val="0"/>
        <w:autoSpaceDN w:val="0"/>
        <w:adjustRightInd w:val="0"/>
        <w:spacing w:before="120" w:after="0" w:line="480" w:lineRule="auto"/>
        <w:ind w:right="90" w:firstLine="720"/>
        <w:jc w:val="both"/>
        <w:rPr>
          <w:rFonts w:ascii="Times New Roman" w:hAnsi="Times New Roman" w:cs="Times New Roman"/>
          <w:color w:val="000000"/>
        </w:rPr>
      </w:pPr>
    </w:p>
    <w:p w14:paraId="12057AC3" w14:textId="6CFAAE2B" w:rsidR="00057DBB" w:rsidRPr="003C17DC" w:rsidRDefault="0076225A" w:rsidP="003D5E91">
      <w:pPr>
        <w:widowControl w:val="0"/>
        <w:autoSpaceDE w:val="0"/>
        <w:autoSpaceDN w:val="0"/>
        <w:adjustRightInd w:val="0"/>
        <w:spacing w:before="120" w:after="0"/>
        <w:ind w:right="90"/>
        <w:jc w:val="both"/>
        <w:rPr>
          <w:rFonts w:ascii="Times New Roman" w:hAnsi="Times New Roman" w:cs="Times New Roman"/>
          <w:b/>
          <w:bCs/>
          <w:i/>
          <w:color w:val="000000" w:themeColor="text1"/>
        </w:rPr>
      </w:pPr>
      <w:r w:rsidRPr="003C17DC">
        <w:rPr>
          <w:rFonts w:ascii="Times New Roman" w:hAnsi="Times New Roman" w:cs="Times New Roman"/>
          <w:b/>
          <w:bCs/>
          <w:iCs/>
          <w:color w:val="000000" w:themeColor="text1"/>
        </w:rPr>
        <w:t>4.</w:t>
      </w:r>
      <w:r w:rsidRPr="003C17DC">
        <w:rPr>
          <w:rFonts w:ascii="Times New Roman" w:hAnsi="Times New Roman" w:cs="Times New Roman"/>
          <w:b/>
          <w:bCs/>
          <w:i/>
          <w:color w:val="000000" w:themeColor="text1"/>
        </w:rPr>
        <w:t xml:space="preserve"> </w:t>
      </w:r>
      <w:r w:rsidRPr="003C17DC">
        <w:rPr>
          <w:rFonts w:ascii="Times New Roman" w:hAnsi="Times New Roman" w:cs="Times New Roman"/>
          <w:b/>
          <w:bCs/>
          <w:iCs/>
          <w:color w:val="000000" w:themeColor="text1"/>
        </w:rPr>
        <w:t>E</w:t>
      </w:r>
      <w:r w:rsidR="00590202" w:rsidRPr="003C17DC">
        <w:rPr>
          <w:rFonts w:ascii="Times New Roman" w:hAnsi="Times New Roman" w:cs="Times New Roman"/>
          <w:b/>
          <w:bCs/>
          <w:iCs/>
          <w:color w:val="000000" w:themeColor="text1"/>
        </w:rPr>
        <w:t>mpirical r</w:t>
      </w:r>
      <w:r w:rsidRPr="003C17DC">
        <w:rPr>
          <w:rFonts w:ascii="Times New Roman" w:hAnsi="Times New Roman" w:cs="Times New Roman"/>
          <w:b/>
          <w:bCs/>
          <w:iCs/>
          <w:color w:val="000000" w:themeColor="text1"/>
        </w:rPr>
        <w:t>esults and discussions</w:t>
      </w:r>
    </w:p>
    <w:p w14:paraId="706ACC40" w14:textId="4034D996" w:rsidR="003D5E91" w:rsidRPr="003C17DC" w:rsidRDefault="00207B66" w:rsidP="003D5E91">
      <w:pPr>
        <w:widowControl w:val="0"/>
        <w:autoSpaceDE w:val="0"/>
        <w:autoSpaceDN w:val="0"/>
        <w:adjustRightInd w:val="0"/>
        <w:spacing w:before="120" w:after="0"/>
        <w:ind w:right="90"/>
        <w:jc w:val="both"/>
        <w:rPr>
          <w:rFonts w:ascii="Times New Roman" w:hAnsi="Times New Roman" w:cs="Times New Roman"/>
          <w:b/>
          <w:bCs/>
          <w:i/>
          <w:color w:val="000000" w:themeColor="text1"/>
        </w:rPr>
      </w:pPr>
      <w:r w:rsidRPr="003C17DC">
        <w:rPr>
          <w:rFonts w:ascii="Times New Roman" w:hAnsi="Times New Roman" w:cs="Times New Roman"/>
          <w:b/>
          <w:bCs/>
          <w:i/>
          <w:color w:val="000000" w:themeColor="text1"/>
        </w:rPr>
        <w:t>4.</w:t>
      </w:r>
      <w:r w:rsidR="00AE23C8" w:rsidRPr="003C17DC">
        <w:rPr>
          <w:rFonts w:ascii="Times New Roman" w:hAnsi="Times New Roman" w:cs="Times New Roman"/>
          <w:b/>
          <w:bCs/>
          <w:i/>
          <w:color w:val="000000" w:themeColor="text1"/>
        </w:rPr>
        <w:t>1 Main results</w:t>
      </w:r>
    </w:p>
    <w:p w14:paraId="1F5C1EE3" w14:textId="34F2E7DF" w:rsidR="00207B66" w:rsidRPr="003C17DC" w:rsidRDefault="00AE23C8" w:rsidP="00AE23C8">
      <w:pPr>
        <w:widowControl w:val="0"/>
        <w:autoSpaceDE w:val="0"/>
        <w:autoSpaceDN w:val="0"/>
        <w:adjustRightInd w:val="0"/>
        <w:spacing w:before="120" w:after="0" w:line="360" w:lineRule="auto"/>
        <w:ind w:right="90"/>
        <w:jc w:val="both"/>
        <w:rPr>
          <w:rFonts w:ascii="Times New Roman" w:hAnsi="Times New Roman" w:cs="Times New Roman"/>
          <w:iCs/>
          <w:color w:val="000000" w:themeColor="text1"/>
        </w:rPr>
      </w:pPr>
      <w:r w:rsidRPr="003C17DC">
        <w:rPr>
          <w:rFonts w:ascii="Times New Roman" w:hAnsi="Times New Roman" w:cs="Times New Roman"/>
          <w:iCs/>
          <w:color w:val="000000" w:themeColor="text1"/>
        </w:rPr>
        <w:t>We discuss in some details the main results with respect to estimation of various stages of MSVAR (first to fifth). Figures 2A-2</w:t>
      </w:r>
      <w:r w:rsidR="0094634D">
        <w:rPr>
          <w:rFonts w:ascii="Times New Roman" w:hAnsi="Times New Roman" w:cs="Times New Roman"/>
          <w:iCs/>
          <w:color w:val="000000" w:themeColor="text1"/>
        </w:rPr>
        <w:t>E</w:t>
      </w:r>
      <w:r w:rsidRPr="003C17DC">
        <w:rPr>
          <w:rFonts w:ascii="Times New Roman" w:hAnsi="Times New Roman" w:cs="Times New Roman"/>
          <w:iCs/>
          <w:color w:val="000000" w:themeColor="text1"/>
        </w:rPr>
        <w:t xml:space="preserve"> summarise these results.</w:t>
      </w:r>
    </w:p>
    <w:p w14:paraId="25782277" w14:textId="585B4711" w:rsidR="00F14F80" w:rsidRPr="003C17DC" w:rsidRDefault="004C3E61" w:rsidP="00057DBB">
      <w:pPr>
        <w:widowControl w:val="0"/>
        <w:autoSpaceDE w:val="0"/>
        <w:autoSpaceDN w:val="0"/>
        <w:adjustRightInd w:val="0"/>
        <w:spacing w:before="120" w:after="0" w:line="360" w:lineRule="auto"/>
        <w:ind w:right="91"/>
        <w:jc w:val="both"/>
        <w:outlineLvl w:val="0"/>
        <w:rPr>
          <w:rFonts w:ascii="Times New Roman" w:hAnsi="Times New Roman" w:cs="Times New Roman"/>
          <w:i/>
          <w:color w:val="000000" w:themeColor="text1"/>
        </w:rPr>
      </w:pPr>
      <w:r w:rsidRPr="003C17DC">
        <w:rPr>
          <w:rFonts w:ascii="Times New Roman" w:hAnsi="Times New Roman" w:cs="Times New Roman"/>
          <w:i/>
          <w:color w:val="000000" w:themeColor="text1"/>
        </w:rPr>
        <w:t>a)</w:t>
      </w:r>
      <w:r w:rsidR="00733321" w:rsidRPr="003C17DC">
        <w:rPr>
          <w:rFonts w:ascii="Times New Roman" w:hAnsi="Times New Roman" w:cs="Times New Roman"/>
          <w:i/>
          <w:color w:val="000000" w:themeColor="text1"/>
        </w:rPr>
        <w:t xml:space="preserve"> </w:t>
      </w:r>
      <w:r w:rsidR="00F14F80" w:rsidRPr="003C17DC">
        <w:rPr>
          <w:rFonts w:ascii="Times New Roman" w:hAnsi="Times New Roman" w:cs="Times New Roman"/>
          <w:i/>
          <w:color w:val="000000" w:themeColor="text1"/>
        </w:rPr>
        <w:t>First MSVAR</w:t>
      </w:r>
    </w:p>
    <w:p w14:paraId="1B3517C6" w14:textId="45C2C111" w:rsidR="00057DBB" w:rsidRPr="00DE4846" w:rsidRDefault="00C940A0" w:rsidP="00DE4846">
      <w:pPr>
        <w:widowControl w:val="0"/>
        <w:autoSpaceDE w:val="0"/>
        <w:autoSpaceDN w:val="0"/>
        <w:adjustRightInd w:val="0"/>
        <w:spacing w:after="0" w:line="480" w:lineRule="auto"/>
        <w:ind w:right="90"/>
        <w:jc w:val="both"/>
        <w:rPr>
          <w:rFonts w:ascii="Times New Roman" w:hAnsi="Times New Roman" w:cs="Times New Roman"/>
          <w:color w:val="000000"/>
        </w:rPr>
      </w:pPr>
      <w:r w:rsidRPr="003C17DC">
        <w:rPr>
          <w:rFonts w:ascii="Times New Roman" w:hAnsi="Times New Roman" w:cs="Times New Roman"/>
          <w:color w:val="000000" w:themeColor="text1"/>
        </w:rPr>
        <w:t>Regime dependent</w:t>
      </w:r>
      <w:r w:rsidR="00F14F80" w:rsidRPr="003C17DC">
        <w:rPr>
          <w:rFonts w:ascii="Times New Roman" w:hAnsi="Times New Roman" w:cs="Times New Roman"/>
          <w:color w:val="000000" w:themeColor="text1"/>
        </w:rPr>
        <w:t xml:space="preserve"> </w:t>
      </w:r>
      <w:r w:rsidR="00055D1E">
        <w:rPr>
          <w:rFonts w:ascii="Times New Roman" w:hAnsi="Times New Roman" w:cs="Times New Roman"/>
          <w:color w:val="000000" w:themeColor="text1"/>
        </w:rPr>
        <w:t>IRFs</w:t>
      </w:r>
      <w:r w:rsidRPr="003C17DC">
        <w:rPr>
          <w:rFonts w:ascii="Times New Roman" w:hAnsi="Times New Roman" w:cs="Times New Roman"/>
          <w:color w:val="000000" w:themeColor="text1"/>
        </w:rPr>
        <w:t xml:space="preserve"> from model one</w:t>
      </w:r>
      <w:r w:rsidR="00AE23C8" w:rsidRPr="003C17DC">
        <w:rPr>
          <w:rFonts w:ascii="Times New Roman" w:hAnsi="Times New Roman" w:cs="Times New Roman"/>
          <w:color w:val="000000" w:themeColor="text1"/>
        </w:rPr>
        <w:t xml:space="preserve"> </w:t>
      </w:r>
      <w:r w:rsidR="00721CAF">
        <w:rPr>
          <w:rFonts w:ascii="Times New Roman" w:hAnsi="Times New Roman" w:cs="Times New Roman"/>
          <w:color w:val="000000" w:themeColor="text1"/>
        </w:rPr>
        <w:t>is</w:t>
      </w:r>
      <w:r w:rsidR="00AE23C8" w:rsidRPr="003C17DC">
        <w:rPr>
          <w:rFonts w:ascii="Times New Roman" w:hAnsi="Times New Roman" w:cs="Times New Roman"/>
          <w:color w:val="000000" w:themeColor="text1"/>
        </w:rPr>
        <w:t xml:space="preserve"> reported </w:t>
      </w:r>
      <w:r w:rsidR="005428BD" w:rsidRPr="003C17DC">
        <w:rPr>
          <w:rFonts w:ascii="Times New Roman" w:hAnsi="Times New Roman" w:cs="Times New Roman"/>
          <w:color w:val="000000" w:themeColor="text1"/>
        </w:rPr>
        <w:t xml:space="preserve">in </w:t>
      </w:r>
      <w:r w:rsidR="00AE23C8" w:rsidRPr="003C17DC">
        <w:rPr>
          <w:rFonts w:ascii="Times New Roman" w:hAnsi="Times New Roman" w:cs="Times New Roman"/>
          <w:color w:val="000000" w:themeColor="text1"/>
        </w:rPr>
        <w:t>F</w:t>
      </w:r>
      <w:r w:rsidR="005428BD" w:rsidRPr="003C17DC">
        <w:rPr>
          <w:rFonts w:ascii="Times New Roman" w:hAnsi="Times New Roman" w:cs="Times New Roman"/>
          <w:color w:val="000000" w:themeColor="text1"/>
        </w:rPr>
        <w:t>igure 2</w:t>
      </w:r>
      <w:r w:rsidR="00A15431" w:rsidRPr="003C17DC">
        <w:rPr>
          <w:rFonts w:ascii="Times New Roman" w:hAnsi="Times New Roman" w:cs="Times New Roman"/>
          <w:color w:val="000000" w:themeColor="text1"/>
        </w:rPr>
        <w:t>A</w:t>
      </w:r>
      <w:r w:rsidR="00AE23C8" w:rsidRPr="003C17DC">
        <w:rPr>
          <w:rFonts w:ascii="Times New Roman" w:hAnsi="Times New Roman" w:cs="Times New Roman"/>
          <w:color w:val="000000" w:themeColor="text1"/>
        </w:rPr>
        <w:t>. It describes</w:t>
      </w:r>
      <w:r w:rsidR="00F14F80" w:rsidRPr="003C17DC">
        <w:rPr>
          <w:rFonts w:ascii="Times New Roman" w:hAnsi="Times New Roman" w:cs="Times New Roman"/>
          <w:color w:val="000000" w:themeColor="text1"/>
        </w:rPr>
        <w:t xml:space="preserve"> the magnitude of an expansionary monetary p</w:t>
      </w:r>
      <w:r w:rsidR="009E398E" w:rsidRPr="003C17DC">
        <w:rPr>
          <w:rFonts w:ascii="Times New Roman" w:hAnsi="Times New Roman" w:cs="Times New Roman"/>
          <w:color w:val="000000" w:themeColor="text1"/>
        </w:rPr>
        <w:t xml:space="preserve">olicy shock on </w:t>
      </w:r>
      <w:r w:rsidR="00D85B10" w:rsidRPr="003C17DC">
        <w:rPr>
          <w:rFonts w:ascii="Times New Roman" w:hAnsi="Times New Roman" w:cs="Times New Roman"/>
          <w:i/>
          <w:color w:val="000000" w:themeColor="text1"/>
        </w:rPr>
        <w:sym w:font="Symbol" w:char="F044"/>
      </w:r>
      <w:r w:rsidR="004A35BF" w:rsidRPr="003C17DC">
        <w:rPr>
          <w:rFonts w:ascii="Times New Roman" w:hAnsi="Times New Roman" w:cs="Times New Roman"/>
          <w:i/>
          <w:color w:val="000000" w:themeColor="text1"/>
        </w:rPr>
        <w:t>house price</w:t>
      </w:r>
      <w:r w:rsidR="009E398E" w:rsidRPr="003C17DC">
        <w:rPr>
          <w:rFonts w:ascii="Times New Roman" w:hAnsi="Times New Roman" w:cs="Times New Roman"/>
          <w:i/>
          <w:color w:val="000000" w:themeColor="text1"/>
        </w:rPr>
        <w:t xml:space="preserve">, </w:t>
      </w:r>
      <w:r w:rsidR="00D85B10" w:rsidRPr="003C17DC">
        <w:rPr>
          <w:rFonts w:ascii="Times New Roman" w:hAnsi="Times New Roman" w:cs="Times New Roman"/>
          <w:i/>
          <w:color w:val="000000" w:themeColor="text1"/>
        </w:rPr>
        <w:sym w:font="Symbol" w:char="F044"/>
      </w:r>
      <w:r w:rsidR="009E398E" w:rsidRPr="003C17DC">
        <w:rPr>
          <w:rFonts w:ascii="Times New Roman" w:hAnsi="Times New Roman" w:cs="Times New Roman"/>
          <w:i/>
          <w:color w:val="000000" w:themeColor="text1"/>
        </w:rPr>
        <w:t>gdp</w:t>
      </w:r>
      <w:r w:rsidR="00F14F80" w:rsidRPr="003C17DC">
        <w:rPr>
          <w:rFonts w:ascii="Times New Roman" w:hAnsi="Times New Roman" w:cs="Times New Roman"/>
          <w:i/>
          <w:color w:val="000000" w:themeColor="text1"/>
        </w:rPr>
        <w:t xml:space="preserve"> </w:t>
      </w:r>
      <w:r w:rsidR="00F14F80" w:rsidRPr="003C17DC">
        <w:rPr>
          <w:rFonts w:ascii="Times New Roman" w:hAnsi="Times New Roman" w:cs="Times New Roman"/>
          <w:iCs/>
          <w:color w:val="000000" w:themeColor="text1"/>
        </w:rPr>
        <w:t>and</w:t>
      </w:r>
      <w:r w:rsidR="00824A79" w:rsidRPr="003C17DC">
        <w:rPr>
          <w:rFonts w:ascii="Times New Roman" w:hAnsi="Times New Roman" w:cs="Times New Roman"/>
          <w:iCs/>
          <w:color w:val="000000" w:themeColor="text1"/>
        </w:rPr>
        <w:t xml:space="preserve"> on</w:t>
      </w:r>
      <w:r w:rsidR="00F14F80" w:rsidRPr="003C17DC">
        <w:rPr>
          <w:rFonts w:ascii="Times New Roman" w:hAnsi="Times New Roman" w:cs="Times New Roman"/>
          <w:i/>
          <w:color w:val="000000" w:themeColor="text1"/>
        </w:rPr>
        <w:t xml:space="preserve"> </w:t>
      </w:r>
      <w:r w:rsidR="00D85B10" w:rsidRPr="003C17DC">
        <w:rPr>
          <w:rFonts w:ascii="Times New Roman" w:hAnsi="Times New Roman" w:cs="Times New Roman"/>
          <w:i/>
          <w:color w:val="000000" w:themeColor="text1"/>
        </w:rPr>
        <w:sym w:font="Symbol" w:char="F044"/>
      </w:r>
      <w:r w:rsidR="00F14F80" w:rsidRPr="003C17DC">
        <w:rPr>
          <w:rFonts w:ascii="Times New Roman" w:hAnsi="Times New Roman" w:cs="Times New Roman"/>
          <w:i/>
          <w:color w:val="000000" w:themeColor="text1"/>
        </w:rPr>
        <w:t>mortgage credit</w:t>
      </w:r>
      <w:r w:rsidR="00AE23C8" w:rsidRPr="003C17DC">
        <w:rPr>
          <w:rFonts w:ascii="Times New Roman" w:hAnsi="Times New Roman" w:cs="Times New Roman"/>
          <w:color w:val="000000" w:themeColor="text1"/>
        </w:rPr>
        <w:t xml:space="preserve">, showing the impact magnitudes are </w:t>
      </w:r>
      <w:r w:rsidR="00F14F80" w:rsidRPr="003C17DC">
        <w:rPr>
          <w:rFonts w:ascii="Times New Roman" w:hAnsi="Times New Roman" w:cs="Times New Roman"/>
          <w:color w:val="000000" w:themeColor="text1"/>
        </w:rPr>
        <w:t>larger and more persistent during</w:t>
      </w:r>
      <w:r w:rsidR="003C17DC">
        <w:rPr>
          <w:rFonts w:ascii="Times New Roman" w:hAnsi="Times New Roman" w:cs="Times New Roman"/>
          <w:color w:val="000000" w:themeColor="text1"/>
        </w:rPr>
        <w:t xml:space="preserve"> expansion</w:t>
      </w:r>
      <w:r w:rsidR="00F14F80" w:rsidRPr="003C17DC">
        <w:rPr>
          <w:rFonts w:ascii="Times New Roman" w:hAnsi="Times New Roman" w:cs="Times New Roman"/>
          <w:color w:val="000000" w:themeColor="text1"/>
        </w:rPr>
        <w:t xml:space="preserve"> </w:t>
      </w:r>
      <w:r w:rsidR="00824A79" w:rsidRPr="003C17DC">
        <w:rPr>
          <w:rFonts w:ascii="Times New Roman" w:hAnsi="Times New Roman" w:cs="Times New Roman"/>
          <w:color w:val="000000" w:themeColor="text1"/>
        </w:rPr>
        <w:t xml:space="preserve">than </w:t>
      </w:r>
      <w:r w:rsidR="00F14F80" w:rsidRPr="003C17DC">
        <w:rPr>
          <w:rFonts w:ascii="Times New Roman" w:hAnsi="Times New Roman" w:cs="Times New Roman"/>
          <w:color w:val="000000" w:themeColor="text1"/>
        </w:rPr>
        <w:t xml:space="preserve">compared to </w:t>
      </w:r>
      <w:r w:rsidR="00D85B10" w:rsidRPr="003C17DC">
        <w:rPr>
          <w:rFonts w:ascii="Times New Roman" w:hAnsi="Times New Roman" w:cs="Times New Roman"/>
          <w:color w:val="000000" w:themeColor="text1"/>
        </w:rPr>
        <w:t>a similar magnitude shock</w:t>
      </w:r>
      <w:r w:rsidR="00824A79" w:rsidRPr="003C17DC">
        <w:rPr>
          <w:rFonts w:ascii="Times New Roman" w:hAnsi="Times New Roman" w:cs="Times New Roman"/>
          <w:color w:val="000000" w:themeColor="text1"/>
        </w:rPr>
        <w:t xml:space="preserve"> </w:t>
      </w:r>
      <w:r w:rsidR="009B01CF" w:rsidRPr="003C17DC">
        <w:rPr>
          <w:rFonts w:ascii="Times New Roman" w:hAnsi="Times New Roman" w:cs="Times New Roman"/>
          <w:color w:val="000000" w:themeColor="text1"/>
        </w:rPr>
        <w:t>during recessions</w:t>
      </w:r>
      <w:r w:rsidR="00323A12" w:rsidRPr="003C17DC">
        <w:rPr>
          <w:rFonts w:ascii="Times New Roman" w:hAnsi="Times New Roman" w:cs="Times New Roman"/>
          <w:color w:val="000000" w:themeColor="text1"/>
        </w:rPr>
        <w:t xml:space="preserve">. </w:t>
      </w:r>
      <w:r w:rsidR="00323A12" w:rsidRPr="008E6E59">
        <w:rPr>
          <w:rFonts w:ascii="Times New Roman" w:hAnsi="Times New Roman" w:cs="Times New Roman"/>
          <w:color w:val="000000"/>
        </w:rPr>
        <w:t>Although,</w:t>
      </w:r>
      <w:r w:rsidR="001716AA" w:rsidRPr="008E6E59">
        <w:rPr>
          <w:rFonts w:ascii="Times New Roman" w:hAnsi="Times New Roman" w:cs="Times New Roman"/>
          <w:color w:val="000000"/>
        </w:rPr>
        <w:t xml:space="preserve"> unable to</w:t>
      </w:r>
      <w:r w:rsidR="00E558B0" w:rsidRPr="008E6E59">
        <w:rPr>
          <w:rFonts w:ascii="Times New Roman" w:hAnsi="Times New Roman" w:cs="Times New Roman"/>
          <w:color w:val="000000"/>
        </w:rPr>
        <w:t xml:space="preserve"> separately</w:t>
      </w:r>
      <w:r w:rsidR="009B01CF" w:rsidRPr="008E6E59">
        <w:rPr>
          <w:rFonts w:ascii="Times New Roman" w:hAnsi="Times New Roman" w:cs="Times New Roman"/>
          <w:color w:val="000000"/>
        </w:rPr>
        <w:t xml:space="preserve"> </w:t>
      </w:r>
      <w:r w:rsidR="005E0423" w:rsidRPr="008E6E59">
        <w:rPr>
          <w:rFonts w:ascii="Times New Roman" w:hAnsi="Times New Roman" w:cs="Times New Roman"/>
          <w:color w:val="000000"/>
        </w:rPr>
        <w:t>identify</w:t>
      </w:r>
      <w:r w:rsidR="00C42298" w:rsidRPr="008E6E59">
        <w:rPr>
          <w:rFonts w:ascii="Times New Roman" w:hAnsi="Times New Roman" w:cs="Times New Roman"/>
          <w:color w:val="000000"/>
        </w:rPr>
        <w:t xml:space="preserve"> t</w:t>
      </w:r>
      <w:r w:rsidR="005E0423" w:rsidRPr="008E6E59">
        <w:rPr>
          <w:rFonts w:ascii="Times New Roman" w:hAnsi="Times New Roman" w:cs="Times New Roman"/>
          <w:color w:val="000000"/>
        </w:rPr>
        <w:t>he</w:t>
      </w:r>
      <w:r w:rsidR="00C42298" w:rsidRPr="008E6E59">
        <w:rPr>
          <w:rFonts w:ascii="Times New Roman" w:hAnsi="Times New Roman" w:cs="Times New Roman"/>
          <w:color w:val="000000"/>
        </w:rPr>
        <w:t xml:space="preserve"> transmission channels, the impulse response</w:t>
      </w:r>
      <w:r w:rsidR="00824A79" w:rsidRPr="008E6E59">
        <w:rPr>
          <w:rFonts w:ascii="Times New Roman" w:hAnsi="Times New Roman" w:cs="Times New Roman"/>
          <w:color w:val="000000"/>
        </w:rPr>
        <w:t>s</w:t>
      </w:r>
      <w:r w:rsidR="0094634D">
        <w:rPr>
          <w:rFonts w:ascii="Times New Roman" w:hAnsi="Times New Roman" w:cs="Times New Roman"/>
          <w:color w:val="000000"/>
        </w:rPr>
        <w:t xml:space="preserve"> from the model</w:t>
      </w:r>
      <w:r w:rsidR="00F138ED" w:rsidRPr="008E6E59">
        <w:rPr>
          <w:rFonts w:ascii="Times New Roman" w:hAnsi="Times New Roman" w:cs="Times New Roman"/>
          <w:color w:val="000000"/>
        </w:rPr>
        <w:t xml:space="preserve"> clearly</w:t>
      </w:r>
      <w:r w:rsidR="00C42298" w:rsidRPr="008E6E59">
        <w:rPr>
          <w:rFonts w:ascii="Times New Roman" w:hAnsi="Times New Roman" w:cs="Times New Roman"/>
          <w:color w:val="000000"/>
        </w:rPr>
        <w:t xml:space="preserve"> exhibit </w:t>
      </w:r>
      <w:r w:rsidR="00673970" w:rsidRPr="008E6E59">
        <w:rPr>
          <w:rFonts w:ascii="Times New Roman" w:hAnsi="Times New Roman" w:cs="Times New Roman"/>
          <w:color w:val="000000"/>
        </w:rPr>
        <w:t>the state dependent</w:t>
      </w:r>
      <w:r w:rsidR="00C42298" w:rsidRPr="008E6E59">
        <w:rPr>
          <w:rFonts w:ascii="Times New Roman" w:hAnsi="Times New Roman" w:cs="Times New Roman"/>
          <w:color w:val="000000"/>
        </w:rPr>
        <w:t xml:space="preserve"> </w:t>
      </w:r>
      <w:r w:rsidR="00D268C1">
        <w:rPr>
          <w:rFonts w:ascii="Times New Roman" w:hAnsi="Times New Roman" w:cs="Times New Roman"/>
          <w:color w:val="000000"/>
        </w:rPr>
        <w:t>nature</w:t>
      </w:r>
      <w:r w:rsidR="00C42298" w:rsidRPr="008E6E59">
        <w:rPr>
          <w:rFonts w:ascii="Times New Roman" w:hAnsi="Times New Roman" w:cs="Times New Roman"/>
          <w:color w:val="000000"/>
        </w:rPr>
        <w:t xml:space="preserve"> of</w:t>
      </w:r>
      <w:r w:rsidR="002F45EA">
        <w:rPr>
          <w:rFonts w:ascii="Times New Roman" w:hAnsi="Times New Roman" w:cs="Times New Roman"/>
          <w:color w:val="000000"/>
        </w:rPr>
        <w:t xml:space="preserve"> the</w:t>
      </w:r>
      <w:r w:rsidR="00C42298" w:rsidRPr="008E6E59">
        <w:rPr>
          <w:rFonts w:ascii="Times New Roman" w:hAnsi="Times New Roman" w:cs="Times New Roman"/>
          <w:color w:val="000000"/>
        </w:rPr>
        <w:t xml:space="preserve"> expansionary monetary policy</w:t>
      </w:r>
      <w:r w:rsidR="00D268C1">
        <w:rPr>
          <w:rFonts w:ascii="Times New Roman" w:hAnsi="Times New Roman" w:cs="Times New Roman"/>
          <w:color w:val="000000"/>
        </w:rPr>
        <w:t xml:space="preserve"> shock</w:t>
      </w:r>
      <w:r w:rsidR="005E0423" w:rsidRPr="008E6E59">
        <w:rPr>
          <w:rFonts w:ascii="Times New Roman" w:hAnsi="Times New Roman" w:cs="Times New Roman"/>
          <w:color w:val="000000"/>
        </w:rPr>
        <w:t xml:space="preserve"> over the business cycle</w:t>
      </w:r>
      <w:r w:rsidR="009552D9" w:rsidRPr="008E6E59">
        <w:rPr>
          <w:rFonts w:ascii="Times New Roman" w:hAnsi="Times New Roman" w:cs="Times New Roman"/>
          <w:color w:val="000000"/>
        </w:rPr>
        <w:t>. Relatively</w:t>
      </w:r>
      <w:r w:rsidR="00C42298" w:rsidRPr="008E6E59">
        <w:rPr>
          <w:rFonts w:ascii="Times New Roman" w:hAnsi="Times New Roman" w:cs="Times New Roman"/>
          <w:color w:val="000000"/>
        </w:rPr>
        <w:t xml:space="preserve"> lesser impact of expansionary monetary policy during rece</w:t>
      </w:r>
      <w:r w:rsidR="00DE4846">
        <w:rPr>
          <w:rFonts w:ascii="Times New Roman" w:hAnsi="Times New Roman" w:cs="Times New Roman"/>
          <w:color w:val="000000"/>
        </w:rPr>
        <w:t>ssions</w:t>
      </w:r>
      <w:r w:rsidR="00C42298" w:rsidRPr="008E6E59">
        <w:rPr>
          <w:rFonts w:ascii="Times New Roman" w:hAnsi="Times New Roman" w:cs="Times New Roman"/>
          <w:color w:val="000000"/>
        </w:rPr>
        <w:t xml:space="preserve"> can be contributed</w:t>
      </w:r>
      <w:r w:rsidR="00DE4846">
        <w:rPr>
          <w:rFonts w:ascii="Times New Roman" w:hAnsi="Times New Roman" w:cs="Times New Roman"/>
          <w:color w:val="000000"/>
        </w:rPr>
        <w:t xml:space="preserve"> to</w:t>
      </w:r>
      <w:r w:rsidR="00C42298" w:rsidRPr="008E6E59">
        <w:rPr>
          <w:rFonts w:ascii="Times New Roman" w:hAnsi="Times New Roman" w:cs="Times New Roman"/>
          <w:color w:val="000000"/>
        </w:rPr>
        <w:t xml:space="preserve"> higher</w:t>
      </w:r>
      <w:r w:rsidR="00D74B35" w:rsidRPr="008E6E59">
        <w:rPr>
          <w:rFonts w:ascii="Times New Roman" w:hAnsi="Times New Roman" w:cs="Times New Roman"/>
          <w:color w:val="000000"/>
        </w:rPr>
        <w:t xml:space="preserve"> level of financial friction,</w:t>
      </w:r>
      <w:r w:rsidR="00C42298" w:rsidRPr="008E6E59">
        <w:rPr>
          <w:rFonts w:ascii="Times New Roman" w:hAnsi="Times New Roman" w:cs="Times New Roman"/>
          <w:color w:val="000000"/>
        </w:rPr>
        <w:t xml:space="preserve"> uncer</w:t>
      </w:r>
      <w:r w:rsidR="00D74B35" w:rsidRPr="008E6E59">
        <w:rPr>
          <w:rFonts w:ascii="Times New Roman" w:hAnsi="Times New Roman" w:cs="Times New Roman"/>
          <w:color w:val="000000"/>
        </w:rPr>
        <w:t>tainty and</w:t>
      </w:r>
      <w:r w:rsidR="00C42298" w:rsidRPr="008E6E59">
        <w:rPr>
          <w:rFonts w:ascii="Times New Roman" w:hAnsi="Times New Roman" w:cs="Times New Roman"/>
          <w:color w:val="000000"/>
        </w:rPr>
        <w:t xml:space="preserve"> b</w:t>
      </w:r>
      <w:r w:rsidR="00D74B35" w:rsidRPr="008E6E59">
        <w:rPr>
          <w:rFonts w:ascii="Times New Roman" w:hAnsi="Times New Roman" w:cs="Times New Roman"/>
          <w:color w:val="000000"/>
        </w:rPr>
        <w:t>inding financial constraints caused by</w:t>
      </w:r>
      <w:r w:rsidR="00C42298" w:rsidRPr="008E6E59">
        <w:rPr>
          <w:rFonts w:ascii="Times New Roman" w:hAnsi="Times New Roman" w:cs="Times New Roman"/>
          <w:color w:val="000000"/>
        </w:rPr>
        <w:t xml:space="preserve"> lower net worth</w:t>
      </w:r>
      <w:r w:rsidR="0094634D">
        <w:rPr>
          <w:rFonts w:ascii="Times New Roman" w:hAnsi="Times New Roman" w:cs="Times New Roman"/>
          <w:color w:val="000000"/>
        </w:rPr>
        <w:t xml:space="preserve"> </w:t>
      </w:r>
      <w:r w:rsidR="0094634D" w:rsidRPr="008E6E59">
        <w:rPr>
          <w:rFonts w:ascii="Times New Roman" w:hAnsi="Times New Roman" w:cs="Times New Roman"/>
          <w:color w:val="000000"/>
        </w:rPr>
        <w:t>(both borrower</w:t>
      </w:r>
      <w:r w:rsidR="0094634D">
        <w:rPr>
          <w:rFonts w:ascii="Times New Roman" w:hAnsi="Times New Roman" w:cs="Times New Roman"/>
          <w:color w:val="000000"/>
        </w:rPr>
        <w:t>s</w:t>
      </w:r>
      <w:r w:rsidR="0094634D" w:rsidRPr="008E6E59">
        <w:rPr>
          <w:rFonts w:ascii="Times New Roman" w:hAnsi="Times New Roman" w:cs="Times New Roman"/>
          <w:color w:val="000000"/>
        </w:rPr>
        <w:t xml:space="preserve"> and lenders)</w:t>
      </w:r>
      <w:r w:rsidR="00C42298" w:rsidRPr="008E6E59">
        <w:rPr>
          <w:rFonts w:ascii="Times New Roman" w:hAnsi="Times New Roman" w:cs="Times New Roman"/>
          <w:color w:val="000000"/>
        </w:rPr>
        <w:t>.</w:t>
      </w:r>
      <w:r w:rsidR="00C42298" w:rsidRPr="008E6E59">
        <w:rPr>
          <w:rStyle w:val="FootnoteReference"/>
          <w:rFonts w:ascii="Times New Roman" w:hAnsi="Times New Roman" w:cs="Times New Roman"/>
          <w:color w:val="000000"/>
        </w:rPr>
        <w:footnoteReference w:id="12"/>
      </w:r>
      <w:r w:rsidR="002D34FA" w:rsidRPr="008E6E59">
        <w:rPr>
          <w:rFonts w:ascii="Times New Roman" w:hAnsi="Times New Roman" w:cs="Times New Roman"/>
          <w:color w:val="000000"/>
        </w:rPr>
        <w:t xml:space="preserve"> </w:t>
      </w:r>
      <w:r w:rsidR="00DE4846">
        <w:rPr>
          <w:rFonts w:ascii="Times New Roman" w:hAnsi="Times New Roman" w:cs="Times New Roman"/>
          <w:color w:val="000000"/>
        </w:rPr>
        <w:t>R</w:t>
      </w:r>
      <w:r w:rsidR="002D34FA" w:rsidRPr="008E6E59">
        <w:rPr>
          <w:rFonts w:ascii="Times New Roman" w:hAnsi="Times New Roman" w:cs="Times New Roman"/>
          <w:color w:val="000000"/>
        </w:rPr>
        <w:t xml:space="preserve">ecent studies have used loss aversion theory to explain the </w:t>
      </w:r>
      <w:r w:rsidR="00C42298" w:rsidRPr="008E6E59">
        <w:rPr>
          <w:rFonts w:ascii="Times New Roman" w:hAnsi="Times New Roman" w:cs="Times New Roman"/>
          <w:color w:val="000000"/>
        </w:rPr>
        <w:t>reduced effectiveness of monetary policy during r</w:t>
      </w:r>
      <w:r w:rsidR="002D34FA" w:rsidRPr="008E6E59">
        <w:rPr>
          <w:rFonts w:ascii="Times New Roman" w:hAnsi="Times New Roman" w:cs="Times New Roman"/>
          <w:color w:val="000000"/>
        </w:rPr>
        <w:t>ec</w:t>
      </w:r>
      <w:r w:rsidR="00DE4846">
        <w:rPr>
          <w:rFonts w:ascii="Times New Roman" w:hAnsi="Times New Roman" w:cs="Times New Roman"/>
          <w:color w:val="000000"/>
        </w:rPr>
        <w:t>essions</w:t>
      </w:r>
      <w:r w:rsidR="00312FAE" w:rsidRPr="008E6E59">
        <w:rPr>
          <w:rFonts w:ascii="Times New Roman" w:hAnsi="Times New Roman" w:cs="Times New Roman"/>
          <w:color w:val="000000"/>
        </w:rPr>
        <w:t>.</w:t>
      </w:r>
      <w:r w:rsidR="00312FAE" w:rsidRPr="008E6E59">
        <w:rPr>
          <w:rStyle w:val="FootnoteReference"/>
          <w:rFonts w:ascii="Times New Roman" w:hAnsi="Times New Roman" w:cs="Times New Roman"/>
          <w:color w:val="000000"/>
          <w14:cntxtAlts/>
        </w:rPr>
        <w:footnoteReference w:id="13"/>
      </w:r>
    </w:p>
    <w:p w14:paraId="6BC6001A" w14:textId="7413214E" w:rsidR="00F14F80" w:rsidRPr="008E6E59" w:rsidRDefault="009A5A32" w:rsidP="00DE4846">
      <w:pPr>
        <w:widowControl w:val="0"/>
        <w:autoSpaceDE w:val="0"/>
        <w:autoSpaceDN w:val="0"/>
        <w:adjustRightInd w:val="0"/>
        <w:spacing w:after="0"/>
        <w:ind w:right="91"/>
        <w:jc w:val="both"/>
        <w:outlineLvl w:val="0"/>
        <w:rPr>
          <w:rFonts w:ascii="Times New Roman" w:hAnsi="Times New Roman" w:cs="Times New Roman"/>
          <w:i/>
          <w:color w:val="000000"/>
        </w:rPr>
      </w:pPr>
      <w:r w:rsidRPr="008E6E59">
        <w:rPr>
          <w:rFonts w:ascii="Times New Roman" w:hAnsi="Times New Roman" w:cs="Times New Roman"/>
          <w:i/>
          <w:color w:val="000000"/>
        </w:rPr>
        <w:t>b)</w:t>
      </w:r>
      <w:r w:rsidR="00733321">
        <w:rPr>
          <w:rFonts w:ascii="Times New Roman" w:hAnsi="Times New Roman" w:cs="Times New Roman"/>
          <w:i/>
          <w:color w:val="000000"/>
        </w:rPr>
        <w:t xml:space="preserve"> </w:t>
      </w:r>
      <w:r w:rsidR="00F14F80" w:rsidRPr="008E6E59">
        <w:rPr>
          <w:rFonts w:ascii="Times New Roman" w:hAnsi="Times New Roman" w:cs="Times New Roman"/>
          <w:i/>
          <w:color w:val="000000"/>
        </w:rPr>
        <w:t>Second MSVAR</w:t>
      </w:r>
    </w:p>
    <w:p w14:paraId="25FEDA2F" w14:textId="1A3F6565" w:rsidR="00F14F80" w:rsidRPr="008E6E59" w:rsidRDefault="00F14F80" w:rsidP="003D5E91">
      <w:pPr>
        <w:widowControl w:val="0"/>
        <w:autoSpaceDE w:val="0"/>
        <w:autoSpaceDN w:val="0"/>
        <w:adjustRightInd w:val="0"/>
        <w:spacing w:before="120" w:after="0" w:line="480" w:lineRule="auto"/>
        <w:ind w:right="90"/>
        <w:jc w:val="both"/>
        <w:rPr>
          <w:rFonts w:ascii="Times New Roman" w:hAnsi="Times New Roman" w:cs="Times New Roman"/>
        </w:rPr>
      </w:pPr>
      <w:r w:rsidRPr="008E6E59">
        <w:rPr>
          <w:rFonts w:ascii="Times New Roman" w:hAnsi="Times New Roman" w:cs="Times New Roman"/>
          <w:color w:val="000000"/>
        </w:rPr>
        <w:t xml:space="preserve"> </w:t>
      </w:r>
      <w:r w:rsidR="009C6A15">
        <w:rPr>
          <w:rFonts w:ascii="Times New Roman" w:hAnsi="Times New Roman" w:cs="Times New Roman"/>
          <w:color w:val="000000"/>
        </w:rPr>
        <w:t>R</w:t>
      </w:r>
      <w:r w:rsidRPr="008E6E59">
        <w:rPr>
          <w:rFonts w:ascii="Times New Roman" w:hAnsi="Times New Roman" w:cs="Times New Roman"/>
          <w:color w:val="000000"/>
        </w:rPr>
        <w:t xml:space="preserve">egime dependent </w:t>
      </w:r>
      <w:r w:rsidR="00055D1E">
        <w:rPr>
          <w:rFonts w:ascii="Times New Roman" w:hAnsi="Times New Roman" w:cs="Times New Roman"/>
          <w:color w:val="000000"/>
        </w:rPr>
        <w:t>IRFs</w:t>
      </w:r>
      <w:r w:rsidRPr="008E6E59">
        <w:rPr>
          <w:rFonts w:ascii="Times New Roman" w:hAnsi="Times New Roman" w:cs="Times New Roman"/>
          <w:color w:val="000000"/>
        </w:rPr>
        <w:t xml:space="preserve"> from </w:t>
      </w:r>
      <w:r w:rsidR="00CD263C" w:rsidRPr="008E6E59">
        <w:rPr>
          <w:rFonts w:ascii="Times New Roman" w:hAnsi="Times New Roman" w:cs="Times New Roman"/>
          <w:color w:val="000000"/>
        </w:rPr>
        <w:t>the</w:t>
      </w:r>
      <w:r w:rsidR="00960C28" w:rsidRPr="008E6E59">
        <w:rPr>
          <w:rFonts w:ascii="Times New Roman" w:hAnsi="Times New Roman" w:cs="Times New Roman"/>
          <w:color w:val="000000"/>
        </w:rPr>
        <w:t xml:space="preserve"> second</w:t>
      </w:r>
      <w:r w:rsidR="00CD263C" w:rsidRPr="008E6E59">
        <w:rPr>
          <w:rFonts w:ascii="Times New Roman" w:hAnsi="Times New Roman" w:cs="Times New Roman"/>
          <w:color w:val="000000"/>
        </w:rPr>
        <w:t xml:space="preserve"> MS</w:t>
      </w:r>
      <w:r w:rsidRPr="008E6E59">
        <w:rPr>
          <w:rFonts w:ascii="Times New Roman" w:hAnsi="Times New Roman" w:cs="Times New Roman"/>
          <w:color w:val="000000"/>
        </w:rPr>
        <w:t>VAR</w:t>
      </w:r>
      <w:r w:rsidR="009C6A15">
        <w:rPr>
          <w:rFonts w:ascii="Times New Roman" w:hAnsi="Times New Roman" w:cs="Times New Roman"/>
          <w:color w:val="000000"/>
        </w:rPr>
        <w:t xml:space="preserve"> presented in Figure 2B illustrate</w:t>
      </w:r>
      <w:r w:rsidR="00B23083">
        <w:rPr>
          <w:rFonts w:ascii="Times New Roman" w:hAnsi="Times New Roman" w:cs="Times New Roman"/>
          <w:color w:val="000000"/>
        </w:rPr>
        <w:t>s</w:t>
      </w:r>
      <w:r w:rsidRPr="008E6E59">
        <w:rPr>
          <w:rFonts w:ascii="Times New Roman" w:hAnsi="Times New Roman" w:cs="Times New Roman"/>
          <w:color w:val="000000"/>
        </w:rPr>
        <w:t xml:space="preserve"> after an </w:t>
      </w:r>
      <w:r w:rsidRPr="008E6E59">
        <w:rPr>
          <w:rFonts w:ascii="Times New Roman" w:hAnsi="Times New Roman" w:cs="Times New Roman"/>
          <w:color w:val="000000"/>
        </w:rPr>
        <w:lastRenderedPageBreak/>
        <w:t xml:space="preserve">expansionary monetary policy shock the increase in </w:t>
      </w:r>
      <w:r w:rsidR="00A74EB4" w:rsidRPr="008E6E59">
        <w:rPr>
          <w:rFonts w:ascii="Times New Roman" w:hAnsi="Times New Roman" w:cs="Times New Roman"/>
          <w:i/>
          <w:color w:val="000000"/>
        </w:rPr>
        <w:sym w:font="Symbol" w:char="F044"/>
      </w:r>
      <w:r w:rsidRPr="008E6E59">
        <w:rPr>
          <w:rFonts w:ascii="Times New Roman" w:hAnsi="Times New Roman" w:cs="Times New Roman"/>
          <w:i/>
          <w:color w:val="000000"/>
        </w:rPr>
        <w:t>gdp</w:t>
      </w:r>
      <w:r w:rsidRPr="008E6E59">
        <w:rPr>
          <w:rFonts w:ascii="Times New Roman" w:hAnsi="Times New Roman" w:cs="Times New Roman"/>
          <w:color w:val="000000"/>
        </w:rPr>
        <w:t xml:space="preserve"> and </w:t>
      </w:r>
      <w:r w:rsidR="00A74EB4" w:rsidRPr="008E6E59">
        <w:rPr>
          <w:rFonts w:ascii="Times New Roman" w:hAnsi="Times New Roman" w:cs="Times New Roman"/>
          <w:i/>
          <w:color w:val="000000"/>
        </w:rPr>
        <w:sym w:font="Symbol" w:char="F044"/>
      </w:r>
      <w:r w:rsidR="002E2262" w:rsidRPr="008E6E59">
        <w:rPr>
          <w:rFonts w:ascii="Times New Roman" w:hAnsi="Times New Roman" w:cs="Times New Roman"/>
          <w:i/>
          <w:color w:val="000000"/>
        </w:rPr>
        <w:t>house price</w:t>
      </w:r>
      <w:r w:rsidRPr="008E6E59">
        <w:rPr>
          <w:rFonts w:ascii="Times New Roman" w:hAnsi="Times New Roman" w:cs="Times New Roman"/>
          <w:color w:val="000000"/>
        </w:rPr>
        <w:t xml:space="preserve"> </w:t>
      </w:r>
      <w:r w:rsidR="00623D5E" w:rsidRPr="008E6E59">
        <w:rPr>
          <w:rFonts w:ascii="Times New Roman" w:hAnsi="Times New Roman" w:cs="Times New Roman"/>
          <w:color w:val="000000"/>
        </w:rPr>
        <w:t>is larger</w:t>
      </w:r>
      <w:r w:rsidRPr="008E6E59">
        <w:rPr>
          <w:rFonts w:ascii="Times New Roman" w:hAnsi="Times New Roman" w:cs="Times New Roman"/>
          <w:color w:val="000000"/>
        </w:rPr>
        <w:t xml:space="preserve"> a</w:t>
      </w:r>
      <w:r w:rsidR="00A74EB4" w:rsidRPr="008E6E59">
        <w:rPr>
          <w:rFonts w:ascii="Times New Roman" w:hAnsi="Times New Roman" w:cs="Times New Roman"/>
          <w:color w:val="000000"/>
        </w:rPr>
        <w:t xml:space="preserve">nd more persistent </w:t>
      </w:r>
      <w:r w:rsidR="002E2262" w:rsidRPr="008E6E59">
        <w:rPr>
          <w:rFonts w:ascii="Times New Roman" w:hAnsi="Times New Roman" w:cs="Times New Roman"/>
          <w:color w:val="000000"/>
        </w:rPr>
        <w:t>during expansionary</w:t>
      </w:r>
      <w:r w:rsidRPr="008E6E59">
        <w:rPr>
          <w:rFonts w:ascii="Times New Roman" w:hAnsi="Times New Roman" w:cs="Times New Roman"/>
          <w:color w:val="000000"/>
        </w:rPr>
        <w:t xml:space="preserve"> periods</w:t>
      </w:r>
      <w:r w:rsidR="001E36EB">
        <w:rPr>
          <w:rFonts w:ascii="Times New Roman" w:hAnsi="Times New Roman" w:cs="Times New Roman"/>
          <w:color w:val="000000"/>
        </w:rPr>
        <w:t>,</w:t>
      </w:r>
      <w:r w:rsidRPr="008E6E59">
        <w:rPr>
          <w:rFonts w:ascii="Times New Roman" w:hAnsi="Times New Roman" w:cs="Times New Roman"/>
          <w:color w:val="000000"/>
        </w:rPr>
        <w:t xml:space="preserve"> compared to</w:t>
      </w:r>
      <w:r w:rsidR="00C126D4" w:rsidRPr="008E6E59">
        <w:rPr>
          <w:rFonts w:ascii="Times New Roman" w:hAnsi="Times New Roman" w:cs="Times New Roman"/>
          <w:color w:val="000000"/>
        </w:rPr>
        <w:t xml:space="preserve"> a </w:t>
      </w:r>
      <w:r w:rsidR="005E76BE" w:rsidRPr="008E6E59">
        <w:rPr>
          <w:rFonts w:ascii="Times New Roman" w:hAnsi="Times New Roman" w:cs="Times New Roman"/>
          <w:color w:val="000000"/>
        </w:rPr>
        <w:t>similar</w:t>
      </w:r>
      <w:r w:rsidR="0020154F">
        <w:rPr>
          <w:rFonts w:ascii="Times New Roman" w:hAnsi="Times New Roman" w:cs="Times New Roman"/>
          <w:color w:val="000000"/>
        </w:rPr>
        <w:t xml:space="preserve"> size</w:t>
      </w:r>
      <w:r w:rsidR="005E76BE" w:rsidRPr="008E6E59">
        <w:rPr>
          <w:rFonts w:ascii="Times New Roman" w:hAnsi="Times New Roman" w:cs="Times New Roman"/>
          <w:color w:val="000000"/>
        </w:rPr>
        <w:t xml:space="preserve"> shock</w:t>
      </w:r>
      <w:r w:rsidR="00C126D4" w:rsidRPr="008E6E59">
        <w:rPr>
          <w:rFonts w:ascii="Times New Roman" w:hAnsi="Times New Roman" w:cs="Times New Roman"/>
          <w:color w:val="000000"/>
        </w:rPr>
        <w:t xml:space="preserve"> during recession</w:t>
      </w:r>
      <w:r w:rsidRPr="008E6E59">
        <w:rPr>
          <w:rFonts w:ascii="Times New Roman" w:hAnsi="Times New Roman" w:cs="Times New Roman"/>
          <w:color w:val="000000"/>
        </w:rPr>
        <w:t>.</w:t>
      </w:r>
      <w:r w:rsidR="00660545" w:rsidRPr="008E6E59">
        <w:rPr>
          <w:rFonts w:ascii="Times New Roman" w:hAnsi="Times New Roman" w:cs="Times New Roman"/>
          <w:color w:val="000000"/>
        </w:rPr>
        <w:t xml:space="preserve"> </w:t>
      </w:r>
      <w:r w:rsidR="005B1C98" w:rsidRPr="008E6E59">
        <w:rPr>
          <w:rFonts w:ascii="Times New Roman" w:hAnsi="Times New Roman" w:cs="Times New Roman"/>
          <w:color w:val="000000"/>
        </w:rPr>
        <w:t>Moreover</w:t>
      </w:r>
      <w:r w:rsidR="00660545" w:rsidRPr="008E6E59">
        <w:rPr>
          <w:rFonts w:ascii="Times New Roman" w:hAnsi="Times New Roman" w:cs="Times New Roman"/>
          <w:color w:val="000000"/>
        </w:rPr>
        <w:t>, after a</w:t>
      </w:r>
      <w:r w:rsidRPr="008E6E59">
        <w:rPr>
          <w:rFonts w:ascii="Times New Roman" w:hAnsi="Times New Roman" w:cs="Times New Roman"/>
          <w:color w:val="000000"/>
        </w:rPr>
        <w:t xml:space="preserve"> decrease in policy rate mortgage spread</w:t>
      </w:r>
      <w:r w:rsidR="00051457">
        <w:rPr>
          <w:rFonts w:ascii="Times New Roman" w:hAnsi="Times New Roman" w:cs="Times New Roman"/>
          <w:color w:val="000000"/>
        </w:rPr>
        <w:t xml:space="preserve"> significantly</w:t>
      </w:r>
      <w:r w:rsidRPr="008E6E59">
        <w:rPr>
          <w:rFonts w:ascii="Times New Roman" w:hAnsi="Times New Roman" w:cs="Times New Roman"/>
          <w:color w:val="000000"/>
        </w:rPr>
        <w:t xml:space="preserve"> decrea</w:t>
      </w:r>
      <w:r w:rsidR="00130B64" w:rsidRPr="008E6E59">
        <w:rPr>
          <w:rFonts w:ascii="Times New Roman" w:hAnsi="Times New Roman" w:cs="Times New Roman"/>
          <w:color w:val="000000"/>
        </w:rPr>
        <w:t>ses</w:t>
      </w:r>
      <w:r w:rsidR="009B6F34">
        <w:rPr>
          <w:rFonts w:ascii="Times New Roman" w:hAnsi="Times New Roman" w:cs="Times New Roman"/>
          <w:color w:val="000000"/>
        </w:rPr>
        <w:t xml:space="preserve"> only</w:t>
      </w:r>
      <w:r w:rsidR="00130B64" w:rsidRPr="008E6E59">
        <w:rPr>
          <w:rFonts w:ascii="Times New Roman" w:hAnsi="Times New Roman" w:cs="Times New Roman"/>
          <w:color w:val="000000"/>
        </w:rPr>
        <w:t xml:space="preserve"> </w:t>
      </w:r>
      <w:r w:rsidR="00BA5C1F">
        <w:rPr>
          <w:rFonts w:ascii="Times New Roman" w:hAnsi="Times New Roman" w:cs="Times New Roman"/>
          <w:color w:val="000000"/>
        </w:rPr>
        <w:t>in</w:t>
      </w:r>
      <w:r w:rsidR="00E36055">
        <w:rPr>
          <w:rFonts w:ascii="Times New Roman" w:hAnsi="Times New Roman" w:cs="Times New Roman"/>
          <w:color w:val="000000"/>
        </w:rPr>
        <w:t xml:space="preserve"> the</w:t>
      </w:r>
      <w:r w:rsidR="00130B64" w:rsidRPr="008E6E59">
        <w:rPr>
          <w:rFonts w:ascii="Times New Roman" w:hAnsi="Times New Roman" w:cs="Times New Roman"/>
          <w:color w:val="000000"/>
        </w:rPr>
        <w:t xml:space="preserve"> </w:t>
      </w:r>
      <w:r w:rsidR="008112B8" w:rsidRPr="008E6E59">
        <w:rPr>
          <w:rFonts w:ascii="Times New Roman" w:hAnsi="Times New Roman" w:cs="Times New Roman"/>
          <w:color w:val="000000"/>
        </w:rPr>
        <w:t>expan</w:t>
      </w:r>
      <w:r w:rsidR="00055D1E">
        <w:rPr>
          <w:rFonts w:ascii="Times New Roman" w:hAnsi="Times New Roman" w:cs="Times New Roman"/>
          <w:color w:val="000000"/>
        </w:rPr>
        <w:t>sionary p</w:t>
      </w:r>
      <w:r w:rsidR="005E42DD">
        <w:rPr>
          <w:rFonts w:ascii="Times New Roman" w:hAnsi="Times New Roman" w:cs="Times New Roman"/>
          <w:color w:val="000000"/>
        </w:rPr>
        <w:t>hase</w:t>
      </w:r>
      <w:r w:rsidR="00E36055">
        <w:rPr>
          <w:rFonts w:ascii="Times New Roman" w:hAnsi="Times New Roman" w:cs="Times New Roman"/>
          <w:color w:val="000000"/>
        </w:rPr>
        <w:t>,</w:t>
      </w:r>
      <w:r w:rsidR="005E42DD">
        <w:rPr>
          <w:rFonts w:ascii="Times New Roman" w:hAnsi="Times New Roman" w:cs="Times New Roman"/>
          <w:color w:val="000000"/>
        </w:rPr>
        <w:t xml:space="preserve"> therefore</w:t>
      </w:r>
      <w:r w:rsidR="00E36055">
        <w:rPr>
          <w:rFonts w:ascii="Times New Roman" w:hAnsi="Times New Roman" w:cs="Times New Roman"/>
          <w:color w:val="000000"/>
        </w:rPr>
        <w:t>,</w:t>
      </w:r>
      <w:r w:rsidR="005E42DD">
        <w:rPr>
          <w:rFonts w:ascii="Times New Roman" w:hAnsi="Times New Roman" w:cs="Times New Roman"/>
          <w:color w:val="000000"/>
        </w:rPr>
        <w:t xml:space="preserve"> indicating</w:t>
      </w:r>
      <w:r w:rsidRPr="008E6E59">
        <w:rPr>
          <w:rFonts w:ascii="Times New Roman" w:hAnsi="Times New Roman" w:cs="Times New Roman"/>
          <w:color w:val="000000"/>
        </w:rPr>
        <w:t xml:space="preserve"> a</w:t>
      </w:r>
      <w:r w:rsidR="00660545" w:rsidRPr="008E6E59">
        <w:rPr>
          <w:rFonts w:ascii="Times New Roman" w:hAnsi="Times New Roman" w:cs="Times New Roman"/>
          <w:color w:val="000000"/>
        </w:rPr>
        <w:t>n</w:t>
      </w:r>
      <w:r w:rsidRPr="008E6E59">
        <w:rPr>
          <w:rFonts w:ascii="Times New Roman" w:hAnsi="Times New Roman" w:cs="Times New Roman"/>
          <w:color w:val="000000"/>
        </w:rPr>
        <w:t xml:space="preserve"> operational credit channel</w:t>
      </w:r>
      <w:r w:rsidR="005E42DD">
        <w:rPr>
          <w:rFonts w:ascii="Times New Roman" w:hAnsi="Times New Roman" w:cs="Times New Roman"/>
          <w:color w:val="000000"/>
        </w:rPr>
        <w:t xml:space="preserve"> during this </w:t>
      </w:r>
      <w:r w:rsidR="006C2C05">
        <w:rPr>
          <w:rFonts w:ascii="Times New Roman" w:hAnsi="Times New Roman" w:cs="Times New Roman"/>
          <w:color w:val="000000"/>
        </w:rPr>
        <w:t>period</w:t>
      </w:r>
      <w:r w:rsidRPr="008E6E59">
        <w:rPr>
          <w:rFonts w:ascii="Times New Roman" w:hAnsi="Times New Roman" w:cs="Times New Roman"/>
          <w:color w:val="000000"/>
        </w:rPr>
        <w:t>.</w:t>
      </w:r>
      <w:r w:rsidR="003B6BE1" w:rsidRPr="008E6E59">
        <w:rPr>
          <w:rFonts w:ascii="Times New Roman" w:hAnsi="Times New Roman" w:cs="Times New Roman"/>
        </w:rPr>
        <w:t xml:space="preserve"> </w:t>
      </w:r>
      <w:r w:rsidR="00644D8E" w:rsidRPr="008E6E59">
        <w:rPr>
          <w:rFonts w:ascii="Times New Roman" w:hAnsi="Times New Roman" w:cs="Times New Roman"/>
        </w:rPr>
        <w:t>D</w:t>
      </w:r>
      <w:r w:rsidR="003B6BE1" w:rsidRPr="008E6E59">
        <w:rPr>
          <w:rFonts w:ascii="Times New Roman" w:hAnsi="Times New Roman" w:cs="Times New Roman"/>
        </w:rPr>
        <w:t>uring</w:t>
      </w:r>
      <w:r w:rsidR="00535B92" w:rsidRPr="008E6E59">
        <w:rPr>
          <w:rFonts w:ascii="Times New Roman" w:hAnsi="Times New Roman" w:cs="Times New Roman"/>
        </w:rPr>
        <w:t xml:space="preserve"> </w:t>
      </w:r>
      <w:r w:rsidRPr="008E6E59">
        <w:rPr>
          <w:rFonts w:ascii="Times New Roman" w:hAnsi="Times New Roman" w:cs="Times New Roman"/>
        </w:rPr>
        <w:t>recession</w:t>
      </w:r>
      <w:r w:rsidR="00A95CE5" w:rsidRPr="00A95CE5">
        <w:rPr>
          <w:rFonts w:ascii="Times New Roman" w:hAnsi="Times New Roman" w:cs="Times New Roman"/>
        </w:rPr>
        <w:t xml:space="preserve"> </w:t>
      </w:r>
      <w:r w:rsidR="00A95CE5" w:rsidRPr="008E6E59">
        <w:rPr>
          <w:rFonts w:ascii="Times New Roman" w:hAnsi="Times New Roman" w:cs="Times New Roman"/>
        </w:rPr>
        <w:t>asymmetric information between agents and mortgage lenders</w:t>
      </w:r>
      <w:r w:rsidR="00A95CE5">
        <w:rPr>
          <w:rFonts w:ascii="Times New Roman" w:hAnsi="Times New Roman" w:cs="Times New Roman"/>
        </w:rPr>
        <w:t xml:space="preserve"> tend to rise as</w:t>
      </w:r>
      <w:r w:rsidRPr="008E6E59">
        <w:rPr>
          <w:rFonts w:ascii="Times New Roman" w:hAnsi="Times New Roman" w:cs="Times New Roman"/>
        </w:rPr>
        <w:t xml:space="preserve"> net worth of household and </w:t>
      </w:r>
      <w:r w:rsidR="0053085F" w:rsidRPr="008E6E59">
        <w:rPr>
          <w:rFonts w:ascii="Times New Roman" w:hAnsi="Times New Roman" w:cs="Times New Roman"/>
        </w:rPr>
        <w:t>firms decline</w:t>
      </w:r>
      <w:r w:rsidR="00A95CE5">
        <w:rPr>
          <w:rFonts w:ascii="Times New Roman" w:hAnsi="Times New Roman" w:cs="Times New Roman"/>
        </w:rPr>
        <w:t>. This</w:t>
      </w:r>
      <w:r w:rsidRPr="008E6E59">
        <w:rPr>
          <w:rFonts w:ascii="Times New Roman" w:hAnsi="Times New Roman" w:cs="Times New Roman"/>
        </w:rPr>
        <w:t xml:space="preserve"> increa</w:t>
      </w:r>
      <w:r w:rsidR="00A95CE5">
        <w:rPr>
          <w:rFonts w:ascii="Times New Roman" w:hAnsi="Times New Roman" w:cs="Times New Roman"/>
        </w:rPr>
        <w:t>ses</w:t>
      </w:r>
      <w:r w:rsidRPr="008E6E59">
        <w:rPr>
          <w:rFonts w:ascii="Times New Roman" w:hAnsi="Times New Roman" w:cs="Times New Roman"/>
        </w:rPr>
        <w:t xml:space="preserve"> the </w:t>
      </w:r>
      <w:r w:rsidR="00F26F0E" w:rsidRPr="008E6E59">
        <w:rPr>
          <w:rFonts w:ascii="Times New Roman" w:hAnsi="Times New Roman" w:cs="Times New Roman"/>
        </w:rPr>
        <w:t xml:space="preserve">overall </w:t>
      </w:r>
      <w:r w:rsidRPr="008E6E59">
        <w:rPr>
          <w:rFonts w:ascii="Times New Roman" w:hAnsi="Times New Roman" w:cs="Times New Roman"/>
        </w:rPr>
        <w:t>external finance premium.</w:t>
      </w:r>
      <w:r w:rsidR="00535B92" w:rsidRPr="008E6E59">
        <w:rPr>
          <w:rFonts w:ascii="Times New Roman" w:hAnsi="Times New Roman" w:cs="Times New Roman"/>
        </w:rPr>
        <w:t xml:space="preserve"> Subject to the presence of</w:t>
      </w:r>
      <w:r w:rsidR="00D261EE" w:rsidRPr="008E6E59">
        <w:rPr>
          <w:rFonts w:ascii="Times New Roman" w:hAnsi="Times New Roman" w:cs="Times New Roman"/>
        </w:rPr>
        <w:t xml:space="preserve"> this</w:t>
      </w:r>
      <w:r w:rsidR="00535B92" w:rsidRPr="008E6E59">
        <w:rPr>
          <w:rFonts w:ascii="Times New Roman" w:hAnsi="Times New Roman" w:cs="Times New Roman"/>
        </w:rPr>
        <w:t xml:space="preserve"> </w:t>
      </w:r>
      <w:r w:rsidRPr="008E6E59">
        <w:rPr>
          <w:rFonts w:ascii="Times New Roman" w:hAnsi="Times New Roman" w:cs="Times New Roman"/>
        </w:rPr>
        <w:t>higher level of asymmetric information</w:t>
      </w:r>
      <w:r w:rsidR="00F233A4" w:rsidRPr="008E6E59">
        <w:rPr>
          <w:rFonts w:ascii="Times New Roman" w:hAnsi="Times New Roman" w:cs="Times New Roman"/>
        </w:rPr>
        <w:t>,</w:t>
      </w:r>
      <w:r w:rsidR="00463679" w:rsidRPr="008E6E59">
        <w:rPr>
          <w:rFonts w:ascii="Times New Roman" w:hAnsi="Times New Roman" w:cs="Times New Roman"/>
        </w:rPr>
        <w:t xml:space="preserve"> the impact of</w:t>
      </w:r>
      <w:r w:rsidR="00A95CE5">
        <w:rPr>
          <w:rFonts w:ascii="Times New Roman" w:hAnsi="Times New Roman" w:cs="Times New Roman"/>
        </w:rPr>
        <w:t xml:space="preserve"> an</w:t>
      </w:r>
      <w:r w:rsidR="0075377C" w:rsidRPr="008E6E59">
        <w:rPr>
          <w:rFonts w:ascii="Times New Roman" w:hAnsi="Times New Roman" w:cs="Times New Roman"/>
        </w:rPr>
        <w:t xml:space="preserve"> </w:t>
      </w:r>
      <w:r w:rsidR="00674E41" w:rsidRPr="008E6E59">
        <w:rPr>
          <w:rFonts w:ascii="Times New Roman" w:hAnsi="Times New Roman" w:cs="Times New Roman"/>
        </w:rPr>
        <w:t>expansionary</w:t>
      </w:r>
      <w:r w:rsidRPr="008E6E59">
        <w:rPr>
          <w:rFonts w:ascii="Times New Roman" w:hAnsi="Times New Roman" w:cs="Times New Roman"/>
        </w:rPr>
        <w:t xml:space="preserve"> moneta</w:t>
      </w:r>
      <w:r w:rsidR="00B61DF1" w:rsidRPr="008E6E59">
        <w:rPr>
          <w:rFonts w:ascii="Times New Roman" w:hAnsi="Times New Roman" w:cs="Times New Roman"/>
        </w:rPr>
        <w:t>ry policy</w:t>
      </w:r>
      <w:r w:rsidR="007F6D20" w:rsidRPr="008E6E59">
        <w:rPr>
          <w:rFonts w:ascii="Times New Roman" w:hAnsi="Times New Roman" w:cs="Times New Roman"/>
        </w:rPr>
        <w:t xml:space="preserve"> shock</w:t>
      </w:r>
      <w:r w:rsidR="00066EC0" w:rsidRPr="008E6E59">
        <w:rPr>
          <w:rFonts w:ascii="Times New Roman" w:hAnsi="Times New Roman" w:cs="Times New Roman"/>
        </w:rPr>
        <w:t xml:space="preserve"> become</w:t>
      </w:r>
      <w:r w:rsidR="00115958">
        <w:rPr>
          <w:rFonts w:ascii="Times New Roman" w:hAnsi="Times New Roman" w:cs="Times New Roman"/>
        </w:rPr>
        <w:t>s</w:t>
      </w:r>
      <w:r w:rsidR="00B61DF1" w:rsidRPr="008E6E59">
        <w:rPr>
          <w:rFonts w:ascii="Times New Roman" w:hAnsi="Times New Roman" w:cs="Times New Roman"/>
        </w:rPr>
        <w:t xml:space="preserve"> less</w:t>
      </w:r>
      <w:r w:rsidR="00066EC0" w:rsidRPr="008E6E59">
        <w:rPr>
          <w:rFonts w:ascii="Times New Roman" w:hAnsi="Times New Roman" w:cs="Times New Roman"/>
        </w:rPr>
        <w:t xml:space="preserve"> effective</w:t>
      </w:r>
      <w:r w:rsidR="00535B92" w:rsidRPr="008E6E59">
        <w:rPr>
          <w:rFonts w:ascii="Times New Roman" w:hAnsi="Times New Roman" w:cs="Times New Roman"/>
        </w:rPr>
        <w:t xml:space="preserve"> in reducing mortgage</w:t>
      </w:r>
      <w:r w:rsidRPr="008E6E59">
        <w:rPr>
          <w:rFonts w:ascii="Times New Roman" w:hAnsi="Times New Roman" w:cs="Times New Roman"/>
        </w:rPr>
        <w:t xml:space="preserve"> spread</w:t>
      </w:r>
      <w:r w:rsidR="005E42DD">
        <w:rPr>
          <w:rFonts w:ascii="Times New Roman" w:hAnsi="Times New Roman" w:cs="Times New Roman"/>
        </w:rPr>
        <w:t xml:space="preserve"> during recessions</w:t>
      </w:r>
      <w:r w:rsidR="00AB6C1C">
        <w:rPr>
          <w:rFonts w:ascii="Times New Roman" w:hAnsi="Times New Roman" w:cs="Times New Roman"/>
        </w:rPr>
        <w:t xml:space="preserve"> (</w:t>
      </w:r>
      <w:r w:rsidR="00D261EE" w:rsidRPr="008E6E59">
        <w:rPr>
          <w:rFonts w:ascii="Times New Roman" w:hAnsi="Times New Roman" w:cs="Times New Roman"/>
        </w:rPr>
        <w:t>compared to similar</w:t>
      </w:r>
      <w:r w:rsidR="00051457">
        <w:rPr>
          <w:rFonts w:ascii="Times New Roman" w:hAnsi="Times New Roman" w:cs="Times New Roman"/>
        </w:rPr>
        <w:t xml:space="preserve"> size</w:t>
      </w:r>
      <w:r w:rsidR="002B6691" w:rsidRPr="008E6E59">
        <w:rPr>
          <w:rFonts w:ascii="Times New Roman" w:hAnsi="Times New Roman" w:cs="Times New Roman"/>
        </w:rPr>
        <w:t xml:space="preserve"> </w:t>
      </w:r>
      <w:r w:rsidR="00D261EE" w:rsidRPr="008E6E59">
        <w:rPr>
          <w:rFonts w:ascii="Times New Roman" w:hAnsi="Times New Roman" w:cs="Times New Roman"/>
        </w:rPr>
        <w:t>shock</w:t>
      </w:r>
      <w:r w:rsidR="004E552F">
        <w:rPr>
          <w:rFonts w:ascii="Times New Roman" w:hAnsi="Times New Roman" w:cs="Times New Roman"/>
        </w:rPr>
        <w:t>s</w:t>
      </w:r>
      <w:r w:rsidR="00D261EE" w:rsidRPr="008E6E59">
        <w:rPr>
          <w:rFonts w:ascii="Times New Roman" w:hAnsi="Times New Roman" w:cs="Times New Roman"/>
        </w:rPr>
        <w:t xml:space="preserve"> during expansion</w:t>
      </w:r>
      <w:r w:rsidR="004E552F">
        <w:rPr>
          <w:rFonts w:ascii="Times New Roman" w:hAnsi="Times New Roman" w:cs="Times New Roman"/>
        </w:rPr>
        <w:t>s</w:t>
      </w:r>
      <w:r w:rsidR="00AB6C1C">
        <w:rPr>
          <w:rFonts w:ascii="Times New Roman" w:hAnsi="Times New Roman" w:cs="Times New Roman"/>
        </w:rPr>
        <w:t>)</w:t>
      </w:r>
      <w:r w:rsidR="007C590B" w:rsidRPr="008E6E59">
        <w:rPr>
          <w:rFonts w:ascii="Times New Roman" w:hAnsi="Times New Roman" w:cs="Times New Roman"/>
        </w:rPr>
        <w:t>.</w:t>
      </w:r>
    </w:p>
    <w:p w14:paraId="1D915124" w14:textId="7C65126E" w:rsidR="00066EC0" w:rsidRPr="008E6E59" w:rsidRDefault="009A5A32" w:rsidP="00057DBB">
      <w:pPr>
        <w:widowControl w:val="0"/>
        <w:autoSpaceDE w:val="0"/>
        <w:autoSpaceDN w:val="0"/>
        <w:adjustRightInd w:val="0"/>
        <w:spacing w:before="120" w:after="0" w:line="360" w:lineRule="auto"/>
        <w:ind w:right="91"/>
        <w:jc w:val="both"/>
        <w:outlineLvl w:val="0"/>
        <w:rPr>
          <w:rFonts w:ascii="Times New Roman" w:hAnsi="Times New Roman" w:cs="Times New Roman"/>
          <w:i/>
          <w:color w:val="000000"/>
        </w:rPr>
      </w:pPr>
      <w:r w:rsidRPr="008E6E59">
        <w:rPr>
          <w:rFonts w:ascii="Times New Roman" w:hAnsi="Times New Roman" w:cs="Times New Roman"/>
          <w:i/>
          <w:color w:val="000000"/>
        </w:rPr>
        <w:t>c)</w:t>
      </w:r>
      <w:r w:rsidR="00733321">
        <w:rPr>
          <w:rFonts w:ascii="Times New Roman" w:hAnsi="Times New Roman" w:cs="Times New Roman"/>
          <w:i/>
          <w:color w:val="000000"/>
        </w:rPr>
        <w:t xml:space="preserve"> </w:t>
      </w:r>
      <w:r w:rsidR="00F14F80" w:rsidRPr="008E6E59">
        <w:rPr>
          <w:rFonts w:ascii="Times New Roman" w:hAnsi="Times New Roman" w:cs="Times New Roman"/>
          <w:i/>
          <w:color w:val="000000"/>
        </w:rPr>
        <w:t>Third MSVAR</w:t>
      </w:r>
    </w:p>
    <w:p w14:paraId="68CA7AA1" w14:textId="33A53E3A" w:rsidR="007B350C" w:rsidRPr="008E6E59" w:rsidRDefault="00AD6EB2" w:rsidP="003D5E91">
      <w:pPr>
        <w:widowControl w:val="0"/>
        <w:autoSpaceDE w:val="0"/>
        <w:autoSpaceDN w:val="0"/>
        <w:adjustRightInd w:val="0"/>
        <w:spacing w:before="120" w:after="0" w:line="480" w:lineRule="auto"/>
        <w:ind w:right="90"/>
        <w:jc w:val="both"/>
        <w:rPr>
          <w:rFonts w:ascii="Times New Roman" w:hAnsi="Times New Roman" w:cs="Times New Roman"/>
          <w:color w:val="000000"/>
        </w:rPr>
      </w:pPr>
      <w:r w:rsidRPr="008E6E59">
        <w:rPr>
          <w:rFonts w:ascii="Times New Roman" w:hAnsi="Times New Roman" w:cs="Times New Roman"/>
          <w:color w:val="000000"/>
        </w:rPr>
        <w:t>Figure 2C represent</w:t>
      </w:r>
      <w:r w:rsidR="00AC1B38" w:rsidRPr="008E6E59">
        <w:rPr>
          <w:rFonts w:ascii="Times New Roman" w:hAnsi="Times New Roman" w:cs="Times New Roman"/>
          <w:color w:val="000000"/>
        </w:rPr>
        <w:t xml:space="preserve"> r</w:t>
      </w:r>
      <w:r w:rsidR="00F14F80" w:rsidRPr="008E6E59">
        <w:rPr>
          <w:rFonts w:ascii="Times New Roman" w:hAnsi="Times New Roman" w:cs="Times New Roman"/>
          <w:color w:val="000000"/>
        </w:rPr>
        <w:t>egime depe</w:t>
      </w:r>
      <w:r w:rsidR="00174A07" w:rsidRPr="008E6E59">
        <w:rPr>
          <w:rFonts w:ascii="Times New Roman" w:hAnsi="Times New Roman" w:cs="Times New Roman"/>
          <w:color w:val="000000"/>
        </w:rPr>
        <w:t xml:space="preserve">ndent </w:t>
      </w:r>
      <w:r w:rsidR="00695E61">
        <w:rPr>
          <w:rFonts w:ascii="Times New Roman" w:hAnsi="Times New Roman" w:cs="Times New Roman"/>
          <w:color w:val="000000"/>
        </w:rPr>
        <w:t>IRFs</w:t>
      </w:r>
      <w:r w:rsidR="00AC1B38" w:rsidRPr="008E6E59">
        <w:rPr>
          <w:rFonts w:ascii="Times New Roman" w:hAnsi="Times New Roman" w:cs="Times New Roman"/>
          <w:color w:val="000000"/>
        </w:rPr>
        <w:t xml:space="preserve"> from</w:t>
      </w:r>
      <w:r w:rsidR="00562C35" w:rsidRPr="008E6E59">
        <w:rPr>
          <w:rFonts w:ascii="Times New Roman" w:hAnsi="Times New Roman" w:cs="Times New Roman"/>
          <w:color w:val="000000"/>
        </w:rPr>
        <w:t xml:space="preserve"> the third</w:t>
      </w:r>
      <w:r w:rsidR="00162305" w:rsidRPr="008E6E59">
        <w:rPr>
          <w:rFonts w:ascii="Times New Roman" w:hAnsi="Times New Roman" w:cs="Times New Roman"/>
          <w:color w:val="000000"/>
        </w:rPr>
        <w:t xml:space="preserve"> </w:t>
      </w:r>
      <w:r w:rsidR="00F14F80" w:rsidRPr="008E6E59">
        <w:rPr>
          <w:rFonts w:ascii="Times New Roman" w:hAnsi="Times New Roman" w:cs="Times New Roman"/>
          <w:color w:val="000000"/>
        </w:rPr>
        <w:t>MSVAR</w:t>
      </w:r>
      <w:r w:rsidR="004B265D" w:rsidRPr="008E6E59">
        <w:rPr>
          <w:rFonts w:ascii="Times New Roman" w:hAnsi="Times New Roman" w:cs="Times New Roman"/>
          <w:color w:val="000000"/>
        </w:rPr>
        <w:t>. The response</w:t>
      </w:r>
      <w:r w:rsidR="00F77207" w:rsidRPr="008E6E59">
        <w:rPr>
          <w:rFonts w:ascii="Times New Roman" w:hAnsi="Times New Roman" w:cs="Times New Roman"/>
          <w:color w:val="000000"/>
        </w:rPr>
        <w:t>s</w:t>
      </w:r>
      <w:r w:rsidR="00F14F80" w:rsidRPr="008E6E59">
        <w:rPr>
          <w:rFonts w:ascii="Times New Roman" w:hAnsi="Times New Roman" w:cs="Times New Roman"/>
          <w:color w:val="000000"/>
        </w:rPr>
        <w:t xml:space="preserve"> of </w:t>
      </w:r>
      <w:r w:rsidR="00580FD2" w:rsidRPr="008E6E59">
        <w:rPr>
          <w:rFonts w:ascii="Times New Roman" w:hAnsi="Times New Roman" w:cs="Times New Roman"/>
          <w:i/>
          <w:color w:val="000000"/>
        </w:rPr>
        <w:sym w:font="Symbol" w:char="F044"/>
      </w:r>
      <w:r w:rsidR="00F14F80" w:rsidRPr="008E6E59">
        <w:rPr>
          <w:rFonts w:ascii="Times New Roman" w:hAnsi="Times New Roman" w:cs="Times New Roman"/>
          <w:i/>
          <w:color w:val="000000"/>
        </w:rPr>
        <w:t>gdp</w:t>
      </w:r>
      <w:r w:rsidR="00F14F80" w:rsidRPr="008E6E59">
        <w:rPr>
          <w:rFonts w:ascii="Times New Roman" w:hAnsi="Times New Roman" w:cs="Times New Roman"/>
          <w:color w:val="000000"/>
        </w:rPr>
        <w:t xml:space="preserve"> and </w:t>
      </w:r>
      <w:r w:rsidR="00580FD2" w:rsidRPr="008E6E59">
        <w:rPr>
          <w:rFonts w:ascii="Times New Roman" w:hAnsi="Times New Roman" w:cs="Times New Roman"/>
          <w:i/>
          <w:color w:val="000000"/>
        </w:rPr>
        <w:sym w:font="Symbol" w:char="F044"/>
      </w:r>
      <w:r w:rsidR="00F14F80" w:rsidRPr="008E6E59">
        <w:rPr>
          <w:rFonts w:ascii="Times New Roman" w:hAnsi="Times New Roman" w:cs="Times New Roman"/>
          <w:i/>
          <w:color w:val="000000"/>
        </w:rPr>
        <w:t>house price</w:t>
      </w:r>
      <w:r w:rsidR="00F14F80" w:rsidRPr="008E6E59">
        <w:rPr>
          <w:rFonts w:ascii="Times New Roman" w:hAnsi="Times New Roman" w:cs="Times New Roman"/>
          <w:color w:val="000000"/>
        </w:rPr>
        <w:t xml:space="preserve"> to expans</w:t>
      </w:r>
      <w:r w:rsidR="00095DDA" w:rsidRPr="008E6E59">
        <w:rPr>
          <w:rFonts w:ascii="Times New Roman" w:hAnsi="Times New Roman" w:cs="Times New Roman"/>
          <w:color w:val="000000"/>
        </w:rPr>
        <w:t>ionary monetary policy shock</w:t>
      </w:r>
      <w:r w:rsidR="00F77207" w:rsidRPr="008E6E59">
        <w:rPr>
          <w:rFonts w:ascii="Times New Roman" w:hAnsi="Times New Roman" w:cs="Times New Roman"/>
          <w:color w:val="000000"/>
        </w:rPr>
        <w:t>s</w:t>
      </w:r>
      <w:r w:rsidR="00095DDA" w:rsidRPr="008E6E59">
        <w:rPr>
          <w:rFonts w:ascii="Times New Roman" w:hAnsi="Times New Roman" w:cs="Times New Roman"/>
          <w:color w:val="000000"/>
        </w:rPr>
        <w:t xml:space="preserve"> are analogues </w:t>
      </w:r>
      <w:r w:rsidRPr="008E6E59">
        <w:rPr>
          <w:rFonts w:ascii="Times New Roman" w:hAnsi="Times New Roman" w:cs="Times New Roman"/>
          <w:color w:val="000000"/>
        </w:rPr>
        <w:t>to the</w:t>
      </w:r>
      <w:r w:rsidR="00D41B2D" w:rsidRPr="008E6E59">
        <w:rPr>
          <w:rFonts w:ascii="Times New Roman" w:hAnsi="Times New Roman" w:cs="Times New Roman"/>
          <w:color w:val="000000"/>
        </w:rPr>
        <w:t xml:space="preserve"> earlier</w:t>
      </w:r>
      <w:r w:rsidR="00DC066E" w:rsidRPr="008E6E59">
        <w:rPr>
          <w:rFonts w:ascii="Times New Roman" w:hAnsi="Times New Roman" w:cs="Times New Roman"/>
          <w:color w:val="000000"/>
        </w:rPr>
        <w:t xml:space="preserve"> </w:t>
      </w:r>
      <w:r w:rsidR="008549C4" w:rsidRPr="008E6E59">
        <w:rPr>
          <w:rFonts w:ascii="Times New Roman" w:hAnsi="Times New Roman" w:cs="Times New Roman"/>
          <w:color w:val="000000"/>
        </w:rPr>
        <w:t>models,</w:t>
      </w:r>
      <w:r w:rsidR="0065358E" w:rsidRPr="008E6E59">
        <w:rPr>
          <w:rFonts w:ascii="Times New Roman" w:hAnsi="Times New Roman" w:cs="Times New Roman"/>
          <w:color w:val="000000"/>
        </w:rPr>
        <w:t xml:space="preserve"> larger</w:t>
      </w:r>
      <w:r w:rsidR="00F14F80" w:rsidRPr="008E6E59">
        <w:rPr>
          <w:rFonts w:ascii="Times New Roman" w:hAnsi="Times New Roman" w:cs="Times New Roman"/>
          <w:color w:val="000000"/>
        </w:rPr>
        <w:t xml:space="preserve"> and more persistent d</w:t>
      </w:r>
      <w:r w:rsidR="0065358E" w:rsidRPr="008E6E59">
        <w:rPr>
          <w:rFonts w:ascii="Times New Roman" w:hAnsi="Times New Roman" w:cs="Times New Roman"/>
          <w:color w:val="000000"/>
        </w:rPr>
        <w:t xml:space="preserve">uring </w:t>
      </w:r>
      <w:r w:rsidR="00340C3F">
        <w:rPr>
          <w:rFonts w:ascii="Times New Roman" w:hAnsi="Times New Roman" w:cs="Times New Roman"/>
          <w:color w:val="000000"/>
        </w:rPr>
        <w:t>expansion</w:t>
      </w:r>
      <w:r w:rsidR="00AB6C1C">
        <w:rPr>
          <w:rFonts w:ascii="Times New Roman" w:hAnsi="Times New Roman" w:cs="Times New Roman"/>
          <w:color w:val="000000"/>
        </w:rPr>
        <w:t>s</w:t>
      </w:r>
      <w:r w:rsidRPr="008E6E59">
        <w:rPr>
          <w:rFonts w:ascii="Times New Roman" w:hAnsi="Times New Roman" w:cs="Times New Roman"/>
          <w:color w:val="000000"/>
        </w:rPr>
        <w:t xml:space="preserve"> than in recession</w:t>
      </w:r>
      <w:r w:rsidR="00AB6C1C">
        <w:rPr>
          <w:rFonts w:ascii="Times New Roman" w:hAnsi="Times New Roman" w:cs="Times New Roman"/>
          <w:color w:val="000000"/>
        </w:rPr>
        <w:t>s</w:t>
      </w:r>
      <w:r w:rsidRPr="008E6E59">
        <w:rPr>
          <w:rFonts w:ascii="Times New Roman" w:hAnsi="Times New Roman" w:cs="Times New Roman"/>
          <w:color w:val="000000"/>
        </w:rPr>
        <w:t>.</w:t>
      </w:r>
      <w:r w:rsidR="000841E0" w:rsidRPr="008E6E59">
        <w:rPr>
          <w:rFonts w:ascii="Times New Roman" w:hAnsi="Times New Roman" w:cs="Times New Roman"/>
          <w:color w:val="000000"/>
        </w:rPr>
        <w:t xml:space="preserve"> </w:t>
      </w:r>
      <w:r w:rsidR="00AB6C1C">
        <w:rPr>
          <w:rFonts w:ascii="Times New Roman" w:hAnsi="Times New Roman" w:cs="Times New Roman"/>
          <w:color w:val="000000"/>
        </w:rPr>
        <w:t>I</w:t>
      </w:r>
      <w:r w:rsidR="002C0E29" w:rsidRPr="008E6E59">
        <w:rPr>
          <w:rFonts w:ascii="Times New Roman" w:hAnsi="Times New Roman" w:cs="Times New Roman"/>
          <w:color w:val="000000"/>
        </w:rPr>
        <w:t>ns</w:t>
      </w:r>
      <w:r w:rsidR="00CB779B">
        <w:rPr>
          <w:rFonts w:ascii="Times New Roman" w:hAnsi="Times New Roman" w:cs="Times New Roman"/>
          <w:color w:val="000000"/>
        </w:rPr>
        <w:t>pection</w:t>
      </w:r>
      <w:r w:rsidR="002C0E29" w:rsidRPr="008E6E59">
        <w:rPr>
          <w:rFonts w:ascii="Times New Roman" w:hAnsi="Times New Roman" w:cs="Times New Roman"/>
          <w:color w:val="000000"/>
        </w:rPr>
        <w:t xml:space="preserve"> of </w:t>
      </w:r>
      <w:r w:rsidR="00F14F80" w:rsidRPr="008E6E59">
        <w:rPr>
          <w:rFonts w:ascii="Times New Roman" w:hAnsi="Times New Roman" w:cs="Times New Roman"/>
          <w:color w:val="000000"/>
        </w:rPr>
        <w:t>monetary policy shock o</w:t>
      </w:r>
      <w:r w:rsidR="00622B5A" w:rsidRPr="008E6E59">
        <w:rPr>
          <w:rFonts w:ascii="Times New Roman" w:hAnsi="Times New Roman" w:cs="Times New Roman"/>
          <w:color w:val="000000"/>
        </w:rPr>
        <w:t>n the money</w:t>
      </w:r>
      <w:r w:rsidR="005F37B6" w:rsidRPr="008E6E59">
        <w:rPr>
          <w:rFonts w:ascii="Times New Roman" w:hAnsi="Times New Roman" w:cs="Times New Roman"/>
          <w:color w:val="000000"/>
        </w:rPr>
        <w:t xml:space="preserve"> market spread </w:t>
      </w:r>
      <w:r w:rsidR="00AB6C1C">
        <w:rPr>
          <w:rFonts w:ascii="Times New Roman" w:hAnsi="Times New Roman" w:cs="Times New Roman"/>
          <w:color w:val="000000"/>
        </w:rPr>
        <w:t>evidently illustrate</w:t>
      </w:r>
      <w:r w:rsidR="002C58E6">
        <w:rPr>
          <w:rFonts w:ascii="Times New Roman" w:hAnsi="Times New Roman" w:cs="Times New Roman"/>
          <w:color w:val="000000"/>
        </w:rPr>
        <w:t>s</w:t>
      </w:r>
      <w:r w:rsidR="00AB6C1C">
        <w:rPr>
          <w:rFonts w:ascii="Times New Roman" w:hAnsi="Times New Roman" w:cs="Times New Roman"/>
          <w:color w:val="000000"/>
        </w:rPr>
        <w:t xml:space="preserve"> that the</w:t>
      </w:r>
      <w:r w:rsidR="00D55006" w:rsidRPr="008E6E59">
        <w:rPr>
          <w:rFonts w:ascii="Times New Roman" w:hAnsi="Times New Roman" w:cs="Times New Roman"/>
          <w:color w:val="000000"/>
        </w:rPr>
        <w:t xml:space="preserve"> decrease in the spread is</w:t>
      </w:r>
      <w:r w:rsidR="00BA4AC8" w:rsidRPr="008E6E59">
        <w:rPr>
          <w:rFonts w:ascii="Times New Roman" w:hAnsi="Times New Roman" w:cs="Times New Roman"/>
          <w:color w:val="000000"/>
        </w:rPr>
        <w:t xml:space="preserve"> only</w:t>
      </w:r>
      <w:r w:rsidR="000F001C" w:rsidRPr="008E6E59">
        <w:rPr>
          <w:rFonts w:ascii="Times New Roman" w:hAnsi="Times New Roman" w:cs="Times New Roman"/>
          <w:color w:val="000000"/>
        </w:rPr>
        <w:t xml:space="preserve"> </w:t>
      </w:r>
      <w:r w:rsidR="00FD36A4" w:rsidRPr="008E6E59">
        <w:rPr>
          <w:rFonts w:ascii="Times New Roman" w:hAnsi="Times New Roman" w:cs="Times New Roman"/>
          <w:color w:val="000000"/>
        </w:rPr>
        <w:t>significant in</w:t>
      </w:r>
      <w:r w:rsidR="000F001C" w:rsidRPr="008E6E59">
        <w:rPr>
          <w:rFonts w:ascii="Times New Roman" w:hAnsi="Times New Roman" w:cs="Times New Roman"/>
          <w:color w:val="000000"/>
        </w:rPr>
        <w:t xml:space="preserve"> the</w:t>
      </w:r>
      <w:r w:rsidR="002C26E5" w:rsidRPr="008E6E59">
        <w:rPr>
          <w:rFonts w:ascii="Times New Roman" w:hAnsi="Times New Roman" w:cs="Times New Roman"/>
          <w:color w:val="000000"/>
        </w:rPr>
        <w:t xml:space="preserve"> expansionary phase</w:t>
      </w:r>
      <w:r w:rsidR="007D6358">
        <w:rPr>
          <w:rFonts w:ascii="Times New Roman" w:hAnsi="Times New Roman" w:cs="Times New Roman"/>
          <w:color w:val="000000"/>
        </w:rPr>
        <w:t>,</w:t>
      </w:r>
      <w:r w:rsidR="007B6C95">
        <w:rPr>
          <w:rFonts w:ascii="Times New Roman" w:hAnsi="Times New Roman" w:cs="Times New Roman"/>
          <w:color w:val="000000"/>
        </w:rPr>
        <w:t xml:space="preserve"> hence,</w:t>
      </w:r>
      <w:r w:rsidR="000E75F8">
        <w:rPr>
          <w:rFonts w:ascii="Times New Roman" w:hAnsi="Times New Roman" w:cs="Times New Roman"/>
          <w:color w:val="000000" w:themeColor="text1"/>
        </w:rPr>
        <w:t xml:space="preserve"> </w:t>
      </w:r>
      <w:r w:rsidR="003A3F3B" w:rsidRPr="008E6E59">
        <w:rPr>
          <w:rFonts w:ascii="Times New Roman" w:hAnsi="Times New Roman" w:cs="Times New Roman"/>
          <w:color w:val="000000" w:themeColor="text1"/>
        </w:rPr>
        <w:t>indicating</w:t>
      </w:r>
      <w:r w:rsidR="008D567D" w:rsidRPr="008E6E59">
        <w:rPr>
          <w:rFonts w:ascii="Times New Roman" w:hAnsi="Times New Roman" w:cs="Times New Roman"/>
          <w:color w:val="000000" w:themeColor="text1"/>
        </w:rPr>
        <w:t xml:space="preserve"> a</w:t>
      </w:r>
      <w:r w:rsidR="002010BB" w:rsidRPr="008E6E59">
        <w:rPr>
          <w:rFonts w:ascii="Times New Roman" w:hAnsi="Times New Roman" w:cs="Times New Roman"/>
          <w:color w:val="000000" w:themeColor="text1"/>
        </w:rPr>
        <w:t xml:space="preserve"> Disyatat </w:t>
      </w:r>
      <w:r w:rsidR="00F87DD7" w:rsidRPr="008E6E59">
        <w:rPr>
          <w:rFonts w:ascii="Times New Roman" w:hAnsi="Times New Roman" w:cs="Times New Roman"/>
          <w:color w:val="000000" w:themeColor="text1"/>
        </w:rPr>
        <w:t>(</w:t>
      </w:r>
      <w:r w:rsidR="002010BB" w:rsidRPr="008E6E59">
        <w:rPr>
          <w:rFonts w:ascii="Times New Roman" w:hAnsi="Times New Roman" w:cs="Times New Roman"/>
          <w:color w:val="000000" w:themeColor="text1"/>
        </w:rPr>
        <w:t>2011</w:t>
      </w:r>
      <w:r w:rsidR="00F87DD7" w:rsidRPr="008E6E59">
        <w:rPr>
          <w:rFonts w:ascii="Times New Roman" w:hAnsi="Times New Roman" w:cs="Times New Roman"/>
          <w:color w:val="000000" w:themeColor="text1"/>
        </w:rPr>
        <w:t>)</w:t>
      </w:r>
      <w:r w:rsidR="002010BB" w:rsidRPr="008E6E59">
        <w:rPr>
          <w:rFonts w:ascii="Times New Roman" w:hAnsi="Times New Roman" w:cs="Times New Roman"/>
          <w:color w:val="000000" w:themeColor="text1"/>
        </w:rPr>
        <w:t xml:space="preserve"> type</w:t>
      </w:r>
      <w:r w:rsidR="003A3F3B" w:rsidRPr="008E6E59">
        <w:rPr>
          <w:rFonts w:ascii="Times New Roman" w:hAnsi="Times New Roman" w:cs="Times New Roman"/>
          <w:color w:val="000000" w:themeColor="text1"/>
        </w:rPr>
        <w:t xml:space="preserve"> B</w:t>
      </w:r>
      <w:r w:rsidR="00F768A8" w:rsidRPr="008E6E59">
        <w:rPr>
          <w:rFonts w:ascii="Times New Roman" w:hAnsi="Times New Roman" w:cs="Times New Roman"/>
          <w:color w:val="000000" w:themeColor="text1"/>
        </w:rPr>
        <w:t>LC</w:t>
      </w:r>
      <w:r w:rsidR="00DA13CC" w:rsidRPr="008E6E59">
        <w:rPr>
          <w:rFonts w:ascii="Times New Roman" w:hAnsi="Times New Roman" w:cs="Times New Roman"/>
          <w:color w:val="000000" w:themeColor="text1"/>
        </w:rPr>
        <w:t xml:space="preserve"> in normal economic times</w:t>
      </w:r>
      <w:r w:rsidR="00F768A8" w:rsidRPr="008E6E59">
        <w:rPr>
          <w:rFonts w:ascii="Times New Roman" w:hAnsi="Times New Roman" w:cs="Times New Roman"/>
          <w:color w:val="000000" w:themeColor="text1"/>
        </w:rPr>
        <w:t>.</w:t>
      </w:r>
      <w:r w:rsidR="00F768A8" w:rsidRPr="008E6E59">
        <w:rPr>
          <w:rFonts w:ascii="Times New Roman" w:hAnsi="Times New Roman" w:cs="Times New Roman"/>
          <w:color w:val="FF0000"/>
        </w:rPr>
        <w:t xml:space="preserve"> </w:t>
      </w:r>
      <w:r w:rsidR="007D4B3E" w:rsidRPr="008E6E59">
        <w:rPr>
          <w:rFonts w:ascii="Times New Roman" w:hAnsi="Times New Roman" w:cs="Times New Roman"/>
          <w:color w:val="000000"/>
        </w:rPr>
        <w:t>During</w:t>
      </w:r>
      <w:r w:rsidR="00340C3F">
        <w:rPr>
          <w:rFonts w:ascii="Times New Roman" w:hAnsi="Times New Roman" w:cs="Times New Roman"/>
          <w:color w:val="000000"/>
        </w:rPr>
        <w:t xml:space="preserve"> periods of</w:t>
      </w:r>
      <w:r w:rsidR="00D22600" w:rsidRPr="008E6E59">
        <w:rPr>
          <w:rFonts w:ascii="Times New Roman" w:hAnsi="Times New Roman" w:cs="Times New Roman"/>
          <w:color w:val="000000"/>
        </w:rPr>
        <w:t xml:space="preserve"> </w:t>
      </w:r>
      <w:r w:rsidR="00340C3F">
        <w:rPr>
          <w:rFonts w:ascii="Times New Roman" w:hAnsi="Times New Roman" w:cs="Times New Roman"/>
          <w:color w:val="000000"/>
        </w:rPr>
        <w:t>expansion</w:t>
      </w:r>
      <w:r w:rsidR="007D4B3E" w:rsidRPr="008E6E59">
        <w:rPr>
          <w:rFonts w:ascii="Times New Roman" w:hAnsi="Times New Roman" w:cs="Times New Roman"/>
          <w:color w:val="000000"/>
        </w:rPr>
        <w:t xml:space="preserve"> </w:t>
      </w:r>
      <w:r w:rsidR="00B81695" w:rsidRPr="008E6E59">
        <w:rPr>
          <w:rFonts w:ascii="Times New Roman" w:hAnsi="Times New Roman" w:cs="Times New Roman"/>
          <w:color w:val="000000"/>
        </w:rPr>
        <w:t xml:space="preserve">mortgage </w:t>
      </w:r>
      <w:r w:rsidR="00BE5EA3" w:rsidRPr="008E6E59">
        <w:rPr>
          <w:rFonts w:ascii="Times New Roman" w:hAnsi="Times New Roman" w:cs="Times New Roman"/>
          <w:color w:val="000000"/>
        </w:rPr>
        <w:t xml:space="preserve">default frequency is </w:t>
      </w:r>
      <w:r w:rsidR="007C2770" w:rsidRPr="008E6E59">
        <w:rPr>
          <w:rFonts w:ascii="Times New Roman" w:hAnsi="Times New Roman" w:cs="Times New Roman"/>
          <w:color w:val="000000"/>
        </w:rPr>
        <w:t>typically</w:t>
      </w:r>
      <w:r w:rsidR="0039597F" w:rsidRPr="008E6E59">
        <w:rPr>
          <w:rFonts w:ascii="Times New Roman" w:hAnsi="Times New Roman" w:cs="Times New Roman"/>
          <w:color w:val="000000"/>
        </w:rPr>
        <w:t xml:space="preserve"> low</w:t>
      </w:r>
      <w:r w:rsidR="00C67D59" w:rsidRPr="008E6E59">
        <w:rPr>
          <w:rFonts w:ascii="Times New Roman" w:hAnsi="Times New Roman" w:cs="Times New Roman"/>
          <w:color w:val="000000"/>
        </w:rPr>
        <w:t>.</w:t>
      </w:r>
      <w:r w:rsidR="0039597F" w:rsidRPr="008E6E59">
        <w:rPr>
          <w:rFonts w:ascii="Times New Roman" w:hAnsi="Times New Roman" w:cs="Times New Roman"/>
          <w:color w:val="000000"/>
        </w:rPr>
        <w:t xml:space="preserve"> </w:t>
      </w:r>
      <w:r w:rsidR="00C67D59" w:rsidRPr="008E6E59">
        <w:rPr>
          <w:rFonts w:ascii="Times New Roman" w:hAnsi="Times New Roman" w:cs="Times New Roman"/>
          <w:color w:val="000000"/>
        </w:rPr>
        <w:t>A</w:t>
      </w:r>
      <w:r w:rsidR="00A24791" w:rsidRPr="008E6E59">
        <w:rPr>
          <w:rFonts w:ascii="Times New Roman" w:hAnsi="Times New Roman" w:cs="Times New Roman"/>
          <w:color w:val="000000"/>
        </w:rPr>
        <w:t>n expansionary</w:t>
      </w:r>
      <w:r w:rsidR="00F14F80" w:rsidRPr="008E6E59">
        <w:rPr>
          <w:rFonts w:ascii="Times New Roman" w:hAnsi="Times New Roman" w:cs="Times New Roman"/>
          <w:color w:val="000000"/>
        </w:rPr>
        <w:t xml:space="preserve"> monetary policy</w:t>
      </w:r>
      <w:r w:rsidR="00444CD2" w:rsidRPr="008E6E59">
        <w:rPr>
          <w:rFonts w:ascii="Times New Roman" w:hAnsi="Times New Roman" w:cs="Times New Roman"/>
          <w:color w:val="000000"/>
        </w:rPr>
        <w:t xml:space="preserve"> shock during </w:t>
      </w:r>
      <w:r w:rsidR="00054511" w:rsidRPr="008E6E59">
        <w:rPr>
          <w:rFonts w:ascii="Times New Roman" w:hAnsi="Times New Roman" w:cs="Times New Roman"/>
          <w:color w:val="000000"/>
        </w:rPr>
        <w:t xml:space="preserve">this period </w:t>
      </w:r>
      <w:r w:rsidR="005769ED" w:rsidRPr="008E6E59">
        <w:rPr>
          <w:rFonts w:ascii="Times New Roman" w:hAnsi="Times New Roman" w:cs="Times New Roman"/>
          <w:color w:val="000000"/>
        </w:rPr>
        <w:t>increases</w:t>
      </w:r>
      <w:r w:rsidR="004D78D2" w:rsidRPr="008E6E59">
        <w:rPr>
          <w:rFonts w:ascii="Times New Roman" w:hAnsi="Times New Roman" w:cs="Times New Roman"/>
          <w:color w:val="000000"/>
        </w:rPr>
        <w:t xml:space="preserve"> </w:t>
      </w:r>
      <w:r w:rsidR="00600344" w:rsidRPr="008E6E59">
        <w:rPr>
          <w:rFonts w:ascii="Times New Roman" w:hAnsi="Times New Roman" w:cs="Times New Roman"/>
          <w:color w:val="000000"/>
        </w:rPr>
        <w:t>house</w:t>
      </w:r>
      <w:r w:rsidR="007D4B3E" w:rsidRPr="008E6E59">
        <w:rPr>
          <w:rFonts w:ascii="Times New Roman" w:hAnsi="Times New Roman" w:cs="Times New Roman"/>
          <w:color w:val="000000"/>
        </w:rPr>
        <w:t xml:space="preserve"> </w:t>
      </w:r>
      <w:r w:rsidR="00CD1216" w:rsidRPr="008E6E59">
        <w:rPr>
          <w:rFonts w:ascii="Times New Roman" w:hAnsi="Times New Roman" w:cs="Times New Roman"/>
          <w:color w:val="000000"/>
        </w:rPr>
        <w:t>prices</w:t>
      </w:r>
      <w:r w:rsidR="00AA7D30" w:rsidRPr="008E6E59">
        <w:rPr>
          <w:rFonts w:ascii="Times New Roman" w:hAnsi="Times New Roman" w:cs="Times New Roman"/>
          <w:color w:val="000000"/>
        </w:rPr>
        <w:t xml:space="preserve"> and</w:t>
      </w:r>
      <w:r w:rsidR="001C3788">
        <w:rPr>
          <w:rFonts w:ascii="Times New Roman" w:hAnsi="Times New Roman" w:cs="Times New Roman"/>
          <w:color w:val="000000"/>
        </w:rPr>
        <w:t xml:space="preserve"> </w:t>
      </w:r>
      <w:r w:rsidR="00A40D58" w:rsidRPr="008E6E59">
        <w:rPr>
          <w:rFonts w:ascii="Times New Roman" w:hAnsi="Times New Roman" w:cs="Times New Roman"/>
          <w:color w:val="000000"/>
        </w:rPr>
        <w:t>borrowers</w:t>
      </w:r>
      <w:r w:rsidR="00FC44B8">
        <w:rPr>
          <w:rFonts w:ascii="Times New Roman" w:hAnsi="Times New Roman" w:cs="Times New Roman"/>
          <w:color w:val="000000"/>
        </w:rPr>
        <w:t xml:space="preserve"> cash flow</w:t>
      </w:r>
      <w:r w:rsidR="00A17534" w:rsidRPr="008E6E59">
        <w:rPr>
          <w:rFonts w:ascii="Times New Roman" w:hAnsi="Times New Roman" w:cs="Times New Roman"/>
          <w:color w:val="000000"/>
        </w:rPr>
        <w:t>. This</w:t>
      </w:r>
      <w:r w:rsidR="00F05785">
        <w:rPr>
          <w:rFonts w:ascii="Times New Roman" w:hAnsi="Times New Roman" w:cs="Times New Roman"/>
          <w:color w:val="000000"/>
        </w:rPr>
        <w:t xml:space="preserve"> further</w:t>
      </w:r>
      <w:r w:rsidR="00777B7B" w:rsidRPr="008E6E59">
        <w:rPr>
          <w:rFonts w:ascii="Times New Roman" w:hAnsi="Times New Roman" w:cs="Times New Roman"/>
          <w:color w:val="000000"/>
        </w:rPr>
        <w:t xml:space="preserve"> </w:t>
      </w:r>
      <w:r w:rsidR="00512AE1" w:rsidRPr="008E6E59">
        <w:rPr>
          <w:rFonts w:ascii="Times New Roman" w:hAnsi="Times New Roman" w:cs="Times New Roman"/>
          <w:color w:val="000000"/>
        </w:rPr>
        <w:t>redu</w:t>
      </w:r>
      <w:r w:rsidR="00046677" w:rsidRPr="008E6E59">
        <w:rPr>
          <w:rFonts w:ascii="Times New Roman" w:hAnsi="Times New Roman" w:cs="Times New Roman"/>
          <w:color w:val="000000"/>
        </w:rPr>
        <w:t>c</w:t>
      </w:r>
      <w:r w:rsidR="00A17534" w:rsidRPr="008E6E59">
        <w:rPr>
          <w:rFonts w:ascii="Times New Roman" w:hAnsi="Times New Roman" w:cs="Times New Roman"/>
          <w:color w:val="000000"/>
        </w:rPr>
        <w:t>es</w:t>
      </w:r>
      <w:r w:rsidR="00391CC5" w:rsidRPr="008E6E59">
        <w:rPr>
          <w:rFonts w:ascii="Times New Roman" w:hAnsi="Times New Roman" w:cs="Times New Roman"/>
          <w:color w:val="000000"/>
        </w:rPr>
        <w:t xml:space="preserve"> </w:t>
      </w:r>
      <w:r w:rsidR="00D71E97" w:rsidRPr="008E6E59">
        <w:rPr>
          <w:rFonts w:ascii="Times New Roman" w:hAnsi="Times New Roman" w:cs="Times New Roman"/>
          <w:color w:val="000000"/>
        </w:rPr>
        <w:t>default</w:t>
      </w:r>
      <w:r w:rsidR="00391CC5" w:rsidRPr="008E6E59">
        <w:rPr>
          <w:rFonts w:ascii="Times New Roman" w:hAnsi="Times New Roman" w:cs="Times New Roman"/>
          <w:color w:val="000000"/>
        </w:rPr>
        <w:t xml:space="preserve"> </w:t>
      </w:r>
      <w:r w:rsidR="006B4C3A">
        <w:rPr>
          <w:rFonts w:ascii="Times New Roman" w:hAnsi="Times New Roman" w:cs="Times New Roman"/>
          <w:color w:val="000000"/>
        </w:rPr>
        <w:t>probability</w:t>
      </w:r>
      <w:r w:rsidR="00056552" w:rsidRPr="008E6E59">
        <w:rPr>
          <w:rFonts w:ascii="Times New Roman" w:hAnsi="Times New Roman" w:cs="Times New Roman"/>
          <w:color w:val="000000"/>
        </w:rPr>
        <w:t>,</w:t>
      </w:r>
      <w:r w:rsidR="00AA7D30" w:rsidRPr="008E6E59">
        <w:rPr>
          <w:rFonts w:ascii="Times New Roman" w:hAnsi="Times New Roman" w:cs="Times New Roman"/>
          <w:color w:val="000000"/>
        </w:rPr>
        <w:t xml:space="preserve"> </w:t>
      </w:r>
      <w:r w:rsidR="00813AD5" w:rsidRPr="008E6E59">
        <w:rPr>
          <w:rFonts w:ascii="Times New Roman" w:hAnsi="Times New Roman" w:cs="Times New Roman"/>
          <w:color w:val="000000"/>
        </w:rPr>
        <w:t>surg</w:t>
      </w:r>
      <w:r w:rsidR="008256CA">
        <w:rPr>
          <w:rFonts w:ascii="Times New Roman" w:hAnsi="Times New Roman" w:cs="Times New Roman"/>
          <w:color w:val="000000"/>
        </w:rPr>
        <w:t>es</w:t>
      </w:r>
      <w:r w:rsidR="00813AD5" w:rsidRPr="008E6E59">
        <w:rPr>
          <w:rFonts w:ascii="Times New Roman" w:hAnsi="Times New Roman" w:cs="Times New Roman"/>
          <w:color w:val="000000"/>
        </w:rPr>
        <w:t xml:space="preserve"> up</w:t>
      </w:r>
      <w:r w:rsidR="00CD1216" w:rsidRPr="008E6E59">
        <w:rPr>
          <w:rFonts w:ascii="Times New Roman" w:hAnsi="Times New Roman" w:cs="Times New Roman"/>
          <w:color w:val="000000"/>
        </w:rPr>
        <w:t xml:space="preserve"> </w:t>
      </w:r>
      <w:r w:rsidR="00F14F80" w:rsidRPr="008E6E59">
        <w:rPr>
          <w:rFonts w:ascii="Times New Roman" w:hAnsi="Times New Roman" w:cs="Times New Roman"/>
          <w:color w:val="000000"/>
        </w:rPr>
        <w:t>bank</w:t>
      </w:r>
      <w:r w:rsidR="00FC44B8">
        <w:rPr>
          <w:rFonts w:ascii="Times New Roman" w:hAnsi="Times New Roman" w:cs="Times New Roman"/>
          <w:color w:val="000000"/>
        </w:rPr>
        <w:t>s’</w:t>
      </w:r>
      <w:r w:rsidR="00F14F80" w:rsidRPr="008E6E59">
        <w:rPr>
          <w:rFonts w:ascii="Times New Roman" w:hAnsi="Times New Roman" w:cs="Times New Roman"/>
          <w:color w:val="000000"/>
        </w:rPr>
        <w:t xml:space="preserve"> net worth</w:t>
      </w:r>
      <w:r w:rsidR="00056552" w:rsidRPr="008E6E59">
        <w:rPr>
          <w:rFonts w:ascii="Times New Roman" w:hAnsi="Times New Roman" w:cs="Times New Roman"/>
          <w:color w:val="000000"/>
        </w:rPr>
        <w:t xml:space="preserve"> and</w:t>
      </w:r>
      <w:r w:rsidR="00444CD2" w:rsidRPr="008E6E59">
        <w:rPr>
          <w:rFonts w:ascii="Times New Roman" w:hAnsi="Times New Roman" w:cs="Times New Roman"/>
          <w:color w:val="000000"/>
        </w:rPr>
        <w:t xml:space="preserve"> </w:t>
      </w:r>
      <w:r w:rsidR="00BB02E7" w:rsidRPr="008E6E59">
        <w:rPr>
          <w:rFonts w:ascii="Times New Roman" w:hAnsi="Times New Roman" w:cs="Times New Roman"/>
          <w:color w:val="000000"/>
        </w:rPr>
        <w:t>subsequently</w:t>
      </w:r>
      <w:r w:rsidR="00841B1D" w:rsidRPr="008E6E59">
        <w:rPr>
          <w:rFonts w:ascii="Times New Roman" w:hAnsi="Times New Roman" w:cs="Times New Roman"/>
          <w:color w:val="000000"/>
        </w:rPr>
        <w:t xml:space="preserve"> assist</w:t>
      </w:r>
      <w:r w:rsidR="000A296F">
        <w:rPr>
          <w:rFonts w:ascii="Times New Roman" w:hAnsi="Times New Roman" w:cs="Times New Roman"/>
          <w:color w:val="000000"/>
        </w:rPr>
        <w:t>s</w:t>
      </w:r>
      <w:r w:rsidR="00841B1D" w:rsidRPr="008E6E59">
        <w:rPr>
          <w:rFonts w:ascii="Times New Roman" w:hAnsi="Times New Roman" w:cs="Times New Roman"/>
          <w:color w:val="000000"/>
        </w:rPr>
        <w:t xml:space="preserve"> </w:t>
      </w:r>
      <w:r w:rsidR="00813AD5" w:rsidRPr="008E6E59">
        <w:rPr>
          <w:rFonts w:ascii="Times New Roman" w:hAnsi="Times New Roman" w:cs="Times New Roman"/>
          <w:color w:val="000000"/>
        </w:rPr>
        <w:t>in reducing asymmetric information</w:t>
      </w:r>
      <w:r w:rsidR="00E779E3" w:rsidRPr="008E6E59">
        <w:rPr>
          <w:rFonts w:ascii="Times New Roman" w:hAnsi="Times New Roman" w:cs="Times New Roman"/>
          <w:color w:val="000000"/>
        </w:rPr>
        <w:t xml:space="preserve"> in the money marke</w:t>
      </w:r>
      <w:r w:rsidR="00AA7D30" w:rsidRPr="008E6E59">
        <w:rPr>
          <w:rFonts w:ascii="Times New Roman" w:hAnsi="Times New Roman" w:cs="Times New Roman"/>
          <w:color w:val="000000"/>
        </w:rPr>
        <w:t>t</w:t>
      </w:r>
      <w:r w:rsidR="00654570">
        <w:rPr>
          <w:rFonts w:ascii="Times New Roman" w:hAnsi="Times New Roman" w:cs="Times New Roman"/>
          <w:color w:val="000000"/>
        </w:rPr>
        <w:t>. Therefore,</w:t>
      </w:r>
      <w:r w:rsidR="007B6C95">
        <w:rPr>
          <w:rFonts w:ascii="Times New Roman" w:hAnsi="Times New Roman" w:cs="Times New Roman"/>
          <w:color w:val="000000"/>
        </w:rPr>
        <w:t xml:space="preserve"> result</w:t>
      </w:r>
      <w:r w:rsidR="00E919F1">
        <w:rPr>
          <w:rFonts w:ascii="Times New Roman" w:hAnsi="Times New Roman" w:cs="Times New Roman"/>
          <w:color w:val="000000"/>
        </w:rPr>
        <w:t>ing</w:t>
      </w:r>
      <w:r w:rsidR="007B6C95">
        <w:rPr>
          <w:rFonts w:ascii="Times New Roman" w:hAnsi="Times New Roman" w:cs="Times New Roman"/>
          <w:color w:val="000000"/>
        </w:rPr>
        <w:t xml:space="preserve"> in</w:t>
      </w:r>
      <w:r w:rsidR="00AA7D30" w:rsidRPr="008E6E59">
        <w:rPr>
          <w:rFonts w:ascii="Times New Roman" w:hAnsi="Times New Roman" w:cs="Times New Roman"/>
          <w:color w:val="000000"/>
        </w:rPr>
        <w:t xml:space="preserve"> </w:t>
      </w:r>
      <w:r w:rsidR="00813AD5" w:rsidRPr="008E6E59">
        <w:rPr>
          <w:rFonts w:ascii="Times New Roman" w:hAnsi="Times New Roman" w:cs="Times New Roman"/>
          <w:color w:val="000000"/>
        </w:rPr>
        <w:t xml:space="preserve">external finance premium </w:t>
      </w:r>
      <w:r w:rsidR="00AA7D30" w:rsidRPr="008E6E59">
        <w:rPr>
          <w:rFonts w:ascii="Times New Roman" w:hAnsi="Times New Roman" w:cs="Times New Roman"/>
          <w:color w:val="000000"/>
        </w:rPr>
        <w:t>to fall</w:t>
      </w:r>
      <w:r w:rsidR="00D9689A" w:rsidRPr="008E6E59">
        <w:rPr>
          <w:rFonts w:ascii="Times New Roman" w:hAnsi="Times New Roman" w:cs="Times New Roman"/>
          <w:color w:val="000000"/>
        </w:rPr>
        <w:t xml:space="preserve"> significantly</w:t>
      </w:r>
      <w:r w:rsidR="00813AD5" w:rsidRPr="008E6E59">
        <w:rPr>
          <w:rFonts w:ascii="Times New Roman" w:hAnsi="Times New Roman" w:cs="Times New Roman"/>
          <w:color w:val="000000"/>
        </w:rPr>
        <w:t>.</w:t>
      </w:r>
      <w:r w:rsidR="004F5FAA" w:rsidRPr="008E6E59">
        <w:rPr>
          <w:rFonts w:ascii="Times New Roman" w:hAnsi="Times New Roman" w:cs="Times New Roman"/>
          <w:color w:val="000000"/>
        </w:rPr>
        <w:t xml:space="preserve"> </w:t>
      </w:r>
      <w:r w:rsidR="007B6C95">
        <w:rPr>
          <w:rFonts w:ascii="Times New Roman" w:hAnsi="Times New Roman" w:cs="Times New Roman"/>
          <w:color w:val="000000"/>
        </w:rPr>
        <w:t xml:space="preserve"> On the </w:t>
      </w:r>
      <w:r w:rsidR="002C58E6">
        <w:rPr>
          <w:rFonts w:ascii="Times New Roman" w:hAnsi="Times New Roman" w:cs="Times New Roman"/>
          <w:color w:val="000000"/>
        </w:rPr>
        <w:t>c</w:t>
      </w:r>
      <w:r w:rsidR="004F5FAA" w:rsidRPr="008E6E59">
        <w:rPr>
          <w:rFonts w:ascii="Times New Roman" w:hAnsi="Times New Roman" w:cs="Times New Roman"/>
          <w:color w:val="000000"/>
        </w:rPr>
        <w:t>ontrary</w:t>
      </w:r>
      <w:r w:rsidR="002C58E6">
        <w:rPr>
          <w:rFonts w:ascii="Times New Roman" w:hAnsi="Times New Roman" w:cs="Times New Roman"/>
          <w:color w:val="000000"/>
        </w:rPr>
        <w:t>,</w:t>
      </w:r>
      <w:r w:rsidR="00AB2094" w:rsidRPr="008E6E59">
        <w:rPr>
          <w:rFonts w:ascii="Times New Roman" w:hAnsi="Times New Roman" w:cs="Times New Roman"/>
          <w:color w:val="000000"/>
        </w:rPr>
        <w:t xml:space="preserve"> </w:t>
      </w:r>
      <w:r w:rsidR="004F5FAA" w:rsidRPr="008E6E59">
        <w:rPr>
          <w:rFonts w:ascii="Times New Roman" w:hAnsi="Times New Roman" w:cs="Times New Roman"/>
          <w:color w:val="000000"/>
        </w:rPr>
        <w:t>in recession</w:t>
      </w:r>
      <w:r w:rsidR="006C7D94" w:rsidRPr="008E6E59">
        <w:rPr>
          <w:rFonts w:ascii="Times New Roman" w:hAnsi="Times New Roman" w:cs="Times New Roman"/>
          <w:color w:val="000000"/>
        </w:rPr>
        <w:t xml:space="preserve"> due to</w:t>
      </w:r>
      <w:r w:rsidR="00C21CF1" w:rsidRPr="008E6E59">
        <w:rPr>
          <w:rFonts w:ascii="Times New Roman" w:hAnsi="Times New Roman" w:cs="Times New Roman"/>
          <w:color w:val="000000"/>
        </w:rPr>
        <w:t xml:space="preserve"> the</w:t>
      </w:r>
      <w:r w:rsidR="006C7D94" w:rsidRPr="008E6E59">
        <w:rPr>
          <w:rFonts w:ascii="Times New Roman" w:hAnsi="Times New Roman" w:cs="Times New Roman"/>
          <w:color w:val="000000"/>
        </w:rPr>
        <w:t xml:space="preserve"> higher default </w:t>
      </w:r>
      <w:r w:rsidR="00C21CF1" w:rsidRPr="008E6E59">
        <w:rPr>
          <w:rFonts w:ascii="Times New Roman" w:hAnsi="Times New Roman" w:cs="Times New Roman"/>
          <w:color w:val="000000"/>
        </w:rPr>
        <w:t>rates among borrowers</w:t>
      </w:r>
      <w:r w:rsidR="004F5FAA" w:rsidRPr="008E6E59">
        <w:rPr>
          <w:rFonts w:ascii="Times New Roman" w:hAnsi="Times New Roman" w:cs="Times New Roman"/>
          <w:color w:val="000000"/>
        </w:rPr>
        <w:t xml:space="preserve"> tend to</w:t>
      </w:r>
      <w:r w:rsidR="00C21CF1" w:rsidRPr="008E6E59">
        <w:rPr>
          <w:rFonts w:ascii="Times New Roman" w:hAnsi="Times New Roman" w:cs="Times New Roman"/>
          <w:color w:val="000000"/>
        </w:rPr>
        <w:t xml:space="preserve"> make </w:t>
      </w:r>
      <w:r w:rsidR="00DB5E9F" w:rsidRPr="008E6E59">
        <w:rPr>
          <w:rFonts w:ascii="Times New Roman" w:hAnsi="Times New Roman" w:cs="Times New Roman"/>
          <w:color w:val="000000"/>
        </w:rPr>
        <w:t>banks</w:t>
      </w:r>
      <w:r w:rsidR="00D00D24">
        <w:rPr>
          <w:rFonts w:ascii="Times New Roman" w:hAnsi="Times New Roman" w:cs="Times New Roman"/>
          <w:color w:val="000000"/>
        </w:rPr>
        <w:t>’</w:t>
      </w:r>
      <w:r w:rsidR="00C21CF1" w:rsidRPr="008E6E59">
        <w:rPr>
          <w:rFonts w:ascii="Times New Roman" w:hAnsi="Times New Roman" w:cs="Times New Roman"/>
          <w:color w:val="000000"/>
        </w:rPr>
        <w:t xml:space="preserve"> balance sheet weak. </w:t>
      </w:r>
      <w:r w:rsidR="0081183A" w:rsidRPr="008E6E59">
        <w:rPr>
          <w:rFonts w:ascii="Times New Roman" w:hAnsi="Times New Roman" w:cs="Times New Roman"/>
          <w:color w:val="000000"/>
        </w:rPr>
        <w:t>T</w:t>
      </w:r>
      <w:r w:rsidR="00C21CF1" w:rsidRPr="008E6E59">
        <w:rPr>
          <w:rFonts w:ascii="Times New Roman" w:hAnsi="Times New Roman" w:cs="Times New Roman"/>
          <w:color w:val="000000"/>
        </w:rPr>
        <w:t xml:space="preserve">his </w:t>
      </w:r>
      <w:r w:rsidR="00280DB7" w:rsidRPr="008E6E59">
        <w:rPr>
          <w:rFonts w:ascii="Times New Roman" w:hAnsi="Times New Roman" w:cs="Times New Roman"/>
          <w:color w:val="000000"/>
        </w:rPr>
        <w:t>intensifies asymmetric</w:t>
      </w:r>
      <w:r w:rsidR="00C21CF1" w:rsidRPr="008E6E59">
        <w:rPr>
          <w:rFonts w:ascii="Times New Roman" w:hAnsi="Times New Roman" w:cs="Times New Roman"/>
          <w:color w:val="000000"/>
        </w:rPr>
        <w:t xml:space="preserve"> information problem</w:t>
      </w:r>
      <w:r w:rsidR="0030792E" w:rsidRPr="008E6E59">
        <w:rPr>
          <w:rFonts w:ascii="Times New Roman" w:hAnsi="Times New Roman" w:cs="Times New Roman"/>
          <w:color w:val="000000"/>
        </w:rPr>
        <w:t xml:space="preserve"> between money market participants </w:t>
      </w:r>
      <w:r w:rsidR="0081183A" w:rsidRPr="008E6E59">
        <w:rPr>
          <w:rFonts w:ascii="Times New Roman" w:hAnsi="Times New Roman" w:cs="Times New Roman"/>
          <w:color w:val="000000"/>
        </w:rPr>
        <w:t xml:space="preserve">and raises the external finance premium. </w:t>
      </w:r>
      <w:r w:rsidR="004E1649" w:rsidRPr="008E6E59">
        <w:rPr>
          <w:rFonts w:ascii="Times New Roman" w:hAnsi="Times New Roman" w:cs="Times New Roman"/>
          <w:color w:val="000000"/>
        </w:rPr>
        <w:t>Subject to the</w:t>
      </w:r>
      <w:r w:rsidR="00F30C12" w:rsidRPr="008E6E59">
        <w:rPr>
          <w:rFonts w:ascii="Times New Roman" w:hAnsi="Times New Roman" w:cs="Times New Roman"/>
          <w:color w:val="000000"/>
        </w:rPr>
        <w:t xml:space="preserve"> high levels of</w:t>
      </w:r>
      <w:r w:rsidR="006827BE" w:rsidRPr="008E6E59">
        <w:rPr>
          <w:rFonts w:ascii="Times New Roman" w:hAnsi="Times New Roman" w:cs="Times New Roman"/>
          <w:color w:val="000000"/>
        </w:rPr>
        <w:t xml:space="preserve"> asymmetric </w:t>
      </w:r>
      <w:r w:rsidR="00680AC5" w:rsidRPr="008E6E59">
        <w:rPr>
          <w:rFonts w:ascii="Times New Roman" w:hAnsi="Times New Roman" w:cs="Times New Roman"/>
          <w:color w:val="000000"/>
        </w:rPr>
        <w:t>information an</w:t>
      </w:r>
      <w:r w:rsidR="0081183A" w:rsidRPr="008E6E59">
        <w:rPr>
          <w:rFonts w:ascii="Times New Roman" w:hAnsi="Times New Roman" w:cs="Times New Roman"/>
          <w:color w:val="000000"/>
        </w:rPr>
        <w:t xml:space="preserve"> expansionary monetary policy</w:t>
      </w:r>
      <w:r w:rsidR="00280DB7">
        <w:rPr>
          <w:rFonts w:ascii="Times New Roman" w:hAnsi="Times New Roman" w:cs="Times New Roman"/>
          <w:color w:val="000000"/>
        </w:rPr>
        <w:t xml:space="preserve"> shock</w:t>
      </w:r>
      <w:r w:rsidR="0081183A" w:rsidRPr="008E6E59">
        <w:rPr>
          <w:rFonts w:ascii="Times New Roman" w:hAnsi="Times New Roman" w:cs="Times New Roman"/>
          <w:color w:val="000000"/>
        </w:rPr>
        <w:t xml:space="preserve"> of similar magnitude </w:t>
      </w:r>
      <w:r w:rsidR="00F30C12" w:rsidRPr="008E6E59">
        <w:rPr>
          <w:rFonts w:ascii="Times New Roman" w:hAnsi="Times New Roman" w:cs="Times New Roman"/>
          <w:color w:val="000000"/>
        </w:rPr>
        <w:t>tends</w:t>
      </w:r>
      <w:r w:rsidR="0081183A" w:rsidRPr="008E6E59">
        <w:rPr>
          <w:rFonts w:ascii="Times New Roman" w:hAnsi="Times New Roman" w:cs="Times New Roman"/>
          <w:color w:val="000000"/>
        </w:rPr>
        <w:t xml:space="preserve"> to</w:t>
      </w:r>
      <w:r w:rsidR="00F30C12" w:rsidRPr="008E6E59">
        <w:rPr>
          <w:rFonts w:ascii="Times New Roman" w:hAnsi="Times New Roman" w:cs="Times New Roman"/>
          <w:color w:val="000000"/>
        </w:rPr>
        <w:t xml:space="preserve"> be</w:t>
      </w:r>
      <w:r w:rsidR="006827BE" w:rsidRPr="008E6E59">
        <w:rPr>
          <w:rFonts w:ascii="Times New Roman" w:hAnsi="Times New Roman" w:cs="Times New Roman"/>
          <w:color w:val="000000"/>
        </w:rPr>
        <w:t xml:space="preserve"> less effec</w:t>
      </w:r>
      <w:r w:rsidR="00F37885" w:rsidRPr="008E6E59">
        <w:rPr>
          <w:rFonts w:ascii="Times New Roman" w:hAnsi="Times New Roman" w:cs="Times New Roman"/>
          <w:color w:val="000000"/>
        </w:rPr>
        <w:t xml:space="preserve">tive in reducing external finance premium during this period. The findings tend to corroborate with that of Bouis </w:t>
      </w:r>
      <w:r w:rsidR="00F37885" w:rsidRPr="007F1973">
        <w:rPr>
          <w:rFonts w:ascii="Times New Roman" w:hAnsi="Times New Roman" w:cs="Times New Roman"/>
          <w:color w:val="000000"/>
        </w:rPr>
        <w:t>et al.</w:t>
      </w:r>
      <w:r w:rsidR="00F37885" w:rsidRPr="008E6E59">
        <w:rPr>
          <w:rFonts w:ascii="Times New Roman" w:hAnsi="Times New Roman" w:cs="Times New Roman"/>
          <w:color w:val="000000"/>
        </w:rPr>
        <w:t xml:space="preserve"> </w:t>
      </w:r>
      <w:r w:rsidR="001353D9" w:rsidRPr="008E6E59">
        <w:rPr>
          <w:rFonts w:ascii="Times New Roman" w:hAnsi="Times New Roman" w:cs="Times New Roman"/>
          <w:color w:val="000000"/>
        </w:rPr>
        <w:t>(</w:t>
      </w:r>
      <w:r w:rsidR="00F37885" w:rsidRPr="008E6E59">
        <w:rPr>
          <w:rFonts w:ascii="Times New Roman" w:hAnsi="Times New Roman" w:cs="Times New Roman"/>
          <w:color w:val="000000"/>
        </w:rPr>
        <w:t>2014</w:t>
      </w:r>
      <w:r w:rsidR="001353D9" w:rsidRPr="008E6E59">
        <w:rPr>
          <w:rFonts w:ascii="Times New Roman" w:hAnsi="Times New Roman" w:cs="Times New Roman"/>
          <w:color w:val="000000"/>
        </w:rPr>
        <w:t>)</w:t>
      </w:r>
      <w:r w:rsidR="00F37885" w:rsidRPr="008E6E59">
        <w:rPr>
          <w:rFonts w:ascii="Times New Roman" w:hAnsi="Times New Roman" w:cs="Times New Roman"/>
          <w:color w:val="000000"/>
        </w:rPr>
        <w:t xml:space="preserve"> </w:t>
      </w:r>
      <w:r w:rsidR="007F1973">
        <w:rPr>
          <w:rFonts w:ascii="Times New Roman" w:hAnsi="Times New Roman" w:cs="Times New Roman"/>
          <w:color w:val="000000"/>
        </w:rPr>
        <w:t>and</w:t>
      </w:r>
      <w:r w:rsidR="00F37885" w:rsidRPr="008E6E59">
        <w:rPr>
          <w:rFonts w:ascii="Times New Roman" w:hAnsi="Times New Roman" w:cs="Times New Roman"/>
          <w:color w:val="000000"/>
        </w:rPr>
        <w:t xml:space="preserve"> </w:t>
      </w:r>
      <w:r w:rsidR="00DB5E9F" w:rsidRPr="00C846B5">
        <w:rPr>
          <w:rFonts w:ascii="Times New Roman" w:hAnsi="Times New Roman" w:cs="Times New Roman"/>
        </w:rPr>
        <w:t>Scanlon</w:t>
      </w:r>
      <w:r w:rsidR="00F37885" w:rsidRPr="00C846B5">
        <w:rPr>
          <w:rFonts w:ascii="Times New Roman" w:hAnsi="Times New Roman" w:cs="Times New Roman"/>
          <w:color w:val="000000"/>
        </w:rPr>
        <w:t xml:space="preserve"> </w:t>
      </w:r>
      <w:r w:rsidR="00DB5E9F" w:rsidRPr="00C846B5">
        <w:rPr>
          <w:rFonts w:ascii="Times New Roman" w:hAnsi="Times New Roman" w:cs="Times New Roman"/>
          <w:color w:val="000000"/>
        </w:rPr>
        <w:t>et al.</w:t>
      </w:r>
      <w:r w:rsidR="000E75F8" w:rsidRPr="00C846B5">
        <w:rPr>
          <w:rFonts w:ascii="Times New Roman" w:hAnsi="Times New Roman" w:cs="Times New Roman"/>
          <w:color w:val="000000"/>
        </w:rPr>
        <w:t xml:space="preserve"> </w:t>
      </w:r>
      <w:r w:rsidR="00F37885" w:rsidRPr="00C846B5">
        <w:rPr>
          <w:rFonts w:ascii="Times New Roman" w:hAnsi="Times New Roman" w:cs="Times New Roman"/>
          <w:color w:val="000000"/>
        </w:rPr>
        <w:t>(201</w:t>
      </w:r>
      <w:r w:rsidR="00126808" w:rsidRPr="00C846B5">
        <w:rPr>
          <w:rFonts w:ascii="Times New Roman" w:hAnsi="Times New Roman" w:cs="Times New Roman"/>
          <w:color w:val="000000"/>
        </w:rPr>
        <w:t>2</w:t>
      </w:r>
      <w:r w:rsidR="00F37885" w:rsidRPr="00C846B5">
        <w:rPr>
          <w:rFonts w:ascii="Times New Roman" w:hAnsi="Times New Roman" w:cs="Times New Roman"/>
          <w:color w:val="000000"/>
        </w:rPr>
        <w:t>)</w:t>
      </w:r>
      <w:r w:rsidR="00F37885" w:rsidRPr="008E6E59">
        <w:rPr>
          <w:rFonts w:ascii="Times New Roman" w:hAnsi="Times New Roman" w:cs="Times New Roman"/>
          <w:color w:val="000000"/>
        </w:rPr>
        <w:t xml:space="preserve"> who find traditional monetary policy was ineffective in reducing the money market spread during the 2008 financial crisis.</w:t>
      </w:r>
    </w:p>
    <w:p w14:paraId="07D083FD" w14:textId="0A0A8B49" w:rsidR="00DC44A4" w:rsidRPr="008E6E59" w:rsidRDefault="00F37885" w:rsidP="00057DBB">
      <w:pPr>
        <w:widowControl w:val="0"/>
        <w:autoSpaceDE w:val="0"/>
        <w:autoSpaceDN w:val="0"/>
        <w:adjustRightInd w:val="0"/>
        <w:spacing w:before="120" w:after="0" w:line="360" w:lineRule="auto"/>
        <w:ind w:right="90"/>
        <w:jc w:val="both"/>
        <w:outlineLvl w:val="0"/>
        <w:rPr>
          <w:rFonts w:ascii="Times New Roman" w:hAnsi="Times New Roman" w:cs="Times New Roman"/>
          <w:i/>
          <w:color w:val="000000"/>
        </w:rPr>
      </w:pPr>
      <w:r w:rsidRPr="008E6E59">
        <w:rPr>
          <w:rFonts w:ascii="Times New Roman" w:hAnsi="Times New Roman" w:cs="Times New Roman"/>
          <w:i/>
          <w:color w:val="000000"/>
        </w:rPr>
        <w:lastRenderedPageBreak/>
        <w:t>d)</w:t>
      </w:r>
      <w:r w:rsidR="00733321">
        <w:rPr>
          <w:rFonts w:ascii="Times New Roman" w:hAnsi="Times New Roman" w:cs="Times New Roman"/>
          <w:i/>
          <w:color w:val="000000"/>
        </w:rPr>
        <w:t xml:space="preserve"> </w:t>
      </w:r>
      <w:r w:rsidR="00F14F80" w:rsidRPr="008E6E59">
        <w:rPr>
          <w:rFonts w:ascii="Times New Roman" w:hAnsi="Times New Roman" w:cs="Times New Roman"/>
          <w:i/>
          <w:color w:val="000000"/>
        </w:rPr>
        <w:t>Fourth MSVAR</w:t>
      </w:r>
    </w:p>
    <w:p w14:paraId="6F7DA01F" w14:textId="6EB97B28" w:rsidR="00BE3BC9" w:rsidRPr="008E6E59" w:rsidRDefault="00D944AE" w:rsidP="00F25A4A">
      <w:pPr>
        <w:widowControl w:val="0"/>
        <w:autoSpaceDE w:val="0"/>
        <w:autoSpaceDN w:val="0"/>
        <w:adjustRightInd w:val="0"/>
        <w:spacing w:after="0" w:line="480" w:lineRule="auto"/>
        <w:ind w:right="90"/>
        <w:jc w:val="both"/>
        <w:rPr>
          <w:rFonts w:ascii="Times New Roman" w:hAnsi="Times New Roman" w:cs="Times New Roman"/>
          <w:color w:val="000000"/>
        </w:rPr>
      </w:pPr>
      <w:r>
        <w:rPr>
          <w:rFonts w:ascii="Times New Roman" w:hAnsi="Times New Roman" w:cs="Times New Roman"/>
          <w:color w:val="000000"/>
        </w:rPr>
        <w:t>R</w:t>
      </w:r>
      <w:r w:rsidR="00BC52D2" w:rsidRPr="008E6E59">
        <w:rPr>
          <w:rFonts w:ascii="Times New Roman" w:hAnsi="Times New Roman" w:cs="Times New Roman"/>
          <w:color w:val="000000"/>
        </w:rPr>
        <w:t>esponse</w:t>
      </w:r>
      <w:r w:rsidR="00692718">
        <w:rPr>
          <w:rFonts w:ascii="Times New Roman" w:hAnsi="Times New Roman" w:cs="Times New Roman"/>
          <w:color w:val="000000"/>
        </w:rPr>
        <w:t>s</w:t>
      </w:r>
      <w:r w:rsidR="00BC52D2" w:rsidRPr="008E6E59">
        <w:rPr>
          <w:rFonts w:ascii="Times New Roman" w:hAnsi="Times New Roman" w:cs="Times New Roman"/>
          <w:color w:val="000000"/>
        </w:rPr>
        <w:t xml:space="preserve"> of e</w:t>
      </w:r>
      <w:r w:rsidR="00962D4B" w:rsidRPr="008E6E59">
        <w:rPr>
          <w:rFonts w:ascii="Times New Roman" w:hAnsi="Times New Roman" w:cs="Times New Roman"/>
          <w:color w:val="000000"/>
        </w:rPr>
        <w:t>xpansionary monetary</w:t>
      </w:r>
      <w:r w:rsidR="006B7738" w:rsidRPr="008E6E59">
        <w:rPr>
          <w:rFonts w:ascii="Times New Roman" w:hAnsi="Times New Roman" w:cs="Times New Roman"/>
          <w:color w:val="000000"/>
        </w:rPr>
        <w:t xml:space="preserve"> policy shock</w:t>
      </w:r>
      <w:r w:rsidR="00692718">
        <w:rPr>
          <w:rFonts w:ascii="Times New Roman" w:hAnsi="Times New Roman" w:cs="Times New Roman"/>
          <w:color w:val="000000"/>
        </w:rPr>
        <w:t>s</w:t>
      </w:r>
      <w:r w:rsidR="006B7738" w:rsidRPr="008E6E59">
        <w:rPr>
          <w:rFonts w:ascii="Times New Roman" w:hAnsi="Times New Roman" w:cs="Times New Roman"/>
          <w:color w:val="000000"/>
        </w:rPr>
        <w:t xml:space="preserve"> from the fourth </w:t>
      </w:r>
      <w:r w:rsidR="00BE711A">
        <w:rPr>
          <w:rFonts w:ascii="Times New Roman" w:hAnsi="Times New Roman" w:cs="Times New Roman"/>
          <w:color w:val="000000"/>
        </w:rPr>
        <w:t>MSVAR</w:t>
      </w:r>
      <w:r w:rsidR="00962D4B" w:rsidRPr="008E6E59">
        <w:rPr>
          <w:rFonts w:ascii="Times New Roman" w:hAnsi="Times New Roman" w:cs="Times New Roman"/>
          <w:color w:val="000000"/>
        </w:rPr>
        <w:t xml:space="preserve"> are presented</w:t>
      </w:r>
      <w:r>
        <w:rPr>
          <w:rFonts w:ascii="Times New Roman" w:hAnsi="Times New Roman" w:cs="Times New Roman"/>
          <w:color w:val="000000"/>
        </w:rPr>
        <w:t xml:space="preserve"> in</w:t>
      </w:r>
      <w:r w:rsidR="00962D4B" w:rsidRPr="008E6E59">
        <w:rPr>
          <w:rFonts w:ascii="Times New Roman" w:hAnsi="Times New Roman" w:cs="Times New Roman"/>
          <w:color w:val="000000"/>
        </w:rPr>
        <w:t xml:space="preserve"> </w:t>
      </w:r>
      <w:r w:rsidR="00645EB3" w:rsidRPr="008E6E59">
        <w:rPr>
          <w:rFonts w:ascii="Times New Roman" w:hAnsi="Times New Roman" w:cs="Times New Roman"/>
          <w:color w:val="000000"/>
        </w:rPr>
        <w:t>Figure 2D</w:t>
      </w:r>
      <w:r w:rsidR="006549BF" w:rsidRPr="008E6E59">
        <w:rPr>
          <w:rFonts w:ascii="Times New Roman" w:hAnsi="Times New Roman" w:cs="Times New Roman"/>
          <w:color w:val="000000"/>
        </w:rPr>
        <w:t>.</w:t>
      </w:r>
      <w:r w:rsidR="007F1973">
        <w:rPr>
          <w:rFonts w:ascii="Times New Roman" w:hAnsi="Times New Roman" w:cs="Times New Roman"/>
          <w:color w:val="000000"/>
        </w:rPr>
        <w:t xml:space="preserve"> Like</w:t>
      </w:r>
      <w:r w:rsidR="00E1507C" w:rsidRPr="008E6E59">
        <w:rPr>
          <w:rFonts w:ascii="Times New Roman" w:hAnsi="Times New Roman" w:cs="Times New Roman"/>
          <w:color w:val="000000"/>
        </w:rPr>
        <w:t xml:space="preserve"> the</w:t>
      </w:r>
      <w:r w:rsidR="00BC52D2" w:rsidRPr="008E6E59">
        <w:rPr>
          <w:rFonts w:ascii="Times New Roman" w:hAnsi="Times New Roman" w:cs="Times New Roman"/>
          <w:color w:val="000000"/>
        </w:rPr>
        <w:t xml:space="preserve"> earlier models</w:t>
      </w:r>
      <w:r w:rsidR="00F14F80" w:rsidRPr="008E6E59">
        <w:rPr>
          <w:rFonts w:ascii="Times New Roman" w:hAnsi="Times New Roman" w:cs="Times New Roman"/>
          <w:color w:val="000000"/>
        </w:rPr>
        <w:t xml:space="preserve"> the impact of expansionary monetary policy</w:t>
      </w:r>
      <w:r w:rsidR="009F5B88">
        <w:rPr>
          <w:rFonts w:ascii="Times New Roman" w:hAnsi="Times New Roman" w:cs="Times New Roman"/>
          <w:color w:val="000000"/>
        </w:rPr>
        <w:t xml:space="preserve"> shock</w:t>
      </w:r>
      <w:r w:rsidR="00F14F80" w:rsidRPr="008E6E59">
        <w:rPr>
          <w:rFonts w:ascii="Times New Roman" w:hAnsi="Times New Roman" w:cs="Times New Roman"/>
          <w:color w:val="000000"/>
        </w:rPr>
        <w:t xml:space="preserve"> on </w:t>
      </w:r>
      <w:r w:rsidR="00BD56B6" w:rsidRPr="008E6E59">
        <w:rPr>
          <w:rFonts w:ascii="Times New Roman" w:hAnsi="Times New Roman" w:cs="Times New Roman"/>
          <w:i/>
          <w:color w:val="000000"/>
        </w:rPr>
        <w:sym w:font="Symbol" w:char="F044"/>
      </w:r>
      <w:r w:rsidR="00F14F80" w:rsidRPr="008E6E59">
        <w:rPr>
          <w:rFonts w:ascii="Times New Roman" w:hAnsi="Times New Roman" w:cs="Times New Roman"/>
          <w:i/>
          <w:color w:val="000000"/>
        </w:rPr>
        <w:t xml:space="preserve">gdp and </w:t>
      </w:r>
      <w:r w:rsidR="00BD56B6" w:rsidRPr="008E6E59">
        <w:rPr>
          <w:rFonts w:ascii="Times New Roman" w:hAnsi="Times New Roman" w:cs="Times New Roman"/>
          <w:i/>
          <w:color w:val="000000"/>
        </w:rPr>
        <w:sym w:font="Symbol" w:char="F044"/>
      </w:r>
      <w:r w:rsidR="00BC52D2" w:rsidRPr="008E6E59">
        <w:rPr>
          <w:rFonts w:ascii="Times New Roman" w:hAnsi="Times New Roman" w:cs="Times New Roman"/>
          <w:i/>
          <w:color w:val="000000"/>
        </w:rPr>
        <w:t>house price</w:t>
      </w:r>
      <w:r w:rsidR="00E1507C" w:rsidRPr="008E6E59">
        <w:rPr>
          <w:rFonts w:ascii="Times New Roman" w:hAnsi="Times New Roman" w:cs="Times New Roman"/>
          <w:color w:val="000000"/>
        </w:rPr>
        <w:t xml:space="preserve"> </w:t>
      </w:r>
      <w:r w:rsidR="00CD1803" w:rsidRPr="008E6E59">
        <w:rPr>
          <w:rFonts w:ascii="Times New Roman" w:hAnsi="Times New Roman" w:cs="Times New Roman"/>
          <w:color w:val="000000"/>
        </w:rPr>
        <w:t>is</w:t>
      </w:r>
      <w:r w:rsidR="00F14F80" w:rsidRPr="008E6E59">
        <w:rPr>
          <w:rFonts w:ascii="Times New Roman" w:hAnsi="Times New Roman" w:cs="Times New Roman"/>
          <w:color w:val="000000"/>
        </w:rPr>
        <w:t xml:space="preserve"> large</w:t>
      </w:r>
      <w:r w:rsidR="009F5B88">
        <w:rPr>
          <w:rFonts w:ascii="Times New Roman" w:hAnsi="Times New Roman" w:cs="Times New Roman"/>
          <w:color w:val="000000"/>
        </w:rPr>
        <w:t>r and</w:t>
      </w:r>
      <w:r w:rsidR="00F14F80" w:rsidRPr="008E6E59">
        <w:rPr>
          <w:rFonts w:ascii="Times New Roman" w:hAnsi="Times New Roman" w:cs="Times New Roman"/>
          <w:color w:val="000000"/>
        </w:rPr>
        <w:t xml:space="preserve"> persistent during </w:t>
      </w:r>
      <w:r w:rsidR="00BC52D2" w:rsidRPr="008E6E59">
        <w:rPr>
          <w:rFonts w:ascii="Times New Roman" w:hAnsi="Times New Roman" w:cs="Times New Roman"/>
          <w:color w:val="000000"/>
        </w:rPr>
        <w:t xml:space="preserve">periods of </w:t>
      </w:r>
      <w:r w:rsidR="000C46D1" w:rsidRPr="008E6E59">
        <w:rPr>
          <w:rFonts w:ascii="Times New Roman" w:hAnsi="Times New Roman" w:cs="Times New Roman"/>
          <w:color w:val="000000"/>
        </w:rPr>
        <w:t xml:space="preserve">economic </w:t>
      </w:r>
      <w:r w:rsidR="00BC52D2" w:rsidRPr="008E6E59">
        <w:rPr>
          <w:rFonts w:ascii="Times New Roman" w:hAnsi="Times New Roman" w:cs="Times New Roman"/>
          <w:color w:val="000000"/>
        </w:rPr>
        <w:t>expansion</w:t>
      </w:r>
      <w:r w:rsidR="000647C9" w:rsidRPr="008E6E59">
        <w:rPr>
          <w:rFonts w:ascii="Times New Roman" w:hAnsi="Times New Roman" w:cs="Times New Roman"/>
          <w:color w:val="000000"/>
        </w:rPr>
        <w:t xml:space="preserve">. </w:t>
      </w:r>
      <w:r w:rsidR="000647C9" w:rsidRPr="00FC28FC">
        <w:rPr>
          <w:rFonts w:ascii="Times New Roman" w:hAnsi="Times New Roman" w:cs="Times New Roman"/>
          <w:color w:val="000000"/>
        </w:rPr>
        <w:t>Examining the response of</w:t>
      </w:r>
      <w:r w:rsidR="00F14F80" w:rsidRPr="00FC28FC">
        <w:rPr>
          <w:rFonts w:ascii="Times New Roman" w:hAnsi="Times New Roman" w:cs="Times New Roman"/>
          <w:color w:val="000000"/>
        </w:rPr>
        <w:t xml:space="preserve"> </w:t>
      </w:r>
      <w:r w:rsidR="00C67FC2" w:rsidRPr="00FC28FC">
        <w:rPr>
          <w:rFonts w:ascii="Times New Roman" w:hAnsi="Times New Roman" w:cs="Times New Roman"/>
          <w:color w:val="000000"/>
        </w:rPr>
        <w:t xml:space="preserve">the </w:t>
      </w:r>
      <w:r w:rsidR="00C67FC2" w:rsidRPr="00FC28FC">
        <w:rPr>
          <w:rFonts w:ascii="Times New Roman" w:hAnsi="Times New Roman" w:cs="Times New Roman"/>
          <w:i/>
          <w:color w:val="000000"/>
        </w:rPr>
        <w:t>mix</w:t>
      </w:r>
      <w:r w:rsidR="00692718" w:rsidRPr="00FC28FC">
        <w:rPr>
          <w:rFonts w:ascii="Times New Roman" w:hAnsi="Times New Roman" w:cs="Times New Roman"/>
          <w:iCs/>
          <w:color w:val="000000"/>
        </w:rPr>
        <w:t xml:space="preserve"> </w:t>
      </w:r>
      <w:r w:rsidR="00542671" w:rsidRPr="00FC28FC">
        <w:rPr>
          <w:rFonts w:ascii="Times New Roman" w:hAnsi="Times New Roman" w:cs="Times New Roman"/>
          <w:iCs/>
          <w:color w:val="000000"/>
        </w:rPr>
        <w:t xml:space="preserve">to </w:t>
      </w:r>
      <w:r w:rsidR="00692718" w:rsidRPr="00FC28FC">
        <w:rPr>
          <w:rFonts w:ascii="Times New Roman" w:hAnsi="Times New Roman" w:cs="Times New Roman"/>
          <w:color w:val="000000"/>
        </w:rPr>
        <w:t>expansionary monetary policy shock</w:t>
      </w:r>
      <w:r w:rsidR="00542671" w:rsidRPr="00FC28FC">
        <w:rPr>
          <w:rFonts w:ascii="Times New Roman" w:hAnsi="Times New Roman" w:cs="Times New Roman"/>
          <w:color w:val="000000"/>
        </w:rPr>
        <w:t xml:space="preserve"> illustrate</w:t>
      </w:r>
      <w:r w:rsidR="00E45069">
        <w:rPr>
          <w:rFonts w:ascii="Times New Roman" w:hAnsi="Times New Roman" w:cs="Times New Roman"/>
          <w:color w:val="000000"/>
        </w:rPr>
        <w:t>s</w:t>
      </w:r>
      <w:r w:rsidR="00F14F80" w:rsidRPr="00FC28FC">
        <w:rPr>
          <w:rFonts w:ascii="Times New Roman" w:hAnsi="Times New Roman" w:cs="Times New Roman"/>
          <w:color w:val="000000"/>
        </w:rPr>
        <w:t xml:space="preserve"> in</w:t>
      </w:r>
      <w:r w:rsidR="00542671" w:rsidRPr="00FC28FC">
        <w:rPr>
          <w:rFonts w:ascii="Times New Roman" w:hAnsi="Times New Roman" w:cs="Times New Roman"/>
          <w:color w:val="000000"/>
        </w:rPr>
        <w:t xml:space="preserve"> both</w:t>
      </w:r>
      <w:r w:rsidR="00D717F8" w:rsidRPr="00FC28FC">
        <w:rPr>
          <w:rFonts w:ascii="Times New Roman" w:hAnsi="Times New Roman" w:cs="Times New Roman"/>
          <w:color w:val="000000"/>
        </w:rPr>
        <w:t xml:space="preserve"> phase</w:t>
      </w:r>
      <w:r w:rsidR="00E45069">
        <w:rPr>
          <w:rFonts w:ascii="Times New Roman" w:hAnsi="Times New Roman" w:cs="Times New Roman"/>
          <w:color w:val="000000"/>
        </w:rPr>
        <w:t>s</w:t>
      </w:r>
      <w:r w:rsidR="00F14F80" w:rsidRPr="00FC28FC">
        <w:rPr>
          <w:rFonts w:ascii="Times New Roman" w:hAnsi="Times New Roman" w:cs="Times New Roman"/>
          <w:color w:val="000000"/>
        </w:rPr>
        <w:t xml:space="preserve"> the </w:t>
      </w:r>
      <w:r w:rsidR="00542671" w:rsidRPr="00FC28FC">
        <w:rPr>
          <w:rFonts w:ascii="Times New Roman" w:hAnsi="Times New Roman" w:cs="Times New Roman"/>
          <w:color w:val="000000"/>
        </w:rPr>
        <w:t>response is</w:t>
      </w:r>
      <w:r w:rsidR="00F14F80" w:rsidRPr="00FC28FC">
        <w:rPr>
          <w:rFonts w:ascii="Times New Roman" w:hAnsi="Times New Roman" w:cs="Times New Roman"/>
          <w:color w:val="000000"/>
        </w:rPr>
        <w:t xml:space="preserve"> significant</w:t>
      </w:r>
      <w:r w:rsidR="00F14F80" w:rsidRPr="008E6E59">
        <w:rPr>
          <w:rFonts w:ascii="Times New Roman" w:hAnsi="Times New Roman" w:cs="Times New Roman"/>
          <w:color w:val="000000"/>
        </w:rPr>
        <w:t xml:space="preserve">. However, the magnitude of shock is much larger and more persistent during </w:t>
      </w:r>
      <w:r w:rsidR="0083017A" w:rsidRPr="008E6E59">
        <w:rPr>
          <w:rFonts w:ascii="Times New Roman" w:hAnsi="Times New Roman" w:cs="Times New Roman"/>
          <w:color w:val="000000"/>
        </w:rPr>
        <w:t>expansionary</w:t>
      </w:r>
      <w:r w:rsidR="00F14F80" w:rsidRPr="008E6E59">
        <w:rPr>
          <w:rFonts w:ascii="Times New Roman" w:hAnsi="Times New Roman" w:cs="Times New Roman"/>
          <w:color w:val="000000"/>
        </w:rPr>
        <w:t xml:space="preserve"> </w:t>
      </w:r>
      <w:r w:rsidR="00150D8E">
        <w:rPr>
          <w:rFonts w:ascii="Times New Roman" w:hAnsi="Times New Roman" w:cs="Times New Roman"/>
          <w:color w:val="000000"/>
        </w:rPr>
        <w:t>period</w:t>
      </w:r>
      <w:r w:rsidR="00A35C63" w:rsidRPr="008E6E59">
        <w:rPr>
          <w:rFonts w:ascii="Times New Roman" w:hAnsi="Times New Roman" w:cs="Times New Roman"/>
          <w:color w:val="000000"/>
        </w:rPr>
        <w:t>.</w:t>
      </w:r>
      <w:r w:rsidR="00282B50" w:rsidRPr="008E6E59">
        <w:rPr>
          <w:rFonts w:ascii="Times New Roman" w:hAnsi="Times New Roman" w:cs="Times New Roman"/>
          <w:color w:val="000000"/>
        </w:rPr>
        <w:t xml:space="preserve"> </w:t>
      </w:r>
      <w:r w:rsidR="0011302C" w:rsidRPr="008E6E59">
        <w:rPr>
          <w:rFonts w:ascii="Times New Roman" w:hAnsi="Times New Roman" w:cs="Times New Roman"/>
          <w:color w:val="000000"/>
        </w:rPr>
        <w:t>The signi</w:t>
      </w:r>
      <w:r w:rsidR="00466CA8" w:rsidRPr="008E6E59">
        <w:rPr>
          <w:rFonts w:ascii="Times New Roman" w:hAnsi="Times New Roman" w:cs="Times New Roman"/>
          <w:color w:val="000000"/>
        </w:rPr>
        <w:t>ficant</w:t>
      </w:r>
      <w:r w:rsidR="00430999" w:rsidRPr="008E6E59">
        <w:rPr>
          <w:rFonts w:ascii="Times New Roman" w:hAnsi="Times New Roman" w:cs="Times New Roman"/>
          <w:color w:val="000000"/>
        </w:rPr>
        <w:t xml:space="preserve"> </w:t>
      </w:r>
      <w:r w:rsidR="00466CA8" w:rsidRPr="008E6E59">
        <w:rPr>
          <w:rFonts w:ascii="Times New Roman" w:hAnsi="Times New Roman" w:cs="Times New Roman"/>
          <w:color w:val="000000"/>
        </w:rPr>
        <w:t xml:space="preserve">increase </w:t>
      </w:r>
      <w:r w:rsidR="00367F9A" w:rsidRPr="008E6E59">
        <w:rPr>
          <w:rFonts w:ascii="Times New Roman" w:hAnsi="Times New Roman" w:cs="Times New Roman"/>
          <w:color w:val="000000"/>
        </w:rPr>
        <w:t>o</w:t>
      </w:r>
      <w:r w:rsidR="00AF478D" w:rsidRPr="008E6E59">
        <w:rPr>
          <w:rFonts w:ascii="Times New Roman" w:hAnsi="Times New Roman" w:cs="Times New Roman"/>
          <w:color w:val="000000"/>
        </w:rPr>
        <w:t>f this</w:t>
      </w:r>
      <w:r w:rsidR="005306B7" w:rsidRPr="008E6E59">
        <w:rPr>
          <w:rFonts w:ascii="Times New Roman" w:hAnsi="Times New Roman" w:cs="Times New Roman"/>
          <w:color w:val="000000"/>
        </w:rPr>
        <w:t xml:space="preserve"> </w:t>
      </w:r>
      <w:r w:rsidR="005306B7" w:rsidRPr="008E6E59">
        <w:rPr>
          <w:rFonts w:ascii="Times New Roman" w:hAnsi="Times New Roman" w:cs="Times New Roman"/>
          <w:i/>
          <w:color w:val="000000"/>
        </w:rPr>
        <w:t>mix</w:t>
      </w:r>
      <w:r w:rsidR="005306B7" w:rsidRPr="008E6E59">
        <w:rPr>
          <w:rFonts w:ascii="Times New Roman" w:hAnsi="Times New Roman" w:cs="Times New Roman"/>
          <w:color w:val="000000"/>
        </w:rPr>
        <w:t xml:space="preserve"> illustrates</w:t>
      </w:r>
      <w:r w:rsidR="00036624" w:rsidRPr="008E6E59">
        <w:rPr>
          <w:rFonts w:ascii="Times New Roman" w:hAnsi="Times New Roman" w:cs="Times New Roman"/>
          <w:color w:val="000000"/>
        </w:rPr>
        <w:t xml:space="preserve"> the relative increase in </w:t>
      </w:r>
      <w:r w:rsidR="00C834F8" w:rsidRPr="008E6E59">
        <w:rPr>
          <w:rFonts w:ascii="Times New Roman" w:hAnsi="Times New Roman" w:cs="Times New Roman"/>
          <w:color w:val="000000"/>
        </w:rPr>
        <w:t xml:space="preserve">the mortgage supply by </w:t>
      </w:r>
      <w:r w:rsidR="00334218" w:rsidRPr="008E6E59">
        <w:rPr>
          <w:rFonts w:ascii="Times New Roman" w:hAnsi="Times New Roman" w:cs="Times New Roman"/>
          <w:color w:val="000000"/>
        </w:rPr>
        <w:t>depository institution</w:t>
      </w:r>
      <w:r w:rsidR="00036624" w:rsidRPr="008E6E59">
        <w:rPr>
          <w:rFonts w:ascii="Times New Roman" w:hAnsi="Times New Roman" w:cs="Times New Roman"/>
          <w:color w:val="000000"/>
        </w:rPr>
        <w:t>s</w:t>
      </w:r>
      <w:r w:rsidR="007941A0" w:rsidRPr="008E6E59">
        <w:rPr>
          <w:rFonts w:ascii="Times New Roman" w:hAnsi="Times New Roman" w:cs="Times New Roman"/>
          <w:color w:val="000000"/>
        </w:rPr>
        <w:t xml:space="preserve"> over</w:t>
      </w:r>
      <w:r w:rsidR="00C834F8" w:rsidRPr="008E6E59">
        <w:rPr>
          <w:rFonts w:ascii="Times New Roman" w:hAnsi="Times New Roman" w:cs="Times New Roman"/>
          <w:color w:val="000000"/>
        </w:rPr>
        <w:t xml:space="preserve"> non-depository </w:t>
      </w:r>
      <w:r w:rsidR="00B80540" w:rsidRPr="008E6E59">
        <w:rPr>
          <w:rFonts w:ascii="Times New Roman" w:hAnsi="Times New Roman" w:cs="Times New Roman"/>
          <w:color w:val="000000"/>
        </w:rPr>
        <w:t>market-based</w:t>
      </w:r>
      <w:r w:rsidR="00C834F8" w:rsidRPr="008E6E59">
        <w:rPr>
          <w:rFonts w:ascii="Times New Roman" w:hAnsi="Times New Roman" w:cs="Times New Roman"/>
          <w:color w:val="000000"/>
        </w:rPr>
        <w:t xml:space="preserve"> institution,</w:t>
      </w:r>
      <w:r w:rsidR="0070323C" w:rsidRPr="008E6E59">
        <w:rPr>
          <w:rFonts w:ascii="Times New Roman" w:hAnsi="Times New Roman" w:cs="Times New Roman"/>
          <w:color w:val="000000"/>
        </w:rPr>
        <w:t xml:space="preserve"> after an expansionary monetary policy shock.</w:t>
      </w:r>
      <w:r w:rsidR="00466CA8" w:rsidRPr="008E6E59">
        <w:rPr>
          <w:rFonts w:ascii="Times New Roman" w:hAnsi="Times New Roman" w:cs="Times New Roman"/>
          <w:color w:val="000000"/>
        </w:rPr>
        <w:t xml:space="preserve"> The larger magnitude of the shock</w:t>
      </w:r>
      <w:r w:rsidR="007C2416" w:rsidRPr="008E6E59">
        <w:rPr>
          <w:rFonts w:ascii="Times New Roman" w:hAnsi="Times New Roman" w:cs="Times New Roman"/>
          <w:color w:val="000000"/>
        </w:rPr>
        <w:t xml:space="preserve"> during </w:t>
      </w:r>
      <w:r w:rsidR="00FF01F0" w:rsidRPr="008E6E59">
        <w:rPr>
          <w:rFonts w:ascii="Times New Roman" w:hAnsi="Times New Roman" w:cs="Times New Roman"/>
          <w:color w:val="000000"/>
        </w:rPr>
        <w:t>the</w:t>
      </w:r>
      <w:r w:rsidR="007C2416" w:rsidRPr="008E6E59">
        <w:rPr>
          <w:rFonts w:ascii="Times New Roman" w:hAnsi="Times New Roman" w:cs="Times New Roman"/>
          <w:color w:val="000000"/>
        </w:rPr>
        <w:t xml:space="preserve"> expansion</w:t>
      </w:r>
      <w:r w:rsidR="006D2036" w:rsidRPr="008E6E59">
        <w:rPr>
          <w:rFonts w:ascii="Times New Roman" w:hAnsi="Times New Roman" w:cs="Times New Roman"/>
          <w:color w:val="000000"/>
        </w:rPr>
        <w:t>ary phase of the business cycle</w:t>
      </w:r>
      <w:r w:rsidR="00466CA8" w:rsidRPr="008E6E59">
        <w:rPr>
          <w:rFonts w:ascii="Times New Roman" w:hAnsi="Times New Roman" w:cs="Times New Roman"/>
          <w:color w:val="000000"/>
        </w:rPr>
        <w:t xml:space="preserve"> </w:t>
      </w:r>
      <w:r w:rsidR="00F37BB4" w:rsidRPr="008E6E59">
        <w:rPr>
          <w:rFonts w:ascii="Times New Roman" w:hAnsi="Times New Roman" w:cs="Times New Roman"/>
          <w:color w:val="000000"/>
        </w:rPr>
        <w:t>can be attributed to</w:t>
      </w:r>
      <w:r w:rsidR="001C3153" w:rsidRPr="008E6E59">
        <w:rPr>
          <w:rFonts w:ascii="Times New Roman" w:hAnsi="Times New Roman" w:cs="Times New Roman"/>
          <w:color w:val="000000"/>
        </w:rPr>
        <w:t xml:space="preserve"> </w:t>
      </w:r>
      <w:r w:rsidR="00F37BB4" w:rsidRPr="008E6E59">
        <w:rPr>
          <w:rFonts w:ascii="Times New Roman" w:hAnsi="Times New Roman" w:cs="Times New Roman"/>
          <w:color w:val="000000"/>
        </w:rPr>
        <w:t>better</w:t>
      </w:r>
      <w:r w:rsidR="001C3153" w:rsidRPr="008E6E59">
        <w:rPr>
          <w:rFonts w:ascii="Times New Roman" w:hAnsi="Times New Roman" w:cs="Times New Roman"/>
          <w:color w:val="000000"/>
        </w:rPr>
        <w:t xml:space="preserve"> </w:t>
      </w:r>
      <w:r w:rsidR="00876AA3" w:rsidRPr="008E6E59">
        <w:rPr>
          <w:rFonts w:ascii="Times New Roman" w:hAnsi="Times New Roman" w:cs="Times New Roman"/>
          <w:color w:val="000000"/>
        </w:rPr>
        <w:t>access</w:t>
      </w:r>
      <w:r w:rsidR="00B65D52" w:rsidRPr="008E6E59">
        <w:rPr>
          <w:rFonts w:ascii="Times New Roman" w:hAnsi="Times New Roman" w:cs="Times New Roman"/>
          <w:color w:val="000000"/>
        </w:rPr>
        <w:t xml:space="preserve"> </w:t>
      </w:r>
      <w:r w:rsidR="006D2036" w:rsidRPr="008E6E59">
        <w:rPr>
          <w:rFonts w:ascii="Times New Roman" w:hAnsi="Times New Roman" w:cs="Times New Roman"/>
          <w:color w:val="000000"/>
        </w:rPr>
        <w:t>of</w:t>
      </w:r>
      <w:r w:rsidR="00876AA3" w:rsidRPr="008E6E59">
        <w:rPr>
          <w:rFonts w:ascii="Times New Roman" w:hAnsi="Times New Roman" w:cs="Times New Roman"/>
          <w:color w:val="000000"/>
        </w:rPr>
        <w:t xml:space="preserve"> </w:t>
      </w:r>
      <w:r w:rsidR="00E608F2" w:rsidRPr="008E6E59">
        <w:rPr>
          <w:rFonts w:ascii="Times New Roman" w:hAnsi="Times New Roman" w:cs="Times New Roman"/>
          <w:color w:val="000000"/>
        </w:rPr>
        <w:t>liquid funds</w:t>
      </w:r>
      <w:r w:rsidR="00F37BB4" w:rsidRPr="008E6E59">
        <w:rPr>
          <w:rFonts w:ascii="Times New Roman" w:hAnsi="Times New Roman" w:cs="Times New Roman"/>
          <w:color w:val="000000"/>
        </w:rPr>
        <w:t xml:space="preserve"> </w:t>
      </w:r>
      <w:r w:rsidR="00B65D52" w:rsidRPr="008E6E59">
        <w:rPr>
          <w:rFonts w:ascii="Times New Roman" w:hAnsi="Times New Roman" w:cs="Times New Roman"/>
          <w:color w:val="000000"/>
        </w:rPr>
        <w:t>(</w:t>
      </w:r>
      <w:r w:rsidR="007C2416" w:rsidRPr="008E6E59">
        <w:rPr>
          <w:rFonts w:ascii="Times New Roman" w:hAnsi="Times New Roman" w:cs="Times New Roman"/>
          <w:color w:val="000000"/>
        </w:rPr>
        <w:t xml:space="preserve">either </w:t>
      </w:r>
      <w:r w:rsidR="00F37BB4" w:rsidRPr="008E6E59">
        <w:rPr>
          <w:rFonts w:ascii="Times New Roman" w:hAnsi="Times New Roman" w:cs="Times New Roman"/>
          <w:color w:val="000000"/>
        </w:rPr>
        <w:t>from retail deposi</w:t>
      </w:r>
      <w:r w:rsidR="007C2416" w:rsidRPr="008E6E59">
        <w:rPr>
          <w:rFonts w:ascii="Times New Roman" w:hAnsi="Times New Roman" w:cs="Times New Roman"/>
          <w:color w:val="000000"/>
        </w:rPr>
        <w:t>t</w:t>
      </w:r>
      <w:r w:rsidR="00E00930" w:rsidRPr="008E6E59">
        <w:rPr>
          <w:rFonts w:ascii="Times New Roman" w:hAnsi="Times New Roman" w:cs="Times New Roman"/>
          <w:color w:val="000000"/>
        </w:rPr>
        <w:t>s</w:t>
      </w:r>
      <w:r w:rsidR="001E5D4B" w:rsidRPr="008E6E59">
        <w:rPr>
          <w:rFonts w:ascii="Times New Roman" w:hAnsi="Times New Roman" w:cs="Times New Roman"/>
          <w:color w:val="000000"/>
        </w:rPr>
        <w:t>,</w:t>
      </w:r>
      <w:r w:rsidR="00D27CE5" w:rsidRPr="008E6E59">
        <w:rPr>
          <w:rFonts w:ascii="Times New Roman" w:hAnsi="Times New Roman" w:cs="Times New Roman"/>
          <w:color w:val="000000"/>
        </w:rPr>
        <w:t xml:space="preserve"> </w:t>
      </w:r>
      <w:r w:rsidR="001E5D4B" w:rsidRPr="008E6E59">
        <w:rPr>
          <w:rFonts w:ascii="Times New Roman" w:hAnsi="Times New Roman" w:cs="Times New Roman"/>
          <w:color w:val="000000"/>
        </w:rPr>
        <w:t>wholesale funds</w:t>
      </w:r>
      <w:r w:rsidR="001B0811" w:rsidRPr="008E6E59">
        <w:rPr>
          <w:rFonts w:ascii="Times New Roman" w:hAnsi="Times New Roman" w:cs="Times New Roman"/>
          <w:color w:val="000000"/>
        </w:rPr>
        <w:t xml:space="preserve"> or</w:t>
      </w:r>
      <w:r w:rsidR="00B65D52" w:rsidRPr="008E6E59">
        <w:rPr>
          <w:rFonts w:ascii="Times New Roman" w:hAnsi="Times New Roman" w:cs="Times New Roman"/>
          <w:color w:val="000000"/>
        </w:rPr>
        <w:t xml:space="preserve"> </w:t>
      </w:r>
      <w:r w:rsidR="00C962CA">
        <w:rPr>
          <w:rFonts w:ascii="Times New Roman" w:hAnsi="Times New Roman" w:cs="Times New Roman"/>
          <w:color w:val="000000"/>
        </w:rPr>
        <w:t>via</w:t>
      </w:r>
      <w:r w:rsidR="00B65D52" w:rsidRPr="008E6E59">
        <w:rPr>
          <w:rFonts w:ascii="Times New Roman" w:hAnsi="Times New Roman" w:cs="Times New Roman"/>
          <w:color w:val="000000"/>
        </w:rPr>
        <w:t xml:space="preserve"> securitization</w:t>
      </w:r>
      <w:r w:rsidR="001E5D4B" w:rsidRPr="008E6E59">
        <w:rPr>
          <w:rFonts w:ascii="Times New Roman" w:hAnsi="Times New Roman" w:cs="Times New Roman"/>
          <w:color w:val="000000"/>
        </w:rPr>
        <w:t xml:space="preserve"> process</w:t>
      </w:r>
      <w:r w:rsidR="00B65D52" w:rsidRPr="008E6E59">
        <w:rPr>
          <w:rFonts w:ascii="Times New Roman" w:hAnsi="Times New Roman" w:cs="Times New Roman"/>
          <w:color w:val="000000"/>
        </w:rPr>
        <w:t>)</w:t>
      </w:r>
      <w:r w:rsidR="007C2416" w:rsidRPr="008E6E59">
        <w:rPr>
          <w:rFonts w:ascii="Times New Roman" w:hAnsi="Times New Roman" w:cs="Times New Roman"/>
          <w:color w:val="000000"/>
        </w:rPr>
        <w:t xml:space="preserve"> </w:t>
      </w:r>
      <w:r w:rsidR="00876AA3" w:rsidRPr="008E6E59">
        <w:rPr>
          <w:rFonts w:ascii="Times New Roman" w:hAnsi="Times New Roman" w:cs="Times New Roman"/>
          <w:color w:val="000000"/>
        </w:rPr>
        <w:t xml:space="preserve">by the </w:t>
      </w:r>
      <w:r w:rsidR="00E608F2" w:rsidRPr="008E6E59">
        <w:rPr>
          <w:rFonts w:ascii="Times New Roman" w:hAnsi="Times New Roman" w:cs="Times New Roman"/>
          <w:color w:val="000000"/>
        </w:rPr>
        <w:t>depos</w:t>
      </w:r>
      <w:r w:rsidR="00A3426E" w:rsidRPr="008E6E59">
        <w:rPr>
          <w:rFonts w:ascii="Times New Roman" w:hAnsi="Times New Roman" w:cs="Times New Roman"/>
          <w:color w:val="000000"/>
        </w:rPr>
        <w:t>itory institutions</w:t>
      </w:r>
      <w:r w:rsidR="00B65D52" w:rsidRPr="008E6E59">
        <w:rPr>
          <w:rFonts w:ascii="Times New Roman" w:hAnsi="Times New Roman" w:cs="Times New Roman"/>
          <w:color w:val="000000"/>
        </w:rPr>
        <w:t xml:space="preserve"> enabling</w:t>
      </w:r>
      <w:r w:rsidR="00AB7881" w:rsidRPr="008E6E59">
        <w:rPr>
          <w:rFonts w:ascii="Times New Roman" w:hAnsi="Times New Roman" w:cs="Times New Roman"/>
          <w:color w:val="000000"/>
        </w:rPr>
        <w:t xml:space="preserve"> them</w:t>
      </w:r>
      <w:r w:rsidR="007D6C69" w:rsidRPr="008E6E59">
        <w:rPr>
          <w:rFonts w:ascii="Times New Roman" w:hAnsi="Times New Roman" w:cs="Times New Roman"/>
          <w:color w:val="000000"/>
        </w:rPr>
        <w:t xml:space="preserve"> to </w:t>
      </w:r>
      <w:r w:rsidR="00D27CE5" w:rsidRPr="008E6E59">
        <w:rPr>
          <w:rFonts w:ascii="Times New Roman" w:hAnsi="Times New Roman" w:cs="Times New Roman"/>
          <w:color w:val="000000"/>
        </w:rPr>
        <w:t>generate</w:t>
      </w:r>
      <w:r w:rsidR="007D6C69" w:rsidRPr="008E6E59">
        <w:rPr>
          <w:rFonts w:ascii="Times New Roman" w:hAnsi="Times New Roman" w:cs="Times New Roman"/>
          <w:color w:val="000000"/>
        </w:rPr>
        <w:t xml:space="preserve"> more mortgages</w:t>
      </w:r>
      <w:r w:rsidR="00AB7881" w:rsidRPr="008E6E59">
        <w:rPr>
          <w:rFonts w:ascii="Times New Roman" w:hAnsi="Times New Roman" w:cs="Times New Roman"/>
          <w:color w:val="000000"/>
        </w:rPr>
        <w:t>.</w:t>
      </w:r>
      <w:r w:rsidR="00001A04" w:rsidRPr="008E6E59">
        <w:rPr>
          <w:rFonts w:ascii="Times New Roman" w:hAnsi="Times New Roman" w:cs="Times New Roman"/>
          <w:color w:val="000000"/>
        </w:rPr>
        <w:t xml:space="preserve"> </w:t>
      </w:r>
      <w:r w:rsidR="00527BCB" w:rsidRPr="008E6E59">
        <w:rPr>
          <w:rFonts w:ascii="Times New Roman" w:hAnsi="Times New Roman" w:cs="Times New Roman"/>
          <w:color w:val="000000"/>
        </w:rPr>
        <w:t xml:space="preserve"> Given the results from the third MSVAR and our</w:t>
      </w:r>
      <w:r w:rsidR="000944D2" w:rsidRPr="008E6E59">
        <w:rPr>
          <w:rFonts w:ascii="Times New Roman" w:hAnsi="Times New Roman" w:cs="Times New Roman"/>
          <w:color w:val="000000"/>
        </w:rPr>
        <w:t xml:space="preserve"> explanation in sectio</w:t>
      </w:r>
      <w:r w:rsidR="00DF26C5" w:rsidRPr="008E6E59">
        <w:rPr>
          <w:rFonts w:ascii="Times New Roman" w:hAnsi="Times New Roman" w:cs="Times New Roman"/>
          <w:color w:val="000000"/>
        </w:rPr>
        <w:t>n 3.1</w:t>
      </w:r>
      <w:r w:rsidR="000944D2" w:rsidRPr="008E6E59">
        <w:rPr>
          <w:rFonts w:ascii="Times New Roman" w:hAnsi="Times New Roman" w:cs="Times New Roman"/>
          <w:color w:val="000000"/>
        </w:rPr>
        <w:t xml:space="preserve">, a significant response of the </w:t>
      </w:r>
      <w:r w:rsidR="000944D2" w:rsidRPr="008E6E59">
        <w:rPr>
          <w:rFonts w:ascii="Times New Roman" w:hAnsi="Times New Roman" w:cs="Times New Roman"/>
          <w:i/>
          <w:color w:val="000000"/>
        </w:rPr>
        <w:t>mix</w:t>
      </w:r>
      <w:r w:rsidR="000944D2" w:rsidRPr="008E6E59">
        <w:rPr>
          <w:rFonts w:ascii="Times New Roman" w:hAnsi="Times New Roman" w:cs="Times New Roman"/>
          <w:color w:val="000000"/>
        </w:rPr>
        <w:t xml:space="preserve"> to</w:t>
      </w:r>
      <w:r w:rsidR="00CC693C" w:rsidRPr="008E6E59">
        <w:rPr>
          <w:rFonts w:ascii="Times New Roman" w:hAnsi="Times New Roman" w:cs="Times New Roman"/>
          <w:color w:val="000000"/>
        </w:rPr>
        <w:t xml:space="preserve"> an</w:t>
      </w:r>
      <w:r w:rsidR="000944D2" w:rsidRPr="008E6E59">
        <w:rPr>
          <w:rFonts w:ascii="Times New Roman" w:hAnsi="Times New Roman" w:cs="Times New Roman"/>
          <w:color w:val="000000"/>
        </w:rPr>
        <w:t xml:space="preserve"> exp</w:t>
      </w:r>
      <w:r w:rsidR="00F56A8A" w:rsidRPr="008E6E59">
        <w:rPr>
          <w:rFonts w:ascii="Times New Roman" w:hAnsi="Times New Roman" w:cs="Times New Roman"/>
          <w:color w:val="000000"/>
        </w:rPr>
        <w:t>ansionary monetary policy shock</w:t>
      </w:r>
      <w:r w:rsidR="000944D2" w:rsidRPr="008E6E59">
        <w:rPr>
          <w:rFonts w:ascii="Times New Roman" w:hAnsi="Times New Roman" w:cs="Times New Roman"/>
          <w:color w:val="000000"/>
        </w:rPr>
        <w:t xml:space="preserve"> </w:t>
      </w:r>
      <w:r w:rsidR="00F56A8A" w:rsidRPr="008E6E59">
        <w:rPr>
          <w:rFonts w:ascii="Times New Roman" w:hAnsi="Times New Roman" w:cs="Times New Roman"/>
          <w:color w:val="000000"/>
        </w:rPr>
        <w:t xml:space="preserve">gives </w:t>
      </w:r>
      <w:r w:rsidR="00BF4C7C" w:rsidRPr="008E6E59">
        <w:rPr>
          <w:rFonts w:ascii="Times New Roman" w:hAnsi="Times New Roman" w:cs="Times New Roman"/>
          <w:color w:val="000000"/>
        </w:rPr>
        <w:t>the indication</w:t>
      </w:r>
      <w:r w:rsidR="00566581" w:rsidRPr="008E6E59">
        <w:rPr>
          <w:rFonts w:ascii="Times New Roman" w:hAnsi="Times New Roman" w:cs="Times New Roman"/>
          <w:color w:val="000000"/>
        </w:rPr>
        <w:t xml:space="preserve"> of an o</w:t>
      </w:r>
      <w:r w:rsidR="0020723F" w:rsidRPr="008E6E59">
        <w:rPr>
          <w:rFonts w:ascii="Times New Roman" w:hAnsi="Times New Roman" w:cs="Times New Roman"/>
          <w:color w:val="000000"/>
        </w:rPr>
        <w:t xml:space="preserve">perational BLC and initiates us to run the fifth MSVAR, which tests the explanatory power of the </w:t>
      </w:r>
      <w:r w:rsidR="0020723F" w:rsidRPr="008E6E59">
        <w:rPr>
          <w:rFonts w:ascii="Times New Roman" w:hAnsi="Times New Roman" w:cs="Times New Roman"/>
          <w:i/>
          <w:color w:val="000000"/>
        </w:rPr>
        <w:t>mix</w:t>
      </w:r>
      <w:r w:rsidR="0020723F" w:rsidRPr="008E6E59">
        <w:rPr>
          <w:rFonts w:ascii="Times New Roman" w:hAnsi="Times New Roman" w:cs="Times New Roman"/>
          <w:color w:val="000000"/>
        </w:rPr>
        <w:t xml:space="preserve"> variable on house prices.</w:t>
      </w:r>
    </w:p>
    <w:p w14:paraId="1F05E593" w14:textId="5573FBB6" w:rsidR="0029207D" w:rsidRPr="008E6E59" w:rsidRDefault="00AE0BF1" w:rsidP="00057DBB">
      <w:pPr>
        <w:widowControl w:val="0"/>
        <w:autoSpaceDE w:val="0"/>
        <w:autoSpaceDN w:val="0"/>
        <w:adjustRightInd w:val="0"/>
        <w:spacing w:before="200" w:after="0" w:line="360" w:lineRule="auto"/>
        <w:ind w:right="90"/>
        <w:jc w:val="both"/>
        <w:outlineLvl w:val="0"/>
        <w:rPr>
          <w:rFonts w:ascii="Times New Roman" w:hAnsi="Times New Roman" w:cs="Times New Roman"/>
          <w:i/>
          <w:color w:val="000000"/>
        </w:rPr>
      </w:pPr>
      <w:r w:rsidRPr="008E6E59">
        <w:rPr>
          <w:rFonts w:ascii="Times New Roman" w:hAnsi="Times New Roman" w:cs="Times New Roman"/>
          <w:i/>
          <w:color w:val="000000"/>
        </w:rPr>
        <w:t>e</w:t>
      </w:r>
      <w:r w:rsidR="00BE3BC9" w:rsidRPr="008E6E59">
        <w:rPr>
          <w:rFonts w:ascii="Times New Roman" w:hAnsi="Times New Roman" w:cs="Times New Roman"/>
          <w:i/>
          <w:color w:val="000000"/>
        </w:rPr>
        <w:t>)</w:t>
      </w:r>
      <w:r w:rsidR="00733321">
        <w:rPr>
          <w:rFonts w:ascii="Times New Roman" w:hAnsi="Times New Roman" w:cs="Times New Roman"/>
          <w:i/>
          <w:color w:val="000000"/>
        </w:rPr>
        <w:t xml:space="preserve"> </w:t>
      </w:r>
      <w:r w:rsidR="00F14F80" w:rsidRPr="008E6E59">
        <w:rPr>
          <w:rFonts w:ascii="Times New Roman" w:hAnsi="Times New Roman" w:cs="Times New Roman"/>
          <w:i/>
          <w:color w:val="000000"/>
        </w:rPr>
        <w:t>Fifth MSVAR</w:t>
      </w:r>
    </w:p>
    <w:p w14:paraId="23826519" w14:textId="36C70F07" w:rsidR="00F14F80" w:rsidRPr="008E6E59" w:rsidRDefault="00F14F80" w:rsidP="00F25A4A">
      <w:pPr>
        <w:widowControl w:val="0"/>
        <w:autoSpaceDE w:val="0"/>
        <w:autoSpaceDN w:val="0"/>
        <w:adjustRightInd w:val="0"/>
        <w:spacing w:after="0" w:line="480" w:lineRule="auto"/>
        <w:ind w:right="90"/>
        <w:jc w:val="both"/>
        <w:rPr>
          <w:rFonts w:ascii="Times New Roman" w:hAnsi="Times New Roman" w:cs="Times New Roman"/>
          <w:color w:val="000000"/>
        </w:rPr>
      </w:pPr>
      <w:r w:rsidRPr="008E6E59">
        <w:rPr>
          <w:rFonts w:ascii="Times New Roman" w:hAnsi="Times New Roman" w:cs="Times New Roman"/>
          <w:color w:val="000000"/>
        </w:rPr>
        <w:t xml:space="preserve">The regime dependent </w:t>
      </w:r>
      <w:r w:rsidR="00EB3460">
        <w:rPr>
          <w:rFonts w:ascii="Times New Roman" w:hAnsi="Times New Roman" w:cs="Times New Roman"/>
          <w:color w:val="000000"/>
        </w:rPr>
        <w:t>IRFs</w:t>
      </w:r>
      <w:r w:rsidR="00D97A02" w:rsidRPr="008E6E59">
        <w:rPr>
          <w:rFonts w:ascii="Times New Roman" w:hAnsi="Times New Roman" w:cs="Times New Roman"/>
          <w:color w:val="000000"/>
        </w:rPr>
        <w:t xml:space="preserve"> from t</w:t>
      </w:r>
      <w:r w:rsidR="002879D6">
        <w:rPr>
          <w:rFonts w:ascii="Times New Roman" w:hAnsi="Times New Roman" w:cs="Times New Roman"/>
          <w:color w:val="000000"/>
        </w:rPr>
        <w:t>he fifth</w:t>
      </w:r>
      <w:r w:rsidR="00D97A02" w:rsidRPr="008E6E59">
        <w:rPr>
          <w:rFonts w:ascii="Times New Roman" w:hAnsi="Times New Roman" w:cs="Times New Roman"/>
          <w:color w:val="000000"/>
        </w:rPr>
        <w:t xml:space="preserve"> MSVAR</w:t>
      </w:r>
      <w:r w:rsidR="0089225E">
        <w:rPr>
          <w:rFonts w:ascii="Times New Roman" w:hAnsi="Times New Roman" w:cs="Times New Roman"/>
          <w:color w:val="000000"/>
        </w:rPr>
        <w:t xml:space="preserve"> presented in figure 2E</w:t>
      </w:r>
      <w:r w:rsidR="00EB3460">
        <w:rPr>
          <w:rFonts w:ascii="Times New Roman" w:hAnsi="Times New Roman" w:cs="Times New Roman"/>
          <w:color w:val="000000"/>
        </w:rPr>
        <w:t>,</w:t>
      </w:r>
      <w:r w:rsidRPr="008E6E59">
        <w:rPr>
          <w:rFonts w:ascii="Times New Roman" w:hAnsi="Times New Roman" w:cs="Times New Roman"/>
          <w:color w:val="000000"/>
        </w:rPr>
        <w:t xml:space="preserve"> exhibits after </w:t>
      </w:r>
      <w:r w:rsidR="002C57B1" w:rsidRPr="008E6E59">
        <w:rPr>
          <w:rFonts w:ascii="Times New Roman" w:hAnsi="Times New Roman" w:cs="Times New Roman"/>
          <w:color w:val="000000"/>
        </w:rPr>
        <w:t>a</w:t>
      </w:r>
      <w:r w:rsidRPr="008E6E59">
        <w:rPr>
          <w:rFonts w:ascii="Times New Roman" w:hAnsi="Times New Roman" w:cs="Times New Roman"/>
          <w:color w:val="000000"/>
        </w:rPr>
        <w:t xml:space="preserve"> one standa</w:t>
      </w:r>
      <w:r w:rsidR="00DC44A4" w:rsidRPr="008E6E59">
        <w:rPr>
          <w:rFonts w:ascii="Times New Roman" w:hAnsi="Times New Roman" w:cs="Times New Roman"/>
          <w:color w:val="000000"/>
        </w:rPr>
        <w:t>rd deviation</w:t>
      </w:r>
      <w:r w:rsidR="004E4242">
        <w:rPr>
          <w:rFonts w:ascii="Times New Roman" w:hAnsi="Times New Roman" w:cs="Times New Roman"/>
          <w:color w:val="000000"/>
        </w:rPr>
        <w:t xml:space="preserve"> positive</w:t>
      </w:r>
      <w:r w:rsidR="002879D6">
        <w:rPr>
          <w:rFonts w:ascii="Times New Roman" w:hAnsi="Times New Roman" w:cs="Times New Roman"/>
          <w:color w:val="000000"/>
        </w:rPr>
        <w:t xml:space="preserve"> </w:t>
      </w:r>
      <w:r w:rsidR="002879D6" w:rsidRPr="002879D6">
        <w:rPr>
          <w:rFonts w:ascii="Times New Roman" w:hAnsi="Times New Roman" w:cs="Times New Roman"/>
          <w:i/>
          <w:iCs/>
          <w:color w:val="000000"/>
        </w:rPr>
        <w:t>mix</w:t>
      </w:r>
      <w:r w:rsidR="002879D6">
        <w:rPr>
          <w:rFonts w:ascii="Times New Roman" w:hAnsi="Times New Roman" w:cs="Times New Roman"/>
          <w:color w:val="000000"/>
        </w:rPr>
        <w:t xml:space="preserve"> </w:t>
      </w:r>
      <w:r w:rsidR="00DC44A4" w:rsidRPr="008E6E59">
        <w:rPr>
          <w:rFonts w:ascii="Times New Roman" w:hAnsi="Times New Roman" w:cs="Times New Roman"/>
          <w:color w:val="000000"/>
        </w:rPr>
        <w:t>shock</w:t>
      </w:r>
      <w:r w:rsidR="007E376A" w:rsidRPr="008E6E59">
        <w:rPr>
          <w:rFonts w:ascii="Times New Roman" w:hAnsi="Times New Roman" w:cs="Times New Roman"/>
          <w:color w:val="000000"/>
        </w:rPr>
        <w:t>,</w:t>
      </w:r>
      <w:r w:rsidRPr="008E6E59">
        <w:rPr>
          <w:rFonts w:ascii="Times New Roman" w:hAnsi="Times New Roman" w:cs="Times New Roman"/>
          <w:color w:val="000000"/>
        </w:rPr>
        <w:t xml:space="preserve"> hous</w:t>
      </w:r>
      <w:r w:rsidR="00EF4ECF" w:rsidRPr="008E6E59">
        <w:rPr>
          <w:rFonts w:ascii="Times New Roman" w:hAnsi="Times New Roman" w:cs="Times New Roman"/>
          <w:color w:val="000000"/>
        </w:rPr>
        <w:t>e prices</w:t>
      </w:r>
      <w:r w:rsidR="007E376A" w:rsidRPr="008E6E59">
        <w:rPr>
          <w:rFonts w:ascii="Times New Roman" w:hAnsi="Times New Roman" w:cs="Times New Roman"/>
          <w:color w:val="000000"/>
        </w:rPr>
        <w:t xml:space="preserve"> tend to</w:t>
      </w:r>
      <w:r w:rsidR="00EF4ECF" w:rsidRPr="008E6E59">
        <w:rPr>
          <w:rFonts w:ascii="Times New Roman" w:hAnsi="Times New Roman" w:cs="Times New Roman"/>
          <w:color w:val="000000"/>
        </w:rPr>
        <w:t xml:space="preserve"> increase in</w:t>
      </w:r>
      <w:r w:rsidR="001315F2">
        <w:rPr>
          <w:rFonts w:ascii="Times New Roman" w:hAnsi="Times New Roman" w:cs="Times New Roman"/>
          <w:color w:val="000000"/>
        </w:rPr>
        <w:t xml:space="preserve"> both phases of the business cycle</w:t>
      </w:r>
      <w:r w:rsidRPr="008E6E59">
        <w:rPr>
          <w:rFonts w:ascii="Times New Roman" w:hAnsi="Times New Roman" w:cs="Times New Roman"/>
          <w:color w:val="000000"/>
        </w:rPr>
        <w:t>. However, the response is only significa</w:t>
      </w:r>
      <w:r w:rsidR="00D8340B" w:rsidRPr="008E6E59">
        <w:rPr>
          <w:rFonts w:ascii="Times New Roman" w:hAnsi="Times New Roman" w:cs="Times New Roman"/>
          <w:color w:val="000000"/>
        </w:rPr>
        <w:t>nt in</w:t>
      </w:r>
      <w:r w:rsidR="001315F2">
        <w:rPr>
          <w:rFonts w:ascii="Times New Roman" w:hAnsi="Times New Roman" w:cs="Times New Roman"/>
          <w:color w:val="000000"/>
        </w:rPr>
        <w:t xml:space="preserve"> expansions</w:t>
      </w:r>
      <w:r w:rsidRPr="008E6E59">
        <w:rPr>
          <w:rFonts w:ascii="Times New Roman" w:hAnsi="Times New Roman" w:cs="Times New Roman"/>
          <w:color w:val="000000"/>
        </w:rPr>
        <w:t>.</w:t>
      </w:r>
      <w:r w:rsidR="00EF4ECF" w:rsidRPr="008E6E59">
        <w:rPr>
          <w:rFonts w:ascii="Times New Roman" w:hAnsi="Times New Roman" w:cs="Times New Roman"/>
          <w:color w:val="000000"/>
        </w:rPr>
        <w:t xml:space="preserve"> </w:t>
      </w:r>
      <w:r w:rsidRPr="008E6E59">
        <w:rPr>
          <w:rFonts w:ascii="Times New Roman" w:hAnsi="Times New Roman" w:cs="Times New Roman"/>
          <w:color w:val="000000"/>
        </w:rPr>
        <w:t xml:space="preserve">Thus, in </w:t>
      </w:r>
      <w:r w:rsidR="00EB3460">
        <w:rPr>
          <w:rFonts w:ascii="Times New Roman" w:hAnsi="Times New Roman" w:cs="Times New Roman"/>
          <w:color w:val="000000"/>
        </w:rPr>
        <w:t xml:space="preserve">our </w:t>
      </w:r>
      <w:r w:rsidRPr="008E6E59">
        <w:rPr>
          <w:rFonts w:ascii="Times New Roman" w:hAnsi="Times New Roman" w:cs="Times New Roman"/>
          <w:color w:val="000000"/>
        </w:rPr>
        <w:t>case</w:t>
      </w:r>
      <w:r w:rsidR="00F07C75" w:rsidRPr="008E6E59">
        <w:rPr>
          <w:rFonts w:ascii="Times New Roman" w:hAnsi="Times New Roman" w:cs="Times New Roman"/>
          <w:color w:val="000000"/>
        </w:rPr>
        <w:t xml:space="preserve"> the </w:t>
      </w:r>
      <w:r w:rsidR="00C63643" w:rsidRPr="008E6E59">
        <w:rPr>
          <w:rFonts w:ascii="Times New Roman" w:hAnsi="Times New Roman" w:cs="Times New Roman"/>
          <w:color w:val="000000"/>
        </w:rPr>
        <w:t>impulse response functions</w:t>
      </w:r>
      <w:r w:rsidRPr="008E6E59">
        <w:rPr>
          <w:rFonts w:ascii="Times New Roman" w:hAnsi="Times New Roman" w:cs="Times New Roman"/>
          <w:color w:val="000000"/>
        </w:rPr>
        <w:t xml:space="preserve"> tend to support the hypothesis t</w:t>
      </w:r>
      <w:r w:rsidR="00383DD9" w:rsidRPr="008E6E59">
        <w:rPr>
          <w:rFonts w:ascii="Times New Roman" w:hAnsi="Times New Roman" w:cs="Times New Roman"/>
          <w:color w:val="000000"/>
        </w:rPr>
        <w:t>hat subject to similar</w:t>
      </w:r>
      <w:r w:rsidR="00F25A4A" w:rsidRPr="008E6E59">
        <w:rPr>
          <w:rFonts w:ascii="Times New Roman" w:hAnsi="Times New Roman" w:cs="Times New Roman"/>
          <w:color w:val="000000"/>
        </w:rPr>
        <w:t xml:space="preserve"> size</w:t>
      </w:r>
      <w:r w:rsidR="00B153B6" w:rsidRPr="008E6E59">
        <w:rPr>
          <w:rFonts w:ascii="Times New Roman" w:hAnsi="Times New Roman" w:cs="Times New Roman"/>
          <w:color w:val="000000"/>
        </w:rPr>
        <w:t xml:space="preserve"> </w:t>
      </w:r>
      <w:r w:rsidR="00AD5B5C" w:rsidRPr="008E6E59">
        <w:rPr>
          <w:rFonts w:ascii="Times New Roman" w:hAnsi="Times New Roman" w:cs="Times New Roman"/>
          <w:color w:val="000000"/>
        </w:rPr>
        <w:t>expansionary</w:t>
      </w:r>
      <w:r w:rsidR="00383DD9" w:rsidRPr="008E6E59">
        <w:rPr>
          <w:rFonts w:ascii="Times New Roman" w:hAnsi="Times New Roman" w:cs="Times New Roman"/>
          <w:color w:val="000000"/>
        </w:rPr>
        <w:t xml:space="preserve"> monetary policy shocks</w:t>
      </w:r>
      <w:r w:rsidR="00C63643" w:rsidRPr="008E6E59">
        <w:rPr>
          <w:rFonts w:ascii="Times New Roman" w:hAnsi="Times New Roman" w:cs="Times New Roman"/>
          <w:color w:val="000000"/>
        </w:rPr>
        <w:t>,</w:t>
      </w:r>
      <w:r w:rsidR="00383DD9" w:rsidRPr="008E6E59">
        <w:rPr>
          <w:rFonts w:ascii="Times New Roman" w:hAnsi="Times New Roman" w:cs="Times New Roman"/>
          <w:color w:val="000000"/>
        </w:rPr>
        <w:t xml:space="preserve"> </w:t>
      </w:r>
      <w:r w:rsidR="00B153B6" w:rsidRPr="008E6E59">
        <w:rPr>
          <w:rFonts w:ascii="Times New Roman" w:hAnsi="Times New Roman" w:cs="Times New Roman"/>
          <w:color w:val="000000"/>
        </w:rPr>
        <w:t>BLC</w:t>
      </w:r>
      <w:r w:rsidR="00C73FAE" w:rsidRPr="008E6E59">
        <w:rPr>
          <w:rFonts w:ascii="Times New Roman" w:hAnsi="Times New Roman" w:cs="Times New Roman"/>
          <w:color w:val="000000"/>
        </w:rPr>
        <w:t xml:space="preserve"> is only</w:t>
      </w:r>
      <w:r w:rsidR="00882881" w:rsidRPr="008E6E59">
        <w:rPr>
          <w:rFonts w:ascii="Times New Roman" w:hAnsi="Times New Roman" w:cs="Times New Roman"/>
          <w:color w:val="000000"/>
        </w:rPr>
        <w:t xml:space="preserve"> </w:t>
      </w:r>
      <w:r w:rsidRPr="008E6E59">
        <w:rPr>
          <w:rFonts w:ascii="Times New Roman" w:hAnsi="Times New Roman" w:cs="Times New Roman"/>
          <w:color w:val="000000"/>
        </w:rPr>
        <w:t>effecti</w:t>
      </w:r>
      <w:r w:rsidR="00B153B6" w:rsidRPr="008E6E59">
        <w:rPr>
          <w:rFonts w:ascii="Times New Roman" w:hAnsi="Times New Roman" w:cs="Times New Roman"/>
          <w:color w:val="000000"/>
        </w:rPr>
        <w:t>ve during expansionary phase.</w:t>
      </w:r>
      <w:r w:rsidR="002C13E5" w:rsidRPr="008E6E59">
        <w:rPr>
          <w:rFonts w:ascii="Times New Roman" w:hAnsi="Times New Roman" w:cs="Times New Roman"/>
          <w:color w:val="000000"/>
        </w:rPr>
        <w:t xml:space="preserve"> One</w:t>
      </w:r>
      <w:r w:rsidR="00433EAF" w:rsidRPr="008E6E59">
        <w:rPr>
          <w:rFonts w:ascii="Times New Roman" w:hAnsi="Times New Roman" w:cs="Times New Roman"/>
          <w:color w:val="000000"/>
        </w:rPr>
        <w:t xml:space="preserve"> positive</w:t>
      </w:r>
      <w:r w:rsidR="00EB3460">
        <w:rPr>
          <w:rFonts w:ascii="Times New Roman" w:hAnsi="Times New Roman" w:cs="Times New Roman"/>
          <w:color w:val="000000"/>
        </w:rPr>
        <w:t xml:space="preserve"> thing</w:t>
      </w:r>
      <w:r w:rsidR="00433EAF" w:rsidRPr="008E6E59">
        <w:rPr>
          <w:rFonts w:ascii="Times New Roman" w:hAnsi="Times New Roman" w:cs="Times New Roman"/>
          <w:color w:val="000000"/>
        </w:rPr>
        <w:t xml:space="preserve"> in </w:t>
      </w:r>
      <w:r w:rsidR="00EB3460">
        <w:rPr>
          <w:rFonts w:ascii="Times New Roman" w:hAnsi="Times New Roman" w:cs="Times New Roman"/>
          <w:color w:val="000000"/>
        </w:rPr>
        <w:t xml:space="preserve">the </w:t>
      </w:r>
      <w:r w:rsidR="00433EAF" w:rsidRPr="008E6E59">
        <w:rPr>
          <w:rFonts w:ascii="Times New Roman" w:hAnsi="Times New Roman" w:cs="Times New Roman"/>
          <w:color w:val="000000"/>
        </w:rPr>
        <w:t xml:space="preserve">first four </w:t>
      </w:r>
      <w:r w:rsidR="00FD4AEA" w:rsidRPr="008E6E59">
        <w:rPr>
          <w:rFonts w:ascii="Times New Roman" w:hAnsi="Times New Roman" w:cs="Times New Roman"/>
          <w:color w:val="000000"/>
        </w:rPr>
        <w:t>MSVAR</w:t>
      </w:r>
      <w:r w:rsidR="004C7F0C" w:rsidRPr="008E6E59">
        <w:rPr>
          <w:rFonts w:ascii="Times New Roman" w:hAnsi="Times New Roman" w:cs="Times New Roman"/>
          <w:color w:val="000000"/>
        </w:rPr>
        <w:t xml:space="preserve"> is that </w:t>
      </w:r>
      <w:r w:rsidR="00FD4AEA" w:rsidRPr="008E6E59">
        <w:rPr>
          <w:rFonts w:ascii="Times New Roman" w:hAnsi="Times New Roman" w:cs="Times New Roman"/>
          <w:color w:val="000000"/>
        </w:rPr>
        <w:t xml:space="preserve">price </w:t>
      </w:r>
      <w:r w:rsidR="001D252B" w:rsidRPr="008E6E59">
        <w:rPr>
          <w:rFonts w:ascii="Times New Roman" w:hAnsi="Times New Roman" w:cs="Times New Roman"/>
          <w:color w:val="000000"/>
        </w:rPr>
        <w:t>puzzle</w:t>
      </w:r>
      <w:r w:rsidR="00EB3460">
        <w:rPr>
          <w:rFonts w:ascii="Times New Roman" w:hAnsi="Times New Roman" w:cs="Times New Roman"/>
          <w:color w:val="000000"/>
        </w:rPr>
        <w:t xml:space="preserve"> </w:t>
      </w:r>
      <w:r w:rsidR="001D252B">
        <w:rPr>
          <w:rFonts w:ascii="Times New Roman" w:hAnsi="Times New Roman" w:cs="Times New Roman"/>
          <w:color w:val="000000"/>
        </w:rPr>
        <w:t>is</w:t>
      </w:r>
      <w:r w:rsidR="00EB3460">
        <w:rPr>
          <w:rFonts w:ascii="Times New Roman" w:hAnsi="Times New Roman" w:cs="Times New Roman"/>
          <w:color w:val="000000"/>
        </w:rPr>
        <w:t xml:space="preserve"> not observed</w:t>
      </w:r>
      <w:r w:rsidR="009534A0" w:rsidRPr="008E6E59">
        <w:rPr>
          <w:rFonts w:ascii="Times New Roman" w:hAnsi="Times New Roman" w:cs="Times New Roman"/>
          <w:color w:val="000000"/>
        </w:rPr>
        <w:t>, suggesting monetary policy shocks have been identified accurately</w:t>
      </w:r>
      <w:r w:rsidR="00463E40" w:rsidRPr="008E6E59">
        <w:rPr>
          <w:rFonts w:ascii="Times New Roman" w:hAnsi="Times New Roman" w:cs="Times New Roman"/>
          <w:color w:val="000000"/>
        </w:rPr>
        <w:t>.</w:t>
      </w:r>
      <w:r w:rsidR="00463E40" w:rsidRPr="008E6E59">
        <w:rPr>
          <w:rStyle w:val="FootnoteReference"/>
          <w:rFonts w:ascii="Times New Roman" w:hAnsi="Times New Roman" w:cs="Times New Roman"/>
          <w:color w:val="000000"/>
        </w:rPr>
        <w:footnoteReference w:id="14"/>
      </w:r>
    </w:p>
    <w:p w14:paraId="17E28E05" w14:textId="5FA9E3DD" w:rsidR="00407B1D" w:rsidRPr="007A198E" w:rsidRDefault="00F14F80" w:rsidP="007A198E">
      <w:pPr>
        <w:widowControl w:val="0"/>
        <w:autoSpaceDE w:val="0"/>
        <w:autoSpaceDN w:val="0"/>
        <w:adjustRightInd w:val="0"/>
        <w:spacing w:line="480" w:lineRule="auto"/>
        <w:ind w:right="90" w:firstLine="720"/>
        <w:jc w:val="both"/>
        <w:rPr>
          <w:rFonts w:ascii="Times New Roman" w:hAnsi="Times New Roman" w:cs="Times New Roman"/>
          <w:color w:val="000000"/>
        </w:rPr>
      </w:pPr>
      <w:r w:rsidRPr="008E6E59">
        <w:rPr>
          <w:rFonts w:ascii="Times New Roman" w:hAnsi="Times New Roman" w:cs="Times New Roman"/>
          <w:color w:val="000000"/>
        </w:rPr>
        <w:t>O</w:t>
      </w:r>
      <w:r w:rsidR="00133F77">
        <w:rPr>
          <w:rFonts w:ascii="Times New Roman" w:hAnsi="Times New Roman" w:cs="Times New Roman"/>
          <w:color w:val="000000"/>
        </w:rPr>
        <w:t xml:space="preserve">ur </w:t>
      </w:r>
      <w:r w:rsidRPr="008E6E59">
        <w:rPr>
          <w:rFonts w:ascii="Times New Roman" w:hAnsi="Times New Roman" w:cs="Times New Roman"/>
          <w:color w:val="000000"/>
        </w:rPr>
        <w:t>finding</w:t>
      </w:r>
      <w:r w:rsidR="0020723F" w:rsidRPr="008E6E59">
        <w:rPr>
          <w:rFonts w:ascii="Times New Roman" w:hAnsi="Times New Roman" w:cs="Times New Roman"/>
          <w:color w:val="000000"/>
        </w:rPr>
        <w:t>s of a</w:t>
      </w:r>
      <w:r w:rsidR="004D503D">
        <w:rPr>
          <w:rFonts w:ascii="Times New Roman" w:hAnsi="Times New Roman" w:cs="Times New Roman"/>
          <w:color w:val="000000"/>
        </w:rPr>
        <w:t>n</w:t>
      </w:r>
      <w:r w:rsidR="00D83AB1">
        <w:rPr>
          <w:rFonts w:ascii="Times New Roman" w:hAnsi="Times New Roman" w:cs="Times New Roman"/>
          <w:color w:val="000000"/>
        </w:rPr>
        <w:t xml:space="preserve"> operational</w:t>
      </w:r>
      <w:r w:rsidR="0020723F" w:rsidRPr="008E6E59">
        <w:rPr>
          <w:rFonts w:ascii="Times New Roman" w:hAnsi="Times New Roman" w:cs="Times New Roman"/>
          <w:color w:val="000000"/>
        </w:rPr>
        <w:t xml:space="preserve"> BLC</w:t>
      </w:r>
      <w:r w:rsidR="00D83AB1">
        <w:rPr>
          <w:rFonts w:ascii="Times New Roman" w:hAnsi="Times New Roman" w:cs="Times New Roman"/>
          <w:color w:val="000000"/>
        </w:rPr>
        <w:t>,</w:t>
      </w:r>
      <w:r w:rsidR="00DF26C5" w:rsidRPr="008E6E59">
        <w:rPr>
          <w:rFonts w:ascii="Times New Roman" w:hAnsi="Times New Roman" w:cs="Times New Roman"/>
          <w:color w:val="000000"/>
        </w:rPr>
        <w:t xml:space="preserve"> </w:t>
      </w:r>
      <w:r w:rsidR="001A30F5">
        <w:rPr>
          <w:rFonts w:ascii="Times New Roman" w:hAnsi="Times New Roman" w:cs="Times New Roman"/>
          <w:color w:val="000000"/>
        </w:rPr>
        <w:t xml:space="preserve">effective </w:t>
      </w:r>
      <w:r w:rsidR="00DF26C5" w:rsidRPr="008E6E59">
        <w:rPr>
          <w:rFonts w:ascii="Times New Roman" w:hAnsi="Times New Roman" w:cs="Times New Roman"/>
          <w:color w:val="000000"/>
        </w:rPr>
        <w:t xml:space="preserve">only in </w:t>
      </w:r>
      <w:r w:rsidR="000520C0">
        <w:rPr>
          <w:rFonts w:ascii="Times New Roman" w:hAnsi="Times New Roman" w:cs="Times New Roman"/>
          <w:color w:val="000000"/>
        </w:rPr>
        <w:t>expansions</w:t>
      </w:r>
      <w:r w:rsidR="00DF26C5" w:rsidRPr="008E6E59">
        <w:rPr>
          <w:rFonts w:ascii="Times New Roman" w:hAnsi="Times New Roman" w:cs="Times New Roman"/>
          <w:color w:val="000000"/>
        </w:rPr>
        <w:t xml:space="preserve"> </w:t>
      </w:r>
      <w:r w:rsidRPr="008E6E59">
        <w:rPr>
          <w:rFonts w:ascii="Times New Roman" w:hAnsi="Times New Roman" w:cs="Times New Roman"/>
          <w:color w:val="000000"/>
        </w:rPr>
        <w:t xml:space="preserve">can be explained by </w:t>
      </w:r>
      <w:r w:rsidR="006C7E9A" w:rsidRPr="008E6E59">
        <w:rPr>
          <w:rFonts w:ascii="Times New Roman" w:hAnsi="Times New Roman" w:cs="Times New Roman"/>
          <w:color w:val="000000"/>
        </w:rPr>
        <w:t>certain</w:t>
      </w:r>
      <w:r w:rsidR="00645B10" w:rsidRPr="008E6E59">
        <w:rPr>
          <w:rFonts w:ascii="Times New Roman" w:hAnsi="Times New Roman" w:cs="Times New Roman"/>
          <w:color w:val="000000"/>
        </w:rPr>
        <w:t xml:space="preserve"> factors</w:t>
      </w:r>
      <w:r w:rsidR="006C7E9A" w:rsidRPr="008E6E59">
        <w:rPr>
          <w:rFonts w:ascii="Times New Roman" w:hAnsi="Times New Roman" w:cs="Times New Roman"/>
          <w:color w:val="000000"/>
        </w:rPr>
        <w:t>.</w:t>
      </w:r>
      <w:r w:rsidR="00EC1659" w:rsidRPr="008E6E59">
        <w:rPr>
          <w:rFonts w:ascii="Times New Roman" w:hAnsi="Times New Roman" w:cs="Times New Roman"/>
          <w:color w:val="000000"/>
        </w:rPr>
        <w:t xml:space="preserve"> </w:t>
      </w:r>
      <w:r w:rsidR="00133F77" w:rsidRPr="00133F77">
        <w:rPr>
          <w:rFonts w:ascii="Times New Roman" w:hAnsi="Times New Roman" w:cs="Times New Roman"/>
          <w:i/>
          <w:iCs/>
          <w:color w:val="000000"/>
        </w:rPr>
        <w:t>F</w:t>
      </w:r>
      <w:r w:rsidRPr="00133F77">
        <w:rPr>
          <w:rFonts w:ascii="Times New Roman" w:hAnsi="Times New Roman" w:cs="Times New Roman"/>
          <w:i/>
          <w:iCs/>
          <w:color w:val="000000"/>
        </w:rPr>
        <w:t>irstly</w:t>
      </w:r>
      <w:r w:rsidRPr="008E6E59">
        <w:rPr>
          <w:rFonts w:ascii="Times New Roman" w:hAnsi="Times New Roman" w:cs="Times New Roman"/>
          <w:color w:val="000000"/>
        </w:rPr>
        <w:t>,</w:t>
      </w:r>
      <w:r w:rsidR="00D355EC">
        <w:rPr>
          <w:rFonts w:ascii="Times New Roman" w:hAnsi="Times New Roman" w:cs="Times New Roman"/>
          <w:color w:val="000000"/>
        </w:rPr>
        <w:t xml:space="preserve"> during </w:t>
      </w:r>
      <w:r w:rsidR="00131A22">
        <w:rPr>
          <w:rFonts w:ascii="Times New Roman" w:hAnsi="Times New Roman" w:cs="Times New Roman"/>
          <w:color w:val="000000"/>
        </w:rPr>
        <w:t xml:space="preserve">expansions when financial uncertainty is low, </w:t>
      </w:r>
      <w:r w:rsidR="00257AE0">
        <w:rPr>
          <w:rFonts w:ascii="Times New Roman" w:hAnsi="Times New Roman" w:cs="Times New Roman"/>
          <w:color w:val="000000"/>
        </w:rPr>
        <w:t>after</w:t>
      </w:r>
      <w:r w:rsidRPr="008E6E59">
        <w:rPr>
          <w:rFonts w:ascii="Times New Roman" w:hAnsi="Times New Roman" w:cs="Times New Roman"/>
          <w:color w:val="000000"/>
        </w:rPr>
        <w:t xml:space="preserve"> an expansionary monetary </w:t>
      </w:r>
      <w:r w:rsidRPr="008E6E59">
        <w:rPr>
          <w:rFonts w:ascii="Times New Roman" w:hAnsi="Times New Roman" w:cs="Times New Roman"/>
          <w:color w:val="000000"/>
        </w:rPr>
        <w:lastRenderedPageBreak/>
        <w:t>policy</w:t>
      </w:r>
      <w:r w:rsidR="00F90E29" w:rsidRPr="008E6E59">
        <w:rPr>
          <w:rFonts w:ascii="Times New Roman" w:hAnsi="Times New Roman" w:cs="Times New Roman"/>
          <w:color w:val="000000"/>
        </w:rPr>
        <w:t xml:space="preserve"> </w:t>
      </w:r>
      <w:r w:rsidR="004E7C52" w:rsidRPr="008E6E59">
        <w:rPr>
          <w:rFonts w:ascii="Times New Roman" w:hAnsi="Times New Roman" w:cs="Times New Roman"/>
          <w:color w:val="000000"/>
        </w:rPr>
        <w:t>access</w:t>
      </w:r>
      <w:r w:rsidRPr="008E6E59">
        <w:rPr>
          <w:rFonts w:ascii="Times New Roman" w:hAnsi="Times New Roman" w:cs="Times New Roman"/>
          <w:color w:val="000000"/>
        </w:rPr>
        <w:t xml:space="preserve"> of retail deposit </w:t>
      </w:r>
      <w:r w:rsidR="00F06A47" w:rsidRPr="008E6E59">
        <w:rPr>
          <w:rFonts w:ascii="Times New Roman" w:hAnsi="Times New Roman" w:cs="Times New Roman"/>
          <w:color w:val="000000"/>
        </w:rPr>
        <w:t xml:space="preserve">increase </w:t>
      </w:r>
      <w:r w:rsidR="00F06A47">
        <w:rPr>
          <w:rFonts w:ascii="Times New Roman" w:hAnsi="Times New Roman" w:cs="Times New Roman"/>
          <w:color w:val="000000"/>
        </w:rPr>
        <w:t>in</w:t>
      </w:r>
      <w:r w:rsidR="00F43B70">
        <w:rPr>
          <w:rFonts w:ascii="Times New Roman" w:hAnsi="Times New Roman" w:cs="Times New Roman"/>
          <w:color w:val="000000"/>
        </w:rPr>
        <w:t xml:space="preserve"> the banking sector</w:t>
      </w:r>
      <w:r w:rsidR="00035EFC">
        <w:rPr>
          <w:rFonts w:ascii="Times New Roman" w:hAnsi="Times New Roman" w:cs="Times New Roman"/>
          <w:color w:val="000000"/>
        </w:rPr>
        <w:t xml:space="preserve"> facilitat</w:t>
      </w:r>
      <w:r w:rsidR="00257AE0">
        <w:rPr>
          <w:rFonts w:ascii="Times New Roman" w:hAnsi="Times New Roman" w:cs="Times New Roman"/>
          <w:color w:val="000000"/>
        </w:rPr>
        <w:t>ing</w:t>
      </w:r>
      <w:r w:rsidRPr="008E6E59">
        <w:rPr>
          <w:rFonts w:ascii="Times New Roman" w:hAnsi="Times New Roman" w:cs="Times New Roman"/>
          <w:color w:val="000000"/>
        </w:rPr>
        <w:t xml:space="preserve"> mortgage</w:t>
      </w:r>
      <w:r w:rsidR="001535D0">
        <w:rPr>
          <w:rFonts w:ascii="Times New Roman" w:hAnsi="Times New Roman" w:cs="Times New Roman"/>
          <w:color w:val="000000"/>
        </w:rPr>
        <w:t xml:space="preserve"> supply</w:t>
      </w:r>
      <w:r w:rsidRPr="008E6E59">
        <w:rPr>
          <w:rFonts w:ascii="Times New Roman" w:hAnsi="Times New Roman" w:cs="Times New Roman"/>
          <w:color w:val="000000"/>
        </w:rPr>
        <w:t>. However, during recessions due to increased financial uncertainty</w:t>
      </w:r>
      <w:r w:rsidR="00594D3C" w:rsidRPr="008E6E59">
        <w:rPr>
          <w:rFonts w:ascii="Times New Roman" w:hAnsi="Times New Roman" w:cs="Times New Roman"/>
          <w:color w:val="000000"/>
        </w:rPr>
        <w:t xml:space="preserve"> depository institutions </w:t>
      </w:r>
      <w:r w:rsidR="001A30F5">
        <w:rPr>
          <w:rFonts w:ascii="Times New Roman" w:hAnsi="Times New Roman" w:cs="Times New Roman"/>
          <w:color w:val="000000"/>
        </w:rPr>
        <w:t>tend</w:t>
      </w:r>
      <w:r w:rsidRPr="008E6E59">
        <w:rPr>
          <w:rFonts w:ascii="Times New Roman" w:hAnsi="Times New Roman" w:cs="Times New Roman"/>
          <w:color w:val="000000"/>
        </w:rPr>
        <w:t xml:space="preserve"> not</w:t>
      </w:r>
      <w:r w:rsidR="001A30F5">
        <w:rPr>
          <w:rFonts w:ascii="Times New Roman" w:hAnsi="Times New Roman" w:cs="Times New Roman"/>
          <w:color w:val="000000"/>
        </w:rPr>
        <w:t xml:space="preserve"> to</w:t>
      </w:r>
      <w:r w:rsidRPr="008E6E59">
        <w:rPr>
          <w:rFonts w:ascii="Times New Roman" w:hAnsi="Times New Roman" w:cs="Times New Roman"/>
          <w:color w:val="000000"/>
        </w:rPr>
        <w:t xml:space="preserve"> increase</w:t>
      </w:r>
      <w:r w:rsidR="00A25076" w:rsidRPr="008E6E59">
        <w:rPr>
          <w:rFonts w:ascii="Times New Roman" w:hAnsi="Times New Roman" w:cs="Times New Roman"/>
          <w:color w:val="000000"/>
        </w:rPr>
        <w:t xml:space="preserve"> </w:t>
      </w:r>
      <w:r w:rsidR="00BE3BC9" w:rsidRPr="008E6E59">
        <w:rPr>
          <w:rFonts w:ascii="Times New Roman" w:hAnsi="Times New Roman" w:cs="Times New Roman"/>
          <w:color w:val="000000"/>
        </w:rPr>
        <w:t>mortgage</w:t>
      </w:r>
      <w:r w:rsidR="00A25076" w:rsidRPr="008E6E59">
        <w:rPr>
          <w:rFonts w:ascii="Times New Roman" w:hAnsi="Times New Roman" w:cs="Times New Roman"/>
          <w:color w:val="000000"/>
        </w:rPr>
        <w:t xml:space="preserve"> supply</w:t>
      </w:r>
      <w:r w:rsidRPr="008E6E59">
        <w:rPr>
          <w:rFonts w:ascii="Times New Roman" w:hAnsi="Times New Roman" w:cs="Times New Roman"/>
          <w:color w:val="000000"/>
        </w:rPr>
        <w:t xml:space="preserve"> even </w:t>
      </w:r>
      <w:r w:rsidR="00D355EC">
        <w:rPr>
          <w:rFonts w:ascii="Times New Roman" w:hAnsi="Times New Roman" w:cs="Times New Roman"/>
          <w:color w:val="000000"/>
        </w:rPr>
        <w:t>when</w:t>
      </w:r>
      <w:r w:rsidRPr="008E6E59">
        <w:rPr>
          <w:rFonts w:ascii="Times New Roman" w:hAnsi="Times New Roman" w:cs="Times New Roman"/>
          <w:color w:val="000000"/>
        </w:rPr>
        <w:t xml:space="preserve"> </w:t>
      </w:r>
      <w:r w:rsidR="00F90E29" w:rsidRPr="008E6E59">
        <w:rPr>
          <w:rFonts w:ascii="Times New Roman" w:hAnsi="Times New Roman" w:cs="Times New Roman"/>
          <w:color w:val="000000"/>
        </w:rPr>
        <w:t>sufficient</w:t>
      </w:r>
      <w:r w:rsidRPr="008E6E59">
        <w:rPr>
          <w:rFonts w:ascii="Times New Roman" w:hAnsi="Times New Roman" w:cs="Times New Roman"/>
          <w:color w:val="000000"/>
        </w:rPr>
        <w:t xml:space="preserve"> </w:t>
      </w:r>
      <w:r w:rsidR="00ED79F3" w:rsidRPr="008E6E59">
        <w:rPr>
          <w:rFonts w:ascii="Times New Roman" w:hAnsi="Times New Roman" w:cs="Times New Roman"/>
          <w:color w:val="000000"/>
        </w:rPr>
        <w:t xml:space="preserve">funds </w:t>
      </w:r>
      <w:r w:rsidR="00ED79F3">
        <w:rPr>
          <w:rFonts w:ascii="Times New Roman" w:hAnsi="Times New Roman" w:cs="Times New Roman"/>
          <w:color w:val="000000"/>
        </w:rPr>
        <w:t>are</w:t>
      </w:r>
      <w:r w:rsidR="00133F77">
        <w:rPr>
          <w:rFonts w:ascii="Times New Roman" w:hAnsi="Times New Roman" w:cs="Times New Roman"/>
          <w:color w:val="000000"/>
        </w:rPr>
        <w:t xml:space="preserve"> </w:t>
      </w:r>
      <w:r w:rsidR="001A7DCD">
        <w:rPr>
          <w:rFonts w:ascii="Times New Roman" w:hAnsi="Times New Roman" w:cs="Times New Roman"/>
          <w:color w:val="000000"/>
        </w:rPr>
        <w:t xml:space="preserve">available </w:t>
      </w:r>
      <w:r w:rsidRPr="008E6E59">
        <w:rPr>
          <w:rFonts w:ascii="Times New Roman" w:hAnsi="Times New Roman" w:cs="Times New Roman"/>
          <w:color w:val="000000"/>
        </w:rPr>
        <w:t xml:space="preserve">(Baum </w:t>
      </w:r>
      <w:r w:rsidRPr="001A7DCD">
        <w:rPr>
          <w:rFonts w:ascii="Times New Roman" w:hAnsi="Times New Roman" w:cs="Times New Roman"/>
          <w:color w:val="000000"/>
        </w:rPr>
        <w:t>et al.</w:t>
      </w:r>
      <w:r w:rsidR="00C66054">
        <w:rPr>
          <w:rFonts w:ascii="Times New Roman" w:hAnsi="Times New Roman" w:cs="Times New Roman"/>
          <w:color w:val="000000"/>
        </w:rPr>
        <w:t>,</w:t>
      </w:r>
      <w:r w:rsidR="008A431E">
        <w:rPr>
          <w:rFonts w:ascii="Times New Roman" w:hAnsi="Times New Roman" w:cs="Times New Roman"/>
          <w:color w:val="000000"/>
        </w:rPr>
        <w:t xml:space="preserve"> </w:t>
      </w:r>
      <w:r w:rsidR="00594D3C" w:rsidRPr="008E6E59">
        <w:rPr>
          <w:rFonts w:ascii="Times New Roman" w:hAnsi="Times New Roman" w:cs="Times New Roman"/>
          <w:color w:val="000000"/>
        </w:rPr>
        <w:t>2013</w:t>
      </w:r>
      <w:r w:rsidR="00ED79F3">
        <w:rPr>
          <w:rFonts w:ascii="Times New Roman" w:hAnsi="Times New Roman" w:cs="Times New Roman"/>
          <w:color w:val="000000"/>
        </w:rPr>
        <w:t>;</w:t>
      </w:r>
      <w:r w:rsidRPr="008E6E59">
        <w:rPr>
          <w:rFonts w:ascii="Times New Roman" w:hAnsi="Times New Roman" w:cs="Times New Roman"/>
          <w:color w:val="000000"/>
        </w:rPr>
        <w:t xml:space="preserve"> Talavera </w:t>
      </w:r>
      <w:r w:rsidRPr="001A7DCD">
        <w:rPr>
          <w:rFonts w:ascii="Times New Roman" w:hAnsi="Times New Roman" w:cs="Times New Roman"/>
          <w:color w:val="000000"/>
        </w:rPr>
        <w:t>et al</w:t>
      </w:r>
      <w:r w:rsidR="00594D3C" w:rsidRPr="001A7DCD">
        <w:rPr>
          <w:rFonts w:ascii="Times New Roman" w:hAnsi="Times New Roman" w:cs="Times New Roman"/>
          <w:color w:val="000000"/>
        </w:rPr>
        <w:t>.</w:t>
      </w:r>
      <w:r w:rsidR="00C66054">
        <w:rPr>
          <w:rFonts w:ascii="Times New Roman" w:hAnsi="Times New Roman" w:cs="Times New Roman"/>
          <w:color w:val="000000"/>
        </w:rPr>
        <w:t>,</w:t>
      </w:r>
      <w:r w:rsidR="008A431E">
        <w:rPr>
          <w:rFonts w:ascii="Times New Roman" w:hAnsi="Times New Roman" w:cs="Times New Roman"/>
          <w:color w:val="000000"/>
        </w:rPr>
        <w:t xml:space="preserve"> </w:t>
      </w:r>
      <w:r w:rsidRPr="008E6E59">
        <w:rPr>
          <w:rFonts w:ascii="Times New Roman" w:hAnsi="Times New Roman" w:cs="Times New Roman"/>
          <w:color w:val="000000"/>
        </w:rPr>
        <w:t>2012</w:t>
      </w:r>
      <w:r w:rsidR="008A431E">
        <w:rPr>
          <w:rFonts w:ascii="Times New Roman" w:hAnsi="Times New Roman" w:cs="Times New Roman"/>
          <w:color w:val="000000"/>
        </w:rPr>
        <w:t>)</w:t>
      </w:r>
      <w:r w:rsidRPr="008E6E59">
        <w:rPr>
          <w:rFonts w:ascii="Times New Roman" w:hAnsi="Times New Roman" w:cs="Times New Roman"/>
          <w:color w:val="000000"/>
        </w:rPr>
        <w:t xml:space="preserve">. </w:t>
      </w:r>
      <w:r w:rsidRPr="00FD5406">
        <w:rPr>
          <w:rFonts w:ascii="Times New Roman" w:hAnsi="Times New Roman" w:cs="Times New Roman"/>
          <w:i/>
          <w:iCs/>
          <w:color w:val="000000"/>
        </w:rPr>
        <w:t>Secondly</w:t>
      </w:r>
      <w:r w:rsidRPr="008E6E59">
        <w:rPr>
          <w:rFonts w:ascii="Times New Roman" w:hAnsi="Times New Roman" w:cs="Times New Roman"/>
          <w:color w:val="000000"/>
        </w:rPr>
        <w:t>, pro-cyclical impact of securitization on liquidity gener</w:t>
      </w:r>
      <w:r w:rsidR="00A648D6" w:rsidRPr="008E6E59">
        <w:rPr>
          <w:rFonts w:ascii="Times New Roman" w:hAnsi="Times New Roman" w:cs="Times New Roman"/>
          <w:color w:val="000000"/>
        </w:rPr>
        <w:t>ation</w:t>
      </w:r>
      <w:r w:rsidR="00D11389">
        <w:rPr>
          <w:rFonts w:ascii="Times New Roman" w:hAnsi="Times New Roman" w:cs="Times New Roman"/>
          <w:color w:val="000000"/>
        </w:rPr>
        <w:t xml:space="preserve"> </w:t>
      </w:r>
      <w:r w:rsidR="006D263B">
        <w:rPr>
          <w:rFonts w:ascii="Times New Roman" w:hAnsi="Times New Roman" w:cs="Times New Roman"/>
          <w:color w:val="000000"/>
        </w:rPr>
        <w:t>tends</w:t>
      </w:r>
      <w:r w:rsidR="00D11389">
        <w:rPr>
          <w:rFonts w:ascii="Times New Roman" w:hAnsi="Times New Roman" w:cs="Times New Roman"/>
          <w:color w:val="000000"/>
        </w:rPr>
        <w:t xml:space="preserve"> to</w:t>
      </w:r>
      <w:r w:rsidR="00A648D6" w:rsidRPr="008E6E59">
        <w:rPr>
          <w:rFonts w:ascii="Times New Roman" w:hAnsi="Times New Roman" w:cs="Times New Roman"/>
          <w:color w:val="000000"/>
        </w:rPr>
        <w:t xml:space="preserve"> </w:t>
      </w:r>
      <w:r w:rsidR="006D263B" w:rsidRPr="008E6E59">
        <w:rPr>
          <w:rFonts w:ascii="Times New Roman" w:hAnsi="Times New Roman" w:cs="Times New Roman"/>
          <w:color w:val="000000"/>
        </w:rPr>
        <w:t>amplify</w:t>
      </w:r>
      <w:r w:rsidR="00A648D6" w:rsidRPr="008E6E59">
        <w:rPr>
          <w:rFonts w:ascii="Times New Roman" w:hAnsi="Times New Roman" w:cs="Times New Roman"/>
          <w:color w:val="000000"/>
        </w:rPr>
        <w:t xml:space="preserve"> the BLC</w:t>
      </w:r>
      <w:r w:rsidRPr="008E6E59">
        <w:rPr>
          <w:rFonts w:ascii="Times New Roman" w:hAnsi="Times New Roman" w:cs="Times New Roman"/>
          <w:color w:val="000000"/>
        </w:rPr>
        <w:t xml:space="preserve"> in the presence of expansionary monetary policy during normal economic times (Altunbas </w:t>
      </w:r>
      <w:r w:rsidRPr="00FD5406">
        <w:rPr>
          <w:rFonts w:ascii="Times New Roman" w:hAnsi="Times New Roman" w:cs="Times New Roman"/>
          <w:color w:val="000000"/>
        </w:rPr>
        <w:t>et al.</w:t>
      </w:r>
      <w:r w:rsidR="00C66054">
        <w:rPr>
          <w:rFonts w:ascii="Times New Roman" w:hAnsi="Times New Roman" w:cs="Times New Roman"/>
          <w:color w:val="000000"/>
        </w:rPr>
        <w:t>,</w:t>
      </w:r>
      <w:r w:rsidR="008A431E">
        <w:rPr>
          <w:rFonts w:ascii="Times New Roman" w:hAnsi="Times New Roman" w:cs="Times New Roman"/>
          <w:color w:val="000000"/>
        </w:rPr>
        <w:t xml:space="preserve"> </w:t>
      </w:r>
      <w:r w:rsidR="00665ACE" w:rsidRPr="008E6E59">
        <w:rPr>
          <w:rFonts w:ascii="Times New Roman" w:hAnsi="Times New Roman" w:cs="Times New Roman"/>
          <w:color w:val="000000"/>
        </w:rPr>
        <w:t>2009</w:t>
      </w:r>
      <w:r w:rsidR="00665ACE">
        <w:rPr>
          <w:rFonts w:ascii="Times New Roman" w:hAnsi="Times New Roman" w:cs="Times New Roman"/>
          <w:color w:val="000000"/>
        </w:rPr>
        <w:t>;</w:t>
      </w:r>
      <w:r w:rsidR="00FD5406">
        <w:rPr>
          <w:rFonts w:ascii="Times New Roman" w:hAnsi="Times New Roman" w:cs="Times New Roman"/>
          <w:color w:val="000000"/>
        </w:rPr>
        <w:t xml:space="preserve"> </w:t>
      </w:r>
      <w:r w:rsidRPr="008E6E59">
        <w:rPr>
          <w:rFonts w:ascii="Times New Roman" w:hAnsi="Times New Roman" w:cs="Times New Roman"/>
          <w:color w:val="000000"/>
        </w:rPr>
        <w:t>Loutskina</w:t>
      </w:r>
      <w:r w:rsidR="00FD5406">
        <w:rPr>
          <w:rFonts w:ascii="Times New Roman" w:hAnsi="Times New Roman" w:cs="Times New Roman"/>
          <w:color w:val="000000"/>
        </w:rPr>
        <w:t>,</w:t>
      </w:r>
      <w:r w:rsidRPr="008E6E59">
        <w:rPr>
          <w:rFonts w:ascii="Times New Roman" w:hAnsi="Times New Roman" w:cs="Times New Roman"/>
          <w:color w:val="000000"/>
        </w:rPr>
        <w:t xml:space="preserve"> 2011</w:t>
      </w:r>
      <w:r w:rsidR="008A431E">
        <w:rPr>
          <w:rFonts w:ascii="Times New Roman" w:hAnsi="Times New Roman" w:cs="Times New Roman"/>
          <w:color w:val="000000"/>
        </w:rPr>
        <w:t>)</w:t>
      </w:r>
      <w:r w:rsidRPr="008E6E59">
        <w:rPr>
          <w:rFonts w:ascii="Times New Roman" w:hAnsi="Times New Roman" w:cs="Times New Roman"/>
          <w:color w:val="000000"/>
        </w:rPr>
        <w:t xml:space="preserve">. </w:t>
      </w:r>
      <w:r w:rsidRPr="00FD5406">
        <w:rPr>
          <w:rFonts w:ascii="Times New Roman" w:hAnsi="Times New Roman" w:cs="Times New Roman"/>
          <w:i/>
          <w:iCs/>
          <w:color w:val="000000"/>
        </w:rPr>
        <w:t>Thirdly</w:t>
      </w:r>
      <w:r w:rsidRPr="008E6E59">
        <w:rPr>
          <w:rFonts w:ascii="Times New Roman" w:hAnsi="Times New Roman" w:cs="Times New Roman"/>
          <w:color w:val="000000"/>
        </w:rPr>
        <w:t>,</w:t>
      </w:r>
      <w:r w:rsidR="00D11389">
        <w:rPr>
          <w:rFonts w:ascii="Times New Roman" w:hAnsi="Times New Roman" w:cs="Times New Roman"/>
          <w:color w:val="000000"/>
        </w:rPr>
        <w:t xml:space="preserve"> IRFs from the</w:t>
      </w:r>
      <w:r w:rsidR="00C709B1" w:rsidRPr="008E6E59">
        <w:rPr>
          <w:rFonts w:ascii="Times New Roman" w:hAnsi="Times New Roman" w:cs="Times New Roman"/>
          <w:color w:val="000000"/>
        </w:rPr>
        <w:t xml:space="preserve"> third MSVAR </w:t>
      </w:r>
      <w:r w:rsidR="00D11389">
        <w:rPr>
          <w:rFonts w:ascii="Times New Roman" w:hAnsi="Times New Roman" w:cs="Times New Roman"/>
          <w:color w:val="000000"/>
        </w:rPr>
        <w:t xml:space="preserve">illustrate </w:t>
      </w:r>
      <w:r w:rsidR="00257AE0">
        <w:rPr>
          <w:rFonts w:ascii="Times New Roman" w:hAnsi="Times New Roman" w:cs="Times New Roman"/>
          <w:color w:val="000000"/>
        </w:rPr>
        <w:t>among</w:t>
      </w:r>
      <w:r w:rsidR="006F0896" w:rsidRPr="008E6E59">
        <w:rPr>
          <w:rFonts w:ascii="Times New Roman" w:hAnsi="Times New Roman" w:cs="Times New Roman"/>
          <w:color w:val="000000"/>
        </w:rPr>
        <w:t xml:space="preserve"> </w:t>
      </w:r>
      <w:r w:rsidR="002812A3" w:rsidRPr="008E6E59">
        <w:rPr>
          <w:rFonts w:ascii="Times New Roman" w:hAnsi="Times New Roman" w:cs="Times New Roman"/>
          <w:color w:val="000000"/>
        </w:rPr>
        <w:t xml:space="preserve">two </w:t>
      </w:r>
      <w:r w:rsidR="005C36BA" w:rsidRPr="008E6E59">
        <w:rPr>
          <w:rFonts w:ascii="Times New Roman" w:hAnsi="Times New Roman" w:cs="Times New Roman"/>
          <w:color w:val="000000"/>
        </w:rPr>
        <w:t>comparable</w:t>
      </w:r>
      <w:r w:rsidR="00AE2F9C" w:rsidRPr="008E6E59">
        <w:rPr>
          <w:rFonts w:ascii="Times New Roman" w:hAnsi="Times New Roman" w:cs="Times New Roman"/>
          <w:color w:val="000000"/>
        </w:rPr>
        <w:t xml:space="preserve"> sized </w:t>
      </w:r>
      <w:r w:rsidR="005A4879" w:rsidRPr="008E6E59">
        <w:rPr>
          <w:rFonts w:ascii="Times New Roman" w:hAnsi="Times New Roman" w:cs="Times New Roman"/>
          <w:color w:val="000000"/>
        </w:rPr>
        <w:t>expansionary</w:t>
      </w:r>
      <w:r w:rsidR="00AE2F9C" w:rsidRPr="008E6E59">
        <w:rPr>
          <w:rFonts w:ascii="Times New Roman" w:hAnsi="Times New Roman" w:cs="Times New Roman"/>
          <w:color w:val="000000"/>
        </w:rPr>
        <w:t xml:space="preserve"> monetary policy shock,</w:t>
      </w:r>
      <w:r w:rsidR="006F0896" w:rsidRPr="008E6E59">
        <w:rPr>
          <w:rFonts w:ascii="Times New Roman" w:hAnsi="Times New Roman" w:cs="Times New Roman"/>
          <w:color w:val="000000"/>
        </w:rPr>
        <w:t xml:space="preserve"> </w:t>
      </w:r>
      <w:r w:rsidR="00510E2E" w:rsidRPr="008E6E59">
        <w:rPr>
          <w:rFonts w:ascii="Times New Roman" w:hAnsi="Times New Roman" w:cs="Times New Roman"/>
          <w:color w:val="000000"/>
        </w:rPr>
        <w:t>policy is only effective in significantly reducing</w:t>
      </w:r>
      <w:r w:rsidR="006F0896" w:rsidRPr="008E6E59">
        <w:rPr>
          <w:rFonts w:ascii="Times New Roman" w:hAnsi="Times New Roman" w:cs="Times New Roman"/>
          <w:color w:val="000000"/>
        </w:rPr>
        <w:t xml:space="preserve"> money market</w:t>
      </w:r>
      <w:r w:rsidR="00510E2E" w:rsidRPr="008E6E59">
        <w:rPr>
          <w:rFonts w:ascii="Times New Roman" w:hAnsi="Times New Roman" w:cs="Times New Roman"/>
          <w:color w:val="000000"/>
        </w:rPr>
        <w:t xml:space="preserve"> spread in normal economic times</w:t>
      </w:r>
      <w:r w:rsidR="00D11389">
        <w:rPr>
          <w:rFonts w:ascii="Times New Roman" w:hAnsi="Times New Roman" w:cs="Times New Roman"/>
          <w:color w:val="000000"/>
        </w:rPr>
        <w:t>. This</w:t>
      </w:r>
      <w:r w:rsidR="00201D79" w:rsidRPr="008E6E59">
        <w:rPr>
          <w:rFonts w:ascii="Times New Roman" w:hAnsi="Times New Roman" w:cs="Times New Roman"/>
          <w:color w:val="000000"/>
        </w:rPr>
        <w:t xml:space="preserve"> enabl</w:t>
      </w:r>
      <w:r w:rsidR="00476399">
        <w:rPr>
          <w:rFonts w:ascii="Times New Roman" w:hAnsi="Times New Roman" w:cs="Times New Roman"/>
          <w:color w:val="000000"/>
        </w:rPr>
        <w:t>es</w:t>
      </w:r>
      <w:r w:rsidR="00201D79" w:rsidRPr="008E6E59">
        <w:rPr>
          <w:rFonts w:ascii="Times New Roman" w:hAnsi="Times New Roman" w:cs="Times New Roman"/>
          <w:color w:val="000000"/>
        </w:rPr>
        <w:t xml:space="preserve"> access </w:t>
      </w:r>
      <w:r w:rsidR="00476399">
        <w:rPr>
          <w:rFonts w:ascii="Times New Roman" w:hAnsi="Times New Roman" w:cs="Times New Roman"/>
          <w:color w:val="000000"/>
        </w:rPr>
        <w:t>of</w:t>
      </w:r>
      <w:r w:rsidR="00201D79" w:rsidRPr="008E6E59">
        <w:rPr>
          <w:rFonts w:ascii="Times New Roman" w:hAnsi="Times New Roman" w:cs="Times New Roman"/>
          <w:color w:val="000000"/>
        </w:rPr>
        <w:t xml:space="preserve"> cheap</w:t>
      </w:r>
      <w:r w:rsidR="000771F7">
        <w:rPr>
          <w:rFonts w:ascii="Times New Roman" w:hAnsi="Times New Roman" w:cs="Times New Roman"/>
          <w:color w:val="000000"/>
        </w:rPr>
        <w:t xml:space="preserve"> </w:t>
      </w:r>
      <w:r w:rsidR="00201D79" w:rsidRPr="008E6E59">
        <w:rPr>
          <w:rFonts w:ascii="Times New Roman" w:hAnsi="Times New Roman" w:cs="Times New Roman"/>
          <w:color w:val="000000"/>
        </w:rPr>
        <w:t>non-reservable labilities to depository institutions</w:t>
      </w:r>
      <w:r w:rsidR="00E17166" w:rsidRPr="008E6E59">
        <w:rPr>
          <w:rFonts w:ascii="Times New Roman" w:hAnsi="Times New Roman" w:cs="Times New Roman"/>
          <w:color w:val="000000"/>
        </w:rPr>
        <w:t xml:space="preserve"> </w:t>
      </w:r>
      <w:r w:rsidR="00476399">
        <w:rPr>
          <w:rFonts w:ascii="Times New Roman" w:hAnsi="Times New Roman" w:cs="Times New Roman"/>
          <w:color w:val="000000"/>
        </w:rPr>
        <w:t>which</w:t>
      </w:r>
      <w:r w:rsidR="00201D79" w:rsidRPr="008E6E59">
        <w:rPr>
          <w:rFonts w:ascii="Times New Roman" w:hAnsi="Times New Roman" w:cs="Times New Roman"/>
          <w:color w:val="000000"/>
        </w:rPr>
        <w:t xml:space="preserve"> in turn</w:t>
      </w:r>
      <w:r w:rsidR="009E4E2C" w:rsidRPr="008E6E59">
        <w:rPr>
          <w:rFonts w:ascii="Times New Roman" w:hAnsi="Times New Roman" w:cs="Times New Roman"/>
          <w:color w:val="000000"/>
        </w:rPr>
        <w:t xml:space="preserve"> facilitates </w:t>
      </w:r>
      <w:r w:rsidR="00476399">
        <w:rPr>
          <w:rFonts w:ascii="Times New Roman" w:hAnsi="Times New Roman" w:cs="Times New Roman"/>
          <w:color w:val="000000"/>
        </w:rPr>
        <w:t>to</w:t>
      </w:r>
      <w:r w:rsidR="00201D79" w:rsidRPr="008E6E59">
        <w:rPr>
          <w:rFonts w:ascii="Times New Roman" w:hAnsi="Times New Roman" w:cs="Times New Roman"/>
          <w:color w:val="000000"/>
        </w:rPr>
        <w:t xml:space="preserve"> increase mortgage</w:t>
      </w:r>
      <w:r w:rsidR="00476399">
        <w:rPr>
          <w:rFonts w:ascii="Times New Roman" w:hAnsi="Times New Roman" w:cs="Times New Roman"/>
          <w:color w:val="000000"/>
        </w:rPr>
        <w:t xml:space="preserve"> supply</w:t>
      </w:r>
      <w:r w:rsidR="001E168A">
        <w:rPr>
          <w:rFonts w:ascii="Times New Roman" w:hAnsi="Times New Roman" w:cs="Times New Roman"/>
          <w:color w:val="000000"/>
        </w:rPr>
        <w:t xml:space="preserve"> (</w:t>
      </w:r>
      <w:r w:rsidR="001E168A" w:rsidRPr="001E168A">
        <w:rPr>
          <w:rFonts w:ascii="Times New Roman" w:hAnsi="Times New Roman" w:cs="Times New Roman"/>
          <w:color w:val="000000"/>
        </w:rPr>
        <w:t>see Milcheva, 2013</w:t>
      </w:r>
      <w:r w:rsidR="001E168A">
        <w:rPr>
          <w:rFonts w:cs="Times New Roman"/>
          <w:color w:val="000000"/>
        </w:rPr>
        <w:t>)</w:t>
      </w:r>
      <w:r w:rsidR="00201D79" w:rsidRPr="008E6E59">
        <w:rPr>
          <w:rFonts w:ascii="Times New Roman" w:hAnsi="Times New Roman" w:cs="Times New Roman"/>
          <w:color w:val="000000"/>
        </w:rPr>
        <w:t>.</w:t>
      </w:r>
      <w:r w:rsidRPr="008E6E59">
        <w:rPr>
          <w:rFonts w:ascii="Times New Roman" w:hAnsi="Times New Roman" w:cs="Times New Roman"/>
          <w:color w:val="000000"/>
        </w:rPr>
        <w:t xml:space="preserve"> </w:t>
      </w:r>
      <w:r w:rsidRPr="00F72850">
        <w:rPr>
          <w:rFonts w:ascii="Times New Roman" w:hAnsi="Times New Roman" w:cs="Times New Roman"/>
          <w:i/>
          <w:iCs/>
          <w:color w:val="000000"/>
        </w:rPr>
        <w:t>Finally</w:t>
      </w:r>
      <w:r w:rsidRPr="008E6E59">
        <w:rPr>
          <w:rFonts w:ascii="Times New Roman" w:hAnsi="Times New Roman" w:cs="Times New Roman"/>
          <w:color w:val="000000"/>
        </w:rPr>
        <w:t>, banks</w:t>
      </w:r>
      <w:r w:rsidR="00F72850">
        <w:rPr>
          <w:rFonts w:ascii="Times New Roman" w:hAnsi="Times New Roman" w:cs="Times New Roman"/>
          <w:color w:val="000000"/>
        </w:rPr>
        <w:t>’</w:t>
      </w:r>
      <w:r w:rsidRPr="008E6E59">
        <w:rPr>
          <w:rFonts w:ascii="Times New Roman" w:hAnsi="Times New Roman" w:cs="Times New Roman"/>
          <w:color w:val="000000"/>
        </w:rPr>
        <w:t xml:space="preserve"> perception of risk increases during recessions compared to normal economic times. Given the higher risk perception </w:t>
      </w:r>
      <w:r w:rsidR="00A3352C">
        <w:rPr>
          <w:rFonts w:ascii="Times New Roman" w:hAnsi="Times New Roman" w:cs="Times New Roman"/>
          <w:color w:val="000000"/>
        </w:rPr>
        <w:t xml:space="preserve">an </w:t>
      </w:r>
      <w:r w:rsidRPr="008E6E59">
        <w:rPr>
          <w:rFonts w:ascii="Times New Roman" w:hAnsi="Times New Roman" w:cs="Times New Roman"/>
          <w:color w:val="000000"/>
        </w:rPr>
        <w:t>expansionary monetary policy</w:t>
      </w:r>
      <w:r w:rsidR="00DA506C">
        <w:rPr>
          <w:rFonts w:ascii="Times New Roman" w:hAnsi="Times New Roman" w:cs="Times New Roman"/>
          <w:color w:val="000000"/>
        </w:rPr>
        <w:t xml:space="preserve"> becomes</w:t>
      </w:r>
      <w:r w:rsidR="00DA506C" w:rsidRPr="008E6E59">
        <w:rPr>
          <w:rFonts w:ascii="Times New Roman" w:hAnsi="Times New Roman" w:cs="Times New Roman"/>
          <w:color w:val="000000"/>
        </w:rPr>
        <w:t xml:space="preserve"> less</w:t>
      </w:r>
      <w:r w:rsidRPr="008E6E59">
        <w:rPr>
          <w:rFonts w:ascii="Times New Roman" w:hAnsi="Times New Roman" w:cs="Times New Roman"/>
          <w:color w:val="000000"/>
        </w:rPr>
        <w:t xml:space="preserve"> effective in stimulating loan supply</w:t>
      </w:r>
      <w:r w:rsidR="000771F7">
        <w:rPr>
          <w:rFonts w:ascii="Times New Roman" w:hAnsi="Times New Roman" w:cs="Times New Roman"/>
          <w:color w:val="000000"/>
        </w:rPr>
        <w:t xml:space="preserve">, </w:t>
      </w:r>
      <w:r w:rsidRPr="008E6E59">
        <w:rPr>
          <w:rFonts w:ascii="Times New Roman" w:hAnsi="Times New Roman" w:cs="Times New Roman"/>
          <w:color w:val="000000"/>
        </w:rPr>
        <w:t xml:space="preserve">hence </w:t>
      </w:r>
      <w:r w:rsidR="002879D6">
        <w:rPr>
          <w:rFonts w:ascii="Times New Roman" w:hAnsi="Times New Roman" w:cs="Times New Roman"/>
          <w:color w:val="000000"/>
        </w:rPr>
        <w:t>resulting in a weaker</w:t>
      </w:r>
      <w:r w:rsidR="00DA506C">
        <w:rPr>
          <w:rFonts w:ascii="Times New Roman" w:hAnsi="Times New Roman" w:cs="Times New Roman"/>
          <w:color w:val="000000"/>
        </w:rPr>
        <w:t xml:space="preserve"> </w:t>
      </w:r>
      <w:r w:rsidR="00F145CB" w:rsidRPr="008E6E59">
        <w:rPr>
          <w:rFonts w:ascii="Times New Roman" w:hAnsi="Times New Roman" w:cs="Times New Roman"/>
          <w:color w:val="000000"/>
        </w:rPr>
        <w:t>BLC</w:t>
      </w:r>
      <w:r w:rsidR="00561B56">
        <w:rPr>
          <w:rFonts w:ascii="Times New Roman" w:hAnsi="Times New Roman" w:cs="Times New Roman"/>
          <w:color w:val="000000"/>
        </w:rPr>
        <w:t>,</w:t>
      </w:r>
      <w:r w:rsidR="00E96431">
        <w:rPr>
          <w:rFonts w:ascii="Times New Roman" w:hAnsi="Times New Roman" w:cs="Times New Roman"/>
          <w:color w:val="000000"/>
        </w:rPr>
        <w:t xml:space="preserve"> compared</w:t>
      </w:r>
      <w:r w:rsidR="00407B1D">
        <w:rPr>
          <w:rFonts w:ascii="Times New Roman" w:hAnsi="Times New Roman" w:cs="Times New Roman"/>
          <w:color w:val="000000"/>
        </w:rPr>
        <w:t xml:space="preserve"> to normal times when perception of risk is low.</w:t>
      </w:r>
    </w:p>
    <w:p w14:paraId="2FD738FB" w14:textId="7160567B" w:rsidR="00E46181" w:rsidRPr="00407B1D" w:rsidRDefault="00AE23C8" w:rsidP="00E46181">
      <w:pPr>
        <w:widowControl w:val="0"/>
        <w:autoSpaceDE w:val="0"/>
        <w:autoSpaceDN w:val="0"/>
        <w:adjustRightInd w:val="0"/>
        <w:spacing w:after="0"/>
        <w:ind w:right="91"/>
        <w:jc w:val="both"/>
        <w:outlineLvl w:val="0"/>
        <w:rPr>
          <w:rFonts w:ascii="Times New Roman" w:hAnsi="Times New Roman" w:cs="Times New Roman"/>
          <w:b/>
          <w:bCs/>
          <w:i/>
          <w:color w:val="000000" w:themeColor="text1"/>
        </w:rPr>
      </w:pPr>
      <w:r w:rsidRPr="00407B1D">
        <w:rPr>
          <w:rFonts w:ascii="Times New Roman" w:hAnsi="Times New Roman" w:cs="Times New Roman"/>
          <w:b/>
          <w:bCs/>
          <w:i/>
          <w:color w:val="000000" w:themeColor="text1"/>
        </w:rPr>
        <w:t>4.2</w:t>
      </w:r>
      <w:r w:rsidR="00207B66" w:rsidRPr="00407B1D">
        <w:rPr>
          <w:rFonts w:ascii="Times New Roman" w:hAnsi="Times New Roman" w:cs="Times New Roman"/>
          <w:b/>
          <w:bCs/>
          <w:i/>
          <w:color w:val="000000" w:themeColor="text1"/>
        </w:rPr>
        <w:t xml:space="preserve">. </w:t>
      </w:r>
      <w:r w:rsidR="00CF1C12" w:rsidRPr="00407B1D">
        <w:rPr>
          <w:rFonts w:ascii="Times New Roman" w:hAnsi="Times New Roman" w:cs="Times New Roman"/>
          <w:b/>
          <w:bCs/>
          <w:i/>
          <w:color w:val="000000" w:themeColor="text1"/>
        </w:rPr>
        <w:t>Robustness</w:t>
      </w:r>
    </w:p>
    <w:p w14:paraId="0AE7A78D" w14:textId="77777777" w:rsidR="00DB2BAF" w:rsidRDefault="00DB2BAF" w:rsidP="00695E61">
      <w:pPr>
        <w:widowControl w:val="0"/>
        <w:autoSpaceDE w:val="0"/>
        <w:autoSpaceDN w:val="0"/>
        <w:adjustRightInd w:val="0"/>
        <w:spacing w:after="0"/>
        <w:ind w:right="90"/>
        <w:jc w:val="both"/>
        <w:outlineLvl w:val="0"/>
        <w:rPr>
          <w:rFonts w:ascii="Times New Roman" w:hAnsi="Times New Roman" w:cs="Times New Roman"/>
          <w:color w:val="000000"/>
        </w:rPr>
      </w:pPr>
    </w:p>
    <w:p w14:paraId="599A34FE" w14:textId="2F556362" w:rsidR="00E46181" w:rsidRPr="003D2D36" w:rsidRDefault="002A3D6F" w:rsidP="00E46181">
      <w:pPr>
        <w:widowControl w:val="0"/>
        <w:autoSpaceDE w:val="0"/>
        <w:autoSpaceDN w:val="0"/>
        <w:adjustRightInd w:val="0"/>
        <w:spacing w:after="0" w:line="480" w:lineRule="auto"/>
        <w:ind w:right="90"/>
        <w:jc w:val="both"/>
        <w:outlineLvl w:val="0"/>
        <w:rPr>
          <w:rFonts w:ascii="Times New Roman" w:hAnsi="Times New Roman" w:cs="Times New Roman"/>
          <w:color w:val="000000" w:themeColor="text1"/>
        </w:rPr>
      </w:pPr>
      <w:r w:rsidRPr="003D2D36">
        <w:rPr>
          <w:rFonts w:ascii="Times New Roman" w:hAnsi="Times New Roman" w:cs="Times New Roman"/>
          <w:color w:val="000000" w:themeColor="text1"/>
        </w:rPr>
        <w:t>We conduct t</w:t>
      </w:r>
      <w:r w:rsidR="00E46181" w:rsidRPr="003D2D36">
        <w:rPr>
          <w:rFonts w:ascii="Times New Roman" w:hAnsi="Times New Roman" w:cs="Times New Roman"/>
          <w:color w:val="000000" w:themeColor="text1"/>
        </w:rPr>
        <w:t>wo</w:t>
      </w:r>
      <w:r w:rsidR="00BE34E7" w:rsidRPr="003D2D36">
        <w:rPr>
          <w:rFonts w:ascii="Times New Roman" w:hAnsi="Times New Roman" w:cs="Times New Roman"/>
          <w:color w:val="000000" w:themeColor="text1"/>
        </w:rPr>
        <w:t xml:space="preserve"> robustness</w:t>
      </w:r>
      <w:r w:rsidR="00E46181" w:rsidRPr="003D2D36">
        <w:rPr>
          <w:rFonts w:ascii="Times New Roman" w:hAnsi="Times New Roman" w:cs="Times New Roman"/>
          <w:color w:val="000000" w:themeColor="text1"/>
        </w:rPr>
        <w:t xml:space="preserve"> </w:t>
      </w:r>
      <w:r w:rsidR="0038053B" w:rsidRPr="003D2D36">
        <w:rPr>
          <w:rFonts w:ascii="Times New Roman" w:hAnsi="Times New Roman" w:cs="Times New Roman"/>
          <w:color w:val="000000" w:themeColor="text1"/>
        </w:rPr>
        <w:t>tests</w:t>
      </w:r>
      <w:r w:rsidR="00067D95" w:rsidRPr="003D2D36">
        <w:rPr>
          <w:rFonts w:ascii="Times New Roman" w:hAnsi="Times New Roman" w:cs="Times New Roman"/>
          <w:color w:val="000000" w:themeColor="text1"/>
        </w:rPr>
        <w:t xml:space="preserve"> to </w:t>
      </w:r>
      <w:r w:rsidR="001562AD" w:rsidRPr="003D2D36">
        <w:rPr>
          <w:rFonts w:ascii="Times New Roman" w:hAnsi="Times New Roman" w:cs="Times New Roman"/>
          <w:color w:val="000000" w:themeColor="text1"/>
        </w:rPr>
        <w:t xml:space="preserve">support our baseline findings. First, we </w:t>
      </w:r>
      <w:r w:rsidR="00ED38E0" w:rsidRPr="003D2D36">
        <w:rPr>
          <w:rFonts w:ascii="Times New Roman" w:hAnsi="Times New Roman" w:cs="Times New Roman"/>
          <w:color w:val="000000" w:themeColor="text1"/>
        </w:rPr>
        <w:t>re-estimate</w:t>
      </w:r>
      <w:r w:rsidR="001562AD" w:rsidRPr="003D2D36">
        <w:rPr>
          <w:rFonts w:ascii="Times New Roman" w:hAnsi="Times New Roman" w:cs="Times New Roman"/>
          <w:color w:val="000000" w:themeColor="text1"/>
        </w:rPr>
        <w:t xml:space="preserve"> the </w:t>
      </w:r>
      <w:r w:rsidR="00145D60" w:rsidRPr="003D2D36">
        <w:rPr>
          <w:rFonts w:ascii="Times New Roman" w:hAnsi="Times New Roman" w:cs="Times New Roman"/>
          <w:color w:val="000000" w:themeColor="text1"/>
        </w:rPr>
        <w:t>model by</w:t>
      </w:r>
      <w:r w:rsidR="005E4AA0" w:rsidRPr="003D2D36">
        <w:rPr>
          <w:rFonts w:ascii="Times New Roman" w:hAnsi="Times New Roman" w:cs="Times New Roman"/>
          <w:color w:val="000000" w:themeColor="text1"/>
        </w:rPr>
        <w:t xml:space="preserve"> using a</w:t>
      </w:r>
      <w:r w:rsidR="005E2F8A" w:rsidRPr="003D2D36">
        <w:rPr>
          <w:rFonts w:ascii="Times New Roman" w:hAnsi="Times New Roman" w:cs="Times New Roman"/>
          <w:color w:val="000000" w:themeColor="text1"/>
        </w:rPr>
        <w:t>n alternate</w:t>
      </w:r>
      <w:r w:rsidR="001562AD" w:rsidRPr="003D2D36">
        <w:rPr>
          <w:rFonts w:ascii="Times New Roman" w:hAnsi="Times New Roman" w:cs="Times New Roman"/>
          <w:color w:val="000000" w:themeColor="text1"/>
        </w:rPr>
        <w:t xml:space="preserve"> measure of</w:t>
      </w:r>
      <w:r w:rsidR="005E2F8A" w:rsidRPr="003D2D36">
        <w:rPr>
          <w:rFonts w:ascii="Times New Roman" w:hAnsi="Times New Roman" w:cs="Times New Roman"/>
          <w:color w:val="000000" w:themeColor="text1"/>
        </w:rPr>
        <w:t xml:space="preserve"> mo</w:t>
      </w:r>
      <w:r w:rsidR="00D367E5" w:rsidRPr="003D2D36">
        <w:rPr>
          <w:rFonts w:ascii="Times New Roman" w:hAnsi="Times New Roman" w:cs="Times New Roman"/>
          <w:color w:val="000000" w:themeColor="text1"/>
        </w:rPr>
        <w:t>netary polic</w:t>
      </w:r>
      <w:r w:rsidR="001562AD" w:rsidRPr="003D2D36">
        <w:rPr>
          <w:rFonts w:ascii="Times New Roman" w:hAnsi="Times New Roman" w:cs="Times New Roman"/>
          <w:color w:val="000000" w:themeColor="text1"/>
        </w:rPr>
        <w:t>y</w:t>
      </w:r>
      <w:r w:rsidR="00D367E5" w:rsidRPr="003D2D36">
        <w:rPr>
          <w:rFonts w:ascii="Times New Roman" w:hAnsi="Times New Roman" w:cs="Times New Roman"/>
          <w:color w:val="000000" w:themeColor="text1"/>
        </w:rPr>
        <w:t>,</w:t>
      </w:r>
      <w:r w:rsidR="001562AD" w:rsidRPr="003D2D36">
        <w:rPr>
          <w:rFonts w:ascii="Times New Roman" w:hAnsi="Times New Roman" w:cs="Times New Roman"/>
          <w:color w:val="000000" w:themeColor="text1"/>
        </w:rPr>
        <w:t xml:space="preserve"> viz., a</w:t>
      </w:r>
      <w:r w:rsidR="005E4AA0" w:rsidRPr="003D2D36">
        <w:rPr>
          <w:rFonts w:ascii="Times New Roman" w:hAnsi="Times New Roman" w:cs="Times New Roman"/>
          <w:color w:val="000000" w:themeColor="text1"/>
        </w:rPr>
        <w:t xml:space="preserve"> </w:t>
      </w:r>
      <w:r w:rsidR="00055903" w:rsidRPr="003D2D36">
        <w:rPr>
          <w:rFonts w:ascii="Times New Roman" w:hAnsi="Times New Roman" w:cs="Times New Roman"/>
          <w:color w:val="000000" w:themeColor="text1"/>
        </w:rPr>
        <w:t>shadow policy rate</w:t>
      </w:r>
      <w:r w:rsidR="007C58AC" w:rsidRPr="003D2D36">
        <w:rPr>
          <w:rFonts w:ascii="Times New Roman" w:hAnsi="Times New Roman" w:cs="Times New Roman"/>
          <w:color w:val="000000" w:themeColor="text1"/>
        </w:rPr>
        <w:t xml:space="preserve"> which takes account of both conventional and unconventional policy</w:t>
      </w:r>
      <w:r w:rsidR="00D367E5" w:rsidRPr="003D2D36">
        <w:rPr>
          <w:rFonts w:ascii="Times New Roman" w:hAnsi="Times New Roman" w:cs="Times New Roman"/>
          <w:color w:val="000000" w:themeColor="text1"/>
        </w:rPr>
        <w:t>.</w:t>
      </w:r>
      <w:r w:rsidR="00CE70C1" w:rsidRPr="003D2D36">
        <w:rPr>
          <w:rFonts w:ascii="Times New Roman" w:hAnsi="Times New Roman" w:cs="Times New Roman"/>
          <w:color w:val="000000" w:themeColor="text1"/>
        </w:rPr>
        <w:t xml:space="preserve"> </w:t>
      </w:r>
      <w:r w:rsidR="00D367E5" w:rsidRPr="003D2D36">
        <w:rPr>
          <w:rFonts w:ascii="Times New Roman" w:hAnsi="Times New Roman" w:cs="Times New Roman"/>
          <w:color w:val="000000" w:themeColor="text1"/>
        </w:rPr>
        <w:t>T</w:t>
      </w:r>
      <w:r w:rsidR="00CE70C1" w:rsidRPr="003D2D36">
        <w:rPr>
          <w:rFonts w:ascii="Times New Roman" w:hAnsi="Times New Roman" w:cs="Times New Roman"/>
          <w:color w:val="000000" w:themeColor="text1"/>
        </w:rPr>
        <w:t>he</w:t>
      </w:r>
      <w:r w:rsidR="00CA7480" w:rsidRPr="003D2D36">
        <w:rPr>
          <w:rFonts w:ascii="Times New Roman" w:hAnsi="Times New Roman" w:cs="Times New Roman"/>
          <w:color w:val="000000" w:themeColor="text1"/>
        </w:rPr>
        <w:t xml:space="preserve"> second test </w:t>
      </w:r>
      <w:r w:rsidR="00F47E70" w:rsidRPr="003D2D36">
        <w:rPr>
          <w:rFonts w:ascii="Times New Roman" w:hAnsi="Times New Roman" w:cs="Times New Roman"/>
          <w:color w:val="000000" w:themeColor="text1"/>
        </w:rPr>
        <w:t>is</w:t>
      </w:r>
      <w:r w:rsidR="00CA7480" w:rsidRPr="003D2D36">
        <w:rPr>
          <w:rFonts w:ascii="Times New Roman" w:hAnsi="Times New Roman" w:cs="Times New Roman"/>
          <w:color w:val="000000" w:themeColor="text1"/>
        </w:rPr>
        <w:t xml:space="preserve"> undertaken</w:t>
      </w:r>
      <w:r w:rsidR="004D5BB5" w:rsidRPr="003D2D36">
        <w:rPr>
          <w:rFonts w:ascii="Times New Roman" w:hAnsi="Times New Roman" w:cs="Times New Roman"/>
          <w:color w:val="000000" w:themeColor="text1"/>
        </w:rPr>
        <w:t xml:space="preserve"> </w:t>
      </w:r>
      <w:r w:rsidR="002479CD" w:rsidRPr="003D2D36">
        <w:rPr>
          <w:rFonts w:ascii="Times New Roman" w:hAnsi="Times New Roman" w:cs="Times New Roman"/>
          <w:color w:val="000000" w:themeColor="text1"/>
        </w:rPr>
        <w:t xml:space="preserve">to </w:t>
      </w:r>
      <w:r w:rsidR="001562AD" w:rsidRPr="003D2D36">
        <w:rPr>
          <w:rFonts w:ascii="Times New Roman" w:hAnsi="Times New Roman" w:cs="Times New Roman"/>
          <w:color w:val="000000" w:themeColor="text1"/>
        </w:rPr>
        <w:t xml:space="preserve">neutralise </w:t>
      </w:r>
      <w:r w:rsidR="002479CD" w:rsidRPr="003D2D36">
        <w:rPr>
          <w:rFonts w:ascii="Times New Roman" w:hAnsi="Times New Roman" w:cs="Times New Roman"/>
          <w:color w:val="000000" w:themeColor="text1"/>
        </w:rPr>
        <w:t xml:space="preserve">the </w:t>
      </w:r>
      <w:r w:rsidR="004D5BB5" w:rsidRPr="003D2D36">
        <w:rPr>
          <w:rFonts w:ascii="Times New Roman" w:hAnsi="Times New Roman" w:cs="Times New Roman"/>
          <w:color w:val="000000" w:themeColor="text1"/>
        </w:rPr>
        <w:t xml:space="preserve">existence of the </w:t>
      </w:r>
      <w:r w:rsidR="00F47E70" w:rsidRPr="003D2D36">
        <w:rPr>
          <w:rFonts w:ascii="Times New Roman" w:hAnsi="Times New Roman" w:cs="Times New Roman"/>
          <w:color w:val="000000" w:themeColor="text1"/>
        </w:rPr>
        <w:t>“</w:t>
      </w:r>
      <w:r w:rsidR="004D5BB5" w:rsidRPr="003D2D36">
        <w:rPr>
          <w:rFonts w:ascii="Times New Roman" w:hAnsi="Times New Roman" w:cs="Times New Roman"/>
          <w:i/>
          <w:iCs/>
          <w:color w:val="000000" w:themeColor="text1"/>
        </w:rPr>
        <w:t>flight to quality hypothesis</w:t>
      </w:r>
      <w:r w:rsidR="00F47E70" w:rsidRPr="003D2D36">
        <w:rPr>
          <w:rFonts w:ascii="Times New Roman" w:hAnsi="Times New Roman" w:cs="Times New Roman"/>
          <w:color w:val="000000" w:themeColor="text1"/>
        </w:rPr>
        <w:t>”</w:t>
      </w:r>
      <w:r w:rsidR="003D2D36">
        <w:rPr>
          <w:rFonts w:ascii="Times New Roman" w:hAnsi="Times New Roman" w:cs="Times New Roman"/>
          <w:color w:val="000000" w:themeColor="text1"/>
        </w:rPr>
        <w:t xml:space="preserve"> to</w:t>
      </w:r>
      <w:r w:rsidR="00597AA9" w:rsidRPr="003D2D36">
        <w:rPr>
          <w:rFonts w:ascii="Times New Roman" w:hAnsi="Times New Roman" w:cs="Times New Roman"/>
          <w:color w:val="000000" w:themeColor="text1"/>
        </w:rPr>
        <w:t xml:space="preserve"> further</w:t>
      </w:r>
      <w:r w:rsidR="005144E8" w:rsidRPr="003D2D36">
        <w:rPr>
          <w:rFonts w:ascii="Times New Roman" w:hAnsi="Times New Roman" w:cs="Times New Roman"/>
          <w:color w:val="000000" w:themeColor="text1"/>
        </w:rPr>
        <w:t xml:space="preserve"> validate the</w:t>
      </w:r>
      <w:r w:rsidR="00F47E70" w:rsidRPr="003D2D36">
        <w:rPr>
          <w:rFonts w:ascii="Times New Roman" w:hAnsi="Times New Roman" w:cs="Times New Roman"/>
          <w:color w:val="000000" w:themeColor="text1"/>
        </w:rPr>
        <w:t xml:space="preserve"> </w:t>
      </w:r>
      <w:r w:rsidR="005144E8" w:rsidRPr="003D2D36">
        <w:rPr>
          <w:rFonts w:ascii="Times New Roman" w:hAnsi="Times New Roman" w:cs="Times New Roman"/>
          <w:color w:val="000000" w:themeColor="text1"/>
        </w:rPr>
        <w:t>existence of</w:t>
      </w:r>
      <w:r w:rsidR="00F47E70" w:rsidRPr="003D2D36">
        <w:rPr>
          <w:rFonts w:ascii="Times New Roman" w:hAnsi="Times New Roman" w:cs="Times New Roman"/>
          <w:color w:val="000000" w:themeColor="text1"/>
        </w:rPr>
        <w:t xml:space="preserve"> the BLC</w:t>
      </w:r>
      <w:r w:rsidR="00F65869" w:rsidRPr="003D2D36">
        <w:rPr>
          <w:rFonts w:ascii="Times New Roman" w:hAnsi="Times New Roman" w:cs="Times New Roman"/>
          <w:color w:val="000000" w:themeColor="text1"/>
        </w:rPr>
        <w:t>.</w:t>
      </w:r>
      <w:r w:rsidR="00C82F6A" w:rsidRPr="003D2D36">
        <w:rPr>
          <w:rFonts w:ascii="Times New Roman" w:hAnsi="Times New Roman" w:cs="Times New Roman"/>
          <w:color w:val="000000" w:themeColor="text1"/>
        </w:rPr>
        <w:t xml:space="preserve"> </w:t>
      </w:r>
      <w:r w:rsidR="00397CF2" w:rsidRPr="003D2D36">
        <w:rPr>
          <w:rFonts w:ascii="Times New Roman" w:hAnsi="Times New Roman" w:cs="Times New Roman"/>
          <w:color w:val="000000" w:themeColor="text1"/>
        </w:rPr>
        <w:t xml:space="preserve"> </w:t>
      </w:r>
    </w:p>
    <w:p w14:paraId="31EA56CD" w14:textId="75B67CA6" w:rsidR="00850DA1" w:rsidRPr="008E6E59" w:rsidRDefault="00CA7480" w:rsidP="00850DA1">
      <w:pPr>
        <w:widowControl w:val="0"/>
        <w:autoSpaceDE w:val="0"/>
        <w:autoSpaceDN w:val="0"/>
        <w:adjustRightInd w:val="0"/>
        <w:spacing w:after="240" w:line="480" w:lineRule="auto"/>
        <w:ind w:firstLine="720"/>
        <w:jc w:val="both"/>
        <w:rPr>
          <w:rFonts w:ascii="Times New Roman" w:hAnsi="Times New Roman" w:cs="Times New Roman"/>
          <w:color w:val="000000"/>
        </w:rPr>
      </w:pPr>
      <w:r w:rsidRPr="008E6E59">
        <w:rPr>
          <w:rFonts w:ascii="Times New Roman" w:hAnsi="Times New Roman" w:cs="Times New Roman"/>
          <w:color w:val="000000"/>
        </w:rPr>
        <w:t>Since 2008, beside using</w:t>
      </w:r>
      <w:r w:rsidR="00A518F2" w:rsidRPr="008E6E59">
        <w:rPr>
          <w:rFonts w:ascii="Times New Roman" w:hAnsi="Times New Roman" w:cs="Times New Roman"/>
          <w:color w:val="000000"/>
        </w:rPr>
        <w:t xml:space="preserve"> conventional</w:t>
      </w:r>
      <w:r w:rsidRPr="008E6E59">
        <w:rPr>
          <w:rFonts w:ascii="Times New Roman" w:hAnsi="Times New Roman" w:cs="Times New Roman"/>
          <w:color w:val="000000"/>
        </w:rPr>
        <w:t xml:space="preserve"> policy</w:t>
      </w:r>
      <w:r w:rsidR="001153C4">
        <w:rPr>
          <w:rFonts w:ascii="Times New Roman" w:hAnsi="Times New Roman" w:cs="Times New Roman"/>
          <w:color w:val="000000"/>
        </w:rPr>
        <w:t xml:space="preserve">, </w:t>
      </w:r>
      <w:r w:rsidR="001153C4" w:rsidRPr="008E6E59">
        <w:rPr>
          <w:rFonts w:ascii="Times New Roman" w:hAnsi="Times New Roman" w:cs="Times New Roman"/>
          <w:color w:val="000000"/>
        </w:rPr>
        <w:t>the BoE</w:t>
      </w:r>
      <w:r w:rsidRPr="008E6E59">
        <w:rPr>
          <w:rFonts w:ascii="Times New Roman" w:hAnsi="Times New Roman" w:cs="Times New Roman"/>
          <w:color w:val="000000"/>
        </w:rPr>
        <w:t xml:space="preserve"> has been </w:t>
      </w:r>
      <w:r w:rsidR="009D2C6F">
        <w:rPr>
          <w:rFonts w:ascii="Times New Roman" w:hAnsi="Times New Roman" w:cs="Times New Roman"/>
          <w:color w:val="000000"/>
        </w:rPr>
        <w:t>employing</w:t>
      </w:r>
      <w:r w:rsidRPr="008E6E59">
        <w:rPr>
          <w:rFonts w:ascii="Times New Roman" w:hAnsi="Times New Roman" w:cs="Times New Roman"/>
          <w:color w:val="000000"/>
        </w:rPr>
        <w:t xml:space="preserve"> unconventiona</w:t>
      </w:r>
      <w:r w:rsidR="00554337" w:rsidRPr="008E6E59">
        <w:rPr>
          <w:rFonts w:ascii="Times New Roman" w:hAnsi="Times New Roman" w:cs="Times New Roman"/>
          <w:color w:val="000000"/>
        </w:rPr>
        <w:t>l</w:t>
      </w:r>
      <w:r w:rsidRPr="008E6E59">
        <w:rPr>
          <w:rFonts w:ascii="Times New Roman" w:hAnsi="Times New Roman" w:cs="Times New Roman"/>
          <w:color w:val="000000"/>
        </w:rPr>
        <w:t xml:space="preserve"> policy, such as quantitative easing (QE)</w:t>
      </w:r>
      <w:r w:rsidR="003D2D36">
        <w:rPr>
          <w:rFonts w:ascii="Times New Roman" w:hAnsi="Times New Roman" w:cs="Times New Roman"/>
          <w:color w:val="000000"/>
        </w:rPr>
        <w:t xml:space="preserve"> and forward guidance</w:t>
      </w:r>
      <w:r w:rsidRPr="008E6E59">
        <w:rPr>
          <w:rFonts w:ascii="Times New Roman" w:hAnsi="Times New Roman" w:cs="Times New Roman"/>
          <w:color w:val="000000"/>
        </w:rPr>
        <w:t xml:space="preserve">. </w:t>
      </w:r>
      <w:r w:rsidR="00AB3116" w:rsidRPr="008E6E59">
        <w:rPr>
          <w:rFonts w:ascii="Times New Roman" w:hAnsi="Times New Roman" w:cs="Times New Roman"/>
          <w:color w:val="000000"/>
        </w:rPr>
        <w:t xml:space="preserve">Recent </w:t>
      </w:r>
      <w:r w:rsidR="00695ACA">
        <w:rPr>
          <w:rFonts w:ascii="Times New Roman" w:hAnsi="Times New Roman" w:cs="Times New Roman"/>
          <w:color w:val="000000"/>
        </w:rPr>
        <w:t>findings</w:t>
      </w:r>
      <w:r w:rsidR="00AB3116" w:rsidRPr="008E6E59">
        <w:rPr>
          <w:rFonts w:ascii="Times New Roman" w:hAnsi="Times New Roman" w:cs="Times New Roman"/>
          <w:color w:val="000000"/>
        </w:rPr>
        <w:t xml:space="preserve"> by Butt</w:t>
      </w:r>
      <w:r w:rsidR="00AB4760" w:rsidRPr="008E6E59">
        <w:rPr>
          <w:rFonts w:ascii="Times New Roman" w:hAnsi="Times New Roman" w:cs="Times New Roman"/>
          <w:color w:val="000000"/>
        </w:rPr>
        <w:t>z</w:t>
      </w:r>
      <w:r w:rsidR="00AB3116" w:rsidRPr="008E6E59">
        <w:rPr>
          <w:rFonts w:ascii="Times New Roman" w:hAnsi="Times New Roman" w:cs="Times New Roman"/>
          <w:color w:val="000000"/>
        </w:rPr>
        <w:t xml:space="preserve"> </w:t>
      </w:r>
      <w:r w:rsidR="00AB3116" w:rsidRPr="003D2D36">
        <w:rPr>
          <w:rFonts w:ascii="Times New Roman" w:hAnsi="Times New Roman" w:cs="Times New Roman"/>
          <w:color w:val="000000"/>
        </w:rPr>
        <w:t>et al.</w:t>
      </w:r>
      <w:r w:rsidR="00AB3116" w:rsidRPr="008E6E59">
        <w:rPr>
          <w:rFonts w:ascii="Times New Roman" w:hAnsi="Times New Roman" w:cs="Times New Roman"/>
          <w:color w:val="000000"/>
        </w:rPr>
        <w:t xml:space="preserve"> (2015) </w:t>
      </w:r>
      <w:r w:rsidR="00695ACA">
        <w:rPr>
          <w:rFonts w:ascii="Times New Roman" w:hAnsi="Times New Roman" w:cs="Times New Roman"/>
          <w:color w:val="000000"/>
        </w:rPr>
        <w:t>illustrate</w:t>
      </w:r>
      <w:r w:rsidR="00AB3116" w:rsidRPr="008E6E59">
        <w:rPr>
          <w:rFonts w:ascii="Times New Roman" w:hAnsi="Times New Roman" w:cs="Times New Roman"/>
          <w:color w:val="000000"/>
        </w:rPr>
        <w:t xml:space="preserve"> QE created ‘flighty deposits’ in the UK banking system</w:t>
      </w:r>
      <w:r w:rsidR="00695ACA">
        <w:rPr>
          <w:rFonts w:ascii="Times New Roman" w:hAnsi="Times New Roman" w:cs="Times New Roman"/>
          <w:color w:val="000000"/>
        </w:rPr>
        <w:t>, leading to reduced</w:t>
      </w:r>
      <w:r w:rsidR="00AB3116" w:rsidRPr="008E6E59">
        <w:rPr>
          <w:rFonts w:ascii="Times New Roman" w:hAnsi="Times New Roman" w:cs="Times New Roman"/>
          <w:color w:val="000000"/>
        </w:rPr>
        <w:t xml:space="preserve"> effectiveness of the BLC during the 2008-10 crisis. </w:t>
      </w:r>
      <w:r w:rsidR="005F56F9" w:rsidRPr="008E6E59">
        <w:rPr>
          <w:rFonts w:ascii="Times New Roman" w:hAnsi="Times New Roman" w:cs="Times New Roman"/>
          <w:color w:val="000000"/>
        </w:rPr>
        <w:t>Contrary to</w:t>
      </w:r>
      <w:r w:rsidR="00AB3116" w:rsidRPr="008E6E59">
        <w:rPr>
          <w:rFonts w:ascii="Times New Roman" w:hAnsi="Times New Roman" w:cs="Times New Roman"/>
          <w:color w:val="000000"/>
        </w:rPr>
        <w:t xml:space="preserve"> this</w:t>
      </w:r>
      <w:r w:rsidR="00FC0DA2" w:rsidRPr="008E6E59">
        <w:rPr>
          <w:rFonts w:ascii="Times New Roman" w:hAnsi="Times New Roman" w:cs="Times New Roman"/>
          <w:color w:val="000000"/>
        </w:rPr>
        <w:t>,</w:t>
      </w:r>
      <w:r w:rsidR="00AB3116" w:rsidRPr="008E6E59">
        <w:rPr>
          <w:rFonts w:ascii="Times New Roman" w:hAnsi="Times New Roman" w:cs="Times New Roman"/>
          <w:color w:val="000000"/>
        </w:rPr>
        <w:t xml:space="preserve"> Bowmen </w:t>
      </w:r>
      <w:r w:rsidR="00AB3116" w:rsidRPr="00695ACA">
        <w:rPr>
          <w:rFonts w:ascii="Times New Roman" w:hAnsi="Times New Roman" w:cs="Times New Roman"/>
          <w:color w:val="000000"/>
        </w:rPr>
        <w:t>et al.</w:t>
      </w:r>
      <w:r w:rsidR="00AB3116" w:rsidRPr="008E6E59">
        <w:rPr>
          <w:rFonts w:ascii="Times New Roman" w:hAnsi="Times New Roman" w:cs="Times New Roman"/>
          <w:color w:val="000000"/>
        </w:rPr>
        <w:t xml:space="preserve"> (2011) </w:t>
      </w:r>
      <w:r w:rsidR="00D728A9">
        <w:rPr>
          <w:rFonts w:ascii="Times New Roman" w:hAnsi="Times New Roman" w:cs="Times New Roman"/>
          <w:color w:val="000000"/>
        </w:rPr>
        <w:t>illustrate</w:t>
      </w:r>
      <w:r w:rsidR="00AB3116" w:rsidRPr="008E6E59">
        <w:rPr>
          <w:rFonts w:ascii="Times New Roman" w:hAnsi="Times New Roman" w:cs="Times New Roman"/>
          <w:color w:val="000000"/>
        </w:rPr>
        <w:t xml:space="preserve"> QE incre</w:t>
      </w:r>
      <w:r w:rsidR="00FC0DA2" w:rsidRPr="008E6E59">
        <w:rPr>
          <w:rFonts w:ascii="Times New Roman" w:hAnsi="Times New Roman" w:cs="Times New Roman"/>
          <w:color w:val="000000"/>
        </w:rPr>
        <w:t>as</w:t>
      </w:r>
      <w:r w:rsidR="00A2186B">
        <w:rPr>
          <w:rFonts w:ascii="Times New Roman" w:hAnsi="Times New Roman" w:cs="Times New Roman"/>
          <w:color w:val="000000"/>
        </w:rPr>
        <w:t>ed</w:t>
      </w:r>
      <w:r w:rsidR="00AB3116" w:rsidRPr="008E6E59">
        <w:rPr>
          <w:rFonts w:ascii="Times New Roman" w:hAnsi="Times New Roman" w:cs="Times New Roman"/>
          <w:color w:val="000000"/>
        </w:rPr>
        <w:t xml:space="preserve"> lending in Japanese banks during 200</w:t>
      </w:r>
      <w:r w:rsidR="00695ACA">
        <w:rPr>
          <w:rFonts w:ascii="Times New Roman" w:hAnsi="Times New Roman" w:cs="Times New Roman"/>
          <w:color w:val="000000"/>
        </w:rPr>
        <w:t>8</w:t>
      </w:r>
      <w:r w:rsidR="00AB3116" w:rsidRPr="008E6E59">
        <w:rPr>
          <w:rFonts w:ascii="Times New Roman" w:hAnsi="Times New Roman" w:cs="Times New Roman"/>
          <w:color w:val="000000"/>
        </w:rPr>
        <w:t>-09</w:t>
      </w:r>
      <w:r w:rsidR="00FC0DA2" w:rsidRPr="008E6E59">
        <w:rPr>
          <w:rFonts w:ascii="Times New Roman" w:hAnsi="Times New Roman" w:cs="Times New Roman"/>
          <w:color w:val="000000"/>
        </w:rPr>
        <w:t>,</w:t>
      </w:r>
      <w:r w:rsidR="00AB3116" w:rsidRPr="008E6E59">
        <w:rPr>
          <w:rFonts w:ascii="Times New Roman" w:hAnsi="Times New Roman" w:cs="Times New Roman"/>
          <w:color w:val="000000"/>
        </w:rPr>
        <w:t xml:space="preserve"> by improving their liquidity position. Furthermore, Salachas </w:t>
      </w:r>
      <w:r w:rsidR="00AB3116" w:rsidRPr="00695ACA">
        <w:rPr>
          <w:rFonts w:ascii="Times New Roman" w:hAnsi="Times New Roman" w:cs="Times New Roman"/>
          <w:color w:val="000000"/>
        </w:rPr>
        <w:t>et al.</w:t>
      </w:r>
      <w:r w:rsidR="00AB3116" w:rsidRPr="008E6E59">
        <w:rPr>
          <w:rFonts w:ascii="Times New Roman" w:hAnsi="Times New Roman" w:cs="Times New Roman"/>
          <w:color w:val="000000"/>
        </w:rPr>
        <w:t xml:space="preserve"> (2017) </w:t>
      </w:r>
      <w:r w:rsidR="00FC0DA2" w:rsidRPr="008E6E59">
        <w:rPr>
          <w:rFonts w:ascii="Times New Roman" w:hAnsi="Times New Roman" w:cs="Times New Roman"/>
          <w:color w:val="000000"/>
        </w:rPr>
        <w:t>illustrate</w:t>
      </w:r>
      <w:r w:rsidR="00AB3116" w:rsidRPr="008E6E59">
        <w:rPr>
          <w:rFonts w:ascii="Times New Roman" w:hAnsi="Times New Roman" w:cs="Times New Roman"/>
          <w:color w:val="000000"/>
        </w:rPr>
        <w:t xml:space="preserve"> </w:t>
      </w:r>
      <w:r w:rsidR="00591CCE" w:rsidRPr="008E6E59">
        <w:rPr>
          <w:rFonts w:ascii="Times New Roman" w:hAnsi="Times New Roman" w:cs="Times New Roman"/>
          <w:color w:val="000000"/>
        </w:rPr>
        <w:t>during 2008</w:t>
      </w:r>
      <w:r w:rsidR="005F56F9" w:rsidRPr="008E6E59">
        <w:rPr>
          <w:rFonts w:ascii="Times New Roman" w:hAnsi="Times New Roman" w:cs="Times New Roman"/>
          <w:color w:val="000000"/>
        </w:rPr>
        <w:t>-</w:t>
      </w:r>
      <w:r w:rsidR="00717131" w:rsidRPr="008E6E59">
        <w:rPr>
          <w:rFonts w:ascii="Times New Roman" w:hAnsi="Times New Roman" w:cs="Times New Roman"/>
          <w:color w:val="000000"/>
        </w:rPr>
        <w:t>20</w:t>
      </w:r>
      <w:r w:rsidR="005F56F9" w:rsidRPr="008E6E59">
        <w:rPr>
          <w:rFonts w:ascii="Times New Roman" w:hAnsi="Times New Roman" w:cs="Times New Roman"/>
          <w:color w:val="000000"/>
        </w:rPr>
        <w:t>10</w:t>
      </w:r>
      <w:r w:rsidR="000243B8" w:rsidRPr="008E6E59">
        <w:rPr>
          <w:rFonts w:ascii="Times New Roman" w:hAnsi="Times New Roman" w:cs="Times New Roman"/>
          <w:color w:val="000000"/>
        </w:rPr>
        <w:t xml:space="preserve"> </w:t>
      </w:r>
      <w:r w:rsidR="00AB3116" w:rsidRPr="008E6E59">
        <w:rPr>
          <w:rFonts w:ascii="Times New Roman" w:hAnsi="Times New Roman" w:cs="Times New Roman"/>
          <w:color w:val="000000"/>
        </w:rPr>
        <w:t>crisis</w:t>
      </w:r>
      <w:r w:rsidR="00693F10" w:rsidRPr="008E6E59">
        <w:rPr>
          <w:rFonts w:ascii="Times New Roman" w:hAnsi="Times New Roman" w:cs="Times New Roman"/>
          <w:color w:val="000000"/>
        </w:rPr>
        <w:t>,</w:t>
      </w:r>
      <w:r w:rsidR="00AB3116" w:rsidRPr="008E6E59">
        <w:rPr>
          <w:rFonts w:ascii="Times New Roman" w:hAnsi="Times New Roman" w:cs="Times New Roman"/>
          <w:color w:val="000000"/>
        </w:rPr>
        <w:t xml:space="preserve"> </w:t>
      </w:r>
      <w:r w:rsidR="00695ACA" w:rsidRPr="008E6E59">
        <w:rPr>
          <w:rFonts w:ascii="Times New Roman" w:hAnsi="Times New Roman" w:cs="Times New Roman"/>
          <w:color w:val="000000"/>
        </w:rPr>
        <w:t>despite</w:t>
      </w:r>
      <w:r w:rsidR="00693F10" w:rsidRPr="008E6E59">
        <w:rPr>
          <w:rFonts w:ascii="Times New Roman" w:hAnsi="Times New Roman" w:cs="Times New Roman"/>
          <w:color w:val="000000"/>
        </w:rPr>
        <w:t xml:space="preserve"> </w:t>
      </w:r>
      <w:r w:rsidR="00AB3116" w:rsidRPr="008E6E59">
        <w:rPr>
          <w:rFonts w:ascii="Times New Roman" w:hAnsi="Times New Roman" w:cs="Times New Roman"/>
          <w:color w:val="000000"/>
        </w:rPr>
        <w:t>traditional monetary policy</w:t>
      </w:r>
      <w:r w:rsidR="00693F10" w:rsidRPr="008E6E59">
        <w:rPr>
          <w:rFonts w:ascii="Times New Roman" w:hAnsi="Times New Roman" w:cs="Times New Roman"/>
          <w:color w:val="000000"/>
        </w:rPr>
        <w:t xml:space="preserve"> being</w:t>
      </w:r>
      <w:r w:rsidR="00AB3116" w:rsidRPr="008E6E59">
        <w:rPr>
          <w:rFonts w:ascii="Times New Roman" w:hAnsi="Times New Roman" w:cs="Times New Roman"/>
          <w:color w:val="000000"/>
        </w:rPr>
        <w:t xml:space="preserve"> ineffective in stimulating the BLC,</w:t>
      </w:r>
      <w:r w:rsidR="00523B79" w:rsidRPr="008E6E59">
        <w:rPr>
          <w:rFonts w:ascii="Times New Roman" w:hAnsi="Times New Roman" w:cs="Times New Roman"/>
          <w:color w:val="000000"/>
        </w:rPr>
        <w:t xml:space="preserve"> </w:t>
      </w:r>
      <w:r w:rsidR="00693F10" w:rsidRPr="008E6E59">
        <w:rPr>
          <w:rFonts w:ascii="Times New Roman" w:hAnsi="Times New Roman" w:cs="Times New Roman"/>
          <w:color w:val="000000"/>
        </w:rPr>
        <w:t>QE had significant impact on</w:t>
      </w:r>
      <w:r w:rsidR="00717131" w:rsidRPr="008E6E59">
        <w:rPr>
          <w:rFonts w:ascii="Times New Roman" w:hAnsi="Times New Roman" w:cs="Times New Roman"/>
          <w:color w:val="000000"/>
        </w:rPr>
        <w:t xml:space="preserve"> the</w:t>
      </w:r>
      <w:r w:rsidR="00523B79" w:rsidRPr="008E6E59">
        <w:rPr>
          <w:rFonts w:ascii="Times New Roman" w:hAnsi="Times New Roman" w:cs="Times New Roman"/>
          <w:color w:val="000000"/>
        </w:rPr>
        <w:t xml:space="preserve"> BLC</w:t>
      </w:r>
      <w:r w:rsidR="00693F10" w:rsidRPr="008E6E59">
        <w:rPr>
          <w:rFonts w:ascii="Times New Roman" w:hAnsi="Times New Roman" w:cs="Times New Roman"/>
          <w:color w:val="000000"/>
        </w:rPr>
        <w:t xml:space="preserve">. </w:t>
      </w:r>
      <w:r w:rsidR="00CE70C1" w:rsidRPr="008E6E59">
        <w:rPr>
          <w:rFonts w:ascii="Times New Roman" w:hAnsi="Times New Roman" w:cs="Times New Roman"/>
          <w:color w:val="000000"/>
        </w:rPr>
        <w:t>T</w:t>
      </w:r>
      <w:r w:rsidR="00CB4207" w:rsidRPr="008E6E59">
        <w:rPr>
          <w:rFonts w:ascii="Times New Roman" w:hAnsi="Times New Roman" w:cs="Times New Roman"/>
          <w:color w:val="000000"/>
        </w:rPr>
        <w:t>hus</w:t>
      </w:r>
      <w:r w:rsidR="00B55A24" w:rsidRPr="008E6E59">
        <w:rPr>
          <w:rFonts w:ascii="Times New Roman" w:hAnsi="Times New Roman" w:cs="Times New Roman"/>
          <w:color w:val="000000"/>
        </w:rPr>
        <w:t>,</w:t>
      </w:r>
      <w:r w:rsidR="00693F10" w:rsidRPr="008E6E59">
        <w:rPr>
          <w:rFonts w:ascii="Times New Roman" w:hAnsi="Times New Roman" w:cs="Times New Roman"/>
          <w:color w:val="000000"/>
        </w:rPr>
        <w:t xml:space="preserve"> the </w:t>
      </w:r>
      <w:r w:rsidR="00411D88" w:rsidRPr="008E6E59">
        <w:rPr>
          <w:rFonts w:ascii="Times New Roman" w:hAnsi="Times New Roman" w:cs="Times New Roman"/>
          <w:color w:val="000000"/>
        </w:rPr>
        <w:t xml:space="preserve">impact of QE on the BLC </w:t>
      </w:r>
      <w:r w:rsidR="005F56F9" w:rsidRPr="008E6E59">
        <w:rPr>
          <w:rFonts w:ascii="Times New Roman" w:hAnsi="Times New Roman" w:cs="Times New Roman"/>
          <w:color w:val="000000"/>
        </w:rPr>
        <w:t>is</w:t>
      </w:r>
      <w:r w:rsidR="00411D88" w:rsidRPr="008E6E59">
        <w:rPr>
          <w:rFonts w:ascii="Times New Roman" w:hAnsi="Times New Roman" w:cs="Times New Roman"/>
          <w:color w:val="000000"/>
        </w:rPr>
        <w:t xml:space="preserve"> time and location </w:t>
      </w:r>
      <w:r w:rsidR="00693F10" w:rsidRPr="008E6E59">
        <w:rPr>
          <w:rFonts w:ascii="Times New Roman" w:hAnsi="Times New Roman" w:cs="Times New Roman"/>
          <w:color w:val="000000"/>
        </w:rPr>
        <w:t>specific.</w:t>
      </w:r>
      <w:r w:rsidR="00FB4436" w:rsidRPr="008E6E59">
        <w:rPr>
          <w:rFonts w:ascii="Times New Roman" w:hAnsi="Times New Roman" w:cs="Times New Roman"/>
          <w:color w:val="000000"/>
        </w:rPr>
        <w:t xml:space="preserve"> However</w:t>
      </w:r>
      <w:r w:rsidR="00693F10" w:rsidRPr="008E6E59">
        <w:rPr>
          <w:rFonts w:ascii="Times New Roman" w:hAnsi="Times New Roman" w:cs="Times New Roman"/>
          <w:color w:val="000000"/>
        </w:rPr>
        <w:t xml:space="preserve">, </w:t>
      </w:r>
      <w:r w:rsidR="00B7405D" w:rsidRPr="008E6E59">
        <w:rPr>
          <w:rFonts w:ascii="Times New Roman" w:hAnsi="Times New Roman" w:cs="Times New Roman"/>
          <w:color w:val="000000"/>
        </w:rPr>
        <w:t xml:space="preserve">rather than </w:t>
      </w:r>
      <w:r w:rsidR="00605896" w:rsidRPr="008E6E59">
        <w:rPr>
          <w:rFonts w:ascii="Times New Roman" w:hAnsi="Times New Roman" w:cs="Times New Roman"/>
          <w:color w:val="000000"/>
        </w:rPr>
        <w:t>assessing</w:t>
      </w:r>
      <w:r w:rsidR="00B7405D" w:rsidRPr="008E6E59">
        <w:rPr>
          <w:rFonts w:ascii="Times New Roman" w:hAnsi="Times New Roman" w:cs="Times New Roman"/>
          <w:color w:val="000000"/>
        </w:rPr>
        <w:t xml:space="preserve"> the </w:t>
      </w:r>
      <w:r w:rsidR="00717131" w:rsidRPr="008E6E59">
        <w:rPr>
          <w:rFonts w:ascii="Times New Roman" w:hAnsi="Times New Roman" w:cs="Times New Roman"/>
          <w:color w:val="000000"/>
        </w:rPr>
        <w:t>cumulative</w:t>
      </w:r>
      <w:r w:rsidR="00B7405D" w:rsidRPr="008E6E59">
        <w:rPr>
          <w:rFonts w:ascii="Times New Roman" w:hAnsi="Times New Roman" w:cs="Times New Roman"/>
          <w:color w:val="000000"/>
        </w:rPr>
        <w:t xml:space="preserve"> effect of</w:t>
      </w:r>
      <w:r w:rsidR="003B288B">
        <w:rPr>
          <w:rFonts w:ascii="Times New Roman" w:hAnsi="Times New Roman" w:cs="Times New Roman"/>
          <w:color w:val="000000"/>
        </w:rPr>
        <w:t xml:space="preserve"> </w:t>
      </w:r>
      <w:r w:rsidR="003B288B">
        <w:rPr>
          <w:rFonts w:ascii="Times New Roman" w:hAnsi="Times New Roman" w:cs="Times New Roman"/>
          <w:color w:val="000000"/>
        </w:rPr>
        <w:lastRenderedPageBreak/>
        <w:t>both</w:t>
      </w:r>
      <w:r w:rsidR="00B7405D" w:rsidRPr="008E6E59">
        <w:rPr>
          <w:rFonts w:ascii="Times New Roman" w:hAnsi="Times New Roman" w:cs="Times New Roman"/>
          <w:color w:val="000000"/>
        </w:rPr>
        <w:t xml:space="preserve"> </w:t>
      </w:r>
      <w:r w:rsidR="00CB4207" w:rsidRPr="008E6E59">
        <w:rPr>
          <w:rFonts w:ascii="Times New Roman" w:hAnsi="Times New Roman" w:cs="Times New Roman"/>
          <w:color w:val="000000"/>
        </w:rPr>
        <w:t>conventional and unconventional</w:t>
      </w:r>
      <w:r w:rsidR="00B7405D" w:rsidRPr="008E6E59">
        <w:rPr>
          <w:rFonts w:ascii="Times New Roman" w:hAnsi="Times New Roman" w:cs="Times New Roman"/>
          <w:color w:val="000000"/>
        </w:rPr>
        <w:t xml:space="preserve"> </w:t>
      </w:r>
      <w:r w:rsidR="003B288B">
        <w:rPr>
          <w:rFonts w:ascii="Times New Roman" w:hAnsi="Times New Roman" w:cs="Times New Roman"/>
          <w:color w:val="000000"/>
        </w:rPr>
        <w:t xml:space="preserve">monetary </w:t>
      </w:r>
      <w:r w:rsidR="00B7405D" w:rsidRPr="008E6E59">
        <w:rPr>
          <w:rFonts w:ascii="Times New Roman" w:hAnsi="Times New Roman" w:cs="Times New Roman"/>
          <w:color w:val="000000"/>
        </w:rPr>
        <w:t>policy</w:t>
      </w:r>
      <w:r w:rsidR="00693F10" w:rsidRPr="008E6E59">
        <w:rPr>
          <w:rFonts w:ascii="Times New Roman" w:hAnsi="Times New Roman" w:cs="Times New Roman"/>
          <w:color w:val="000000"/>
        </w:rPr>
        <w:t xml:space="preserve"> the above </w:t>
      </w:r>
      <w:r w:rsidR="001F0E77" w:rsidRPr="008E6E59">
        <w:rPr>
          <w:rFonts w:ascii="Times New Roman" w:hAnsi="Times New Roman" w:cs="Times New Roman"/>
          <w:color w:val="000000"/>
        </w:rPr>
        <w:t>st</w:t>
      </w:r>
      <w:r w:rsidR="00B7405D" w:rsidRPr="008E6E59">
        <w:rPr>
          <w:rFonts w:ascii="Times New Roman" w:hAnsi="Times New Roman" w:cs="Times New Roman"/>
          <w:color w:val="000000"/>
        </w:rPr>
        <w:t>ated studies</w:t>
      </w:r>
      <w:r w:rsidR="003B288B">
        <w:rPr>
          <w:rFonts w:ascii="Times New Roman" w:hAnsi="Times New Roman" w:cs="Times New Roman"/>
          <w:color w:val="000000"/>
        </w:rPr>
        <w:t xml:space="preserve"> mainly</w:t>
      </w:r>
      <w:r w:rsidR="00693F10" w:rsidRPr="008E6E59">
        <w:rPr>
          <w:rFonts w:ascii="Times New Roman" w:hAnsi="Times New Roman" w:cs="Times New Roman"/>
          <w:color w:val="000000"/>
        </w:rPr>
        <w:t xml:space="preserve"> </w:t>
      </w:r>
      <w:r w:rsidR="005C383F" w:rsidRPr="008E6E59">
        <w:rPr>
          <w:rFonts w:ascii="Times New Roman" w:hAnsi="Times New Roman" w:cs="Times New Roman"/>
          <w:color w:val="000000"/>
        </w:rPr>
        <w:t>examine</w:t>
      </w:r>
      <w:r w:rsidR="00693F10" w:rsidRPr="008E6E59">
        <w:rPr>
          <w:rFonts w:ascii="Times New Roman" w:hAnsi="Times New Roman" w:cs="Times New Roman"/>
          <w:color w:val="000000"/>
        </w:rPr>
        <w:t xml:space="preserve"> the</w:t>
      </w:r>
      <w:r w:rsidR="007A67BA" w:rsidRPr="008E6E59">
        <w:rPr>
          <w:rFonts w:ascii="Times New Roman" w:hAnsi="Times New Roman" w:cs="Times New Roman"/>
          <w:color w:val="000000"/>
        </w:rPr>
        <w:t xml:space="preserve"> impact </w:t>
      </w:r>
      <w:r w:rsidR="003B65C4" w:rsidRPr="008E6E59">
        <w:rPr>
          <w:rFonts w:ascii="Times New Roman" w:hAnsi="Times New Roman" w:cs="Times New Roman"/>
          <w:color w:val="000000"/>
        </w:rPr>
        <w:t>of</w:t>
      </w:r>
      <w:r w:rsidR="003F1A0A" w:rsidRPr="008E6E59">
        <w:rPr>
          <w:rFonts w:ascii="Times New Roman" w:hAnsi="Times New Roman" w:cs="Times New Roman"/>
          <w:color w:val="000000"/>
        </w:rPr>
        <w:t xml:space="preserve"> unconventional moneta</w:t>
      </w:r>
      <w:r w:rsidR="005C383F" w:rsidRPr="008E6E59">
        <w:rPr>
          <w:rFonts w:ascii="Times New Roman" w:hAnsi="Times New Roman" w:cs="Times New Roman"/>
          <w:color w:val="000000"/>
        </w:rPr>
        <w:t>ry policy</w:t>
      </w:r>
      <w:r w:rsidR="007A67BA" w:rsidRPr="008E6E59">
        <w:rPr>
          <w:rFonts w:ascii="Times New Roman" w:hAnsi="Times New Roman" w:cs="Times New Roman"/>
          <w:color w:val="000000"/>
        </w:rPr>
        <w:t xml:space="preserve"> on the BLC</w:t>
      </w:r>
      <w:r w:rsidR="00B7405D" w:rsidRPr="008E6E59">
        <w:rPr>
          <w:rFonts w:ascii="Times New Roman" w:hAnsi="Times New Roman" w:cs="Times New Roman"/>
          <w:color w:val="000000"/>
        </w:rPr>
        <w:t xml:space="preserve">. </w:t>
      </w:r>
      <w:r w:rsidR="0065191C" w:rsidRPr="008E6E59">
        <w:rPr>
          <w:rFonts w:ascii="Times New Roman" w:hAnsi="Times New Roman" w:cs="Times New Roman"/>
          <w:color w:val="000000"/>
        </w:rPr>
        <w:t xml:space="preserve"> </w:t>
      </w:r>
      <w:r w:rsidR="00B55A24" w:rsidRPr="008E6E59">
        <w:rPr>
          <w:rFonts w:ascii="Times New Roman" w:hAnsi="Times New Roman" w:cs="Times New Roman"/>
          <w:color w:val="000000"/>
        </w:rPr>
        <w:t>Thus,</w:t>
      </w:r>
      <w:r w:rsidR="00A904EB" w:rsidRPr="008E6E59">
        <w:rPr>
          <w:rFonts w:ascii="Times New Roman" w:hAnsi="Times New Roman" w:cs="Times New Roman"/>
          <w:color w:val="000000"/>
        </w:rPr>
        <w:t xml:space="preserve"> the use of shadow policy rate</w:t>
      </w:r>
      <w:r w:rsidR="00DC47A7" w:rsidRPr="008E6E59">
        <w:rPr>
          <w:rFonts w:ascii="Times New Roman" w:hAnsi="Times New Roman" w:cs="Times New Roman"/>
          <w:color w:val="000000"/>
        </w:rPr>
        <w:t xml:space="preserve"> not</w:t>
      </w:r>
      <w:r w:rsidR="00266F28" w:rsidRPr="008E6E59">
        <w:rPr>
          <w:rFonts w:ascii="Times New Roman" w:hAnsi="Times New Roman" w:cs="Times New Roman"/>
          <w:color w:val="000000"/>
        </w:rPr>
        <w:t xml:space="preserve"> just </w:t>
      </w:r>
      <w:r w:rsidR="009756A8" w:rsidRPr="008E6E59">
        <w:rPr>
          <w:rFonts w:ascii="Times New Roman" w:hAnsi="Times New Roman" w:cs="Times New Roman"/>
          <w:color w:val="000000"/>
        </w:rPr>
        <w:t>works as a</w:t>
      </w:r>
      <w:r w:rsidR="00266F28" w:rsidRPr="008E6E59">
        <w:rPr>
          <w:rFonts w:ascii="Times New Roman" w:hAnsi="Times New Roman" w:cs="Times New Roman"/>
          <w:color w:val="000000"/>
        </w:rPr>
        <w:t xml:space="preserve"> robustness </w:t>
      </w:r>
      <w:r w:rsidR="009756A8" w:rsidRPr="008E6E59">
        <w:rPr>
          <w:rFonts w:ascii="Times New Roman" w:hAnsi="Times New Roman" w:cs="Times New Roman"/>
          <w:color w:val="000000"/>
        </w:rPr>
        <w:t>test,</w:t>
      </w:r>
      <w:r w:rsidR="006D260A" w:rsidRPr="008E6E59">
        <w:rPr>
          <w:rFonts w:ascii="Times New Roman" w:hAnsi="Times New Roman" w:cs="Times New Roman"/>
          <w:color w:val="000000"/>
        </w:rPr>
        <w:t xml:space="preserve"> but</w:t>
      </w:r>
      <w:r w:rsidR="00464088" w:rsidRPr="008E6E59">
        <w:rPr>
          <w:rFonts w:ascii="Times New Roman" w:hAnsi="Times New Roman" w:cs="Times New Roman"/>
          <w:color w:val="000000"/>
        </w:rPr>
        <w:t xml:space="preserve"> it </w:t>
      </w:r>
      <w:r w:rsidR="006D260A" w:rsidRPr="008E6E59">
        <w:rPr>
          <w:rFonts w:ascii="Times New Roman" w:hAnsi="Times New Roman" w:cs="Times New Roman"/>
          <w:color w:val="000000"/>
        </w:rPr>
        <w:t>allows</w:t>
      </w:r>
      <w:r w:rsidR="003B288B">
        <w:rPr>
          <w:rFonts w:ascii="Times New Roman" w:hAnsi="Times New Roman" w:cs="Times New Roman"/>
          <w:color w:val="000000"/>
        </w:rPr>
        <w:t xml:space="preserve"> one</w:t>
      </w:r>
      <w:r w:rsidR="006D260A" w:rsidRPr="008E6E59">
        <w:rPr>
          <w:rFonts w:ascii="Times New Roman" w:hAnsi="Times New Roman" w:cs="Times New Roman"/>
          <w:color w:val="000000"/>
        </w:rPr>
        <w:t xml:space="preserve"> to</w:t>
      </w:r>
      <w:r w:rsidR="00A904EB" w:rsidRPr="008E6E59">
        <w:rPr>
          <w:rFonts w:ascii="Times New Roman" w:hAnsi="Times New Roman" w:cs="Times New Roman"/>
          <w:color w:val="000000"/>
        </w:rPr>
        <w:t xml:space="preserve"> examine the </w:t>
      </w:r>
      <w:r w:rsidR="009B15E4" w:rsidRPr="008E6E59">
        <w:rPr>
          <w:rFonts w:ascii="Times New Roman" w:hAnsi="Times New Roman" w:cs="Times New Roman"/>
          <w:color w:val="000000"/>
        </w:rPr>
        <w:t>aggregate impact</w:t>
      </w:r>
      <w:r w:rsidR="00853B63" w:rsidRPr="008E6E59">
        <w:rPr>
          <w:rFonts w:ascii="Times New Roman" w:hAnsi="Times New Roman" w:cs="Times New Roman"/>
          <w:color w:val="000000"/>
        </w:rPr>
        <w:t xml:space="preserve"> </w:t>
      </w:r>
      <w:r w:rsidR="00E202D8" w:rsidRPr="008E6E59">
        <w:rPr>
          <w:rFonts w:ascii="Times New Roman" w:hAnsi="Times New Roman" w:cs="Times New Roman"/>
          <w:color w:val="000000"/>
        </w:rPr>
        <w:t xml:space="preserve">of </w:t>
      </w:r>
      <w:r w:rsidR="006E0C22" w:rsidRPr="008E6E59">
        <w:rPr>
          <w:rFonts w:ascii="Times New Roman" w:hAnsi="Times New Roman" w:cs="Times New Roman"/>
          <w:color w:val="000000"/>
        </w:rPr>
        <w:t>monetary policy on the BLC</w:t>
      </w:r>
      <w:r w:rsidR="00A904EB" w:rsidRPr="008E6E59">
        <w:rPr>
          <w:rFonts w:ascii="Times New Roman" w:hAnsi="Times New Roman" w:cs="Times New Roman"/>
          <w:color w:val="000000"/>
        </w:rPr>
        <w:t>.</w:t>
      </w:r>
      <w:r w:rsidR="00506D0C" w:rsidRPr="008E6E59">
        <w:rPr>
          <w:rFonts w:ascii="Times New Roman" w:hAnsi="Times New Roman" w:cs="Times New Roman"/>
          <w:color w:val="000000"/>
        </w:rPr>
        <w:t xml:space="preserve"> </w:t>
      </w:r>
      <w:r w:rsidR="0030272F">
        <w:rPr>
          <w:rFonts w:ascii="Times New Roman" w:hAnsi="Times New Roman" w:cs="Times New Roman"/>
          <w:color w:val="000000"/>
        </w:rPr>
        <w:t>W</w:t>
      </w:r>
      <w:r w:rsidR="00506D0C" w:rsidRPr="008E6E59">
        <w:rPr>
          <w:rFonts w:ascii="Times New Roman" w:hAnsi="Times New Roman" w:cs="Times New Roman"/>
          <w:color w:val="000000"/>
        </w:rPr>
        <w:t>e</w:t>
      </w:r>
      <w:r w:rsidR="003B65C4" w:rsidRPr="008E6E59">
        <w:rPr>
          <w:rFonts w:ascii="Times New Roman" w:hAnsi="Times New Roman" w:cs="Times New Roman"/>
          <w:color w:val="000000"/>
        </w:rPr>
        <w:t xml:space="preserve"> u</w:t>
      </w:r>
      <w:r w:rsidR="00A904EB" w:rsidRPr="008E6E59">
        <w:rPr>
          <w:rFonts w:ascii="Times New Roman" w:hAnsi="Times New Roman" w:cs="Times New Roman"/>
          <w:color w:val="000000"/>
        </w:rPr>
        <w:t>se</w:t>
      </w:r>
      <w:r w:rsidR="003B65C4" w:rsidRPr="008E6E59">
        <w:rPr>
          <w:rFonts w:ascii="Times New Roman" w:hAnsi="Times New Roman" w:cs="Times New Roman"/>
          <w:color w:val="000000"/>
        </w:rPr>
        <w:t xml:space="preserve"> the shadow policy rate proposed by </w:t>
      </w:r>
      <w:r w:rsidR="006E0B64" w:rsidRPr="00390249">
        <w:rPr>
          <w:rFonts w:ascii="Times New Roman" w:hAnsi="Times New Roman" w:cs="Times New Roman"/>
          <w:color w:val="000000"/>
        </w:rPr>
        <w:t>Wu</w:t>
      </w:r>
      <w:r w:rsidR="003B65C4" w:rsidRPr="00390249">
        <w:rPr>
          <w:rFonts w:ascii="Times New Roman" w:hAnsi="Times New Roman" w:cs="Times New Roman"/>
          <w:color w:val="000000"/>
        </w:rPr>
        <w:t xml:space="preserve"> and</w:t>
      </w:r>
      <w:r w:rsidR="000E75F8" w:rsidRPr="00390249">
        <w:rPr>
          <w:rFonts w:ascii="Times New Roman" w:hAnsi="Times New Roman" w:cs="Times New Roman"/>
          <w:color w:val="000000"/>
        </w:rPr>
        <w:t xml:space="preserve"> </w:t>
      </w:r>
      <w:r w:rsidR="003B65C4" w:rsidRPr="00390249">
        <w:rPr>
          <w:rFonts w:ascii="Times New Roman" w:hAnsi="Times New Roman" w:cs="Times New Roman"/>
          <w:color w:val="000000"/>
        </w:rPr>
        <w:t>Xia (2016)</w:t>
      </w:r>
      <w:r w:rsidR="003B65C4" w:rsidRPr="008E6E59">
        <w:rPr>
          <w:rFonts w:ascii="Times New Roman" w:hAnsi="Times New Roman" w:cs="Times New Roman"/>
          <w:color w:val="000000"/>
        </w:rPr>
        <w:t xml:space="preserve"> </w:t>
      </w:r>
      <w:r w:rsidR="00BC70A7" w:rsidRPr="008E6E59">
        <w:rPr>
          <w:rFonts w:ascii="Times New Roman" w:hAnsi="Times New Roman" w:cs="Times New Roman"/>
          <w:color w:val="000000"/>
        </w:rPr>
        <w:t xml:space="preserve">in </w:t>
      </w:r>
      <w:r w:rsidR="005D3BEC" w:rsidRPr="008E6E59">
        <w:rPr>
          <w:rFonts w:ascii="Times New Roman" w:hAnsi="Times New Roman" w:cs="Times New Roman"/>
          <w:color w:val="000000"/>
        </w:rPr>
        <w:t>the</w:t>
      </w:r>
      <w:r w:rsidR="00BC70A7" w:rsidRPr="008E6E59">
        <w:rPr>
          <w:rFonts w:ascii="Times New Roman" w:hAnsi="Times New Roman" w:cs="Times New Roman"/>
          <w:color w:val="000000"/>
        </w:rPr>
        <w:t xml:space="preserve"> methodology proposed in section </w:t>
      </w:r>
      <w:r w:rsidR="00AE23C8">
        <w:rPr>
          <w:rFonts w:ascii="Times New Roman" w:hAnsi="Times New Roman" w:cs="Times New Roman"/>
          <w:color w:val="000000"/>
        </w:rPr>
        <w:t>3</w:t>
      </w:r>
      <w:r w:rsidR="00BC70A7" w:rsidRPr="008E6E59">
        <w:rPr>
          <w:rFonts w:ascii="Times New Roman" w:hAnsi="Times New Roman" w:cs="Times New Roman"/>
          <w:color w:val="000000"/>
        </w:rPr>
        <w:t>.</w:t>
      </w:r>
      <w:r w:rsidR="005D0525" w:rsidRPr="008E6E59">
        <w:rPr>
          <w:rFonts w:ascii="Times New Roman" w:hAnsi="Times New Roman" w:cs="Times New Roman"/>
          <w:color w:val="000000"/>
        </w:rPr>
        <w:t xml:space="preserve"> </w:t>
      </w:r>
    </w:p>
    <w:p w14:paraId="7673F839" w14:textId="494A983E" w:rsidR="00C92940" w:rsidRPr="00FF550D" w:rsidRDefault="00C92940" w:rsidP="00FF550D">
      <w:pPr>
        <w:pStyle w:val="ListParagraph"/>
        <w:widowControl w:val="0"/>
        <w:numPr>
          <w:ilvl w:val="0"/>
          <w:numId w:val="9"/>
        </w:numPr>
        <w:autoSpaceDE w:val="0"/>
        <w:autoSpaceDN w:val="0"/>
        <w:adjustRightInd w:val="0"/>
        <w:spacing w:line="480" w:lineRule="auto"/>
        <w:ind w:left="567" w:hanging="567"/>
        <w:jc w:val="both"/>
        <w:rPr>
          <w:rFonts w:ascii="Times New Roman" w:hAnsi="Times New Roman" w:cs="Times New Roman"/>
          <w:i/>
          <w:iCs/>
          <w:color w:val="000000"/>
        </w:rPr>
      </w:pPr>
      <w:r w:rsidRPr="00FF550D">
        <w:rPr>
          <w:rFonts w:ascii="Times New Roman" w:hAnsi="Times New Roman" w:cs="Times New Roman"/>
          <w:i/>
          <w:iCs/>
          <w:color w:val="000000"/>
        </w:rPr>
        <w:t>Alternative measure of monetary policy</w:t>
      </w:r>
    </w:p>
    <w:p w14:paraId="0E0BAC02" w14:textId="619B5C71" w:rsidR="009E6C43" w:rsidRPr="00C92940" w:rsidRDefault="009936E5" w:rsidP="00C92940">
      <w:pPr>
        <w:widowControl w:val="0"/>
        <w:autoSpaceDE w:val="0"/>
        <w:autoSpaceDN w:val="0"/>
        <w:adjustRightInd w:val="0"/>
        <w:spacing w:line="480" w:lineRule="auto"/>
        <w:jc w:val="both"/>
        <w:rPr>
          <w:rFonts w:ascii="Times New Roman" w:hAnsi="Times New Roman" w:cs="Times New Roman"/>
          <w:color w:val="000000"/>
        </w:rPr>
      </w:pPr>
      <w:r w:rsidRPr="00C92940">
        <w:rPr>
          <w:rFonts w:ascii="Times New Roman" w:hAnsi="Times New Roman" w:cs="Times New Roman"/>
          <w:color w:val="000000"/>
        </w:rPr>
        <w:t xml:space="preserve">The </w:t>
      </w:r>
      <w:r w:rsidR="006E0C22" w:rsidRPr="00C92940">
        <w:rPr>
          <w:rFonts w:ascii="Times New Roman" w:hAnsi="Times New Roman" w:cs="Times New Roman"/>
          <w:color w:val="000000"/>
        </w:rPr>
        <w:t xml:space="preserve">smooth </w:t>
      </w:r>
      <w:r w:rsidRPr="00C92940">
        <w:rPr>
          <w:rFonts w:ascii="Times New Roman" w:hAnsi="Times New Roman" w:cs="Times New Roman"/>
          <w:color w:val="000000"/>
        </w:rPr>
        <w:t>transition probabilities</w:t>
      </w:r>
      <w:r w:rsidR="005A181A" w:rsidRPr="00C92940">
        <w:rPr>
          <w:rFonts w:ascii="Times New Roman" w:hAnsi="Times New Roman" w:cs="Times New Roman"/>
          <w:color w:val="000000"/>
        </w:rPr>
        <w:t xml:space="preserve"> obtained from the</w:t>
      </w:r>
      <w:r w:rsidR="000134E4" w:rsidRPr="00C92940">
        <w:rPr>
          <w:rFonts w:ascii="Times New Roman" w:hAnsi="Times New Roman" w:cs="Times New Roman"/>
          <w:color w:val="000000"/>
        </w:rPr>
        <w:t xml:space="preserve"> MSVARs</w:t>
      </w:r>
      <w:r w:rsidR="005A181A" w:rsidRPr="00C92940">
        <w:rPr>
          <w:rFonts w:ascii="Times New Roman" w:hAnsi="Times New Roman" w:cs="Times New Roman"/>
          <w:color w:val="000000"/>
        </w:rPr>
        <w:t xml:space="preserve"> using</w:t>
      </w:r>
      <w:r w:rsidR="003B288B" w:rsidRPr="00C92940">
        <w:rPr>
          <w:rFonts w:ascii="Times New Roman" w:hAnsi="Times New Roman" w:cs="Times New Roman"/>
          <w:color w:val="000000"/>
        </w:rPr>
        <w:t xml:space="preserve"> the</w:t>
      </w:r>
      <w:r w:rsidR="005A181A" w:rsidRPr="00C92940">
        <w:rPr>
          <w:rFonts w:ascii="Times New Roman" w:hAnsi="Times New Roman" w:cs="Times New Roman"/>
          <w:color w:val="000000"/>
        </w:rPr>
        <w:t xml:space="preserve"> shadow </w:t>
      </w:r>
      <w:r w:rsidR="00CC1F62" w:rsidRPr="00C92940">
        <w:rPr>
          <w:rFonts w:ascii="Times New Roman" w:hAnsi="Times New Roman" w:cs="Times New Roman"/>
          <w:color w:val="000000"/>
        </w:rPr>
        <w:t>policy, presented</w:t>
      </w:r>
      <w:r w:rsidR="005D0525" w:rsidRPr="00C92940">
        <w:rPr>
          <w:rFonts w:ascii="Times New Roman" w:hAnsi="Times New Roman" w:cs="Times New Roman"/>
          <w:color w:val="000000"/>
        </w:rPr>
        <w:t xml:space="preserve"> in </w:t>
      </w:r>
      <w:r w:rsidR="006E0C22" w:rsidRPr="00C92940">
        <w:rPr>
          <w:rFonts w:ascii="Times New Roman" w:hAnsi="Times New Roman" w:cs="Times New Roman"/>
          <w:color w:val="000000" w:themeColor="text1"/>
        </w:rPr>
        <w:t>figure 3</w:t>
      </w:r>
      <w:r w:rsidR="00FF550D">
        <w:rPr>
          <w:rFonts w:ascii="Times New Roman" w:hAnsi="Times New Roman" w:cs="Times New Roman"/>
          <w:color w:val="000000" w:themeColor="text1"/>
        </w:rPr>
        <w:t>,</w:t>
      </w:r>
      <w:r w:rsidR="005D0525" w:rsidRPr="00C92940">
        <w:rPr>
          <w:rFonts w:ascii="Times New Roman" w:hAnsi="Times New Roman" w:cs="Times New Roman"/>
          <w:color w:val="FF0000"/>
        </w:rPr>
        <w:t xml:space="preserve"> </w:t>
      </w:r>
      <w:r w:rsidR="005D0525" w:rsidRPr="00C92940">
        <w:rPr>
          <w:rFonts w:ascii="Times New Roman" w:hAnsi="Times New Roman" w:cs="Times New Roman"/>
          <w:color w:val="000000"/>
        </w:rPr>
        <w:t>are</w:t>
      </w:r>
      <w:r w:rsidR="00D06A73" w:rsidRPr="00C92940">
        <w:rPr>
          <w:rFonts w:ascii="Times New Roman" w:hAnsi="Times New Roman" w:cs="Times New Roman"/>
          <w:color w:val="000000"/>
        </w:rPr>
        <w:t xml:space="preserve"> analogous</w:t>
      </w:r>
      <w:r w:rsidR="005D0525" w:rsidRPr="00C92940">
        <w:rPr>
          <w:rFonts w:ascii="Times New Roman" w:hAnsi="Times New Roman" w:cs="Times New Roman"/>
          <w:color w:val="000000"/>
        </w:rPr>
        <w:t xml:space="preserve"> to </w:t>
      </w:r>
      <w:r w:rsidR="00A87222" w:rsidRPr="00C92940">
        <w:rPr>
          <w:rFonts w:ascii="Times New Roman" w:hAnsi="Times New Roman" w:cs="Times New Roman"/>
          <w:color w:val="000000"/>
        </w:rPr>
        <w:t>the earlier models</w:t>
      </w:r>
      <w:r w:rsidR="00FE72CA" w:rsidRPr="00C92940">
        <w:rPr>
          <w:rFonts w:ascii="Times New Roman" w:hAnsi="Times New Roman" w:cs="Times New Roman"/>
          <w:color w:val="000000"/>
        </w:rPr>
        <w:t xml:space="preserve"> (</w:t>
      </w:r>
      <w:r w:rsidR="00A87222" w:rsidRPr="00C92940">
        <w:rPr>
          <w:rFonts w:ascii="Times New Roman" w:hAnsi="Times New Roman" w:cs="Times New Roman"/>
          <w:color w:val="000000"/>
        </w:rPr>
        <w:t xml:space="preserve">presented </w:t>
      </w:r>
      <w:r w:rsidR="005D0525" w:rsidRPr="00C92940">
        <w:rPr>
          <w:rFonts w:ascii="Times New Roman" w:hAnsi="Times New Roman" w:cs="Times New Roman"/>
          <w:color w:val="000000"/>
        </w:rPr>
        <w:t xml:space="preserve">in figure </w:t>
      </w:r>
      <w:r w:rsidR="0032476F" w:rsidRPr="00C92940">
        <w:rPr>
          <w:rFonts w:ascii="Times New Roman" w:hAnsi="Times New Roman" w:cs="Times New Roman"/>
          <w:color w:val="000000"/>
        </w:rPr>
        <w:t>1</w:t>
      </w:r>
      <w:r w:rsidR="00FE72CA" w:rsidRPr="00C92940">
        <w:rPr>
          <w:rFonts w:ascii="Times New Roman" w:hAnsi="Times New Roman" w:cs="Times New Roman"/>
          <w:color w:val="000000"/>
        </w:rPr>
        <w:t>)</w:t>
      </w:r>
      <w:r w:rsidR="005D0525" w:rsidRPr="00C92940">
        <w:rPr>
          <w:rFonts w:ascii="Times New Roman" w:hAnsi="Times New Roman" w:cs="Times New Roman"/>
          <w:color w:val="000000"/>
        </w:rPr>
        <w:t>.</w:t>
      </w:r>
      <w:r w:rsidR="003B65C4" w:rsidRPr="00C92940">
        <w:rPr>
          <w:rFonts w:ascii="Times New Roman" w:hAnsi="Times New Roman" w:cs="Times New Roman"/>
          <w:color w:val="000000"/>
        </w:rPr>
        <w:t xml:space="preserve"> </w:t>
      </w:r>
      <w:r w:rsidR="00FE1E34" w:rsidRPr="00C92940">
        <w:rPr>
          <w:rFonts w:ascii="Times New Roman" w:hAnsi="Times New Roman" w:cs="Times New Roman"/>
          <w:color w:val="000000"/>
        </w:rPr>
        <w:t xml:space="preserve">The </w:t>
      </w:r>
      <w:r w:rsidR="005648F7" w:rsidRPr="00C92940">
        <w:rPr>
          <w:rFonts w:ascii="Times New Roman" w:hAnsi="Times New Roman" w:cs="Times New Roman"/>
          <w:color w:val="000000"/>
        </w:rPr>
        <w:t xml:space="preserve">regime </w:t>
      </w:r>
      <w:r w:rsidR="009F5990" w:rsidRPr="00C92940">
        <w:rPr>
          <w:rFonts w:ascii="Times New Roman" w:hAnsi="Times New Roman" w:cs="Times New Roman"/>
          <w:color w:val="000000"/>
        </w:rPr>
        <w:t>dependent</w:t>
      </w:r>
      <w:r w:rsidR="00CC1F62" w:rsidRPr="00C92940">
        <w:rPr>
          <w:rFonts w:ascii="Times New Roman" w:hAnsi="Times New Roman" w:cs="Times New Roman"/>
          <w:color w:val="000000"/>
        </w:rPr>
        <w:t xml:space="preserve"> IRFs</w:t>
      </w:r>
      <w:r w:rsidR="00F176ED" w:rsidRPr="00C92940">
        <w:rPr>
          <w:rFonts w:ascii="Times New Roman" w:hAnsi="Times New Roman" w:cs="Times New Roman"/>
          <w:color w:val="000000"/>
        </w:rPr>
        <w:t xml:space="preserve"> </w:t>
      </w:r>
      <w:r w:rsidR="008B4AD1" w:rsidRPr="00C92940">
        <w:rPr>
          <w:rFonts w:ascii="Times New Roman" w:hAnsi="Times New Roman" w:cs="Times New Roman"/>
          <w:color w:val="000000"/>
        </w:rPr>
        <w:t>obtained from the</w:t>
      </w:r>
      <w:r w:rsidR="001A73F7" w:rsidRPr="00C92940">
        <w:rPr>
          <w:rFonts w:ascii="Times New Roman" w:hAnsi="Times New Roman" w:cs="Times New Roman"/>
          <w:color w:val="000000"/>
        </w:rPr>
        <w:t>se</w:t>
      </w:r>
      <w:r w:rsidR="008B4AD1" w:rsidRPr="00C92940">
        <w:rPr>
          <w:rFonts w:ascii="Times New Roman" w:hAnsi="Times New Roman" w:cs="Times New Roman"/>
          <w:color w:val="000000"/>
        </w:rPr>
        <w:t xml:space="preserve"> models presented in </w:t>
      </w:r>
      <w:r w:rsidR="00E2017E" w:rsidRPr="00C92940">
        <w:rPr>
          <w:rFonts w:ascii="Times New Roman" w:hAnsi="Times New Roman" w:cs="Times New Roman"/>
          <w:color w:val="000000"/>
        </w:rPr>
        <w:t>figure 4</w:t>
      </w:r>
      <w:r w:rsidR="00F25D16" w:rsidRPr="00C92940">
        <w:rPr>
          <w:rFonts w:ascii="Times New Roman" w:hAnsi="Times New Roman" w:cs="Times New Roman"/>
          <w:color w:val="000000"/>
        </w:rPr>
        <w:t>,</w:t>
      </w:r>
      <w:r w:rsidR="00AE7D23" w:rsidRPr="00C92940">
        <w:rPr>
          <w:rFonts w:ascii="Times New Roman" w:hAnsi="Times New Roman" w:cs="Times New Roman"/>
          <w:color w:val="000000"/>
        </w:rPr>
        <w:t xml:space="preserve"> are</w:t>
      </w:r>
      <w:r w:rsidR="00CC1F62" w:rsidRPr="00C92940">
        <w:rPr>
          <w:rFonts w:ascii="Times New Roman" w:hAnsi="Times New Roman" w:cs="Times New Roman"/>
          <w:color w:val="000000"/>
        </w:rPr>
        <w:t xml:space="preserve"> also</w:t>
      </w:r>
      <w:r w:rsidR="00AE7D23" w:rsidRPr="00C92940">
        <w:rPr>
          <w:rFonts w:ascii="Times New Roman" w:hAnsi="Times New Roman" w:cs="Times New Roman"/>
          <w:color w:val="000000"/>
        </w:rPr>
        <w:t xml:space="preserve"> similar in</w:t>
      </w:r>
      <w:r w:rsidR="005D3BEC" w:rsidRPr="00C92940">
        <w:rPr>
          <w:rFonts w:ascii="Times New Roman" w:hAnsi="Times New Roman" w:cs="Times New Roman"/>
          <w:color w:val="000000"/>
        </w:rPr>
        <w:t xml:space="preserve"> magnitude and persistence</w:t>
      </w:r>
      <w:r w:rsidR="00AE7D23" w:rsidRPr="00C92940">
        <w:rPr>
          <w:rFonts w:ascii="Times New Roman" w:hAnsi="Times New Roman" w:cs="Times New Roman"/>
          <w:color w:val="000000"/>
        </w:rPr>
        <w:t xml:space="preserve"> </w:t>
      </w:r>
      <w:r w:rsidR="00547F35" w:rsidRPr="00C92940">
        <w:rPr>
          <w:rFonts w:ascii="Times New Roman" w:hAnsi="Times New Roman" w:cs="Times New Roman"/>
          <w:color w:val="000000"/>
        </w:rPr>
        <w:t xml:space="preserve">to the </w:t>
      </w:r>
      <w:r w:rsidR="00BA3E34" w:rsidRPr="00C92940">
        <w:rPr>
          <w:rFonts w:ascii="Times New Roman" w:hAnsi="Times New Roman" w:cs="Times New Roman"/>
          <w:color w:val="000000"/>
        </w:rPr>
        <w:t>earlier ones</w:t>
      </w:r>
      <w:r w:rsidR="000134E4" w:rsidRPr="00C92940">
        <w:rPr>
          <w:rFonts w:ascii="Times New Roman" w:hAnsi="Times New Roman" w:cs="Times New Roman"/>
          <w:color w:val="000000"/>
        </w:rPr>
        <w:t xml:space="preserve"> (</w:t>
      </w:r>
      <w:r w:rsidR="00AE7D23" w:rsidRPr="00C92940">
        <w:rPr>
          <w:rFonts w:ascii="Times New Roman" w:hAnsi="Times New Roman" w:cs="Times New Roman"/>
          <w:color w:val="000000"/>
        </w:rPr>
        <w:t>presented in figure 2</w:t>
      </w:r>
      <w:r w:rsidR="000134E4" w:rsidRPr="00C92940">
        <w:rPr>
          <w:rFonts w:ascii="Times New Roman" w:hAnsi="Times New Roman" w:cs="Times New Roman"/>
          <w:color w:val="000000"/>
        </w:rPr>
        <w:t>)</w:t>
      </w:r>
      <w:r w:rsidR="00BA3E34" w:rsidRPr="00C92940">
        <w:rPr>
          <w:rFonts w:ascii="Times New Roman" w:hAnsi="Times New Roman" w:cs="Times New Roman"/>
          <w:color w:val="000000"/>
        </w:rPr>
        <w:t>.</w:t>
      </w:r>
      <w:r w:rsidR="006D260A" w:rsidRPr="00C92940">
        <w:rPr>
          <w:rFonts w:ascii="Times New Roman" w:hAnsi="Times New Roman" w:cs="Times New Roman"/>
          <w:color w:val="000000"/>
        </w:rPr>
        <w:t xml:space="preserve"> </w:t>
      </w:r>
      <w:r w:rsidR="00FF7806" w:rsidRPr="00C92940">
        <w:rPr>
          <w:rFonts w:ascii="Times New Roman" w:hAnsi="Times New Roman" w:cs="Times New Roman"/>
          <w:color w:val="000000"/>
        </w:rPr>
        <w:t xml:space="preserve">After a one standard deviation </w:t>
      </w:r>
      <w:r w:rsidR="00E66033" w:rsidRPr="00C92940">
        <w:rPr>
          <w:rFonts w:ascii="Times New Roman" w:hAnsi="Times New Roman" w:cs="Times New Roman"/>
          <w:color w:val="000000"/>
        </w:rPr>
        <w:t xml:space="preserve">cut in shadow policy rate response of </w:t>
      </w:r>
      <m:oMath>
        <m:r>
          <w:rPr>
            <w:rFonts w:ascii="Cambria Math" w:hAnsi="Cambria Math" w:cs="Times New Roman"/>
            <w:color w:val="000000"/>
          </w:rPr>
          <m:t>∆gdp</m:t>
        </m:r>
      </m:oMath>
      <w:r w:rsidR="00E66033" w:rsidRPr="00C92940">
        <w:rPr>
          <w:rFonts w:ascii="Times New Roman" w:hAnsi="Times New Roman" w:cs="Times New Roman"/>
          <w:color w:val="000000"/>
        </w:rPr>
        <w:t xml:space="preserve"> and </w:t>
      </w:r>
      <m:oMath>
        <m:r>
          <w:rPr>
            <w:rFonts w:ascii="Cambria Math" w:hAnsi="Cambria Math" w:cs="Times New Roman"/>
            <w:color w:val="000000"/>
          </w:rPr>
          <m:t>∆hp</m:t>
        </m:r>
      </m:oMath>
      <w:r w:rsidR="00E66033" w:rsidRPr="00C92940">
        <w:rPr>
          <w:rFonts w:ascii="Times New Roman" w:hAnsi="Times New Roman" w:cs="Times New Roman"/>
          <w:color w:val="000000"/>
        </w:rPr>
        <w:t xml:space="preserve"> </w:t>
      </w:r>
      <w:r w:rsidR="000E75F8" w:rsidRPr="00C92940">
        <w:rPr>
          <w:rFonts w:ascii="Times New Roman" w:hAnsi="Times New Roman" w:cs="Times New Roman"/>
          <w:color w:val="000000"/>
        </w:rPr>
        <w:t>are</w:t>
      </w:r>
      <w:r w:rsidR="00E66033" w:rsidRPr="00C92940">
        <w:rPr>
          <w:rFonts w:ascii="Times New Roman" w:hAnsi="Times New Roman" w:cs="Times New Roman"/>
          <w:color w:val="000000"/>
        </w:rPr>
        <w:t xml:space="preserve"> significant and larger in</w:t>
      </w:r>
      <w:r w:rsidR="00CC1F62" w:rsidRPr="00C92940">
        <w:rPr>
          <w:rFonts w:ascii="Times New Roman" w:hAnsi="Times New Roman" w:cs="Times New Roman"/>
          <w:color w:val="000000"/>
        </w:rPr>
        <w:t xml:space="preserve"> expansion in</w:t>
      </w:r>
      <w:r w:rsidR="00E66033" w:rsidRPr="00C92940">
        <w:rPr>
          <w:rFonts w:ascii="Times New Roman" w:hAnsi="Times New Roman" w:cs="Times New Roman"/>
          <w:color w:val="000000"/>
        </w:rPr>
        <w:t xml:space="preserve"> all the MSVARs. </w:t>
      </w:r>
      <w:r w:rsidR="00AD5DDA" w:rsidRPr="00C92940">
        <w:rPr>
          <w:rFonts w:ascii="Times New Roman" w:hAnsi="Times New Roman" w:cs="Times New Roman"/>
          <w:color w:val="000000"/>
        </w:rPr>
        <w:t>Also, the</w:t>
      </w:r>
      <w:r w:rsidR="00E67887" w:rsidRPr="00C92940">
        <w:rPr>
          <w:rFonts w:ascii="Times New Roman" w:hAnsi="Times New Roman" w:cs="Times New Roman"/>
          <w:color w:val="000000"/>
        </w:rPr>
        <w:t xml:space="preserve"> magnitude of the</w:t>
      </w:r>
      <w:r w:rsidR="00AD5DDA" w:rsidRPr="00C92940">
        <w:rPr>
          <w:rFonts w:ascii="Times New Roman" w:hAnsi="Times New Roman" w:cs="Times New Roman"/>
          <w:color w:val="000000"/>
        </w:rPr>
        <w:t xml:space="preserve"> decrease i</w:t>
      </w:r>
      <w:r w:rsidR="009E287F" w:rsidRPr="00C92940">
        <w:rPr>
          <w:rFonts w:ascii="Times New Roman" w:hAnsi="Times New Roman" w:cs="Times New Roman"/>
          <w:color w:val="000000"/>
        </w:rPr>
        <w:t>n</w:t>
      </w:r>
      <w:r w:rsidR="009E69E9" w:rsidRPr="00C92940">
        <w:rPr>
          <w:rFonts w:ascii="Times New Roman" w:hAnsi="Times New Roman" w:cs="Times New Roman"/>
          <w:color w:val="000000"/>
        </w:rPr>
        <w:t xml:space="preserve"> both</w:t>
      </w:r>
      <w:r w:rsidR="009E287F" w:rsidRPr="00C92940">
        <w:rPr>
          <w:rFonts w:ascii="Times New Roman" w:hAnsi="Times New Roman" w:cs="Times New Roman"/>
          <w:color w:val="000000"/>
        </w:rPr>
        <w:t xml:space="preserve"> mortgage and money market spread </w:t>
      </w:r>
      <w:r w:rsidR="000A01C6" w:rsidRPr="00C92940">
        <w:rPr>
          <w:rFonts w:ascii="Times New Roman" w:hAnsi="Times New Roman" w:cs="Times New Roman"/>
          <w:color w:val="000000"/>
        </w:rPr>
        <w:t>is</w:t>
      </w:r>
      <w:r w:rsidR="008D2BFA" w:rsidRPr="00C92940">
        <w:rPr>
          <w:rFonts w:ascii="Times New Roman" w:hAnsi="Times New Roman" w:cs="Times New Roman"/>
          <w:color w:val="000000"/>
        </w:rPr>
        <w:t xml:space="preserve"> more and only significant in</w:t>
      </w:r>
      <w:r w:rsidR="000A01C6" w:rsidRPr="00C92940">
        <w:rPr>
          <w:rFonts w:ascii="Times New Roman" w:hAnsi="Times New Roman" w:cs="Times New Roman"/>
          <w:color w:val="000000"/>
        </w:rPr>
        <w:t xml:space="preserve"> the</w:t>
      </w:r>
      <w:r w:rsidR="008D2BFA" w:rsidRPr="00C92940">
        <w:rPr>
          <w:rFonts w:ascii="Times New Roman" w:hAnsi="Times New Roman" w:cs="Times New Roman"/>
          <w:color w:val="000000"/>
        </w:rPr>
        <w:t xml:space="preserve"> expansionary regime</w:t>
      </w:r>
      <w:r w:rsidR="00F62239" w:rsidRPr="00C92940">
        <w:rPr>
          <w:rFonts w:ascii="Times New Roman" w:hAnsi="Times New Roman" w:cs="Times New Roman"/>
          <w:color w:val="000000"/>
        </w:rPr>
        <w:t xml:space="preserve">. </w:t>
      </w:r>
      <w:r w:rsidR="000A01C6" w:rsidRPr="00C92940">
        <w:rPr>
          <w:rFonts w:ascii="Times New Roman" w:hAnsi="Times New Roman" w:cs="Times New Roman"/>
          <w:color w:val="000000"/>
        </w:rPr>
        <w:t>Finally</w:t>
      </w:r>
      <w:r w:rsidR="00F62239" w:rsidRPr="00C92940">
        <w:rPr>
          <w:rFonts w:ascii="Times New Roman" w:hAnsi="Times New Roman" w:cs="Times New Roman"/>
          <w:color w:val="000000"/>
        </w:rPr>
        <w:t>,</w:t>
      </w:r>
      <w:r w:rsidR="00DF395B" w:rsidRPr="00C92940">
        <w:rPr>
          <w:rFonts w:ascii="Times New Roman" w:hAnsi="Times New Roman" w:cs="Times New Roman"/>
          <w:color w:val="000000"/>
        </w:rPr>
        <w:t xml:space="preserve"> response of the </w:t>
      </w:r>
      <w:r w:rsidR="00A9587C" w:rsidRPr="00C92940">
        <w:rPr>
          <w:rFonts w:ascii="Times New Roman" w:hAnsi="Times New Roman" w:cs="Times New Roman"/>
          <w:i/>
          <w:iCs/>
          <w:color w:val="000000"/>
        </w:rPr>
        <w:t xml:space="preserve">mix </w:t>
      </w:r>
      <w:r w:rsidR="00A9587C" w:rsidRPr="00C92940">
        <w:rPr>
          <w:rFonts w:ascii="Times New Roman" w:hAnsi="Times New Roman" w:cs="Times New Roman"/>
          <w:color w:val="000000"/>
        </w:rPr>
        <w:t>to</w:t>
      </w:r>
      <w:r w:rsidR="00932DC8" w:rsidRPr="00C92940">
        <w:rPr>
          <w:rFonts w:ascii="Times New Roman" w:hAnsi="Times New Roman" w:cs="Times New Roman"/>
          <w:color w:val="000000"/>
        </w:rPr>
        <w:t xml:space="preserve"> </w:t>
      </w:r>
      <w:r w:rsidR="00E67887" w:rsidRPr="00C92940">
        <w:rPr>
          <w:rFonts w:ascii="Times New Roman" w:hAnsi="Times New Roman" w:cs="Times New Roman"/>
          <w:color w:val="000000"/>
        </w:rPr>
        <w:t xml:space="preserve">a </w:t>
      </w:r>
      <w:r w:rsidR="00C9261E" w:rsidRPr="00C92940">
        <w:rPr>
          <w:rFonts w:ascii="Times New Roman" w:hAnsi="Times New Roman" w:cs="Times New Roman"/>
          <w:color w:val="000000"/>
        </w:rPr>
        <w:t>standard deviation</w:t>
      </w:r>
      <w:r w:rsidR="00C9261E" w:rsidRPr="00C92940">
        <w:rPr>
          <w:rFonts w:ascii="Times New Roman" w:hAnsi="Times New Roman" w:cs="Times New Roman"/>
          <w:i/>
          <w:iCs/>
          <w:color w:val="000000"/>
        </w:rPr>
        <w:t xml:space="preserve"> </w:t>
      </w:r>
      <w:r w:rsidR="00C9261E" w:rsidRPr="00C92940">
        <w:rPr>
          <w:rFonts w:ascii="Times New Roman" w:hAnsi="Times New Roman" w:cs="Times New Roman"/>
          <w:color w:val="000000"/>
        </w:rPr>
        <w:t xml:space="preserve">cut in the shadow policy </w:t>
      </w:r>
      <w:r w:rsidR="005F3265" w:rsidRPr="00C92940">
        <w:rPr>
          <w:rFonts w:ascii="Times New Roman" w:hAnsi="Times New Roman" w:cs="Times New Roman"/>
          <w:color w:val="000000"/>
        </w:rPr>
        <w:t>rate</w:t>
      </w:r>
      <w:r w:rsidR="0035210B" w:rsidRPr="00C92940">
        <w:rPr>
          <w:rFonts w:ascii="Times New Roman" w:hAnsi="Times New Roman" w:cs="Times New Roman"/>
          <w:color w:val="000000"/>
        </w:rPr>
        <w:t xml:space="preserve"> is larger in the </w:t>
      </w:r>
      <w:r w:rsidR="00932DC8" w:rsidRPr="00C92940">
        <w:rPr>
          <w:rFonts w:ascii="Times New Roman" w:hAnsi="Times New Roman" w:cs="Times New Roman"/>
          <w:color w:val="000000"/>
        </w:rPr>
        <w:t>expansionary phase. This</w:t>
      </w:r>
      <w:r w:rsidR="0035210B" w:rsidRPr="00C92940">
        <w:rPr>
          <w:rFonts w:ascii="Times New Roman" w:hAnsi="Times New Roman" w:cs="Times New Roman"/>
          <w:color w:val="000000"/>
        </w:rPr>
        <w:t xml:space="preserve"> valida</w:t>
      </w:r>
      <w:r w:rsidR="00BF556A" w:rsidRPr="00C92940">
        <w:rPr>
          <w:rFonts w:ascii="Times New Roman" w:hAnsi="Times New Roman" w:cs="Times New Roman"/>
          <w:color w:val="000000"/>
        </w:rPr>
        <w:t>tes</w:t>
      </w:r>
      <w:r w:rsidR="0035210B" w:rsidRPr="00C92940">
        <w:rPr>
          <w:rFonts w:ascii="Times New Roman" w:hAnsi="Times New Roman" w:cs="Times New Roman"/>
          <w:color w:val="000000"/>
        </w:rPr>
        <w:t xml:space="preserve"> our prior finding that after an expansionary monetary policy shock magnitude of the BLC is </w:t>
      </w:r>
      <w:r w:rsidR="00BF556A" w:rsidRPr="00C92940">
        <w:rPr>
          <w:rFonts w:ascii="Times New Roman" w:hAnsi="Times New Roman" w:cs="Times New Roman"/>
          <w:color w:val="000000"/>
        </w:rPr>
        <w:t>larger in</w:t>
      </w:r>
      <w:r w:rsidR="0035210B" w:rsidRPr="00C92940">
        <w:rPr>
          <w:rFonts w:ascii="Times New Roman" w:hAnsi="Times New Roman" w:cs="Times New Roman"/>
          <w:color w:val="000000"/>
        </w:rPr>
        <w:t xml:space="preserve"> the expansionary phase of the business cycle</w:t>
      </w:r>
      <w:r w:rsidR="00932DC8" w:rsidRPr="00C92940">
        <w:rPr>
          <w:rFonts w:ascii="Times New Roman" w:hAnsi="Times New Roman" w:cs="Times New Roman"/>
          <w:color w:val="000000"/>
        </w:rPr>
        <w:t>.</w:t>
      </w:r>
      <w:r w:rsidR="0035210B" w:rsidRPr="00C92940">
        <w:rPr>
          <w:rFonts w:ascii="Times New Roman" w:hAnsi="Times New Roman" w:cs="Times New Roman"/>
          <w:color w:val="000000"/>
        </w:rPr>
        <w:t xml:space="preserve"> </w:t>
      </w:r>
      <w:r w:rsidR="00B83642" w:rsidRPr="00C92940">
        <w:rPr>
          <w:rFonts w:ascii="Times New Roman" w:hAnsi="Times New Roman" w:cs="Times New Roman"/>
          <w:color w:val="000000"/>
        </w:rPr>
        <w:t>T</w:t>
      </w:r>
      <w:r w:rsidR="00C277E4" w:rsidRPr="00C92940">
        <w:rPr>
          <w:rFonts w:ascii="Times New Roman" w:hAnsi="Times New Roman" w:cs="Times New Roman"/>
          <w:color w:val="000000"/>
        </w:rPr>
        <w:t xml:space="preserve">he </w:t>
      </w:r>
      <w:r w:rsidR="00891260" w:rsidRPr="00C92940">
        <w:rPr>
          <w:rFonts w:ascii="Times New Roman" w:hAnsi="Times New Roman" w:cs="Times New Roman"/>
          <w:color w:val="000000"/>
        </w:rPr>
        <w:t>magnitude</w:t>
      </w:r>
      <w:r w:rsidR="00C277E4" w:rsidRPr="00C92940">
        <w:rPr>
          <w:rFonts w:ascii="Times New Roman" w:hAnsi="Times New Roman" w:cs="Times New Roman"/>
          <w:color w:val="000000"/>
        </w:rPr>
        <w:t xml:space="preserve"> of the </w:t>
      </w:r>
      <w:r w:rsidR="00C277E4" w:rsidRPr="00C92940">
        <w:rPr>
          <w:rFonts w:ascii="Times New Roman" w:hAnsi="Times New Roman" w:cs="Times New Roman"/>
          <w:i/>
          <w:iCs/>
          <w:color w:val="000000"/>
        </w:rPr>
        <w:t>mix</w:t>
      </w:r>
      <w:r w:rsidR="00891260" w:rsidRPr="00C92940">
        <w:rPr>
          <w:rFonts w:ascii="Times New Roman" w:hAnsi="Times New Roman" w:cs="Times New Roman"/>
          <w:i/>
          <w:iCs/>
          <w:color w:val="000000"/>
        </w:rPr>
        <w:t xml:space="preserve"> </w:t>
      </w:r>
      <w:r w:rsidR="00891260" w:rsidRPr="00C92940">
        <w:rPr>
          <w:rFonts w:ascii="Times New Roman" w:hAnsi="Times New Roman" w:cs="Times New Roman"/>
          <w:color w:val="000000"/>
        </w:rPr>
        <w:t>response</w:t>
      </w:r>
      <w:r w:rsidR="00C277E4" w:rsidRPr="00C92940">
        <w:rPr>
          <w:rFonts w:ascii="Times New Roman" w:hAnsi="Times New Roman" w:cs="Times New Roman"/>
          <w:color w:val="000000"/>
        </w:rPr>
        <w:t xml:space="preserve"> </w:t>
      </w:r>
      <w:r w:rsidR="00891260" w:rsidRPr="00C92940">
        <w:rPr>
          <w:rFonts w:ascii="Times New Roman" w:hAnsi="Times New Roman" w:cs="Times New Roman"/>
          <w:color w:val="000000"/>
        </w:rPr>
        <w:t>to the shadow policy</w:t>
      </w:r>
      <w:r w:rsidR="007E4586" w:rsidRPr="00C92940">
        <w:rPr>
          <w:rFonts w:ascii="Times New Roman" w:hAnsi="Times New Roman" w:cs="Times New Roman"/>
          <w:color w:val="000000"/>
        </w:rPr>
        <w:t xml:space="preserve"> rate shock is very similar </w:t>
      </w:r>
      <w:r w:rsidR="00EE6EA4" w:rsidRPr="00C92940">
        <w:rPr>
          <w:rFonts w:ascii="Times New Roman" w:hAnsi="Times New Roman" w:cs="Times New Roman"/>
          <w:color w:val="000000"/>
        </w:rPr>
        <w:t>to that</w:t>
      </w:r>
      <w:r w:rsidR="009756A8" w:rsidRPr="00C92940">
        <w:rPr>
          <w:rFonts w:ascii="Times New Roman" w:hAnsi="Times New Roman" w:cs="Times New Roman"/>
          <w:color w:val="000000"/>
        </w:rPr>
        <w:t xml:space="preserve"> of</w:t>
      </w:r>
      <w:r w:rsidR="007E4586" w:rsidRPr="00C92940">
        <w:rPr>
          <w:rFonts w:ascii="Times New Roman" w:hAnsi="Times New Roman" w:cs="Times New Roman"/>
          <w:color w:val="000000"/>
        </w:rPr>
        <w:t xml:space="preserve"> tradition</w:t>
      </w:r>
      <w:r w:rsidR="005F3265" w:rsidRPr="00C92940">
        <w:rPr>
          <w:rFonts w:ascii="Times New Roman" w:hAnsi="Times New Roman" w:cs="Times New Roman"/>
          <w:color w:val="000000"/>
        </w:rPr>
        <w:t>al</w:t>
      </w:r>
      <w:r w:rsidR="007E4586" w:rsidRPr="00C92940">
        <w:rPr>
          <w:rFonts w:ascii="Times New Roman" w:hAnsi="Times New Roman" w:cs="Times New Roman"/>
          <w:color w:val="000000"/>
        </w:rPr>
        <w:t xml:space="preserve"> policy rate shock</w:t>
      </w:r>
      <w:r w:rsidR="00BF556A" w:rsidRPr="00C92940">
        <w:rPr>
          <w:rFonts w:ascii="Times New Roman" w:hAnsi="Times New Roman" w:cs="Times New Roman"/>
          <w:color w:val="000000"/>
        </w:rPr>
        <w:t>, thus</w:t>
      </w:r>
      <w:r w:rsidR="005F3265" w:rsidRPr="00C92940">
        <w:rPr>
          <w:rFonts w:ascii="Times New Roman" w:hAnsi="Times New Roman" w:cs="Times New Roman"/>
          <w:color w:val="000000"/>
        </w:rPr>
        <w:t xml:space="preserve"> indicating QE may not have any additional effects on the BLC.   </w:t>
      </w:r>
    </w:p>
    <w:p w14:paraId="602FDDA8" w14:textId="1924064D" w:rsidR="00C92940" w:rsidRPr="00FF550D" w:rsidRDefault="00C92940" w:rsidP="00FF550D">
      <w:pPr>
        <w:pStyle w:val="ListParagraph"/>
        <w:widowControl w:val="0"/>
        <w:numPr>
          <w:ilvl w:val="0"/>
          <w:numId w:val="9"/>
        </w:numPr>
        <w:autoSpaceDE w:val="0"/>
        <w:autoSpaceDN w:val="0"/>
        <w:adjustRightInd w:val="0"/>
        <w:spacing w:line="480" w:lineRule="auto"/>
        <w:ind w:left="567" w:right="90" w:hanging="567"/>
        <w:jc w:val="both"/>
        <w:rPr>
          <w:rFonts w:ascii="Times New Roman" w:hAnsi="Times New Roman" w:cs="Times New Roman"/>
          <w:i/>
          <w:iCs/>
          <w:color w:val="000000"/>
        </w:rPr>
      </w:pPr>
      <w:r w:rsidRPr="00FF550D">
        <w:rPr>
          <w:rFonts w:ascii="Times New Roman" w:hAnsi="Times New Roman" w:cs="Times New Roman"/>
          <w:i/>
          <w:iCs/>
          <w:color w:val="000000"/>
        </w:rPr>
        <w:t>Flight to quality</w:t>
      </w:r>
      <w:r w:rsidR="000D3D2C">
        <w:rPr>
          <w:rFonts w:ascii="Times New Roman" w:hAnsi="Times New Roman" w:cs="Times New Roman"/>
          <w:i/>
          <w:iCs/>
          <w:color w:val="000000"/>
        </w:rPr>
        <w:t xml:space="preserve"> hypothesis</w:t>
      </w:r>
    </w:p>
    <w:p w14:paraId="54CD6CF8" w14:textId="1CD7294E" w:rsidR="00FC0A01" w:rsidRPr="008E6E59" w:rsidRDefault="00A64855" w:rsidP="00FF550D">
      <w:pPr>
        <w:widowControl w:val="0"/>
        <w:autoSpaceDE w:val="0"/>
        <w:autoSpaceDN w:val="0"/>
        <w:adjustRightInd w:val="0"/>
        <w:spacing w:after="240" w:line="480" w:lineRule="auto"/>
        <w:ind w:right="90"/>
        <w:jc w:val="both"/>
        <w:rPr>
          <w:rFonts w:ascii="Times New Roman" w:hAnsi="Times New Roman" w:cs="Times New Roman"/>
          <w:color w:val="000000"/>
        </w:rPr>
      </w:pPr>
      <w:r w:rsidRPr="008E6E59">
        <w:rPr>
          <w:rFonts w:ascii="Times New Roman" w:hAnsi="Times New Roman" w:cs="Times New Roman"/>
          <w:color w:val="000000"/>
        </w:rPr>
        <w:t xml:space="preserve">One criticism of using the </w:t>
      </w:r>
      <w:r w:rsidRPr="008E6E59">
        <w:rPr>
          <w:rFonts w:ascii="Times New Roman" w:hAnsi="Times New Roman" w:cs="Times New Roman"/>
          <w:i/>
          <w:color w:val="000000"/>
        </w:rPr>
        <w:t>m</w:t>
      </w:r>
      <w:r w:rsidR="00CF1C12" w:rsidRPr="008E6E59">
        <w:rPr>
          <w:rFonts w:ascii="Times New Roman" w:hAnsi="Times New Roman" w:cs="Times New Roman"/>
          <w:i/>
          <w:color w:val="000000"/>
        </w:rPr>
        <w:t>ix</w:t>
      </w:r>
      <w:r w:rsidR="007430EE" w:rsidRPr="008E6E59">
        <w:rPr>
          <w:rFonts w:ascii="Times New Roman" w:hAnsi="Times New Roman" w:cs="Times New Roman"/>
          <w:i/>
          <w:color w:val="000000"/>
        </w:rPr>
        <w:t xml:space="preserve"> </w:t>
      </w:r>
      <w:r w:rsidR="007430EE" w:rsidRPr="008E6E59">
        <w:rPr>
          <w:rFonts w:ascii="Times New Roman" w:hAnsi="Times New Roman" w:cs="Times New Roman"/>
          <w:iCs/>
          <w:color w:val="000000"/>
        </w:rPr>
        <w:t>variable</w:t>
      </w:r>
      <w:r w:rsidR="00CF1C12" w:rsidRPr="008E6E59">
        <w:rPr>
          <w:rFonts w:ascii="Times New Roman" w:hAnsi="Times New Roman" w:cs="Times New Roman"/>
          <w:color w:val="000000"/>
        </w:rPr>
        <w:t xml:space="preserve"> in the </w:t>
      </w:r>
      <w:r w:rsidR="0015382D" w:rsidRPr="008E6E59">
        <w:rPr>
          <w:rFonts w:ascii="Times New Roman" w:hAnsi="Times New Roman" w:cs="Times New Roman"/>
          <w:color w:val="000000"/>
        </w:rPr>
        <w:t>BLC</w:t>
      </w:r>
      <w:r w:rsidR="007430EE" w:rsidRPr="008E6E59">
        <w:rPr>
          <w:rFonts w:ascii="Times New Roman" w:hAnsi="Times New Roman" w:cs="Times New Roman"/>
          <w:color w:val="000000"/>
        </w:rPr>
        <w:t xml:space="preserve"> identification process</w:t>
      </w:r>
      <w:r w:rsidR="00CF1C12" w:rsidRPr="008E6E59">
        <w:rPr>
          <w:rFonts w:ascii="Times New Roman" w:hAnsi="Times New Roman" w:cs="Times New Roman"/>
          <w:color w:val="000000"/>
        </w:rPr>
        <w:t xml:space="preserve"> is that</w:t>
      </w:r>
      <w:r w:rsidR="00CE5DE7" w:rsidRPr="008E6E59">
        <w:rPr>
          <w:rFonts w:ascii="Times New Roman" w:hAnsi="Times New Roman" w:cs="Times New Roman"/>
          <w:color w:val="000000"/>
        </w:rPr>
        <w:t xml:space="preserve"> some might argue</w:t>
      </w:r>
      <w:r w:rsidR="00CF1C12" w:rsidRPr="008E6E59">
        <w:rPr>
          <w:rFonts w:ascii="Times New Roman" w:hAnsi="Times New Roman" w:cs="Times New Roman"/>
          <w:color w:val="000000"/>
        </w:rPr>
        <w:t xml:space="preserve"> it does not completely solve the endogeneity problem </w:t>
      </w:r>
      <w:r w:rsidR="008D3F45" w:rsidRPr="008E6E59">
        <w:rPr>
          <w:rFonts w:ascii="Times New Roman" w:hAnsi="Times New Roman" w:cs="Times New Roman"/>
          <w:color w:val="000000"/>
        </w:rPr>
        <w:t>because a change in the</w:t>
      </w:r>
      <w:r w:rsidR="00F81453" w:rsidRPr="008E6E59">
        <w:rPr>
          <w:rFonts w:ascii="Times New Roman" w:hAnsi="Times New Roman" w:cs="Times New Roman"/>
          <w:color w:val="000000"/>
        </w:rPr>
        <w:t xml:space="preserve"> </w:t>
      </w:r>
      <w:r w:rsidR="00F81453" w:rsidRPr="008E6E59">
        <w:rPr>
          <w:rFonts w:ascii="Times New Roman" w:hAnsi="Times New Roman" w:cs="Times New Roman"/>
          <w:i/>
          <w:color w:val="000000"/>
        </w:rPr>
        <w:t>m</w:t>
      </w:r>
      <w:r w:rsidR="00BF5A56" w:rsidRPr="008E6E59">
        <w:rPr>
          <w:rFonts w:ascii="Times New Roman" w:hAnsi="Times New Roman" w:cs="Times New Roman"/>
          <w:i/>
          <w:color w:val="000000"/>
        </w:rPr>
        <w:t>ix</w:t>
      </w:r>
      <w:r w:rsidR="00BF5A56" w:rsidRPr="008E6E59">
        <w:rPr>
          <w:rFonts w:ascii="Times New Roman" w:hAnsi="Times New Roman" w:cs="Times New Roman"/>
          <w:color w:val="000000"/>
        </w:rPr>
        <w:t xml:space="preserve"> can</w:t>
      </w:r>
      <w:r w:rsidR="00CF1C12" w:rsidRPr="008E6E59">
        <w:rPr>
          <w:rFonts w:ascii="Times New Roman" w:hAnsi="Times New Roman" w:cs="Times New Roman"/>
          <w:color w:val="000000"/>
        </w:rPr>
        <w:t xml:space="preserve"> capture a change in the quality composition of borrowers </w:t>
      </w:r>
      <w:r w:rsidR="00CF1C12" w:rsidRPr="00390249">
        <w:rPr>
          <w:rFonts w:ascii="Times New Roman" w:hAnsi="Times New Roman" w:cs="Times New Roman"/>
          <w:color w:val="000000"/>
        </w:rPr>
        <w:t>(Oliner and Ru</w:t>
      </w:r>
      <w:r w:rsidR="005D14B0" w:rsidRPr="00390249">
        <w:rPr>
          <w:rFonts w:ascii="Times New Roman" w:hAnsi="Times New Roman" w:cs="Times New Roman"/>
          <w:color w:val="000000"/>
        </w:rPr>
        <w:t>d</w:t>
      </w:r>
      <w:r w:rsidR="00CF1C12" w:rsidRPr="00390249">
        <w:rPr>
          <w:rFonts w:ascii="Times New Roman" w:hAnsi="Times New Roman" w:cs="Times New Roman"/>
          <w:color w:val="000000"/>
        </w:rPr>
        <w:t>ebusch, 1996)</w:t>
      </w:r>
      <w:r w:rsidR="00CF1C12" w:rsidRPr="008E6E59">
        <w:rPr>
          <w:rFonts w:ascii="Times New Roman" w:hAnsi="Times New Roman" w:cs="Times New Roman"/>
          <w:color w:val="000000"/>
        </w:rPr>
        <w:t xml:space="preserve">. Given the traditional </w:t>
      </w:r>
      <w:r w:rsidR="009F697A">
        <w:rPr>
          <w:rFonts w:ascii="Times New Roman" w:hAnsi="Times New Roman" w:cs="Times New Roman"/>
          <w:color w:val="000000"/>
        </w:rPr>
        <w:t>belief</w:t>
      </w:r>
      <w:r w:rsidR="00CF1C12" w:rsidRPr="008E6E59">
        <w:rPr>
          <w:rFonts w:ascii="Times New Roman" w:hAnsi="Times New Roman" w:cs="Times New Roman"/>
          <w:color w:val="000000"/>
        </w:rPr>
        <w:t xml:space="preserve"> that banks specialize in funding households with relatively weaker ba</w:t>
      </w:r>
      <w:r w:rsidR="00F81453" w:rsidRPr="008E6E59">
        <w:rPr>
          <w:rFonts w:ascii="Times New Roman" w:hAnsi="Times New Roman" w:cs="Times New Roman"/>
          <w:color w:val="000000"/>
        </w:rPr>
        <w:t xml:space="preserve">lance sheet, a decrease in the </w:t>
      </w:r>
      <w:r w:rsidR="00F81453" w:rsidRPr="008E6E59">
        <w:rPr>
          <w:rFonts w:ascii="Times New Roman" w:hAnsi="Times New Roman" w:cs="Times New Roman"/>
          <w:i/>
          <w:color w:val="000000"/>
        </w:rPr>
        <w:t>m</w:t>
      </w:r>
      <w:r w:rsidR="00CF1C12" w:rsidRPr="008E6E59">
        <w:rPr>
          <w:rFonts w:ascii="Times New Roman" w:hAnsi="Times New Roman" w:cs="Times New Roman"/>
          <w:i/>
          <w:color w:val="000000"/>
        </w:rPr>
        <w:t>ix</w:t>
      </w:r>
      <w:r w:rsidR="00CF1C12" w:rsidRPr="008E6E59">
        <w:rPr>
          <w:rFonts w:ascii="Times New Roman" w:hAnsi="Times New Roman" w:cs="Times New Roman"/>
          <w:color w:val="000000"/>
        </w:rPr>
        <w:t xml:space="preserve"> after a contraction i</w:t>
      </w:r>
      <w:r w:rsidRPr="008E6E59">
        <w:rPr>
          <w:rFonts w:ascii="Times New Roman" w:hAnsi="Times New Roman" w:cs="Times New Roman"/>
          <w:color w:val="000000"/>
        </w:rPr>
        <w:t xml:space="preserve">n monetary policy may reflect a </w:t>
      </w:r>
      <w:r w:rsidR="00CF1C12" w:rsidRPr="008E6E59">
        <w:rPr>
          <w:rFonts w:ascii="Times New Roman" w:hAnsi="Times New Roman" w:cs="Times New Roman"/>
          <w:color w:val="000000"/>
        </w:rPr>
        <w:t>“</w:t>
      </w:r>
      <w:r w:rsidR="00CF1C12" w:rsidRPr="005B50BE">
        <w:rPr>
          <w:rFonts w:ascii="Times New Roman" w:hAnsi="Times New Roman" w:cs="Times New Roman"/>
          <w:i/>
          <w:iCs/>
          <w:color w:val="000000"/>
        </w:rPr>
        <w:t>flight to quality</w:t>
      </w:r>
      <w:r w:rsidR="00CF1C12" w:rsidRPr="008E6E59">
        <w:rPr>
          <w:rFonts w:ascii="Times New Roman" w:hAnsi="Times New Roman" w:cs="Times New Roman"/>
          <w:color w:val="000000"/>
        </w:rPr>
        <w:t xml:space="preserve">” from risky households to households with </w:t>
      </w:r>
      <w:r w:rsidR="00FB5EDA" w:rsidRPr="008E6E59">
        <w:rPr>
          <w:rFonts w:ascii="Times New Roman" w:hAnsi="Times New Roman" w:cs="Times New Roman"/>
          <w:color w:val="000000"/>
        </w:rPr>
        <w:t>stro</w:t>
      </w:r>
      <w:r w:rsidR="00DF5DF0" w:rsidRPr="008E6E59">
        <w:rPr>
          <w:rFonts w:ascii="Times New Roman" w:hAnsi="Times New Roman" w:cs="Times New Roman"/>
          <w:color w:val="000000"/>
        </w:rPr>
        <w:t xml:space="preserve">nger balance sheet strength, </w:t>
      </w:r>
      <w:r w:rsidR="007F54DD" w:rsidRPr="008E6E59">
        <w:rPr>
          <w:rFonts w:ascii="Times New Roman" w:hAnsi="Times New Roman" w:cs="Times New Roman"/>
          <w:color w:val="000000"/>
        </w:rPr>
        <w:t>thus</w:t>
      </w:r>
      <w:r w:rsidR="00FB5EDA" w:rsidRPr="008E6E59">
        <w:rPr>
          <w:rFonts w:ascii="Times New Roman" w:hAnsi="Times New Roman" w:cs="Times New Roman"/>
          <w:color w:val="000000"/>
        </w:rPr>
        <w:t xml:space="preserve"> indicating a</w:t>
      </w:r>
      <w:r w:rsidR="007C4B68" w:rsidRPr="008E6E59">
        <w:rPr>
          <w:rFonts w:ascii="Times New Roman" w:hAnsi="Times New Roman" w:cs="Times New Roman"/>
          <w:color w:val="000000"/>
        </w:rPr>
        <w:t xml:space="preserve"> </w:t>
      </w:r>
      <w:r w:rsidR="00211595" w:rsidRPr="008E6E59">
        <w:rPr>
          <w:rFonts w:ascii="Times New Roman" w:hAnsi="Times New Roman" w:cs="Times New Roman"/>
          <w:color w:val="000000"/>
        </w:rPr>
        <w:t>BSC</w:t>
      </w:r>
      <w:r w:rsidR="007C4B68" w:rsidRPr="008E6E59">
        <w:rPr>
          <w:rFonts w:ascii="Times New Roman" w:hAnsi="Times New Roman" w:cs="Times New Roman"/>
          <w:color w:val="000000"/>
        </w:rPr>
        <w:t xml:space="preserve"> rather than a BLC</w:t>
      </w:r>
      <w:r w:rsidR="000548AA" w:rsidRPr="008E6E59">
        <w:rPr>
          <w:rFonts w:ascii="Times New Roman" w:hAnsi="Times New Roman" w:cs="Times New Roman"/>
          <w:color w:val="000000"/>
        </w:rPr>
        <w:t>.</w:t>
      </w:r>
      <w:r w:rsidR="00FB5EDA" w:rsidRPr="008E6E59">
        <w:rPr>
          <w:rFonts w:ascii="Times New Roman" w:hAnsi="Times New Roman" w:cs="Times New Roman"/>
          <w:color w:val="000000"/>
        </w:rPr>
        <w:t xml:space="preserve"> </w:t>
      </w:r>
      <w:r w:rsidR="000548AA" w:rsidRPr="008E6E59">
        <w:rPr>
          <w:rFonts w:ascii="Times New Roman" w:hAnsi="Times New Roman" w:cs="Times New Roman"/>
          <w:color w:val="000000"/>
        </w:rPr>
        <w:t>I</w:t>
      </w:r>
      <w:r w:rsidR="00CF1C12" w:rsidRPr="008E6E59">
        <w:rPr>
          <w:rFonts w:ascii="Times New Roman" w:hAnsi="Times New Roman" w:cs="Times New Roman"/>
          <w:color w:val="000000"/>
        </w:rPr>
        <w:t>n order</w:t>
      </w:r>
      <w:r w:rsidR="0069463C" w:rsidRPr="008E6E59">
        <w:rPr>
          <w:rFonts w:ascii="Times New Roman" w:hAnsi="Times New Roman" w:cs="Times New Roman"/>
          <w:color w:val="000000"/>
        </w:rPr>
        <w:t xml:space="preserve"> to</w:t>
      </w:r>
      <w:r w:rsidR="00CF1C12" w:rsidRPr="008E6E59">
        <w:rPr>
          <w:rFonts w:ascii="Times New Roman" w:hAnsi="Times New Roman" w:cs="Times New Roman"/>
          <w:color w:val="000000"/>
        </w:rPr>
        <w:t xml:space="preserve"> test whether n</w:t>
      </w:r>
      <w:r w:rsidRPr="008E6E59">
        <w:rPr>
          <w:rFonts w:ascii="Times New Roman" w:hAnsi="Times New Roman" w:cs="Times New Roman"/>
          <w:color w:val="000000"/>
        </w:rPr>
        <w:t>on-</w:t>
      </w:r>
      <w:r w:rsidR="00547147" w:rsidRPr="008E6E59">
        <w:rPr>
          <w:rFonts w:ascii="Times New Roman" w:hAnsi="Times New Roman" w:cs="Times New Roman"/>
          <w:color w:val="000000"/>
        </w:rPr>
        <w:t>depository institutions fund</w:t>
      </w:r>
      <w:r w:rsidR="00CF1C12" w:rsidRPr="008E6E59">
        <w:rPr>
          <w:rFonts w:ascii="Times New Roman" w:hAnsi="Times New Roman" w:cs="Times New Roman"/>
          <w:color w:val="000000"/>
        </w:rPr>
        <w:t xml:space="preserve"> </w:t>
      </w:r>
      <w:r w:rsidR="00450B55" w:rsidRPr="008E6E59">
        <w:rPr>
          <w:rFonts w:ascii="Times New Roman" w:hAnsi="Times New Roman" w:cs="Times New Roman"/>
          <w:color w:val="000000"/>
        </w:rPr>
        <w:t xml:space="preserve">less </w:t>
      </w:r>
      <w:r w:rsidR="00CF1C12" w:rsidRPr="008E6E59">
        <w:rPr>
          <w:rFonts w:ascii="Times New Roman" w:hAnsi="Times New Roman" w:cs="Times New Roman"/>
          <w:color w:val="000000"/>
        </w:rPr>
        <w:t>riskier households than depository ones we</w:t>
      </w:r>
      <w:r w:rsidR="00E66B36" w:rsidRPr="008E6E59">
        <w:rPr>
          <w:rFonts w:ascii="Times New Roman" w:hAnsi="Times New Roman" w:cs="Times New Roman"/>
          <w:color w:val="000000"/>
        </w:rPr>
        <w:t xml:space="preserve"> r</w:t>
      </w:r>
      <w:r w:rsidR="00D62A82">
        <w:rPr>
          <w:rFonts w:ascii="Times New Roman" w:hAnsi="Times New Roman" w:cs="Times New Roman"/>
          <w:color w:val="000000"/>
        </w:rPr>
        <w:t>a</w:t>
      </w:r>
      <w:r w:rsidR="00E66B36" w:rsidRPr="008E6E59">
        <w:rPr>
          <w:rFonts w:ascii="Times New Roman" w:hAnsi="Times New Roman" w:cs="Times New Roman"/>
          <w:color w:val="000000"/>
        </w:rPr>
        <w:t xml:space="preserve">n </w:t>
      </w:r>
      <w:r w:rsidR="00E66B36" w:rsidRPr="008E6E59">
        <w:rPr>
          <w:rFonts w:ascii="Times New Roman" w:hAnsi="Times New Roman" w:cs="Times New Roman"/>
          <w:color w:val="000000"/>
        </w:rPr>
        <w:lastRenderedPageBreak/>
        <w:t xml:space="preserve">equation </w:t>
      </w:r>
      <w:r w:rsidR="00FC0A01" w:rsidRPr="008E6E59">
        <w:rPr>
          <w:rFonts w:ascii="Times New Roman" w:hAnsi="Times New Roman" w:cs="Times New Roman"/>
          <w:color w:val="000000"/>
        </w:rPr>
        <w:t>(</w:t>
      </w:r>
      <w:r w:rsidR="00A63458">
        <w:rPr>
          <w:rFonts w:ascii="Times New Roman" w:hAnsi="Times New Roman" w:cs="Times New Roman"/>
          <w:color w:val="000000"/>
        </w:rPr>
        <w:t>6</w:t>
      </w:r>
      <w:r w:rsidR="00FC0A01" w:rsidRPr="008E6E59">
        <w:rPr>
          <w:rFonts w:ascii="Times New Roman" w:hAnsi="Times New Roman" w:cs="Times New Roman"/>
          <w:color w:val="000000"/>
        </w:rPr>
        <w:t xml:space="preserve">) where we </w:t>
      </w:r>
      <w:r w:rsidR="00CF1C12" w:rsidRPr="008E6E59">
        <w:rPr>
          <w:rFonts w:ascii="Times New Roman" w:hAnsi="Times New Roman" w:cs="Times New Roman"/>
          <w:color w:val="000000"/>
        </w:rPr>
        <w:t>regress the number of repossessions as a frac</w:t>
      </w:r>
      <w:r w:rsidR="00566F5E" w:rsidRPr="008E6E59">
        <w:rPr>
          <w:rFonts w:ascii="Times New Roman" w:hAnsi="Times New Roman" w:cs="Times New Roman"/>
          <w:color w:val="000000"/>
        </w:rPr>
        <w:t>tion of total mortgages</w:t>
      </w:r>
      <w:r w:rsidR="00F81453" w:rsidRPr="008E6E59">
        <w:rPr>
          <w:rFonts w:ascii="Times New Roman" w:hAnsi="Times New Roman" w:cs="Times New Roman"/>
          <w:color w:val="000000"/>
        </w:rPr>
        <w:t xml:space="preserve"> on the </w:t>
      </w:r>
      <w:r w:rsidR="00F81453" w:rsidRPr="008E6E59">
        <w:rPr>
          <w:rFonts w:ascii="Times New Roman" w:hAnsi="Times New Roman" w:cs="Times New Roman"/>
          <w:i/>
          <w:color w:val="000000"/>
        </w:rPr>
        <w:t>m</w:t>
      </w:r>
      <w:r w:rsidR="00CF1C12" w:rsidRPr="008E6E59">
        <w:rPr>
          <w:rFonts w:ascii="Times New Roman" w:hAnsi="Times New Roman" w:cs="Times New Roman"/>
          <w:i/>
          <w:color w:val="000000"/>
        </w:rPr>
        <w:t>ix</w:t>
      </w:r>
      <w:r w:rsidR="00CF1C12" w:rsidRPr="008E6E59">
        <w:rPr>
          <w:rFonts w:ascii="Times New Roman" w:hAnsi="Times New Roman" w:cs="Times New Roman"/>
          <w:color w:val="000000"/>
        </w:rPr>
        <w:t xml:space="preserve"> and on </w:t>
      </w:r>
      <w:r w:rsidR="000548AA" w:rsidRPr="008E6E59">
        <w:rPr>
          <w:rFonts w:ascii="Times New Roman" w:hAnsi="Times New Roman" w:cs="Times New Roman"/>
          <w:color w:val="000000"/>
        </w:rPr>
        <w:t xml:space="preserve">the </w:t>
      </w:r>
      <w:r w:rsidR="00CF1C12" w:rsidRPr="008E6E59">
        <w:rPr>
          <w:rFonts w:ascii="Times New Roman" w:hAnsi="Times New Roman" w:cs="Times New Roman"/>
          <w:color w:val="000000"/>
        </w:rPr>
        <w:t>cyclical indicators of the housing market</w:t>
      </w:r>
      <w:r w:rsidR="00296C3B" w:rsidRPr="008E6E59">
        <w:rPr>
          <w:rFonts w:ascii="Times New Roman" w:hAnsi="Times New Roman" w:cs="Times New Roman"/>
          <w:color w:val="000000"/>
        </w:rPr>
        <w:t xml:space="preserve"> </w:t>
      </w:r>
      <w:r w:rsidR="001F615C" w:rsidRPr="008E6E59">
        <w:rPr>
          <w:rFonts w:ascii="Times New Roman" w:hAnsi="Times New Roman" w:cs="Times New Roman"/>
          <w:color w:val="000000"/>
        </w:rPr>
        <w:t xml:space="preserve">which include </w:t>
      </w:r>
      <w:r w:rsidR="00CF1C12" w:rsidRPr="008E6E59">
        <w:rPr>
          <w:rFonts w:ascii="Times New Roman" w:hAnsi="Times New Roman" w:cs="Times New Roman"/>
          <w:i/>
          <w:color w:val="000000"/>
        </w:rPr>
        <w:sym w:font="Symbol" w:char="F044"/>
      </w:r>
      <w:r w:rsidR="00CF1C12" w:rsidRPr="008E6E59">
        <w:rPr>
          <w:rFonts w:ascii="Times New Roman" w:hAnsi="Times New Roman" w:cs="Times New Roman"/>
          <w:i/>
          <w:color w:val="000000"/>
        </w:rPr>
        <w:t>house</w:t>
      </w:r>
      <w:r w:rsidR="00AF60F2" w:rsidRPr="008E6E59">
        <w:rPr>
          <w:rFonts w:ascii="Times New Roman" w:hAnsi="Times New Roman" w:cs="Times New Roman"/>
          <w:i/>
          <w:color w:val="000000"/>
        </w:rPr>
        <w:t xml:space="preserve"> prices,</w:t>
      </w:r>
      <w:r w:rsidR="00CF1C12" w:rsidRPr="008E6E59">
        <w:rPr>
          <w:rFonts w:ascii="Times New Roman" w:hAnsi="Times New Roman" w:cs="Times New Roman"/>
          <w:i/>
          <w:color w:val="000000"/>
        </w:rPr>
        <w:t xml:space="preserve"> </w:t>
      </w:r>
      <w:r w:rsidR="00CF1C12" w:rsidRPr="008E6E59">
        <w:rPr>
          <w:rFonts w:ascii="Times New Roman" w:hAnsi="Times New Roman" w:cs="Times New Roman"/>
          <w:i/>
          <w:color w:val="000000"/>
        </w:rPr>
        <w:sym w:font="Symbol" w:char="F044"/>
      </w:r>
      <w:r w:rsidR="00CF1C12" w:rsidRPr="008E6E59">
        <w:rPr>
          <w:rFonts w:ascii="Times New Roman" w:hAnsi="Times New Roman" w:cs="Times New Roman"/>
          <w:i/>
          <w:color w:val="000000"/>
        </w:rPr>
        <w:t>gdp</w:t>
      </w:r>
      <w:r w:rsidR="002053AB" w:rsidRPr="008E6E59">
        <w:rPr>
          <w:rFonts w:ascii="Times New Roman" w:hAnsi="Times New Roman" w:cs="Times New Roman"/>
          <w:i/>
          <w:color w:val="000000"/>
        </w:rPr>
        <w:t xml:space="preserve"> and inflation</w:t>
      </w:r>
      <w:r w:rsidR="00CF1C12" w:rsidRPr="008E6E59">
        <w:rPr>
          <w:rFonts w:ascii="Times New Roman" w:hAnsi="Times New Roman" w:cs="Times New Roman"/>
          <w:color w:val="000000"/>
        </w:rPr>
        <w:t>.</w:t>
      </w:r>
      <w:r w:rsidRPr="008E6E59">
        <w:rPr>
          <w:rFonts w:ascii="Times New Roman" w:hAnsi="Times New Roman" w:cs="Times New Roman"/>
          <w:color w:val="000000"/>
        </w:rPr>
        <w:t xml:space="preserve"> </w:t>
      </w:r>
    </w:p>
    <w:p w14:paraId="4B88CE31" w14:textId="28520FC3" w:rsidR="00296C3B" w:rsidRPr="008E6E59" w:rsidRDefault="00227DF5" w:rsidP="00566FBD">
      <w:pPr>
        <w:widowControl w:val="0"/>
        <w:autoSpaceDE w:val="0"/>
        <w:autoSpaceDN w:val="0"/>
        <w:adjustRightInd w:val="0"/>
        <w:spacing w:after="240" w:line="480" w:lineRule="auto"/>
        <w:ind w:right="-142"/>
        <w:jc w:val="both"/>
        <w:rPr>
          <w:rFonts w:ascii="Times New Roman" w:eastAsiaTheme="minorEastAsia" w:hAnsi="Times New Roman" w:cs="Times New Roman"/>
          <w:lang w:val="en-US"/>
        </w:rPr>
      </w:pPr>
      <m:oMath>
        <m:sSub>
          <m:sSubPr>
            <m:ctrlPr>
              <w:rPr>
                <w:rFonts w:ascii="Cambria Math" w:eastAsia="Times New Roman" w:hAnsi="Cambria Math" w:cs="Times New Roman"/>
                <w:i/>
                <w:lang w:val="en-US"/>
              </w:rPr>
            </m:ctrlPr>
          </m:sSubPr>
          <m:e>
            <m:d>
              <m:dPr>
                <m:ctrlPr>
                  <w:rPr>
                    <w:rFonts w:ascii="Cambria Math" w:eastAsia="Times New Roman" w:hAnsi="Cambria Math" w:cs="Times New Roman"/>
                    <w:i/>
                    <w:lang w:val="en-US"/>
                  </w:rPr>
                </m:ctrlPr>
              </m:dPr>
              <m:e>
                <m:f>
                  <m:fPr>
                    <m:ctrlPr>
                      <w:rPr>
                        <w:rFonts w:ascii="Cambria Math" w:eastAsia="Times New Roman" w:hAnsi="Cambria Math" w:cs="Times New Roman"/>
                        <w:i/>
                        <w:lang w:val="en-US"/>
                      </w:rPr>
                    </m:ctrlPr>
                  </m:fPr>
                  <m:num>
                    <m:r>
                      <w:rPr>
                        <w:rFonts w:ascii="Cambria Math" w:eastAsia="Times New Roman" w:hAnsi="Cambria Math" w:cs="Times New Roman"/>
                        <w:lang w:val="en-US"/>
                      </w:rPr>
                      <m:t>rep</m:t>
                    </m:r>
                  </m:num>
                  <m:den>
                    <m:r>
                      <w:rPr>
                        <w:rFonts w:ascii="Cambria Math" w:eastAsia="Times New Roman" w:hAnsi="Cambria Math" w:cs="Times New Roman"/>
                        <w:lang w:val="en-US"/>
                      </w:rPr>
                      <m:t xml:space="preserve">tot mort </m:t>
                    </m:r>
                  </m:den>
                </m:f>
              </m:e>
            </m:d>
          </m:e>
          <m:sub>
            <m:r>
              <w:rPr>
                <w:rFonts w:ascii="Cambria Math" w:eastAsia="Times New Roman" w:hAnsi="Cambria Math" w:cs="Times New Roman"/>
                <w:lang w:val="en-US"/>
              </w:rPr>
              <m:t>t</m:t>
            </m:r>
          </m:sub>
        </m:sSub>
        <m:r>
          <w:rPr>
            <w:rFonts w:ascii="Cambria Math" w:eastAsia="Times New Roman" w:hAnsi="Cambria Math" w:cs="Times New Roman"/>
            <w:lang w:val="en-US"/>
          </w:rPr>
          <m:t>=</m:t>
        </m:r>
        <m:d>
          <m:dPr>
            <m:begChr m:val="{"/>
            <m:endChr m:val=""/>
            <m:ctrlPr>
              <w:rPr>
                <w:rFonts w:ascii="Cambria Math" w:eastAsia="Times New Roman" w:hAnsi="Cambria Math" w:cs="Times New Roman"/>
                <w:i/>
                <w:lang w:val="en-US"/>
              </w:rPr>
            </m:ctrlPr>
          </m:dPr>
          <m:e>
            <m:eqArr>
              <m:eqArrPr>
                <m:ctrlPr>
                  <w:rPr>
                    <w:rFonts w:ascii="Cambria Math" w:eastAsia="Times New Roman" w:hAnsi="Cambria Math" w:cs="Times New Roman"/>
                    <w:i/>
                    <w:lang w:val="en-US"/>
                  </w:rPr>
                </m:ctrlPr>
              </m:eqArrPr>
              <m:e>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11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inf</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12</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∆gdp</m:t>
                    </m:r>
                  </m:e>
                  <m:sub>
                    <m:r>
                      <w:rPr>
                        <w:rFonts w:ascii="Cambria Math" w:eastAsia="Times New Roman" w:hAnsi="Cambria Math" w:cs="Times New Roman"/>
                        <w:lang w:val="en-US"/>
                      </w:rPr>
                      <m:t>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13</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∆hp</m:t>
                    </m:r>
                  </m:e>
                  <m:sub>
                    <m:r>
                      <w:rPr>
                        <w:rFonts w:ascii="Cambria Math" w:eastAsia="Times New Roman" w:hAnsi="Cambria Math" w:cs="Times New Roman"/>
                        <w:lang w:val="en-US"/>
                      </w:rPr>
                      <m:t>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14</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mix</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ε</m:t>
                    </m:r>
                  </m:e>
                  <m:sub>
                    <m:r>
                      <w:rPr>
                        <w:rFonts w:ascii="Cambria Math" w:eastAsia="Times New Roman" w:hAnsi="Cambria Math" w:cs="Times New Roman"/>
                        <w:lang w:val="en-US"/>
                      </w:rPr>
                      <m:t>t</m:t>
                    </m:r>
                  </m:sub>
                </m:sSub>
                <m:r>
                  <w:rPr>
                    <w:rFonts w:ascii="Cambria Math" w:eastAsia="Times New Roman" w:hAnsi="Cambria Math" w:cs="Times New Roman"/>
                    <w:lang w:val="en-US"/>
                  </w:rPr>
                  <m:t xml:space="preserve">, </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 xml:space="preserve"> S</m:t>
                    </m:r>
                  </m:e>
                  <m:sub>
                    <m:r>
                      <w:rPr>
                        <w:rFonts w:ascii="Cambria Math" w:eastAsia="Times New Roman" w:hAnsi="Cambria Math" w:cs="Times New Roman"/>
                        <w:lang w:val="en-US"/>
                      </w:rPr>
                      <m:t>t</m:t>
                    </m:r>
                  </m:sub>
                </m:sSub>
                <m:r>
                  <w:rPr>
                    <w:rFonts w:ascii="Cambria Math" w:eastAsia="Times New Roman" w:hAnsi="Cambria Math" w:cs="Times New Roman"/>
                    <w:lang w:val="en-US"/>
                  </w:rPr>
                  <m:t>=1</m:t>
                </m:r>
              </m:e>
              <m:e>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μ</m:t>
                    </m:r>
                  </m:e>
                  <m:sub>
                    <m:r>
                      <w:rPr>
                        <w:rFonts w:ascii="Cambria Math" w:eastAsia="Times New Roman" w:hAnsi="Cambria Math" w:cs="Times New Roman"/>
                        <w:lang w:val="en-US"/>
                      </w:rPr>
                      <m: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21</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inf</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22</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∆gdp</m:t>
                    </m:r>
                  </m:e>
                  <m:sub>
                    <m:r>
                      <w:rPr>
                        <w:rFonts w:ascii="Cambria Math" w:eastAsia="Times New Roman" w:hAnsi="Cambria Math" w:cs="Times New Roman"/>
                        <w:lang w:val="en-US"/>
                      </w:rPr>
                      <m:t>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23</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∆hp</m:t>
                    </m:r>
                  </m:e>
                  <m:sub>
                    <m:r>
                      <w:rPr>
                        <w:rFonts w:ascii="Cambria Math" w:eastAsia="Times New Roman" w:hAnsi="Cambria Math" w:cs="Times New Roman"/>
                        <w:lang w:val="en-US"/>
                      </w:rPr>
                      <m:t>t-2</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B</m:t>
                    </m:r>
                  </m:e>
                  <m:sub>
                    <m:r>
                      <w:rPr>
                        <w:rFonts w:ascii="Cambria Math" w:eastAsia="Times New Roman" w:hAnsi="Cambria Math" w:cs="Times New Roman"/>
                        <w:lang w:val="en-US"/>
                      </w:rPr>
                      <m:t>24</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mix</m:t>
                    </m:r>
                  </m:e>
                  <m:sub>
                    <m:r>
                      <w:rPr>
                        <w:rFonts w:ascii="Cambria Math" w:eastAsia="Times New Roman" w:hAnsi="Cambria Math" w:cs="Times New Roman"/>
                        <w:lang w:val="en-US"/>
                      </w:rPr>
                      <m:t>t-1</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A</m:t>
                    </m:r>
                  </m:e>
                  <m:sub>
                    <m:r>
                      <w:rPr>
                        <w:rFonts w:ascii="Cambria Math" w:eastAsia="Times New Roman" w:hAnsi="Cambria Math" w:cs="Times New Roman"/>
                        <w:lang w:val="en-US"/>
                      </w:rPr>
                      <m:t>2</m:t>
                    </m:r>
                  </m:sub>
                </m:sSub>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ε</m:t>
                    </m:r>
                  </m:e>
                  <m:sub>
                    <m:r>
                      <w:rPr>
                        <w:rFonts w:ascii="Cambria Math" w:eastAsia="Times New Roman" w:hAnsi="Cambria Math" w:cs="Times New Roman"/>
                        <w:lang w:val="en-US"/>
                      </w:rPr>
                      <m:t>t</m:t>
                    </m:r>
                  </m:sub>
                </m:sSub>
                <m:r>
                  <w:rPr>
                    <w:rFonts w:ascii="Cambria Math" w:eastAsia="Times New Roman" w:hAnsi="Cambria Math" w:cs="Times New Roman"/>
                    <w:lang w:val="en-US"/>
                  </w:rPr>
                  <m:t>,</m:t>
                </m:r>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 xml:space="preserve"> S</m:t>
                    </m:r>
                  </m:e>
                  <m:sub>
                    <m:r>
                      <w:rPr>
                        <w:rFonts w:ascii="Cambria Math" w:eastAsia="Times New Roman" w:hAnsi="Cambria Math" w:cs="Times New Roman"/>
                        <w:lang w:val="en-US"/>
                      </w:rPr>
                      <m:t>t</m:t>
                    </m:r>
                  </m:sub>
                </m:sSub>
                <m:r>
                  <w:rPr>
                    <w:rFonts w:ascii="Cambria Math" w:eastAsia="Times New Roman" w:hAnsi="Cambria Math" w:cs="Times New Roman"/>
                    <w:lang w:val="en-US"/>
                  </w:rPr>
                  <m:t>=2</m:t>
                </m:r>
              </m:e>
            </m:eqArr>
          </m:e>
        </m:d>
      </m:oMath>
      <w:r w:rsidR="0061204D" w:rsidRPr="008E6E59">
        <w:rPr>
          <w:rFonts w:ascii="Times New Roman" w:eastAsiaTheme="minorEastAsia" w:hAnsi="Times New Roman" w:cs="Times New Roman"/>
          <w:lang w:val="en-US"/>
        </w:rPr>
        <w:t xml:space="preserve">   (</w:t>
      </w:r>
      <w:r w:rsidR="00A63458">
        <w:rPr>
          <w:rFonts w:ascii="Times New Roman" w:eastAsiaTheme="minorEastAsia" w:hAnsi="Times New Roman" w:cs="Times New Roman"/>
          <w:lang w:val="en-US"/>
        </w:rPr>
        <w:t>6</w:t>
      </w:r>
      <w:r w:rsidR="0061204D" w:rsidRPr="008E6E59">
        <w:rPr>
          <w:rFonts w:ascii="Times New Roman" w:eastAsiaTheme="minorEastAsia" w:hAnsi="Times New Roman" w:cs="Times New Roman"/>
          <w:lang w:val="en-US"/>
        </w:rPr>
        <w:t>)</w:t>
      </w:r>
    </w:p>
    <w:p w14:paraId="50F95D06" w14:textId="2367124C" w:rsidR="00DB2BAF" w:rsidRPr="001F3C98" w:rsidRDefault="00296C3B" w:rsidP="001F3C98">
      <w:pPr>
        <w:widowControl w:val="0"/>
        <w:autoSpaceDE w:val="0"/>
        <w:autoSpaceDN w:val="0"/>
        <w:adjustRightInd w:val="0"/>
        <w:spacing w:after="0" w:line="480" w:lineRule="auto"/>
        <w:jc w:val="both"/>
        <w:rPr>
          <w:rFonts w:ascii="Times New Roman" w:hAnsi="Times New Roman" w:cs="Times New Roman"/>
          <w:color w:val="000000"/>
        </w:rPr>
      </w:pPr>
      <w:r w:rsidRPr="008E6E59">
        <w:rPr>
          <w:rFonts w:ascii="Times New Roman" w:hAnsi="Times New Roman" w:cs="Times New Roman"/>
          <w:color w:val="000000"/>
        </w:rPr>
        <w:t>Under</w:t>
      </w:r>
      <w:r w:rsidR="00A64855" w:rsidRPr="008E6E59">
        <w:rPr>
          <w:rFonts w:ascii="Times New Roman" w:hAnsi="Times New Roman" w:cs="Times New Roman"/>
          <w:color w:val="000000"/>
        </w:rPr>
        <w:t xml:space="preserve"> the hypothesis</w:t>
      </w:r>
      <w:r w:rsidR="00FD31AF" w:rsidRPr="008E6E59">
        <w:rPr>
          <w:rFonts w:ascii="Times New Roman" w:hAnsi="Times New Roman" w:cs="Times New Roman"/>
          <w:color w:val="000000"/>
        </w:rPr>
        <w:t xml:space="preserve"> </w:t>
      </w:r>
      <w:r w:rsidR="000548AA" w:rsidRPr="008E6E59">
        <w:rPr>
          <w:rFonts w:ascii="Times New Roman" w:hAnsi="Times New Roman" w:cs="Times New Roman"/>
          <w:color w:val="000000"/>
        </w:rPr>
        <w:t xml:space="preserve">that </w:t>
      </w:r>
      <w:r w:rsidR="00AF60F2" w:rsidRPr="008E6E59">
        <w:rPr>
          <w:rFonts w:ascii="Times New Roman" w:hAnsi="Times New Roman" w:cs="Times New Roman"/>
          <w:color w:val="000000"/>
        </w:rPr>
        <w:t>non-depository</w:t>
      </w:r>
      <w:r w:rsidR="00FD31AF" w:rsidRPr="008E6E59">
        <w:rPr>
          <w:rFonts w:ascii="Times New Roman" w:hAnsi="Times New Roman" w:cs="Times New Roman"/>
          <w:color w:val="000000"/>
        </w:rPr>
        <w:t xml:space="preserve"> institutions fund less risky assets</w:t>
      </w:r>
      <w:r w:rsidR="0063041B" w:rsidRPr="008E6E59">
        <w:rPr>
          <w:rFonts w:ascii="Times New Roman" w:hAnsi="Times New Roman" w:cs="Times New Roman"/>
          <w:color w:val="000000"/>
        </w:rPr>
        <w:t>,</w:t>
      </w:r>
      <w:r w:rsidR="00FD31AF" w:rsidRPr="008E6E59">
        <w:rPr>
          <w:rFonts w:ascii="Times New Roman" w:hAnsi="Times New Roman" w:cs="Times New Roman"/>
          <w:color w:val="000000"/>
        </w:rPr>
        <w:t xml:space="preserve"> </w:t>
      </w:r>
      <w:r w:rsidR="00BD7A1C" w:rsidRPr="008E6E59">
        <w:rPr>
          <w:rFonts w:ascii="Times New Roman" w:hAnsi="Times New Roman" w:cs="Times New Roman"/>
          <w:color w:val="000000"/>
        </w:rPr>
        <w:t>number of m</w:t>
      </w:r>
      <w:r w:rsidR="000548AA" w:rsidRPr="008E6E59">
        <w:rPr>
          <w:rFonts w:ascii="Times New Roman" w:hAnsi="Times New Roman" w:cs="Times New Roman"/>
          <w:color w:val="000000"/>
        </w:rPr>
        <w:t>ortgage repressions and</w:t>
      </w:r>
      <w:r w:rsidR="00BD7A1C" w:rsidRPr="008E6E59">
        <w:rPr>
          <w:rFonts w:ascii="Times New Roman" w:hAnsi="Times New Roman" w:cs="Times New Roman"/>
          <w:color w:val="000000"/>
        </w:rPr>
        <w:t xml:space="preserve"> arrays</w:t>
      </w:r>
      <w:r w:rsidR="0063041B" w:rsidRPr="008E6E59">
        <w:rPr>
          <w:rFonts w:ascii="Times New Roman" w:hAnsi="Times New Roman" w:cs="Times New Roman"/>
          <w:color w:val="000000"/>
        </w:rPr>
        <w:t xml:space="preserve"> as a fraction of total mortgages will fall</w:t>
      </w:r>
      <w:r w:rsidR="00806FA5" w:rsidRPr="008E6E59">
        <w:rPr>
          <w:rFonts w:ascii="Times New Roman" w:hAnsi="Times New Roman" w:cs="Times New Roman"/>
          <w:color w:val="000000"/>
        </w:rPr>
        <w:t xml:space="preserve"> </w:t>
      </w:r>
      <w:r w:rsidR="00224534" w:rsidRPr="008E6E59">
        <w:rPr>
          <w:rFonts w:ascii="Times New Roman" w:hAnsi="Times New Roman" w:cs="Times New Roman"/>
          <w:color w:val="000000"/>
        </w:rPr>
        <w:t>(</w:t>
      </w:r>
      <w:r w:rsidR="00224534" w:rsidRPr="008E6E59">
        <w:rPr>
          <w:rFonts w:ascii="Times New Roman" w:hAnsi="Times New Roman" w:cs="Times New Roman"/>
          <w:i/>
          <w:color w:val="000000"/>
        </w:rPr>
        <w:t>increase</w:t>
      </w:r>
      <w:r w:rsidR="00224534" w:rsidRPr="008E6E59">
        <w:rPr>
          <w:rFonts w:ascii="Times New Roman" w:hAnsi="Times New Roman" w:cs="Times New Roman"/>
          <w:color w:val="000000"/>
        </w:rPr>
        <w:t>)</w:t>
      </w:r>
      <w:r w:rsidR="0063041B" w:rsidRPr="008E6E59">
        <w:rPr>
          <w:rFonts w:ascii="Times New Roman" w:hAnsi="Times New Roman" w:cs="Times New Roman"/>
          <w:color w:val="000000"/>
        </w:rPr>
        <w:t xml:space="preserve"> if</w:t>
      </w:r>
      <w:r w:rsidR="00BD7A1C" w:rsidRPr="008E6E59">
        <w:rPr>
          <w:rFonts w:ascii="Times New Roman" w:hAnsi="Times New Roman" w:cs="Times New Roman"/>
          <w:color w:val="000000"/>
        </w:rPr>
        <w:t xml:space="preserve"> the </w:t>
      </w:r>
      <w:r w:rsidR="00BD7A1C" w:rsidRPr="008E6E59">
        <w:rPr>
          <w:rFonts w:ascii="Times New Roman" w:hAnsi="Times New Roman" w:cs="Times New Roman"/>
          <w:i/>
          <w:color w:val="000000"/>
        </w:rPr>
        <w:t>mix</w:t>
      </w:r>
      <w:r w:rsidR="00A64855" w:rsidRPr="008E6E59">
        <w:rPr>
          <w:rFonts w:ascii="Times New Roman" w:hAnsi="Times New Roman" w:cs="Times New Roman"/>
          <w:color w:val="000000"/>
        </w:rPr>
        <w:t xml:space="preserve"> decreases</w:t>
      </w:r>
      <w:r w:rsidR="00806FA5" w:rsidRPr="008E6E59">
        <w:rPr>
          <w:rFonts w:ascii="Times New Roman" w:hAnsi="Times New Roman" w:cs="Times New Roman"/>
          <w:color w:val="000000"/>
        </w:rPr>
        <w:t xml:space="preserve"> (</w:t>
      </w:r>
      <w:r w:rsidR="00806FA5" w:rsidRPr="008E6E59">
        <w:rPr>
          <w:rFonts w:ascii="Times New Roman" w:hAnsi="Times New Roman" w:cs="Times New Roman"/>
          <w:i/>
          <w:color w:val="000000"/>
        </w:rPr>
        <w:t>increase)</w:t>
      </w:r>
      <w:r w:rsidR="00A64855" w:rsidRPr="008E6E59">
        <w:rPr>
          <w:rFonts w:ascii="Times New Roman" w:hAnsi="Times New Roman" w:cs="Times New Roman"/>
          <w:color w:val="000000"/>
        </w:rPr>
        <w:t>. R</w:t>
      </w:r>
      <w:r w:rsidR="00CF1C12" w:rsidRPr="008E6E59">
        <w:rPr>
          <w:rFonts w:ascii="Times New Roman" w:hAnsi="Times New Roman" w:cs="Times New Roman"/>
          <w:color w:val="000000"/>
        </w:rPr>
        <w:t>esult</w:t>
      </w:r>
      <w:r w:rsidR="00B07502" w:rsidRPr="008E6E59">
        <w:rPr>
          <w:rFonts w:ascii="Times New Roman" w:hAnsi="Times New Roman" w:cs="Times New Roman"/>
          <w:color w:val="000000"/>
        </w:rPr>
        <w:t xml:space="preserve">s presented in table </w:t>
      </w:r>
      <w:r w:rsidR="00743D66">
        <w:rPr>
          <w:rFonts w:ascii="Times New Roman" w:hAnsi="Times New Roman" w:cs="Times New Roman"/>
          <w:color w:val="000000"/>
        </w:rPr>
        <w:t>5</w:t>
      </w:r>
      <w:r w:rsidR="00B07502" w:rsidRPr="008E6E59">
        <w:rPr>
          <w:rFonts w:ascii="Times New Roman" w:hAnsi="Times New Roman" w:cs="Times New Roman"/>
          <w:color w:val="000000"/>
        </w:rPr>
        <w:t xml:space="preserve"> </w:t>
      </w:r>
      <w:r w:rsidR="00E6422D">
        <w:rPr>
          <w:rFonts w:ascii="Times New Roman" w:hAnsi="Times New Roman" w:cs="Times New Roman"/>
          <w:color w:val="000000"/>
        </w:rPr>
        <w:t xml:space="preserve">(and figure 5) </w:t>
      </w:r>
      <w:r w:rsidR="00B07502" w:rsidRPr="008E6E59">
        <w:rPr>
          <w:rFonts w:ascii="Times New Roman" w:hAnsi="Times New Roman" w:cs="Times New Roman"/>
          <w:color w:val="000000"/>
        </w:rPr>
        <w:t xml:space="preserve">show </w:t>
      </w:r>
      <w:r w:rsidR="00743D66">
        <w:rPr>
          <w:rFonts w:ascii="Times New Roman" w:hAnsi="Times New Roman" w:cs="Times New Roman"/>
          <w:color w:val="000000"/>
        </w:rPr>
        <w:t>during expansions</w:t>
      </w:r>
      <w:r w:rsidR="005A059F" w:rsidRPr="008E6E59">
        <w:rPr>
          <w:rFonts w:ascii="Times New Roman" w:hAnsi="Times New Roman" w:cs="Times New Roman"/>
          <w:color w:val="000000"/>
        </w:rPr>
        <w:t xml:space="preserve"> the </w:t>
      </w:r>
      <w:r w:rsidR="005A059F" w:rsidRPr="00E53F98">
        <w:rPr>
          <w:rFonts w:ascii="Times New Roman" w:hAnsi="Times New Roman" w:cs="Times New Roman"/>
          <w:i/>
          <w:iCs/>
          <w:color w:val="000000"/>
        </w:rPr>
        <w:t>mix</w:t>
      </w:r>
      <w:r w:rsidR="00B07502" w:rsidRPr="008E6E59">
        <w:rPr>
          <w:rFonts w:ascii="Times New Roman" w:hAnsi="Times New Roman" w:cs="Times New Roman"/>
          <w:color w:val="000000"/>
        </w:rPr>
        <w:t xml:space="preserve"> is insignificant and in recessionary </w:t>
      </w:r>
      <w:r w:rsidRPr="008E6E59">
        <w:rPr>
          <w:rFonts w:ascii="Times New Roman" w:hAnsi="Times New Roman" w:cs="Times New Roman"/>
          <w:color w:val="000000"/>
        </w:rPr>
        <w:t>period it</w:t>
      </w:r>
      <w:r w:rsidR="005A059F" w:rsidRPr="008E6E59">
        <w:rPr>
          <w:rFonts w:ascii="Times New Roman" w:hAnsi="Times New Roman" w:cs="Times New Roman"/>
          <w:color w:val="000000"/>
        </w:rPr>
        <w:t xml:space="preserve"> has </w:t>
      </w:r>
      <w:r w:rsidR="00450B55" w:rsidRPr="008E6E59">
        <w:rPr>
          <w:rFonts w:ascii="Times New Roman" w:hAnsi="Times New Roman" w:cs="Times New Roman"/>
          <w:color w:val="000000"/>
        </w:rPr>
        <w:t xml:space="preserve">negative </w:t>
      </w:r>
      <w:r w:rsidR="005A059F" w:rsidRPr="008E6E59">
        <w:rPr>
          <w:rFonts w:ascii="Times New Roman" w:hAnsi="Times New Roman" w:cs="Times New Roman"/>
          <w:color w:val="000000"/>
        </w:rPr>
        <w:t>sign, hence</w:t>
      </w:r>
      <w:r w:rsidR="0025496B" w:rsidRPr="008E6E59">
        <w:rPr>
          <w:rFonts w:ascii="Times New Roman" w:hAnsi="Times New Roman" w:cs="Times New Roman"/>
          <w:color w:val="000000"/>
        </w:rPr>
        <w:t xml:space="preserve"> </w:t>
      </w:r>
      <w:r w:rsidR="00CF1C12" w:rsidRPr="008E6E59">
        <w:rPr>
          <w:rFonts w:ascii="Times New Roman" w:hAnsi="Times New Roman" w:cs="Times New Roman"/>
          <w:color w:val="000000"/>
        </w:rPr>
        <w:t>nullif</w:t>
      </w:r>
      <w:r w:rsidR="00BC7143" w:rsidRPr="008E6E59">
        <w:rPr>
          <w:rFonts w:ascii="Times New Roman" w:hAnsi="Times New Roman" w:cs="Times New Roman"/>
          <w:color w:val="000000"/>
        </w:rPr>
        <w:t>ying</w:t>
      </w:r>
      <w:r w:rsidR="00CF1C12" w:rsidRPr="008E6E59">
        <w:rPr>
          <w:rFonts w:ascii="Times New Roman" w:hAnsi="Times New Roman" w:cs="Times New Roman"/>
          <w:color w:val="000000"/>
        </w:rPr>
        <w:t xml:space="preserve"> the “</w:t>
      </w:r>
      <w:r w:rsidR="00CF1C12" w:rsidRPr="00743D66">
        <w:rPr>
          <w:rFonts w:ascii="Times New Roman" w:hAnsi="Times New Roman" w:cs="Times New Roman"/>
          <w:i/>
          <w:iCs/>
          <w:color w:val="000000"/>
        </w:rPr>
        <w:t xml:space="preserve">flight to </w:t>
      </w:r>
      <w:r w:rsidR="00A767A4" w:rsidRPr="00743D66">
        <w:rPr>
          <w:rFonts w:ascii="Times New Roman" w:hAnsi="Times New Roman" w:cs="Times New Roman"/>
          <w:i/>
          <w:iCs/>
          <w:color w:val="000000"/>
        </w:rPr>
        <w:t>quality</w:t>
      </w:r>
      <w:r w:rsidR="00A767A4" w:rsidRPr="008E6E59">
        <w:rPr>
          <w:rFonts w:ascii="Times New Roman" w:hAnsi="Times New Roman" w:cs="Times New Roman"/>
          <w:color w:val="000000"/>
        </w:rPr>
        <w:t>”</w:t>
      </w:r>
      <w:r w:rsidR="00806FA5" w:rsidRPr="008E6E59">
        <w:rPr>
          <w:rFonts w:ascii="Times New Roman" w:hAnsi="Times New Roman" w:cs="Times New Roman"/>
          <w:color w:val="000000"/>
        </w:rPr>
        <w:t xml:space="preserve"> hypothesis</w:t>
      </w:r>
      <w:r w:rsidR="005A059F" w:rsidRPr="008E6E59">
        <w:rPr>
          <w:rFonts w:ascii="Times New Roman" w:hAnsi="Times New Roman" w:cs="Times New Roman"/>
          <w:color w:val="000000"/>
        </w:rPr>
        <w:t xml:space="preserve"> and </w:t>
      </w:r>
      <w:r w:rsidR="00A767A4" w:rsidRPr="008E6E59">
        <w:rPr>
          <w:rFonts w:ascii="Times New Roman" w:hAnsi="Times New Roman" w:cs="Times New Roman"/>
          <w:color w:val="000000"/>
        </w:rPr>
        <w:t>s</w:t>
      </w:r>
      <w:r w:rsidR="00806FA5" w:rsidRPr="008E6E59">
        <w:rPr>
          <w:rFonts w:ascii="Times New Roman" w:hAnsi="Times New Roman" w:cs="Times New Roman"/>
          <w:color w:val="000000"/>
        </w:rPr>
        <w:t>trengthening our earlier finding about</w:t>
      </w:r>
      <w:r w:rsidR="00416209" w:rsidRPr="008E6E59">
        <w:rPr>
          <w:rFonts w:ascii="Times New Roman" w:hAnsi="Times New Roman" w:cs="Times New Roman"/>
          <w:color w:val="000000"/>
        </w:rPr>
        <w:t xml:space="preserve"> the operational</w:t>
      </w:r>
      <w:r w:rsidR="00806FA5" w:rsidRPr="008E6E59">
        <w:rPr>
          <w:rFonts w:ascii="Times New Roman" w:hAnsi="Times New Roman" w:cs="Times New Roman"/>
          <w:color w:val="000000"/>
        </w:rPr>
        <w:t xml:space="preserve"> validity of the BLC</w:t>
      </w:r>
      <w:r w:rsidR="00DF5DF0" w:rsidRPr="008E6E59">
        <w:rPr>
          <w:rFonts w:ascii="Times New Roman" w:hAnsi="Times New Roman" w:cs="Times New Roman"/>
          <w:color w:val="000000"/>
        </w:rPr>
        <w:t>.</w:t>
      </w:r>
    </w:p>
    <w:p w14:paraId="50580337" w14:textId="77777777" w:rsidR="003F045A" w:rsidRDefault="003F045A" w:rsidP="0076225A">
      <w:pPr>
        <w:widowControl w:val="0"/>
        <w:autoSpaceDE w:val="0"/>
        <w:autoSpaceDN w:val="0"/>
        <w:adjustRightInd w:val="0"/>
        <w:spacing w:after="0"/>
        <w:jc w:val="both"/>
        <w:rPr>
          <w:rFonts w:ascii="Times New Roman" w:hAnsi="Times New Roman" w:cs="Times New Roman"/>
          <w:b/>
          <w:color w:val="000000" w:themeColor="text1"/>
        </w:rPr>
      </w:pPr>
    </w:p>
    <w:p w14:paraId="7A3E5A97" w14:textId="3D30CB84" w:rsidR="00305F51" w:rsidRPr="004F7AAB" w:rsidRDefault="00BE3BC9" w:rsidP="00AB23D7">
      <w:pPr>
        <w:pStyle w:val="ListParagraph"/>
        <w:widowControl w:val="0"/>
        <w:numPr>
          <w:ilvl w:val="0"/>
          <w:numId w:val="8"/>
        </w:numPr>
        <w:autoSpaceDE w:val="0"/>
        <w:autoSpaceDN w:val="0"/>
        <w:adjustRightInd w:val="0"/>
        <w:spacing w:after="0"/>
        <w:ind w:left="426" w:hanging="426"/>
        <w:jc w:val="both"/>
        <w:rPr>
          <w:rFonts w:ascii="Times New Roman" w:eastAsia="Times New Roman" w:hAnsi="Times New Roman" w:cs="Times New Roman"/>
          <w:b/>
          <w:color w:val="000000" w:themeColor="text1"/>
          <w:lang w:eastAsia="en-GB"/>
        </w:rPr>
      </w:pPr>
      <w:r w:rsidRPr="004F7AAB">
        <w:rPr>
          <w:rFonts w:ascii="Times New Roman" w:hAnsi="Times New Roman" w:cs="Times New Roman"/>
          <w:b/>
          <w:color w:val="000000" w:themeColor="text1"/>
        </w:rPr>
        <w:t>Mortgage supply and</w:t>
      </w:r>
      <w:r w:rsidR="00A541F7" w:rsidRPr="004F7AAB">
        <w:rPr>
          <w:rFonts w:ascii="Times New Roman" w:hAnsi="Times New Roman" w:cs="Times New Roman"/>
          <w:b/>
          <w:color w:val="000000" w:themeColor="text1"/>
        </w:rPr>
        <w:t xml:space="preserve"> </w:t>
      </w:r>
      <w:r w:rsidR="008C6DD7" w:rsidRPr="004F7AAB">
        <w:rPr>
          <w:rFonts w:ascii="Times New Roman" w:hAnsi="Times New Roman" w:cs="Times New Roman"/>
          <w:b/>
          <w:color w:val="000000" w:themeColor="text1"/>
        </w:rPr>
        <w:t xml:space="preserve">dissimilar </w:t>
      </w:r>
      <w:r w:rsidR="006F6359" w:rsidRPr="004F7AAB">
        <w:rPr>
          <w:rFonts w:ascii="Times New Roman" w:hAnsi="Times New Roman" w:cs="Times New Roman"/>
          <w:b/>
          <w:color w:val="000000" w:themeColor="text1"/>
        </w:rPr>
        <w:t xml:space="preserve">expansionary monetary shocks during recession  </w:t>
      </w:r>
      <w:r w:rsidR="004C769D" w:rsidRPr="004F7AAB">
        <w:rPr>
          <w:rFonts w:ascii="Times New Roman" w:eastAsia="Times New Roman" w:hAnsi="Times New Roman" w:cs="Times New Roman"/>
          <w:b/>
          <w:color w:val="000000" w:themeColor="text1"/>
          <w:lang w:eastAsia="en-GB"/>
        </w:rPr>
        <w:t xml:space="preserve">  </w:t>
      </w:r>
    </w:p>
    <w:p w14:paraId="4DAA0385" w14:textId="77777777" w:rsidR="00850DA1" w:rsidRPr="008E6E59" w:rsidRDefault="00850DA1" w:rsidP="001362E2">
      <w:pPr>
        <w:widowControl w:val="0"/>
        <w:autoSpaceDE w:val="0"/>
        <w:autoSpaceDN w:val="0"/>
        <w:adjustRightInd w:val="0"/>
        <w:spacing w:after="0"/>
        <w:jc w:val="both"/>
        <w:rPr>
          <w:rFonts w:ascii="Times New Roman" w:eastAsia="Times New Roman" w:hAnsi="Times New Roman" w:cs="Times New Roman"/>
          <w:lang w:eastAsia="en-GB"/>
        </w:rPr>
      </w:pPr>
    </w:p>
    <w:p w14:paraId="1FFBD258" w14:textId="5718A8D7" w:rsidR="008200F8" w:rsidRDefault="00E05741" w:rsidP="00DA4F73">
      <w:pPr>
        <w:widowControl w:val="0"/>
        <w:autoSpaceDE w:val="0"/>
        <w:autoSpaceDN w:val="0"/>
        <w:adjustRightInd w:val="0"/>
        <w:spacing w:after="0" w:line="48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themeColor="text1"/>
          <w:lang w:eastAsia="en-GB"/>
        </w:rPr>
        <w:t>Here we focus</w:t>
      </w:r>
      <w:r w:rsidR="001562AD" w:rsidRPr="00E53F98">
        <w:rPr>
          <w:rFonts w:ascii="Times New Roman" w:eastAsia="Times New Roman" w:hAnsi="Times New Roman" w:cs="Times New Roman"/>
          <w:color w:val="000000" w:themeColor="text1"/>
          <w:lang w:eastAsia="en-GB"/>
        </w:rPr>
        <w:t xml:space="preserve"> on</w:t>
      </w:r>
      <w:r w:rsidR="003E159B" w:rsidRPr="00E53F98">
        <w:rPr>
          <w:rFonts w:ascii="Times New Roman" w:eastAsia="Times New Roman" w:hAnsi="Times New Roman" w:cs="Times New Roman"/>
          <w:color w:val="000000" w:themeColor="text1"/>
          <w:lang w:eastAsia="en-GB"/>
        </w:rPr>
        <w:t xml:space="preserve"> nonlinearity</w:t>
      </w:r>
      <w:r w:rsidR="003E159B" w:rsidRPr="008E6E59">
        <w:rPr>
          <w:rFonts w:ascii="Times New Roman" w:eastAsia="Times New Roman" w:hAnsi="Times New Roman" w:cs="Times New Roman"/>
          <w:lang w:eastAsia="en-GB"/>
        </w:rPr>
        <w:t>,</w:t>
      </w:r>
      <w:r w:rsidR="003A61F0" w:rsidRPr="008E6E59">
        <w:rPr>
          <w:rFonts w:ascii="Times New Roman" w:eastAsia="Times New Roman" w:hAnsi="Times New Roman" w:cs="Times New Roman"/>
          <w:lang w:eastAsia="en-GB"/>
        </w:rPr>
        <w:t xml:space="preserve"> comp</w:t>
      </w:r>
      <w:r w:rsidR="005B6E87" w:rsidRPr="008E6E59">
        <w:rPr>
          <w:rFonts w:ascii="Times New Roman" w:eastAsia="Times New Roman" w:hAnsi="Times New Roman" w:cs="Times New Roman"/>
          <w:lang w:eastAsia="en-GB"/>
        </w:rPr>
        <w:t>aring</w:t>
      </w:r>
      <w:r w:rsidR="003A61F0" w:rsidRPr="008E6E59">
        <w:rPr>
          <w:rFonts w:ascii="Times New Roman" w:eastAsia="Times New Roman" w:hAnsi="Times New Roman" w:cs="Times New Roman"/>
          <w:lang w:eastAsia="en-GB"/>
        </w:rPr>
        <w:t xml:space="preserve"> small v</w:t>
      </w:r>
      <w:r w:rsidR="00D045AA" w:rsidRPr="008E6E59">
        <w:rPr>
          <w:rFonts w:ascii="Times New Roman" w:eastAsia="Times New Roman" w:hAnsi="Times New Roman" w:cs="Times New Roman"/>
          <w:lang w:eastAsia="en-GB"/>
        </w:rPr>
        <w:t>er</w:t>
      </w:r>
      <w:r w:rsidR="003A61F0" w:rsidRPr="008E6E59">
        <w:rPr>
          <w:rFonts w:ascii="Times New Roman" w:eastAsia="Times New Roman" w:hAnsi="Times New Roman" w:cs="Times New Roman"/>
          <w:lang w:eastAsia="en-GB"/>
        </w:rPr>
        <w:t>s</w:t>
      </w:r>
      <w:r w:rsidR="00D045AA" w:rsidRPr="008E6E59">
        <w:rPr>
          <w:rFonts w:ascii="Times New Roman" w:eastAsia="Times New Roman" w:hAnsi="Times New Roman" w:cs="Times New Roman"/>
          <w:lang w:eastAsia="en-GB"/>
        </w:rPr>
        <w:t>us</w:t>
      </w:r>
      <w:r w:rsidR="003A61F0" w:rsidRPr="008E6E59">
        <w:rPr>
          <w:rFonts w:ascii="Times New Roman" w:eastAsia="Times New Roman" w:hAnsi="Times New Roman" w:cs="Times New Roman"/>
          <w:lang w:eastAsia="en-GB"/>
        </w:rPr>
        <w:t xml:space="preserve"> large</w:t>
      </w:r>
      <w:r w:rsidR="0029343A" w:rsidRPr="008E6E59">
        <w:rPr>
          <w:rFonts w:ascii="Times New Roman" w:eastAsia="Times New Roman" w:hAnsi="Times New Roman" w:cs="Times New Roman"/>
          <w:lang w:eastAsia="en-GB"/>
        </w:rPr>
        <w:t xml:space="preserve"> expansionary</w:t>
      </w:r>
      <w:r w:rsidR="003A61F0" w:rsidRPr="008E6E59">
        <w:rPr>
          <w:rFonts w:ascii="Times New Roman" w:eastAsia="Times New Roman" w:hAnsi="Times New Roman" w:cs="Times New Roman"/>
          <w:lang w:eastAsia="en-GB"/>
        </w:rPr>
        <w:t xml:space="preserve"> monetary</w:t>
      </w:r>
      <w:r w:rsidR="00081C22" w:rsidRPr="008E6E59">
        <w:rPr>
          <w:rFonts w:ascii="Times New Roman" w:eastAsia="Times New Roman" w:hAnsi="Times New Roman" w:cs="Times New Roman"/>
          <w:lang w:eastAsia="en-GB"/>
        </w:rPr>
        <w:t xml:space="preserve"> policy shocks on mortgage </w:t>
      </w:r>
      <w:r w:rsidR="003A61F0" w:rsidRPr="008E6E59">
        <w:rPr>
          <w:rFonts w:ascii="Times New Roman" w:eastAsia="Times New Roman" w:hAnsi="Times New Roman" w:cs="Times New Roman"/>
          <w:lang w:eastAsia="en-GB"/>
        </w:rPr>
        <w:t>supply</w:t>
      </w:r>
      <w:r w:rsidR="005B6E87" w:rsidRPr="008E6E59">
        <w:rPr>
          <w:rFonts w:ascii="Times New Roman" w:eastAsia="Times New Roman" w:hAnsi="Times New Roman" w:cs="Times New Roman"/>
          <w:lang w:eastAsia="en-GB"/>
        </w:rPr>
        <w:t xml:space="preserve"> by depository </w:t>
      </w:r>
      <w:r w:rsidR="008A431E" w:rsidRPr="008E6E59">
        <w:rPr>
          <w:rFonts w:ascii="Times New Roman" w:eastAsia="Times New Roman" w:hAnsi="Times New Roman" w:cs="Times New Roman"/>
          <w:lang w:eastAsia="en-GB"/>
        </w:rPr>
        <w:t>institutions</w:t>
      </w:r>
      <w:r>
        <w:rPr>
          <w:rFonts w:ascii="Times New Roman" w:eastAsia="Times New Roman" w:hAnsi="Times New Roman" w:cs="Times New Roman"/>
          <w:lang w:eastAsia="en-GB"/>
        </w:rPr>
        <w:t xml:space="preserve"> during periods of uncertainty</w:t>
      </w:r>
      <w:r w:rsidR="0012154A" w:rsidRPr="008E6E59">
        <w:rPr>
          <w:rFonts w:ascii="Times New Roman" w:eastAsia="Times New Roman" w:hAnsi="Times New Roman" w:cs="Times New Roman"/>
          <w:lang w:eastAsia="en-GB"/>
        </w:rPr>
        <w:t xml:space="preserve">. </w:t>
      </w:r>
      <w:r w:rsidR="00E31BEE" w:rsidRPr="008E6E59">
        <w:rPr>
          <w:rFonts w:ascii="Times New Roman" w:eastAsia="Times New Roman" w:hAnsi="Times New Roman" w:cs="Times New Roman"/>
          <w:lang w:eastAsia="en-GB"/>
        </w:rPr>
        <w:t>Although, studies</w:t>
      </w:r>
      <w:r w:rsidR="0094407E">
        <w:rPr>
          <w:rFonts w:ascii="Times New Roman" w:eastAsia="Times New Roman" w:hAnsi="Times New Roman" w:cs="Times New Roman"/>
          <w:lang w:eastAsia="en-GB"/>
        </w:rPr>
        <w:t xml:space="preserve"> </w:t>
      </w:r>
      <w:r w:rsidR="00E31BEE" w:rsidRPr="008E6E59">
        <w:rPr>
          <w:rFonts w:ascii="Times New Roman" w:eastAsia="Times New Roman" w:hAnsi="Times New Roman" w:cs="Times New Roman"/>
          <w:lang w:eastAsia="en-GB"/>
        </w:rPr>
        <w:t xml:space="preserve">have </w:t>
      </w:r>
      <w:r w:rsidR="00B713AA" w:rsidRPr="008E6E59">
        <w:rPr>
          <w:rFonts w:ascii="Times New Roman" w:eastAsia="Times New Roman" w:hAnsi="Times New Roman" w:cs="Times New Roman"/>
          <w:lang w:eastAsia="en-GB"/>
        </w:rPr>
        <w:t>compared</w:t>
      </w:r>
      <w:r w:rsidR="00E31BEE" w:rsidRPr="008E6E59">
        <w:rPr>
          <w:rFonts w:ascii="Times New Roman" w:eastAsia="Times New Roman" w:hAnsi="Times New Roman" w:cs="Times New Roman"/>
          <w:lang w:eastAsia="en-GB"/>
        </w:rPr>
        <w:t xml:space="preserve"> the impact of large</w:t>
      </w:r>
      <w:r w:rsidR="00E77873" w:rsidRPr="008E6E59">
        <w:rPr>
          <w:rFonts w:ascii="Times New Roman" w:eastAsia="Times New Roman" w:hAnsi="Times New Roman" w:cs="Times New Roman"/>
          <w:lang w:eastAsia="en-GB"/>
        </w:rPr>
        <w:t xml:space="preserve"> and small</w:t>
      </w:r>
      <w:r w:rsidR="00E31BEE" w:rsidRPr="008E6E59">
        <w:rPr>
          <w:rFonts w:ascii="Times New Roman" w:eastAsia="Times New Roman" w:hAnsi="Times New Roman" w:cs="Times New Roman"/>
          <w:lang w:eastAsia="en-GB"/>
        </w:rPr>
        <w:t xml:space="preserve"> expansionary monetary policy shocks on output</w:t>
      </w:r>
      <w:r w:rsidR="00B713AA" w:rsidRPr="008E6E59">
        <w:rPr>
          <w:rFonts w:ascii="Times New Roman" w:eastAsia="Times New Roman" w:hAnsi="Times New Roman" w:cs="Times New Roman"/>
          <w:lang w:eastAsia="en-GB"/>
        </w:rPr>
        <w:t>,</w:t>
      </w:r>
      <w:r w:rsidR="00E31BEE" w:rsidRPr="008E6E59">
        <w:rPr>
          <w:rFonts w:ascii="Times New Roman" w:eastAsia="Times New Roman" w:hAnsi="Times New Roman" w:cs="Times New Roman"/>
          <w:lang w:eastAsia="en-GB"/>
        </w:rPr>
        <w:t xml:space="preserve"> none have focused on the</w:t>
      </w:r>
      <w:r w:rsidR="005B6E87" w:rsidRPr="008E6E59">
        <w:rPr>
          <w:rFonts w:ascii="Times New Roman" w:eastAsia="Times New Roman" w:hAnsi="Times New Roman" w:cs="Times New Roman"/>
          <w:lang w:eastAsia="en-GB"/>
        </w:rPr>
        <w:t xml:space="preserve"> mortgage supply</w:t>
      </w:r>
      <w:r w:rsidR="005A2439">
        <w:rPr>
          <w:rFonts w:ascii="Times New Roman" w:eastAsia="Times New Roman" w:hAnsi="Times New Roman" w:cs="Times New Roman"/>
          <w:lang w:eastAsia="en-GB"/>
        </w:rPr>
        <w:t xml:space="preserve"> (</w:t>
      </w:r>
      <w:r w:rsidR="005A2439" w:rsidRPr="005A2439">
        <w:rPr>
          <w:rFonts w:ascii="Times New Roman" w:hAnsi="Times New Roman" w:cs="Times New Roman"/>
        </w:rPr>
        <w:t xml:space="preserve">See </w:t>
      </w:r>
      <w:r w:rsidR="005A2439" w:rsidRPr="005A2439">
        <w:rPr>
          <w:rFonts w:ascii="Times New Roman" w:eastAsia="Times New Roman" w:hAnsi="Times New Roman" w:cs="Times New Roman"/>
          <w:lang w:eastAsia="en-GB"/>
        </w:rPr>
        <w:t>Lo and Piger, 2003, Barnichon and Matthes,</w:t>
      </w:r>
      <w:r w:rsidR="005A2439">
        <w:rPr>
          <w:rFonts w:ascii="Times New Roman" w:eastAsia="Times New Roman" w:hAnsi="Times New Roman" w:cs="Times New Roman"/>
          <w:lang w:eastAsia="en-GB"/>
        </w:rPr>
        <w:t xml:space="preserve"> </w:t>
      </w:r>
      <w:r w:rsidR="005A2439" w:rsidRPr="005A2439">
        <w:rPr>
          <w:rFonts w:ascii="Times New Roman" w:eastAsia="Times New Roman" w:hAnsi="Times New Roman" w:cs="Times New Roman"/>
          <w:lang w:eastAsia="en-GB"/>
        </w:rPr>
        <w:t>2014 and Zheng</w:t>
      </w:r>
      <w:r w:rsidR="00AB23D7">
        <w:rPr>
          <w:rFonts w:ascii="Times New Roman" w:eastAsia="Times New Roman" w:hAnsi="Times New Roman" w:cs="Times New Roman"/>
          <w:lang w:eastAsia="en-GB"/>
        </w:rPr>
        <w:t>,</w:t>
      </w:r>
      <w:r w:rsidR="005A2439" w:rsidRPr="005A2439">
        <w:rPr>
          <w:rFonts w:ascii="Times New Roman" w:eastAsia="Times New Roman" w:hAnsi="Times New Roman" w:cs="Times New Roman"/>
          <w:lang w:eastAsia="en-GB"/>
        </w:rPr>
        <w:t xml:space="preserve"> 2013</w:t>
      </w:r>
      <w:r w:rsidR="005A2439">
        <w:rPr>
          <w:rFonts w:eastAsia="Times New Roman" w:cs="Times New Roman"/>
          <w:lang w:eastAsia="en-GB"/>
        </w:rPr>
        <w:t>)</w:t>
      </w:r>
      <w:r w:rsidR="00AB23D7">
        <w:rPr>
          <w:rFonts w:eastAsia="Times New Roman" w:cs="Times New Roman"/>
          <w:lang w:eastAsia="en-GB"/>
        </w:rPr>
        <w:t>.</w:t>
      </w:r>
      <w:r w:rsidR="00E31BEE" w:rsidRPr="008E6E59">
        <w:rPr>
          <w:rFonts w:ascii="Times New Roman" w:eastAsia="Times New Roman" w:hAnsi="Times New Roman" w:cs="Times New Roman"/>
          <w:lang w:eastAsia="en-GB"/>
        </w:rPr>
        <w:t xml:space="preserve"> </w:t>
      </w:r>
      <w:r w:rsidR="005B6E87" w:rsidRPr="008E6E59">
        <w:rPr>
          <w:rFonts w:ascii="Times New Roman" w:eastAsia="Times New Roman" w:hAnsi="Times New Roman" w:cs="Times New Roman"/>
          <w:lang w:eastAsia="en-GB"/>
        </w:rPr>
        <w:t>Additionally</w:t>
      </w:r>
      <w:r w:rsidR="00B713AA" w:rsidRPr="008E6E59">
        <w:rPr>
          <w:rFonts w:ascii="Times New Roman" w:eastAsia="Times New Roman" w:hAnsi="Times New Roman" w:cs="Times New Roman"/>
          <w:lang w:eastAsia="en-GB"/>
        </w:rPr>
        <w:t>, compared</w:t>
      </w:r>
      <w:r w:rsidR="00DA480C" w:rsidRPr="008E6E59">
        <w:rPr>
          <w:rFonts w:ascii="Times New Roman" w:eastAsia="Times New Roman" w:hAnsi="Times New Roman" w:cs="Times New Roman"/>
          <w:lang w:eastAsia="en-GB"/>
        </w:rPr>
        <w:t xml:space="preserve"> to earlier recessions</w:t>
      </w:r>
      <w:r w:rsidR="0003241F" w:rsidRPr="008E6E59">
        <w:rPr>
          <w:rFonts w:ascii="Times New Roman" w:eastAsia="Times New Roman" w:hAnsi="Times New Roman" w:cs="Times New Roman"/>
          <w:lang w:eastAsia="en-GB"/>
        </w:rPr>
        <w:t>, during the</w:t>
      </w:r>
      <w:r w:rsidR="00DA480C" w:rsidRPr="008E6E59">
        <w:rPr>
          <w:rFonts w:ascii="Times New Roman" w:eastAsia="Times New Roman" w:hAnsi="Times New Roman" w:cs="Times New Roman"/>
          <w:lang w:eastAsia="en-GB"/>
        </w:rPr>
        <w:t xml:space="preserve"> 2008-</w:t>
      </w:r>
      <w:r w:rsidR="005B6E87" w:rsidRPr="008E6E59">
        <w:rPr>
          <w:rFonts w:ascii="Times New Roman" w:eastAsia="Times New Roman" w:hAnsi="Times New Roman" w:cs="Times New Roman"/>
          <w:lang w:eastAsia="en-GB"/>
        </w:rPr>
        <w:t>20</w:t>
      </w:r>
      <w:r w:rsidR="00DA480C" w:rsidRPr="008E6E59">
        <w:rPr>
          <w:rFonts w:ascii="Times New Roman" w:eastAsia="Times New Roman" w:hAnsi="Times New Roman" w:cs="Times New Roman"/>
          <w:lang w:eastAsia="en-GB"/>
        </w:rPr>
        <w:t xml:space="preserve">10 crisis BoE reduced policy rate </w:t>
      </w:r>
      <w:r w:rsidR="00DA480C" w:rsidRPr="00390249">
        <w:rPr>
          <w:rFonts w:ascii="Times New Roman" w:eastAsia="Times New Roman" w:hAnsi="Times New Roman" w:cs="Times New Roman"/>
          <w:lang w:eastAsia="en-GB"/>
        </w:rPr>
        <w:t>m</w:t>
      </w:r>
      <w:r w:rsidR="009F4554" w:rsidRPr="00390249">
        <w:rPr>
          <w:rFonts w:ascii="Times New Roman" w:eastAsia="Times New Roman" w:hAnsi="Times New Roman" w:cs="Times New Roman"/>
          <w:lang w:eastAsia="en-GB"/>
        </w:rPr>
        <w:t>ore</w:t>
      </w:r>
      <w:r w:rsidR="00DA480C" w:rsidRPr="00390249">
        <w:rPr>
          <w:rFonts w:ascii="Times New Roman" w:eastAsia="Times New Roman" w:hAnsi="Times New Roman" w:cs="Times New Roman"/>
          <w:lang w:eastAsia="en-GB"/>
        </w:rPr>
        <w:t xml:space="preserve"> shar</w:t>
      </w:r>
      <w:r w:rsidR="009F4554" w:rsidRPr="00390249">
        <w:rPr>
          <w:rFonts w:ascii="Times New Roman" w:eastAsia="Times New Roman" w:hAnsi="Times New Roman" w:cs="Times New Roman"/>
          <w:lang w:eastAsia="en-GB"/>
        </w:rPr>
        <w:t>ply</w:t>
      </w:r>
      <w:r w:rsidR="00DA480C" w:rsidRPr="008E6E59">
        <w:rPr>
          <w:rFonts w:ascii="Times New Roman" w:eastAsia="Times New Roman" w:hAnsi="Times New Roman" w:cs="Times New Roman"/>
          <w:lang w:eastAsia="en-GB"/>
        </w:rPr>
        <w:t xml:space="preserve"> (see figure </w:t>
      </w:r>
      <w:r w:rsidR="00234E93" w:rsidRPr="008E6E59">
        <w:rPr>
          <w:rFonts w:ascii="Times New Roman" w:eastAsia="Times New Roman" w:hAnsi="Times New Roman" w:cs="Times New Roman"/>
          <w:lang w:eastAsia="en-GB"/>
        </w:rPr>
        <w:t>6</w:t>
      </w:r>
      <w:r w:rsidR="00887874" w:rsidRPr="008E6E59">
        <w:rPr>
          <w:rFonts w:ascii="Times New Roman" w:eastAsia="Times New Roman" w:hAnsi="Times New Roman" w:cs="Times New Roman"/>
          <w:lang w:eastAsia="en-GB"/>
        </w:rPr>
        <w:t>)</w:t>
      </w:r>
      <w:r w:rsidR="00600425" w:rsidRPr="008E6E59">
        <w:rPr>
          <w:rFonts w:ascii="Times New Roman" w:eastAsia="Times New Roman" w:hAnsi="Times New Roman" w:cs="Times New Roman"/>
          <w:lang w:eastAsia="en-GB"/>
        </w:rPr>
        <w:t>,</w:t>
      </w:r>
      <w:r w:rsidR="00CF58B5" w:rsidRPr="008E6E59">
        <w:rPr>
          <w:rFonts w:ascii="Times New Roman" w:eastAsia="Times New Roman" w:hAnsi="Times New Roman" w:cs="Times New Roman"/>
          <w:lang w:eastAsia="en-GB"/>
        </w:rPr>
        <w:t xml:space="preserve"> </w:t>
      </w:r>
      <w:r w:rsidR="005219FB" w:rsidRPr="008E6E59">
        <w:rPr>
          <w:rFonts w:ascii="Times New Roman" w:eastAsia="Times New Roman" w:hAnsi="Times New Roman" w:cs="Times New Roman"/>
          <w:lang w:eastAsia="en-GB"/>
        </w:rPr>
        <w:t>motivat</w:t>
      </w:r>
      <w:r w:rsidR="00CF58B5" w:rsidRPr="008E6E59">
        <w:rPr>
          <w:rFonts w:ascii="Times New Roman" w:eastAsia="Times New Roman" w:hAnsi="Times New Roman" w:cs="Times New Roman"/>
          <w:lang w:eastAsia="en-GB"/>
        </w:rPr>
        <w:t>ing</w:t>
      </w:r>
      <w:r w:rsidR="005219FB" w:rsidRPr="008E6E59">
        <w:rPr>
          <w:rFonts w:ascii="Times New Roman" w:eastAsia="Times New Roman" w:hAnsi="Times New Roman" w:cs="Times New Roman"/>
          <w:lang w:eastAsia="en-GB"/>
        </w:rPr>
        <w:t xml:space="preserve"> us to examine </w:t>
      </w:r>
      <w:r w:rsidR="00FF7C3D" w:rsidRPr="008E6E59">
        <w:rPr>
          <w:rFonts w:ascii="Times New Roman" w:eastAsia="Times New Roman" w:hAnsi="Times New Roman" w:cs="Times New Roman"/>
          <w:lang w:eastAsia="en-GB"/>
        </w:rPr>
        <w:t>whe</w:t>
      </w:r>
      <w:r w:rsidR="002F7D6B" w:rsidRPr="008E6E59">
        <w:rPr>
          <w:rFonts w:ascii="Times New Roman" w:eastAsia="Times New Roman" w:hAnsi="Times New Roman" w:cs="Times New Roman"/>
          <w:lang w:eastAsia="en-GB"/>
        </w:rPr>
        <w:t>ther</w:t>
      </w:r>
      <w:r w:rsidR="002A3009" w:rsidRPr="008E6E59">
        <w:rPr>
          <w:rFonts w:ascii="Times New Roman" w:eastAsia="Times New Roman" w:hAnsi="Times New Roman" w:cs="Times New Roman"/>
          <w:lang w:eastAsia="en-GB"/>
        </w:rPr>
        <w:t xml:space="preserve"> the</w:t>
      </w:r>
      <w:r w:rsidR="001E354F" w:rsidRPr="008E6E59">
        <w:rPr>
          <w:rFonts w:ascii="Times New Roman" w:eastAsia="Times New Roman" w:hAnsi="Times New Roman" w:cs="Times New Roman"/>
          <w:lang w:eastAsia="en-GB"/>
        </w:rPr>
        <w:t xml:space="preserve"> larg</w:t>
      </w:r>
      <w:r w:rsidR="005219FB" w:rsidRPr="008E6E59">
        <w:rPr>
          <w:rFonts w:ascii="Times New Roman" w:eastAsia="Times New Roman" w:hAnsi="Times New Roman" w:cs="Times New Roman"/>
          <w:lang w:eastAsia="en-GB"/>
        </w:rPr>
        <w:t>e</w:t>
      </w:r>
      <w:r w:rsidR="001E354F" w:rsidRPr="008E6E59">
        <w:rPr>
          <w:rFonts w:ascii="Times New Roman" w:eastAsia="Times New Roman" w:hAnsi="Times New Roman" w:cs="Times New Roman"/>
          <w:lang w:eastAsia="en-GB"/>
        </w:rPr>
        <w:t xml:space="preserve"> cuts in policy rate </w:t>
      </w:r>
      <w:r w:rsidR="000D0164" w:rsidRPr="008E6E59">
        <w:rPr>
          <w:rFonts w:ascii="Times New Roman" w:eastAsia="Times New Roman" w:hAnsi="Times New Roman" w:cs="Times New Roman"/>
          <w:lang w:eastAsia="en-GB"/>
        </w:rPr>
        <w:t>amplifi</w:t>
      </w:r>
      <w:r w:rsidR="001820D9" w:rsidRPr="008E6E59">
        <w:rPr>
          <w:rFonts w:ascii="Times New Roman" w:eastAsia="Times New Roman" w:hAnsi="Times New Roman" w:cs="Times New Roman"/>
          <w:lang w:eastAsia="en-GB"/>
        </w:rPr>
        <w:t>ed</w:t>
      </w:r>
      <w:r w:rsidR="00FF7C3D" w:rsidRPr="008E6E59">
        <w:rPr>
          <w:rFonts w:ascii="Times New Roman" w:eastAsia="Times New Roman" w:hAnsi="Times New Roman" w:cs="Times New Roman"/>
          <w:lang w:eastAsia="en-GB"/>
        </w:rPr>
        <w:t xml:space="preserve"> mortgage lending </w:t>
      </w:r>
      <w:r w:rsidR="002F7D6B" w:rsidRPr="008E6E59">
        <w:rPr>
          <w:rFonts w:ascii="Times New Roman" w:eastAsia="Times New Roman" w:hAnsi="Times New Roman" w:cs="Times New Roman"/>
          <w:lang w:eastAsia="en-GB"/>
        </w:rPr>
        <w:t>by depository</w:t>
      </w:r>
      <w:r w:rsidR="00446D17" w:rsidRPr="008E6E59">
        <w:rPr>
          <w:rFonts w:ascii="Times New Roman" w:eastAsia="Times New Roman" w:hAnsi="Times New Roman" w:cs="Times New Roman"/>
          <w:lang w:eastAsia="en-GB"/>
        </w:rPr>
        <w:t xml:space="preserve"> institutions</w:t>
      </w:r>
      <w:r w:rsidR="002F7D6B" w:rsidRPr="008E6E59">
        <w:rPr>
          <w:rFonts w:ascii="Times New Roman" w:eastAsia="Times New Roman" w:hAnsi="Times New Roman" w:cs="Times New Roman"/>
          <w:lang w:eastAsia="en-GB"/>
        </w:rPr>
        <w:t xml:space="preserve"> during t</w:t>
      </w:r>
      <w:r w:rsidR="002A3009" w:rsidRPr="008E6E59">
        <w:rPr>
          <w:rFonts w:ascii="Times New Roman" w:eastAsia="Times New Roman" w:hAnsi="Times New Roman" w:cs="Times New Roman"/>
          <w:lang w:eastAsia="en-GB"/>
        </w:rPr>
        <w:t>his</w:t>
      </w:r>
      <w:r w:rsidR="001820D9" w:rsidRPr="008E6E59">
        <w:rPr>
          <w:rFonts w:ascii="Times New Roman" w:eastAsia="Times New Roman" w:hAnsi="Times New Roman" w:cs="Times New Roman"/>
          <w:lang w:eastAsia="en-GB"/>
        </w:rPr>
        <w:t xml:space="preserve"> period</w:t>
      </w:r>
      <w:r w:rsidR="002F7D6B" w:rsidRPr="008E6E59">
        <w:rPr>
          <w:rFonts w:ascii="Times New Roman" w:eastAsia="Times New Roman" w:hAnsi="Times New Roman" w:cs="Times New Roman"/>
          <w:lang w:eastAsia="en-GB"/>
        </w:rPr>
        <w:t>.</w:t>
      </w:r>
      <w:r w:rsidR="00227D2F" w:rsidRPr="008E6E59">
        <w:rPr>
          <w:rFonts w:ascii="Times New Roman" w:eastAsia="Times New Roman" w:hAnsi="Times New Roman" w:cs="Times New Roman"/>
          <w:lang w:eastAsia="en-GB"/>
        </w:rPr>
        <w:t xml:space="preserve"> </w:t>
      </w:r>
      <w:r w:rsidR="00AB23D7">
        <w:rPr>
          <w:rFonts w:ascii="Times New Roman" w:eastAsia="Times New Roman" w:hAnsi="Times New Roman" w:cs="Times New Roman"/>
          <w:lang w:eastAsia="en-GB"/>
        </w:rPr>
        <w:t>T</w:t>
      </w:r>
      <w:r w:rsidR="00227D2F" w:rsidRPr="008E6E59">
        <w:rPr>
          <w:rFonts w:ascii="Times New Roman" w:eastAsia="Times New Roman" w:hAnsi="Times New Roman" w:cs="Times New Roman"/>
          <w:lang w:eastAsia="en-GB"/>
        </w:rPr>
        <w:t xml:space="preserve">o properly capture </w:t>
      </w:r>
      <w:r w:rsidR="00990E6B" w:rsidRPr="008E6E59">
        <w:rPr>
          <w:rFonts w:ascii="Times New Roman" w:eastAsia="Times New Roman" w:hAnsi="Times New Roman" w:cs="Times New Roman"/>
          <w:lang w:eastAsia="en-GB"/>
        </w:rPr>
        <w:t>the amplification of</w:t>
      </w:r>
      <w:r w:rsidR="0041193A" w:rsidRPr="008E6E59">
        <w:rPr>
          <w:rFonts w:ascii="Times New Roman" w:eastAsia="Times New Roman" w:hAnsi="Times New Roman" w:cs="Times New Roman"/>
          <w:lang w:eastAsia="en-GB"/>
        </w:rPr>
        <w:t xml:space="preserve"> mortgage supply</w:t>
      </w:r>
      <w:r w:rsidR="00990E6B" w:rsidRPr="008E6E59">
        <w:rPr>
          <w:rFonts w:ascii="Times New Roman" w:eastAsia="Times New Roman" w:hAnsi="Times New Roman" w:cs="Times New Roman"/>
          <w:lang w:eastAsia="en-GB"/>
        </w:rPr>
        <w:t xml:space="preserve"> to expansionary monetary policy shocks </w:t>
      </w:r>
      <w:r w:rsidR="008200F8" w:rsidRPr="008E6E59">
        <w:rPr>
          <w:rFonts w:ascii="Times New Roman" w:eastAsia="Times New Roman" w:hAnsi="Times New Roman" w:cs="Times New Roman"/>
          <w:lang w:eastAsia="en-GB"/>
        </w:rPr>
        <w:t xml:space="preserve">we </w:t>
      </w:r>
      <w:r w:rsidR="00990E6B" w:rsidRPr="008E6E59">
        <w:rPr>
          <w:rFonts w:ascii="Times New Roman" w:eastAsia="Times New Roman" w:hAnsi="Times New Roman" w:cs="Times New Roman"/>
          <w:lang w:eastAsia="en-GB"/>
        </w:rPr>
        <w:t>employ</w:t>
      </w:r>
      <w:r w:rsidR="008200F8" w:rsidRPr="008E6E59">
        <w:rPr>
          <w:rFonts w:ascii="Times New Roman" w:eastAsia="Times New Roman" w:hAnsi="Times New Roman" w:cs="Times New Roman"/>
          <w:lang w:eastAsia="en-GB"/>
        </w:rPr>
        <w:t xml:space="preserve"> </w:t>
      </w:r>
      <w:r w:rsidR="004C3DB9" w:rsidRPr="008E6E59">
        <w:rPr>
          <w:rFonts w:ascii="Times New Roman" w:eastAsia="Times New Roman" w:hAnsi="Times New Roman" w:cs="Times New Roman"/>
          <w:lang w:eastAsia="en-GB"/>
        </w:rPr>
        <w:t xml:space="preserve">the methodology proposed </w:t>
      </w:r>
      <w:r w:rsidR="008200F8" w:rsidRPr="008E6E59">
        <w:rPr>
          <w:rFonts w:ascii="Times New Roman" w:eastAsia="Times New Roman" w:hAnsi="Times New Roman" w:cs="Times New Roman"/>
          <w:lang w:eastAsia="en-GB"/>
        </w:rPr>
        <w:t>by Kilian</w:t>
      </w:r>
      <w:r w:rsidR="004C3DB9" w:rsidRPr="008E6E59">
        <w:rPr>
          <w:rFonts w:ascii="Times New Roman" w:eastAsia="Times New Roman" w:hAnsi="Times New Roman" w:cs="Times New Roman"/>
          <w:lang w:eastAsia="en-GB"/>
        </w:rPr>
        <w:t xml:space="preserve"> and</w:t>
      </w:r>
      <w:r w:rsidR="008200F8" w:rsidRPr="008E6E59">
        <w:rPr>
          <w:rFonts w:ascii="Times New Roman" w:eastAsia="Times New Roman" w:hAnsi="Times New Roman" w:cs="Times New Roman"/>
          <w:lang w:eastAsia="en-GB"/>
        </w:rPr>
        <w:t xml:space="preserve"> Vigfusson</w:t>
      </w:r>
      <w:r w:rsidR="004C3DB9" w:rsidRPr="008E6E59">
        <w:rPr>
          <w:rFonts w:ascii="Times New Roman" w:eastAsia="Times New Roman" w:hAnsi="Times New Roman" w:cs="Times New Roman"/>
          <w:lang w:eastAsia="en-GB"/>
        </w:rPr>
        <w:t xml:space="preserve"> (</w:t>
      </w:r>
      <w:r w:rsidR="008200F8" w:rsidRPr="008E6E59">
        <w:rPr>
          <w:rFonts w:ascii="Times New Roman" w:eastAsia="Times New Roman" w:hAnsi="Times New Roman" w:cs="Times New Roman"/>
          <w:lang w:eastAsia="en-GB"/>
        </w:rPr>
        <w:t>2011</w:t>
      </w:r>
      <w:r w:rsidR="004C3DB9" w:rsidRPr="008E6E59">
        <w:rPr>
          <w:rFonts w:ascii="Times New Roman" w:eastAsia="Times New Roman" w:hAnsi="Times New Roman" w:cs="Times New Roman"/>
          <w:lang w:eastAsia="en-GB"/>
        </w:rPr>
        <w:t>)</w:t>
      </w:r>
      <w:r w:rsidR="008200F8" w:rsidRPr="008E6E59">
        <w:rPr>
          <w:rFonts w:ascii="Times New Roman" w:eastAsia="Times New Roman" w:hAnsi="Times New Roman" w:cs="Times New Roman"/>
          <w:lang w:eastAsia="en-GB"/>
        </w:rPr>
        <w:t>.</w:t>
      </w:r>
      <w:r w:rsidR="0095317A" w:rsidRPr="008E6E59">
        <w:rPr>
          <w:rStyle w:val="FootnoteReference"/>
          <w:rFonts w:ascii="Times New Roman" w:eastAsia="Times New Roman" w:hAnsi="Times New Roman" w:cs="Times New Roman"/>
          <w:lang w:eastAsia="en-GB"/>
        </w:rPr>
        <w:footnoteReference w:id="15"/>
      </w:r>
      <w:r w:rsidR="008200F8" w:rsidRPr="008E6E59">
        <w:rPr>
          <w:rFonts w:ascii="Times New Roman" w:eastAsia="Times New Roman" w:hAnsi="Times New Roman" w:cs="Times New Roman"/>
          <w:lang w:eastAsia="en-GB"/>
        </w:rPr>
        <w:t xml:space="preserve"> The </w:t>
      </w:r>
      <w:r w:rsidR="0095317A" w:rsidRPr="008E6E59">
        <w:rPr>
          <w:rFonts w:ascii="Times New Roman" w:eastAsia="Times New Roman" w:hAnsi="Times New Roman" w:cs="Times New Roman"/>
          <w:lang w:eastAsia="en-GB"/>
        </w:rPr>
        <w:t>advantage</w:t>
      </w:r>
      <w:r w:rsidR="00730068" w:rsidRPr="008E6E59">
        <w:rPr>
          <w:rFonts w:ascii="Times New Roman" w:eastAsia="Times New Roman" w:hAnsi="Times New Roman" w:cs="Times New Roman"/>
          <w:lang w:eastAsia="en-GB"/>
        </w:rPr>
        <w:t xml:space="preserve"> of the</w:t>
      </w:r>
      <w:r w:rsidR="008200F8" w:rsidRPr="008E6E59">
        <w:rPr>
          <w:rFonts w:ascii="Times New Roman" w:eastAsia="Times New Roman" w:hAnsi="Times New Roman" w:cs="Times New Roman"/>
          <w:lang w:eastAsia="en-GB"/>
        </w:rPr>
        <w:t xml:space="preserve"> </w:t>
      </w:r>
      <w:r w:rsidR="00730068" w:rsidRPr="008E6E59">
        <w:rPr>
          <w:rFonts w:ascii="Times New Roman" w:eastAsia="Times New Roman" w:hAnsi="Times New Roman" w:cs="Times New Roman"/>
          <w:lang w:eastAsia="en-GB"/>
        </w:rPr>
        <w:t>procedure is that it produces</w:t>
      </w:r>
      <w:r w:rsidR="008200F8" w:rsidRPr="008E6E59">
        <w:rPr>
          <w:rFonts w:ascii="Times New Roman" w:eastAsia="Times New Roman" w:hAnsi="Times New Roman" w:cs="Times New Roman"/>
          <w:lang w:eastAsia="en-GB"/>
        </w:rPr>
        <w:t xml:space="preserve"> consistent and valid impulses response when censored variables are used </w:t>
      </w:r>
      <w:r w:rsidR="00F60062" w:rsidRPr="008E6E59">
        <w:rPr>
          <w:rFonts w:ascii="Times New Roman" w:eastAsia="Times New Roman" w:hAnsi="Times New Roman" w:cs="Times New Roman"/>
          <w:lang w:eastAsia="en-GB"/>
        </w:rPr>
        <w:t xml:space="preserve">to </w:t>
      </w:r>
      <w:r w:rsidR="008A431E" w:rsidRPr="008E6E59">
        <w:rPr>
          <w:rFonts w:ascii="Times New Roman" w:eastAsia="Times New Roman" w:hAnsi="Times New Roman" w:cs="Times New Roman"/>
          <w:lang w:eastAsia="en-GB"/>
        </w:rPr>
        <w:t>capture asymmetries</w:t>
      </w:r>
      <w:r w:rsidR="008200F8" w:rsidRPr="008E6E59">
        <w:rPr>
          <w:rFonts w:ascii="Times New Roman" w:eastAsia="Times New Roman" w:hAnsi="Times New Roman" w:cs="Times New Roman"/>
          <w:lang w:eastAsia="en-GB"/>
        </w:rPr>
        <w:t xml:space="preserve"> in</w:t>
      </w:r>
      <w:r w:rsidR="005A412C">
        <w:rPr>
          <w:rFonts w:ascii="Times New Roman" w:eastAsia="Times New Roman" w:hAnsi="Times New Roman" w:cs="Times New Roman"/>
          <w:lang w:eastAsia="en-GB"/>
        </w:rPr>
        <w:t xml:space="preserve"> a</w:t>
      </w:r>
      <w:r w:rsidR="008200F8" w:rsidRPr="008E6E59">
        <w:rPr>
          <w:rFonts w:ascii="Times New Roman" w:eastAsia="Times New Roman" w:hAnsi="Times New Roman" w:cs="Times New Roman"/>
          <w:lang w:eastAsia="en-GB"/>
        </w:rPr>
        <w:t xml:space="preserve"> VAR </w:t>
      </w:r>
      <w:r w:rsidR="008200F8" w:rsidRPr="005A412C">
        <w:rPr>
          <w:rFonts w:ascii="Times New Roman" w:eastAsia="Times New Roman" w:hAnsi="Times New Roman" w:cs="Times New Roman"/>
          <w:lang w:eastAsia="en-GB"/>
        </w:rPr>
        <w:t>a</w:t>
      </w:r>
      <w:r w:rsidR="000F314C" w:rsidRPr="005A412C">
        <w:rPr>
          <w:rFonts w:ascii="Times New Roman" w:eastAsia="Times New Roman" w:hAnsi="Times New Roman" w:cs="Times New Roman"/>
          <w:lang w:eastAsia="en-GB"/>
        </w:rPr>
        <w:t>s</w:t>
      </w:r>
      <w:r w:rsidR="008200F8" w:rsidRPr="008E6E59">
        <w:rPr>
          <w:rFonts w:ascii="Times New Roman" w:eastAsia="Times New Roman" w:hAnsi="Times New Roman" w:cs="Times New Roman"/>
          <w:lang w:eastAsia="en-GB"/>
        </w:rPr>
        <w:t xml:space="preserve"> it takes account of both</w:t>
      </w:r>
      <w:r w:rsidR="003C4610" w:rsidRPr="008E6E59">
        <w:rPr>
          <w:rFonts w:ascii="Times New Roman" w:eastAsia="Times New Roman" w:hAnsi="Times New Roman" w:cs="Times New Roman"/>
          <w:lang w:eastAsia="en-GB"/>
        </w:rPr>
        <w:t xml:space="preserve"> the</w:t>
      </w:r>
      <w:r w:rsidR="008200F8" w:rsidRPr="008E6E59">
        <w:rPr>
          <w:rFonts w:ascii="Times New Roman" w:eastAsia="Times New Roman" w:hAnsi="Times New Roman" w:cs="Times New Roman"/>
          <w:lang w:eastAsia="en-GB"/>
        </w:rPr>
        <w:t xml:space="preserve"> history of the series in question </w:t>
      </w:r>
      <w:r w:rsidR="003B6567" w:rsidRPr="008E6E59">
        <w:rPr>
          <w:rFonts w:ascii="Times New Roman" w:eastAsia="Times New Roman" w:hAnsi="Times New Roman" w:cs="Times New Roman"/>
          <w:lang w:eastAsia="en-GB"/>
        </w:rPr>
        <w:t>and</w:t>
      </w:r>
      <w:r w:rsidR="008200F8" w:rsidRPr="008E6E59">
        <w:rPr>
          <w:rFonts w:ascii="Times New Roman" w:eastAsia="Times New Roman" w:hAnsi="Times New Roman" w:cs="Times New Roman"/>
          <w:lang w:eastAsia="en-GB"/>
        </w:rPr>
        <w:t xml:space="preserve"> the magnitude of the shocks. We </w:t>
      </w:r>
      <w:r w:rsidR="00D045AA" w:rsidRPr="008E6E59">
        <w:rPr>
          <w:rFonts w:ascii="Times New Roman" w:eastAsia="Times New Roman" w:hAnsi="Times New Roman" w:cs="Times New Roman"/>
          <w:lang w:eastAsia="en-GB"/>
        </w:rPr>
        <w:t>estimate</w:t>
      </w:r>
      <w:r w:rsidR="008200F8" w:rsidRPr="008E6E59">
        <w:rPr>
          <w:rFonts w:ascii="Times New Roman" w:eastAsia="Times New Roman" w:hAnsi="Times New Roman" w:cs="Times New Roman"/>
          <w:lang w:eastAsia="en-GB"/>
        </w:rPr>
        <w:t xml:space="preserve"> the following model</w:t>
      </w:r>
      <w:r w:rsidR="008804CF">
        <w:rPr>
          <w:rFonts w:ascii="Times New Roman" w:eastAsia="Times New Roman" w:hAnsi="Times New Roman" w:cs="Times New Roman"/>
          <w:lang w:eastAsia="en-GB"/>
        </w:rPr>
        <w:t>:</w:t>
      </w:r>
    </w:p>
    <w:p w14:paraId="0A053055" w14:textId="77777777" w:rsidR="008804CF" w:rsidRPr="008E6E59" w:rsidRDefault="008804CF" w:rsidP="008804CF">
      <w:pPr>
        <w:widowControl w:val="0"/>
        <w:autoSpaceDE w:val="0"/>
        <w:autoSpaceDN w:val="0"/>
        <w:adjustRightInd w:val="0"/>
        <w:spacing w:after="0"/>
        <w:jc w:val="both"/>
        <w:rPr>
          <w:rFonts w:ascii="Times New Roman" w:eastAsia="Times New Roman" w:hAnsi="Times New Roman" w:cs="Times New Roman"/>
          <w:lang w:eastAsia="en-GB"/>
        </w:rPr>
      </w:pPr>
    </w:p>
    <w:p w14:paraId="7ED5071D" w14:textId="795580B8" w:rsidR="00C04C81" w:rsidRPr="008E6E59" w:rsidRDefault="00227DF5" w:rsidP="008804CF">
      <w:pPr>
        <w:widowControl w:val="0"/>
        <w:tabs>
          <w:tab w:val="left" w:pos="0"/>
          <w:tab w:val="left" w:pos="540"/>
          <w:tab w:val="left" w:pos="567"/>
          <w:tab w:val="left" w:pos="810"/>
        </w:tabs>
        <w:autoSpaceDE w:val="0"/>
        <w:autoSpaceDN w:val="0"/>
        <w:adjustRightInd w:val="0"/>
        <w:spacing w:after="0"/>
        <w:ind w:right="-761"/>
        <w:jc w:val="both"/>
        <w:rPr>
          <w:rFonts w:ascii="Times New Roman" w:eastAsiaTheme="minorEastAsia" w:hAnsi="Times New Roman"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r</m:t>
              </m:r>
            </m:e>
            <m:sub>
              <m:r>
                <w:rPr>
                  <w:rFonts w:ascii="Cambria Math" w:eastAsiaTheme="minorEastAsia" w:hAnsi="Cambria Math" w:cs="Times New Roman"/>
                  <w:color w:val="000000"/>
                </w:rPr>
                <m:t>t</m:t>
              </m:r>
            </m:sub>
          </m:sSub>
          <m:r>
            <w:rPr>
              <w:rFonts w:ascii="Cambria Math" w:eastAsiaTheme="minorEastAsia" w:hAnsi="Cambria Math" w:cs="Times New Roman"/>
              <w:color w:val="000000"/>
            </w:rPr>
            <m:t>=</m:t>
          </m:r>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10</m:t>
              </m:r>
            </m:sub>
          </m:sSub>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11,i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y</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12,i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r</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13,i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inf</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i=0</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i/>
                      <w:color w:val="000000"/>
                    </w:rPr>
                    <w:sym w:font="Symbol" w:char="F061"/>
                  </m:r>
                </m:e>
                <m:sub>
                  <m:r>
                    <w:rPr>
                      <w:rFonts w:ascii="Cambria Math" w:hAnsi="Cambria Math" w:cs="Times New Roman"/>
                      <w:color w:val="000000"/>
                    </w:rPr>
                    <m:t>14,i</m:t>
                  </m:r>
                </m:sub>
              </m:sSub>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mix</m:t>
                  </m:r>
                </m:e>
                <m:sub>
                  <m:r>
                    <w:rPr>
                      <w:rFonts w:ascii="Cambria Math" w:hAnsi="Cambria Math" w:cs="Times New Roman"/>
                      <w:color w:val="000000"/>
                    </w:rPr>
                    <m:t>t-i</m:t>
                  </m:r>
                </m:sub>
              </m:sSub>
            </m:e>
          </m:nary>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i/>
                  <w:color w:val="000000"/>
                </w:rPr>
                <w:sym w:font="Symbol" w:char="F065"/>
              </m:r>
            </m:e>
            <m:sub>
              <m:r>
                <w:rPr>
                  <w:rFonts w:ascii="Cambria Math" w:hAnsi="Cambria Math" w:cs="Times New Roman"/>
                  <w:color w:val="000000"/>
                </w:rPr>
                <m:t>1,t</m:t>
              </m:r>
            </m:sub>
          </m:sSub>
        </m:oMath>
      </m:oMathPara>
    </w:p>
    <w:p w14:paraId="5DD854EE" w14:textId="210284C3" w:rsidR="00E4663D" w:rsidRPr="008E6E59" w:rsidRDefault="00227DF5" w:rsidP="00AB23D7">
      <w:pPr>
        <w:widowControl w:val="0"/>
        <w:tabs>
          <w:tab w:val="left" w:pos="0"/>
          <w:tab w:val="left" w:pos="284"/>
          <w:tab w:val="left" w:pos="567"/>
          <w:tab w:val="left" w:pos="810"/>
        </w:tabs>
        <w:autoSpaceDE w:val="0"/>
        <w:autoSpaceDN w:val="0"/>
        <w:adjustRightInd w:val="0"/>
        <w:spacing w:after="0"/>
        <w:ind w:right="-761"/>
        <w:jc w:val="both"/>
        <w:rPr>
          <w:rFonts w:ascii="Times New Roman" w:eastAsiaTheme="minorEastAsia" w:hAnsi="Times New Roman"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y</m:t>
              </m:r>
            </m:e>
            <m:sub>
              <m:r>
                <w:rPr>
                  <w:rFonts w:ascii="Cambria Math" w:eastAsiaTheme="minorEastAsia" w:hAnsi="Cambria Math" w:cs="Times New Roman"/>
                  <w:color w:val="000000"/>
                </w:rPr>
                <m:t>t</m:t>
              </m:r>
            </m:sub>
          </m:sSub>
          <m:r>
            <w:rPr>
              <w:rFonts w:ascii="Cambria Math" w:eastAsiaTheme="minorEastAsia" w:hAnsi="Cambria Math" w:cs="Times New Roman"/>
              <w:color w:val="000000"/>
            </w:rPr>
            <m:t>=</m:t>
          </m:r>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20</m:t>
              </m:r>
            </m:sub>
          </m:sSub>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21,i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y</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22,i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r</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23,i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inf</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i=1</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i/>
                      <w:color w:val="000000"/>
                    </w:rPr>
                    <w:sym w:font="Symbol" w:char="F061"/>
                  </m:r>
                </m:e>
                <m:sub>
                  <m:r>
                    <w:rPr>
                      <w:rFonts w:ascii="Cambria Math" w:hAnsi="Cambria Math" w:cs="Times New Roman"/>
                      <w:color w:val="000000"/>
                    </w:rPr>
                    <m:t>24,i</m:t>
                  </m:r>
                </m:sub>
              </m:sSub>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mix</m:t>
                  </m:r>
                </m:e>
                <m:sub>
                  <m:r>
                    <w:rPr>
                      <w:rFonts w:ascii="Cambria Math" w:hAnsi="Cambria Math" w:cs="Times New Roman"/>
                      <w:color w:val="000000"/>
                    </w:rPr>
                    <m:t>t-i</m:t>
                  </m:r>
                </m:sub>
              </m:sSub>
            </m:e>
          </m:nary>
          <m:r>
            <w:rPr>
              <w:rFonts w:ascii="Cambria Math"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i=0</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25,i</m:t>
                  </m:r>
                </m:sub>
              </m:sSub>
            </m:e>
          </m:nary>
          <m:sSubSup>
            <m:sSubSupPr>
              <m:ctrlPr>
                <w:rPr>
                  <w:rFonts w:ascii="Cambria Math" w:hAnsi="Cambria Math" w:cs="Times New Roman"/>
                  <w:i/>
                  <w:color w:val="000000"/>
                </w:rPr>
              </m:ctrlPr>
            </m:sSubSupPr>
            <m:e>
              <m:r>
                <w:rPr>
                  <w:rFonts w:ascii="Cambria Math" w:hAnsi="Cambria Math" w:cs="Times New Roman"/>
                  <w:i/>
                  <w:color w:val="000000"/>
                </w:rPr>
                <w:sym w:font="Symbol" w:char="F044"/>
              </m:r>
              <m:r>
                <w:rPr>
                  <w:rFonts w:ascii="Cambria Math" w:hAnsi="Cambria Math" w:cs="Times New Roman"/>
                  <w:color w:val="000000"/>
                </w:rPr>
                <m:t>r</m:t>
              </m:r>
            </m:e>
            <m:sub>
              <m:r>
                <w:rPr>
                  <w:rFonts w:ascii="Cambria Math" w:hAnsi="Cambria Math" w:cs="Times New Roman"/>
                  <w:color w:val="000000"/>
                </w:rPr>
                <m:t>t-i</m:t>
              </m:r>
            </m:sub>
            <m:sup>
              <m:r>
                <w:rPr>
                  <w:rFonts w:ascii="Cambria Math" w:hAnsi="Cambria Math" w:cs="Times New Roman"/>
                  <w:color w:val="000000"/>
                </w:rPr>
                <m:t>#</m:t>
              </m:r>
            </m:sup>
          </m:sSubSup>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i/>
                  <w:color w:val="000000"/>
                </w:rPr>
                <w:sym w:font="Symbol" w:char="F065"/>
              </m:r>
            </m:e>
            <m:sub>
              <m:r>
                <w:rPr>
                  <w:rFonts w:ascii="Cambria Math" w:hAnsi="Cambria Math" w:cs="Times New Roman"/>
                  <w:color w:val="000000"/>
                </w:rPr>
                <m:t>2,t</m:t>
              </m:r>
            </m:sub>
          </m:sSub>
        </m:oMath>
      </m:oMathPara>
    </w:p>
    <w:p w14:paraId="46216B1B" w14:textId="12195C98" w:rsidR="00B074BF" w:rsidRPr="008E6E59" w:rsidRDefault="00227DF5" w:rsidP="008804CF">
      <w:pPr>
        <w:widowControl w:val="0"/>
        <w:tabs>
          <w:tab w:val="left" w:pos="0"/>
          <w:tab w:val="left" w:pos="450"/>
          <w:tab w:val="left" w:pos="540"/>
          <w:tab w:val="left" w:pos="810"/>
        </w:tabs>
        <w:autoSpaceDE w:val="0"/>
        <w:autoSpaceDN w:val="0"/>
        <w:adjustRightInd w:val="0"/>
        <w:spacing w:after="0"/>
        <w:ind w:right="-761"/>
        <w:jc w:val="both"/>
        <w:rPr>
          <w:rFonts w:ascii="Times New Roman" w:eastAsiaTheme="minorEastAsia" w:hAnsi="Times New Roman"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inf</m:t>
              </m:r>
            </m:e>
            <m:sub>
              <m:r>
                <w:rPr>
                  <w:rFonts w:ascii="Cambria Math" w:eastAsiaTheme="minorEastAsia" w:hAnsi="Cambria Math" w:cs="Times New Roman"/>
                  <w:color w:val="000000"/>
                </w:rPr>
                <m:t>t</m:t>
              </m:r>
            </m:sub>
          </m:sSub>
          <m:r>
            <w:rPr>
              <w:rFonts w:ascii="Cambria Math" w:eastAsiaTheme="minorEastAsia" w:hAnsi="Cambria Math" w:cs="Times New Roman"/>
              <w:color w:val="000000"/>
            </w:rPr>
            <m:t>=</m:t>
          </m:r>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30</m:t>
              </m:r>
            </m:sub>
          </m:sSub>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31,i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y</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32,i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r</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33,i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inf</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i=1</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i/>
                      <w:color w:val="000000"/>
                    </w:rPr>
                    <w:sym w:font="Symbol" w:char="F061"/>
                  </m:r>
                </m:e>
                <m:sub>
                  <m:r>
                    <w:rPr>
                      <w:rFonts w:ascii="Cambria Math" w:hAnsi="Cambria Math" w:cs="Times New Roman"/>
                      <w:color w:val="000000"/>
                    </w:rPr>
                    <m:t>34,i</m:t>
                  </m:r>
                </m:sub>
              </m:sSub>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mix</m:t>
                  </m:r>
                </m:e>
                <m:sub>
                  <m:r>
                    <w:rPr>
                      <w:rFonts w:ascii="Cambria Math" w:hAnsi="Cambria Math" w:cs="Times New Roman"/>
                      <w:color w:val="000000"/>
                    </w:rPr>
                    <m:t>t-i</m:t>
                  </m:r>
                </m:sub>
              </m:sSub>
            </m:e>
          </m:nary>
          <m:r>
            <w:rPr>
              <w:rFonts w:ascii="Cambria Math"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i=0</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35,i</m:t>
                  </m:r>
                </m:sub>
              </m:sSub>
            </m:e>
          </m:nary>
          <m:sSubSup>
            <m:sSubSupPr>
              <m:ctrlPr>
                <w:rPr>
                  <w:rFonts w:ascii="Cambria Math" w:hAnsi="Cambria Math" w:cs="Times New Roman"/>
                  <w:i/>
                  <w:color w:val="000000"/>
                </w:rPr>
              </m:ctrlPr>
            </m:sSubSupPr>
            <m:e>
              <m:r>
                <w:rPr>
                  <w:rFonts w:ascii="Cambria Math" w:hAnsi="Cambria Math" w:cs="Times New Roman"/>
                  <w:i/>
                  <w:color w:val="000000"/>
                </w:rPr>
                <w:sym w:font="Symbol" w:char="F044"/>
              </m:r>
              <m:r>
                <w:rPr>
                  <w:rFonts w:ascii="Cambria Math" w:hAnsi="Cambria Math" w:cs="Times New Roman"/>
                  <w:color w:val="000000"/>
                </w:rPr>
                <m:t>r</m:t>
              </m:r>
            </m:e>
            <m:sub>
              <m:r>
                <w:rPr>
                  <w:rFonts w:ascii="Cambria Math" w:hAnsi="Cambria Math" w:cs="Times New Roman"/>
                  <w:color w:val="000000"/>
                </w:rPr>
                <m:t>t-i</m:t>
              </m:r>
            </m:sub>
            <m:sup>
              <m:r>
                <w:rPr>
                  <w:rFonts w:ascii="Cambria Math" w:hAnsi="Cambria Math" w:cs="Times New Roman"/>
                  <w:color w:val="000000"/>
                </w:rPr>
                <m:t>#</m:t>
              </m:r>
            </m:sup>
          </m:sSubSup>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i/>
                  <w:color w:val="000000"/>
                </w:rPr>
                <w:sym w:font="Symbol" w:char="F065"/>
              </m:r>
            </m:e>
            <m:sub>
              <m:r>
                <w:rPr>
                  <w:rFonts w:ascii="Cambria Math" w:hAnsi="Cambria Math" w:cs="Times New Roman"/>
                  <w:color w:val="000000"/>
                </w:rPr>
                <m:t>3,t</m:t>
              </m:r>
            </m:sub>
          </m:sSub>
        </m:oMath>
      </m:oMathPara>
    </w:p>
    <w:p w14:paraId="621A87B8" w14:textId="2DA02986" w:rsidR="00987DB2" w:rsidRPr="008E6E59" w:rsidRDefault="00227DF5" w:rsidP="00C2287D">
      <w:pPr>
        <w:widowControl w:val="0"/>
        <w:tabs>
          <w:tab w:val="left" w:pos="0"/>
          <w:tab w:val="left" w:pos="810"/>
        </w:tabs>
        <w:autoSpaceDE w:val="0"/>
        <w:autoSpaceDN w:val="0"/>
        <w:adjustRightInd w:val="0"/>
        <w:spacing w:after="0"/>
        <w:ind w:right="-761"/>
        <w:jc w:val="both"/>
        <w:rPr>
          <w:rFonts w:ascii="Times New Roman" w:eastAsiaTheme="minorEastAsia" w:hAnsi="Times New Roman" w:cs="Times New Roman"/>
          <w:color w:val="000000"/>
        </w:rPr>
      </w:pPr>
      <m:oMathPara>
        <m:oMath>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mix</m:t>
              </m:r>
            </m:e>
            <m:sub>
              <m:r>
                <w:rPr>
                  <w:rFonts w:ascii="Cambria Math" w:eastAsiaTheme="minorEastAsia" w:hAnsi="Cambria Math" w:cs="Times New Roman"/>
                  <w:color w:val="000000"/>
                </w:rPr>
                <m:t>t</m:t>
              </m:r>
            </m:sub>
          </m:sSub>
          <m:r>
            <w:rPr>
              <w:rFonts w:ascii="Cambria Math" w:eastAsiaTheme="minorEastAsia" w:hAnsi="Cambria Math" w:cs="Times New Roman"/>
              <w:color w:val="000000"/>
            </w:rPr>
            <m:t>=</m:t>
          </m:r>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40</m:t>
              </m:r>
            </m:sub>
          </m:sSub>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41,i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y</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42,i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44"/>
                  </m:r>
                  <m:r>
                    <w:rPr>
                      <w:rFonts w:ascii="Cambria Math" w:eastAsiaTheme="minorEastAsia" w:hAnsi="Cambria Math" w:cs="Times New Roman"/>
                      <w:color w:val="000000"/>
                    </w:rPr>
                    <m:t>r</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eastAsiaTheme="minorEastAsia" w:hAnsi="Cambria Math" w:cs="Times New Roman"/>
                  <w:i/>
                  <w:color w:val="000000"/>
                </w:rPr>
              </m:ctrlPr>
            </m:naryPr>
            <m:sub>
              <m:r>
                <w:rPr>
                  <w:rFonts w:ascii="Cambria Math" w:eastAsiaTheme="minorEastAsia" w:hAnsi="Cambria Math" w:cs="Times New Roman"/>
                  <w:color w:val="000000"/>
                </w:rPr>
                <m:t>i=1</m:t>
              </m:r>
            </m:sub>
            <m:sup>
              <m:r>
                <w:rPr>
                  <w:rFonts w:ascii="Cambria Math" w:eastAsiaTheme="minorEastAsia" w:hAnsi="Cambria Math" w:cs="Times New Roman"/>
                  <w:color w:val="000000"/>
                </w:rPr>
                <m:t>p=10</m:t>
              </m:r>
            </m:sup>
            <m:e>
              <m:sSub>
                <m:sSubPr>
                  <m:ctrlPr>
                    <w:rPr>
                      <w:rFonts w:ascii="Cambria Math" w:eastAsiaTheme="minorEastAsia" w:hAnsi="Cambria Math" w:cs="Times New Roman"/>
                      <w:i/>
                      <w:color w:val="000000"/>
                    </w:rPr>
                  </m:ctrlPr>
                </m:sSubPr>
                <m:e>
                  <m:r>
                    <w:rPr>
                      <w:rFonts w:ascii="Cambria Math" w:eastAsiaTheme="minorEastAsia" w:hAnsi="Cambria Math" w:cs="Times New Roman"/>
                      <w:i/>
                      <w:color w:val="000000"/>
                    </w:rPr>
                    <w:sym w:font="Symbol" w:char="F061"/>
                  </m:r>
                </m:e>
                <m:sub>
                  <m:r>
                    <w:rPr>
                      <w:rFonts w:ascii="Cambria Math" w:eastAsiaTheme="minorEastAsia" w:hAnsi="Cambria Math" w:cs="Times New Roman"/>
                      <w:color w:val="000000"/>
                    </w:rPr>
                    <m:t>43,i</m:t>
                  </m:r>
                </m:sub>
              </m:sSub>
              <m:sSub>
                <m:sSubPr>
                  <m:ctrlPr>
                    <w:rPr>
                      <w:rFonts w:ascii="Cambria Math" w:eastAsiaTheme="minorEastAsia" w:hAnsi="Cambria Math" w:cs="Times New Roman"/>
                      <w:i/>
                      <w:color w:val="000000"/>
                    </w:rPr>
                  </m:ctrlPr>
                </m:sSubPr>
                <m:e>
                  <m:r>
                    <w:rPr>
                      <w:rFonts w:ascii="Cambria Math" w:eastAsiaTheme="minorEastAsia" w:hAnsi="Cambria Math" w:cs="Times New Roman"/>
                      <w:color w:val="000000"/>
                    </w:rPr>
                    <m:t>inf</m:t>
                  </m:r>
                </m:e>
                <m:sub>
                  <m:r>
                    <w:rPr>
                      <w:rFonts w:ascii="Cambria Math" w:eastAsiaTheme="minorEastAsia" w:hAnsi="Cambria Math" w:cs="Times New Roman"/>
                      <w:color w:val="000000"/>
                    </w:rPr>
                    <m:t>t-i</m:t>
                  </m:r>
                </m:sub>
              </m:sSub>
            </m:e>
          </m:nary>
          <m:r>
            <w:rPr>
              <w:rFonts w:ascii="Cambria Math" w:eastAsiaTheme="minorEastAsia"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i=1</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i/>
                      <w:color w:val="000000"/>
                    </w:rPr>
                    <w:sym w:font="Symbol" w:char="F061"/>
                  </m:r>
                </m:e>
                <m:sub>
                  <m:r>
                    <w:rPr>
                      <w:rFonts w:ascii="Cambria Math" w:hAnsi="Cambria Math" w:cs="Times New Roman"/>
                      <w:color w:val="000000"/>
                    </w:rPr>
                    <m:t>44,i</m:t>
                  </m:r>
                </m:sub>
              </m:sSub>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mix</m:t>
                  </m:r>
                </m:e>
                <m:sub>
                  <m:r>
                    <w:rPr>
                      <w:rFonts w:ascii="Cambria Math" w:hAnsi="Cambria Math" w:cs="Times New Roman"/>
                      <w:color w:val="000000"/>
                    </w:rPr>
                    <m:t>t-i</m:t>
                  </m:r>
                </m:sub>
              </m:sSub>
            </m:e>
          </m:nary>
          <m:r>
            <w:rPr>
              <w:rFonts w:ascii="Cambria Math" w:hAnsi="Cambria Math" w:cs="Times New Roman"/>
              <w:color w:val="000000"/>
            </w:rPr>
            <m:t>+</m:t>
          </m:r>
          <m:nary>
            <m:naryPr>
              <m:chr m:val="∑"/>
              <m:limLoc m:val="undOvr"/>
              <m:ctrlPr>
                <w:rPr>
                  <w:rFonts w:ascii="Cambria Math" w:hAnsi="Cambria Math" w:cs="Times New Roman"/>
                  <w:i/>
                  <w:color w:val="000000"/>
                </w:rPr>
              </m:ctrlPr>
            </m:naryPr>
            <m:sub>
              <m:r>
                <w:rPr>
                  <w:rFonts w:ascii="Cambria Math" w:hAnsi="Cambria Math" w:cs="Times New Roman"/>
                  <w:color w:val="000000"/>
                </w:rPr>
                <m:t>i=0</m:t>
              </m:r>
            </m:sub>
            <m:sup>
              <m:r>
                <w:rPr>
                  <w:rFonts w:ascii="Cambria Math" w:hAnsi="Cambria Math" w:cs="Times New Roman"/>
                  <w:color w:val="000000"/>
                </w:rPr>
                <m:t>P=10</m:t>
              </m:r>
            </m:sup>
            <m:e>
              <m:sSub>
                <m:sSubPr>
                  <m:ctrlPr>
                    <w:rPr>
                      <w:rFonts w:ascii="Cambria Math" w:hAnsi="Cambria Math" w:cs="Times New Roman"/>
                      <w:i/>
                      <w:color w:val="000000"/>
                    </w:rPr>
                  </m:ctrlPr>
                </m:sSubPr>
                <m:e>
                  <m:r>
                    <w:rPr>
                      <w:rFonts w:ascii="Cambria Math" w:hAnsi="Cambria Math" w:cs="Times New Roman"/>
                      <w:color w:val="000000"/>
                    </w:rPr>
                    <m:t>α</m:t>
                  </m:r>
                </m:e>
                <m:sub>
                  <m:r>
                    <w:rPr>
                      <w:rFonts w:ascii="Cambria Math" w:hAnsi="Cambria Math" w:cs="Times New Roman"/>
                      <w:color w:val="000000"/>
                    </w:rPr>
                    <m:t>45,i</m:t>
                  </m:r>
                </m:sub>
              </m:sSub>
            </m:e>
          </m:nary>
          <m:sSubSup>
            <m:sSubSupPr>
              <m:ctrlPr>
                <w:rPr>
                  <w:rFonts w:ascii="Cambria Math" w:hAnsi="Cambria Math" w:cs="Times New Roman"/>
                  <w:i/>
                  <w:color w:val="000000"/>
                </w:rPr>
              </m:ctrlPr>
            </m:sSubSupPr>
            <m:e>
              <m:r>
                <w:rPr>
                  <w:rFonts w:ascii="Cambria Math" w:hAnsi="Cambria Math" w:cs="Times New Roman"/>
                  <w:i/>
                  <w:color w:val="000000"/>
                </w:rPr>
                <w:sym w:font="Symbol" w:char="F044"/>
              </m:r>
              <m:r>
                <w:rPr>
                  <w:rFonts w:ascii="Cambria Math" w:hAnsi="Cambria Math" w:cs="Times New Roman"/>
                  <w:color w:val="000000"/>
                </w:rPr>
                <m:t>r</m:t>
              </m:r>
            </m:e>
            <m:sub>
              <m:r>
                <w:rPr>
                  <w:rFonts w:ascii="Cambria Math" w:hAnsi="Cambria Math" w:cs="Times New Roman"/>
                  <w:color w:val="000000"/>
                </w:rPr>
                <m:t>t-i</m:t>
              </m:r>
            </m:sub>
            <m:sup>
              <m:r>
                <w:rPr>
                  <w:rFonts w:ascii="Cambria Math" w:hAnsi="Cambria Math" w:cs="Times New Roman"/>
                  <w:color w:val="000000"/>
                </w:rPr>
                <m:t>#</m:t>
              </m:r>
            </m:sup>
          </m:sSubSup>
          <m:r>
            <w:rPr>
              <w:rFonts w:ascii="Cambria Math" w:hAnsi="Cambria Math" w:cs="Times New Roman"/>
              <w:color w:val="000000"/>
            </w:rPr>
            <m:t>+</m:t>
          </m:r>
          <m:sSub>
            <m:sSubPr>
              <m:ctrlPr>
                <w:rPr>
                  <w:rFonts w:ascii="Cambria Math" w:hAnsi="Cambria Math" w:cs="Times New Roman"/>
                  <w:i/>
                  <w:color w:val="000000"/>
                </w:rPr>
              </m:ctrlPr>
            </m:sSubPr>
            <m:e>
              <m:r>
                <w:rPr>
                  <w:rFonts w:ascii="Cambria Math" w:hAnsi="Cambria Math" w:cs="Times New Roman"/>
                  <w:i/>
                  <w:color w:val="000000"/>
                </w:rPr>
                <w:sym w:font="Symbol" w:char="F065"/>
              </m:r>
            </m:e>
            <m:sub>
              <m:r>
                <w:rPr>
                  <w:rFonts w:ascii="Cambria Math" w:hAnsi="Cambria Math" w:cs="Times New Roman"/>
                  <w:color w:val="000000"/>
                </w:rPr>
                <m:t>4,t</m:t>
              </m:r>
            </m:sub>
          </m:sSub>
        </m:oMath>
      </m:oMathPara>
    </w:p>
    <w:p w14:paraId="1D76763A" w14:textId="44DD0064" w:rsidR="001362E2" w:rsidRDefault="00AD6636" w:rsidP="00BF5F47">
      <w:pPr>
        <w:widowControl w:val="0"/>
        <w:autoSpaceDE w:val="0"/>
        <w:autoSpaceDN w:val="0"/>
        <w:adjustRightInd w:val="0"/>
        <w:spacing w:line="480" w:lineRule="auto"/>
        <w:jc w:val="both"/>
        <w:rPr>
          <w:rFonts w:ascii="Times New Roman" w:eastAsiaTheme="minorEastAsia" w:hAnsi="Times New Roman" w:cs="Times New Roman"/>
          <w:color w:val="000000"/>
        </w:rPr>
      </w:pPr>
      <w:r w:rsidRPr="008E6E59">
        <w:rPr>
          <w:rFonts w:ascii="Times New Roman" w:eastAsiaTheme="minorEastAsia" w:hAnsi="Times New Roman" w:cs="Times New Roman"/>
          <w:color w:val="000000"/>
        </w:rPr>
        <w:t xml:space="preserve">where </w:t>
      </w:r>
      <m:oMath>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r</m:t>
            </m:r>
          </m:e>
          <m:sub>
            <m:r>
              <w:rPr>
                <w:rFonts w:ascii="Cambria Math" w:hAnsi="Cambria Math" w:cs="Times New Roman"/>
                <w:color w:val="000000"/>
              </w:rPr>
              <m:t>t</m:t>
            </m:r>
          </m:sub>
        </m:sSub>
      </m:oMath>
      <w:r w:rsidR="00EC341A" w:rsidRPr="008E6E59">
        <w:rPr>
          <w:rFonts w:ascii="Times New Roman" w:eastAsiaTheme="minorEastAsia" w:hAnsi="Times New Roman" w:cs="Times New Roman"/>
          <w:color w:val="000000"/>
        </w:rPr>
        <w:t>,</w:t>
      </w:r>
      <m:oMath>
        <m:r>
          <w:rPr>
            <w:rFonts w:ascii="Cambria Math" w:hAnsi="Cambria Math" w:cs="Times New Roman"/>
            <w:color w:val="000000"/>
          </w:rPr>
          <m:t xml:space="preserve"> </m:t>
        </m:r>
        <m:sSub>
          <m:sSubPr>
            <m:ctrlPr>
              <w:rPr>
                <w:rFonts w:ascii="Cambria Math" w:hAnsi="Cambria Math" w:cs="Times New Roman"/>
                <w:i/>
                <w:color w:val="000000"/>
              </w:rPr>
            </m:ctrlPr>
          </m:sSubPr>
          <m:e>
            <m:r>
              <w:rPr>
                <w:rFonts w:ascii="Cambria Math" w:hAnsi="Cambria Math" w:cs="Times New Roman"/>
                <w:i/>
                <w:color w:val="000000"/>
              </w:rPr>
              <w:sym w:font="Symbol" w:char="F044"/>
            </m:r>
            <m:r>
              <w:rPr>
                <w:rFonts w:ascii="Cambria Math" w:hAnsi="Cambria Math" w:cs="Times New Roman"/>
                <w:color w:val="000000"/>
              </w:rPr>
              <m:t>mix</m:t>
            </m:r>
          </m:e>
          <m:sub>
            <m:r>
              <w:rPr>
                <w:rFonts w:ascii="Cambria Math" w:hAnsi="Cambria Math" w:cs="Times New Roman"/>
                <w:color w:val="000000"/>
              </w:rPr>
              <m:t>t</m:t>
            </m:r>
          </m:sub>
        </m:sSub>
      </m:oMath>
      <w:r w:rsidR="00CA2A94" w:rsidRPr="008E6E59">
        <w:rPr>
          <w:rFonts w:ascii="Times New Roman" w:eastAsiaTheme="minorEastAsia" w:hAnsi="Times New Roman" w:cs="Times New Roman"/>
          <w:color w:val="000000"/>
        </w:rPr>
        <w:t xml:space="preserve"> and  </w:t>
      </w:r>
      <m:oMath>
        <m:sSubSup>
          <m:sSubSupPr>
            <m:ctrlPr>
              <w:rPr>
                <w:rFonts w:ascii="Cambria Math" w:hAnsi="Cambria Math" w:cs="Times New Roman"/>
                <w:i/>
                <w:color w:val="000000"/>
              </w:rPr>
            </m:ctrlPr>
          </m:sSubSupPr>
          <m:e>
            <m:r>
              <w:rPr>
                <w:rFonts w:ascii="Cambria Math" w:hAnsi="Cambria Math" w:cs="Times New Roman"/>
                <w:i/>
                <w:color w:val="000000"/>
              </w:rPr>
              <w:sym w:font="Symbol" w:char="F044"/>
            </m:r>
            <m:r>
              <w:rPr>
                <w:rFonts w:ascii="Cambria Math" w:hAnsi="Cambria Math" w:cs="Times New Roman"/>
                <w:color w:val="000000"/>
              </w:rPr>
              <m:t>r</m:t>
            </m:r>
          </m:e>
          <m:sub>
            <m:r>
              <w:rPr>
                <w:rFonts w:ascii="Cambria Math" w:hAnsi="Cambria Math" w:cs="Times New Roman"/>
                <w:color w:val="000000"/>
              </w:rPr>
              <m:t>t</m:t>
            </m:r>
          </m:sub>
          <m:sup>
            <m:r>
              <w:rPr>
                <w:rFonts w:ascii="Cambria Math" w:hAnsi="Cambria Math" w:cs="Times New Roman"/>
                <w:color w:val="000000"/>
              </w:rPr>
              <m:t>#</m:t>
            </m:r>
          </m:sup>
        </m:sSubSup>
      </m:oMath>
      <w:r w:rsidR="00912C99" w:rsidRPr="008E6E59">
        <w:rPr>
          <w:rFonts w:ascii="Times New Roman" w:eastAsiaTheme="minorEastAsia" w:hAnsi="Times New Roman" w:cs="Times New Roman"/>
          <w:color w:val="000000"/>
        </w:rPr>
        <w:t xml:space="preserve"> is </w:t>
      </w:r>
      <w:r w:rsidR="00CA2A94" w:rsidRPr="008E6E59">
        <w:rPr>
          <w:rFonts w:ascii="Times New Roman" w:eastAsiaTheme="minorEastAsia" w:hAnsi="Times New Roman" w:cs="Times New Roman"/>
          <w:color w:val="000000"/>
        </w:rPr>
        <w:t xml:space="preserve">the change in policy rate, change in the mix variable and </w:t>
      </w:r>
      <w:r w:rsidR="00B80406" w:rsidRPr="008E6E59">
        <w:rPr>
          <w:rFonts w:ascii="Times New Roman" w:eastAsiaTheme="minorEastAsia" w:hAnsi="Times New Roman" w:cs="Times New Roman"/>
          <w:color w:val="000000"/>
        </w:rPr>
        <w:t>the</w:t>
      </w:r>
      <w:r w:rsidR="00E259BC" w:rsidRPr="008E6E59">
        <w:rPr>
          <w:rFonts w:ascii="Times New Roman" w:eastAsiaTheme="minorEastAsia" w:hAnsi="Times New Roman" w:cs="Times New Roman"/>
          <w:color w:val="000000"/>
        </w:rPr>
        <w:t xml:space="preserve"> </w:t>
      </w:r>
      <w:r w:rsidR="009A028F" w:rsidRPr="008E6E59">
        <w:rPr>
          <w:rFonts w:ascii="Times New Roman" w:eastAsiaTheme="minorEastAsia" w:hAnsi="Times New Roman" w:cs="Times New Roman"/>
          <w:color w:val="000000"/>
        </w:rPr>
        <w:t xml:space="preserve">nonlinear transformation of policy rate proposed by </w:t>
      </w:r>
      <w:r w:rsidR="00D03591" w:rsidRPr="008E6E59">
        <w:rPr>
          <w:rFonts w:ascii="Times New Roman" w:eastAsiaTheme="minorEastAsia" w:hAnsi="Times New Roman" w:cs="Times New Roman"/>
          <w:color w:val="000000"/>
        </w:rPr>
        <w:t>Mork</w:t>
      </w:r>
      <w:r w:rsidR="009A028F" w:rsidRPr="008E6E59">
        <w:rPr>
          <w:rFonts w:ascii="Times New Roman" w:eastAsiaTheme="minorEastAsia" w:hAnsi="Times New Roman" w:cs="Times New Roman"/>
          <w:color w:val="000000"/>
        </w:rPr>
        <w:t xml:space="preserve"> (1</w:t>
      </w:r>
      <w:r w:rsidR="00E63ADB" w:rsidRPr="008E6E59">
        <w:rPr>
          <w:rFonts w:ascii="Times New Roman" w:eastAsiaTheme="minorEastAsia" w:hAnsi="Times New Roman" w:cs="Times New Roman"/>
          <w:color w:val="000000"/>
        </w:rPr>
        <w:t>989</w:t>
      </w:r>
      <w:r w:rsidR="009A028F" w:rsidRPr="008E6E59">
        <w:rPr>
          <w:rFonts w:ascii="Times New Roman" w:eastAsiaTheme="minorEastAsia" w:hAnsi="Times New Roman" w:cs="Times New Roman"/>
          <w:color w:val="000000"/>
        </w:rPr>
        <w:t>)</w:t>
      </w:r>
      <w:r w:rsidR="00EC75FD" w:rsidRPr="008E6E59">
        <w:rPr>
          <w:rFonts w:ascii="Times New Roman" w:eastAsiaTheme="minorEastAsia" w:hAnsi="Times New Roman" w:cs="Times New Roman"/>
          <w:color w:val="000000"/>
        </w:rPr>
        <w:t xml:space="preserve"> respectively</w:t>
      </w:r>
      <w:r w:rsidR="00912C99" w:rsidRPr="008E6E59">
        <w:rPr>
          <w:rFonts w:ascii="Times New Roman" w:eastAsiaTheme="minorEastAsia" w:hAnsi="Times New Roman" w:cs="Times New Roman"/>
          <w:color w:val="000000"/>
        </w:rPr>
        <w:t>.</w:t>
      </w:r>
      <w:r w:rsidR="002222C0" w:rsidRPr="008E6E59">
        <w:rPr>
          <w:rFonts w:ascii="Times New Roman" w:eastAsiaTheme="minorEastAsia" w:hAnsi="Times New Roman" w:cs="Times New Roman"/>
          <w:color w:val="000000"/>
        </w:rPr>
        <w:t xml:space="preserve"> </w:t>
      </w:r>
      <w:r w:rsidR="001C236C" w:rsidRPr="008E6E59">
        <w:rPr>
          <w:rFonts w:ascii="Times New Roman" w:eastAsiaTheme="minorEastAsia" w:hAnsi="Times New Roman" w:cs="Times New Roman"/>
          <w:color w:val="000000"/>
        </w:rPr>
        <w:t xml:space="preserve">In the above model changes in policy rate is assumed to be predetermined with respect to </w:t>
      </w:r>
      <w:r w:rsidR="00F54752" w:rsidRPr="008E6E59">
        <w:rPr>
          <w:rFonts w:ascii="Times New Roman" w:eastAsiaTheme="minorEastAsia" w:hAnsi="Times New Roman" w:cs="Times New Roman"/>
          <w:color w:val="000000"/>
        </w:rPr>
        <w:t>the</w:t>
      </w:r>
      <w:r w:rsidR="001C236C" w:rsidRPr="008E6E59">
        <w:rPr>
          <w:rFonts w:ascii="Times New Roman" w:eastAsiaTheme="minorEastAsia" w:hAnsi="Times New Roman" w:cs="Times New Roman"/>
          <w:color w:val="000000"/>
        </w:rPr>
        <w:t xml:space="preserve"> </w:t>
      </w:r>
      <w:r w:rsidR="007A19C1" w:rsidRPr="008E6E59">
        <w:rPr>
          <w:rFonts w:ascii="Times New Roman" w:eastAsiaTheme="minorEastAsia" w:hAnsi="Times New Roman" w:cs="Times New Roman"/>
          <w:color w:val="000000"/>
        </w:rPr>
        <w:t>‘</w:t>
      </w:r>
      <w:r w:rsidR="001C236C" w:rsidRPr="008E6E59">
        <w:rPr>
          <w:rFonts w:ascii="Times New Roman" w:eastAsiaTheme="minorEastAsia" w:hAnsi="Times New Roman" w:cs="Times New Roman"/>
          <w:i/>
          <w:iCs/>
          <w:color w:val="000000"/>
        </w:rPr>
        <w:t>mix</w:t>
      </w:r>
      <w:r w:rsidR="007A19C1" w:rsidRPr="008E6E59">
        <w:rPr>
          <w:rFonts w:ascii="Times New Roman" w:eastAsiaTheme="minorEastAsia" w:hAnsi="Times New Roman" w:cs="Times New Roman"/>
          <w:i/>
          <w:iCs/>
          <w:color w:val="000000"/>
        </w:rPr>
        <w:t>’</w:t>
      </w:r>
      <w:r w:rsidR="001C236C" w:rsidRPr="008E6E59">
        <w:rPr>
          <w:rFonts w:ascii="Times New Roman" w:eastAsiaTheme="minorEastAsia" w:hAnsi="Times New Roman" w:cs="Times New Roman"/>
          <w:i/>
          <w:iCs/>
          <w:color w:val="000000"/>
        </w:rPr>
        <w:t xml:space="preserve"> </w:t>
      </w:r>
      <w:r w:rsidR="001C236C" w:rsidRPr="008E6E59">
        <w:rPr>
          <w:rFonts w:ascii="Times New Roman" w:eastAsiaTheme="minorEastAsia" w:hAnsi="Times New Roman" w:cs="Times New Roman"/>
          <w:color w:val="000000"/>
        </w:rPr>
        <w:t>variable.</w:t>
      </w:r>
      <w:r w:rsidR="00815B9A" w:rsidRPr="008E6E59">
        <w:rPr>
          <w:rFonts w:ascii="Times New Roman" w:eastAsiaTheme="minorEastAsia" w:hAnsi="Times New Roman" w:cs="Times New Roman"/>
          <w:color w:val="000000"/>
        </w:rPr>
        <w:t xml:space="preserve"> </w:t>
      </w:r>
      <w:r w:rsidR="00B33D23" w:rsidRPr="008E6E59">
        <w:rPr>
          <w:rFonts w:ascii="Times New Roman" w:eastAsiaTheme="minorEastAsia" w:hAnsi="Times New Roman" w:cs="Times New Roman"/>
          <w:color w:val="000000"/>
        </w:rPr>
        <w:t>While</w:t>
      </w:r>
      <w:r w:rsidR="00815B9A" w:rsidRPr="008E6E59">
        <w:rPr>
          <w:rFonts w:ascii="Times New Roman" w:eastAsiaTheme="minorEastAsia" w:hAnsi="Times New Roman" w:cs="Times New Roman"/>
          <w:color w:val="000000"/>
        </w:rPr>
        <w:t>,</w:t>
      </w:r>
      <w:r w:rsidR="003E7828" w:rsidRPr="008E6E59">
        <w:rPr>
          <w:rFonts w:ascii="Times New Roman" w:eastAsiaTheme="minorEastAsia" w:hAnsi="Times New Roman" w:cs="Times New Roman"/>
          <w:color w:val="000000"/>
        </w:rPr>
        <w:t xml:space="preserve"> the official UK recessionary period </w:t>
      </w:r>
      <w:r w:rsidR="003C4610" w:rsidRPr="008E6E59">
        <w:rPr>
          <w:rFonts w:ascii="Times New Roman" w:eastAsiaTheme="minorEastAsia" w:hAnsi="Times New Roman" w:cs="Times New Roman"/>
          <w:color w:val="000000"/>
        </w:rPr>
        <w:t>is</w:t>
      </w:r>
      <w:r w:rsidR="009B7E02" w:rsidRPr="008E6E59">
        <w:rPr>
          <w:rFonts w:ascii="Times New Roman" w:eastAsiaTheme="minorEastAsia" w:hAnsi="Times New Roman" w:cs="Times New Roman"/>
          <w:color w:val="000000"/>
        </w:rPr>
        <w:t xml:space="preserve"> from</w:t>
      </w:r>
      <w:r w:rsidR="00F3538A" w:rsidRPr="008E6E59">
        <w:rPr>
          <w:rFonts w:ascii="Times New Roman" w:eastAsiaTheme="minorEastAsia" w:hAnsi="Times New Roman" w:cs="Times New Roman"/>
          <w:color w:val="000000"/>
        </w:rPr>
        <w:t xml:space="preserve"> </w:t>
      </w:r>
      <w:r w:rsidR="003E7828" w:rsidRPr="008E6E59">
        <w:rPr>
          <w:rFonts w:ascii="Times New Roman" w:eastAsiaTheme="minorEastAsia" w:hAnsi="Times New Roman" w:cs="Times New Roman"/>
          <w:color w:val="000000"/>
        </w:rPr>
        <w:t>2008</w:t>
      </w:r>
      <w:r w:rsidR="00F3538A" w:rsidRPr="008E6E59">
        <w:rPr>
          <w:rFonts w:ascii="Times New Roman" w:eastAsiaTheme="minorEastAsia" w:hAnsi="Times New Roman" w:cs="Times New Roman"/>
          <w:color w:val="000000"/>
        </w:rPr>
        <w:t>q2</w:t>
      </w:r>
      <w:r w:rsidR="003E7828" w:rsidRPr="008E6E59">
        <w:rPr>
          <w:rFonts w:ascii="Times New Roman" w:eastAsiaTheme="minorEastAsia" w:hAnsi="Times New Roman" w:cs="Times New Roman"/>
          <w:color w:val="000000"/>
        </w:rPr>
        <w:t xml:space="preserve"> </w:t>
      </w:r>
      <w:r w:rsidR="009B7E02" w:rsidRPr="008E6E59">
        <w:rPr>
          <w:rFonts w:ascii="Times New Roman" w:eastAsiaTheme="minorEastAsia" w:hAnsi="Times New Roman" w:cs="Times New Roman"/>
          <w:color w:val="000000"/>
        </w:rPr>
        <w:t>to</w:t>
      </w:r>
      <w:r w:rsidR="00F3538A" w:rsidRPr="008E6E59">
        <w:rPr>
          <w:rFonts w:ascii="Times New Roman" w:eastAsiaTheme="minorEastAsia" w:hAnsi="Times New Roman" w:cs="Times New Roman"/>
          <w:color w:val="000000"/>
        </w:rPr>
        <w:t xml:space="preserve"> 2009q2</w:t>
      </w:r>
      <w:r w:rsidR="003C4610" w:rsidRPr="008E6E59">
        <w:rPr>
          <w:rFonts w:ascii="Times New Roman" w:eastAsiaTheme="minorEastAsia" w:hAnsi="Times New Roman" w:cs="Times New Roman"/>
          <w:color w:val="000000"/>
        </w:rPr>
        <w:t>,</w:t>
      </w:r>
      <w:r w:rsidR="00982DDC" w:rsidRPr="008E6E59">
        <w:rPr>
          <w:rFonts w:ascii="Times New Roman" w:eastAsiaTheme="minorEastAsia" w:hAnsi="Times New Roman" w:cs="Times New Roman"/>
          <w:color w:val="000000"/>
        </w:rPr>
        <w:t xml:space="preserve"> </w:t>
      </w:r>
      <w:r w:rsidR="009B7E02" w:rsidRPr="008E6E59">
        <w:rPr>
          <w:rFonts w:ascii="Times New Roman" w:eastAsiaTheme="minorEastAsia" w:hAnsi="Times New Roman" w:cs="Times New Roman"/>
          <w:color w:val="000000"/>
        </w:rPr>
        <w:t xml:space="preserve">we choose our sample from </w:t>
      </w:r>
      <w:r w:rsidR="00F3538A" w:rsidRPr="008E6E59">
        <w:rPr>
          <w:rFonts w:ascii="Times New Roman" w:eastAsiaTheme="minorEastAsia" w:hAnsi="Times New Roman" w:cs="Times New Roman"/>
          <w:color w:val="000000"/>
        </w:rPr>
        <w:t>Sept</w:t>
      </w:r>
      <w:r w:rsidR="00E65A55" w:rsidRPr="008E6E59">
        <w:rPr>
          <w:rFonts w:ascii="Times New Roman" w:eastAsiaTheme="minorEastAsia" w:hAnsi="Times New Roman" w:cs="Times New Roman"/>
          <w:color w:val="000000"/>
        </w:rPr>
        <w:t>.</w:t>
      </w:r>
      <w:r w:rsidR="00F3538A" w:rsidRPr="008E6E59">
        <w:rPr>
          <w:rFonts w:ascii="Times New Roman" w:eastAsiaTheme="minorEastAsia" w:hAnsi="Times New Roman" w:cs="Times New Roman"/>
          <w:color w:val="000000"/>
        </w:rPr>
        <w:t xml:space="preserve"> 2007 to the end of 2012</w:t>
      </w:r>
      <w:r w:rsidR="005F57AD" w:rsidRPr="008E6E59">
        <w:rPr>
          <w:rFonts w:ascii="Times New Roman" w:eastAsiaTheme="minorEastAsia" w:hAnsi="Times New Roman" w:cs="Times New Roman"/>
          <w:color w:val="000000"/>
        </w:rPr>
        <w:t>.</w:t>
      </w:r>
      <w:r w:rsidR="004F78AD" w:rsidRPr="008E6E59">
        <w:rPr>
          <w:rFonts w:ascii="Times New Roman" w:eastAsiaTheme="minorEastAsia" w:hAnsi="Times New Roman" w:cs="Times New Roman"/>
          <w:color w:val="000000"/>
        </w:rPr>
        <w:t xml:space="preserve"> </w:t>
      </w:r>
      <w:r w:rsidR="000A6973" w:rsidRPr="008E6E59">
        <w:rPr>
          <w:rFonts w:ascii="Times New Roman" w:eastAsiaTheme="minorEastAsia" w:hAnsi="Times New Roman" w:cs="Times New Roman"/>
          <w:color w:val="000000"/>
        </w:rPr>
        <w:t>Due</w:t>
      </w:r>
      <w:r w:rsidR="00CD75F5" w:rsidRPr="008E6E59">
        <w:rPr>
          <w:rFonts w:ascii="Times New Roman" w:eastAsiaTheme="minorEastAsia" w:hAnsi="Times New Roman" w:cs="Times New Roman"/>
          <w:color w:val="000000"/>
        </w:rPr>
        <w:t xml:space="preserve"> to the “Northern Rock crisis” </w:t>
      </w:r>
      <w:r w:rsidR="000D3FA2" w:rsidRPr="008E6E59">
        <w:rPr>
          <w:rFonts w:ascii="Times New Roman" w:eastAsiaTheme="minorEastAsia" w:hAnsi="Times New Roman" w:cs="Times New Roman"/>
          <w:color w:val="000000"/>
        </w:rPr>
        <w:t>Sept</w:t>
      </w:r>
      <w:r w:rsidR="00C2287D">
        <w:rPr>
          <w:rFonts w:ascii="Times New Roman" w:eastAsiaTheme="minorEastAsia" w:hAnsi="Times New Roman" w:cs="Times New Roman"/>
          <w:color w:val="000000"/>
        </w:rPr>
        <w:t xml:space="preserve">. </w:t>
      </w:r>
      <w:r w:rsidR="000D3FA2" w:rsidRPr="008E6E59">
        <w:rPr>
          <w:rFonts w:ascii="Times New Roman" w:eastAsiaTheme="minorEastAsia" w:hAnsi="Times New Roman" w:cs="Times New Roman"/>
          <w:color w:val="000000"/>
        </w:rPr>
        <w:t>2007</w:t>
      </w:r>
      <w:r w:rsidR="00F8034B" w:rsidRPr="008E6E59">
        <w:rPr>
          <w:rFonts w:ascii="Times New Roman" w:eastAsiaTheme="minorEastAsia" w:hAnsi="Times New Roman" w:cs="Times New Roman"/>
          <w:color w:val="000000"/>
        </w:rPr>
        <w:t xml:space="preserve"> is select</w:t>
      </w:r>
      <w:r w:rsidR="00F95CAD" w:rsidRPr="008E6E59">
        <w:rPr>
          <w:rFonts w:ascii="Times New Roman" w:eastAsiaTheme="minorEastAsia" w:hAnsi="Times New Roman" w:cs="Times New Roman"/>
          <w:color w:val="000000"/>
        </w:rPr>
        <w:t>ed</w:t>
      </w:r>
      <w:r w:rsidR="000D3FA2" w:rsidRPr="008E6E59">
        <w:rPr>
          <w:rFonts w:ascii="Times New Roman" w:eastAsiaTheme="minorEastAsia" w:hAnsi="Times New Roman" w:cs="Times New Roman"/>
          <w:color w:val="000000"/>
        </w:rPr>
        <w:t xml:space="preserve"> </w:t>
      </w:r>
      <w:r w:rsidR="00F8034B" w:rsidRPr="008E6E59">
        <w:rPr>
          <w:rFonts w:ascii="Times New Roman" w:eastAsiaTheme="minorEastAsia" w:hAnsi="Times New Roman" w:cs="Times New Roman"/>
          <w:color w:val="000000"/>
        </w:rPr>
        <w:t>as</w:t>
      </w:r>
      <w:r w:rsidR="000D3FA2" w:rsidRPr="008E6E59">
        <w:rPr>
          <w:rFonts w:ascii="Times New Roman" w:eastAsiaTheme="minorEastAsia" w:hAnsi="Times New Roman" w:cs="Times New Roman"/>
          <w:color w:val="000000"/>
        </w:rPr>
        <w:t xml:space="preserve"> the start date</w:t>
      </w:r>
      <w:r w:rsidR="004B2822" w:rsidRPr="008E6E59">
        <w:rPr>
          <w:rFonts w:ascii="Times New Roman" w:eastAsiaTheme="minorEastAsia" w:hAnsi="Times New Roman" w:cs="Times New Roman"/>
          <w:color w:val="000000"/>
        </w:rPr>
        <w:t>,</w:t>
      </w:r>
      <w:r w:rsidR="000D3FA2" w:rsidRPr="008E6E59">
        <w:rPr>
          <w:rFonts w:ascii="Times New Roman" w:eastAsiaTheme="minorEastAsia" w:hAnsi="Times New Roman" w:cs="Times New Roman"/>
          <w:color w:val="000000"/>
        </w:rPr>
        <w:t xml:space="preserve"> w</w:t>
      </w:r>
      <w:r w:rsidR="004B2822" w:rsidRPr="008E6E59">
        <w:rPr>
          <w:rFonts w:ascii="Times New Roman" w:eastAsiaTheme="minorEastAsia" w:hAnsi="Times New Roman" w:cs="Times New Roman"/>
          <w:color w:val="000000"/>
        </w:rPr>
        <w:t>hilst</w:t>
      </w:r>
      <w:r w:rsidR="00FB674D" w:rsidRPr="008E6E59">
        <w:rPr>
          <w:rFonts w:ascii="Times New Roman" w:eastAsiaTheme="minorEastAsia" w:hAnsi="Times New Roman" w:cs="Times New Roman"/>
          <w:color w:val="000000"/>
        </w:rPr>
        <w:t xml:space="preserve"> </w:t>
      </w:r>
      <w:r w:rsidR="006F2E77" w:rsidRPr="008E6E59">
        <w:rPr>
          <w:rFonts w:ascii="Times New Roman" w:eastAsiaTheme="minorEastAsia" w:hAnsi="Times New Roman" w:cs="Times New Roman"/>
          <w:color w:val="000000"/>
        </w:rPr>
        <w:t>the</w:t>
      </w:r>
      <w:r w:rsidR="00FB674D" w:rsidRPr="008E6E59">
        <w:rPr>
          <w:rFonts w:ascii="Times New Roman" w:eastAsiaTheme="minorEastAsia" w:hAnsi="Times New Roman" w:cs="Times New Roman"/>
          <w:color w:val="000000"/>
        </w:rPr>
        <w:t xml:space="preserve"> last negative growth </w:t>
      </w:r>
      <w:r w:rsidR="004B2822" w:rsidRPr="008E6E59">
        <w:rPr>
          <w:rFonts w:ascii="Times New Roman" w:eastAsiaTheme="minorEastAsia" w:hAnsi="Times New Roman" w:cs="Times New Roman"/>
          <w:color w:val="000000"/>
        </w:rPr>
        <w:t xml:space="preserve">in this </w:t>
      </w:r>
      <w:r w:rsidR="00A85ABA" w:rsidRPr="008E6E59">
        <w:rPr>
          <w:rFonts w:ascii="Times New Roman" w:eastAsiaTheme="minorEastAsia" w:hAnsi="Times New Roman" w:cs="Times New Roman"/>
          <w:color w:val="000000"/>
        </w:rPr>
        <w:t>volatile period</w:t>
      </w:r>
      <w:r w:rsidR="004B2822" w:rsidRPr="008E6E59">
        <w:rPr>
          <w:rFonts w:ascii="Times New Roman" w:eastAsiaTheme="minorEastAsia" w:hAnsi="Times New Roman" w:cs="Times New Roman"/>
          <w:color w:val="000000"/>
        </w:rPr>
        <w:t xml:space="preserve"> </w:t>
      </w:r>
      <w:r w:rsidR="00F95CAD" w:rsidRPr="008E6E59">
        <w:rPr>
          <w:rFonts w:ascii="Times New Roman" w:eastAsiaTheme="minorEastAsia" w:hAnsi="Times New Roman" w:cs="Times New Roman"/>
          <w:color w:val="000000"/>
        </w:rPr>
        <w:t>occurred</w:t>
      </w:r>
      <w:r w:rsidR="00CE5B81" w:rsidRPr="008E6E59">
        <w:rPr>
          <w:rFonts w:ascii="Times New Roman" w:eastAsiaTheme="minorEastAsia" w:hAnsi="Times New Roman" w:cs="Times New Roman"/>
          <w:color w:val="000000"/>
        </w:rPr>
        <w:t xml:space="preserve"> </w:t>
      </w:r>
      <w:r w:rsidR="001C3ECE" w:rsidRPr="008E6E59">
        <w:rPr>
          <w:rFonts w:ascii="Times New Roman" w:eastAsiaTheme="minorEastAsia" w:hAnsi="Times New Roman" w:cs="Times New Roman"/>
          <w:color w:val="000000"/>
        </w:rPr>
        <w:t>in</w:t>
      </w:r>
      <w:r w:rsidR="00C2287D">
        <w:rPr>
          <w:rFonts w:ascii="Times New Roman" w:eastAsiaTheme="minorEastAsia" w:hAnsi="Times New Roman" w:cs="Times New Roman"/>
          <w:color w:val="000000"/>
        </w:rPr>
        <w:t xml:space="preserve"> the</w:t>
      </w:r>
      <w:r w:rsidR="001C3ECE" w:rsidRPr="008E6E59">
        <w:rPr>
          <w:rFonts w:ascii="Times New Roman" w:eastAsiaTheme="minorEastAsia" w:hAnsi="Times New Roman" w:cs="Times New Roman"/>
          <w:color w:val="000000"/>
        </w:rPr>
        <w:t xml:space="preserve"> </w:t>
      </w:r>
      <w:r w:rsidR="00C2287D">
        <w:rPr>
          <w:rFonts w:ascii="Times New Roman" w:eastAsiaTheme="minorEastAsia" w:hAnsi="Times New Roman" w:cs="Times New Roman"/>
          <w:color w:val="000000"/>
        </w:rPr>
        <w:t>4th quarter of 2012</w:t>
      </w:r>
      <w:r w:rsidR="00982DDC" w:rsidRPr="008E6E59">
        <w:rPr>
          <w:rFonts w:ascii="Times New Roman" w:eastAsiaTheme="minorEastAsia" w:hAnsi="Times New Roman" w:cs="Times New Roman"/>
          <w:color w:val="000000"/>
        </w:rPr>
        <w:t>.</w:t>
      </w:r>
      <w:r w:rsidR="00F95CAD" w:rsidRPr="008E6E59">
        <w:rPr>
          <w:rFonts w:ascii="Times New Roman" w:eastAsiaTheme="minorEastAsia" w:hAnsi="Times New Roman" w:cs="Times New Roman"/>
          <w:color w:val="000000"/>
        </w:rPr>
        <w:t xml:space="preserve"> In accordance with </w:t>
      </w:r>
      <w:r w:rsidR="007C3E76">
        <w:rPr>
          <w:rFonts w:ascii="Times New Roman" w:eastAsiaTheme="minorEastAsia" w:hAnsi="Times New Roman" w:cs="Times New Roman"/>
          <w:color w:val="000000"/>
        </w:rPr>
        <w:t>si</w:t>
      </w:r>
      <w:r w:rsidR="00647ABA">
        <w:rPr>
          <w:rFonts w:ascii="Times New Roman" w:eastAsiaTheme="minorEastAsia" w:hAnsi="Times New Roman" w:cs="Times New Roman"/>
          <w:color w:val="000000"/>
        </w:rPr>
        <w:t>milar</w:t>
      </w:r>
      <w:r w:rsidR="00F95CAD" w:rsidRPr="008E6E59">
        <w:rPr>
          <w:rFonts w:ascii="Times New Roman" w:eastAsiaTheme="minorEastAsia" w:hAnsi="Times New Roman" w:cs="Times New Roman"/>
          <w:color w:val="000000"/>
        </w:rPr>
        <w:t xml:space="preserve"> </w:t>
      </w:r>
      <w:r w:rsidR="00444C2A" w:rsidRPr="008E6E59">
        <w:rPr>
          <w:rFonts w:ascii="Times New Roman" w:eastAsiaTheme="minorEastAsia" w:hAnsi="Times New Roman" w:cs="Times New Roman"/>
          <w:color w:val="000000"/>
        </w:rPr>
        <w:t>studies,</w:t>
      </w:r>
      <w:r w:rsidR="00950B50" w:rsidRPr="008E6E59">
        <w:rPr>
          <w:rFonts w:ascii="Times New Roman" w:eastAsiaTheme="minorEastAsia" w:hAnsi="Times New Roman" w:cs="Times New Roman"/>
          <w:color w:val="000000"/>
        </w:rPr>
        <w:t xml:space="preserve"> </w:t>
      </w:r>
      <w:r w:rsidR="00982DDC" w:rsidRPr="008E6E59">
        <w:rPr>
          <w:rFonts w:ascii="Times New Roman" w:eastAsiaTheme="minorEastAsia" w:hAnsi="Times New Roman" w:cs="Times New Roman"/>
          <w:color w:val="000000"/>
        </w:rPr>
        <w:t>we use one</w:t>
      </w:r>
      <w:r w:rsidR="00F95CAD" w:rsidRPr="008E6E59">
        <w:rPr>
          <w:rFonts w:ascii="Times New Roman" w:eastAsiaTheme="minorEastAsia" w:hAnsi="Times New Roman" w:cs="Times New Roman"/>
          <w:color w:val="000000"/>
        </w:rPr>
        <w:t xml:space="preserve"> and</w:t>
      </w:r>
      <w:r w:rsidR="00982DDC" w:rsidRPr="008E6E59">
        <w:rPr>
          <w:rFonts w:ascii="Times New Roman" w:eastAsiaTheme="minorEastAsia" w:hAnsi="Times New Roman" w:cs="Times New Roman"/>
          <w:color w:val="000000"/>
        </w:rPr>
        <w:t xml:space="preserve"> two standard deviation expansionary</w:t>
      </w:r>
      <w:r w:rsidR="007A1153" w:rsidRPr="008E6E59">
        <w:rPr>
          <w:rFonts w:ascii="Times New Roman" w:eastAsiaTheme="minorEastAsia" w:hAnsi="Times New Roman" w:cs="Times New Roman"/>
          <w:color w:val="000000"/>
        </w:rPr>
        <w:t xml:space="preserve"> monetary policy</w:t>
      </w:r>
      <w:r w:rsidR="00982DDC" w:rsidRPr="008E6E59">
        <w:rPr>
          <w:rFonts w:ascii="Times New Roman" w:eastAsiaTheme="minorEastAsia" w:hAnsi="Times New Roman" w:cs="Times New Roman"/>
          <w:color w:val="000000"/>
        </w:rPr>
        <w:t xml:space="preserve"> shocks.</w:t>
      </w:r>
      <w:r w:rsidR="00950B50" w:rsidRPr="008E6E59">
        <w:rPr>
          <w:rFonts w:ascii="Times New Roman" w:eastAsiaTheme="minorEastAsia" w:hAnsi="Times New Roman" w:cs="Times New Roman"/>
          <w:color w:val="000000"/>
        </w:rPr>
        <w:t xml:space="preserve"> </w:t>
      </w:r>
      <w:r w:rsidR="00A85ABA" w:rsidRPr="008E6E59">
        <w:rPr>
          <w:rFonts w:ascii="Times New Roman" w:eastAsiaTheme="minorEastAsia" w:hAnsi="Times New Roman" w:cs="Times New Roman"/>
          <w:color w:val="000000"/>
        </w:rPr>
        <w:t xml:space="preserve">The non-linear impulse responses presented in figure </w:t>
      </w:r>
      <w:r w:rsidR="00234E93" w:rsidRPr="008E6E59">
        <w:rPr>
          <w:rFonts w:ascii="Times New Roman" w:eastAsiaTheme="minorEastAsia" w:hAnsi="Times New Roman" w:cs="Times New Roman"/>
          <w:color w:val="000000"/>
        </w:rPr>
        <w:t>7</w:t>
      </w:r>
      <w:r w:rsidR="00A85ABA" w:rsidRPr="008E6E59">
        <w:rPr>
          <w:rFonts w:ascii="Times New Roman" w:eastAsiaTheme="minorEastAsia" w:hAnsi="Times New Roman" w:cs="Times New Roman"/>
          <w:color w:val="000000"/>
        </w:rPr>
        <w:t xml:space="preserve"> </w:t>
      </w:r>
      <w:r w:rsidR="007A1153" w:rsidRPr="008E6E59">
        <w:rPr>
          <w:rFonts w:ascii="Times New Roman" w:eastAsiaTheme="minorEastAsia" w:hAnsi="Times New Roman" w:cs="Times New Roman"/>
          <w:color w:val="000000"/>
        </w:rPr>
        <w:t>illustrate</w:t>
      </w:r>
      <w:r w:rsidR="001D1B97">
        <w:rPr>
          <w:rFonts w:ascii="Times New Roman" w:eastAsiaTheme="minorEastAsia" w:hAnsi="Times New Roman" w:cs="Times New Roman"/>
          <w:color w:val="000000"/>
        </w:rPr>
        <w:t>s</w:t>
      </w:r>
      <w:r w:rsidR="001C3ECE" w:rsidRPr="008E6E59">
        <w:rPr>
          <w:rFonts w:ascii="Times New Roman" w:eastAsiaTheme="minorEastAsia" w:hAnsi="Times New Roman" w:cs="Times New Roman"/>
          <w:color w:val="000000"/>
        </w:rPr>
        <w:t xml:space="preserve"> large expansionary</w:t>
      </w:r>
      <w:r w:rsidR="00081134" w:rsidRPr="008E6E59">
        <w:rPr>
          <w:rFonts w:ascii="Times New Roman" w:eastAsiaTheme="minorEastAsia" w:hAnsi="Times New Roman" w:cs="Times New Roman"/>
          <w:color w:val="000000"/>
        </w:rPr>
        <w:t xml:space="preserve"> monetary</w:t>
      </w:r>
      <w:r w:rsidR="001C3ECE" w:rsidRPr="008E6E59">
        <w:rPr>
          <w:rFonts w:ascii="Times New Roman" w:eastAsiaTheme="minorEastAsia" w:hAnsi="Times New Roman" w:cs="Times New Roman"/>
          <w:color w:val="000000"/>
        </w:rPr>
        <w:t xml:space="preserve"> policy shocks do indeed have </w:t>
      </w:r>
      <w:r w:rsidR="00166D01" w:rsidRPr="008E6E59">
        <w:rPr>
          <w:rFonts w:ascii="Times New Roman" w:eastAsiaTheme="minorEastAsia" w:hAnsi="Times New Roman" w:cs="Times New Roman"/>
          <w:color w:val="000000"/>
        </w:rPr>
        <w:t>larger</w:t>
      </w:r>
      <w:r w:rsidR="001C3ECE" w:rsidRPr="008E6E59">
        <w:rPr>
          <w:rFonts w:ascii="Times New Roman" w:eastAsiaTheme="minorEastAsia" w:hAnsi="Times New Roman" w:cs="Times New Roman"/>
          <w:color w:val="000000"/>
        </w:rPr>
        <w:t xml:space="preserve"> and</w:t>
      </w:r>
      <w:r w:rsidR="00166D01" w:rsidRPr="008E6E59">
        <w:rPr>
          <w:rFonts w:ascii="Times New Roman" w:eastAsiaTheme="minorEastAsia" w:hAnsi="Times New Roman" w:cs="Times New Roman"/>
          <w:color w:val="000000"/>
        </w:rPr>
        <w:t xml:space="preserve"> more</w:t>
      </w:r>
      <w:r w:rsidR="001C3ECE" w:rsidRPr="008E6E59">
        <w:rPr>
          <w:rFonts w:ascii="Times New Roman" w:eastAsiaTheme="minorEastAsia" w:hAnsi="Times New Roman" w:cs="Times New Roman"/>
          <w:color w:val="000000"/>
        </w:rPr>
        <w:t xml:space="preserve"> persistence</w:t>
      </w:r>
      <w:r w:rsidR="00F54752">
        <w:rPr>
          <w:rFonts w:ascii="Times New Roman" w:eastAsiaTheme="minorEastAsia" w:hAnsi="Times New Roman" w:cs="Times New Roman"/>
          <w:color w:val="000000"/>
        </w:rPr>
        <w:t xml:space="preserve"> effect</w:t>
      </w:r>
      <w:r w:rsidR="000B19D3" w:rsidRPr="008E6E59">
        <w:rPr>
          <w:rFonts w:ascii="Times New Roman" w:eastAsiaTheme="minorEastAsia" w:hAnsi="Times New Roman" w:cs="Times New Roman"/>
          <w:color w:val="000000"/>
        </w:rPr>
        <w:t xml:space="preserve"> on the </w:t>
      </w:r>
      <w:r w:rsidR="000B19D3" w:rsidRPr="008E6E59">
        <w:rPr>
          <w:rFonts w:ascii="Times New Roman" w:eastAsiaTheme="minorEastAsia" w:hAnsi="Times New Roman" w:cs="Times New Roman"/>
          <w:i/>
          <w:iCs/>
          <w:color w:val="000000"/>
        </w:rPr>
        <w:t>mix,</w:t>
      </w:r>
      <w:r w:rsidR="00081134" w:rsidRPr="008E6E59">
        <w:rPr>
          <w:rFonts w:ascii="Times New Roman" w:eastAsiaTheme="minorEastAsia" w:hAnsi="Times New Roman" w:cs="Times New Roman"/>
          <w:color w:val="000000"/>
        </w:rPr>
        <w:t xml:space="preserve"> </w:t>
      </w:r>
      <w:r w:rsidR="000B19D3" w:rsidRPr="008E6E59">
        <w:rPr>
          <w:rFonts w:ascii="Times New Roman" w:eastAsiaTheme="minorEastAsia" w:hAnsi="Times New Roman" w:cs="Times New Roman"/>
          <w:color w:val="000000"/>
        </w:rPr>
        <w:t>when compared with</w:t>
      </w:r>
      <w:r w:rsidR="00081134" w:rsidRPr="008E6E59">
        <w:rPr>
          <w:rFonts w:ascii="Times New Roman" w:eastAsiaTheme="minorEastAsia" w:hAnsi="Times New Roman" w:cs="Times New Roman"/>
          <w:color w:val="000000"/>
        </w:rPr>
        <w:t xml:space="preserve"> smaller expansionary shocks</w:t>
      </w:r>
      <w:r w:rsidR="007A1153" w:rsidRPr="008E6E59">
        <w:rPr>
          <w:rFonts w:ascii="Times New Roman" w:eastAsiaTheme="minorEastAsia" w:hAnsi="Times New Roman" w:cs="Times New Roman"/>
          <w:color w:val="000000"/>
        </w:rPr>
        <w:t>.</w:t>
      </w:r>
      <w:r w:rsidR="001C3ECE" w:rsidRPr="008E6E59">
        <w:rPr>
          <w:rFonts w:ascii="Times New Roman" w:eastAsiaTheme="minorEastAsia" w:hAnsi="Times New Roman" w:cs="Times New Roman"/>
          <w:color w:val="000000"/>
        </w:rPr>
        <w:t xml:space="preserve"> The cumulative impact </w:t>
      </w:r>
      <w:r w:rsidR="00AD6786" w:rsidRPr="008E6E59">
        <w:rPr>
          <w:rFonts w:ascii="Times New Roman" w:eastAsiaTheme="minorEastAsia" w:hAnsi="Times New Roman" w:cs="Times New Roman"/>
          <w:color w:val="000000"/>
        </w:rPr>
        <w:t>of large expansionary</w:t>
      </w:r>
      <w:r w:rsidR="005A2540" w:rsidRPr="008E6E59">
        <w:rPr>
          <w:rFonts w:ascii="Times New Roman" w:eastAsiaTheme="minorEastAsia" w:hAnsi="Times New Roman" w:cs="Times New Roman"/>
          <w:color w:val="000000"/>
        </w:rPr>
        <w:t xml:space="preserve"> monetary</w:t>
      </w:r>
      <w:r w:rsidR="00AD6786" w:rsidRPr="008E6E59">
        <w:rPr>
          <w:rFonts w:ascii="Times New Roman" w:eastAsiaTheme="minorEastAsia" w:hAnsi="Times New Roman" w:cs="Times New Roman"/>
          <w:color w:val="000000"/>
        </w:rPr>
        <w:t xml:space="preserve"> shock on the </w:t>
      </w:r>
      <w:r w:rsidR="00AD6786" w:rsidRPr="008E6E59">
        <w:rPr>
          <w:rFonts w:ascii="Times New Roman" w:eastAsiaTheme="minorEastAsia" w:hAnsi="Times New Roman" w:cs="Times New Roman"/>
          <w:i/>
          <w:iCs/>
          <w:color w:val="000000"/>
        </w:rPr>
        <w:t xml:space="preserve">mix </w:t>
      </w:r>
      <w:r w:rsidR="00AD6786" w:rsidRPr="008E6E59">
        <w:rPr>
          <w:rFonts w:ascii="Times New Roman" w:eastAsiaTheme="minorEastAsia" w:hAnsi="Times New Roman" w:cs="Times New Roman"/>
          <w:color w:val="000000"/>
        </w:rPr>
        <w:t xml:space="preserve">after 36 months is twice </w:t>
      </w:r>
      <w:r w:rsidR="00CE5DA8" w:rsidRPr="008E6E59">
        <w:rPr>
          <w:rFonts w:ascii="Times New Roman" w:eastAsiaTheme="minorEastAsia" w:hAnsi="Times New Roman" w:cs="Times New Roman"/>
          <w:color w:val="000000"/>
        </w:rPr>
        <w:t>as large when compared with the</w:t>
      </w:r>
      <w:r w:rsidR="005A2540" w:rsidRPr="008E6E59">
        <w:rPr>
          <w:rFonts w:ascii="Times New Roman" w:eastAsiaTheme="minorEastAsia" w:hAnsi="Times New Roman" w:cs="Times New Roman"/>
          <w:color w:val="000000"/>
        </w:rPr>
        <w:t xml:space="preserve"> </w:t>
      </w:r>
      <w:r w:rsidR="00F84219" w:rsidRPr="008E6E59">
        <w:rPr>
          <w:rFonts w:ascii="Times New Roman" w:eastAsiaTheme="minorEastAsia" w:hAnsi="Times New Roman" w:cs="Times New Roman"/>
          <w:color w:val="000000"/>
        </w:rPr>
        <w:t>small expansionary</w:t>
      </w:r>
      <w:r w:rsidR="005A2540" w:rsidRPr="008E6E59">
        <w:rPr>
          <w:rFonts w:ascii="Times New Roman" w:eastAsiaTheme="minorEastAsia" w:hAnsi="Times New Roman" w:cs="Times New Roman"/>
          <w:color w:val="000000"/>
        </w:rPr>
        <w:t xml:space="preserve"> monetary</w:t>
      </w:r>
      <w:r w:rsidR="00F84219" w:rsidRPr="008E6E59">
        <w:rPr>
          <w:rFonts w:ascii="Times New Roman" w:eastAsiaTheme="minorEastAsia" w:hAnsi="Times New Roman" w:cs="Times New Roman"/>
          <w:color w:val="000000"/>
        </w:rPr>
        <w:t xml:space="preserve"> shock</w:t>
      </w:r>
      <w:r w:rsidR="0045124D" w:rsidRPr="008E6E59">
        <w:rPr>
          <w:rFonts w:ascii="Times New Roman" w:eastAsiaTheme="minorEastAsia" w:hAnsi="Times New Roman" w:cs="Times New Roman"/>
          <w:color w:val="000000"/>
        </w:rPr>
        <w:t xml:space="preserve"> (4.651 compared to 1.954)</w:t>
      </w:r>
      <w:r w:rsidR="00F84219" w:rsidRPr="008E6E59">
        <w:rPr>
          <w:rFonts w:ascii="Times New Roman" w:eastAsiaTheme="minorEastAsia" w:hAnsi="Times New Roman" w:cs="Times New Roman"/>
          <w:color w:val="000000"/>
        </w:rPr>
        <w:t>.</w:t>
      </w:r>
      <w:r w:rsidR="00166D01" w:rsidRPr="008E6E59">
        <w:rPr>
          <w:rFonts w:ascii="Times New Roman" w:eastAsiaTheme="minorEastAsia" w:hAnsi="Times New Roman" w:cs="Times New Roman"/>
          <w:color w:val="000000"/>
        </w:rPr>
        <w:t xml:space="preserve"> </w:t>
      </w:r>
    </w:p>
    <w:p w14:paraId="36B53E57" w14:textId="77777777" w:rsidR="00B121C6" w:rsidRDefault="00B121C6" w:rsidP="00BF5F47">
      <w:pPr>
        <w:widowControl w:val="0"/>
        <w:autoSpaceDE w:val="0"/>
        <w:autoSpaceDN w:val="0"/>
        <w:adjustRightInd w:val="0"/>
        <w:spacing w:line="480" w:lineRule="auto"/>
        <w:jc w:val="both"/>
        <w:rPr>
          <w:rFonts w:ascii="Times New Roman" w:eastAsiaTheme="minorEastAsia" w:hAnsi="Times New Roman" w:cs="Times New Roman"/>
          <w:color w:val="000000"/>
        </w:rPr>
      </w:pPr>
    </w:p>
    <w:p w14:paraId="184B9E46" w14:textId="0F1D80AE" w:rsidR="001362E2" w:rsidRPr="004F7AAB" w:rsidRDefault="00166D01" w:rsidP="00F8228D">
      <w:pPr>
        <w:pStyle w:val="ListParagraph"/>
        <w:numPr>
          <w:ilvl w:val="0"/>
          <w:numId w:val="8"/>
        </w:numPr>
        <w:ind w:left="567" w:hanging="567"/>
        <w:jc w:val="both"/>
        <w:rPr>
          <w:rFonts w:ascii="Times New Roman" w:hAnsi="Times New Roman" w:cs="Times New Roman"/>
          <w:b/>
          <w:bCs/>
        </w:rPr>
      </w:pPr>
      <w:r w:rsidRPr="004F7AAB">
        <w:rPr>
          <w:rFonts w:ascii="Times New Roman" w:hAnsi="Times New Roman" w:cs="Times New Roman"/>
          <w:b/>
          <w:bCs/>
        </w:rPr>
        <w:t>Conclusion</w:t>
      </w:r>
      <w:r w:rsidR="00057DBB" w:rsidRPr="004F7AAB">
        <w:rPr>
          <w:rFonts w:ascii="Times New Roman" w:hAnsi="Times New Roman" w:cs="Times New Roman"/>
          <w:b/>
          <w:bCs/>
        </w:rPr>
        <w:t>s</w:t>
      </w:r>
      <w:r w:rsidRPr="004F7AAB">
        <w:rPr>
          <w:rFonts w:ascii="Times New Roman" w:hAnsi="Times New Roman" w:cs="Times New Roman"/>
          <w:b/>
          <w:bCs/>
        </w:rPr>
        <w:t xml:space="preserve"> </w:t>
      </w:r>
    </w:p>
    <w:p w14:paraId="5B43AE3E" w14:textId="44C71290" w:rsidR="00066345" w:rsidRPr="001362E2" w:rsidRDefault="003929B5" w:rsidP="00DB2BAF">
      <w:pPr>
        <w:spacing w:line="480" w:lineRule="auto"/>
        <w:jc w:val="both"/>
        <w:rPr>
          <w:rFonts w:ascii="Times New Roman" w:eastAsiaTheme="minorEastAsia" w:hAnsi="Times New Roman" w:cs="Times New Roman"/>
          <w:color w:val="000000" w:themeColor="text1"/>
        </w:rPr>
      </w:pPr>
      <w:r w:rsidRPr="001362E2">
        <w:rPr>
          <w:rFonts w:ascii="Times New Roman" w:eastAsiaTheme="minorEastAsia" w:hAnsi="Times New Roman" w:cs="Times New Roman"/>
          <w:color w:val="000000" w:themeColor="text1"/>
        </w:rPr>
        <w:t xml:space="preserve">Capturing heterogeneity in the impact magnitudes of policy changes across regimes is challenging both theoretically and empirically. Questions arise on the theoretical foundation justifying that monetary policy shocks of the same magnitude can exert asymmetric effects on a housing market. The BLC is our proposed theoretical identification mechanism that can create and sustain impact </w:t>
      </w:r>
      <w:r w:rsidRPr="001362E2">
        <w:rPr>
          <w:rFonts w:ascii="Times New Roman" w:eastAsiaTheme="minorEastAsia" w:hAnsi="Times New Roman" w:cs="Times New Roman"/>
          <w:color w:val="000000" w:themeColor="text1"/>
        </w:rPr>
        <w:lastRenderedPageBreak/>
        <w:t>heterogeneity across various regimes. This paper has examined the effect</w:t>
      </w:r>
      <w:r w:rsidR="00057DBB" w:rsidRPr="001362E2">
        <w:rPr>
          <w:rFonts w:ascii="Times New Roman" w:eastAsiaTheme="minorEastAsia" w:hAnsi="Times New Roman" w:cs="Times New Roman"/>
          <w:color w:val="000000" w:themeColor="text1"/>
        </w:rPr>
        <w:t xml:space="preserve"> of monetary policy on a </w:t>
      </w:r>
      <w:r w:rsidR="001B4BF4" w:rsidRPr="001362E2">
        <w:rPr>
          <w:rFonts w:ascii="Times New Roman" w:eastAsiaTheme="minorEastAsia" w:hAnsi="Times New Roman" w:cs="Times New Roman"/>
          <w:color w:val="000000" w:themeColor="text1"/>
        </w:rPr>
        <w:t>state</w:t>
      </w:r>
      <w:r w:rsidR="00057DBB" w:rsidRPr="001362E2">
        <w:rPr>
          <w:rFonts w:ascii="Times New Roman" w:eastAsiaTheme="minorEastAsia" w:hAnsi="Times New Roman" w:cs="Times New Roman"/>
          <w:color w:val="000000" w:themeColor="text1"/>
        </w:rPr>
        <w:t xml:space="preserve">-dependent </w:t>
      </w:r>
      <w:r w:rsidR="001B4BF4" w:rsidRPr="001362E2">
        <w:rPr>
          <w:rFonts w:ascii="Times New Roman" w:eastAsiaTheme="minorEastAsia" w:hAnsi="Times New Roman" w:cs="Times New Roman"/>
          <w:color w:val="000000" w:themeColor="text1"/>
        </w:rPr>
        <w:t>BLC in the UK housing sector</w:t>
      </w:r>
      <w:r w:rsidR="00057DBB" w:rsidRPr="001362E2">
        <w:rPr>
          <w:rFonts w:ascii="Times New Roman" w:eastAsiaTheme="minorEastAsia" w:hAnsi="Times New Roman" w:cs="Times New Roman"/>
          <w:color w:val="000000" w:themeColor="text1"/>
        </w:rPr>
        <w:t xml:space="preserve">. </w:t>
      </w:r>
      <w:r w:rsidRPr="001362E2">
        <w:rPr>
          <w:rFonts w:ascii="Times New Roman" w:eastAsiaTheme="minorEastAsia" w:hAnsi="Times New Roman" w:cs="Times New Roman"/>
          <w:color w:val="000000" w:themeColor="text1"/>
        </w:rPr>
        <w:t xml:space="preserve">Employing </w:t>
      </w:r>
      <w:r w:rsidR="00BE711A" w:rsidRPr="001362E2">
        <w:rPr>
          <w:rFonts w:ascii="Times New Roman" w:eastAsiaTheme="minorEastAsia" w:hAnsi="Times New Roman" w:cs="Times New Roman"/>
          <w:color w:val="000000" w:themeColor="text1"/>
        </w:rPr>
        <w:t>MSVAR</w:t>
      </w:r>
      <w:r w:rsidR="00740FA2" w:rsidRPr="001362E2">
        <w:rPr>
          <w:rFonts w:ascii="Times New Roman" w:eastAsiaTheme="minorEastAsia" w:hAnsi="Times New Roman" w:cs="Times New Roman"/>
          <w:color w:val="000000" w:themeColor="text1"/>
        </w:rPr>
        <w:t>s</w:t>
      </w:r>
      <w:r w:rsidR="00F46236" w:rsidRPr="001362E2">
        <w:rPr>
          <w:rFonts w:ascii="Times New Roman" w:eastAsiaTheme="minorEastAsia" w:hAnsi="Times New Roman" w:cs="Times New Roman"/>
          <w:color w:val="000000" w:themeColor="text1"/>
        </w:rPr>
        <w:t xml:space="preserve"> and regime-dependent IRF</w:t>
      </w:r>
      <w:r w:rsidR="00403881" w:rsidRPr="001362E2">
        <w:rPr>
          <w:rFonts w:ascii="Times New Roman" w:eastAsiaTheme="minorEastAsia" w:hAnsi="Times New Roman" w:cs="Times New Roman"/>
          <w:color w:val="000000" w:themeColor="text1"/>
        </w:rPr>
        <w:t>s</w:t>
      </w:r>
      <w:r w:rsidRPr="001362E2">
        <w:rPr>
          <w:rFonts w:ascii="Times New Roman" w:eastAsiaTheme="minorEastAsia" w:hAnsi="Times New Roman" w:cs="Times New Roman"/>
          <w:color w:val="000000" w:themeColor="text1"/>
        </w:rPr>
        <w:t xml:space="preserve"> we have shown that a </w:t>
      </w:r>
      <w:r w:rsidR="000F0B51" w:rsidRPr="001362E2">
        <w:rPr>
          <w:rFonts w:ascii="Times New Roman" w:eastAsiaTheme="minorEastAsia" w:hAnsi="Times New Roman" w:cs="Times New Roman"/>
          <w:color w:val="000000" w:themeColor="text1"/>
        </w:rPr>
        <w:t>similar sized expansionary</w:t>
      </w:r>
      <w:r w:rsidR="0083558D" w:rsidRPr="001362E2">
        <w:rPr>
          <w:rFonts w:ascii="Times New Roman" w:eastAsiaTheme="minorEastAsia" w:hAnsi="Times New Roman" w:cs="Times New Roman"/>
          <w:color w:val="000000" w:themeColor="text1"/>
        </w:rPr>
        <w:t xml:space="preserve"> monetary policy</w:t>
      </w:r>
      <w:r w:rsidR="00E85648" w:rsidRPr="001362E2">
        <w:rPr>
          <w:rFonts w:ascii="Times New Roman" w:eastAsiaTheme="minorEastAsia" w:hAnsi="Times New Roman" w:cs="Times New Roman"/>
          <w:color w:val="000000" w:themeColor="text1"/>
        </w:rPr>
        <w:t xml:space="preserve"> shock</w:t>
      </w:r>
      <w:r w:rsidRPr="001362E2">
        <w:rPr>
          <w:rFonts w:ascii="Times New Roman" w:eastAsiaTheme="minorEastAsia" w:hAnsi="Times New Roman" w:cs="Times New Roman"/>
          <w:color w:val="000000" w:themeColor="text1"/>
        </w:rPr>
        <w:t xml:space="preserve"> in</w:t>
      </w:r>
      <w:r w:rsidR="00610E70" w:rsidRPr="001362E2">
        <w:rPr>
          <w:rFonts w:ascii="Times New Roman" w:eastAsiaTheme="minorEastAsia" w:hAnsi="Times New Roman" w:cs="Times New Roman"/>
          <w:color w:val="000000" w:themeColor="text1"/>
        </w:rPr>
        <w:t xml:space="preserve"> the</w:t>
      </w:r>
      <w:r w:rsidR="0083558D" w:rsidRPr="001362E2">
        <w:rPr>
          <w:rFonts w:ascii="Times New Roman" w:eastAsiaTheme="minorEastAsia" w:hAnsi="Times New Roman" w:cs="Times New Roman"/>
          <w:color w:val="000000" w:themeColor="text1"/>
        </w:rPr>
        <w:t xml:space="preserve"> BLC </w:t>
      </w:r>
      <w:r w:rsidR="00610E70" w:rsidRPr="001362E2">
        <w:rPr>
          <w:rFonts w:ascii="Times New Roman" w:eastAsiaTheme="minorEastAsia" w:hAnsi="Times New Roman" w:cs="Times New Roman"/>
          <w:color w:val="000000" w:themeColor="text1"/>
        </w:rPr>
        <w:t xml:space="preserve">produces responses which </w:t>
      </w:r>
      <w:r w:rsidR="00FC10E6">
        <w:rPr>
          <w:rFonts w:ascii="Times New Roman" w:eastAsiaTheme="minorEastAsia" w:hAnsi="Times New Roman" w:cs="Times New Roman"/>
          <w:color w:val="000000" w:themeColor="text1"/>
        </w:rPr>
        <w:t>are</w:t>
      </w:r>
      <w:r w:rsidR="00610E70" w:rsidRPr="001362E2">
        <w:rPr>
          <w:rFonts w:ascii="Times New Roman" w:eastAsiaTheme="minorEastAsia" w:hAnsi="Times New Roman" w:cs="Times New Roman"/>
          <w:color w:val="000000" w:themeColor="text1"/>
        </w:rPr>
        <w:t xml:space="preserve"> greater during normal times than during </w:t>
      </w:r>
      <w:r w:rsidR="008F7736" w:rsidRPr="001362E2">
        <w:rPr>
          <w:rFonts w:ascii="Times New Roman" w:eastAsiaTheme="minorEastAsia" w:hAnsi="Times New Roman" w:cs="Times New Roman"/>
          <w:color w:val="000000" w:themeColor="text1"/>
        </w:rPr>
        <w:t>reces</w:t>
      </w:r>
      <w:r w:rsidR="0083558D" w:rsidRPr="001362E2">
        <w:rPr>
          <w:rFonts w:ascii="Times New Roman" w:eastAsiaTheme="minorEastAsia" w:hAnsi="Times New Roman" w:cs="Times New Roman"/>
          <w:color w:val="000000" w:themeColor="text1"/>
        </w:rPr>
        <w:t>s</w:t>
      </w:r>
      <w:r w:rsidR="008F7736" w:rsidRPr="001362E2">
        <w:rPr>
          <w:rFonts w:ascii="Times New Roman" w:eastAsiaTheme="minorEastAsia" w:hAnsi="Times New Roman" w:cs="Times New Roman"/>
          <w:color w:val="000000" w:themeColor="text1"/>
        </w:rPr>
        <w:t>io</w:t>
      </w:r>
      <w:r w:rsidR="00A6111F" w:rsidRPr="001362E2">
        <w:rPr>
          <w:rFonts w:ascii="Times New Roman" w:eastAsiaTheme="minorEastAsia" w:hAnsi="Times New Roman" w:cs="Times New Roman"/>
          <w:color w:val="000000" w:themeColor="text1"/>
        </w:rPr>
        <w:t>n</w:t>
      </w:r>
      <w:r w:rsidR="00610E70" w:rsidRPr="001362E2">
        <w:rPr>
          <w:rFonts w:ascii="Times New Roman" w:eastAsiaTheme="minorEastAsia" w:hAnsi="Times New Roman" w:cs="Times New Roman"/>
          <w:color w:val="000000" w:themeColor="text1"/>
        </w:rPr>
        <w:t xml:space="preserve">ary periods. This may be primarily due to </w:t>
      </w:r>
      <w:r w:rsidR="00AE0BF1" w:rsidRPr="001362E2">
        <w:rPr>
          <w:rFonts w:ascii="Times New Roman" w:eastAsiaTheme="minorEastAsia" w:hAnsi="Times New Roman" w:cs="Times New Roman"/>
          <w:color w:val="000000" w:themeColor="text1"/>
        </w:rPr>
        <w:t>the amalgamated effects of increased risk perception (by the depository institutions), increased cost of liquid funds</w:t>
      </w:r>
      <w:r w:rsidR="00A6111F" w:rsidRPr="001362E2">
        <w:rPr>
          <w:rFonts w:ascii="Times New Roman" w:eastAsiaTheme="minorEastAsia" w:hAnsi="Times New Roman" w:cs="Times New Roman"/>
          <w:color w:val="000000" w:themeColor="text1"/>
        </w:rPr>
        <w:t xml:space="preserve"> and the breakdown of the securitization process.</w:t>
      </w:r>
      <w:r w:rsidR="00FE6FB6" w:rsidRPr="001362E2">
        <w:rPr>
          <w:rFonts w:ascii="Times New Roman" w:eastAsiaTheme="minorEastAsia" w:hAnsi="Times New Roman" w:cs="Times New Roman"/>
          <w:color w:val="000000" w:themeColor="text1"/>
        </w:rPr>
        <w:t xml:space="preserve"> </w:t>
      </w:r>
      <w:r w:rsidR="00610E70" w:rsidRPr="001362E2">
        <w:rPr>
          <w:rFonts w:ascii="Times New Roman" w:eastAsiaTheme="minorEastAsia" w:hAnsi="Times New Roman" w:cs="Times New Roman"/>
          <w:color w:val="000000" w:themeColor="text1"/>
        </w:rPr>
        <w:t>Further</w:t>
      </w:r>
      <w:r w:rsidR="00DB26DE" w:rsidRPr="001362E2">
        <w:rPr>
          <w:rFonts w:ascii="Times New Roman" w:eastAsiaTheme="minorEastAsia" w:hAnsi="Times New Roman" w:cs="Times New Roman"/>
          <w:color w:val="000000" w:themeColor="text1"/>
        </w:rPr>
        <w:t xml:space="preserve">, </w:t>
      </w:r>
      <w:r w:rsidR="00610E70" w:rsidRPr="001362E2">
        <w:rPr>
          <w:rFonts w:ascii="Times New Roman" w:eastAsiaTheme="minorEastAsia" w:hAnsi="Times New Roman" w:cs="Times New Roman"/>
          <w:color w:val="000000" w:themeColor="text1"/>
        </w:rPr>
        <w:t xml:space="preserve">we have examined the </w:t>
      </w:r>
      <w:r w:rsidR="00DB26DE" w:rsidRPr="001362E2">
        <w:rPr>
          <w:rFonts w:ascii="Times New Roman" w:eastAsiaTheme="minorEastAsia" w:hAnsi="Times New Roman" w:cs="Times New Roman"/>
          <w:color w:val="000000" w:themeColor="text1"/>
        </w:rPr>
        <w:t xml:space="preserve">response of mortgage supply by depository institutions to various degrees of expansionary </w:t>
      </w:r>
      <w:r w:rsidR="00F65807" w:rsidRPr="001362E2">
        <w:rPr>
          <w:rFonts w:ascii="Times New Roman" w:eastAsiaTheme="minorEastAsia" w:hAnsi="Times New Roman" w:cs="Times New Roman"/>
          <w:color w:val="000000" w:themeColor="text1"/>
        </w:rPr>
        <w:t>monetary policy shock</w:t>
      </w:r>
      <w:r w:rsidR="006536D9" w:rsidRPr="001362E2">
        <w:rPr>
          <w:rFonts w:ascii="Times New Roman" w:eastAsiaTheme="minorEastAsia" w:hAnsi="Times New Roman" w:cs="Times New Roman"/>
          <w:color w:val="000000" w:themeColor="text1"/>
        </w:rPr>
        <w:t>s</w:t>
      </w:r>
      <w:r w:rsidR="00F65807" w:rsidRPr="001362E2">
        <w:rPr>
          <w:rFonts w:ascii="Times New Roman" w:eastAsiaTheme="minorEastAsia" w:hAnsi="Times New Roman" w:cs="Times New Roman"/>
          <w:color w:val="000000" w:themeColor="text1"/>
        </w:rPr>
        <w:t xml:space="preserve"> during periods of</w:t>
      </w:r>
      <w:r w:rsidR="003C187E" w:rsidRPr="001362E2">
        <w:rPr>
          <w:rFonts w:ascii="Times New Roman" w:eastAsiaTheme="minorEastAsia" w:hAnsi="Times New Roman" w:cs="Times New Roman"/>
          <w:color w:val="000000" w:themeColor="text1"/>
        </w:rPr>
        <w:t xml:space="preserve"> economic</w:t>
      </w:r>
      <w:r w:rsidR="006536D9" w:rsidRPr="001362E2">
        <w:rPr>
          <w:rFonts w:ascii="Times New Roman" w:eastAsiaTheme="minorEastAsia" w:hAnsi="Times New Roman" w:cs="Times New Roman"/>
          <w:color w:val="000000" w:themeColor="text1"/>
        </w:rPr>
        <w:t xml:space="preserve"> uncertainty and for this 2007</w:t>
      </w:r>
      <w:r w:rsidR="000029EA" w:rsidRPr="001362E2">
        <w:rPr>
          <w:rFonts w:ascii="Times New Roman" w:eastAsiaTheme="minorEastAsia" w:hAnsi="Times New Roman" w:cs="Times New Roman"/>
          <w:color w:val="000000" w:themeColor="text1"/>
        </w:rPr>
        <w:t>-08 financial</w:t>
      </w:r>
      <w:r w:rsidR="006536D9" w:rsidRPr="001362E2">
        <w:rPr>
          <w:rFonts w:ascii="Times New Roman" w:eastAsiaTheme="minorEastAsia" w:hAnsi="Times New Roman" w:cs="Times New Roman"/>
          <w:color w:val="000000" w:themeColor="text1"/>
        </w:rPr>
        <w:t xml:space="preserve"> crisis period is chosen</w:t>
      </w:r>
      <w:r w:rsidR="00610E70" w:rsidRPr="001362E2">
        <w:rPr>
          <w:rFonts w:ascii="Times New Roman" w:eastAsiaTheme="minorEastAsia" w:hAnsi="Times New Roman" w:cs="Times New Roman"/>
          <w:color w:val="000000" w:themeColor="text1"/>
        </w:rPr>
        <w:t xml:space="preserve">. The main reason is that </w:t>
      </w:r>
      <w:r w:rsidR="0049705C" w:rsidRPr="001362E2">
        <w:rPr>
          <w:rFonts w:ascii="Times New Roman" w:eastAsiaTheme="minorEastAsia" w:hAnsi="Times New Roman" w:cs="Times New Roman"/>
          <w:color w:val="000000" w:themeColor="text1"/>
        </w:rPr>
        <w:t xml:space="preserve">the </w:t>
      </w:r>
      <w:r w:rsidR="005E3F31" w:rsidRPr="001362E2">
        <w:rPr>
          <w:rFonts w:ascii="Times New Roman" w:eastAsiaTheme="minorEastAsia" w:hAnsi="Times New Roman" w:cs="Times New Roman"/>
          <w:color w:val="000000" w:themeColor="text1"/>
        </w:rPr>
        <w:t>policy rate was reduced sharply</w:t>
      </w:r>
      <w:r w:rsidR="0049705C" w:rsidRPr="001362E2">
        <w:rPr>
          <w:rFonts w:ascii="Times New Roman" w:eastAsiaTheme="minorEastAsia" w:hAnsi="Times New Roman" w:cs="Times New Roman"/>
          <w:color w:val="000000" w:themeColor="text1"/>
        </w:rPr>
        <w:t xml:space="preserve"> during this period compared to earlier recessions. </w:t>
      </w:r>
      <w:r w:rsidR="00610E70" w:rsidRPr="001362E2">
        <w:rPr>
          <w:rFonts w:ascii="Times New Roman" w:eastAsiaTheme="minorEastAsia" w:hAnsi="Times New Roman" w:cs="Times New Roman"/>
          <w:color w:val="000000" w:themeColor="text1"/>
        </w:rPr>
        <w:t xml:space="preserve">Our results </w:t>
      </w:r>
      <w:r w:rsidR="000029EA" w:rsidRPr="001362E2">
        <w:rPr>
          <w:rFonts w:ascii="Times New Roman" w:eastAsiaTheme="minorEastAsia" w:hAnsi="Times New Roman" w:cs="Times New Roman"/>
          <w:color w:val="000000" w:themeColor="text1"/>
        </w:rPr>
        <w:t>suggest sharp cuts in policy rates</w:t>
      </w:r>
      <w:r w:rsidR="00FC7106" w:rsidRPr="001362E2">
        <w:rPr>
          <w:rFonts w:ascii="Times New Roman" w:eastAsiaTheme="minorEastAsia" w:hAnsi="Times New Roman" w:cs="Times New Roman"/>
          <w:color w:val="000000" w:themeColor="text1"/>
        </w:rPr>
        <w:t xml:space="preserve"> </w:t>
      </w:r>
      <w:r w:rsidR="00FC10E6">
        <w:rPr>
          <w:rFonts w:ascii="Times New Roman" w:eastAsiaTheme="minorEastAsia" w:hAnsi="Times New Roman" w:cs="Times New Roman"/>
          <w:color w:val="000000" w:themeColor="text1"/>
        </w:rPr>
        <w:t xml:space="preserve">do </w:t>
      </w:r>
      <w:r w:rsidR="00806270">
        <w:rPr>
          <w:rFonts w:ascii="Times New Roman" w:eastAsiaTheme="minorEastAsia" w:hAnsi="Times New Roman" w:cs="Times New Roman"/>
          <w:color w:val="000000" w:themeColor="text1"/>
        </w:rPr>
        <w:t xml:space="preserve">indeed </w:t>
      </w:r>
      <w:r w:rsidR="00806270" w:rsidRPr="001362E2">
        <w:rPr>
          <w:rFonts w:ascii="Times New Roman" w:eastAsiaTheme="minorEastAsia" w:hAnsi="Times New Roman" w:cs="Times New Roman"/>
          <w:color w:val="000000" w:themeColor="text1"/>
        </w:rPr>
        <w:t>stimulate</w:t>
      </w:r>
      <w:r w:rsidR="003030C6" w:rsidRPr="001362E2">
        <w:rPr>
          <w:rFonts w:ascii="Times New Roman" w:eastAsiaTheme="minorEastAsia" w:hAnsi="Times New Roman" w:cs="Times New Roman"/>
          <w:color w:val="000000" w:themeColor="text1"/>
        </w:rPr>
        <w:t xml:space="preserve"> mortgage lending more compared to minor reductions.</w:t>
      </w:r>
      <w:r w:rsidR="000B5E12" w:rsidRPr="001362E2">
        <w:rPr>
          <w:rFonts w:ascii="Times New Roman" w:eastAsiaTheme="minorEastAsia" w:hAnsi="Times New Roman" w:cs="Times New Roman"/>
          <w:color w:val="000000" w:themeColor="text1"/>
        </w:rPr>
        <w:t xml:space="preserve"> Policy makers can take advantage of this impact heterogeneity across regimes to maximise on the differential outcomes of an intervention policy in the real economy.</w:t>
      </w:r>
    </w:p>
    <w:p w14:paraId="0B8EA785" w14:textId="46279400" w:rsidR="00D774E9" w:rsidRPr="00A06123" w:rsidRDefault="000B5E12" w:rsidP="00A06123">
      <w:pPr>
        <w:spacing w:after="240" w:line="480" w:lineRule="auto"/>
        <w:ind w:firstLine="720"/>
        <w:jc w:val="both"/>
        <w:rPr>
          <w:rFonts w:ascii="Times New Roman" w:hAnsi="Times New Roman" w:cs="Times New Roman"/>
        </w:rPr>
      </w:pPr>
      <w:r w:rsidRPr="001362E2">
        <w:rPr>
          <w:rFonts w:ascii="Times New Roman" w:eastAsiaTheme="minorEastAsia" w:hAnsi="Times New Roman" w:cs="Times New Roman"/>
          <w:color w:val="000000" w:themeColor="text1"/>
        </w:rPr>
        <w:t xml:space="preserve">Our </w:t>
      </w:r>
      <w:r w:rsidR="00907923" w:rsidRPr="001362E2">
        <w:rPr>
          <w:rFonts w:ascii="Times New Roman" w:eastAsiaTheme="minorEastAsia" w:hAnsi="Times New Roman" w:cs="Times New Roman"/>
          <w:color w:val="000000" w:themeColor="text1"/>
        </w:rPr>
        <w:t>findings</w:t>
      </w:r>
      <w:r w:rsidRPr="001362E2">
        <w:rPr>
          <w:rFonts w:ascii="Times New Roman" w:eastAsiaTheme="minorEastAsia" w:hAnsi="Times New Roman" w:cs="Times New Roman"/>
          <w:color w:val="000000" w:themeColor="text1"/>
        </w:rPr>
        <w:t xml:space="preserve"> </w:t>
      </w:r>
      <w:r w:rsidR="00AD6DD3" w:rsidRPr="001362E2">
        <w:rPr>
          <w:rFonts w:ascii="Times New Roman" w:eastAsiaTheme="minorEastAsia" w:hAnsi="Times New Roman" w:cs="Times New Roman"/>
          <w:color w:val="000000" w:themeColor="text1"/>
        </w:rPr>
        <w:t>further</w:t>
      </w:r>
      <w:r w:rsidR="00AD6DD3">
        <w:rPr>
          <w:rFonts w:ascii="Times New Roman" w:eastAsiaTheme="minorEastAsia" w:hAnsi="Times New Roman" w:cs="Times New Roman"/>
          <w:color w:val="000000" w:themeColor="text1"/>
        </w:rPr>
        <w:t xml:space="preserve"> </w:t>
      </w:r>
      <w:r w:rsidR="00AD6DD3" w:rsidRPr="00390249">
        <w:rPr>
          <w:rFonts w:ascii="Times New Roman" w:eastAsiaTheme="minorEastAsia" w:hAnsi="Times New Roman" w:cs="Times New Roman"/>
          <w:color w:val="000000" w:themeColor="text1"/>
        </w:rPr>
        <w:t>suggest</w:t>
      </w:r>
      <w:r w:rsidR="00AD6DD3">
        <w:rPr>
          <w:rFonts w:ascii="Times New Roman" w:eastAsiaTheme="minorEastAsia" w:hAnsi="Times New Roman" w:cs="Times New Roman"/>
          <w:color w:val="000000" w:themeColor="text1"/>
        </w:rPr>
        <w:t xml:space="preserve"> </w:t>
      </w:r>
      <w:r w:rsidR="00AD6DD3" w:rsidRPr="001362E2">
        <w:rPr>
          <w:rFonts w:ascii="Times New Roman" w:eastAsiaTheme="minorEastAsia" w:hAnsi="Times New Roman" w:cs="Times New Roman"/>
          <w:color w:val="000000" w:themeColor="text1"/>
        </w:rPr>
        <w:t>policy</w:t>
      </w:r>
      <w:r w:rsidR="005B579D" w:rsidRPr="001362E2">
        <w:rPr>
          <w:rFonts w:ascii="Times New Roman" w:eastAsiaTheme="minorEastAsia" w:hAnsi="Times New Roman" w:cs="Times New Roman"/>
          <w:color w:val="000000" w:themeColor="text1"/>
        </w:rPr>
        <w:t xml:space="preserve"> implication</w:t>
      </w:r>
      <w:r w:rsidRPr="001362E2">
        <w:rPr>
          <w:rFonts w:ascii="Times New Roman" w:eastAsiaTheme="minorEastAsia" w:hAnsi="Times New Roman" w:cs="Times New Roman"/>
          <w:color w:val="000000" w:themeColor="text1"/>
        </w:rPr>
        <w:t>s</w:t>
      </w:r>
      <w:r w:rsidR="00AA618A" w:rsidRPr="001362E2">
        <w:rPr>
          <w:rFonts w:ascii="Times New Roman" w:eastAsiaTheme="minorEastAsia" w:hAnsi="Times New Roman" w:cs="Times New Roman"/>
          <w:color w:val="000000" w:themeColor="text1"/>
        </w:rPr>
        <w:t xml:space="preserve">, especially </w:t>
      </w:r>
      <w:r w:rsidR="00DB2BAF" w:rsidRPr="001362E2">
        <w:rPr>
          <w:rFonts w:ascii="Times New Roman" w:eastAsiaTheme="minorEastAsia" w:hAnsi="Times New Roman" w:cs="Times New Roman"/>
          <w:color w:val="000000" w:themeColor="text1"/>
        </w:rPr>
        <w:t xml:space="preserve">concerning </w:t>
      </w:r>
      <w:r w:rsidR="0050062D" w:rsidRPr="001362E2">
        <w:rPr>
          <w:rFonts w:ascii="Times New Roman" w:eastAsiaTheme="minorEastAsia" w:hAnsi="Times New Roman" w:cs="Times New Roman"/>
          <w:color w:val="000000" w:themeColor="text1"/>
        </w:rPr>
        <w:t xml:space="preserve">whether </w:t>
      </w:r>
      <w:r w:rsidR="00DC1338" w:rsidRPr="001362E2">
        <w:rPr>
          <w:rFonts w:ascii="Times New Roman" w:eastAsiaTheme="minorEastAsia" w:hAnsi="Times New Roman" w:cs="Times New Roman"/>
          <w:color w:val="000000" w:themeColor="text1"/>
        </w:rPr>
        <w:t xml:space="preserve">central banks </w:t>
      </w:r>
      <w:r w:rsidR="00D276BF" w:rsidRPr="001362E2">
        <w:rPr>
          <w:rFonts w:ascii="Times New Roman" w:eastAsiaTheme="minorEastAsia" w:hAnsi="Times New Roman" w:cs="Times New Roman"/>
          <w:color w:val="000000" w:themeColor="text1"/>
        </w:rPr>
        <w:t>sh</w:t>
      </w:r>
      <w:r w:rsidR="00DC1338" w:rsidRPr="001362E2">
        <w:rPr>
          <w:rFonts w:ascii="Times New Roman" w:eastAsiaTheme="minorEastAsia" w:hAnsi="Times New Roman" w:cs="Times New Roman"/>
          <w:color w:val="000000" w:themeColor="text1"/>
        </w:rPr>
        <w:t xml:space="preserve">ould continue with </w:t>
      </w:r>
      <w:r w:rsidR="003C187E" w:rsidRPr="001362E2">
        <w:rPr>
          <w:rFonts w:ascii="Times New Roman" w:eastAsiaTheme="minorEastAsia" w:hAnsi="Times New Roman" w:cs="Times New Roman"/>
          <w:color w:val="000000" w:themeColor="text1"/>
        </w:rPr>
        <w:t xml:space="preserve">an </w:t>
      </w:r>
      <w:r w:rsidR="00DC1338" w:rsidRPr="001362E2">
        <w:rPr>
          <w:rFonts w:ascii="Times New Roman" w:eastAsiaTheme="minorEastAsia" w:hAnsi="Times New Roman" w:cs="Times New Roman"/>
          <w:color w:val="000000" w:themeColor="text1"/>
        </w:rPr>
        <w:t>orthodox</w:t>
      </w:r>
      <w:r w:rsidR="003C187E" w:rsidRPr="001362E2">
        <w:rPr>
          <w:rFonts w:ascii="Times New Roman" w:eastAsiaTheme="minorEastAsia" w:hAnsi="Times New Roman" w:cs="Times New Roman"/>
          <w:color w:val="000000" w:themeColor="text1"/>
        </w:rPr>
        <w:t xml:space="preserve"> policy</w:t>
      </w:r>
      <w:r w:rsidR="00DC1338" w:rsidRPr="001362E2">
        <w:rPr>
          <w:rFonts w:ascii="Times New Roman" w:eastAsiaTheme="minorEastAsia" w:hAnsi="Times New Roman" w:cs="Times New Roman"/>
          <w:color w:val="000000" w:themeColor="text1"/>
        </w:rPr>
        <w:t xml:space="preserve"> or peruse a</w:t>
      </w:r>
      <w:r w:rsidR="00BD0938" w:rsidRPr="001362E2">
        <w:rPr>
          <w:rFonts w:ascii="Times New Roman" w:eastAsiaTheme="minorEastAsia" w:hAnsi="Times New Roman" w:cs="Times New Roman"/>
          <w:color w:val="000000" w:themeColor="text1"/>
        </w:rPr>
        <w:t xml:space="preserve"> more</w:t>
      </w:r>
      <w:r w:rsidR="00DC1338" w:rsidRPr="001362E2">
        <w:rPr>
          <w:rFonts w:ascii="Times New Roman" w:eastAsiaTheme="minorEastAsia" w:hAnsi="Times New Roman" w:cs="Times New Roman"/>
          <w:color w:val="000000" w:themeColor="text1"/>
        </w:rPr>
        <w:t xml:space="preserve"> </w:t>
      </w:r>
      <w:r w:rsidR="007A035D" w:rsidRPr="001362E2">
        <w:rPr>
          <w:rFonts w:ascii="Times New Roman" w:eastAsiaTheme="minorEastAsia" w:hAnsi="Times New Roman" w:cs="Times New Roman"/>
          <w:color w:val="000000" w:themeColor="text1"/>
        </w:rPr>
        <w:t>L</w:t>
      </w:r>
      <w:r w:rsidR="00DC1338" w:rsidRPr="001362E2">
        <w:rPr>
          <w:rFonts w:ascii="Times New Roman" w:eastAsiaTheme="minorEastAsia" w:hAnsi="Times New Roman" w:cs="Times New Roman"/>
          <w:color w:val="000000" w:themeColor="text1"/>
        </w:rPr>
        <w:t xml:space="preserve">eaning </w:t>
      </w:r>
      <w:r w:rsidR="007A035D" w:rsidRPr="001362E2">
        <w:rPr>
          <w:rFonts w:ascii="Times New Roman" w:eastAsiaTheme="minorEastAsia" w:hAnsi="Times New Roman" w:cs="Times New Roman"/>
          <w:color w:val="000000" w:themeColor="text1"/>
        </w:rPr>
        <w:t>A</w:t>
      </w:r>
      <w:r w:rsidR="00DC1338" w:rsidRPr="001362E2">
        <w:rPr>
          <w:rFonts w:ascii="Times New Roman" w:eastAsiaTheme="minorEastAsia" w:hAnsi="Times New Roman" w:cs="Times New Roman"/>
          <w:color w:val="000000" w:themeColor="text1"/>
        </w:rPr>
        <w:t xml:space="preserve">gainst </w:t>
      </w:r>
      <w:r w:rsidR="00464168" w:rsidRPr="001362E2">
        <w:rPr>
          <w:rFonts w:ascii="Times New Roman" w:eastAsiaTheme="minorEastAsia" w:hAnsi="Times New Roman" w:cs="Times New Roman"/>
          <w:color w:val="000000" w:themeColor="text1"/>
        </w:rPr>
        <w:t>the</w:t>
      </w:r>
      <w:r w:rsidR="00DC1338" w:rsidRPr="001362E2">
        <w:rPr>
          <w:rFonts w:ascii="Times New Roman" w:eastAsiaTheme="minorEastAsia" w:hAnsi="Times New Roman" w:cs="Times New Roman"/>
          <w:color w:val="000000" w:themeColor="text1"/>
        </w:rPr>
        <w:t xml:space="preserve"> </w:t>
      </w:r>
      <w:r w:rsidR="007A035D" w:rsidRPr="001362E2">
        <w:rPr>
          <w:rFonts w:ascii="Times New Roman" w:eastAsiaTheme="minorEastAsia" w:hAnsi="Times New Roman" w:cs="Times New Roman"/>
          <w:color w:val="000000" w:themeColor="text1"/>
        </w:rPr>
        <w:t>W</w:t>
      </w:r>
      <w:r w:rsidR="00DC1338" w:rsidRPr="001362E2">
        <w:rPr>
          <w:rFonts w:ascii="Times New Roman" w:eastAsiaTheme="minorEastAsia" w:hAnsi="Times New Roman" w:cs="Times New Roman"/>
          <w:color w:val="000000" w:themeColor="text1"/>
        </w:rPr>
        <w:t>ind (LATW)</w:t>
      </w:r>
      <w:r w:rsidR="003C187E" w:rsidRPr="001362E2">
        <w:rPr>
          <w:rFonts w:ascii="Times New Roman" w:eastAsiaTheme="minorEastAsia" w:hAnsi="Times New Roman" w:cs="Times New Roman"/>
          <w:color w:val="000000" w:themeColor="text1"/>
        </w:rPr>
        <w:t xml:space="preserve"> strategy</w:t>
      </w:r>
      <w:r w:rsidR="00D276BF" w:rsidRPr="001362E2">
        <w:rPr>
          <w:rFonts w:ascii="Times New Roman" w:eastAsiaTheme="minorEastAsia" w:hAnsi="Times New Roman" w:cs="Times New Roman"/>
          <w:color w:val="000000" w:themeColor="text1"/>
        </w:rPr>
        <w:t>.</w:t>
      </w:r>
      <w:r w:rsidR="00F80A30" w:rsidRPr="001362E2">
        <w:rPr>
          <w:rFonts w:ascii="Times New Roman" w:eastAsiaTheme="minorEastAsia" w:hAnsi="Times New Roman" w:cs="Times New Roman"/>
          <w:color w:val="000000" w:themeColor="text1"/>
        </w:rPr>
        <w:t xml:space="preserve"> </w:t>
      </w:r>
      <w:r w:rsidR="008804CF" w:rsidRPr="001362E2">
        <w:rPr>
          <w:rFonts w:ascii="Times New Roman" w:eastAsiaTheme="minorEastAsia" w:hAnsi="Times New Roman" w:cs="Times New Roman"/>
          <w:color w:val="000000" w:themeColor="text1"/>
        </w:rPr>
        <w:t>While</w:t>
      </w:r>
      <w:r w:rsidR="00DC1338" w:rsidRPr="001362E2">
        <w:rPr>
          <w:rFonts w:ascii="Times New Roman" w:eastAsiaTheme="minorEastAsia" w:hAnsi="Times New Roman" w:cs="Times New Roman"/>
          <w:color w:val="000000" w:themeColor="text1"/>
        </w:rPr>
        <w:t xml:space="preserve"> </w:t>
      </w:r>
      <w:r w:rsidR="00F80A30" w:rsidRPr="001362E2">
        <w:rPr>
          <w:rFonts w:ascii="Times New Roman" w:eastAsiaTheme="minorEastAsia" w:hAnsi="Times New Roman" w:cs="Times New Roman"/>
          <w:color w:val="000000" w:themeColor="text1"/>
        </w:rPr>
        <w:t>studies</w:t>
      </w:r>
      <w:r w:rsidR="00DC1338" w:rsidRPr="001362E2">
        <w:rPr>
          <w:rFonts w:ascii="Times New Roman" w:eastAsiaTheme="minorEastAsia" w:hAnsi="Times New Roman" w:cs="Times New Roman"/>
          <w:color w:val="000000" w:themeColor="text1"/>
        </w:rPr>
        <w:t xml:space="preserve"> by </w:t>
      </w:r>
      <w:r w:rsidR="00DC1338" w:rsidRPr="00390249">
        <w:rPr>
          <w:rFonts w:ascii="Times New Roman" w:eastAsiaTheme="minorEastAsia" w:hAnsi="Times New Roman" w:cs="Times New Roman"/>
          <w:color w:val="000000" w:themeColor="text1"/>
        </w:rPr>
        <w:t>Dokko</w:t>
      </w:r>
      <w:r w:rsidR="006532C7" w:rsidRPr="00390249">
        <w:rPr>
          <w:rFonts w:ascii="Times New Roman" w:eastAsiaTheme="minorEastAsia" w:hAnsi="Times New Roman" w:cs="Times New Roman"/>
          <w:color w:val="000000" w:themeColor="text1"/>
        </w:rPr>
        <w:t xml:space="preserve"> et al.</w:t>
      </w:r>
      <w:r w:rsidR="00DC1338" w:rsidRPr="00390249">
        <w:rPr>
          <w:rFonts w:ascii="Times New Roman" w:eastAsiaTheme="minorEastAsia" w:hAnsi="Times New Roman" w:cs="Times New Roman"/>
          <w:color w:val="000000" w:themeColor="text1"/>
        </w:rPr>
        <w:t xml:space="preserve"> (2011) and Bean</w:t>
      </w:r>
      <w:r w:rsidR="005A412C">
        <w:rPr>
          <w:rFonts w:ascii="Times New Roman" w:eastAsiaTheme="minorEastAsia" w:hAnsi="Times New Roman" w:cs="Times New Roman"/>
          <w:color w:val="000000" w:themeColor="text1"/>
        </w:rPr>
        <w:t xml:space="preserve"> et al</w:t>
      </w:r>
      <w:r w:rsidR="00F328CA">
        <w:rPr>
          <w:rFonts w:ascii="Times New Roman" w:eastAsiaTheme="minorEastAsia" w:hAnsi="Times New Roman" w:cs="Times New Roman"/>
          <w:color w:val="000000" w:themeColor="text1"/>
        </w:rPr>
        <w:t>.</w:t>
      </w:r>
      <w:r w:rsidR="00FC28FC" w:rsidRPr="001F272C">
        <w:rPr>
          <w:rFonts w:ascii="Times New Roman" w:hAnsi="Times New Roman" w:cs="Times New Roman"/>
        </w:rPr>
        <w:t xml:space="preserve"> </w:t>
      </w:r>
      <w:r w:rsidR="00907923" w:rsidRPr="00390249">
        <w:rPr>
          <w:rFonts w:ascii="Times New Roman" w:eastAsiaTheme="minorEastAsia" w:hAnsi="Times New Roman" w:cs="Times New Roman"/>
          <w:color w:val="000000" w:themeColor="text1"/>
        </w:rPr>
        <w:t>(2010)</w:t>
      </w:r>
      <w:r w:rsidR="00DC1338" w:rsidRPr="001362E2">
        <w:rPr>
          <w:rFonts w:ascii="Times New Roman" w:eastAsiaTheme="minorEastAsia" w:hAnsi="Times New Roman" w:cs="Times New Roman"/>
          <w:color w:val="000000" w:themeColor="text1"/>
        </w:rPr>
        <w:t xml:space="preserve"> </w:t>
      </w:r>
      <w:r w:rsidR="00F80A30" w:rsidRPr="001362E2">
        <w:rPr>
          <w:rFonts w:ascii="Times New Roman" w:eastAsiaTheme="minorEastAsia" w:hAnsi="Times New Roman" w:cs="Times New Roman"/>
          <w:color w:val="000000" w:themeColor="text1"/>
        </w:rPr>
        <w:t xml:space="preserve">using counterfactual simulations </w:t>
      </w:r>
      <w:r w:rsidR="00464B9D">
        <w:rPr>
          <w:rFonts w:ascii="Times New Roman" w:eastAsiaTheme="minorEastAsia" w:hAnsi="Times New Roman" w:cs="Times New Roman"/>
          <w:color w:val="000000" w:themeColor="text1"/>
        </w:rPr>
        <w:t>illustrate</w:t>
      </w:r>
      <w:r w:rsidR="00F80A30" w:rsidRPr="001362E2">
        <w:rPr>
          <w:rFonts w:ascii="Times New Roman" w:eastAsiaTheme="minorEastAsia" w:hAnsi="Times New Roman" w:cs="Times New Roman"/>
          <w:color w:val="000000" w:themeColor="text1"/>
        </w:rPr>
        <w:t xml:space="preserve"> a LATW policy is not </w:t>
      </w:r>
      <w:r w:rsidR="00701251" w:rsidRPr="001362E2">
        <w:rPr>
          <w:rFonts w:ascii="Times New Roman" w:eastAsiaTheme="minorEastAsia" w:hAnsi="Times New Roman" w:cs="Times New Roman"/>
          <w:color w:val="000000" w:themeColor="text1"/>
        </w:rPr>
        <w:t>feasible</w:t>
      </w:r>
      <w:r w:rsidR="003C187E" w:rsidRPr="001362E2">
        <w:rPr>
          <w:rFonts w:ascii="Times New Roman" w:eastAsiaTheme="minorEastAsia" w:hAnsi="Times New Roman" w:cs="Times New Roman"/>
          <w:color w:val="000000" w:themeColor="text1"/>
        </w:rPr>
        <w:t>,</w:t>
      </w:r>
      <w:r w:rsidR="00F80A30" w:rsidRPr="001362E2">
        <w:rPr>
          <w:rFonts w:ascii="Times New Roman" w:eastAsiaTheme="minorEastAsia" w:hAnsi="Times New Roman" w:cs="Times New Roman"/>
          <w:color w:val="000000" w:themeColor="text1"/>
        </w:rPr>
        <w:t xml:space="preserve"> as</w:t>
      </w:r>
      <w:r w:rsidR="00701251" w:rsidRPr="001362E2">
        <w:rPr>
          <w:rFonts w:ascii="Times New Roman" w:eastAsiaTheme="minorEastAsia" w:hAnsi="Times New Roman" w:cs="Times New Roman"/>
          <w:color w:val="000000" w:themeColor="text1"/>
        </w:rPr>
        <w:t xml:space="preserve"> the magnitude of policy rate </w:t>
      </w:r>
      <w:r w:rsidR="00F8310C" w:rsidRPr="001362E2">
        <w:rPr>
          <w:rFonts w:ascii="Times New Roman" w:eastAsiaTheme="minorEastAsia" w:hAnsi="Times New Roman" w:cs="Times New Roman"/>
          <w:color w:val="000000" w:themeColor="text1"/>
        </w:rPr>
        <w:t>increase</w:t>
      </w:r>
      <w:r w:rsidR="00701251" w:rsidRPr="001362E2">
        <w:rPr>
          <w:rFonts w:ascii="Times New Roman" w:eastAsiaTheme="minorEastAsia" w:hAnsi="Times New Roman" w:cs="Times New Roman"/>
          <w:color w:val="000000" w:themeColor="text1"/>
        </w:rPr>
        <w:t xml:space="preserve"> needed to </w:t>
      </w:r>
      <w:r w:rsidR="00F94013" w:rsidRPr="001362E2">
        <w:rPr>
          <w:rFonts w:ascii="Times New Roman" w:eastAsiaTheme="minorEastAsia" w:hAnsi="Times New Roman" w:cs="Times New Roman"/>
          <w:color w:val="000000" w:themeColor="text1"/>
        </w:rPr>
        <w:t>stabilize a housing bubble</w:t>
      </w:r>
      <w:r w:rsidR="00F8310C" w:rsidRPr="001362E2">
        <w:rPr>
          <w:rFonts w:ascii="Times New Roman" w:eastAsiaTheme="minorEastAsia" w:hAnsi="Times New Roman" w:cs="Times New Roman"/>
          <w:color w:val="000000" w:themeColor="text1"/>
        </w:rPr>
        <w:t xml:space="preserve"> may eviscerate the rest of the economy</w:t>
      </w:r>
      <w:r w:rsidR="00F94013" w:rsidRPr="001362E2">
        <w:rPr>
          <w:rFonts w:ascii="Times New Roman" w:eastAsiaTheme="minorEastAsia" w:hAnsi="Times New Roman" w:cs="Times New Roman"/>
          <w:color w:val="000000" w:themeColor="text1"/>
        </w:rPr>
        <w:t>; t</w:t>
      </w:r>
      <w:r w:rsidR="00DE5977" w:rsidRPr="001362E2">
        <w:rPr>
          <w:rFonts w:ascii="Times New Roman" w:eastAsiaTheme="minorEastAsia" w:hAnsi="Times New Roman" w:cs="Times New Roman"/>
          <w:color w:val="000000" w:themeColor="text1"/>
        </w:rPr>
        <w:t>hese</w:t>
      </w:r>
      <w:r w:rsidR="00F94013" w:rsidRPr="001362E2">
        <w:rPr>
          <w:rFonts w:ascii="Times New Roman" w:eastAsiaTheme="minorEastAsia" w:hAnsi="Times New Roman" w:cs="Times New Roman"/>
          <w:color w:val="000000" w:themeColor="text1"/>
        </w:rPr>
        <w:t xml:space="preserve"> studies have been criticised </w:t>
      </w:r>
      <w:r w:rsidR="00954F6B" w:rsidRPr="001362E2">
        <w:rPr>
          <w:rFonts w:ascii="Times New Roman" w:eastAsiaTheme="minorEastAsia" w:hAnsi="Times New Roman" w:cs="Times New Roman"/>
          <w:color w:val="000000" w:themeColor="text1"/>
        </w:rPr>
        <w:t>for their methodology</w:t>
      </w:r>
      <w:r w:rsidR="001E168A">
        <w:rPr>
          <w:rFonts w:ascii="Times New Roman" w:eastAsiaTheme="minorEastAsia" w:hAnsi="Times New Roman" w:cs="Times New Roman"/>
          <w:color w:val="000000" w:themeColor="text1"/>
        </w:rPr>
        <w:t xml:space="preserve"> (see Cobham, 2013)</w:t>
      </w:r>
      <w:r w:rsidR="00954F6B" w:rsidRPr="001362E2">
        <w:rPr>
          <w:rFonts w:ascii="Times New Roman" w:eastAsiaTheme="minorEastAsia" w:hAnsi="Times New Roman" w:cs="Times New Roman"/>
          <w:color w:val="000000" w:themeColor="text1"/>
        </w:rPr>
        <w:t xml:space="preserve">. Furthermore, </w:t>
      </w:r>
      <w:r w:rsidR="00021687" w:rsidRPr="001362E2">
        <w:rPr>
          <w:rFonts w:ascii="Times New Roman" w:eastAsiaTheme="minorEastAsia" w:hAnsi="Times New Roman" w:cs="Times New Roman"/>
          <w:color w:val="000000" w:themeColor="text1"/>
        </w:rPr>
        <w:t xml:space="preserve">proponents of the LATW strategy argue the main </w:t>
      </w:r>
      <w:r w:rsidR="00277491" w:rsidRPr="001362E2">
        <w:rPr>
          <w:rFonts w:ascii="Times New Roman" w:eastAsiaTheme="minorEastAsia" w:hAnsi="Times New Roman" w:cs="Times New Roman"/>
          <w:color w:val="000000" w:themeColor="text1"/>
        </w:rPr>
        <w:t>objective</w:t>
      </w:r>
      <w:r w:rsidR="00021687" w:rsidRPr="001362E2">
        <w:rPr>
          <w:rFonts w:ascii="Times New Roman" w:eastAsiaTheme="minorEastAsia" w:hAnsi="Times New Roman" w:cs="Times New Roman"/>
          <w:color w:val="000000" w:themeColor="text1"/>
        </w:rPr>
        <w:t xml:space="preserve"> </w:t>
      </w:r>
      <w:r w:rsidR="00AD179D" w:rsidRPr="001362E2">
        <w:rPr>
          <w:rFonts w:ascii="Times New Roman" w:eastAsiaTheme="minorEastAsia" w:hAnsi="Times New Roman" w:cs="Times New Roman"/>
          <w:color w:val="000000" w:themeColor="text1"/>
        </w:rPr>
        <w:t>of</w:t>
      </w:r>
      <w:r w:rsidR="00277491" w:rsidRPr="001362E2">
        <w:rPr>
          <w:rFonts w:ascii="Times New Roman" w:eastAsiaTheme="minorEastAsia" w:hAnsi="Times New Roman" w:cs="Times New Roman"/>
          <w:color w:val="000000" w:themeColor="text1"/>
        </w:rPr>
        <w:t xml:space="preserve"> a LATW policy is not to “prick bubbles” but to reduce output and inflation volatility</w:t>
      </w:r>
      <w:r w:rsidR="001E168A">
        <w:rPr>
          <w:rFonts w:ascii="Times New Roman" w:eastAsiaTheme="minorEastAsia" w:hAnsi="Times New Roman" w:cs="Times New Roman"/>
          <w:color w:val="000000" w:themeColor="text1"/>
        </w:rPr>
        <w:t xml:space="preserve"> (</w:t>
      </w:r>
      <w:r w:rsidR="00455CA7">
        <w:rPr>
          <w:rFonts w:ascii="Times New Roman" w:hAnsi="Times New Roman" w:cs="Times New Roman"/>
        </w:rPr>
        <w:t>s</w:t>
      </w:r>
      <w:r w:rsidR="001E168A" w:rsidRPr="001E168A">
        <w:rPr>
          <w:rFonts w:ascii="Times New Roman" w:hAnsi="Times New Roman" w:cs="Times New Roman"/>
        </w:rPr>
        <w:t>ee Wadhwani</w:t>
      </w:r>
      <w:r w:rsidR="001E168A">
        <w:rPr>
          <w:rFonts w:ascii="Times New Roman" w:hAnsi="Times New Roman" w:cs="Times New Roman"/>
        </w:rPr>
        <w:t xml:space="preserve">, </w:t>
      </w:r>
      <w:r w:rsidR="001E168A" w:rsidRPr="001E168A">
        <w:rPr>
          <w:rFonts w:ascii="Times New Roman" w:hAnsi="Times New Roman" w:cs="Times New Roman"/>
        </w:rPr>
        <w:t>2008 and Cecchetti et al. 2002).</w:t>
      </w:r>
      <w:r w:rsidR="00DE5977" w:rsidRPr="001362E2">
        <w:rPr>
          <w:rFonts w:ascii="Times New Roman" w:eastAsiaTheme="minorEastAsia" w:hAnsi="Times New Roman" w:cs="Times New Roman"/>
          <w:color w:val="000000" w:themeColor="text1"/>
        </w:rPr>
        <w:t xml:space="preserve"> </w:t>
      </w:r>
      <w:r w:rsidR="007603A9" w:rsidRPr="001362E2">
        <w:rPr>
          <w:rFonts w:ascii="Times New Roman" w:eastAsiaTheme="minorEastAsia" w:hAnsi="Times New Roman" w:cs="Times New Roman"/>
          <w:color w:val="000000" w:themeColor="text1"/>
        </w:rPr>
        <w:t>Our findings tend to support the need for perusing a LATW policy on two grounds. Firstly,</w:t>
      </w:r>
      <w:r w:rsidR="009223BA" w:rsidRPr="001362E2">
        <w:rPr>
          <w:rFonts w:ascii="Times New Roman" w:eastAsiaTheme="minorEastAsia" w:hAnsi="Times New Roman" w:cs="Times New Roman"/>
          <w:color w:val="000000" w:themeColor="text1"/>
        </w:rPr>
        <w:t xml:space="preserve"> since </w:t>
      </w:r>
      <w:r w:rsidR="00E353A6" w:rsidRPr="001362E2">
        <w:rPr>
          <w:rFonts w:ascii="Times New Roman" w:eastAsiaTheme="minorEastAsia" w:hAnsi="Times New Roman" w:cs="Times New Roman"/>
          <w:color w:val="000000" w:themeColor="text1"/>
        </w:rPr>
        <w:t xml:space="preserve">the magnitude of the </w:t>
      </w:r>
      <w:r w:rsidR="001B0C62" w:rsidRPr="001362E2">
        <w:rPr>
          <w:rFonts w:ascii="Times New Roman" w:eastAsiaTheme="minorEastAsia" w:hAnsi="Times New Roman" w:cs="Times New Roman"/>
          <w:color w:val="000000" w:themeColor="text1"/>
        </w:rPr>
        <w:t>monetary transmission channels including the</w:t>
      </w:r>
      <w:r w:rsidR="009223BA" w:rsidRPr="001362E2">
        <w:rPr>
          <w:rFonts w:ascii="Times New Roman" w:eastAsiaTheme="minorEastAsia" w:hAnsi="Times New Roman" w:cs="Times New Roman"/>
          <w:color w:val="000000" w:themeColor="text1"/>
        </w:rPr>
        <w:t xml:space="preserve"> BLC is</w:t>
      </w:r>
      <w:r w:rsidR="007603A9" w:rsidRPr="001362E2">
        <w:rPr>
          <w:rFonts w:ascii="Times New Roman" w:eastAsiaTheme="minorEastAsia" w:hAnsi="Times New Roman" w:cs="Times New Roman"/>
          <w:color w:val="000000" w:themeColor="text1"/>
        </w:rPr>
        <w:t xml:space="preserve"> relatively </w:t>
      </w:r>
      <w:r w:rsidR="00F01294" w:rsidRPr="001362E2">
        <w:rPr>
          <w:rFonts w:ascii="Times New Roman" w:eastAsiaTheme="minorEastAsia" w:hAnsi="Times New Roman" w:cs="Times New Roman"/>
          <w:color w:val="000000" w:themeColor="text1"/>
        </w:rPr>
        <w:t>weak</w:t>
      </w:r>
      <w:r w:rsidR="007603A9" w:rsidRPr="001362E2">
        <w:rPr>
          <w:rFonts w:ascii="Times New Roman" w:eastAsiaTheme="minorEastAsia" w:hAnsi="Times New Roman" w:cs="Times New Roman"/>
          <w:color w:val="000000" w:themeColor="text1"/>
        </w:rPr>
        <w:t xml:space="preserve"> during the recessionary</w:t>
      </w:r>
      <w:r w:rsidR="003C6601" w:rsidRPr="001362E2">
        <w:rPr>
          <w:rFonts w:ascii="Times New Roman" w:eastAsiaTheme="minorEastAsia" w:hAnsi="Times New Roman" w:cs="Times New Roman"/>
          <w:color w:val="000000" w:themeColor="text1"/>
        </w:rPr>
        <w:t xml:space="preserve"> phase,</w:t>
      </w:r>
      <w:r w:rsidR="00EB39EE" w:rsidRPr="001362E2">
        <w:rPr>
          <w:rFonts w:ascii="Times New Roman" w:eastAsiaTheme="minorEastAsia" w:hAnsi="Times New Roman" w:cs="Times New Roman"/>
          <w:color w:val="000000" w:themeColor="text1"/>
        </w:rPr>
        <w:t xml:space="preserve"> </w:t>
      </w:r>
      <w:r w:rsidR="00E41585">
        <w:rPr>
          <w:rFonts w:ascii="Times New Roman" w:eastAsiaTheme="minorEastAsia" w:hAnsi="Times New Roman" w:cs="Times New Roman"/>
          <w:color w:val="000000" w:themeColor="text1"/>
        </w:rPr>
        <w:t>makes it</w:t>
      </w:r>
      <w:r w:rsidR="003C6601" w:rsidRPr="001362E2">
        <w:rPr>
          <w:rFonts w:ascii="Times New Roman" w:eastAsiaTheme="minorEastAsia" w:hAnsi="Times New Roman" w:cs="Times New Roman"/>
          <w:color w:val="000000" w:themeColor="text1"/>
        </w:rPr>
        <w:t xml:space="preserve"> difficult for </w:t>
      </w:r>
      <w:r w:rsidR="00EB39EE" w:rsidRPr="001362E2">
        <w:rPr>
          <w:rFonts w:ascii="Times New Roman" w:eastAsiaTheme="minorEastAsia" w:hAnsi="Times New Roman" w:cs="Times New Roman"/>
          <w:color w:val="000000" w:themeColor="text1"/>
        </w:rPr>
        <w:t>central bankers</w:t>
      </w:r>
      <w:r w:rsidR="003C6601" w:rsidRPr="001362E2">
        <w:rPr>
          <w:rFonts w:ascii="Times New Roman" w:eastAsiaTheme="minorEastAsia" w:hAnsi="Times New Roman" w:cs="Times New Roman"/>
          <w:color w:val="000000" w:themeColor="text1"/>
        </w:rPr>
        <w:t xml:space="preserve"> to stimulate ec</w:t>
      </w:r>
      <w:r w:rsidR="005A6947" w:rsidRPr="001362E2">
        <w:rPr>
          <w:rFonts w:ascii="Times New Roman" w:eastAsiaTheme="minorEastAsia" w:hAnsi="Times New Roman" w:cs="Times New Roman"/>
          <w:color w:val="000000" w:themeColor="text1"/>
        </w:rPr>
        <w:t>onomic activity</w:t>
      </w:r>
      <w:r w:rsidR="00F936B7">
        <w:rPr>
          <w:rFonts w:ascii="Times New Roman" w:eastAsiaTheme="minorEastAsia" w:hAnsi="Times New Roman" w:cs="Times New Roman"/>
          <w:color w:val="000000" w:themeColor="text1"/>
        </w:rPr>
        <w:t>,</w:t>
      </w:r>
      <w:r w:rsidR="005A6947" w:rsidRPr="001362E2">
        <w:rPr>
          <w:rFonts w:ascii="Times New Roman" w:eastAsiaTheme="minorEastAsia" w:hAnsi="Times New Roman" w:cs="Times New Roman"/>
          <w:color w:val="000000" w:themeColor="text1"/>
        </w:rPr>
        <w:t xml:space="preserve"> </w:t>
      </w:r>
      <w:r w:rsidR="00F01294" w:rsidRPr="001362E2">
        <w:rPr>
          <w:rFonts w:ascii="Times New Roman" w:eastAsiaTheme="minorEastAsia" w:hAnsi="Times New Roman" w:cs="Times New Roman"/>
          <w:color w:val="000000" w:themeColor="text1"/>
        </w:rPr>
        <w:t xml:space="preserve">hence the logical conjecture will be to peruse a LATW </w:t>
      </w:r>
      <w:r w:rsidR="007A035D" w:rsidRPr="001362E2">
        <w:rPr>
          <w:rFonts w:ascii="Times New Roman" w:eastAsiaTheme="minorEastAsia" w:hAnsi="Times New Roman" w:cs="Times New Roman"/>
          <w:color w:val="000000" w:themeColor="text1"/>
        </w:rPr>
        <w:t>tilt,</w:t>
      </w:r>
      <w:r w:rsidR="0026208F">
        <w:rPr>
          <w:rFonts w:ascii="Times New Roman" w:eastAsiaTheme="minorEastAsia" w:hAnsi="Times New Roman" w:cs="Times New Roman"/>
          <w:color w:val="000000" w:themeColor="text1"/>
        </w:rPr>
        <w:t xml:space="preserve"> </w:t>
      </w:r>
      <w:r w:rsidR="007A035D" w:rsidRPr="001362E2">
        <w:rPr>
          <w:rFonts w:ascii="Times New Roman" w:eastAsiaTheme="minorEastAsia" w:hAnsi="Times New Roman" w:cs="Times New Roman"/>
          <w:color w:val="000000" w:themeColor="text1"/>
        </w:rPr>
        <w:t>reduc</w:t>
      </w:r>
      <w:r w:rsidR="00E41585">
        <w:rPr>
          <w:rFonts w:ascii="Times New Roman" w:eastAsiaTheme="minorEastAsia" w:hAnsi="Times New Roman" w:cs="Times New Roman"/>
          <w:color w:val="000000" w:themeColor="text1"/>
        </w:rPr>
        <w:t>ing</w:t>
      </w:r>
      <w:r w:rsidR="001B0C62" w:rsidRPr="001362E2">
        <w:rPr>
          <w:rFonts w:ascii="Times New Roman" w:eastAsiaTheme="minorEastAsia" w:hAnsi="Times New Roman" w:cs="Times New Roman"/>
          <w:color w:val="000000" w:themeColor="text1"/>
        </w:rPr>
        <w:t xml:space="preserve"> the probability of</w:t>
      </w:r>
      <w:r w:rsidR="005A6947" w:rsidRPr="001362E2">
        <w:rPr>
          <w:rFonts w:ascii="Times New Roman" w:eastAsiaTheme="minorEastAsia" w:hAnsi="Times New Roman" w:cs="Times New Roman"/>
          <w:color w:val="000000" w:themeColor="text1"/>
        </w:rPr>
        <w:t xml:space="preserve"> such scenarios in the</w:t>
      </w:r>
      <w:r w:rsidR="0013296E" w:rsidRPr="001362E2">
        <w:rPr>
          <w:rFonts w:ascii="Times New Roman" w:eastAsiaTheme="minorEastAsia" w:hAnsi="Times New Roman" w:cs="Times New Roman"/>
          <w:color w:val="000000" w:themeColor="text1"/>
        </w:rPr>
        <w:t xml:space="preserve"> very</w:t>
      </w:r>
      <w:r w:rsidR="005A6947" w:rsidRPr="001362E2">
        <w:rPr>
          <w:rFonts w:ascii="Times New Roman" w:eastAsiaTheme="minorEastAsia" w:hAnsi="Times New Roman" w:cs="Times New Roman"/>
          <w:color w:val="000000" w:themeColor="text1"/>
        </w:rPr>
        <w:t xml:space="preserve"> first place. Secondly, w</w:t>
      </w:r>
      <w:r w:rsidR="00B032BC" w:rsidRPr="001362E2">
        <w:rPr>
          <w:rFonts w:ascii="Times New Roman" w:eastAsiaTheme="minorEastAsia" w:hAnsi="Times New Roman" w:cs="Times New Roman"/>
          <w:color w:val="000000" w:themeColor="text1"/>
        </w:rPr>
        <w:t xml:space="preserve">e </w:t>
      </w:r>
      <w:r w:rsidR="005A6947" w:rsidRPr="001362E2">
        <w:rPr>
          <w:rFonts w:ascii="Times New Roman" w:eastAsiaTheme="minorEastAsia" w:hAnsi="Times New Roman" w:cs="Times New Roman"/>
          <w:color w:val="000000" w:themeColor="text1"/>
        </w:rPr>
        <w:t>find</w:t>
      </w:r>
      <w:r w:rsidR="00090BC1" w:rsidRPr="001362E2">
        <w:rPr>
          <w:rFonts w:ascii="Times New Roman" w:eastAsiaTheme="minorEastAsia" w:hAnsi="Times New Roman" w:cs="Times New Roman"/>
          <w:color w:val="000000" w:themeColor="text1"/>
        </w:rPr>
        <w:t xml:space="preserve"> </w:t>
      </w:r>
      <w:r w:rsidR="0013296E" w:rsidRPr="001362E2">
        <w:rPr>
          <w:rFonts w:ascii="Times New Roman" w:eastAsiaTheme="minorEastAsia" w:hAnsi="Times New Roman" w:cs="Times New Roman"/>
          <w:color w:val="000000" w:themeColor="text1"/>
        </w:rPr>
        <w:t xml:space="preserve">aggressive expansionary </w:t>
      </w:r>
      <w:r w:rsidR="008549C4">
        <w:rPr>
          <w:rFonts w:ascii="Times New Roman" w:eastAsiaTheme="minorEastAsia" w:hAnsi="Times New Roman" w:cs="Times New Roman"/>
          <w:color w:val="000000" w:themeColor="text1"/>
        </w:rPr>
        <w:t xml:space="preserve">monetary </w:t>
      </w:r>
      <w:r w:rsidR="0013296E" w:rsidRPr="001362E2">
        <w:rPr>
          <w:rFonts w:ascii="Times New Roman" w:eastAsiaTheme="minorEastAsia" w:hAnsi="Times New Roman" w:cs="Times New Roman"/>
          <w:color w:val="000000" w:themeColor="text1"/>
        </w:rPr>
        <w:t xml:space="preserve">policy </w:t>
      </w:r>
      <w:r w:rsidR="0064282B" w:rsidRPr="001362E2">
        <w:rPr>
          <w:rFonts w:ascii="Times New Roman" w:eastAsiaTheme="minorEastAsia" w:hAnsi="Times New Roman" w:cs="Times New Roman"/>
          <w:color w:val="000000" w:themeColor="text1"/>
        </w:rPr>
        <w:t xml:space="preserve">do indeed stimulate </w:t>
      </w:r>
      <w:r w:rsidR="00B032BC" w:rsidRPr="001362E2">
        <w:rPr>
          <w:rFonts w:ascii="Times New Roman" w:eastAsiaTheme="minorEastAsia" w:hAnsi="Times New Roman" w:cs="Times New Roman"/>
          <w:color w:val="000000" w:themeColor="text1"/>
        </w:rPr>
        <w:t xml:space="preserve">mortgage lending by depository institutions during </w:t>
      </w:r>
      <w:r w:rsidR="00B032BC" w:rsidRPr="001362E2">
        <w:rPr>
          <w:rFonts w:ascii="Times New Roman" w:eastAsiaTheme="minorEastAsia" w:hAnsi="Times New Roman" w:cs="Times New Roman"/>
          <w:color w:val="000000" w:themeColor="text1"/>
        </w:rPr>
        <w:lastRenderedPageBreak/>
        <w:t>recessi</w:t>
      </w:r>
      <w:r w:rsidR="008549C4">
        <w:rPr>
          <w:rFonts w:ascii="Times New Roman" w:eastAsiaTheme="minorEastAsia" w:hAnsi="Times New Roman" w:cs="Times New Roman"/>
          <w:color w:val="000000" w:themeColor="text1"/>
        </w:rPr>
        <w:t>ons</w:t>
      </w:r>
      <w:r w:rsidR="0026208F">
        <w:rPr>
          <w:rFonts w:ascii="Times New Roman" w:eastAsiaTheme="minorEastAsia" w:hAnsi="Times New Roman" w:cs="Times New Roman"/>
          <w:color w:val="000000" w:themeColor="text1"/>
        </w:rPr>
        <w:t>,</w:t>
      </w:r>
      <w:r w:rsidR="00B032BC" w:rsidRPr="001362E2">
        <w:rPr>
          <w:rFonts w:ascii="Times New Roman" w:eastAsiaTheme="minorEastAsia" w:hAnsi="Times New Roman" w:cs="Times New Roman"/>
          <w:color w:val="000000" w:themeColor="text1"/>
        </w:rPr>
        <w:t xml:space="preserve"> which we </w:t>
      </w:r>
      <w:r w:rsidR="002A45DF" w:rsidRPr="00390249">
        <w:rPr>
          <w:rFonts w:ascii="Times New Roman" w:eastAsiaTheme="minorEastAsia" w:hAnsi="Times New Roman" w:cs="Times New Roman"/>
          <w:color w:val="000000" w:themeColor="text1"/>
        </w:rPr>
        <w:t>recommend</w:t>
      </w:r>
      <w:r w:rsidR="00B032BC" w:rsidRPr="001362E2">
        <w:rPr>
          <w:rFonts w:ascii="Times New Roman" w:eastAsiaTheme="minorEastAsia" w:hAnsi="Times New Roman" w:cs="Times New Roman"/>
          <w:color w:val="000000" w:themeColor="text1"/>
        </w:rPr>
        <w:t xml:space="preserve"> should be</w:t>
      </w:r>
      <w:r w:rsidR="005153C4" w:rsidRPr="001362E2">
        <w:rPr>
          <w:rFonts w:ascii="Times New Roman" w:eastAsiaTheme="minorEastAsia" w:hAnsi="Times New Roman" w:cs="Times New Roman"/>
          <w:color w:val="000000" w:themeColor="text1"/>
        </w:rPr>
        <w:t xml:space="preserve"> the</w:t>
      </w:r>
      <w:r w:rsidR="00B032BC" w:rsidRPr="001362E2">
        <w:rPr>
          <w:rFonts w:ascii="Times New Roman" w:eastAsiaTheme="minorEastAsia" w:hAnsi="Times New Roman" w:cs="Times New Roman"/>
          <w:color w:val="000000" w:themeColor="text1"/>
        </w:rPr>
        <w:t xml:space="preserve"> ideal</w:t>
      </w:r>
      <w:r w:rsidR="005A6947" w:rsidRPr="001362E2">
        <w:rPr>
          <w:rFonts w:ascii="Times New Roman" w:eastAsiaTheme="minorEastAsia" w:hAnsi="Times New Roman" w:cs="Times New Roman"/>
          <w:color w:val="000000" w:themeColor="text1"/>
        </w:rPr>
        <w:t xml:space="preserve"> </w:t>
      </w:r>
      <w:r w:rsidR="00B032BC" w:rsidRPr="001362E2">
        <w:rPr>
          <w:rFonts w:ascii="Times New Roman" w:eastAsiaTheme="minorEastAsia" w:hAnsi="Times New Roman" w:cs="Times New Roman"/>
          <w:color w:val="000000" w:themeColor="text1"/>
        </w:rPr>
        <w:t xml:space="preserve">strategy </w:t>
      </w:r>
      <w:r w:rsidR="002F4975" w:rsidRPr="001362E2">
        <w:rPr>
          <w:rFonts w:ascii="Times New Roman" w:eastAsiaTheme="minorEastAsia" w:hAnsi="Times New Roman" w:cs="Times New Roman"/>
          <w:color w:val="000000" w:themeColor="text1"/>
        </w:rPr>
        <w:t>during recession</w:t>
      </w:r>
      <w:r w:rsidR="005153C4" w:rsidRPr="001362E2">
        <w:rPr>
          <w:rFonts w:ascii="Times New Roman" w:eastAsiaTheme="minorEastAsia" w:hAnsi="Times New Roman" w:cs="Times New Roman"/>
          <w:color w:val="000000" w:themeColor="text1"/>
        </w:rPr>
        <w:t xml:space="preserve">. However, </w:t>
      </w:r>
      <w:r w:rsidR="00774414" w:rsidRPr="001362E2">
        <w:rPr>
          <w:rFonts w:ascii="Times New Roman" w:eastAsiaTheme="minorEastAsia" w:hAnsi="Times New Roman" w:cs="Times New Roman"/>
          <w:color w:val="000000" w:themeColor="text1"/>
        </w:rPr>
        <w:t xml:space="preserve">the existing </w:t>
      </w:r>
      <w:r w:rsidR="005153C4" w:rsidRPr="001362E2">
        <w:rPr>
          <w:rFonts w:ascii="Times New Roman" w:eastAsiaTheme="minorEastAsia" w:hAnsi="Times New Roman" w:cs="Times New Roman"/>
          <w:color w:val="000000" w:themeColor="text1"/>
        </w:rPr>
        <w:t>low level of</w:t>
      </w:r>
      <w:r w:rsidR="00774414" w:rsidRPr="001362E2">
        <w:rPr>
          <w:rFonts w:ascii="Times New Roman" w:eastAsiaTheme="minorEastAsia" w:hAnsi="Times New Roman" w:cs="Times New Roman"/>
          <w:color w:val="000000" w:themeColor="text1"/>
        </w:rPr>
        <w:t xml:space="preserve"> policy rate</w:t>
      </w:r>
      <w:r w:rsidR="005153C4" w:rsidRPr="001362E2">
        <w:rPr>
          <w:rFonts w:ascii="Times New Roman" w:eastAsiaTheme="minorEastAsia" w:hAnsi="Times New Roman" w:cs="Times New Roman"/>
          <w:color w:val="000000" w:themeColor="text1"/>
        </w:rPr>
        <w:t xml:space="preserve"> </w:t>
      </w:r>
      <w:r w:rsidR="00774414" w:rsidRPr="001362E2">
        <w:rPr>
          <w:rFonts w:ascii="Times New Roman" w:eastAsiaTheme="minorEastAsia" w:hAnsi="Times New Roman" w:cs="Times New Roman"/>
          <w:color w:val="000000" w:themeColor="text1"/>
        </w:rPr>
        <w:t xml:space="preserve">curtails the leverage </w:t>
      </w:r>
      <w:r w:rsidR="00E83142" w:rsidRPr="001362E2">
        <w:rPr>
          <w:rFonts w:ascii="Times New Roman" w:eastAsiaTheme="minorEastAsia" w:hAnsi="Times New Roman" w:cs="Times New Roman"/>
          <w:color w:val="000000" w:themeColor="text1"/>
        </w:rPr>
        <w:t>for</w:t>
      </w:r>
      <w:r w:rsidR="00774414" w:rsidRPr="001362E2">
        <w:rPr>
          <w:rFonts w:ascii="Times New Roman" w:eastAsiaTheme="minorEastAsia" w:hAnsi="Times New Roman" w:cs="Times New Roman"/>
          <w:color w:val="000000" w:themeColor="text1"/>
        </w:rPr>
        <w:t xml:space="preserve"> the </w:t>
      </w:r>
      <w:r w:rsidR="007A035D" w:rsidRPr="001362E2">
        <w:rPr>
          <w:rFonts w:ascii="Times New Roman" w:eastAsiaTheme="minorEastAsia" w:hAnsi="Times New Roman" w:cs="Times New Roman"/>
          <w:color w:val="000000" w:themeColor="text1"/>
        </w:rPr>
        <w:t>Bank</w:t>
      </w:r>
      <w:r w:rsidR="00774414" w:rsidRPr="001362E2">
        <w:rPr>
          <w:rFonts w:ascii="Times New Roman" w:eastAsiaTheme="minorEastAsia" w:hAnsi="Times New Roman" w:cs="Times New Roman"/>
          <w:color w:val="000000" w:themeColor="text1"/>
        </w:rPr>
        <w:t xml:space="preserve"> </w:t>
      </w:r>
      <w:r w:rsidR="00E83142" w:rsidRPr="001362E2">
        <w:rPr>
          <w:rFonts w:ascii="Times New Roman" w:eastAsiaTheme="minorEastAsia" w:hAnsi="Times New Roman" w:cs="Times New Roman"/>
          <w:color w:val="000000" w:themeColor="text1"/>
        </w:rPr>
        <w:t>to undertake</w:t>
      </w:r>
      <w:r w:rsidR="00774414" w:rsidRPr="001362E2">
        <w:rPr>
          <w:rFonts w:ascii="Times New Roman" w:eastAsiaTheme="minorEastAsia" w:hAnsi="Times New Roman" w:cs="Times New Roman"/>
          <w:color w:val="000000" w:themeColor="text1"/>
        </w:rPr>
        <w:t xml:space="preserve"> such policy. In addition</w:t>
      </w:r>
      <w:r w:rsidR="00E353A6" w:rsidRPr="001362E2">
        <w:rPr>
          <w:rFonts w:ascii="Times New Roman" w:eastAsiaTheme="minorEastAsia" w:hAnsi="Times New Roman" w:cs="Times New Roman"/>
          <w:color w:val="000000" w:themeColor="text1"/>
        </w:rPr>
        <w:t>,</w:t>
      </w:r>
      <w:r w:rsidR="00E83142" w:rsidRPr="001362E2">
        <w:rPr>
          <w:rFonts w:ascii="Times New Roman" w:eastAsiaTheme="minorEastAsia" w:hAnsi="Times New Roman" w:cs="Times New Roman"/>
          <w:color w:val="000000" w:themeColor="text1"/>
        </w:rPr>
        <w:t xml:space="preserve"> studies have shown that if the policy rate is kept too low for too long it may </w:t>
      </w:r>
      <w:r w:rsidR="00E353A6" w:rsidRPr="001362E2">
        <w:rPr>
          <w:rFonts w:ascii="Times New Roman" w:eastAsiaTheme="minorEastAsia" w:hAnsi="Times New Roman" w:cs="Times New Roman"/>
          <w:color w:val="000000" w:themeColor="text1"/>
        </w:rPr>
        <w:t>exacerbate</w:t>
      </w:r>
      <w:r w:rsidR="00E83142" w:rsidRPr="001362E2">
        <w:rPr>
          <w:rFonts w:ascii="Times New Roman" w:eastAsiaTheme="minorEastAsia" w:hAnsi="Times New Roman" w:cs="Times New Roman"/>
          <w:color w:val="000000" w:themeColor="text1"/>
        </w:rPr>
        <w:t xml:space="preserve"> risk taking</w:t>
      </w:r>
      <w:r w:rsidR="00E353A6" w:rsidRPr="001362E2">
        <w:rPr>
          <w:rFonts w:ascii="Times New Roman" w:eastAsiaTheme="minorEastAsia" w:hAnsi="Times New Roman" w:cs="Times New Roman"/>
          <w:color w:val="000000" w:themeColor="text1"/>
        </w:rPr>
        <w:t xml:space="preserve"> </w:t>
      </w:r>
      <w:r w:rsidR="00AB3049">
        <w:rPr>
          <w:rFonts w:ascii="Times New Roman" w:eastAsiaTheme="minorEastAsia" w:hAnsi="Times New Roman" w:cs="Times New Roman"/>
          <w:color w:val="000000" w:themeColor="text1"/>
        </w:rPr>
        <w:t>behaviour</w:t>
      </w:r>
      <w:r w:rsidR="00E353A6" w:rsidRPr="001362E2">
        <w:rPr>
          <w:rFonts w:ascii="Times New Roman" w:eastAsiaTheme="minorEastAsia" w:hAnsi="Times New Roman" w:cs="Times New Roman"/>
          <w:color w:val="000000" w:themeColor="text1"/>
        </w:rPr>
        <w:t xml:space="preserve"> among banks</w:t>
      </w:r>
      <w:r w:rsidR="009E719D">
        <w:rPr>
          <w:rFonts w:ascii="Times New Roman" w:eastAsiaTheme="minorEastAsia" w:hAnsi="Times New Roman" w:cs="Times New Roman"/>
          <w:color w:val="000000" w:themeColor="text1"/>
        </w:rPr>
        <w:t>,</w:t>
      </w:r>
      <w:r w:rsidR="00E353A6" w:rsidRPr="001362E2">
        <w:rPr>
          <w:rFonts w:ascii="Times New Roman" w:eastAsiaTheme="minorEastAsia" w:hAnsi="Times New Roman" w:cs="Times New Roman"/>
          <w:color w:val="000000" w:themeColor="text1"/>
        </w:rPr>
        <w:t xml:space="preserve"> hence </w:t>
      </w:r>
      <w:r w:rsidR="00AB3049">
        <w:rPr>
          <w:rFonts w:ascii="Times New Roman" w:eastAsiaTheme="minorEastAsia" w:hAnsi="Times New Roman" w:cs="Times New Roman"/>
          <w:color w:val="000000" w:themeColor="text1"/>
        </w:rPr>
        <w:t>jeopardizing</w:t>
      </w:r>
      <w:r w:rsidR="006E155B" w:rsidRPr="001362E2">
        <w:rPr>
          <w:rFonts w:ascii="Times New Roman" w:eastAsiaTheme="minorEastAsia" w:hAnsi="Times New Roman" w:cs="Times New Roman"/>
          <w:color w:val="000000" w:themeColor="text1"/>
        </w:rPr>
        <w:t xml:space="preserve"> future</w:t>
      </w:r>
      <w:r w:rsidR="00E353A6" w:rsidRPr="001362E2">
        <w:rPr>
          <w:rFonts w:ascii="Times New Roman" w:eastAsiaTheme="minorEastAsia" w:hAnsi="Times New Roman" w:cs="Times New Roman"/>
          <w:color w:val="000000" w:themeColor="text1"/>
        </w:rPr>
        <w:t xml:space="preserve"> financial stability.</w:t>
      </w:r>
      <w:r w:rsidR="006E155B" w:rsidRPr="001362E2">
        <w:rPr>
          <w:rFonts w:ascii="Times New Roman" w:eastAsiaTheme="minorEastAsia" w:hAnsi="Times New Roman" w:cs="Times New Roman"/>
          <w:color w:val="000000" w:themeColor="text1"/>
        </w:rPr>
        <w:t xml:space="preserve"> </w:t>
      </w:r>
      <w:r w:rsidR="00111D56" w:rsidRPr="001362E2">
        <w:rPr>
          <w:rFonts w:ascii="Times New Roman" w:eastAsiaTheme="minorEastAsia" w:hAnsi="Times New Roman" w:cs="Times New Roman"/>
          <w:color w:val="000000" w:themeColor="text1"/>
        </w:rPr>
        <w:t>Therefore,</w:t>
      </w:r>
      <w:r w:rsidR="006E155B" w:rsidRPr="001362E2">
        <w:rPr>
          <w:rFonts w:ascii="Times New Roman" w:eastAsiaTheme="minorEastAsia" w:hAnsi="Times New Roman" w:cs="Times New Roman"/>
          <w:color w:val="000000" w:themeColor="text1"/>
        </w:rPr>
        <w:t xml:space="preserve"> an optimal </w:t>
      </w:r>
      <w:r w:rsidR="00C87FDA" w:rsidRPr="001362E2">
        <w:rPr>
          <w:rFonts w:ascii="Times New Roman" w:eastAsiaTheme="minorEastAsia" w:hAnsi="Times New Roman" w:cs="Times New Roman"/>
          <w:color w:val="000000" w:themeColor="text1"/>
        </w:rPr>
        <w:t>strategy</w:t>
      </w:r>
      <w:r w:rsidR="006E155B" w:rsidRPr="001362E2">
        <w:rPr>
          <w:rFonts w:ascii="Times New Roman" w:eastAsiaTheme="minorEastAsia" w:hAnsi="Times New Roman" w:cs="Times New Roman"/>
          <w:color w:val="000000" w:themeColor="text1"/>
        </w:rPr>
        <w:t xml:space="preserve"> will be a LATW tilt</w:t>
      </w:r>
      <w:r w:rsidR="009352DA">
        <w:rPr>
          <w:rFonts w:ascii="Times New Roman" w:eastAsiaTheme="minorEastAsia" w:hAnsi="Times New Roman" w:cs="Times New Roman"/>
          <w:color w:val="000000" w:themeColor="text1"/>
        </w:rPr>
        <w:t xml:space="preserve"> with </w:t>
      </w:r>
      <w:r w:rsidR="00C87FDA">
        <w:rPr>
          <w:rFonts w:ascii="Times New Roman" w:eastAsiaTheme="minorEastAsia" w:hAnsi="Times New Roman" w:cs="Times New Roman"/>
          <w:color w:val="000000" w:themeColor="text1"/>
        </w:rPr>
        <w:t xml:space="preserve">a </w:t>
      </w:r>
      <w:r w:rsidR="009352DA">
        <w:rPr>
          <w:rFonts w:ascii="Times New Roman" w:eastAsiaTheme="minorEastAsia" w:hAnsi="Times New Roman" w:cs="Times New Roman"/>
          <w:color w:val="000000" w:themeColor="text1"/>
        </w:rPr>
        <w:t>str</w:t>
      </w:r>
      <w:r w:rsidR="00C87FDA">
        <w:rPr>
          <w:rFonts w:ascii="Times New Roman" w:eastAsiaTheme="minorEastAsia" w:hAnsi="Times New Roman" w:cs="Times New Roman"/>
          <w:color w:val="000000" w:themeColor="text1"/>
        </w:rPr>
        <w:t>ingent</w:t>
      </w:r>
      <w:r w:rsidR="009352DA">
        <w:rPr>
          <w:rFonts w:ascii="Times New Roman" w:eastAsiaTheme="minorEastAsia" w:hAnsi="Times New Roman" w:cs="Times New Roman"/>
          <w:color w:val="000000" w:themeColor="text1"/>
        </w:rPr>
        <w:t xml:space="preserve"> macro</w:t>
      </w:r>
      <w:r w:rsidR="00C87FDA">
        <w:rPr>
          <w:rFonts w:ascii="Times New Roman" w:eastAsiaTheme="minorEastAsia" w:hAnsi="Times New Roman" w:cs="Times New Roman"/>
          <w:color w:val="000000" w:themeColor="text1"/>
        </w:rPr>
        <w:t xml:space="preserve"> prudential policy.</w:t>
      </w:r>
    </w:p>
    <w:p w14:paraId="40F5605B" w14:textId="77777777" w:rsidR="00D774E9" w:rsidRPr="007D3806" w:rsidRDefault="002B3FA6" w:rsidP="00A7108C">
      <w:pPr>
        <w:jc w:val="center"/>
        <w:rPr>
          <w:rFonts w:ascii="Times New Roman" w:hAnsi="Times New Roman" w:cs="Times New Roman"/>
          <w:sz w:val="28"/>
          <w:szCs w:val="28"/>
        </w:rPr>
      </w:pPr>
      <w:r w:rsidRPr="007D3806">
        <w:rPr>
          <w:rFonts w:ascii="Times New Roman" w:hAnsi="Times New Roman" w:cs="Times New Roman"/>
          <w:b/>
          <w:bCs/>
          <w:sz w:val="28"/>
          <w:szCs w:val="28"/>
        </w:rPr>
        <w:t>Acknowledgement</w:t>
      </w:r>
      <w:r w:rsidR="001056AA" w:rsidRPr="007D3806">
        <w:rPr>
          <w:rFonts w:ascii="Times New Roman" w:hAnsi="Times New Roman" w:cs="Times New Roman"/>
          <w:b/>
          <w:bCs/>
          <w:sz w:val="28"/>
          <w:szCs w:val="28"/>
        </w:rPr>
        <w:t>s</w:t>
      </w:r>
    </w:p>
    <w:p w14:paraId="70C7CBE6" w14:textId="74C187B1" w:rsidR="00C92940" w:rsidRPr="007D3806" w:rsidRDefault="001056AA" w:rsidP="007D3806">
      <w:pPr>
        <w:spacing w:line="360" w:lineRule="auto"/>
        <w:jc w:val="both"/>
        <w:rPr>
          <w:rFonts w:ascii="Times New Roman" w:hAnsi="Times New Roman" w:cs="Times New Roman"/>
          <w:i/>
          <w:iCs/>
        </w:rPr>
      </w:pPr>
      <w:r w:rsidRPr="007D3806">
        <w:rPr>
          <w:rFonts w:ascii="Times New Roman" w:hAnsi="Times New Roman" w:cs="Times New Roman"/>
          <w:i/>
          <w:iCs/>
        </w:rPr>
        <w:t xml:space="preserve">We are </w:t>
      </w:r>
      <w:r w:rsidR="007D3806" w:rsidRPr="007D3806">
        <w:rPr>
          <w:rFonts w:ascii="Times New Roman" w:hAnsi="Times New Roman" w:cs="Times New Roman"/>
          <w:i/>
          <w:iCs/>
        </w:rPr>
        <w:t xml:space="preserve">immensely thankful to two anonymous referees for helpful comments, which provided the backbone for a thoughtful and reliable quantitative narrative of our paper. We remain very grateful to an associate editor and the </w:t>
      </w:r>
      <w:r w:rsidR="001A0B8B" w:rsidRPr="007D3806">
        <w:rPr>
          <w:rFonts w:ascii="Times New Roman" w:hAnsi="Times New Roman" w:cs="Times New Roman"/>
          <w:i/>
          <w:iCs/>
        </w:rPr>
        <w:t xml:space="preserve"> editor</w:t>
      </w:r>
      <w:r w:rsidR="007D3806" w:rsidRPr="007D3806">
        <w:rPr>
          <w:rFonts w:ascii="Times New Roman" w:hAnsi="Times New Roman" w:cs="Times New Roman"/>
          <w:i/>
          <w:iCs/>
        </w:rPr>
        <w:t>-in-chief</w:t>
      </w:r>
      <w:r w:rsidR="001A0B8B" w:rsidRPr="007D3806">
        <w:rPr>
          <w:rFonts w:ascii="Times New Roman" w:hAnsi="Times New Roman" w:cs="Times New Roman"/>
          <w:i/>
          <w:iCs/>
        </w:rPr>
        <w:t>, Professor Keith Pilbeam</w:t>
      </w:r>
      <w:r w:rsidR="007D3806" w:rsidRPr="007D3806">
        <w:rPr>
          <w:rFonts w:ascii="Times New Roman" w:hAnsi="Times New Roman" w:cs="Times New Roman"/>
          <w:i/>
          <w:iCs/>
        </w:rPr>
        <w:t xml:space="preserve"> for excellent editorial handling of the paper</w:t>
      </w:r>
      <w:r w:rsidR="001A0B8B" w:rsidRPr="007D3806">
        <w:rPr>
          <w:rFonts w:ascii="Times New Roman" w:hAnsi="Times New Roman" w:cs="Times New Roman"/>
          <w:i/>
          <w:iCs/>
        </w:rPr>
        <w:t>.</w:t>
      </w:r>
      <w:r w:rsidR="007D3806" w:rsidRPr="007D3806">
        <w:rPr>
          <w:rFonts w:ascii="Times New Roman" w:hAnsi="Times New Roman" w:cs="Times New Roman"/>
          <w:i/>
          <w:iCs/>
        </w:rPr>
        <w:t xml:space="preserve"> We are solely responsible for any errors and omissions.</w:t>
      </w:r>
    </w:p>
    <w:p w14:paraId="3F7F781A" w14:textId="182F5F61" w:rsidR="007D3806" w:rsidRDefault="007D3806" w:rsidP="001A0B8B">
      <w:pPr>
        <w:jc w:val="both"/>
        <w:rPr>
          <w:rFonts w:ascii="Times New Roman" w:hAnsi="Times New Roman" w:cs="Times New Roman"/>
        </w:rPr>
      </w:pPr>
    </w:p>
    <w:p w14:paraId="6C6ACF39" w14:textId="77777777" w:rsidR="007D3806" w:rsidRPr="001A0B8B" w:rsidRDefault="007D3806" w:rsidP="001A0B8B">
      <w:pPr>
        <w:jc w:val="both"/>
        <w:rPr>
          <w:rFonts w:ascii="Times New Roman" w:hAnsi="Times New Roman" w:cs="Times New Roman"/>
        </w:rPr>
      </w:pPr>
    </w:p>
    <w:p w14:paraId="2A0B52B3" w14:textId="701F0320" w:rsidR="007841DB" w:rsidRPr="00910C11" w:rsidRDefault="004E5F20" w:rsidP="00B46778">
      <w:pPr>
        <w:jc w:val="center"/>
        <w:rPr>
          <w:rFonts w:ascii="Times New Roman" w:hAnsi="Times New Roman" w:cs="Times New Roman"/>
          <w:b/>
          <w:bCs/>
        </w:rPr>
      </w:pPr>
      <w:r w:rsidRPr="00910C11">
        <w:rPr>
          <w:rFonts w:ascii="Times New Roman" w:hAnsi="Times New Roman" w:cs="Times New Roman"/>
          <w:b/>
          <w:bCs/>
        </w:rPr>
        <w:t>Data Availability</w:t>
      </w:r>
    </w:p>
    <w:p w14:paraId="466D639D" w14:textId="2797FD02" w:rsidR="002968F7" w:rsidRPr="00910C11" w:rsidRDefault="00B46778" w:rsidP="002968F7">
      <w:pPr>
        <w:rPr>
          <w:rFonts w:ascii="Times New Roman" w:hAnsi="Times New Roman" w:cs="Times New Roman"/>
          <w:b/>
          <w:bCs/>
          <w:color w:val="1C1D1E"/>
          <w:shd w:val="clear" w:color="auto" w:fill="FFFFFF"/>
        </w:rPr>
      </w:pPr>
      <w:r w:rsidRPr="00910C11">
        <w:rPr>
          <w:rFonts w:ascii="Times New Roman" w:hAnsi="Times New Roman" w:cs="Times New Roman"/>
          <w:b/>
          <w:bCs/>
          <w:color w:val="1C1D1E"/>
          <w:shd w:val="clear" w:color="auto" w:fill="FFFFFF"/>
        </w:rPr>
        <w:t>Data derived from public domain resources:</w:t>
      </w:r>
      <w:r w:rsidR="00DC2F32" w:rsidRPr="00910C11">
        <w:rPr>
          <w:rFonts w:ascii="Times New Roman" w:hAnsi="Times New Roman" w:cs="Times New Roman"/>
          <w:b/>
          <w:bCs/>
          <w:color w:val="1C1D1E"/>
          <w:shd w:val="clear" w:color="auto" w:fill="FFFFFF"/>
        </w:rPr>
        <w:t xml:space="preserve"> </w:t>
      </w:r>
      <w:r w:rsidRPr="00910C11">
        <w:rPr>
          <w:rFonts w:ascii="Times New Roman" w:hAnsi="Times New Roman" w:cs="Times New Roman"/>
          <w:b/>
          <w:bCs/>
          <w:color w:val="1C1D1E"/>
          <w:shd w:val="clear" w:color="auto" w:fill="FFFFFF"/>
        </w:rPr>
        <w:t>The data that support the findings of this study are available in</w:t>
      </w:r>
      <w:r w:rsidR="00DC2F32" w:rsidRPr="00910C11">
        <w:rPr>
          <w:rFonts w:ascii="Times New Roman" w:hAnsi="Times New Roman" w:cs="Times New Roman"/>
          <w:b/>
          <w:bCs/>
          <w:color w:val="1C1D1E"/>
          <w:shd w:val="clear" w:color="auto" w:fill="FFFFFF"/>
        </w:rPr>
        <w:t>:</w:t>
      </w:r>
    </w:p>
    <w:p w14:paraId="483A8E3B" w14:textId="2936D3BB" w:rsidR="00103897" w:rsidRPr="00390249" w:rsidRDefault="00C92940" w:rsidP="00390249">
      <w:pPr>
        <w:rPr>
          <w:rFonts w:ascii="Times New Roman" w:hAnsi="Times New Roman" w:cs="Times New Roman"/>
          <w:color w:val="0000FF"/>
          <w:u w:val="single"/>
        </w:rPr>
      </w:pPr>
      <w:r>
        <w:t xml:space="preserve">(i) </w:t>
      </w:r>
      <w:hyperlink r:id="rId10" w:history="1">
        <w:r w:rsidRPr="001173C3">
          <w:rPr>
            <w:rStyle w:val="Hyperlink"/>
            <w:rFonts w:ascii="Times New Roman" w:hAnsi="Times New Roman" w:cs="Times New Roman"/>
          </w:rPr>
          <w:t>https://fred.stlouisfed.org/</w:t>
        </w:r>
      </w:hyperlink>
      <w:r w:rsidR="00DC2F32">
        <w:rPr>
          <w:rStyle w:val="Hyperlink"/>
          <w:rFonts w:ascii="Times New Roman" w:hAnsi="Times New Roman" w:cs="Times New Roman"/>
        </w:rPr>
        <w:t xml:space="preserve">, </w:t>
      </w:r>
      <w:r>
        <w:rPr>
          <w:rStyle w:val="Hyperlink"/>
          <w:rFonts w:ascii="Times New Roman" w:hAnsi="Times New Roman" w:cs="Times New Roman"/>
        </w:rPr>
        <w:t xml:space="preserve">(ii) </w:t>
      </w:r>
      <w:hyperlink r:id="rId11" w:history="1">
        <w:r w:rsidRPr="001173C3">
          <w:rPr>
            <w:rStyle w:val="Hyperlink"/>
            <w:rFonts w:ascii="Calibri" w:hAnsi="Calibri"/>
            <w:sz w:val="22"/>
            <w:szCs w:val="22"/>
            <w:bdr w:val="none" w:sz="0" w:space="0" w:color="auto" w:frame="1"/>
            <w:shd w:val="clear" w:color="auto" w:fill="FFFFFF"/>
          </w:rPr>
          <w:t>www.cml.org.uk</w:t>
        </w:r>
      </w:hyperlink>
      <w:r w:rsidR="00DC2F32">
        <w:rPr>
          <w:rStyle w:val="Hyperlink"/>
          <w:rFonts w:ascii="Calibri" w:hAnsi="Calibri"/>
          <w:sz w:val="22"/>
          <w:szCs w:val="22"/>
          <w:bdr w:val="none" w:sz="0" w:space="0" w:color="auto" w:frame="1"/>
          <w:shd w:val="clear" w:color="auto" w:fill="FFFFFF"/>
        </w:rPr>
        <w:t xml:space="preserve">, </w:t>
      </w:r>
      <w:r>
        <w:rPr>
          <w:rStyle w:val="Hyperlink"/>
          <w:rFonts w:ascii="Calibri" w:hAnsi="Calibri"/>
          <w:sz w:val="22"/>
          <w:szCs w:val="22"/>
          <w:bdr w:val="none" w:sz="0" w:space="0" w:color="auto" w:frame="1"/>
          <w:shd w:val="clear" w:color="auto" w:fill="FFFFFF"/>
        </w:rPr>
        <w:t xml:space="preserve">(iii) </w:t>
      </w:r>
      <w:hyperlink r:id="rId12" w:history="1">
        <w:r w:rsidR="00103897" w:rsidRPr="0030702E">
          <w:rPr>
            <w:rStyle w:val="Hyperlink"/>
            <w:rFonts w:ascii="Times New Roman" w:hAnsi="Times New Roman" w:cs="Times New Roman"/>
          </w:rPr>
          <w:t>https://sites.google.com/view/jingcynthiawu/shadow-rates</w:t>
        </w:r>
      </w:hyperlink>
    </w:p>
    <w:p w14:paraId="3D62E9FD" w14:textId="29E5CF1A" w:rsidR="005A2439" w:rsidRDefault="002968F7" w:rsidP="005A2439">
      <w:pPr>
        <w:jc w:val="both"/>
        <w:rPr>
          <w:rFonts w:ascii="Times New Roman" w:hAnsi="Times New Roman" w:cs="Times New Roman"/>
        </w:rPr>
      </w:pPr>
      <w:r w:rsidRPr="003C3194">
        <w:rPr>
          <w:rFonts w:ascii="Times New Roman" w:hAnsi="Times New Roman" w:cs="Times New Roman"/>
        </w:rPr>
        <w:t xml:space="preserve">All macro-economic data which includes </w:t>
      </w:r>
      <w:r>
        <w:rPr>
          <w:rFonts w:ascii="Times New Roman" w:hAnsi="Times New Roman" w:cs="Times New Roman"/>
        </w:rPr>
        <w:t>United Kingdome’s 3-month t-bill rate, real gdp, inflation, libor rate and mortgage rate have been collected from Federal Reserve Bank of St. Louis (</w:t>
      </w:r>
      <w:hyperlink r:id="rId13" w:history="1">
        <w:r w:rsidRPr="00856B77">
          <w:rPr>
            <w:rStyle w:val="Hyperlink"/>
            <w:rFonts w:ascii="Times New Roman" w:hAnsi="Times New Roman" w:cs="Times New Roman"/>
          </w:rPr>
          <w:t>https://fred.stlouisfed.org/</w:t>
        </w:r>
      </w:hyperlink>
      <w:r>
        <w:rPr>
          <w:rFonts w:ascii="Times New Roman" w:hAnsi="Times New Roman" w:cs="Times New Roman"/>
        </w:rPr>
        <w:t>).</w:t>
      </w:r>
      <w:r w:rsidR="00C92940">
        <w:rPr>
          <w:rFonts w:ascii="Times New Roman" w:hAnsi="Times New Roman" w:cs="Times New Roman"/>
        </w:rPr>
        <w:t xml:space="preserve"> </w:t>
      </w:r>
      <w:r>
        <w:rPr>
          <w:rFonts w:ascii="Times New Roman" w:hAnsi="Times New Roman" w:cs="Times New Roman"/>
        </w:rPr>
        <w:t>Mortgage lending data for both depository institutions and non-depository institutions have been collected from B</w:t>
      </w:r>
      <w:r w:rsidR="00E41585">
        <w:rPr>
          <w:rFonts w:ascii="Times New Roman" w:hAnsi="Times New Roman" w:cs="Times New Roman"/>
        </w:rPr>
        <w:t>oE’s</w:t>
      </w:r>
      <w:r>
        <w:rPr>
          <w:rFonts w:ascii="Times New Roman" w:hAnsi="Times New Roman" w:cs="Times New Roman"/>
        </w:rPr>
        <w:t xml:space="preserve"> </w:t>
      </w:r>
      <w:r w:rsidR="00E41585">
        <w:rPr>
          <w:rFonts w:ascii="Times New Roman" w:hAnsi="Times New Roman" w:cs="Times New Roman"/>
        </w:rPr>
        <w:t>w</w:t>
      </w:r>
      <w:r>
        <w:rPr>
          <w:rFonts w:ascii="Times New Roman" w:hAnsi="Times New Roman" w:cs="Times New Roman"/>
        </w:rPr>
        <w:t xml:space="preserve">ebsite (MM8 data set) and is also available from Council of Mortgage Lenders ( </w:t>
      </w:r>
      <w:hyperlink r:id="rId14" w:tgtFrame="_blank" w:history="1">
        <w:r>
          <w:rPr>
            <w:rStyle w:val="Hyperlink"/>
            <w:rFonts w:ascii="Calibri" w:hAnsi="Calibri"/>
            <w:sz w:val="22"/>
            <w:szCs w:val="22"/>
            <w:bdr w:val="none" w:sz="0" w:space="0" w:color="auto" w:frame="1"/>
            <w:shd w:val="clear" w:color="auto" w:fill="FFFFFF"/>
          </w:rPr>
          <w:t>www.cml.org.uk</w:t>
        </w:r>
      </w:hyperlink>
      <w:r>
        <w:t xml:space="preserve">) </w:t>
      </w:r>
      <w:r>
        <w:rPr>
          <w:rFonts w:ascii="Times New Roman" w:hAnsi="Times New Roman" w:cs="Times New Roman"/>
        </w:rPr>
        <w:t>on request.</w:t>
      </w:r>
      <w:r w:rsidR="00C92940">
        <w:rPr>
          <w:rFonts w:ascii="Times New Roman" w:hAnsi="Times New Roman" w:cs="Times New Roman"/>
        </w:rPr>
        <w:t xml:space="preserve"> </w:t>
      </w:r>
      <w:r>
        <w:rPr>
          <w:rFonts w:ascii="Times New Roman" w:hAnsi="Times New Roman" w:cs="Times New Roman"/>
        </w:rPr>
        <w:t>United Kingdom’s shadow policy rate data has been obtained from Jing Cynthia Wu’s personal webpage (</w:t>
      </w:r>
      <w:hyperlink r:id="rId15" w:history="1">
        <w:r w:rsidR="00E41585" w:rsidRPr="00C0067B">
          <w:rPr>
            <w:rStyle w:val="Hyperlink"/>
            <w:rFonts w:ascii="Times New Roman" w:hAnsi="Times New Roman" w:cs="Times New Roman"/>
          </w:rPr>
          <w:t>https://sites.google.com/view/jingcynthiawu/shadow-rates</w:t>
        </w:r>
      </w:hyperlink>
      <w:r>
        <w:rPr>
          <w:rFonts w:ascii="Times New Roman" w:hAnsi="Times New Roman" w:cs="Times New Roman"/>
        </w:rPr>
        <w:t>).</w:t>
      </w:r>
      <w:r w:rsidR="005A2439">
        <w:rPr>
          <w:rFonts w:ascii="Times New Roman" w:hAnsi="Times New Roman" w:cs="Times New Roman"/>
        </w:rPr>
        <w:t xml:space="preserve"> </w:t>
      </w:r>
    </w:p>
    <w:p w14:paraId="25E2034C" w14:textId="6AA54011" w:rsidR="005A2439" w:rsidRDefault="005A2439" w:rsidP="005A2439">
      <w:pPr>
        <w:jc w:val="both"/>
        <w:rPr>
          <w:rFonts w:ascii="Times New Roman" w:hAnsi="Times New Roman" w:cs="Times New Roman"/>
        </w:rPr>
      </w:pPr>
    </w:p>
    <w:p w14:paraId="5E161772" w14:textId="3B43B138" w:rsidR="003D26D8" w:rsidRPr="00607C76" w:rsidRDefault="005A2439" w:rsidP="00CA7169">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T</w:t>
      </w:r>
      <w:r w:rsidR="003D26D8">
        <w:rPr>
          <w:rFonts w:ascii="Times New Roman" w:hAnsi="Times New Roman" w:cs="Times New Roman"/>
          <w:b/>
          <w:bCs/>
          <w:color w:val="000000" w:themeColor="text1"/>
        </w:rPr>
        <w:t>able</w:t>
      </w:r>
      <w:r w:rsidR="003D26D8" w:rsidRPr="00607C76">
        <w:rPr>
          <w:rFonts w:ascii="Times New Roman" w:hAnsi="Times New Roman" w:cs="Times New Roman"/>
          <w:b/>
          <w:bCs/>
          <w:color w:val="000000" w:themeColor="text1"/>
        </w:rPr>
        <w:t xml:space="preserve"> 1: Summary of the MSVARs</w:t>
      </w:r>
    </w:p>
    <w:tbl>
      <w:tblPr>
        <w:tblStyle w:val="TableGrid"/>
        <w:tblW w:w="10042" w:type="dxa"/>
        <w:tblInd w:w="-147"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3"/>
        <w:gridCol w:w="2670"/>
        <w:gridCol w:w="3686"/>
      </w:tblGrid>
      <w:tr w:rsidR="003D26D8" w:rsidRPr="00607C76" w14:paraId="589EFCD4" w14:textId="77777777" w:rsidTr="00155D24">
        <w:trPr>
          <w:trHeight w:hRule="exact" w:val="284"/>
        </w:trPr>
        <w:tc>
          <w:tcPr>
            <w:tcW w:w="1843" w:type="dxa"/>
            <w:tcBorders>
              <w:top w:val="single" w:sz="18" w:space="0" w:color="auto"/>
              <w:bottom w:val="single" w:sz="18" w:space="0" w:color="auto"/>
              <w:right w:val="single" w:sz="18" w:space="0" w:color="auto"/>
            </w:tcBorders>
          </w:tcPr>
          <w:p w14:paraId="108E52CC" w14:textId="77777777" w:rsidR="003D26D8" w:rsidRPr="00607C76" w:rsidRDefault="003D26D8" w:rsidP="00B62D3C">
            <w:pPr>
              <w:ind w:left="-533" w:right="-108" w:firstLine="283"/>
              <w:rPr>
                <w:rFonts w:ascii="Times New Roman" w:hAnsi="Times New Roman" w:cs="Times New Roman"/>
                <w:b/>
                <w:bCs/>
                <w:color w:val="000000" w:themeColor="text1"/>
              </w:rPr>
            </w:pPr>
          </w:p>
        </w:tc>
        <w:tc>
          <w:tcPr>
            <w:tcW w:w="1843" w:type="dxa"/>
            <w:tcBorders>
              <w:top w:val="single" w:sz="18" w:space="0" w:color="auto"/>
              <w:left w:val="single" w:sz="18" w:space="0" w:color="auto"/>
              <w:bottom w:val="single" w:sz="18" w:space="0" w:color="auto"/>
            </w:tcBorders>
          </w:tcPr>
          <w:p w14:paraId="3F0B228B" w14:textId="77777777" w:rsidR="003D26D8" w:rsidRPr="00607C76" w:rsidRDefault="003D26D8" w:rsidP="00B62D3C">
            <w:pPr>
              <w:ind w:left="-109"/>
              <w:rPr>
                <w:rFonts w:ascii="Times New Roman" w:hAnsi="Times New Roman" w:cs="Times New Roman"/>
                <w:b/>
                <w:bCs/>
                <w:color w:val="000000" w:themeColor="text1"/>
              </w:rPr>
            </w:pPr>
            <w:r w:rsidRPr="00607C76">
              <w:rPr>
                <w:rFonts w:ascii="Times New Roman" w:hAnsi="Times New Roman" w:cs="Times New Roman"/>
                <w:b/>
                <w:bCs/>
                <w:color w:val="000000" w:themeColor="text1"/>
              </w:rPr>
              <w:t>Objectives</w:t>
            </w:r>
          </w:p>
        </w:tc>
        <w:tc>
          <w:tcPr>
            <w:tcW w:w="2670" w:type="dxa"/>
            <w:tcBorders>
              <w:top w:val="single" w:sz="18" w:space="0" w:color="auto"/>
              <w:bottom w:val="single" w:sz="18" w:space="0" w:color="auto"/>
            </w:tcBorders>
          </w:tcPr>
          <w:p w14:paraId="2938FE72" w14:textId="77777777" w:rsidR="003D26D8" w:rsidRPr="00607C76" w:rsidRDefault="003D26D8" w:rsidP="00B62D3C">
            <w:pPr>
              <w:rPr>
                <w:rFonts w:ascii="Times New Roman" w:hAnsi="Times New Roman" w:cs="Times New Roman"/>
                <w:b/>
                <w:bCs/>
                <w:color w:val="000000" w:themeColor="text1"/>
              </w:rPr>
            </w:pPr>
            <w:r w:rsidRPr="00607C76">
              <w:rPr>
                <w:rFonts w:ascii="Times New Roman" w:hAnsi="Times New Roman" w:cs="Times New Roman"/>
                <w:b/>
                <w:bCs/>
                <w:color w:val="000000" w:themeColor="text1"/>
              </w:rPr>
              <w:t>Shocks</w:t>
            </w:r>
          </w:p>
        </w:tc>
        <w:tc>
          <w:tcPr>
            <w:tcW w:w="3686" w:type="dxa"/>
            <w:tcBorders>
              <w:top w:val="single" w:sz="18" w:space="0" w:color="auto"/>
              <w:bottom w:val="single" w:sz="18" w:space="0" w:color="auto"/>
            </w:tcBorders>
          </w:tcPr>
          <w:p w14:paraId="0A862DFD" w14:textId="77777777" w:rsidR="003D26D8" w:rsidRPr="00607C76" w:rsidRDefault="003D26D8" w:rsidP="00B62D3C">
            <w:pPr>
              <w:rPr>
                <w:rFonts w:ascii="Times New Roman" w:hAnsi="Times New Roman" w:cs="Times New Roman"/>
                <w:b/>
                <w:bCs/>
                <w:color w:val="000000" w:themeColor="text1"/>
              </w:rPr>
            </w:pPr>
            <w:r w:rsidRPr="00607C76">
              <w:rPr>
                <w:rFonts w:ascii="Times New Roman" w:hAnsi="Times New Roman" w:cs="Times New Roman"/>
                <w:b/>
                <w:bCs/>
                <w:color w:val="000000" w:themeColor="text1"/>
              </w:rPr>
              <w:t>Ordering of variable</w:t>
            </w:r>
          </w:p>
        </w:tc>
      </w:tr>
      <w:tr w:rsidR="003D26D8" w:rsidRPr="00607C76" w14:paraId="121B3C9D" w14:textId="77777777" w:rsidTr="00155D24">
        <w:trPr>
          <w:trHeight w:hRule="exact" w:val="567"/>
        </w:trPr>
        <w:tc>
          <w:tcPr>
            <w:tcW w:w="1843" w:type="dxa"/>
            <w:tcBorders>
              <w:top w:val="single" w:sz="18" w:space="0" w:color="auto"/>
              <w:bottom w:val="nil"/>
              <w:right w:val="single" w:sz="18" w:space="0" w:color="auto"/>
            </w:tcBorders>
          </w:tcPr>
          <w:p w14:paraId="66563A83" w14:textId="77777777" w:rsidR="003D26D8" w:rsidRPr="00607C76" w:rsidRDefault="003D26D8" w:rsidP="00D81E14">
            <w:pPr>
              <w:spacing w:before="30" w:after="30"/>
              <w:ind w:left="-102" w:right="-113"/>
              <w:rPr>
                <w:rFonts w:ascii="Times New Roman" w:hAnsi="Times New Roman" w:cs="Times New Roman"/>
                <w:color w:val="000000" w:themeColor="text1"/>
              </w:rPr>
            </w:pPr>
            <w:r>
              <w:rPr>
                <w:rFonts w:ascii="Times New Roman" w:hAnsi="Times New Roman" w:cs="Times New Roman"/>
                <w:color w:val="000000" w:themeColor="text1"/>
              </w:rPr>
              <w:t>First MSVAR</w:t>
            </w:r>
          </w:p>
        </w:tc>
        <w:tc>
          <w:tcPr>
            <w:tcW w:w="1843" w:type="dxa"/>
            <w:tcBorders>
              <w:top w:val="single" w:sz="18" w:space="0" w:color="auto"/>
              <w:left w:val="single" w:sz="18" w:space="0" w:color="auto"/>
              <w:bottom w:val="nil"/>
              <w:right w:val="nil"/>
            </w:tcBorders>
          </w:tcPr>
          <w:p w14:paraId="150FAA34" w14:textId="77777777" w:rsidR="003D26D8" w:rsidRPr="00607C76" w:rsidRDefault="003D26D8" w:rsidP="00D81E14">
            <w:pPr>
              <w:spacing w:before="30" w:after="30"/>
              <w:rPr>
                <w:rFonts w:ascii="Times New Roman" w:hAnsi="Times New Roman" w:cs="Times New Roman"/>
                <w:color w:val="000000" w:themeColor="text1"/>
              </w:rPr>
            </w:pPr>
            <w:r w:rsidRPr="00607C76">
              <w:rPr>
                <w:rFonts w:ascii="Times New Roman" w:hAnsi="Times New Roman" w:cs="Times New Roman"/>
                <w:color w:val="000000" w:themeColor="text1"/>
              </w:rPr>
              <w:t>Overall impact of monetary policy</w:t>
            </w:r>
          </w:p>
        </w:tc>
        <w:tc>
          <w:tcPr>
            <w:tcW w:w="2670" w:type="dxa"/>
            <w:tcBorders>
              <w:top w:val="single" w:sz="18" w:space="0" w:color="auto"/>
              <w:left w:val="nil"/>
              <w:bottom w:val="nil"/>
              <w:right w:val="nil"/>
            </w:tcBorders>
          </w:tcPr>
          <w:p w14:paraId="150154F9" w14:textId="77777777" w:rsidR="003D26D8" w:rsidRPr="00607C76" w:rsidRDefault="003D26D8" w:rsidP="00D81E14">
            <w:pPr>
              <w:spacing w:before="30" w:after="30"/>
              <w:ind w:left="-87"/>
              <w:rPr>
                <w:rFonts w:ascii="Times New Roman" w:hAnsi="Times New Roman" w:cs="Times New Roman"/>
                <w:color w:val="000000" w:themeColor="text1"/>
              </w:rPr>
            </w:pPr>
            <w:r w:rsidRPr="00607C76">
              <w:rPr>
                <w:rFonts w:ascii="Times New Roman" w:hAnsi="Times New Roman" w:cs="Times New Roman"/>
                <w:color w:val="000000" w:themeColor="text1"/>
              </w:rPr>
              <w:t>Expansionary</w:t>
            </w:r>
            <w:r>
              <w:rPr>
                <w:rFonts w:ascii="Times New Roman" w:hAnsi="Times New Roman" w:cs="Times New Roman"/>
                <w:color w:val="000000" w:themeColor="text1"/>
              </w:rPr>
              <w:t xml:space="preserve"> </w:t>
            </w:r>
            <w:r w:rsidRPr="00607C76">
              <w:rPr>
                <w:rFonts w:ascii="Times New Roman" w:hAnsi="Times New Roman" w:cs="Times New Roman"/>
                <w:color w:val="000000" w:themeColor="text1"/>
              </w:rPr>
              <w:t>monetary policy shock</w:t>
            </w:r>
          </w:p>
        </w:tc>
        <w:tc>
          <w:tcPr>
            <w:tcW w:w="3686" w:type="dxa"/>
            <w:tcBorders>
              <w:top w:val="single" w:sz="18" w:space="0" w:color="auto"/>
              <w:left w:val="nil"/>
              <w:bottom w:val="nil"/>
            </w:tcBorders>
          </w:tcPr>
          <w:p w14:paraId="6F25A441" w14:textId="77777777" w:rsidR="003D26D8" w:rsidRPr="00607C76" w:rsidRDefault="003D26D8" w:rsidP="00D81E14">
            <w:pPr>
              <w:spacing w:before="30" w:after="30"/>
              <w:jc w:val="both"/>
              <w:rPr>
                <w:rFonts w:ascii="Times New Roman" w:hAnsi="Times New Roman" w:cs="Times New Roman"/>
                <w:color w:val="000000" w:themeColor="text1"/>
              </w:rPr>
            </w:pPr>
            <w:r>
              <w:rPr>
                <w:rFonts w:ascii="Times New Roman" w:hAnsi="Times New Roman" w:cs="Times New Roman"/>
                <w:iCs/>
                <w:color w:val="000000" w:themeColor="text1"/>
              </w:rPr>
              <w:t>I</w:t>
            </w:r>
            <w:r w:rsidRPr="00607C76">
              <w:rPr>
                <w:rFonts w:ascii="Times New Roman" w:hAnsi="Times New Roman" w:cs="Times New Roman"/>
                <w:iCs/>
                <w:color w:val="000000" w:themeColor="text1"/>
              </w:rPr>
              <w:t>nflation, ∆gdp, ∆UK policy rate, ∆house prices, ∆total mortgage loans</w:t>
            </w:r>
          </w:p>
        </w:tc>
      </w:tr>
      <w:tr w:rsidR="003D26D8" w:rsidRPr="00607C76" w14:paraId="0EE2D3D7" w14:textId="77777777" w:rsidTr="00155D24">
        <w:trPr>
          <w:trHeight w:hRule="exact" w:val="567"/>
        </w:trPr>
        <w:tc>
          <w:tcPr>
            <w:tcW w:w="1843" w:type="dxa"/>
            <w:tcBorders>
              <w:top w:val="nil"/>
              <w:bottom w:val="nil"/>
              <w:right w:val="single" w:sz="18" w:space="0" w:color="auto"/>
            </w:tcBorders>
          </w:tcPr>
          <w:p w14:paraId="39F11533" w14:textId="77777777" w:rsidR="003D26D8" w:rsidRPr="00607C76" w:rsidRDefault="003D26D8" w:rsidP="00D81E14">
            <w:pPr>
              <w:spacing w:before="30" w:after="30"/>
              <w:ind w:left="-102" w:right="-108"/>
              <w:rPr>
                <w:rFonts w:ascii="Times New Roman" w:hAnsi="Times New Roman" w:cs="Times New Roman"/>
                <w:color w:val="000000" w:themeColor="text1"/>
              </w:rPr>
            </w:pPr>
            <w:r>
              <w:rPr>
                <w:rFonts w:ascii="Times New Roman" w:hAnsi="Times New Roman" w:cs="Times New Roman"/>
                <w:color w:val="000000" w:themeColor="text1"/>
              </w:rPr>
              <w:t>Second MSVAR</w:t>
            </w:r>
          </w:p>
        </w:tc>
        <w:tc>
          <w:tcPr>
            <w:tcW w:w="1843" w:type="dxa"/>
            <w:tcBorders>
              <w:top w:val="nil"/>
              <w:left w:val="single" w:sz="18" w:space="0" w:color="auto"/>
              <w:bottom w:val="nil"/>
              <w:right w:val="nil"/>
            </w:tcBorders>
          </w:tcPr>
          <w:p w14:paraId="70C707E9" w14:textId="77777777" w:rsidR="003D26D8" w:rsidRPr="00607C76" w:rsidRDefault="003D26D8" w:rsidP="00D81E14">
            <w:pPr>
              <w:spacing w:before="30" w:after="30"/>
              <w:rPr>
                <w:rFonts w:ascii="Times New Roman" w:hAnsi="Times New Roman" w:cs="Times New Roman"/>
                <w:color w:val="000000" w:themeColor="text1"/>
              </w:rPr>
            </w:pPr>
            <w:r w:rsidRPr="00607C76">
              <w:rPr>
                <w:rFonts w:ascii="Times New Roman" w:hAnsi="Times New Roman" w:cs="Times New Roman"/>
                <w:color w:val="000000" w:themeColor="text1"/>
              </w:rPr>
              <w:t>Credit Channel</w:t>
            </w:r>
          </w:p>
          <w:p w14:paraId="1E87734D" w14:textId="77777777" w:rsidR="003D26D8" w:rsidRPr="00607C76" w:rsidRDefault="003D26D8" w:rsidP="00D81E14">
            <w:pPr>
              <w:spacing w:before="30" w:after="30"/>
              <w:rPr>
                <w:rFonts w:ascii="Times New Roman" w:hAnsi="Times New Roman" w:cs="Times New Roman"/>
                <w:color w:val="000000" w:themeColor="text1"/>
              </w:rPr>
            </w:pPr>
            <w:r w:rsidRPr="00607C76">
              <w:rPr>
                <w:rFonts w:ascii="Times New Roman" w:hAnsi="Times New Roman" w:cs="Times New Roman"/>
                <w:color w:val="000000" w:themeColor="text1"/>
              </w:rPr>
              <w:t>(BLC+BSC)</w:t>
            </w:r>
          </w:p>
        </w:tc>
        <w:tc>
          <w:tcPr>
            <w:tcW w:w="2670" w:type="dxa"/>
            <w:tcBorders>
              <w:top w:val="nil"/>
              <w:left w:val="nil"/>
              <w:bottom w:val="nil"/>
              <w:right w:val="nil"/>
            </w:tcBorders>
          </w:tcPr>
          <w:p w14:paraId="4D5F1BFA" w14:textId="77777777" w:rsidR="003D26D8" w:rsidRPr="00607C76" w:rsidRDefault="003D26D8" w:rsidP="00D81E14">
            <w:pPr>
              <w:spacing w:before="30" w:after="30"/>
              <w:ind w:left="-87"/>
              <w:rPr>
                <w:rFonts w:ascii="Times New Roman" w:hAnsi="Times New Roman" w:cs="Times New Roman"/>
                <w:color w:val="000000" w:themeColor="text1"/>
              </w:rPr>
            </w:pPr>
            <w:r w:rsidRPr="00607C76">
              <w:rPr>
                <w:rFonts w:ascii="Times New Roman" w:hAnsi="Times New Roman" w:cs="Times New Roman"/>
                <w:color w:val="000000" w:themeColor="text1"/>
              </w:rPr>
              <w:t>Expansionary monetary policy shock</w:t>
            </w:r>
          </w:p>
        </w:tc>
        <w:tc>
          <w:tcPr>
            <w:tcW w:w="3686" w:type="dxa"/>
            <w:tcBorders>
              <w:top w:val="nil"/>
              <w:left w:val="nil"/>
              <w:bottom w:val="nil"/>
            </w:tcBorders>
          </w:tcPr>
          <w:p w14:paraId="54C118D7" w14:textId="77777777" w:rsidR="003D26D8" w:rsidRPr="00607C76" w:rsidRDefault="003D26D8" w:rsidP="00D81E14">
            <w:pPr>
              <w:spacing w:before="30" w:after="30"/>
              <w:jc w:val="both"/>
              <w:rPr>
                <w:rFonts w:ascii="Times New Roman" w:hAnsi="Times New Roman" w:cs="Times New Roman"/>
                <w:iCs/>
                <w:color w:val="000000" w:themeColor="text1"/>
              </w:rPr>
            </w:pPr>
            <w:r>
              <w:rPr>
                <w:rFonts w:ascii="Times New Roman" w:hAnsi="Times New Roman" w:cs="Times New Roman"/>
                <w:iCs/>
                <w:color w:val="000000" w:themeColor="text1"/>
              </w:rPr>
              <w:t>I</w:t>
            </w:r>
            <w:r w:rsidRPr="00607C76">
              <w:rPr>
                <w:rFonts w:ascii="Times New Roman" w:hAnsi="Times New Roman" w:cs="Times New Roman"/>
                <w:iCs/>
                <w:color w:val="000000" w:themeColor="text1"/>
              </w:rPr>
              <w:t>nflation, ∆gdp, ∆UK policy rate, ∆house prices, ∆mortgage spread</w:t>
            </w:r>
          </w:p>
        </w:tc>
      </w:tr>
      <w:tr w:rsidR="003D26D8" w:rsidRPr="00607C76" w14:paraId="3AD521B2" w14:textId="77777777" w:rsidTr="00155D24">
        <w:trPr>
          <w:trHeight w:hRule="exact" w:val="567"/>
        </w:trPr>
        <w:tc>
          <w:tcPr>
            <w:tcW w:w="1843" w:type="dxa"/>
            <w:tcBorders>
              <w:top w:val="nil"/>
              <w:bottom w:val="nil"/>
              <w:right w:val="single" w:sz="18" w:space="0" w:color="auto"/>
            </w:tcBorders>
          </w:tcPr>
          <w:p w14:paraId="2EE58984" w14:textId="77777777" w:rsidR="003D26D8" w:rsidRPr="00607C76" w:rsidRDefault="003D26D8" w:rsidP="00D81E14">
            <w:pPr>
              <w:spacing w:before="30" w:after="30"/>
              <w:ind w:left="-102" w:right="-108"/>
              <w:rPr>
                <w:rFonts w:ascii="Times New Roman" w:hAnsi="Times New Roman" w:cs="Times New Roman"/>
                <w:color w:val="000000" w:themeColor="text1"/>
              </w:rPr>
            </w:pPr>
            <w:r>
              <w:rPr>
                <w:rFonts w:ascii="Times New Roman" w:hAnsi="Times New Roman" w:cs="Times New Roman"/>
                <w:color w:val="000000" w:themeColor="text1"/>
              </w:rPr>
              <w:t>Third MSVAR</w:t>
            </w:r>
          </w:p>
        </w:tc>
        <w:tc>
          <w:tcPr>
            <w:tcW w:w="1843" w:type="dxa"/>
            <w:tcBorders>
              <w:top w:val="nil"/>
              <w:left w:val="single" w:sz="18" w:space="0" w:color="auto"/>
              <w:bottom w:val="nil"/>
              <w:right w:val="nil"/>
            </w:tcBorders>
          </w:tcPr>
          <w:p w14:paraId="36D95F73" w14:textId="77777777" w:rsidR="003D26D8" w:rsidRPr="00607C76" w:rsidRDefault="003D26D8" w:rsidP="00D81E14">
            <w:pPr>
              <w:spacing w:before="30" w:after="30"/>
              <w:rPr>
                <w:rFonts w:ascii="Times New Roman" w:hAnsi="Times New Roman" w:cs="Times New Roman"/>
                <w:color w:val="000000" w:themeColor="text1"/>
              </w:rPr>
            </w:pPr>
            <w:r w:rsidRPr="00607C76">
              <w:rPr>
                <w:rFonts w:ascii="Times New Roman" w:hAnsi="Times New Roman" w:cs="Times New Roman"/>
                <w:color w:val="000000" w:themeColor="text1"/>
              </w:rPr>
              <w:t>Bank liquidity</w:t>
            </w:r>
            <w:r>
              <w:rPr>
                <w:rFonts w:ascii="Times New Roman" w:hAnsi="Times New Roman" w:cs="Times New Roman"/>
                <w:color w:val="000000" w:themeColor="text1"/>
              </w:rPr>
              <w:t xml:space="preserve"> </w:t>
            </w:r>
            <w:r w:rsidRPr="00607C76">
              <w:rPr>
                <w:rFonts w:ascii="Times New Roman" w:hAnsi="Times New Roman" w:cs="Times New Roman"/>
                <w:color w:val="000000" w:themeColor="text1"/>
              </w:rPr>
              <w:t>cost</w:t>
            </w:r>
          </w:p>
        </w:tc>
        <w:tc>
          <w:tcPr>
            <w:tcW w:w="2670" w:type="dxa"/>
            <w:tcBorders>
              <w:top w:val="nil"/>
              <w:left w:val="nil"/>
              <w:bottom w:val="nil"/>
              <w:right w:val="nil"/>
            </w:tcBorders>
          </w:tcPr>
          <w:p w14:paraId="4C2F9817" w14:textId="77777777" w:rsidR="003D26D8" w:rsidRPr="00607C76" w:rsidRDefault="003D26D8" w:rsidP="00D81E14">
            <w:pPr>
              <w:spacing w:before="30" w:after="30"/>
              <w:ind w:left="-87"/>
              <w:rPr>
                <w:rFonts w:ascii="Times New Roman" w:hAnsi="Times New Roman" w:cs="Times New Roman"/>
                <w:color w:val="000000" w:themeColor="text1"/>
              </w:rPr>
            </w:pPr>
            <w:r w:rsidRPr="00607C76">
              <w:rPr>
                <w:rFonts w:ascii="Times New Roman" w:hAnsi="Times New Roman" w:cs="Times New Roman"/>
                <w:color w:val="000000" w:themeColor="text1"/>
              </w:rPr>
              <w:t>Expansionary monetary policy shock</w:t>
            </w:r>
          </w:p>
        </w:tc>
        <w:tc>
          <w:tcPr>
            <w:tcW w:w="3686" w:type="dxa"/>
            <w:tcBorders>
              <w:top w:val="nil"/>
              <w:left w:val="nil"/>
              <w:bottom w:val="nil"/>
            </w:tcBorders>
          </w:tcPr>
          <w:p w14:paraId="58EA97F9" w14:textId="77777777" w:rsidR="003D26D8" w:rsidRPr="00607C76" w:rsidRDefault="003D26D8" w:rsidP="00D81E14">
            <w:pPr>
              <w:spacing w:before="30" w:after="30"/>
              <w:jc w:val="both"/>
              <w:rPr>
                <w:rFonts w:ascii="Times New Roman" w:hAnsi="Times New Roman" w:cs="Times New Roman"/>
                <w:iCs/>
                <w:color w:val="000000" w:themeColor="text1"/>
              </w:rPr>
            </w:pPr>
            <w:r>
              <w:rPr>
                <w:rFonts w:ascii="Times New Roman" w:hAnsi="Times New Roman" w:cs="Times New Roman"/>
                <w:iCs/>
                <w:color w:val="000000" w:themeColor="text1"/>
              </w:rPr>
              <w:t>I</w:t>
            </w:r>
            <w:r w:rsidRPr="00607C76">
              <w:rPr>
                <w:rFonts w:ascii="Times New Roman" w:hAnsi="Times New Roman" w:cs="Times New Roman"/>
                <w:iCs/>
                <w:color w:val="000000" w:themeColor="text1"/>
              </w:rPr>
              <w:t>nflation, ∆gdp, ∆UK policy rate, ∆house prices, ∆money market spread</w:t>
            </w:r>
          </w:p>
        </w:tc>
      </w:tr>
      <w:tr w:rsidR="003D26D8" w:rsidRPr="00607C76" w14:paraId="75693118" w14:textId="77777777" w:rsidTr="00155D24">
        <w:trPr>
          <w:trHeight w:hRule="exact" w:val="567"/>
        </w:trPr>
        <w:tc>
          <w:tcPr>
            <w:tcW w:w="1843" w:type="dxa"/>
            <w:tcBorders>
              <w:top w:val="nil"/>
              <w:bottom w:val="nil"/>
              <w:right w:val="single" w:sz="18" w:space="0" w:color="auto"/>
            </w:tcBorders>
          </w:tcPr>
          <w:p w14:paraId="1D7A7545" w14:textId="77777777" w:rsidR="003D26D8" w:rsidRPr="00607C76" w:rsidRDefault="003D26D8" w:rsidP="00D81E14">
            <w:pPr>
              <w:spacing w:before="30" w:after="30"/>
              <w:ind w:left="-102" w:right="-108"/>
              <w:rPr>
                <w:rFonts w:ascii="Times New Roman" w:hAnsi="Times New Roman" w:cs="Times New Roman"/>
                <w:color w:val="000000" w:themeColor="text1"/>
              </w:rPr>
            </w:pPr>
            <w:r>
              <w:rPr>
                <w:rFonts w:ascii="Times New Roman" w:hAnsi="Times New Roman" w:cs="Times New Roman"/>
                <w:color w:val="000000" w:themeColor="text1"/>
              </w:rPr>
              <w:t>Fourth MSVAR</w:t>
            </w:r>
          </w:p>
        </w:tc>
        <w:tc>
          <w:tcPr>
            <w:tcW w:w="1843" w:type="dxa"/>
            <w:tcBorders>
              <w:top w:val="nil"/>
              <w:left w:val="single" w:sz="18" w:space="0" w:color="auto"/>
              <w:bottom w:val="nil"/>
              <w:right w:val="nil"/>
            </w:tcBorders>
          </w:tcPr>
          <w:p w14:paraId="7DF1961B" w14:textId="02766E26" w:rsidR="003D26D8" w:rsidRDefault="003D26D8" w:rsidP="00D81E14">
            <w:pPr>
              <w:spacing w:before="30" w:after="30"/>
              <w:ind w:left="186"/>
              <w:jc w:val="left"/>
              <w:rPr>
                <w:rFonts w:ascii="Times New Roman" w:hAnsi="Times New Roman" w:cs="Times New Roman"/>
                <w:color w:val="000000" w:themeColor="text1"/>
              </w:rPr>
            </w:pPr>
            <w:r>
              <w:rPr>
                <w:rFonts w:ascii="Times New Roman" w:hAnsi="Times New Roman" w:cs="Times New Roman"/>
                <w:color w:val="000000" w:themeColor="text1"/>
              </w:rPr>
              <w:t>BLC</w:t>
            </w:r>
            <w:r w:rsidR="001056AA">
              <w:rPr>
                <w:rFonts w:ascii="Times New Roman" w:hAnsi="Times New Roman" w:cs="Times New Roman"/>
                <w:color w:val="000000" w:themeColor="text1"/>
              </w:rPr>
              <w:t xml:space="preserve"> (Step1)</w:t>
            </w:r>
          </w:p>
          <w:p w14:paraId="381872EF" w14:textId="1727979B" w:rsidR="003D26D8" w:rsidRPr="00607C76" w:rsidRDefault="003D26D8" w:rsidP="00D81E14">
            <w:pPr>
              <w:spacing w:before="30" w:after="30"/>
              <w:rPr>
                <w:rFonts w:ascii="Times New Roman" w:hAnsi="Times New Roman" w:cs="Times New Roman"/>
                <w:color w:val="000000" w:themeColor="text1"/>
              </w:rPr>
            </w:pPr>
          </w:p>
        </w:tc>
        <w:tc>
          <w:tcPr>
            <w:tcW w:w="2670" w:type="dxa"/>
            <w:tcBorders>
              <w:top w:val="nil"/>
              <w:left w:val="nil"/>
              <w:bottom w:val="nil"/>
              <w:right w:val="nil"/>
            </w:tcBorders>
          </w:tcPr>
          <w:p w14:paraId="1CFE0EAC" w14:textId="77777777" w:rsidR="003D26D8" w:rsidRPr="00607C76" w:rsidRDefault="003D26D8" w:rsidP="00D81E14">
            <w:pPr>
              <w:spacing w:before="30" w:after="30"/>
              <w:ind w:left="-87"/>
              <w:rPr>
                <w:rFonts w:ascii="Times New Roman" w:hAnsi="Times New Roman" w:cs="Times New Roman"/>
                <w:color w:val="000000" w:themeColor="text1"/>
              </w:rPr>
            </w:pPr>
            <w:r w:rsidRPr="00607C76">
              <w:rPr>
                <w:rFonts w:ascii="Times New Roman" w:hAnsi="Times New Roman" w:cs="Times New Roman"/>
                <w:color w:val="000000" w:themeColor="text1"/>
              </w:rPr>
              <w:t>Expansionary monetary policy shock</w:t>
            </w:r>
          </w:p>
        </w:tc>
        <w:tc>
          <w:tcPr>
            <w:tcW w:w="3686" w:type="dxa"/>
            <w:tcBorders>
              <w:top w:val="nil"/>
              <w:left w:val="nil"/>
              <w:bottom w:val="nil"/>
            </w:tcBorders>
          </w:tcPr>
          <w:p w14:paraId="598599C6" w14:textId="77777777" w:rsidR="003D26D8" w:rsidRPr="00607C76" w:rsidRDefault="003D26D8" w:rsidP="00D81E14">
            <w:pPr>
              <w:spacing w:before="30" w:after="30"/>
              <w:jc w:val="both"/>
              <w:rPr>
                <w:rFonts w:ascii="Times New Roman" w:hAnsi="Times New Roman" w:cs="Times New Roman"/>
                <w:iCs/>
                <w:color w:val="000000" w:themeColor="text1"/>
              </w:rPr>
            </w:pPr>
            <w:r>
              <w:rPr>
                <w:rFonts w:ascii="Times New Roman" w:hAnsi="Times New Roman" w:cs="Times New Roman"/>
                <w:iCs/>
                <w:color w:val="000000" w:themeColor="text1"/>
              </w:rPr>
              <w:t>I</w:t>
            </w:r>
            <w:r w:rsidRPr="00607C76">
              <w:rPr>
                <w:rFonts w:ascii="Times New Roman" w:hAnsi="Times New Roman" w:cs="Times New Roman"/>
                <w:iCs/>
                <w:color w:val="000000" w:themeColor="text1"/>
              </w:rPr>
              <w:t>nflation, ∆gdp, ∆UK policy rate, ∆house prices, mix</w:t>
            </w:r>
          </w:p>
        </w:tc>
      </w:tr>
      <w:tr w:rsidR="003D26D8" w:rsidRPr="00607C76" w14:paraId="33576383" w14:textId="77777777" w:rsidTr="00155D24">
        <w:trPr>
          <w:trHeight w:hRule="exact" w:val="567"/>
        </w:trPr>
        <w:tc>
          <w:tcPr>
            <w:tcW w:w="1843" w:type="dxa"/>
            <w:tcBorders>
              <w:top w:val="nil"/>
              <w:bottom w:val="single" w:sz="18" w:space="0" w:color="auto"/>
              <w:right w:val="single" w:sz="18" w:space="0" w:color="auto"/>
            </w:tcBorders>
          </w:tcPr>
          <w:p w14:paraId="5F8D62B3" w14:textId="77777777" w:rsidR="003D26D8" w:rsidRPr="00607C76" w:rsidRDefault="003D26D8" w:rsidP="00A7108C">
            <w:pPr>
              <w:spacing w:before="30" w:after="30"/>
              <w:ind w:left="33" w:right="-115"/>
              <w:rPr>
                <w:rFonts w:ascii="Times New Roman" w:hAnsi="Times New Roman" w:cs="Times New Roman"/>
                <w:color w:val="000000" w:themeColor="text1"/>
              </w:rPr>
            </w:pPr>
            <w:r>
              <w:rPr>
                <w:rFonts w:ascii="Times New Roman" w:hAnsi="Times New Roman" w:cs="Times New Roman"/>
                <w:color w:val="000000" w:themeColor="text1"/>
              </w:rPr>
              <w:t>Fifth MSVAR</w:t>
            </w:r>
          </w:p>
        </w:tc>
        <w:tc>
          <w:tcPr>
            <w:tcW w:w="1843" w:type="dxa"/>
            <w:tcBorders>
              <w:top w:val="nil"/>
              <w:left w:val="single" w:sz="18" w:space="0" w:color="auto"/>
              <w:bottom w:val="single" w:sz="18" w:space="0" w:color="auto"/>
              <w:right w:val="nil"/>
            </w:tcBorders>
          </w:tcPr>
          <w:p w14:paraId="615905DF" w14:textId="14713D64" w:rsidR="003D26D8" w:rsidRPr="00607C76" w:rsidRDefault="003D26D8" w:rsidP="00D81E14">
            <w:pPr>
              <w:spacing w:before="30" w:after="30"/>
              <w:ind w:left="186"/>
              <w:jc w:val="left"/>
              <w:rPr>
                <w:rFonts w:ascii="Times New Roman" w:hAnsi="Times New Roman" w:cs="Times New Roman"/>
                <w:color w:val="000000" w:themeColor="text1"/>
              </w:rPr>
            </w:pPr>
            <w:r>
              <w:rPr>
                <w:rFonts w:ascii="Times New Roman" w:hAnsi="Times New Roman" w:cs="Times New Roman"/>
                <w:color w:val="000000" w:themeColor="text1"/>
              </w:rPr>
              <w:t>BLC</w:t>
            </w:r>
            <w:r w:rsidR="001056AA">
              <w:rPr>
                <w:rFonts w:ascii="Times New Roman" w:hAnsi="Times New Roman" w:cs="Times New Roman"/>
                <w:color w:val="000000" w:themeColor="text1"/>
              </w:rPr>
              <w:t xml:space="preserve"> (Step</w:t>
            </w:r>
            <w:r w:rsidR="00D774E9">
              <w:rPr>
                <w:rFonts w:ascii="Times New Roman" w:hAnsi="Times New Roman" w:cs="Times New Roman"/>
                <w:color w:val="000000" w:themeColor="text1"/>
              </w:rPr>
              <w:t xml:space="preserve"> </w:t>
            </w:r>
            <w:r w:rsidR="001056AA">
              <w:rPr>
                <w:rFonts w:ascii="Times New Roman" w:hAnsi="Times New Roman" w:cs="Times New Roman"/>
                <w:color w:val="000000" w:themeColor="text1"/>
              </w:rPr>
              <w:t>2</w:t>
            </w:r>
            <w:r w:rsidR="00D774E9">
              <w:rPr>
                <w:rFonts w:ascii="Times New Roman" w:hAnsi="Times New Roman" w:cs="Times New Roman"/>
                <w:color w:val="000000" w:themeColor="text1"/>
              </w:rPr>
              <w:t>)</w:t>
            </w:r>
          </w:p>
        </w:tc>
        <w:tc>
          <w:tcPr>
            <w:tcW w:w="2670" w:type="dxa"/>
            <w:tcBorders>
              <w:top w:val="nil"/>
              <w:left w:val="nil"/>
              <w:bottom w:val="single" w:sz="18" w:space="0" w:color="auto"/>
              <w:right w:val="nil"/>
            </w:tcBorders>
          </w:tcPr>
          <w:p w14:paraId="3B8A9879" w14:textId="795AB0B2" w:rsidR="00D774E9" w:rsidRDefault="003D26D8" w:rsidP="00D81E14">
            <w:pPr>
              <w:spacing w:before="30" w:after="30"/>
              <w:ind w:left="-87"/>
              <w:rPr>
                <w:rFonts w:ascii="Times New Roman" w:hAnsi="Times New Roman" w:cs="Times New Roman"/>
                <w:color w:val="000000" w:themeColor="text1"/>
              </w:rPr>
            </w:pPr>
            <w:r w:rsidRPr="00607C76">
              <w:rPr>
                <w:rFonts w:ascii="Times New Roman" w:hAnsi="Times New Roman" w:cs="Times New Roman"/>
                <w:color w:val="000000" w:themeColor="text1"/>
              </w:rPr>
              <w:t>Positive Mix shock (Exogenous</w:t>
            </w:r>
            <w:r>
              <w:rPr>
                <w:rFonts w:ascii="Times New Roman" w:hAnsi="Times New Roman" w:cs="Times New Roman"/>
                <w:color w:val="000000" w:themeColor="text1"/>
              </w:rPr>
              <w:t xml:space="preserve"> credit shock) </w:t>
            </w:r>
          </w:p>
          <w:p w14:paraId="2739A184" w14:textId="77777777" w:rsidR="00D774E9" w:rsidRDefault="00D774E9" w:rsidP="00D81E14">
            <w:pPr>
              <w:spacing w:before="30" w:after="30"/>
              <w:ind w:left="-87"/>
              <w:rPr>
                <w:rFonts w:ascii="Times New Roman" w:hAnsi="Times New Roman" w:cs="Times New Roman"/>
                <w:color w:val="000000" w:themeColor="text1"/>
              </w:rPr>
            </w:pPr>
          </w:p>
          <w:p w14:paraId="2F43207E" w14:textId="574CE218" w:rsidR="003D26D8" w:rsidRPr="00607C76" w:rsidRDefault="003D26D8" w:rsidP="00D81E14">
            <w:pPr>
              <w:spacing w:before="30" w:after="30"/>
              <w:ind w:left="-87"/>
              <w:rPr>
                <w:rFonts w:ascii="Times New Roman" w:hAnsi="Times New Roman" w:cs="Times New Roman"/>
                <w:color w:val="000000" w:themeColor="text1"/>
              </w:rPr>
            </w:pPr>
            <w:r>
              <w:rPr>
                <w:rFonts w:ascii="Times New Roman" w:hAnsi="Times New Roman" w:cs="Times New Roman"/>
                <w:color w:val="000000" w:themeColor="text1"/>
              </w:rPr>
              <w:t>sshpshock</w:t>
            </w:r>
            <w:r w:rsidRPr="00607C76">
              <w:rPr>
                <w:rFonts w:ascii="Times New Roman" w:hAnsi="Times New Roman" w:cs="Times New Roman"/>
                <w:color w:val="000000" w:themeColor="text1"/>
              </w:rPr>
              <w:t>)</w:t>
            </w:r>
          </w:p>
        </w:tc>
        <w:tc>
          <w:tcPr>
            <w:tcW w:w="3686" w:type="dxa"/>
            <w:tcBorders>
              <w:top w:val="nil"/>
              <w:left w:val="nil"/>
              <w:bottom w:val="single" w:sz="18" w:space="0" w:color="auto"/>
            </w:tcBorders>
          </w:tcPr>
          <w:p w14:paraId="3D424B81" w14:textId="77777777" w:rsidR="003D26D8" w:rsidRPr="00607C76" w:rsidRDefault="003D26D8" w:rsidP="00D81E14">
            <w:pPr>
              <w:spacing w:before="30" w:after="30"/>
              <w:jc w:val="both"/>
              <w:rPr>
                <w:rFonts w:ascii="Times New Roman" w:hAnsi="Times New Roman" w:cs="Times New Roman"/>
                <w:iCs/>
                <w:color w:val="000000" w:themeColor="text1"/>
              </w:rPr>
            </w:pPr>
            <w:r>
              <w:rPr>
                <w:rFonts w:ascii="Times New Roman" w:hAnsi="Times New Roman" w:cs="Times New Roman"/>
                <w:iCs/>
                <w:color w:val="000000" w:themeColor="text1"/>
              </w:rPr>
              <w:t>I</w:t>
            </w:r>
            <w:r w:rsidRPr="00607C76">
              <w:rPr>
                <w:rFonts w:ascii="Times New Roman" w:hAnsi="Times New Roman" w:cs="Times New Roman"/>
                <w:iCs/>
                <w:color w:val="000000" w:themeColor="text1"/>
              </w:rPr>
              <w:t>nflation, ∆gdp, ∆house prices, mix</w:t>
            </w:r>
          </w:p>
        </w:tc>
      </w:tr>
    </w:tbl>
    <w:p w14:paraId="3A9175A7" w14:textId="6F4CA21D" w:rsidR="003D26D8" w:rsidRPr="00CA7169" w:rsidRDefault="003D26D8" w:rsidP="00D81E14">
      <w:pPr>
        <w:spacing w:before="30" w:after="30"/>
        <w:rPr>
          <w:rFonts w:ascii="Times New Roman" w:hAnsi="Times New Roman" w:cs="Times New Roman"/>
          <w:color w:val="000000" w:themeColor="text1"/>
          <w:sz w:val="20"/>
          <w:szCs w:val="20"/>
        </w:rPr>
      </w:pPr>
      <w:r w:rsidRPr="00CA7169">
        <w:rPr>
          <w:rFonts w:ascii="Times New Roman" w:hAnsi="Times New Roman" w:cs="Times New Roman"/>
          <w:b/>
          <w:bCs/>
          <w:color w:val="000000" w:themeColor="text1"/>
          <w:sz w:val="20"/>
          <w:szCs w:val="20"/>
        </w:rPr>
        <w:t>Note</w:t>
      </w:r>
      <w:r w:rsidRPr="00CA7169">
        <w:rPr>
          <w:rFonts w:ascii="Times New Roman" w:hAnsi="Times New Roman" w:cs="Times New Roman"/>
          <w:color w:val="000000" w:themeColor="text1"/>
          <w:sz w:val="20"/>
          <w:szCs w:val="20"/>
        </w:rPr>
        <w:t>: Ordering of the variables is done following Milcheva (2013) and Musso et al (2011). Alternative ordering is also</w:t>
      </w:r>
      <w:r w:rsidR="00D81E14">
        <w:rPr>
          <w:rFonts w:ascii="Times New Roman" w:hAnsi="Times New Roman" w:cs="Times New Roman"/>
          <w:color w:val="000000" w:themeColor="text1"/>
          <w:sz w:val="20"/>
          <w:szCs w:val="20"/>
        </w:rPr>
        <w:t xml:space="preserve"> </w:t>
      </w:r>
      <w:r w:rsidRPr="00CA7169">
        <w:rPr>
          <w:rFonts w:ascii="Times New Roman" w:hAnsi="Times New Roman" w:cs="Times New Roman"/>
          <w:color w:val="000000" w:themeColor="text1"/>
          <w:sz w:val="20"/>
          <w:szCs w:val="20"/>
        </w:rPr>
        <w:t>used (and we have not observed any substantial change in the IRFs). BLC=Bank lending channel, BSC=Balance sheet channe</w:t>
      </w:r>
      <w:r w:rsidR="0072139D" w:rsidRPr="00CA7169">
        <w:rPr>
          <w:rFonts w:ascii="Times New Roman" w:hAnsi="Times New Roman" w:cs="Times New Roman"/>
          <w:color w:val="000000" w:themeColor="text1"/>
          <w:sz w:val="20"/>
          <w:szCs w:val="20"/>
        </w:rPr>
        <w:t>l.</w:t>
      </w:r>
    </w:p>
    <w:p w14:paraId="3F68648A" w14:textId="77777777" w:rsidR="003D26D8" w:rsidRPr="007751CB" w:rsidRDefault="003D26D8" w:rsidP="00C13BC4">
      <w:pPr>
        <w:pStyle w:val="Caption"/>
        <w:keepNext/>
        <w:spacing w:after="0"/>
        <w:jc w:val="center"/>
        <w:rPr>
          <w:rFonts w:ascii="Times New Roman" w:hAnsi="Times New Roman" w:cs="Times New Roman"/>
          <w:b w:val="0"/>
          <w:bCs w:val="0"/>
          <w:i/>
          <w:iCs/>
          <w:color w:val="000000" w:themeColor="text1"/>
          <w:sz w:val="24"/>
          <w:szCs w:val="24"/>
        </w:rPr>
      </w:pPr>
      <w:r w:rsidRPr="007751CB">
        <w:rPr>
          <w:rFonts w:ascii="Times New Roman" w:hAnsi="Times New Roman" w:cs="Times New Roman"/>
          <w:color w:val="000000" w:themeColor="text1"/>
          <w:sz w:val="24"/>
          <w:szCs w:val="24"/>
        </w:rPr>
        <w:lastRenderedPageBreak/>
        <w:t>Table 2: Hansen stability test</w:t>
      </w:r>
    </w:p>
    <w:tbl>
      <w:tblPr>
        <w:tblStyle w:val="TableGrid"/>
        <w:tblW w:w="9990" w:type="dxa"/>
        <w:tblInd w:w="-72" w:type="dxa"/>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ayout w:type="fixed"/>
        <w:tblLook w:val="04A0" w:firstRow="1" w:lastRow="0" w:firstColumn="1" w:lastColumn="0" w:noHBand="0" w:noVBand="1"/>
      </w:tblPr>
      <w:tblGrid>
        <w:gridCol w:w="1228"/>
        <w:gridCol w:w="1228"/>
        <w:gridCol w:w="1229"/>
        <w:gridCol w:w="1229"/>
        <w:gridCol w:w="1229"/>
        <w:gridCol w:w="1388"/>
        <w:gridCol w:w="1229"/>
        <w:gridCol w:w="1230"/>
      </w:tblGrid>
      <w:tr w:rsidR="003D26D8" w:rsidRPr="00552046" w14:paraId="34DA6A13" w14:textId="77777777" w:rsidTr="00DD3D46">
        <w:trPr>
          <w:trHeight w:val="546"/>
        </w:trPr>
        <w:tc>
          <w:tcPr>
            <w:tcW w:w="1349" w:type="dxa"/>
            <w:tcBorders>
              <w:bottom w:val="single" w:sz="18" w:space="0" w:color="auto"/>
            </w:tcBorders>
          </w:tcPr>
          <w:p w14:paraId="22E5E078" w14:textId="77777777" w:rsidR="003D26D8" w:rsidRPr="00552046" w:rsidRDefault="003D26D8" w:rsidP="0010469A">
            <w:pPr>
              <w:ind w:left="-210"/>
              <w:rPr>
                <w:rFonts w:ascii="Times New Roman" w:hAnsi="Times New Roman" w:cs="Times New Roman"/>
              </w:rPr>
            </w:pPr>
          </w:p>
        </w:tc>
        <w:tc>
          <w:tcPr>
            <w:tcW w:w="1128" w:type="dxa"/>
            <w:tcBorders>
              <w:bottom w:val="single" w:sz="18" w:space="0" w:color="auto"/>
              <w:right w:val="nil"/>
            </w:tcBorders>
          </w:tcPr>
          <w:p w14:paraId="67E1295E" w14:textId="77777777" w:rsidR="003D26D8" w:rsidRPr="00552046" w:rsidRDefault="003D26D8" w:rsidP="00D81E14">
            <w:pPr>
              <w:spacing w:after="0"/>
              <w:rPr>
                <w:rFonts w:ascii="Times New Roman" w:hAnsi="Times New Roman" w:cs="Times New Roman"/>
                <w:i/>
              </w:rPr>
            </w:pPr>
            <m:oMathPara>
              <m:oMath>
                <m:r>
                  <w:rPr>
                    <w:rFonts w:ascii="Cambria Math" w:hAnsi="Cambria Math" w:cs="Times New Roman"/>
                  </w:rPr>
                  <m:t>Δgdp</m:t>
                </m:r>
              </m:oMath>
            </m:oMathPara>
          </w:p>
        </w:tc>
        <w:tc>
          <w:tcPr>
            <w:tcW w:w="1134" w:type="dxa"/>
            <w:tcBorders>
              <w:left w:val="nil"/>
              <w:bottom w:val="single" w:sz="18" w:space="0" w:color="auto"/>
              <w:right w:val="nil"/>
            </w:tcBorders>
          </w:tcPr>
          <w:p w14:paraId="43FCE9D1" w14:textId="77777777" w:rsidR="003D26D8" w:rsidRPr="00552046" w:rsidRDefault="003D26D8" w:rsidP="00D81E14">
            <w:pPr>
              <w:spacing w:after="0"/>
              <w:rPr>
                <w:rFonts w:ascii="Times New Roman" w:hAnsi="Times New Roman" w:cs="Times New Roman"/>
                <w:i/>
              </w:rPr>
            </w:pPr>
            <w:r w:rsidRPr="00552046">
              <w:rPr>
                <w:rFonts w:ascii="Times New Roman" w:hAnsi="Times New Roman" w:cs="Times New Roman"/>
                <w:i/>
              </w:rPr>
              <w:t>Δhouse</w:t>
            </w:r>
          </w:p>
          <w:p w14:paraId="58A2DBA1" w14:textId="77777777" w:rsidR="003D26D8" w:rsidRPr="00552046" w:rsidRDefault="003D26D8" w:rsidP="00D81E14">
            <w:pPr>
              <w:spacing w:after="0"/>
              <w:rPr>
                <w:rFonts w:ascii="Times New Roman" w:hAnsi="Times New Roman" w:cs="Times New Roman"/>
              </w:rPr>
            </w:pPr>
            <w:r w:rsidRPr="00552046">
              <w:rPr>
                <w:rFonts w:ascii="Times New Roman" w:hAnsi="Times New Roman" w:cs="Times New Roman"/>
                <w:i/>
              </w:rPr>
              <w:t>Price</w:t>
            </w:r>
          </w:p>
        </w:tc>
        <w:tc>
          <w:tcPr>
            <w:tcW w:w="1134" w:type="dxa"/>
            <w:tcBorders>
              <w:left w:val="nil"/>
              <w:bottom w:val="single" w:sz="18" w:space="0" w:color="auto"/>
              <w:right w:val="nil"/>
            </w:tcBorders>
          </w:tcPr>
          <w:p w14:paraId="7AD08E1F" w14:textId="77777777" w:rsidR="003D26D8" w:rsidRPr="00552046" w:rsidRDefault="003D26D8" w:rsidP="00D81E14">
            <w:pPr>
              <w:spacing w:after="0"/>
              <w:rPr>
                <w:rFonts w:ascii="Times New Roman" w:hAnsi="Times New Roman" w:cs="Times New Roman"/>
                <w:i/>
              </w:rPr>
            </w:pPr>
            <m:oMathPara>
              <m:oMath>
                <m:r>
                  <w:rPr>
                    <w:rFonts w:ascii="Cambria Math" w:hAnsi="Cambria Math" w:cs="Times New Roman"/>
                  </w:rPr>
                  <m:t>Δtbill</m:t>
                </m:r>
              </m:oMath>
            </m:oMathPara>
          </w:p>
        </w:tc>
        <w:tc>
          <w:tcPr>
            <w:tcW w:w="1134" w:type="dxa"/>
            <w:tcBorders>
              <w:left w:val="nil"/>
              <w:bottom w:val="single" w:sz="18" w:space="0" w:color="auto"/>
              <w:right w:val="nil"/>
            </w:tcBorders>
          </w:tcPr>
          <w:p w14:paraId="2DE924E9" w14:textId="77777777" w:rsidR="003D26D8" w:rsidRPr="00552046" w:rsidRDefault="003D26D8" w:rsidP="00D81E14">
            <w:pPr>
              <w:spacing w:after="0"/>
              <w:rPr>
                <w:rFonts w:ascii="Times New Roman" w:hAnsi="Times New Roman" w:cs="Times New Roman"/>
                <w:i/>
              </w:rPr>
            </w:pPr>
            <m:oMathPara>
              <m:oMath>
                <m:r>
                  <w:rPr>
                    <w:rFonts w:ascii="Cambria Math" w:hAnsi="Cambria Math" w:cs="Times New Roman"/>
                  </w:rPr>
                  <m:t>mix</m:t>
                </m:r>
              </m:oMath>
            </m:oMathPara>
          </w:p>
        </w:tc>
        <w:tc>
          <w:tcPr>
            <w:tcW w:w="1528" w:type="dxa"/>
            <w:tcBorders>
              <w:left w:val="nil"/>
              <w:bottom w:val="single" w:sz="18" w:space="0" w:color="auto"/>
              <w:right w:val="nil"/>
            </w:tcBorders>
          </w:tcPr>
          <w:p w14:paraId="6439DCFA" w14:textId="77777777" w:rsidR="003D26D8" w:rsidRPr="00552046" w:rsidRDefault="003D26D8" w:rsidP="00D81E14">
            <w:pPr>
              <w:spacing w:after="0"/>
              <w:ind w:left="251"/>
              <w:rPr>
                <w:rFonts w:ascii="Times New Roman" w:hAnsi="Times New Roman" w:cs="Times New Roman"/>
                <w:i/>
              </w:rPr>
            </w:pPr>
            <w:r w:rsidRPr="00552046">
              <w:rPr>
                <w:rFonts w:ascii="Times New Roman" w:hAnsi="Times New Roman" w:cs="Times New Roman"/>
                <w:i/>
              </w:rPr>
              <w:t>inf</w:t>
            </w:r>
          </w:p>
        </w:tc>
        <w:tc>
          <w:tcPr>
            <w:tcW w:w="1233" w:type="dxa"/>
            <w:tcBorders>
              <w:left w:val="nil"/>
              <w:bottom w:val="single" w:sz="18" w:space="0" w:color="auto"/>
              <w:right w:val="nil"/>
            </w:tcBorders>
          </w:tcPr>
          <w:p w14:paraId="1ADF56F6" w14:textId="77777777" w:rsidR="003D26D8" w:rsidRPr="00552046" w:rsidRDefault="003D26D8" w:rsidP="00D81E14">
            <w:pPr>
              <w:spacing w:after="0"/>
              <w:rPr>
                <w:rFonts w:ascii="Times New Roman" w:hAnsi="Times New Roman" w:cs="Times New Roman"/>
                <w:i/>
              </w:rPr>
            </w:pPr>
            <w:r w:rsidRPr="00552046">
              <w:rPr>
                <w:rFonts w:ascii="Times New Roman" w:hAnsi="Times New Roman" w:cs="Times New Roman"/>
                <w:i/>
              </w:rPr>
              <w:t>mortgage spread</w:t>
            </w:r>
          </w:p>
        </w:tc>
        <w:tc>
          <w:tcPr>
            <w:tcW w:w="1350" w:type="dxa"/>
            <w:tcBorders>
              <w:left w:val="nil"/>
              <w:bottom w:val="single" w:sz="18" w:space="0" w:color="auto"/>
            </w:tcBorders>
          </w:tcPr>
          <w:p w14:paraId="0517E3AD" w14:textId="77777777" w:rsidR="003D26D8" w:rsidRPr="00552046" w:rsidRDefault="003D26D8" w:rsidP="00D81E14">
            <w:pPr>
              <w:spacing w:after="0"/>
              <w:ind w:left="-115"/>
              <w:rPr>
                <w:rFonts w:ascii="Times New Roman" w:hAnsi="Times New Roman" w:cs="Times New Roman"/>
                <w:i/>
              </w:rPr>
            </w:pPr>
            <w:r w:rsidRPr="00552046">
              <w:rPr>
                <w:rFonts w:ascii="Times New Roman" w:hAnsi="Times New Roman" w:cs="Times New Roman"/>
                <w:i/>
              </w:rPr>
              <w:t>wholesale</w:t>
            </w:r>
          </w:p>
          <w:p w14:paraId="00862231" w14:textId="77777777" w:rsidR="003D26D8" w:rsidRPr="00552046" w:rsidRDefault="003D26D8" w:rsidP="00D81E14">
            <w:pPr>
              <w:spacing w:after="0"/>
              <w:ind w:left="-115"/>
              <w:rPr>
                <w:rFonts w:ascii="Times New Roman" w:hAnsi="Times New Roman" w:cs="Times New Roman"/>
              </w:rPr>
            </w:pPr>
            <w:r w:rsidRPr="00552046">
              <w:rPr>
                <w:rFonts w:ascii="Times New Roman" w:hAnsi="Times New Roman" w:cs="Times New Roman"/>
                <w:i/>
              </w:rPr>
              <w:t>spread</w:t>
            </w:r>
          </w:p>
        </w:tc>
      </w:tr>
      <w:tr w:rsidR="003D26D8" w:rsidRPr="00552046" w14:paraId="562494FE" w14:textId="77777777" w:rsidTr="00CA7169">
        <w:trPr>
          <w:trHeight w:hRule="exact" w:val="284"/>
        </w:trPr>
        <w:tc>
          <w:tcPr>
            <w:tcW w:w="1349" w:type="dxa"/>
            <w:tcBorders>
              <w:bottom w:val="nil"/>
            </w:tcBorders>
          </w:tcPr>
          <w:p w14:paraId="3A241E31"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Joint</w:t>
            </w:r>
          </w:p>
        </w:tc>
        <w:tc>
          <w:tcPr>
            <w:tcW w:w="1349" w:type="dxa"/>
            <w:tcBorders>
              <w:bottom w:val="nil"/>
              <w:right w:val="nil"/>
            </w:tcBorders>
            <w:vAlign w:val="center"/>
          </w:tcPr>
          <w:p w14:paraId="16A70120"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2.112</w:t>
            </w:r>
            <w:r>
              <w:rPr>
                <w:rFonts w:ascii="Times New Roman" w:hAnsi="Times New Roman" w:cs="Times New Roman"/>
              </w:rPr>
              <w:t>***</w:t>
            </w:r>
          </w:p>
        </w:tc>
        <w:tc>
          <w:tcPr>
            <w:tcW w:w="1349" w:type="dxa"/>
            <w:tcBorders>
              <w:left w:val="nil"/>
              <w:bottom w:val="nil"/>
              <w:right w:val="nil"/>
            </w:tcBorders>
            <w:vAlign w:val="center"/>
          </w:tcPr>
          <w:p w14:paraId="1FE2F727"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1.462</w:t>
            </w:r>
            <w:r>
              <w:rPr>
                <w:rFonts w:ascii="Times New Roman" w:hAnsi="Times New Roman" w:cs="Times New Roman"/>
              </w:rPr>
              <w:t>***</w:t>
            </w:r>
          </w:p>
        </w:tc>
        <w:tc>
          <w:tcPr>
            <w:tcW w:w="1349" w:type="dxa"/>
            <w:tcBorders>
              <w:left w:val="nil"/>
              <w:bottom w:val="nil"/>
              <w:right w:val="nil"/>
            </w:tcBorders>
            <w:vAlign w:val="center"/>
          </w:tcPr>
          <w:p w14:paraId="6130546E"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3.045</w:t>
            </w:r>
            <w:r>
              <w:rPr>
                <w:rFonts w:ascii="Times New Roman" w:hAnsi="Times New Roman" w:cs="Times New Roman"/>
              </w:rPr>
              <w:t>***</w:t>
            </w:r>
          </w:p>
          <w:p w14:paraId="1623E1D2" w14:textId="77777777" w:rsidR="003D26D8" w:rsidRPr="00552046" w:rsidRDefault="003D26D8" w:rsidP="00D81E14">
            <w:pPr>
              <w:spacing w:before="30" w:after="30"/>
              <w:ind w:left="159"/>
              <w:rPr>
                <w:rFonts w:ascii="Times New Roman" w:hAnsi="Times New Roman" w:cs="Times New Roman"/>
              </w:rPr>
            </w:pPr>
          </w:p>
        </w:tc>
        <w:tc>
          <w:tcPr>
            <w:tcW w:w="1349" w:type="dxa"/>
            <w:tcBorders>
              <w:left w:val="nil"/>
              <w:bottom w:val="nil"/>
              <w:right w:val="nil"/>
            </w:tcBorders>
            <w:vAlign w:val="center"/>
          </w:tcPr>
          <w:p w14:paraId="799AF14E"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1.451</w:t>
            </w:r>
            <w:r>
              <w:rPr>
                <w:rFonts w:ascii="Times New Roman" w:hAnsi="Times New Roman" w:cs="Times New Roman"/>
              </w:rPr>
              <w:t>***</w:t>
            </w:r>
          </w:p>
        </w:tc>
        <w:tc>
          <w:tcPr>
            <w:tcW w:w="1349" w:type="dxa"/>
            <w:tcBorders>
              <w:left w:val="nil"/>
              <w:bottom w:val="nil"/>
              <w:right w:val="nil"/>
            </w:tcBorders>
            <w:vAlign w:val="center"/>
          </w:tcPr>
          <w:p w14:paraId="48282A22"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12.71</w:t>
            </w:r>
            <w:r>
              <w:rPr>
                <w:rFonts w:ascii="Times New Roman" w:hAnsi="Times New Roman" w:cs="Times New Roman"/>
              </w:rPr>
              <w:t>***</w:t>
            </w:r>
          </w:p>
          <w:p w14:paraId="47E52A4D" w14:textId="77777777" w:rsidR="003D26D8" w:rsidRPr="00552046" w:rsidRDefault="003D26D8" w:rsidP="00D81E14">
            <w:pPr>
              <w:spacing w:before="30" w:after="30"/>
              <w:ind w:left="159"/>
              <w:rPr>
                <w:rFonts w:ascii="Times New Roman" w:hAnsi="Times New Roman" w:cs="Times New Roman"/>
              </w:rPr>
            </w:pPr>
          </w:p>
        </w:tc>
        <w:tc>
          <w:tcPr>
            <w:tcW w:w="1349" w:type="dxa"/>
            <w:tcBorders>
              <w:left w:val="nil"/>
              <w:bottom w:val="nil"/>
              <w:right w:val="nil"/>
            </w:tcBorders>
            <w:vAlign w:val="center"/>
          </w:tcPr>
          <w:p w14:paraId="3D949E8B"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3.646</w:t>
            </w:r>
            <w:r>
              <w:rPr>
                <w:rFonts w:ascii="Times New Roman" w:hAnsi="Times New Roman" w:cs="Times New Roman"/>
              </w:rPr>
              <w:t>***</w:t>
            </w:r>
          </w:p>
          <w:p w14:paraId="09931AC8" w14:textId="77777777" w:rsidR="003D26D8" w:rsidRPr="00552046" w:rsidRDefault="003D26D8" w:rsidP="00D81E14">
            <w:pPr>
              <w:spacing w:before="30" w:after="30"/>
              <w:ind w:left="159"/>
              <w:rPr>
                <w:rFonts w:ascii="Times New Roman" w:hAnsi="Times New Roman" w:cs="Times New Roman"/>
              </w:rPr>
            </w:pPr>
          </w:p>
        </w:tc>
        <w:tc>
          <w:tcPr>
            <w:tcW w:w="1349" w:type="dxa"/>
            <w:tcBorders>
              <w:left w:val="nil"/>
              <w:bottom w:val="nil"/>
            </w:tcBorders>
            <w:vAlign w:val="center"/>
          </w:tcPr>
          <w:p w14:paraId="6B772DCA"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1.524</w:t>
            </w:r>
            <w:r>
              <w:rPr>
                <w:rFonts w:ascii="Times New Roman" w:hAnsi="Times New Roman" w:cs="Times New Roman"/>
              </w:rPr>
              <w:t>***</w:t>
            </w:r>
          </w:p>
        </w:tc>
      </w:tr>
      <w:tr w:rsidR="003D26D8" w:rsidRPr="00552046" w14:paraId="48A9270A" w14:textId="77777777" w:rsidTr="00CA7169">
        <w:trPr>
          <w:trHeight w:hRule="exact" w:val="284"/>
        </w:trPr>
        <w:tc>
          <w:tcPr>
            <w:tcW w:w="1349" w:type="dxa"/>
            <w:tcBorders>
              <w:top w:val="nil"/>
              <w:bottom w:val="nil"/>
            </w:tcBorders>
          </w:tcPr>
          <w:p w14:paraId="5474C2CB"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Variance</w:t>
            </w:r>
          </w:p>
        </w:tc>
        <w:tc>
          <w:tcPr>
            <w:tcW w:w="1349" w:type="dxa"/>
            <w:tcBorders>
              <w:top w:val="nil"/>
              <w:bottom w:val="nil"/>
              <w:right w:val="nil"/>
            </w:tcBorders>
            <w:vAlign w:val="center"/>
          </w:tcPr>
          <w:p w14:paraId="1E61BC84" w14:textId="77777777" w:rsidR="003D26D8" w:rsidRPr="00552046" w:rsidRDefault="003D26D8" w:rsidP="00D81E14">
            <w:pPr>
              <w:spacing w:before="30" w:after="30"/>
              <w:ind w:firstLine="17"/>
              <w:rPr>
                <w:rFonts w:ascii="Times New Roman" w:hAnsi="Times New Roman" w:cs="Times New Roman"/>
              </w:rPr>
            </w:pPr>
            <w:r w:rsidRPr="00552046">
              <w:rPr>
                <w:rFonts w:ascii="Times New Roman" w:hAnsi="Times New Roman" w:cs="Times New Roman"/>
              </w:rPr>
              <w:t>0.700</w:t>
            </w:r>
            <w:r>
              <w:rPr>
                <w:rFonts w:ascii="Times New Roman" w:hAnsi="Times New Roman" w:cs="Times New Roman"/>
              </w:rPr>
              <w:t>**</w:t>
            </w:r>
          </w:p>
        </w:tc>
        <w:tc>
          <w:tcPr>
            <w:tcW w:w="1349" w:type="dxa"/>
            <w:tcBorders>
              <w:top w:val="nil"/>
              <w:left w:val="nil"/>
              <w:bottom w:val="nil"/>
              <w:right w:val="nil"/>
            </w:tcBorders>
            <w:vAlign w:val="center"/>
          </w:tcPr>
          <w:p w14:paraId="2689D478" w14:textId="77777777" w:rsidR="003D26D8" w:rsidRPr="00552046" w:rsidRDefault="003D26D8" w:rsidP="00D81E14">
            <w:pPr>
              <w:spacing w:before="30" w:after="30"/>
              <w:ind w:left="159" w:hanging="247"/>
              <w:rPr>
                <w:rFonts w:ascii="Times New Roman" w:hAnsi="Times New Roman" w:cs="Times New Roman"/>
              </w:rPr>
            </w:pPr>
            <w:r w:rsidRPr="00552046">
              <w:rPr>
                <w:rFonts w:ascii="Times New Roman" w:hAnsi="Times New Roman" w:cs="Times New Roman"/>
              </w:rPr>
              <w:t>0.160</w:t>
            </w:r>
          </w:p>
          <w:p w14:paraId="10A8C222"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bottom w:val="nil"/>
              <w:right w:val="nil"/>
            </w:tcBorders>
            <w:vAlign w:val="center"/>
          </w:tcPr>
          <w:p w14:paraId="352C5138"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2.957</w:t>
            </w:r>
            <w:r>
              <w:rPr>
                <w:rFonts w:ascii="Times New Roman" w:hAnsi="Times New Roman" w:cs="Times New Roman"/>
              </w:rPr>
              <w:t>***</w:t>
            </w:r>
          </w:p>
        </w:tc>
        <w:tc>
          <w:tcPr>
            <w:tcW w:w="1349" w:type="dxa"/>
            <w:tcBorders>
              <w:top w:val="nil"/>
              <w:left w:val="nil"/>
              <w:bottom w:val="nil"/>
              <w:right w:val="nil"/>
            </w:tcBorders>
            <w:vAlign w:val="center"/>
          </w:tcPr>
          <w:p w14:paraId="00349409"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0.563</w:t>
            </w:r>
            <w:r>
              <w:rPr>
                <w:rFonts w:ascii="Times New Roman" w:hAnsi="Times New Roman" w:cs="Times New Roman"/>
              </w:rPr>
              <w:t>**</w:t>
            </w:r>
          </w:p>
        </w:tc>
        <w:tc>
          <w:tcPr>
            <w:tcW w:w="1349" w:type="dxa"/>
            <w:tcBorders>
              <w:top w:val="nil"/>
              <w:left w:val="nil"/>
              <w:bottom w:val="nil"/>
              <w:right w:val="nil"/>
            </w:tcBorders>
            <w:vAlign w:val="center"/>
          </w:tcPr>
          <w:p w14:paraId="7C1FC3B4"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3.35</w:t>
            </w:r>
            <w:r>
              <w:rPr>
                <w:rFonts w:ascii="Times New Roman" w:hAnsi="Times New Roman" w:cs="Times New Roman"/>
              </w:rPr>
              <w:t>***</w:t>
            </w:r>
          </w:p>
        </w:tc>
        <w:tc>
          <w:tcPr>
            <w:tcW w:w="1349" w:type="dxa"/>
            <w:tcBorders>
              <w:top w:val="nil"/>
              <w:left w:val="nil"/>
              <w:bottom w:val="nil"/>
              <w:right w:val="nil"/>
            </w:tcBorders>
            <w:vAlign w:val="center"/>
          </w:tcPr>
          <w:p w14:paraId="69A3D78F"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1.532</w:t>
            </w:r>
            <w:r>
              <w:rPr>
                <w:rFonts w:ascii="Times New Roman" w:hAnsi="Times New Roman" w:cs="Times New Roman"/>
              </w:rPr>
              <w:t>***</w:t>
            </w:r>
          </w:p>
          <w:p w14:paraId="4D918B40"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bottom w:val="nil"/>
            </w:tcBorders>
            <w:vAlign w:val="center"/>
          </w:tcPr>
          <w:p w14:paraId="6397EB38" w14:textId="77777777" w:rsidR="003D26D8" w:rsidRPr="00552046" w:rsidRDefault="003D26D8" w:rsidP="00D81E14">
            <w:pPr>
              <w:spacing w:before="30" w:after="30"/>
              <w:ind w:left="159" w:hanging="151"/>
              <w:rPr>
                <w:rFonts w:ascii="Times New Roman" w:hAnsi="Times New Roman" w:cs="Times New Roman"/>
              </w:rPr>
            </w:pPr>
            <w:r w:rsidRPr="00552046">
              <w:rPr>
                <w:rFonts w:ascii="Times New Roman" w:hAnsi="Times New Roman" w:cs="Times New Roman"/>
              </w:rPr>
              <w:t>0.898</w:t>
            </w:r>
            <w:r>
              <w:rPr>
                <w:rFonts w:ascii="Times New Roman" w:hAnsi="Times New Roman" w:cs="Times New Roman"/>
              </w:rPr>
              <w:t>*</w:t>
            </w:r>
          </w:p>
          <w:p w14:paraId="56279C6F" w14:textId="77777777" w:rsidR="003D26D8" w:rsidRPr="00552046" w:rsidRDefault="003D26D8" w:rsidP="00D81E14">
            <w:pPr>
              <w:spacing w:before="30" w:after="30"/>
              <w:ind w:left="159"/>
              <w:rPr>
                <w:rFonts w:ascii="Times New Roman" w:hAnsi="Times New Roman" w:cs="Times New Roman"/>
              </w:rPr>
            </w:pPr>
          </w:p>
        </w:tc>
      </w:tr>
      <w:tr w:rsidR="003D26D8" w:rsidRPr="00552046" w14:paraId="749D0BCE" w14:textId="77777777" w:rsidTr="00CA7169">
        <w:trPr>
          <w:trHeight w:hRule="exact" w:val="284"/>
        </w:trPr>
        <w:tc>
          <w:tcPr>
            <w:tcW w:w="1349" w:type="dxa"/>
            <w:tcBorders>
              <w:top w:val="nil"/>
            </w:tcBorders>
          </w:tcPr>
          <w:p w14:paraId="1C4B86DF"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Mean</w:t>
            </w:r>
          </w:p>
        </w:tc>
        <w:tc>
          <w:tcPr>
            <w:tcW w:w="1349" w:type="dxa"/>
            <w:tcBorders>
              <w:top w:val="nil"/>
              <w:right w:val="nil"/>
            </w:tcBorders>
            <w:vAlign w:val="center"/>
          </w:tcPr>
          <w:p w14:paraId="1881E37E"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1.219</w:t>
            </w:r>
            <w:r>
              <w:rPr>
                <w:rFonts w:ascii="Times New Roman" w:hAnsi="Times New Roman" w:cs="Times New Roman"/>
              </w:rPr>
              <w:t>***</w:t>
            </w:r>
          </w:p>
          <w:p w14:paraId="4A012161" w14:textId="77777777" w:rsidR="003D26D8" w:rsidRPr="00552046" w:rsidRDefault="003D26D8" w:rsidP="00D81E14">
            <w:pPr>
              <w:spacing w:before="30" w:after="30"/>
              <w:rPr>
                <w:rFonts w:ascii="Times New Roman" w:hAnsi="Times New Roman" w:cs="Times New Roman"/>
              </w:rPr>
            </w:pPr>
          </w:p>
        </w:tc>
        <w:tc>
          <w:tcPr>
            <w:tcW w:w="1349" w:type="dxa"/>
            <w:tcBorders>
              <w:top w:val="nil"/>
              <w:left w:val="nil"/>
              <w:right w:val="nil"/>
            </w:tcBorders>
            <w:vAlign w:val="center"/>
          </w:tcPr>
          <w:p w14:paraId="286A6074"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1.318</w:t>
            </w:r>
            <w:r>
              <w:rPr>
                <w:rFonts w:ascii="Times New Roman" w:hAnsi="Times New Roman" w:cs="Times New Roman"/>
              </w:rPr>
              <w:t>***</w:t>
            </w:r>
          </w:p>
          <w:p w14:paraId="1403104B"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right w:val="nil"/>
            </w:tcBorders>
            <w:vAlign w:val="center"/>
          </w:tcPr>
          <w:p w14:paraId="5494D208" w14:textId="77777777" w:rsidR="003D26D8" w:rsidRPr="00552046" w:rsidRDefault="003D26D8" w:rsidP="00D81E14">
            <w:pPr>
              <w:spacing w:before="30" w:after="30"/>
              <w:ind w:left="159" w:hanging="322"/>
              <w:rPr>
                <w:rFonts w:ascii="Times New Roman" w:hAnsi="Times New Roman" w:cs="Times New Roman"/>
              </w:rPr>
            </w:pPr>
            <w:r w:rsidRPr="00552046">
              <w:rPr>
                <w:rFonts w:ascii="Times New Roman" w:hAnsi="Times New Roman" w:cs="Times New Roman"/>
              </w:rPr>
              <w:t>0.059</w:t>
            </w:r>
          </w:p>
        </w:tc>
        <w:tc>
          <w:tcPr>
            <w:tcW w:w="1349" w:type="dxa"/>
            <w:tcBorders>
              <w:top w:val="nil"/>
              <w:left w:val="nil"/>
              <w:right w:val="nil"/>
            </w:tcBorders>
            <w:vAlign w:val="center"/>
          </w:tcPr>
          <w:p w14:paraId="6C4A4D01" w14:textId="77777777" w:rsidR="003D26D8" w:rsidRPr="00552046" w:rsidRDefault="003D26D8" w:rsidP="00D81E14">
            <w:pPr>
              <w:spacing w:before="30" w:after="30"/>
              <w:ind w:left="159" w:hanging="7"/>
              <w:rPr>
                <w:rFonts w:ascii="Times New Roman" w:hAnsi="Times New Roman" w:cs="Times New Roman"/>
              </w:rPr>
            </w:pPr>
            <w:r w:rsidRPr="00552046">
              <w:rPr>
                <w:rFonts w:ascii="Times New Roman" w:hAnsi="Times New Roman" w:cs="Times New Roman"/>
              </w:rPr>
              <w:t>0.876</w:t>
            </w:r>
            <w:r>
              <w:rPr>
                <w:rFonts w:ascii="Times New Roman" w:hAnsi="Times New Roman" w:cs="Times New Roman"/>
              </w:rPr>
              <w:t>***</w:t>
            </w:r>
          </w:p>
          <w:p w14:paraId="7978FFDE"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right w:val="nil"/>
            </w:tcBorders>
            <w:vAlign w:val="center"/>
          </w:tcPr>
          <w:p w14:paraId="31FCE60E"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9.98</w:t>
            </w:r>
            <w:r>
              <w:rPr>
                <w:rFonts w:ascii="Times New Roman" w:hAnsi="Times New Roman" w:cs="Times New Roman"/>
              </w:rPr>
              <w:t>***</w:t>
            </w:r>
          </w:p>
          <w:p w14:paraId="4E126B0C"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right w:val="nil"/>
            </w:tcBorders>
            <w:vAlign w:val="center"/>
          </w:tcPr>
          <w:p w14:paraId="33A17B89"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2.367</w:t>
            </w:r>
            <w:r>
              <w:rPr>
                <w:rFonts w:ascii="Times New Roman" w:hAnsi="Times New Roman" w:cs="Times New Roman"/>
              </w:rPr>
              <w:t>***</w:t>
            </w:r>
          </w:p>
          <w:p w14:paraId="550CF7E2" w14:textId="77777777" w:rsidR="003D26D8" w:rsidRPr="00552046" w:rsidRDefault="003D26D8" w:rsidP="00D81E14">
            <w:pPr>
              <w:spacing w:before="30" w:after="30"/>
              <w:ind w:left="159"/>
              <w:rPr>
                <w:rFonts w:ascii="Times New Roman" w:hAnsi="Times New Roman" w:cs="Times New Roman"/>
              </w:rPr>
            </w:pPr>
          </w:p>
        </w:tc>
        <w:tc>
          <w:tcPr>
            <w:tcW w:w="1349" w:type="dxa"/>
            <w:tcBorders>
              <w:top w:val="nil"/>
              <w:left w:val="nil"/>
            </w:tcBorders>
            <w:vAlign w:val="center"/>
          </w:tcPr>
          <w:p w14:paraId="6D8E6D05" w14:textId="77777777" w:rsidR="003D26D8" w:rsidRPr="00552046" w:rsidRDefault="003D26D8" w:rsidP="00D81E14">
            <w:pPr>
              <w:spacing w:before="30" w:after="30"/>
              <w:ind w:left="159"/>
              <w:rPr>
                <w:rFonts w:ascii="Times New Roman" w:hAnsi="Times New Roman" w:cs="Times New Roman"/>
              </w:rPr>
            </w:pPr>
            <w:r w:rsidRPr="00552046">
              <w:rPr>
                <w:rFonts w:ascii="Times New Roman" w:hAnsi="Times New Roman" w:cs="Times New Roman"/>
              </w:rPr>
              <w:t>0.4129</w:t>
            </w:r>
            <w:r>
              <w:rPr>
                <w:rFonts w:ascii="Times New Roman" w:hAnsi="Times New Roman" w:cs="Times New Roman"/>
              </w:rPr>
              <w:t>*</w:t>
            </w:r>
          </w:p>
          <w:p w14:paraId="0BF94371" w14:textId="77777777" w:rsidR="003D26D8" w:rsidRPr="00552046" w:rsidRDefault="003D26D8" w:rsidP="00D81E14">
            <w:pPr>
              <w:spacing w:before="30" w:after="30"/>
              <w:ind w:left="159"/>
              <w:rPr>
                <w:rFonts w:ascii="Times New Roman" w:hAnsi="Times New Roman" w:cs="Times New Roman"/>
              </w:rPr>
            </w:pPr>
          </w:p>
        </w:tc>
      </w:tr>
    </w:tbl>
    <w:p w14:paraId="3F3EB640" w14:textId="77777777" w:rsidR="00C92940" w:rsidRPr="00CA7169" w:rsidRDefault="003D26D8" w:rsidP="00C92940">
      <w:pPr>
        <w:rPr>
          <w:rFonts w:ascii="Times New Roman" w:hAnsi="Times New Roman" w:cs="Times New Roman"/>
          <w:sz w:val="20"/>
          <w:szCs w:val="20"/>
        </w:rPr>
      </w:pPr>
      <w:r w:rsidRPr="00CA7169">
        <w:rPr>
          <w:rFonts w:ascii="Times New Roman" w:hAnsi="Times New Roman" w:cs="Times New Roman"/>
          <w:b/>
          <w:bCs/>
          <w:sz w:val="20"/>
          <w:szCs w:val="20"/>
        </w:rPr>
        <w:t xml:space="preserve">Note: </w:t>
      </w:r>
      <w:r w:rsidRPr="00CA7169">
        <w:rPr>
          <w:rFonts w:ascii="Times New Roman" w:hAnsi="Times New Roman" w:cs="Times New Roman"/>
          <w:sz w:val="20"/>
          <w:szCs w:val="20"/>
        </w:rPr>
        <w:t>***, **, * represents significance at 1%, 5% and at 10% level respectively</w:t>
      </w:r>
      <w:r w:rsidR="00C92940" w:rsidRPr="00CA7169">
        <w:rPr>
          <w:rFonts w:ascii="Times New Roman" w:hAnsi="Times New Roman" w:cs="Times New Roman"/>
          <w:sz w:val="20"/>
          <w:szCs w:val="20"/>
        </w:rPr>
        <w:t xml:space="preserve"> </w:t>
      </w:r>
    </w:p>
    <w:p w14:paraId="07C7B624" w14:textId="0B318387" w:rsidR="00D774E9" w:rsidRDefault="00D774E9" w:rsidP="00D774E9">
      <w:pPr>
        <w:spacing w:after="0"/>
        <w:rPr>
          <w:rFonts w:ascii="Times New Roman" w:hAnsi="Times New Roman" w:cs="Times New Roman"/>
          <w:b/>
          <w:bCs/>
          <w:color w:val="000000" w:themeColor="text1"/>
        </w:rPr>
      </w:pPr>
    </w:p>
    <w:p w14:paraId="6336C474" w14:textId="7C1BD67E" w:rsidR="003D26D8" w:rsidRPr="00C92940" w:rsidRDefault="003D26D8" w:rsidP="00D774E9">
      <w:pPr>
        <w:spacing w:after="0"/>
        <w:jc w:val="center"/>
        <w:rPr>
          <w:rFonts w:ascii="Times New Roman" w:hAnsi="Times New Roman" w:cs="Times New Roman"/>
          <w:b/>
          <w:bCs/>
          <w:i/>
          <w:iCs/>
          <w:color w:val="000000" w:themeColor="text1"/>
        </w:rPr>
      </w:pPr>
      <w:r w:rsidRPr="00C92940">
        <w:rPr>
          <w:rFonts w:ascii="Times New Roman" w:hAnsi="Times New Roman" w:cs="Times New Roman"/>
          <w:b/>
          <w:bCs/>
          <w:color w:val="000000" w:themeColor="text1"/>
        </w:rPr>
        <w:t>Table 3: Linearity test</w:t>
      </w:r>
    </w:p>
    <w:tbl>
      <w:tblPr>
        <w:tblStyle w:val="TableGrid"/>
        <w:tblW w:w="0" w:type="auto"/>
        <w:tblBorders>
          <w:top w:val="single" w:sz="18" w:space="0" w:color="auto"/>
          <w:left w:val="none" w:sz="0"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55"/>
        <w:gridCol w:w="3730"/>
        <w:gridCol w:w="3731"/>
      </w:tblGrid>
      <w:tr w:rsidR="003D26D8" w:rsidRPr="00552046" w14:paraId="5A0EA588" w14:textId="77777777" w:rsidTr="00D774E9">
        <w:trPr>
          <w:trHeight w:hRule="exact" w:val="284"/>
        </w:trPr>
        <w:tc>
          <w:tcPr>
            <w:tcW w:w="1555" w:type="dxa"/>
            <w:tcBorders>
              <w:top w:val="single" w:sz="18" w:space="0" w:color="auto"/>
              <w:bottom w:val="single" w:sz="18" w:space="0" w:color="auto"/>
            </w:tcBorders>
            <w:shd w:val="clear" w:color="auto" w:fill="auto"/>
          </w:tcPr>
          <w:p w14:paraId="471B70BB" w14:textId="77777777" w:rsidR="003D26D8" w:rsidRPr="00552046" w:rsidRDefault="003D26D8" w:rsidP="0010469A">
            <w:pPr>
              <w:ind w:left="312" w:firstLine="22"/>
              <w:jc w:val="both"/>
              <w:rPr>
                <w:rFonts w:ascii="Times New Roman" w:hAnsi="Times New Roman" w:cs="Times New Roman"/>
                <w:b/>
              </w:rPr>
            </w:pPr>
            <w:r w:rsidRPr="00552046">
              <w:rPr>
                <w:rFonts w:ascii="Times New Roman" w:hAnsi="Times New Roman" w:cs="Times New Roman"/>
                <w:b/>
              </w:rPr>
              <w:t>Model</w:t>
            </w:r>
          </w:p>
        </w:tc>
        <w:tc>
          <w:tcPr>
            <w:tcW w:w="3730" w:type="dxa"/>
            <w:tcBorders>
              <w:top w:val="single" w:sz="18" w:space="0" w:color="auto"/>
              <w:bottom w:val="single" w:sz="18" w:space="0" w:color="auto"/>
              <w:right w:val="nil"/>
            </w:tcBorders>
            <w:shd w:val="clear" w:color="auto" w:fill="auto"/>
          </w:tcPr>
          <w:p w14:paraId="02C08091" w14:textId="77777777" w:rsidR="003D26D8" w:rsidRPr="00552046" w:rsidRDefault="003D26D8" w:rsidP="0010469A">
            <w:pPr>
              <w:rPr>
                <w:rFonts w:ascii="Times New Roman" w:hAnsi="Times New Roman" w:cs="Times New Roman"/>
                <w:b/>
              </w:rPr>
            </w:pPr>
            <w:r w:rsidRPr="00552046">
              <w:rPr>
                <w:rFonts w:ascii="Times New Roman" w:hAnsi="Times New Roman" w:cs="Times New Roman"/>
                <w:b/>
              </w:rPr>
              <w:t>LR linearity test</w:t>
            </w:r>
          </w:p>
        </w:tc>
        <w:tc>
          <w:tcPr>
            <w:tcW w:w="3731" w:type="dxa"/>
            <w:tcBorders>
              <w:top w:val="single" w:sz="18" w:space="0" w:color="auto"/>
              <w:left w:val="nil"/>
              <w:bottom w:val="single" w:sz="18" w:space="0" w:color="auto"/>
              <w:right w:val="nil"/>
            </w:tcBorders>
            <w:shd w:val="clear" w:color="auto" w:fill="auto"/>
          </w:tcPr>
          <w:p w14:paraId="2E10EADB" w14:textId="77777777" w:rsidR="003D26D8" w:rsidRPr="00552046" w:rsidRDefault="003D26D8" w:rsidP="0010469A">
            <w:pPr>
              <w:jc w:val="both"/>
              <w:rPr>
                <w:rFonts w:ascii="Times New Roman" w:hAnsi="Times New Roman" w:cs="Times New Roman"/>
                <w:b/>
              </w:rPr>
            </w:pPr>
            <w:r w:rsidRPr="00552046">
              <w:rPr>
                <w:rFonts w:ascii="Times New Roman" w:hAnsi="Times New Roman" w:cs="Times New Roman"/>
                <w:b/>
              </w:rPr>
              <w:t>Davis approximate upper bound</w:t>
            </w:r>
          </w:p>
        </w:tc>
      </w:tr>
      <w:tr w:rsidR="003D26D8" w:rsidRPr="00552046" w14:paraId="3A62A159" w14:textId="77777777" w:rsidTr="003F4775">
        <w:trPr>
          <w:trHeight w:hRule="exact" w:val="340"/>
        </w:trPr>
        <w:tc>
          <w:tcPr>
            <w:tcW w:w="1555" w:type="dxa"/>
            <w:tcBorders>
              <w:top w:val="single" w:sz="18" w:space="0" w:color="auto"/>
              <w:bottom w:val="nil"/>
            </w:tcBorders>
            <w:shd w:val="clear" w:color="auto" w:fill="auto"/>
            <w:vAlign w:val="center"/>
          </w:tcPr>
          <w:p w14:paraId="7EF1384E"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1</w:t>
            </w:r>
            <w:r w:rsidRPr="00552046">
              <w:rPr>
                <w:rFonts w:ascii="Times New Roman" w:hAnsi="Times New Roman" w:cs="Times New Roman"/>
                <w:vertAlign w:val="superscript"/>
              </w:rPr>
              <w:t>st</w:t>
            </w:r>
            <w:r w:rsidRPr="00552046">
              <w:rPr>
                <w:rFonts w:ascii="Times New Roman" w:hAnsi="Times New Roman" w:cs="Times New Roman"/>
              </w:rPr>
              <w:t xml:space="preserve"> MSVAR</w:t>
            </w:r>
          </w:p>
        </w:tc>
        <w:tc>
          <w:tcPr>
            <w:tcW w:w="3730" w:type="dxa"/>
            <w:tcBorders>
              <w:top w:val="single" w:sz="18" w:space="0" w:color="auto"/>
              <w:bottom w:val="nil"/>
              <w:right w:val="nil"/>
            </w:tcBorders>
            <w:shd w:val="clear" w:color="auto" w:fill="auto"/>
            <w:vAlign w:val="center"/>
          </w:tcPr>
          <w:p w14:paraId="070A09BE" w14:textId="77777777" w:rsidR="003D26D8" w:rsidRPr="00552046" w:rsidRDefault="00227DF5" w:rsidP="00D81E14">
            <w:pPr>
              <w:spacing w:before="30" w:after="30"/>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d>
                <m:dPr>
                  <m:ctrlPr>
                    <w:rPr>
                      <w:rFonts w:ascii="Cambria Math" w:eastAsiaTheme="minorEastAsia" w:hAnsi="Cambria Math" w:cs="Times New Roman"/>
                    </w:rPr>
                  </m:ctrlPr>
                </m:dPr>
                <m:e>
                  <m:r>
                    <m:rPr>
                      <m:sty m:val="p"/>
                    </m:rPr>
                    <w:rPr>
                      <w:rFonts w:ascii="Cambria Math" w:eastAsiaTheme="minorEastAsia" w:hAnsi="Cambria Math" w:cs="Times New Roman"/>
                    </w:rPr>
                    <m:t>47</m:t>
                  </m:r>
                </m:e>
              </m:d>
            </m:oMath>
            <w:r w:rsidR="003D26D8" w:rsidRPr="00552046">
              <w:rPr>
                <w:rFonts w:ascii="Times New Roman" w:eastAsiaTheme="minorEastAsia" w:hAnsi="Times New Roman" w:cs="Times New Roman"/>
              </w:rPr>
              <w:t xml:space="preserve">=4018.7 [0.000] </w:t>
            </w:r>
            <w:r w:rsidR="003D26D8">
              <w:rPr>
                <w:rFonts w:ascii="Times New Roman" w:eastAsiaTheme="minorEastAsia" w:hAnsi="Times New Roman" w:cs="Times New Roman"/>
              </w:rPr>
              <w:t>*</w:t>
            </w:r>
            <w:r w:rsidR="003D26D8" w:rsidRPr="00552046">
              <w:rPr>
                <w:rFonts w:ascii="Times New Roman" w:eastAsiaTheme="minorEastAsia" w:hAnsi="Times New Roman" w:cs="Times New Roman"/>
              </w:rPr>
              <w:t>**</w:t>
            </w:r>
          </w:p>
        </w:tc>
        <w:tc>
          <w:tcPr>
            <w:tcW w:w="3731" w:type="dxa"/>
            <w:tcBorders>
              <w:top w:val="single" w:sz="18" w:space="0" w:color="auto"/>
              <w:left w:val="nil"/>
              <w:bottom w:val="nil"/>
              <w:right w:val="nil"/>
            </w:tcBorders>
            <w:shd w:val="clear" w:color="auto" w:fill="auto"/>
            <w:vAlign w:val="center"/>
          </w:tcPr>
          <w:p w14:paraId="272465D0" w14:textId="77777777" w:rsidR="003D26D8" w:rsidRPr="00552046" w:rsidRDefault="003D26D8" w:rsidP="00D81E14">
            <w:pPr>
              <w:spacing w:before="30" w:after="30"/>
              <w:rPr>
                <w:rFonts w:ascii="Times New Roman" w:hAnsi="Times New Roman" w:cs="Times New Roman"/>
              </w:rPr>
            </w:pPr>
            <w:r w:rsidRPr="00552046">
              <w:rPr>
                <w:rFonts w:ascii="Times New Roman" w:eastAsiaTheme="minorEastAsia" w:hAnsi="Times New Roman" w:cs="Times New Roman"/>
              </w:rPr>
              <w:t>[0.000] **</w:t>
            </w:r>
            <w:r>
              <w:rPr>
                <w:rFonts w:ascii="Times New Roman" w:eastAsiaTheme="minorEastAsia" w:hAnsi="Times New Roman" w:cs="Times New Roman"/>
              </w:rPr>
              <w:t>*</w:t>
            </w:r>
          </w:p>
        </w:tc>
      </w:tr>
      <w:tr w:rsidR="003D26D8" w:rsidRPr="00552046" w14:paraId="64224319" w14:textId="77777777" w:rsidTr="003F4775">
        <w:trPr>
          <w:trHeight w:hRule="exact" w:val="284"/>
        </w:trPr>
        <w:tc>
          <w:tcPr>
            <w:tcW w:w="1555" w:type="dxa"/>
            <w:tcBorders>
              <w:top w:val="nil"/>
            </w:tcBorders>
            <w:shd w:val="clear" w:color="auto" w:fill="auto"/>
            <w:vAlign w:val="center"/>
          </w:tcPr>
          <w:p w14:paraId="74D4A36D"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2</w:t>
            </w:r>
            <w:r w:rsidRPr="00552046">
              <w:rPr>
                <w:rFonts w:ascii="Times New Roman" w:hAnsi="Times New Roman" w:cs="Times New Roman"/>
                <w:vertAlign w:val="superscript"/>
              </w:rPr>
              <w:t xml:space="preserve">nd </w:t>
            </w:r>
            <w:r w:rsidRPr="00552046">
              <w:rPr>
                <w:rFonts w:ascii="Times New Roman" w:hAnsi="Times New Roman" w:cs="Times New Roman"/>
              </w:rPr>
              <w:t>MSVAR</w:t>
            </w:r>
          </w:p>
        </w:tc>
        <w:tc>
          <w:tcPr>
            <w:tcW w:w="3730" w:type="dxa"/>
            <w:tcBorders>
              <w:top w:val="nil"/>
              <w:bottom w:val="nil"/>
              <w:right w:val="nil"/>
            </w:tcBorders>
            <w:shd w:val="clear" w:color="auto" w:fill="auto"/>
            <w:vAlign w:val="center"/>
          </w:tcPr>
          <w:p w14:paraId="1C8E9379" w14:textId="77777777" w:rsidR="003D26D8" w:rsidRPr="00552046" w:rsidRDefault="00227DF5" w:rsidP="00D81E14">
            <w:pPr>
              <w:spacing w:before="30" w:after="30"/>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(47)</m:t>
              </m:r>
            </m:oMath>
            <w:r w:rsidR="003D26D8" w:rsidRPr="00552046">
              <w:rPr>
                <w:rFonts w:ascii="Times New Roman" w:eastAsiaTheme="minorEastAsia" w:hAnsi="Times New Roman" w:cs="Times New Roman"/>
              </w:rPr>
              <w:t>=2610.4 [0.000] **</w:t>
            </w:r>
            <w:r w:rsidR="003D26D8">
              <w:rPr>
                <w:rFonts w:ascii="Times New Roman" w:eastAsiaTheme="minorEastAsia" w:hAnsi="Times New Roman" w:cs="Times New Roman"/>
              </w:rPr>
              <w:t>*</w:t>
            </w:r>
          </w:p>
        </w:tc>
        <w:tc>
          <w:tcPr>
            <w:tcW w:w="3731" w:type="dxa"/>
            <w:tcBorders>
              <w:top w:val="nil"/>
              <w:left w:val="nil"/>
              <w:bottom w:val="nil"/>
              <w:right w:val="nil"/>
            </w:tcBorders>
            <w:shd w:val="clear" w:color="auto" w:fill="auto"/>
            <w:vAlign w:val="center"/>
          </w:tcPr>
          <w:p w14:paraId="24BC3AA3" w14:textId="77777777" w:rsidR="003D26D8" w:rsidRPr="00552046" w:rsidRDefault="003D26D8" w:rsidP="00D81E14">
            <w:pPr>
              <w:spacing w:before="30" w:after="30"/>
              <w:rPr>
                <w:rFonts w:ascii="Times New Roman" w:hAnsi="Times New Roman" w:cs="Times New Roman"/>
              </w:rPr>
            </w:pPr>
            <w:r w:rsidRPr="00552046">
              <w:rPr>
                <w:rFonts w:ascii="Times New Roman" w:eastAsiaTheme="minorEastAsia" w:hAnsi="Times New Roman" w:cs="Times New Roman"/>
              </w:rPr>
              <w:t>[0.000] **</w:t>
            </w:r>
            <w:r>
              <w:rPr>
                <w:rFonts w:ascii="Times New Roman" w:eastAsiaTheme="minorEastAsia" w:hAnsi="Times New Roman" w:cs="Times New Roman"/>
              </w:rPr>
              <w:t>*</w:t>
            </w:r>
          </w:p>
        </w:tc>
      </w:tr>
      <w:tr w:rsidR="003D26D8" w:rsidRPr="00552046" w14:paraId="14DD2604" w14:textId="77777777" w:rsidTr="003F4775">
        <w:trPr>
          <w:trHeight w:hRule="exact" w:val="284"/>
        </w:trPr>
        <w:tc>
          <w:tcPr>
            <w:tcW w:w="1555" w:type="dxa"/>
            <w:shd w:val="clear" w:color="auto" w:fill="auto"/>
            <w:vAlign w:val="center"/>
          </w:tcPr>
          <w:p w14:paraId="117505A7"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3</w:t>
            </w:r>
            <w:r w:rsidRPr="00552046">
              <w:rPr>
                <w:rFonts w:ascii="Times New Roman" w:hAnsi="Times New Roman" w:cs="Times New Roman"/>
                <w:vertAlign w:val="superscript"/>
              </w:rPr>
              <w:t>rd</w:t>
            </w:r>
            <w:r w:rsidRPr="00552046">
              <w:rPr>
                <w:rFonts w:ascii="Times New Roman" w:hAnsi="Times New Roman" w:cs="Times New Roman"/>
              </w:rPr>
              <w:t xml:space="preserve"> MSVAR</w:t>
            </w:r>
          </w:p>
        </w:tc>
        <w:tc>
          <w:tcPr>
            <w:tcW w:w="3730" w:type="dxa"/>
            <w:tcBorders>
              <w:top w:val="nil"/>
              <w:bottom w:val="nil"/>
              <w:right w:val="nil"/>
            </w:tcBorders>
            <w:shd w:val="clear" w:color="auto" w:fill="auto"/>
            <w:vAlign w:val="center"/>
          </w:tcPr>
          <w:p w14:paraId="51669CE7" w14:textId="77777777" w:rsidR="003D26D8" w:rsidRPr="00552046" w:rsidRDefault="00227DF5" w:rsidP="00D81E14">
            <w:pPr>
              <w:spacing w:before="30" w:after="30"/>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(47)</m:t>
              </m:r>
            </m:oMath>
            <w:r w:rsidR="003D26D8" w:rsidRPr="00552046">
              <w:rPr>
                <w:rFonts w:ascii="Times New Roman" w:eastAsiaTheme="minorEastAsia" w:hAnsi="Times New Roman" w:cs="Times New Roman"/>
              </w:rPr>
              <w:t>=2655.4 [0.000] **</w:t>
            </w:r>
            <w:r w:rsidR="003D26D8">
              <w:rPr>
                <w:rFonts w:ascii="Times New Roman" w:eastAsiaTheme="minorEastAsia" w:hAnsi="Times New Roman" w:cs="Times New Roman"/>
              </w:rPr>
              <w:t>*</w:t>
            </w:r>
          </w:p>
        </w:tc>
        <w:tc>
          <w:tcPr>
            <w:tcW w:w="3731" w:type="dxa"/>
            <w:tcBorders>
              <w:top w:val="nil"/>
              <w:left w:val="nil"/>
              <w:bottom w:val="nil"/>
              <w:right w:val="nil"/>
            </w:tcBorders>
            <w:shd w:val="clear" w:color="auto" w:fill="auto"/>
            <w:vAlign w:val="center"/>
          </w:tcPr>
          <w:p w14:paraId="689E1D76" w14:textId="77777777" w:rsidR="003D26D8" w:rsidRPr="00552046" w:rsidRDefault="003D26D8" w:rsidP="00D81E14">
            <w:pPr>
              <w:spacing w:before="30" w:after="30"/>
              <w:rPr>
                <w:rFonts w:ascii="Times New Roman" w:hAnsi="Times New Roman" w:cs="Times New Roman"/>
              </w:rPr>
            </w:pPr>
            <w:r w:rsidRPr="00552046">
              <w:rPr>
                <w:rFonts w:ascii="Times New Roman" w:eastAsiaTheme="minorEastAsia" w:hAnsi="Times New Roman" w:cs="Times New Roman"/>
              </w:rPr>
              <w:t>[0.000] **</w:t>
            </w:r>
            <w:r>
              <w:rPr>
                <w:rFonts w:ascii="Times New Roman" w:eastAsiaTheme="minorEastAsia" w:hAnsi="Times New Roman" w:cs="Times New Roman"/>
              </w:rPr>
              <w:t>*</w:t>
            </w:r>
          </w:p>
        </w:tc>
      </w:tr>
      <w:tr w:rsidR="003D26D8" w:rsidRPr="00552046" w14:paraId="2853AA78" w14:textId="77777777" w:rsidTr="003F4775">
        <w:trPr>
          <w:trHeight w:hRule="exact" w:val="284"/>
        </w:trPr>
        <w:tc>
          <w:tcPr>
            <w:tcW w:w="1555" w:type="dxa"/>
            <w:shd w:val="clear" w:color="auto" w:fill="auto"/>
            <w:vAlign w:val="center"/>
          </w:tcPr>
          <w:p w14:paraId="03081B62"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4</w:t>
            </w:r>
            <w:r w:rsidRPr="00552046">
              <w:rPr>
                <w:rFonts w:ascii="Times New Roman" w:hAnsi="Times New Roman" w:cs="Times New Roman"/>
                <w:vertAlign w:val="superscript"/>
              </w:rPr>
              <w:t>th</w:t>
            </w:r>
            <w:r w:rsidRPr="00552046">
              <w:rPr>
                <w:rFonts w:ascii="Times New Roman" w:hAnsi="Times New Roman" w:cs="Times New Roman"/>
              </w:rPr>
              <w:t xml:space="preserve"> MSVAR</w:t>
            </w:r>
          </w:p>
        </w:tc>
        <w:tc>
          <w:tcPr>
            <w:tcW w:w="3730" w:type="dxa"/>
            <w:tcBorders>
              <w:top w:val="nil"/>
              <w:bottom w:val="nil"/>
              <w:right w:val="nil"/>
            </w:tcBorders>
            <w:shd w:val="clear" w:color="auto" w:fill="auto"/>
            <w:vAlign w:val="center"/>
          </w:tcPr>
          <w:p w14:paraId="690F2D5B" w14:textId="77777777" w:rsidR="003D26D8" w:rsidRPr="00552046" w:rsidRDefault="00227DF5" w:rsidP="00D81E14">
            <w:pPr>
              <w:spacing w:before="30" w:after="30"/>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(47)</m:t>
              </m:r>
            </m:oMath>
            <w:r w:rsidR="003D26D8" w:rsidRPr="00552046">
              <w:rPr>
                <w:rFonts w:ascii="Times New Roman" w:eastAsiaTheme="minorEastAsia" w:hAnsi="Times New Roman" w:cs="Times New Roman"/>
              </w:rPr>
              <w:t>=2198.2 [0.000] **</w:t>
            </w:r>
            <w:r w:rsidR="003D26D8">
              <w:rPr>
                <w:rFonts w:ascii="Times New Roman" w:eastAsiaTheme="minorEastAsia" w:hAnsi="Times New Roman" w:cs="Times New Roman"/>
              </w:rPr>
              <w:t>*</w:t>
            </w:r>
          </w:p>
        </w:tc>
        <w:tc>
          <w:tcPr>
            <w:tcW w:w="3731" w:type="dxa"/>
            <w:tcBorders>
              <w:top w:val="nil"/>
              <w:left w:val="nil"/>
              <w:bottom w:val="nil"/>
              <w:right w:val="nil"/>
            </w:tcBorders>
            <w:shd w:val="clear" w:color="auto" w:fill="auto"/>
            <w:vAlign w:val="center"/>
          </w:tcPr>
          <w:p w14:paraId="064BE317" w14:textId="77777777" w:rsidR="003D26D8" w:rsidRPr="00552046" w:rsidRDefault="003D26D8" w:rsidP="00D81E14">
            <w:pPr>
              <w:spacing w:before="30" w:after="30"/>
              <w:rPr>
                <w:rFonts w:ascii="Times New Roman" w:hAnsi="Times New Roman" w:cs="Times New Roman"/>
              </w:rPr>
            </w:pPr>
            <w:r w:rsidRPr="00552046">
              <w:rPr>
                <w:rFonts w:ascii="Times New Roman" w:eastAsiaTheme="minorEastAsia" w:hAnsi="Times New Roman" w:cs="Times New Roman"/>
              </w:rPr>
              <w:t>[0.000] **</w:t>
            </w:r>
            <w:r>
              <w:rPr>
                <w:rFonts w:ascii="Times New Roman" w:eastAsiaTheme="minorEastAsia" w:hAnsi="Times New Roman" w:cs="Times New Roman"/>
              </w:rPr>
              <w:t>*</w:t>
            </w:r>
          </w:p>
        </w:tc>
      </w:tr>
      <w:tr w:rsidR="003D26D8" w:rsidRPr="00552046" w14:paraId="642A28BF" w14:textId="77777777" w:rsidTr="003F4775">
        <w:trPr>
          <w:trHeight w:hRule="exact" w:val="284"/>
        </w:trPr>
        <w:tc>
          <w:tcPr>
            <w:tcW w:w="1555" w:type="dxa"/>
            <w:shd w:val="clear" w:color="auto" w:fill="auto"/>
            <w:vAlign w:val="center"/>
          </w:tcPr>
          <w:p w14:paraId="2CBF9184" w14:textId="77777777" w:rsidR="003D26D8" w:rsidRPr="00552046" w:rsidRDefault="003D26D8" w:rsidP="00D81E14">
            <w:pPr>
              <w:spacing w:before="30" w:after="30"/>
              <w:rPr>
                <w:rFonts w:ascii="Times New Roman" w:hAnsi="Times New Roman" w:cs="Times New Roman"/>
              </w:rPr>
            </w:pPr>
            <w:r w:rsidRPr="00552046">
              <w:rPr>
                <w:rFonts w:ascii="Times New Roman" w:hAnsi="Times New Roman" w:cs="Times New Roman"/>
              </w:rPr>
              <w:t>5</w:t>
            </w:r>
            <w:r w:rsidRPr="00552046">
              <w:rPr>
                <w:rFonts w:ascii="Times New Roman" w:hAnsi="Times New Roman" w:cs="Times New Roman"/>
                <w:vertAlign w:val="superscript"/>
              </w:rPr>
              <w:t xml:space="preserve">th </w:t>
            </w:r>
            <w:r w:rsidRPr="00552046">
              <w:rPr>
                <w:rFonts w:ascii="Times New Roman" w:hAnsi="Times New Roman" w:cs="Times New Roman"/>
              </w:rPr>
              <w:t>MSVAR</w:t>
            </w:r>
          </w:p>
        </w:tc>
        <w:tc>
          <w:tcPr>
            <w:tcW w:w="3730" w:type="dxa"/>
            <w:tcBorders>
              <w:top w:val="nil"/>
              <w:bottom w:val="single" w:sz="18" w:space="0" w:color="auto"/>
              <w:right w:val="nil"/>
            </w:tcBorders>
            <w:shd w:val="clear" w:color="auto" w:fill="auto"/>
            <w:vAlign w:val="center"/>
          </w:tcPr>
          <w:p w14:paraId="4C3E3936" w14:textId="77777777" w:rsidR="003D26D8" w:rsidRPr="00552046" w:rsidRDefault="00227DF5" w:rsidP="00D81E14">
            <w:pPr>
              <w:spacing w:before="30" w:after="30"/>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(32)</m:t>
              </m:r>
            </m:oMath>
            <w:r w:rsidR="003D26D8" w:rsidRPr="00552046">
              <w:rPr>
                <w:rFonts w:ascii="Times New Roman" w:eastAsiaTheme="minorEastAsia" w:hAnsi="Times New Roman" w:cs="Times New Roman"/>
              </w:rPr>
              <w:t>=1916.5[ 0.000] **</w:t>
            </w:r>
            <w:r w:rsidR="003D26D8">
              <w:rPr>
                <w:rFonts w:ascii="Times New Roman" w:eastAsiaTheme="minorEastAsia" w:hAnsi="Times New Roman" w:cs="Times New Roman"/>
              </w:rPr>
              <w:t>*</w:t>
            </w:r>
          </w:p>
        </w:tc>
        <w:tc>
          <w:tcPr>
            <w:tcW w:w="3731" w:type="dxa"/>
            <w:tcBorders>
              <w:top w:val="nil"/>
              <w:left w:val="nil"/>
              <w:bottom w:val="single" w:sz="18" w:space="0" w:color="auto"/>
              <w:right w:val="nil"/>
            </w:tcBorders>
            <w:shd w:val="clear" w:color="auto" w:fill="auto"/>
            <w:vAlign w:val="center"/>
          </w:tcPr>
          <w:p w14:paraId="0A25B8AB" w14:textId="77777777" w:rsidR="003D26D8" w:rsidRPr="00552046" w:rsidRDefault="003D26D8" w:rsidP="00D81E14">
            <w:pPr>
              <w:spacing w:before="30" w:after="30"/>
              <w:rPr>
                <w:rFonts w:ascii="Times New Roman" w:hAnsi="Times New Roman" w:cs="Times New Roman"/>
              </w:rPr>
            </w:pPr>
            <w:r w:rsidRPr="00552046">
              <w:rPr>
                <w:rFonts w:ascii="Times New Roman" w:eastAsiaTheme="minorEastAsia" w:hAnsi="Times New Roman" w:cs="Times New Roman"/>
              </w:rPr>
              <w:t>[0.000] **</w:t>
            </w:r>
            <w:r>
              <w:rPr>
                <w:rFonts w:ascii="Times New Roman" w:eastAsiaTheme="minorEastAsia" w:hAnsi="Times New Roman" w:cs="Times New Roman"/>
              </w:rPr>
              <w:t>*</w:t>
            </w:r>
          </w:p>
        </w:tc>
      </w:tr>
    </w:tbl>
    <w:p w14:paraId="406A232B" w14:textId="77777777" w:rsidR="003D26D8" w:rsidRPr="00D80E1F" w:rsidRDefault="003D26D8" w:rsidP="003F4775">
      <w:pPr>
        <w:rPr>
          <w:rFonts w:ascii="Times New Roman" w:hAnsi="Times New Roman" w:cs="Times New Roman"/>
          <w:sz w:val="20"/>
          <w:szCs w:val="20"/>
        </w:rPr>
      </w:pPr>
      <w:r w:rsidRPr="00D80E1F">
        <w:rPr>
          <w:rFonts w:ascii="Times New Roman" w:hAnsi="Times New Roman" w:cs="Times New Roman"/>
          <w:b/>
          <w:bCs/>
          <w:sz w:val="20"/>
          <w:szCs w:val="20"/>
        </w:rPr>
        <w:t xml:space="preserve">Note: </w:t>
      </w:r>
      <w:r w:rsidRPr="00D80E1F">
        <w:rPr>
          <w:rFonts w:ascii="Times New Roman" w:hAnsi="Times New Roman" w:cs="Times New Roman"/>
          <w:sz w:val="20"/>
          <w:szCs w:val="20"/>
        </w:rPr>
        <w:t>***, **, * represents significance at 1%, 5% and at 10% level respectively</w:t>
      </w:r>
    </w:p>
    <w:p w14:paraId="5AD6B5E2" w14:textId="77777777" w:rsidR="003D26D8" w:rsidRPr="008E6E59" w:rsidRDefault="003D26D8" w:rsidP="00D81E14">
      <w:pPr>
        <w:tabs>
          <w:tab w:val="left" w:pos="3600"/>
        </w:tabs>
        <w:spacing w:after="0"/>
        <w:jc w:val="center"/>
        <w:outlineLvl w:val="0"/>
        <w:rPr>
          <w:rFonts w:ascii="Times New Roman" w:hAnsi="Times New Roman" w:cs="Times New Roman"/>
          <w:b/>
        </w:rPr>
      </w:pPr>
      <w:r w:rsidRPr="008E6E59">
        <w:rPr>
          <w:rFonts w:ascii="Times New Roman" w:hAnsi="Times New Roman" w:cs="Times New Roman"/>
          <w:b/>
        </w:rPr>
        <w:t xml:space="preserve">Table </w:t>
      </w:r>
      <w:r>
        <w:rPr>
          <w:rFonts w:ascii="Times New Roman" w:hAnsi="Times New Roman" w:cs="Times New Roman"/>
          <w:b/>
        </w:rPr>
        <w:t>4</w:t>
      </w:r>
      <w:r w:rsidRPr="008E6E59">
        <w:rPr>
          <w:rFonts w:ascii="Times New Roman" w:hAnsi="Times New Roman" w:cs="Times New Roman"/>
          <w:b/>
        </w:rPr>
        <w:t>: Transition probabilities</w:t>
      </w:r>
    </w:p>
    <w:tbl>
      <w:tblPr>
        <w:tblStyle w:val="TableGrid"/>
        <w:tblW w:w="0" w:type="auto"/>
        <w:tblBorders>
          <w:top w:val="single" w:sz="18" w:space="0" w:color="auto"/>
          <w:left w:val="none" w:sz="0" w:space="0" w:color="auto"/>
          <w:bottom w:val="sing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915"/>
        <w:gridCol w:w="1916"/>
        <w:gridCol w:w="1916"/>
        <w:gridCol w:w="2463"/>
      </w:tblGrid>
      <w:tr w:rsidR="003D26D8" w:rsidRPr="008E6E59" w14:paraId="3E064CE1" w14:textId="77777777" w:rsidTr="003F4775">
        <w:trPr>
          <w:trHeight w:hRule="exact" w:val="283"/>
        </w:trPr>
        <w:tc>
          <w:tcPr>
            <w:tcW w:w="1915" w:type="dxa"/>
            <w:vMerge w:val="restart"/>
          </w:tcPr>
          <w:p w14:paraId="7A0C7D95" w14:textId="77777777" w:rsidR="003D26D8" w:rsidRPr="008E6E59" w:rsidRDefault="003D26D8" w:rsidP="0010469A">
            <w:pPr>
              <w:tabs>
                <w:tab w:val="left" w:pos="3600"/>
              </w:tabs>
              <w:rPr>
                <w:rFonts w:ascii="Times New Roman" w:hAnsi="Times New Roman" w:cs="Times New Roman"/>
                <w:b/>
              </w:rPr>
            </w:pPr>
            <w:r w:rsidRPr="008E6E59">
              <w:rPr>
                <w:rFonts w:ascii="Times New Roman" w:hAnsi="Times New Roman" w:cs="Times New Roman"/>
                <w:b/>
              </w:rPr>
              <w:t xml:space="preserve">Model </w:t>
            </w:r>
          </w:p>
        </w:tc>
        <w:tc>
          <w:tcPr>
            <w:tcW w:w="3503" w:type="dxa"/>
            <w:gridSpan w:val="2"/>
            <w:tcBorders>
              <w:bottom w:val="nil"/>
              <w:right w:val="nil"/>
            </w:tcBorders>
          </w:tcPr>
          <w:p w14:paraId="4C3ABF34" w14:textId="77777777" w:rsidR="003D26D8" w:rsidRPr="008E6E59" w:rsidRDefault="003D26D8" w:rsidP="0010469A">
            <w:pPr>
              <w:tabs>
                <w:tab w:val="left" w:pos="3600"/>
              </w:tabs>
              <w:rPr>
                <w:rFonts w:ascii="Times New Roman" w:hAnsi="Times New Roman" w:cs="Times New Roman"/>
                <w:b/>
              </w:rPr>
            </w:pPr>
            <w:r w:rsidRPr="008E6E59">
              <w:rPr>
                <w:rFonts w:ascii="Times New Roman" w:hAnsi="Times New Roman" w:cs="Times New Roman"/>
                <w:b/>
              </w:rPr>
              <w:t>Transition probabilities</w:t>
            </w:r>
          </w:p>
        </w:tc>
        <w:tc>
          <w:tcPr>
            <w:tcW w:w="2463" w:type="dxa"/>
            <w:vMerge w:val="restart"/>
            <w:tcBorders>
              <w:left w:val="nil"/>
            </w:tcBorders>
          </w:tcPr>
          <w:p w14:paraId="04C61452" w14:textId="77777777" w:rsidR="003D26D8" w:rsidRPr="008E6E59" w:rsidRDefault="003D26D8" w:rsidP="0010469A">
            <w:pPr>
              <w:tabs>
                <w:tab w:val="left" w:pos="3600"/>
              </w:tabs>
              <w:ind w:right="-566"/>
              <w:rPr>
                <w:rFonts w:ascii="Times New Roman" w:hAnsi="Times New Roman" w:cs="Times New Roman"/>
                <w:b/>
              </w:rPr>
            </w:pPr>
            <w:r w:rsidRPr="008E6E59">
              <w:rPr>
                <w:rFonts w:ascii="Times New Roman" w:hAnsi="Times New Roman" w:cs="Times New Roman"/>
                <w:b/>
              </w:rPr>
              <w:t>Duration of regime 1</w:t>
            </w:r>
          </w:p>
        </w:tc>
      </w:tr>
      <w:tr w:rsidR="003D26D8" w:rsidRPr="008E6E59" w14:paraId="5739B353" w14:textId="77777777" w:rsidTr="003F4775">
        <w:trPr>
          <w:trHeight w:hRule="exact" w:val="283"/>
        </w:trPr>
        <w:tc>
          <w:tcPr>
            <w:tcW w:w="1915" w:type="dxa"/>
            <w:vMerge/>
            <w:tcBorders>
              <w:bottom w:val="single" w:sz="18" w:space="0" w:color="auto"/>
            </w:tcBorders>
          </w:tcPr>
          <w:p w14:paraId="12C02B55" w14:textId="77777777" w:rsidR="003D26D8" w:rsidRPr="008E6E59" w:rsidRDefault="003D26D8" w:rsidP="0010469A">
            <w:pPr>
              <w:tabs>
                <w:tab w:val="left" w:pos="3600"/>
              </w:tabs>
              <w:rPr>
                <w:rFonts w:ascii="Times New Roman" w:hAnsi="Times New Roman" w:cs="Times New Roman"/>
              </w:rPr>
            </w:pPr>
          </w:p>
        </w:tc>
        <w:tc>
          <w:tcPr>
            <w:tcW w:w="1916" w:type="dxa"/>
            <w:tcBorders>
              <w:top w:val="nil"/>
              <w:bottom w:val="single" w:sz="18" w:space="0" w:color="auto"/>
              <w:right w:val="nil"/>
            </w:tcBorders>
          </w:tcPr>
          <w:p w14:paraId="714B1C51" w14:textId="77777777" w:rsidR="003D26D8" w:rsidRPr="008E6E59" w:rsidRDefault="003D26D8" w:rsidP="0010469A">
            <w:pPr>
              <w:tabs>
                <w:tab w:val="left" w:pos="3600"/>
              </w:tabs>
              <w:rPr>
                <w:rFonts w:ascii="Times New Roman" w:hAnsi="Times New Roman" w:cs="Times New Roman"/>
              </w:rPr>
            </w:pPr>
            <w:r w:rsidRPr="008E6E59">
              <w:rPr>
                <w:rFonts w:ascii="Times New Roman" w:hAnsi="Times New Roman" w:cs="Times New Roman"/>
              </w:rPr>
              <w:t>P(1|1)</w:t>
            </w:r>
          </w:p>
        </w:tc>
        <w:tc>
          <w:tcPr>
            <w:tcW w:w="1916" w:type="dxa"/>
            <w:tcBorders>
              <w:top w:val="nil"/>
              <w:left w:val="nil"/>
              <w:bottom w:val="single" w:sz="18" w:space="0" w:color="auto"/>
              <w:right w:val="nil"/>
            </w:tcBorders>
          </w:tcPr>
          <w:p w14:paraId="698A315B" w14:textId="77777777" w:rsidR="003D26D8" w:rsidRPr="008E6E59" w:rsidRDefault="003D26D8" w:rsidP="0010469A">
            <w:pPr>
              <w:tabs>
                <w:tab w:val="left" w:pos="3600"/>
              </w:tabs>
              <w:rPr>
                <w:rFonts w:ascii="Times New Roman" w:hAnsi="Times New Roman" w:cs="Times New Roman"/>
              </w:rPr>
            </w:pPr>
            <w:r w:rsidRPr="008E6E59">
              <w:rPr>
                <w:rFonts w:ascii="Times New Roman" w:hAnsi="Times New Roman" w:cs="Times New Roman"/>
              </w:rPr>
              <w:t>P(1|2)</w:t>
            </w:r>
          </w:p>
        </w:tc>
        <w:tc>
          <w:tcPr>
            <w:tcW w:w="2463" w:type="dxa"/>
            <w:vMerge/>
            <w:tcBorders>
              <w:left w:val="nil"/>
              <w:bottom w:val="single" w:sz="18" w:space="0" w:color="auto"/>
            </w:tcBorders>
          </w:tcPr>
          <w:p w14:paraId="7594597B" w14:textId="77777777" w:rsidR="003D26D8" w:rsidRPr="008E6E59" w:rsidRDefault="003D26D8" w:rsidP="0010469A">
            <w:pPr>
              <w:tabs>
                <w:tab w:val="left" w:pos="3600"/>
              </w:tabs>
              <w:rPr>
                <w:rFonts w:ascii="Times New Roman" w:hAnsi="Times New Roman" w:cs="Times New Roman"/>
              </w:rPr>
            </w:pPr>
          </w:p>
        </w:tc>
      </w:tr>
      <w:tr w:rsidR="003D26D8" w:rsidRPr="008E6E59" w14:paraId="5DF4EE92" w14:textId="77777777" w:rsidTr="003F4775">
        <w:trPr>
          <w:trHeight w:hRule="exact" w:val="284"/>
        </w:trPr>
        <w:tc>
          <w:tcPr>
            <w:tcW w:w="1915" w:type="dxa"/>
            <w:tcBorders>
              <w:bottom w:val="nil"/>
            </w:tcBorders>
          </w:tcPr>
          <w:p w14:paraId="5BA169DE"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1</w:t>
            </w:r>
            <w:r w:rsidRPr="008E6E59">
              <w:rPr>
                <w:rFonts w:ascii="Times New Roman" w:hAnsi="Times New Roman" w:cs="Times New Roman"/>
                <w:vertAlign w:val="superscript"/>
              </w:rPr>
              <w:t>st</w:t>
            </w:r>
            <w:r w:rsidRPr="008E6E59">
              <w:rPr>
                <w:rFonts w:ascii="Times New Roman" w:hAnsi="Times New Roman" w:cs="Times New Roman"/>
              </w:rPr>
              <w:t xml:space="preserve"> </w:t>
            </w:r>
            <w:r>
              <w:rPr>
                <w:rFonts w:ascii="Times New Roman" w:hAnsi="Times New Roman" w:cs="Times New Roman"/>
              </w:rPr>
              <w:t>MSVAR</w:t>
            </w:r>
          </w:p>
        </w:tc>
        <w:tc>
          <w:tcPr>
            <w:tcW w:w="1915" w:type="dxa"/>
            <w:tcBorders>
              <w:bottom w:val="nil"/>
              <w:right w:val="nil"/>
            </w:tcBorders>
          </w:tcPr>
          <w:p w14:paraId="5A674702"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0.975</w:t>
            </w:r>
          </w:p>
        </w:tc>
        <w:tc>
          <w:tcPr>
            <w:tcW w:w="1588" w:type="dxa"/>
            <w:tcBorders>
              <w:left w:val="nil"/>
              <w:bottom w:val="nil"/>
              <w:right w:val="nil"/>
            </w:tcBorders>
          </w:tcPr>
          <w:p w14:paraId="471BFE01"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0.025</w:t>
            </w:r>
          </w:p>
        </w:tc>
        <w:tc>
          <w:tcPr>
            <w:tcW w:w="2463" w:type="dxa"/>
            <w:tcBorders>
              <w:left w:val="nil"/>
              <w:bottom w:val="nil"/>
            </w:tcBorders>
          </w:tcPr>
          <w:p w14:paraId="17EC43E2"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40</w:t>
            </w:r>
          </w:p>
        </w:tc>
      </w:tr>
      <w:tr w:rsidR="003D26D8" w:rsidRPr="008E6E59" w14:paraId="7C70DE88" w14:textId="77777777" w:rsidTr="003F4775">
        <w:trPr>
          <w:trHeight w:hRule="exact" w:val="284"/>
        </w:trPr>
        <w:tc>
          <w:tcPr>
            <w:tcW w:w="1915" w:type="dxa"/>
            <w:tcBorders>
              <w:top w:val="nil"/>
              <w:bottom w:val="nil"/>
            </w:tcBorders>
          </w:tcPr>
          <w:p w14:paraId="18713D18"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2</w:t>
            </w:r>
            <w:r w:rsidRPr="008E6E59">
              <w:rPr>
                <w:rFonts w:ascii="Times New Roman" w:hAnsi="Times New Roman" w:cs="Times New Roman"/>
                <w:vertAlign w:val="superscript"/>
              </w:rPr>
              <w:t>nd</w:t>
            </w:r>
            <w:r w:rsidRPr="008E6E59">
              <w:rPr>
                <w:rFonts w:ascii="Times New Roman" w:hAnsi="Times New Roman" w:cs="Times New Roman"/>
              </w:rPr>
              <w:t xml:space="preserve"> </w:t>
            </w:r>
            <w:r>
              <w:rPr>
                <w:rFonts w:ascii="Times New Roman" w:hAnsi="Times New Roman" w:cs="Times New Roman"/>
              </w:rPr>
              <w:t>MSVAR</w:t>
            </w:r>
          </w:p>
        </w:tc>
        <w:tc>
          <w:tcPr>
            <w:tcW w:w="1915" w:type="dxa"/>
            <w:tcBorders>
              <w:top w:val="nil"/>
              <w:bottom w:val="nil"/>
              <w:right w:val="nil"/>
            </w:tcBorders>
          </w:tcPr>
          <w:p w14:paraId="4B418454"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0.974</w:t>
            </w:r>
          </w:p>
        </w:tc>
        <w:tc>
          <w:tcPr>
            <w:tcW w:w="1588" w:type="dxa"/>
            <w:tcBorders>
              <w:top w:val="nil"/>
              <w:left w:val="nil"/>
              <w:bottom w:val="nil"/>
              <w:right w:val="nil"/>
            </w:tcBorders>
          </w:tcPr>
          <w:p w14:paraId="2B7E76B7"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0.025</w:t>
            </w:r>
          </w:p>
        </w:tc>
        <w:tc>
          <w:tcPr>
            <w:tcW w:w="2463" w:type="dxa"/>
            <w:tcBorders>
              <w:top w:val="nil"/>
              <w:left w:val="nil"/>
              <w:bottom w:val="nil"/>
            </w:tcBorders>
          </w:tcPr>
          <w:p w14:paraId="2D9D090C"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38.5</w:t>
            </w:r>
          </w:p>
        </w:tc>
      </w:tr>
      <w:tr w:rsidR="003D26D8" w:rsidRPr="008E6E59" w14:paraId="06134C3D" w14:textId="77777777" w:rsidTr="003F4775">
        <w:trPr>
          <w:trHeight w:hRule="exact" w:val="284"/>
        </w:trPr>
        <w:tc>
          <w:tcPr>
            <w:tcW w:w="1915" w:type="dxa"/>
            <w:tcBorders>
              <w:top w:val="nil"/>
              <w:bottom w:val="nil"/>
            </w:tcBorders>
          </w:tcPr>
          <w:p w14:paraId="11160B0F"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3</w:t>
            </w:r>
            <w:r w:rsidRPr="008E6E59">
              <w:rPr>
                <w:rFonts w:ascii="Times New Roman" w:hAnsi="Times New Roman" w:cs="Times New Roman"/>
                <w:vertAlign w:val="superscript"/>
              </w:rPr>
              <w:t>rd</w:t>
            </w:r>
            <w:r w:rsidRPr="008E6E59">
              <w:rPr>
                <w:rFonts w:ascii="Times New Roman" w:hAnsi="Times New Roman" w:cs="Times New Roman"/>
              </w:rPr>
              <w:t xml:space="preserve"> </w:t>
            </w:r>
            <w:r>
              <w:rPr>
                <w:rFonts w:ascii="Times New Roman" w:hAnsi="Times New Roman" w:cs="Times New Roman"/>
              </w:rPr>
              <w:t>MSVAR</w:t>
            </w:r>
          </w:p>
        </w:tc>
        <w:tc>
          <w:tcPr>
            <w:tcW w:w="1915" w:type="dxa"/>
            <w:tcBorders>
              <w:top w:val="nil"/>
              <w:bottom w:val="nil"/>
              <w:right w:val="nil"/>
            </w:tcBorders>
          </w:tcPr>
          <w:p w14:paraId="15B2F779"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0.977</w:t>
            </w:r>
          </w:p>
        </w:tc>
        <w:tc>
          <w:tcPr>
            <w:tcW w:w="1588" w:type="dxa"/>
            <w:tcBorders>
              <w:top w:val="nil"/>
              <w:left w:val="nil"/>
              <w:bottom w:val="nil"/>
              <w:right w:val="nil"/>
            </w:tcBorders>
          </w:tcPr>
          <w:p w14:paraId="0DCC9934"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0.022</w:t>
            </w:r>
          </w:p>
        </w:tc>
        <w:tc>
          <w:tcPr>
            <w:tcW w:w="2463" w:type="dxa"/>
            <w:tcBorders>
              <w:top w:val="nil"/>
              <w:left w:val="nil"/>
              <w:bottom w:val="nil"/>
            </w:tcBorders>
          </w:tcPr>
          <w:p w14:paraId="7D1E14DD"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43.5</w:t>
            </w:r>
          </w:p>
        </w:tc>
      </w:tr>
      <w:tr w:rsidR="003D26D8" w:rsidRPr="008E6E59" w14:paraId="7635FE40" w14:textId="77777777" w:rsidTr="003F4775">
        <w:trPr>
          <w:trHeight w:hRule="exact" w:val="284"/>
        </w:trPr>
        <w:tc>
          <w:tcPr>
            <w:tcW w:w="1915" w:type="dxa"/>
            <w:tcBorders>
              <w:top w:val="nil"/>
              <w:bottom w:val="nil"/>
            </w:tcBorders>
          </w:tcPr>
          <w:p w14:paraId="2D606DA5"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4</w:t>
            </w:r>
            <w:r w:rsidRPr="008E6E59">
              <w:rPr>
                <w:rFonts w:ascii="Times New Roman" w:hAnsi="Times New Roman" w:cs="Times New Roman"/>
                <w:vertAlign w:val="superscript"/>
              </w:rPr>
              <w:t>th</w:t>
            </w:r>
            <w:r w:rsidRPr="008E6E59">
              <w:rPr>
                <w:rFonts w:ascii="Times New Roman" w:hAnsi="Times New Roman" w:cs="Times New Roman"/>
              </w:rPr>
              <w:t xml:space="preserve"> </w:t>
            </w:r>
            <w:r>
              <w:rPr>
                <w:rFonts w:ascii="Times New Roman" w:hAnsi="Times New Roman" w:cs="Times New Roman"/>
              </w:rPr>
              <w:t>MSVAR</w:t>
            </w:r>
          </w:p>
        </w:tc>
        <w:tc>
          <w:tcPr>
            <w:tcW w:w="1915" w:type="dxa"/>
            <w:tcBorders>
              <w:top w:val="nil"/>
              <w:bottom w:val="nil"/>
              <w:right w:val="nil"/>
            </w:tcBorders>
          </w:tcPr>
          <w:p w14:paraId="675B103B"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0.976</w:t>
            </w:r>
          </w:p>
        </w:tc>
        <w:tc>
          <w:tcPr>
            <w:tcW w:w="1588" w:type="dxa"/>
            <w:tcBorders>
              <w:top w:val="nil"/>
              <w:left w:val="nil"/>
              <w:bottom w:val="nil"/>
              <w:right w:val="nil"/>
            </w:tcBorders>
          </w:tcPr>
          <w:p w14:paraId="2B8A979A"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0.023</w:t>
            </w:r>
          </w:p>
        </w:tc>
        <w:tc>
          <w:tcPr>
            <w:tcW w:w="2463" w:type="dxa"/>
            <w:tcBorders>
              <w:top w:val="nil"/>
              <w:left w:val="nil"/>
              <w:bottom w:val="nil"/>
            </w:tcBorders>
          </w:tcPr>
          <w:p w14:paraId="7EE6C58F"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43.5</w:t>
            </w:r>
          </w:p>
        </w:tc>
      </w:tr>
      <w:tr w:rsidR="003D26D8" w:rsidRPr="008E6E59" w14:paraId="6D63948B" w14:textId="77777777" w:rsidTr="003F4775">
        <w:trPr>
          <w:trHeight w:hRule="exact" w:val="284"/>
        </w:trPr>
        <w:tc>
          <w:tcPr>
            <w:tcW w:w="1915" w:type="dxa"/>
            <w:tcBorders>
              <w:top w:val="nil"/>
            </w:tcBorders>
          </w:tcPr>
          <w:p w14:paraId="1067CE78"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5</w:t>
            </w:r>
            <w:r w:rsidRPr="008E6E59">
              <w:rPr>
                <w:rFonts w:ascii="Times New Roman" w:hAnsi="Times New Roman" w:cs="Times New Roman"/>
                <w:vertAlign w:val="superscript"/>
              </w:rPr>
              <w:t>th</w:t>
            </w:r>
            <w:r w:rsidRPr="008E6E59">
              <w:rPr>
                <w:rFonts w:ascii="Times New Roman" w:hAnsi="Times New Roman" w:cs="Times New Roman"/>
              </w:rPr>
              <w:t xml:space="preserve"> </w:t>
            </w:r>
            <w:r>
              <w:rPr>
                <w:rFonts w:ascii="Times New Roman" w:hAnsi="Times New Roman" w:cs="Times New Roman"/>
              </w:rPr>
              <w:t>MSVAR</w:t>
            </w:r>
          </w:p>
        </w:tc>
        <w:tc>
          <w:tcPr>
            <w:tcW w:w="1915" w:type="dxa"/>
            <w:tcBorders>
              <w:top w:val="nil"/>
              <w:right w:val="nil"/>
            </w:tcBorders>
          </w:tcPr>
          <w:p w14:paraId="796896C0"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0.974</w:t>
            </w:r>
          </w:p>
        </w:tc>
        <w:tc>
          <w:tcPr>
            <w:tcW w:w="1588" w:type="dxa"/>
            <w:tcBorders>
              <w:top w:val="nil"/>
              <w:left w:val="nil"/>
              <w:right w:val="nil"/>
            </w:tcBorders>
          </w:tcPr>
          <w:p w14:paraId="3C6C36B1"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0.026</w:t>
            </w:r>
          </w:p>
        </w:tc>
        <w:tc>
          <w:tcPr>
            <w:tcW w:w="2463" w:type="dxa"/>
            <w:tcBorders>
              <w:top w:val="nil"/>
              <w:left w:val="nil"/>
            </w:tcBorders>
          </w:tcPr>
          <w:p w14:paraId="1E7AF05B" w14:textId="77777777" w:rsidR="003D26D8" w:rsidRPr="008E6E59" w:rsidRDefault="003D26D8" w:rsidP="00D81E14">
            <w:pPr>
              <w:tabs>
                <w:tab w:val="left" w:pos="3600"/>
              </w:tabs>
              <w:spacing w:before="30" w:after="30"/>
              <w:rPr>
                <w:rFonts w:ascii="Times New Roman" w:hAnsi="Times New Roman" w:cs="Times New Roman"/>
              </w:rPr>
            </w:pPr>
            <w:r w:rsidRPr="008E6E59">
              <w:rPr>
                <w:rFonts w:ascii="Times New Roman" w:hAnsi="Times New Roman" w:cs="Times New Roman"/>
              </w:rPr>
              <w:t>38.5</w:t>
            </w:r>
          </w:p>
        </w:tc>
      </w:tr>
    </w:tbl>
    <w:p w14:paraId="20468F42" w14:textId="77777777" w:rsidR="003D26D8" w:rsidRDefault="003D26D8">
      <w:pPr>
        <w:rPr>
          <w:rFonts w:ascii="Times New Roman" w:hAnsi="Times New Roman" w:cs="Times New Roman"/>
        </w:rPr>
      </w:pPr>
      <w:r w:rsidRPr="008E6E59">
        <w:rPr>
          <w:rFonts w:ascii="Times New Roman" w:hAnsi="Times New Roman" w:cs="Times New Roman"/>
          <w:b/>
          <w:sz w:val="20"/>
          <w:szCs w:val="20"/>
        </w:rPr>
        <w:t>Note:</w:t>
      </w:r>
      <w:r w:rsidRPr="008E6E59">
        <w:rPr>
          <w:rFonts w:ascii="Times New Roman" w:hAnsi="Times New Roman" w:cs="Times New Roman"/>
          <w:sz w:val="20"/>
          <w:szCs w:val="20"/>
        </w:rPr>
        <w:t xml:space="preserve"> P</w:t>
      </w:r>
      <w:r>
        <w:rPr>
          <w:rFonts w:ascii="Times New Roman" w:hAnsi="Times New Roman" w:cs="Times New Roman"/>
          <w:sz w:val="20"/>
          <w:szCs w:val="20"/>
        </w:rPr>
        <w:t xml:space="preserve"> </w:t>
      </w:r>
      <w:r w:rsidRPr="008E6E59">
        <w:rPr>
          <w:rFonts w:ascii="Times New Roman" w:hAnsi="Times New Roman" w:cs="Times New Roman"/>
          <w:sz w:val="20"/>
          <w:szCs w:val="20"/>
        </w:rPr>
        <w:t>(1|1) is the probability of staying in regime 1. P</w:t>
      </w:r>
      <w:r>
        <w:rPr>
          <w:rFonts w:ascii="Times New Roman" w:hAnsi="Times New Roman" w:cs="Times New Roman"/>
          <w:sz w:val="20"/>
          <w:szCs w:val="20"/>
        </w:rPr>
        <w:t xml:space="preserve"> </w:t>
      </w:r>
      <w:r w:rsidRPr="008E6E59">
        <w:rPr>
          <w:rFonts w:ascii="Times New Roman" w:hAnsi="Times New Roman" w:cs="Times New Roman"/>
          <w:sz w:val="20"/>
          <w:szCs w:val="20"/>
        </w:rPr>
        <w:t>(1|2) is the probability of moving to regime</w:t>
      </w:r>
    </w:p>
    <w:p w14:paraId="5A03E522" w14:textId="53997957" w:rsidR="003D26D8" w:rsidRPr="008E6E59" w:rsidRDefault="003D26D8" w:rsidP="00D81E14">
      <w:pPr>
        <w:tabs>
          <w:tab w:val="left" w:pos="3600"/>
        </w:tabs>
        <w:spacing w:after="0"/>
        <w:jc w:val="center"/>
        <w:rPr>
          <w:rFonts w:ascii="Times New Roman" w:hAnsi="Times New Roman" w:cs="Times New Roman"/>
          <w:b/>
          <w:bCs/>
        </w:rPr>
      </w:pPr>
      <w:r w:rsidRPr="008E6E59">
        <w:rPr>
          <w:rFonts w:ascii="Times New Roman" w:hAnsi="Times New Roman" w:cs="Times New Roman"/>
          <w:b/>
          <w:bCs/>
        </w:rPr>
        <w:t>Table</w:t>
      </w:r>
      <w:r>
        <w:rPr>
          <w:rFonts w:ascii="Times New Roman" w:hAnsi="Times New Roman" w:cs="Times New Roman"/>
          <w:b/>
          <w:bCs/>
        </w:rPr>
        <w:t xml:space="preserve"> 5</w:t>
      </w:r>
      <w:r w:rsidRPr="008E6E59">
        <w:rPr>
          <w:rFonts w:ascii="Times New Roman" w:hAnsi="Times New Roman" w:cs="Times New Roman"/>
          <w:b/>
          <w:bCs/>
        </w:rPr>
        <w:t>: Flight to quality test</w:t>
      </w:r>
    </w:p>
    <w:tbl>
      <w:tblPr>
        <w:tblStyle w:val="TableGrid"/>
        <w:tblW w:w="9648" w:type="dxa"/>
        <w:tblLook w:val="04A0" w:firstRow="1" w:lastRow="0" w:firstColumn="1" w:lastColumn="0" w:noHBand="0" w:noVBand="1"/>
      </w:tblPr>
      <w:tblGrid>
        <w:gridCol w:w="1908"/>
        <w:gridCol w:w="3600"/>
        <w:gridCol w:w="4140"/>
      </w:tblGrid>
      <w:tr w:rsidR="003D26D8" w:rsidRPr="008E6E59" w14:paraId="39247E2D" w14:textId="77777777" w:rsidTr="00F8228D">
        <w:trPr>
          <w:trHeight w:hRule="exact" w:val="284"/>
        </w:trPr>
        <w:tc>
          <w:tcPr>
            <w:tcW w:w="1908" w:type="dxa"/>
            <w:tcBorders>
              <w:top w:val="single" w:sz="18" w:space="0" w:color="auto"/>
              <w:left w:val="nil"/>
              <w:bottom w:val="single" w:sz="18" w:space="0" w:color="auto"/>
              <w:right w:val="single" w:sz="18" w:space="0" w:color="auto"/>
            </w:tcBorders>
            <w:vAlign w:val="center"/>
          </w:tcPr>
          <w:p w14:paraId="627A3EC3" w14:textId="77777777" w:rsidR="003D26D8" w:rsidRPr="008E6E59" w:rsidRDefault="003D26D8" w:rsidP="0010469A">
            <w:pPr>
              <w:rPr>
                <w:rFonts w:ascii="Times New Roman" w:hAnsi="Times New Roman" w:cs="Times New Roman"/>
              </w:rPr>
            </w:pPr>
          </w:p>
        </w:tc>
        <w:tc>
          <w:tcPr>
            <w:tcW w:w="3600" w:type="dxa"/>
            <w:tcBorders>
              <w:top w:val="single" w:sz="18" w:space="0" w:color="auto"/>
              <w:left w:val="single" w:sz="18" w:space="0" w:color="auto"/>
              <w:bottom w:val="single" w:sz="18" w:space="0" w:color="auto"/>
              <w:right w:val="nil"/>
            </w:tcBorders>
            <w:vAlign w:val="center"/>
          </w:tcPr>
          <w:p w14:paraId="06C6B0E2" w14:textId="77777777" w:rsidR="003D26D8" w:rsidRPr="008E6E59" w:rsidRDefault="003D26D8" w:rsidP="0010469A">
            <w:pPr>
              <w:rPr>
                <w:rFonts w:ascii="Times New Roman" w:eastAsiaTheme="minorEastAsia" w:hAnsi="Times New Roman" w:cs="Times New Roman"/>
                <w:b/>
              </w:rPr>
            </w:pPr>
            <m:oMathPara>
              <m:oMath>
                <m:r>
                  <m:rPr>
                    <m:sty m:val="b"/>
                  </m:rPr>
                  <w:rPr>
                    <w:rFonts w:ascii="Cambria Math" w:hAnsi="Cambria Math" w:cs="Times New Roman"/>
                  </w:rPr>
                  <m:t>Boom</m:t>
                </m:r>
              </m:oMath>
            </m:oMathPara>
          </w:p>
        </w:tc>
        <w:tc>
          <w:tcPr>
            <w:tcW w:w="4140" w:type="dxa"/>
            <w:tcBorders>
              <w:top w:val="single" w:sz="18" w:space="0" w:color="auto"/>
              <w:left w:val="nil"/>
              <w:bottom w:val="single" w:sz="18" w:space="0" w:color="auto"/>
              <w:right w:val="nil"/>
            </w:tcBorders>
            <w:vAlign w:val="center"/>
          </w:tcPr>
          <w:p w14:paraId="0F7C931D" w14:textId="77777777" w:rsidR="003D26D8" w:rsidRPr="008E6E59" w:rsidRDefault="003D26D8" w:rsidP="0010469A">
            <w:pPr>
              <w:rPr>
                <w:rFonts w:ascii="Times New Roman" w:hAnsi="Times New Roman" w:cs="Times New Roman"/>
                <w:b/>
              </w:rPr>
            </w:pPr>
            <m:oMathPara>
              <m:oMath>
                <m:r>
                  <m:rPr>
                    <m:sty m:val="b"/>
                  </m:rPr>
                  <w:rPr>
                    <w:rFonts w:ascii="Cambria Math" w:hAnsi="Cambria Math" w:cs="Times New Roman"/>
                  </w:rPr>
                  <m:t>Recession</m:t>
                </m:r>
              </m:oMath>
            </m:oMathPara>
          </w:p>
        </w:tc>
      </w:tr>
      <w:tr w:rsidR="003D26D8" w:rsidRPr="008E6E59" w14:paraId="48A180DF" w14:textId="77777777" w:rsidTr="0010469A">
        <w:tc>
          <w:tcPr>
            <w:tcW w:w="1908" w:type="dxa"/>
            <w:tcBorders>
              <w:top w:val="single" w:sz="18" w:space="0" w:color="auto"/>
              <w:left w:val="nil"/>
              <w:bottom w:val="single" w:sz="18" w:space="0" w:color="auto"/>
              <w:right w:val="single" w:sz="18" w:space="0" w:color="auto"/>
            </w:tcBorders>
            <w:vAlign w:val="center"/>
          </w:tcPr>
          <w:p w14:paraId="4809587E" w14:textId="77777777" w:rsidR="003D26D8" w:rsidRPr="008E6E59" w:rsidRDefault="003D26D8" w:rsidP="0010469A">
            <w:pPr>
              <w:rPr>
                <w:rFonts w:ascii="Times New Roman" w:hAnsi="Times New Roman" w:cs="Times New Roman"/>
              </w:rPr>
            </w:pPr>
          </w:p>
        </w:tc>
        <w:tc>
          <w:tcPr>
            <w:tcW w:w="7740" w:type="dxa"/>
            <w:gridSpan w:val="2"/>
            <w:tcBorders>
              <w:top w:val="single" w:sz="18" w:space="0" w:color="auto"/>
              <w:left w:val="single" w:sz="18" w:space="0" w:color="auto"/>
              <w:bottom w:val="single" w:sz="18" w:space="0" w:color="auto"/>
              <w:right w:val="nil"/>
            </w:tcBorders>
            <w:vAlign w:val="center"/>
          </w:tcPr>
          <w:p w14:paraId="2994B2F1" w14:textId="6C698759" w:rsidR="003D26D8" w:rsidRPr="008E6E59" w:rsidRDefault="00227DF5" w:rsidP="0010469A">
            <w:pPr>
              <w:tabs>
                <w:tab w:val="left" w:pos="1422"/>
              </w:tabs>
              <w:ind w:right="39"/>
              <w:rPr>
                <w:rFonts w:ascii="Times New Roman" w:hAnsi="Times New Roman" w:cs="Times New Roman"/>
              </w:rPr>
            </w:pPr>
            <m:oMathPara>
              <m:oMathParaPr>
                <m:jc m:val="center"/>
              </m:oMathParaPr>
              <m:oMath>
                <m:f>
                  <m:fPr>
                    <m:ctrlPr>
                      <w:rPr>
                        <w:rFonts w:ascii="Cambria Math" w:hAnsi="Cambria Math" w:cs="Times New Roman"/>
                        <w:i/>
                      </w:rPr>
                    </m:ctrlPr>
                  </m:fPr>
                  <m:num>
                    <m:r>
                      <w:rPr>
                        <w:rFonts w:ascii="Cambria Math" w:hAnsi="Cambria Math" w:cs="Times New Roman"/>
                      </w:rPr>
                      <m:t>repossion</m:t>
                    </m:r>
                  </m:num>
                  <m:den>
                    <m:r>
                      <w:rPr>
                        <w:rFonts w:ascii="Cambria Math" w:hAnsi="Cambria Math" w:cs="Times New Roman"/>
                      </w:rPr>
                      <m:t>total mortgages</m:t>
                    </m:r>
                  </m:den>
                </m:f>
              </m:oMath>
            </m:oMathPara>
          </w:p>
        </w:tc>
      </w:tr>
      <w:tr w:rsidR="003D26D8" w:rsidRPr="008E6E59" w14:paraId="760E0F10" w14:textId="77777777" w:rsidTr="00327634">
        <w:trPr>
          <w:trHeight w:val="283"/>
        </w:trPr>
        <w:tc>
          <w:tcPr>
            <w:tcW w:w="1908" w:type="dxa"/>
            <w:tcBorders>
              <w:top w:val="single" w:sz="18" w:space="0" w:color="auto"/>
              <w:left w:val="nil"/>
              <w:bottom w:val="nil"/>
              <w:right w:val="single" w:sz="18" w:space="0" w:color="auto"/>
            </w:tcBorders>
            <w:vAlign w:val="center"/>
          </w:tcPr>
          <w:p w14:paraId="76D9C320" w14:textId="77777777" w:rsidR="003D26D8" w:rsidRPr="008E6E59" w:rsidRDefault="00227DF5" w:rsidP="0010469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inflation</m:t>
                    </m:r>
                  </m:e>
                  <m:sub>
                    <m:r>
                      <w:rPr>
                        <w:rFonts w:ascii="Cambria Math" w:hAnsi="Cambria Math" w:cs="Times New Roman"/>
                      </w:rPr>
                      <m:t>t-1</m:t>
                    </m:r>
                  </m:sub>
                </m:sSub>
              </m:oMath>
            </m:oMathPara>
          </w:p>
        </w:tc>
        <w:tc>
          <w:tcPr>
            <w:tcW w:w="3600" w:type="dxa"/>
            <w:tcBorders>
              <w:top w:val="single" w:sz="18" w:space="0" w:color="auto"/>
              <w:left w:val="single" w:sz="18" w:space="0" w:color="auto"/>
              <w:bottom w:val="nil"/>
              <w:right w:val="nil"/>
            </w:tcBorders>
            <w:vAlign w:val="center"/>
          </w:tcPr>
          <w:p w14:paraId="1B1F93D8" w14:textId="77777777" w:rsidR="003D26D8" w:rsidRPr="008E6E59" w:rsidRDefault="00227DF5" w:rsidP="0010469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0.010</m:t>
                    </m:r>
                  </m:e>
                  <m:sup>
                    <m:r>
                      <w:rPr>
                        <w:rFonts w:ascii="Cambria Math" w:hAnsi="Cambria Math" w:cs="Times New Roman"/>
                      </w:rPr>
                      <m:t>*</m:t>
                    </m:r>
                  </m:sup>
                </m:sSup>
              </m:oMath>
            </m:oMathPara>
          </w:p>
        </w:tc>
        <w:tc>
          <w:tcPr>
            <w:tcW w:w="4140" w:type="dxa"/>
            <w:tcBorders>
              <w:top w:val="single" w:sz="18" w:space="0" w:color="auto"/>
              <w:left w:val="nil"/>
              <w:bottom w:val="nil"/>
              <w:right w:val="nil"/>
            </w:tcBorders>
            <w:vAlign w:val="center"/>
          </w:tcPr>
          <w:p w14:paraId="25778AA1" w14:textId="77777777" w:rsidR="003D26D8" w:rsidRPr="008E6E59" w:rsidRDefault="003D26D8" w:rsidP="0010469A">
            <w:pPr>
              <w:rPr>
                <w:rFonts w:ascii="Times New Roman" w:hAnsi="Times New Roman" w:cs="Times New Roman"/>
              </w:rPr>
            </w:pPr>
            <m:oMathPara>
              <m:oMath>
                <m:r>
                  <w:rPr>
                    <w:rFonts w:ascii="Cambria Math" w:hAnsi="Cambria Math" w:cs="Times New Roman"/>
                  </w:rPr>
                  <m:t>0.001</m:t>
                </m:r>
              </m:oMath>
            </m:oMathPara>
          </w:p>
        </w:tc>
      </w:tr>
      <w:tr w:rsidR="003D26D8" w:rsidRPr="008E6E59" w14:paraId="1CD0BCDB" w14:textId="77777777" w:rsidTr="00327634">
        <w:trPr>
          <w:trHeight w:val="283"/>
        </w:trPr>
        <w:tc>
          <w:tcPr>
            <w:tcW w:w="1908" w:type="dxa"/>
            <w:tcBorders>
              <w:top w:val="nil"/>
              <w:left w:val="nil"/>
              <w:bottom w:val="nil"/>
              <w:right w:val="single" w:sz="18" w:space="0" w:color="auto"/>
            </w:tcBorders>
            <w:vAlign w:val="center"/>
          </w:tcPr>
          <w:p w14:paraId="1464CB15" w14:textId="77777777" w:rsidR="003D26D8" w:rsidRPr="008E6E59" w:rsidRDefault="00227DF5" w:rsidP="0010469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Δhouse price</m:t>
                    </m:r>
                  </m:e>
                  <m:sub>
                    <m:r>
                      <w:rPr>
                        <w:rFonts w:ascii="Cambria Math" w:hAnsi="Cambria Math" w:cs="Times New Roman"/>
                      </w:rPr>
                      <m:t>t-2</m:t>
                    </m:r>
                  </m:sub>
                </m:sSub>
              </m:oMath>
            </m:oMathPara>
          </w:p>
        </w:tc>
        <w:tc>
          <w:tcPr>
            <w:tcW w:w="3600" w:type="dxa"/>
            <w:tcBorders>
              <w:top w:val="nil"/>
              <w:left w:val="single" w:sz="18" w:space="0" w:color="auto"/>
              <w:bottom w:val="nil"/>
              <w:right w:val="nil"/>
            </w:tcBorders>
            <w:vAlign w:val="center"/>
          </w:tcPr>
          <w:p w14:paraId="79CF9840" w14:textId="77777777" w:rsidR="003D26D8" w:rsidRPr="008E6E59" w:rsidRDefault="00227DF5" w:rsidP="0010469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-0.092</m:t>
                    </m:r>
                  </m:e>
                  <m:sup>
                    <m:r>
                      <w:rPr>
                        <w:rFonts w:ascii="Cambria Math" w:hAnsi="Cambria Math" w:cs="Times New Roman"/>
                      </w:rPr>
                      <m:t>***</m:t>
                    </m:r>
                  </m:sup>
                </m:sSup>
              </m:oMath>
            </m:oMathPara>
          </w:p>
        </w:tc>
        <w:tc>
          <w:tcPr>
            <w:tcW w:w="4140" w:type="dxa"/>
            <w:tcBorders>
              <w:top w:val="nil"/>
              <w:left w:val="nil"/>
              <w:bottom w:val="nil"/>
              <w:right w:val="nil"/>
            </w:tcBorders>
            <w:vAlign w:val="center"/>
          </w:tcPr>
          <w:p w14:paraId="2C10D539" w14:textId="77777777" w:rsidR="003D26D8" w:rsidRPr="008E6E59" w:rsidRDefault="00227DF5" w:rsidP="0010469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-0.152</m:t>
                    </m:r>
                  </m:e>
                  <m:sup>
                    <m:r>
                      <w:rPr>
                        <w:rFonts w:ascii="Cambria Math" w:hAnsi="Cambria Math" w:cs="Times New Roman"/>
                      </w:rPr>
                      <m:t>***</m:t>
                    </m:r>
                  </m:sup>
                </m:sSup>
              </m:oMath>
            </m:oMathPara>
          </w:p>
        </w:tc>
      </w:tr>
      <w:tr w:rsidR="003D26D8" w:rsidRPr="008E6E59" w14:paraId="3CDF5331" w14:textId="77777777" w:rsidTr="00327634">
        <w:trPr>
          <w:trHeight w:val="283"/>
        </w:trPr>
        <w:tc>
          <w:tcPr>
            <w:tcW w:w="1908" w:type="dxa"/>
            <w:tcBorders>
              <w:top w:val="nil"/>
              <w:left w:val="nil"/>
              <w:bottom w:val="nil"/>
              <w:right w:val="single" w:sz="18" w:space="0" w:color="auto"/>
            </w:tcBorders>
            <w:vAlign w:val="center"/>
          </w:tcPr>
          <w:p w14:paraId="0EE9EC89" w14:textId="77777777" w:rsidR="003D26D8" w:rsidRPr="008E6E59" w:rsidRDefault="00227DF5" w:rsidP="0010469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Δgdp</m:t>
                    </m:r>
                  </m:e>
                  <m:sub>
                    <m:r>
                      <w:rPr>
                        <w:rFonts w:ascii="Cambria Math" w:hAnsi="Cambria Math" w:cs="Times New Roman"/>
                      </w:rPr>
                      <m:t>t-2</m:t>
                    </m:r>
                  </m:sub>
                </m:sSub>
              </m:oMath>
            </m:oMathPara>
          </w:p>
        </w:tc>
        <w:tc>
          <w:tcPr>
            <w:tcW w:w="3600" w:type="dxa"/>
            <w:tcBorders>
              <w:top w:val="nil"/>
              <w:left w:val="single" w:sz="18" w:space="0" w:color="auto"/>
              <w:bottom w:val="nil"/>
              <w:right w:val="nil"/>
            </w:tcBorders>
            <w:vAlign w:val="center"/>
          </w:tcPr>
          <w:p w14:paraId="3F24087B" w14:textId="77777777" w:rsidR="003D26D8" w:rsidRPr="008E6E59" w:rsidRDefault="003D26D8" w:rsidP="0010469A">
            <w:pPr>
              <w:rPr>
                <w:rFonts w:ascii="Times New Roman" w:hAnsi="Times New Roman" w:cs="Times New Roman"/>
              </w:rPr>
            </w:pPr>
            <m:oMathPara>
              <m:oMath>
                <m:r>
                  <w:rPr>
                    <w:rFonts w:ascii="Cambria Math" w:eastAsiaTheme="minorEastAsia" w:hAnsi="Cambria Math" w:cs="Times New Roman"/>
                  </w:rPr>
                  <m:t>0001</m:t>
                </m:r>
                <m:r>
                  <w:rPr>
                    <w:rFonts w:ascii="Cambria Math" w:hAnsi="Cambria Math" w:cs="Times New Roman"/>
                  </w:rPr>
                  <m:t>.</m:t>
                </m:r>
              </m:oMath>
            </m:oMathPara>
          </w:p>
        </w:tc>
        <w:tc>
          <w:tcPr>
            <w:tcW w:w="4140" w:type="dxa"/>
            <w:tcBorders>
              <w:top w:val="nil"/>
              <w:left w:val="nil"/>
              <w:bottom w:val="nil"/>
              <w:right w:val="nil"/>
            </w:tcBorders>
            <w:vAlign w:val="center"/>
          </w:tcPr>
          <w:p w14:paraId="64661FD0" w14:textId="77777777" w:rsidR="003D26D8" w:rsidRPr="008E6E59" w:rsidRDefault="00227DF5" w:rsidP="0010469A">
            <w:pPr>
              <w:rPr>
                <w:rFonts w:ascii="Times New Roman" w:eastAsiaTheme="minorEastAsia" w:hAnsi="Times New Roman"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-0.01</m:t>
                    </m:r>
                  </m:e>
                  <m:sup>
                    <m:r>
                      <w:rPr>
                        <w:rFonts w:ascii="Cambria Math" w:eastAsiaTheme="minorEastAsia" w:hAnsi="Cambria Math" w:cs="Times New Roman"/>
                      </w:rPr>
                      <m:t>**</m:t>
                    </m:r>
                  </m:sup>
                </m:sSup>
              </m:oMath>
            </m:oMathPara>
          </w:p>
        </w:tc>
      </w:tr>
      <w:tr w:rsidR="003D26D8" w:rsidRPr="008E6E59" w14:paraId="4B9900EC" w14:textId="77777777" w:rsidTr="00327634">
        <w:trPr>
          <w:trHeight w:val="283"/>
        </w:trPr>
        <w:tc>
          <w:tcPr>
            <w:tcW w:w="1908" w:type="dxa"/>
            <w:tcBorders>
              <w:top w:val="nil"/>
              <w:left w:val="nil"/>
              <w:bottom w:val="nil"/>
              <w:right w:val="single" w:sz="18" w:space="0" w:color="auto"/>
            </w:tcBorders>
            <w:vAlign w:val="center"/>
          </w:tcPr>
          <w:p w14:paraId="5E875677" w14:textId="77777777" w:rsidR="003D26D8" w:rsidRPr="008E6E59" w:rsidRDefault="00227DF5" w:rsidP="0010469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mix</m:t>
                    </m:r>
                  </m:e>
                  <m:sub>
                    <m:r>
                      <w:rPr>
                        <w:rFonts w:ascii="Cambria Math" w:hAnsi="Cambria Math" w:cs="Times New Roman"/>
                      </w:rPr>
                      <m:t>t-1</m:t>
                    </m:r>
                  </m:sub>
                </m:sSub>
              </m:oMath>
            </m:oMathPara>
          </w:p>
        </w:tc>
        <w:tc>
          <w:tcPr>
            <w:tcW w:w="3600" w:type="dxa"/>
            <w:tcBorders>
              <w:top w:val="nil"/>
              <w:left w:val="single" w:sz="18" w:space="0" w:color="auto"/>
              <w:bottom w:val="nil"/>
              <w:right w:val="nil"/>
            </w:tcBorders>
            <w:vAlign w:val="center"/>
          </w:tcPr>
          <w:p w14:paraId="090D0101" w14:textId="77777777" w:rsidR="003D26D8" w:rsidRPr="008E6E59" w:rsidRDefault="003D26D8" w:rsidP="0010469A">
            <w:pPr>
              <w:rPr>
                <w:rFonts w:ascii="Times New Roman" w:hAnsi="Times New Roman" w:cs="Times New Roman"/>
              </w:rPr>
            </w:pPr>
            <m:oMathPara>
              <m:oMath>
                <m:r>
                  <w:rPr>
                    <w:rFonts w:ascii="Cambria Math" w:hAnsi="Cambria Math" w:cs="Times New Roman"/>
                  </w:rPr>
                  <m:t>0.005</m:t>
                </m:r>
              </m:oMath>
            </m:oMathPara>
          </w:p>
        </w:tc>
        <w:tc>
          <w:tcPr>
            <w:tcW w:w="4140" w:type="dxa"/>
            <w:tcBorders>
              <w:top w:val="nil"/>
              <w:left w:val="nil"/>
              <w:bottom w:val="nil"/>
              <w:right w:val="nil"/>
            </w:tcBorders>
            <w:vAlign w:val="center"/>
          </w:tcPr>
          <w:p w14:paraId="52EC3ACF" w14:textId="77777777" w:rsidR="003D26D8" w:rsidRPr="008E6E59" w:rsidRDefault="00227DF5" w:rsidP="0010469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-0.056</m:t>
                    </m:r>
                  </m:e>
                  <m:sup>
                    <m:r>
                      <w:rPr>
                        <w:rFonts w:ascii="Cambria Math" w:hAnsi="Cambria Math" w:cs="Times New Roman"/>
                      </w:rPr>
                      <m:t>**</m:t>
                    </m:r>
                  </m:sup>
                </m:sSup>
              </m:oMath>
            </m:oMathPara>
          </w:p>
        </w:tc>
      </w:tr>
      <w:tr w:rsidR="003D26D8" w:rsidRPr="008E6E59" w14:paraId="749E7816" w14:textId="77777777" w:rsidTr="00327634">
        <w:trPr>
          <w:trHeight w:val="283"/>
        </w:trPr>
        <w:tc>
          <w:tcPr>
            <w:tcW w:w="1908" w:type="dxa"/>
            <w:tcBorders>
              <w:top w:val="nil"/>
              <w:left w:val="nil"/>
              <w:bottom w:val="nil"/>
              <w:right w:val="single" w:sz="18" w:space="0" w:color="auto"/>
            </w:tcBorders>
            <w:vAlign w:val="center"/>
          </w:tcPr>
          <w:p w14:paraId="47C542E3" w14:textId="77777777" w:rsidR="003D26D8" w:rsidRPr="008E6E59" w:rsidRDefault="003D26D8" w:rsidP="0010469A">
            <w:pPr>
              <w:rPr>
                <w:rFonts w:ascii="Times New Roman" w:hAnsi="Times New Roman" w:cs="Times New Roman"/>
              </w:rPr>
            </w:pPr>
            <m:oMathPara>
              <m:oMath>
                <m:r>
                  <w:rPr>
                    <w:rFonts w:ascii="Cambria Math" w:hAnsi="Cambria Math" w:cs="Times New Roman"/>
                  </w:rPr>
                  <m:t>constant</m:t>
                </m:r>
              </m:oMath>
            </m:oMathPara>
          </w:p>
        </w:tc>
        <w:tc>
          <w:tcPr>
            <w:tcW w:w="3600" w:type="dxa"/>
            <w:tcBorders>
              <w:top w:val="nil"/>
              <w:left w:val="single" w:sz="18" w:space="0" w:color="auto"/>
              <w:bottom w:val="nil"/>
              <w:right w:val="nil"/>
            </w:tcBorders>
            <w:vAlign w:val="center"/>
          </w:tcPr>
          <w:p w14:paraId="75A3E08B" w14:textId="77777777" w:rsidR="003D26D8" w:rsidRPr="008E6E59" w:rsidRDefault="003D26D8" w:rsidP="0010469A">
            <w:pPr>
              <w:rPr>
                <w:rFonts w:ascii="Times New Roman" w:hAnsi="Times New Roman" w:cs="Times New Roman"/>
              </w:rPr>
            </w:pPr>
            <m:oMathPara>
              <m:oMath>
                <m:r>
                  <w:rPr>
                    <w:rFonts w:ascii="Cambria Math" w:hAnsi="Cambria Math" w:cs="Times New Roman"/>
                  </w:rPr>
                  <m:t>0.010</m:t>
                </m:r>
              </m:oMath>
            </m:oMathPara>
          </w:p>
        </w:tc>
        <w:tc>
          <w:tcPr>
            <w:tcW w:w="4140" w:type="dxa"/>
            <w:tcBorders>
              <w:top w:val="nil"/>
              <w:left w:val="nil"/>
              <w:bottom w:val="nil"/>
              <w:right w:val="nil"/>
            </w:tcBorders>
            <w:vAlign w:val="center"/>
          </w:tcPr>
          <w:p w14:paraId="2AEA2BC9" w14:textId="77777777" w:rsidR="003D26D8" w:rsidRPr="008E6E59" w:rsidRDefault="00227DF5" w:rsidP="0010469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0.100</m:t>
                    </m:r>
                  </m:e>
                  <m:sup>
                    <m:r>
                      <w:rPr>
                        <w:rFonts w:ascii="Cambria Math" w:hAnsi="Cambria Math" w:cs="Times New Roman"/>
                      </w:rPr>
                      <m:t>**</m:t>
                    </m:r>
                  </m:sup>
                </m:sSup>
              </m:oMath>
            </m:oMathPara>
          </w:p>
        </w:tc>
      </w:tr>
      <w:tr w:rsidR="003D26D8" w:rsidRPr="008E6E59" w14:paraId="1092CC95" w14:textId="77777777" w:rsidTr="00327634">
        <w:trPr>
          <w:trHeight w:val="283"/>
        </w:trPr>
        <w:tc>
          <w:tcPr>
            <w:tcW w:w="1908" w:type="dxa"/>
            <w:tcBorders>
              <w:top w:val="nil"/>
              <w:left w:val="nil"/>
              <w:bottom w:val="single" w:sz="18" w:space="0" w:color="auto"/>
              <w:right w:val="single" w:sz="18" w:space="0" w:color="auto"/>
            </w:tcBorders>
            <w:vAlign w:val="center"/>
          </w:tcPr>
          <w:p w14:paraId="7E71DB6D" w14:textId="77777777" w:rsidR="003D26D8" w:rsidRPr="008E6E59" w:rsidRDefault="003D26D8" w:rsidP="0010469A">
            <w:pPr>
              <w:rPr>
                <w:rFonts w:ascii="Times New Roman" w:hAnsi="Times New Roman" w:cs="Times New Roman"/>
              </w:rPr>
            </w:pPr>
            <m:oMathPara>
              <m:oMath>
                <m:r>
                  <w:rPr>
                    <w:rFonts w:ascii="Cambria Math" w:hAnsi="Cambria Math" w:cs="Times New Roman"/>
                  </w:rPr>
                  <m:t>variance</m:t>
                </m:r>
              </m:oMath>
            </m:oMathPara>
          </w:p>
        </w:tc>
        <w:tc>
          <w:tcPr>
            <w:tcW w:w="3600" w:type="dxa"/>
            <w:tcBorders>
              <w:top w:val="nil"/>
              <w:left w:val="single" w:sz="18" w:space="0" w:color="auto"/>
              <w:bottom w:val="single" w:sz="18" w:space="0" w:color="auto"/>
              <w:right w:val="nil"/>
            </w:tcBorders>
            <w:vAlign w:val="center"/>
          </w:tcPr>
          <w:p w14:paraId="70FBD31D" w14:textId="77777777" w:rsidR="003D26D8" w:rsidRPr="008E6E59" w:rsidRDefault="003D26D8" w:rsidP="0010469A">
            <w:pPr>
              <w:rPr>
                <w:rFonts w:ascii="Times New Roman" w:hAnsi="Times New Roman" w:cs="Times New Roman"/>
              </w:rPr>
            </w:pPr>
            <m:oMathPara>
              <m:oMath>
                <m:r>
                  <w:rPr>
                    <w:rFonts w:ascii="Cambria Math" w:hAnsi="Cambria Math" w:cs="Times New Roman"/>
                  </w:rPr>
                  <m:t>0.003</m:t>
                </m:r>
              </m:oMath>
            </m:oMathPara>
          </w:p>
        </w:tc>
        <w:tc>
          <w:tcPr>
            <w:tcW w:w="4140" w:type="dxa"/>
            <w:tcBorders>
              <w:top w:val="nil"/>
              <w:left w:val="nil"/>
              <w:bottom w:val="single" w:sz="18" w:space="0" w:color="auto"/>
              <w:right w:val="nil"/>
            </w:tcBorders>
            <w:vAlign w:val="center"/>
          </w:tcPr>
          <w:p w14:paraId="07DEFCBE" w14:textId="77777777" w:rsidR="003D26D8" w:rsidRPr="008E6E59" w:rsidRDefault="003D26D8" w:rsidP="0010469A">
            <w:pPr>
              <w:rPr>
                <w:rFonts w:ascii="Times New Roman" w:hAnsi="Times New Roman" w:cs="Times New Roman"/>
              </w:rPr>
            </w:pPr>
            <m:oMathPara>
              <m:oMath>
                <m:r>
                  <w:rPr>
                    <w:rFonts w:ascii="Cambria Math" w:hAnsi="Cambria Math" w:cs="Times New Roman"/>
                  </w:rPr>
                  <m:t>0.004</m:t>
                </m:r>
              </m:oMath>
            </m:oMathPara>
          </w:p>
        </w:tc>
      </w:tr>
      <w:tr w:rsidR="003D26D8" w:rsidRPr="008E6E59" w14:paraId="4474C412" w14:textId="77777777" w:rsidTr="00BE5C88">
        <w:trPr>
          <w:trHeight w:hRule="exact" w:val="284"/>
        </w:trPr>
        <w:tc>
          <w:tcPr>
            <w:tcW w:w="9648" w:type="dxa"/>
            <w:gridSpan w:val="3"/>
            <w:tcBorders>
              <w:top w:val="single" w:sz="18" w:space="0" w:color="auto"/>
              <w:left w:val="nil"/>
              <w:bottom w:val="single" w:sz="18" w:space="0" w:color="auto"/>
              <w:right w:val="nil"/>
            </w:tcBorders>
            <w:shd w:val="clear" w:color="auto" w:fill="auto"/>
            <w:vAlign w:val="center"/>
          </w:tcPr>
          <w:p w14:paraId="6ABF3583" w14:textId="77777777" w:rsidR="003D26D8" w:rsidRPr="008E6E59" w:rsidRDefault="003D26D8" w:rsidP="0010469A">
            <w:pPr>
              <w:rPr>
                <w:rFonts w:ascii="Times New Roman" w:hAnsi="Times New Roman" w:cs="Times New Roman"/>
                <w:b/>
              </w:rPr>
            </w:pPr>
            <m:oMathPara>
              <m:oMathParaPr>
                <m:jc m:val="center"/>
              </m:oMathParaPr>
              <m:oMath>
                <m:r>
                  <m:rPr>
                    <m:sty m:val="bi"/>
                  </m:rPr>
                  <w:rPr>
                    <w:rFonts w:ascii="Cambria Math" w:hAnsi="Cambria Math" w:cs="Times New Roman"/>
                  </w:rPr>
                  <m:t>Transitory probability</m:t>
                </m:r>
              </m:oMath>
            </m:oMathPara>
          </w:p>
        </w:tc>
      </w:tr>
      <w:tr w:rsidR="003D26D8" w:rsidRPr="008E6E59" w14:paraId="70B9E616" w14:textId="77777777" w:rsidTr="00327634">
        <w:trPr>
          <w:trHeight w:val="567"/>
        </w:trPr>
        <w:tc>
          <w:tcPr>
            <w:tcW w:w="9648" w:type="dxa"/>
            <w:gridSpan w:val="3"/>
            <w:tcBorders>
              <w:top w:val="single" w:sz="18" w:space="0" w:color="auto"/>
              <w:left w:val="nil"/>
              <w:bottom w:val="single" w:sz="18" w:space="0" w:color="auto"/>
              <w:right w:val="nil"/>
            </w:tcBorders>
            <w:shd w:val="clear" w:color="auto" w:fill="auto"/>
            <w:vAlign w:val="center"/>
          </w:tcPr>
          <w:p w14:paraId="4E92CC71" w14:textId="77777777" w:rsidR="003D26D8" w:rsidRPr="00327634" w:rsidRDefault="00227DF5" w:rsidP="00BE5C88">
            <w:pPr>
              <w:spacing w:before="30" w:after="30"/>
              <w:rPr>
                <w:rFonts w:ascii="Times New Roman" w:eastAsia="DengXian" w:hAnsi="Times New Roman" w:cs="Times New Roman"/>
                <w:color w:val="000000"/>
              </w:rPr>
            </w:pPr>
            <m:oMathPara>
              <m:oMathParaPr>
                <m:jc m:val="center"/>
              </m:oMathParaPr>
              <m:oMath>
                <m:d>
                  <m:dPr>
                    <m:begChr m:val="|"/>
                    <m:endChr m:val="|"/>
                    <m:ctrlPr>
                      <w:rPr>
                        <w:rFonts w:ascii="Cambria Math" w:eastAsia="Calibri" w:hAnsi="Cambria Math" w:cs="Times New Roman"/>
                        <w:i/>
                        <w:color w:val="000000"/>
                      </w:rPr>
                    </m:ctrlPr>
                  </m:dPr>
                  <m:e>
                    <m:m>
                      <m:mPr>
                        <m:mcs>
                          <m:mc>
                            <m:mcPr>
                              <m:count m:val="2"/>
                              <m:mcJc m:val="center"/>
                            </m:mcPr>
                          </m:mc>
                        </m:mcs>
                        <m:ctrlPr>
                          <w:rPr>
                            <w:rFonts w:ascii="Cambria Math" w:eastAsia="Calibri" w:hAnsi="Cambria Math" w:cs="Times New Roman"/>
                            <w:i/>
                            <w:color w:val="000000"/>
                          </w:rPr>
                        </m:ctrlPr>
                      </m:mPr>
                      <m:mr>
                        <m:e>
                          <m:sSub>
                            <m:sSubPr>
                              <m:ctrlPr>
                                <w:rPr>
                                  <w:rFonts w:ascii="Cambria Math" w:eastAsia="Calibri" w:hAnsi="Cambria Math" w:cs="Times New Roman"/>
                                  <w:i/>
                                  <w:color w:val="000000"/>
                                </w:rPr>
                              </m:ctrlPr>
                            </m:sSubPr>
                            <m:e>
                              <m:r>
                                <w:rPr>
                                  <w:rFonts w:ascii="Cambria Math" w:eastAsia="Calibri" w:hAnsi="Cambria Math" w:cs="Times New Roman"/>
                                  <w:color w:val="000000"/>
                                </w:rPr>
                                <m:t>P</m:t>
                              </m:r>
                            </m:e>
                            <m:sub>
                              <m:r>
                                <w:rPr>
                                  <w:rFonts w:ascii="Cambria Math" w:eastAsia="Calibri" w:hAnsi="Cambria Math" w:cs="Times New Roman"/>
                                  <w:color w:val="000000"/>
                                </w:rPr>
                                <m:t>00</m:t>
                              </m:r>
                            </m:sub>
                          </m:sSub>
                        </m:e>
                        <m:e>
                          <m:sSub>
                            <m:sSubPr>
                              <m:ctrlPr>
                                <w:rPr>
                                  <w:rFonts w:ascii="Cambria Math" w:eastAsia="Calibri" w:hAnsi="Cambria Math" w:cs="Times New Roman"/>
                                  <w:i/>
                                  <w:color w:val="000000"/>
                                </w:rPr>
                              </m:ctrlPr>
                            </m:sSubPr>
                            <m:e>
                              <m:r>
                                <w:rPr>
                                  <w:rFonts w:ascii="Cambria Math" w:eastAsia="Calibri" w:hAnsi="Cambria Math" w:cs="Times New Roman"/>
                                  <w:color w:val="000000"/>
                                </w:rPr>
                                <m:t>P</m:t>
                              </m:r>
                            </m:e>
                            <m:sub>
                              <m:r>
                                <w:rPr>
                                  <w:rFonts w:ascii="Cambria Math" w:eastAsia="Calibri" w:hAnsi="Cambria Math" w:cs="Times New Roman"/>
                                  <w:color w:val="000000"/>
                                </w:rPr>
                                <m:t>01</m:t>
                              </m:r>
                            </m:sub>
                          </m:sSub>
                        </m:e>
                      </m:mr>
                      <m:mr>
                        <m:e>
                          <m:sSub>
                            <m:sSubPr>
                              <m:ctrlPr>
                                <w:rPr>
                                  <w:rFonts w:ascii="Cambria Math" w:eastAsia="Calibri" w:hAnsi="Cambria Math" w:cs="Times New Roman"/>
                                  <w:i/>
                                  <w:color w:val="000000"/>
                                </w:rPr>
                              </m:ctrlPr>
                            </m:sSubPr>
                            <m:e>
                              <m:r>
                                <w:rPr>
                                  <w:rFonts w:ascii="Cambria Math" w:eastAsia="Calibri" w:hAnsi="Cambria Math" w:cs="Times New Roman"/>
                                  <w:color w:val="000000"/>
                                </w:rPr>
                                <m:t>P</m:t>
                              </m:r>
                            </m:e>
                            <m:sub>
                              <m:r>
                                <w:rPr>
                                  <w:rFonts w:ascii="Cambria Math" w:eastAsia="Calibri" w:hAnsi="Cambria Math" w:cs="Times New Roman"/>
                                  <w:color w:val="000000"/>
                                </w:rPr>
                                <m:t>10</m:t>
                              </m:r>
                            </m:sub>
                          </m:sSub>
                        </m:e>
                        <m:e>
                          <m:sSub>
                            <m:sSubPr>
                              <m:ctrlPr>
                                <w:rPr>
                                  <w:rFonts w:ascii="Cambria Math" w:eastAsia="Calibri" w:hAnsi="Cambria Math" w:cs="Times New Roman"/>
                                  <w:i/>
                                  <w:color w:val="000000"/>
                                </w:rPr>
                              </m:ctrlPr>
                            </m:sSubPr>
                            <m:e>
                              <m:r>
                                <w:rPr>
                                  <w:rFonts w:ascii="Cambria Math" w:eastAsia="Calibri" w:hAnsi="Cambria Math" w:cs="Times New Roman"/>
                                  <w:color w:val="000000"/>
                                </w:rPr>
                                <m:t>P</m:t>
                              </m:r>
                            </m:e>
                            <m:sub>
                              <m:r>
                                <w:rPr>
                                  <w:rFonts w:ascii="Cambria Math" w:eastAsia="Calibri" w:hAnsi="Cambria Math" w:cs="Times New Roman"/>
                                  <w:color w:val="000000"/>
                                </w:rPr>
                                <m:t>11</m:t>
                              </m:r>
                            </m:sub>
                          </m:sSub>
                        </m:e>
                      </m:mr>
                    </m:m>
                  </m:e>
                </m:d>
                <m:r>
                  <w:rPr>
                    <w:rFonts w:ascii="Cambria Math" w:eastAsia="Calibri" w:hAnsi="Cambria Math" w:cs="Times New Roman"/>
                    <w:color w:val="000000"/>
                  </w:rPr>
                  <m:t>=</m:t>
                </m:r>
                <m:d>
                  <m:dPr>
                    <m:begChr m:val="|"/>
                    <m:endChr m:val="|"/>
                    <m:ctrlPr>
                      <w:rPr>
                        <w:rFonts w:ascii="Cambria Math" w:eastAsia="Calibri" w:hAnsi="Cambria Math" w:cs="Times New Roman"/>
                        <w:i/>
                        <w:color w:val="000000"/>
                      </w:rPr>
                    </m:ctrlPr>
                  </m:dPr>
                  <m:e>
                    <m:m>
                      <m:mPr>
                        <m:mcs>
                          <m:mc>
                            <m:mcPr>
                              <m:count m:val="2"/>
                              <m:mcJc m:val="center"/>
                            </m:mcPr>
                          </m:mc>
                        </m:mcs>
                        <m:ctrlPr>
                          <w:rPr>
                            <w:rFonts w:ascii="Cambria Math" w:eastAsia="Calibri" w:hAnsi="Cambria Math" w:cs="Times New Roman"/>
                            <w:i/>
                            <w:color w:val="000000"/>
                          </w:rPr>
                        </m:ctrlPr>
                      </m:mPr>
                      <m:mr>
                        <m:e>
                          <m:r>
                            <w:rPr>
                              <w:rFonts w:ascii="Cambria Math" w:eastAsia="Calibri" w:hAnsi="Cambria Math" w:cs="Times New Roman"/>
                              <w:color w:val="000000"/>
                            </w:rPr>
                            <m:t>0.966</m:t>
                          </m:r>
                        </m:e>
                        <m:e>
                          <m:r>
                            <w:rPr>
                              <w:rFonts w:ascii="Cambria Math" w:eastAsia="Calibri" w:hAnsi="Cambria Math" w:cs="Times New Roman"/>
                              <w:color w:val="000000"/>
                            </w:rPr>
                            <m:t>0.031</m:t>
                          </m:r>
                        </m:e>
                      </m:mr>
                      <m:mr>
                        <m:e>
                          <m:r>
                            <w:rPr>
                              <w:rFonts w:ascii="Cambria Math" w:eastAsia="Calibri" w:hAnsi="Cambria Math" w:cs="Times New Roman"/>
                              <w:color w:val="000000"/>
                            </w:rPr>
                            <m:t>0.033</m:t>
                          </m:r>
                        </m:e>
                        <m:e>
                          <m:r>
                            <w:rPr>
                              <w:rFonts w:ascii="Cambria Math" w:eastAsia="Calibri" w:hAnsi="Cambria Math" w:cs="Times New Roman"/>
                              <w:color w:val="000000"/>
                            </w:rPr>
                            <m:t>0.843</m:t>
                          </m:r>
                        </m:e>
                      </m:mr>
                    </m:m>
                  </m:e>
                </m:d>
              </m:oMath>
            </m:oMathPara>
          </w:p>
        </w:tc>
      </w:tr>
      <w:tr w:rsidR="003D26D8" w:rsidRPr="008E6E59" w14:paraId="3448364A" w14:textId="77777777" w:rsidTr="00BE5C88">
        <w:trPr>
          <w:trHeight w:hRule="exact" w:val="284"/>
        </w:trPr>
        <w:tc>
          <w:tcPr>
            <w:tcW w:w="9648" w:type="dxa"/>
            <w:gridSpan w:val="3"/>
            <w:tcBorders>
              <w:top w:val="single" w:sz="18" w:space="0" w:color="auto"/>
              <w:left w:val="nil"/>
              <w:bottom w:val="single" w:sz="18" w:space="0" w:color="auto"/>
              <w:right w:val="nil"/>
            </w:tcBorders>
            <w:vAlign w:val="center"/>
          </w:tcPr>
          <w:p w14:paraId="26BCCE6F" w14:textId="77777777" w:rsidR="003D26D8" w:rsidRPr="008E6E59" w:rsidRDefault="003D26D8" w:rsidP="00BE5C88">
            <w:pPr>
              <w:spacing w:before="20" w:after="20"/>
              <w:rPr>
                <w:rFonts w:ascii="Times New Roman" w:hAnsi="Times New Roman" w:cs="Times New Roman"/>
                <w:b/>
              </w:rPr>
            </w:pPr>
            <m:oMathPara>
              <m:oMath>
                <m:r>
                  <m:rPr>
                    <m:sty m:val="bi"/>
                  </m:rPr>
                  <w:rPr>
                    <w:rFonts w:ascii="Cambria Math" w:hAnsi="Cambria Math" w:cs="Times New Roman"/>
                  </w:rPr>
                  <m:t>Linearity test</m:t>
                </m:r>
              </m:oMath>
            </m:oMathPara>
          </w:p>
        </w:tc>
      </w:tr>
      <w:tr w:rsidR="003D26D8" w:rsidRPr="008E6E59" w14:paraId="284A3287" w14:textId="77777777" w:rsidTr="00F8228D">
        <w:trPr>
          <w:trHeight w:hRule="exact" w:val="284"/>
        </w:trPr>
        <w:tc>
          <w:tcPr>
            <w:tcW w:w="9648" w:type="dxa"/>
            <w:gridSpan w:val="3"/>
            <w:tcBorders>
              <w:top w:val="single" w:sz="18" w:space="0" w:color="auto"/>
              <w:left w:val="nil"/>
              <w:bottom w:val="single" w:sz="18" w:space="0" w:color="auto"/>
              <w:right w:val="nil"/>
            </w:tcBorders>
          </w:tcPr>
          <w:p w14:paraId="5157970A" w14:textId="77777777" w:rsidR="003D26D8" w:rsidRPr="008E6E59" w:rsidRDefault="003D26D8" w:rsidP="0010469A">
            <w:pPr>
              <w:jc w:val="both"/>
              <w:rPr>
                <w:rFonts w:ascii="Times New Roman" w:eastAsiaTheme="minorEastAsia" w:hAnsi="Times New Roman" w:cs="Times New Roman"/>
              </w:rPr>
            </w:pPr>
            <w:r w:rsidRPr="008E6E59">
              <w:rPr>
                <w:rFonts w:ascii="Times New Roman" w:hAnsi="Times New Roman" w:cs="Times New Roman"/>
              </w:rPr>
              <w:t xml:space="preserve">LR-test </w:t>
            </w:r>
            <m:oMath>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8</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33.189[0.001]</m:t>
                  </m:r>
                </m:e>
                <m:sup>
                  <m:r>
                    <w:rPr>
                      <w:rFonts w:ascii="Cambria Math" w:hAnsi="Cambria Math" w:cs="Times New Roman"/>
                    </w:rPr>
                    <m:t>***</m:t>
                  </m:r>
                </m:sup>
              </m:sSup>
              <m:r>
                <w:rPr>
                  <w:rFonts w:ascii="Cambria Math" w:hAnsi="Cambria Math" w:cs="Times New Roman"/>
                </w:rPr>
                <m:t>,  approximated uperbound:</m:t>
              </m:r>
              <m:sSup>
                <m:sSupPr>
                  <m:ctrlPr>
                    <w:rPr>
                      <w:rFonts w:ascii="Cambria Math" w:hAnsi="Cambria Math" w:cs="Times New Roman"/>
                      <w:i/>
                    </w:rPr>
                  </m:ctrlPr>
                </m:sSupPr>
                <m:e>
                  <m:r>
                    <w:rPr>
                      <w:rFonts w:ascii="Cambria Math" w:hAnsi="Cambria Math" w:cs="Times New Roman"/>
                    </w:rPr>
                    <m:t>[0.000]</m:t>
                  </m:r>
                </m:e>
                <m:sup>
                  <m:r>
                    <w:rPr>
                      <w:rFonts w:ascii="Cambria Math" w:hAnsi="Cambria Math" w:cs="Times New Roman"/>
                    </w:rPr>
                    <m:t>***</m:t>
                  </m:r>
                </m:sup>
              </m:sSup>
            </m:oMath>
          </w:p>
        </w:tc>
      </w:tr>
    </w:tbl>
    <w:p w14:paraId="10F553B9" w14:textId="77777777" w:rsidR="003D26D8" w:rsidRDefault="003D26D8" w:rsidP="003D26D8">
      <w:pPr>
        <w:spacing w:after="0"/>
      </w:pPr>
    </w:p>
    <w:p w14:paraId="1B59F665" w14:textId="2D4C2ED3" w:rsidR="003D26D8" w:rsidRDefault="003D26D8">
      <w:pPr>
        <w:rPr>
          <w:rFonts w:ascii="Times New Roman" w:hAnsi="Times New Roman" w:cs="Times New Roman"/>
          <w:color w:val="000000" w:themeColor="text1"/>
        </w:rPr>
      </w:pPr>
    </w:p>
    <w:p w14:paraId="5EAD116B" w14:textId="30821BA0" w:rsidR="00F8228D" w:rsidRDefault="00F8228D">
      <w:pPr>
        <w:rPr>
          <w:rFonts w:ascii="Times New Roman" w:hAnsi="Times New Roman" w:cs="Times New Roman"/>
          <w:color w:val="000000" w:themeColor="text1"/>
        </w:rPr>
      </w:pPr>
    </w:p>
    <w:p w14:paraId="0A6A963B" w14:textId="36120563" w:rsidR="00F8228D" w:rsidRDefault="00F8228D">
      <w:pPr>
        <w:rPr>
          <w:rFonts w:ascii="Times New Roman" w:hAnsi="Times New Roman" w:cs="Times New Roman"/>
          <w:color w:val="000000" w:themeColor="text1"/>
        </w:rPr>
      </w:pPr>
    </w:p>
    <w:p w14:paraId="6C658A64" w14:textId="0E7B1FF5" w:rsidR="00F8228D" w:rsidRDefault="00F8228D">
      <w:pPr>
        <w:rPr>
          <w:rFonts w:ascii="Times New Roman" w:hAnsi="Times New Roman" w:cs="Times New Roman"/>
          <w:color w:val="000000" w:themeColor="text1"/>
        </w:rPr>
      </w:pPr>
    </w:p>
    <w:p w14:paraId="6031D1D9" w14:textId="2CC42EC4" w:rsidR="00A13A4C" w:rsidRDefault="00A13A4C" w:rsidP="007D3806">
      <w:pPr>
        <w:spacing w:after="0"/>
        <w:jc w:val="center"/>
        <w:rPr>
          <w:rFonts w:ascii="Times New Roman" w:hAnsi="Times New Roman" w:cs="Times New Roman"/>
          <w:b/>
          <w:bCs/>
        </w:rPr>
      </w:pPr>
      <w:r w:rsidRPr="008E6E59">
        <w:rPr>
          <w:rFonts w:ascii="Times New Roman" w:hAnsi="Times New Roman" w:cs="Times New Roman"/>
          <w:b/>
          <w:bCs/>
        </w:rPr>
        <w:lastRenderedPageBreak/>
        <w:t>Reference</w:t>
      </w:r>
    </w:p>
    <w:p w14:paraId="7D42E61F" w14:textId="77777777" w:rsidR="007D3806" w:rsidRPr="00F8228D" w:rsidRDefault="007D3806" w:rsidP="007D3806">
      <w:pPr>
        <w:spacing w:after="0"/>
        <w:jc w:val="center"/>
        <w:rPr>
          <w:rFonts w:ascii="Times New Roman" w:hAnsi="Times New Roman" w:cs="Times New Roman"/>
          <w:b/>
          <w:bCs/>
          <w:color w:val="000000" w:themeColor="text1"/>
        </w:rPr>
      </w:pPr>
    </w:p>
    <w:p w14:paraId="724C6C69" w14:textId="270A9CEF"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Adrian, T. and Shin, H. (2009). “Money, liquidity and monetary policy.” </w:t>
      </w:r>
      <w:r w:rsidRPr="001F272C">
        <w:rPr>
          <w:rFonts w:ascii="Times New Roman" w:hAnsi="Times New Roman" w:cs="Times New Roman"/>
          <w:i/>
          <w:iCs/>
        </w:rPr>
        <w:t>American Economic Review</w:t>
      </w:r>
      <w:r w:rsidRPr="001F272C">
        <w:rPr>
          <w:rFonts w:ascii="Times New Roman" w:hAnsi="Times New Roman" w:cs="Times New Roman"/>
        </w:rPr>
        <w:t>, vol. 99(2), pp. 600-605</w:t>
      </w:r>
      <w:r w:rsidR="00A7108C">
        <w:rPr>
          <w:rFonts w:ascii="Times New Roman" w:hAnsi="Times New Roman" w:cs="Times New Roman"/>
        </w:rPr>
        <w:t>.</w:t>
      </w:r>
    </w:p>
    <w:p w14:paraId="78E7FEA3" w14:textId="14C43610"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Altunbas, Y., Gambacorta, L. and Marques, D. (2009). “Securitization and the bank lending channel.” </w:t>
      </w:r>
      <w:r w:rsidRPr="001F272C">
        <w:rPr>
          <w:rFonts w:ascii="Times New Roman" w:hAnsi="Times New Roman" w:cs="Times New Roman"/>
          <w:i/>
          <w:iCs/>
        </w:rPr>
        <w:t>European Economic Review</w:t>
      </w:r>
      <w:r w:rsidRPr="001F272C">
        <w:rPr>
          <w:rFonts w:ascii="Times New Roman" w:hAnsi="Times New Roman" w:cs="Times New Roman"/>
        </w:rPr>
        <w:t>, vol. 53(8), pp. 996-1009</w:t>
      </w:r>
      <w:r w:rsidR="00D90FEC">
        <w:rPr>
          <w:rFonts w:ascii="Times New Roman" w:hAnsi="Times New Roman" w:cs="Times New Roman"/>
        </w:rPr>
        <w:t>.</w:t>
      </w:r>
    </w:p>
    <w:p w14:paraId="3CD4DE84" w14:textId="465AB4E4"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Baum, C., Caglayan M. and Ozkan, N. (2013). “The role of uncertainty in the transmission of monetary policy effects on bank lending.” The Manchester School, vol. 81(2), pp. 202-225</w:t>
      </w:r>
      <w:r w:rsidR="00D90FEC">
        <w:rPr>
          <w:rFonts w:ascii="Times New Roman" w:hAnsi="Times New Roman" w:cs="Times New Roman"/>
        </w:rPr>
        <w:t>.</w:t>
      </w:r>
    </w:p>
    <w:p w14:paraId="4D693835"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Bean, C., Penalver, A., Paustian, M., and Taylor, T. (2010). “Monetary policy after the fall.” Speech for Federal Reserve Bank for Kansas City annual conference. </w:t>
      </w:r>
    </w:p>
    <w:p w14:paraId="589E2351"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Bekiros, S., Dahlstrom, A., G. S. Uddin. and R, Jayasekera. (2019). “A tale of two shocks: the dynamics of international real Estate markets.” </w:t>
      </w:r>
      <w:r w:rsidRPr="001F272C">
        <w:rPr>
          <w:rFonts w:ascii="Times New Roman" w:hAnsi="Times New Roman" w:cs="Times New Roman"/>
          <w:i/>
          <w:iCs/>
        </w:rPr>
        <w:t xml:space="preserve">International Journal of Finance &amp; Economics, </w:t>
      </w:r>
      <w:r w:rsidRPr="001F272C">
        <w:rPr>
          <w:rFonts w:ascii="Times New Roman" w:hAnsi="Times New Roman" w:cs="Times New Roman"/>
        </w:rPr>
        <w:t>25(1), pp.1-25</w:t>
      </w:r>
    </w:p>
    <w:p w14:paraId="45BDC101"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Bernanke, B. and Blinder, B. (1988). “Credit, money and aggregate demand.” </w:t>
      </w:r>
      <w:r w:rsidRPr="001F272C">
        <w:rPr>
          <w:rFonts w:ascii="Times New Roman" w:hAnsi="Times New Roman" w:cs="Times New Roman"/>
          <w:i/>
          <w:iCs/>
        </w:rPr>
        <w:t xml:space="preserve">American Economic Review, </w:t>
      </w:r>
      <w:r w:rsidRPr="001F272C">
        <w:rPr>
          <w:rFonts w:ascii="Times New Roman" w:hAnsi="Times New Roman" w:cs="Times New Roman"/>
        </w:rPr>
        <w:t>vol.78 (2), pp.435-439.</w:t>
      </w:r>
    </w:p>
    <w:p w14:paraId="335B9BAE" w14:textId="20DA67B2"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Bernanke B. and Gertler M., (1989). “Agency costs, net worth and business cycle fluctuations.” </w:t>
      </w:r>
      <w:r w:rsidRPr="001F272C">
        <w:rPr>
          <w:rFonts w:ascii="Times New Roman" w:hAnsi="Times New Roman" w:cs="Times New Roman"/>
          <w:i/>
          <w:iCs/>
        </w:rPr>
        <w:t xml:space="preserve">American Economic Review, </w:t>
      </w:r>
      <w:r w:rsidRPr="001F272C">
        <w:rPr>
          <w:rFonts w:ascii="Times New Roman" w:hAnsi="Times New Roman" w:cs="Times New Roman"/>
        </w:rPr>
        <w:t>vol.79 (1), pp. 14-31</w:t>
      </w:r>
      <w:r w:rsidR="00D90FEC">
        <w:rPr>
          <w:rFonts w:ascii="Times New Roman" w:hAnsi="Times New Roman" w:cs="Times New Roman"/>
        </w:rPr>
        <w:t>.</w:t>
      </w:r>
    </w:p>
    <w:p w14:paraId="550ADAF1"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Borio C.and Zhu H., (2008). “Capital regulation, risk-taking and monetary policy: a missing link in the transmission mechanism?”</w:t>
      </w:r>
      <w:r w:rsidRPr="001F272C">
        <w:rPr>
          <w:rFonts w:ascii="Times New Roman" w:hAnsi="Times New Roman" w:cs="Times New Roman"/>
          <w:i/>
          <w:iCs/>
        </w:rPr>
        <w:t xml:space="preserve"> </w:t>
      </w:r>
      <w:r w:rsidRPr="001F272C">
        <w:rPr>
          <w:rFonts w:ascii="Times New Roman" w:hAnsi="Times New Roman" w:cs="Times New Roman"/>
        </w:rPr>
        <w:t>BIS working paper series no. 268.</w:t>
      </w:r>
    </w:p>
    <w:p w14:paraId="1C7E360E"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Bouis, R., Inaba, K., Rawdanowicz, L. and Christensen, A., (2014). “Factors behind the declining real long-term government bond yields.” OECD Economics Department working papers no. 1167.</w:t>
      </w:r>
    </w:p>
    <w:p w14:paraId="7B89C7E9"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Buttz, N., Churmz, R., McMohan, M., Morotzz A. and Schanz J. (2015). “QE and the bank lending channel in the United Kingdom.” Warwick Economic Research paper series no. 1073. </w:t>
      </w:r>
    </w:p>
    <w:p w14:paraId="6FC71CD1" w14:textId="3598998F"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Champagne, J. and Sekkel, R. (2018). “Changes in monetary regimes and the identification of monetary policy shocks: Narrative evidence from Canada.” </w:t>
      </w:r>
      <w:r w:rsidRPr="001F272C">
        <w:rPr>
          <w:rFonts w:ascii="Times New Roman" w:hAnsi="Times New Roman" w:cs="Times New Roman"/>
          <w:i/>
          <w:iCs/>
        </w:rPr>
        <w:t>Journal of Monetary Economics</w:t>
      </w:r>
      <w:r w:rsidRPr="001F272C">
        <w:rPr>
          <w:rFonts w:ascii="Times New Roman" w:hAnsi="Times New Roman" w:cs="Times New Roman"/>
        </w:rPr>
        <w:t>, vol. 99(C), pp. 72-87</w:t>
      </w:r>
      <w:r w:rsidR="00D90FEC">
        <w:rPr>
          <w:rFonts w:ascii="Times New Roman" w:hAnsi="Times New Roman" w:cs="Times New Roman"/>
        </w:rPr>
        <w:t>.</w:t>
      </w:r>
    </w:p>
    <w:p w14:paraId="44A982C6" w14:textId="77777777" w:rsidR="00A13A4C" w:rsidRPr="001F272C" w:rsidRDefault="00A13A4C" w:rsidP="00A13A4C">
      <w:pPr>
        <w:spacing w:after="240"/>
        <w:jc w:val="both"/>
        <w:rPr>
          <w:rFonts w:ascii="Times New Roman" w:eastAsia="Times New Roman" w:hAnsi="Times New Roman" w:cs="Times New Roman"/>
          <w:lang w:eastAsia="en-GB"/>
        </w:rPr>
      </w:pPr>
      <w:r w:rsidRPr="001F272C">
        <w:rPr>
          <w:rFonts w:ascii="Times New Roman" w:eastAsia="Times New Roman" w:hAnsi="Times New Roman" w:cs="Times New Roman"/>
          <w:lang w:eastAsia="en-GB"/>
        </w:rPr>
        <w:t xml:space="preserve">Cecchetti, S., Genberg, H. and Wadhwani, S. (2002). “Asset prices in a flexible inflation targeting framework.” NBER working paper no. 8970. </w:t>
      </w:r>
    </w:p>
    <w:p w14:paraId="360AC1B8"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Chen S. (2007). “Does monetary policy have asymmetric effects on stock returns?” </w:t>
      </w:r>
      <w:r w:rsidRPr="001F272C">
        <w:rPr>
          <w:rFonts w:ascii="Times New Roman" w:hAnsi="Times New Roman" w:cs="Times New Roman"/>
          <w:i/>
          <w:iCs/>
        </w:rPr>
        <w:t xml:space="preserve">Journal of Money, Credit and Banking, </w:t>
      </w:r>
      <w:r w:rsidRPr="001F272C">
        <w:rPr>
          <w:rFonts w:ascii="Times New Roman" w:hAnsi="Times New Roman" w:cs="Times New Roman"/>
        </w:rPr>
        <w:t xml:space="preserve">vol 39(2), pp.667-688. </w:t>
      </w:r>
    </w:p>
    <w:p w14:paraId="53FB50B5" w14:textId="77777777"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 xml:space="preserve">Chowdhury, R. and Russell, B. (2018). “The difference, system and the ‘Double -D’ GMM panel estimators in the presence of structural breaks.” </w:t>
      </w:r>
      <w:r w:rsidRPr="001F272C">
        <w:rPr>
          <w:rFonts w:ascii="Times New Roman" w:hAnsi="Times New Roman" w:cs="Times New Roman"/>
          <w:i/>
          <w:iCs/>
        </w:rPr>
        <w:t>Scottish Journal of Political Economy</w:t>
      </w:r>
      <w:r w:rsidRPr="001F272C">
        <w:rPr>
          <w:rFonts w:ascii="Times New Roman" w:hAnsi="Times New Roman" w:cs="Times New Roman"/>
        </w:rPr>
        <w:t>, vol. 65(3), pp. 271-292.</w:t>
      </w:r>
    </w:p>
    <w:p w14:paraId="6B5407B8" w14:textId="77777777" w:rsidR="00A13A4C" w:rsidRPr="001F272C" w:rsidRDefault="00A13A4C" w:rsidP="00A13A4C">
      <w:pPr>
        <w:tabs>
          <w:tab w:val="left" w:pos="284"/>
        </w:tabs>
        <w:spacing w:before="100" w:beforeAutospacing="1" w:after="100" w:afterAutospacing="1"/>
        <w:jc w:val="both"/>
        <w:rPr>
          <w:rFonts w:ascii="Times New Roman" w:hAnsi="Times New Roman" w:cs="Times New Roman"/>
          <w:i/>
          <w:iCs/>
          <w:lang w:eastAsia="en-GB"/>
        </w:rPr>
      </w:pPr>
      <w:r w:rsidRPr="001F272C">
        <w:rPr>
          <w:rFonts w:ascii="Times New Roman" w:hAnsi="Times New Roman" w:cs="Times New Roman"/>
          <w:lang w:eastAsia="en-GB"/>
        </w:rPr>
        <w:t xml:space="preserve">Cobham, D. (2013). “Central banks and house prices in the run up to the crisis.” </w:t>
      </w:r>
      <w:r w:rsidRPr="001F272C">
        <w:rPr>
          <w:rFonts w:ascii="Times New Roman" w:hAnsi="Times New Roman" w:cs="Times New Roman"/>
          <w:i/>
          <w:iCs/>
          <w:lang w:eastAsia="en-GB"/>
        </w:rPr>
        <w:t>Oxford Economic papers,</w:t>
      </w:r>
      <w:r w:rsidRPr="001F272C">
        <w:rPr>
          <w:rFonts w:ascii="Times New Roman" w:hAnsi="Times New Roman" w:cs="Times New Roman"/>
          <w:lang w:eastAsia="en-GB"/>
        </w:rPr>
        <w:t xml:space="preserve"> vol. 65(1), pp. 142-165. </w:t>
      </w:r>
    </w:p>
    <w:p w14:paraId="11B90120" w14:textId="3A47CC4E" w:rsidR="00A13A4C" w:rsidRPr="001F272C" w:rsidRDefault="00A13A4C" w:rsidP="00A13A4C">
      <w:pPr>
        <w:spacing w:after="240"/>
        <w:jc w:val="both"/>
        <w:rPr>
          <w:rFonts w:ascii="Times New Roman" w:hAnsi="Times New Roman" w:cs="Times New Roman"/>
        </w:rPr>
      </w:pPr>
      <w:r w:rsidRPr="001F272C">
        <w:rPr>
          <w:rFonts w:ascii="Times New Roman" w:hAnsi="Times New Roman" w:cs="Times New Roman"/>
        </w:rPr>
        <w:t>Disyatat, P. (2011). “The bank lending channel revisited.”</w:t>
      </w:r>
      <w:r w:rsidRPr="001F272C">
        <w:rPr>
          <w:rFonts w:ascii="Times New Roman" w:hAnsi="Times New Roman" w:cs="Times New Roman"/>
          <w:i/>
          <w:iCs/>
        </w:rPr>
        <w:t xml:space="preserve"> Journal of Money, Credit and Banking, </w:t>
      </w:r>
      <w:r w:rsidRPr="001F272C">
        <w:rPr>
          <w:rFonts w:ascii="Times New Roman" w:hAnsi="Times New Roman" w:cs="Times New Roman"/>
        </w:rPr>
        <w:t>vol. 45(4), pp. 711-734</w:t>
      </w:r>
      <w:r w:rsidR="00D90FEC">
        <w:rPr>
          <w:rFonts w:ascii="Times New Roman" w:hAnsi="Times New Roman" w:cs="Times New Roman"/>
        </w:rPr>
        <w:t>.</w:t>
      </w:r>
    </w:p>
    <w:p w14:paraId="016CF608" w14:textId="0E750988" w:rsidR="00A13A4C" w:rsidRPr="001F272C" w:rsidRDefault="00A13A4C" w:rsidP="00A13A4C">
      <w:pPr>
        <w:spacing w:before="120" w:after="240"/>
        <w:jc w:val="both"/>
        <w:rPr>
          <w:rFonts w:ascii="Times New Roman" w:eastAsia="Times New Roman" w:hAnsi="Times New Roman" w:cs="Times New Roman"/>
          <w:lang w:eastAsia="en-GB"/>
        </w:rPr>
      </w:pPr>
      <w:r w:rsidRPr="001F272C">
        <w:rPr>
          <w:rFonts w:ascii="Times New Roman" w:eastAsia="Times New Roman" w:hAnsi="Times New Roman" w:cs="Times New Roman"/>
          <w:lang w:eastAsia="en-GB"/>
        </w:rPr>
        <w:lastRenderedPageBreak/>
        <w:t xml:space="preserve">Dokko, J., Doyle, B., Kiley, M., Kim, J., Sherlund, S., Sim, J., and Van den Heuvel, S. (2011). “Monetary policy and the global housing bubble.” </w:t>
      </w:r>
      <w:r w:rsidRPr="001F272C">
        <w:rPr>
          <w:rFonts w:ascii="Times New Roman" w:eastAsia="Times New Roman" w:hAnsi="Times New Roman" w:cs="Times New Roman"/>
          <w:i/>
          <w:iCs/>
          <w:lang w:eastAsia="en-GB"/>
        </w:rPr>
        <w:t xml:space="preserve">Economic Policy, </w:t>
      </w:r>
      <w:r w:rsidRPr="001F272C">
        <w:rPr>
          <w:rFonts w:ascii="Times New Roman" w:eastAsia="Times New Roman" w:hAnsi="Times New Roman" w:cs="Times New Roman"/>
          <w:lang w:eastAsia="en-GB"/>
        </w:rPr>
        <w:t>vol. 26(66), pp.</w:t>
      </w:r>
      <w:r w:rsidR="00D90FEC">
        <w:rPr>
          <w:rFonts w:ascii="Times New Roman" w:eastAsia="Times New Roman" w:hAnsi="Times New Roman" w:cs="Times New Roman"/>
          <w:lang w:eastAsia="en-GB"/>
        </w:rPr>
        <w:t xml:space="preserve"> </w:t>
      </w:r>
      <w:r w:rsidRPr="001F272C">
        <w:rPr>
          <w:rFonts w:ascii="Times New Roman" w:eastAsia="Times New Roman" w:hAnsi="Times New Roman" w:cs="Times New Roman"/>
          <w:lang w:eastAsia="en-GB"/>
        </w:rPr>
        <w:t>237-287</w:t>
      </w:r>
      <w:r w:rsidR="00D90FEC">
        <w:rPr>
          <w:rFonts w:ascii="Times New Roman" w:eastAsia="Times New Roman" w:hAnsi="Times New Roman" w:cs="Times New Roman"/>
          <w:lang w:eastAsia="en-GB"/>
        </w:rPr>
        <w:t>.</w:t>
      </w:r>
      <w:r w:rsidRPr="001F272C">
        <w:rPr>
          <w:rFonts w:ascii="Times New Roman" w:eastAsia="Times New Roman" w:hAnsi="Times New Roman" w:cs="Times New Roman"/>
          <w:lang w:eastAsia="en-GB"/>
        </w:rPr>
        <w:t xml:space="preserve"> </w:t>
      </w:r>
    </w:p>
    <w:p w14:paraId="4C27365F"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Drehmann, M., Borio, C. and Tsattsaronis, K. (2012). “Characterising the financial cycle: don’t lose sight of the medium term!” BIS working paper series no. 380.</w:t>
      </w:r>
    </w:p>
    <w:p w14:paraId="175DAD76" w14:textId="4B2E3B93"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Duan, K., T. Mishra., M, Parhi, and S</w:t>
      </w:r>
      <w:r w:rsidR="0072139D">
        <w:rPr>
          <w:rFonts w:ascii="Times New Roman" w:hAnsi="Times New Roman" w:cs="Times New Roman"/>
        </w:rPr>
        <w:t xml:space="preserve">. </w:t>
      </w:r>
      <w:r w:rsidRPr="001F272C">
        <w:rPr>
          <w:rFonts w:ascii="Times New Roman" w:hAnsi="Times New Roman" w:cs="Times New Roman"/>
        </w:rPr>
        <w:t xml:space="preserve">Wolfe. (2019). “How effective are policy interventions in a spatially-embedded international real estate market?” </w:t>
      </w:r>
      <w:r w:rsidRPr="001F272C">
        <w:rPr>
          <w:rFonts w:ascii="Times New Roman" w:hAnsi="Times New Roman" w:cs="Times New Roman"/>
          <w:i/>
          <w:iCs/>
        </w:rPr>
        <w:t>Journal of Real Estate Finance and Economics</w:t>
      </w:r>
      <w:r w:rsidRPr="001F272C">
        <w:rPr>
          <w:rFonts w:ascii="Times New Roman" w:hAnsi="Times New Roman" w:cs="Times New Roman"/>
        </w:rPr>
        <w:t xml:space="preserve">, 58(4), pp.596-637. </w:t>
      </w:r>
    </w:p>
    <w:p w14:paraId="7FD449BA"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Ehrmann, M., Ellison, M. and Valla, N., (2003). “Regime dependent impulse response functions in a Markov-switching vector autoregression model.” </w:t>
      </w:r>
      <w:r w:rsidRPr="001F272C">
        <w:rPr>
          <w:rFonts w:ascii="Times New Roman" w:hAnsi="Times New Roman" w:cs="Times New Roman"/>
          <w:i/>
          <w:iCs/>
        </w:rPr>
        <w:t>Economic Letters</w:t>
      </w:r>
      <w:r w:rsidRPr="001F272C">
        <w:rPr>
          <w:rFonts w:ascii="Times New Roman" w:hAnsi="Times New Roman" w:cs="Times New Roman"/>
        </w:rPr>
        <w:t xml:space="preserve">, vol 78(3), pp.295-299. </w:t>
      </w:r>
    </w:p>
    <w:p w14:paraId="0E1D57D0"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Estrella, A. (2002). “Securitization and the efficacy of monetary policy.” </w:t>
      </w:r>
      <w:r w:rsidRPr="001F272C">
        <w:rPr>
          <w:rFonts w:ascii="Times New Roman" w:hAnsi="Times New Roman" w:cs="Times New Roman"/>
          <w:i/>
          <w:iCs/>
        </w:rPr>
        <w:t>Federal Reserve Bank of New York Economic Policy Review</w:t>
      </w:r>
      <w:r w:rsidRPr="001F272C">
        <w:rPr>
          <w:rFonts w:ascii="Times New Roman" w:hAnsi="Times New Roman" w:cs="Times New Roman"/>
        </w:rPr>
        <w:t xml:space="preserve">, vol. 8(5), pp.243-255. </w:t>
      </w:r>
    </w:p>
    <w:p w14:paraId="5F8758A3" w14:textId="16798116" w:rsidR="00C846B5" w:rsidRDefault="00C846B5" w:rsidP="00A13A4C">
      <w:pPr>
        <w:spacing w:before="120" w:after="240"/>
        <w:jc w:val="both"/>
        <w:rPr>
          <w:rFonts w:ascii="Times New Roman" w:hAnsi="Times New Roman" w:cs="Times New Roman"/>
        </w:rPr>
      </w:pPr>
      <w:r w:rsidRPr="001F272C">
        <w:rPr>
          <w:rFonts w:ascii="Times New Roman" w:hAnsi="Times New Roman" w:cs="Times New Roman"/>
        </w:rPr>
        <w:t>Gambacorta, L. (2009). “Monetary policy and risk-taking channel of monetary policy.” BIS Quarterly Review, December.</w:t>
      </w:r>
    </w:p>
    <w:p w14:paraId="16BE8821" w14:textId="4CE74678"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Gambacorta, L. and Marques, D., (2011). “The bank lending channel: lessons from the crisis.” European Central bank working paper series no. 1335.</w:t>
      </w:r>
    </w:p>
    <w:p w14:paraId="0CA7842C" w14:textId="6696134F" w:rsidR="00A13A4C" w:rsidRPr="001F272C" w:rsidRDefault="00A13A4C" w:rsidP="00A13A4C">
      <w:pPr>
        <w:spacing w:before="120" w:after="240"/>
        <w:jc w:val="both"/>
        <w:rPr>
          <w:rFonts w:ascii="Times New Roman" w:hAnsi="Times New Roman" w:cs="Times New Roman"/>
        </w:rPr>
      </w:pPr>
      <w:bookmarkStart w:id="9" w:name="_Hlk110640301"/>
      <w:r w:rsidRPr="001F272C">
        <w:rPr>
          <w:rFonts w:ascii="Times New Roman" w:hAnsi="Times New Roman" w:cs="Times New Roman"/>
        </w:rPr>
        <w:t>Halvorsen, I. and Jacobsen</w:t>
      </w:r>
      <w:bookmarkEnd w:id="9"/>
      <w:r w:rsidRPr="001F272C">
        <w:rPr>
          <w:rFonts w:ascii="Times New Roman" w:hAnsi="Times New Roman" w:cs="Times New Roman"/>
        </w:rPr>
        <w:t xml:space="preserve">, D. (2016). “The bank lending channel empirically revisited.” </w:t>
      </w:r>
      <w:r w:rsidRPr="001F272C">
        <w:rPr>
          <w:rFonts w:ascii="Times New Roman" w:hAnsi="Times New Roman" w:cs="Times New Roman"/>
          <w:i/>
          <w:iCs/>
        </w:rPr>
        <w:t>Journal of Financial Stability</w:t>
      </w:r>
      <w:r w:rsidRPr="001F272C">
        <w:rPr>
          <w:rFonts w:ascii="Times New Roman" w:hAnsi="Times New Roman" w:cs="Times New Roman"/>
        </w:rPr>
        <w:t xml:space="preserve">, vol. 27(C), pp. 95-105. </w:t>
      </w:r>
    </w:p>
    <w:p w14:paraId="266FB057" w14:textId="7CC2A71E"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Hamilton, J. (1989). “A new approach to the economic analysis of nonstationary time series and the business </w:t>
      </w:r>
      <w:r w:rsidR="008530C2" w:rsidRPr="001F272C">
        <w:rPr>
          <w:rFonts w:ascii="Times New Roman" w:hAnsi="Times New Roman" w:cs="Times New Roman"/>
        </w:rPr>
        <w:t xml:space="preserve">cycle. </w:t>
      </w:r>
      <w:r w:rsidR="008530C2" w:rsidRPr="001F272C">
        <w:rPr>
          <w:rFonts w:ascii="Times New Roman" w:hAnsi="Times New Roman" w:cs="Times New Roman"/>
          <w:i/>
          <w:iCs/>
        </w:rPr>
        <w:t>”Econometrica</w:t>
      </w:r>
      <w:r w:rsidRPr="001F272C">
        <w:rPr>
          <w:rFonts w:ascii="Times New Roman" w:hAnsi="Times New Roman" w:cs="Times New Roman"/>
          <w:i/>
          <w:iCs/>
        </w:rPr>
        <w:t xml:space="preserve">, </w:t>
      </w:r>
      <w:r w:rsidRPr="001F272C">
        <w:rPr>
          <w:rFonts w:ascii="Times New Roman" w:hAnsi="Times New Roman" w:cs="Times New Roman"/>
        </w:rPr>
        <w:t xml:space="preserve">Vol. 57(2), pp. 357-384.  </w:t>
      </w:r>
    </w:p>
    <w:p w14:paraId="118653EB"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Hansen, B. (1992). “Testing for parameter instability in linear models.” </w:t>
      </w:r>
      <w:r w:rsidRPr="001F272C">
        <w:rPr>
          <w:rFonts w:ascii="Times New Roman" w:hAnsi="Times New Roman" w:cs="Times New Roman"/>
          <w:i/>
          <w:iCs/>
        </w:rPr>
        <w:t>Journal of Policy Modelling</w:t>
      </w:r>
      <w:r w:rsidRPr="001F272C">
        <w:rPr>
          <w:rFonts w:ascii="Times New Roman" w:hAnsi="Times New Roman" w:cs="Times New Roman"/>
        </w:rPr>
        <w:t>, vol. 14(4)</w:t>
      </w:r>
      <w:r w:rsidRPr="001F272C">
        <w:rPr>
          <w:rFonts w:ascii="Times New Roman" w:hAnsi="Times New Roman" w:cs="Times New Roman"/>
          <w:i/>
          <w:iCs/>
        </w:rPr>
        <w:t xml:space="preserve">, </w:t>
      </w:r>
      <w:r w:rsidRPr="001F272C">
        <w:rPr>
          <w:rFonts w:ascii="Times New Roman" w:hAnsi="Times New Roman" w:cs="Times New Roman"/>
        </w:rPr>
        <w:t xml:space="preserve">pp. 517-533. </w:t>
      </w:r>
    </w:p>
    <w:p w14:paraId="75376AAC" w14:textId="1B89C747" w:rsidR="00A13A4C" w:rsidRPr="00A7108C" w:rsidRDefault="00A13A4C" w:rsidP="00A13A4C">
      <w:pPr>
        <w:pStyle w:val="Heading1"/>
        <w:rPr>
          <w:b w:val="0"/>
          <w:bCs w:val="0"/>
          <w:sz w:val="24"/>
          <w:szCs w:val="24"/>
        </w:rPr>
      </w:pPr>
      <w:r w:rsidRPr="001F272C">
        <w:rPr>
          <w:b w:val="0"/>
          <w:bCs w:val="0"/>
          <w:sz w:val="24"/>
          <w:szCs w:val="24"/>
        </w:rPr>
        <w:t xml:space="preserve">Huang, MC. (2019). “Regime switches and permanent changes in impacts of housing risk factors on MSA‐level housing returns.” </w:t>
      </w:r>
      <w:r w:rsidRPr="001F272C">
        <w:rPr>
          <w:b w:val="0"/>
          <w:bCs w:val="0"/>
          <w:i/>
          <w:iCs/>
          <w:sz w:val="24"/>
          <w:szCs w:val="24"/>
        </w:rPr>
        <w:t xml:space="preserve">International Journal of Finance &amp; Economics, </w:t>
      </w:r>
      <w:r w:rsidRPr="001F272C">
        <w:rPr>
          <w:b w:val="0"/>
          <w:bCs w:val="0"/>
          <w:sz w:val="24"/>
          <w:szCs w:val="24"/>
        </w:rPr>
        <w:t>Vol.26(1), pp.310</w:t>
      </w:r>
      <w:r w:rsidR="00A7108C">
        <w:rPr>
          <w:b w:val="0"/>
          <w:bCs w:val="0"/>
          <w:sz w:val="24"/>
          <w:szCs w:val="24"/>
        </w:rPr>
        <w:t>-</w:t>
      </w:r>
      <w:r w:rsidRPr="001F272C">
        <w:rPr>
          <w:b w:val="0"/>
          <w:bCs w:val="0"/>
          <w:sz w:val="24"/>
          <w:szCs w:val="24"/>
        </w:rPr>
        <w:t xml:space="preserve">342. </w:t>
      </w:r>
    </w:p>
    <w:p w14:paraId="6A043042"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Iacoviello, M. and </w:t>
      </w:r>
      <w:bookmarkStart w:id="10" w:name="_Hlk110640173"/>
      <w:r w:rsidRPr="001F272C">
        <w:rPr>
          <w:rFonts w:ascii="Times New Roman" w:hAnsi="Times New Roman" w:cs="Times New Roman"/>
        </w:rPr>
        <w:t>Minett</w:t>
      </w:r>
      <w:bookmarkEnd w:id="10"/>
      <w:r w:rsidRPr="001F272C">
        <w:rPr>
          <w:rFonts w:ascii="Times New Roman" w:hAnsi="Times New Roman" w:cs="Times New Roman"/>
        </w:rPr>
        <w:t xml:space="preserve">i, R. (2008). “The credit channel of monetary policy: Evidence from the housing market.” </w:t>
      </w:r>
      <w:r w:rsidRPr="001F272C">
        <w:rPr>
          <w:rFonts w:ascii="Times New Roman" w:hAnsi="Times New Roman" w:cs="Times New Roman"/>
          <w:i/>
          <w:iCs/>
        </w:rPr>
        <w:t>Journal of Macroeconomics</w:t>
      </w:r>
      <w:r w:rsidRPr="001F272C">
        <w:rPr>
          <w:rFonts w:ascii="Times New Roman" w:hAnsi="Times New Roman" w:cs="Times New Roman"/>
        </w:rPr>
        <w:t xml:space="preserve">, vol. 30(1), pp. 69-96. </w:t>
      </w:r>
    </w:p>
    <w:p w14:paraId="3DBC43D8" w14:textId="77777777" w:rsidR="00A13A4C" w:rsidRPr="001F272C" w:rsidRDefault="00A13A4C" w:rsidP="00A13A4C">
      <w:pPr>
        <w:spacing w:before="120" w:after="240"/>
        <w:jc w:val="both"/>
        <w:rPr>
          <w:rFonts w:ascii="Times New Roman" w:hAnsi="Times New Roman" w:cs="Times New Roman"/>
          <w:color w:val="000000" w:themeColor="text1"/>
        </w:rPr>
      </w:pPr>
      <w:r w:rsidRPr="001F272C">
        <w:rPr>
          <w:rFonts w:ascii="Times New Roman" w:hAnsi="Times New Roman" w:cs="Times New Roman"/>
          <w:color w:val="000000" w:themeColor="text1"/>
        </w:rPr>
        <w:t>Kashyap, A.K. and Stein J.C., (1995). “The impact of monetary policy on bank balance sheet.” Carnegie Rochester conference series on public policy, vol.42, pp. 151-195.</w:t>
      </w:r>
    </w:p>
    <w:p w14:paraId="7A839693" w14:textId="77777777" w:rsidR="00A13A4C" w:rsidRPr="001F272C" w:rsidRDefault="00A13A4C" w:rsidP="00A13A4C">
      <w:pPr>
        <w:spacing w:before="120" w:after="240"/>
        <w:jc w:val="both"/>
        <w:rPr>
          <w:rFonts w:ascii="Times New Roman" w:hAnsi="Times New Roman" w:cs="Times New Roman"/>
          <w:color w:val="000000" w:themeColor="text1"/>
        </w:rPr>
      </w:pPr>
      <w:r w:rsidRPr="001F272C">
        <w:rPr>
          <w:rFonts w:ascii="Times New Roman" w:hAnsi="Times New Roman" w:cs="Times New Roman"/>
          <w:color w:val="000000" w:themeColor="text1"/>
        </w:rPr>
        <w:t xml:space="preserve">Kashyap, A.K. and Stein, J.C. (2000). “What do a million observations on banks say about the transmission of monetary policy.” </w:t>
      </w:r>
      <w:r w:rsidRPr="001F272C">
        <w:rPr>
          <w:rFonts w:ascii="Times New Roman" w:hAnsi="Times New Roman" w:cs="Times New Roman"/>
          <w:i/>
          <w:iCs/>
          <w:color w:val="000000" w:themeColor="text1"/>
        </w:rPr>
        <w:t>American Economic Review</w:t>
      </w:r>
      <w:r w:rsidRPr="001F272C">
        <w:rPr>
          <w:rFonts w:ascii="Times New Roman" w:hAnsi="Times New Roman" w:cs="Times New Roman"/>
          <w:color w:val="000000" w:themeColor="text1"/>
        </w:rPr>
        <w:t>, vol. 90(3), pp. 407-428.</w:t>
      </w:r>
    </w:p>
    <w:p w14:paraId="25346ED4" w14:textId="4E59EE2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Killian, L. and Vigfusson, R. (2011). “Are the response of the USA economy asymmetric in energy prices increases and decreases?” </w:t>
      </w:r>
      <w:r w:rsidRPr="001F272C">
        <w:rPr>
          <w:rFonts w:ascii="Times New Roman" w:hAnsi="Times New Roman" w:cs="Times New Roman"/>
          <w:i/>
          <w:iCs/>
        </w:rPr>
        <w:t xml:space="preserve">Quantitative Economics, </w:t>
      </w:r>
      <w:r w:rsidRPr="001F272C">
        <w:rPr>
          <w:rFonts w:ascii="Times New Roman" w:hAnsi="Times New Roman" w:cs="Times New Roman"/>
        </w:rPr>
        <w:t xml:space="preserve">vol. 2(3), pp. 419-453. </w:t>
      </w:r>
    </w:p>
    <w:p w14:paraId="678C845E" w14:textId="77777777" w:rsidR="00A13A4C" w:rsidRPr="001F272C" w:rsidRDefault="00A13A4C" w:rsidP="00A13A4C">
      <w:pPr>
        <w:spacing w:before="120" w:after="240"/>
        <w:jc w:val="both"/>
        <w:rPr>
          <w:rFonts w:ascii="Times New Roman" w:hAnsi="Times New Roman" w:cs="Times New Roman"/>
          <w:color w:val="000000" w:themeColor="text1"/>
        </w:rPr>
      </w:pPr>
      <w:r w:rsidRPr="001F272C">
        <w:rPr>
          <w:rFonts w:ascii="Times New Roman" w:hAnsi="Times New Roman" w:cs="Times New Roman"/>
          <w:color w:val="000000" w:themeColor="text1"/>
        </w:rPr>
        <w:t xml:space="preserve">Kishan, R. and Opiela, T. (2000). “Bank size, bank capital, and the bank lending channel.” </w:t>
      </w:r>
      <w:r w:rsidRPr="001F272C">
        <w:rPr>
          <w:rFonts w:ascii="Times New Roman" w:hAnsi="Times New Roman" w:cs="Times New Roman"/>
          <w:i/>
          <w:iCs/>
          <w:color w:val="000000" w:themeColor="text1"/>
        </w:rPr>
        <w:t xml:space="preserve">Journal of Money, credit and banking, </w:t>
      </w:r>
      <w:r w:rsidRPr="001F272C">
        <w:rPr>
          <w:rFonts w:ascii="Times New Roman" w:hAnsi="Times New Roman" w:cs="Times New Roman"/>
          <w:color w:val="000000" w:themeColor="text1"/>
        </w:rPr>
        <w:t>Vol.32, pp.121-141.</w:t>
      </w:r>
    </w:p>
    <w:p w14:paraId="14BF03AF" w14:textId="77777777" w:rsidR="00A13A4C" w:rsidRPr="001F272C" w:rsidRDefault="00A13A4C" w:rsidP="00A13A4C">
      <w:pPr>
        <w:spacing w:before="120" w:after="240"/>
        <w:jc w:val="both"/>
        <w:rPr>
          <w:rFonts w:ascii="Times New Roman" w:hAnsi="Times New Roman" w:cs="Times New Roman"/>
          <w:i/>
          <w:iCs/>
        </w:rPr>
      </w:pPr>
      <w:r w:rsidRPr="001F272C">
        <w:rPr>
          <w:rFonts w:ascii="Times New Roman" w:hAnsi="Times New Roman" w:cs="Times New Roman"/>
        </w:rPr>
        <w:t xml:space="preserve">Kiyotaki, N. and Moore, J. (1997). “Credit cycles.” </w:t>
      </w:r>
      <w:r w:rsidRPr="001F272C">
        <w:rPr>
          <w:rFonts w:ascii="Times New Roman" w:hAnsi="Times New Roman" w:cs="Times New Roman"/>
          <w:i/>
          <w:iCs/>
        </w:rPr>
        <w:t>Journal of Political Economy</w:t>
      </w:r>
      <w:r w:rsidRPr="001F272C">
        <w:rPr>
          <w:rFonts w:ascii="Times New Roman" w:hAnsi="Times New Roman" w:cs="Times New Roman"/>
        </w:rPr>
        <w:t xml:space="preserve">, vol. 105(2), pp. 211-248. </w:t>
      </w:r>
    </w:p>
    <w:p w14:paraId="7EFD1BE0"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lastRenderedPageBreak/>
        <w:t>Krolzig, H. M. (1997). “Markov-Switching Vector Autoregression Modelling, Statistical inference, and application to Business Cycle Analysis.” Springer-Verlag, Berlin Heidelberg, 1997</w:t>
      </w:r>
    </w:p>
    <w:p w14:paraId="4F234F45"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Ludvigson, S. (1998). “The channel of monetary transmission to demand: The evidence from automobile credit.”</w:t>
      </w:r>
      <w:r w:rsidRPr="001F272C">
        <w:rPr>
          <w:rFonts w:ascii="Times New Roman" w:hAnsi="Times New Roman" w:cs="Times New Roman"/>
          <w:i/>
          <w:iCs/>
        </w:rPr>
        <w:t xml:space="preserve"> Journal of Money, Credit and Banking, </w:t>
      </w:r>
      <w:r w:rsidRPr="001F272C">
        <w:rPr>
          <w:rFonts w:ascii="Times New Roman" w:hAnsi="Times New Roman" w:cs="Times New Roman"/>
        </w:rPr>
        <w:t xml:space="preserve">vol 30(3), pp.365-383. </w:t>
      </w:r>
    </w:p>
    <w:p w14:paraId="18A4DD51" w14:textId="77777777" w:rsidR="00A13A4C" w:rsidRPr="001F272C" w:rsidRDefault="00A13A4C" w:rsidP="00A13A4C">
      <w:pPr>
        <w:spacing w:before="120" w:after="240"/>
        <w:jc w:val="both"/>
        <w:rPr>
          <w:rFonts w:ascii="Times New Roman" w:hAnsi="Times New Roman" w:cs="Times New Roman"/>
          <w:color w:val="000000"/>
        </w:rPr>
      </w:pPr>
      <w:r w:rsidRPr="001F272C">
        <w:rPr>
          <w:rFonts w:ascii="Times New Roman" w:hAnsi="Times New Roman" w:cs="Times New Roman"/>
          <w:color w:val="000000"/>
        </w:rPr>
        <w:t xml:space="preserve">Loutskina, E. (2011). “The role of securitization in Bank liquidity and funding management.” </w:t>
      </w:r>
      <w:r w:rsidRPr="001F272C">
        <w:rPr>
          <w:rFonts w:ascii="Times New Roman" w:hAnsi="Times New Roman" w:cs="Times New Roman"/>
          <w:i/>
          <w:iCs/>
          <w:color w:val="000000"/>
        </w:rPr>
        <w:t>Journal of Financial Economics</w:t>
      </w:r>
      <w:r w:rsidRPr="001F272C">
        <w:rPr>
          <w:rFonts w:ascii="Times New Roman" w:hAnsi="Times New Roman" w:cs="Times New Roman"/>
          <w:color w:val="000000"/>
        </w:rPr>
        <w:t xml:space="preserve">, vol. 100(3), pp. 663-684.  </w:t>
      </w:r>
    </w:p>
    <w:p w14:paraId="07CB1856"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Maclennan, D., Muellbauer, J. and Stephans, M. (1998). “Asymmetries in housing and financial market institutions and EMU.” </w:t>
      </w:r>
      <w:r w:rsidRPr="001F272C">
        <w:rPr>
          <w:rFonts w:ascii="Times New Roman" w:hAnsi="Times New Roman" w:cs="Times New Roman"/>
          <w:i/>
          <w:iCs/>
        </w:rPr>
        <w:t>Oxford Review of Economic Policy</w:t>
      </w:r>
      <w:r w:rsidRPr="001F272C">
        <w:rPr>
          <w:rFonts w:ascii="Times New Roman" w:hAnsi="Times New Roman" w:cs="Times New Roman"/>
        </w:rPr>
        <w:t xml:space="preserve">, vol. 14(3), pp. 54-80. </w:t>
      </w:r>
    </w:p>
    <w:p w14:paraId="15715FA8"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Milcheva, S. (2013). “A bank lending channel or a credit supply shock?” </w:t>
      </w:r>
      <w:r w:rsidRPr="001F272C">
        <w:rPr>
          <w:rFonts w:ascii="Times New Roman" w:hAnsi="Times New Roman" w:cs="Times New Roman"/>
          <w:i/>
          <w:iCs/>
        </w:rPr>
        <w:t>Journal of Macroeconomics</w:t>
      </w:r>
      <w:r w:rsidRPr="001F272C">
        <w:rPr>
          <w:rFonts w:ascii="Times New Roman" w:hAnsi="Times New Roman" w:cs="Times New Roman"/>
        </w:rPr>
        <w:t xml:space="preserve">, vol. 37(3), pp. 314-332. </w:t>
      </w:r>
    </w:p>
    <w:p w14:paraId="396F5D4A"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Mishkin, F. (1995). “Symposium on the monetary transmission mechanism</w:t>
      </w:r>
      <w:r w:rsidRPr="001F272C">
        <w:rPr>
          <w:rFonts w:ascii="Times New Roman" w:hAnsi="Times New Roman" w:cs="Times New Roman"/>
          <w:i/>
          <w:iCs/>
        </w:rPr>
        <w:t>.</w:t>
      </w:r>
      <w:r w:rsidRPr="001F272C">
        <w:rPr>
          <w:rFonts w:ascii="Times New Roman" w:hAnsi="Times New Roman" w:cs="Times New Roman"/>
        </w:rPr>
        <w:t>”</w:t>
      </w:r>
      <w:r w:rsidRPr="001F272C">
        <w:rPr>
          <w:rFonts w:ascii="Times New Roman" w:hAnsi="Times New Roman" w:cs="Times New Roman"/>
          <w:i/>
          <w:iCs/>
        </w:rPr>
        <w:t xml:space="preserve"> Journal of Economic Perspectives, </w:t>
      </w:r>
      <w:r w:rsidRPr="001F272C">
        <w:rPr>
          <w:rFonts w:ascii="Times New Roman" w:hAnsi="Times New Roman" w:cs="Times New Roman"/>
        </w:rPr>
        <w:t xml:space="preserve">vol. 9(4), pp. 3-10. </w:t>
      </w:r>
    </w:p>
    <w:p w14:paraId="005AAEA3" w14:textId="77777777" w:rsidR="00A13A4C" w:rsidRPr="001F272C" w:rsidRDefault="00A13A4C" w:rsidP="00A13A4C">
      <w:pPr>
        <w:spacing w:before="120" w:after="240"/>
        <w:jc w:val="both"/>
        <w:rPr>
          <w:rFonts w:ascii="Times New Roman" w:hAnsi="Times New Roman" w:cs="Times New Roman"/>
        </w:rPr>
      </w:pPr>
      <w:r w:rsidRPr="001F272C">
        <w:rPr>
          <w:rFonts w:ascii="Times New Roman" w:hAnsi="Times New Roman" w:cs="Times New Roman"/>
        </w:rPr>
        <w:t xml:space="preserve">Mork, K. (1989). “Oil and the macroeconomy when prices go up and down: An extension of Hamilton’s results.” </w:t>
      </w:r>
      <w:r w:rsidRPr="001F272C">
        <w:rPr>
          <w:rFonts w:ascii="Times New Roman" w:hAnsi="Times New Roman" w:cs="Times New Roman"/>
          <w:i/>
          <w:iCs/>
        </w:rPr>
        <w:t>Journal of Political Economy</w:t>
      </w:r>
      <w:r w:rsidRPr="001F272C">
        <w:rPr>
          <w:rFonts w:ascii="Times New Roman" w:hAnsi="Times New Roman" w:cs="Times New Roman"/>
        </w:rPr>
        <w:t xml:space="preserve">, vol. 97(3), pp. 740-744. </w:t>
      </w:r>
    </w:p>
    <w:p w14:paraId="31EA5305" w14:textId="77777777" w:rsidR="00A13A4C" w:rsidRPr="001F272C" w:rsidRDefault="00A13A4C" w:rsidP="00A13A4C">
      <w:pPr>
        <w:spacing w:before="120" w:after="240"/>
        <w:jc w:val="both"/>
        <w:rPr>
          <w:rFonts w:ascii="Times New Roman" w:eastAsia="Times New Roman" w:hAnsi="Times New Roman" w:cs="Times New Roman"/>
          <w:color w:val="000000" w:themeColor="text1"/>
          <w:lang w:eastAsia="en-GB"/>
        </w:rPr>
      </w:pPr>
      <w:r w:rsidRPr="001F272C">
        <w:rPr>
          <w:rFonts w:ascii="Times New Roman" w:hAnsi="Times New Roman" w:cs="Times New Roman"/>
          <w:color w:val="000000" w:themeColor="text1"/>
        </w:rPr>
        <w:t>Musso A., Neri, S. and Stracca, L. (2011).</w:t>
      </w:r>
      <w:r w:rsidRPr="001F272C">
        <w:rPr>
          <w:rFonts w:ascii="Times New Roman" w:eastAsia="Times New Roman" w:hAnsi="Times New Roman" w:cs="Times New Roman"/>
          <w:color w:val="000000" w:themeColor="text1"/>
          <w:lang w:eastAsia="en-GB"/>
        </w:rPr>
        <w:t xml:space="preserve"> “Housing, consumption and monetary policy-how different are the US and the Euro area?” </w:t>
      </w:r>
      <w:r w:rsidRPr="001F272C">
        <w:rPr>
          <w:rFonts w:ascii="Times New Roman" w:eastAsia="Times New Roman" w:hAnsi="Times New Roman" w:cs="Times New Roman"/>
          <w:i/>
          <w:iCs/>
          <w:color w:val="000000" w:themeColor="text1"/>
          <w:lang w:eastAsia="en-GB"/>
        </w:rPr>
        <w:t>Journal of Banking and Finance</w:t>
      </w:r>
      <w:r w:rsidRPr="001F272C">
        <w:rPr>
          <w:rFonts w:ascii="Times New Roman" w:eastAsia="Times New Roman" w:hAnsi="Times New Roman" w:cs="Times New Roman"/>
          <w:color w:val="000000" w:themeColor="text1"/>
          <w:lang w:eastAsia="en-GB"/>
        </w:rPr>
        <w:t>, vol 35, pp. 3019-3041.</w:t>
      </w:r>
    </w:p>
    <w:p w14:paraId="057FBC51" w14:textId="4A242503" w:rsidR="00A13A4C" w:rsidRDefault="00A13A4C" w:rsidP="00A13A4C">
      <w:pPr>
        <w:spacing w:before="120" w:after="240"/>
        <w:jc w:val="both"/>
        <w:rPr>
          <w:rFonts w:ascii="Times New Roman" w:eastAsia="Times New Roman" w:hAnsi="Times New Roman" w:cs="Times New Roman"/>
          <w:lang w:eastAsia="en-GB"/>
        </w:rPr>
      </w:pPr>
      <w:r w:rsidRPr="001F272C">
        <w:rPr>
          <w:rFonts w:ascii="Times New Roman" w:hAnsi="Times New Roman" w:cs="Times New Roman"/>
        </w:rPr>
        <w:t xml:space="preserve">Oliner, S. and Rudebusch, D. (1996). </w:t>
      </w:r>
      <w:r w:rsidRPr="001F272C">
        <w:rPr>
          <w:rFonts w:ascii="Times New Roman" w:eastAsia="Times New Roman" w:hAnsi="Times New Roman" w:cs="Times New Roman"/>
          <w:lang w:eastAsia="en-GB"/>
        </w:rPr>
        <w:t xml:space="preserve">“Monetary policy and credit Conditions: Evidence from the composition of external finance: comment.” </w:t>
      </w:r>
      <w:r w:rsidRPr="001F272C">
        <w:rPr>
          <w:rFonts w:ascii="Times New Roman" w:eastAsia="Times New Roman" w:hAnsi="Times New Roman" w:cs="Times New Roman"/>
          <w:i/>
          <w:iCs/>
          <w:lang w:eastAsia="en-GB"/>
        </w:rPr>
        <w:t>American Economic Review</w:t>
      </w:r>
      <w:r w:rsidRPr="001F272C">
        <w:rPr>
          <w:rFonts w:ascii="Times New Roman" w:eastAsia="Times New Roman" w:hAnsi="Times New Roman" w:cs="Times New Roman"/>
          <w:lang w:eastAsia="en-GB"/>
        </w:rPr>
        <w:t xml:space="preserve">, vol. 86(1), pp. 300-309. </w:t>
      </w:r>
    </w:p>
    <w:p w14:paraId="67ACD35B" w14:textId="5B028A6E" w:rsidR="00EB4492" w:rsidRPr="00EB4492" w:rsidRDefault="00EB4492" w:rsidP="00A13A4C">
      <w:pPr>
        <w:spacing w:before="120" w:after="240"/>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Rao, U. and Mishra, T. (2020), “Posterior Analysis of Mergers and Acquisitions in the International Financial Market: A Re-appraisal”. </w:t>
      </w:r>
      <w:r>
        <w:rPr>
          <w:rFonts w:ascii="Times New Roman" w:eastAsia="Times New Roman" w:hAnsi="Times New Roman" w:cs="Times New Roman"/>
          <w:i/>
          <w:iCs/>
          <w:lang w:eastAsia="en-GB"/>
        </w:rPr>
        <w:t xml:space="preserve">Research in International Business and Finance, </w:t>
      </w:r>
      <w:r>
        <w:rPr>
          <w:rFonts w:ascii="Times New Roman" w:eastAsia="Times New Roman" w:hAnsi="Times New Roman" w:cs="Times New Roman"/>
          <w:lang w:eastAsia="en-GB"/>
        </w:rPr>
        <w:t>51, 101062.</w:t>
      </w:r>
    </w:p>
    <w:p w14:paraId="10681498" w14:textId="77777777" w:rsidR="00A13A4C" w:rsidRPr="001F272C" w:rsidRDefault="00A13A4C" w:rsidP="00A13A4C">
      <w:pPr>
        <w:pStyle w:val="nova-e-listitem"/>
        <w:shd w:val="clear" w:color="auto" w:fill="FFFFFF"/>
        <w:spacing w:before="120" w:beforeAutospacing="0" w:after="240" w:afterAutospacing="0"/>
        <w:jc w:val="both"/>
        <w:rPr>
          <w:color w:val="000000" w:themeColor="text1"/>
        </w:rPr>
      </w:pPr>
      <w:r w:rsidRPr="001F272C">
        <w:t xml:space="preserve">Salachas, E., Laopodis, N. and Kouretas, G. (2017). “The bank lending channel and monetary policy during pre and post 2007 crisis.”  </w:t>
      </w:r>
      <w:r w:rsidRPr="001F272C">
        <w:rPr>
          <w:i/>
          <w:iCs/>
          <w:color w:val="000000" w:themeColor="text1"/>
        </w:rPr>
        <w:t>Journal of International Financial Markets Institutions and Money</w:t>
      </w:r>
      <w:r w:rsidRPr="001F272C">
        <w:rPr>
          <w:color w:val="000000" w:themeColor="text1"/>
        </w:rPr>
        <w:t>, vol. 47(C), pp. 176-187.</w:t>
      </w:r>
    </w:p>
    <w:p w14:paraId="602C7E20" w14:textId="3AFB6F03" w:rsidR="00A13A4C" w:rsidRPr="00C846B5" w:rsidRDefault="00A13A4C" w:rsidP="00A13A4C">
      <w:pPr>
        <w:spacing w:before="120" w:after="240"/>
        <w:jc w:val="both"/>
        <w:rPr>
          <w:rFonts w:ascii="Times New Roman" w:eastAsia="Times New Roman" w:hAnsi="Times New Roman" w:cs="Times New Roman"/>
          <w:lang w:eastAsia="en-GB"/>
        </w:rPr>
      </w:pPr>
      <w:r w:rsidRPr="001F272C">
        <w:rPr>
          <w:rFonts w:ascii="Times New Roman" w:eastAsia="Times New Roman" w:hAnsi="Times New Roman" w:cs="Times New Roman"/>
          <w:lang w:eastAsia="en-GB"/>
        </w:rPr>
        <w:t xml:space="preserve">Santoro, E., Petrella, I., Pfajfar, D. and Gaffeo, E. (2014). “Loss aversion and the asymmetric transmission of monetary policy.” </w:t>
      </w:r>
      <w:r w:rsidRPr="001F272C">
        <w:rPr>
          <w:rFonts w:ascii="Times New Roman" w:eastAsia="Times New Roman" w:hAnsi="Times New Roman" w:cs="Times New Roman"/>
          <w:i/>
          <w:iCs/>
          <w:lang w:eastAsia="en-GB"/>
        </w:rPr>
        <w:t>Journal of Monetary Policy</w:t>
      </w:r>
      <w:r w:rsidRPr="001F272C">
        <w:rPr>
          <w:rFonts w:ascii="Times New Roman" w:eastAsia="Times New Roman" w:hAnsi="Times New Roman" w:cs="Times New Roman"/>
          <w:lang w:eastAsia="en-GB"/>
        </w:rPr>
        <w:t>, vol68(3), pp. 19-36</w:t>
      </w:r>
      <w:r w:rsidR="00D90FEC">
        <w:rPr>
          <w:rFonts w:ascii="Times New Roman" w:eastAsia="Times New Roman" w:hAnsi="Times New Roman" w:cs="Times New Roman"/>
          <w:lang w:eastAsia="en-GB"/>
        </w:rPr>
        <w:t>.</w:t>
      </w:r>
    </w:p>
    <w:p w14:paraId="25EF8B63" w14:textId="226B0EB7" w:rsidR="00A13A4C" w:rsidRPr="00394B32" w:rsidRDefault="00A13A4C" w:rsidP="00A13A4C">
      <w:pPr>
        <w:spacing w:before="120" w:after="240"/>
        <w:jc w:val="both"/>
        <w:rPr>
          <w:rFonts w:ascii="Times New Roman" w:hAnsi="Times New Roman" w:cs="Times New Roman"/>
        </w:rPr>
      </w:pPr>
      <w:r w:rsidRPr="00394B32">
        <w:rPr>
          <w:rFonts w:ascii="Times New Roman" w:hAnsi="Times New Roman" w:cs="Times New Roman"/>
        </w:rPr>
        <w:t>Scanlon K., Lunde J. and Whiehead, C. (201</w:t>
      </w:r>
      <w:r w:rsidR="00390249">
        <w:rPr>
          <w:rFonts w:ascii="Times New Roman" w:hAnsi="Times New Roman" w:cs="Times New Roman"/>
        </w:rPr>
        <w:t>1</w:t>
      </w:r>
      <w:r w:rsidRPr="00394B32">
        <w:rPr>
          <w:rFonts w:ascii="Times New Roman" w:hAnsi="Times New Roman" w:cs="Times New Roman"/>
        </w:rPr>
        <w:t>). “</w:t>
      </w:r>
      <w:bookmarkStart w:id="11" w:name="_Hlk110871443"/>
      <w:r w:rsidRPr="00394B32">
        <w:rPr>
          <w:rFonts w:ascii="Times New Roman" w:hAnsi="Times New Roman" w:cs="Times New Roman"/>
        </w:rPr>
        <w:t>Responding to the housing and financial crisis: mortgage lending, mortgage products and government policies</w:t>
      </w:r>
      <w:bookmarkEnd w:id="11"/>
      <w:r w:rsidRPr="00394B32">
        <w:rPr>
          <w:rFonts w:ascii="Times New Roman" w:hAnsi="Times New Roman" w:cs="Times New Roman"/>
        </w:rPr>
        <w:t xml:space="preserve">.” </w:t>
      </w:r>
      <w:r w:rsidRPr="00394B32">
        <w:rPr>
          <w:rFonts w:ascii="Times New Roman" w:hAnsi="Times New Roman" w:cs="Times New Roman"/>
          <w:i/>
          <w:iCs/>
        </w:rPr>
        <w:t xml:space="preserve">International Journal of Housing Policy, </w:t>
      </w:r>
      <w:r w:rsidRPr="00394B32">
        <w:rPr>
          <w:rFonts w:ascii="Times New Roman" w:hAnsi="Times New Roman" w:cs="Times New Roman"/>
        </w:rPr>
        <w:t xml:space="preserve">vol. 11(1), pp. 23-49. </w:t>
      </w:r>
    </w:p>
    <w:p w14:paraId="71C30ECF" w14:textId="77777777" w:rsidR="00A13A4C" w:rsidRPr="00394B32" w:rsidRDefault="00A13A4C" w:rsidP="00A13A4C">
      <w:pPr>
        <w:spacing w:after="240"/>
        <w:jc w:val="both"/>
        <w:rPr>
          <w:rFonts w:ascii="Times New Roman" w:hAnsi="Times New Roman" w:cs="Times New Roman"/>
        </w:rPr>
      </w:pPr>
      <w:r w:rsidRPr="00394B32">
        <w:rPr>
          <w:rFonts w:ascii="Times New Roman" w:hAnsi="Times New Roman" w:cs="Times New Roman"/>
        </w:rPr>
        <w:t xml:space="preserve">Talavera, O., Andriy, T. and Oleksandr, Z. (2012). Macroeconomic uncertainty and bank lending: the case of Ukraine.” </w:t>
      </w:r>
      <w:r w:rsidRPr="00394B32">
        <w:rPr>
          <w:rFonts w:ascii="Times New Roman" w:hAnsi="Times New Roman" w:cs="Times New Roman"/>
          <w:i/>
          <w:iCs/>
        </w:rPr>
        <w:t>Economic Systems</w:t>
      </w:r>
      <w:r w:rsidRPr="00394B32">
        <w:rPr>
          <w:rFonts w:ascii="Times New Roman" w:hAnsi="Times New Roman" w:cs="Times New Roman"/>
        </w:rPr>
        <w:t xml:space="preserve">, vol 36(2), pp. 279-293. </w:t>
      </w:r>
    </w:p>
    <w:p w14:paraId="631BFDBA" w14:textId="77777777" w:rsidR="00A13A4C" w:rsidRPr="00394B32" w:rsidRDefault="00A13A4C" w:rsidP="00A13A4C">
      <w:pPr>
        <w:autoSpaceDE w:val="0"/>
        <w:autoSpaceDN w:val="0"/>
        <w:adjustRightInd w:val="0"/>
        <w:spacing w:after="0"/>
        <w:jc w:val="both"/>
        <w:rPr>
          <w:rFonts w:ascii="Times New Roman" w:hAnsi="Times New Roman" w:cs="Times New Roman"/>
        </w:rPr>
      </w:pPr>
      <w:r w:rsidRPr="00394B32">
        <w:rPr>
          <w:rFonts w:ascii="Times New Roman" w:hAnsi="Times New Roman" w:cs="Times New Roman"/>
        </w:rPr>
        <w:t xml:space="preserve">Terasvirta, T., and Anderson, H. (1992). “Modelling nonlinearities in business cycles using smooth transition autoregressive models.” </w:t>
      </w:r>
      <w:r w:rsidRPr="00394B32">
        <w:rPr>
          <w:rFonts w:ascii="Times New Roman" w:hAnsi="Times New Roman" w:cs="Times New Roman"/>
          <w:i/>
          <w:iCs/>
        </w:rPr>
        <w:t>Journal of Applied Econometrics</w:t>
      </w:r>
      <w:r w:rsidRPr="00394B32">
        <w:rPr>
          <w:rFonts w:ascii="Times New Roman" w:hAnsi="Times New Roman" w:cs="Times New Roman"/>
        </w:rPr>
        <w:t>, Vol.</w:t>
      </w:r>
      <w:r w:rsidRPr="00394B32">
        <w:rPr>
          <w:rFonts w:ascii="Times New Roman" w:hAnsi="Times New Roman" w:cs="Times New Roman"/>
          <w:b/>
          <w:bCs/>
        </w:rPr>
        <w:t>7</w:t>
      </w:r>
      <w:r w:rsidRPr="00394B32">
        <w:rPr>
          <w:rFonts w:ascii="Times New Roman" w:hAnsi="Times New Roman" w:cs="Times New Roman"/>
        </w:rPr>
        <w:t>, pp. 119–136.</w:t>
      </w:r>
    </w:p>
    <w:p w14:paraId="43E1C361" w14:textId="5ADEA04D" w:rsidR="00A13A4C" w:rsidRPr="00394B32" w:rsidRDefault="00A13A4C" w:rsidP="00A13A4C">
      <w:pPr>
        <w:spacing w:before="240" w:after="0"/>
        <w:jc w:val="both"/>
        <w:rPr>
          <w:rFonts w:ascii="Times New Roman" w:hAnsi="Times New Roman" w:cs="Times New Roman"/>
        </w:rPr>
      </w:pPr>
      <w:r w:rsidRPr="00394B32">
        <w:rPr>
          <w:rFonts w:ascii="Times New Roman" w:hAnsi="Times New Roman" w:cs="Times New Roman"/>
        </w:rPr>
        <w:t>Tsai C., (2013). “The asymmetric impacts of monetary policy on house prices: A viewpoint of house price rigidity.”</w:t>
      </w:r>
      <w:r w:rsidRPr="00394B32">
        <w:rPr>
          <w:rFonts w:ascii="Times New Roman" w:hAnsi="Times New Roman" w:cs="Times New Roman"/>
          <w:i/>
          <w:iCs/>
        </w:rPr>
        <w:t xml:space="preserve"> Economic Modelling</w:t>
      </w:r>
      <w:r w:rsidRPr="00394B32">
        <w:rPr>
          <w:rFonts w:ascii="Times New Roman" w:hAnsi="Times New Roman" w:cs="Times New Roman"/>
        </w:rPr>
        <w:t>, vol. 31(1),</w:t>
      </w:r>
      <w:r w:rsidR="00D90FEC">
        <w:rPr>
          <w:rFonts w:ascii="Times New Roman" w:hAnsi="Times New Roman" w:cs="Times New Roman"/>
        </w:rPr>
        <w:t xml:space="preserve"> </w:t>
      </w:r>
      <w:r w:rsidRPr="00394B32">
        <w:rPr>
          <w:rFonts w:ascii="Times New Roman" w:hAnsi="Times New Roman" w:cs="Times New Roman"/>
        </w:rPr>
        <w:t xml:space="preserve">pp. 405-413. </w:t>
      </w:r>
    </w:p>
    <w:p w14:paraId="47112EEA" w14:textId="77777777" w:rsidR="00A13A4C" w:rsidRPr="00394B32" w:rsidRDefault="00A13A4C" w:rsidP="00A13A4C">
      <w:pPr>
        <w:spacing w:before="240" w:after="240"/>
        <w:jc w:val="both"/>
        <w:rPr>
          <w:rFonts w:ascii="Times New Roman" w:hAnsi="Times New Roman" w:cs="Times New Roman"/>
          <w:color w:val="000000" w:themeColor="text1"/>
        </w:rPr>
      </w:pPr>
      <w:r w:rsidRPr="00394B32">
        <w:rPr>
          <w:rFonts w:ascii="Times New Roman" w:hAnsi="Times New Roman" w:cs="Times New Roman"/>
          <w:color w:val="000000" w:themeColor="text1"/>
        </w:rPr>
        <w:t>Heuvel, V, D. (2002).</w:t>
      </w:r>
      <w:r w:rsidRPr="00394B32">
        <w:rPr>
          <w:rFonts w:ascii="Times New Roman" w:eastAsia="Times New Roman" w:hAnsi="Times New Roman" w:cs="Times New Roman"/>
          <w:color w:val="000000" w:themeColor="text1"/>
          <w:lang w:eastAsia="en-GB"/>
        </w:rPr>
        <w:t xml:space="preserve"> “Does bank capital matter for monetary policy.” Federal reserve bank of New York Economic policy review, May, pp. 260-266.</w:t>
      </w:r>
    </w:p>
    <w:p w14:paraId="79419634" w14:textId="29B89E7D" w:rsidR="00A13A4C" w:rsidRPr="00394B32" w:rsidRDefault="00A13A4C" w:rsidP="00A13A4C">
      <w:pPr>
        <w:spacing w:after="240"/>
        <w:jc w:val="both"/>
        <w:rPr>
          <w:rFonts w:ascii="Times New Roman" w:hAnsi="Times New Roman" w:cs="Times New Roman"/>
        </w:rPr>
      </w:pPr>
      <w:r w:rsidRPr="00394B32">
        <w:rPr>
          <w:rFonts w:ascii="Times New Roman" w:hAnsi="Times New Roman" w:cs="Times New Roman"/>
        </w:rPr>
        <w:t xml:space="preserve">Wadhwani, S. (2008). “Should monetary policy respond to asset price bubbles? Revisiting the debate.” </w:t>
      </w:r>
      <w:r w:rsidRPr="00394B32">
        <w:rPr>
          <w:rFonts w:ascii="Times New Roman" w:hAnsi="Times New Roman" w:cs="Times New Roman"/>
          <w:i/>
          <w:iCs/>
        </w:rPr>
        <w:t>National Institute Economic Review</w:t>
      </w:r>
      <w:r w:rsidRPr="00394B32">
        <w:rPr>
          <w:rFonts w:ascii="Times New Roman" w:hAnsi="Times New Roman" w:cs="Times New Roman"/>
        </w:rPr>
        <w:t>, no. 206</w:t>
      </w:r>
      <w:r w:rsidR="00D90FEC">
        <w:rPr>
          <w:rFonts w:ascii="Times New Roman" w:hAnsi="Times New Roman" w:cs="Times New Roman"/>
        </w:rPr>
        <w:t>.</w:t>
      </w:r>
    </w:p>
    <w:p w14:paraId="642C48DE" w14:textId="77777777" w:rsidR="00A13A4C" w:rsidRPr="00394B32" w:rsidRDefault="00A13A4C" w:rsidP="00A13A4C">
      <w:pPr>
        <w:spacing w:after="240"/>
        <w:jc w:val="both"/>
        <w:rPr>
          <w:rFonts w:ascii="Times New Roman" w:hAnsi="Times New Roman" w:cs="Times New Roman"/>
          <w:color w:val="000000"/>
        </w:rPr>
      </w:pPr>
      <w:r w:rsidRPr="00394B32">
        <w:rPr>
          <w:rFonts w:ascii="Times New Roman" w:hAnsi="Times New Roman" w:cs="Times New Roman"/>
          <w:color w:val="000000"/>
        </w:rPr>
        <w:lastRenderedPageBreak/>
        <w:t xml:space="preserve">Wu, J. and Xia, D. (2016). “Measuring the macroeconomic impact of monetary policy at the zero-lower bound.” </w:t>
      </w:r>
      <w:r w:rsidRPr="00394B32">
        <w:rPr>
          <w:rFonts w:ascii="Times New Roman" w:hAnsi="Times New Roman" w:cs="Times New Roman"/>
          <w:i/>
          <w:iCs/>
          <w:color w:val="000000"/>
        </w:rPr>
        <w:t>Journal of Money, Credit and Banking</w:t>
      </w:r>
      <w:r w:rsidRPr="00394B32">
        <w:rPr>
          <w:rFonts w:ascii="Times New Roman" w:hAnsi="Times New Roman" w:cs="Times New Roman"/>
          <w:color w:val="000000"/>
        </w:rPr>
        <w:t xml:space="preserve">, vol. 48(2-3), pp.253-291. </w:t>
      </w:r>
    </w:p>
    <w:p w14:paraId="11F44FC8" w14:textId="77777777" w:rsidR="00A13A4C" w:rsidRPr="00631CAD" w:rsidRDefault="00A13A4C" w:rsidP="00A13A4C">
      <w:pPr>
        <w:widowControl w:val="0"/>
        <w:autoSpaceDE w:val="0"/>
        <w:autoSpaceDN w:val="0"/>
        <w:adjustRightInd w:val="0"/>
        <w:spacing w:after="240"/>
        <w:jc w:val="both"/>
        <w:rPr>
          <w:rFonts w:ascii="Times New Roman" w:eastAsiaTheme="minorEastAsia" w:hAnsi="Times New Roman" w:cs="Times New Roman"/>
          <w:color w:val="000000"/>
        </w:rPr>
      </w:pPr>
      <w:r w:rsidRPr="00394B32">
        <w:rPr>
          <w:rFonts w:ascii="Times New Roman" w:hAnsi="Times New Roman" w:cs="Times New Roman"/>
        </w:rPr>
        <w:t>Zheng, J. (2013). “Effects of monetary policy shocks during financial crisis- A threshold vector autoregression approach.” CAMA working paper series no. 2013-64.</w:t>
      </w:r>
    </w:p>
    <w:p w14:paraId="52AA0B00" w14:textId="6E75F9AE" w:rsidR="004E5F20" w:rsidRDefault="004E5F20" w:rsidP="00AD63DB">
      <w:pPr>
        <w:spacing w:after="0"/>
        <w:rPr>
          <w:rFonts w:ascii="Times New Roman" w:hAnsi="Times New Roman" w:cs="Times New Roman"/>
          <w:b/>
          <w:bCs/>
        </w:rPr>
      </w:pPr>
    </w:p>
    <w:p w14:paraId="5FC6F9FB" w14:textId="6A3769CE" w:rsidR="00F8228D" w:rsidRPr="00A053B9" w:rsidRDefault="00E41585" w:rsidP="00F8228D">
      <w:pPr>
        <w:rPr>
          <w:rFonts w:ascii="Times New Roman" w:hAnsi="Times New Roman" w:cs="Times New Roman"/>
          <w:b/>
          <w:bCs/>
          <w:color w:val="000000" w:themeColor="text1"/>
        </w:rPr>
      </w:pPr>
      <w:r w:rsidRPr="00A053B9">
        <w:rPr>
          <w:rFonts w:ascii="Times New Roman" w:hAnsi="Times New Roman" w:cs="Times New Roman"/>
          <w:b/>
          <w:bCs/>
          <w:color w:val="000000" w:themeColor="text1"/>
        </w:rPr>
        <w:t>Appendix:</w:t>
      </w:r>
      <w:r w:rsidR="00F8228D" w:rsidRPr="00A053B9">
        <w:rPr>
          <w:rFonts w:ascii="Times New Roman" w:hAnsi="Times New Roman" w:cs="Times New Roman"/>
          <w:b/>
          <w:bCs/>
          <w:color w:val="000000" w:themeColor="text1"/>
        </w:rPr>
        <w:t xml:space="preserve"> Killian Vigfusson (2011) methodology </w:t>
      </w:r>
    </w:p>
    <w:p w14:paraId="6F70F23D" w14:textId="77777777" w:rsidR="00F8228D" w:rsidRPr="00A053B9" w:rsidRDefault="00F8228D" w:rsidP="00F8228D">
      <w:pPr>
        <w:spacing w:line="480" w:lineRule="auto"/>
        <w:rPr>
          <w:rFonts w:ascii="Times New Roman" w:eastAsia="Times New Roman" w:hAnsi="Times New Roman" w:cs="Times New Roman"/>
          <w:color w:val="000000" w:themeColor="text1"/>
          <w:lang w:eastAsia="en-GB"/>
        </w:rPr>
      </w:pPr>
      <w:r w:rsidRPr="00A053B9">
        <w:rPr>
          <w:rFonts w:ascii="Times New Roman" w:eastAsia="Times New Roman" w:hAnsi="Times New Roman" w:cs="Times New Roman"/>
          <w:color w:val="000000" w:themeColor="text1"/>
          <w:lang w:eastAsia="en-GB"/>
        </w:rPr>
        <w:t xml:space="preserve">To examine the responses of variable </w:t>
      </w:r>
      <m:oMath>
        <m:r>
          <w:rPr>
            <w:rFonts w:ascii="Cambria Math" w:eastAsia="Times New Roman" w:hAnsi="Cambria Math" w:cs="Times New Roman"/>
            <w:color w:val="000000" w:themeColor="text1"/>
            <w:lang w:eastAsia="en-GB"/>
          </w:rPr>
          <m:t xml:space="preserve">y </m:t>
        </m:r>
      </m:oMath>
      <w:r w:rsidRPr="00A053B9">
        <w:rPr>
          <w:rFonts w:ascii="Times New Roman" w:eastAsia="Times New Roman" w:hAnsi="Times New Roman" w:cs="Times New Roman"/>
          <w:color w:val="000000" w:themeColor="text1"/>
          <w:lang w:eastAsia="en-GB"/>
        </w:rPr>
        <w:t xml:space="preserve">to innovations in variable </w:t>
      </w:r>
      <m:oMath>
        <m:r>
          <w:rPr>
            <w:rFonts w:ascii="Cambria Math" w:eastAsia="Times New Roman" w:hAnsi="Cambria Math" w:cs="Times New Roman"/>
            <w:color w:val="000000" w:themeColor="text1"/>
            <w:lang w:eastAsia="en-GB"/>
          </w:rPr>
          <m:t>x</m:t>
        </m:r>
      </m:oMath>
      <w:r w:rsidRPr="00A053B9">
        <w:rPr>
          <w:rFonts w:ascii="Times New Roman" w:eastAsia="Times New Roman" w:hAnsi="Times New Roman" w:cs="Times New Roman"/>
          <w:color w:val="000000" w:themeColor="text1"/>
          <w:lang w:eastAsia="en-GB"/>
        </w:rPr>
        <w:t xml:space="preserve"> we estimate the following simultaneous equation model via OLS, equation-by-equation.</w:t>
      </w:r>
    </w:p>
    <w:p w14:paraId="5B0A091E" w14:textId="77777777" w:rsidR="00F8228D" w:rsidRPr="00A053B9" w:rsidRDefault="00227DF5" w:rsidP="00F8228D">
      <w:pP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t</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10</m:t>
              </m:r>
            </m:sub>
          </m:sSub>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j=p</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11,j</m:t>
                  </m:r>
                </m:sub>
              </m:sSub>
            </m:e>
          </m:nary>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t-j</m:t>
              </m:r>
            </m:sub>
          </m:sSub>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j=p</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12,j</m:t>
                  </m:r>
                </m:sub>
              </m:sSub>
            </m:e>
          </m:nary>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i,t-j</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ϵ</m:t>
              </m:r>
            </m:e>
            <m:sub>
              <m:r>
                <w:rPr>
                  <w:rFonts w:ascii="Cambria Math" w:hAnsi="Cambria Math" w:cs="Times New Roman"/>
                  <w:color w:val="000000" w:themeColor="text1"/>
                </w:rPr>
                <m:t>1t</m:t>
              </m:r>
            </m:sub>
          </m:sSub>
        </m:oMath>
      </m:oMathPara>
    </w:p>
    <w:p w14:paraId="2B0CA096" w14:textId="77777777" w:rsidR="00F8228D" w:rsidRPr="00A053B9" w:rsidRDefault="00227DF5" w:rsidP="00F8228D">
      <w:pP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t</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20</m:t>
              </m:r>
            </m:sub>
          </m:sSub>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j=0</m:t>
              </m:r>
            </m:sub>
            <m:sup>
              <m:r>
                <w:rPr>
                  <w:rFonts w:ascii="Cambria Math" w:hAnsi="Cambria Math" w:cs="Times New Roman"/>
                  <w:color w:val="000000" w:themeColor="text1"/>
                </w:rPr>
                <m:t>j=p</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21,j</m:t>
                  </m:r>
                </m:sub>
              </m:sSub>
            </m:e>
          </m:nary>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t-j</m:t>
              </m:r>
            </m:sub>
          </m:sSub>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j=p</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22,j</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t-j</m:t>
                  </m:r>
                </m:sub>
              </m:sSub>
            </m:e>
          </m:nary>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j=0</m:t>
              </m:r>
            </m:sub>
            <m:sup>
              <m:r>
                <w:rPr>
                  <w:rFonts w:ascii="Cambria Math" w:hAnsi="Cambria Math" w:cs="Times New Roman"/>
                  <w:color w:val="000000" w:themeColor="text1"/>
                </w:rPr>
                <m:t>j=p</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g</m:t>
                  </m:r>
                </m:e>
                <m:sub>
                  <m:r>
                    <w:rPr>
                      <w:rFonts w:ascii="Cambria Math" w:hAnsi="Cambria Math" w:cs="Times New Roman"/>
                      <w:color w:val="000000" w:themeColor="text1"/>
                    </w:rPr>
                    <m:t>21,j</m:t>
                  </m:r>
                </m:sub>
              </m:sSub>
            </m:e>
          </m:nary>
          <m:sSubSup>
            <m:sSubSupPr>
              <m:ctrlPr>
                <w:rPr>
                  <w:rFonts w:ascii="Cambria Math" w:hAnsi="Cambria Math" w:cs="Times New Roman"/>
                  <w:i/>
                  <w:color w:val="000000" w:themeColor="text1"/>
                </w:rPr>
              </m:ctrlPr>
            </m:sSubSupPr>
            <m:e>
              <m:r>
                <w:rPr>
                  <w:rFonts w:ascii="Cambria Math" w:hAnsi="Cambria Math" w:cs="Times New Roman"/>
                  <w:color w:val="000000" w:themeColor="text1"/>
                </w:rPr>
                <m:t>x</m:t>
              </m:r>
            </m:e>
            <m:sub>
              <m:r>
                <w:rPr>
                  <w:rFonts w:ascii="Cambria Math" w:hAnsi="Cambria Math" w:cs="Times New Roman"/>
                  <w:color w:val="000000" w:themeColor="text1"/>
                </w:rPr>
                <m:t>t-j</m:t>
              </m:r>
            </m:sub>
            <m:sup>
              <m:r>
                <w:rPr>
                  <w:rFonts w:ascii="Cambria Math" w:hAnsi="Cambria Math" w:cs="Times New Roman"/>
                  <w:color w:val="000000" w:themeColor="text1"/>
                </w:rPr>
                <m:t>#</m:t>
              </m:r>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ϵ</m:t>
              </m:r>
            </m:e>
            <m:sub>
              <m:r>
                <w:rPr>
                  <w:rFonts w:ascii="Cambria Math" w:hAnsi="Cambria Math" w:cs="Times New Roman"/>
                  <w:color w:val="000000" w:themeColor="text1"/>
                </w:rPr>
                <m:t>2t</m:t>
              </m:r>
            </m:sub>
          </m:sSub>
        </m:oMath>
      </m:oMathPara>
    </w:p>
    <w:p w14:paraId="1E79686C" w14:textId="77777777" w:rsidR="00F8228D" w:rsidRPr="00A13A4C" w:rsidRDefault="00F8228D" w:rsidP="00F8228D">
      <w:pPr>
        <w:spacing w:line="480" w:lineRule="auto"/>
        <w:jc w:val="both"/>
        <w:rPr>
          <w:rFonts w:ascii="Times New Roman" w:hAnsi="Times New Roman" w:cs="Times New Roman"/>
          <w:color w:val="000000" w:themeColor="text1"/>
        </w:rPr>
      </w:pPr>
      <w:r w:rsidRPr="00A053B9">
        <w:rPr>
          <w:rFonts w:ascii="Times New Roman" w:eastAsiaTheme="minorEastAsia" w:hAnsi="Times New Roman" w:cs="Times New Roman"/>
          <w:color w:val="000000" w:themeColor="text1"/>
        </w:rPr>
        <w:t xml:space="preserve">Since the corresponding impulse response functions are nonlinear functions of the parameters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g</m:t>
            </m:r>
          </m:e>
          <m:sub>
            <m:r>
              <w:rPr>
                <w:rFonts w:ascii="Cambria Math" w:eastAsiaTheme="minorEastAsia" w:hAnsi="Cambria Math" w:cs="Times New Roman"/>
                <w:color w:val="000000" w:themeColor="text1"/>
              </w:rPr>
              <m:t>21,0</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g</m:t>
            </m:r>
          </m:e>
          <m:sub>
            <m:r>
              <w:rPr>
                <w:rFonts w:ascii="Cambria Math" w:eastAsiaTheme="minorEastAsia" w:hAnsi="Cambria Math" w:cs="Times New Roman"/>
                <w:color w:val="000000" w:themeColor="text1"/>
              </w:rPr>
              <m:t>21,1</m:t>
            </m:r>
          </m:sub>
        </m:sSub>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g</m:t>
            </m:r>
          </m:e>
          <m:sub>
            <m:r>
              <w:rPr>
                <w:rFonts w:ascii="Cambria Math" w:eastAsiaTheme="minorEastAsia" w:hAnsi="Cambria Math" w:cs="Times New Roman"/>
                <w:color w:val="000000" w:themeColor="text1"/>
              </w:rPr>
              <m:t>21,p</m:t>
            </m:r>
          </m:sub>
        </m:sSub>
      </m:oMath>
      <w:r w:rsidRPr="00A053B9">
        <w:rPr>
          <w:rFonts w:ascii="Times New Roman" w:eastAsiaTheme="minorEastAsia" w:hAnsi="Times New Roman" w:cs="Times New Roman"/>
          <w:color w:val="000000" w:themeColor="text1"/>
        </w:rPr>
        <w:t xml:space="preserve"> as well the other parameters of the model the impulse response functions are computed by Monte Carlo integration. In the first step the impulse response functions are   calculated to an innovation of the size </w:t>
      </w:r>
      <m:oMath>
        <m:r>
          <w:rPr>
            <w:rFonts w:ascii="Cambria Math" w:eastAsiaTheme="minorEastAsia" w:hAnsi="Cambria Math" w:cs="Times New Roman"/>
            <w:color w:val="000000" w:themeColor="text1"/>
          </w:rPr>
          <m:t>δ</m:t>
        </m:r>
      </m:oMath>
      <w:r w:rsidRPr="00A053B9">
        <w:rPr>
          <w:rFonts w:ascii="Times New Roman" w:eastAsiaTheme="minorEastAsia" w:hAnsi="Times New Roman" w:cs="Times New Roman"/>
          <w:color w:val="000000" w:themeColor="text1"/>
        </w:rPr>
        <w:t xml:space="preserve"> in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ϵ</m:t>
            </m:r>
          </m:e>
          <m:sub>
            <m:r>
              <w:rPr>
                <w:rFonts w:ascii="Cambria Math" w:eastAsiaTheme="minorEastAsia" w:hAnsi="Cambria Math" w:cs="Times New Roman"/>
                <w:color w:val="000000" w:themeColor="text1"/>
              </w:rPr>
              <m:t>1t</m:t>
            </m:r>
          </m:sub>
        </m:sSub>
      </m:oMath>
      <w:r w:rsidRPr="00A053B9">
        <w:rPr>
          <w:rFonts w:ascii="Times New Roman" w:eastAsiaTheme="minorEastAsia" w:hAnsi="Times New Roman" w:cs="Times New Roman"/>
          <w:color w:val="000000" w:themeColor="text1"/>
        </w:rPr>
        <w:t xml:space="preserve"> for a given horizon </w:t>
      </w:r>
      <m:oMath>
        <m:r>
          <w:rPr>
            <w:rFonts w:ascii="Cambria Math" w:eastAsiaTheme="minorEastAsia" w:hAnsi="Cambria Math" w:cs="Times New Roman"/>
            <w:color w:val="000000" w:themeColor="text1"/>
          </w:rPr>
          <m:t xml:space="preserve">h </m:t>
        </m:r>
      </m:oMath>
      <w:r w:rsidRPr="00A053B9">
        <w:rPr>
          <w:rFonts w:ascii="Times New Roman" w:eastAsiaTheme="minorEastAsia" w:hAnsi="Times New Roman" w:cs="Times New Roman"/>
          <w:color w:val="000000" w:themeColor="text1"/>
        </w:rPr>
        <w:t xml:space="preserve">conditional on the history </w:t>
      </w:r>
      <m:oMath>
        <m:sSup>
          <m:sSupPr>
            <m:ctrlPr>
              <w:rPr>
                <w:rFonts w:ascii="Cambria Math" w:eastAsiaTheme="minorEastAsia" w:hAnsi="Cambria Math" w:cs="Times New Roman"/>
                <w:i/>
                <w:color w:val="000000" w:themeColor="text1"/>
              </w:rPr>
            </m:ctrlPr>
          </m:sSupPr>
          <m:e>
            <m:r>
              <m:rPr>
                <m:sty m:val="p"/>
              </m:rPr>
              <w:rPr>
                <w:rFonts w:ascii="Cambria Math" w:eastAsiaTheme="minorEastAsia" w:hAnsi="Cambria Math" w:cs="Times New Roman"/>
                <w:color w:val="000000" w:themeColor="text1"/>
              </w:rPr>
              <m:t>Ω</m:t>
            </m:r>
          </m:e>
          <m:sup>
            <m:r>
              <w:rPr>
                <w:rFonts w:ascii="Cambria Math" w:eastAsiaTheme="minorEastAsia" w:hAnsi="Cambria Math" w:cs="Times New Roman"/>
                <w:color w:val="000000" w:themeColor="text1"/>
              </w:rPr>
              <m:t>t</m:t>
            </m:r>
          </m:sup>
        </m:sSup>
      </m:oMath>
      <w:r w:rsidRPr="00A053B9">
        <w:rPr>
          <w:rFonts w:ascii="Times New Roman" w:eastAsiaTheme="minorEastAsia" w:hAnsi="Times New Roman" w:cs="Times New Roman"/>
          <w:color w:val="000000" w:themeColor="text1"/>
        </w:rPr>
        <w:t xml:space="preserve">. The conditional impulse response function, </w:t>
      </w:r>
      <m:oMath>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m:t>
            </m:r>
          </m:e>
          <m:sub>
            <m:r>
              <w:rPr>
                <w:rFonts w:ascii="Cambria Math" w:eastAsiaTheme="minorEastAsia" w:hAnsi="Cambria Math" w:cs="Times New Roman"/>
                <w:color w:val="000000" w:themeColor="text1"/>
              </w:rPr>
              <m:t>y</m:t>
            </m:r>
          </m:sub>
        </m:sSub>
        <m:r>
          <w:rPr>
            <w:rFonts w:ascii="Cambria Math" w:eastAsiaTheme="minorEastAsia" w:hAnsi="Cambria Math" w:cs="Times New Roman"/>
            <w:color w:val="000000" w:themeColor="text1"/>
          </w:rPr>
          <m:t>(h,δ,</m:t>
        </m:r>
        <m:sSup>
          <m:sSupPr>
            <m:ctrlPr>
              <w:rPr>
                <w:rFonts w:ascii="Cambria Math" w:eastAsiaTheme="minorEastAsia" w:hAnsi="Cambria Math" w:cs="Times New Roman"/>
                <w:i/>
                <w:color w:val="000000" w:themeColor="text1"/>
              </w:rPr>
            </m:ctrlPr>
          </m:sSupPr>
          <m:e>
            <m:r>
              <m:rPr>
                <m:sty m:val="p"/>
              </m:rPr>
              <w:rPr>
                <w:rFonts w:ascii="Cambria Math" w:eastAsiaTheme="minorEastAsia" w:hAnsi="Cambria Math" w:cs="Times New Roman"/>
                <w:color w:val="000000" w:themeColor="text1"/>
              </w:rPr>
              <m:t>Ω</m:t>
            </m:r>
          </m:e>
          <m:sup>
            <m:r>
              <w:rPr>
                <w:rFonts w:ascii="Cambria Math" w:eastAsiaTheme="minorEastAsia" w:hAnsi="Cambria Math" w:cs="Times New Roman"/>
                <w:color w:val="000000" w:themeColor="text1"/>
              </w:rPr>
              <m:t>t</m:t>
            </m:r>
          </m:sup>
        </m:sSup>
        <m:r>
          <w:rPr>
            <w:rFonts w:ascii="Cambria Math" w:eastAsiaTheme="minorEastAsia" w:hAnsi="Cambria Math" w:cs="Times New Roman"/>
            <w:color w:val="000000" w:themeColor="text1"/>
          </w:rPr>
          <m:t>)</m:t>
        </m:r>
      </m:oMath>
      <w:r w:rsidRPr="00A053B9">
        <w:rPr>
          <w:rFonts w:ascii="Times New Roman" w:eastAsiaTheme="minorEastAsia" w:hAnsi="Times New Roman" w:cs="Times New Roman"/>
          <w:color w:val="000000" w:themeColor="text1"/>
        </w:rPr>
        <w:t xml:space="preserve"> is then averaged over all the histories to obtain the unconditional IRF,</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m:t>
            </m:r>
          </m:e>
          <m:sub>
            <m:r>
              <w:rPr>
                <w:rFonts w:ascii="Cambria Math" w:eastAsiaTheme="minorEastAsia" w:hAnsi="Cambria Math" w:cs="Times New Roman"/>
                <w:color w:val="000000" w:themeColor="text1"/>
              </w:rPr>
              <m:t>y</m:t>
            </m:r>
          </m:sub>
        </m:sSub>
        <m:r>
          <w:rPr>
            <w:rFonts w:ascii="Cambria Math" w:eastAsiaTheme="minorEastAsia" w:hAnsi="Cambria Math" w:cs="Times New Roman"/>
            <w:color w:val="000000" w:themeColor="text1"/>
          </w:rPr>
          <m:t>(h,δ)</m:t>
        </m:r>
      </m:oMath>
      <w:r w:rsidRPr="00A053B9">
        <w:rPr>
          <w:rFonts w:ascii="Times New Roman" w:eastAsiaTheme="minorEastAsia" w:hAnsi="Times New Roman" w:cs="Times New Roman"/>
          <w:color w:val="000000" w:themeColor="text1"/>
        </w:rPr>
        <w:t xml:space="preserve">. In a similar manner for a negative shock of the size </w:t>
      </w:r>
      <m:oMath>
        <m:r>
          <w:rPr>
            <w:rFonts w:ascii="Cambria Math" w:eastAsiaTheme="minorEastAsia" w:hAnsi="Cambria Math" w:cs="Times New Roman"/>
            <w:color w:val="000000" w:themeColor="text1"/>
          </w:rPr>
          <m:t>-δ,</m:t>
        </m:r>
      </m:oMath>
      <w:r w:rsidRPr="00A053B9">
        <w:rPr>
          <w:rFonts w:ascii="Times New Roman" w:eastAsiaTheme="minorEastAsia" w:hAnsi="Times New Roman" w:cs="Times New Roman"/>
          <w:color w:val="000000" w:themeColor="text1"/>
        </w:rPr>
        <w:t xml:space="preserve"> the condition impulse response function,</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m:t>
            </m:r>
          </m:e>
          <m:sub>
            <m:r>
              <w:rPr>
                <w:rFonts w:ascii="Cambria Math" w:eastAsiaTheme="minorEastAsia" w:hAnsi="Cambria Math" w:cs="Times New Roman"/>
                <w:color w:val="000000" w:themeColor="text1"/>
              </w:rPr>
              <m:t>y</m:t>
            </m:r>
          </m:sub>
        </m:sSub>
        <m:r>
          <w:rPr>
            <w:rFonts w:ascii="Cambria Math" w:eastAsiaTheme="minorEastAsia" w:hAnsi="Cambria Math" w:cs="Times New Roman"/>
            <w:color w:val="000000" w:themeColor="text1"/>
          </w:rPr>
          <m:t>(h,-δ,</m:t>
        </m:r>
        <m:sSup>
          <m:sSupPr>
            <m:ctrlPr>
              <w:rPr>
                <w:rFonts w:ascii="Cambria Math" w:eastAsiaTheme="minorEastAsia" w:hAnsi="Cambria Math" w:cs="Times New Roman"/>
                <w:i/>
                <w:color w:val="000000" w:themeColor="text1"/>
              </w:rPr>
            </m:ctrlPr>
          </m:sSupPr>
          <m:e>
            <m:r>
              <m:rPr>
                <m:sty m:val="p"/>
              </m:rPr>
              <w:rPr>
                <w:rFonts w:ascii="Cambria Math" w:eastAsiaTheme="minorEastAsia" w:hAnsi="Cambria Math" w:cs="Times New Roman"/>
                <w:color w:val="000000" w:themeColor="text1"/>
              </w:rPr>
              <m:t>Ω</m:t>
            </m:r>
          </m:e>
          <m:sup>
            <m:r>
              <w:rPr>
                <w:rFonts w:ascii="Cambria Math" w:eastAsiaTheme="minorEastAsia" w:hAnsi="Cambria Math" w:cs="Times New Roman"/>
                <w:color w:val="000000" w:themeColor="text1"/>
              </w:rPr>
              <m:t>t</m:t>
            </m:r>
          </m:sup>
        </m:sSup>
        <m:r>
          <w:rPr>
            <w:rFonts w:ascii="Cambria Math" w:eastAsiaTheme="minorEastAsia" w:hAnsi="Cambria Math" w:cs="Times New Roman"/>
            <w:color w:val="000000" w:themeColor="text1"/>
          </w:rPr>
          <m:t>)</m:t>
        </m:r>
      </m:oMath>
      <w:r w:rsidRPr="00A053B9">
        <w:rPr>
          <w:rFonts w:ascii="Times New Roman" w:eastAsiaTheme="minorEastAsia" w:hAnsi="Times New Roman" w:cs="Times New Roman"/>
          <w:color w:val="000000" w:themeColor="text1"/>
        </w:rPr>
        <w:t xml:space="preserve"> is first computed and then average over all histories to obtain the unconditional impulse response function,</w:t>
      </w:r>
      <m:oMath>
        <m:r>
          <w:rPr>
            <w:rFonts w:ascii="Cambria Math" w:eastAsiaTheme="minorEastAsia" w:hAnsi="Cambria Math" w:cs="Times New Roman"/>
            <w:color w:val="000000" w:themeColor="text1"/>
          </w:rPr>
          <m:t xml:space="preserve"> </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I</m:t>
            </m:r>
          </m:e>
          <m:sub>
            <m:r>
              <w:rPr>
                <w:rFonts w:ascii="Cambria Math" w:eastAsiaTheme="minorEastAsia" w:hAnsi="Cambria Math" w:cs="Times New Roman"/>
                <w:color w:val="000000" w:themeColor="text1"/>
              </w:rPr>
              <m:t>y</m:t>
            </m:r>
          </m:sub>
        </m:sSub>
        <m:r>
          <w:rPr>
            <w:rFonts w:ascii="Cambria Math" w:eastAsiaTheme="minorEastAsia" w:hAnsi="Cambria Math" w:cs="Times New Roman"/>
            <w:color w:val="000000" w:themeColor="text1"/>
          </w:rPr>
          <m:t>(h,-δ)</m:t>
        </m:r>
      </m:oMath>
      <w:r>
        <w:rPr>
          <w:rFonts w:ascii="Times New Roman" w:eastAsiaTheme="minorEastAsia" w:hAnsi="Times New Roman" w:cs="Times New Roman"/>
          <w:color w:val="000000" w:themeColor="text1"/>
        </w:rPr>
        <w:t>.</w:t>
      </w:r>
    </w:p>
    <w:p w14:paraId="32A7A71D" w14:textId="77777777" w:rsidR="00F8228D" w:rsidRDefault="00F8228D" w:rsidP="00F8228D">
      <w:pPr>
        <w:jc w:val="both"/>
        <w:rPr>
          <w:rFonts w:ascii="Times New Roman" w:hAnsi="Times New Roman" w:cs="Times New Roman"/>
          <w:b/>
          <w:bCs/>
        </w:rPr>
      </w:pPr>
    </w:p>
    <w:p w14:paraId="3EF889B0" w14:textId="77777777" w:rsidR="00F8228D" w:rsidRDefault="00F8228D" w:rsidP="00AD63DB">
      <w:pPr>
        <w:spacing w:after="0"/>
        <w:rPr>
          <w:rFonts w:ascii="Times New Roman" w:hAnsi="Times New Roman" w:cs="Times New Roman"/>
          <w:b/>
          <w:bCs/>
        </w:rPr>
      </w:pPr>
    </w:p>
    <w:sectPr w:rsidR="00F8228D" w:rsidSect="00370ECE">
      <w:footerReference w:type="default" r:id="rId16"/>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A1A0" w14:textId="77777777" w:rsidR="00227DF5" w:rsidRDefault="00227DF5" w:rsidP="007A778D">
      <w:pPr>
        <w:spacing w:after="0"/>
      </w:pPr>
      <w:r>
        <w:separator/>
      </w:r>
    </w:p>
  </w:endnote>
  <w:endnote w:type="continuationSeparator" w:id="0">
    <w:p w14:paraId="3727FD41" w14:textId="77777777" w:rsidR="00227DF5" w:rsidRDefault="00227DF5" w:rsidP="007A77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C80C" w14:textId="77777777" w:rsidR="00800E05" w:rsidRDefault="00800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44FC" w14:textId="77777777" w:rsidR="00227DF5" w:rsidRDefault="00227DF5" w:rsidP="007A778D">
      <w:pPr>
        <w:spacing w:after="0"/>
      </w:pPr>
      <w:r>
        <w:separator/>
      </w:r>
    </w:p>
  </w:footnote>
  <w:footnote w:type="continuationSeparator" w:id="0">
    <w:p w14:paraId="79AC6391" w14:textId="77777777" w:rsidR="00227DF5" w:rsidRDefault="00227DF5" w:rsidP="007A778D">
      <w:pPr>
        <w:spacing w:after="0"/>
      </w:pPr>
      <w:r>
        <w:continuationSeparator/>
      </w:r>
    </w:p>
  </w:footnote>
  <w:footnote w:id="1">
    <w:p w14:paraId="57611F34" w14:textId="21B41802" w:rsidR="0084420C" w:rsidRDefault="0084420C">
      <w:pPr>
        <w:pStyle w:val="FootnoteText"/>
      </w:pPr>
      <w:r w:rsidRPr="0084420C">
        <w:rPr>
          <w:rStyle w:val="FootnoteReference"/>
        </w:rPr>
        <w:sym w:font="Symbol" w:char="F066"/>
      </w:r>
      <w:r>
        <w:t xml:space="preserve"> </w:t>
      </w:r>
      <w:r>
        <w:tab/>
      </w:r>
      <w:r w:rsidRPr="00F5073C">
        <w:rPr>
          <w:b/>
          <w:bCs/>
        </w:rPr>
        <w:t>Corresponding author</w:t>
      </w:r>
      <w:r>
        <w:t xml:space="preserve">: </w:t>
      </w:r>
      <w:r w:rsidR="00F5073C">
        <w:t xml:space="preserve">Tapas Mishra (E-mail: </w:t>
      </w:r>
      <w:hyperlink r:id="rId1" w:history="1">
        <w:r w:rsidR="00F5073C" w:rsidRPr="003B7CD1">
          <w:rPr>
            <w:rStyle w:val="Hyperlink"/>
          </w:rPr>
          <w:t>t.k.mishra@soton.ac.uk</w:t>
        </w:r>
      </w:hyperlink>
      <w:r w:rsidR="00F234DA">
        <w:t>)</w:t>
      </w:r>
      <w:r w:rsidR="00F5073C">
        <w:t xml:space="preserve">; Rosen Chowdhury (E-mail: </w:t>
      </w:r>
      <w:hyperlink r:id="rId2" w:history="1">
        <w:r w:rsidR="00F5073C" w:rsidRPr="003B7CD1">
          <w:rPr>
            <w:rStyle w:val="Hyperlink"/>
          </w:rPr>
          <w:t>r.a.chowdhury@swansea.ac.uk</w:t>
        </w:r>
      </w:hyperlink>
      <w:r w:rsidR="00F5073C">
        <w:t xml:space="preserve">) ; Dilshad Jahan (E-mail: </w:t>
      </w:r>
      <w:hyperlink r:id="rId3" w:history="1">
        <w:r w:rsidR="00F5073C" w:rsidRPr="003B7CD1">
          <w:rPr>
            <w:rStyle w:val="Hyperlink"/>
          </w:rPr>
          <w:t>dilshad.jahan@swansea.ac.uk</w:t>
        </w:r>
      </w:hyperlink>
      <w:r w:rsidR="00F5073C">
        <w:t xml:space="preserve">); Mamata Parhi (E-mail: </w:t>
      </w:r>
      <w:hyperlink r:id="rId4" w:history="1">
        <w:r w:rsidR="00F5073C" w:rsidRPr="003B7CD1">
          <w:rPr>
            <w:rStyle w:val="Hyperlink"/>
          </w:rPr>
          <w:t>mamata.parhi@roehampton.ac.uk</w:t>
        </w:r>
      </w:hyperlink>
      <w:r w:rsidR="00F5073C">
        <w:t xml:space="preserve">) </w:t>
      </w:r>
    </w:p>
    <w:p w14:paraId="36800160" w14:textId="77777777" w:rsidR="0084420C" w:rsidRDefault="0084420C">
      <w:pPr>
        <w:pStyle w:val="FootnoteText"/>
      </w:pPr>
    </w:p>
  </w:footnote>
  <w:footnote w:id="2">
    <w:p w14:paraId="39080EDB" w14:textId="6FD8FFA8" w:rsidR="00B35D43" w:rsidRPr="00EF0C95" w:rsidRDefault="00B35D43" w:rsidP="00280074">
      <w:pPr>
        <w:pStyle w:val="FootnoteText"/>
        <w:ind w:left="426" w:hanging="426"/>
        <w:jc w:val="both"/>
        <w:rPr>
          <w:color w:val="000000" w:themeColor="text1"/>
        </w:rPr>
      </w:pPr>
      <w:r>
        <w:rPr>
          <w:rStyle w:val="FootnoteReference"/>
        </w:rPr>
        <w:footnoteRef/>
      </w:r>
      <w:r w:rsidR="00280074">
        <w:tab/>
      </w:r>
      <w:r>
        <w:t>Many countries around the world</w:t>
      </w:r>
      <w:r w:rsidRPr="00DA684D">
        <w:rPr>
          <w:color w:val="4472C4" w:themeColor="accent1"/>
        </w:rPr>
        <w:t xml:space="preserve"> </w:t>
      </w:r>
      <w:r w:rsidRPr="00EF0C95">
        <w:rPr>
          <w:color w:val="000000" w:themeColor="text1"/>
        </w:rPr>
        <w:t>h</w:t>
      </w:r>
      <w:r w:rsidR="001146AC" w:rsidRPr="00EF0C95">
        <w:rPr>
          <w:color w:val="000000" w:themeColor="text1"/>
        </w:rPr>
        <w:t>ave</w:t>
      </w:r>
      <w:r w:rsidRPr="00EF0C95">
        <w:rPr>
          <w:color w:val="000000" w:themeColor="text1"/>
        </w:rPr>
        <w:t xml:space="preserve"> adopted heterogeneous monetary and fiscal policy approaches to tackle</w:t>
      </w:r>
      <w:r w:rsidR="00195523" w:rsidRPr="00EF0C95">
        <w:rPr>
          <w:color w:val="000000" w:themeColor="text1"/>
        </w:rPr>
        <w:t xml:space="preserve"> </w:t>
      </w:r>
      <w:r w:rsidRPr="00EF0C95">
        <w:rPr>
          <w:color w:val="000000" w:themeColor="text1"/>
        </w:rPr>
        <w:t xml:space="preserve">slackening demand and supply in the housing market. UK, for instance, adopted a </w:t>
      </w:r>
      <w:r w:rsidR="00195523" w:rsidRPr="00EF0C95">
        <w:rPr>
          <w:color w:val="000000" w:themeColor="text1"/>
        </w:rPr>
        <w:t>zero-interest</w:t>
      </w:r>
      <w:r w:rsidRPr="00EF0C95">
        <w:rPr>
          <w:color w:val="000000" w:themeColor="text1"/>
        </w:rPr>
        <w:t xml:space="preserve"> policy and sliced stamp duty</w:t>
      </w:r>
      <w:r w:rsidR="00195523" w:rsidRPr="00EF0C95">
        <w:rPr>
          <w:color w:val="000000" w:themeColor="text1"/>
        </w:rPr>
        <w:t xml:space="preserve"> to</w:t>
      </w:r>
      <w:r w:rsidRPr="00EF0C95">
        <w:rPr>
          <w:color w:val="000000" w:themeColor="text1"/>
        </w:rPr>
        <w:t xml:space="preserve"> </w:t>
      </w:r>
      <w:r w:rsidR="00195523" w:rsidRPr="00EF0C95">
        <w:rPr>
          <w:color w:val="000000" w:themeColor="text1"/>
        </w:rPr>
        <w:t>significantly boost</w:t>
      </w:r>
      <w:r w:rsidRPr="00EF0C95">
        <w:rPr>
          <w:color w:val="000000" w:themeColor="text1"/>
        </w:rPr>
        <w:t xml:space="preserve"> housing demand and supply. According to the New York Times, in the face of depressing (housing) demand conditions following COVID-19, the Federal reserve left the target range for federal funds rate unchanged at 0-0.25% and signalled it would be held at least until 2023. (Data source: https://www.nytimes.com/live/2020/09/16/business/stock-market-today-coronavirus).</w:t>
      </w:r>
    </w:p>
  </w:footnote>
  <w:footnote w:id="3">
    <w:p w14:paraId="5B9B5F8F" w14:textId="5AB91FB2" w:rsidR="00B35D43" w:rsidRDefault="00B35D43" w:rsidP="000E0CC9">
      <w:pPr>
        <w:pStyle w:val="FootnoteText"/>
        <w:tabs>
          <w:tab w:val="left" w:pos="426"/>
        </w:tabs>
      </w:pPr>
      <w:r w:rsidRPr="00EF0C95">
        <w:rPr>
          <w:rStyle w:val="FootnoteReference"/>
          <w:color w:val="000000" w:themeColor="text1"/>
        </w:rPr>
        <w:footnoteRef/>
      </w:r>
      <w:r w:rsidR="000E0CC9" w:rsidRPr="00EF0C95">
        <w:rPr>
          <w:rFonts w:cs="Times New Roman"/>
          <w:color w:val="000000" w:themeColor="text1"/>
        </w:rPr>
        <w:t xml:space="preserve"> </w:t>
      </w:r>
      <w:r w:rsidR="000E0CC9" w:rsidRPr="00EF0C95">
        <w:rPr>
          <w:rFonts w:cs="Times New Roman"/>
          <w:color w:val="000000" w:themeColor="text1"/>
        </w:rPr>
        <w:tab/>
      </w:r>
      <w:r w:rsidRPr="00EF0C95">
        <w:rPr>
          <w:rFonts w:cs="Times New Roman"/>
          <w:color w:val="000000" w:themeColor="text1"/>
        </w:rPr>
        <w:t>Even when the UK monetary policy rate was at historical low</w:t>
      </w:r>
    </w:p>
  </w:footnote>
  <w:footnote w:id="4">
    <w:p w14:paraId="022A2810" w14:textId="26724F91" w:rsidR="00AA6D47" w:rsidRPr="00556547" w:rsidRDefault="00AA6D47" w:rsidP="009C5103">
      <w:pPr>
        <w:pStyle w:val="FootnoteText"/>
        <w:ind w:left="426" w:hanging="426"/>
        <w:rPr>
          <w:color w:val="000000" w:themeColor="text1"/>
        </w:rPr>
      </w:pPr>
      <w:r w:rsidRPr="00556547">
        <w:rPr>
          <w:rStyle w:val="FootnoteReference"/>
          <w:color w:val="000000" w:themeColor="text1"/>
        </w:rPr>
        <w:footnoteRef/>
      </w:r>
      <w:r w:rsidRPr="00556547">
        <w:rPr>
          <w:color w:val="000000" w:themeColor="text1"/>
        </w:rPr>
        <w:t xml:space="preserve"> </w:t>
      </w:r>
      <w:r w:rsidRPr="00556547">
        <w:rPr>
          <w:color w:val="000000" w:themeColor="text1"/>
        </w:rPr>
        <w:tab/>
        <w:t xml:space="preserve">See </w:t>
      </w:r>
      <w:r w:rsidRPr="00556547">
        <w:rPr>
          <w:rFonts w:cs="Times New Roman"/>
          <w:color w:val="000000" w:themeColor="text1"/>
        </w:rPr>
        <w:t xml:space="preserve">Altunbas et al. </w:t>
      </w:r>
      <w:r w:rsidR="00FF4FD0">
        <w:rPr>
          <w:rFonts w:cs="Times New Roman"/>
          <w:color w:val="000000" w:themeColor="text1"/>
        </w:rPr>
        <w:t>(</w:t>
      </w:r>
      <w:r w:rsidRPr="00556547">
        <w:rPr>
          <w:rFonts w:cs="Times New Roman"/>
          <w:color w:val="000000" w:themeColor="text1"/>
        </w:rPr>
        <w:t>2009</w:t>
      </w:r>
      <w:r w:rsidR="00FF4FD0">
        <w:rPr>
          <w:rFonts w:cs="Times New Roman"/>
          <w:color w:val="000000" w:themeColor="text1"/>
        </w:rPr>
        <w:t>)</w:t>
      </w:r>
      <w:r w:rsidR="009C5103" w:rsidRPr="00556547">
        <w:rPr>
          <w:rFonts w:cs="Times New Roman"/>
          <w:color w:val="000000" w:themeColor="text1"/>
        </w:rPr>
        <w:t xml:space="preserve"> Kashyap and Stein (2000), </w:t>
      </w:r>
      <w:bookmarkStart w:id="5" w:name="_Hlk110699379"/>
      <w:r w:rsidR="009C5103" w:rsidRPr="00556547">
        <w:rPr>
          <w:rFonts w:cs="Times New Roman"/>
          <w:color w:val="000000" w:themeColor="text1"/>
        </w:rPr>
        <w:t>Kishan and Opiela (2000</w:t>
      </w:r>
      <w:bookmarkEnd w:id="5"/>
      <w:r w:rsidR="009C5103" w:rsidRPr="00556547">
        <w:rPr>
          <w:rFonts w:cs="Times New Roman"/>
          <w:color w:val="000000" w:themeColor="text1"/>
        </w:rPr>
        <w:t>)</w:t>
      </w:r>
      <w:r w:rsidR="00FF4FD0">
        <w:rPr>
          <w:rFonts w:cs="Times New Roman"/>
          <w:color w:val="000000" w:themeColor="text1"/>
        </w:rPr>
        <w:t>,</w:t>
      </w:r>
      <w:r w:rsidR="009C5103" w:rsidRPr="00556547">
        <w:rPr>
          <w:rFonts w:cs="Times New Roman"/>
          <w:color w:val="000000" w:themeColor="text1"/>
        </w:rPr>
        <w:t xml:space="preserve"> Van Heuvel (2002)</w:t>
      </w:r>
    </w:p>
  </w:footnote>
  <w:footnote w:id="5">
    <w:p w14:paraId="7F543E10" w14:textId="61E08A82" w:rsidR="00B35D43" w:rsidRDefault="00B35D43" w:rsidP="00556547">
      <w:pPr>
        <w:pStyle w:val="FootnoteText"/>
        <w:ind w:left="709" w:hanging="709"/>
        <w:jc w:val="both"/>
      </w:pPr>
      <w:r>
        <w:rPr>
          <w:rStyle w:val="FootnoteReference"/>
        </w:rPr>
        <w:footnoteRef/>
      </w:r>
      <w:r>
        <w:t xml:space="preserve"> </w:t>
      </w:r>
      <w:r w:rsidR="000A7EFA">
        <w:tab/>
      </w:r>
      <w:r w:rsidR="000A7EFA">
        <w:tab/>
      </w:r>
      <w:r>
        <w:t xml:space="preserve">Huang (2019), in </w:t>
      </w:r>
      <w:r w:rsidR="000A7EFA">
        <w:t>related research</w:t>
      </w:r>
      <w:r>
        <w:t>, introduces regime switches and permanent changes in housing risk factor on housing returns and provides strong evidence of the role of time-varying exposure of housing excess returns to risk factors.</w:t>
      </w:r>
    </w:p>
  </w:footnote>
  <w:footnote w:id="6">
    <w:p w14:paraId="621D705C" w14:textId="56DE7C2F" w:rsidR="00910C11" w:rsidRPr="00DA684D" w:rsidRDefault="00910C11" w:rsidP="0097085F">
      <w:pPr>
        <w:pStyle w:val="FootnoteText"/>
        <w:tabs>
          <w:tab w:val="center" w:pos="851"/>
        </w:tabs>
        <w:ind w:left="709" w:hanging="709"/>
        <w:jc w:val="both"/>
        <w:rPr>
          <w:color w:val="4472C4" w:themeColor="accent1"/>
        </w:rPr>
      </w:pPr>
      <w:r>
        <w:rPr>
          <w:rStyle w:val="FootnoteReference"/>
        </w:rPr>
        <w:footnoteRef/>
      </w:r>
      <w:r w:rsidR="009422FC">
        <w:t xml:space="preserve"> </w:t>
      </w:r>
      <w:r w:rsidR="003D6259">
        <w:tab/>
      </w:r>
      <w:r w:rsidRPr="000352F7">
        <w:rPr>
          <w:color w:val="000000" w:themeColor="text1"/>
        </w:rPr>
        <w:t>In our study depository institutions include both banks and building societies</w:t>
      </w:r>
      <w:r w:rsidR="009422FC" w:rsidRPr="000352F7">
        <w:rPr>
          <w:color w:val="000000" w:themeColor="text1"/>
        </w:rPr>
        <w:t>.</w:t>
      </w:r>
    </w:p>
  </w:footnote>
  <w:footnote w:id="7">
    <w:p w14:paraId="4377635A" w14:textId="3DFE32AE" w:rsidR="00B35D43" w:rsidRPr="0094778D" w:rsidRDefault="00B35D43" w:rsidP="0097085F">
      <w:pPr>
        <w:pStyle w:val="FootnoteText"/>
        <w:ind w:left="709" w:hanging="709"/>
        <w:rPr>
          <w:szCs w:val="20"/>
        </w:rPr>
      </w:pPr>
      <w:r>
        <w:rPr>
          <w:rStyle w:val="FootnoteReference"/>
        </w:rPr>
        <w:footnoteRef/>
      </w:r>
      <w:r w:rsidR="009422FC">
        <w:rPr>
          <w:rFonts w:cs="Times New Roman"/>
          <w:color w:val="000000"/>
          <w:szCs w:val="20"/>
        </w:rPr>
        <w:t xml:space="preserve"> </w:t>
      </w:r>
      <w:r>
        <w:rPr>
          <w:rFonts w:cs="Times New Roman"/>
          <w:color w:val="000000"/>
          <w:szCs w:val="20"/>
        </w:rPr>
        <w:tab/>
      </w:r>
      <w:r w:rsidRPr="0094778D">
        <w:rPr>
          <w:rFonts w:cs="Times New Roman"/>
          <w:color w:val="000000"/>
          <w:szCs w:val="20"/>
        </w:rPr>
        <w:t>Conversely, during periods of expansionary monetary policy if depository ins</w:t>
      </w:r>
      <w:r>
        <w:rPr>
          <w:rFonts w:cs="Times New Roman"/>
          <w:color w:val="000000"/>
          <w:szCs w:val="20"/>
        </w:rPr>
        <w:t xml:space="preserve">titutions increase lending more </w:t>
      </w:r>
      <w:r w:rsidRPr="0094778D">
        <w:rPr>
          <w:rFonts w:cs="Times New Roman"/>
          <w:color w:val="000000"/>
          <w:szCs w:val="20"/>
        </w:rPr>
        <w:t>compared to non-depository market-based institutions then the mix variable will increase.</w:t>
      </w:r>
    </w:p>
  </w:footnote>
  <w:footnote w:id="8">
    <w:p w14:paraId="0D1BF9E3" w14:textId="1B31D331" w:rsidR="00B35D43" w:rsidRPr="0094778D" w:rsidRDefault="00B35D43" w:rsidP="0097085F">
      <w:pPr>
        <w:pStyle w:val="FootnoteText"/>
        <w:tabs>
          <w:tab w:val="left" w:pos="709"/>
        </w:tabs>
        <w:jc w:val="both"/>
        <w:rPr>
          <w:szCs w:val="20"/>
        </w:rPr>
      </w:pPr>
      <w:r w:rsidRPr="0094778D">
        <w:rPr>
          <w:rStyle w:val="FootnoteReference"/>
          <w:szCs w:val="20"/>
        </w:rPr>
        <w:footnoteRef/>
      </w:r>
      <w:r w:rsidRPr="0094778D">
        <w:rPr>
          <w:szCs w:val="20"/>
        </w:rPr>
        <w:t xml:space="preserve"> </w:t>
      </w:r>
      <w:r>
        <w:rPr>
          <w:szCs w:val="20"/>
        </w:rPr>
        <w:tab/>
      </w:r>
      <w:r w:rsidRPr="0094778D">
        <w:rPr>
          <w:szCs w:val="20"/>
        </w:rPr>
        <w:t xml:space="preserve">See </w:t>
      </w:r>
      <w:r w:rsidRPr="0094778D">
        <w:rPr>
          <w:rFonts w:cs="Times New Roman"/>
          <w:color w:val="000000" w:themeColor="text1"/>
          <w:szCs w:val="20"/>
        </w:rPr>
        <w:t>Iacoviello and Minetti (2008)</w:t>
      </w:r>
      <w:r>
        <w:rPr>
          <w:rFonts w:cs="Times New Roman"/>
          <w:color w:val="000000" w:themeColor="text1"/>
          <w:szCs w:val="20"/>
        </w:rPr>
        <w:t xml:space="preserve"> and</w:t>
      </w:r>
      <w:r w:rsidRPr="0094778D">
        <w:rPr>
          <w:rFonts w:cs="Times New Roman"/>
          <w:color w:val="000000" w:themeColor="text1"/>
          <w:szCs w:val="20"/>
        </w:rPr>
        <w:t xml:space="preserve"> Milcheva (2013).</w:t>
      </w:r>
    </w:p>
  </w:footnote>
  <w:footnote w:id="9">
    <w:p w14:paraId="0F3FCA26" w14:textId="38E2B31B" w:rsidR="00B35D43" w:rsidRDefault="00B35D43" w:rsidP="00475DF1">
      <w:pPr>
        <w:pStyle w:val="FootnoteText"/>
        <w:adjustRightInd w:val="0"/>
        <w:ind w:left="567" w:hanging="567"/>
        <w:jc w:val="both"/>
      </w:pPr>
      <w:r>
        <w:rPr>
          <w:rStyle w:val="FootnoteReference"/>
        </w:rPr>
        <w:footnoteRef/>
      </w:r>
      <w:r>
        <w:t xml:space="preserve"> </w:t>
      </w:r>
      <w:r>
        <w:tab/>
      </w:r>
      <w:r>
        <w:rPr>
          <w:rFonts w:cs="Times New Roman"/>
          <w:color w:val="000000" w:themeColor="text1"/>
        </w:rPr>
        <w:t xml:space="preserve">Since both </w:t>
      </w:r>
      <w:r w:rsidRPr="006D4F4E">
        <w:rPr>
          <w:rFonts w:cs="Times New Roman"/>
          <w:color w:val="000000" w:themeColor="text1"/>
        </w:rPr>
        <w:t>depository and non-depository market based financial institutions depend on the wholesale funds</w:t>
      </w:r>
      <w:r>
        <w:rPr>
          <w:rFonts w:cs="Times New Roman"/>
          <w:color w:val="000000" w:themeColor="text1"/>
        </w:rPr>
        <w:t xml:space="preserve"> one might argue changes in the external finance premium can be contributed to the balance sheet strength of both type of institutions. However, since market share of non-depository institutions </w:t>
      </w:r>
      <w:r w:rsidR="0077257E">
        <w:rPr>
          <w:rFonts w:cs="Times New Roman"/>
          <w:color w:val="000000" w:themeColor="text1"/>
        </w:rPr>
        <w:t>in</w:t>
      </w:r>
      <w:r>
        <w:rPr>
          <w:rFonts w:cs="Times New Roman"/>
          <w:color w:val="000000" w:themeColor="text1"/>
        </w:rPr>
        <w:t xml:space="preserve"> the UK is relatively small, </w:t>
      </w:r>
      <w:r w:rsidRPr="006D4F4E">
        <w:rPr>
          <w:rFonts w:cs="Times New Roman"/>
          <w:color w:val="000000" w:themeColor="text1"/>
        </w:rPr>
        <w:t>thei</w:t>
      </w:r>
      <w:r>
        <w:rPr>
          <w:rFonts w:cs="Times New Roman"/>
          <w:color w:val="000000" w:themeColor="text1"/>
        </w:rPr>
        <w:t xml:space="preserve">r contribution towards the change in the spread is likely to be negligible </w:t>
      </w:r>
      <w:r w:rsidRPr="00FC28FC">
        <w:rPr>
          <w:rFonts w:cs="Times New Roman"/>
          <w:color w:val="000000" w:themeColor="text1"/>
        </w:rPr>
        <w:t>(</w:t>
      </w:r>
      <w:r w:rsidRPr="00FC28FC">
        <w:rPr>
          <w:rFonts w:cs="Times New Roman"/>
          <w:color w:val="000000" w:themeColor="text1"/>
          <w:szCs w:val="20"/>
        </w:rPr>
        <w:t>Scanlon et al., 20</w:t>
      </w:r>
      <w:r w:rsidR="00FC28FC" w:rsidRPr="00FC28FC">
        <w:rPr>
          <w:rFonts w:cs="Times New Roman"/>
          <w:color w:val="000000" w:themeColor="text1"/>
          <w:szCs w:val="20"/>
        </w:rPr>
        <w:t>11</w:t>
      </w:r>
      <w:r w:rsidRPr="00FC28FC">
        <w:rPr>
          <w:rFonts w:cs="Times New Roman"/>
          <w:color w:val="000000" w:themeColor="text1"/>
          <w:szCs w:val="20"/>
        </w:rPr>
        <w:t>).</w:t>
      </w:r>
    </w:p>
  </w:footnote>
  <w:footnote w:id="10">
    <w:p w14:paraId="1C1EA94B" w14:textId="5540AD8A" w:rsidR="00C165F0" w:rsidRPr="00E01523" w:rsidRDefault="00C165F0" w:rsidP="00C165F0">
      <w:pPr>
        <w:pStyle w:val="NormalWeb"/>
        <w:spacing w:before="0" w:beforeAutospacing="0" w:after="0" w:afterAutospacing="0"/>
        <w:ind w:left="567" w:hanging="567"/>
        <w:jc w:val="both"/>
        <w:rPr>
          <w:rFonts w:ascii="Times" w:eastAsia="Times New Roman" w:hAnsi="Times"/>
          <w:sz w:val="20"/>
          <w:szCs w:val="20"/>
        </w:rPr>
      </w:pPr>
      <w:r>
        <w:rPr>
          <w:rStyle w:val="FootnoteReference"/>
        </w:rPr>
        <w:footnoteRef/>
      </w:r>
      <w:r>
        <w:t xml:space="preserve"> </w:t>
      </w:r>
      <w:r>
        <w:tab/>
      </w:r>
      <w:r w:rsidRPr="00E01523">
        <w:rPr>
          <w:rFonts w:ascii="Times" w:hAnsi="Times"/>
          <w:color w:val="000000"/>
          <w:sz w:val="20"/>
          <w:szCs w:val="20"/>
        </w:rPr>
        <w:t xml:space="preserve">Following </w:t>
      </w:r>
      <w:r w:rsidRPr="007F48BE">
        <w:rPr>
          <w:rFonts w:ascii="Times" w:hAnsi="Times"/>
          <w:color w:val="000000" w:themeColor="text1"/>
          <w:sz w:val="20"/>
          <w:szCs w:val="20"/>
        </w:rPr>
        <w:t>Ludvigson (1998)</w:t>
      </w:r>
      <w:r w:rsidRPr="00E01523">
        <w:rPr>
          <w:rFonts w:ascii="Times" w:hAnsi="Times"/>
          <w:color w:val="000000"/>
          <w:sz w:val="20"/>
          <w:szCs w:val="20"/>
        </w:rPr>
        <w:t>, short term interest rate</w:t>
      </w:r>
      <w:r>
        <w:rPr>
          <w:rFonts w:ascii="Times" w:hAnsi="Times"/>
          <w:color w:val="000000"/>
          <w:sz w:val="20"/>
          <w:szCs w:val="20"/>
        </w:rPr>
        <w:t xml:space="preserve"> is not included </w:t>
      </w:r>
      <w:r w:rsidRPr="00E01523">
        <w:rPr>
          <w:rFonts w:ascii="Times" w:hAnsi="Times"/>
          <w:color w:val="000000"/>
          <w:sz w:val="20"/>
          <w:szCs w:val="20"/>
        </w:rPr>
        <w:t xml:space="preserve">as it indicates monetary policy. Including it would mean changes in the </w:t>
      </w:r>
      <w:r w:rsidRPr="00E21114">
        <w:rPr>
          <w:rFonts w:ascii="Times" w:hAnsi="Times"/>
          <w:i/>
          <w:iCs/>
          <w:color w:val="000000"/>
          <w:sz w:val="20"/>
          <w:szCs w:val="20"/>
        </w:rPr>
        <w:t>mix</w:t>
      </w:r>
      <w:r w:rsidRPr="00E01523">
        <w:rPr>
          <w:rFonts w:ascii="Times" w:hAnsi="Times"/>
          <w:color w:val="000000"/>
          <w:sz w:val="20"/>
          <w:szCs w:val="20"/>
        </w:rPr>
        <w:t xml:space="preserve"> marginally reflect non-monetary effects.</w:t>
      </w:r>
      <w:r w:rsidRPr="00E01523">
        <w:rPr>
          <w:rFonts w:ascii="Times" w:hAnsi="Times"/>
          <w:sz w:val="20"/>
          <w:szCs w:val="20"/>
        </w:rPr>
        <w:t xml:space="preserve"> </w:t>
      </w:r>
      <w:r w:rsidRPr="00E01523">
        <w:rPr>
          <w:rFonts w:ascii="Times" w:eastAsia="Times New Roman" w:hAnsi="Times"/>
          <w:sz w:val="20"/>
          <w:szCs w:val="20"/>
        </w:rPr>
        <w:t xml:space="preserve">If the </w:t>
      </w:r>
      <w:r>
        <w:rPr>
          <w:rFonts w:ascii="Times" w:eastAsia="Times New Roman" w:hAnsi="Times"/>
          <w:sz w:val="20"/>
          <w:szCs w:val="20"/>
        </w:rPr>
        <w:t>BLC</w:t>
      </w:r>
      <w:r w:rsidRPr="00E01523">
        <w:rPr>
          <w:rFonts w:ascii="Times" w:eastAsia="Times New Roman" w:hAnsi="Times"/>
          <w:sz w:val="20"/>
          <w:szCs w:val="20"/>
        </w:rPr>
        <w:t xml:space="preserve"> is operative, then monetary policy should affect the </w:t>
      </w:r>
      <w:r>
        <w:rPr>
          <w:rFonts w:ascii="Times" w:eastAsia="Times New Roman" w:hAnsi="Times"/>
          <w:i/>
          <w:iCs/>
          <w:sz w:val="20"/>
          <w:szCs w:val="20"/>
        </w:rPr>
        <w:t>mi</w:t>
      </w:r>
      <w:r w:rsidRPr="00FA01BC">
        <w:rPr>
          <w:rFonts w:ascii="Times" w:eastAsia="Times New Roman" w:hAnsi="Times"/>
          <w:i/>
          <w:iCs/>
          <w:sz w:val="20"/>
          <w:szCs w:val="20"/>
        </w:rPr>
        <w:t>x</w:t>
      </w:r>
      <w:r w:rsidRPr="00E01523">
        <w:rPr>
          <w:rFonts w:ascii="Times" w:eastAsia="Times New Roman" w:hAnsi="Times"/>
          <w:sz w:val="20"/>
          <w:szCs w:val="20"/>
        </w:rPr>
        <w:t xml:space="preserve">, and the </w:t>
      </w:r>
      <w:r>
        <w:rPr>
          <w:rFonts w:ascii="Times" w:eastAsia="Times New Roman" w:hAnsi="Times"/>
          <w:i/>
          <w:iCs/>
          <w:sz w:val="20"/>
          <w:szCs w:val="20"/>
        </w:rPr>
        <w:t>mix</w:t>
      </w:r>
      <w:r w:rsidRPr="00E01523">
        <w:rPr>
          <w:rFonts w:ascii="Times" w:eastAsia="Times New Roman" w:hAnsi="Times"/>
          <w:sz w:val="20"/>
          <w:szCs w:val="20"/>
        </w:rPr>
        <w:t xml:space="preserve"> should affect house prices, but there should be no reason to expect that the </w:t>
      </w:r>
      <w:r>
        <w:rPr>
          <w:rFonts w:ascii="Times" w:eastAsia="Times New Roman" w:hAnsi="Times"/>
          <w:i/>
          <w:iCs/>
          <w:sz w:val="20"/>
          <w:szCs w:val="20"/>
        </w:rPr>
        <w:t>m</w:t>
      </w:r>
      <w:r w:rsidRPr="00FA01BC">
        <w:rPr>
          <w:rFonts w:ascii="Times" w:eastAsia="Times New Roman" w:hAnsi="Times"/>
          <w:i/>
          <w:iCs/>
          <w:sz w:val="20"/>
          <w:szCs w:val="20"/>
        </w:rPr>
        <w:t>ix</w:t>
      </w:r>
      <w:r w:rsidRPr="00E01523">
        <w:rPr>
          <w:rFonts w:ascii="Times" w:eastAsia="Times New Roman" w:hAnsi="Times"/>
          <w:sz w:val="20"/>
          <w:szCs w:val="20"/>
        </w:rPr>
        <w:t xml:space="preserve"> affects house prices when some variable that </w:t>
      </w:r>
      <w:r w:rsidRPr="00A1353A">
        <w:rPr>
          <w:rFonts w:eastAsia="Times New Roman"/>
          <w:sz w:val="20"/>
          <w:szCs w:val="20"/>
        </w:rPr>
        <w:t xml:space="preserve">captures monetary policy stance is </w:t>
      </w:r>
      <w:r>
        <w:rPr>
          <w:rFonts w:eastAsia="Times New Roman"/>
          <w:sz w:val="20"/>
          <w:szCs w:val="20"/>
        </w:rPr>
        <w:t>present</w:t>
      </w:r>
      <w:r w:rsidRPr="00A1353A">
        <w:rPr>
          <w:rFonts w:eastAsia="Times New Roman"/>
          <w:sz w:val="20"/>
          <w:szCs w:val="20"/>
        </w:rPr>
        <w:t xml:space="preserve"> in the VAR..</w:t>
      </w:r>
      <w:r w:rsidRPr="00E01523">
        <w:rPr>
          <w:rFonts w:ascii="Times" w:eastAsia="Times New Roman" w:hAnsi="Times"/>
          <w:sz w:val="20"/>
          <w:szCs w:val="20"/>
        </w:rPr>
        <w:t xml:space="preserve"> </w:t>
      </w:r>
    </w:p>
  </w:footnote>
  <w:footnote w:id="11">
    <w:p w14:paraId="17ABC8D4" w14:textId="69712705" w:rsidR="00C6218F" w:rsidRPr="0014702A" w:rsidRDefault="00C6218F" w:rsidP="00A1353A">
      <w:pPr>
        <w:spacing w:after="0"/>
        <w:ind w:left="567" w:hanging="567"/>
        <w:jc w:val="both"/>
        <w:rPr>
          <w:rFonts w:ascii="Times New Roman" w:hAnsi="Times New Roman" w:cs="Times New Roman"/>
          <w:sz w:val="20"/>
          <w:szCs w:val="20"/>
        </w:rPr>
      </w:pPr>
      <w:r>
        <w:rPr>
          <w:rStyle w:val="FootnoteReference"/>
        </w:rPr>
        <w:footnoteRef/>
      </w:r>
      <w:r w:rsidR="003A0FBE">
        <w:rPr>
          <w:rFonts w:ascii="Times New Roman" w:hAnsi="Times New Roman" w:cs="Times New Roman"/>
          <w:sz w:val="20"/>
          <w:szCs w:val="20"/>
        </w:rPr>
        <w:tab/>
      </w:r>
      <w:r w:rsidRPr="0014702A">
        <w:rPr>
          <w:rFonts w:ascii="Times New Roman" w:hAnsi="Times New Roman" w:cs="Times New Roman"/>
          <w:sz w:val="20"/>
          <w:szCs w:val="20"/>
        </w:rPr>
        <w:t xml:space="preserve">All macro-economic data which includes United Kingdom’s 3-month </w:t>
      </w:r>
      <w:r w:rsidR="00D8258C">
        <w:rPr>
          <w:rFonts w:ascii="Times New Roman" w:hAnsi="Times New Roman" w:cs="Times New Roman"/>
          <w:sz w:val="20"/>
          <w:szCs w:val="20"/>
        </w:rPr>
        <w:t>T</w:t>
      </w:r>
      <w:r w:rsidRPr="0014702A">
        <w:rPr>
          <w:rFonts w:ascii="Times New Roman" w:hAnsi="Times New Roman" w:cs="Times New Roman"/>
          <w:sz w:val="20"/>
          <w:szCs w:val="20"/>
        </w:rPr>
        <w:t xml:space="preserve">-bill rate, real gdp, inflation, </w:t>
      </w:r>
      <w:r w:rsidR="00F65AB7">
        <w:rPr>
          <w:rFonts w:ascii="Times New Roman" w:hAnsi="Times New Roman" w:cs="Times New Roman"/>
          <w:sz w:val="20"/>
          <w:szCs w:val="20"/>
        </w:rPr>
        <w:t>LIBOR</w:t>
      </w:r>
      <w:r w:rsidRPr="0014702A">
        <w:rPr>
          <w:rFonts w:ascii="Times New Roman" w:hAnsi="Times New Roman" w:cs="Times New Roman"/>
          <w:sz w:val="20"/>
          <w:szCs w:val="20"/>
        </w:rPr>
        <w:t xml:space="preserve"> rate and mortgage rate have been collected from Federal Reserve Bank of St. Louis (</w:t>
      </w:r>
      <w:hyperlink r:id="rId5" w:history="1">
        <w:r w:rsidRPr="0014702A">
          <w:rPr>
            <w:rStyle w:val="Hyperlink"/>
            <w:rFonts w:ascii="Times New Roman" w:hAnsi="Times New Roman" w:cs="Times New Roman"/>
            <w:sz w:val="20"/>
            <w:szCs w:val="20"/>
          </w:rPr>
          <w:t>https://fred.stlouisfed.org/</w:t>
        </w:r>
      </w:hyperlink>
      <w:r w:rsidRPr="0014702A">
        <w:rPr>
          <w:rFonts w:ascii="Times New Roman" w:hAnsi="Times New Roman" w:cs="Times New Roman"/>
          <w:sz w:val="20"/>
          <w:szCs w:val="20"/>
        </w:rPr>
        <w:t xml:space="preserve">). Mortgage lending data for both depository institutions and non-depository </w:t>
      </w:r>
      <w:r w:rsidR="00AB5B2F" w:rsidRPr="0014702A">
        <w:rPr>
          <w:rFonts w:ascii="Times New Roman" w:hAnsi="Times New Roman" w:cs="Times New Roman"/>
          <w:sz w:val="20"/>
          <w:szCs w:val="20"/>
        </w:rPr>
        <w:t>institutions</w:t>
      </w:r>
      <w:r w:rsidRPr="0014702A">
        <w:rPr>
          <w:rFonts w:ascii="Times New Roman" w:hAnsi="Times New Roman" w:cs="Times New Roman"/>
          <w:sz w:val="20"/>
          <w:szCs w:val="20"/>
        </w:rPr>
        <w:t xml:space="preserve"> have been collected from B</w:t>
      </w:r>
      <w:r w:rsidR="0097085F">
        <w:rPr>
          <w:rFonts w:ascii="Times New Roman" w:hAnsi="Times New Roman" w:cs="Times New Roman"/>
          <w:sz w:val="20"/>
          <w:szCs w:val="20"/>
        </w:rPr>
        <w:t>oE’s</w:t>
      </w:r>
      <w:r w:rsidR="00115958">
        <w:rPr>
          <w:rFonts w:ascii="Times New Roman" w:hAnsi="Times New Roman" w:cs="Times New Roman"/>
          <w:sz w:val="20"/>
          <w:szCs w:val="20"/>
        </w:rPr>
        <w:t xml:space="preserve"> website</w:t>
      </w:r>
      <w:r w:rsidRPr="0014702A">
        <w:rPr>
          <w:rFonts w:ascii="Times New Roman" w:hAnsi="Times New Roman" w:cs="Times New Roman"/>
          <w:sz w:val="20"/>
          <w:szCs w:val="20"/>
        </w:rPr>
        <w:t xml:space="preserve"> (MM8 data set)</w:t>
      </w:r>
      <w:r w:rsidR="0097085F">
        <w:rPr>
          <w:rFonts w:ascii="Times New Roman" w:hAnsi="Times New Roman" w:cs="Times New Roman"/>
          <w:sz w:val="20"/>
          <w:szCs w:val="20"/>
        </w:rPr>
        <w:t>,</w:t>
      </w:r>
      <w:r w:rsidRPr="0014702A">
        <w:rPr>
          <w:rFonts w:ascii="Times New Roman" w:hAnsi="Times New Roman" w:cs="Times New Roman"/>
          <w:sz w:val="20"/>
          <w:szCs w:val="20"/>
        </w:rPr>
        <w:t xml:space="preserve">  is also available from Council of Mortgage Lenders ( </w:t>
      </w:r>
      <w:hyperlink r:id="rId6" w:tgtFrame="_blank" w:history="1">
        <w:r w:rsidRPr="0014702A">
          <w:rPr>
            <w:rStyle w:val="Hyperlink"/>
            <w:rFonts w:ascii="Times New Roman" w:hAnsi="Times New Roman" w:cs="Times New Roman"/>
            <w:sz w:val="20"/>
            <w:szCs w:val="20"/>
            <w:bdr w:val="none" w:sz="0" w:space="0" w:color="auto" w:frame="1"/>
            <w:shd w:val="clear" w:color="auto" w:fill="FFFFFF"/>
          </w:rPr>
          <w:t>www.cml.org.uk</w:t>
        </w:r>
      </w:hyperlink>
      <w:r w:rsidRPr="0014702A">
        <w:rPr>
          <w:rFonts w:ascii="Times New Roman" w:hAnsi="Times New Roman" w:cs="Times New Roman"/>
          <w:sz w:val="20"/>
          <w:szCs w:val="20"/>
        </w:rPr>
        <w:t>) on request. United Kingdom’s shadow policy rate data has been obtained from Jing Cynthia Wu’s personal webpage (</w:t>
      </w:r>
      <w:hyperlink r:id="rId7" w:history="1">
        <w:r w:rsidR="003A0FBE" w:rsidRPr="00D6117F">
          <w:rPr>
            <w:rStyle w:val="Hyperlink"/>
            <w:rFonts w:ascii="Times New Roman" w:hAnsi="Times New Roman" w:cs="Times New Roman"/>
            <w:sz w:val="20"/>
            <w:szCs w:val="20"/>
          </w:rPr>
          <w:t>https://sites.google.com/view/jingcynthiawu/shadow-rates</w:t>
        </w:r>
      </w:hyperlink>
      <w:r w:rsidRPr="0014702A">
        <w:rPr>
          <w:rFonts w:ascii="Times New Roman" w:hAnsi="Times New Roman" w:cs="Times New Roman"/>
          <w:sz w:val="20"/>
          <w:szCs w:val="20"/>
        </w:rPr>
        <w:t>).</w:t>
      </w:r>
    </w:p>
  </w:footnote>
  <w:footnote w:id="12">
    <w:p w14:paraId="652FF987" w14:textId="4B5C1F26" w:rsidR="00B35D43" w:rsidRPr="008D3AB7" w:rsidRDefault="00B35D43" w:rsidP="003B6751">
      <w:pPr>
        <w:pStyle w:val="FootnoteText"/>
        <w:ind w:left="720" w:hanging="720"/>
        <w:jc w:val="both"/>
        <w:rPr>
          <w:rFonts w:cs="Times New Roman"/>
          <w:szCs w:val="20"/>
        </w:rPr>
      </w:pPr>
      <w:r>
        <w:rPr>
          <w:rStyle w:val="FootnoteReference"/>
        </w:rPr>
        <w:footnoteRef/>
      </w:r>
      <w:r>
        <w:rPr>
          <w:lang w:val="en-US"/>
        </w:rPr>
        <w:tab/>
      </w:r>
      <w:r w:rsidRPr="008D3AB7">
        <w:rPr>
          <w:rFonts w:cs="Times New Roman"/>
          <w:szCs w:val="20"/>
        </w:rPr>
        <w:t>See Ki</w:t>
      </w:r>
      <w:r w:rsidR="001523C1">
        <w:rPr>
          <w:rFonts w:cs="Times New Roman"/>
          <w:szCs w:val="20"/>
        </w:rPr>
        <w:t>y</w:t>
      </w:r>
      <w:r w:rsidRPr="008D3AB7">
        <w:rPr>
          <w:rFonts w:cs="Times New Roman"/>
          <w:szCs w:val="20"/>
        </w:rPr>
        <w:t xml:space="preserve">otaki &amp; Moore (1997), </w:t>
      </w:r>
      <w:r w:rsidRPr="001E168A">
        <w:rPr>
          <w:rFonts w:cs="Times New Roman"/>
          <w:szCs w:val="20"/>
        </w:rPr>
        <w:t>Bernanke &amp; Gertler (1997).</w:t>
      </w:r>
      <w:r w:rsidRPr="008D3AB7">
        <w:rPr>
          <w:rFonts w:cs="Times New Roman"/>
          <w:szCs w:val="20"/>
        </w:rPr>
        <w:t xml:space="preserve"> </w:t>
      </w:r>
    </w:p>
  </w:footnote>
  <w:footnote w:id="13">
    <w:p w14:paraId="3B9067C8" w14:textId="44DF1753" w:rsidR="00B35D43" w:rsidRDefault="00B35D43">
      <w:pPr>
        <w:pStyle w:val="FootnoteText"/>
      </w:pPr>
      <w:r>
        <w:rPr>
          <w:rStyle w:val="FootnoteReference"/>
        </w:rPr>
        <w:footnoteRef/>
      </w:r>
      <w:r>
        <w:tab/>
        <w:t xml:space="preserve">See more in Santoro </w:t>
      </w:r>
      <w:r w:rsidRPr="00695E61">
        <w:t>et al</w:t>
      </w:r>
      <w:r>
        <w:t>. (2014)</w:t>
      </w:r>
    </w:p>
  </w:footnote>
  <w:footnote w:id="14">
    <w:p w14:paraId="6CF5C88B" w14:textId="3C7D995C" w:rsidR="00B35D43" w:rsidRDefault="00B35D43" w:rsidP="006C7E9A">
      <w:pPr>
        <w:pStyle w:val="FootnoteText"/>
        <w:ind w:left="709" w:hanging="709"/>
      </w:pPr>
      <w:r>
        <w:rPr>
          <w:rStyle w:val="FootnoteReference"/>
        </w:rPr>
        <w:footnoteRef/>
      </w:r>
      <w:r>
        <w:t xml:space="preserve"> </w:t>
      </w:r>
      <w:r>
        <w:tab/>
        <w:t>Champagne and Sekkel (2018) show unaccounted breaks in linear VARs can be one of the reasons behind price puzzl</w:t>
      </w:r>
      <w:r w:rsidR="000F2C2A">
        <w:t>e</w:t>
      </w:r>
      <w:r>
        <w:t>s.</w:t>
      </w:r>
    </w:p>
  </w:footnote>
  <w:footnote w:id="15">
    <w:p w14:paraId="6BF716C0" w14:textId="4851D6D9" w:rsidR="00B35D43" w:rsidRDefault="00B35D43" w:rsidP="0095317A">
      <w:pPr>
        <w:pStyle w:val="FootnoteText"/>
        <w:tabs>
          <w:tab w:val="left" w:pos="851"/>
        </w:tabs>
        <w:jc w:val="both"/>
      </w:pPr>
      <w:r>
        <w:rPr>
          <w:rStyle w:val="FootnoteReference"/>
        </w:rPr>
        <w:footnoteRef/>
      </w:r>
      <w:r>
        <w:t xml:space="preserve"> </w:t>
      </w:r>
      <w:r>
        <w:tab/>
        <w:t>The Killian Vigfusson (2011) methodology is explained in detail in the appendix</w:t>
      </w:r>
      <w:r w:rsidR="00D90FE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5239"/>
    <w:multiLevelType w:val="hybridMultilevel"/>
    <w:tmpl w:val="E214A190"/>
    <w:lvl w:ilvl="0" w:tplc="60889EB4">
      <w:start w:val="5"/>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31D1"/>
    <w:multiLevelType w:val="hybridMultilevel"/>
    <w:tmpl w:val="5524A492"/>
    <w:lvl w:ilvl="0" w:tplc="42D200F6">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4762E"/>
    <w:multiLevelType w:val="hybridMultilevel"/>
    <w:tmpl w:val="A8FAE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9F7125"/>
    <w:multiLevelType w:val="multilevel"/>
    <w:tmpl w:val="F34C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265CB"/>
    <w:multiLevelType w:val="hybridMultilevel"/>
    <w:tmpl w:val="A4CEFC2C"/>
    <w:lvl w:ilvl="0" w:tplc="72C46142">
      <w:start w:val="1"/>
      <w:numFmt w:val="lowerRoman"/>
      <w:lvlText w:val="(%1)"/>
      <w:lvlJc w:val="left"/>
      <w:pPr>
        <w:ind w:left="1080" w:hanging="720"/>
      </w:pPr>
      <w:rPr>
        <w:rFonts w:eastAsiaTheme="minorHAns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234BB8"/>
    <w:multiLevelType w:val="hybridMultilevel"/>
    <w:tmpl w:val="C882C006"/>
    <w:lvl w:ilvl="0" w:tplc="D10EAF8A">
      <w:start w:val="1"/>
      <w:numFmt w:val="low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5F63C1"/>
    <w:multiLevelType w:val="hybridMultilevel"/>
    <w:tmpl w:val="011AA11E"/>
    <w:lvl w:ilvl="0" w:tplc="A11E6A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9506E3"/>
    <w:multiLevelType w:val="hybridMultilevel"/>
    <w:tmpl w:val="118C7A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FD02C88"/>
    <w:multiLevelType w:val="hybridMultilevel"/>
    <w:tmpl w:val="0432408C"/>
    <w:lvl w:ilvl="0" w:tplc="3502D7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1"/>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2" w:dllVersion="6"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8D"/>
    <w:rsid w:val="00001A04"/>
    <w:rsid w:val="00001DC4"/>
    <w:rsid w:val="0000201F"/>
    <w:rsid w:val="000029EA"/>
    <w:rsid w:val="00002C4A"/>
    <w:rsid w:val="00003EC0"/>
    <w:rsid w:val="00003EDC"/>
    <w:rsid w:val="00004DBC"/>
    <w:rsid w:val="00004DE2"/>
    <w:rsid w:val="00005F69"/>
    <w:rsid w:val="0000707D"/>
    <w:rsid w:val="000071AD"/>
    <w:rsid w:val="00007FCB"/>
    <w:rsid w:val="00007FD7"/>
    <w:rsid w:val="000110F6"/>
    <w:rsid w:val="00011BAF"/>
    <w:rsid w:val="00012B8F"/>
    <w:rsid w:val="00012ED8"/>
    <w:rsid w:val="000134E4"/>
    <w:rsid w:val="000141AA"/>
    <w:rsid w:val="000161C1"/>
    <w:rsid w:val="00016271"/>
    <w:rsid w:val="000164E5"/>
    <w:rsid w:val="00016EE6"/>
    <w:rsid w:val="0001733C"/>
    <w:rsid w:val="00017565"/>
    <w:rsid w:val="0001760E"/>
    <w:rsid w:val="00021687"/>
    <w:rsid w:val="00021976"/>
    <w:rsid w:val="000226D3"/>
    <w:rsid w:val="00022B99"/>
    <w:rsid w:val="000243B8"/>
    <w:rsid w:val="000247B9"/>
    <w:rsid w:val="000247C6"/>
    <w:rsid w:val="000249E1"/>
    <w:rsid w:val="00025126"/>
    <w:rsid w:val="00025890"/>
    <w:rsid w:val="00025E9B"/>
    <w:rsid w:val="000266B0"/>
    <w:rsid w:val="0002798A"/>
    <w:rsid w:val="00027C31"/>
    <w:rsid w:val="000305FC"/>
    <w:rsid w:val="000312B2"/>
    <w:rsid w:val="0003177F"/>
    <w:rsid w:val="00031AA5"/>
    <w:rsid w:val="00031C23"/>
    <w:rsid w:val="00031F2D"/>
    <w:rsid w:val="0003241F"/>
    <w:rsid w:val="000324EC"/>
    <w:rsid w:val="00032ED3"/>
    <w:rsid w:val="0003367D"/>
    <w:rsid w:val="000338FC"/>
    <w:rsid w:val="000342FB"/>
    <w:rsid w:val="00034B42"/>
    <w:rsid w:val="00034FE9"/>
    <w:rsid w:val="0003519A"/>
    <w:rsid w:val="000352F7"/>
    <w:rsid w:val="00035B0C"/>
    <w:rsid w:val="00035B44"/>
    <w:rsid w:val="00035EFC"/>
    <w:rsid w:val="00036624"/>
    <w:rsid w:val="0003673D"/>
    <w:rsid w:val="00036CD8"/>
    <w:rsid w:val="00036F54"/>
    <w:rsid w:val="000418D0"/>
    <w:rsid w:val="00042784"/>
    <w:rsid w:val="00043078"/>
    <w:rsid w:val="0004370E"/>
    <w:rsid w:val="000437E1"/>
    <w:rsid w:val="000439F8"/>
    <w:rsid w:val="00043BE0"/>
    <w:rsid w:val="00044177"/>
    <w:rsid w:val="00044C4E"/>
    <w:rsid w:val="00044C77"/>
    <w:rsid w:val="00044D38"/>
    <w:rsid w:val="0004515E"/>
    <w:rsid w:val="000456F8"/>
    <w:rsid w:val="00045B82"/>
    <w:rsid w:val="00046635"/>
    <w:rsid w:val="00046677"/>
    <w:rsid w:val="000473D5"/>
    <w:rsid w:val="000477A0"/>
    <w:rsid w:val="00050779"/>
    <w:rsid w:val="00050979"/>
    <w:rsid w:val="00051457"/>
    <w:rsid w:val="000520C0"/>
    <w:rsid w:val="000527BE"/>
    <w:rsid w:val="0005318E"/>
    <w:rsid w:val="0005408D"/>
    <w:rsid w:val="00054511"/>
    <w:rsid w:val="00054788"/>
    <w:rsid w:val="000548AA"/>
    <w:rsid w:val="000552CC"/>
    <w:rsid w:val="000553A0"/>
    <w:rsid w:val="00055669"/>
    <w:rsid w:val="00055903"/>
    <w:rsid w:val="00055D1E"/>
    <w:rsid w:val="00056032"/>
    <w:rsid w:val="0005640C"/>
    <w:rsid w:val="00056485"/>
    <w:rsid w:val="00056552"/>
    <w:rsid w:val="0005775F"/>
    <w:rsid w:val="000577D1"/>
    <w:rsid w:val="00057DBB"/>
    <w:rsid w:val="000615D9"/>
    <w:rsid w:val="000627B9"/>
    <w:rsid w:val="00063BCA"/>
    <w:rsid w:val="00063E09"/>
    <w:rsid w:val="000643AA"/>
    <w:rsid w:val="00064536"/>
    <w:rsid w:val="000647C9"/>
    <w:rsid w:val="00064DD4"/>
    <w:rsid w:val="00066345"/>
    <w:rsid w:val="00066EC0"/>
    <w:rsid w:val="00067100"/>
    <w:rsid w:val="00067164"/>
    <w:rsid w:val="00067D95"/>
    <w:rsid w:val="000705D0"/>
    <w:rsid w:val="00070BB7"/>
    <w:rsid w:val="00070BE8"/>
    <w:rsid w:val="00070E21"/>
    <w:rsid w:val="000726FA"/>
    <w:rsid w:val="00072DD6"/>
    <w:rsid w:val="0007353B"/>
    <w:rsid w:val="00074583"/>
    <w:rsid w:val="00074D87"/>
    <w:rsid w:val="00074FD6"/>
    <w:rsid w:val="00075F8C"/>
    <w:rsid w:val="0007652C"/>
    <w:rsid w:val="000771F7"/>
    <w:rsid w:val="0008042B"/>
    <w:rsid w:val="00080A6E"/>
    <w:rsid w:val="00080D47"/>
    <w:rsid w:val="00081134"/>
    <w:rsid w:val="00081C22"/>
    <w:rsid w:val="00081DBB"/>
    <w:rsid w:val="00081E1D"/>
    <w:rsid w:val="000835ED"/>
    <w:rsid w:val="00083A30"/>
    <w:rsid w:val="000841E0"/>
    <w:rsid w:val="00084560"/>
    <w:rsid w:val="00085A3A"/>
    <w:rsid w:val="00085AE4"/>
    <w:rsid w:val="00086F41"/>
    <w:rsid w:val="0008728A"/>
    <w:rsid w:val="000872F1"/>
    <w:rsid w:val="00087A41"/>
    <w:rsid w:val="000901CA"/>
    <w:rsid w:val="00090367"/>
    <w:rsid w:val="000907A2"/>
    <w:rsid w:val="00090967"/>
    <w:rsid w:val="00090BC1"/>
    <w:rsid w:val="00090FC4"/>
    <w:rsid w:val="0009221E"/>
    <w:rsid w:val="00093943"/>
    <w:rsid w:val="00093D36"/>
    <w:rsid w:val="000944D2"/>
    <w:rsid w:val="00094589"/>
    <w:rsid w:val="00095690"/>
    <w:rsid w:val="00095DDA"/>
    <w:rsid w:val="00095EA4"/>
    <w:rsid w:val="00096032"/>
    <w:rsid w:val="00096704"/>
    <w:rsid w:val="00097806"/>
    <w:rsid w:val="00097F5B"/>
    <w:rsid w:val="000A01C6"/>
    <w:rsid w:val="000A0E75"/>
    <w:rsid w:val="000A141E"/>
    <w:rsid w:val="000A2179"/>
    <w:rsid w:val="000A296F"/>
    <w:rsid w:val="000A2C66"/>
    <w:rsid w:val="000A3051"/>
    <w:rsid w:val="000A5746"/>
    <w:rsid w:val="000A5F84"/>
    <w:rsid w:val="000A6055"/>
    <w:rsid w:val="000A6973"/>
    <w:rsid w:val="000A6A66"/>
    <w:rsid w:val="000A6BFC"/>
    <w:rsid w:val="000A7EFA"/>
    <w:rsid w:val="000B05D4"/>
    <w:rsid w:val="000B1353"/>
    <w:rsid w:val="000B1460"/>
    <w:rsid w:val="000B19D3"/>
    <w:rsid w:val="000B1C01"/>
    <w:rsid w:val="000B225B"/>
    <w:rsid w:val="000B2510"/>
    <w:rsid w:val="000B2DA4"/>
    <w:rsid w:val="000B3B83"/>
    <w:rsid w:val="000B3BCF"/>
    <w:rsid w:val="000B4EB6"/>
    <w:rsid w:val="000B51C7"/>
    <w:rsid w:val="000B52C8"/>
    <w:rsid w:val="000B5E12"/>
    <w:rsid w:val="000B6086"/>
    <w:rsid w:val="000B6232"/>
    <w:rsid w:val="000B6508"/>
    <w:rsid w:val="000B66F7"/>
    <w:rsid w:val="000B6F48"/>
    <w:rsid w:val="000B7EB7"/>
    <w:rsid w:val="000C1887"/>
    <w:rsid w:val="000C3E46"/>
    <w:rsid w:val="000C46D1"/>
    <w:rsid w:val="000C5565"/>
    <w:rsid w:val="000C5C9C"/>
    <w:rsid w:val="000C5CC2"/>
    <w:rsid w:val="000C64C5"/>
    <w:rsid w:val="000C6FCC"/>
    <w:rsid w:val="000C7426"/>
    <w:rsid w:val="000C75E3"/>
    <w:rsid w:val="000D0164"/>
    <w:rsid w:val="000D1B04"/>
    <w:rsid w:val="000D1EAE"/>
    <w:rsid w:val="000D2796"/>
    <w:rsid w:val="000D3AA2"/>
    <w:rsid w:val="000D3D2C"/>
    <w:rsid w:val="000D3FA2"/>
    <w:rsid w:val="000D4B9A"/>
    <w:rsid w:val="000D4F90"/>
    <w:rsid w:val="000D758F"/>
    <w:rsid w:val="000E02BA"/>
    <w:rsid w:val="000E0CC9"/>
    <w:rsid w:val="000E11B6"/>
    <w:rsid w:val="000E1378"/>
    <w:rsid w:val="000E2240"/>
    <w:rsid w:val="000E3FF6"/>
    <w:rsid w:val="000E5295"/>
    <w:rsid w:val="000E5D32"/>
    <w:rsid w:val="000E6C01"/>
    <w:rsid w:val="000E6FE0"/>
    <w:rsid w:val="000E75F8"/>
    <w:rsid w:val="000F001C"/>
    <w:rsid w:val="000F049B"/>
    <w:rsid w:val="000F0B51"/>
    <w:rsid w:val="000F2B4E"/>
    <w:rsid w:val="000F2B57"/>
    <w:rsid w:val="000F2C2A"/>
    <w:rsid w:val="000F2C8C"/>
    <w:rsid w:val="000F314C"/>
    <w:rsid w:val="000F58D5"/>
    <w:rsid w:val="000F6688"/>
    <w:rsid w:val="000F6F29"/>
    <w:rsid w:val="000F7079"/>
    <w:rsid w:val="000F7E69"/>
    <w:rsid w:val="001024EE"/>
    <w:rsid w:val="00102622"/>
    <w:rsid w:val="00103897"/>
    <w:rsid w:val="001056AA"/>
    <w:rsid w:val="001061FC"/>
    <w:rsid w:val="0010698C"/>
    <w:rsid w:val="00110577"/>
    <w:rsid w:val="00110679"/>
    <w:rsid w:val="001108A1"/>
    <w:rsid w:val="00110F93"/>
    <w:rsid w:val="001117FE"/>
    <w:rsid w:val="00111BFB"/>
    <w:rsid w:val="00111D56"/>
    <w:rsid w:val="00112695"/>
    <w:rsid w:val="00112DAC"/>
    <w:rsid w:val="0011302C"/>
    <w:rsid w:val="001146AC"/>
    <w:rsid w:val="00114CDB"/>
    <w:rsid w:val="001153C4"/>
    <w:rsid w:val="00115958"/>
    <w:rsid w:val="0011644A"/>
    <w:rsid w:val="00117917"/>
    <w:rsid w:val="00117A3B"/>
    <w:rsid w:val="00120573"/>
    <w:rsid w:val="001206B5"/>
    <w:rsid w:val="001211EE"/>
    <w:rsid w:val="00121216"/>
    <w:rsid w:val="0012142D"/>
    <w:rsid w:val="0012146E"/>
    <w:rsid w:val="0012154A"/>
    <w:rsid w:val="00121989"/>
    <w:rsid w:val="0012261E"/>
    <w:rsid w:val="00123FC4"/>
    <w:rsid w:val="00124A4A"/>
    <w:rsid w:val="00124D3A"/>
    <w:rsid w:val="00124DD6"/>
    <w:rsid w:val="00126808"/>
    <w:rsid w:val="00126C4B"/>
    <w:rsid w:val="001307CE"/>
    <w:rsid w:val="00130B64"/>
    <w:rsid w:val="001315F2"/>
    <w:rsid w:val="001318AC"/>
    <w:rsid w:val="001318FA"/>
    <w:rsid w:val="00131A22"/>
    <w:rsid w:val="0013296E"/>
    <w:rsid w:val="00132E93"/>
    <w:rsid w:val="00132EBA"/>
    <w:rsid w:val="0013308F"/>
    <w:rsid w:val="00133F77"/>
    <w:rsid w:val="001353D9"/>
    <w:rsid w:val="001362E2"/>
    <w:rsid w:val="001375BB"/>
    <w:rsid w:val="00137BF1"/>
    <w:rsid w:val="00140203"/>
    <w:rsid w:val="00140432"/>
    <w:rsid w:val="00140EA2"/>
    <w:rsid w:val="001420DA"/>
    <w:rsid w:val="001421E2"/>
    <w:rsid w:val="00142918"/>
    <w:rsid w:val="00143B6D"/>
    <w:rsid w:val="001444EF"/>
    <w:rsid w:val="00144CD8"/>
    <w:rsid w:val="00145083"/>
    <w:rsid w:val="00145924"/>
    <w:rsid w:val="00145D60"/>
    <w:rsid w:val="0014627E"/>
    <w:rsid w:val="00146F63"/>
    <w:rsid w:val="0014702A"/>
    <w:rsid w:val="001470E5"/>
    <w:rsid w:val="00150AD8"/>
    <w:rsid w:val="00150D8E"/>
    <w:rsid w:val="0015148B"/>
    <w:rsid w:val="00151723"/>
    <w:rsid w:val="001518A3"/>
    <w:rsid w:val="00151AED"/>
    <w:rsid w:val="001523C1"/>
    <w:rsid w:val="00152492"/>
    <w:rsid w:val="00152A14"/>
    <w:rsid w:val="00152AD8"/>
    <w:rsid w:val="001534C6"/>
    <w:rsid w:val="001535D0"/>
    <w:rsid w:val="0015382D"/>
    <w:rsid w:val="00153E5B"/>
    <w:rsid w:val="001541C8"/>
    <w:rsid w:val="001543AB"/>
    <w:rsid w:val="001545DF"/>
    <w:rsid w:val="00154957"/>
    <w:rsid w:val="0015587A"/>
    <w:rsid w:val="00155D24"/>
    <w:rsid w:val="001560C0"/>
    <w:rsid w:val="001562AD"/>
    <w:rsid w:val="0015632B"/>
    <w:rsid w:val="00156C8C"/>
    <w:rsid w:val="001575FC"/>
    <w:rsid w:val="00157F18"/>
    <w:rsid w:val="0016016D"/>
    <w:rsid w:val="00161AD6"/>
    <w:rsid w:val="00162305"/>
    <w:rsid w:val="0016466D"/>
    <w:rsid w:val="00166655"/>
    <w:rsid w:val="00166D01"/>
    <w:rsid w:val="00166FCF"/>
    <w:rsid w:val="00167008"/>
    <w:rsid w:val="001703DC"/>
    <w:rsid w:val="001716AA"/>
    <w:rsid w:val="001716F5"/>
    <w:rsid w:val="00171A7F"/>
    <w:rsid w:val="00172FBA"/>
    <w:rsid w:val="00173EDC"/>
    <w:rsid w:val="00174287"/>
    <w:rsid w:val="00174A07"/>
    <w:rsid w:val="00174BB9"/>
    <w:rsid w:val="00176F4B"/>
    <w:rsid w:val="001778C5"/>
    <w:rsid w:val="00180480"/>
    <w:rsid w:val="001820D9"/>
    <w:rsid w:val="00182E06"/>
    <w:rsid w:val="00183EC6"/>
    <w:rsid w:val="001868C9"/>
    <w:rsid w:val="00186EE7"/>
    <w:rsid w:val="00187134"/>
    <w:rsid w:val="001877EA"/>
    <w:rsid w:val="0018795E"/>
    <w:rsid w:val="00190086"/>
    <w:rsid w:val="00190527"/>
    <w:rsid w:val="0019084B"/>
    <w:rsid w:val="00190C08"/>
    <w:rsid w:val="00192677"/>
    <w:rsid w:val="00192D3E"/>
    <w:rsid w:val="00195523"/>
    <w:rsid w:val="00195C77"/>
    <w:rsid w:val="001969E4"/>
    <w:rsid w:val="00196D04"/>
    <w:rsid w:val="00197F6E"/>
    <w:rsid w:val="001A005C"/>
    <w:rsid w:val="001A040F"/>
    <w:rsid w:val="001A0B8B"/>
    <w:rsid w:val="001A0EB5"/>
    <w:rsid w:val="001A109E"/>
    <w:rsid w:val="001A29D9"/>
    <w:rsid w:val="001A2CC7"/>
    <w:rsid w:val="001A30F5"/>
    <w:rsid w:val="001A4185"/>
    <w:rsid w:val="001A456B"/>
    <w:rsid w:val="001A4BB0"/>
    <w:rsid w:val="001A4EA8"/>
    <w:rsid w:val="001A5161"/>
    <w:rsid w:val="001A5353"/>
    <w:rsid w:val="001A5B7C"/>
    <w:rsid w:val="001A6C7F"/>
    <w:rsid w:val="001A73F7"/>
    <w:rsid w:val="001A7876"/>
    <w:rsid w:val="001A7C28"/>
    <w:rsid w:val="001A7DCD"/>
    <w:rsid w:val="001B054C"/>
    <w:rsid w:val="001B0811"/>
    <w:rsid w:val="001B0879"/>
    <w:rsid w:val="001B0B77"/>
    <w:rsid w:val="001B0BF6"/>
    <w:rsid w:val="001B0C62"/>
    <w:rsid w:val="001B0C91"/>
    <w:rsid w:val="001B101C"/>
    <w:rsid w:val="001B16F5"/>
    <w:rsid w:val="001B19C6"/>
    <w:rsid w:val="001B25D1"/>
    <w:rsid w:val="001B2D10"/>
    <w:rsid w:val="001B3139"/>
    <w:rsid w:val="001B379F"/>
    <w:rsid w:val="001B45AA"/>
    <w:rsid w:val="001B4BF4"/>
    <w:rsid w:val="001B4E08"/>
    <w:rsid w:val="001B57AA"/>
    <w:rsid w:val="001B663E"/>
    <w:rsid w:val="001C066D"/>
    <w:rsid w:val="001C0948"/>
    <w:rsid w:val="001C0E47"/>
    <w:rsid w:val="001C236C"/>
    <w:rsid w:val="001C27C7"/>
    <w:rsid w:val="001C3153"/>
    <w:rsid w:val="001C3788"/>
    <w:rsid w:val="001C3ECE"/>
    <w:rsid w:val="001C4147"/>
    <w:rsid w:val="001C4A99"/>
    <w:rsid w:val="001C4ABB"/>
    <w:rsid w:val="001C4B45"/>
    <w:rsid w:val="001C5A5C"/>
    <w:rsid w:val="001C5C9E"/>
    <w:rsid w:val="001C6F3D"/>
    <w:rsid w:val="001C7A74"/>
    <w:rsid w:val="001D07D0"/>
    <w:rsid w:val="001D07EB"/>
    <w:rsid w:val="001D0BF5"/>
    <w:rsid w:val="001D1B97"/>
    <w:rsid w:val="001D1DD2"/>
    <w:rsid w:val="001D252B"/>
    <w:rsid w:val="001D2D74"/>
    <w:rsid w:val="001D2E6E"/>
    <w:rsid w:val="001D34DF"/>
    <w:rsid w:val="001D3CE3"/>
    <w:rsid w:val="001D4146"/>
    <w:rsid w:val="001D46CB"/>
    <w:rsid w:val="001D48BE"/>
    <w:rsid w:val="001D5204"/>
    <w:rsid w:val="001D764B"/>
    <w:rsid w:val="001E0990"/>
    <w:rsid w:val="001E168A"/>
    <w:rsid w:val="001E2DC6"/>
    <w:rsid w:val="001E3166"/>
    <w:rsid w:val="001E354F"/>
    <w:rsid w:val="001E368C"/>
    <w:rsid w:val="001E36D6"/>
    <w:rsid w:val="001E36EB"/>
    <w:rsid w:val="001E3FEE"/>
    <w:rsid w:val="001E46F7"/>
    <w:rsid w:val="001E4DC5"/>
    <w:rsid w:val="001E5D4B"/>
    <w:rsid w:val="001E60BF"/>
    <w:rsid w:val="001E697F"/>
    <w:rsid w:val="001E7B48"/>
    <w:rsid w:val="001E7E5F"/>
    <w:rsid w:val="001E7F91"/>
    <w:rsid w:val="001F0E77"/>
    <w:rsid w:val="001F10ED"/>
    <w:rsid w:val="001F1E9B"/>
    <w:rsid w:val="001F272C"/>
    <w:rsid w:val="001F2815"/>
    <w:rsid w:val="001F2F60"/>
    <w:rsid w:val="001F3BAD"/>
    <w:rsid w:val="001F3C98"/>
    <w:rsid w:val="001F4089"/>
    <w:rsid w:val="001F40B7"/>
    <w:rsid w:val="001F45A1"/>
    <w:rsid w:val="001F4617"/>
    <w:rsid w:val="001F52C3"/>
    <w:rsid w:val="001F52C4"/>
    <w:rsid w:val="001F6093"/>
    <w:rsid w:val="001F615C"/>
    <w:rsid w:val="001F67F5"/>
    <w:rsid w:val="001F6935"/>
    <w:rsid w:val="001F704C"/>
    <w:rsid w:val="001F7380"/>
    <w:rsid w:val="001F73E4"/>
    <w:rsid w:val="001F758D"/>
    <w:rsid w:val="001F7CFE"/>
    <w:rsid w:val="00200D51"/>
    <w:rsid w:val="002010BB"/>
    <w:rsid w:val="002011C0"/>
    <w:rsid w:val="0020154F"/>
    <w:rsid w:val="00201B4B"/>
    <w:rsid w:val="00201D79"/>
    <w:rsid w:val="00204824"/>
    <w:rsid w:val="002048FB"/>
    <w:rsid w:val="002053AB"/>
    <w:rsid w:val="002068BE"/>
    <w:rsid w:val="0020723F"/>
    <w:rsid w:val="00207484"/>
    <w:rsid w:val="002077D2"/>
    <w:rsid w:val="002079DE"/>
    <w:rsid w:val="00207B66"/>
    <w:rsid w:val="002106DD"/>
    <w:rsid w:val="0021088C"/>
    <w:rsid w:val="00210CB4"/>
    <w:rsid w:val="00211175"/>
    <w:rsid w:val="00211595"/>
    <w:rsid w:val="0021231C"/>
    <w:rsid w:val="00212A4F"/>
    <w:rsid w:val="00213920"/>
    <w:rsid w:val="0021409E"/>
    <w:rsid w:val="002145BA"/>
    <w:rsid w:val="0021559C"/>
    <w:rsid w:val="00216056"/>
    <w:rsid w:val="0021605E"/>
    <w:rsid w:val="002168B0"/>
    <w:rsid w:val="002168DD"/>
    <w:rsid w:val="0021785A"/>
    <w:rsid w:val="00217F5A"/>
    <w:rsid w:val="00217F99"/>
    <w:rsid w:val="002222C0"/>
    <w:rsid w:val="002227B2"/>
    <w:rsid w:val="00222DDA"/>
    <w:rsid w:val="00223027"/>
    <w:rsid w:val="00223DD0"/>
    <w:rsid w:val="00224102"/>
    <w:rsid w:val="00224534"/>
    <w:rsid w:val="0022456B"/>
    <w:rsid w:val="00224F03"/>
    <w:rsid w:val="0022534C"/>
    <w:rsid w:val="00225BE8"/>
    <w:rsid w:val="00226112"/>
    <w:rsid w:val="00226540"/>
    <w:rsid w:val="002268DF"/>
    <w:rsid w:val="00226922"/>
    <w:rsid w:val="002274E3"/>
    <w:rsid w:val="002279D4"/>
    <w:rsid w:val="00227D2F"/>
    <w:rsid w:val="00227DF5"/>
    <w:rsid w:val="002300B9"/>
    <w:rsid w:val="002304E0"/>
    <w:rsid w:val="002305A5"/>
    <w:rsid w:val="00230898"/>
    <w:rsid w:val="0023242C"/>
    <w:rsid w:val="002334DB"/>
    <w:rsid w:val="00233C47"/>
    <w:rsid w:val="00234E93"/>
    <w:rsid w:val="002357C7"/>
    <w:rsid w:val="002357F6"/>
    <w:rsid w:val="00236371"/>
    <w:rsid w:val="00236CB0"/>
    <w:rsid w:val="00236EB6"/>
    <w:rsid w:val="00240973"/>
    <w:rsid w:val="0024103E"/>
    <w:rsid w:val="00242F2D"/>
    <w:rsid w:val="0024319E"/>
    <w:rsid w:val="00243CEA"/>
    <w:rsid w:val="002446BE"/>
    <w:rsid w:val="002446FB"/>
    <w:rsid w:val="00244E4A"/>
    <w:rsid w:val="00245271"/>
    <w:rsid w:val="00245501"/>
    <w:rsid w:val="00246BA7"/>
    <w:rsid w:val="0024723C"/>
    <w:rsid w:val="002479CD"/>
    <w:rsid w:val="00252059"/>
    <w:rsid w:val="00252290"/>
    <w:rsid w:val="00253601"/>
    <w:rsid w:val="00253AFE"/>
    <w:rsid w:val="0025404B"/>
    <w:rsid w:val="0025496B"/>
    <w:rsid w:val="00254F9D"/>
    <w:rsid w:val="00255027"/>
    <w:rsid w:val="002557EA"/>
    <w:rsid w:val="00255A3C"/>
    <w:rsid w:val="00256C05"/>
    <w:rsid w:val="00257AE0"/>
    <w:rsid w:val="0026000B"/>
    <w:rsid w:val="002602B8"/>
    <w:rsid w:val="00261055"/>
    <w:rsid w:val="0026208F"/>
    <w:rsid w:val="00262248"/>
    <w:rsid w:val="00262499"/>
    <w:rsid w:val="00262531"/>
    <w:rsid w:val="00262C74"/>
    <w:rsid w:val="0026310C"/>
    <w:rsid w:val="0026368C"/>
    <w:rsid w:val="00263C86"/>
    <w:rsid w:val="002643B4"/>
    <w:rsid w:val="0026455F"/>
    <w:rsid w:val="00264B2F"/>
    <w:rsid w:val="00265FC3"/>
    <w:rsid w:val="002661B5"/>
    <w:rsid w:val="0026663A"/>
    <w:rsid w:val="00266F28"/>
    <w:rsid w:val="002676B7"/>
    <w:rsid w:val="00270963"/>
    <w:rsid w:val="00270EBF"/>
    <w:rsid w:val="002716D8"/>
    <w:rsid w:val="0027314E"/>
    <w:rsid w:val="002738EE"/>
    <w:rsid w:val="00274B1B"/>
    <w:rsid w:val="00274D2D"/>
    <w:rsid w:val="00274DB0"/>
    <w:rsid w:val="00275D37"/>
    <w:rsid w:val="00276C6E"/>
    <w:rsid w:val="00277491"/>
    <w:rsid w:val="00280074"/>
    <w:rsid w:val="00280DB7"/>
    <w:rsid w:val="002812A3"/>
    <w:rsid w:val="002812EF"/>
    <w:rsid w:val="00281AA6"/>
    <w:rsid w:val="00281CFC"/>
    <w:rsid w:val="00281FAC"/>
    <w:rsid w:val="00282826"/>
    <w:rsid w:val="00282B50"/>
    <w:rsid w:val="00283358"/>
    <w:rsid w:val="0028352B"/>
    <w:rsid w:val="0028425C"/>
    <w:rsid w:val="0028431C"/>
    <w:rsid w:val="00284803"/>
    <w:rsid w:val="00284A06"/>
    <w:rsid w:val="00284BA4"/>
    <w:rsid w:val="00284C3A"/>
    <w:rsid w:val="00284D78"/>
    <w:rsid w:val="002860A9"/>
    <w:rsid w:val="00287195"/>
    <w:rsid w:val="002878BA"/>
    <w:rsid w:val="002879D6"/>
    <w:rsid w:val="00287A2C"/>
    <w:rsid w:val="002911A4"/>
    <w:rsid w:val="00291771"/>
    <w:rsid w:val="00291BF7"/>
    <w:rsid w:val="00291CB8"/>
    <w:rsid w:val="0029207D"/>
    <w:rsid w:val="00292C89"/>
    <w:rsid w:val="0029337D"/>
    <w:rsid w:val="0029343A"/>
    <w:rsid w:val="00294CCE"/>
    <w:rsid w:val="00295176"/>
    <w:rsid w:val="0029529C"/>
    <w:rsid w:val="002960D3"/>
    <w:rsid w:val="002968F7"/>
    <w:rsid w:val="00296C3B"/>
    <w:rsid w:val="002A01A2"/>
    <w:rsid w:val="002A1FE1"/>
    <w:rsid w:val="002A24B1"/>
    <w:rsid w:val="002A25C8"/>
    <w:rsid w:val="002A3009"/>
    <w:rsid w:val="002A3D6F"/>
    <w:rsid w:val="002A4162"/>
    <w:rsid w:val="002A4360"/>
    <w:rsid w:val="002A45DF"/>
    <w:rsid w:val="002A487C"/>
    <w:rsid w:val="002A497B"/>
    <w:rsid w:val="002A52C4"/>
    <w:rsid w:val="002A6C0B"/>
    <w:rsid w:val="002A6D1D"/>
    <w:rsid w:val="002A7361"/>
    <w:rsid w:val="002A7552"/>
    <w:rsid w:val="002A7E12"/>
    <w:rsid w:val="002B0AAA"/>
    <w:rsid w:val="002B0D46"/>
    <w:rsid w:val="002B318E"/>
    <w:rsid w:val="002B33CD"/>
    <w:rsid w:val="002B3FA6"/>
    <w:rsid w:val="002B4B40"/>
    <w:rsid w:val="002B4C5E"/>
    <w:rsid w:val="002B5307"/>
    <w:rsid w:val="002B5663"/>
    <w:rsid w:val="002B5921"/>
    <w:rsid w:val="002B6691"/>
    <w:rsid w:val="002B6E4A"/>
    <w:rsid w:val="002C09DB"/>
    <w:rsid w:val="002C0E29"/>
    <w:rsid w:val="002C13E5"/>
    <w:rsid w:val="002C1694"/>
    <w:rsid w:val="002C2636"/>
    <w:rsid w:val="002C26E5"/>
    <w:rsid w:val="002C3458"/>
    <w:rsid w:val="002C353E"/>
    <w:rsid w:val="002C555C"/>
    <w:rsid w:val="002C57B1"/>
    <w:rsid w:val="002C58AD"/>
    <w:rsid w:val="002C58E6"/>
    <w:rsid w:val="002C60DC"/>
    <w:rsid w:val="002C6665"/>
    <w:rsid w:val="002C6BE7"/>
    <w:rsid w:val="002C72A9"/>
    <w:rsid w:val="002C77B8"/>
    <w:rsid w:val="002D1E03"/>
    <w:rsid w:val="002D2414"/>
    <w:rsid w:val="002D2785"/>
    <w:rsid w:val="002D2909"/>
    <w:rsid w:val="002D3457"/>
    <w:rsid w:val="002D34FA"/>
    <w:rsid w:val="002D4141"/>
    <w:rsid w:val="002D45A3"/>
    <w:rsid w:val="002D4DF4"/>
    <w:rsid w:val="002D50C0"/>
    <w:rsid w:val="002D5135"/>
    <w:rsid w:val="002D538B"/>
    <w:rsid w:val="002D577B"/>
    <w:rsid w:val="002D59BB"/>
    <w:rsid w:val="002D63AD"/>
    <w:rsid w:val="002D6B11"/>
    <w:rsid w:val="002D75C8"/>
    <w:rsid w:val="002E1083"/>
    <w:rsid w:val="002E18F1"/>
    <w:rsid w:val="002E2262"/>
    <w:rsid w:val="002E2547"/>
    <w:rsid w:val="002E2686"/>
    <w:rsid w:val="002E36E7"/>
    <w:rsid w:val="002E5051"/>
    <w:rsid w:val="002E5ACF"/>
    <w:rsid w:val="002E614B"/>
    <w:rsid w:val="002E66D2"/>
    <w:rsid w:val="002E6C73"/>
    <w:rsid w:val="002E79FE"/>
    <w:rsid w:val="002F0B32"/>
    <w:rsid w:val="002F16A3"/>
    <w:rsid w:val="002F1845"/>
    <w:rsid w:val="002F18C9"/>
    <w:rsid w:val="002F3442"/>
    <w:rsid w:val="002F3D42"/>
    <w:rsid w:val="002F424A"/>
    <w:rsid w:val="002F45EA"/>
    <w:rsid w:val="002F4975"/>
    <w:rsid w:val="002F7751"/>
    <w:rsid w:val="002F778B"/>
    <w:rsid w:val="002F7D6B"/>
    <w:rsid w:val="003002DF"/>
    <w:rsid w:val="00300378"/>
    <w:rsid w:val="00300954"/>
    <w:rsid w:val="0030152D"/>
    <w:rsid w:val="0030272F"/>
    <w:rsid w:val="00302C86"/>
    <w:rsid w:val="003030C6"/>
    <w:rsid w:val="00303735"/>
    <w:rsid w:val="003049FD"/>
    <w:rsid w:val="0030509E"/>
    <w:rsid w:val="00305AF4"/>
    <w:rsid w:val="00305F51"/>
    <w:rsid w:val="00305F5A"/>
    <w:rsid w:val="0030642E"/>
    <w:rsid w:val="0030792E"/>
    <w:rsid w:val="00310CBF"/>
    <w:rsid w:val="00311273"/>
    <w:rsid w:val="00311C7D"/>
    <w:rsid w:val="00312537"/>
    <w:rsid w:val="00312900"/>
    <w:rsid w:val="00312FAE"/>
    <w:rsid w:val="003137D1"/>
    <w:rsid w:val="00313AC2"/>
    <w:rsid w:val="0031477B"/>
    <w:rsid w:val="00316BB6"/>
    <w:rsid w:val="00317698"/>
    <w:rsid w:val="003208BB"/>
    <w:rsid w:val="003210FE"/>
    <w:rsid w:val="003213D6"/>
    <w:rsid w:val="00321FFC"/>
    <w:rsid w:val="00322A6A"/>
    <w:rsid w:val="0032326A"/>
    <w:rsid w:val="00323A12"/>
    <w:rsid w:val="00323AB9"/>
    <w:rsid w:val="00323E64"/>
    <w:rsid w:val="00323F74"/>
    <w:rsid w:val="0032469D"/>
    <w:rsid w:val="0032476F"/>
    <w:rsid w:val="00324E48"/>
    <w:rsid w:val="00324FFA"/>
    <w:rsid w:val="00326252"/>
    <w:rsid w:val="0032638E"/>
    <w:rsid w:val="003265FE"/>
    <w:rsid w:val="003266F0"/>
    <w:rsid w:val="00330902"/>
    <w:rsid w:val="003316D1"/>
    <w:rsid w:val="00332464"/>
    <w:rsid w:val="00332BB8"/>
    <w:rsid w:val="003330CC"/>
    <w:rsid w:val="0033318D"/>
    <w:rsid w:val="00334218"/>
    <w:rsid w:val="003343BD"/>
    <w:rsid w:val="00334E7E"/>
    <w:rsid w:val="003359F7"/>
    <w:rsid w:val="00336A8D"/>
    <w:rsid w:val="003373C0"/>
    <w:rsid w:val="00337982"/>
    <w:rsid w:val="00337D26"/>
    <w:rsid w:val="00337EF1"/>
    <w:rsid w:val="00340C3F"/>
    <w:rsid w:val="0034167F"/>
    <w:rsid w:val="00341C11"/>
    <w:rsid w:val="00342EB6"/>
    <w:rsid w:val="003430FF"/>
    <w:rsid w:val="00343305"/>
    <w:rsid w:val="00344E98"/>
    <w:rsid w:val="00344F1C"/>
    <w:rsid w:val="00345162"/>
    <w:rsid w:val="00345D26"/>
    <w:rsid w:val="00345E03"/>
    <w:rsid w:val="0035039A"/>
    <w:rsid w:val="00350C3B"/>
    <w:rsid w:val="0035210B"/>
    <w:rsid w:val="00353A83"/>
    <w:rsid w:val="003545F1"/>
    <w:rsid w:val="00354E84"/>
    <w:rsid w:val="00355551"/>
    <w:rsid w:val="00356016"/>
    <w:rsid w:val="003570CA"/>
    <w:rsid w:val="003573AE"/>
    <w:rsid w:val="00360AC6"/>
    <w:rsid w:val="00362807"/>
    <w:rsid w:val="00362859"/>
    <w:rsid w:val="003629C6"/>
    <w:rsid w:val="00363404"/>
    <w:rsid w:val="00363DFB"/>
    <w:rsid w:val="00364013"/>
    <w:rsid w:val="00364244"/>
    <w:rsid w:val="00364A53"/>
    <w:rsid w:val="00366133"/>
    <w:rsid w:val="00366AC9"/>
    <w:rsid w:val="00367378"/>
    <w:rsid w:val="00367710"/>
    <w:rsid w:val="00367F9A"/>
    <w:rsid w:val="00370ECE"/>
    <w:rsid w:val="00371582"/>
    <w:rsid w:val="0037174B"/>
    <w:rsid w:val="00372170"/>
    <w:rsid w:val="00372A4A"/>
    <w:rsid w:val="00372E1C"/>
    <w:rsid w:val="0037486F"/>
    <w:rsid w:val="00374F2E"/>
    <w:rsid w:val="00375A4E"/>
    <w:rsid w:val="00375DEA"/>
    <w:rsid w:val="0037788B"/>
    <w:rsid w:val="0038053B"/>
    <w:rsid w:val="0038062C"/>
    <w:rsid w:val="00380B42"/>
    <w:rsid w:val="003824F9"/>
    <w:rsid w:val="003828EE"/>
    <w:rsid w:val="00382D3D"/>
    <w:rsid w:val="00383DD9"/>
    <w:rsid w:val="00390249"/>
    <w:rsid w:val="00390353"/>
    <w:rsid w:val="003905B5"/>
    <w:rsid w:val="00390BE7"/>
    <w:rsid w:val="00390F84"/>
    <w:rsid w:val="00391240"/>
    <w:rsid w:val="00391CC5"/>
    <w:rsid w:val="003929B5"/>
    <w:rsid w:val="00393562"/>
    <w:rsid w:val="003939B9"/>
    <w:rsid w:val="00394875"/>
    <w:rsid w:val="00394A40"/>
    <w:rsid w:val="00394B32"/>
    <w:rsid w:val="0039597F"/>
    <w:rsid w:val="00395C9F"/>
    <w:rsid w:val="00396BCD"/>
    <w:rsid w:val="003971D1"/>
    <w:rsid w:val="003979A9"/>
    <w:rsid w:val="00397CF2"/>
    <w:rsid w:val="003A01AA"/>
    <w:rsid w:val="003A0FBE"/>
    <w:rsid w:val="003A1482"/>
    <w:rsid w:val="003A2A0F"/>
    <w:rsid w:val="003A3F3B"/>
    <w:rsid w:val="003A5266"/>
    <w:rsid w:val="003A61F0"/>
    <w:rsid w:val="003A7807"/>
    <w:rsid w:val="003A7B0A"/>
    <w:rsid w:val="003B0291"/>
    <w:rsid w:val="003B0DB0"/>
    <w:rsid w:val="003B1602"/>
    <w:rsid w:val="003B1B1A"/>
    <w:rsid w:val="003B288B"/>
    <w:rsid w:val="003B52AE"/>
    <w:rsid w:val="003B573B"/>
    <w:rsid w:val="003B6567"/>
    <w:rsid w:val="003B65C4"/>
    <w:rsid w:val="003B6751"/>
    <w:rsid w:val="003B6BE1"/>
    <w:rsid w:val="003C0429"/>
    <w:rsid w:val="003C0C18"/>
    <w:rsid w:val="003C0F10"/>
    <w:rsid w:val="003C13E2"/>
    <w:rsid w:val="003C17DC"/>
    <w:rsid w:val="003C187E"/>
    <w:rsid w:val="003C1A7D"/>
    <w:rsid w:val="003C2A98"/>
    <w:rsid w:val="003C4268"/>
    <w:rsid w:val="003C4610"/>
    <w:rsid w:val="003C6601"/>
    <w:rsid w:val="003C78C2"/>
    <w:rsid w:val="003C7A34"/>
    <w:rsid w:val="003C7AD1"/>
    <w:rsid w:val="003D1949"/>
    <w:rsid w:val="003D26D8"/>
    <w:rsid w:val="003D2844"/>
    <w:rsid w:val="003D2D06"/>
    <w:rsid w:val="003D2D36"/>
    <w:rsid w:val="003D30B7"/>
    <w:rsid w:val="003D38F7"/>
    <w:rsid w:val="003D4373"/>
    <w:rsid w:val="003D48F2"/>
    <w:rsid w:val="003D4BA3"/>
    <w:rsid w:val="003D4E0F"/>
    <w:rsid w:val="003D5394"/>
    <w:rsid w:val="003D5BC1"/>
    <w:rsid w:val="003D5E91"/>
    <w:rsid w:val="003D6259"/>
    <w:rsid w:val="003D63A6"/>
    <w:rsid w:val="003D78D2"/>
    <w:rsid w:val="003E0370"/>
    <w:rsid w:val="003E0654"/>
    <w:rsid w:val="003E06DD"/>
    <w:rsid w:val="003E0831"/>
    <w:rsid w:val="003E159B"/>
    <w:rsid w:val="003E186D"/>
    <w:rsid w:val="003E1CD2"/>
    <w:rsid w:val="003E204E"/>
    <w:rsid w:val="003E2ADB"/>
    <w:rsid w:val="003E3FE9"/>
    <w:rsid w:val="003E41AF"/>
    <w:rsid w:val="003E48F4"/>
    <w:rsid w:val="003E5A08"/>
    <w:rsid w:val="003E5C39"/>
    <w:rsid w:val="003E6949"/>
    <w:rsid w:val="003E7418"/>
    <w:rsid w:val="003E7828"/>
    <w:rsid w:val="003E7989"/>
    <w:rsid w:val="003F045A"/>
    <w:rsid w:val="003F07BC"/>
    <w:rsid w:val="003F07E8"/>
    <w:rsid w:val="003F0E8A"/>
    <w:rsid w:val="003F1A0A"/>
    <w:rsid w:val="003F325D"/>
    <w:rsid w:val="003F3817"/>
    <w:rsid w:val="003F3EDF"/>
    <w:rsid w:val="003F76A7"/>
    <w:rsid w:val="00400371"/>
    <w:rsid w:val="004019BB"/>
    <w:rsid w:val="004022C7"/>
    <w:rsid w:val="00402CE6"/>
    <w:rsid w:val="00403150"/>
    <w:rsid w:val="00403318"/>
    <w:rsid w:val="00403451"/>
    <w:rsid w:val="00403881"/>
    <w:rsid w:val="00404171"/>
    <w:rsid w:val="00404EDC"/>
    <w:rsid w:val="004059E6"/>
    <w:rsid w:val="00407035"/>
    <w:rsid w:val="00407232"/>
    <w:rsid w:val="004074B2"/>
    <w:rsid w:val="00407B1D"/>
    <w:rsid w:val="00407F7C"/>
    <w:rsid w:val="00410A4B"/>
    <w:rsid w:val="0041193A"/>
    <w:rsid w:val="00411D88"/>
    <w:rsid w:val="004121B4"/>
    <w:rsid w:val="0041396B"/>
    <w:rsid w:val="00413A54"/>
    <w:rsid w:val="00414C4E"/>
    <w:rsid w:val="00414E07"/>
    <w:rsid w:val="0041513B"/>
    <w:rsid w:val="00416209"/>
    <w:rsid w:val="0041740D"/>
    <w:rsid w:val="004174D9"/>
    <w:rsid w:val="00417AFA"/>
    <w:rsid w:val="00420A69"/>
    <w:rsid w:val="00422270"/>
    <w:rsid w:val="00423DA5"/>
    <w:rsid w:val="0042429C"/>
    <w:rsid w:val="004259A9"/>
    <w:rsid w:val="0042653D"/>
    <w:rsid w:val="00426987"/>
    <w:rsid w:val="00426F67"/>
    <w:rsid w:val="00426F76"/>
    <w:rsid w:val="00427D5E"/>
    <w:rsid w:val="00430999"/>
    <w:rsid w:val="00431199"/>
    <w:rsid w:val="0043179C"/>
    <w:rsid w:val="00431B3D"/>
    <w:rsid w:val="00432344"/>
    <w:rsid w:val="004328CA"/>
    <w:rsid w:val="0043317E"/>
    <w:rsid w:val="004331F7"/>
    <w:rsid w:val="00433CAC"/>
    <w:rsid w:val="00433EAF"/>
    <w:rsid w:val="004341CB"/>
    <w:rsid w:val="0043509B"/>
    <w:rsid w:val="00436B6A"/>
    <w:rsid w:val="00440618"/>
    <w:rsid w:val="00441563"/>
    <w:rsid w:val="004415B1"/>
    <w:rsid w:val="004416EB"/>
    <w:rsid w:val="0044198C"/>
    <w:rsid w:val="00441DD5"/>
    <w:rsid w:val="004421BE"/>
    <w:rsid w:val="00442BAA"/>
    <w:rsid w:val="00444269"/>
    <w:rsid w:val="004445DD"/>
    <w:rsid w:val="004449FA"/>
    <w:rsid w:val="00444C2A"/>
    <w:rsid w:val="00444CD2"/>
    <w:rsid w:val="00445B6C"/>
    <w:rsid w:val="0044652D"/>
    <w:rsid w:val="00446D17"/>
    <w:rsid w:val="00450949"/>
    <w:rsid w:val="00450B34"/>
    <w:rsid w:val="00450B55"/>
    <w:rsid w:val="0045124D"/>
    <w:rsid w:val="004516E0"/>
    <w:rsid w:val="0045189D"/>
    <w:rsid w:val="00451C05"/>
    <w:rsid w:val="00454A3A"/>
    <w:rsid w:val="00454DCE"/>
    <w:rsid w:val="004553F2"/>
    <w:rsid w:val="0045596D"/>
    <w:rsid w:val="00455CA7"/>
    <w:rsid w:val="00457E42"/>
    <w:rsid w:val="0046238E"/>
    <w:rsid w:val="00463679"/>
    <w:rsid w:val="004639AA"/>
    <w:rsid w:val="00463E40"/>
    <w:rsid w:val="00464088"/>
    <w:rsid w:val="00464168"/>
    <w:rsid w:val="00464B21"/>
    <w:rsid w:val="00464B9D"/>
    <w:rsid w:val="0046669B"/>
    <w:rsid w:val="00466CA8"/>
    <w:rsid w:val="00466EC8"/>
    <w:rsid w:val="004678E5"/>
    <w:rsid w:val="00467DD4"/>
    <w:rsid w:val="004736D9"/>
    <w:rsid w:val="00473843"/>
    <w:rsid w:val="00473CE3"/>
    <w:rsid w:val="00474103"/>
    <w:rsid w:val="004748C3"/>
    <w:rsid w:val="00475B8D"/>
    <w:rsid w:val="00475DF1"/>
    <w:rsid w:val="00476152"/>
    <w:rsid w:val="00476399"/>
    <w:rsid w:val="00477985"/>
    <w:rsid w:val="00481170"/>
    <w:rsid w:val="0048179E"/>
    <w:rsid w:val="00482538"/>
    <w:rsid w:val="0048310B"/>
    <w:rsid w:val="00483A86"/>
    <w:rsid w:val="0048548B"/>
    <w:rsid w:val="00485572"/>
    <w:rsid w:val="00486467"/>
    <w:rsid w:val="004869D3"/>
    <w:rsid w:val="004873BB"/>
    <w:rsid w:val="00491328"/>
    <w:rsid w:val="004920F3"/>
    <w:rsid w:val="0049221F"/>
    <w:rsid w:val="00492D21"/>
    <w:rsid w:val="00493148"/>
    <w:rsid w:val="00493C05"/>
    <w:rsid w:val="00493E3F"/>
    <w:rsid w:val="00493FEA"/>
    <w:rsid w:val="004948C9"/>
    <w:rsid w:val="00496AB1"/>
    <w:rsid w:val="0049705C"/>
    <w:rsid w:val="00497560"/>
    <w:rsid w:val="00497AED"/>
    <w:rsid w:val="004A0603"/>
    <w:rsid w:val="004A1D86"/>
    <w:rsid w:val="004A2FAD"/>
    <w:rsid w:val="004A35BF"/>
    <w:rsid w:val="004A3DDE"/>
    <w:rsid w:val="004A3FD4"/>
    <w:rsid w:val="004A40C0"/>
    <w:rsid w:val="004A6C5D"/>
    <w:rsid w:val="004A7FDA"/>
    <w:rsid w:val="004B12BC"/>
    <w:rsid w:val="004B13AB"/>
    <w:rsid w:val="004B14A4"/>
    <w:rsid w:val="004B260C"/>
    <w:rsid w:val="004B265D"/>
    <w:rsid w:val="004B2822"/>
    <w:rsid w:val="004B29BD"/>
    <w:rsid w:val="004B3EAC"/>
    <w:rsid w:val="004B4000"/>
    <w:rsid w:val="004B41A0"/>
    <w:rsid w:val="004B4A64"/>
    <w:rsid w:val="004B4E42"/>
    <w:rsid w:val="004B5390"/>
    <w:rsid w:val="004B5446"/>
    <w:rsid w:val="004B58D3"/>
    <w:rsid w:val="004B5BF3"/>
    <w:rsid w:val="004B5C4F"/>
    <w:rsid w:val="004B6AC5"/>
    <w:rsid w:val="004B6D63"/>
    <w:rsid w:val="004B6F89"/>
    <w:rsid w:val="004C0934"/>
    <w:rsid w:val="004C0AE4"/>
    <w:rsid w:val="004C0D5B"/>
    <w:rsid w:val="004C162E"/>
    <w:rsid w:val="004C2599"/>
    <w:rsid w:val="004C292A"/>
    <w:rsid w:val="004C383D"/>
    <w:rsid w:val="004C38BF"/>
    <w:rsid w:val="004C3B35"/>
    <w:rsid w:val="004C3DB9"/>
    <w:rsid w:val="004C3E61"/>
    <w:rsid w:val="004C45DF"/>
    <w:rsid w:val="004C4992"/>
    <w:rsid w:val="004C58E8"/>
    <w:rsid w:val="004C5C94"/>
    <w:rsid w:val="004C617B"/>
    <w:rsid w:val="004C70FF"/>
    <w:rsid w:val="004C71CB"/>
    <w:rsid w:val="004C769D"/>
    <w:rsid w:val="004C783E"/>
    <w:rsid w:val="004C7CEB"/>
    <w:rsid w:val="004C7F0C"/>
    <w:rsid w:val="004D1113"/>
    <w:rsid w:val="004D16CB"/>
    <w:rsid w:val="004D17D2"/>
    <w:rsid w:val="004D2463"/>
    <w:rsid w:val="004D300C"/>
    <w:rsid w:val="004D3A97"/>
    <w:rsid w:val="004D48D9"/>
    <w:rsid w:val="004D4FAF"/>
    <w:rsid w:val="004D503D"/>
    <w:rsid w:val="004D54B5"/>
    <w:rsid w:val="004D5BB5"/>
    <w:rsid w:val="004D5DD5"/>
    <w:rsid w:val="004D78D2"/>
    <w:rsid w:val="004E0552"/>
    <w:rsid w:val="004E0797"/>
    <w:rsid w:val="004E1649"/>
    <w:rsid w:val="004E3099"/>
    <w:rsid w:val="004E3D3A"/>
    <w:rsid w:val="004E3D54"/>
    <w:rsid w:val="004E4100"/>
    <w:rsid w:val="004E4242"/>
    <w:rsid w:val="004E48C8"/>
    <w:rsid w:val="004E4A34"/>
    <w:rsid w:val="004E4EE2"/>
    <w:rsid w:val="004E5065"/>
    <w:rsid w:val="004E5112"/>
    <w:rsid w:val="004E552F"/>
    <w:rsid w:val="004E5537"/>
    <w:rsid w:val="004E5F20"/>
    <w:rsid w:val="004E6194"/>
    <w:rsid w:val="004E650E"/>
    <w:rsid w:val="004E6B10"/>
    <w:rsid w:val="004E6E0D"/>
    <w:rsid w:val="004E7C52"/>
    <w:rsid w:val="004E7C9A"/>
    <w:rsid w:val="004F100A"/>
    <w:rsid w:val="004F25E9"/>
    <w:rsid w:val="004F30DE"/>
    <w:rsid w:val="004F3201"/>
    <w:rsid w:val="004F5FAA"/>
    <w:rsid w:val="004F6B99"/>
    <w:rsid w:val="004F785F"/>
    <w:rsid w:val="004F78AD"/>
    <w:rsid w:val="004F797D"/>
    <w:rsid w:val="004F7AAB"/>
    <w:rsid w:val="0050062D"/>
    <w:rsid w:val="005010F0"/>
    <w:rsid w:val="00502668"/>
    <w:rsid w:val="00502918"/>
    <w:rsid w:val="00502D52"/>
    <w:rsid w:val="00502EA4"/>
    <w:rsid w:val="00505620"/>
    <w:rsid w:val="005065C9"/>
    <w:rsid w:val="00506C63"/>
    <w:rsid w:val="00506D0C"/>
    <w:rsid w:val="0050707D"/>
    <w:rsid w:val="005072B6"/>
    <w:rsid w:val="00507373"/>
    <w:rsid w:val="00510E2E"/>
    <w:rsid w:val="00512AE1"/>
    <w:rsid w:val="00512D9C"/>
    <w:rsid w:val="00512E60"/>
    <w:rsid w:val="005131A4"/>
    <w:rsid w:val="0051360B"/>
    <w:rsid w:val="00513ED0"/>
    <w:rsid w:val="005144E8"/>
    <w:rsid w:val="0051479A"/>
    <w:rsid w:val="00514BDF"/>
    <w:rsid w:val="00514C45"/>
    <w:rsid w:val="00514E03"/>
    <w:rsid w:val="00515176"/>
    <w:rsid w:val="005153C4"/>
    <w:rsid w:val="005155F9"/>
    <w:rsid w:val="00515AED"/>
    <w:rsid w:val="00516F76"/>
    <w:rsid w:val="00520388"/>
    <w:rsid w:val="00520397"/>
    <w:rsid w:val="005219FB"/>
    <w:rsid w:val="005223F2"/>
    <w:rsid w:val="00522F92"/>
    <w:rsid w:val="00523152"/>
    <w:rsid w:val="00523849"/>
    <w:rsid w:val="00523B79"/>
    <w:rsid w:val="00524306"/>
    <w:rsid w:val="00524C4E"/>
    <w:rsid w:val="00525F19"/>
    <w:rsid w:val="005269A4"/>
    <w:rsid w:val="00527BCB"/>
    <w:rsid w:val="00527E1D"/>
    <w:rsid w:val="005306B7"/>
    <w:rsid w:val="0053085F"/>
    <w:rsid w:val="005330E1"/>
    <w:rsid w:val="005345F7"/>
    <w:rsid w:val="00534C79"/>
    <w:rsid w:val="005354AB"/>
    <w:rsid w:val="00535B92"/>
    <w:rsid w:val="00536ED0"/>
    <w:rsid w:val="00537AEA"/>
    <w:rsid w:val="00540074"/>
    <w:rsid w:val="0054009C"/>
    <w:rsid w:val="00540470"/>
    <w:rsid w:val="00540AC8"/>
    <w:rsid w:val="00540B6F"/>
    <w:rsid w:val="00541352"/>
    <w:rsid w:val="00541820"/>
    <w:rsid w:val="00542671"/>
    <w:rsid w:val="005428BD"/>
    <w:rsid w:val="00543471"/>
    <w:rsid w:val="005436C5"/>
    <w:rsid w:val="00543CE3"/>
    <w:rsid w:val="005447AF"/>
    <w:rsid w:val="00545822"/>
    <w:rsid w:val="00545A63"/>
    <w:rsid w:val="005461CC"/>
    <w:rsid w:val="00546B15"/>
    <w:rsid w:val="005470D0"/>
    <w:rsid w:val="00547147"/>
    <w:rsid w:val="00547F35"/>
    <w:rsid w:val="0055092B"/>
    <w:rsid w:val="0055122E"/>
    <w:rsid w:val="00551F25"/>
    <w:rsid w:val="00552046"/>
    <w:rsid w:val="00554337"/>
    <w:rsid w:val="0055436F"/>
    <w:rsid w:val="00555F04"/>
    <w:rsid w:val="00556547"/>
    <w:rsid w:val="00556844"/>
    <w:rsid w:val="00556846"/>
    <w:rsid w:val="00556DA5"/>
    <w:rsid w:val="00557A3F"/>
    <w:rsid w:val="00557AFC"/>
    <w:rsid w:val="00557EA2"/>
    <w:rsid w:val="005602E3"/>
    <w:rsid w:val="005606EC"/>
    <w:rsid w:val="00560823"/>
    <w:rsid w:val="005618B6"/>
    <w:rsid w:val="00561B56"/>
    <w:rsid w:val="00561CFA"/>
    <w:rsid w:val="00562B56"/>
    <w:rsid w:val="00562C35"/>
    <w:rsid w:val="0056352B"/>
    <w:rsid w:val="005642CE"/>
    <w:rsid w:val="005648F7"/>
    <w:rsid w:val="00565A4A"/>
    <w:rsid w:val="00565AC0"/>
    <w:rsid w:val="00566195"/>
    <w:rsid w:val="00566581"/>
    <w:rsid w:val="00566F5E"/>
    <w:rsid w:val="00566FBD"/>
    <w:rsid w:val="005670C9"/>
    <w:rsid w:val="00570503"/>
    <w:rsid w:val="00570BA6"/>
    <w:rsid w:val="005726FE"/>
    <w:rsid w:val="0057290A"/>
    <w:rsid w:val="0057293E"/>
    <w:rsid w:val="00572F40"/>
    <w:rsid w:val="005738C8"/>
    <w:rsid w:val="005740C9"/>
    <w:rsid w:val="00574539"/>
    <w:rsid w:val="0057464E"/>
    <w:rsid w:val="00575E17"/>
    <w:rsid w:val="00576726"/>
    <w:rsid w:val="005769ED"/>
    <w:rsid w:val="0057791C"/>
    <w:rsid w:val="00577C25"/>
    <w:rsid w:val="005801B4"/>
    <w:rsid w:val="00580FD2"/>
    <w:rsid w:val="00581B81"/>
    <w:rsid w:val="00582973"/>
    <w:rsid w:val="00583E55"/>
    <w:rsid w:val="00584F2D"/>
    <w:rsid w:val="00585E2F"/>
    <w:rsid w:val="0058695F"/>
    <w:rsid w:val="005879D2"/>
    <w:rsid w:val="00590202"/>
    <w:rsid w:val="00590A6E"/>
    <w:rsid w:val="00591CCE"/>
    <w:rsid w:val="0059213E"/>
    <w:rsid w:val="005931EF"/>
    <w:rsid w:val="005940E1"/>
    <w:rsid w:val="0059477C"/>
    <w:rsid w:val="00594D3C"/>
    <w:rsid w:val="00594D97"/>
    <w:rsid w:val="00594E2A"/>
    <w:rsid w:val="00595AAA"/>
    <w:rsid w:val="00595E0C"/>
    <w:rsid w:val="005967B2"/>
    <w:rsid w:val="00597AA9"/>
    <w:rsid w:val="00597ABD"/>
    <w:rsid w:val="00597E6D"/>
    <w:rsid w:val="005A01DC"/>
    <w:rsid w:val="005A024E"/>
    <w:rsid w:val="005A0528"/>
    <w:rsid w:val="005A059F"/>
    <w:rsid w:val="005A08C7"/>
    <w:rsid w:val="005A1365"/>
    <w:rsid w:val="005A181A"/>
    <w:rsid w:val="005A2088"/>
    <w:rsid w:val="005A21C4"/>
    <w:rsid w:val="005A2439"/>
    <w:rsid w:val="005A2540"/>
    <w:rsid w:val="005A28CA"/>
    <w:rsid w:val="005A2AF1"/>
    <w:rsid w:val="005A3696"/>
    <w:rsid w:val="005A39AD"/>
    <w:rsid w:val="005A412C"/>
    <w:rsid w:val="005A4879"/>
    <w:rsid w:val="005A4A18"/>
    <w:rsid w:val="005A567D"/>
    <w:rsid w:val="005A5FDE"/>
    <w:rsid w:val="005A6723"/>
    <w:rsid w:val="005A6947"/>
    <w:rsid w:val="005B0737"/>
    <w:rsid w:val="005B1C98"/>
    <w:rsid w:val="005B25F7"/>
    <w:rsid w:val="005B2DDF"/>
    <w:rsid w:val="005B354C"/>
    <w:rsid w:val="005B396B"/>
    <w:rsid w:val="005B49F6"/>
    <w:rsid w:val="005B4CCA"/>
    <w:rsid w:val="005B50BE"/>
    <w:rsid w:val="005B52B2"/>
    <w:rsid w:val="005B579D"/>
    <w:rsid w:val="005B5829"/>
    <w:rsid w:val="005B597F"/>
    <w:rsid w:val="005B65A6"/>
    <w:rsid w:val="005B6E87"/>
    <w:rsid w:val="005B7687"/>
    <w:rsid w:val="005B76C6"/>
    <w:rsid w:val="005B7E7D"/>
    <w:rsid w:val="005B7F57"/>
    <w:rsid w:val="005C1186"/>
    <w:rsid w:val="005C1DB7"/>
    <w:rsid w:val="005C20C7"/>
    <w:rsid w:val="005C29AB"/>
    <w:rsid w:val="005C2F60"/>
    <w:rsid w:val="005C36BA"/>
    <w:rsid w:val="005C383F"/>
    <w:rsid w:val="005C3B02"/>
    <w:rsid w:val="005C3DBD"/>
    <w:rsid w:val="005C437C"/>
    <w:rsid w:val="005C43BC"/>
    <w:rsid w:val="005C5200"/>
    <w:rsid w:val="005C54E4"/>
    <w:rsid w:val="005C5FFB"/>
    <w:rsid w:val="005C6820"/>
    <w:rsid w:val="005C797E"/>
    <w:rsid w:val="005D0074"/>
    <w:rsid w:val="005D009C"/>
    <w:rsid w:val="005D0525"/>
    <w:rsid w:val="005D062F"/>
    <w:rsid w:val="005D14B0"/>
    <w:rsid w:val="005D279A"/>
    <w:rsid w:val="005D2A2F"/>
    <w:rsid w:val="005D2FB8"/>
    <w:rsid w:val="005D3286"/>
    <w:rsid w:val="005D3BEC"/>
    <w:rsid w:val="005D4459"/>
    <w:rsid w:val="005D5E7B"/>
    <w:rsid w:val="005D64FE"/>
    <w:rsid w:val="005D6969"/>
    <w:rsid w:val="005D6FB2"/>
    <w:rsid w:val="005D727E"/>
    <w:rsid w:val="005E00E1"/>
    <w:rsid w:val="005E0423"/>
    <w:rsid w:val="005E0627"/>
    <w:rsid w:val="005E2740"/>
    <w:rsid w:val="005E2F8A"/>
    <w:rsid w:val="005E347B"/>
    <w:rsid w:val="005E3C17"/>
    <w:rsid w:val="005E3D66"/>
    <w:rsid w:val="005E3F31"/>
    <w:rsid w:val="005E3F84"/>
    <w:rsid w:val="005E42DD"/>
    <w:rsid w:val="005E4AA0"/>
    <w:rsid w:val="005E5E9D"/>
    <w:rsid w:val="005E5F1F"/>
    <w:rsid w:val="005E70EE"/>
    <w:rsid w:val="005E76BE"/>
    <w:rsid w:val="005E7A7D"/>
    <w:rsid w:val="005E7D2F"/>
    <w:rsid w:val="005F12E8"/>
    <w:rsid w:val="005F1D90"/>
    <w:rsid w:val="005F21A5"/>
    <w:rsid w:val="005F2472"/>
    <w:rsid w:val="005F2A02"/>
    <w:rsid w:val="005F2A8C"/>
    <w:rsid w:val="005F31C9"/>
    <w:rsid w:val="005F3265"/>
    <w:rsid w:val="005F37B6"/>
    <w:rsid w:val="005F4164"/>
    <w:rsid w:val="005F4803"/>
    <w:rsid w:val="005F4E50"/>
    <w:rsid w:val="005F545B"/>
    <w:rsid w:val="005F56F9"/>
    <w:rsid w:val="005F57AD"/>
    <w:rsid w:val="005F5E3B"/>
    <w:rsid w:val="005F6259"/>
    <w:rsid w:val="005F6A32"/>
    <w:rsid w:val="005F7448"/>
    <w:rsid w:val="005F7589"/>
    <w:rsid w:val="00600307"/>
    <w:rsid w:val="00600344"/>
    <w:rsid w:val="00600425"/>
    <w:rsid w:val="00600F78"/>
    <w:rsid w:val="00601227"/>
    <w:rsid w:val="006026CC"/>
    <w:rsid w:val="006035F5"/>
    <w:rsid w:val="00603FAF"/>
    <w:rsid w:val="006051F4"/>
    <w:rsid w:val="00605896"/>
    <w:rsid w:val="006059B5"/>
    <w:rsid w:val="00605B88"/>
    <w:rsid w:val="00606BAE"/>
    <w:rsid w:val="00606C89"/>
    <w:rsid w:val="00607273"/>
    <w:rsid w:val="00607321"/>
    <w:rsid w:val="00607927"/>
    <w:rsid w:val="00607C76"/>
    <w:rsid w:val="00607DBA"/>
    <w:rsid w:val="00607F56"/>
    <w:rsid w:val="00610E70"/>
    <w:rsid w:val="0061204D"/>
    <w:rsid w:val="006124B4"/>
    <w:rsid w:val="006134F9"/>
    <w:rsid w:val="00613A79"/>
    <w:rsid w:val="00613C31"/>
    <w:rsid w:val="00615C01"/>
    <w:rsid w:val="00616537"/>
    <w:rsid w:val="006169EA"/>
    <w:rsid w:val="0061795F"/>
    <w:rsid w:val="00617CB4"/>
    <w:rsid w:val="00620137"/>
    <w:rsid w:val="006213C4"/>
    <w:rsid w:val="00622B5A"/>
    <w:rsid w:val="0062323E"/>
    <w:rsid w:val="006236B0"/>
    <w:rsid w:val="00623BBE"/>
    <w:rsid w:val="00623D5E"/>
    <w:rsid w:val="006241BE"/>
    <w:rsid w:val="0062622A"/>
    <w:rsid w:val="00626E2D"/>
    <w:rsid w:val="006275C5"/>
    <w:rsid w:val="0063041B"/>
    <w:rsid w:val="006307B5"/>
    <w:rsid w:val="00630D15"/>
    <w:rsid w:val="00631CAD"/>
    <w:rsid w:val="00632117"/>
    <w:rsid w:val="006325D2"/>
    <w:rsid w:val="00632DD6"/>
    <w:rsid w:val="0063381D"/>
    <w:rsid w:val="00633B08"/>
    <w:rsid w:val="00634C2C"/>
    <w:rsid w:val="00634F1D"/>
    <w:rsid w:val="006361D1"/>
    <w:rsid w:val="00636445"/>
    <w:rsid w:val="00637A75"/>
    <w:rsid w:val="0064282B"/>
    <w:rsid w:val="00642976"/>
    <w:rsid w:val="00643C80"/>
    <w:rsid w:val="00644D8E"/>
    <w:rsid w:val="00645B10"/>
    <w:rsid w:val="00645EB3"/>
    <w:rsid w:val="0064729E"/>
    <w:rsid w:val="00647ABA"/>
    <w:rsid w:val="006504FB"/>
    <w:rsid w:val="00650C0B"/>
    <w:rsid w:val="0065191C"/>
    <w:rsid w:val="00651C48"/>
    <w:rsid w:val="006528F3"/>
    <w:rsid w:val="00652FCB"/>
    <w:rsid w:val="0065303C"/>
    <w:rsid w:val="006532C7"/>
    <w:rsid w:val="0065358E"/>
    <w:rsid w:val="006536D9"/>
    <w:rsid w:val="00654570"/>
    <w:rsid w:val="006549BF"/>
    <w:rsid w:val="00655170"/>
    <w:rsid w:val="0065573A"/>
    <w:rsid w:val="00656B04"/>
    <w:rsid w:val="00657FE5"/>
    <w:rsid w:val="00660291"/>
    <w:rsid w:val="006603FE"/>
    <w:rsid w:val="00660545"/>
    <w:rsid w:val="006615C3"/>
    <w:rsid w:val="006625E3"/>
    <w:rsid w:val="00665ACE"/>
    <w:rsid w:val="00666020"/>
    <w:rsid w:val="006663DB"/>
    <w:rsid w:val="00666575"/>
    <w:rsid w:val="006665B4"/>
    <w:rsid w:val="0066666A"/>
    <w:rsid w:val="00666862"/>
    <w:rsid w:val="00670892"/>
    <w:rsid w:val="00670AD1"/>
    <w:rsid w:val="00671061"/>
    <w:rsid w:val="00671266"/>
    <w:rsid w:val="0067158C"/>
    <w:rsid w:val="00671A7B"/>
    <w:rsid w:val="00672EBD"/>
    <w:rsid w:val="0067305B"/>
    <w:rsid w:val="00673569"/>
    <w:rsid w:val="00673970"/>
    <w:rsid w:val="00674527"/>
    <w:rsid w:val="00674E41"/>
    <w:rsid w:val="00676710"/>
    <w:rsid w:val="00676E6F"/>
    <w:rsid w:val="00680AC5"/>
    <w:rsid w:val="00681D6C"/>
    <w:rsid w:val="006827BE"/>
    <w:rsid w:val="00682A4B"/>
    <w:rsid w:val="00683C0E"/>
    <w:rsid w:val="00683F58"/>
    <w:rsid w:val="0068421C"/>
    <w:rsid w:val="00684543"/>
    <w:rsid w:val="00684D98"/>
    <w:rsid w:val="006852EE"/>
    <w:rsid w:val="006858AB"/>
    <w:rsid w:val="00685D2F"/>
    <w:rsid w:val="0068637F"/>
    <w:rsid w:val="00686E83"/>
    <w:rsid w:val="00691D0D"/>
    <w:rsid w:val="00691F90"/>
    <w:rsid w:val="00692604"/>
    <w:rsid w:val="00692718"/>
    <w:rsid w:val="006935DB"/>
    <w:rsid w:val="006937CC"/>
    <w:rsid w:val="00693F10"/>
    <w:rsid w:val="0069463C"/>
    <w:rsid w:val="006948A7"/>
    <w:rsid w:val="00695ACA"/>
    <w:rsid w:val="00695E61"/>
    <w:rsid w:val="006966C8"/>
    <w:rsid w:val="00696B8F"/>
    <w:rsid w:val="006974D1"/>
    <w:rsid w:val="006A05C6"/>
    <w:rsid w:val="006A07DB"/>
    <w:rsid w:val="006A11C8"/>
    <w:rsid w:val="006A17AD"/>
    <w:rsid w:val="006A2B8C"/>
    <w:rsid w:val="006A30B0"/>
    <w:rsid w:val="006A3799"/>
    <w:rsid w:val="006A4291"/>
    <w:rsid w:val="006A4A00"/>
    <w:rsid w:val="006A60C5"/>
    <w:rsid w:val="006A6FAB"/>
    <w:rsid w:val="006B13C4"/>
    <w:rsid w:val="006B2138"/>
    <w:rsid w:val="006B412E"/>
    <w:rsid w:val="006B4628"/>
    <w:rsid w:val="006B4C3A"/>
    <w:rsid w:val="006B544B"/>
    <w:rsid w:val="006B5B0F"/>
    <w:rsid w:val="006B7060"/>
    <w:rsid w:val="006B742C"/>
    <w:rsid w:val="006B7738"/>
    <w:rsid w:val="006C01F6"/>
    <w:rsid w:val="006C0C47"/>
    <w:rsid w:val="006C108F"/>
    <w:rsid w:val="006C1592"/>
    <w:rsid w:val="006C1E79"/>
    <w:rsid w:val="006C271D"/>
    <w:rsid w:val="006C2C05"/>
    <w:rsid w:val="006C41DF"/>
    <w:rsid w:val="006C4EDF"/>
    <w:rsid w:val="006C7B82"/>
    <w:rsid w:val="006C7D94"/>
    <w:rsid w:val="006C7E9A"/>
    <w:rsid w:val="006D0775"/>
    <w:rsid w:val="006D178D"/>
    <w:rsid w:val="006D1E78"/>
    <w:rsid w:val="006D2036"/>
    <w:rsid w:val="006D2533"/>
    <w:rsid w:val="006D260A"/>
    <w:rsid w:val="006D263B"/>
    <w:rsid w:val="006D305A"/>
    <w:rsid w:val="006D32AB"/>
    <w:rsid w:val="006D38DB"/>
    <w:rsid w:val="006D3C44"/>
    <w:rsid w:val="006D3D56"/>
    <w:rsid w:val="006D48A1"/>
    <w:rsid w:val="006D4A43"/>
    <w:rsid w:val="006D4F4E"/>
    <w:rsid w:val="006D5508"/>
    <w:rsid w:val="006D5D47"/>
    <w:rsid w:val="006D71D9"/>
    <w:rsid w:val="006D7367"/>
    <w:rsid w:val="006D751F"/>
    <w:rsid w:val="006E0B64"/>
    <w:rsid w:val="006E0C22"/>
    <w:rsid w:val="006E0D48"/>
    <w:rsid w:val="006E1378"/>
    <w:rsid w:val="006E137D"/>
    <w:rsid w:val="006E155B"/>
    <w:rsid w:val="006E196A"/>
    <w:rsid w:val="006E1AB3"/>
    <w:rsid w:val="006E1E8A"/>
    <w:rsid w:val="006E208C"/>
    <w:rsid w:val="006E25A6"/>
    <w:rsid w:val="006E4943"/>
    <w:rsid w:val="006E4DFA"/>
    <w:rsid w:val="006E5761"/>
    <w:rsid w:val="006E5E30"/>
    <w:rsid w:val="006E5E52"/>
    <w:rsid w:val="006E6990"/>
    <w:rsid w:val="006E75BB"/>
    <w:rsid w:val="006F033F"/>
    <w:rsid w:val="006F0896"/>
    <w:rsid w:val="006F0A76"/>
    <w:rsid w:val="006F0E1C"/>
    <w:rsid w:val="006F0F3D"/>
    <w:rsid w:val="006F15B7"/>
    <w:rsid w:val="006F185C"/>
    <w:rsid w:val="006F237F"/>
    <w:rsid w:val="006F2E77"/>
    <w:rsid w:val="006F3503"/>
    <w:rsid w:val="006F3828"/>
    <w:rsid w:val="006F3BE4"/>
    <w:rsid w:val="006F4040"/>
    <w:rsid w:val="006F4F4B"/>
    <w:rsid w:val="006F509C"/>
    <w:rsid w:val="006F6359"/>
    <w:rsid w:val="006F7E63"/>
    <w:rsid w:val="00700044"/>
    <w:rsid w:val="00701251"/>
    <w:rsid w:val="00701A66"/>
    <w:rsid w:val="00701B6E"/>
    <w:rsid w:val="00701FA9"/>
    <w:rsid w:val="0070217F"/>
    <w:rsid w:val="0070323C"/>
    <w:rsid w:val="00703FB1"/>
    <w:rsid w:val="00704C5C"/>
    <w:rsid w:val="0070702F"/>
    <w:rsid w:val="0070724A"/>
    <w:rsid w:val="00707AC4"/>
    <w:rsid w:val="00710A22"/>
    <w:rsid w:val="00710FC3"/>
    <w:rsid w:val="00712B5A"/>
    <w:rsid w:val="00715491"/>
    <w:rsid w:val="00717131"/>
    <w:rsid w:val="007171C0"/>
    <w:rsid w:val="00717E6E"/>
    <w:rsid w:val="0072139D"/>
    <w:rsid w:val="00721CAF"/>
    <w:rsid w:val="007225F7"/>
    <w:rsid w:val="007244B3"/>
    <w:rsid w:val="0072464A"/>
    <w:rsid w:val="00725662"/>
    <w:rsid w:val="00726285"/>
    <w:rsid w:val="00727977"/>
    <w:rsid w:val="00730068"/>
    <w:rsid w:val="0073015D"/>
    <w:rsid w:val="00730753"/>
    <w:rsid w:val="007328F3"/>
    <w:rsid w:val="00732950"/>
    <w:rsid w:val="0073298A"/>
    <w:rsid w:val="00732ACC"/>
    <w:rsid w:val="00733321"/>
    <w:rsid w:val="007347C3"/>
    <w:rsid w:val="007347DD"/>
    <w:rsid w:val="00734F94"/>
    <w:rsid w:val="00735518"/>
    <w:rsid w:val="007355B9"/>
    <w:rsid w:val="00735DF6"/>
    <w:rsid w:val="00735FA3"/>
    <w:rsid w:val="007373FB"/>
    <w:rsid w:val="00737903"/>
    <w:rsid w:val="00740529"/>
    <w:rsid w:val="00740FA2"/>
    <w:rsid w:val="00742F5C"/>
    <w:rsid w:val="007430EE"/>
    <w:rsid w:val="00743D37"/>
    <w:rsid w:val="00743D66"/>
    <w:rsid w:val="00744529"/>
    <w:rsid w:val="007450CF"/>
    <w:rsid w:val="0074654A"/>
    <w:rsid w:val="00750DD1"/>
    <w:rsid w:val="00750E5B"/>
    <w:rsid w:val="00750E7E"/>
    <w:rsid w:val="00752347"/>
    <w:rsid w:val="00752629"/>
    <w:rsid w:val="00752EF5"/>
    <w:rsid w:val="0075377C"/>
    <w:rsid w:val="007537CA"/>
    <w:rsid w:val="00753B53"/>
    <w:rsid w:val="00753D3E"/>
    <w:rsid w:val="007547F4"/>
    <w:rsid w:val="00754E49"/>
    <w:rsid w:val="007556C3"/>
    <w:rsid w:val="00756683"/>
    <w:rsid w:val="00756BDE"/>
    <w:rsid w:val="00756FB8"/>
    <w:rsid w:val="007603A9"/>
    <w:rsid w:val="007613B5"/>
    <w:rsid w:val="00761CFD"/>
    <w:rsid w:val="00761E89"/>
    <w:rsid w:val="007620DE"/>
    <w:rsid w:val="0076225A"/>
    <w:rsid w:val="00762DE9"/>
    <w:rsid w:val="00762E2A"/>
    <w:rsid w:val="007640F2"/>
    <w:rsid w:val="0076442D"/>
    <w:rsid w:val="00764B56"/>
    <w:rsid w:val="007665FF"/>
    <w:rsid w:val="00766D66"/>
    <w:rsid w:val="0076710B"/>
    <w:rsid w:val="007674FA"/>
    <w:rsid w:val="00767695"/>
    <w:rsid w:val="007678FD"/>
    <w:rsid w:val="00770140"/>
    <w:rsid w:val="00771A6D"/>
    <w:rsid w:val="00771DAD"/>
    <w:rsid w:val="00771E92"/>
    <w:rsid w:val="007723AE"/>
    <w:rsid w:val="0077257E"/>
    <w:rsid w:val="00772950"/>
    <w:rsid w:val="00774414"/>
    <w:rsid w:val="00774439"/>
    <w:rsid w:val="00774856"/>
    <w:rsid w:val="00776E6A"/>
    <w:rsid w:val="0077715E"/>
    <w:rsid w:val="00777427"/>
    <w:rsid w:val="00777448"/>
    <w:rsid w:val="0077774F"/>
    <w:rsid w:val="007778BA"/>
    <w:rsid w:val="00777B7B"/>
    <w:rsid w:val="00777D9C"/>
    <w:rsid w:val="007818B0"/>
    <w:rsid w:val="00781F1F"/>
    <w:rsid w:val="00782440"/>
    <w:rsid w:val="007831AD"/>
    <w:rsid w:val="007841DB"/>
    <w:rsid w:val="00784EFC"/>
    <w:rsid w:val="007857B4"/>
    <w:rsid w:val="00785C47"/>
    <w:rsid w:val="00785D6B"/>
    <w:rsid w:val="00785DF3"/>
    <w:rsid w:val="007865D8"/>
    <w:rsid w:val="0078673B"/>
    <w:rsid w:val="00786A13"/>
    <w:rsid w:val="00786E39"/>
    <w:rsid w:val="00787FD6"/>
    <w:rsid w:val="00790343"/>
    <w:rsid w:val="00790BE6"/>
    <w:rsid w:val="00790CB8"/>
    <w:rsid w:val="0079191C"/>
    <w:rsid w:val="00791AB5"/>
    <w:rsid w:val="00791B09"/>
    <w:rsid w:val="00793122"/>
    <w:rsid w:val="0079349C"/>
    <w:rsid w:val="0079410B"/>
    <w:rsid w:val="007941A0"/>
    <w:rsid w:val="00794BC0"/>
    <w:rsid w:val="007964CD"/>
    <w:rsid w:val="00796628"/>
    <w:rsid w:val="00796959"/>
    <w:rsid w:val="00796F60"/>
    <w:rsid w:val="00797206"/>
    <w:rsid w:val="007972F9"/>
    <w:rsid w:val="007A035D"/>
    <w:rsid w:val="007A05A3"/>
    <w:rsid w:val="007A0DE8"/>
    <w:rsid w:val="007A1153"/>
    <w:rsid w:val="007A165C"/>
    <w:rsid w:val="007A198E"/>
    <w:rsid w:val="007A19C1"/>
    <w:rsid w:val="007A19CF"/>
    <w:rsid w:val="007A1F7F"/>
    <w:rsid w:val="007A3D2C"/>
    <w:rsid w:val="007A3DD5"/>
    <w:rsid w:val="007A4D8D"/>
    <w:rsid w:val="007A513A"/>
    <w:rsid w:val="007A5A5C"/>
    <w:rsid w:val="007A6202"/>
    <w:rsid w:val="007A67BA"/>
    <w:rsid w:val="007A6A1E"/>
    <w:rsid w:val="007A6B01"/>
    <w:rsid w:val="007A73E5"/>
    <w:rsid w:val="007A778D"/>
    <w:rsid w:val="007A78E0"/>
    <w:rsid w:val="007B046E"/>
    <w:rsid w:val="007B1375"/>
    <w:rsid w:val="007B13D8"/>
    <w:rsid w:val="007B21D1"/>
    <w:rsid w:val="007B3132"/>
    <w:rsid w:val="007B350C"/>
    <w:rsid w:val="007B3F73"/>
    <w:rsid w:val="007B6C95"/>
    <w:rsid w:val="007B6F61"/>
    <w:rsid w:val="007B759E"/>
    <w:rsid w:val="007B7A71"/>
    <w:rsid w:val="007C1316"/>
    <w:rsid w:val="007C1AC3"/>
    <w:rsid w:val="007C1B7C"/>
    <w:rsid w:val="007C22E5"/>
    <w:rsid w:val="007C2416"/>
    <w:rsid w:val="007C2770"/>
    <w:rsid w:val="007C2E99"/>
    <w:rsid w:val="007C3B20"/>
    <w:rsid w:val="007C3E76"/>
    <w:rsid w:val="007C3F17"/>
    <w:rsid w:val="007C43F2"/>
    <w:rsid w:val="007C4B68"/>
    <w:rsid w:val="007C55C5"/>
    <w:rsid w:val="007C5754"/>
    <w:rsid w:val="007C58AC"/>
    <w:rsid w:val="007C590B"/>
    <w:rsid w:val="007C7A73"/>
    <w:rsid w:val="007C7C65"/>
    <w:rsid w:val="007D0231"/>
    <w:rsid w:val="007D0B9C"/>
    <w:rsid w:val="007D1710"/>
    <w:rsid w:val="007D1C0B"/>
    <w:rsid w:val="007D3806"/>
    <w:rsid w:val="007D475D"/>
    <w:rsid w:val="007D4B3E"/>
    <w:rsid w:val="007D4B48"/>
    <w:rsid w:val="007D508E"/>
    <w:rsid w:val="007D59F0"/>
    <w:rsid w:val="007D5D94"/>
    <w:rsid w:val="007D5F5C"/>
    <w:rsid w:val="007D6358"/>
    <w:rsid w:val="007D6AE9"/>
    <w:rsid w:val="007D6C69"/>
    <w:rsid w:val="007D74F4"/>
    <w:rsid w:val="007E0292"/>
    <w:rsid w:val="007E07B6"/>
    <w:rsid w:val="007E158C"/>
    <w:rsid w:val="007E15D9"/>
    <w:rsid w:val="007E1D9F"/>
    <w:rsid w:val="007E376A"/>
    <w:rsid w:val="007E41E1"/>
    <w:rsid w:val="007E4526"/>
    <w:rsid w:val="007E4586"/>
    <w:rsid w:val="007E4E92"/>
    <w:rsid w:val="007E560D"/>
    <w:rsid w:val="007E5A75"/>
    <w:rsid w:val="007E75E7"/>
    <w:rsid w:val="007E7B16"/>
    <w:rsid w:val="007F145D"/>
    <w:rsid w:val="007F1973"/>
    <w:rsid w:val="007F2A3A"/>
    <w:rsid w:val="007F36B4"/>
    <w:rsid w:val="007F48BE"/>
    <w:rsid w:val="007F4972"/>
    <w:rsid w:val="007F50B5"/>
    <w:rsid w:val="007F54DD"/>
    <w:rsid w:val="007F5AB0"/>
    <w:rsid w:val="007F5E6E"/>
    <w:rsid w:val="007F60C7"/>
    <w:rsid w:val="007F670E"/>
    <w:rsid w:val="007F6B9A"/>
    <w:rsid w:val="007F6D20"/>
    <w:rsid w:val="00800E05"/>
    <w:rsid w:val="0080113C"/>
    <w:rsid w:val="00802F27"/>
    <w:rsid w:val="00806270"/>
    <w:rsid w:val="008063CF"/>
    <w:rsid w:val="00806FA5"/>
    <w:rsid w:val="00807357"/>
    <w:rsid w:val="00807404"/>
    <w:rsid w:val="00807A41"/>
    <w:rsid w:val="0081014A"/>
    <w:rsid w:val="00810816"/>
    <w:rsid w:val="008111ED"/>
    <w:rsid w:val="008112B8"/>
    <w:rsid w:val="008114F0"/>
    <w:rsid w:val="0081183A"/>
    <w:rsid w:val="00811CA8"/>
    <w:rsid w:val="00812D72"/>
    <w:rsid w:val="0081381D"/>
    <w:rsid w:val="00813AD5"/>
    <w:rsid w:val="00815086"/>
    <w:rsid w:val="00815894"/>
    <w:rsid w:val="00815980"/>
    <w:rsid w:val="00815B9A"/>
    <w:rsid w:val="008166D8"/>
    <w:rsid w:val="008178DE"/>
    <w:rsid w:val="008200F8"/>
    <w:rsid w:val="0082045B"/>
    <w:rsid w:val="008207E7"/>
    <w:rsid w:val="00820FA5"/>
    <w:rsid w:val="008225AB"/>
    <w:rsid w:val="00823488"/>
    <w:rsid w:val="008241E4"/>
    <w:rsid w:val="00824A79"/>
    <w:rsid w:val="008256CA"/>
    <w:rsid w:val="00825AF1"/>
    <w:rsid w:val="00827422"/>
    <w:rsid w:val="00827DF6"/>
    <w:rsid w:val="0083017A"/>
    <w:rsid w:val="008304DB"/>
    <w:rsid w:val="00830AE6"/>
    <w:rsid w:val="00830CEC"/>
    <w:rsid w:val="00831086"/>
    <w:rsid w:val="00831644"/>
    <w:rsid w:val="008324A4"/>
    <w:rsid w:val="0083253D"/>
    <w:rsid w:val="008328F1"/>
    <w:rsid w:val="0083415D"/>
    <w:rsid w:val="0083486E"/>
    <w:rsid w:val="00834E82"/>
    <w:rsid w:val="0083558D"/>
    <w:rsid w:val="0083631F"/>
    <w:rsid w:val="0083670B"/>
    <w:rsid w:val="00837976"/>
    <w:rsid w:val="00840306"/>
    <w:rsid w:val="00840626"/>
    <w:rsid w:val="008406E2"/>
    <w:rsid w:val="008407F5"/>
    <w:rsid w:val="00841B1D"/>
    <w:rsid w:val="00841BD9"/>
    <w:rsid w:val="00842FFF"/>
    <w:rsid w:val="008436D6"/>
    <w:rsid w:val="0084420C"/>
    <w:rsid w:val="00845058"/>
    <w:rsid w:val="0084620F"/>
    <w:rsid w:val="0084702D"/>
    <w:rsid w:val="0084707C"/>
    <w:rsid w:val="008476D6"/>
    <w:rsid w:val="00847A37"/>
    <w:rsid w:val="00850DA1"/>
    <w:rsid w:val="0085243A"/>
    <w:rsid w:val="008530C2"/>
    <w:rsid w:val="00853152"/>
    <w:rsid w:val="00853B63"/>
    <w:rsid w:val="00854780"/>
    <w:rsid w:val="008549C4"/>
    <w:rsid w:val="00854F5D"/>
    <w:rsid w:val="00855658"/>
    <w:rsid w:val="00855F7D"/>
    <w:rsid w:val="008569E1"/>
    <w:rsid w:val="00856A90"/>
    <w:rsid w:val="00856D74"/>
    <w:rsid w:val="00857611"/>
    <w:rsid w:val="008622FE"/>
    <w:rsid w:val="00862405"/>
    <w:rsid w:val="008628D2"/>
    <w:rsid w:val="0086329C"/>
    <w:rsid w:val="00864CCD"/>
    <w:rsid w:val="008651B7"/>
    <w:rsid w:val="00865610"/>
    <w:rsid w:val="008657D1"/>
    <w:rsid w:val="008659A2"/>
    <w:rsid w:val="00865AEE"/>
    <w:rsid w:val="00866B94"/>
    <w:rsid w:val="00866F5F"/>
    <w:rsid w:val="00867140"/>
    <w:rsid w:val="00867227"/>
    <w:rsid w:val="008712FD"/>
    <w:rsid w:val="00871553"/>
    <w:rsid w:val="0087179C"/>
    <w:rsid w:val="00871A71"/>
    <w:rsid w:val="00871EE8"/>
    <w:rsid w:val="0087264E"/>
    <w:rsid w:val="00872800"/>
    <w:rsid w:val="008729A5"/>
    <w:rsid w:val="00872B54"/>
    <w:rsid w:val="00873947"/>
    <w:rsid w:val="00874469"/>
    <w:rsid w:val="008753AE"/>
    <w:rsid w:val="00875949"/>
    <w:rsid w:val="00875C12"/>
    <w:rsid w:val="00875CB1"/>
    <w:rsid w:val="00876103"/>
    <w:rsid w:val="0087646F"/>
    <w:rsid w:val="00876AA3"/>
    <w:rsid w:val="008771D6"/>
    <w:rsid w:val="00877203"/>
    <w:rsid w:val="00877AE2"/>
    <w:rsid w:val="00877C9E"/>
    <w:rsid w:val="008804CF"/>
    <w:rsid w:val="00881223"/>
    <w:rsid w:val="00881BC3"/>
    <w:rsid w:val="00882850"/>
    <w:rsid w:val="00882880"/>
    <w:rsid w:val="00882881"/>
    <w:rsid w:val="00882ABE"/>
    <w:rsid w:val="00883033"/>
    <w:rsid w:val="00883562"/>
    <w:rsid w:val="0088431B"/>
    <w:rsid w:val="008846D5"/>
    <w:rsid w:val="00884C63"/>
    <w:rsid w:val="00885857"/>
    <w:rsid w:val="00886592"/>
    <w:rsid w:val="00886AD3"/>
    <w:rsid w:val="008874DC"/>
    <w:rsid w:val="00887874"/>
    <w:rsid w:val="008905CE"/>
    <w:rsid w:val="00890B03"/>
    <w:rsid w:val="00890DB8"/>
    <w:rsid w:val="00891260"/>
    <w:rsid w:val="00891326"/>
    <w:rsid w:val="00891379"/>
    <w:rsid w:val="00891A0A"/>
    <w:rsid w:val="00891C82"/>
    <w:rsid w:val="0089225E"/>
    <w:rsid w:val="00893568"/>
    <w:rsid w:val="00893985"/>
    <w:rsid w:val="00893ABF"/>
    <w:rsid w:val="00893E68"/>
    <w:rsid w:val="00893FE8"/>
    <w:rsid w:val="00894D0E"/>
    <w:rsid w:val="008951D9"/>
    <w:rsid w:val="0089525F"/>
    <w:rsid w:val="00895AF5"/>
    <w:rsid w:val="00895D25"/>
    <w:rsid w:val="008963E3"/>
    <w:rsid w:val="008975C3"/>
    <w:rsid w:val="008A013A"/>
    <w:rsid w:val="008A029E"/>
    <w:rsid w:val="008A05C4"/>
    <w:rsid w:val="008A0855"/>
    <w:rsid w:val="008A10EE"/>
    <w:rsid w:val="008A362E"/>
    <w:rsid w:val="008A38E9"/>
    <w:rsid w:val="008A3EC6"/>
    <w:rsid w:val="008A431E"/>
    <w:rsid w:val="008A4895"/>
    <w:rsid w:val="008A52C3"/>
    <w:rsid w:val="008A5CAB"/>
    <w:rsid w:val="008A78E6"/>
    <w:rsid w:val="008B037F"/>
    <w:rsid w:val="008B0791"/>
    <w:rsid w:val="008B16AE"/>
    <w:rsid w:val="008B2F5C"/>
    <w:rsid w:val="008B499D"/>
    <w:rsid w:val="008B4AD1"/>
    <w:rsid w:val="008B5906"/>
    <w:rsid w:val="008B596F"/>
    <w:rsid w:val="008B5DB4"/>
    <w:rsid w:val="008B61EA"/>
    <w:rsid w:val="008B700A"/>
    <w:rsid w:val="008C0840"/>
    <w:rsid w:val="008C172D"/>
    <w:rsid w:val="008C278D"/>
    <w:rsid w:val="008C33E2"/>
    <w:rsid w:val="008C34C8"/>
    <w:rsid w:val="008C4081"/>
    <w:rsid w:val="008C485D"/>
    <w:rsid w:val="008C581A"/>
    <w:rsid w:val="008C619A"/>
    <w:rsid w:val="008C6805"/>
    <w:rsid w:val="008C6DD7"/>
    <w:rsid w:val="008C7BFD"/>
    <w:rsid w:val="008D0081"/>
    <w:rsid w:val="008D02C7"/>
    <w:rsid w:val="008D0767"/>
    <w:rsid w:val="008D0B81"/>
    <w:rsid w:val="008D0E3C"/>
    <w:rsid w:val="008D1EAC"/>
    <w:rsid w:val="008D2504"/>
    <w:rsid w:val="008D2BFA"/>
    <w:rsid w:val="008D3718"/>
    <w:rsid w:val="008D3CB4"/>
    <w:rsid w:val="008D3F45"/>
    <w:rsid w:val="008D4388"/>
    <w:rsid w:val="008D567D"/>
    <w:rsid w:val="008D5843"/>
    <w:rsid w:val="008D5DDA"/>
    <w:rsid w:val="008D645A"/>
    <w:rsid w:val="008D692D"/>
    <w:rsid w:val="008D6946"/>
    <w:rsid w:val="008D70F0"/>
    <w:rsid w:val="008D7925"/>
    <w:rsid w:val="008E0475"/>
    <w:rsid w:val="008E0C92"/>
    <w:rsid w:val="008E18DF"/>
    <w:rsid w:val="008E2076"/>
    <w:rsid w:val="008E20C9"/>
    <w:rsid w:val="008E2827"/>
    <w:rsid w:val="008E2933"/>
    <w:rsid w:val="008E398D"/>
    <w:rsid w:val="008E60B1"/>
    <w:rsid w:val="008E6C1D"/>
    <w:rsid w:val="008E6E59"/>
    <w:rsid w:val="008E6E79"/>
    <w:rsid w:val="008E7B0A"/>
    <w:rsid w:val="008F03D2"/>
    <w:rsid w:val="008F24CA"/>
    <w:rsid w:val="008F31DD"/>
    <w:rsid w:val="008F4426"/>
    <w:rsid w:val="008F606E"/>
    <w:rsid w:val="008F61A1"/>
    <w:rsid w:val="008F640D"/>
    <w:rsid w:val="008F7207"/>
    <w:rsid w:val="008F7736"/>
    <w:rsid w:val="008F7B10"/>
    <w:rsid w:val="009004A5"/>
    <w:rsid w:val="00900775"/>
    <w:rsid w:val="00900F91"/>
    <w:rsid w:val="00902F9D"/>
    <w:rsid w:val="00905712"/>
    <w:rsid w:val="009057B2"/>
    <w:rsid w:val="00907846"/>
    <w:rsid w:val="00907923"/>
    <w:rsid w:val="00907F0E"/>
    <w:rsid w:val="0091076E"/>
    <w:rsid w:val="009108CB"/>
    <w:rsid w:val="00910C11"/>
    <w:rsid w:val="00910D69"/>
    <w:rsid w:val="00910EB2"/>
    <w:rsid w:val="00911EFE"/>
    <w:rsid w:val="00912C99"/>
    <w:rsid w:val="00913302"/>
    <w:rsid w:val="0091340B"/>
    <w:rsid w:val="00913DF8"/>
    <w:rsid w:val="00913EF4"/>
    <w:rsid w:val="009150AF"/>
    <w:rsid w:val="0091561D"/>
    <w:rsid w:val="00915783"/>
    <w:rsid w:val="009168C8"/>
    <w:rsid w:val="009223BA"/>
    <w:rsid w:val="009225CF"/>
    <w:rsid w:val="00922895"/>
    <w:rsid w:val="009230A5"/>
    <w:rsid w:val="00923BB0"/>
    <w:rsid w:val="00925B5E"/>
    <w:rsid w:val="009269D6"/>
    <w:rsid w:val="00926DCB"/>
    <w:rsid w:val="00927A4E"/>
    <w:rsid w:val="00930117"/>
    <w:rsid w:val="00931542"/>
    <w:rsid w:val="009317BB"/>
    <w:rsid w:val="00932393"/>
    <w:rsid w:val="00932634"/>
    <w:rsid w:val="00932DC8"/>
    <w:rsid w:val="009352DA"/>
    <w:rsid w:val="009352E1"/>
    <w:rsid w:val="009355B1"/>
    <w:rsid w:val="0093577A"/>
    <w:rsid w:val="00936CCC"/>
    <w:rsid w:val="0093768F"/>
    <w:rsid w:val="00940523"/>
    <w:rsid w:val="009408A0"/>
    <w:rsid w:val="009415DA"/>
    <w:rsid w:val="00941F3C"/>
    <w:rsid w:val="009422FC"/>
    <w:rsid w:val="0094407E"/>
    <w:rsid w:val="009441C3"/>
    <w:rsid w:val="00944636"/>
    <w:rsid w:val="009447F2"/>
    <w:rsid w:val="00944C09"/>
    <w:rsid w:val="009451E0"/>
    <w:rsid w:val="0094591F"/>
    <w:rsid w:val="0094634D"/>
    <w:rsid w:val="00946769"/>
    <w:rsid w:val="0094778D"/>
    <w:rsid w:val="00947860"/>
    <w:rsid w:val="00947B56"/>
    <w:rsid w:val="0095036B"/>
    <w:rsid w:val="00950B50"/>
    <w:rsid w:val="00950FA0"/>
    <w:rsid w:val="00951C52"/>
    <w:rsid w:val="0095317A"/>
    <w:rsid w:val="009534A0"/>
    <w:rsid w:val="00953849"/>
    <w:rsid w:val="00953E1C"/>
    <w:rsid w:val="009540FB"/>
    <w:rsid w:val="00954F6B"/>
    <w:rsid w:val="009552D9"/>
    <w:rsid w:val="00955850"/>
    <w:rsid w:val="00955F93"/>
    <w:rsid w:val="00956947"/>
    <w:rsid w:val="00956CC8"/>
    <w:rsid w:val="00957402"/>
    <w:rsid w:val="00960C28"/>
    <w:rsid w:val="00962D4B"/>
    <w:rsid w:val="00963BBB"/>
    <w:rsid w:val="009640D9"/>
    <w:rsid w:val="00965B6B"/>
    <w:rsid w:val="00965CA2"/>
    <w:rsid w:val="00966181"/>
    <w:rsid w:val="00966B30"/>
    <w:rsid w:val="00966EF6"/>
    <w:rsid w:val="00970018"/>
    <w:rsid w:val="0097027A"/>
    <w:rsid w:val="0097044A"/>
    <w:rsid w:val="0097085F"/>
    <w:rsid w:val="0097089F"/>
    <w:rsid w:val="009713A0"/>
    <w:rsid w:val="0097246B"/>
    <w:rsid w:val="00972EA9"/>
    <w:rsid w:val="00972EF4"/>
    <w:rsid w:val="00973558"/>
    <w:rsid w:val="009738A0"/>
    <w:rsid w:val="009743EF"/>
    <w:rsid w:val="00974E5B"/>
    <w:rsid w:val="009756A8"/>
    <w:rsid w:val="00976D43"/>
    <w:rsid w:val="00977079"/>
    <w:rsid w:val="0098069A"/>
    <w:rsid w:val="009809CF"/>
    <w:rsid w:val="0098112E"/>
    <w:rsid w:val="00981E4B"/>
    <w:rsid w:val="009822CC"/>
    <w:rsid w:val="00982CD2"/>
    <w:rsid w:val="00982DDC"/>
    <w:rsid w:val="00983F13"/>
    <w:rsid w:val="00986532"/>
    <w:rsid w:val="00987DB2"/>
    <w:rsid w:val="00990393"/>
    <w:rsid w:val="00990533"/>
    <w:rsid w:val="00990E6B"/>
    <w:rsid w:val="00990F70"/>
    <w:rsid w:val="0099155E"/>
    <w:rsid w:val="0099172D"/>
    <w:rsid w:val="00993111"/>
    <w:rsid w:val="009936E5"/>
    <w:rsid w:val="00993890"/>
    <w:rsid w:val="009948B5"/>
    <w:rsid w:val="00994A84"/>
    <w:rsid w:val="00994C54"/>
    <w:rsid w:val="00994FF1"/>
    <w:rsid w:val="009962DC"/>
    <w:rsid w:val="00996B67"/>
    <w:rsid w:val="00996FE5"/>
    <w:rsid w:val="00997195"/>
    <w:rsid w:val="009976AF"/>
    <w:rsid w:val="009A028F"/>
    <w:rsid w:val="009A088C"/>
    <w:rsid w:val="009A092E"/>
    <w:rsid w:val="009A0EE6"/>
    <w:rsid w:val="009A2869"/>
    <w:rsid w:val="009A3577"/>
    <w:rsid w:val="009A391E"/>
    <w:rsid w:val="009A3D4E"/>
    <w:rsid w:val="009A4521"/>
    <w:rsid w:val="009A54B9"/>
    <w:rsid w:val="009A5563"/>
    <w:rsid w:val="009A5A32"/>
    <w:rsid w:val="009A6722"/>
    <w:rsid w:val="009A6746"/>
    <w:rsid w:val="009A7229"/>
    <w:rsid w:val="009A7255"/>
    <w:rsid w:val="009A764E"/>
    <w:rsid w:val="009A78B9"/>
    <w:rsid w:val="009B01CF"/>
    <w:rsid w:val="009B077F"/>
    <w:rsid w:val="009B0BAE"/>
    <w:rsid w:val="009B15E4"/>
    <w:rsid w:val="009B2AD2"/>
    <w:rsid w:val="009B2E58"/>
    <w:rsid w:val="009B3120"/>
    <w:rsid w:val="009B32D6"/>
    <w:rsid w:val="009B33CD"/>
    <w:rsid w:val="009B409F"/>
    <w:rsid w:val="009B6F34"/>
    <w:rsid w:val="009B6FE7"/>
    <w:rsid w:val="009B7DF1"/>
    <w:rsid w:val="009B7E02"/>
    <w:rsid w:val="009C0CB2"/>
    <w:rsid w:val="009C18A8"/>
    <w:rsid w:val="009C2CBC"/>
    <w:rsid w:val="009C5103"/>
    <w:rsid w:val="009C6A15"/>
    <w:rsid w:val="009C7B79"/>
    <w:rsid w:val="009D022F"/>
    <w:rsid w:val="009D0EE4"/>
    <w:rsid w:val="009D1E40"/>
    <w:rsid w:val="009D2C6F"/>
    <w:rsid w:val="009D2D1F"/>
    <w:rsid w:val="009D2EA2"/>
    <w:rsid w:val="009D3154"/>
    <w:rsid w:val="009D31D2"/>
    <w:rsid w:val="009D3281"/>
    <w:rsid w:val="009D36F2"/>
    <w:rsid w:val="009D3A0C"/>
    <w:rsid w:val="009D3FA0"/>
    <w:rsid w:val="009D4289"/>
    <w:rsid w:val="009D4D93"/>
    <w:rsid w:val="009D792A"/>
    <w:rsid w:val="009E07B4"/>
    <w:rsid w:val="009E10F0"/>
    <w:rsid w:val="009E12F0"/>
    <w:rsid w:val="009E18E8"/>
    <w:rsid w:val="009E254E"/>
    <w:rsid w:val="009E287F"/>
    <w:rsid w:val="009E2940"/>
    <w:rsid w:val="009E29C9"/>
    <w:rsid w:val="009E3166"/>
    <w:rsid w:val="009E3336"/>
    <w:rsid w:val="009E398E"/>
    <w:rsid w:val="009E434D"/>
    <w:rsid w:val="009E4E2C"/>
    <w:rsid w:val="009E4F16"/>
    <w:rsid w:val="009E61EF"/>
    <w:rsid w:val="009E6443"/>
    <w:rsid w:val="009E6633"/>
    <w:rsid w:val="009E69E9"/>
    <w:rsid w:val="009E6C43"/>
    <w:rsid w:val="009E6F51"/>
    <w:rsid w:val="009E719D"/>
    <w:rsid w:val="009F178A"/>
    <w:rsid w:val="009F1FBA"/>
    <w:rsid w:val="009F3CD0"/>
    <w:rsid w:val="009F3DFE"/>
    <w:rsid w:val="009F4554"/>
    <w:rsid w:val="009F4660"/>
    <w:rsid w:val="009F4888"/>
    <w:rsid w:val="009F5990"/>
    <w:rsid w:val="009F5B88"/>
    <w:rsid w:val="009F66CC"/>
    <w:rsid w:val="009F697A"/>
    <w:rsid w:val="009F6B6D"/>
    <w:rsid w:val="009F7179"/>
    <w:rsid w:val="009F76C6"/>
    <w:rsid w:val="00A03299"/>
    <w:rsid w:val="00A048CE"/>
    <w:rsid w:val="00A04EE2"/>
    <w:rsid w:val="00A058A0"/>
    <w:rsid w:val="00A06123"/>
    <w:rsid w:val="00A06249"/>
    <w:rsid w:val="00A06951"/>
    <w:rsid w:val="00A06EF4"/>
    <w:rsid w:val="00A07C74"/>
    <w:rsid w:val="00A07F1E"/>
    <w:rsid w:val="00A10337"/>
    <w:rsid w:val="00A103F2"/>
    <w:rsid w:val="00A1142E"/>
    <w:rsid w:val="00A1266E"/>
    <w:rsid w:val="00A1353A"/>
    <w:rsid w:val="00A135BE"/>
    <w:rsid w:val="00A13721"/>
    <w:rsid w:val="00A137B8"/>
    <w:rsid w:val="00A138F9"/>
    <w:rsid w:val="00A13A4C"/>
    <w:rsid w:val="00A14001"/>
    <w:rsid w:val="00A141A9"/>
    <w:rsid w:val="00A15431"/>
    <w:rsid w:val="00A166ED"/>
    <w:rsid w:val="00A167D0"/>
    <w:rsid w:val="00A17534"/>
    <w:rsid w:val="00A201C0"/>
    <w:rsid w:val="00A205EF"/>
    <w:rsid w:val="00A2079B"/>
    <w:rsid w:val="00A209D2"/>
    <w:rsid w:val="00A20F26"/>
    <w:rsid w:val="00A2186B"/>
    <w:rsid w:val="00A231FA"/>
    <w:rsid w:val="00A24057"/>
    <w:rsid w:val="00A24791"/>
    <w:rsid w:val="00A24BD5"/>
    <w:rsid w:val="00A24DB3"/>
    <w:rsid w:val="00A25076"/>
    <w:rsid w:val="00A25835"/>
    <w:rsid w:val="00A269BD"/>
    <w:rsid w:val="00A26C37"/>
    <w:rsid w:val="00A272B4"/>
    <w:rsid w:val="00A30355"/>
    <w:rsid w:val="00A312BB"/>
    <w:rsid w:val="00A315FD"/>
    <w:rsid w:val="00A31862"/>
    <w:rsid w:val="00A3191C"/>
    <w:rsid w:val="00A32A28"/>
    <w:rsid w:val="00A3352C"/>
    <w:rsid w:val="00A34034"/>
    <w:rsid w:val="00A34079"/>
    <w:rsid w:val="00A3426E"/>
    <w:rsid w:val="00A34F0B"/>
    <w:rsid w:val="00A35C63"/>
    <w:rsid w:val="00A35E51"/>
    <w:rsid w:val="00A367B2"/>
    <w:rsid w:val="00A3712A"/>
    <w:rsid w:val="00A3772D"/>
    <w:rsid w:val="00A401AC"/>
    <w:rsid w:val="00A40991"/>
    <w:rsid w:val="00A40C94"/>
    <w:rsid w:val="00A40D58"/>
    <w:rsid w:val="00A424AD"/>
    <w:rsid w:val="00A4293F"/>
    <w:rsid w:val="00A42F97"/>
    <w:rsid w:val="00A43142"/>
    <w:rsid w:val="00A43A88"/>
    <w:rsid w:val="00A43DC9"/>
    <w:rsid w:val="00A43E7F"/>
    <w:rsid w:val="00A44225"/>
    <w:rsid w:val="00A4435E"/>
    <w:rsid w:val="00A44717"/>
    <w:rsid w:val="00A44BA1"/>
    <w:rsid w:val="00A45A43"/>
    <w:rsid w:val="00A45D36"/>
    <w:rsid w:val="00A46104"/>
    <w:rsid w:val="00A463B6"/>
    <w:rsid w:val="00A46640"/>
    <w:rsid w:val="00A474EE"/>
    <w:rsid w:val="00A5005B"/>
    <w:rsid w:val="00A50392"/>
    <w:rsid w:val="00A514A3"/>
    <w:rsid w:val="00A518F2"/>
    <w:rsid w:val="00A51ED6"/>
    <w:rsid w:val="00A524BF"/>
    <w:rsid w:val="00A53041"/>
    <w:rsid w:val="00A538E0"/>
    <w:rsid w:val="00A54162"/>
    <w:rsid w:val="00A541F7"/>
    <w:rsid w:val="00A544A3"/>
    <w:rsid w:val="00A54F0F"/>
    <w:rsid w:val="00A54F36"/>
    <w:rsid w:val="00A60031"/>
    <w:rsid w:val="00A60E16"/>
    <w:rsid w:val="00A60F25"/>
    <w:rsid w:val="00A6111F"/>
    <w:rsid w:val="00A61A72"/>
    <w:rsid w:val="00A61FB6"/>
    <w:rsid w:val="00A63458"/>
    <w:rsid w:val="00A63B51"/>
    <w:rsid w:val="00A645DA"/>
    <w:rsid w:val="00A64855"/>
    <w:rsid w:val="00A648D6"/>
    <w:rsid w:val="00A65A40"/>
    <w:rsid w:val="00A6734F"/>
    <w:rsid w:val="00A67626"/>
    <w:rsid w:val="00A6770D"/>
    <w:rsid w:val="00A6774A"/>
    <w:rsid w:val="00A70319"/>
    <w:rsid w:val="00A70798"/>
    <w:rsid w:val="00A7108C"/>
    <w:rsid w:val="00A7170C"/>
    <w:rsid w:val="00A7209A"/>
    <w:rsid w:val="00A721B2"/>
    <w:rsid w:val="00A72583"/>
    <w:rsid w:val="00A72BA8"/>
    <w:rsid w:val="00A72E67"/>
    <w:rsid w:val="00A731F9"/>
    <w:rsid w:val="00A732EB"/>
    <w:rsid w:val="00A73BCB"/>
    <w:rsid w:val="00A740A6"/>
    <w:rsid w:val="00A74EB4"/>
    <w:rsid w:val="00A7564C"/>
    <w:rsid w:val="00A756C7"/>
    <w:rsid w:val="00A75C2A"/>
    <w:rsid w:val="00A75C57"/>
    <w:rsid w:val="00A75FE1"/>
    <w:rsid w:val="00A767A4"/>
    <w:rsid w:val="00A7703C"/>
    <w:rsid w:val="00A778D8"/>
    <w:rsid w:val="00A80C78"/>
    <w:rsid w:val="00A815E8"/>
    <w:rsid w:val="00A845FE"/>
    <w:rsid w:val="00A85ABA"/>
    <w:rsid w:val="00A85B16"/>
    <w:rsid w:val="00A85E56"/>
    <w:rsid w:val="00A8653F"/>
    <w:rsid w:val="00A86D61"/>
    <w:rsid w:val="00A87094"/>
    <w:rsid w:val="00A87160"/>
    <w:rsid w:val="00A87222"/>
    <w:rsid w:val="00A904EB"/>
    <w:rsid w:val="00A9062D"/>
    <w:rsid w:val="00A9106C"/>
    <w:rsid w:val="00A91CBB"/>
    <w:rsid w:val="00A9217C"/>
    <w:rsid w:val="00A92D83"/>
    <w:rsid w:val="00A93AE1"/>
    <w:rsid w:val="00A9452E"/>
    <w:rsid w:val="00A9587C"/>
    <w:rsid w:val="00A95CE5"/>
    <w:rsid w:val="00A95D6C"/>
    <w:rsid w:val="00A95FFA"/>
    <w:rsid w:val="00A960DC"/>
    <w:rsid w:val="00A96611"/>
    <w:rsid w:val="00A96735"/>
    <w:rsid w:val="00A96A49"/>
    <w:rsid w:val="00AA0BEE"/>
    <w:rsid w:val="00AA1172"/>
    <w:rsid w:val="00AA13A5"/>
    <w:rsid w:val="00AA1781"/>
    <w:rsid w:val="00AA22F7"/>
    <w:rsid w:val="00AA2E70"/>
    <w:rsid w:val="00AA303B"/>
    <w:rsid w:val="00AA303F"/>
    <w:rsid w:val="00AA332E"/>
    <w:rsid w:val="00AA460B"/>
    <w:rsid w:val="00AA618A"/>
    <w:rsid w:val="00AA62CF"/>
    <w:rsid w:val="00AA67B8"/>
    <w:rsid w:val="00AA6D47"/>
    <w:rsid w:val="00AA6EEF"/>
    <w:rsid w:val="00AA7D30"/>
    <w:rsid w:val="00AB053A"/>
    <w:rsid w:val="00AB1EEC"/>
    <w:rsid w:val="00AB2094"/>
    <w:rsid w:val="00AB23D7"/>
    <w:rsid w:val="00AB28EB"/>
    <w:rsid w:val="00AB3049"/>
    <w:rsid w:val="00AB3116"/>
    <w:rsid w:val="00AB4059"/>
    <w:rsid w:val="00AB443D"/>
    <w:rsid w:val="00AB4760"/>
    <w:rsid w:val="00AB54F3"/>
    <w:rsid w:val="00AB5B2F"/>
    <w:rsid w:val="00AB6C1C"/>
    <w:rsid w:val="00AB7881"/>
    <w:rsid w:val="00AB7C77"/>
    <w:rsid w:val="00AC0A7D"/>
    <w:rsid w:val="00AC0B32"/>
    <w:rsid w:val="00AC1041"/>
    <w:rsid w:val="00AC1378"/>
    <w:rsid w:val="00AC1AE1"/>
    <w:rsid w:val="00AC1B38"/>
    <w:rsid w:val="00AC23F9"/>
    <w:rsid w:val="00AC327A"/>
    <w:rsid w:val="00AC5194"/>
    <w:rsid w:val="00AC5777"/>
    <w:rsid w:val="00AC5974"/>
    <w:rsid w:val="00AC7AF4"/>
    <w:rsid w:val="00AD01BE"/>
    <w:rsid w:val="00AD03DA"/>
    <w:rsid w:val="00AD0BDD"/>
    <w:rsid w:val="00AD0E93"/>
    <w:rsid w:val="00AD179D"/>
    <w:rsid w:val="00AD242D"/>
    <w:rsid w:val="00AD24DF"/>
    <w:rsid w:val="00AD26FA"/>
    <w:rsid w:val="00AD3D79"/>
    <w:rsid w:val="00AD43C6"/>
    <w:rsid w:val="00AD4DAA"/>
    <w:rsid w:val="00AD5B5C"/>
    <w:rsid w:val="00AD5D6B"/>
    <w:rsid w:val="00AD5DDA"/>
    <w:rsid w:val="00AD63DB"/>
    <w:rsid w:val="00AD6636"/>
    <w:rsid w:val="00AD66F4"/>
    <w:rsid w:val="00AD6786"/>
    <w:rsid w:val="00AD6DD3"/>
    <w:rsid w:val="00AD6EB2"/>
    <w:rsid w:val="00AD7905"/>
    <w:rsid w:val="00AD7DBC"/>
    <w:rsid w:val="00AE0A23"/>
    <w:rsid w:val="00AE0BF1"/>
    <w:rsid w:val="00AE0D01"/>
    <w:rsid w:val="00AE11EA"/>
    <w:rsid w:val="00AE21FC"/>
    <w:rsid w:val="00AE23C8"/>
    <w:rsid w:val="00AE2850"/>
    <w:rsid w:val="00AE2F9C"/>
    <w:rsid w:val="00AE30B1"/>
    <w:rsid w:val="00AE434A"/>
    <w:rsid w:val="00AE57C4"/>
    <w:rsid w:val="00AE626A"/>
    <w:rsid w:val="00AE75F1"/>
    <w:rsid w:val="00AE789B"/>
    <w:rsid w:val="00AE7B09"/>
    <w:rsid w:val="00AE7D23"/>
    <w:rsid w:val="00AE7E33"/>
    <w:rsid w:val="00AF00C0"/>
    <w:rsid w:val="00AF0482"/>
    <w:rsid w:val="00AF0912"/>
    <w:rsid w:val="00AF0A17"/>
    <w:rsid w:val="00AF0A32"/>
    <w:rsid w:val="00AF11F1"/>
    <w:rsid w:val="00AF1563"/>
    <w:rsid w:val="00AF1CF6"/>
    <w:rsid w:val="00AF1E18"/>
    <w:rsid w:val="00AF2EB8"/>
    <w:rsid w:val="00AF37DA"/>
    <w:rsid w:val="00AF3878"/>
    <w:rsid w:val="00AF3AAE"/>
    <w:rsid w:val="00AF446D"/>
    <w:rsid w:val="00AF454D"/>
    <w:rsid w:val="00AF45C9"/>
    <w:rsid w:val="00AF478D"/>
    <w:rsid w:val="00AF4819"/>
    <w:rsid w:val="00AF4D7A"/>
    <w:rsid w:val="00AF5C60"/>
    <w:rsid w:val="00AF60F2"/>
    <w:rsid w:val="00AF61B7"/>
    <w:rsid w:val="00AF6E32"/>
    <w:rsid w:val="00AF7872"/>
    <w:rsid w:val="00B00FCC"/>
    <w:rsid w:val="00B032BC"/>
    <w:rsid w:val="00B0343A"/>
    <w:rsid w:val="00B03C74"/>
    <w:rsid w:val="00B05199"/>
    <w:rsid w:val="00B068A0"/>
    <w:rsid w:val="00B0712E"/>
    <w:rsid w:val="00B071E0"/>
    <w:rsid w:val="00B074BF"/>
    <w:rsid w:val="00B07502"/>
    <w:rsid w:val="00B07D92"/>
    <w:rsid w:val="00B1047A"/>
    <w:rsid w:val="00B105AA"/>
    <w:rsid w:val="00B10E4A"/>
    <w:rsid w:val="00B112C5"/>
    <w:rsid w:val="00B11567"/>
    <w:rsid w:val="00B121C6"/>
    <w:rsid w:val="00B12FE1"/>
    <w:rsid w:val="00B13DE6"/>
    <w:rsid w:val="00B1454F"/>
    <w:rsid w:val="00B153B6"/>
    <w:rsid w:val="00B1632F"/>
    <w:rsid w:val="00B16BB2"/>
    <w:rsid w:val="00B17008"/>
    <w:rsid w:val="00B179B3"/>
    <w:rsid w:val="00B17C8C"/>
    <w:rsid w:val="00B20032"/>
    <w:rsid w:val="00B202BF"/>
    <w:rsid w:val="00B20369"/>
    <w:rsid w:val="00B207B2"/>
    <w:rsid w:val="00B2093B"/>
    <w:rsid w:val="00B20AF6"/>
    <w:rsid w:val="00B21B45"/>
    <w:rsid w:val="00B21B59"/>
    <w:rsid w:val="00B2253F"/>
    <w:rsid w:val="00B229BD"/>
    <w:rsid w:val="00B22C9C"/>
    <w:rsid w:val="00B23083"/>
    <w:rsid w:val="00B23324"/>
    <w:rsid w:val="00B24FD7"/>
    <w:rsid w:val="00B250B5"/>
    <w:rsid w:val="00B2646B"/>
    <w:rsid w:val="00B26537"/>
    <w:rsid w:val="00B265E8"/>
    <w:rsid w:val="00B26E4A"/>
    <w:rsid w:val="00B27217"/>
    <w:rsid w:val="00B27A23"/>
    <w:rsid w:val="00B27EF0"/>
    <w:rsid w:val="00B300E3"/>
    <w:rsid w:val="00B3015D"/>
    <w:rsid w:val="00B31240"/>
    <w:rsid w:val="00B3133E"/>
    <w:rsid w:val="00B315B4"/>
    <w:rsid w:val="00B320B8"/>
    <w:rsid w:val="00B322F8"/>
    <w:rsid w:val="00B32989"/>
    <w:rsid w:val="00B32B6D"/>
    <w:rsid w:val="00B32EA8"/>
    <w:rsid w:val="00B33C2A"/>
    <w:rsid w:val="00B33D23"/>
    <w:rsid w:val="00B35A19"/>
    <w:rsid w:val="00B35D43"/>
    <w:rsid w:val="00B35DD2"/>
    <w:rsid w:val="00B36CC0"/>
    <w:rsid w:val="00B37691"/>
    <w:rsid w:val="00B4024F"/>
    <w:rsid w:val="00B4054C"/>
    <w:rsid w:val="00B407D0"/>
    <w:rsid w:val="00B414F5"/>
    <w:rsid w:val="00B41799"/>
    <w:rsid w:val="00B42129"/>
    <w:rsid w:val="00B42683"/>
    <w:rsid w:val="00B428E3"/>
    <w:rsid w:val="00B42DC0"/>
    <w:rsid w:val="00B436C2"/>
    <w:rsid w:val="00B43CC2"/>
    <w:rsid w:val="00B44419"/>
    <w:rsid w:val="00B45034"/>
    <w:rsid w:val="00B45C9E"/>
    <w:rsid w:val="00B45F29"/>
    <w:rsid w:val="00B4628A"/>
    <w:rsid w:val="00B46778"/>
    <w:rsid w:val="00B471ED"/>
    <w:rsid w:val="00B47E54"/>
    <w:rsid w:val="00B47F25"/>
    <w:rsid w:val="00B50622"/>
    <w:rsid w:val="00B512C9"/>
    <w:rsid w:val="00B51526"/>
    <w:rsid w:val="00B51E94"/>
    <w:rsid w:val="00B51F0A"/>
    <w:rsid w:val="00B52389"/>
    <w:rsid w:val="00B529FD"/>
    <w:rsid w:val="00B52A05"/>
    <w:rsid w:val="00B52E3E"/>
    <w:rsid w:val="00B52EAE"/>
    <w:rsid w:val="00B53733"/>
    <w:rsid w:val="00B53AD8"/>
    <w:rsid w:val="00B53FBC"/>
    <w:rsid w:val="00B54ACF"/>
    <w:rsid w:val="00B54CEA"/>
    <w:rsid w:val="00B55A24"/>
    <w:rsid w:val="00B5704C"/>
    <w:rsid w:val="00B576C7"/>
    <w:rsid w:val="00B57751"/>
    <w:rsid w:val="00B606DB"/>
    <w:rsid w:val="00B60C2F"/>
    <w:rsid w:val="00B61AA9"/>
    <w:rsid w:val="00B61DF1"/>
    <w:rsid w:val="00B62653"/>
    <w:rsid w:val="00B62948"/>
    <w:rsid w:val="00B631AC"/>
    <w:rsid w:val="00B64111"/>
    <w:rsid w:val="00B6514E"/>
    <w:rsid w:val="00B65D52"/>
    <w:rsid w:val="00B65E63"/>
    <w:rsid w:val="00B665A3"/>
    <w:rsid w:val="00B6716C"/>
    <w:rsid w:val="00B673DC"/>
    <w:rsid w:val="00B67672"/>
    <w:rsid w:val="00B67D6F"/>
    <w:rsid w:val="00B709DD"/>
    <w:rsid w:val="00B70BA1"/>
    <w:rsid w:val="00B713AA"/>
    <w:rsid w:val="00B71AE4"/>
    <w:rsid w:val="00B7217C"/>
    <w:rsid w:val="00B731BD"/>
    <w:rsid w:val="00B739EC"/>
    <w:rsid w:val="00B7405D"/>
    <w:rsid w:val="00B74526"/>
    <w:rsid w:val="00B7585D"/>
    <w:rsid w:val="00B763E9"/>
    <w:rsid w:val="00B7642A"/>
    <w:rsid w:val="00B765F6"/>
    <w:rsid w:val="00B766AD"/>
    <w:rsid w:val="00B77B78"/>
    <w:rsid w:val="00B77FBF"/>
    <w:rsid w:val="00B803AC"/>
    <w:rsid w:val="00B803BD"/>
    <w:rsid w:val="00B80406"/>
    <w:rsid w:val="00B80540"/>
    <w:rsid w:val="00B80F00"/>
    <w:rsid w:val="00B81463"/>
    <w:rsid w:val="00B81695"/>
    <w:rsid w:val="00B819AC"/>
    <w:rsid w:val="00B81DD1"/>
    <w:rsid w:val="00B83642"/>
    <w:rsid w:val="00B848A0"/>
    <w:rsid w:val="00B900C5"/>
    <w:rsid w:val="00B90F8E"/>
    <w:rsid w:val="00B91D4D"/>
    <w:rsid w:val="00B92111"/>
    <w:rsid w:val="00B92920"/>
    <w:rsid w:val="00B93224"/>
    <w:rsid w:val="00B9340B"/>
    <w:rsid w:val="00B93AD2"/>
    <w:rsid w:val="00B94C0C"/>
    <w:rsid w:val="00B95E10"/>
    <w:rsid w:val="00B967D6"/>
    <w:rsid w:val="00B96F0B"/>
    <w:rsid w:val="00B9708B"/>
    <w:rsid w:val="00B973AE"/>
    <w:rsid w:val="00B97464"/>
    <w:rsid w:val="00B97C18"/>
    <w:rsid w:val="00BA06E9"/>
    <w:rsid w:val="00BA0923"/>
    <w:rsid w:val="00BA0C0F"/>
    <w:rsid w:val="00BA0CF6"/>
    <w:rsid w:val="00BA1423"/>
    <w:rsid w:val="00BA17EE"/>
    <w:rsid w:val="00BA1AA5"/>
    <w:rsid w:val="00BA2510"/>
    <w:rsid w:val="00BA2B5C"/>
    <w:rsid w:val="00BA3316"/>
    <w:rsid w:val="00BA3E34"/>
    <w:rsid w:val="00BA3F28"/>
    <w:rsid w:val="00BA4AC8"/>
    <w:rsid w:val="00BA5230"/>
    <w:rsid w:val="00BA5C1F"/>
    <w:rsid w:val="00BA610D"/>
    <w:rsid w:val="00BA6437"/>
    <w:rsid w:val="00BA6E30"/>
    <w:rsid w:val="00BB01F0"/>
    <w:rsid w:val="00BB02E7"/>
    <w:rsid w:val="00BB3287"/>
    <w:rsid w:val="00BB36DA"/>
    <w:rsid w:val="00BB45E9"/>
    <w:rsid w:val="00BB49A3"/>
    <w:rsid w:val="00BB4D13"/>
    <w:rsid w:val="00BB58FA"/>
    <w:rsid w:val="00BB76B2"/>
    <w:rsid w:val="00BC132D"/>
    <w:rsid w:val="00BC1C9F"/>
    <w:rsid w:val="00BC28BA"/>
    <w:rsid w:val="00BC485A"/>
    <w:rsid w:val="00BC4B14"/>
    <w:rsid w:val="00BC52D2"/>
    <w:rsid w:val="00BC5A26"/>
    <w:rsid w:val="00BC6638"/>
    <w:rsid w:val="00BC70A7"/>
    <w:rsid w:val="00BC7143"/>
    <w:rsid w:val="00BC7DD9"/>
    <w:rsid w:val="00BD006F"/>
    <w:rsid w:val="00BD065C"/>
    <w:rsid w:val="00BD0938"/>
    <w:rsid w:val="00BD1339"/>
    <w:rsid w:val="00BD160B"/>
    <w:rsid w:val="00BD2B82"/>
    <w:rsid w:val="00BD3882"/>
    <w:rsid w:val="00BD4127"/>
    <w:rsid w:val="00BD44BA"/>
    <w:rsid w:val="00BD4E49"/>
    <w:rsid w:val="00BD4F8C"/>
    <w:rsid w:val="00BD56B6"/>
    <w:rsid w:val="00BD5860"/>
    <w:rsid w:val="00BD5B1F"/>
    <w:rsid w:val="00BD6D07"/>
    <w:rsid w:val="00BD6D7C"/>
    <w:rsid w:val="00BD7A1C"/>
    <w:rsid w:val="00BE0307"/>
    <w:rsid w:val="00BE059C"/>
    <w:rsid w:val="00BE151B"/>
    <w:rsid w:val="00BE1C9C"/>
    <w:rsid w:val="00BE1D52"/>
    <w:rsid w:val="00BE34C0"/>
    <w:rsid w:val="00BE34E7"/>
    <w:rsid w:val="00BE3BC9"/>
    <w:rsid w:val="00BE3E64"/>
    <w:rsid w:val="00BE3E84"/>
    <w:rsid w:val="00BE3F02"/>
    <w:rsid w:val="00BE575A"/>
    <w:rsid w:val="00BE5C88"/>
    <w:rsid w:val="00BE5EA3"/>
    <w:rsid w:val="00BE69F4"/>
    <w:rsid w:val="00BE6F5D"/>
    <w:rsid w:val="00BE711A"/>
    <w:rsid w:val="00BF022E"/>
    <w:rsid w:val="00BF07E4"/>
    <w:rsid w:val="00BF1438"/>
    <w:rsid w:val="00BF1C9C"/>
    <w:rsid w:val="00BF20D8"/>
    <w:rsid w:val="00BF3576"/>
    <w:rsid w:val="00BF3CA3"/>
    <w:rsid w:val="00BF3F1E"/>
    <w:rsid w:val="00BF474E"/>
    <w:rsid w:val="00BF48EA"/>
    <w:rsid w:val="00BF4C7C"/>
    <w:rsid w:val="00BF556A"/>
    <w:rsid w:val="00BF5A56"/>
    <w:rsid w:val="00BF5F47"/>
    <w:rsid w:val="00BF631A"/>
    <w:rsid w:val="00BF7F65"/>
    <w:rsid w:val="00C00535"/>
    <w:rsid w:val="00C018B2"/>
    <w:rsid w:val="00C01AAF"/>
    <w:rsid w:val="00C022CA"/>
    <w:rsid w:val="00C0234B"/>
    <w:rsid w:val="00C03917"/>
    <w:rsid w:val="00C04C81"/>
    <w:rsid w:val="00C051EC"/>
    <w:rsid w:val="00C058A5"/>
    <w:rsid w:val="00C05906"/>
    <w:rsid w:val="00C05F2B"/>
    <w:rsid w:val="00C065BD"/>
    <w:rsid w:val="00C07A21"/>
    <w:rsid w:val="00C07EBB"/>
    <w:rsid w:val="00C1117E"/>
    <w:rsid w:val="00C1143A"/>
    <w:rsid w:val="00C11F4B"/>
    <w:rsid w:val="00C126D4"/>
    <w:rsid w:val="00C12759"/>
    <w:rsid w:val="00C12AAF"/>
    <w:rsid w:val="00C132A8"/>
    <w:rsid w:val="00C13FAF"/>
    <w:rsid w:val="00C14851"/>
    <w:rsid w:val="00C1519E"/>
    <w:rsid w:val="00C1599F"/>
    <w:rsid w:val="00C15FC5"/>
    <w:rsid w:val="00C165F0"/>
    <w:rsid w:val="00C16BC5"/>
    <w:rsid w:val="00C172B9"/>
    <w:rsid w:val="00C17511"/>
    <w:rsid w:val="00C17B98"/>
    <w:rsid w:val="00C214AC"/>
    <w:rsid w:val="00C21CF1"/>
    <w:rsid w:val="00C2287D"/>
    <w:rsid w:val="00C2325C"/>
    <w:rsid w:val="00C24185"/>
    <w:rsid w:val="00C24968"/>
    <w:rsid w:val="00C24BB4"/>
    <w:rsid w:val="00C2516E"/>
    <w:rsid w:val="00C253F8"/>
    <w:rsid w:val="00C25D36"/>
    <w:rsid w:val="00C26270"/>
    <w:rsid w:val="00C26B2E"/>
    <w:rsid w:val="00C276E9"/>
    <w:rsid w:val="00C277E4"/>
    <w:rsid w:val="00C31FF3"/>
    <w:rsid w:val="00C3440B"/>
    <w:rsid w:val="00C35548"/>
    <w:rsid w:val="00C3675E"/>
    <w:rsid w:val="00C36B2E"/>
    <w:rsid w:val="00C37F3C"/>
    <w:rsid w:val="00C411AB"/>
    <w:rsid w:val="00C415F5"/>
    <w:rsid w:val="00C42298"/>
    <w:rsid w:val="00C42A48"/>
    <w:rsid w:val="00C42ADA"/>
    <w:rsid w:val="00C4480C"/>
    <w:rsid w:val="00C45361"/>
    <w:rsid w:val="00C45EFC"/>
    <w:rsid w:val="00C47FD1"/>
    <w:rsid w:val="00C50164"/>
    <w:rsid w:val="00C50451"/>
    <w:rsid w:val="00C50708"/>
    <w:rsid w:val="00C50EE8"/>
    <w:rsid w:val="00C52530"/>
    <w:rsid w:val="00C54EC6"/>
    <w:rsid w:val="00C550C4"/>
    <w:rsid w:val="00C56EA0"/>
    <w:rsid w:val="00C57F27"/>
    <w:rsid w:val="00C6063A"/>
    <w:rsid w:val="00C6131D"/>
    <w:rsid w:val="00C61513"/>
    <w:rsid w:val="00C61A86"/>
    <w:rsid w:val="00C6218F"/>
    <w:rsid w:val="00C6264A"/>
    <w:rsid w:val="00C62B5F"/>
    <w:rsid w:val="00C63598"/>
    <w:rsid w:val="00C63643"/>
    <w:rsid w:val="00C6382D"/>
    <w:rsid w:val="00C63890"/>
    <w:rsid w:val="00C63E8D"/>
    <w:rsid w:val="00C64230"/>
    <w:rsid w:val="00C66054"/>
    <w:rsid w:val="00C66647"/>
    <w:rsid w:val="00C670FD"/>
    <w:rsid w:val="00C67D59"/>
    <w:rsid w:val="00C67FC2"/>
    <w:rsid w:val="00C708EC"/>
    <w:rsid w:val="00C709B1"/>
    <w:rsid w:val="00C71767"/>
    <w:rsid w:val="00C71DA2"/>
    <w:rsid w:val="00C722E4"/>
    <w:rsid w:val="00C7388C"/>
    <w:rsid w:val="00C73BE9"/>
    <w:rsid w:val="00C73FAE"/>
    <w:rsid w:val="00C743DB"/>
    <w:rsid w:val="00C74691"/>
    <w:rsid w:val="00C74C1A"/>
    <w:rsid w:val="00C74C1F"/>
    <w:rsid w:val="00C750EA"/>
    <w:rsid w:val="00C7616D"/>
    <w:rsid w:val="00C770B0"/>
    <w:rsid w:val="00C82F6A"/>
    <w:rsid w:val="00C834F8"/>
    <w:rsid w:val="00C83AD1"/>
    <w:rsid w:val="00C83B57"/>
    <w:rsid w:val="00C83C91"/>
    <w:rsid w:val="00C83E4E"/>
    <w:rsid w:val="00C846B5"/>
    <w:rsid w:val="00C85195"/>
    <w:rsid w:val="00C85B2B"/>
    <w:rsid w:val="00C85B68"/>
    <w:rsid w:val="00C86F15"/>
    <w:rsid w:val="00C87511"/>
    <w:rsid w:val="00C87FDA"/>
    <w:rsid w:val="00C903EA"/>
    <w:rsid w:val="00C91D82"/>
    <w:rsid w:val="00C9261E"/>
    <w:rsid w:val="00C92940"/>
    <w:rsid w:val="00C92C3B"/>
    <w:rsid w:val="00C93069"/>
    <w:rsid w:val="00C93549"/>
    <w:rsid w:val="00C940A0"/>
    <w:rsid w:val="00C962CA"/>
    <w:rsid w:val="00C96750"/>
    <w:rsid w:val="00C967CF"/>
    <w:rsid w:val="00C97528"/>
    <w:rsid w:val="00CA01FE"/>
    <w:rsid w:val="00CA0B5E"/>
    <w:rsid w:val="00CA0EFB"/>
    <w:rsid w:val="00CA10C7"/>
    <w:rsid w:val="00CA2158"/>
    <w:rsid w:val="00CA2234"/>
    <w:rsid w:val="00CA2A94"/>
    <w:rsid w:val="00CA3B0F"/>
    <w:rsid w:val="00CA400E"/>
    <w:rsid w:val="00CA4483"/>
    <w:rsid w:val="00CA50C9"/>
    <w:rsid w:val="00CA5195"/>
    <w:rsid w:val="00CA566C"/>
    <w:rsid w:val="00CA6167"/>
    <w:rsid w:val="00CA67A3"/>
    <w:rsid w:val="00CA6D22"/>
    <w:rsid w:val="00CA7169"/>
    <w:rsid w:val="00CA7480"/>
    <w:rsid w:val="00CA7945"/>
    <w:rsid w:val="00CA7D65"/>
    <w:rsid w:val="00CB017D"/>
    <w:rsid w:val="00CB166A"/>
    <w:rsid w:val="00CB2A85"/>
    <w:rsid w:val="00CB2C46"/>
    <w:rsid w:val="00CB2DB1"/>
    <w:rsid w:val="00CB3B45"/>
    <w:rsid w:val="00CB4207"/>
    <w:rsid w:val="00CB50E8"/>
    <w:rsid w:val="00CB523B"/>
    <w:rsid w:val="00CB5416"/>
    <w:rsid w:val="00CB751B"/>
    <w:rsid w:val="00CB7535"/>
    <w:rsid w:val="00CB779B"/>
    <w:rsid w:val="00CC093A"/>
    <w:rsid w:val="00CC1F62"/>
    <w:rsid w:val="00CC4871"/>
    <w:rsid w:val="00CC5850"/>
    <w:rsid w:val="00CC59B4"/>
    <w:rsid w:val="00CC6771"/>
    <w:rsid w:val="00CC693C"/>
    <w:rsid w:val="00CC7B74"/>
    <w:rsid w:val="00CD1216"/>
    <w:rsid w:val="00CD1496"/>
    <w:rsid w:val="00CD161B"/>
    <w:rsid w:val="00CD1803"/>
    <w:rsid w:val="00CD263C"/>
    <w:rsid w:val="00CD2F8B"/>
    <w:rsid w:val="00CD4D09"/>
    <w:rsid w:val="00CD5096"/>
    <w:rsid w:val="00CD6386"/>
    <w:rsid w:val="00CD724C"/>
    <w:rsid w:val="00CD75F5"/>
    <w:rsid w:val="00CE003A"/>
    <w:rsid w:val="00CE06A3"/>
    <w:rsid w:val="00CE08C7"/>
    <w:rsid w:val="00CE0D30"/>
    <w:rsid w:val="00CE27FC"/>
    <w:rsid w:val="00CE2BF3"/>
    <w:rsid w:val="00CE3536"/>
    <w:rsid w:val="00CE36B1"/>
    <w:rsid w:val="00CE3C08"/>
    <w:rsid w:val="00CE4457"/>
    <w:rsid w:val="00CE49A9"/>
    <w:rsid w:val="00CE55A9"/>
    <w:rsid w:val="00CE5B81"/>
    <w:rsid w:val="00CE5D97"/>
    <w:rsid w:val="00CE5DA8"/>
    <w:rsid w:val="00CE5DE7"/>
    <w:rsid w:val="00CE70C1"/>
    <w:rsid w:val="00CF1C12"/>
    <w:rsid w:val="00CF274C"/>
    <w:rsid w:val="00CF3B8D"/>
    <w:rsid w:val="00CF46FC"/>
    <w:rsid w:val="00CF4C21"/>
    <w:rsid w:val="00CF4E31"/>
    <w:rsid w:val="00CF4F82"/>
    <w:rsid w:val="00CF58B5"/>
    <w:rsid w:val="00CF598C"/>
    <w:rsid w:val="00CF6D9F"/>
    <w:rsid w:val="00D006AD"/>
    <w:rsid w:val="00D00D24"/>
    <w:rsid w:val="00D020A0"/>
    <w:rsid w:val="00D02368"/>
    <w:rsid w:val="00D03591"/>
    <w:rsid w:val="00D0364A"/>
    <w:rsid w:val="00D0412E"/>
    <w:rsid w:val="00D045AA"/>
    <w:rsid w:val="00D04A33"/>
    <w:rsid w:val="00D04F32"/>
    <w:rsid w:val="00D04FEB"/>
    <w:rsid w:val="00D0508C"/>
    <w:rsid w:val="00D0582E"/>
    <w:rsid w:val="00D06240"/>
    <w:rsid w:val="00D06A73"/>
    <w:rsid w:val="00D06EFC"/>
    <w:rsid w:val="00D10ECA"/>
    <w:rsid w:val="00D10F1B"/>
    <w:rsid w:val="00D11389"/>
    <w:rsid w:val="00D11A05"/>
    <w:rsid w:val="00D12809"/>
    <w:rsid w:val="00D13601"/>
    <w:rsid w:val="00D16855"/>
    <w:rsid w:val="00D176CC"/>
    <w:rsid w:val="00D20BD9"/>
    <w:rsid w:val="00D20C56"/>
    <w:rsid w:val="00D21DDA"/>
    <w:rsid w:val="00D22599"/>
    <w:rsid w:val="00D22600"/>
    <w:rsid w:val="00D22773"/>
    <w:rsid w:val="00D23071"/>
    <w:rsid w:val="00D230E3"/>
    <w:rsid w:val="00D23178"/>
    <w:rsid w:val="00D2385F"/>
    <w:rsid w:val="00D23C91"/>
    <w:rsid w:val="00D24744"/>
    <w:rsid w:val="00D24F1C"/>
    <w:rsid w:val="00D2546A"/>
    <w:rsid w:val="00D254AA"/>
    <w:rsid w:val="00D2574A"/>
    <w:rsid w:val="00D25A82"/>
    <w:rsid w:val="00D261EE"/>
    <w:rsid w:val="00D268C1"/>
    <w:rsid w:val="00D26AD0"/>
    <w:rsid w:val="00D26E91"/>
    <w:rsid w:val="00D2703E"/>
    <w:rsid w:val="00D272D4"/>
    <w:rsid w:val="00D276BF"/>
    <w:rsid w:val="00D27CE5"/>
    <w:rsid w:val="00D32243"/>
    <w:rsid w:val="00D323C4"/>
    <w:rsid w:val="00D3290F"/>
    <w:rsid w:val="00D34FFB"/>
    <w:rsid w:val="00D355EC"/>
    <w:rsid w:val="00D367E5"/>
    <w:rsid w:val="00D369BE"/>
    <w:rsid w:val="00D36F61"/>
    <w:rsid w:val="00D3701D"/>
    <w:rsid w:val="00D378DB"/>
    <w:rsid w:val="00D37B15"/>
    <w:rsid w:val="00D4025D"/>
    <w:rsid w:val="00D40490"/>
    <w:rsid w:val="00D40743"/>
    <w:rsid w:val="00D41B2D"/>
    <w:rsid w:val="00D41B45"/>
    <w:rsid w:val="00D41FB6"/>
    <w:rsid w:val="00D4323F"/>
    <w:rsid w:val="00D43B47"/>
    <w:rsid w:val="00D43E3B"/>
    <w:rsid w:val="00D43F5C"/>
    <w:rsid w:val="00D449CF"/>
    <w:rsid w:val="00D4503A"/>
    <w:rsid w:val="00D4551D"/>
    <w:rsid w:val="00D45DAC"/>
    <w:rsid w:val="00D47DBF"/>
    <w:rsid w:val="00D47E4A"/>
    <w:rsid w:val="00D50A74"/>
    <w:rsid w:val="00D52AE7"/>
    <w:rsid w:val="00D52B24"/>
    <w:rsid w:val="00D52D68"/>
    <w:rsid w:val="00D532AD"/>
    <w:rsid w:val="00D546A1"/>
    <w:rsid w:val="00D5480A"/>
    <w:rsid w:val="00D55006"/>
    <w:rsid w:val="00D55052"/>
    <w:rsid w:val="00D55521"/>
    <w:rsid w:val="00D55804"/>
    <w:rsid w:val="00D5611F"/>
    <w:rsid w:val="00D56E1C"/>
    <w:rsid w:val="00D57752"/>
    <w:rsid w:val="00D57D7E"/>
    <w:rsid w:val="00D60398"/>
    <w:rsid w:val="00D607DD"/>
    <w:rsid w:val="00D61616"/>
    <w:rsid w:val="00D616B6"/>
    <w:rsid w:val="00D62A82"/>
    <w:rsid w:val="00D62BB3"/>
    <w:rsid w:val="00D62E95"/>
    <w:rsid w:val="00D63274"/>
    <w:rsid w:val="00D63B48"/>
    <w:rsid w:val="00D64184"/>
    <w:rsid w:val="00D64234"/>
    <w:rsid w:val="00D64310"/>
    <w:rsid w:val="00D64584"/>
    <w:rsid w:val="00D6559C"/>
    <w:rsid w:val="00D66022"/>
    <w:rsid w:val="00D6701F"/>
    <w:rsid w:val="00D717F8"/>
    <w:rsid w:val="00D71E97"/>
    <w:rsid w:val="00D727B3"/>
    <w:rsid w:val="00D728A9"/>
    <w:rsid w:val="00D731C3"/>
    <w:rsid w:val="00D74457"/>
    <w:rsid w:val="00D749C6"/>
    <w:rsid w:val="00D74A70"/>
    <w:rsid w:val="00D74B35"/>
    <w:rsid w:val="00D756C5"/>
    <w:rsid w:val="00D7593F"/>
    <w:rsid w:val="00D75AFC"/>
    <w:rsid w:val="00D75FB6"/>
    <w:rsid w:val="00D76149"/>
    <w:rsid w:val="00D76C55"/>
    <w:rsid w:val="00D774E9"/>
    <w:rsid w:val="00D80B1B"/>
    <w:rsid w:val="00D80E1F"/>
    <w:rsid w:val="00D81323"/>
    <w:rsid w:val="00D81A81"/>
    <w:rsid w:val="00D81E14"/>
    <w:rsid w:val="00D8258C"/>
    <w:rsid w:val="00D82709"/>
    <w:rsid w:val="00D82882"/>
    <w:rsid w:val="00D82B10"/>
    <w:rsid w:val="00D8340B"/>
    <w:rsid w:val="00D83AB1"/>
    <w:rsid w:val="00D8421B"/>
    <w:rsid w:val="00D85999"/>
    <w:rsid w:val="00D85B10"/>
    <w:rsid w:val="00D87D28"/>
    <w:rsid w:val="00D90FEC"/>
    <w:rsid w:val="00D911D7"/>
    <w:rsid w:val="00D9131B"/>
    <w:rsid w:val="00D91A16"/>
    <w:rsid w:val="00D91F98"/>
    <w:rsid w:val="00D93CE9"/>
    <w:rsid w:val="00D94268"/>
    <w:rsid w:val="00D944AE"/>
    <w:rsid w:val="00D95E96"/>
    <w:rsid w:val="00D96213"/>
    <w:rsid w:val="00D9689A"/>
    <w:rsid w:val="00D97723"/>
    <w:rsid w:val="00D97A02"/>
    <w:rsid w:val="00DA00CC"/>
    <w:rsid w:val="00DA1114"/>
    <w:rsid w:val="00DA13CC"/>
    <w:rsid w:val="00DA1C39"/>
    <w:rsid w:val="00DA1D65"/>
    <w:rsid w:val="00DA2EE5"/>
    <w:rsid w:val="00DA384E"/>
    <w:rsid w:val="00DA4382"/>
    <w:rsid w:val="00DA480C"/>
    <w:rsid w:val="00DA4999"/>
    <w:rsid w:val="00DA4F73"/>
    <w:rsid w:val="00DA506C"/>
    <w:rsid w:val="00DA58A1"/>
    <w:rsid w:val="00DA58A9"/>
    <w:rsid w:val="00DA5DCB"/>
    <w:rsid w:val="00DA684D"/>
    <w:rsid w:val="00DA7CE8"/>
    <w:rsid w:val="00DA7E06"/>
    <w:rsid w:val="00DB0B74"/>
    <w:rsid w:val="00DB18DF"/>
    <w:rsid w:val="00DB1E5E"/>
    <w:rsid w:val="00DB26DE"/>
    <w:rsid w:val="00DB2AB0"/>
    <w:rsid w:val="00DB2BAF"/>
    <w:rsid w:val="00DB3077"/>
    <w:rsid w:val="00DB30C0"/>
    <w:rsid w:val="00DB33E9"/>
    <w:rsid w:val="00DB39E3"/>
    <w:rsid w:val="00DB3CC6"/>
    <w:rsid w:val="00DB3CF8"/>
    <w:rsid w:val="00DB4936"/>
    <w:rsid w:val="00DB4979"/>
    <w:rsid w:val="00DB521A"/>
    <w:rsid w:val="00DB5393"/>
    <w:rsid w:val="00DB5958"/>
    <w:rsid w:val="00DB5E9F"/>
    <w:rsid w:val="00DB6397"/>
    <w:rsid w:val="00DB658D"/>
    <w:rsid w:val="00DB6A32"/>
    <w:rsid w:val="00DB7266"/>
    <w:rsid w:val="00DB788B"/>
    <w:rsid w:val="00DC017A"/>
    <w:rsid w:val="00DC066E"/>
    <w:rsid w:val="00DC1338"/>
    <w:rsid w:val="00DC1818"/>
    <w:rsid w:val="00DC238D"/>
    <w:rsid w:val="00DC2F32"/>
    <w:rsid w:val="00DC3333"/>
    <w:rsid w:val="00DC36CA"/>
    <w:rsid w:val="00DC388D"/>
    <w:rsid w:val="00DC44A4"/>
    <w:rsid w:val="00DC47A7"/>
    <w:rsid w:val="00DC5CB6"/>
    <w:rsid w:val="00DC5D48"/>
    <w:rsid w:val="00DC69F0"/>
    <w:rsid w:val="00DC6FC1"/>
    <w:rsid w:val="00DD0324"/>
    <w:rsid w:val="00DD2862"/>
    <w:rsid w:val="00DD2AF9"/>
    <w:rsid w:val="00DD40B6"/>
    <w:rsid w:val="00DD5062"/>
    <w:rsid w:val="00DD5A5B"/>
    <w:rsid w:val="00DD650B"/>
    <w:rsid w:val="00DD677B"/>
    <w:rsid w:val="00DD6DAE"/>
    <w:rsid w:val="00DD77A2"/>
    <w:rsid w:val="00DE08DA"/>
    <w:rsid w:val="00DE099A"/>
    <w:rsid w:val="00DE09F8"/>
    <w:rsid w:val="00DE1508"/>
    <w:rsid w:val="00DE1600"/>
    <w:rsid w:val="00DE160B"/>
    <w:rsid w:val="00DE177F"/>
    <w:rsid w:val="00DE2047"/>
    <w:rsid w:val="00DE24D7"/>
    <w:rsid w:val="00DE3430"/>
    <w:rsid w:val="00DE35C0"/>
    <w:rsid w:val="00DE3EA9"/>
    <w:rsid w:val="00DE4819"/>
    <w:rsid w:val="00DE4846"/>
    <w:rsid w:val="00DE5977"/>
    <w:rsid w:val="00DE5B51"/>
    <w:rsid w:val="00DE616A"/>
    <w:rsid w:val="00DE62F8"/>
    <w:rsid w:val="00DE74E1"/>
    <w:rsid w:val="00DE7BD9"/>
    <w:rsid w:val="00DE7CE8"/>
    <w:rsid w:val="00DE7E32"/>
    <w:rsid w:val="00DF006D"/>
    <w:rsid w:val="00DF0377"/>
    <w:rsid w:val="00DF0888"/>
    <w:rsid w:val="00DF232A"/>
    <w:rsid w:val="00DF24DA"/>
    <w:rsid w:val="00DF26C5"/>
    <w:rsid w:val="00DF395B"/>
    <w:rsid w:val="00DF4024"/>
    <w:rsid w:val="00DF53C3"/>
    <w:rsid w:val="00DF5DF0"/>
    <w:rsid w:val="00DF5E92"/>
    <w:rsid w:val="00DF5FDC"/>
    <w:rsid w:val="00DF7215"/>
    <w:rsid w:val="00DF7C07"/>
    <w:rsid w:val="00E002A5"/>
    <w:rsid w:val="00E0079A"/>
    <w:rsid w:val="00E00930"/>
    <w:rsid w:val="00E01523"/>
    <w:rsid w:val="00E026B3"/>
    <w:rsid w:val="00E051B4"/>
    <w:rsid w:val="00E05741"/>
    <w:rsid w:val="00E06039"/>
    <w:rsid w:val="00E065AA"/>
    <w:rsid w:val="00E10AF5"/>
    <w:rsid w:val="00E1105C"/>
    <w:rsid w:val="00E1358C"/>
    <w:rsid w:val="00E138E9"/>
    <w:rsid w:val="00E14C91"/>
    <w:rsid w:val="00E1507C"/>
    <w:rsid w:val="00E1541C"/>
    <w:rsid w:val="00E167F4"/>
    <w:rsid w:val="00E168FD"/>
    <w:rsid w:val="00E17166"/>
    <w:rsid w:val="00E1730E"/>
    <w:rsid w:val="00E17A2D"/>
    <w:rsid w:val="00E2017E"/>
    <w:rsid w:val="00E202D8"/>
    <w:rsid w:val="00E20F11"/>
    <w:rsid w:val="00E21114"/>
    <w:rsid w:val="00E21B2B"/>
    <w:rsid w:val="00E21E3E"/>
    <w:rsid w:val="00E23D08"/>
    <w:rsid w:val="00E241A5"/>
    <w:rsid w:val="00E24F06"/>
    <w:rsid w:val="00E252F6"/>
    <w:rsid w:val="00E259BC"/>
    <w:rsid w:val="00E27B64"/>
    <w:rsid w:val="00E30FA2"/>
    <w:rsid w:val="00E31BEE"/>
    <w:rsid w:val="00E32952"/>
    <w:rsid w:val="00E3297F"/>
    <w:rsid w:val="00E3313B"/>
    <w:rsid w:val="00E34388"/>
    <w:rsid w:val="00E346A1"/>
    <w:rsid w:val="00E34CDC"/>
    <w:rsid w:val="00E353A6"/>
    <w:rsid w:val="00E3565D"/>
    <w:rsid w:val="00E36055"/>
    <w:rsid w:val="00E36D28"/>
    <w:rsid w:val="00E36EED"/>
    <w:rsid w:val="00E3776A"/>
    <w:rsid w:val="00E377F2"/>
    <w:rsid w:val="00E37C77"/>
    <w:rsid w:val="00E411C5"/>
    <w:rsid w:val="00E41331"/>
    <w:rsid w:val="00E41585"/>
    <w:rsid w:val="00E425E9"/>
    <w:rsid w:val="00E427E6"/>
    <w:rsid w:val="00E445DE"/>
    <w:rsid w:val="00E45069"/>
    <w:rsid w:val="00E45500"/>
    <w:rsid w:val="00E45A6D"/>
    <w:rsid w:val="00E4603F"/>
    <w:rsid w:val="00E46181"/>
    <w:rsid w:val="00E4663D"/>
    <w:rsid w:val="00E46F7B"/>
    <w:rsid w:val="00E47503"/>
    <w:rsid w:val="00E5089A"/>
    <w:rsid w:val="00E50FB2"/>
    <w:rsid w:val="00E515FC"/>
    <w:rsid w:val="00E518CF"/>
    <w:rsid w:val="00E51B9C"/>
    <w:rsid w:val="00E5279C"/>
    <w:rsid w:val="00E53BAA"/>
    <w:rsid w:val="00E53F98"/>
    <w:rsid w:val="00E544B6"/>
    <w:rsid w:val="00E558B0"/>
    <w:rsid w:val="00E55981"/>
    <w:rsid w:val="00E55C45"/>
    <w:rsid w:val="00E55E70"/>
    <w:rsid w:val="00E55EEF"/>
    <w:rsid w:val="00E55F40"/>
    <w:rsid w:val="00E5717B"/>
    <w:rsid w:val="00E575C3"/>
    <w:rsid w:val="00E57643"/>
    <w:rsid w:val="00E608F2"/>
    <w:rsid w:val="00E63050"/>
    <w:rsid w:val="00E636F9"/>
    <w:rsid w:val="00E63ADB"/>
    <w:rsid w:val="00E63D6E"/>
    <w:rsid w:val="00E63DFF"/>
    <w:rsid w:val="00E6422D"/>
    <w:rsid w:val="00E644D5"/>
    <w:rsid w:val="00E64EC2"/>
    <w:rsid w:val="00E6538E"/>
    <w:rsid w:val="00E65A55"/>
    <w:rsid w:val="00E66033"/>
    <w:rsid w:val="00E66B36"/>
    <w:rsid w:val="00E6711C"/>
    <w:rsid w:val="00E674CB"/>
    <w:rsid w:val="00E67887"/>
    <w:rsid w:val="00E67EDF"/>
    <w:rsid w:val="00E706D2"/>
    <w:rsid w:val="00E7153E"/>
    <w:rsid w:val="00E72D76"/>
    <w:rsid w:val="00E72EA4"/>
    <w:rsid w:val="00E73411"/>
    <w:rsid w:val="00E7385E"/>
    <w:rsid w:val="00E740AB"/>
    <w:rsid w:val="00E74490"/>
    <w:rsid w:val="00E75511"/>
    <w:rsid w:val="00E75F8D"/>
    <w:rsid w:val="00E7606D"/>
    <w:rsid w:val="00E76E84"/>
    <w:rsid w:val="00E77873"/>
    <w:rsid w:val="00E779E3"/>
    <w:rsid w:val="00E81014"/>
    <w:rsid w:val="00E810F1"/>
    <w:rsid w:val="00E818B8"/>
    <w:rsid w:val="00E81CA3"/>
    <w:rsid w:val="00E83142"/>
    <w:rsid w:val="00E83863"/>
    <w:rsid w:val="00E84F87"/>
    <w:rsid w:val="00E84FDC"/>
    <w:rsid w:val="00E850BD"/>
    <w:rsid w:val="00E85648"/>
    <w:rsid w:val="00E8686B"/>
    <w:rsid w:val="00E86A26"/>
    <w:rsid w:val="00E86B73"/>
    <w:rsid w:val="00E86CCA"/>
    <w:rsid w:val="00E87635"/>
    <w:rsid w:val="00E87EF2"/>
    <w:rsid w:val="00E91411"/>
    <w:rsid w:val="00E919F1"/>
    <w:rsid w:val="00E91D91"/>
    <w:rsid w:val="00E93462"/>
    <w:rsid w:val="00E93B27"/>
    <w:rsid w:val="00E93E3B"/>
    <w:rsid w:val="00E952FA"/>
    <w:rsid w:val="00E95399"/>
    <w:rsid w:val="00E96431"/>
    <w:rsid w:val="00E9787C"/>
    <w:rsid w:val="00E978DE"/>
    <w:rsid w:val="00EA0C20"/>
    <w:rsid w:val="00EA1D88"/>
    <w:rsid w:val="00EA1DB1"/>
    <w:rsid w:val="00EA2AF6"/>
    <w:rsid w:val="00EA2EE9"/>
    <w:rsid w:val="00EA3D00"/>
    <w:rsid w:val="00EA432E"/>
    <w:rsid w:val="00EA4A3B"/>
    <w:rsid w:val="00EA51B9"/>
    <w:rsid w:val="00EA54DB"/>
    <w:rsid w:val="00EA5CB2"/>
    <w:rsid w:val="00EA6114"/>
    <w:rsid w:val="00EA6DF3"/>
    <w:rsid w:val="00EA70D3"/>
    <w:rsid w:val="00EA7AF8"/>
    <w:rsid w:val="00EA7DDF"/>
    <w:rsid w:val="00EB1372"/>
    <w:rsid w:val="00EB142C"/>
    <w:rsid w:val="00EB1A85"/>
    <w:rsid w:val="00EB22CC"/>
    <w:rsid w:val="00EB24DF"/>
    <w:rsid w:val="00EB345E"/>
    <w:rsid w:val="00EB3460"/>
    <w:rsid w:val="00EB34D2"/>
    <w:rsid w:val="00EB382E"/>
    <w:rsid w:val="00EB39EE"/>
    <w:rsid w:val="00EB3BFC"/>
    <w:rsid w:val="00EB4492"/>
    <w:rsid w:val="00EB4A8F"/>
    <w:rsid w:val="00EB50B1"/>
    <w:rsid w:val="00EB5C50"/>
    <w:rsid w:val="00EB6286"/>
    <w:rsid w:val="00EB7066"/>
    <w:rsid w:val="00EB70DF"/>
    <w:rsid w:val="00EB7626"/>
    <w:rsid w:val="00EB78BB"/>
    <w:rsid w:val="00EB7B7D"/>
    <w:rsid w:val="00EB7D61"/>
    <w:rsid w:val="00EC0921"/>
    <w:rsid w:val="00EC1659"/>
    <w:rsid w:val="00EC1F3A"/>
    <w:rsid w:val="00EC20FA"/>
    <w:rsid w:val="00EC2B32"/>
    <w:rsid w:val="00EC341A"/>
    <w:rsid w:val="00EC396B"/>
    <w:rsid w:val="00EC3FA0"/>
    <w:rsid w:val="00EC429B"/>
    <w:rsid w:val="00EC63A0"/>
    <w:rsid w:val="00EC6C96"/>
    <w:rsid w:val="00EC75FD"/>
    <w:rsid w:val="00EC7897"/>
    <w:rsid w:val="00EC79E4"/>
    <w:rsid w:val="00EC7DDB"/>
    <w:rsid w:val="00ED2A96"/>
    <w:rsid w:val="00ED34B4"/>
    <w:rsid w:val="00ED38E0"/>
    <w:rsid w:val="00ED3A2C"/>
    <w:rsid w:val="00ED3D01"/>
    <w:rsid w:val="00ED4881"/>
    <w:rsid w:val="00ED4EFE"/>
    <w:rsid w:val="00ED556A"/>
    <w:rsid w:val="00ED5EAA"/>
    <w:rsid w:val="00ED79F3"/>
    <w:rsid w:val="00ED7D71"/>
    <w:rsid w:val="00ED7FDC"/>
    <w:rsid w:val="00EE05CD"/>
    <w:rsid w:val="00EE0BE6"/>
    <w:rsid w:val="00EE1BE5"/>
    <w:rsid w:val="00EE21CA"/>
    <w:rsid w:val="00EE2543"/>
    <w:rsid w:val="00EE2683"/>
    <w:rsid w:val="00EE2D24"/>
    <w:rsid w:val="00EE3D99"/>
    <w:rsid w:val="00EE3EE7"/>
    <w:rsid w:val="00EE3F7F"/>
    <w:rsid w:val="00EE417E"/>
    <w:rsid w:val="00EE41E0"/>
    <w:rsid w:val="00EE4C67"/>
    <w:rsid w:val="00EE579C"/>
    <w:rsid w:val="00EE5843"/>
    <w:rsid w:val="00EE6EA4"/>
    <w:rsid w:val="00EF0C95"/>
    <w:rsid w:val="00EF11B0"/>
    <w:rsid w:val="00EF151E"/>
    <w:rsid w:val="00EF1F8D"/>
    <w:rsid w:val="00EF258D"/>
    <w:rsid w:val="00EF266D"/>
    <w:rsid w:val="00EF3187"/>
    <w:rsid w:val="00EF433C"/>
    <w:rsid w:val="00EF4408"/>
    <w:rsid w:val="00EF476D"/>
    <w:rsid w:val="00EF4ECF"/>
    <w:rsid w:val="00EF581A"/>
    <w:rsid w:val="00F00A1C"/>
    <w:rsid w:val="00F00C70"/>
    <w:rsid w:val="00F01294"/>
    <w:rsid w:val="00F012C3"/>
    <w:rsid w:val="00F01668"/>
    <w:rsid w:val="00F03592"/>
    <w:rsid w:val="00F04784"/>
    <w:rsid w:val="00F04C81"/>
    <w:rsid w:val="00F04EB8"/>
    <w:rsid w:val="00F0529C"/>
    <w:rsid w:val="00F053B2"/>
    <w:rsid w:val="00F05785"/>
    <w:rsid w:val="00F06032"/>
    <w:rsid w:val="00F067A4"/>
    <w:rsid w:val="00F06A47"/>
    <w:rsid w:val="00F077D6"/>
    <w:rsid w:val="00F07BAD"/>
    <w:rsid w:val="00F07C75"/>
    <w:rsid w:val="00F07F43"/>
    <w:rsid w:val="00F1177B"/>
    <w:rsid w:val="00F12494"/>
    <w:rsid w:val="00F1271C"/>
    <w:rsid w:val="00F138ED"/>
    <w:rsid w:val="00F13DD9"/>
    <w:rsid w:val="00F145CB"/>
    <w:rsid w:val="00F14BB3"/>
    <w:rsid w:val="00F14C91"/>
    <w:rsid w:val="00F14F80"/>
    <w:rsid w:val="00F151D4"/>
    <w:rsid w:val="00F176ED"/>
    <w:rsid w:val="00F21246"/>
    <w:rsid w:val="00F212B9"/>
    <w:rsid w:val="00F226A6"/>
    <w:rsid w:val="00F233A4"/>
    <w:rsid w:val="00F234B6"/>
    <w:rsid w:val="00F234DA"/>
    <w:rsid w:val="00F2420C"/>
    <w:rsid w:val="00F246A2"/>
    <w:rsid w:val="00F24E8A"/>
    <w:rsid w:val="00F25A4A"/>
    <w:rsid w:val="00F25D16"/>
    <w:rsid w:val="00F25D21"/>
    <w:rsid w:val="00F26B37"/>
    <w:rsid w:val="00F26F0E"/>
    <w:rsid w:val="00F304B0"/>
    <w:rsid w:val="00F30941"/>
    <w:rsid w:val="00F30C12"/>
    <w:rsid w:val="00F31407"/>
    <w:rsid w:val="00F31653"/>
    <w:rsid w:val="00F31D49"/>
    <w:rsid w:val="00F328CA"/>
    <w:rsid w:val="00F328D3"/>
    <w:rsid w:val="00F33125"/>
    <w:rsid w:val="00F334E2"/>
    <w:rsid w:val="00F339E8"/>
    <w:rsid w:val="00F33CE3"/>
    <w:rsid w:val="00F3538A"/>
    <w:rsid w:val="00F36928"/>
    <w:rsid w:val="00F371C3"/>
    <w:rsid w:val="00F37885"/>
    <w:rsid w:val="00F37BB4"/>
    <w:rsid w:val="00F40BB2"/>
    <w:rsid w:val="00F41CAD"/>
    <w:rsid w:val="00F421AC"/>
    <w:rsid w:val="00F4220A"/>
    <w:rsid w:val="00F42509"/>
    <w:rsid w:val="00F43B70"/>
    <w:rsid w:val="00F43D4F"/>
    <w:rsid w:val="00F45062"/>
    <w:rsid w:val="00F454AD"/>
    <w:rsid w:val="00F45DDA"/>
    <w:rsid w:val="00F46236"/>
    <w:rsid w:val="00F46AE8"/>
    <w:rsid w:val="00F46BC3"/>
    <w:rsid w:val="00F47E70"/>
    <w:rsid w:val="00F50107"/>
    <w:rsid w:val="00F502D4"/>
    <w:rsid w:val="00F5046E"/>
    <w:rsid w:val="00F5073C"/>
    <w:rsid w:val="00F51056"/>
    <w:rsid w:val="00F51EF1"/>
    <w:rsid w:val="00F534A2"/>
    <w:rsid w:val="00F53B3B"/>
    <w:rsid w:val="00F53E59"/>
    <w:rsid w:val="00F5426E"/>
    <w:rsid w:val="00F54752"/>
    <w:rsid w:val="00F550A0"/>
    <w:rsid w:val="00F55536"/>
    <w:rsid w:val="00F55666"/>
    <w:rsid w:val="00F56A8A"/>
    <w:rsid w:val="00F56E93"/>
    <w:rsid w:val="00F57D2F"/>
    <w:rsid w:val="00F57DBB"/>
    <w:rsid w:val="00F60062"/>
    <w:rsid w:val="00F60AE6"/>
    <w:rsid w:val="00F6168F"/>
    <w:rsid w:val="00F617D8"/>
    <w:rsid w:val="00F618EC"/>
    <w:rsid w:val="00F62239"/>
    <w:rsid w:val="00F62C11"/>
    <w:rsid w:val="00F6301F"/>
    <w:rsid w:val="00F63F57"/>
    <w:rsid w:val="00F64D36"/>
    <w:rsid w:val="00F64D91"/>
    <w:rsid w:val="00F65807"/>
    <w:rsid w:val="00F65869"/>
    <w:rsid w:val="00F65AB7"/>
    <w:rsid w:val="00F65C74"/>
    <w:rsid w:val="00F65FC9"/>
    <w:rsid w:val="00F668F5"/>
    <w:rsid w:val="00F66CB2"/>
    <w:rsid w:val="00F708DA"/>
    <w:rsid w:val="00F70986"/>
    <w:rsid w:val="00F70C41"/>
    <w:rsid w:val="00F71946"/>
    <w:rsid w:val="00F72850"/>
    <w:rsid w:val="00F72B3A"/>
    <w:rsid w:val="00F73165"/>
    <w:rsid w:val="00F7381E"/>
    <w:rsid w:val="00F73FF1"/>
    <w:rsid w:val="00F74724"/>
    <w:rsid w:val="00F747B0"/>
    <w:rsid w:val="00F75E73"/>
    <w:rsid w:val="00F768A8"/>
    <w:rsid w:val="00F77207"/>
    <w:rsid w:val="00F77407"/>
    <w:rsid w:val="00F801D3"/>
    <w:rsid w:val="00F8034B"/>
    <w:rsid w:val="00F80475"/>
    <w:rsid w:val="00F80A30"/>
    <w:rsid w:val="00F81453"/>
    <w:rsid w:val="00F81679"/>
    <w:rsid w:val="00F8228D"/>
    <w:rsid w:val="00F82555"/>
    <w:rsid w:val="00F82A96"/>
    <w:rsid w:val="00F8310C"/>
    <w:rsid w:val="00F83591"/>
    <w:rsid w:val="00F84219"/>
    <w:rsid w:val="00F843BE"/>
    <w:rsid w:val="00F85EBC"/>
    <w:rsid w:val="00F8661C"/>
    <w:rsid w:val="00F87DD7"/>
    <w:rsid w:val="00F90BF9"/>
    <w:rsid w:val="00F90E29"/>
    <w:rsid w:val="00F91FB0"/>
    <w:rsid w:val="00F93470"/>
    <w:rsid w:val="00F936B7"/>
    <w:rsid w:val="00F93B2C"/>
    <w:rsid w:val="00F94013"/>
    <w:rsid w:val="00F941DC"/>
    <w:rsid w:val="00F94503"/>
    <w:rsid w:val="00F956DA"/>
    <w:rsid w:val="00F95CAD"/>
    <w:rsid w:val="00F963F4"/>
    <w:rsid w:val="00F96A5D"/>
    <w:rsid w:val="00FA01BC"/>
    <w:rsid w:val="00FA0201"/>
    <w:rsid w:val="00FA19A5"/>
    <w:rsid w:val="00FA234F"/>
    <w:rsid w:val="00FA24A8"/>
    <w:rsid w:val="00FA2C76"/>
    <w:rsid w:val="00FA2EEA"/>
    <w:rsid w:val="00FA304E"/>
    <w:rsid w:val="00FA52CD"/>
    <w:rsid w:val="00FA5654"/>
    <w:rsid w:val="00FA5919"/>
    <w:rsid w:val="00FA60F2"/>
    <w:rsid w:val="00FA6122"/>
    <w:rsid w:val="00FA6531"/>
    <w:rsid w:val="00FA6969"/>
    <w:rsid w:val="00FA705C"/>
    <w:rsid w:val="00FA73D0"/>
    <w:rsid w:val="00FA7881"/>
    <w:rsid w:val="00FA7A55"/>
    <w:rsid w:val="00FA7ECA"/>
    <w:rsid w:val="00FB079E"/>
    <w:rsid w:val="00FB1D11"/>
    <w:rsid w:val="00FB2428"/>
    <w:rsid w:val="00FB2789"/>
    <w:rsid w:val="00FB2822"/>
    <w:rsid w:val="00FB32E4"/>
    <w:rsid w:val="00FB3AF0"/>
    <w:rsid w:val="00FB3DBC"/>
    <w:rsid w:val="00FB3FC1"/>
    <w:rsid w:val="00FB4191"/>
    <w:rsid w:val="00FB4436"/>
    <w:rsid w:val="00FB4FF3"/>
    <w:rsid w:val="00FB5629"/>
    <w:rsid w:val="00FB5EDA"/>
    <w:rsid w:val="00FB5F0B"/>
    <w:rsid w:val="00FB674D"/>
    <w:rsid w:val="00FB6824"/>
    <w:rsid w:val="00FB69F8"/>
    <w:rsid w:val="00FB7206"/>
    <w:rsid w:val="00FB7261"/>
    <w:rsid w:val="00FB75D3"/>
    <w:rsid w:val="00FB769F"/>
    <w:rsid w:val="00FB780F"/>
    <w:rsid w:val="00FB7DB8"/>
    <w:rsid w:val="00FC01A3"/>
    <w:rsid w:val="00FC069D"/>
    <w:rsid w:val="00FC0A01"/>
    <w:rsid w:val="00FC0ACC"/>
    <w:rsid w:val="00FC0DA2"/>
    <w:rsid w:val="00FC10E6"/>
    <w:rsid w:val="00FC1BB5"/>
    <w:rsid w:val="00FC1BCB"/>
    <w:rsid w:val="00FC2134"/>
    <w:rsid w:val="00FC2324"/>
    <w:rsid w:val="00FC28FC"/>
    <w:rsid w:val="00FC4352"/>
    <w:rsid w:val="00FC44B8"/>
    <w:rsid w:val="00FC53A3"/>
    <w:rsid w:val="00FC55C3"/>
    <w:rsid w:val="00FC5992"/>
    <w:rsid w:val="00FC6060"/>
    <w:rsid w:val="00FC7106"/>
    <w:rsid w:val="00FC79DC"/>
    <w:rsid w:val="00FC7C6E"/>
    <w:rsid w:val="00FC7DC9"/>
    <w:rsid w:val="00FD0672"/>
    <w:rsid w:val="00FD26A6"/>
    <w:rsid w:val="00FD31AF"/>
    <w:rsid w:val="00FD356B"/>
    <w:rsid w:val="00FD36A4"/>
    <w:rsid w:val="00FD4AEA"/>
    <w:rsid w:val="00FD4C24"/>
    <w:rsid w:val="00FD4CA9"/>
    <w:rsid w:val="00FD5406"/>
    <w:rsid w:val="00FD6154"/>
    <w:rsid w:val="00FD672C"/>
    <w:rsid w:val="00FD6D95"/>
    <w:rsid w:val="00FD77A0"/>
    <w:rsid w:val="00FD780E"/>
    <w:rsid w:val="00FD7D30"/>
    <w:rsid w:val="00FE0714"/>
    <w:rsid w:val="00FE082D"/>
    <w:rsid w:val="00FE0EF0"/>
    <w:rsid w:val="00FE18B4"/>
    <w:rsid w:val="00FE1E34"/>
    <w:rsid w:val="00FE1E65"/>
    <w:rsid w:val="00FE3662"/>
    <w:rsid w:val="00FE3FBD"/>
    <w:rsid w:val="00FE4C7A"/>
    <w:rsid w:val="00FE5CD4"/>
    <w:rsid w:val="00FE65CF"/>
    <w:rsid w:val="00FE6FB6"/>
    <w:rsid w:val="00FE72CA"/>
    <w:rsid w:val="00FE771A"/>
    <w:rsid w:val="00FF01F0"/>
    <w:rsid w:val="00FF0A75"/>
    <w:rsid w:val="00FF1162"/>
    <w:rsid w:val="00FF24BC"/>
    <w:rsid w:val="00FF274E"/>
    <w:rsid w:val="00FF294C"/>
    <w:rsid w:val="00FF3219"/>
    <w:rsid w:val="00FF3231"/>
    <w:rsid w:val="00FF32C0"/>
    <w:rsid w:val="00FF3645"/>
    <w:rsid w:val="00FF36ED"/>
    <w:rsid w:val="00FF38E6"/>
    <w:rsid w:val="00FF3F44"/>
    <w:rsid w:val="00FF4160"/>
    <w:rsid w:val="00FF4F82"/>
    <w:rsid w:val="00FF4FD0"/>
    <w:rsid w:val="00FF50C2"/>
    <w:rsid w:val="00FF550D"/>
    <w:rsid w:val="00FF5649"/>
    <w:rsid w:val="00FF571A"/>
    <w:rsid w:val="00FF6763"/>
    <w:rsid w:val="00FF7806"/>
    <w:rsid w:val="00FF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C805"/>
  <w14:defaultImageDpi w14:val="32767"/>
  <w15:docId w15:val="{C01E694D-0E23-6145-AF60-77968BAE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895AF5"/>
    <w:pPr>
      <w:spacing w:after="120"/>
    </w:pPr>
  </w:style>
  <w:style w:type="paragraph" w:styleId="Heading1">
    <w:name w:val="heading 1"/>
    <w:basedOn w:val="Normal"/>
    <w:link w:val="Heading1Char"/>
    <w:uiPriority w:val="9"/>
    <w:qFormat/>
    <w:rsid w:val="007537C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65A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E7989"/>
    <w:pPr>
      <w:spacing w:after="0"/>
    </w:pPr>
    <w:rPr>
      <w:rFonts w:ascii="Times New Roman" w:hAnsi="Times New Roman"/>
      <w:sz w:val="20"/>
    </w:rPr>
  </w:style>
  <w:style w:type="character" w:customStyle="1" w:styleId="FootnoteTextChar">
    <w:name w:val="Footnote Text Char"/>
    <w:basedOn w:val="DefaultParagraphFont"/>
    <w:link w:val="FootnoteText"/>
    <w:uiPriority w:val="99"/>
    <w:rsid w:val="003E7989"/>
    <w:rPr>
      <w:rFonts w:ascii="Times New Roman" w:hAnsi="Times New Roman"/>
      <w:sz w:val="20"/>
    </w:rPr>
  </w:style>
  <w:style w:type="character" w:styleId="FootnoteReference">
    <w:name w:val="footnote reference"/>
    <w:basedOn w:val="DefaultParagraphFont"/>
    <w:uiPriority w:val="99"/>
    <w:unhideWhenUsed/>
    <w:rsid w:val="007A778D"/>
    <w:rPr>
      <w:vertAlign w:val="superscript"/>
    </w:rPr>
  </w:style>
  <w:style w:type="paragraph" w:styleId="EndnoteText">
    <w:name w:val="endnote text"/>
    <w:basedOn w:val="Normal"/>
    <w:link w:val="EndnoteTextChar"/>
    <w:uiPriority w:val="99"/>
    <w:unhideWhenUsed/>
    <w:rsid w:val="00895AF5"/>
    <w:pPr>
      <w:spacing w:after="0"/>
    </w:pPr>
  </w:style>
  <w:style w:type="character" w:customStyle="1" w:styleId="EndnoteTextChar">
    <w:name w:val="Endnote Text Char"/>
    <w:basedOn w:val="DefaultParagraphFont"/>
    <w:link w:val="EndnoteText"/>
    <w:uiPriority w:val="99"/>
    <w:rsid w:val="00895AF5"/>
  </w:style>
  <w:style w:type="character" w:styleId="EndnoteReference">
    <w:name w:val="endnote reference"/>
    <w:basedOn w:val="DefaultParagraphFont"/>
    <w:uiPriority w:val="99"/>
    <w:unhideWhenUsed/>
    <w:rsid w:val="00895AF5"/>
    <w:rPr>
      <w:vertAlign w:val="superscript"/>
    </w:rPr>
  </w:style>
  <w:style w:type="paragraph" w:styleId="NormalWeb">
    <w:name w:val="Normal (Web)"/>
    <w:basedOn w:val="Normal"/>
    <w:uiPriority w:val="99"/>
    <w:unhideWhenUsed/>
    <w:rsid w:val="00E86A26"/>
    <w:pPr>
      <w:spacing w:before="100" w:beforeAutospacing="1" w:after="100" w:afterAutospacing="1"/>
    </w:pPr>
    <w:rPr>
      <w:rFonts w:ascii="Times New Roman" w:hAnsi="Times New Roman" w:cs="Times New Roman"/>
      <w:lang w:eastAsia="en-GB"/>
    </w:rPr>
  </w:style>
  <w:style w:type="paragraph" w:customStyle="1" w:styleId="Style1">
    <w:name w:val="Style1"/>
    <w:basedOn w:val="FootnoteText"/>
    <w:qFormat/>
    <w:rsid w:val="00895AF5"/>
    <w:pPr>
      <w:widowControl w:val="0"/>
      <w:suppressLineNumbers/>
      <w:adjustRightInd w:val="0"/>
    </w:pPr>
  </w:style>
  <w:style w:type="paragraph" w:styleId="Header">
    <w:name w:val="header"/>
    <w:basedOn w:val="Normal"/>
    <w:link w:val="HeaderChar"/>
    <w:uiPriority w:val="99"/>
    <w:unhideWhenUsed/>
    <w:rsid w:val="001375BB"/>
    <w:pPr>
      <w:tabs>
        <w:tab w:val="center" w:pos="4513"/>
        <w:tab w:val="right" w:pos="9026"/>
      </w:tabs>
      <w:spacing w:after="0"/>
    </w:pPr>
  </w:style>
  <w:style w:type="character" w:customStyle="1" w:styleId="HeaderChar">
    <w:name w:val="Header Char"/>
    <w:basedOn w:val="DefaultParagraphFont"/>
    <w:link w:val="Header"/>
    <w:uiPriority w:val="99"/>
    <w:rsid w:val="001375BB"/>
    <w:rPr>
      <w:sz w:val="22"/>
      <w:szCs w:val="22"/>
    </w:rPr>
  </w:style>
  <w:style w:type="paragraph" w:styleId="Footer">
    <w:name w:val="footer"/>
    <w:basedOn w:val="Normal"/>
    <w:link w:val="FooterChar"/>
    <w:uiPriority w:val="99"/>
    <w:unhideWhenUsed/>
    <w:rsid w:val="001375BB"/>
    <w:pPr>
      <w:tabs>
        <w:tab w:val="center" w:pos="4513"/>
        <w:tab w:val="right" w:pos="9026"/>
      </w:tabs>
      <w:spacing w:after="0"/>
    </w:pPr>
  </w:style>
  <w:style w:type="character" w:customStyle="1" w:styleId="FooterChar">
    <w:name w:val="Footer Char"/>
    <w:basedOn w:val="DefaultParagraphFont"/>
    <w:link w:val="Footer"/>
    <w:uiPriority w:val="99"/>
    <w:rsid w:val="001375BB"/>
    <w:rPr>
      <w:sz w:val="22"/>
      <w:szCs w:val="22"/>
    </w:rPr>
  </w:style>
  <w:style w:type="paragraph" w:styleId="ListParagraph">
    <w:name w:val="List Paragraph"/>
    <w:basedOn w:val="Normal"/>
    <w:uiPriority w:val="34"/>
    <w:qFormat/>
    <w:rsid w:val="00A1142E"/>
    <w:pPr>
      <w:spacing w:after="240"/>
      <w:ind w:left="720"/>
      <w:contextualSpacing/>
      <w:jc w:val="center"/>
    </w:pPr>
  </w:style>
  <w:style w:type="table" w:styleId="TableGrid">
    <w:name w:val="Table Grid"/>
    <w:basedOn w:val="TableNormal"/>
    <w:uiPriority w:val="39"/>
    <w:rsid w:val="00F14F80"/>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253D"/>
    <w:pPr>
      <w:spacing w:after="200"/>
    </w:pPr>
    <w:rPr>
      <w:rFonts w:eastAsiaTheme="minorEastAsia"/>
      <w:b/>
      <w:bCs/>
      <w:color w:val="4472C4" w:themeColor="accent1"/>
      <w:sz w:val="18"/>
      <w:szCs w:val="18"/>
      <w:lang w:val="en-US" w:eastAsia="zh-CN"/>
    </w:rPr>
  </w:style>
  <w:style w:type="character" w:styleId="PlaceholderText">
    <w:name w:val="Placeholder Text"/>
    <w:basedOn w:val="DefaultParagraphFont"/>
    <w:uiPriority w:val="99"/>
    <w:semiHidden/>
    <w:rsid w:val="00FE0EF0"/>
    <w:rPr>
      <w:color w:val="808080"/>
    </w:rPr>
  </w:style>
  <w:style w:type="paragraph" w:styleId="BalloonText">
    <w:name w:val="Balloon Text"/>
    <w:basedOn w:val="Normal"/>
    <w:link w:val="BalloonTextChar"/>
    <w:uiPriority w:val="99"/>
    <w:semiHidden/>
    <w:unhideWhenUsed/>
    <w:rsid w:val="00FC1B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CB"/>
    <w:rPr>
      <w:rFonts w:ascii="Tahoma" w:hAnsi="Tahoma" w:cs="Tahoma"/>
      <w:sz w:val="16"/>
      <w:szCs w:val="16"/>
    </w:rPr>
  </w:style>
  <w:style w:type="character" w:styleId="Hyperlink">
    <w:name w:val="Hyperlink"/>
    <w:basedOn w:val="DefaultParagraphFont"/>
    <w:uiPriority w:val="99"/>
    <w:unhideWhenUsed/>
    <w:rsid w:val="007355B9"/>
    <w:rPr>
      <w:color w:val="0000FF"/>
      <w:u w:val="single"/>
    </w:rPr>
  </w:style>
  <w:style w:type="table" w:styleId="PlainTable1">
    <w:name w:val="Plain Table 1"/>
    <w:basedOn w:val="TableNormal"/>
    <w:uiPriority w:val="41"/>
    <w:rsid w:val="00291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va-e-listitem">
    <w:name w:val="nova-e-list__item"/>
    <w:basedOn w:val="Normal"/>
    <w:rsid w:val="00AF1E18"/>
    <w:pPr>
      <w:spacing w:before="100" w:beforeAutospacing="1" w:after="100" w:afterAutospacing="1"/>
    </w:pPr>
    <w:rPr>
      <w:rFonts w:ascii="Times New Roman" w:eastAsia="Times New Roman" w:hAnsi="Times New Roman" w:cs="Times New Roman"/>
      <w:lang w:eastAsia="en-GB"/>
    </w:rPr>
  </w:style>
  <w:style w:type="character" w:customStyle="1" w:styleId="hgkelc">
    <w:name w:val="hgkelc"/>
    <w:basedOn w:val="DefaultParagraphFont"/>
    <w:rsid w:val="006D48A1"/>
  </w:style>
  <w:style w:type="character" w:customStyle="1" w:styleId="Heading1Char">
    <w:name w:val="Heading 1 Char"/>
    <w:basedOn w:val="DefaultParagraphFont"/>
    <w:link w:val="Heading1"/>
    <w:uiPriority w:val="9"/>
    <w:rsid w:val="007537CA"/>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rsid w:val="007537CA"/>
    <w:rPr>
      <w:color w:val="605E5C"/>
      <w:shd w:val="clear" w:color="auto" w:fill="E1DFDD"/>
    </w:rPr>
  </w:style>
  <w:style w:type="character" w:customStyle="1" w:styleId="Heading2Char">
    <w:name w:val="Heading 2 Char"/>
    <w:basedOn w:val="DefaultParagraphFont"/>
    <w:link w:val="Heading2"/>
    <w:uiPriority w:val="9"/>
    <w:semiHidden/>
    <w:rsid w:val="00A65A40"/>
    <w:rPr>
      <w:rFonts w:asciiTheme="majorHAnsi" w:eastAsiaTheme="majorEastAsia" w:hAnsiTheme="majorHAnsi" w:cstheme="majorBidi"/>
      <w:color w:val="2F5496" w:themeColor="accent1" w:themeShade="BF"/>
      <w:sz w:val="26"/>
      <w:szCs w:val="26"/>
    </w:rPr>
  </w:style>
  <w:style w:type="character" w:customStyle="1" w:styleId="hlfld-title">
    <w:name w:val="hlfld-title"/>
    <w:basedOn w:val="DefaultParagraphFont"/>
    <w:rsid w:val="00A65A40"/>
  </w:style>
  <w:style w:type="character" w:customStyle="1" w:styleId="hlfld-contribauthor">
    <w:name w:val="hlfld-contribauthor"/>
    <w:basedOn w:val="DefaultParagraphFont"/>
    <w:rsid w:val="00A65A40"/>
  </w:style>
  <w:style w:type="character" w:customStyle="1" w:styleId="singlehighlightclass">
    <w:name w:val="single_highlight_class"/>
    <w:basedOn w:val="DefaultParagraphFont"/>
    <w:rsid w:val="00A65A40"/>
  </w:style>
  <w:style w:type="paragraph" w:customStyle="1" w:styleId="metaepubdate">
    <w:name w:val="meta__epubdate"/>
    <w:basedOn w:val="Normal"/>
    <w:rsid w:val="00A65A40"/>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A0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958">
      <w:bodyDiv w:val="1"/>
      <w:marLeft w:val="0"/>
      <w:marRight w:val="0"/>
      <w:marTop w:val="0"/>
      <w:marBottom w:val="0"/>
      <w:divBdr>
        <w:top w:val="none" w:sz="0" w:space="0" w:color="auto"/>
        <w:left w:val="none" w:sz="0" w:space="0" w:color="auto"/>
        <w:bottom w:val="none" w:sz="0" w:space="0" w:color="auto"/>
        <w:right w:val="none" w:sz="0" w:space="0" w:color="auto"/>
      </w:divBdr>
      <w:divsChild>
        <w:div w:id="1488595177">
          <w:marLeft w:val="0"/>
          <w:marRight w:val="0"/>
          <w:marTop w:val="0"/>
          <w:marBottom w:val="0"/>
          <w:divBdr>
            <w:top w:val="none" w:sz="0" w:space="0" w:color="auto"/>
            <w:left w:val="none" w:sz="0" w:space="0" w:color="auto"/>
            <w:bottom w:val="none" w:sz="0" w:space="0" w:color="auto"/>
            <w:right w:val="none" w:sz="0" w:space="0" w:color="auto"/>
          </w:divBdr>
          <w:divsChild>
            <w:div w:id="369569237">
              <w:marLeft w:val="0"/>
              <w:marRight w:val="0"/>
              <w:marTop w:val="0"/>
              <w:marBottom w:val="0"/>
              <w:divBdr>
                <w:top w:val="none" w:sz="0" w:space="0" w:color="auto"/>
                <w:left w:val="none" w:sz="0" w:space="0" w:color="auto"/>
                <w:bottom w:val="none" w:sz="0" w:space="0" w:color="auto"/>
                <w:right w:val="none" w:sz="0" w:space="0" w:color="auto"/>
              </w:divBdr>
              <w:divsChild>
                <w:div w:id="1297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569">
      <w:bodyDiv w:val="1"/>
      <w:marLeft w:val="0"/>
      <w:marRight w:val="0"/>
      <w:marTop w:val="0"/>
      <w:marBottom w:val="0"/>
      <w:divBdr>
        <w:top w:val="none" w:sz="0" w:space="0" w:color="auto"/>
        <w:left w:val="none" w:sz="0" w:space="0" w:color="auto"/>
        <w:bottom w:val="none" w:sz="0" w:space="0" w:color="auto"/>
        <w:right w:val="none" w:sz="0" w:space="0" w:color="auto"/>
      </w:divBdr>
      <w:divsChild>
        <w:div w:id="607464361">
          <w:marLeft w:val="0"/>
          <w:marRight w:val="0"/>
          <w:marTop w:val="0"/>
          <w:marBottom w:val="0"/>
          <w:divBdr>
            <w:top w:val="none" w:sz="0" w:space="0" w:color="auto"/>
            <w:left w:val="none" w:sz="0" w:space="0" w:color="auto"/>
            <w:bottom w:val="none" w:sz="0" w:space="0" w:color="auto"/>
            <w:right w:val="none" w:sz="0" w:space="0" w:color="auto"/>
          </w:divBdr>
          <w:divsChild>
            <w:div w:id="824975133">
              <w:marLeft w:val="0"/>
              <w:marRight w:val="0"/>
              <w:marTop w:val="0"/>
              <w:marBottom w:val="0"/>
              <w:divBdr>
                <w:top w:val="none" w:sz="0" w:space="0" w:color="auto"/>
                <w:left w:val="none" w:sz="0" w:space="0" w:color="auto"/>
                <w:bottom w:val="none" w:sz="0" w:space="0" w:color="auto"/>
                <w:right w:val="none" w:sz="0" w:space="0" w:color="auto"/>
              </w:divBdr>
              <w:divsChild>
                <w:div w:id="19547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90068">
      <w:bodyDiv w:val="1"/>
      <w:marLeft w:val="0"/>
      <w:marRight w:val="0"/>
      <w:marTop w:val="0"/>
      <w:marBottom w:val="0"/>
      <w:divBdr>
        <w:top w:val="none" w:sz="0" w:space="0" w:color="auto"/>
        <w:left w:val="none" w:sz="0" w:space="0" w:color="auto"/>
        <w:bottom w:val="none" w:sz="0" w:space="0" w:color="auto"/>
        <w:right w:val="none" w:sz="0" w:space="0" w:color="auto"/>
      </w:divBdr>
    </w:div>
    <w:div w:id="470833337">
      <w:bodyDiv w:val="1"/>
      <w:marLeft w:val="0"/>
      <w:marRight w:val="0"/>
      <w:marTop w:val="0"/>
      <w:marBottom w:val="0"/>
      <w:divBdr>
        <w:top w:val="none" w:sz="0" w:space="0" w:color="auto"/>
        <w:left w:val="none" w:sz="0" w:space="0" w:color="auto"/>
        <w:bottom w:val="none" w:sz="0" w:space="0" w:color="auto"/>
        <w:right w:val="none" w:sz="0" w:space="0" w:color="auto"/>
      </w:divBdr>
      <w:divsChild>
        <w:div w:id="1977681237">
          <w:marLeft w:val="0"/>
          <w:marRight w:val="0"/>
          <w:marTop w:val="0"/>
          <w:marBottom w:val="0"/>
          <w:divBdr>
            <w:top w:val="none" w:sz="0" w:space="0" w:color="auto"/>
            <w:left w:val="none" w:sz="0" w:space="0" w:color="auto"/>
            <w:bottom w:val="none" w:sz="0" w:space="0" w:color="auto"/>
            <w:right w:val="none" w:sz="0" w:space="0" w:color="auto"/>
          </w:divBdr>
          <w:divsChild>
            <w:div w:id="492374430">
              <w:marLeft w:val="0"/>
              <w:marRight w:val="0"/>
              <w:marTop w:val="0"/>
              <w:marBottom w:val="0"/>
              <w:divBdr>
                <w:top w:val="none" w:sz="0" w:space="0" w:color="auto"/>
                <w:left w:val="none" w:sz="0" w:space="0" w:color="auto"/>
                <w:bottom w:val="none" w:sz="0" w:space="0" w:color="auto"/>
                <w:right w:val="none" w:sz="0" w:space="0" w:color="auto"/>
              </w:divBdr>
              <w:divsChild>
                <w:div w:id="12827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7037">
      <w:bodyDiv w:val="1"/>
      <w:marLeft w:val="0"/>
      <w:marRight w:val="0"/>
      <w:marTop w:val="0"/>
      <w:marBottom w:val="0"/>
      <w:divBdr>
        <w:top w:val="none" w:sz="0" w:space="0" w:color="auto"/>
        <w:left w:val="none" w:sz="0" w:space="0" w:color="auto"/>
        <w:bottom w:val="none" w:sz="0" w:space="0" w:color="auto"/>
        <w:right w:val="none" w:sz="0" w:space="0" w:color="auto"/>
      </w:divBdr>
      <w:divsChild>
        <w:div w:id="1191845658">
          <w:marLeft w:val="0"/>
          <w:marRight w:val="0"/>
          <w:marTop w:val="0"/>
          <w:marBottom w:val="0"/>
          <w:divBdr>
            <w:top w:val="none" w:sz="0" w:space="0" w:color="auto"/>
            <w:left w:val="none" w:sz="0" w:space="0" w:color="auto"/>
            <w:bottom w:val="none" w:sz="0" w:space="0" w:color="auto"/>
            <w:right w:val="none" w:sz="0" w:space="0" w:color="auto"/>
          </w:divBdr>
          <w:divsChild>
            <w:div w:id="1104302237">
              <w:marLeft w:val="0"/>
              <w:marRight w:val="0"/>
              <w:marTop w:val="0"/>
              <w:marBottom w:val="0"/>
              <w:divBdr>
                <w:top w:val="none" w:sz="0" w:space="0" w:color="auto"/>
                <w:left w:val="none" w:sz="0" w:space="0" w:color="auto"/>
                <w:bottom w:val="none" w:sz="0" w:space="0" w:color="auto"/>
                <w:right w:val="none" w:sz="0" w:space="0" w:color="auto"/>
              </w:divBdr>
              <w:divsChild>
                <w:div w:id="4665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026">
      <w:bodyDiv w:val="1"/>
      <w:marLeft w:val="0"/>
      <w:marRight w:val="0"/>
      <w:marTop w:val="0"/>
      <w:marBottom w:val="0"/>
      <w:divBdr>
        <w:top w:val="none" w:sz="0" w:space="0" w:color="auto"/>
        <w:left w:val="none" w:sz="0" w:space="0" w:color="auto"/>
        <w:bottom w:val="none" w:sz="0" w:space="0" w:color="auto"/>
        <w:right w:val="none" w:sz="0" w:space="0" w:color="auto"/>
      </w:divBdr>
      <w:divsChild>
        <w:div w:id="226038576">
          <w:marLeft w:val="0"/>
          <w:marRight w:val="0"/>
          <w:marTop w:val="0"/>
          <w:marBottom w:val="0"/>
          <w:divBdr>
            <w:top w:val="none" w:sz="0" w:space="0" w:color="auto"/>
            <w:left w:val="none" w:sz="0" w:space="0" w:color="auto"/>
            <w:bottom w:val="none" w:sz="0" w:space="0" w:color="auto"/>
            <w:right w:val="none" w:sz="0" w:space="0" w:color="auto"/>
          </w:divBdr>
          <w:divsChild>
            <w:div w:id="1168669395">
              <w:marLeft w:val="0"/>
              <w:marRight w:val="0"/>
              <w:marTop w:val="0"/>
              <w:marBottom w:val="0"/>
              <w:divBdr>
                <w:top w:val="none" w:sz="0" w:space="0" w:color="auto"/>
                <w:left w:val="none" w:sz="0" w:space="0" w:color="auto"/>
                <w:bottom w:val="none" w:sz="0" w:space="0" w:color="auto"/>
                <w:right w:val="none" w:sz="0" w:space="0" w:color="auto"/>
              </w:divBdr>
              <w:divsChild>
                <w:div w:id="580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1070692746">
      <w:bodyDiv w:val="1"/>
      <w:marLeft w:val="0"/>
      <w:marRight w:val="0"/>
      <w:marTop w:val="0"/>
      <w:marBottom w:val="0"/>
      <w:divBdr>
        <w:top w:val="none" w:sz="0" w:space="0" w:color="auto"/>
        <w:left w:val="none" w:sz="0" w:space="0" w:color="auto"/>
        <w:bottom w:val="none" w:sz="0" w:space="0" w:color="auto"/>
        <w:right w:val="none" w:sz="0" w:space="0" w:color="auto"/>
      </w:divBdr>
      <w:divsChild>
        <w:div w:id="1998651730">
          <w:marLeft w:val="0"/>
          <w:marRight w:val="0"/>
          <w:marTop w:val="0"/>
          <w:marBottom w:val="0"/>
          <w:divBdr>
            <w:top w:val="none" w:sz="0" w:space="0" w:color="auto"/>
            <w:left w:val="none" w:sz="0" w:space="0" w:color="auto"/>
            <w:bottom w:val="none" w:sz="0" w:space="0" w:color="auto"/>
            <w:right w:val="none" w:sz="0" w:space="0" w:color="auto"/>
          </w:divBdr>
          <w:divsChild>
            <w:div w:id="1418601698">
              <w:marLeft w:val="0"/>
              <w:marRight w:val="0"/>
              <w:marTop w:val="0"/>
              <w:marBottom w:val="0"/>
              <w:divBdr>
                <w:top w:val="none" w:sz="0" w:space="0" w:color="auto"/>
                <w:left w:val="none" w:sz="0" w:space="0" w:color="auto"/>
                <w:bottom w:val="none" w:sz="0" w:space="0" w:color="auto"/>
                <w:right w:val="none" w:sz="0" w:space="0" w:color="auto"/>
              </w:divBdr>
              <w:divsChild>
                <w:div w:id="2636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20543">
      <w:bodyDiv w:val="1"/>
      <w:marLeft w:val="0"/>
      <w:marRight w:val="0"/>
      <w:marTop w:val="0"/>
      <w:marBottom w:val="0"/>
      <w:divBdr>
        <w:top w:val="none" w:sz="0" w:space="0" w:color="auto"/>
        <w:left w:val="none" w:sz="0" w:space="0" w:color="auto"/>
        <w:bottom w:val="none" w:sz="0" w:space="0" w:color="auto"/>
        <w:right w:val="none" w:sz="0" w:space="0" w:color="auto"/>
      </w:divBdr>
    </w:div>
    <w:div w:id="1093672325">
      <w:bodyDiv w:val="1"/>
      <w:marLeft w:val="0"/>
      <w:marRight w:val="0"/>
      <w:marTop w:val="0"/>
      <w:marBottom w:val="0"/>
      <w:divBdr>
        <w:top w:val="none" w:sz="0" w:space="0" w:color="auto"/>
        <w:left w:val="none" w:sz="0" w:space="0" w:color="auto"/>
        <w:bottom w:val="none" w:sz="0" w:space="0" w:color="auto"/>
        <w:right w:val="none" w:sz="0" w:space="0" w:color="auto"/>
      </w:divBdr>
    </w:div>
    <w:div w:id="1137260428">
      <w:bodyDiv w:val="1"/>
      <w:marLeft w:val="0"/>
      <w:marRight w:val="0"/>
      <w:marTop w:val="0"/>
      <w:marBottom w:val="0"/>
      <w:divBdr>
        <w:top w:val="none" w:sz="0" w:space="0" w:color="auto"/>
        <w:left w:val="none" w:sz="0" w:space="0" w:color="auto"/>
        <w:bottom w:val="none" w:sz="0" w:space="0" w:color="auto"/>
        <w:right w:val="none" w:sz="0" w:space="0" w:color="auto"/>
      </w:divBdr>
    </w:div>
    <w:div w:id="1363896023">
      <w:bodyDiv w:val="1"/>
      <w:marLeft w:val="0"/>
      <w:marRight w:val="0"/>
      <w:marTop w:val="0"/>
      <w:marBottom w:val="0"/>
      <w:divBdr>
        <w:top w:val="none" w:sz="0" w:space="0" w:color="auto"/>
        <w:left w:val="none" w:sz="0" w:space="0" w:color="auto"/>
        <w:bottom w:val="none" w:sz="0" w:space="0" w:color="auto"/>
        <w:right w:val="none" w:sz="0" w:space="0" w:color="auto"/>
      </w:divBdr>
    </w:div>
    <w:div w:id="1465274548">
      <w:bodyDiv w:val="1"/>
      <w:marLeft w:val="0"/>
      <w:marRight w:val="0"/>
      <w:marTop w:val="0"/>
      <w:marBottom w:val="0"/>
      <w:divBdr>
        <w:top w:val="none" w:sz="0" w:space="0" w:color="auto"/>
        <w:left w:val="none" w:sz="0" w:space="0" w:color="auto"/>
        <w:bottom w:val="none" w:sz="0" w:space="0" w:color="auto"/>
        <w:right w:val="none" w:sz="0" w:space="0" w:color="auto"/>
      </w:divBdr>
      <w:divsChild>
        <w:div w:id="1238134220">
          <w:marLeft w:val="0"/>
          <w:marRight w:val="0"/>
          <w:marTop w:val="0"/>
          <w:marBottom w:val="0"/>
          <w:divBdr>
            <w:top w:val="none" w:sz="0" w:space="0" w:color="auto"/>
            <w:left w:val="none" w:sz="0" w:space="0" w:color="auto"/>
            <w:bottom w:val="none" w:sz="0" w:space="0" w:color="auto"/>
            <w:right w:val="none" w:sz="0" w:space="0" w:color="auto"/>
          </w:divBdr>
          <w:divsChild>
            <w:div w:id="8931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61524">
      <w:bodyDiv w:val="1"/>
      <w:marLeft w:val="0"/>
      <w:marRight w:val="0"/>
      <w:marTop w:val="0"/>
      <w:marBottom w:val="0"/>
      <w:divBdr>
        <w:top w:val="none" w:sz="0" w:space="0" w:color="auto"/>
        <w:left w:val="none" w:sz="0" w:space="0" w:color="auto"/>
        <w:bottom w:val="none" w:sz="0" w:space="0" w:color="auto"/>
        <w:right w:val="none" w:sz="0" w:space="0" w:color="auto"/>
      </w:divBdr>
      <w:divsChild>
        <w:div w:id="1338997043">
          <w:marLeft w:val="0"/>
          <w:marRight w:val="0"/>
          <w:marTop w:val="0"/>
          <w:marBottom w:val="0"/>
          <w:divBdr>
            <w:top w:val="none" w:sz="0" w:space="0" w:color="auto"/>
            <w:left w:val="none" w:sz="0" w:space="0" w:color="auto"/>
            <w:bottom w:val="none" w:sz="0" w:space="0" w:color="auto"/>
            <w:right w:val="none" w:sz="0" w:space="0" w:color="auto"/>
          </w:divBdr>
          <w:divsChild>
            <w:div w:id="1467896303">
              <w:marLeft w:val="0"/>
              <w:marRight w:val="0"/>
              <w:marTop w:val="0"/>
              <w:marBottom w:val="0"/>
              <w:divBdr>
                <w:top w:val="none" w:sz="0" w:space="0" w:color="auto"/>
                <w:left w:val="none" w:sz="0" w:space="0" w:color="auto"/>
                <w:bottom w:val="none" w:sz="0" w:space="0" w:color="auto"/>
                <w:right w:val="none" w:sz="0" w:space="0" w:color="auto"/>
              </w:divBdr>
              <w:divsChild>
                <w:div w:id="18241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7321">
      <w:bodyDiv w:val="1"/>
      <w:marLeft w:val="0"/>
      <w:marRight w:val="0"/>
      <w:marTop w:val="0"/>
      <w:marBottom w:val="0"/>
      <w:divBdr>
        <w:top w:val="none" w:sz="0" w:space="0" w:color="auto"/>
        <w:left w:val="none" w:sz="0" w:space="0" w:color="auto"/>
        <w:bottom w:val="none" w:sz="0" w:space="0" w:color="auto"/>
        <w:right w:val="none" w:sz="0" w:space="0" w:color="auto"/>
      </w:divBdr>
      <w:divsChild>
        <w:div w:id="864367575">
          <w:marLeft w:val="0"/>
          <w:marRight w:val="0"/>
          <w:marTop w:val="0"/>
          <w:marBottom w:val="0"/>
          <w:divBdr>
            <w:top w:val="none" w:sz="0" w:space="0" w:color="auto"/>
            <w:left w:val="none" w:sz="0" w:space="0" w:color="auto"/>
            <w:bottom w:val="none" w:sz="0" w:space="0" w:color="auto"/>
            <w:right w:val="none" w:sz="0" w:space="0" w:color="auto"/>
          </w:divBdr>
          <w:divsChild>
            <w:div w:id="1395547741">
              <w:marLeft w:val="0"/>
              <w:marRight w:val="0"/>
              <w:marTop w:val="0"/>
              <w:marBottom w:val="0"/>
              <w:divBdr>
                <w:top w:val="none" w:sz="0" w:space="0" w:color="auto"/>
                <w:left w:val="none" w:sz="0" w:space="0" w:color="auto"/>
                <w:bottom w:val="none" w:sz="0" w:space="0" w:color="auto"/>
                <w:right w:val="none" w:sz="0" w:space="0" w:color="auto"/>
              </w:divBdr>
              <w:divsChild>
                <w:div w:id="11216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7014">
      <w:bodyDiv w:val="1"/>
      <w:marLeft w:val="0"/>
      <w:marRight w:val="0"/>
      <w:marTop w:val="0"/>
      <w:marBottom w:val="0"/>
      <w:divBdr>
        <w:top w:val="none" w:sz="0" w:space="0" w:color="auto"/>
        <w:left w:val="none" w:sz="0" w:space="0" w:color="auto"/>
        <w:bottom w:val="none" w:sz="0" w:space="0" w:color="auto"/>
        <w:right w:val="none" w:sz="0" w:space="0" w:color="auto"/>
      </w:divBdr>
      <w:divsChild>
        <w:div w:id="2010139503">
          <w:marLeft w:val="0"/>
          <w:marRight w:val="0"/>
          <w:marTop w:val="0"/>
          <w:marBottom w:val="0"/>
          <w:divBdr>
            <w:top w:val="none" w:sz="0" w:space="0" w:color="auto"/>
            <w:left w:val="none" w:sz="0" w:space="0" w:color="auto"/>
            <w:bottom w:val="none" w:sz="0" w:space="0" w:color="auto"/>
            <w:right w:val="none" w:sz="0" w:space="0" w:color="auto"/>
          </w:divBdr>
          <w:divsChild>
            <w:div w:id="451172041">
              <w:marLeft w:val="0"/>
              <w:marRight w:val="0"/>
              <w:marTop w:val="0"/>
              <w:marBottom w:val="0"/>
              <w:divBdr>
                <w:top w:val="none" w:sz="0" w:space="0" w:color="auto"/>
                <w:left w:val="none" w:sz="0" w:space="0" w:color="auto"/>
                <w:bottom w:val="none" w:sz="0" w:space="0" w:color="auto"/>
                <w:right w:val="none" w:sz="0" w:space="0" w:color="auto"/>
              </w:divBdr>
              <w:divsChild>
                <w:div w:id="660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8769">
      <w:bodyDiv w:val="1"/>
      <w:marLeft w:val="0"/>
      <w:marRight w:val="0"/>
      <w:marTop w:val="0"/>
      <w:marBottom w:val="0"/>
      <w:divBdr>
        <w:top w:val="none" w:sz="0" w:space="0" w:color="auto"/>
        <w:left w:val="none" w:sz="0" w:space="0" w:color="auto"/>
        <w:bottom w:val="none" w:sz="0" w:space="0" w:color="auto"/>
        <w:right w:val="none" w:sz="0" w:space="0" w:color="auto"/>
      </w:divBdr>
    </w:div>
    <w:div w:id="1954559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fred.stlouisfe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jingcynthiawu/shadow-rat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l.org.uk" TargetMode="External"/><Relationship Id="rId5" Type="http://schemas.openxmlformats.org/officeDocument/2006/relationships/webSettings" Target="webSettings.xml"/><Relationship Id="rId15" Type="http://schemas.openxmlformats.org/officeDocument/2006/relationships/hyperlink" Target="https://sites.google.com/view/jingcynthiawu/shadow-rates" TargetMode="External"/><Relationship Id="rId10" Type="http://schemas.openxmlformats.org/officeDocument/2006/relationships/hyperlink" Target="https://fred.stlouisfed.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ml.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ilshad.jahan@swansea.ac.uk" TargetMode="External"/><Relationship Id="rId7" Type="http://schemas.openxmlformats.org/officeDocument/2006/relationships/hyperlink" Target="https://sites.google.com/view/jingcynthiawu/shadow-rates" TargetMode="External"/><Relationship Id="rId2" Type="http://schemas.openxmlformats.org/officeDocument/2006/relationships/hyperlink" Target="mailto:r.a.chowdhury@swansea.ac.uk" TargetMode="External"/><Relationship Id="rId1" Type="http://schemas.openxmlformats.org/officeDocument/2006/relationships/hyperlink" Target="mailto:t.k.mishra@soton.ac.uk" TargetMode="External"/><Relationship Id="rId6" Type="http://schemas.openxmlformats.org/officeDocument/2006/relationships/hyperlink" Target="http://www.cml.org.uk/" TargetMode="External"/><Relationship Id="rId5" Type="http://schemas.openxmlformats.org/officeDocument/2006/relationships/hyperlink" Target="https://fred.stlouisfed.org/" TargetMode="External"/><Relationship Id="rId4" Type="http://schemas.openxmlformats.org/officeDocument/2006/relationships/hyperlink" Target="mailto:mamata.parhi@roehampton.ac.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9T23:41:58.505"/>
    </inkml:context>
    <inkml:brush xml:id="br0">
      <inkml:brushProperty name="width" value="0.025" units="cm"/>
      <inkml:brushProperty name="height" value="0.15" units="cm"/>
      <inkml:brushProperty name="color" value="#E71224"/>
      <inkml:brushProperty name="inkEffects" value="pencil"/>
    </inkml:brush>
  </inkml:definitions>
  <inkml:trace contextRef="#ctx0" brushRef="#br0">1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E35D17A-D93A-4CC1-AB83-DF7805CF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28</Pages>
  <Words>9254</Words>
  <Characters>52751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Chowdhury R.A.</dc:creator>
  <cp:keywords/>
  <dc:description/>
  <cp:lastModifiedBy>Tapas Mishra</cp:lastModifiedBy>
  <cp:revision>18</cp:revision>
  <cp:lastPrinted>2019-04-23T14:19:00Z</cp:lastPrinted>
  <dcterms:created xsi:type="dcterms:W3CDTF">2022-08-16T00:19:00Z</dcterms:created>
  <dcterms:modified xsi:type="dcterms:W3CDTF">2022-08-18T22:06:00Z</dcterms:modified>
  <cp:category/>
</cp:coreProperties>
</file>