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EEBB" w14:textId="139C1CA2" w:rsidR="00A05F06" w:rsidRPr="0068284F" w:rsidRDefault="008220CD" w:rsidP="00A05F06">
      <w:pPr>
        <w:pStyle w:val="Title"/>
      </w:pPr>
      <w:r>
        <w:t>Maladaptation</w:t>
      </w:r>
      <w:r w:rsidR="00697B7B">
        <w:t xml:space="preserve"> in Air Traffic </w:t>
      </w:r>
      <w:r w:rsidR="008C556A">
        <w:t>Management</w:t>
      </w:r>
      <w:r>
        <w:t xml:space="preserve">: </w:t>
      </w:r>
      <w:r w:rsidR="002F7DA3">
        <w:t>Development of a</w:t>
      </w:r>
      <w:r>
        <w:t xml:space="preserve"> Human Factors methods</w:t>
      </w:r>
      <w:r w:rsidR="002F7DA3">
        <w:t xml:space="preserve"> framework</w:t>
      </w:r>
    </w:p>
    <w:p w14:paraId="6D5EE8F9" w14:textId="77777777" w:rsidR="002E7C20" w:rsidRDefault="002E7C20" w:rsidP="00270760">
      <w:pPr>
        <w:pStyle w:val="Subtitle"/>
      </w:pPr>
    </w:p>
    <w:p w14:paraId="509FB3D5" w14:textId="614D4BB9" w:rsidR="00270760" w:rsidRDefault="002E7C20" w:rsidP="00270760">
      <w:pPr>
        <w:pStyle w:val="Subtitle"/>
      </w:pPr>
      <w:r>
        <w:t>[Author details removed for blind review]</w:t>
      </w:r>
    </w:p>
    <w:p w14:paraId="2283F090" w14:textId="1ADD78CB" w:rsidR="008272D7" w:rsidRDefault="00321702" w:rsidP="00381F25">
      <w:pPr>
        <w:pStyle w:val="Heading1"/>
        <w:numPr>
          <w:ilvl w:val="0"/>
          <w:numId w:val="0"/>
        </w:numPr>
        <w:ind w:left="432" w:hanging="432"/>
      </w:pPr>
      <w:r>
        <w:t>Abstract</w:t>
      </w:r>
    </w:p>
    <w:p w14:paraId="3D6FCF0D" w14:textId="587025DF" w:rsidR="00321702" w:rsidRDefault="006C3A34" w:rsidP="00321702">
      <w:r>
        <w:t xml:space="preserve">Human Factors methods play a key role </w:t>
      </w:r>
      <w:r w:rsidR="00A03952">
        <w:t>in challenging assumptions, analysing interactions and informing decision-making</w:t>
      </w:r>
      <w:r w:rsidR="00F606A8">
        <w:t xml:space="preserve"> in </w:t>
      </w:r>
      <w:r w:rsidR="001D0280">
        <w:t>complex sociotechnical systems and organisations that manage safety risks</w:t>
      </w:r>
      <w:r w:rsidR="00A03952">
        <w:t xml:space="preserve">. </w:t>
      </w:r>
      <w:r w:rsidR="00440C4C">
        <w:t>Structured methodological approaches</w:t>
      </w:r>
      <w:r w:rsidR="002106FF">
        <w:t xml:space="preserve"> also</w:t>
      </w:r>
      <w:r w:rsidR="00440C4C">
        <w:t xml:space="preserve"> have a role to play in </w:t>
      </w:r>
      <w:r w:rsidR="00090F2E">
        <w:t>better understanding properties of systems such as adaptation</w:t>
      </w:r>
      <w:r w:rsidR="003C023A">
        <w:t>. Adaptation is increasingly recognised as being a</w:t>
      </w:r>
      <w:r w:rsidR="002106FF">
        <w:t xml:space="preserve">n important feature that </w:t>
      </w:r>
      <w:r w:rsidR="00A31769">
        <w:t xml:space="preserve">supports the </w:t>
      </w:r>
      <w:r w:rsidR="00A80A0F">
        <w:t>produc</w:t>
      </w:r>
      <w:r w:rsidR="00A31769">
        <w:t>tion of</w:t>
      </w:r>
      <w:r w:rsidR="00A80A0F">
        <w:t xml:space="preserve"> safety in complex sociotechnical systems. </w:t>
      </w:r>
      <w:r w:rsidR="00A03952">
        <w:t>A safety management intervention</w:t>
      </w:r>
      <w:r w:rsidR="00F83F39">
        <w:t>,</w:t>
      </w:r>
      <w:r w:rsidR="00A03952">
        <w:t xml:space="preserve"> introduced to address a </w:t>
      </w:r>
      <w:r w:rsidR="00A3701D">
        <w:t xml:space="preserve">real risk in UK air traffic control </w:t>
      </w:r>
      <w:r w:rsidR="001D0280">
        <w:t>but</w:t>
      </w:r>
      <w:r w:rsidR="00F83F39">
        <w:t xml:space="preserve"> which </w:t>
      </w:r>
      <w:r w:rsidR="005A70DC">
        <w:t>resulted in unanticipated maladaptive and emergent effects</w:t>
      </w:r>
      <w:r w:rsidR="00F83F39">
        <w:t xml:space="preserve">, </w:t>
      </w:r>
      <w:r w:rsidR="00A3701D">
        <w:t xml:space="preserve">is analysed using the </w:t>
      </w:r>
      <w:r w:rsidR="001C110B">
        <w:t>Hierarchical Task Analysis (</w:t>
      </w:r>
      <w:r w:rsidR="00A3701D">
        <w:t>HTA</w:t>
      </w:r>
      <w:r w:rsidR="001C110B">
        <w:t>)</w:t>
      </w:r>
      <w:r w:rsidR="00A3701D">
        <w:t xml:space="preserve">, </w:t>
      </w:r>
      <w:r w:rsidR="00F80277">
        <w:t>Systems Theoretic Accident Model and Processes (</w:t>
      </w:r>
      <w:r w:rsidR="00A3701D">
        <w:t>STAMP</w:t>
      </w:r>
      <w:r w:rsidR="00F80277">
        <w:t>)</w:t>
      </w:r>
      <w:r w:rsidR="00A3701D">
        <w:t xml:space="preserve">, </w:t>
      </w:r>
      <w:r w:rsidR="001C110B">
        <w:t>Functional Resonance Analysis Method (</w:t>
      </w:r>
      <w:r w:rsidR="00A3701D">
        <w:t>FRAM</w:t>
      </w:r>
      <w:r w:rsidR="001C110B">
        <w:t>)</w:t>
      </w:r>
      <w:r w:rsidR="00A3701D">
        <w:t xml:space="preserve">, </w:t>
      </w:r>
      <w:r w:rsidR="00F80277">
        <w:t xml:space="preserve">Human Factors </w:t>
      </w:r>
      <w:r w:rsidR="001C110B">
        <w:t>Analysis and Classification System (</w:t>
      </w:r>
      <w:r w:rsidR="00A3701D">
        <w:t>HFACS</w:t>
      </w:r>
      <w:r w:rsidR="001C110B">
        <w:t>)</w:t>
      </w:r>
      <w:r w:rsidR="00A3701D">
        <w:t xml:space="preserve">, </w:t>
      </w:r>
      <w:r w:rsidR="004E001E">
        <w:t>Cognitive Work Anal</w:t>
      </w:r>
      <w:r w:rsidR="00F80277">
        <w:t>ysis (</w:t>
      </w:r>
      <w:r w:rsidR="00A3701D">
        <w:t>CWA</w:t>
      </w:r>
      <w:r w:rsidR="00F80277">
        <w:t>)</w:t>
      </w:r>
      <w:r w:rsidR="00A3701D">
        <w:t xml:space="preserve">, </w:t>
      </w:r>
      <w:r w:rsidR="007B5E89">
        <w:t>Critical Decision Method (</w:t>
      </w:r>
      <w:r w:rsidR="00A3701D">
        <w:t>CDM</w:t>
      </w:r>
      <w:r w:rsidR="007B5E89">
        <w:t>)</w:t>
      </w:r>
      <w:r w:rsidR="00A3701D">
        <w:t xml:space="preserve"> and </w:t>
      </w:r>
      <w:r w:rsidR="007B5E89">
        <w:t>Event Analysis of Systemic Teamwork (</w:t>
      </w:r>
      <w:r w:rsidR="00A3701D">
        <w:t>EAST</w:t>
      </w:r>
      <w:r w:rsidR="007B5E89">
        <w:t>)</w:t>
      </w:r>
      <w:r w:rsidR="00A3701D">
        <w:t xml:space="preserve"> methods</w:t>
      </w:r>
      <w:r w:rsidR="00F83F39">
        <w:t xml:space="preserve">. The results </w:t>
      </w:r>
      <w:r w:rsidR="00DC5B5A">
        <w:t>from</w:t>
      </w:r>
      <w:r w:rsidR="00F83F39">
        <w:t xml:space="preserve"> the application of each of the </w:t>
      </w:r>
      <w:r w:rsidR="00A17D04">
        <w:t xml:space="preserve">methods </w:t>
      </w:r>
      <w:r w:rsidR="00DD58CC">
        <w:t xml:space="preserve">are </w:t>
      </w:r>
      <w:r w:rsidR="00A17D04">
        <w:t>presented and the different perspectives on adaptat</w:t>
      </w:r>
      <w:r w:rsidR="00DC5B5A">
        <w:t xml:space="preserve">ion </w:t>
      </w:r>
      <w:r w:rsidR="00A17D04">
        <w:t xml:space="preserve">that the methods </w:t>
      </w:r>
      <w:r w:rsidR="00DC5B5A">
        <w:t xml:space="preserve">provide </w:t>
      </w:r>
      <w:r w:rsidR="00DD58CC">
        <w:t xml:space="preserve">are </w:t>
      </w:r>
      <w:r w:rsidR="00DC5B5A">
        <w:t xml:space="preserve">compared. A </w:t>
      </w:r>
      <w:r w:rsidR="00577D03">
        <w:t xml:space="preserve">methodological framework is presented that </w:t>
      </w:r>
      <w:r w:rsidR="009E4538">
        <w:t xml:space="preserve">has the potential to explore the factors of adaptation across the organisational hierarchy </w:t>
      </w:r>
      <w:r w:rsidR="008A4BE0">
        <w:t xml:space="preserve">and assist safety practitioners in supporting decision makers in </w:t>
      </w:r>
      <w:r w:rsidR="007A373A">
        <w:t>safety-related organisations.</w:t>
      </w:r>
    </w:p>
    <w:p w14:paraId="311B8B22" w14:textId="0BFC5E9A" w:rsidR="001B70FD" w:rsidRDefault="001B70FD" w:rsidP="00321702">
      <w:r>
        <w:t>Keywords</w:t>
      </w:r>
      <w:r w:rsidR="00757C54">
        <w:t xml:space="preserve">: </w:t>
      </w:r>
      <w:r w:rsidR="009076DA">
        <w:t xml:space="preserve">safety, </w:t>
      </w:r>
      <w:r w:rsidR="004E46FD">
        <w:t xml:space="preserve">adaptation, </w:t>
      </w:r>
      <w:r w:rsidR="0027490D">
        <w:t>emergence, human factors methods</w:t>
      </w:r>
      <w:r w:rsidR="00AB2187">
        <w:t>, air traffic control</w:t>
      </w:r>
    </w:p>
    <w:p w14:paraId="01738786" w14:textId="53A102C8" w:rsidR="001B70FD" w:rsidRDefault="001B70FD" w:rsidP="00381F25">
      <w:pPr>
        <w:pStyle w:val="Heading1"/>
      </w:pPr>
      <w:r>
        <w:t>Introduction</w:t>
      </w:r>
    </w:p>
    <w:p w14:paraId="4E3E5BC5" w14:textId="77777777" w:rsidR="00524F0E" w:rsidRDefault="00B51837" w:rsidP="00321702">
      <w:r>
        <w:t>Recent theories of safety such as high reliability organisations</w:t>
      </w:r>
      <w:r w:rsidR="00A6652E">
        <w:t xml:space="preserve"> </w:t>
      </w:r>
      <w:r w:rsidR="0098589A">
        <w:fldChar w:fldCharType="begin" w:fldLock="1"/>
      </w:r>
      <w:r w:rsidR="00371801">
        <w:instrText>ADDIN CSL_CITATION {"citationItems":[{"id":"ITEM-1","itemData":{"ISBN":"1118862414","abstract":"Improve your company's ability to avoid or manage crises Managing the Unexpected, Third Edition is a thoroughly revised text that offers an updated look at the groundbreaking ideas explored in the first and second editions. Revised to reflect events emblematic of the unique challenges that organizations have faced in recent years, including bank failures, intelligence failures, quality failures, and other organizational misfortunes, often sparked by organizational actions, this critical book focuses on why some organizations are better able to sustain high performance in the face of unanticipated change. High reliability organizations (HROs), including commercial aviation, emergency rooms, aircraft carrier flight operations, and firefighting units, are looked to as models of exceptional organizational preparedness. This essential text explains the development of unexpected events and guides you in improving your organization for more reliable performance. \"Expect the unexpected\" is a popular mantra for a reason: it's rooted in experience. Since the dawn of civilization, organizations have been rocked by natural disasters, civil unrest, international conflict, and other unexpected crises that impact their ability to function. Understanding how to maintain function when catastrophe strikes is key to keeping your organization afloat. Explore the many different kinds of unexpected events that your organization may face Consider updated case studies and research Discuss how highly reliable organizations are able to maintain control during unexpected events Discover tactics that may bolster your organization's ability to face the unexpected with confidence Managing the Unexpected, Third Edition offers updated, valuable content to professionals who want to strengthen the preparedness of their organizations—and confidently face unexpected challenges.","author":[{"dropping-particle":"","family":"Weick","given":"Karl E.","non-dropping-particle":"","parse-names":false,"suffix":""},{"dropping-particle":"","family":"Sutcliffe","given":"Kathleen M","non-dropping-particle":"","parse-names":false,"suffix":""}],"edition":"3rd","id":"ITEM-1","issued":{"date-parts":[["2015"]]},"number-of-pages":"224","publisher":"John Wiley &amp; Sons","title":"Managing the unexpected : sustained performance in a complex world","type":"book"},"uris":["http://www.mendeley.com/documents/?uuid=d44fa34d-865b-42d7-8caa-6dd6c14434df"]}],"mendeley":{"formattedCitation":"(Weick &amp; Sutcliffe, 2015)","plainTextFormattedCitation":"(Weick &amp; Sutcliffe, 2015)","previouslyFormattedCitation":"(Weick &amp; Sutcliffe, 2015)"},"properties":{"noteIndex":0},"schema":"https://github.com/citation-style-language/schema/raw/master/csl-citation.json"}</w:instrText>
      </w:r>
      <w:r w:rsidR="0098589A">
        <w:fldChar w:fldCharType="separate"/>
      </w:r>
      <w:r w:rsidR="0098589A" w:rsidRPr="0098589A">
        <w:rPr>
          <w:noProof/>
        </w:rPr>
        <w:t>(Weick &amp; Sutcliffe, 2015)</w:t>
      </w:r>
      <w:r w:rsidR="0098589A">
        <w:fldChar w:fldCharType="end"/>
      </w:r>
      <w:r>
        <w:t xml:space="preserve">, resilience engineering </w:t>
      </w:r>
      <w:r w:rsidR="00371801">
        <w:fldChar w:fldCharType="begin" w:fldLock="1"/>
      </w:r>
      <w:r w:rsidR="00AC4A0C">
        <w:instrText>ADDIN CSL_CITATION {"citationItems":[{"id":"ITEM-1","itemData":{"ISBN":"9780754681366","abstract":"For Resilience Engineering, ‘failure’ is the result of the adaptations necessary to cope with the complexity of the real world, rather than a breakdown or malfunction. The performance of individuals and organizations must continually adjust to current conditions and, because resources and time are finite, such adjustments are always approximate. This definitive new book explores this groundbreaking new development in safety and risk management, where ‘success’ is based on the ability of organizations, groups and individuals to anticipate the changing shape of risk before failures and harm occur. Featuring contributions from many of the worlds leading figures in the fields of human factors and safety, Resilience Engineering provides thought-provoking insights into system safety as an aggregate of its various components, subsystems, software, organizations, human behaviours, and the way in which they interact. The book provides an introduction to Resilience Engineering of systems, covering both the theoretical and practical aspects. It is written for those responsible for system safety on managerial or operational levels alike, including safety managers and engineers (line and maintenance), security experts, risk and safety consultants, human factors professionals and accident investigators.","author":[{"dropping-particle":"","family":"Hollnagel","given":"Erik","non-dropping-particle":"","parse-names":false,"suffix":""},{"dropping-particle":"","family":"Woods","given":"David D.","non-dropping-particle":"","parse-names":false,"suffix":""},{"dropping-particle":"","family":"Leveson","given":"Nancy G.","non-dropping-particle":"","parse-names":false,"suffix":""}],"container-title":"Resilience Engineering: Concepts and Precepts","id":"ITEM-1","issued":{"date-parts":[["2006"]]},"title":"Resilience Engineering - Concepts and Precepts","type":"book"},"uris":["http://www.mendeley.com/documents/?uuid=94045440-2eec-3d53-a7da-e95e971ed4dd"]}],"mendeley":{"formattedCitation":"(Hollnagel, Woods, &amp; Leveson, 2006)","plainTextFormattedCitation":"(Hollnagel, Woods, &amp; Leveson, 2006)","previouslyFormattedCitation":"(Hollnagel, Woods, &amp; Leveson, 2006)"},"properties":{"noteIndex":0},"schema":"https://github.com/citation-style-language/schema/raw/master/csl-citation.json"}</w:instrText>
      </w:r>
      <w:r w:rsidR="00371801">
        <w:fldChar w:fldCharType="separate"/>
      </w:r>
      <w:r w:rsidR="00371801" w:rsidRPr="00371801">
        <w:rPr>
          <w:noProof/>
        </w:rPr>
        <w:t>(Hollnagel, Woods, &amp; Leveson, 2006)</w:t>
      </w:r>
      <w:r w:rsidR="00371801">
        <w:fldChar w:fldCharType="end"/>
      </w:r>
      <w:r w:rsidR="00371801">
        <w:t xml:space="preserve"> </w:t>
      </w:r>
      <w:r>
        <w:t>and Safety II</w:t>
      </w:r>
      <w:r w:rsidR="00A102BE">
        <w:t xml:space="preserve"> </w:t>
      </w:r>
      <w:r w:rsidR="00AC4A0C">
        <w:fldChar w:fldCharType="begin" w:fldLock="1"/>
      </w:r>
      <w:r w:rsidR="002F4195">
        <w:instrText>ADDIN CSL_CITATION {"citationItems":[{"id":"ITEM-1","itemData":{"ISBN":"9781472423061","ISSN":"0014-0139","abstract":"Erik Hollnagel, University of Southern DenmarkSafety has traditionally been defined as a condition where the number of adverse outcomes was as low as possible (Safety-I). From a Safety-I perspective, the purpose of safety management is to make sure that the number of accidents and incidents is kept as low as possible, or as low as is reasonably practicable. This means that safety management must start from the manifestations of the absence of safety and that-paradoxically-safety is measured by counting the number of cases where it fails rather than by the number of cases where it succeeds. This unavoidably leads to a reactive approach based on responding to what goes wrong or what is identified as a risk-as something that could go wrong. Focusing on what goes right, rather than on what goes wrong, changes the definition of safety from ‘avoiding that something goes wrong’ to ‘ensuring that everything goes right’. More precisely, Safety-II is the ability to succeed under varying conditions, so that the number of intended and acceptable outcomes is as high as possible. From a Safety-II perspective, the purpose of safety management is to ensure that as much as possible goes right, in the sense that everyday work achieves its objectives. This means that safety is managed by what it achieves (successes, things that go right), and that likewise it is measured by counting the number of cases where things go right. In order to do this, safety management cannot only be reactive, it must also be proactive. But it must be proactive with regard to how actions succeed, to everyday acceptable performance, rather than with regard to how they can fail, as traditional risk analysis does. This book analyses and explains the principles behind both approaches and uses this to consider the past and future of safety management practices. The analysis makes use of common examples and cases from domains such as aviation, nuclear power production, process management and health care. The final chapters explain the theoretical and practical consequences of the new perspective on the level of day-to-day operations as well as on the level of strategic management (safety culture). Safety-I and Safety-II is written for all professionals responsible for their organisation's safety, from strategic planning on the executive level to day-to-day operations in the field. It presents the detailed and tested arguments for a transformation from protective to productive safety management.","author":[{"dropping-particle":"","family":"Hollnagel","given":"Erik","non-dropping-particle":"","parse-names":false,"suffix":""}],"id":"ITEM-1","issued":{"date-parts":[["2014"]]},"publisher":"Ashgate Publishing Ltd","title":"Safety-I and safety-II: The past and future of safety management","type":"book"},"uris":["http://www.mendeley.com/documents/?uuid=9b429f7d-566f-3e18-b5a3-fcbd499d17fb"]}],"mendeley":{"formattedCitation":"(Hollnagel, 2014)","plainTextFormattedCitation":"(Hollnagel, 2014)","previouslyFormattedCitation":"(Hollnagel, 2014)"},"properties":{"noteIndex":0},"schema":"https://github.com/citation-style-language/schema/raw/master/csl-citation.json"}</w:instrText>
      </w:r>
      <w:r w:rsidR="00AC4A0C">
        <w:fldChar w:fldCharType="separate"/>
      </w:r>
      <w:r w:rsidR="00AC4A0C" w:rsidRPr="00AC4A0C">
        <w:rPr>
          <w:noProof/>
        </w:rPr>
        <w:t>(Hollnagel, 2014)</w:t>
      </w:r>
      <w:r w:rsidR="00AC4A0C">
        <w:fldChar w:fldCharType="end"/>
      </w:r>
      <w:r w:rsidR="00A102BE">
        <w:t xml:space="preserve"> challenge the prevailing </w:t>
      </w:r>
      <w:r w:rsidR="003159F4">
        <w:t xml:space="preserve">view </w:t>
      </w:r>
      <w:r w:rsidR="00AB6A11">
        <w:t xml:space="preserve">that the </w:t>
      </w:r>
      <w:r w:rsidR="00A102BE">
        <w:t xml:space="preserve">management of safety </w:t>
      </w:r>
      <w:r w:rsidR="00AB6A11">
        <w:t xml:space="preserve">is best achieved </w:t>
      </w:r>
      <w:r w:rsidR="00A102BE">
        <w:t xml:space="preserve">through </w:t>
      </w:r>
      <w:r w:rsidR="005E72E8">
        <w:t xml:space="preserve">an alignment of </w:t>
      </w:r>
      <w:r w:rsidR="006E347B">
        <w:t xml:space="preserve">work with fixed roles and procedures and </w:t>
      </w:r>
      <w:r w:rsidR="00373F26">
        <w:t xml:space="preserve">in </w:t>
      </w:r>
      <w:r w:rsidR="006E347B">
        <w:t xml:space="preserve">preventing deviations from </w:t>
      </w:r>
      <w:r w:rsidR="008115FA">
        <w:t xml:space="preserve">prescription through </w:t>
      </w:r>
      <w:r w:rsidR="00A102BE">
        <w:t>control</w:t>
      </w:r>
      <w:r w:rsidR="0085576E">
        <w:t xml:space="preserve"> and </w:t>
      </w:r>
      <w:r w:rsidR="008115FA">
        <w:t xml:space="preserve">a pressure for </w:t>
      </w:r>
      <w:r w:rsidR="0085576E">
        <w:t>compliance</w:t>
      </w:r>
      <w:r w:rsidR="003159F4">
        <w:t xml:space="preserve"> </w:t>
      </w:r>
      <w:r w:rsidR="003159F4">
        <w:fldChar w:fldCharType="begin" w:fldLock="1"/>
      </w:r>
      <w:r w:rsidR="00915B18">
        <w:instrText>ADDIN CSL_CITATION {"citationItems":[{"id":"ITEM-1","itemData":{"DOI":"10.1016/j.ress.2019.106740","ISSN":"09518320","abstract":"The safety management literature describes two distinct modes through which safety is achieved. These can be described as safety management through centralized control, or safety management through guided adaptability. Safety management through centralized control, labelled by Hollnagel as ‘Safety-I’, aims to align and control the organization and its people through the central determination of what is safe. Safety management through guided adaptability, or ‘Safety-II’, aims to enable the organization and its people to safely adapt to emergent situations and conditions. Safety-II has been presented as a paradigm shift in safety theory, but it has created practical difficulties for safety professional practice. In this paper, we define the two modes of safety management and explain the challenges in changing the role of a safety professional to support Safety-II. When should safety professionals re-enforce alignment, and when should they support frontline adaptations? We outline specific activities for safety professionals to adopt in their role to move towards a guided adaptability mode of safety management. This will move the safety professional further towards their fundamental responsibility – ‘to create foresight about the changing shape of risk, and facilitate action, before people are harmed.’","author":[{"dropping-particle":"","family":"Provan","given":"David J","non-dropping-particle":"","parse-names":false,"suffix":""},{"dropping-particle":"","family":"Woods","given":"David D.","non-dropping-particle":"","parse-names":false,"suffix":""},{"dropping-particle":"","family":"Dekker","given":"Sidney W.A.","non-dropping-particle":"","parse-names":false,"suffix":""},{"dropping-particle":"","family":"Rae","given":"Andrew J","non-dropping-particle":"","parse-names":false,"suffix":""}],"container-title":"Reliability Engineering &amp; System Safety","id":"ITEM-1","issue":"August 2018","issued":{"date-parts":[["2020"]]},"page":"106740","publisher":"Elsevier Ltd","title":"Safety II professionals: How resilience engineering can transform safety practice","type":"article-journal","volume":"195"},"uris":["http://www.mendeley.com/documents/?uuid=746f600b-d879-4c06-ad9a-107c62c945e6"]},{"id":"ITEM-2","itemData":{"DOI":"10.1016/j.ssci.2012.05.013","ISBN":"9781409452263","ISSN":"09257535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Science","id":"ITEM-2","issued":{"date-parts":[["2013"]]},"language":"English","note":"From Duplicate 1 (Working to rule or working safely? Part 2: The management of safety rules and procedures - Hale, Andrew; Borys, David)\n\nFrom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https://www.scopus.com/inward/record.uri?eid=2-s2.0-84875249748&amp;amp;doi=10.1016%2fj.ssci.2012.05.013&amp;amp;partnerID=40&amp;amp;md5=d535402c0c2129a4536dc76cf10287ab\n\nFrom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adap","page":"222-231","publisher-place":"Health and Safety Technology and Management (HASTAM), Birmingham, United Kingdom","title":"Working to rule or working safely? Part 2: The management of safety rules and procedures","type":"article-journal","volume":"55"},"uris":["http://www.mendeley.com/documents/?uuid=5d062f39-55ef-49c3-b33a-d53a942cb2fe"]}],"mendeley":{"formattedCitation":"(Hale &amp; Borys, 2013; Provan, Woods, Dekker, &amp; Rae, 2020)","plainTextFormattedCitation":"(Hale &amp; Borys, 2013; Provan, Woods, Dekker, &amp; Rae, 2020)","previouslyFormattedCitation":"(Hale &amp; Borys, 2013; Provan, Woods, Dekker, &amp; Rae, 2020)"},"properties":{"noteIndex":0},"schema":"https://github.com/citation-style-language/schema/raw/master/csl-citation.json"}</w:instrText>
      </w:r>
      <w:r w:rsidR="003159F4">
        <w:fldChar w:fldCharType="separate"/>
      </w:r>
      <w:r w:rsidR="00BA6BD1" w:rsidRPr="00BA6BD1">
        <w:rPr>
          <w:noProof/>
        </w:rPr>
        <w:t>(Hale &amp; Borys, 2013; Provan, Woods, Dekker, &amp; Rae, 2020)</w:t>
      </w:r>
      <w:r w:rsidR="003159F4">
        <w:fldChar w:fldCharType="end"/>
      </w:r>
      <w:r w:rsidR="00B83AAD">
        <w:t>.</w:t>
      </w:r>
      <w:r w:rsidR="005E72E8">
        <w:t xml:space="preserve"> </w:t>
      </w:r>
      <w:r w:rsidR="00EB5AAF">
        <w:t xml:space="preserve">A core element of this new understanding of how safety is created is the </w:t>
      </w:r>
      <w:r w:rsidR="00E161D9">
        <w:t>notion of adaptation</w:t>
      </w:r>
      <w:r w:rsidR="00FD3068">
        <w:t xml:space="preserve">: the </w:t>
      </w:r>
      <w:r w:rsidR="00827EFB">
        <w:t>continuous, real-time</w:t>
      </w:r>
      <w:r w:rsidR="00F81CE3">
        <w:t xml:space="preserve">, demand compensations made by front-line workers to </w:t>
      </w:r>
      <w:r w:rsidR="0035481D">
        <w:t xml:space="preserve">address the need for </w:t>
      </w:r>
      <w:r w:rsidR="00F81CE3">
        <w:t xml:space="preserve">trade-offs </w:t>
      </w:r>
      <w:r w:rsidR="0035481D">
        <w:t>by using informal practices and strategies</w:t>
      </w:r>
      <w:r w:rsidR="00E5325D">
        <w:t xml:space="preserve"> </w:t>
      </w:r>
      <w:r w:rsidR="00E5325D">
        <w:fldChar w:fldCharType="begin" w:fldLock="1"/>
      </w:r>
      <w:r w:rsidR="00610915">
        <w:instrText>ADDIN CSL_CITATION {"citationItems":[{"id":"ITEM-1","itemData":{"DOI":"10.1016/j.ssci.2019.05.035","ISSN":"09257535","author":[{"dropping-particle":"","family":"Foster","given":"Craig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Science","id":"ITEM-1","issue":"May","issued":{"date-parts":[["2019"]]},"page":"617-631","publisher":"Elsevier","title":"Adaptation as a source of safety in complex socio-technical systems: A literature review and model development","type":"article-journal","volume":"118"},"uris":["http://www.mendeley.com/documents/?uuid=138b3605-a7cf-426b-a961-e511a9ba3876"]}],"mendeley":{"formattedCitation":"(Foster, Plant, &amp; Stanton, 2019)","plainTextFormattedCitation":"(Foster, Plant, &amp; Stanton, 2019)","previouslyFormattedCitation":"(Foster, Plant, &amp; Stanton, 2019)"},"properties":{"noteIndex":0},"schema":"https://github.com/citation-style-language/schema/raw/master/csl-citation.json"}</w:instrText>
      </w:r>
      <w:r w:rsidR="00E5325D">
        <w:fldChar w:fldCharType="separate"/>
      </w:r>
      <w:r w:rsidR="00E5325D" w:rsidRPr="00E5325D">
        <w:rPr>
          <w:noProof/>
        </w:rPr>
        <w:t>(Foster, Plant, &amp; Stanton, 2019)</w:t>
      </w:r>
      <w:r w:rsidR="00E5325D">
        <w:fldChar w:fldCharType="end"/>
      </w:r>
      <w:r w:rsidR="004B5533">
        <w:t>.</w:t>
      </w:r>
    </w:p>
    <w:p w14:paraId="5DBFFA00" w14:textId="670333F6" w:rsidR="00FF5D10" w:rsidRDefault="003B4769" w:rsidP="00321702">
      <w:r>
        <w:t xml:space="preserve">Adaptation </w:t>
      </w:r>
      <w:r w:rsidR="003D7465">
        <w:t xml:space="preserve">encapsulates the </w:t>
      </w:r>
      <w:r w:rsidR="0086022E">
        <w:t>view</w:t>
      </w:r>
      <w:r w:rsidR="003D7465">
        <w:t xml:space="preserve"> </w:t>
      </w:r>
      <w:r w:rsidR="00597A14">
        <w:t>that complex systems self-organise</w:t>
      </w:r>
      <w:r w:rsidR="00DC41F4">
        <w:t xml:space="preserve"> to address goals that conflict</w:t>
      </w:r>
      <w:r w:rsidR="00511197">
        <w:t xml:space="preserve">, </w:t>
      </w:r>
      <w:r w:rsidR="00DC41F4">
        <w:t>priorities that change</w:t>
      </w:r>
      <w:r w:rsidR="00511197">
        <w:t xml:space="preserve"> or </w:t>
      </w:r>
      <w:r w:rsidR="00BA6BD1">
        <w:t xml:space="preserve">to </w:t>
      </w:r>
      <w:r w:rsidR="00511197">
        <w:t xml:space="preserve">cope with </w:t>
      </w:r>
      <w:r w:rsidR="009C35AB">
        <w:t xml:space="preserve">new external demands </w:t>
      </w:r>
      <w:r w:rsidR="009C35AB">
        <w:fldChar w:fldCharType="begin" w:fldLock="1"/>
      </w:r>
      <w:r w:rsidR="00915B18">
        <w:instrText>ADDIN CSL_CITATION {"citationItems":[{"id":"ITEM-1","itemData":{"DOI":"10.1146/annurev.es.04.110173.000245","ISBN":"00664162","ISSN":"0066-4162","PMID":"22160726","abstract":"Each family of the desert isopod Hemilepistus reaumuri uses its faeces to build an embankment around its burrow entrance in the form of a ring with an inner radius of 5-10 cm and an outer radius of 8-15 cm. Although the embankment, like the burrow entrance, is detected only by contact with the antennae, it facilitates the return to the burrow after an excursion. When a desert isopod returns from foraging it reaches the burrow entrance itself (diameter 12 mm) only in ca. 12% of the observed cases by \"dead reckoning\"; the embankment, however, is reached six times more frequently. After detecting this landmark an isopod needs a further 12% of the pathlength of the preceding excursion to locate the burrow entrance. In contrast, it travels five times further to reach its burrow from the same distance (10 cm) if the landmark is missing. The landmark is even more important when the isopod, because of a large error in orientation, can reach its burrow only by searching. Both the characteristics of the search path of H. reaumuri and the success of it's search behaviour correspond well to the respective features of a theoretical procedure, which best solves the search problem of the desert isopods assuming that a landmark is available for orientation. The optimal search procedure was calculated by using information about the probability density that an error in orientation has a given size, and the cumulative probability that the landmark is detected if the isopod searches in it's region with a given intensity. The coupling of the systematic search strategy of H. reaumuri with landmark orientation shortens the average time needed for homing by one-third. It helps an isopod to return to it's burrow after foraging even if all the orientation mechanisms normally used for this task have broken down.","author":[{"dropping-particle":"","family":"Holling","given":"C S","non-dropping-particle":"","parse-names":false,"suffix":""}],"container-title":"Annual Review of Ecology and Systematics","id":"ITEM-1","issue":"1","issued":{"date-parts":[["1973"]]},"page":"1-23","title":"Resilience and Stability of Ecological Systems","type":"article-journal","volume":"4"},"uris":["http://www.mendeley.com/documents/?uuid=0d0be6ed-bb37-4744-836f-54bddb7b6473"]},{"id":"ITEM-2","itemData":{"DOI":"10.1016/j.ssci.2014.07.021","ISBN":"0925-7535","ISSN":"18791042","abstract":"This paper contributes to safety management by bringing in ideas from organizational complexity theories. Much of the studies and the literature on organizations as complex adaptive systems have focused on how to produce new innovations or how to increase financial effectiveness. We take the view that safety-critical organizations can be perceived as complex adaptive systems, and we discuss what this means for the management of safety. Our aim is to elaborate on the issue of what kinds of principles the management of safety should be based on in complex adaptive systems. In brief, we suggest that safety management should be adaptive, building on several different principles. Based on literature on complex adaptive systems we first identify the general features of complex adaptive systems, such as self-organizing and non-linearity, which need to be considered in management. Based on the features of complex adaptive systems, we define eight key principles of adaptive safety management and illustrate usefulness of the principles in making sense of the practice of safety management.","author":[{"dropping-particle":"","family":"Reiman","given":"Teemu","non-dropping-particle":"","parse-names":false,"suffix":""},{"dropping-particle":"","family":"Rollenhagen","given":"Carl","non-dropping-particle":"","parse-names":false,"suffix":""},{"dropping-particle":"","family":"Pietikäinen","given":"Elina","non-dropping-particle":"","parse-names":false,"suffix":""},{"dropping-particle":"","family":"Heikkilä","given":"Jouko","non-dropping-particle":"","parse-names":false,"suffix":""}],"container-title":"Safety Science","id":"ITEM-2","issue":"PB","issued":{"date-parts":[["2015"]]},"note":"From Duplicate 2 (Principles of adaptive management in complex safety-critical organizations - Reiman, Teemu; Rollenhagen, Carl; Pietikäinen, Elina; Heikkilä, Jouko)\n\nExcellent summafry of the key features of complex adaptive systems\nDeveloped a framework for safety management of complex adaptive systems.\nTheoretical review of the literature informed by empirical stidies.","page":"80-92","publisher":"Elsevier Ltd","title":"Principles of adaptive management in complex safety-critical organizations","type":"article-journal","volume":"71"},"uris":["http://www.mendeley.com/documents/?uuid=49f2ff2c-51a1-49a6-b260-f64958278c44"]}],"mendeley":{"formattedCitation":"(Holling, 1973; Reiman, Rollenhagen, Pietikäinen, &amp; Heikkilä, 2015)","plainTextFormattedCitation":"(Holling, 1973; Reiman, Rollenhagen, Pietikäinen, &amp; Heikkilä, 2015)","previouslyFormattedCitation":"(Holling, 1973; Reiman, Rollenhagen, Pietikäinen, &amp; Heikkilä, 2015)"},"properties":{"noteIndex":0},"schema":"https://github.com/citation-style-language/schema/raw/master/csl-citation.json"}</w:instrText>
      </w:r>
      <w:r w:rsidR="009C35AB">
        <w:fldChar w:fldCharType="separate"/>
      </w:r>
      <w:r w:rsidR="009C35AB" w:rsidRPr="009C35AB">
        <w:rPr>
          <w:noProof/>
        </w:rPr>
        <w:t>(Holling, 1973; Reiman, Rollenhagen, Pietikäinen, &amp; Heikkilä, 2015)</w:t>
      </w:r>
      <w:r w:rsidR="009C35AB">
        <w:fldChar w:fldCharType="end"/>
      </w:r>
      <w:r w:rsidR="0035481D">
        <w:t>.</w:t>
      </w:r>
      <w:r w:rsidR="00564C6B">
        <w:t xml:space="preserve"> </w:t>
      </w:r>
      <w:r w:rsidR="000B5818">
        <w:t xml:space="preserve">For organisations, the management of safety is </w:t>
      </w:r>
      <w:r w:rsidR="00E5325D">
        <w:t xml:space="preserve">therefore reframed as </w:t>
      </w:r>
      <w:r w:rsidR="00946F1D">
        <w:t xml:space="preserve">a problem of how to uncover, </w:t>
      </w:r>
      <w:r w:rsidR="00610915">
        <w:t>facilitate and protect the features of the organisation that support the capacities to adapt</w:t>
      </w:r>
      <w:r w:rsidR="00DB1FE0" w:rsidRPr="00DB1FE0">
        <w:t xml:space="preserve"> </w:t>
      </w:r>
      <w:r w:rsidR="00DB1FE0">
        <w:t xml:space="preserve">whilst also anticipating future conditions and monitoring for </w:t>
      </w:r>
      <w:r w:rsidR="00EA7C43">
        <w:t>emergent</w:t>
      </w:r>
      <w:r w:rsidR="00DB1FE0">
        <w:t xml:space="preserve"> sources of risk and the erosion of </w:t>
      </w:r>
      <w:r w:rsidR="006374B8">
        <w:t xml:space="preserve">safety </w:t>
      </w:r>
      <w:r w:rsidR="00DB1FE0">
        <w:t>margins</w:t>
      </w:r>
      <w:r w:rsidR="00610915">
        <w:t xml:space="preserve"> </w:t>
      </w:r>
      <w:r w:rsidR="00610915">
        <w:fldChar w:fldCharType="begin" w:fldLock="1"/>
      </w:r>
      <w:r w:rsidR="00915B18">
        <w:instrText>ADDIN CSL_CITATION {"citationItems":[{"id":"ITEM-1","itemData":{"DOI":"10.1016/j.ress.2019.106740","ISSN":"09518320","abstract":"The safety management literature describes two distinct modes through which safety is achieved. These can be described as safety management through centralized control, or safety management through guided adaptability. Safety management through centralized control, labelled by Hollnagel as ‘Safety-I’, aims to align and control the organization and its people through the central determination of what is safe. Safety management through guided adaptability, or ‘Safety-II’, aims to enable the organization and its people to safely adapt to emergent situations and conditions. Safety-II has been presented as a paradigm shift in safety theory, but it has created practical difficulties for safety professional practice. In this paper, we define the two modes of safety management and explain the challenges in changing the role of a safety professional to support Safety-II. When should safety professionals re-enforce alignment, and when should they support frontline adaptations? We outline specific activities for safety professionals to adopt in their role to move towards a guided adaptability mode of safety management. This will move the safety professional further towards their fundamental responsibility – ‘to create foresight about the changing shape of risk, and facilitate action, before people are harmed.’","author":[{"dropping-particle":"","family":"Provan","given":"David J","non-dropping-particle":"","parse-names":false,"suffix":""},{"dropping-particle":"","family":"Woods","given":"David D.","non-dropping-particle":"","parse-names":false,"suffix":""},{"dropping-particle":"","family":"Dekker","given":"Sidney W.A.","non-dropping-particle":"","parse-names":false,"suffix":""},{"dropping-particle":"","family":"Rae","given":"Andrew J","non-dropping-particle":"","parse-names":false,"suffix":""}],"container-title":"Reliability Engineering &amp; System Safety","id":"ITEM-1","issue":"August 2018","issued":{"date-parts":[["2020"]]},"page":"106740","publisher":"Elsevier Ltd","title":"Safety II professionals: How resilience engineering can transform safety practice","type":"article-journal","volume":"195"},"uris":["http://www.mendeley.com/documents/?uuid=746f600b-d879-4c06-ad9a-107c62c945e6"]},{"id":"ITEM-2","itemData":{"DOI":"10.1016/S0003-6870(03)00031-0","ISBN":"4113282579","ISSN":"00036870","PMID":"12737923","abstract":"This paper introduces two models on procedures and safety and assesses the practical consequences these have for organizations trying to make progress on safety through procedures. The application of procedures is contrasted as rote rule following versus substantive cognitive activity. It reveals a fundamental double bind: operators can fail to adapt procedures when adapting proved necessary, or attempt procedural adaptations that may fail. Rather than simply increasing pressure to comply, organizations should invest in their understanding of the gap between procedures and practice, and help develop operators' skill at adapting. © 2003 Elsevier Science Ltd. All rights reserved.","author":[{"dropping-particle":"","family":"Dekker","given":"Sidney W.A.","non-dropping-particle":"","parse-names":false,"suffix":""}],"container-title":"Applied Ergonomics","id":"ITEM-2","issue":"3","issued":{"date-parts":[["2003"]]},"note":"From Duplicate 1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successfully.\n\nFrom Duplicate 2 (Failure to adapt or adaptations that fail: Contrasting models on procedures and safety - Dekker, Sidney W.A.)\n\nFrom Duplicate 2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successfully.","page":"233-238","title":"Failure to adapt or adaptations that fail: Contrasting models on procedures and safety","type":"article-journal","volume":"34"},"uris":["http://www.mendeley.com/documents/?uuid=28447276-b2e3-4553-9f2c-a4aea3309764"]}],"mendeley":{"formattedCitation":"(Dekker, 2003; Provan et al., 2020)","plainTextFormattedCitation":"(Dekker, 2003; Provan et al., 2020)","previouslyFormattedCitation":"(Dekker, 2003; Provan et al., 2020)"},"properties":{"noteIndex":0},"schema":"https://github.com/citation-style-language/schema/raw/master/csl-citation.json"}</w:instrText>
      </w:r>
      <w:r w:rsidR="00610915">
        <w:fldChar w:fldCharType="separate"/>
      </w:r>
      <w:r w:rsidR="00FB79B3" w:rsidRPr="00FB79B3">
        <w:rPr>
          <w:noProof/>
        </w:rPr>
        <w:t>(Dekker, 2003; Provan et al., 2020)</w:t>
      </w:r>
      <w:r w:rsidR="00610915">
        <w:fldChar w:fldCharType="end"/>
      </w:r>
      <w:r w:rsidR="00610915">
        <w:t>.</w:t>
      </w:r>
    </w:p>
    <w:p w14:paraId="1DC5C8B1" w14:textId="2EABA026" w:rsidR="00CB19FB" w:rsidRDefault="00060A48" w:rsidP="00321702">
      <w:r>
        <w:t xml:space="preserve">The Human Factors discipline </w:t>
      </w:r>
      <w:r w:rsidR="00BB6819">
        <w:t xml:space="preserve">has responded to this need </w:t>
      </w:r>
      <w:r w:rsidR="00201F10">
        <w:t xml:space="preserve">through the </w:t>
      </w:r>
      <w:r w:rsidR="005305D0">
        <w:t xml:space="preserve">ongoing </w:t>
      </w:r>
      <w:r w:rsidR="00201F10">
        <w:t>development of</w:t>
      </w:r>
      <w:r w:rsidR="00A86CD7">
        <w:t xml:space="preserve"> structured methods and approaches that</w:t>
      </w:r>
      <w:r w:rsidR="0058534F">
        <w:t xml:space="preserve"> </w:t>
      </w:r>
      <w:r w:rsidR="00A01227">
        <w:t xml:space="preserve">attempt to </w:t>
      </w:r>
      <w:r w:rsidR="00796AEB">
        <w:t>explore</w:t>
      </w:r>
      <w:r w:rsidR="0058534F">
        <w:t xml:space="preserve"> </w:t>
      </w:r>
      <w:r w:rsidR="00FE51F6">
        <w:t xml:space="preserve">these </w:t>
      </w:r>
      <w:r w:rsidR="008437CF">
        <w:t xml:space="preserve">features of </w:t>
      </w:r>
      <w:r w:rsidR="00046BE2">
        <w:t xml:space="preserve">complex </w:t>
      </w:r>
      <w:r w:rsidR="00046BE2">
        <w:lastRenderedPageBreak/>
        <w:t>sociotechnical system</w:t>
      </w:r>
      <w:r w:rsidR="008437CF">
        <w:t>s</w:t>
      </w:r>
      <w:r w:rsidR="008F4A3E">
        <w:t xml:space="preserve"> </w:t>
      </w:r>
      <w:r w:rsidR="00326F6C">
        <w:t xml:space="preserve">and </w:t>
      </w:r>
      <w:r w:rsidR="005305D0">
        <w:t>to</w:t>
      </w:r>
      <w:r w:rsidR="0058534F">
        <w:t xml:space="preserve"> consider </w:t>
      </w:r>
      <w:r w:rsidR="0006363A">
        <w:t>the problems</w:t>
      </w:r>
      <w:r w:rsidR="00DE6DAD">
        <w:t xml:space="preserve"> associated with increasing </w:t>
      </w:r>
      <w:r w:rsidR="006E4417">
        <w:t xml:space="preserve">system </w:t>
      </w:r>
      <w:r w:rsidR="00DE6DAD">
        <w:t>complexity such as non-linearity</w:t>
      </w:r>
      <w:r w:rsidR="00795858">
        <w:t>, uncertainty</w:t>
      </w:r>
      <w:r w:rsidR="008437CF">
        <w:t xml:space="preserve"> and</w:t>
      </w:r>
      <w:r w:rsidR="00DE6DAD">
        <w:t xml:space="preserve"> emergence</w:t>
      </w:r>
      <w:r w:rsidR="0006363A">
        <w:t>.</w:t>
      </w:r>
      <w:r w:rsidR="002459D2">
        <w:t xml:space="preserve"> </w:t>
      </w:r>
      <w:r w:rsidR="004B2ABA">
        <w:t>Despite this</w:t>
      </w:r>
      <w:r w:rsidR="004C48C9">
        <w:t>, t</w:t>
      </w:r>
      <w:r w:rsidR="004D4CBB">
        <w:t xml:space="preserve">here is little guidance to help safety practitioners to choose from amongst the many hundreds of possible </w:t>
      </w:r>
      <w:r w:rsidR="001E197C">
        <w:t>methods</w:t>
      </w:r>
      <w:r w:rsidR="008A47B0">
        <w:t xml:space="preserve"> </w:t>
      </w:r>
      <w:r w:rsidR="004C2A1C">
        <w:fldChar w:fldCharType="begin" w:fldLock="1"/>
      </w:r>
      <w:r w:rsidR="00E5325D">
        <w:instrText>ADDIN CSL_CITATION {"citationItems":[{"id":"ITEM-1","itemData":{"DOI":"10.1177/0018720820926875","ISSN":"15478181","abstract":"Objective: This paper presents the Binary-Based Model (BBM), a new approach to Human Factors (HF) method selection. The BBM helps practitioners select the most appropriate HF methodology in relation to the complexity within the target system. Background: There are over 200 HF methods available to the practitioner and little guidance to help choose between them. Method: The BBM defines a HF “problem space” comprising three complexity attributes. HF problems can be rated against these attributes and located in the “problem space.” In addition, a similar HF “approach space” in which 66 predictive methods are rated according to their ability to confront those attributes is defined. These spaces are combined into a “utility space” in which problems and methods coexist. In the utility space, the match between HF problems and methods can be formally assessed. Results: The method space is split into octants to establish broad groupings of methods distributed throughout the space. About 77% of the methods reside in Octant 1 which corresponds to problems with low levels of complexity. This demonstrates that most HF methods are suited to problems in low-complexity systems. Conclusion: The location of 77% of the rated methods in Octant 1 indicates that HF practitioners are underserved with methods for analysis of HF problems exhibiting high complexity. Application: The BBM can be used by multidisciplinary teams to select the most appropriate HF methodology for the problem under analysis. All the materials and analysis are placed in the public domain for modification and consensus building by the wider HF community.","author":[{"dropping-particle":"","family":"Holman","given":"Matt","non-dropping-particle":"","parse-names":false,"suffix":""},{"dropping-particle":"","family":"Walker","given":"Guy","non-dropping-particle":"","parse-names":false,"suffix":""},{"dropping-particle":"","family":"Lansdown","given":"Terry","non-dropping-particle":"","parse-names":false,"suffix":""},{"dropping-particle":"","family":"Salmon","given":"Paul","non-dropping-particle":"","parse-names":false,"suffix":""},{"dropping-particle":"","family":"Read","given":"Gemma","non-dropping-particle":"","parse-names":false,"suffix":""},{"dropping-particle":"","family":"Stanton","given":"Neville","non-dropping-particle":"","parse-names":false,"suffix":""}],"container-title":"Human Factors","id":"ITEM-1","issued":{"date-parts":[["2020"]]},"title":"The Binary-Based Model (BBM) for Improved Human Factors Method Selection","type":"article-journal"},"uris":["http://www.mendeley.com/documents/?uuid=9801b58e-dd15-4770-aac1-a5484f6b9e27"]}],"mendeley":{"formattedCitation":"(Holman et al., 2020)","plainTextFormattedCitation":"(Holman et al., 2020)","previouslyFormattedCitation":"(Holman et al., 2020)"},"properties":{"noteIndex":0},"schema":"https://github.com/citation-style-language/schema/raw/master/csl-citation.json"}</w:instrText>
      </w:r>
      <w:r w:rsidR="004C2A1C">
        <w:fldChar w:fldCharType="separate"/>
      </w:r>
      <w:r w:rsidR="004C2A1C" w:rsidRPr="004C2A1C">
        <w:rPr>
          <w:noProof/>
        </w:rPr>
        <w:t>(Holman et al., 2020)</w:t>
      </w:r>
      <w:r w:rsidR="004C2A1C">
        <w:fldChar w:fldCharType="end"/>
      </w:r>
      <w:r w:rsidR="002810F9">
        <w:t xml:space="preserve"> </w:t>
      </w:r>
      <w:r w:rsidR="002D20E3">
        <w:t>w</w:t>
      </w:r>
      <w:r w:rsidR="00472FAC">
        <w:t xml:space="preserve">hich combined with a lack of validation </w:t>
      </w:r>
      <w:r w:rsidR="002F4195">
        <w:fldChar w:fldCharType="begin" w:fldLock="1"/>
      </w:r>
      <w:r w:rsidR="00915B18">
        <w:instrText>ADDIN CSL_CITATION {"citationItems":[{"id":"ITEM-1","itemData":{"DOI":"10.1080/1463922X.2015.1117688","ISSN":"1464536X","abstract":"This paper revisits the challenge laid down over 15 years ago that ergonomics needs to report on the reliability and validity of its methods if it is to maintain its standing amongst the engineering community. Unfortunately, a review of books reporting on ergonomics methods since that time shows very little change. The theoretical constructs of reliability and validity are presented together with the rationale for conducting studies of training in ergonomics methods. Revisiting the original study shows the way in which such validation work can be undertaken and data reported. It is hoped that this article provides the stimulus for more studies of this nature now the approach has been demonstrated.","author":[{"dropping-particle":"","family":"Stanton","given":"Neville A.","non-dropping-particle":"","parse-names":false,"suffix":""}],"container-title":"Theoretical Issues in Ergonomics Science","id":"ITEM-1","issue":"4","issued":{"date-parts":[["2016"]]},"page":"345-353","publisher":"Taylor &amp; Francis","title":"On the reliability and validity of, and training in, ergonomics methods: a challenge revisited","type":"article-journal","volume":"17"},"uris":["http://www.mendeley.com/documents/?uuid=8592e48c-b6b5-4e54-9bb2-8d84897ee311"]}],"mendeley":{"formattedCitation":"(Stanton, 2016)","plainTextFormattedCitation":"(Stanton, 2016)","previouslyFormattedCitation":"(Stanton, 2016)"},"properties":{"noteIndex":0},"schema":"https://github.com/citation-style-language/schema/raw/master/csl-citation.json"}</w:instrText>
      </w:r>
      <w:r w:rsidR="002F4195">
        <w:fldChar w:fldCharType="separate"/>
      </w:r>
      <w:r w:rsidR="002F4195" w:rsidRPr="002F4195">
        <w:rPr>
          <w:noProof/>
        </w:rPr>
        <w:t>(Stanton, 2016)</w:t>
      </w:r>
      <w:r w:rsidR="002F4195">
        <w:fldChar w:fldCharType="end"/>
      </w:r>
      <w:r w:rsidR="002F4195">
        <w:t xml:space="preserve"> </w:t>
      </w:r>
      <w:r w:rsidR="00472FAC">
        <w:t xml:space="preserve">contributes to </w:t>
      </w:r>
      <w:r w:rsidR="00D149A0">
        <w:t xml:space="preserve">a </w:t>
      </w:r>
      <w:r w:rsidR="002810F9">
        <w:t xml:space="preserve">research-practice gap </w:t>
      </w:r>
      <w:r w:rsidR="00826C93">
        <w:t xml:space="preserve">in systemic accident analysis research </w:t>
      </w:r>
      <w:r w:rsidR="00826C93">
        <w:fldChar w:fldCharType="begin" w:fldLock="1"/>
      </w:r>
      <w:r w:rsidR="005C528B">
        <w:instrText>ADDIN CSL_CITATION {"citationItems":[{"id":"ITEM-1","itemData":{"DOI":"10.1016/j.aap.2013.02.041","ISSN":"00014575","PMID":"23542136","abstract":"The systems approach is arguably the dominant concept within accident analysis research. Viewing accidents as a result of uncontrolled system interactions, it forms the theoretical basis of various systemic accident analysis (SAA) models and methods. Despite the proposed benefits of SAA, such as an improved description of accident causation, evidence within the scientific literature suggests that these techniques are not being used in practice and that a research-practice gap exists. The aim of this study was to explore the issues stemming from research and practice which could hinder the awareness, adoption and usage of SAA. To achieve this, semi-structured interviews were conducted with 42 safety experts from ten countries and a variety of industries, including rail, aviation and maritime. This study suggests that the research-practice gap should be closed and efforts to bridge the gap should focus on ensuring that systemic methods meet the needs of practitioners and improving the communication of SAA research. © 2013 Elsevier B.V. All rights reserved.","author":[{"dropping-particle":"","family":"Underwood","given":"Peter","non-dropping-particle":"","parse-names":false,"suffix":""},{"dropping-particle":"","family":"Waterson","given":"Patrick","non-dropping-particle":"","parse-names":false,"suffix":""}],"container-title":"Accident Analysis and Prevention","id":"ITEM-1","issued":{"date-parts":[["2013"]]},"page":"154-164","publisher":"Elsevier Ltd","title":"Systemic accident analysis: Examining the gap between research and practice","type":"article-journal","volume":"55"},"uris":["http://www.mendeley.com/documents/?uuid=e5fa570a-84ab-4ff1-8a03-722970ed45d3"]}],"mendeley":{"formattedCitation":"(Underwood &amp; Waterson, 2013)","plainTextFormattedCitation":"(Underwood &amp; Waterson, 2013)","previouslyFormattedCitation":"(Underwood &amp; Waterson, 2013)"},"properties":{"noteIndex":0},"schema":"https://github.com/citation-style-language/schema/raw/master/csl-citation.json"}</w:instrText>
      </w:r>
      <w:r w:rsidR="00826C93">
        <w:fldChar w:fldCharType="separate"/>
      </w:r>
      <w:r w:rsidR="00826C93" w:rsidRPr="00826C93">
        <w:rPr>
          <w:noProof/>
        </w:rPr>
        <w:t>(Underwood &amp; Waterson, 2013)</w:t>
      </w:r>
      <w:r w:rsidR="00826C93">
        <w:fldChar w:fldCharType="end"/>
      </w:r>
      <w:r w:rsidR="00564CF4">
        <w:t>.</w:t>
      </w:r>
    </w:p>
    <w:p w14:paraId="30AC8A99" w14:textId="6F324DEB" w:rsidR="00CC460F" w:rsidRDefault="00CA36B7" w:rsidP="00CA36B7">
      <w:r>
        <w:t>In previous work</w:t>
      </w:r>
      <w:r w:rsidR="00C52D4A">
        <w:t>,</w:t>
      </w:r>
      <w:r>
        <w:t xml:space="preserve"> Foster, Plant &amp; Stanton </w:t>
      </w:r>
      <w:r>
        <w:fldChar w:fldCharType="begin" w:fldLock="1"/>
      </w:r>
      <w:r>
        <w:instrText>ADDIN CSL_CITATION {"citationItems":[{"id":"ITEM-1","itemData":{"DOI":"10.1016/j.ssci.2019.05.035","ISSN":"09257535","author":[{"dropping-particle":"","family":"Foster","given":"Craig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Science","id":"ITEM-1","issue":"May","issued":{"date-parts":[["2019"]]},"page":"617-631","publisher":"Elsevier","title":"Adaptation as a source of safety in complex socio-technical systems: A literature review and model development","type":"article-journal","volume":"118"},"suppress-author":1,"uris":["http://www.mendeley.com/documents/?uuid=138b3605-a7cf-426b-a961-e511a9ba3876"]}],"mendeley":{"formattedCitation":"(2019)","plainTextFormattedCitation":"(2019)","previouslyFormattedCitation":"(2019)"},"properties":{"noteIndex":0},"schema":"https://github.com/citation-style-language/schema/raw/master/csl-citation.json"}</w:instrText>
      </w:r>
      <w:r>
        <w:fldChar w:fldCharType="separate"/>
      </w:r>
      <w:r w:rsidRPr="003C126F">
        <w:rPr>
          <w:noProof/>
        </w:rPr>
        <w:t>(2019)</w:t>
      </w:r>
      <w:r>
        <w:fldChar w:fldCharType="end"/>
      </w:r>
      <w:r>
        <w:t xml:space="preserve"> describe a systematic review of the safety literature using a grounded theory approach from a variety of industrial domains and theoretical stand-points. This review identified nine key factors </w:t>
      </w:r>
      <w:r w:rsidR="00CC460F">
        <w:t xml:space="preserve">(summaries of these factors are included in Appendix 1) </w:t>
      </w:r>
      <w:r>
        <w:t xml:space="preserve">within sociotechnical systems that describe how adaptation operates and is related to safety. These factors explore the relevance of context, complexity and unpredictability, the need to make trade-offs, the reliance on the skills, knowledge and experience of people and that whilst rules </w:t>
      </w:r>
      <w:r w:rsidR="00FE3DEB">
        <w:t>and procedures are necessary</w:t>
      </w:r>
      <w:r w:rsidR="009D458D">
        <w:t>,</w:t>
      </w:r>
      <w:r w:rsidR="00FE3DEB">
        <w:t xml:space="preserve"> </w:t>
      </w:r>
      <w:r>
        <w:t xml:space="preserve">they may be broken for a variety of reasons. </w:t>
      </w:r>
      <w:r w:rsidR="00E23BFC">
        <w:t>The factors</w:t>
      </w:r>
      <w:r>
        <w:t xml:space="preserve"> reinforce the view that human variability supports the adaptations necessary to mitigate the variability in the work – that people create safety. </w:t>
      </w:r>
    </w:p>
    <w:p w14:paraId="67BAB982" w14:textId="623BB113" w:rsidR="00CA36B7" w:rsidRDefault="00CA36B7" w:rsidP="00CA36B7">
      <w:r>
        <w:t xml:space="preserve">The adaptation model </w:t>
      </w:r>
      <w:r w:rsidR="00F10523">
        <w:t xml:space="preserve">was subjected to a test of ecological </w:t>
      </w:r>
      <w:r>
        <w:t>valid</w:t>
      </w:r>
      <w:r w:rsidR="00F10523">
        <w:t>ity,</w:t>
      </w:r>
      <w:r>
        <w:t xml:space="preserve"> using its nine factors as a systematic keyword trigger to support enquiry into a case study that explored UK oceanic air traffic controllers’ response</w:t>
      </w:r>
      <w:r w:rsidR="00751829">
        <w:t>s</w:t>
      </w:r>
      <w:r>
        <w:t xml:space="preserve"> to the closure of US airspace following the terrorist attacks on the 11</w:t>
      </w:r>
      <w:r w:rsidRPr="00A4296F">
        <w:rPr>
          <w:vertAlign w:val="superscript"/>
        </w:rPr>
        <w:t>th</w:t>
      </w:r>
      <w:r>
        <w:t xml:space="preserve"> September 2001 </w:t>
      </w:r>
      <w:r>
        <w:fldChar w:fldCharType="begin" w:fldLock="1"/>
      </w:r>
      <w:r>
        <w:instrText>ADDIN CSL_CITATION {"citationItems":[{"id":"ITEM-1","itemData":{"DOI":"10.1016/j.ssci.2019.05.035","ISSN":"09257535","author":[{"dropping-particle":"","family":"Foster","given":"Craig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Science","id":"ITEM-1","issue":"May","issued":{"date-parts":[["2019"]]},"page":"617-631","publisher":"Elsevier","title":"Adaptation as a source of safety in complex socio-technical systems: A literature review and model development","type":"article-journal","volume":"118"},"uris":["http://www.mendeley.com/documents/?uuid=138b3605-a7cf-426b-a961-e511a9ba3876"]}],"mendeley":{"formattedCitation":"(Foster et al., 2019)","plainTextFormattedCitation":"(Foster et al., 2019)","previouslyFormattedCitation":"(Foster et al., 2019)"},"properties":{"noteIndex":0},"schema":"https://github.com/citation-style-language/schema/raw/master/csl-citation.json"}</w:instrText>
      </w:r>
      <w:r>
        <w:fldChar w:fldCharType="separate"/>
      </w:r>
      <w:r w:rsidRPr="003A6975">
        <w:rPr>
          <w:noProof/>
        </w:rPr>
        <w:t>(Foster et al., 2019)</w:t>
      </w:r>
      <w:r>
        <w:fldChar w:fldCharType="end"/>
      </w:r>
      <w:r>
        <w:t xml:space="preserve">. </w:t>
      </w:r>
      <w:r w:rsidR="00406FB3">
        <w:t>T</w:t>
      </w:r>
      <w:r w:rsidR="008C213A">
        <w:t>h</w:t>
      </w:r>
      <w:r w:rsidR="00EB1F50">
        <w:t>is</w:t>
      </w:r>
      <w:r w:rsidR="008C213A">
        <w:t xml:space="preserve"> analys</w:t>
      </w:r>
      <w:r w:rsidR="00EB1F50">
        <w:t>i</w:t>
      </w:r>
      <w:r w:rsidR="008C213A">
        <w:t xml:space="preserve">s </w:t>
      </w:r>
      <w:r w:rsidR="00844398">
        <w:t xml:space="preserve">confirmed the applicability of the factors but </w:t>
      </w:r>
      <w:r w:rsidR="008C213A">
        <w:t xml:space="preserve">suggested that the problem of assessing adaptation </w:t>
      </w:r>
      <w:r w:rsidR="003E3230">
        <w:t xml:space="preserve">(in common with other complex system behaviours) </w:t>
      </w:r>
      <w:r w:rsidR="008C213A">
        <w:t>could benefit from more structured approaches</w:t>
      </w:r>
      <w:r w:rsidR="003E3230">
        <w:t xml:space="preserve"> </w:t>
      </w:r>
      <w:r w:rsidR="003E3230">
        <w:fldChar w:fldCharType="begin" w:fldLock="1"/>
      </w:r>
      <w:r w:rsidR="00826C93">
        <w:instrText>ADDIN CSL_CITATION {"citationItems":[{"id":"ITEM-1","itemData":{"DOI":"10.1016/j.aap.2013.02.041","ISSN":"00014575","PMID":"23542136","abstract":"The systems approach is arguably the dominant concept within accident analysis research. Viewing accidents as a result of uncontrolled system interactions, it forms the theoretical basis of various systemic accident analysis (SAA) models and methods. Despite the proposed benefits of SAA, such as an improved description of accident causation, evidence within the scientific literature suggests that these techniques are not being used in practice and that a research-practice gap exists. The aim of this study was to explore the issues stemming from research and practice which could hinder the awareness, adoption and usage of SAA. To achieve this, semi-structured interviews were conducted with 42 safety experts from ten countries and a variety of industries, including rail, aviation and maritime. This study suggests that the research-practice gap should be closed and efforts to bridge the gap should focus on ensuring that systemic methods meet the needs of practitioners and improving the communication of SAA research. © 2013 Elsevier B.V. All rights reserved.","author":[{"dropping-particle":"","family":"Underwood","given":"Peter","non-dropping-particle":"","parse-names":false,"suffix":""},{"dropping-particle":"","family":"Waterson","given":"Patrick","non-dropping-particle":"","parse-names":false,"suffix":""}],"container-title":"Accident Analysis and Prevention","id":"ITEM-1","issued":{"date-parts":[["2013"]]},"page":"154-164","publisher":"Elsevier Ltd","title":"Systemic accident analysis: Examining the gap between research and practice","type":"article-journal","volume":"55"},"uris":["http://www.mendeley.com/documents/?uuid=e5fa570a-84ab-4ff1-8a03-722970ed45d3"]}],"mendeley":{"formattedCitation":"(Underwood &amp; Waterson, 2013)","plainTextFormattedCitation":"(Underwood &amp; Waterson, 2013)","previouslyFormattedCitation":"(Underwood &amp; Waterson, 2013)"},"properties":{"noteIndex":0},"schema":"https://github.com/citation-style-language/schema/raw/master/csl-citation.json"}</w:instrText>
      </w:r>
      <w:r w:rsidR="003E3230">
        <w:fldChar w:fldCharType="separate"/>
      </w:r>
      <w:r w:rsidR="003E3230" w:rsidRPr="003E3230">
        <w:rPr>
          <w:noProof/>
        </w:rPr>
        <w:t>(Underwood &amp; Waterson, 2013)</w:t>
      </w:r>
      <w:r w:rsidR="003E3230">
        <w:fldChar w:fldCharType="end"/>
      </w:r>
      <w:r w:rsidR="006C004D">
        <w:t xml:space="preserve">. Furthermore, </w:t>
      </w:r>
      <w:r w:rsidR="008C213A">
        <w:t xml:space="preserve">with safety and performance inextricably linked </w:t>
      </w:r>
      <w:r w:rsidR="008C213A">
        <w:fldChar w:fldCharType="begin" w:fldLock="1"/>
      </w:r>
      <w:r w:rsidR="008C213A">
        <w:instrText>ADDIN CSL_CITATION {"citationItems":[{"id":"ITEM-1","itemData":{"DOI":"10.1016/j.ssci.2010.05.006","ISBN":"09257535","ISSN":"09257535","PMID":"53406527","abstract":"Measuring safety as an outcome variable within the ultra-safe civil aviation industry during periods of deliberate organizational change is a difficult, and often fruitless, task. Anticipating eroding safety processes, based on measuring nothing happening over time, does not adequately capture the true state of an evolving safe system, and this is particularly relevant for leaders and managers in a civil aviation industry responsible for maintaining and improving ultra-safe performance while simultaneously managing demanding strategic business goals.In this paper, I will look at the difficulties of measuring safety as an outcome measure in high reliability organizations (HROs) using the traditional measures of incident and accident reporting during periods of deliberate organizational change inspired by the results from a 3. year longitudinal case study of the Norwegian Air Navigation Services provider - Avinor. I will first review the current safety literature relating to safety management systems (SMSs) used in the civil aviation industry. I will then propose a more holistic model that shifts the focus from the traditional safety monitoring mechanisms of risk analysis and trial and error learning, to the natural interactivity within socio-technical systems as found in high reliability organizations. And finally, I will present a summary of the empirical results of an alternate methodology for measuring perceived changes in safety at the operational level as leading indicators of evolving safety at the organizational level. ?? 2010 Elsevier Ltd.","author":[{"dropping-particle":"","family":"Lofquist","given":"Eric Arne","non-dropping-particle":"","parse-names":false,"suffix":""}],"container-title":"Safety Science","id":"ITEM-1","issue":"10","issued":{"date-parts":[["2010"]]},"note":"Corporatization of ANSPs and the changing business context.\nGood review in Section 4.\nIssues of not having anything to measure.\nDon't look at the outcome look at the process. \nDiscussion of the challenges of managers making safety related decisions.\nProposes a 3 part system for monitoring which is just Design, Monitoring, Investigation with new names. Promotes training and culture as key (which isn't particularly innovative).\nCites a who's who of safety by their review of investigations afetr accidents. Some key points about the limitations on current monitoring and metrics.","page":"1520-1529","publisher":"Elsevier Ltd","title":"The art of measuring nothing: The paradox of measuring safety in a changing civil aviation industry using traditional safety metrics","type":"article-journal","volume":"48"},"uris":["http://www.mendeley.com/documents/?uuid=7cbb0492-b8c2-428f-97ee-d78dd0cc34ac"]},{"id":"ITEM-2","itemData":{"DOI":"10.1080/001401399184884","ISBN":"0014013991","ISSN":"00140139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I.","non-dropping-particle":"","parse-names":false,"suffix":""}],"container-title":"Ergonomics","id":"ITEM-2","issue":"11","issued":{"date-parts":[["1999"]]},"language":"English","note":"From Duplicate 2 (Safe operation as a social construct - Rochlin, Gene I.)\n\nFrom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construct","type":"article-journal","volume":"42"},"uris":["http://www.mendeley.com/documents/?uuid=c71e2c9c-4a14-401b-8438-da24eaadc54b"]}],"mendeley":{"formattedCitation":"(Lofquist, 2010; Rochlin, 1999)","plainTextFormattedCitation":"(Lofquist, 2010; Rochlin, 1999)","previouslyFormattedCitation":"(Lofquist, 2010; Rochlin, 1999)"},"properties":{"noteIndex":0},"schema":"https://github.com/citation-style-language/schema/raw/master/csl-citation.json"}</w:instrText>
      </w:r>
      <w:r w:rsidR="008C213A">
        <w:fldChar w:fldCharType="separate"/>
      </w:r>
      <w:r w:rsidR="008C213A" w:rsidRPr="006C1A00">
        <w:rPr>
          <w:noProof/>
        </w:rPr>
        <w:t>(Lofquist, 2010; Rochlin, 1999)</w:t>
      </w:r>
      <w:r w:rsidR="008C213A">
        <w:fldChar w:fldCharType="end"/>
      </w:r>
      <w:r w:rsidR="008C213A">
        <w:t xml:space="preserve">, suitable methods </w:t>
      </w:r>
      <w:r w:rsidR="00ED5AB4">
        <w:t>we</w:t>
      </w:r>
      <w:r w:rsidR="008C213A">
        <w:t xml:space="preserve">re likely to be related to systems thinking </w:t>
      </w:r>
      <w:r w:rsidR="008C213A">
        <w:fldChar w:fldCharType="begin" w:fldLock="1"/>
      </w:r>
      <w:r w:rsidR="00915B18">
        <w:instrText>ADDIN CSL_CITATION {"citationItems":[{"id":"ITEM-1","itemData":{"DOI":"10.1080/00140139.2015.1103385","ISBN":"1366-5847 (Electronic)\\r0014-0139 (Linking)","ISSN":"13665847","PMID":"26799501","abstract":"The issues being tackled within ergonomics problem spaces are shifting. Although existing paradigms appear relevant for modern day systems, it is worth questioning whether our methods are. This paper asks whether the complexities of systems thinking, a currently ubiquitous ergonomics paradigm, are outpacing the capabilities of our methodological toolkit. This is achieved through examining the contemporary ergonomics problem space and the extent to which ergonomics methods can meet the challenges posed. Specifically, five key areas within the ergonomics paradigm of systems thinking are focused on: normal performance as a cause of accidents, accident prediction, system migration, systems concepts and ergonomics in design. The methods available for pursuing each line of inquiry are discussed, along with their ability to respond to key requirements. In doing so, a series of new methodological requirements and capabilities are identified. It is argued that further methodological development is required to provide researchers and practitioners with appropriate tools to explore both contemporary and future problems. Practitioner Summary: Ergonomics methods are the cornerstone of our discipline. This paper examines whether our current methodological toolkit is fit for purpose given the changing nature of ergonomics problems. The findings provide key research and practice requirements for methodological development.","author":[{"dropping-particle":"","family":"Salmon","given":"Paul M.","non-dropping-particle":"","parse-names":false,"suffix":""},{"dropping-particle":"","family":"Walker","given":"Guy H.","non-dropping-particle":"","parse-names":false,"suffix":""},{"dropping-particle":"","family":"Gemma","given":"Gemma J.","non-dropping-particle":"","parse-names":false,"suffix":""},{"dropping-particle":"","family":"Goode","given":"Natassia","non-dropping-particle":"","parse-names":false,"suffix":""},{"dropping-particle":"","family":"Stanton","given":"Neville A.","non-dropping-particle":"","parse-names":false,"suffix":""}],"container-title":"Ergonomics","id":"ITEM-1","issue":"2","issued":{"date-parts":[["2017"]]},"page":"194-205","title":"Fitting methods to paradigms: are ergonomics methods fit for systems thinking?","type":"article-journal","volume":"60"},"uris":["http://www.mendeley.com/documents/?uuid=34366165-11b0-431f-8e10-fe49ba6d5485"]},{"id":"ITEM-2","itemData":{"DOI":"10.1080/00140139.2015.1015622","ISBN":"1366-5847","ISSN":"0014-0139","PMID":"25832121","abstract":"An important part of the application of sociotechnical systems theory (STS) is the development of methods, tools and techniques to assess human factors and ergonomics workplace requirements. We focus in this paper on describing and evaluating current STS methods for workplace safety, as well as outlining a set of six case studies covering the application of these methods to a range of safety contexts. We also describe an evaluation of the methods in terms of ratings of their ability to address a set of theoretical and practical questions (e.g. the degree to which methods capture static/dynamic aspects of tasks and interactions between system levels). The outcomes from the evaluation highlight a set of gaps relating to the coverage and applicability of current methods for STS and safety (e.g. coverage of external influences on system functioning; method usability). The final sections of the paper describe a set of future challenges, as well as some practical suggestions for tackling these. Practitioner Summary: We provide an up-to-date review of STS methods, a set of case studies illustrating their use and an evaluation of their strengths and weaknesses. The paper concludes with a 'roadmap' for future work.","author":[{"dropping-particle":"","family":"Waterson","given":"Patrick","non-dropping-particle":"","parse-names":false,"suffix":""},{"dropping-particle":"","family":"Robertson","given":"Michelle M.","non-dropping-particle":"","parse-names":false,"suffix":""},{"dropping-particle":"","family":"Cooke","given":"Nancy J.","non-dropping-particle":"","parse-names":false,"suffix":""},{"dropping-particle":"","family":"Militello","given":"Laura","non-dropping-particle":"","parse-names":false,"suffix":""},{"dropping-particle":"","family":"Roth","given":"Emilie","non-dropping-particle":"","parse-names":false,"suffix":""},{"dropping-particle":"","family":"Stanton","given":"Neville A.","non-dropping-particle":"","parse-names":false,"suffix":""}],"container-title":"Ergonomics","id":"ITEM-2","issue":"4","issued":{"date-parts":[["2015","4","3"]]},"note":"From Duplicate 1 (Defining the methodological challenges and opportunities for an effective science of sociotechnical systems and safety - Waterson, Patrick; Robertson, Michelle M.; Cooke, Nancy J.; Militello, Laura; Roth, Emilie; Stanton, Neville A.)\n\nMethodological review of socio-technical systems. Review of development of methods. Case study examples from different domains. Review of findings. \n\nPolitics and regulatory environment not included in many methods.\n\nDifficult to draw boundaries in the STS of what to assess by the method \n\nLots of tools and frameworks. Little guidance. \n\nCalls for comparative analysis of different methods with a single case study or common scenario.\n\nNeed for more validation and reliability of methods\n\nFrom Duplicate 2 (Defining the methodological challenges and opportunities for an effective science of sociotechnical systems and safety - Waterson, Patrick; Robertson, Michelle M.; Cooke, Nancy J.; Militello, Laura; Roth, Emilie; Stanton, Neville A.)\n\nFrom Duplicate 2 (Defining the methodological challenges and opportunities for an effective science of sociotechnical systems and safety - Waterson, Patrick; Robertson, Michelle M.; Cooke, Nancy J.; Militello, Laura; Roth, Emilie; Stanton, Neville A.)\n\nFrom Duplicate 2 (Defining the methodological challenges and opportunities for an effective science of sociotechnical systems and safety - Waterson, Patrick; Robertson, Michelle M.; Cooke, Nancy J.; Militello, Laura; Roth, Emilie; Stanton, Neville A.)\n\nMethodological review of socio-technical systems. Review of development of methods. Case study examples from different domains. Review of findings. \n\nPolitics and regulatory environment not included in many methods.\n\nDifficult to draw boundaries in the STS of what to assess by the method \n\nLots of tools and frameworks. Little guidance. \n\nCalls for comparative analysis of different methods with a single case study or common scenario.\n\nNeed for more validation and reliability of methods","page":"565-599","title":"Defining the methodological challenges and opportunities for an effective science of sociotechnical systems and safety","type":"article-journal","volume":"58"},"uris":["http://www.mendeley.com/documents/?uuid=49102f71-537b-414a-9db0-4f6083d476f2"]}],"mendeley":{"formattedCitation":"(Salmon, Walker, Gemma, Goode, &amp; Stanton, 2017; Waterson et al., 2015)","plainTextFormattedCitation":"(Salmon, Walker, Gemma, Goode, &amp; Stanton, 2017; Waterson et al., 2015)","previouslyFormattedCitation":"(Salmon, Walker, Gemma, Goode, &amp; Stanton, 2017; Waterson et al., 2015)"},"properties":{"noteIndex":0},"schema":"https://github.com/citation-style-language/schema/raw/master/csl-citation.json"}</w:instrText>
      </w:r>
      <w:r w:rsidR="008C213A">
        <w:fldChar w:fldCharType="separate"/>
      </w:r>
      <w:r w:rsidR="008C213A" w:rsidRPr="003A6975">
        <w:rPr>
          <w:noProof/>
        </w:rPr>
        <w:t>(Salmon, Walker, Gemma, Goode, &amp; Stanton, 2017; Waterson et al., 2015)</w:t>
      </w:r>
      <w:r w:rsidR="008C213A">
        <w:fldChar w:fldCharType="end"/>
      </w:r>
      <w:r w:rsidR="008C213A">
        <w:t xml:space="preserve">. </w:t>
      </w:r>
      <w:r w:rsidR="00F074B7">
        <w:t>Additionally</w:t>
      </w:r>
      <w:r>
        <w:t xml:space="preserve">, in an organisational context </w:t>
      </w:r>
      <w:r w:rsidR="00FE514B">
        <w:t xml:space="preserve">where repeatability and </w:t>
      </w:r>
      <w:r w:rsidR="000E3322">
        <w:t xml:space="preserve">guarantees of success are desired, </w:t>
      </w:r>
      <w:r>
        <w:t>practitioners often require more structured, formalised and recognised approaches to the assessment and understanding of systems and the introduction of changes</w:t>
      </w:r>
      <w:r w:rsidR="00185DB9">
        <w:t xml:space="preserve"> </w:t>
      </w:r>
      <w:r w:rsidR="00185DB9">
        <w:fldChar w:fldCharType="begin" w:fldLock="1"/>
      </w:r>
      <w:r w:rsidR="003F7E6D">
        <w:instrText>ADDIN CSL_CITATION {"citationItems":[{"id":"ITEM-1","itemData":{"DOI":"10.1177/0018720820926875","ISSN":"15478181","abstract":"Objective: This paper presents the Binary-Based Model (BBM), a new approach to Human Factors (HF) method selection. The BBM helps practitioners select the most appropriate HF methodology in relation to the complexity within the target system. Background: There are over 200 HF methods available to the practitioner and little guidance to help choose between them. Method: The BBM defines a HF “problem space” comprising three complexity attributes. HF problems can be rated against these attributes and located in the “problem space.” In addition, a similar HF “approach space” in which 66 predictive methods are rated according to their ability to confront those attributes is defined. These spaces are combined into a “utility space” in which problems and methods coexist. In the utility space, the match between HF problems and methods can be formally assessed. Results: The method space is split into octants to establish broad groupings of methods distributed throughout the space. About 77% of the methods reside in Octant 1 which corresponds to problems with low levels of complexity. This demonstrates that most HF methods are suited to problems in low-complexity systems. Conclusion: The location of 77% of the rated methods in Octant 1 indicates that HF practitioners are underserved with methods for analysis of HF problems exhibiting high complexity. Application: The BBM can be used by multidisciplinary teams to select the most appropriate HF methodology for the problem under analysis. All the materials and analysis are placed in the public domain for modification and consensus building by the wider HF community.","author":[{"dropping-particle":"","family":"Holman","given":"Matt","non-dropping-particle":"","parse-names":false,"suffix":""},{"dropping-particle":"","family":"Walker","given":"Guy","non-dropping-particle":"","parse-names":false,"suffix":""},{"dropping-particle":"","family":"Lansdown","given":"Terry","non-dropping-particle":"","parse-names":false,"suffix":""},{"dropping-particle":"","family":"Salmon","given":"Paul","non-dropping-particle":"","parse-names":false,"suffix":""},{"dropping-particle":"","family":"Read","given":"Gemma","non-dropping-particle":"","parse-names":false,"suffix":""},{"dropping-particle":"","family":"Stanton","given":"Neville","non-dropping-particle":"","parse-names":false,"suffix":""}],"container-title":"Human Factors","id":"ITEM-1","issued":{"date-parts":[["2020"]]},"title":"The Binary-Based Model (BBM) for Improved Human Factors Method Selection","type":"article-journal"},"uris":["http://www.mendeley.com/documents/?uuid=9801b58e-dd15-4770-aac1-a5484f6b9e27"]},{"id":"ITEM-2","itemData":{"DOI":"10.1038/20298","ISSN":"00280836","abstract":"Ergonomists have a say in the design of almost everything in the modern world, but there is little evidence that their methods actually work. Here is an evaluation of those methods and of the worth of ergonomics in design.","author":[{"dropping-particle":"","family":"Stanton","given":"Neville A.","non-dropping-particle":"","parse-names":false,"suffix":""},{"dropping-particle":"","family":"Young","given":"M. S.","non-dropping-particle":"","parse-names":false,"suffix":""}],"container-title":"Nature","id":"ITEM-2","issue":"6733","issued":{"date-parts":[["1999"]]},"page":"197-198","title":"What price ergonomics","type":"article-journal","volume":"399"},"uris":["http://www.mendeley.com/documents/?uuid=b0b9c1d0-6ed7-4e45-870b-455c129fc15e"]}],"mendeley":{"formattedCitation":"(Holman et al., 2020; Stanton &amp; Young, 1999)","plainTextFormattedCitation":"(Holman et al., 2020; Stanton &amp; Young, 1999)","previouslyFormattedCitation":"(Holman et al., 2020; Stanton &amp; Young, 1999)"},"properties":{"noteIndex":0},"schema":"https://github.com/citation-style-language/schema/raw/master/csl-citation.json"}</w:instrText>
      </w:r>
      <w:r w:rsidR="00185DB9">
        <w:fldChar w:fldCharType="separate"/>
      </w:r>
      <w:r w:rsidR="00884760" w:rsidRPr="00884760">
        <w:rPr>
          <w:noProof/>
        </w:rPr>
        <w:t>(Holman et al., 2020; Stanton &amp; Young, 1999)</w:t>
      </w:r>
      <w:r w:rsidR="00185DB9">
        <w:fldChar w:fldCharType="end"/>
      </w:r>
      <w:r>
        <w:t>.</w:t>
      </w:r>
      <w:r w:rsidR="00A374DE">
        <w:t xml:space="preserve"> In subsequent work Foster, Plant &amp; Stanton </w:t>
      </w:r>
      <w:r w:rsidR="00A374DE">
        <w:fldChar w:fldCharType="begin" w:fldLock="1"/>
      </w:r>
      <w:r w:rsidR="005D0907">
        <w:instrText>ADDIN CSL_CITATION {"citationItems":[{"id":"ITEM-1","itemData":{"DOI":"10.1016/j.ssci.2020.104933","ISSN":"0925-7535","author":[{"dropping-particle":"","family":"Foster","given":"Craig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Science","id":"ITEM-1","issue":"July","issued":{"date-parts":[["2020"]]},"page":"104933","publisher":"Elsevier","title":"A Delphi study of human factors methods for the evaluation of adaptation in safety-related organisations","type":"article-journal","volume":"131"},"suppress-author":1,"uris":["http://www.mendeley.com/documents/?uuid=3dcd98b9-5f29-4956-9ece-f4c7e4425c89"]}],"mendeley":{"formattedCitation":"(2020a)","plainTextFormattedCitation":"(2020a)","previouslyFormattedCitation":"(2020a)"},"properties":{"noteIndex":0},"schema":"https://github.com/citation-style-language/schema/raw/master/csl-citation.json"}</w:instrText>
      </w:r>
      <w:r w:rsidR="00A374DE">
        <w:fldChar w:fldCharType="separate"/>
      </w:r>
      <w:r w:rsidR="00EF19BB" w:rsidRPr="00EF19BB">
        <w:rPr>
          <w:noProof/>
        </w:rPr>
        <w:t>(2020a)</w:t>
      </w:r>
      <w:r w:rsidR="00A374DE">
        <w:fldChar w:fldCharType="end"/>
      </w:r>
      <w:r w:rsidR="00A374DE">
        <w:t xml:space="preserve"> conducted a 3-round ranking Delphi survey of Human Factors experts and safety practitioners to assess the applicability of Human Factors methods, techniques</w:t>
      </w:r>
      <w:r w:rsidR="00890FC1">
        <w:t>, models</w:t>
      </w:r>
      <w:r w:rsidR="00A374DE">
        <w:t xml:space="preserve"> and approaches to the practical understanding of the factors of adaptation across the levels of the organisational hierarchy.</w:t>
      </w:r>
      <w:r w:rsidR="0022294E">
        <w:t xml:space="preserve"> This identified seven candidate </w:t>
      </w:r>
      <w:r w:rsidR="00890FC1">
        <w:t>approaches</w:t>
      </w:r>
      <w:r w:rsidR="00582B2A">
        <w:t xml:space="preserve">, </w:t>
      </w:r>
      <w:r w:rsidR="002121C1">
        <w:t xml:space="preserve">since </w:t>
      </w:r>
      <w:r w:rsidR="00582B2A">
        <w:t>no one method was recommended</w:t>
      </w:r>
      <w:r w:rsidR="002121C1">
        <w:t xml:space="preserve"> for all factors and all levels of the organisational hierarchy</w:t>
      </w:r>
      <w:r w:rsidR="00582B2A">
        <w:t>,</w:t>
      </w:r>
      <w:r w:rsidR="0022294E">
        <w:t xml:space="preserve"> that </w:t>
      </w:r>
      <w:r w:rsidR="003E56A7">
        <w:t xml:space="preserve">had the potential to </w:t>
      </w:r>
      <w:r w:rsidR="00D71204">
        <w:t>explore</w:t>
      </w:r>
      <w:r w:rsidR="003E56A7">
        <w:t xml:space="preserve"> the factors of adaptation</w:t>
      </w:r>
      <w:r w:rsidR="00582B2A">
        <w:t>.</w:t>
      </w:r>
    </w:p>
    <w:p w14:paraId="79B2284F" w14:textId="77E41AFE" w:rsidR="007B6392" w:rsidRDefault="00E076A2" w:rsidP="00321702">
      <w:r>
        <w:t xml:space="preserve">To </w:t>
      </w:r>
      <w:r w:rsidR="00735254">
        <w:t>consider how the</w:t>
      </w:r>
      <w:r w:rsidR="001D33E1">
        <w:t>se techniques,</w:t>
      </w:r>
      <w:r w:rsidR="00735254">
        <w:t xml:space="preserve"> </w:t>
      </w:r>
      <w:r w:rsidR="00A277C4">
        <w:t>models</w:t>
      </w:r>
      <w:r w:rsidR="001D33E1">
        <w:t>, approaches</w:t>
      </w:r>
      <w:r w:rsidR="00A277C4">
        <w:t xml:space="preserve"> and </w:t>
      </w:r>
      <w:r w:rsidR="00735254">
        <w:t xml:space="preserve">methods </w:t>
      </w:r>
      <w:r w:rsidR="00281925">
        <w:t>(</w:t>
      </w:r>
      <w:r w:rsidR="00CE7AF8">
        <w:t xml:space="preserve">subsequently </w:t>
      </w:r>
      <w:r w:rsidR="00281925">
        <w:t xml:space="preserve">referred to as methods for simplicity </w:t>
      </w:r>
      <w:r w:rsidR="00281379">
        <w:t xml:space="preserve">and brevity </w:t>
      </w:r>
      <w:r w:rsidR="00281925">
        <w:t xml:space="preserve">but recognising that </w:t>
      </w:r>
      <w:r w:rsidR="001D33E1">
        <w:t xml:space="preserve">these approaches include </w:t>
      </w:r>
      <w:r w:rsidR="00C16E22">
        <w:t xml:space="preserve">techniques for the development of </w:t>
      </w:r>
      <w:r w:rsidR="001D33E1">
        <w:t xml:space="preserve">models </w:t>
      </w:r>
      <w:r w:rsidR="00CE7AF8">
        <w:t xml:space="preserve">of </w:t>
      </w:r>
      <w:r w:rsidR="00AE3934">
        <w:t>a</w:t>
      </w:r>
      <w:r w:rsidR="00CE7AF8">
        <w:t xml:space="preserve"> system-under-review</w:t>
      </w:r>
      <w:r w:rsidR="00C16E22">
        <w:t>)</w:t>
      </w:r>
      <w:r w:rsidR="0005290A">
        <w:t xml:space="preserve"> </w:t>
      </w:r>
      <w:r w:rsidR="00735254">
        <w:t xml:space="preserve">identified in </w:t>
      </w:r>
      <w:r>
        <w:t xml:space="preserve">the </w:t>
      </w:r>
      <w:r w:rsidR="004A4369">
        <w:t xml:space="preserve">Delphi </w:t>
      </w:r>
      <w:r>
        <w:t>survey</w:t>
      </w:r>
      <w:r w:rsidR="00735254">
        <w:t xml:space="preserve"> might be used together</w:t>
      </w:r>
      <w:r w:rsidR="00081D45">
        <w:t>, t</w:t>
      </w:r>
      <w:r w:rsidR="00C05944">
        <w:t>h</w:t>
      </w:r>
      <w:r w:rsidR="00553723">
        <w:t>is</w:t>
      </w:r>
      <w:r w:rsidR="00C05944">
        <w:t xml:space="preserve"> paper describes </w:t>
      </w:r>
      <w:r w:rsidR="00C76C22">
        <w:t xml:space="preserve">the results </w:t>
      </w:r>
      <w:r w:rsidR="00B676C0">
        <w:t>of an</w:t>
      </w:r>
      <w:r w:rsidR="00A85122">
        <w:t xml:space="preserve"> application</w:t>
      </w:r>
      <w:r w:rsidR="003F6F48">
        <w:t xml:space="preserve"> o</w:t>
      </w:r>
      <w:r w:rsidR="00106A25">
        <w:t xml:space="preserve">f </w:t>
      </w:r>
      <w:r w:rsidR="00F36EC3">
        <w:t xml:space="preserve">these </w:t>
      </w:r>
      <w:r w:rsidR="00BE6FA4">
        <w:t xml:space="preserve">seven </w:t>
      </w:r>
      <w:r w:rsidR="00C76C22">
        <w:t>H</w:t>
      </w:r>
      <w:r w:rsidR="00765225">
        <w:t xml:space="preserve">uman </w:t>
      </w:r>
      <w:r w:rsidR="00C76C22">
        <w:t>F</w:t>
      </w:r>
      <w:r w:rsidR="00765225">
        <w:t xml:space="preserve">actors </w:t>
      </w:r>
      <w:r w:rsidR="00BE6FA4">
        <w:t>methods</w:t>
      </w:r>
      <w:r w:rsidR="00A50558">
        <w:t xml:space="preserve"> to </w:t>
      </w:r>
      <w:r w:rsidR="00500D9D">
        <w:t>the circumstances surrounding a</w:t>
      </w:r>
      <w:r w:rsidR="00DE7B97">
        <w:t xml:space="preserve"> </w:t>
      </w:r>
      <w:r w:rsidR="00131187">
        <w:t>relatively normal</w:t>
      </w:r>
      <w:r w:rsidR="00500D9D">
        <w:t xml:space="preserve"> </w:t>
      </w:r>
      <w:r w:rsidR="00BB4791">
        <w:t>risk management intervention in UK air traffic control</w:t>
      </w:r>
      <w:r w:rsidR="00CD1BBD">
        <w:t xml:space="preserve">. This was an intervention </w:t>
      </w:r>
      <w:r w:rsidR="00131187">
        <w:t xml:space="preserve">that </w:t>
      </w:r>
      <w:r w:rsidR="00CF1795">
        <w:t xml:space="preserve">did not appreciate </w:t>
      </w:r>
      <w:r w:rsidR="00930946">
        <w:t xml:space="preserve">the </w:t>
      </w:r>
      <w:r w:rsidR="00CF1795">
        <w:t xml:space="preserve">pre-existing adaptations </w:t>
      </w:r>
      <w:r w:rsidR="00930946">
        <w:t xml:space="preserve">in normal work </w:t>
      </w:r>
      <w:r w:rsidR="00CF1795">
        <w:t xml:space="preserve">and </w:t>
      </w:r>
      <w:r w:rsidR="00131187">
        <w:t xml:space="preserve">resulted in maladaptive and emergent effects that were not anticipated prior to the </w:t>
      </w:r>
      <w:r w:rsidR="00060E07">
        <w:t>change</w:t>
      </w:r>
      <w:r w:rsidR="00B676C0">
        <w:t>.</w:t>
      </w:r>
      <w:r w:rsidR="00C32692" w:rsidRPr="00C32692">
        <w:t xml:space="preserve"> </w:t>
      </w:r>
      <w:r w:rsidR="002D5C6D">
        <w:t xml:space="preserve">The paper explores </w:t>
      </w:r>
      <w:r w:rsidR="00F36EC3">
        <w:t xml:space="preserve">the </w:t>
      </w:r>
      <w:r w:rsidR="00820802">
        <w:t>use</w:t>
      </w:r>
      <w:r w:rsidR="00F36EC3">
        <w:t xml:space="preserve"> of the methods </w:t>
      </w:r>
      <w:r w:rsidR="00820802">
        <w:t xml:space="preserve">to </w:t>
      </w:r>
      <w:r w:rsidR="002856F8">
        <w:t xml:space="preserve">uncover the adaptive capacities present in normal work and the maladaptive effects that resulted </w:t>
      </w:r>
      <w:r w:rsidR="00F20672">
        <w:t xml:space="preserve">from the intervention. </w:t>
      </w:r>
      <w:r w:rsidR="006717DE">
        <w:t xml:space="preserve">The analysis therefore does not focus on, for example, the </w:t>
      </w:r>
      <w:r w:rsidR="0003388D">
        <w:t>actions of one air traffic controller</w:t>
      </w:r>
      <w:r w:rsidR="008D3776">
        <w:t xml:space="preserve"> or even the pilot error itself</w:t>
      </w:r>
      <w:r w:rsidR="0003388D">
        <w:t xml:space="preserve">, </w:t>
      </w:r>
      <w:r w:rsidR="00094681">
        <w:t xml:space="preserve">nor do we seek to solve the </w:t>
      </w:r>
      <w:r w:rsidR="00303668">
        <w:t xml:space="preserve">fundamental issue of level busts </w:t>
      </w:r>
      <w:r w:rsidR="0003388D">
        <w:t xml:space="preserve">but instead </w:t>
      </w:r>
      <w:r w:rsidR="00303668">
        <w:t xml:space="preserve">we </w:t>
      </w:r>
      <w:r w:rsidR="0003388D">
        <w:t xml:space="preserve">consider the broader implications of </w:t>
      </w:r>
      <w:r w:rsidR="00595458">
        <w:t xml:space="preserve">adaptation on </w:t>
      </w:r>
      <w:r w:rsidR="0003388D">
        <w:t>decision</w:t>
      </w:r>
      <w:r w:rsidR="00FF7BA9">
        <w:t>-</w:t>
      </w:r>
      <w:r w:rsidR="0003388D">
        <w:t>making under uncertainty in complex sociotechnical systems</w:t>
      </w:r>
      <w:r w:rsidR="00F53228">
        <w:t xml:space="preserve"> and provide a</w:t>
      </w:r>
      <w:r w:rsidR="00822DDC">
        <w:t xml:space="preserve"> unique</w:t>
      </w:r>
      <w:r w:rsidR="00F53228">
        <w:t xml:space="preserve"> insight into industrial risk management</w:t>
      </w:r>
      <w:r w:rsidR="0003388D">
        <w:t xml:space="preserve">. </w:t>
      </w:r>
      <w:r w:rsidR="00C32692">
        <w:t xml:space="preserve">The paper </w:t>
      </w:r>
      <w:r w:rsidR="008602D3">
        <w:t xml:space="preserve">provides a summary </w:t>
      </w:r>
      <w:r w:rsidR="00D14B81">
        <w:t xml:space="preserve">description </w:t>
      </w:r>
      <w:r w:rsidR="008602D3">
        <w:t>of the methods</w:t>
      </w:r>
      <w:r w:rsidR="007D4DB2">
        <w:t xml:space="preserve">, </w:t>
      </w:r>
      <w:r w:rsidR="00E27656">
        <w:t xml:space="preserve">applies </w:t>
      </w:r>
      <w:r w:rsidR="00B053AA">
        <w:t xml:space="preserve">each of </w:t>
      </w:r>
      <w:r w:rsidR="00E27656">
        <w:t>the methods</w:t>
      </w:r>
      <w:r w:rsidR="00577DB1">
        <w:t xml:space="preserve"> </w:t>
      </w:r>
      <w:r w:rsidR="00D7011C">
        <w:t xml:space="preserve">to the case study </w:t>
      </w:r>
      <w:r w:rsidR="00577DB1">
        <w:t>and</w:t>
      </w:r>
      <w:r w:rsidR="003A21EA">
        <w:t xml:space="preserve"> </w:t>
      </w:r>
      <w:r w:rsidR="00C76F8C">
        <w:t xml:space="preserve">uses them to </w:t>
      </w:r>
      <w:r w:rsidR="00E21909">
        <w:t>explore</w:t>
      </w:r>
      <w:r w:rsidR="00060E07">
        <w:t xml:space="preserve"> </w:t>
      </w:r>
      <w:r w:rsidR="00CA533B">
        <w:t xml:space="preserve">the adaptive </w:t>
      </w:r>
      <w:r w:rsidR="00CA533B">
        <w:lastRenderedPageBreak/>
        <w:t>features of the system</w:t>
      </w:r>
      <w:r w:rsidR="00577DB1">
        <w:t xml:space="preserve">. </w:t>
      </w:r>
      <w:r w:rsidR="006D3121">
        <w:t>R</w:t>
      </w:r>
      <w:r w:rsidR="00C32692">
        <w:t xml:space="preserve">ecommendations for safety practitioners on </w:t>
      </w:r>
      <w:r w:rsidR="00183F48">
        <w:t xml:space="preserve">the </w:t>
      </w:r>
      <w:r w:rsidR="00BC447F">
        <w:t>merits of these</w:t>
      </w:r>
      <w:r w:rsidR="00183F48">
        <w:t xml:space="preserve"> </w:t>
      </w:r>
      <w:r w:rsidR="00DA587D">
        <w:t>H</w:t>
      </w:r>
      <w:r w:rsidR="00C32692">
        <w:t xml:space="preserve">uman </w:t>
      </w:r>
      <w:r w:rsidR="00DA587D">
        <w:t>F</w:t>
      </w:r>
      <w:r w:rsidR="00C32692">
        <w:t xml:space="preserve">actors </w:t>
      </w:r>
      <w:r w:rsidR="00EB1EB7">
        <w:t xml:space="preserve">methods </w:t>
      </w:r>
      <w:r w:rsidR="00183F48">
        <w:t>for</w:t>
      </w:r>
      <w:r w:rsidR="00C32692">
        <w:t xml:space="preserve"> the analysis of adaptation </w:t>
      </w:r>
      <w:r w:rsidR="006D3121">
        <w:t>are then discussed</w:t>
      </w:r>
      <w:r w:rsidR="00313295">
        <w:t xml:space="preserve"> and a methodological framework is presented</w:t>
      </w:r>
      <w:r w:rsidR="00C32692">
        <w:t>.</w:t>
      </w:r>
      <w:r w:rsidR="00141E72">
        <w:t xml:space="preserve"> </w:t>
      </w:r>
      <w:r w:rsidR="007E4932">
        <w:t>Future avenues for research, including additional validation and cost-benefits analysis, are proposed.</w:t>
      </w:r>
    </w:p>
    <w:p w14:paraId="458B06C4" w14:textId="77777777" w:rsidR="000D2328" w:rsidRDefault="000D2328" w:rsidP="003D140D">
      <w:pPr>
        <w:pStyle w:val="Heading1"/>
      </w:pPr>
      <w:r>
        <w:t>The very Temporary Operating Instruction</w:t>
      </w:r>
    </w:p>
    <w:p w14:paraId="018F73DC" w14:textId="6AB95AB2" w:rsidR="000D2328" w:rsidRDefault="000D2328" w:rsidP="000D2328">
      <w:r>
        <w:t xml:space="preserve">Managers in organisations that </w:t>
      </w:r>
      <w:r w:rsidR="00B619E9">
        <w:t>operate with</w:t>
      </w:r>
      <w:r>
        <w:t xml:space="preserve"> safety risks must draw on measures of performance, recommendations from investigations</w:t>
      </w:r>
      <w:r w:rsidR="001153D9">
        <w:t>,</w:t>
      </w:r>
      <w:r w:rsidR="005E1AFA">
        <w:t xml:space="preserve"> </w:t>
      </w:r>
      <w:r>
        <w:t>their experience</w:t>
      </w:r>
      <w:r w:rsidR="002B6A86">
        <w:t xml:space="preserve"> and personal values</w:t>
      </w:r>
      <w:r>
        <w:t xml:space="preserve"> among</w:t>
      </w:r>
      <w:r w:rsidR="00F10523">
        <w:t>st</w:t>
      </w:r>
      <w:r>
        <w:t xml:space="preserve"> other </w:t>
      </w:r>
      <w:r w:rsidR="00F10523">
        <w:t>factors</w:t>
      </w:r>
      <w:r>
        <w:t>, to make decisions that address perceived risks to the operations with which they are entrusted</w:t>
      </w:r>
      <w:r w:rsidR="005C528B">
        <w:t xml:space="preserve"> </w:t>
      </w:r>
      <w:r w:rsidR="005C528B">
        <w:fldChar w:fldCharType="begin" w:fldLock="1"/>
      </w:r>
      <w:r w:rsidR="007C3F48">
        <w:instrText>ADDIN CSL_CITATION {"citationItems":[{"id":"ITEM-1","itemData":{"DOI":"10.1016/j.ssci.2014.07.008","ISSN":"09257535 (ISSN)","abstract":"Incentive schemes are one way that companies seek to align the interests of their employees with corporate goals. Indicators of major accident risk management have been historically excluded from such incentives. However, analyses of the recent BP disasters found that the incentives worked against process safety, and it was recommended that companies move to include indicators to support the safe management of their complex technologies. The extent to which this recommendation has been applied, and its appropriateness in practice has not been the subject of systematic inquiry. Drawing on the literature on human motivation and incentives, this article addresses the present and potential role of incentives to manage major accident risk in hazardous industries. It focuses on the extent to which senior managers are motivated by incentives in their daily decisions. This analysis is based on qualitative interviews, observation, and document analysis in 11 case study companies across the oil and gas, petrochemical, pipeline, and mining sectors.We argue that despite discomfort with the concept that safety decisions might be influenced by money, incentives influence priorities and behaviours because they do not rely for their effect on economic self-interest alone. Instead they tap a number of human motives, among them the need for approval, and the need to be recognised as making a valuable contribution. We conclude that if incentives continue to be used as a motivation strategy for financial and business performance, safety - particularly as it relates to major accident prevention - must also be incentivised in this way. © 2014 Elsevier Ltd.","author":[{"dropping-particle":"","family":"Maslen","given":"S","non-dropping-particle":"","parse-names":false,"suffix":""},{"dropping-particle":"","family":"Hopkins","given":"A","non-dropping-particle":"","parse-names":false,"suffix":""}],"container-title":"Safety Science","id":"ITEM-1","issued":{"date-parts":[["2014"]]},"language":"English","note":"Cited By :5\n\nExport Date: 20 January 2018\n\nCODEN: SSCIE\n\nCorrespondence Address: Maslen, S.; School of Sociology, College of Arts and Social Sciences, The Australian National University, Haydon-Allen Bld (22), Australia\n\nReferences: Ariely, D., (2009) Predictably Irrational: The Hidden Forces that Shape our Decisions, , HarperCollins Publishers, London; \nBaker, J., Bowman, F., Erwin, G., Gorton, S., Hendershot, D., Leveson, N., Wilson, D., (2007) The report of the BP U.S. refineries independent safety review panel.;\nBergin, T., (2011) Spills and Spin: The Inside Story of BP, , Random House, London;\nBryman, A., (2001) Social Research Methods, , Oxford University Press, Oxford and New York;\nCamerer, C., Hogarth, R., The effects of financial incentives in experiments: a review and capital-labor-production framework (1999) J. Risk Uncertainty, 19 (1), pp. 7-42;\nDixit, A., Incentives and organizations in the public sector: an interpretative review (2002) J. Hum. Resour., 37 (4), pp. 696-727;\nDoran, G., There's a SMART way to write management's goals and objectives (1981) Manage. Rev., 70 (11), pp. 35-36;\nElsler, D., Treutlein, D., Rydlewska, I., Frusteri, L., Krüger, H., Veerman, T., Taylor, T.N., A review of case studies evaluating economic incentives to promote occupational safety and health (2010) Scand. J. Work Environ. Health, 36 (4), pp. 289-298;\nEtzioni, A., (1988) The Moral Dimension: Toward A New Economics, , The Free Press, New York;\nFielding, N., Thomas, H., Qualitative interviewing (2001) Researching Social Life, pp. 123-144. , SAGE, London, Thousand Oaks, New Delhi, N. Gilbert (Ed.);\nFlick, U., (2002) An Introduction to Qualitative Research, , SAGE, London, California, and New Delhi;\nHesse-Biber, S.N., Leavy, P., (2006) The Practice of Qualitative Research, , SAGE, Thousand Oaks, London, New Delhi;\nHopkins, A., (2010) Failure to Learn: the BP Texas City Refinery disaster, , CCH Australia, Sydney;\nHopkins, A., (2012) Disastrous Decisions: The Human Causes of the Gulf of Mexico Blowout, , CCH Australia, Sydney;\nJenkins, D., Mitra, A., Gupta, N., Shaw, J., Are financial incentives related to performance? A meta-analytic review of empirical research (1998) J. Appl. Psychol., 83 (5), pp. 777-787;\nLayder, D., (1998) Sociological Practice: Linking Theory and Social Research, , SAGE Publications, London, Thousand Oaks, and New Delhi;\nMacdonald, K., Using Documents (2001) Researching Social Life, pp. 194-210. , SAGE, London, N. Gilbert (Ed.);\nMaslow, A., A theory of human motivation (1943) Psychol. Rev., 50 (4), pp. 370-396;\nMaslow, A., (1970) Motivation and Personality, , Harper &amp;amp; Row, New York;\nMcDonald, R., Paying for performance in healthcare organisations (2014) Int. J. Health Policy Manage., 2 (2), pp. 59-60;\nMcDonald, R., Cheraghi-Sohi, S., Sanders, C., Tickle, M., Changes to financial incentives in English dentistry 2006-2009: a qualitative study (2012) Commun. Dent. Oral Epidemiol., 40 (5), pp. 468-473;\nMcDonald, R., Cheraghi-Sohi, S., Bayes, S., Morriss, R., Kai, J., Competing and coexisting logics in the changing field of English general medical practice (2013) Soc. Sci. Med., 93, pp. 47-54;\nPorter, T., The division of moral labour and the basic structure restriction (2009) Polit. Philos. Econ., 8 (2), pp. 173-199;\nPutnam, R., (1993) Making Democracy Work: Civic Traditions in Modern Italy, , Princeton University Press, Princeton;\nVan Herck, P., De Smedt, D., Annemans, L., Remmen, R., Rosenthal, M.B., Sermeus, W., Systematic review: effects, design choices, and context of pay-for-performance in health care (2010) BMC Health Serv. Res., 10 (247);\nVerbeek, J., How do we know if monetary incentives are effective and efficient for controlling health and safety risks at work? (2010) Scand. J. Work Environ. Health, 36 (4), pp. 269-271","page":"419-428","publisher":"Elsevier","publisher-place":"School of Sociology, College of Arts and Social Sciences, The Australian National University, Australia","title":"Do incentives work? A qualitative study of managers' motivations in hazardous industries","type":"article-journal","volume":"70"},"uris":["http://www.mendeley.com/documents/?uuid=7246b910-5a7b-4c8a-9c41-f5f9e630f912"]},{"id":"ITEM-2","itemData":{"DOI":"10.1016/j.ssci.2019.02.023","ISSN":"09257535","author":[{"dropping-particle":"","family":"Coze","given":"Jean Christophe","non-dropping-particle":"Le","parse-names":false,"suffix":""}],"container-title":"Safety Science","id":"ITEM-2","issue":"December 2017","issued":{"date-parts":[["2019"]]},"page":"259-274","publisher":"Elsevier","title":"Safety as strategy: Mistakes, failures and fiascos in high-risk systems","type":"article-journal","volume":"116"},"uris":["http://www.mendeley.com/documents/?uuid=fb89993a-b04c-48bf-b7eb-f5e8048a5d47"]}],"mendeley":{"formattedCitation":"(Le Coze, 2019; Maslen &amp; Hopkins, 2014)","plainTextFormattedCitation":"(Le Coze, 2019; Maslen &amp; Hopkins, 2014)","previouslyFormattedCitation":"(Le Coze, 2019; Maslen &amp; Hopkins, 2014)"},"properties":{"noteIndex":0},"schema":"https://github.com/citation-style-language/schema/raw/master/csl-citation.json"}</w:instrText>
      </w:r>
      <w:r w:rsidR="005C528B">
        <w:fldChar w:fldCharType="separate"/>
      </w:r>
      <w:r w:rsidR="008F34DB" w:rsidRPr="008F34DB">
        <w:rPr>
          <w:noProof/>
        </w:rPr>
        <w:t>(Le Coze, 2019; Maslen &amp; Hopkins, 2014)</w:t>
      </w:r>
      <w:r w:rsidR="005C528B">
        <w:fldChar w:fldCharType="end"/>
      </w:r>
      <w:r w:rsidR="00DA097F">
        <w:t>.</w:t>
      </w:r>
      <w:r w:rsidR="00467914">
        <w:t xml:space="preserve"> </w:t>
      </w:r>
      <w:r>
        <w:t xml:space="preserve">When the UK experienced a sustained period of low air pressure </w:t>
      </w:r>
      <w:r w:rsidR="00DA097F">
        <w:t>in lat</w:t>
      </w:r>
      <w:r w:rsidR="000E2A40">
        <w:t>e</w:t>
      </w:r>
      <w:r w:rsidR="00780F51">
        <w:t xml:space="preserve"> </w:t>
      </w:r>
      <w:r>
        <w:t xml:space="preserve">2013 and early 2014 this coincided with an increase in </w:t>
      </w:r>
      <w:r w:rsidR="00DC0F89">
        <w:t xml:space="preserve">the number of </w:t>
      </w:r>
      <w:r>
        <w:t xml:space="preserve">a type of risk-bearing air traffic control incident known as a level bust due to altimeter setting error (ASE). This incident is generally caused when a pilot does not correctly change the reference </w:t>
      </w:r>
      <w:r w:rsidR="001A083A">
        <w:t xml:space="preserve">barometric </w:t>
      </w:r>
      <w:r>
        <w:t xml:space="preserve">pressure </w:t>
      </w:r>
      <w:r w:rsidR="001A083A">
        <w:t xml:space="preserve">setting (BPS) </w:t>
      </w:r>
      <w:r>
        <w:t>that the aircraft uses to determine its altitude</w:t>
      </w:r>
      <w:r w:rsidR="002B730C">
        <w:t>. A</w:t>
      </w:r>
      <w:r>
        <w:t xml:space="preserve">s a result, </w:t>
      </w:r>
      <w:r w:rsidR="005A5012">
        <w:t xml:space="preserve">the aircraft </w:t>
      </w:r>
      <w:r>
        <w:t>can end up at an incorrect altitude that may already be occupied by another aircraft</w:t>
      </w:r>
      <w:r w:rsidR="00F10523">
        <w:t>,</w:t>
      </w:r>
      <w:r w:rsidR="00F57922">
        <w:t xml:space="preserve"> resulting in a loss of separation (a precursor for the accident and </w:t>
      </w:r>
      <w:r w:rsidR="006439AC">
        <w:t>used as</w:t>
      </w:r>
      <w:r w:rsidR="00F57922">
        <w:t xml:space="preserve"> an indicator of elevated risk in the system)</w:t>
      </w:r>
      <w:r w:rsidR="003C6351">
        <w:t xml:space="preserve"> </w:t>
      </w:r>
      <w:r w:rsidR="003C6351">
        <w:fldChar w:fldCharType="begin" w:fldLock="1"/>
      </w:r>
      <w:r w:rsidR="00587C66">
        <w:instrText>ADDIN CSL_CITATION {"citationItems":[{"id":"ITEM-1","itemData":{"URL":"https://publicapps.caa.co.uk/docs/33/SafetyNotice2014004.pdf","accessed":{"date-parts":[["2020","1","6"]]},"author":[{"dropping-particle":"","family":"CAA","given":"","non-dropping-particle":"","parse-names":false,"suffix":""}],"id":"ITEM-1","issued":{"date-parts":[["2014"]]},"title":"Safety Notice SN–2014/004 Level Busts: Hazards and Defences","type":"webpage"},"uris":["http://www.mendeley.com/documents/?uuid=f52a52ef-69dc-4bff-bfd1-d87101fb250e"]},{"id":"ITEM-2","itemData":{"URL":"http://publicapps.caa.co.uk/docs/33/CAP 1186 Level Bust leaflet.pdf","accessed":{"date-parts":[["2020","1","6"]]},"author":[{"dropping-particle":"","family":"CAA &amp; NATS","given":"","non-dropping-particle":"","parse-names":false,"suffix":""}],"id":"ITEM-2","issued":{"date-parts":[["2014"]]},"title":"CAP 1186 Level Busts - Information for Pilots and Controllers","type":"webpage"},"uris":["http://www.mendeley.com/documents/?uuid=03692974-957c-4ffe-b2b7-abe8f3d07974"]},{"id":"ITEM-3","itemData":{"author":[{"dropping-particle":"","family":"CAA","given":"","non-dropping-particle":"","parse-names":false,"suffix":""}],"id":"ITEM-3","issued":{"date-parts":[["2011"]]},"title":"CAA Paper 2011/03: CAA 'Significant Seven' Task Force Reports","type":"report"},"uris":["http://www.mendeley.com/documents/?uuid=cdc0a61b-8fef-42e8-9040-47b785e3b3b9"]}],"mendeley":{"formattedCitation":"(CAA &amp; NATS, 2014; CAA, 2011, 2014)","plainTextFormattedCitation":"(CAA &amp; NATS, 2014; CAA, 2011, 2014)","previouslyFormattedCitation":"(CAA &amp; NATS, 2014; CAA, 2011, 2014)"},"properties":{"noteIndex":0},"schema":"https://github.com/citation-style-language/schema/raw/master/csl-citation.json"}</w:instrText>
      </w:r>
      <w:r w:rsidR="003C6351">
        <w:fldChar w:fldCharType="separate"/>
      </w:r>
      <w:r w:rsidR="007862B3" w:rsidRPr="007862B3">
        <w:rPr>
          <w:noProof/>
        </w:rPr>
        <w:t>(CAA &amp; NATS, 2014; CAA, 2011, 2014)</w:t>
      </w:r>
      <w:r w:rsidR="003C6351">
        <w:fldChar w:fldCharType="end"/>
      </w:r>
      <w:r>
        <w:t xml:space="preserve">. To address this </w:t>
      </w:r>
      <w:r w:rsidR="00EB0F11">
        <w:t xml:space="preserve">perceived </w:t>
      </w:r>
      <w:r>
        <w:t xml:space="preserve">increase in risk, a minor procedural change known as a Temporary Operating Instruction (TOI) was made to UK air traffic control operations in early 2014 that required controllers to add the phrase ‘standard pressure setting’ to a control clearance issued to aircraft </w:t>
      </w:r>
      <w:r w:rsidR="00F470CC">
        <w:t xml:space="preserve">to </w:t>
      </w:r>
      <w:r>
        <w:t xml:space="preserve">climb through the transition </w:t>
      </w:r>
      <w:r w:rsidR="006B1A5D">
        <w:t>altitude</w:t>
      </w:r>
      <w:r w:rsidR="000738C1">
        <w:t xml:space="preserve"> when the pressure was low</w:t>
      </w:r>
      <w:r w:rsidR="00CA04C3">
        <w:t>.</w:t>
      </w:r>
      <w:r w:rsidR="00344F12">
        <w:t xml:space="preserve"> The transition </w:t>
      </w:r>
      <w:r w:rsidR="006B1A5D">
        <w:t>altitude</w:t>
      </w:r>
      <w:r w:rsidR="00344F12">
        <w:t xml:space="preserve"> is</w:t>
      </w:r>
      <w:r>
        <w:t xml:space="preserve"> where the switch from local </w:t>
      </w:r>
      <w:r w:rsidR="00997B0F">
        <w:t xml:space="preserve">(used for navigation close to airfields) </w:t>
      </w:r>
      <w:r>
        <w:t xml:space="preserve">to standard pressure setting </w:t>
      </w:r>
      <w:r w:rsidR="00997B0F">
        <w:t xml:space="preserve">(used </w:t>
      </w:r>
      <w:r w:rsidR="001F3EE1">
        <w:t xml:space="preserve">globally) </w:t>
      </w:r>
      <w:r>
        <w:t>must occur</w:t>
      </w:r>
      <w:r w:rsidR="00AC4515">
        <w:t xml:space="preserve"> and </w:t>
      </w:r>
      <w:r w:rsidR="00227B8E">
        <w:t>is described to pilot</w:t>
      </w:r>
      <w:r w:rsidR="009750F1">
        <w:t>s</w:t>
      </w:r>
      <w:r w:rsidR="00227B8E">
        <w:t xml:space="preserve"> in airline Standard Operating Procedures (SOPs)</w:t>
      </w:r>
      <w:r>
        <w:t xml:space="preserve">. </w:t>
      </w:r>
      <w:r w:rsidR="00645F20">
        <w:t>Therefore,</w:t>
      </w:r>
      <w:r w:rsidR="00DD292B">
        <w:t xml:space="preserve"> an instruction such as “BigJet 123, </w:t>
      </w:r>
      <w:r w:rsidR="00EA21F4">
        <w:t>Climb Flight Level Eight-Zero” became “BigJet 123, Climb Flight Level Eight-Zero, Standard Pressure Setting</w:t>
      </w:r>
      <w:r w:rsidR="00645F20">
        <w:t xml:space="preserve">”. </w:t>
      </w:r>
      <w:r w:rsidR="00D10B51">
        <w:t xml:space="preserve">The pilot was expected to readback the entire clearance instruction including the </w:t>
      </w:r>
      <w:r w:rsidR="005E7FDB">
        <w:t>extra</w:t>
      </w:r>
      <w:r w:rsidR="00D10B51">
        <w:t xml:space="preserve"> phrase</w:t>
      </w:r>
      <w:r w:rsidR="005E7FDB">
        <w:t xml:space="preserve"> since it </w:t>
      </w:r>
      <w:r w:rsidR="00F610F3">
        <w:t xml:space="preserve">included </w:t>
      </w:r>
      <w:r w:rsidR="005E7FDB">
        <w:t>a pressure change instruction</w:t>
      </w:r>
      <w:r w:rsidR="00D10B51">
        <w:t xml:space="preserve">. </w:t>
      </w:r>
      <w:r>
        <w:t xml:space="preserve">It was believed that this additional phrase would serve as a reminder to pilots and so reduce the likelihood of a level bust occurring. </w:t>
      </w:r>
      <w:r w:rsidR="00987184">
        <w:t>There was no expectation of a change in either pilot or controller behaviours as a result of the change</w:t>
      </w:r>
      <w:r w:rsidR="00415675">
        <w:t>.</w:t>
      </w:r>
      <w:r w:rsidR="006D2600">
        <w:t xml:space="preserve"> </w:t>
      </w:r>
      <w:r w:rsidR="00415675">
        <w:t>The phrase</w:t>
      </w:r>
      <w:r w:rsidR="006D2600">
        <w:t xml:space="preserve"> was purely </w:t>
      </w:r>
      <w:r w:rsidR="000E2881">
        <w:t xml:space="preserve">intended </w:t>
      </w:r>
      <w:r w:rsidR="006D2600">
        <w:t xml:space="preserve">to serve as an additional reminder to pilots in circumstances where a clearance was being issued </w:t>
      </w:r>
      <w:r w:rsidR="007D2F22">
        <w:t>to a flight level from below the transition level (i.e.</w:t>
      </w:r>
      <w:r w:rsidR="002A0D6B">
        <w:t>,</w:t>
      </w:r>
      <w:r w:rsidR="007D2F22">
        <w:t xml:space="preserve"> at an altitude)</w:t>
      </w:r>
      <w:r w:rsidR="002A0D6B">
        <w:t xml:space="preserve">. This can occur when an aircraft flies a </w:t>
      </w:r>
      <w:r w:rsidR="006D2600">
        <w:t>Standard Instrument Departure</w:t>
      </w:r>
      <w:r w:rsidR="00415675">
        <w:t xml:space="preserve"> </w:t>
      </w:r>
      <w:r w:rsidR="007D2F22">
        <w:t xml:space="preserve">(SID) </w:t>
      </w:r>
      <w:r w:rsidR="00415675">
        <w:t>that end</w:t>
      </w:r>
      <w:r w:rsidR="002A0D6B">
        <w:t>s</w:t>
      </w:r>
      <w:r w:rsidR="00415675">
        <w:t xml:space="preserve"> below the transition level </w:t>
      </w:r>
      <w:r w:rsidR="0046070B">
        <w:t xml:space="preserve">(common in the UK) </w:t>
      </w:r>
      <w:r w:rsidR="00415675">
        <w:t>or where a controller ha</w:t>
      </w:r>
      <w:r w:rsidR="002A0D6B">
        <w:t>s</w:t>
      </w:r>
      <w:r w:rsidR="00415675">
        <w:t xml:space="preserve"> elected to take an aircraft off the SID early </w:t>
      </w:r>
      <w:r w:rsidR="0046070B">
        <w:t>(</w:t>
      </w:r>
      <w:r w:rsidR="00950029">
        <w:t xml:space="preserve">e.g., </w:t>
      </w:r>
      <w:r w:rsidR="0046070B">
        <w:t>to deconflict aircraft</w:t>
      </w:r>
      <w:r w:rsidR="00950029">
        <w:t xml:space="preserve">) </w:t>
      </w:r>
      <w:r w:rsidR="00415675">
        <w:t>and then issue a subsequent clearance through the transition</w:t>
      </w:r>
      <w:r w:rsidR="00950029">
        <w:t xml:space="preserve"> level</w:t>
      </w:r>
      <w:r w:rsidR="00415675">
        <w:t xml:space="preserve">. </w:t>
      </w:r>
      <w:r w:rsidR="00382519">
        <w:t>For further b</w:t>
      </w:r>
      <w:r w:rsidR="00217F75">
        <w:t xml:space="preserve">ackground on the incident that motivated this safety intervention and details on the underlying air traffic control risk posed by level busts </w:t>
      </w:r>
      <w:r w:rsidR="00EA79B5">
        <w:t>see</w:t>
      </w:r>
      <w:r w:rsidR="00217F75">
        <w:t xml:space="preserve"> Foster, Plant &amp; Stanton </w:t>
      </w:r>
      <w:r w:rsidR="00217F75">
        <w:fldChar w:fldCharType="begin" w:fldLock="1"/>
      </w:r>
      <w:r w:rsidR="00DC4143">
        <w:instrText>ADDIN CSL_CITATION {"citationItems":[{"id":"ITEM-1","itemData":{"DOI":"10.1016/j.ress.2020.107386","ISSN":"09518320","author":[{"dropping-particle":"","family":"Foster","given":"Craig J.","non-dropping-particle":"","parse-names":false,"suffix":""},{"dropping-particle":"","family":"Plant","given":"Katherine L.","non-dropping-particle":"","parse-names":false,"suffix":""},{"dropping-particle":"","family":"Stanton","given":"Neville A.","non-dropping-particle":"","parse-names":false,"suffix":""}],"container-title":"Reliability Engineering &amp; System Safety","id":"ITEM-1","issue":"November 2020","issued":{"date-parts":[["2020"]]},"page":"107386","publisher":"Elsevier Ltd","title":"A very temporary operating instruction: Uncovering emergence and adaptation in air traffic control","type":"article-journal","volume":"208"},"suppress-author":1,"uris":["http://www.mendeley.com/documents/?uuid=18f1bc9a-b22e-4101-b583-2963aaa3e4ad"]}],"mendeley":{"formattedCitation":"(2020b)","plainTextFormattedCitation":"(2020b)","previouslyFormattedCitation":"(2020b)"},"properties":{"noteIndex":0},"schema":"https://github.com/citation-style-language/schema/raw/master/csl-citation.json"}</w:instrText>
      </w:r>
      <w:r w:rsidR="00217F75">
        <w:fldChar w:fldCharType="separate"/>
      </w:r>
      <w:r w:rsidR="00217F75" w:rsidRPr="00E60B60">
        <w:rPr>
          <w:noProof/>
        </w:rPr>
        <w:t>(2020b)</w:t>
      </w:r>
      <w:r w:rsidR="00217F75">
        <w:fldChar w:fldCharType="end"/>
      </w:r>
      <w:r w:rsidR="00217F75">
        <w:t>.</w:t>
      </w:r>
    </w:p>
    <w:p w14:paraId="056DD555" w14:textId="04EC6E66" w:rsidR="006B454B" w:rsidRDefault="00D64BB0" w:rsidP="000D2328">
      <w:r>
        <w:t xml:space="preserve">This change was assessed for its risk as required by procedures contained within the organisation’s safety management system. </w:t>
      </w:r>
      <w:r w:rsidR="009D4F06">
        <w:t xml:space="preserve">The </w:t>
      </w:r>
      <w:r w:rsidR="001B7A2C">
        <w:t xml:space="preserve">risk </w:t>
      </w:r>
      <w:r w:rsidR="006B454B">
        <w:t xml:space="preserve">assessment process </w:t>
      </w:r>
      <w:r w:rsidR="00AF7CE6">
        <w:t xml:space="preserve">used </w:t>
      </w:r>
      <w:r w:rsidR="001705E4">
        <w:t>to assure the change was</w:t>
      </w:r>
      <w:r w:rsidR="006B454B">
        <w:t xml:space="preserve"> based on </w:t>
      </w:r>
      <w:r w:rsidR="009B1B0E">
        <w:t>a</w:t>
      </w:r>
      <w:r w:rsidR="006B454B">
        <w:t xml:space="preserve"> bow-tie methodology that </w:t>
      </w:r>
      <w:r w:rsidR="003D0069">
        <w:t>uses</w:t>
      </w:r>
      <w:r w:rsidR="006B454B">
        <w:t xml:space="preserve"> operational subject matter experts </w:t>
      </w:r>
      <w:r w:rsidR="003D0069">
        <w:t>and</w:t>
      </w:r>
      <w:r w:rsidR="006B454B">
        <w:t xml:space="preserve"> trained facilitators. The assessment process explores the possible hazards from the procedural change by looking for potential causes and hazardous effects. The experts are also required to identify preventative measures and mitigations that could be usefully deployed to reduce the risk</w:t>
      </w:r>
      <w:r w:rsidR="0049028C">
        <w:t xml:space="preserve">s </w:t>
      </w:r>
      <w:r w:rsidR="006B454B">
        <w:t xml:space="preserve">of the effects to acceptable levels. This bow-tie process identified the hazard arising from the uncertainty associated with the introduction of the trial. Causes of this uncertainty were identified as an unawareness by either pilots or controllers of the need to use the new phraseology and whether the additional phraseology would be correctly interpreted as a pressure change instruction and be readback by pilots correctly as required </w:t>
      </w:r>
      <w:r w:rsidR="006B454B">
        <w:fldChar w:fldCharType="begin" w:fldLock="1"/>
      </w:r>
      <w:r w:rsidR="006B454B">
        <w:instrText>ADDIN CSL_CITATION {"citationItems":[{"id":"ITEM-1","itemData":{"author":[{"dropping-particle":"","family":"CAA","given":"","non-dropping-particle":"","parse-names":false,"suffix":""}],"id":"ITEM-1","issued":{"date-parts":[["2016"]]},"title":"CAP 413: Radiotelephony Manual","type":"report"},"uris":["http://www.mendeley.com/documents/?uuid=a906d64e-4c48-4ce8-8fe8-8b1468b8bb4f"]}],"mendeley":{"formattedCitation":"(CAA, 2016)","plainTextFormattedCitation":"(CAA, 2016)","previouslyFormattedCitation":"(CAA, 2016)"},"properties":{"noteIndex":0},"schema":"https://github.com/citation-style-language/schema/raw/master/csl-citation.json"}</w:instrText>
      </w:r>
      <w:r w:rsidR="006B454B">
        <w:fldChar w:fldCharType="separate"/>
      </w:r>
      <w:r w:rsidR="006B454B" w:rsidRPr="001A7163">
        <w:rPr>
          <w:noProof/>
        </w:rPr>
        <w:t>(CAA, 2016)</w:t>
      </w:r>
      <w:r w:rsidR="006B454B">
        <w:fldChar w:fldCharType="end"/>
      </w:r>
      <w:r w:rsidR="006B454B">
        <w:t xml:space="preserve">. The hazardous effects that were identified as a result of the uncertainty related to workload issues due to the potential confusion. Mitigations and preventative </w:t>
      </w:r>
      <w:r w:rsidR="006B454B">
        <w:lastRenderedPageBreak/>
        <w:t>measures identified were for supervising controllers to take action to reduce controller workload by ‘splitting sectors’ (effectively reducing the amount of airspace, and so the number of aircraft, controlled by a single controller) and that the operation would publish the procedure change as a TOI and pilots would be informed via the equivalent published instruction in a NOtices To AirMan (NOTAM). The TOI was issued to all relevant controllers in February 2014 on a trial basis with a planned end date 3 months later.</w:t>
      </w:r>
    </w:p>
    <w:p w14:paraId="775C6C8D" w14:textId="14982F40" w:rsidR="000D2328" w:rsidRPr="00ED1995" w:rsidRDefault="000D2328" w:rsidP="000D2328">
      <w:r>
        <w:t xml:space="preserve">During the first few days of the trial a number of safety observations were raised by controllers who reported problems that included: the increase in time taken to issue a clearance with the new phrase, that it was not understood by pilots who were expecting </w:t>
      </w:r>
      <w:r w:rsidR="00FB76BE">
        <w:t xml:space="preserve">globally </w:t>
      </w:r>
      <w:r>
        <w:t>standard</w:t>
      </w:r>
      <w:r w:rsidR="00FB76BE">
        <w:t>ised</w:t>
      </w:r>
      <w:r>
        <w:t xml:space="preserve"> phraseology to be used, that it was not repeated back </w:t>
      </w:r>
      <w:r w:rsidR="005F63F1">
        <w:t xml:space="preserve">in full </w:t>
      </w:r>
      <w:r>
        <w:t>by the pilot as required, pilots question</w:t>
      </w:r>
      <w:r w:rsidR="005F63F1">
        <w:t>ing</w:t>
      </w:r>
      <w:r>
        <w:t xml:space="preserve"> the clearance and so interrupt</w:t>
      </w:r>
      <w:r w:rsidR="00C95408">
        <w:t>ing</w:t>
      </w:r>
      <w:r>
        <w:t xml:space="preserve"> the flow of work </w:t>
      </w:r>
      <w:r w:rsidR="006070F8">
        <w:t xml:space="preserve">as </w:t>
      </w:r>
      <w:r>
        <w:t xml:space="preserve">requests for clarification </w:t>
      </w:r>
      <w:r w:rsidR="006070F8">
        <w:t>had to be addressed</w:t>
      </w:r>
      <w:r w:rsidR="00F965FC">
        <w:t xml:space="preserve">, confusion </w:t>
      </w:r>
      <w:r w:rsidR="005B4E7D">
        <w:t>about the timing of the require</w:t>
      </w:r>
      <w:r w:rsidR="00212578">
        <w:t>d</w:t>
      </w:r>
      <w:r w:rsidR="005B4E7D">
        <w:t xml:space="preserve"> pressure change </w:t>
      </w:r>
      <w:r w:rsidR="00DE7A66">
        <w:t xml:space="preserve">due to </w:t>
      </w:r>
      <w:r w:rsidR="00F965FC">
        <w:t>differences</w:t>
      </w:r>
      <w:r w:rsidR="00DD1074">
        <w:t xml:space="preserve"> between UK airline Standard Operating Procedures (SOPs) and airline SOPs based on ICAO standards</w:t>
      </w:r>
      <w:r w:rsidR="00565B08">
        <w:t>,</w:t>
      </w:r>
      <w:r w:rsidR="006070F8">
        <w:t xml:space="preserve"> </w:t>
      </w:r>
      <w:r>
        <w:t>and, in one instance,</w:t>
      </w:r>
      <w:r w:rsidR="006070F8">
        <w:t xml:space="preserve"> the additional phraseology</w:t>
      </w:r>
      <w:r>
        <w:t xml:space="preserve"> </w:t>
      </w:r>
      <w:r w:rsidR="007C2029">
        <w:t>being</w:t>
      </w:r>
      <w:r>
        <w:t xml:space="preserve"> misheard as a routing instruction for the aircraft to </w:t>
      </w:r>
      <w:r w:rsidR="00D650E7">
        <w:t xml:space="preserve">incorrectly </w:t>
      </w:r>
      <w:r>
        <w:t xml:space="preserve">turn towards the point ‘Detling’ in the London area. </w:t>
      </w:r>
    </w:p>
    <w:p w14:paraId="0C857508" w14:textId="0EDDA100" w:rsidR="000D2328" w:rsidRDefault="000D2328" w:rsidP="000D2328">
      <w:r>
        <w:t xml:space="preserve">This </w:t>
      </w:r>
      <w:r w:rsidR="007E7F2A">
        <w:t xml:space="preserve">story of the TOI </w:t>
      </w:r>
      <w:r>
        <w:t xml:space="preserve">highlights the potential for maladaptive and unanticipated emergent effects </w:t>
      </w:r>
      <w:r w:rsidR="0011654D">
        <w:t xml:space="preserve">in complex sociotechnical systems. </w:t>
      </w:r>
      <w:r w:rsidR="00CF3673">
        <w:t xml:space="preserve">The safety observations that were raised </w:t>
      </w:r>
      <w:r w:rsidR="00171564">
        <w:t xml:space="preserve">in the days after the </w:t>
      </w:r>
      <w:r w:rsidR="00AF0720">
        <w:t xml:space="preserve">introduction of the </w:t>
      </w:r>
      <w:r w:rsidR="00171564">
        <w:t xml:space="preserve">TOI </w:t>
      </w:r>
      <w:r w:rsidR="00CF3673">
        <w:t xml:space="preserve">and the </w:t>
      </w:r>
      <w:r w:rsidR="00171564">
        <w:t xml:space="preserve">reported </w:t>
      </w:r>
      <w:r w:rsidR="00673523">
        <w:t xml:space="preserve">unsustainable </w:t>
      </w:r>
      <w:r w:rsidR="00CF3673">
        <w:t xml:space="preserve">increase in controller workload </w:t>
      </w:r>
      <w:r w:rsidR="00673523">
        <w:t xml:space="preserve">required a </w:t>
      </w:r>
      <w:r w:rsidR="00B32335">
        <w:t xml:space="preserve">rapid </w:t>
      </w:r>
      <w:r>
        <w:t xml:space="preserve">review of the TOI and it was </w:t>
      </w:r>
      <w:r w:rsidR="00B32335">
        <w:t xml:space="preserve">subsequently </w:t>
      </w:r>
      <w:r>
        <w:t xml:space="preserve">withdrawn. What becomes apparent in an </w:t>
      </w:r>
      <w:r w:rsidR="00B32335">
        <w:t xml:space="preserve">initial </w:t>
      </w:r>
      <w:r>
        <w:t xml:space="preserve">analysis of the circumstances surrounding the introduction of the TOI is the role that unobserved but ubiquitous adaptation plays in normal safe operations. Furthermore, whilst the flexibility that adaptation provides may be implicitly acknowledged, if </w:t>
      </w:r>
      <w:r w:rsidR="00202F26">
        <w:t>adaptation is</w:t>
      </w:r>
      <w:r>
        <w:t xml:space="preserve"> not </w:t>
      </w:r>
      <w:r w:rsidR="00FC06D8">
        <w:t xml:space="preserve">explicitly </w:t>
      </w:r>
      <w:r>
        <w:t xml:space="preserve">considered </w:t>
      </w:r>
      <w:r w:rsidR="0026334C">
        <w:t xml:space="preserve">when designing safety </w:t>
      </w:r>
      <w:r w:rsidR="00317D83">
        <w:t>interventions</w:t>
      </w:r>
      <w:r w:rsidR="00A565B1">
        <w:t>,</w:t>
      </w:r>
      <w:r>
        <w:t xml:space="preserve"> these changes can unintentionally impair </w:t>
      </w:r>
      <w:r w:rsidR="000F6849">
        <w:t xml:space="preserve">or constrain </w:t>
      </w:r>
      <w:r w:rsidR="004116EC">
        <w:t>normal</w:t>
      </w:r>
      <w:r w:rsidR="000F6849">
        <w:t xml:space="preserve"> </w:t>
      </w:r>
      <w:r w:rsidR="00437321">
        <w:t>resilien</w:t>
      </w:r>
      <w:r w:rsidR="004116EC">
        <w:t>t performance</w:t>
      </w:r>
      <w:r w:rsidR="000F6849">
        <w:t xml:space="preserve"> </w:t>
      </w:r>
      <w:r>
        <w:t>and have emergent and undesirable effects</w:t>
      </w:r>
      <w:r w:rsidR="00E8596C">
        <w:t xml:space="preserve"> </w:t>
      </w:r>
      <w:r w:rsidR="00E8596C">
        <w:fldChar w:fldCharType="begin" w:fldLock="1"/>
      </w:r>
      <w:r w:rsidR="00915B18">
        <w:instrText>ADDIN CSL_CITATION {"citationItems":[{"id":"ITEM-1","itemData":{"DOI":"10.1016/j.ress.2020.107386","ISSN":"09518320","author":[{"dropping-particle":"","family":"Foster","given":"Craig J.","non-dropping-particle":"","parse-names":false,"suffix":""},{"dropping-particle":"","family":"Plant","given":"Katherine L.","non-dropping-particle":"","parse-names":false,"suffix":""},{"dropping-particle":"","family":"Stanton","given":"Neville A.","non-dropping-particle":"","parse-names":false,"suffix":""}],"container-title":"Reliability Engineering &amp; System Safety","id":"ITEM-1","issue":"November 2020","issued":{"date-parts":[["2020"]]},"page":"107386","publisher":"Elsevier Ltd","title":"A very temporary operating instruction: Uncovering emergence and adaptation in air traffic control","type":"article-journal","volume":"208"},"uris":["http://www.mendeley.com/documents/?uuid=18f1bc9a-b22e-4101-b583-2963aaa3e4ad"]}],"mendeley":{"formattedCitation":"(Foster et al., 2020b)","plainTextFormattedCitation":"(Foster et al., 2020b)","previouslyFormattedCitation":"(Foster et al., 2020b)"},"properties":{"noteIndex":0},"schema":"https://github.com/citation-style-language/schema/raw/master/csl-citation.json"}</w:instrText>
      </w:r>
      <w:r w:rsidR="00E8596C">
        <w:fldChar w:fldCharType="separate"/>
      </w:r>
      <w:r w:rsidR="004F56C4" w:rsidRPr="004F56C4">
        <w:rPr>
          <w:noProof/>
        </w:rPr>
        <w:t>(Foster et al., 2020b)</w:t>
      </w:r>
      <w:r w:rsidR="00E8596C">
        <w:fldChar w:fldCharType="end"/>
      </w:r>
      <w:r>
        <w:t>.</w:t>
      </w:r>
      <w:r w:rsidR="002855D3">
        <w:t xml:space="preserve"> </w:t>
      </w:r>
    </w:p>
    <w:p w14:paraId="64CD175C" w14:textId="57C53E94" w:rsidR="008C7D9A" w:rsidRDefault="000D65C8" w:rsidP="008C7D9A">
      <w:pPr>
        <w:pStyle w:val="Heading1"/>
      </w:pPr>
      <w:r>
        <w:t>Method</w:t>
      </w:r>
    </w:p>
    <w:p w14:paraId="3DCA75FE" w14:textId="7D53F6B9" w:rsidR="0035672E" w:rsidRPr="0035672E" w:rsidRDefault="000855F1" w:rsidP="00FF0D56">
      <w:pPr>
        <w:pStyle w:val="Heading2"/>
      </w:pPr>
      <w:r>
        <w:t>Motivation</w:t>
      </w:r>
    </w:p>
    <w:p w14:paraId="1D296E52" w14:textId="1E4F7603" w:rsidR="00404E79" w:rsidRDefault="00FC6794" w:rsidP="000F38A6">
      <w:r>
        <w:t xml:space="preserve">The TOI was a </w:t>
      </w:r>
      <w:r w:rsidR="00244B31">
        <w:t>relatively minor procedural change to address a perceived risk to the UK air traffic control operation</w:t>
      </w:r>
      <w:r w:rsidR="008A57AE">
        <w:t xml:space="preserve"> and was subjected to a risk assessment prior to its introduction</w:t>
      </w:r>
      <w:r w:rsidR="00244B31">
        <w:t xml:space="preserve">. </w:t>
      </w:r>
      <w:r w:rsidR="00B21729">
        <w:t>Organisations</w:t>
      </w:r>
      <w:r w:rsidR="00825C15">
        <w:t xml:space="preserve"> use Human Factors methods to provide structure to these assessments </w:t>
      </w:r>
      <w:r w:rsidR="008A57AE">
        <w:t>although many</w:t>
      </w:r>
      <w:r w:rsidR="00B21729">
        <w:t xml:space="preserve"> </w:t>
      </w:r>
      <w:r w:rsidR="00F26ED3">
        <w:t xml:space="preserve">continue to apply </w:t>
      </w:r>
      <w:r w:rsidR="007C13DB">
        <w:t xml:space="preserve">a single </w:t>
      </w:r>
      <w:r w:rsidR="00F26ED3">
        <w:t>legacy method</w:t>
      </w:r>
      <w:r w:rsidR="00392EBB">
        <w:t>,</w:t>
      </w:r>
      <w:r w:rsidR="00F26ED3">
        <w:t xml:space="preserve"> </w:t>
      </w:r>
      <w:r w:rsidR="00062AEA">
        <w:t>for pragmatic reasons</w:t>
      </w:r>
      <w:r w:rsidR="00392EBB">
        <w:t>,</w:t>
      </w:r>
      <w:r w:rsidR="00F238A9">
        <w:t xml:space="preserve"> </w:t>
      </w:r>
      <w:r w:rsidR="00F71D20">
        <w:t>despite growing evidence of unsuitability</w:t>
      </w:r>
      <w:r w:rsidR="00162CE7">
        <w:t xml:space="preserve"> for </w:t>
      </w:r>
      <w:r w:rsidR="004A2CFE">
        <w:t>more complex system problems such as adaptation</w:t>
      </w:r>
      <w:r w:rsidR="00F238A9">
        <w:t xml:space="preserve"> </w:t>
      </w:r>
      <w:r w:rsidR="00F238A9">
        <w:fldChar w:fldCharType="begin" w:fldLock="1"/>
      </w:r>
      <w:r w:rsidR="00B973B0">
        <w:instrText>ADDIN CSL_CITATION {"citationItems":[{"id":"ITEM-1","itemData":{"DOI":"10.1177/0018720820926875","ISSN":"15478181","abstract":"Objective: This paper presents the Binary-Based Model (BBM), a new approach to Human Factors (HF) method selection. The BBM helps practitioners select the most appropriate HF methodology in relation to the complexity within the target system. Background: There are over 200 HF methods available to the practitioner and little guidance to help choose between them. Method: The BBM defines a HF “problem space” comprising three complexity attributes. HF problems can be rated against these attributes and located in the “problem space.” In addition, a similar HF “approach space” in which 66 predictive methods are rated according to their ability to confront those attributes is defined. These spaces are combined into a “utility space” in which problems and methods coexist. In the utility space, the match between HF problems and methods can be formally assessed. Results: The method space is split into octants to establish broad groupings of methods distributed throughout the space. About 77% of the methods reside in Octant 1 which corresponds to problems with low levels of complexity. This demonstrates that most HF methods are suited to problems in low-complexity systems. Conclusion: The location of 77% of the rated methods in Octant 1 indicates that HF practitioners are underserved with methods for analysis of HF problems exhibiting high complexity. Application: The BBM can be used by multidisciplinary teams to select the most appropriate HF methodology for the problem under analysis. All the materials and analysis are placed in the public domain for modification and consensus building by the wider HF community.","author":[{"dropping-particle":"","family":"Holman","given":"Matt","non-dropping-particle":"","parse-names":false,"suffix":""},{"dropping-particle":"","family":"Walker","given":"Guy","non-dropping-particle":"","parse-names":false,"suffix":""},{"dropping-particle":"","family":"Lansdown","given":"Terry","non-dropping-particle":"","parse-names":false,"suffix":""},{"dropping-particle":"","family":"Salmon","given":"Paul","non-dropping-particle":"","parse-names":false,"suffix":""},{"dropping-particle":"","family":"Read","given":"Gemma","non-dropping-particle":"","parse-names":false,"suffix":""},{"dropping-particle":"","family":"Stanton","given":"Neville","non-dropping-particle":"","parse-names":false,"suffix":""}],"container-title":"Human Factors","id":"ITEM-1","issued":{"date-parts":[["2020"]]},"title":"The Binary-Based Model (BBM) for Improved Human Factors Method Selection","type":"article-journal"},"uris":["http://www.mendeley.com/documents/?uuid=9801b58e-dd15-4770-aac1-a5484f6b9e27"]},{"id":"ITEM-2","itemData":{"DOI":"10.1080/00140139.2015.1103385","ISBN":"1366-5847 (Electronic)\\r0014-0139 (Linking)","ISSN":"13665847","PMID":"26799501","abstract":"The issues being tackled within ergonomics problem spaces are shifting. Although existing paradigms appear relevant for modern day systems, it is worth questioning whether our methods are. This paper asks whether the complexities of systems thinking, a currently ubiquitous ergonomics paradigm, are outpacing the capabilities of our methodological toolkit. This is achieved through examining the contemporary ergonomics problem space and the extent to which ergonomics methods can meet the challenges posed. Specifically, five key areas within the ergonomics paradigm of systems thinking are focused on: normal performance as a cause of accidents, accident prediction, system migration, systems concepts and ergonomics in design. The methods available for pursuing each line of inquiry are discussed, along with their ability to respond to key requirements. In doing so, a series of new methodological requirements and capabilities are identified. It is argued that further methodological development is required to provide researchers and practitioners with appropriate tools to explore both contemporary and future problems. Practitioner Summary: Ergonomics methods are the cornerstone of our discipline. This paper examines whether our current methodological toolkit is fit for purpose given the changing nature of ergonomics problems. The findings provide key research and practice requirements for methodological development.","author":[{"dropping-particle":"","family":"Salmon","given":"Paul M.","non-dropping-particle":"","parse-names":false,"suffix":""},{"dropping-particle":"","family":"Walker","given":"Guy H.","non-dropping-particle":"","parse-names":false,"suffix":""},{"dropping-particle":"","family":"Gemma","given":"Gemma J.","non-dropping-particle":"","parse-names":false,"suffix":""},{"dropping-particle":"","family":"Goode","given":"Natassia","non-dropping-particle":"","parse-names":false,"suffix":""},{"dropping-particle":"","family":"Stanton","given":"Neville A.","non-dropping-particle":"","parse-names":false,"suffix":""}],"container-title":"Ergonomics","id":"ITEM-2","issue":"2","issued":{"date-parts":[["2017"]]},"page":"194-205","title":"Fitting methods to paradigms: are ergonomics methods fit for systems thinking?","type":"article-journal","volume":"60"},"uris":["http://www.mendeley.com/documents/?uuid=34366165-11b0-431f-8e10-fe49ba6d5485"]}],"mendeley":{"formattedCitation":"(Holman et al., 2020; Salmon et al., 2017)","plainTextFormattedCitation":"(Holman et al., 2020; Salmon et al., 2017)","previouslyFormattedCitation":"(Holman et al., 2020; Salmon et al., 2017)"},"properties":{"noteIndex":0},"schema":"https://github.com/citation-style-language/schema/raw/master/csl-citation.json"}</w:instrText>
      </w:r>
      <w:r w:rsidR="00F238A9">
        <w:fldChar w:fldCharType="separate"/>
      </w:r>
      <w:r w:rsidR="00B06F68" w:rsidRPr="00B06F68">
        <w:rPr>
          <w:noProof/>
        </w:rPr>
        <w:t>(Holman et al., 2020; Salmon et al., 2017)</w:t>
      </w:r>
      <w:r w:rsidR="00F238A9">
        <w:fldChar w:fldCharType="end"/>
      </w:r>
      <w:r w:rsidR="00F26ED3">
        <w:t>.</w:t>
      </w:r>
    </w:p>
    <w:p w14:paraId="49462E81" w14:textId="2B20CF4A" w:rsidR="00F66F8A" w:rsidRDefault="000F38A6" w:rsidP="00EA3F05">
      <w:r>
        <w:t xml:space="preserve">In order to assess what </w:t>
      </w:r>
      <w:r w:rsidR="00D33524">
        <w:t xml:space="preserve">Human Factors </w:t>
      </w:r>
      <w:r>
        <w:t xml:space="preserve">methods might be suitable for </w:t>
      </w:r>
      <w:r w:rsidR="00D33524">
        <w:t xml:space="preserve">the task </w:t>
      </w:r>
      <w:r w:rsidR="009B1039">
        <w:t>of exploring adaptation</w:t>
      </w:r>
      <w:r>
        <w:t xml:space="preserve">, Foster, Plant &amp; Stanton </w:t>
      </w:r>
      <w:r>
        <w:fldChar w:fldCharType="begin" w:fldLock="1"/>
      </w:r>
      <w:r w:rsidR="007552B4">
        <w:instrText>ADDIN CSL_CITATION {"citationItems":[{"id":"ITEM-1","itemData":{"DOI":"10.1016/j.ssci.2020.104933","ISSN":"0925-7535","author":[{"dropping-particle":"","family":"Foster","given":"Craig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Science","id":"ITEM-1","issue":"July","issued":{"date-parts":[["2020"]]},"page":"104933","publisher":"Elsevier","title":"A Delphi study of human factors methods for the evaluation of adaptation in safety-related organisations","type":"article-journal","volume":"131"},"suppress-author":1,"uris":["http://www.mendeley.com/documents/?uuid=3dcd98b9-5f29-4956-9ece-f4c7e4425c89"]}],"mendeley":{"formattedCitation":"(2020a)","plainTextFormattedCitation":"(2020a)","previouslyFormattedCitation":"(2020a)"},"properties":{"noteIndex":0},"schema":"https://github.com/citation-style-language/schema/raw/master/csl-citation.json"}</w:instrText>
      </w:r>
      <w:r>
        <w:fldChar w:fldCharType="separate"/>
      </w:r>
      <w:r w:rsidR="00E8596C" w:rsidRPr="00E8596C">
        <w:rPr>
          <w:noProof/>
        </w:rPr>
        <w:t>(2020a)</w:t>
      </w:r>
      <w:r>
        <w:fldChar w:fldCharType="end"/>
      </w:r>
      <w:r>
        <w:t xml:space="preserve"> conducted a 3-round ranking Delphi survey of Human Factors experts and safety </w:t>
      </w:r>
      <w:r w:rsidRPr="00322CBA">
        <w:t xml:space="preserve">practitioners to assess the applicability of Human Factors methods, techniques and approaches to the practical understanding of the factors of adaptation across the levels of the organisational hierarchy. The survey concluded with a general consensus for: </w:t>
      </w:r>
      <w:r w:rsidRPr="00A42AA2">
        <w:t xml:space="preserve">Cognitive Work Analysis (CWA) </w:t>
      </w:r>
      <w:r w:rsidR="00A33EC3" w:rsidRPr="00EA3F05">
        <w:t xml:space="preserve">supported by </w:t>
      </w:r>
      <w:r w:rsidR="00A33EC3" w:rsidRPr="00322CBA">
        <w:t xml:space="preserve">Hierarchical Task Analysis </w:t>
      </w:r>
      <w:r w:rsidR="00A33EC3" w:rsidRPr="00EA3F05">
        <w:t xml:space="preserve">(HTA) </w:t>
      </w:r>
      <w:r w:rsidRPr="00322CBA">
        <w:t xml:space="preserve">and Critical Decision Method (CDM) at the level of the individual (micro </w:t>
      </w:r>
      <w:r w:rsidRPr="00A42AA2">
        <w:t>level);</w:t>
      </w:r>
      <w:r w:rsidRPr="00964357">
        <w:t xml:space="preserve"> the use of a </w:t>
      </w:r>
      <w:r w:rsidR="004B4AE1" w:rsidRPr="005407F9">
        <w:t xml:space="preserve">multi-method </w:t>
      </w:r>
      <w:r w:rsidRPr="005407F9">
        <w:t>approach</w:t>
      </w:r>
      <w:r>
        <w:t xml:space="preserve"> based around CWA and CDM supplemented with Systems Theoretic Accident Model and Processes (STAMP), Functional Resonance Analysis Method (FRAM) and Event Analysis of Systemic Teamwork (EAST) at the level of the team (meso level); and, the use of STAMP and FRAM, </w:t>
      </w:r>
      <w:r w:rsidR="009C56D2">
        <w:t xml:space="preserve">with supporting methods </w:t>
      </w:r>
      <w:r w:rsidR="008543ED">
        <w:t xml:space="preserve">such as </w:t>
      </w:r>
      <w:r>
        <w:t>HTA, EAST, Human Factors Analysis and Classification Scheme (HFACS) and ethnographic analysis</w:t>
      </w:r>
      <w:r w:rsidR="00CE45A8">
        <w:t>,</w:t>
      </w:r>
      <w:r>
        <w:t xml:space="preserve"> at the level of the organisation (macro level).</w:t>
      </w:r>
      <w:r w:rsidR="0082144E">
        <w:t xml:space="preserve"> These methods are summarised in the following paragraphs.</w:t>
      </w:r>
    </w:p>
    <w:p w14:paraId="30752795" w14:textId="04022A4F" w:rsidR="00A61714" w:rsidRDefault="006B7F7D" w:rsidP="006B7F7D">
      <w:pPr>
        <w:pStyle w:val="Heading3"/>
      </w:pPr>
      <w:r>
        <w:lastRenderedPageBreak/>
        <w:t>Hierarchical Task Analysis (HTA)</w:t>
      </w:r>
    </w:p>
    <w:p w14:paraId="621DC521" w14:textId="14EEE096" w:rsidR="002F0939" w:rsidRPr="002F0939" w:rsidRDefault="002F0939" w:rsidP="002F0939">
      <w:r w:rsidRPr="007B6AFE">
        <w:t xml:space="preserve">HTA is a widely used, flexible and generic task analysis technique and serves as a foundation step for many other approaches. It provides a structured approach to the description and decomposition of goals, sub-goals, plans and operations that exist in task performance </w:t>
      </w:r>
      <w:r>
        <w:t xml:space="preserve">and </w:t>
      </w:r>
      <w:r w:rsidRPr="007B6AFE">
        <w:t xml:space="preserve">that can then be used in subsequent analysis </w:t>
      </w:r>
      <w:r>
        <w:fldChar w:fldCharType="begin" w:fldLock="1"/>
      </w:r>
      <w:r>
        <w:instrText>ADDIN CSL_CITATION {"citationItems":[{"id":"ITEM-1","itemData":{"DOI":"10.1201/9780203489925.ch33","abstract":"Hierarchical Task Analysis (HTA) was initially developed by Keith Duncan and John Annett in the late 1960s. Their approach incorporated several important ideas from other task analysis methods into a practical analytical framework. The approach has been described in a number of useful articles, but these have often lacked sufficient explanation and illustration to enable people to understand its full implications. One consequence is that practitioners often see HTA as just another tool in the tool-box whose main purpose is to present hierarchical diagrams. Producing diagrams never was the purpose of HTA. The original authors’ intentions was always to provide a rigorous and realistic method of examining practical tasks. The diagramatic representation was a by-product. My aim in preparing this book has been to provide a reasonably comprehensive account of HTA and to show how it can be used more widely and more systematically. Task analysis methods should aim to help the analyst engage with a problem in order to identify a solution. The analyst’s purpose is essentially practical. Therefore, I have represented HTA as a framework for examining tasks in which different considerations and other analytical methods can be applied as the task analysis evolves. A particular aspect of this approach concerns how well the analyst understands the context in which he or she is working. I have also tried to show the breadth and power of the method by explaining how different aspects of HTA combine to create a rich picture of a task in order to account for complex behaviours. To support this, I have provided illustrations from a wide range of work contexts—manufacturing, maintenance, medical contexts, transportation and commercial activities. All of the examples included are reasonably straightforward. Where I have felt that some readers may be unfamiliar with certain aspects of particular domains, I have included a simple explanation. I believe there is benefit in exploring tasks across domains—even substantially different domains—since lessons learned in one domain often apply to others. Finally, I have included several chapters concerned with applying HTA to support different aspects of human factors design—job and team design, interface design training, job-aids and human resource management issues. These are not comprehensive accounts of these topics and only deal with them in outline to show how HTA can be applied. Ultimately, task analysis methods can only be judg…","author":[{"dropping-particle":"","family":"Annett","given":"John","non-dropping-particle":"","parse-names":false,"suffix":""}],"container-title":"Handbook of Human Factors and Ergonomics Methods","id":"ITEM-1","issued":{"date-parts":[["2004","8","30"]]},"page":"33-1-33-7","publisher":"CRC Press","title":"Hierarchical Task Analysis (HTA)","type":"chapter"},"uris":["http://www.mendeley.com/documents/?uuid=02753875-3bdb-3473-9a0e-830b82bea1f6"]},{"id":"ITEM-2","itemData":{"DOI":"10.1016/j.apergo.2005.06.003","ISSN":"00036870","PMID":"16139236","abstract":"Hierarchical task analysis (HTA) is a core ergonomics approach with a pedigree of over 30 years continuous use. At its heart, HTA is based upon a theory of performance and has only three governing principles. Originally developed as a means of determining training requirements, there was no way the initial pioneers of HTA could have foreseen the extent of its success. HTA has endured as a way of representing a system sub-goal hierarchy for extended analysis. It has been used for a range of applications, including interface design and evaluation, allocation of function, job aid design, error prediction, and workload assessment. Ergonomists are still developing new ways of using HTA which has assured the continued use of the approach for the foreseeable future. © 2005 Elsevier Ltd. All rights reserved.","author":[{"dropping-particle":"","family":"Stanton","given":"Neville A.","non-dropping-particle":"","parse-names":false,"suffix":""}],"container-title":"Applied Ergonomics","id":"ITEM-2","issue":"1 SPEC. ISS.","issued":{"date-parts":[["2006"]]},"page":"55-79","publisher":"Elsevier Ltd","title":"Hierarchical task analysis: Developments, applications, and extensions","type":"article-journal","volume":"37"},"uris":["http://www.mendeley.com/documents/?uuid=8ba1df42-96a7-45cc-865c-e279085028d5"]},{"id":"ITEM-3","itemData":{"DOI":"10.1080/00140139.2014.948659","ISBN":"9781409457534","ISSN":"0014-0139","abstract":"This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Edition","id":"ITEM-3","issued":{"date-parts":[["2013"]]},"number-of-pages":"1-627","publisher":"Ashgate Publishing Ltd","title":"Human factors methods: A practical guide for engineering and design, 2nd edition","type":"book"},"uris":["http://www.mendeley.com/documents/?uuid=b0451431-0e93-390b-b25d-987e32766dc4"]},{"id":"ITEM-4","itemData":{"DOI":"10.1016/j.apergo.2011.09.005","ISSN":"18729126","abstract":"Task analysis is an important tool that enables designers to consider the human factors implications of a new technology. This paper details a task analysis for the task of driving long-haul freight trains in Australia and describes how this task analysis was used to evaluate a new in-cab information support technology. This paper then explores similarities and differences between this task analysis and one proposed by Roth and Multer (2009). It is argued that these two task analyses can form the basis for many future task analyses so that we can avoid 'reinventing the wheel,' allowing us to focus more on potential interesting differences between operations and geographical locations. © 2011 Elsevier Ltd and The Ergonomics Society.","author":[{"dropping-particle":"","family":"Rose","given":"J. A.","non-dropping-particle":"","parse-names":false,"suffix":""},{"dropping-particle":"","family":"Bearman","given":"C.","non-dropping-particle":"","parse-names":false,"suffix":""}],"container-title":"Applied Ergonomics","id":"ITEM-4","issue":"3","issued":{"date-parts":[["2012"]]},"title":"Making effective use of task analysis to identify human factors issues in new rail technology","type":"article-journal","volume":"43"},"uris":["http://www.mendeley.com/documents/?uuid=ed28b5f7-1bed-3c42-a2d0-50061880d2be"]}],"mendeley":{"formattedCitation":"(Annett, 2004; Rose &amp; Bearman, 2012; Stanton, 2006; Stanton et al., 2013)","plainTextFormattedCitation":"(Annett, 2004; Rose &amp; Bearman, 2012; Stanton, 2006; Stanton et al., 2013)","previouslyFormattedCitation":"(Annett, 2004; Rose &amp; Bearman, 2012; Stanton, 2006; Stanton et al., 2013)"},"properties":{"noteIndex":0},"schema":"https://github.com/citation-style-language/schema/raw/master/csl-citation.json"}</w:instrText>
      </w:r>
      <w:r>
        <w:fldChar w:fldCharType="separate"/>
      </w:r>
      <w:r w:rsidRPr="00915B18">
        <w:rPr>
          <w:noProof/>
        </w:rPr>
        <w:t>(Annett, 2004; Rose &amp; Bearman, 2012; Stanton, 2006; Stanton et al., 2013)</w:t>
      </w:r>
      <w:r>
        <w:fldChar w:fldCharType="end"/>
      </w:r>
      <w:r>
        <w:t>.</w:t>
      </w:r>
    </w:p>
    <w:p w14:paraId="47831A69" w14:textId="2B20782D" w:rsidR="006B7F7D" w:rsidRDefault="006B7F7D" w:rsidP="006B7F7D">
      <w:pPr>
        <w:pStyle w:val="Heading3"/>
      </w:pPr>
      <w:r>
        <w:t>Systems</w:t>
      </w:r>
      <w:r w:rsidR="001E3537">
        <w:t xml:space="preserve"> Theoretic Accident Model and Processes (</w:t>
      </w:r>
      <w:r>
        <w:t>STAMP</w:t>
      </w:r>
      <w:r w:rsidR="001E3537">
        <w:t>)</w:t>
      </w:r>
    </w:p>
    <w:p w14:paraId="17AF337C" w14:textId="7488DF00" w:rsidR="002F0939" w:rsidRPr="002F0939" w:rsidRDefault="002F0939" w:rsidP="002F0939">
      <w:r w:rsidRPr="00663178">
        <w:t xml:space="preserve">STAMP </w:t>
      </w:r>
      <w:r>
        <w:fldChar w:fldCharType="begin" w:fldLock="1"/>
      </w:r>
      <w:r>
        <w:instrText>ADDIN CSL_CITATION {"citationItems":[{"id":"ITEM-1","itemData":{"DOI":"10.1016/S0925-7535(03)00047-X","ISSN":"09257535 (ISSN)","abstract":"New technology is making fundamental changes in the etiology of accidents and is creating a need for changes in the explanatory mechanisms used. We need better and less subjective understanding of why accidents occur and how to prevent future ones. The most effective models will go beyond assigning blame and instead help engineers to learn as much as possible about all the factors involved, including those related to social and organizational structures. This paper presents a new accident model founded on basic systems theory concepts. The use of such a model provides a theoretical foundation for the introduction of unique new types of accident analysis, hazard analysis, accident prevention strategies including new approaches to designing for safety, risk assessment techniques, and approaches to designing performance monitoring and safety metrics. © 2003 Elsevier Ltd. All rights reserved.","author":[{"dropping-particle":"","family":"Leveson","given":"Nancy G.","non-dropping-particle":"","parse-names":false,"suffix":""}],"container-title":"Safety Science","id":"ITEM-1","issue":"4","issued":{"date-parts":[["2004"]]},"language":"English","note":"Cited By :747\n\nExport Date: 20 January 2018\n\nCODEN: SSCIE\n\nCorrespondence Address: Leveson, N.; Aero. and Astronautics Department, MA Institute of Technology, 77 Massachusetts Avenue, Cambridge, MA, United States; email: leveson@mit.edu\n\nFunding details: CCR-0085829\n\nFunding details: NCC2-1223\n\nReferences: (1995) Control Flight into Terrain: American Airlines Flight 965, , Final Report of Aircraft Accident: American Airlines Flight 965, 20 December; \nAshby, W.R., (1956) An Introduction to Cybernetics, , London: Chapman and Hall;\nAyres, R.U., Rohatgi, P.K., Bhopal: Lessons for technological decision-makers (1987) Technology in Society, 9, pp. 19-45;\nBachelder, E., Leveson, N.G., Describing and probing complex system behavior: A graphical approach (2001) Aviation Safety Conference, , Society of Automotive Engineers, Seattle;\nBenner, L., Accident investigations: Multilinear event sequencing methods (1975) Journal of Safety Research, 7 (2), pp. 67-73;\nBogart, W., (1989) The Bhopal Tragedy, , Boulder, CO: Westview Press;\nBrehmer, B., Dynamic decision making: Human control of complex systems (1992) Acta Psychologica, 81, pp. 211-241;\n(1996) Advanced Technology Aircraft Safety Survey Report, , Australia: Department of Transport and Regional Development;\nCheckland, P., (1981) Systems Thinking, Systems Practice, , New York: John Wiley &amp;amp; Sons;\nConant, R.C., Ashby, W.R., Every good regulator of a system must be a model of that system (1970) International Journal of System Science, 1, pp. 89-97;\nCook, R.I., Verite, abstraction, and ordinateur systems in the evolution of complex process control (1996) 3rd Annual Symposium on Human Interaction with Complex Systems (HICS '96), , Dayton, OH;\nEdwards, W., Dynamic decision theory and probabilistic information processing (1962) Human Factors, 4, pp. 59-73;\nForrester, J.W., (1961) Industrial Dynamics, , Cambridge: MIT Press. (currently available from Pegasus Communications, Waltham, MA;\nFujita, Y., (1991) What Shape Operator Performance? JAERI Human Factors Meeting, , Tokyo;\nKletz, T.A., Human problems with computer control (1982) Plant/Operations Progress, 1 (4), p. 1982;\n(1993) Decision Making in Action: Models and Methods, , G.A. Klein, J. Orasano, R. Calderwood, &amp;amp; C.E. Zsambok. New York: Ablex Publishers;\nLadd, J., (1987) Bhopal: An Essay on Moral Responsibility and Civic Virtue, , Department of Philosophy, Brown University, RI;\nLeplat, J., Occupational accident research and systems approach (1987) New Technology and Human Error, pp. 181-191. , J. Rasmussen, K. Duncan, &amp;amp; J. Leplat. New York: John Wiley &amp;amp; Sons;\nLeveson, N.G., (1994) High-Pressure Steam Engines and Computer Software, , http://sunnyday.mit.edu, IEEE Computer, October 1994 (keynote address from IEEE/ACM International Conference on Software Engineering, 1992, Melbourne, Australia);\nLeveson, N.G., (1995) Safeware: System Safety and Computers, , Reading, MA: Addison Wesley;\nLeveson, N.G., (2001) Evaluating Accident Models using Recent Aerospace Accidents, , http://sunnyday.mit.edu/accidents, Technical Report, MIT Dept. of Aeronautics and Astronautics;\nLeveson, N.G., Allen, P., Storey, M.A., The analysis of a friendly fire accident using a systems model of accidents (2002) 20th International Conference on System Safety;\nLeveson, N.G., Daouk, M., Dulac, N., Marais, K., Applying STAMP in Accident Analysis, , http://sunnyday.mit.edu/accidents/walkerton.pdf, (submitted for publication);\nMacKall, D.A., (1988) Development and Flight Test Experiences with a Flight-critical Digital Control System, , NASA Technical Paper 2857. Dryden Flight Research Facility, National Aeronautics and Space Administration;\nMiles, R.F.Jr., Introduction (1973) Systems Concepts: Lectures on Contemporary Approaches to Systems, pp. 1-12. , R.F. Jr. Miles. New York: John Wiley &amp;amp; Sons;\nPerrow, C., (1984) Normal Accidents: Living with High-Risk Technology, , New York: Basic Books;\nPlat, M., Amalberti, R.E.C.T.T.D., (2000) Cognitive Engineering in the Aviation Domain, pp. 287-307. , N. Sarter, &amp;amp; R. Amalberti. Mahway, NJ: Lawrence Erlbaum Associates;\nRasmussen, J., Human error and the problem of causality in analysis of accidents (1990) Human Factors in Hazardous Situations, pp. 1-12. , D.E. Broadbent, J. Reason, &amp;amp; A. Baddeley. Oxford: Clarendon Press;\nRasmussen, J., Risk management in a dynamic society: A modelling problem (1997) Safety Science, 27 (2-3), pp. 183-213;\nRasmussen, J., Goodstein, L.P., Pejtersen, A.M., (1994) Cognitive System Engineering, , New York: John Wiley &amp;amp; Sons;\nRasmussen, J., Svedung, I., (2000) Proactive Risk Management in a Dynamic Society, , Swedish Rescue Services Agency;\nRosness, R., (2001) Om Jeg Hamrer Eller Hamres, Like Fullt sa Skal der Jamres: Malkonflikter Og Sikkerhet (If I Hammer or Get Hammered, in Any Case There Will Be Groaning: Goal Conflicts and Safety), , www.risikoforsk.no/Publikasjoner/Ragnar, SINTEF Technologies Report (STF38 A01408);\nSarter, N.N., Woods, D.D., How in the world did I ever get into that mode?: Mode error and awareness in supervisory control (1995) Human Factors, 37, pp. 5-19;\nSarter, N.N., Woods, D.D., (1995) Strong, Silent, and Out-of-the-Loop, , CSEL Report 95-TR-01. Ohio State University, February;\nSarter, N.N., Woods, D.D., Billings, C.E., Automation surprises (1997) Handbook of Human Factors/Ergonomics, Second Edition, , G. Salvendy. New York: Wiley;\nSterman, J.D., (2000) Business Dynamics: Systems Thinking and Modeling for a Complex World, , New York: Irwin McGraw Hill;\nSuokas, J., (1985) On the Reliability and Validity of Safety Analysis. Technical Report Publications 25, , Espoo, Finland: Technical Research Center of Finland;\nSvedung, I., Rasmussen, J., Graphic representation of accident scenarios: Mapping system structure and the causation of accidents (2002) Safety Science, 40, pp. 397-417;\nVicente, K.J., (1995) A Field Study of Operator Cognitive Monitoring at Pickering Nuclear Generating Station. Technical Report CEL 9504, , University of Toronto: Cognitive Engineering Laboratory;\nVicente, K.J., (1999) Cognitive Work Analysis: Toward Safe, Productive, and Healthy Computer-Based Work, , New York: Lawrence Erlbaum Associates;\nVicente, K.J., Christoffersen, K., The Walkerton E. coli outbreak: A test of Rasmussen's framework for risk management in a dynamic society (2002) Theoretical Issues in Ergonomics Science;\nWoods, D.D., Some results on operator performance in emergency events (1984) Ergonomic Problems in Process Operations. Institute of Chemical Engineering Symposium, Ser. 90, , Whitfield, D. (Ed.);\nWoods, D.D., Lessons from beyond human error: Designing for resilience in the face of change and surprise (2000) Design for Safety Workshop, , NASA Ames Research Center, 8-10 October;\n(1997) Naturalistic Decision Making, , C.E. Zsambok, &amp;amp; G. Klein. New York: Lawrence Erlbaum Associates","page":"237-270","publisher":"Elsevier","publisher-place":"Aero. and Astronautics Department, MA Institute of Technology, 77 Massachusetts Avenue, Cambridge, MA, United States","title":"A new accident model for engineering safer systems","type":"article-journal","volume":"42"},"uris":["http://www.mendeley.com/documents/?uuid=2b655a5c-66d8-470b-a586-f2801848f229"]}],"mendeley":{"formattedCitation":"(Leveson, 2004)","plainTextFormattedCitation":"(Leveson, 2004)","previouslyFormattedCitation":"(Leveson, 2004)"},"properties":{"noteIndex":0},"schema":"https://github.com/citation-style-language/schema/raw/master/csl-citation.json"}</w:instrText>
      </w:r>
      <w:r>
        <w:fldChar w:fldCharType="separate"/>
      </w:r>
      <w:r w:rsidRPr="00586AE4">
        <w:rPr>
          <w:noProof/>
        </w:rPr>
        <w:t>(Leveson, 2004)</w:t>
      </w:r>
      <w:r>
        <w:fldChar w:fldCharType="end"/>
      </w:r>
      <w:r w:rsidRPr="00663178">
        <w:t xml:space="preserve"> is an approach to </w:t>
      </w:r>
      <w:r>
        <w:t>incident</w:t>
      </w:r>
      <w:r w:rsidRPr="00663178">
        <w:t xml:space="preserve"> investigation that treats accidents as more than a causal event chain and instead builds upon the principle that accidents involve complex interacting dynamic processes. STAMP explains accident analysis as a control problem rather than discrete failures. This is achieved using a hierarchical model of organisational actors and the control and feedback loops that exist. These controls </w:t>
      </w:r>
      <w:r>
        <w:t>can then be</w:t>
      </w:r>
      <w:r w:rsidRPr="00663178">
        <w:t xml:space="preserve"> enforced to constrain the effects of disturbances, failures and dysfunctional interactions and so prevent accidents. The </w:t>
      </w:r>
      <w:r w:rsidR="00C65EC5">
        <w:t>approach</w:t>
      </w:r>
      <w:r w:rsidR="00C65EC5" w:rsidRPr="00663178">
        <w:t xml:space="preserve"> </w:t>
      </w:r>
      <w:r w:rsidRPr="00663178">
        <w:t>uses a classification scheme for flawed system controls to identify</w:t>
      </w:r>
      <w:r>
        <w:t xml:space="preserve"> the</w:t>
      </w:r>
      <w:r w:rsidRPr="00663178">
        <w:t xml:space="preserve"> dysfunctional interactions that occurred.</w:t>
      </w:r>
      <w:r w:rsidR="005B1A7F">
        <w:t xml:space="preserve"> (For a recent </w:t>
      </w:r>
      <w:r w:rsidR="001075A1">
        <w:t xml:space="preserve">literature </w:t>
      </w:r>
      <w:r w:rsidR="005B1A7F">
        <w:t xml:space="preserve">review </w:t>
      </w:r>
      <w:r w:rsidR="001075A1">
        <w:t xml:space="preserve">related to </w:t>
      </w:r>
      <w:r w:rsidR="005B1A7F">
        <w:t>STAMP</w:t>
      </w:r>
      <w:r w:rsidR="001075A1">
        <w:t xml:space="preserve"> see </w:t>
      </w:r>
      <w:r w:rsidR="00E56679">
        <w:t>Zhang and colleagues</w:t>
      </w:r>
      <w:r w:rsidR="00DC4143">
        <w:t xml:space="preserve"> </w:t>
      </w:r>
      <w:r w:rsidR="00DC4143">
        <w:fldChar w:fldCharType="begin" w:fldLock="1"/>
      </w:r>
      <w:r w:rsidR="001E17F5">
        <w:instrText>ADDIN CSL_CITATION {"citationItems":[{"id":"ITEM-1","itemData":{"DOI":"10.1016/j.ssci.2021.105596","ISSN":"18791042","abstract":"Systems models are the mainstream paradigm of accident models. STAMP is one of the most popular systems models, which has been applied in most industries. Therefore, the development process of STAMP and its applications and extensions research should be reviewed to reveal the state-of-the-art advances and illustrate further the future research trends and practical applications. According to the PRISMA guidelines, a total of 121 documents are included in this review through screening and exclusion. The development process, from STAMP to STPA and CAST, has achieved the evolution from model to method, which means STAMP has a more robust capacity for conducting accident analysis and engineering safety system. The existing literature involving STAMP mainly focuses on three topics: applications of STAMP and STAMP-based methods (approximately 64%), extensions of STAMP and STAMP-based methods (approximately 22%), and the comparisons with other models/methods (approximately 7%). In recent years, STAMP has been extended through considering the combination with other models/approaches, organisational failures, human factors, integration with Petri net, quantitative analysis, physical process, and the interactions between non-adjacent levels. The following issues may be the research directions in the future. First, adding quantitative analysis to STAMP; second, integrating organisational and human factors into STAMP control structure/flaws classification versa or vice; third, paying more attention to the interactions across levels and within the parallel level. Furthermore, based on STAMP, more techniques and tools can be constructed, and more applications and extensions/improvements will be created in the future.","author":[{"dropping-particle":"","family":"Zhang","given":"Yingyu","non-dropping-particle":"","parse-names":false,"suffix":""},{"dropping-particle":"","family":"Dong","given":"Chuntong","non-dropping-particle":"","parse-names":false,"suffix":""},{"dropping-particle":"","family":"Guo","given":"Weiqun","non-dropping-particle":"","parse-names":false,"suffix":""},{"dropping-particle":"","family":"Dai","given":"Jiabao","non-dropping-particle":"","parse-names":false,"suffix":""},{"dropping-particle":"","family":"Zhao","given":"Ziming","non-dropping-particle":"","parse-names":false,"suffix":""}],"container-title":"Safety Science","id":"ITEM-1","issue":"November","issued":{"date-parts":[["2021"]]},"page":"105596","publisher":"Elsevier Ltd","title":"Systems theoretic accident model and process (STAMP): A literature review","type":"article-journal"},"suffix":"in press","suppress-author":1,"uris":["http://www.mendeley.com/documents/?uuid=8a7dd311-c621-4421-a4b7-8ff5c5cf5c1f"]}],"mendeley":{"formattedCitation":"(2021 in press)","plainTextFormattedCitation":"(2021 in press)","previouslyFormattedCitation":"(2021 in press)"},"properties":{"noteIndex":0},"schema":"https://github.com/citation-style-language/schema/raw/master/csl-citation.json"}</w:instrText>
      </w:r>
      <w:r w:rsidR="00DC4143">
        <w:fldChar w:fldCharType="separate"/>
      </w:r>
      <w:r w:rsidR="00CF10F1" w:rsidRPr="00CF10F1">
        <w:rPr>
          <w:noProof/>
        </w:rPr>
        <w:t>(2021 in press)</w:t>
      </w:r>
      <w:r w:rsidR="00DC4143">
        <w:fldChar w:fldCharType="end"/>
      </w:r>
      <w:r w:rsidR="00DC4143">
        <w:t>.</w:t>
      </w:r>
    </w:p>
    <w:p w14:paraId="5C2BBDFC" w14:textId="3756ED6B" w:rsidR="006B7F7D" w:rsidRDefault="001E3537" w:rsidP="006B7F7D">
      <w:pPr>
        <w:pStyle w:val="Heading3"/>
      </w:pPr>
      <w:r>
        <w:t>Functional Resonance Analysis Method (</w:t>
      </w:r>
      <w:r w:rsidR="006B7F7D">
        <w:t>FRAM</w:t>
      </w:r>
      <w:r>
        <w:t>)</w:t>
      </w:r>
    </w:p>
    <w:p w14:paraId="1CDF05C1" w14:textId="111066E3" w:rsidR="002F0939" w:rsidRPr="002F0939" w:rsidRDefault="002F0939" w:rsidP="002F0939">
      <w:r w:rsidRPr="00FC229C">
        <w:t xml:space="preserve">FRAM </w:t>
      </w:r>
      <w:r>
        <w:fldChar w:fldCharType="begin" w:fldLock="1"/>
      </w:r>
      <w:r w:rsidR="00C90EE0">
        <w:instrText>ADDIN CSL_CITATION {"citationItems":[{"id":"ITEM-1","itemData":{"DOI":"10.1201/9781315255071","ISBN":"978-1-4094-4551-7","abstract":"Resilience engineering has consistently argued that safety is more than the absence of failures. Since the first book was published in 2006, several book chapters and papers have demonstrated the advantage in going behind 'human error' and beyond the failure concept, just as a number of serious accidents have accentuated the need for it. But there has not yet been a comprehensive method for doing so; the Functional Resonance Analysis Method (FRAM) fulfils that need. Whereas commonly used methods explain events by interpreting them in terms of an already existing model, the FRAM is used to model the functions that are needed for everyday performance to succeed. This model can then be used to explain specific events, by showing how functions can be coupled and how the variability of everyday performance sometimes may lead to unexpected and out-of-scale outcomes - either good or bad. The FRAM is based on four principles: equivalence of failures and successes, approximate adjustments, emergence, and functional resonance. As the FRAM is a method rather than a model, it makes no assumptions about how the system under investigation is structured or organised, nor about possible causes and cause-effect relations. Instead of looking for failures and malfunctions, the FRAM explains outcomes in terms of how functions become coupled and how everyday performance variability may resonate. This book presents a detailed and tested method that can be used to model how complex and dynamic socio-technical systems work, to understand why things sometimes go wrong but also why they normally succeed.","author":[{"dropping-particle":"","family":"Hollnagel","given":"Erik","non-dropping-particle":"","parse-names":false,"suffix":""}],"container-title":"FRAM: The Functional Resonance Analysis Method","id":"ITEM-1","issued":{"date-parts":[["2012"]]},"publisher":"Ashgate Publishing Ltd","title":"FRAM: The Functional Resonance Analysis Method","type":"book"},"uris":["http://www.mendeley.com/documents/?uuid=5f00a332-3739-4cf3-bfa7-0cdd58cb95ef"]}],"mendeley":{"formattedCitation":"(Hollnagel, 2012)","plainTextFormattedCitation":"(Hollnagel, 2012)","previouslyFormattedCitation":"(Hollnagel, 2012)"},"properties":{"noteIndex":0},"schema":"https://github.com/citation-style-language/schema/raw/master/csl-citation.json"}</w:instrText>
      </w:r>
      <w:r>
        <w:fldChar w:fldCharType="separate"/>
      </w:r>
      <w:r w:rsidR="00D06D71" w:rsidRPr="00D06D71">
        <w:rPr>
          <w:noProof/>
        </w:rPr>
        <w:t>(Hollnagel, 2012)</w:t>
      </w:r>
      <w:r>
        <w:fldChar w:fldCharType="end"/>
      </w:r>
      <w:r>
        <w:t xml:space="preserve"> </w:t>
      </w:r>
      <w:r w:rsidRPr="00FC229C">
        <w:t>is an approach that explores accidents by analysing the interactions of performance variations in the individuals and technology within complex sociotechnical systems. FRAM supports the analyst in exploring the complex interactions by identifying the unexpected combinations and unanticipated potential variabilities in functions and activities through the use of six parameters and a network connecting them.</w:t>
      </w:r>
      <w:r w:rsidR="00A113E5">
        <w:t xml:space="preserve"> </w:t>
      </w:r>
      <w:r w:rsidR="001E17F5">
        <w:t>(</w:t>
      </w:r>
      <w:r w:rsidR="003427E5">
        <w:t xml:space="preserve">See Patriarca and colleagues </w:t>
      </w:r>
      <w:r w:rsidR="001E17F5">
        <w:fldChar w:fldCharType="begin" w:fldLock="1"/>
      </w:r>
      <w:r w:rsidR="00013CAD">
        <w:instrText>ADDIN CSL_CITATION {"citationItems":[{"id":"ITEM-1","itemData":{"DOI":"10.1016/j.ssci.2020.104827","ISSN":"18791042","abstract":"The development of the Functional Resonance Analysis Method (FRAM) has been motivated by the perceived limitations of fundamentally deterministic and probabilistic approaches to understand complex systems’ behaviour. Congruent with the principles of Resilience Engineering, over recent years the FRAM has been progressively developed in scientific terms, and increasingly adopted in industrial environments with reportedly successful results. Nevertheless, a wide literature review focused on the method is currently lacking. On these premises, this paper aims to summarise all available published research in English about FRAM. More than 1700 documents from multiple scientific repositories were reviewed through a protocol based on the PRISMA review technique. The paper aims to uncover a number of characteristics of the FRAM research, both in terms of the method's application and of the authors contributing to its development. The systematic analysis explores the method in terms of its methodological aspects, application domains, and enhancements in qualitative and quantitative terms, as well as proposing potential future research directions.","author":[{"dropping-particle":"","family":"Patriarca","given":"Riccardo","non-dropping-particle":"","parse-names":false,"suffix":""},{"dropping-particle":"","family":"Gravio","given":"Giulio","non-dropping-particle":"Di","parse-names":false,"suffix":""},{"dropping-particle":"","family":"Woltjer","given":"R.","non-dropping-particle":"","parse-names":false,"suffix":""},{"dropping-particle":"","family":"Costantino","given":"F.","non-dropping-particle":"","parse-names":false,"suffix":""},{"dropping-particle":"","family":"Praetorius","given":"G.","non-dropping-particle":"","parse-names":false,"suffix":""},{"dropping-particle":"","family":"Ferreira","given":"P.","non-dropping-particle":"","parse-names":false,"suffix":""},{"dropping-particle":"","family":"Hollnagel","given":"Erik","non-dropping-particle":"","parse-names":false,"suffix":""}],"container-title":"Safety Science","id":"ITEM-1","issue":"April","issued":{"date-parts":[["2020"]]},"page":"104827","publisher":"Elsevier","title":"Framing the FRAM: A literature review on the functional resonance analysis method","type":"article-journal","volume":"129"},"suppress-author":1,"uris":["http://www.mendeley.com/documents/?uuid=76aa65f4-f250-4e39-b5ec-8ced4020f754"]}],"mendeley":{"formattedCitation":"(2020)","plainTextFormattedCitation":"(2020)","previouslyFormattedCitation":"(2020)"},"properties":{"noteIndex":0},"schema":"https://github.com/citation-style-language/schema/raw/master/csl-citation.json"}</w:instrText>
      </w:r>
      <w:r w:rsidR="001E17F5">
        <w:fldChar w:fldCharType="separate"/>
      </w:r>
      <w:r w:rsidR="003427E5" w:rsidRPr="003427E5">
        <w:rPr>
          <w:noProof/>
        </w:rPr>
        <w:t>(2020)</w:t>
      </w:r>
      <w:r w:rsidR="001E17F5">
        <w:fldChar w:fldCharType="end"/>
      </w:r>
      <w:r w:rsidR="003427E5">
        <w:t xml:space="preserve"> for a review of FRAM applications).</w:t>
      </w:r>
    </w:p>
    <w:p w14:paraId="27086C69" w14:textId="32EC7576" w:rsidR="006B7F7D" w:rsidRDefault="001E3537" w:rsidP="006B7F7D">
      <w:pPr>
        <w:pStyle w:val="Heading3"/>
      </w:pPr>
      <w:r>
        <w:t xml:space="preserve">Human Factors </w:t>
      </w:r>
      <w:r w:rsidR="00151704">
        <w:t>Analysis and Classification Scheme (</w:t>
      </w:r>
      <w:r w:rsidR="006B7F7D">
        <w:t>HFACS</w:t>
      </w:r>
      <w:r w:rsidR="00151704">
        <w:t>)</w:t>
      </w:r>
    </w:p>
    <w:p w14:paraId="3462FA1F" w14:textId="7DE92AC7" w:rsidR="002F0939" w:rsidRPr="002F0939" w:rsidRDefault="002F0939" w:rsidP="002F0939">
      <w:r w:rsidRPr="00DA5D63">
        <w:t xml:space="preserve">HFACS </w:t>
      </w:r>
      <w:r w:rsidRPr="00DA5D63">
        <w:fldChar w:fldCharType="begin" w:fldLock="1"/>
      </w:r>
      <w:r w:rsidRPr="00DA5D63">
        <w:instrText>ADDIN CSL_CITATION {"citationItems":[{"id":"ITEM-1","itemData":{"DOI":"10.1177/1062860613491623","ISBN":"DOT/FAA/AM-00/7","ISSN":"1555-824X","PMID":"23814026","abstract":"Human error has been implicated in 70 to 80% of all civil and military aviation accidents. Yet, most accident reporting systems are not designed around any theoretical framework of human error. As a result, most accident databases are not conducive to a traditional human error analysis, making the identification of intervention strategies onerous. What is required is a general human error framework around which new investigative methods can be designed and existing accident databases restructured. Indeed, a comprehensive human factors analysis and classification system (HFACS) has recently been developed to meet those needs. Specifically, the HFACS framework has been used within the military, commercial, and general aviation sectors to systematically examine underlying human causal factors and to improve aviation accident investigations. This paper describes the development and theoretical underpinnings of HFACS in the hope that it will help safety professionals reduce the aviation accident rate through systematic, data-driven investment strategies and objective evaluation of intervention programs","author":[{"dropping-particle":"","family":"Shappell","given":"Scott a","non-dropping-particle":"","parse-names":false,"suffix":""},{"dropping-particle":"","family":"Wiegmann","given":"Douglas a","non-dropping-particle":"","parse-names":false,"suffix":""}],"container-title":"USDOT/FAA/AM-00/7 Office of Aviation Medicine","id":"ITEM-1","issued":{"date-parts":[["2000"]]},"title":"The Human Factors Analysis and Classification System – HFACS","type":"report"},"uris":["http://www.mendeley.com/documents/?uuid=0410f5a9-16a0-3128-9f20-1fb8ab016169"]}],"mendeley":{"formattedCitation":"(Shappell &amp; Wiegmann, 2000)","plainTextFormattedCitation":"(Shappell &amp; Wiegmann, 2000)","previouslyFormattedCitation":"(Shappell &amp; Wiegmann, 2000)"},"properties":{"noteIndex":0},"schema":"https://github.com/citation-style-language/schema/raw/master/csl-citation.json"}</w:instrText>
      </w:r>
      <w:r w:rsidRPr="00DA5D63">
        <w:fldChar w:fldCharType="separate"/>
      </w:r>
      <w:r w:rsidRPr="00DA5D63">
        <w:rPr>
          <w:noProof/>
        </w:rPr>
        <w:t>(Shappell &amp; Wiegmann, 2000)</w:t>
      </w:r>
      <w:r w:rsidRPr="00DA5D63">
        <w:fldChar w:fldCharType="end"/>
      </w:r>
      <w:r w:rsidRPr="00DA5D63">
        <w:t xml:space="preserve"> was originally designed for the analysis of aviation accidents. It builds upon Reason’s Swiss Cheese model of accident causation </w:t>
      </w:r>
      <w:r w:rsidRPr="00DA5D63">
        <w:fldChar w:fldCharType="begin" w:fldLock="1"/>
      </w:r>
      <w:r>
        <w:instrText>ADDIN CSL_CITATION {"citationItems":[{"id":"ITEM-1","itemData":{"ISBN":"978-0521314190","author":[{"dropping-particle":"","family":"Reason","given":"James","non-dropping-particle":"","parse-names":false,"suffix":""}],"id":"ITEM-1","issued":{"date-parts":[["1990"]]},"publisher":"Cambridge University Press","title":"Human Error","type":"book"},"uris":["http://www.mendeley.com/documents/?uuid=62c60cdb-89ba-4542-8e5c-153ac8fc1ed9"]}],"mendeley":{"formattedCitation":"(Reason, 1990)","plainTextFormattedCitation":"(Reason, 1990)","previouslyFormattedCitation":"(Reason, 1990)"},"properties":{"noteIndex":0},"schema":"https://github.com/citation-style-language/schema/raw/master/csl-citation.json"}</w:instrText>
      </w:r>
      <w:r w:rsidRPr="00DA5D63">
        <w:fldChar w:fldCharType="separate"/>
      </w:r>
      <w:r w:rsidRPr="00DA5D63">
        <w:rPr>
          <w:noProof/>
        </w:rPr>
        <w:t>(Reason, 1990)</w:t>
      </w:r>
      <w:r w:rsidRPr="00DA5D63">
        <w:fldChar w:fldCharType="end"/>
      </w:r>
      <w:r w:rsidRPr="00DA5D63">
        <w:t xml:space="preserve"> and uses a four-barrier structure of systems. The taxonomy that it presents describes how accidents result from the breakdowns that can occur in each layer. The taxonomy can be used to classify the latent failures and active errors that occurred in the accident scenario.</w:t>
      </w:r>
      <w:r>
        <w:t xml:space="preserve"> </w:t>
      </w:r>
    </w:p>
    <w:p w14:paraId="7EEA8633" w14:textId="54225153" w:rsidR="006B7F7D" w:rsidRDefault="00151704" w:rsidP="006B7F7D">
      <w:pPr>
        <w:pStyle w:val="Heading3"/>
      </w:pPr>
      <w:r>
        <w:t>Cognitive Work Analysis (</w:t>
      </w:r>
      <w:r w:rsidR="006B7F7D">
        <w:t>CWA</w:t>
      </w:r>
      <w:r>
        <w:t>)</w:t>
      </w:r>
    </w:p>
    <w:p w14:paraId="4396C3BB" w14:textId="0EF6B36D" w:rsidR="002F0939" w:rsidRPr="002F0939" w:rsidRDefault="00F31D02" w:rsidP="002F0939">
      <w:r>
        <w:t>CWA</w:t>
      </w:r>
      <w:r w:rsidR="002F0939">
        <w:t xml:space="preserve"> </w:t>
      </w:r>
      <w:r w:rsidR="002F0939">
        <w:fldChar w:fldCharType="begin" w:fldLock="1"/>
      </w:r>
      <w:r w:rsidR="002F0939">
        <w:instrText>ADDIN CSL_CITATION {"citationItems":[{"id":"ITEM-1","itemData":{"DOI":"10.1201/b12457","ISBN":"9780429228100","author":[{"dropping-particle":"","family":"Vicente","given":"Kim J.","non-dropping-particle":"","parse-names":false,"suffix":""}],"container-title":"Cognitive Work Analysis","id":"ITEM-1","issued":{"date-parts":[["1999"]]},"number-of-pages":"416","publisher":"CRC Press","publisher-place":"Boca Raton","title":"Cognitive Work Analysis: Towards Safe, Productive and Healthy Computer-Based Work","type":"book"},"uris":["http://www.mendeley.com/documents/?uuid=c458714a-e15f-4c4a-9368-f941a035c26c"]},{"id":"ITEM-2","itemData":{"ISBN":"978-0471011989","author":[{"dropping-particle":"","family":"Rasmussen","given":"Jens","non-dropping-particle":"","parse-names":false,"suffix":""},{"dropping-particle":"","family":"Pejtersen","given":"Annelise Mark","non-dropping-particle":"","parse-names":false,"suffix":""},{"dropping-particle":"","family":"Goodstein","given":"LP","non-dropping-particle":"","parse-names":false,"suffix":""}],"id":"ITEM-2","issued":{"date-parts":[["1994"]]},"number-of-pages":"378","publisher":"Wiley &amp; Sons","publisher-place":"New York","title":"Cognitive Systems Engineering","type":"book"},"uris":["http://www.mendeley.com/documents/?uuid=3490f6d2-cf1c-4fb0-9955-9a866050f686"]}],"mendeley":{"formattedCitation":"(Rasmussen, Pejtersen, &amp; Goodstein, 1994; Vicente, 1999)","plainTextFormattedCitation":"(Rasmussen, Pejtersen, &amp; Goodstein, 1994; Vicente, 1999)","previouslyFormattedCitation":"(Rasmussen, Pejtersen, &amp; Goodstein, 1994; Vicente, 1999)"},"properties":{"noteIndex":0},"schema":"https://github.com/citation-style-language/schema/raw/master/csl-citation.json"}</w:instrText>
      </w:r>
      <w:r w:rsidR="002F0939">
        <w:fldChar w:fldCharType="separate"/>
      </w:r>
      <w:r w:rsidR="002F0939" w:rsidRPr="00FC675A">
        <w:rPr>
          <w:noProof/>
        </w:rPr>
        <w:t>(Rasmussen, Pejtersen, &amp; Goodstein, 1994; Vicente, 1999)</w:t>
      </w:r>
      <w:r w:rsidR="002F0939">
        <w:fldChar w:fldCharType="end"/>
      </w:r>
      <w:r w:rsidR="002F0939" w:rsidRPr="00D636A6">
        <w:t xml:space="preserve"> is a set of structured approaches to inform the design and functionality of complex sociotechnical systems and</w:t>
      </w:r>
      <w:r w:rsidR="002F0939" w:rsidRPr="00B10ADC">
        <w:t xml:space="preserve"> to predict changes in behaviour when work conditions are </w:t>
      </w:r>
      <w:r w:rsidR="002F0939">
        <w:t>altered</w:t>
      </w:r>
      <w:r w:rsidR="002F0939" w:rsidRPr="00B10ADC">
        <w:t xml:space="preserve">. </w:t>
      </w:r>
      <w:r w:rsidR="002F0939" w:rsidRPr="00611DD6">
        <w:t xml:space="preserve">The method focuses on systematically identifying the purposes and constraints across abstraction layers of a system from overall goal to physical manifestations. CWA consists of five main phases: work domain analysis (WDA), control task analysis (ConTA), strategies analysis (StrA), social organisation and cooperation analysis (SOCA) and worker competencies analysis (WCA) </w:t>
      </w:r>
      <w:r w:rsidR="002F0939" w:rsidRPr="00611DD6">
        <w:fldChar w:fldCharType="begin" w:fldLock="1"/>
      </w:r>
      <w:r w:rsidR="002F0939" w:rsidRPr="00611DD6">
        <w:instrText>ADDIN CSL_CITATION {"citationItems":[{"id":"ITEM-1","itemData":{"DOI":"10.1080/00140139.2014.948659","ISBN":"9781409457534","ISSN":"0014-0139","abstract":"This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Edition","id":"ITEM-1","issued":{"date-parts":[["2013"]]},"number-of-pages":"1-627","publisher":"Ashgate Publishing Ltd","title":"Human factors methods: A practical guide for engineering and design, 2nd edition","type":"book"},"uris":["http://www.mendeley.com/documents/?uuid=b0451431-0e93-390b-b25d-987e32766dc4"]}],"mendeley":{"formattedCitation":"(Stanton et al., 2013)","plainTextFormattedCitation":"(Stanton et al., 2013)","previouslyFormattedCitation":"(Stanton et al., 2013)"},"properties":{"noteIndex":0},"schema":"https://github.com/citation-style-language/schema/raw/master/csl-citation.json"}</w:instrText>
      </w:r>
      <w:r w:rsidR="002F0939" w:rsidRPr="00611DD6">
        <w:fldChar w:fldCharType="separate"/>
      </w:r>
      <w:r w:rsidR="002F0939" w:rsidRPr="00611DD6">
        <w:rPr>
          <w:noProof/>
        </w:rPr>
        <w:t>(Stanton et al., 2013)</w:t>
      </w:r>
      <w:r w:rsidR="002F0939" w:rsidRPr="00611DD6">
        <w:fldChar w:fldCharType="end"/>
      </w:r>
      <w:r w:rsidR="002F0939" w:rsidRPr="00611DD6">
        <w:t>.</w:t>
      </w:r>
      <w:r w:rsidR="002F0939" w:rsidRPr="006E22AF">
        <w:t xml:space="preserve"> </w:t>
      </w:r>
      <w:r w:rsidR="000A24A3">
        <w:t xml:space="preserve">For </w:t>
      </w:r>
      <w:r w:rsidR="00DF0884">
        <w:t xml:space="preserve">a </w:t>
      </w:r>
      <w:r w:rsidR="00951974">
        <w:t xml:space="preserve">discussion of the use of CWA in design see for example </w:t>
      </w:r>
      <w:r w:rsidR="00DF0884">
        <w:t>Read, Salmon, Lenn</w:t>
      </w:r>
      <w:r w:rsidR="00DF0884">
        <w:rPr>
          <w:rFonts w:cstheme="minorHAnsi"/>
        </w:rPr>
        <w:t>é</w:t>
      </w:r>
      <w:r w:rsidR="00DF0884">
        <w:t xml:space="preserve"> &amp; Stanton </w:t>
      </w:r>
      <w:r w:rsidR="00DF0884">
        <w:fldChar w:fldCharType="begin" w:fldLock="1"/>
      </w:r>
      <w:r w:rsidR="00011B7E">
        <w:instrText>ADDIN CSL_CITATION {"citationItems":[{"id":"ITEM-1","itemData":{"DOI":"10.1080/00140139.2014.980335","ISSN":"13665847","PMID":"25407778","abstract":"Cognitive work analysis (CWA) is a framework of methods for analysing complex sociotechnical systems. However, the translation from the outputs of CWA to design is not straightforward. Sociotechnical systems theory provides values and principles for the design of sociotechnical systems which may offer a theoretically consistent basis for a design approach for use with CWA. This article explores the extent to which CWA and sociotechnical systems theory offer complementary perspectives and presents an abstraction hierarchy (AH), based on a review of literature, that describes an ‘optimal’ CWA and sociotechnical systems theory design system. The optimal AH is used to assess the extent to which current CWA-based design practices, uncovered through a survey of CWA practitioners, aligns with sociotechnical systems theory. Recommendations for a design approach that would support the integration of CWA and sociotechnical systems theory design values and principles are also derived.","author":[{"dropping-particle":"","family":"Read","given":"Gemma J.M.","non-dropping-particle":"","parse-names":false,"suffix":""},{"dropping-particle":"","family":"Salmon","given":"Paul M.","non-dropping-particle":"","parse-names":false,"suffix":""},{"dropping-particle":"","family":"Lenné","given":"Michael G.","non-dropping-particle":"","parse-names":false,"suffix":""},{"dropping-particle":"","family":"Stanton","given":"Neville A.","non-dropping-particle":"","parse-names":false,"suffix":""}],"container-title":"Ergonomics","id":"ITEM-1","issued":{"date-parts":[["2015"]]},"title":"Designing sociotechnical systems with cognitive work analysis: putting theory back into practice","type":"article-journal"},"suppress-author":1,"uris":["http://www.mendeley.com/documents/?uuid=77671fd0-4da2-3b8a-b82c-09385b95527d"]}],"mendeley":{"formattedCitation":"(2015)","plainTextFormattedCitation":"(2015)","previouslyFormattedCitation":"(2015)"},"properties":{"noteIndex":0},"schema":"https://github.com/citation-style-language/schema/raw/master/csl-citation.json"}</w:instrText>
      </w:r>
      <w:r w:rsidR="00DF0884">
        <w:fldChar w:fldCharType="separate"/>
      </w:r>
      <w:r w:rsidR="00DF0884" w:rsidRPr="00DF0884">
        <w:rPr>
          <w:noProof/>
        </w:rPr>
        <w:t>(2015)</w:t>
      </w:r>
      <w:r w:rsidR="00DF0884">
        <w:fldChar w:fldCharType="end"/>
      </w:r>
      <w:r w:rsidR="00DF0884">
        <w:t>.</w:t>
      </w:r>
    </w:p>
    <w:p w14:paraId="56A85AFB" w14:textId="09DFA9F7" w:rsidR="00151704" w:rsidRDefault="00151704" w:rsidP="00206BCF">
      <w:pPr>
        <w:pStyle w:val="Heading3"/>
      </w:pPr>
      <w:r>
        <w:t>Critical Decision Method (</w:t>
      </w:r>
      <w:r w:rsidR="006B7F7D">
        <w:t>CDM</w:t>
      </w:r>
      <w:r>
        <w:t>)</w:t>
      </w:r>
    </w:p>
    <w:p w14:paraId="648811B7" w14:textId="6E6FF538" w:rsidR="002F0939" w:rsidRPr="002F0939" w:rsidRDefault="002F0939" w:rsidP="00EA3F05">
      <w:r>
        <w:t xml:space="preserve">CDM </w:t>
      </w:r>
      <w:r>
        <w:fldChar w:fldCharType="begin" w:fldLock="1"/>
      </w:r>
      <w:r w:rsidR="00DF1D79">
        <w:instrText>ADDIN CSL_CITATION {"citationItems":[{"id":"ITEM-1","itemData":{"DOI":"10.1109/21.31053","ISSN":"00189472","abstract":"A critical decision method is described for modeling tasks in naturalistic environments characterized by high time pressure, high information content, and changing conditions. The method is a variant of a J.C. Flanagan's (1954) critical incident technique extended to include probes that elicit aspects of expertise such as the basis for making perceptual discriminations, conceptual discriminations, typicality judgments, and critical cues. The method has been used to elicit domain knowledge from experienced personnel such as urban and wildland fireground commanders, tank platoon leaders, structural engineers, design engineers, paramedics, and computer programmers. A model of decision-making derived from these investigations is presented as the theoretical background to the methodology. Instruments and procedures for implementing the approach are described. Applications of the method include developing expert systems, evaluating expert systems' performance, identifying training requirements, and investigating basic decision research issues","author":[{"dropping-particle":"","family":"Klein","given":"Gary A G.A.","non-dropping-particle":"","parse-names":false,"suffix":""},{"dropping-particle":"","family":"Calderwood","given":"Roberta","non-dropping-particle":"","parse-names":false,"suffix":""},{"dropping-particle":"","family":"MacGregor","given":"Donald","non-dropping-particle":"","parse-names":false,"suffix":""}],"container-title":"Ieee Transactions On Systems Man And Cybernetics","id":"ITEM-1","issue":"3","issued":{"date-parts":[["1989"]]},"page":"462-472","title":"Critical decision method for eliciting knowledge","type":"article-journal","volume":"19"},"uris":["http://www.mendeley.com/documents/?uuid=6272bc37-3211-4473-9994-f04f7ece8fa8"]}],"mendeley":{"formattedCitation":"(Klein et al., 1989)","plainTextFormattedCitation":"(Klein et al., 1989)","previouslyFormattedCitation":"(Klein et al., 1989)"},"properties":{"noteIndex":0},"schema":"https://github.com/citation-style-language/schema/raw/master/csl-citation.json"}</w:instrText>
      </w:r>
      <w:r>
        <w:fldChar w:fldCharType="separate"/>
      </w:r>
      <w:r w:rsidRPr="00984BAA">
        <w:rPr>
          <w:noProof/>
        </w:rPr>
        <w:t>(Klein et al., 1989)</w:t>
      </w:r>
      <w:r>
        <w:fldChar w:fldCharType="end"/>
      </w:r>
      <w:r>
        <w:t xml:space="preserve"> is a retrospective cognitive task analysis (CTA) technique that uses semi-structured interviews with individuals involved in an incident to obtain information about their decision-making steps and the use of expertise </w:t>
      </w:r>
      <w:r>
        <w:fldChar w:fldCharType="begin" w:fldLock="1"/>
      </w:r>
      <w:r>
        <w:instrText>ADDIN CSL_CITATION {"citationItems":[{"id":"ITEM-1","itemData":{"ISBN":"0-8058-4433-3","author":[{"dropping-particle":"","family":"Wong","given":"B L William","non-dropping-particle":"","parse-names":false,"suffix":""}],"chapter-number":"16","container-title":"The Handbook of Task Analysis for Human-Computer Interaction","editor":[{"dropping-particle":"","family":"Diaper","given":"Dan","non-dropping-particle":"","parse-names":false,"suffix":""},{"dropping-particle":"","family":"Stanton","given":"Neville","non-dropping-particle":"","parse-names":false,"suffix":""}],"id":"ITEM-1","issue":"January","issued":{"date-parts":[["2004"]]},"page":"327-345","publisher":"Lawrence Erlbaum","publisher-place":"London","title":"Data Analysis for the Critical Decision Method","type":"chapter"},"uris":["http://www.mendeley.com/documents/?uuid=0e87018d-96b5-44f1-ad90-027394284de8"]},{"id":"ITEM-2","itemData":{"DOI":"10.1080/00140139.2014.948659","ISBN":"9781409457534","ISSN":"0014-0139","abstract":"This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Edition","id":"ITEM-2","issued":{"date-parts":[["2013"]]},"number-of-pages":"1-627","publisher":"Ashgate Publishing Ltd","title":"Human factors methods: A practical guide for engineering and design, 2nd edition","type":"book"},"uris":["http://www.mendeley.com/documents/?uuid=b0451431-0e93-390b-b25d-987e32766dc4"]}],"mendeley":{"formattedCitation":"(Stanton et al., 2013; Wong, 2004)","plainTextFormattedCitation":"(Stanton et al., 2013; Wong, 2004)","previouslyFormattedCitation":"(Stanton et al., 2013; Wong, 2004)"},"properties":{"noteIndex":0},"schema":"https://github.com/citation-style-language/schema/raw/master/csl-citation.json"}</w:instrText>
      </w:r>
      <w:r>
        <w:fldChar w:fldCharType="separate"/>
      </w:r>
      <w:r w:rsidRPr="00507BAA">
        <w:rPr>
          <w:noProof/>
        </w:rPr>
        <w:t>(Stanton et al., 2013; Wong, 2004)</w:t>
      </w:r>
      <w:r>
        <w:fldChar w:fldCharType="end"/>
      </w:r>
      <w:r>
        <w:t xml:space="preserve">. The main purpose of CDM, like other CTA methods, is to “yield </w:t>
      </w:r>
      <w:r>
        <w:rPr>
          <w:rFonts w:ascii="Calibri" w:hAnsi="Calibri" w:cs="Calibri"/>
        </w:rPr>
        <w:t>information about the knowledge, thought processes and goal structures that underlie observable task performance”</w:t>
      </w:r>
      <w:r>
        <w:t xml:space="preserve"> </w:t>
      </w:r>
      <w:r>
        <w:fldChar w:fldCharType="begin" w:fldLock="1"/>
      </w:r>
      <w:r>
        <w:instrText>ADDIN CSL_CITATION {"citationItems":[{"id":"ITEM-1","itemData":{"ISBN":"1135665303","editor":[{"dropping-particle":"","family":"Schraagen","given":"Jan Maarten","non-dropping-particle":"","parse-names":false,"suffix":""},{"dropping-particle":"","family":"Chipman","given":"Susan F.","non-dropping-particle":"","parse-names":false,"suffix":""},{"dropping-particle":"","family":"Shalin","given":"Valerie L.","non-dropping-particle":"","parse-names":false,"suffix":""}],"id":"ITEM-1","issued":{"date-parts":[["2000"]]},"number-of-pages":"552","publisher":"Psychology Press","title":"Cognitive Task Analysis","type":"book"},"locator":"3","uris":["http://www.mendeley.com/documents/?uuid=8389e7d9-63fe-4697-98d6-ed2b990cb8d9"]}],"mendeley":{"formattedCitation":"(Schraagen, Chipman, &amp; Shalin, 2000, p. 3)","plainTextFormattedCitation":"(Schraagen, Chipman, &amp; Shalin, 2000, p. 3)","previouslyFormattedCitation":"(Schraagen, Chipman, &amp; Shalin, 2000, p. 3)"},"properties":{"noteIndex":0},"schema":"https://github.com/citation-style-language/schema/raw/master/csl-citation.json"}</w:instrText>
      </w:r>
      <w:r>
        <w:fldChar w:fldCharType="separate"/>
      </w:r>
      <w:r w:rsidRPr="00352C53">
        <w:rPr>
          <w:noProof/>
        </w:rPr>
        <w:t>(Schraagen, Chipman, &amp; Shalin, 2000, p. 3)</w:t>
      </w:r>
      <w:r>
        <w:fldChar w:fldCharType="end"/>
      </w:r>
      <w:r>
        <w:t xml:space="preserve">. </w:t>
      </w:r>
    </w:p>
    <w:p w14:paraId="6F3288A9" w14:textId="531C8108" w:rsidR="006B7F7D" w:rsidRDefault="00151704" w:rsidP="00206BCF">
      <w:pPr>
        <w:pStyle w:val="Heading3"/>
      </w:pPr>
      <w:r>
        <w:lastRenderedPageBreak/>
        <w:t xml:space="preserve">Event </w:t>
      </w:r>
      <w:r w:rsidR="002F0939">
        <w:t>Analysis of Systemic Teamwork (</w:t>
      </w:r>
      <w:r w:rsidR="006B7F7D">
        <w:t>EAST</w:t>
      </w:r>
      <w:r w:rsidR="002F0939">
        <w:t>)</w:t>
      </w:r>
    </w:p>
    <w:p w14:paraId="078EEACC" w14:textId="782BA5DC" w:rsidR="002F0939" w:rsidRPr="002F0939" w:rsidRDefault="002F0939" w:rsidP="00EA3F05">
      <w:r w:rsidRPr="004A12A2">
        <w:t xml:space="preserve">EAST is </w:t>
      </w:r>
      <w:r>
        <w:t xml:space="preserve">a </w:t>
      </w:r>
      <w:r w:rsidRPr="004A12A2">
        <w:t xml:space="preserve">framework that describes how a combination of methods and approaches can be integrated to explore </w:t>
      </w:r>
      <w:r>
        <w:t xml:space="preserve">complex sociotechnical systems. EAST is founded on the idea that an understanding of collaborative task performance can be achieved with a network-of-networks approach and that no one method can fully describe the multiple perspectives that exist in complex sociotechnical systems </w:t>
      </w:r>
      <w:r>
        <w:fldChar w:fldCharType="begin" w:fldLock="1"/>
      </w:r>
      <w:r>
        <w:instrText>ADDIN CSL_CITATION {"citationItems":[{"id":"ITEM-1","itemData":{"DOI":"10.1080/00140130903171672","ISBN":"1366-5847 (Electronic)\\r0014-0139 (Linking)","ISSN":"00140139","PMID":"20099173","abstract":"Command and control is a generic activity involving the exercise of authority over assigned resources, combined with planning, coordinating and controlling how those resources are used. The challenge for understanding this type of activity is that it is not often amenable to the conventional experimental/methodological approach. Command and control tends to be multi-faceted (so requires more than one method), is made up of interacting socio and technical elements (so requires a systemic approach) and exhibits aggregate behaviours that emerge from these interactions (so requires methods that go beyond reductionism). In these circumstances a distributed cognition approach is highly appropriate yet the existing ethnographic methods make it difficult to apply and, for non-specialist audiences, sometimes difficult to meaningfully interpret. The Event Analysis for Systemic Teamwork method is put forward as a means of working from a distributed cognition perspective but in a way that goes beyond ethnography. A worked example from Air Traffic Control is used to illustrate how the language of social science can be translated into the language of systems analysis. Statement of Relevance: Distributed cognition provides a highly appropriate conceptual response to complex work settings such as Air Traffic Control. This paper deals with how to realise those benefits in practice without recourse to problematic ethnographic techniques.","author":[{"dropping-particle":"","family":"Walker","given":"Guy H.","non-dropping-particle":"","parse-names":false,"suffix":""},{"dropping-particle":"","family":"Stanton","given":"Neville A.","non-dropping-particle":"","parse-names":false,"suffix":""},{"dropping-particle":"","family":"Baber","given":"Chris","non-dropping-particle":"","parse-names":false,"suffix":""},{"dropping-particle":"","family":"Wells","given":"Linda","non-dropping-particle":"","parse-names":false,"suffix":""},{"dropping-particle":"","family":"Gibson","given":"Huw","non-dropping-particle":"","parse-names":false,"suffix":""},{"dropping-particle":"","family":"Salmon","given":"Paul","non-dropping-particle":"","parse-names":false,"suffix":""},{"dropping-particle":"","family":"Jenkins","given":"Daniel","non-dropping-particle":"","parse-names":false,"suffix":""}],"container-title":"Ergonomics","id":"ITEM-1","issue":"2","issued":{"date-parts":[["2010"]]},"page":"184-197","title":"From ethnography to the east method: A tractable approach for representing distributed cognition in air traffic control","type":"article-journal","volume":"53"},"uris":["http://www.mendeley.com/documents/?uuid=48ffa208-2902-498e-a2ad-09800d363615"]}],"mendeley":{"formattedCitation":"(Walker et al., 2010)","plainTextFormattedCitation":"(Walker et al., 2010)","previouslyFormattedCitation":"(Walker et al., 2010)"},"properties":{"noteIndex":0},"schema":"https://github.com/citation-style-language/schema/raw/master/csl-citation.json"}</w:instrText>
      </w:r>
      <w:r>
        <w:fldChar w:fldCharType="separate"/>
      </w:r>
      <w:r w:rsidRPr="00656131">
        <w:rPr>
          <w:noProof/>
        </w:rPr>
        <w:t>(Walker et al., 2010)</w:t>
      </w:r>
      <w:r>
        <w:fldChar w:fldCharType="end"/>
      </w:r>
      <w:r w:rsidRPr="004A12A2">
        <w:t xml:space="preserve">. The original version of EAST </w:t>
      </w:r>
      <w:r>
        <w:fldChar w:fldCharType="begin" w:fldLock="1"/>
      </w:r>
      <w:r>
        <w:instrText>ADDIN CSL_CITATION {"citationItems":[{"id":"ITEM-1","itemData":{"DOI":"10.1080/00140139.2014.948659","ISBN":"9781409457534","ISSN":"0014-0139","abstract":"This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Edition","id":"ITEM-1","issued":{"date-parts":[["2013"]]},"number-of-pages":"1-627","publisher":"Ashgate Publishing Ltd","title":"Human factors methods: A practical guide for engineering and design, 2nd edition","type":"book"},"uris":["http://www.mendeley.com/documents/?uuid=b0451431-0e93-390b-b25d-987e32766dc4"]}],"mendeley":{"formattedCitation":"(Stanton et al., 2013)","plainTextFormattedCitation":"(Stanton et al., 2013)","previouslyFormattedCitation":"(Stanton et al., 2013)"},"properties":{"noteIndex":0},"schema":"https://github.com/citation-style-language/schema/raw/master/csl-citation.json"}</w:instrText>
      </w:r>
      <w:r>
        <w:fldChar w:fldCharType="separate"/>
      </w:r>
      <w:r w:rsidRPr="0008119C">
        <w:rPr>
          <w:noProof/>
        </w:rPr>
        <w:t>(Stanton et al., 2013)</w:t>
      </w:r>
      <w:r>
        <w:fldChar w:fldCharType="end"/>
      </w:r>
      <w:r>
        <w:t xml:space="preserve"> </w:t>
      </w:r>
      <w:r w:rsidRPr="004A12A2">
        <w:t xml:space="preserve">uses HTA, CDM, </w:t>
      </w:r>
      <w:r>
        <w:t>Coordination Demand Analysis (</w:t>
      </w:r>
      <w:r w:rsidRPr="004A12A2">
        <w:t>CDA</w:t>
      </w:r>
      <w:r>
        <w:t>)</w:t>
      </w:r>
      <w:r w:rsidRPr="004A12A2">
        <w:t xml:space="preserve"> and observational studies to build up task descriptions. </w:t>
      </w:r>
      <w:r>
        <w:t>Comms Usage Diagram (</w:t>
      </w:r>
      <w:r w:rsidRPr="004A12A2">
        <w:t>CUD</w:t>
      </w:r>
      <w:r>
        <w:t>)</w:t>
      </w:r>
      <w:r w:rsidRPr="004A12A2">
        <w:t xml:space="preserve"> and </w:t>
      </w:r>
      <w:r>
        <w:t>Social Network Analysis (</w:t>
      </w:r>
      <w:r w:rsidRPr="004A12A2">
        <w:t>SNA</w:t>
      </w:r>
      <w:r>
        <w:t>)</w:t>
      </w:r>
      <w:r w:rsidRPr="004A12A2">
        <w:t xml:space="preserve"> are then used to describe the communications and relationships between the actors. This information is then integrated using </w:t>
      </w:r>
      <w:r>
        <w:t>Operation Sequence Diagram (</w:t>
      </w:r>
      <w:r w:rsidRPr="004A12A2">
        <w:t>OSD</w:t>
      </w:r>
      <w:r>
        <w:t>)</w:t>
      </w:r>
      <w:r w:rsidRPr="004A12A2">
        <w:t xml:space="preserve"> and propositional networks are</w:t>
      </w:r>
      <w:r>
        <w:t xml:space="preserve"> also</w:t>
      </w:r>
      <w:r w:rsidRPr="004A12A2">
        <w:t xml:space="preserve"> generated. A shortened version of EAST has </w:t>
      </w:r>
      <w:r>
        <w:t xml:space="preserve">also </w:t>
      </w:r>
      <w:r w:rsidRPr="004A12A2">
        <w:t xml:space="preserve">been described that </w:t>
      </w:r>
      <w:r>
        <w:t xml:space="preserve">generates the task, social and information networks directly from the raw data </w:t>
      </w:r>
      <w:r>
        <w:fldChar w:fldCharType="begin" w:fldLock="1"/>
      </w:r>
      <w:r>
        <w:instrText>ADDIN CSL_CITATION {"citationItems":[{"id":"ITEM-1","itemData":{"DOI":"10.1080/00140139.2013.772244","ISSN":"13665847","PMID":"23510256","abstract":"This paper presents the Event Analysis of Systemic Teamwork (EAST) method as a means of modelling distributed cognition in systems. The method comprises three network models (i.e. task, social and information) and their combination. This method was applied to the interactions between the sound room and control room in a submarine, following the activities of returning the submarine to periscope depth. This paper demonstrates three main developments in EAST. First, building the network models directly, without reference to the intervening methods. Second, the application of analysis metrics to all three networks. Third, the combination of the aforementioned networks in different ways to gain a broader understanding of the distributed cognition. Analyses have shown that EAST can be used to gain both qualitative and quantitative insights into distributed cognition. Future research should focus on the analyses of network resilience and modelling alternative versions of a system. Practitioner summary: This paper presents a practical method for analysing and evaluating distributed cognition in complex systems. The Event Analysis of Systemic Teamwork (EAST) method presents task, social and information network models both individually and combined. The network models can be analysed qualitatively by visual inspection and quantitatively using network analysis metrics. © 2013 Taylor &amp; Francis.","author":[{"dropping-particle":"","family":"Stanton","given":"Neville A.","non-dropping-particle":"","parse-names":false,"suffix":""}],"container-title":"Ergonomics","id":"ITEM-1","issued":{"date-parts":[["2014"]]},"title":"Representing distributed cognition in complex systems: How a submarine returns to periscope depth","type":"article-journal"},"uris":["http://www.mendeley.com/documents/?uuid=3804afc8-d639-331e-ae85-e78b9f8598d9"]}],"mendeley":{"formattedCitation":"(Stanton, 2014)","plainTextFormattedCitation":"(Stanton, 2014)","previouslyFormattedCitation":"(Stanton, 2014)"},"properties":{"noteIndex":0},"schema":"https://github.com/citation-style-language/schema/raw/master/csl-citation.json"}</w:instrText>
      </w:r>
      <w:r>
        <w:fldChar w:fldCharType="separate"/>
      </w:r>
      <w:r w:rsidRPr="00EF41A8">
        <w:rPr>
          <w:noProof/>
        </w:rPr>
        <w:t>(Stanton, 2014)</w:t>
      </w:r>
      <w:r>
        <w:fldChar w:fldCharType="end"/>
      </w:r>
      <w:r>
        <w:t>.</w:t>
      </w:r>
      <w:r w:rsidR="00C16B36">
        <w:t xml:space="preserve"> </w:t>
      </w:r>
      <w:r w:rsidR="0056713A">
        <w:t xml:space="preserve">For applications of EAST see, for example, Stanton, </w:t>
      </w:r>
      <w:r w:rsidR="00011B7E">
        <w:t xml:space="preserve">Salmon &amp; Walker </w:t>
      </w:r>
      <w:r w:rsidR="00011B7E">
        <w:fldChar w:fldCharType="begin" w:fldLock="1"/>
      </w:r>
      <w:r w:rsidR="00885AA9">
        <w:instrText>ADDIN CSL_CITATION {"citationItems":[{"id":"ITEM-1","itemData":{"ISBN":"9781138097872","abstract":"As the physical boundaries of our living environment are beginning to bounce back the consequences of our ever expanding lifestyle, the role of the designer will become less and less about making new artefacts, and more and more about rearranging and re-organising existing elements in more resilient and adaptable ways. Urban agriculture can help us to make the new connections our cities need.","author":[{"dropping-particle":"","family":"Stanton","given":"Neville A","non-dropping-particle":"","parse-names":false,"suffix":""},{"dropping-particle":"","family":"Salmon","given":"Paul M.","non-dropping-particle":"","parse-names":false,"suffix":""},{"dropping-particle":"","family":"Walker","given":"Guy H.","non-dropping-particle":"","parse-names":false,"suffix":""}],"id":"ITEM-1","issued":{"date-parts":[["2018"]]},"number-of-pages":"318","publisher":"CRC Press Taylor &amp; Francis Group","title":"Systems thinking in practice: Applications of the Event Analysis of Systemic Teamwork Method","type":"book"},"suppress-author":1,"uris":["http://www.mendeley.com/documents/?uuid=47ac1ac9-d1e1-3e42-8f34-0b4cf6f7ba43"]}],"mendeley":{"formattedCitation":"(2018)","plainTextFormattedCitation":"(2018)","previouslyFormattedCitation":"(2018)"},"properties":{"noteIndex":0},"schema":"https://github.com/citation-style-language/schema/raw/master/csl-citation.json"}</w:instrText>
      </w:r>
      <w:r w:rsidR="00011B7E">
        <w:fldChar w:fldCharType="separate"/>
      </w:r>
      <w:r w:rsidR="00011B7E" w:rsidRPr="00011B7E">
        <w:rPr>
          <w:noProof/>
        </w:rPr>
        <w:t>(2018)</w:t>
      </w:r>
      <w:r w:rsidR="00011B7E">
        <w:fldChar w:fldCharType="end"/>
      </w:r>
      <w:r w:rsidR="00BA53D7">
        <w:t>.</w:t>
      </w:r>
    </w:p>
    <w:p w14:paraId="3821DDF9" w14:textId="65762726" w:rsidR="000D3E49" w:rsidRDefault="005F77DB" w:rsidP="00FF0D56">
      <w:pPr>
        <w:pStyle w:val="Heading2"/>
      </w:pPr>
      <w:r>
        <w:t>Procedure</w:t>
      </w:r>
    </w:p>
    <w:p w14:paraId="612051A3" w14:textId="77777777" w:rsidR="00EA621A" w:rsidRDefault="00EA621A" w:rsidP="00EA621A">
      <w:r w:rsidRPr="00C90EE0">
        <w:t>The methods</w:t>
      </w:r>
      <w:r w:rsidRPr="00EA3F05">
        <w:t>, when taken together,</w:t>
      </w:r>
      <w:r w:rsidRPr="00C90EE0">
        <w:t xml:space="preserve"> should</w:t>
      </w:r>
      <w:r w:rsidRPr="00B147BB">
        <w:t xml:space="preserve"> </w:t>
      </w:r>
      <w:r w:rsidRPr="006618E9">
        <w:t xml:space="preserve">support </w:t>
      </w:r>
      <w:r w:rsidRPr="00EA3F05">
        <w:t xml:space="preserve">a complete </w:t>
      </w:r>
      <w:r w:rsidRPr="00C90EE0">
        <w:t>enquiry into adaptation</w:t>
      </w:r>
      <w:r w:rsidRPr="00B147BB">
        <w:t xml:space="preserve"> across the organisational hierarchy.</w:t>
      </w:r>
      <w:r w:rsidRPr="006618E9">
        <w:t xml:space="preserve"> However,</w:t>
      </w:r>
      <w:r>
        <w:t xml:space="preserve"> the methods take different perspectives, use different methodological approaches and present different representations of the systems under analysis. Therefore, it is unclear how the methods should be used together in a multi-method, multi-perspective way. To better understand this, an approach was adopted that follows the style and recommendations of Human Factors method reviews in the literature: selecting a single case study scenario for examination and exploring the use of the different methods </w:t>
      </w:r>
      <w:r>
        <w:fldChar w:fldCharType="begin" w:fldLock="1"/>
      </w:r>
      <w:r>
        <w:instrText>ADDIN CSL_CITATION {"citationItems":[{"id":"ITEM-1","itemData":{"DOI":"10.1016/j.ssci.2019.06.008","ISSN":"18791042","abstract":"Unlike aviation, maritime and rail, road traffic collision investigation currently does not have a national investigatory body in the UK. Yet the numbers of people killed and seriously injured on the roads is far in excess of those other domains. The research presented in this paper is part of a larger project investigating the development of a road collision investigation branch in the UK. An important part of the process involves identifying a suitable accident analysis method to support investigations with the development of suitable interventions. This paper describes a study that was undertaken to identify a systemic method for investigating road collisions. Eight potential methods were identified and compared using a common incident, that of the recent Uber collision with a pedestrian. The methods were analysed against four sets of criteria: systemic, theoretical, methodological and practical. The AcciMap method, together with the accompanying Actor Map, was recommended as an appropriate approach to support road traffic collision investigations.","author":[{"dropping-particle":"","family":"Stanton","given":"Neville A.","non-dropping-particle":"","parse-names":false,"suffix":""},{"dropping-particle":"","family":"Salmon","given":"Paul M.","non-dropping-particle":"","parse-names":false,"suffix":""},{"dropping-particle":"","family":"Walker","given":"Guy H.","non-dropping-particle":"","parse-names":false,"suffix":""},{"dropping-particle":"","family":"Stanton","given":"Maggie","non-dropping-particle":"","parse-names":false,"suffix":""}],"container-title":"Safety Science","id":"ITEM-1","issue":"February","issued":{"date-parts":[["2019","12","1"]]},"page":"117-128","publisher":"Elsevier B.V.","title":"Models and methods for collision analysis: A comparison study based on the Uber collision with a pedestrian","type":"article-journal","volume":"120"},"uris":["http://www.mendeley.com/documents/?uuid=13c1f67e-bded-4630-a46d-a0edc15409f0"]},{"id":"ITEM-2","itemData":{"DOI":"10.5143/JESK.2017.36.5.485","ISSN":"1229-1684","abstract":"Objective: This study aims to survey and compare three systemic accident investigation techniques of Accimap, STAMP and FRAM, based on the application studies of the Sewol ferry accident. Background: Traditional accident investigation methods such as domino models, FTA, etc. work well for losses caused by physical component failures or actions of human in relatively simple systems, but are unable to depict mechanisms generating errors and violations in the current complex socio-technical systems. For better understanding the structure and behavior of the socio-technical systems, systemic techniques have been developed and used. Method: This study was mainly based on survey of literatures through surfing webpages of ScienceDirect and Google, and ergonomics relevant journals. The key words of Sewol, Sewol ferry, Sewol ferry accident, etc. were used in the survey. Results: Three systemic accident investigation methods included similar actors in the Sewol ferry accident including government, Ministry of Ocean and Fisheries, Korean Coast Guard, Korean Register of Shipping, Korea Shipping Association, Chonghaejin Marine Company, crew members. The methods graphically represented each level's failures or performance variabilities of relevant functions and relationships between them. It was shown that the systemic methods consider the entire system, ranging from the environment in which the accident occurred, to the role of government in shaping the system of work. Each method has its own comparative pros and cons, but the Accimap has advantages in terms of time of analysis, data required, model complexity and degree of comprehensiveness. Conclusion: This study reviewed and compared three systemic accident investigation methods, which showed that there are systemic characteristics and pros and cons in the methods. Application: The results would be used as a guideline when selecting accident investigation methods. [ABSTRACT FROM AUTHOR]","author":[{"dropping-particle":"","family":"Kee","given":"Dohyung","non-dropping-particle":"","parse-names":false,"suffix":""}],"container-title":"Journal of the Ergonomics Society of Korea","id":"ITEM-2","issued":{"date-parts":[["2017"]]},"title":"Comparison of Systemic Accident Investigation Techniques Based on the Sewol Ferry Capsizing","type":"article-journal"},"uris":["http://www.mendeley.com/documents/?uuid=312f90dd-be34-315f-bb7c-5b5df7001ce9"]},{"id":"ITEM-3","itemData":{"abstract":"The aquaculture industry is one of the most dangerous professions with respect to occupational hazards in Norway. Hazardous operations are carried out daily on fish farms and safe operations are crucial. This paper aims to apply two methods of accident analysis for an accident at a fish farm. Accident analysis is necessary for understanding why accidents happen, helps us understanding the system in which the accident happened, and can provide for improvements for a safer system. The two methods, namely STEP and CAST are based on different assumptions of accident causation, and highlights different mechanisms that contributed to the accident happening. STEP provides a systematic guidance to ask the right questions to get a full view on what happened during the accident sequence, and portrays the accident in an easy accessible flowchart. CAST is a more comprehensive method that models all levels in the sociotechnical system to evaluate if there is inadequate control in any of the feedback loops of the different levels. Using CAST for accident investigation is more resource demanding, but will also give more information on safety problems which can be used to improve the risk management system.","author":[{"dropping-particle":"","family":"Holen","given":"Siri Mariane","non-dropping-particle":"","parse-names":false,"suffix":""},{"dropping-particle":"","family":"Utne","given":"Ingrid Bouwer","non-dropping-particle":"","parse-names":false,"suffix":""},{"dropping-particle":"","family":"Holmen","given":"Ingunn Marie","non-dropping-particle":"","parse-names":false,"suffix":""}],"container-title":"PSAM 2014 - Probabilistic Safety Assessment and Management","id":"ITEM-3","issued":{"date-parts":[["2014"]]},"title":"A preliminary accident investigation on a Norwegian fish farm applying two different accident models","type":"paper-conference"},"uris":["http://www.mendeley.com/documents/?uuid=d41ef492-2d8b-3540-9194-d11d9d2d1d43"]},{"id":"ITEM-4","itemData":{"DOI":"10.1016/j.ssci.2018.12.002","ISSN":"0925-7535","abstract":"The validity and reliability of human factors and safety science methods are some of the important criteria for judging their appropriateness and utility for accident analysis, however these are rarely assessed. The aim of this study is to take a closer look at the validity and reliability of two systemic accident analysis methods (Accimap and STAMP) by comparing the results of four studies which analysed the same accident (the South Korea Sewol Ferry accident) using two methods. Studies 1 and 2 used Accimap whilst Studies 3 and 4 applied STAMP. The four studies were compared in terms of analysis procedure taken, level of detail, causal factors identified, and the recommendations for improvements suggested by the methods. The results of the causal factor comparison indicate that the reliability (degree of overlap of causal factors identified from the same method, i.e. inter-analyst overlap) of STAMP (65%) is higher than Accimap (38%). The validity (degree of overlap of causal factors identified from two different methods) is as low as 8%. The comparison of recommendations indicates that STAMP-based analyses produce a wider range of recommendations across multiple system levels while Accimap-based analyses tend to focus on whole system-related recommendations. These findings suggest that the use of a more structured method like STAMP can help produce a more reliable accident analysis results.","author":[{"dropping-particle":"","family":"Pinto","given":"Anastacio","non-dropping-particle":"","parse-names":false,"suffix":""},{"dropping-particle":"","family":"Filho","given":"Goncalves","non-dropping-particle":"","parse-names":false,"suffix":""},{"dropping-particle":"","family":"Thomas","given":"Gyuchan","non-dropping-particle":"","parse-names":false,"suffix":""},{"dropping-particle":"","family":"Waterson","given":"Patrick","non-dropping-particle":"","parse-names":false,"suffix":""},{"dropping-particle":"","family":"Goncalves Filho","given":"Anastacio Pinto","non-dropping-particle":"","parse-names":false,"suffix":""},{"dropping-particle":"","family":"Jun","given":"Gyuchan Thomas","non-dropping-particle":"","parse-names":false,"suffix":""},{"dropping-particle":"","family":"Waterson","given":"Patrick","non-dropping-particle":"","parse-names":false,"suffix":""}],"container-title":"Safety Science","id":"ITEM-4","issue":"December 2018","issued":{"date-parts":[["2019"]]},"page":"310-317","publisher":"Elsevier","title":"Four studies , two methods , one accident – An examination of the reliability and validity of Accimap and STAMP for accident analysis","type":"article-journal","volume":"113"},"uris":["http://www.mendeley.com/documents/?uuid=268daa68-f74d-4d79-baf1-6204a922c2d1"]}],"mendeley":{"formattedCitation":"(Holen, Utne, &amp; Holmen, 2014; Kee, 2017; Pinto et al., 2019; Stanton, Salmon, Walker, &amp; Stanton, 2019)","plainTextFormattedCitation":"(Holen, Utne, &amp; Holmen, 2014; Kee, 2017; Pinto et al., 2019; Stanton, Salmon, Walker, &amp; Stanton, 2019)","previouslyFormattedCitation":"(Holen, Utne, &amp; Holmen, 2014; Kee, 2017; Pinto et al., 2019; Stanton, Salmon, Walker, &amp; Stanton, 2019)"},"properties":{"noteIndex":0},"schema":"https://github.com/citation-style-language/schema/raw/master/csl-citation.json"}</w:instrText>
      </w:r>
      <w:r>
        <w:fldChar w:fldCharType="separate"/>
      </w:r>
      <w:r w:rsidRPr="005D0907">
        <w:rPr>
          <w:noProof/>
        </w:rPr>
        <w:t>(Holen, Utne, &amp; Holmen, 2014; Kee, 2017; Pinto et al., 2019; Stanton, Salmon, Walker, &amp; Stanton, 2019)</w:t>
      </w:r>
      <w:r>
        <w:fldChar w:fldCharType="end"/>
      </w:r>
      <w:r>
        <w:t xml:space="preserve"> to understand the practical implications for an enquiry into adaptation.</w:t>
      </w:r>
    </w:p>
    <w:p w14:paraId="00C8C423" w14:textId="21905EA4" w:rsidR="00EA621A" w:rsidRPr="00EA621A" w:rsidRDefault="00EA621A" w:rsidP="00C45825">
      <w:r>
        <w:t>Therefore, we examine the broader circumstances of the decision-making surrounding the introduction, and subsequent withdrawal, of the TOI by applying each of the methods to understand the extent to which each method, in its own right, helps explore the adaptation factors at the different levels of the organisational hierarchy.</w:t>
      </w:r>
      <w:r w:rsidRPr="005D0907">
        <w:t xml:space="preserve"> </w:t>
      </w:r>
      <w:r>
        <w:t>Where it is recommended that one method should first be used as an input into a second method, then this naturally structure</w:t>
      </w:r>
      <w:r w:rsidR="009B57A7">
        <w:t>s</w:t>
      </w:r>
      <w:r>
        <w:t xml:space="preserve"> the analysis and permit</w:t>
      </w:r>
      <w:r w:rsidR="009B57A7">
        <w:t>s</w:t>
      </w:r>
      <w:r>
        <w:t xml:space="preserve"> the re-use and further development of the material from the first method with the second. A synthesis of the results of all seven methods is then presented and the wider implications for the deployment of the methods are explored.</w:t>
      </w:r>
    </w:p>
    <w:p w14:paraId="7EF9A559" w14:textId="644D199E" w:rsidR="00F82AC2" w:rsidRDefault="000C7914" w:rsidP="00DE78FB">
      <w:r>
        <w:t xml:space="preserve">The seven methods were applied by the first author using guidance typically available to practitioners such as method manuals </w:t>
      </w:r>
      <w:r>
        <w:fldChar w:fldCharType="begin" w:fldLock="1"/>
      </w:r>
      <w:r>
        <w:instrText>ADDIN CSL_CITATION {"citationItems":[{"id":"ITEM-1","itemData":{"DOI":"10.1080/00140139.2014.948659","ISBN":"9781409457534","ISSN":"0014-0139","abstract":"This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Edition","id":"ITEM-1","issued":{"date-parts":[["2013"]]},"number-of-pages":"1-627","publisher":"Ashgate Publishing Ltd","title":"Human factors methods: A practical guide for engineering and design, 2nd edition","type":"book"},"prefix":"e.g.","uris":["http://www.mendeley.com/documents/?uuid=b0451431-0e93-390b-b25d-987e32766dc4"]}],"mendeley":{"formattedCitation":"(e.g. Stanton et al., 2013)","plainTextFormattedCitation":"(e.g. Stanton et al., 2013)","previouslyFormattedCitation":"(e.g. Stanton et al., 2013)"},"properties":{"noteIndex":0},"schema":"https://github.com/citation-style-language/schema/raw/master/csl-citation.json"}</w:instrText>
      </w:r>
      <w:r>
        <w:fldChar w:fldCharType="separate"/>
      </w:r>
      <w:r w:rsidRPr="00E03859">
        <w:rPr>
          <w:noProof/>
        </w:rPr>
        <w:t>(e.g. Stanton et al., 2013)</w:t>
      </w:r>
      <w:r>
        <w:fldChar w:fldCharType="end"/>
      </w:r>
      <w:r>
        <w:t xml:space="preserve">, texts on specific methods </w:t>
      </w:r>
      <w:r>
        <w:fldChar w:fldCharType="begin" w:fldLock="1"/>
      </w:r>
      <w:r w:rsidR="00C90EE0">
        <w:instrText>ADDIN CSL_CITATION {"citationItems":[{"id":"ITEM-1","itemData":{"DOI":"10.1201/9781315255071","ISBN":"978-1-4094-4551-7","abstract":"Resilience engineering has consistently argued that safety is more than the absence of failures. Since the first book was published in 2006, several book chapters and papers have demonstrated the advantage in going behind 'human error' and beyond the failure concept, just as a number of serious accidents have accentuated the need for it. But there has not yet been a comprehensive method for doing so; the Functional Resonance Analysis Method (FRAM) fulfils that need. Whereas commonly used methods explain events by interpreting them in terms of an already existing model, the FRAM is used to model the functions that are needed for everyday performance to succeed. This model can then be used to explain specific events, by showing how functions can be coupled and how the variability of everyday performance sometimes may lead to unexpected and out-of-scale outcomes - either good or bad. The FRAM is based on four principles: equivalence of failures and successes, approximate adjustments, emergence, and functional resonance. As the FRAM is a method rather than a model, it makes no assumptions about how the system under investigation is structured or organised, nor about possible causes and cause-effect relations. Instead of looking for failures and malfunctions, the FRAM explains outcomes in terms of how functions become coupled and how everyday performance variability may resonate. This book presents a detailed and tested method that can be used to model how complex and dynamic socio-technical systems work, to understand why things sometimes go wrong but also why they normally succeed.","author":[{"dropping-particle":"","family":"Hollnagel","given":"Erik","non-dropping-particle":"","parse-names":false,"suffix":""}],"container-title":"FRAM: The Functional Resonance Analysis Method","id":"ITEM-1","issued":{"date-parts":[["2012"]]},"publisher":"Ashgate Publishing Ltd","title":"FRAM: The Functional Resonance Analysis Method","type":"book"},"uris":["http://www.mendeley.com/documents/?uuid=5f00a332-3739-4cf3-bfa7-0cdd58cb95ef"]},{"id":"ITEM-2","itemData":{"DOI":"10.7551/mitpress/8179.001.0001","ISBN":"978-0-262-01662-9","abstract":"Predicting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approach.","author":[{"dropping-particle":"","family":"Leveson","given":"Nancy G.","non-dropping-particle":"","parse-names":false,"suffix":""}],"container-title":"Engineering a Safer World","id":"ITEM-2","issued":{"date-parts":[["2011"]]},"publisher":"MIT Press","title":"Engineering a Safer World","type":"book"},"uris":["http://www.mendeley.com/documents/?uuid=f728e689-4ed1-44f9-9fe3-4d5dc94f833f"]}],"mendeley":{"formattedCitation":"(Hollnagel, 2012; Leveson, 2011)","plainTextFormattedCitation":"(Hollnagel, 2012; Leveson, 2011)","previouslyFormattedCitation":"(Hollnagel, 2012; Leveson, 2011)"},"properties":{"noteIndex":0},"schema":"https://github.com/citation-style-language/schema/raw/master/csl-citation.json"}</w:instrText>
      </w:r>
      <w:r>
        <w:fldChar w:fldCharType="separate"/>
      </w:r>
      <w:r w:rsidR="00D06D71" w:rsidRPr="00D06D71">
        <w:rPr>
          <w:noProof/>
        </w:rPr>
        <w:t>(Hollnagel, 2012; Leveson, 2011)</w:t>
      </w:r>
      <w:r>
        <w:fldChar w:fldCharType="end"/>
      </w:r>
      <w:r>
        <w:t xml:space="preserve"> or case study applications of the methods in the literature. </w:t>
      </w:r>
      <w:r w:rsidR="009F1680">
        <w:t xml:space="preserve">The first author </w:t>
      </w:r>
      <w:r w:rsidR="00B379F5">
        <w:t xml:space="preserve">has over 20 </w:t>
      </w:r>
      <w:r w:rsidR="00475C6A">
        <w:t>years’ experience</w:t>
      </w:r>
      <w:r w:rsidR="00B379F5">
        <w:t xml:space="preserve"> in ATC safety analysis</w:t>
      </w:r>
      <w:r w:rsidR="002E0A31">
        <w:t xml:space="preserve"> in NATS</w:t>
      </w:r>
      <w:r w:rsidR="00475C6A">
        <w:t xml:space="preserve">, </w:t>
      </w:r>
      <w:r w:rsidR="009F1680">
        <w:t xml:space="preserve">was also </w:t>
      </w:r>
      <w:r w:rsidR="00F769F0">
        <w:t xml:space="preserve">present during the </w:t>
      </w:r>
      <w:r w:rsidR="00424215">
        <w:t xml:space="preserve">original </w:t>
      </w:r>
      <w:r w:rsidR="00F769F0">
        <w:t xml:space="preserve">discussions on the effects of the TOI and is familiar with the </w:t>
      </w:r>
      <w:r w:rsidR="0011030D">
        <w:t>decision-making processes and risk assessment</w:t>
      </w:r>
      <w:r w:rsidR="00475C6A">
        <w:t xml:space="preserve"> methodologies</w:t>
      </w:r>
      <w:r w:rsidR="0011030D">
        <w:t xml:space="preserve"> applied in NATS. </w:t>
      </w:r>
      <w:r>
        <w:t>The application of these methods was assessed by the second and third authors</w:t>
      </w:r>
      <w:r w:rsidR="00CC6FCE">
        <w:t xml:space="preserve"> who</w:t>
      </w:r>
      <w:r w:rsidR="00381478">
        <w:t xml:space="preserve"> </w:t>
      </w:r>
      <w:r w:rsidR="00C35821">
        <w:t xml:space="preserve">ensured </w:t>
      </w:r>
      <w:r w:rsidR="00C22DAF">
        <w:t>methodological validity</w:t>
      </w:r>
      <w:r w:rsidR="00042BE1">
        <w:t xml:space="preserve"> and </w:t>
      </w:r>
      <w:r w:rsidR="006E42B5">
        <w:t xml:space="preserve">provided their own perspectives based on their wide-ranging experience </w:t>
      </w:r>
      <w:r w:rsidR="00744152">
        <w:t xml:space="preserve">in HF methods </w:t>
      </w:r>
      <w:r w:rsidR="00F25FFC">
        <w:t xml:space="preserve">and practices </w:t>
      </w:r>
      <w:r w:rsidR="006E42B5">
        <w:t>across different domains</w:t>
      </w:r>
      <w:r w:rsidR="000E232E">
        <w:t>.</w:t>
      </w:r>
      <w:r w:rsidR="00042BE1">
        <w:t xml:space="preserve"> T</w:t>
      </w:r>
      <w:r w:rsidR="00C22DAF">
        <w:t xml:space="preserve">hey </w:t>
      </w:r>
      <w:r w:rsidR="00CC6FCE">
        <w:t xml:space="preserve">could </w:t>
      </w:r>
      <w:r w:rsidR="00F25FFC">
        <w:t xml:space="preserve">also </w:t>
      </w:r>
      <w:r w:rsidR="00381478">
        <w:t>adopt a neutral</w:t>
      </w:r>
      <w:r w:rsidR="008B6DD7">
        <w:t>, challenging</w:t>
      </w:r>
      <w:r w:rsidR="00381478">
        <w:t xml:space="preserve"> </w:t>
      </w:r>
      <w:r w:rsidR="007C3797">
        <w:t>standpoint</w:t>
      </w:r>
      <w:r w:rsidR="00381478">
        <w:t xml:space="preserve"> </w:t>
      </w:r>
      <w:r w:rsidR="007C3797">
        <w:t>since they</w:t>
      </w:r>
      <w:r w:rsidR="00381478">
        <w:t xml:space="preserve"> </w:t>
      </w:r>
      <w:r w:rsidR="0011030D">
        <w:t xml:space="preserve">were not involved in the </w:t>
      </w:r>
      <w:r w:rsidR="005C156C">
        <w:t xml:space="preserve">circumstances surrounding the TOI and are not </w:t>
      </w:r>
      <w:r w:rsidR="007A2073">
        <w:t>associated with NATS. This allowed a degree of control over any bi</w:t>
      </w:r>
      <w:r w:rsidR="007C3797">
        <w:t>ases in the analysis.</w:t>
      </w:r>
    </w:p>
    <w:p w14:paraId="1D5E889B" w14:textId="131715EC" w:rsidR="00F801DC" w:rsidRDefault="00F801DC" w:rsidP="00DE78FB">
      <w:r>
        <w:t>Since this is a historic case study, the ability to observe the events of the TOI using ethnographic analysis was limited. However, this analysis benefits from historic data, workshop</w:t>
      </w:r>
      <w:r w:rsidR="00F53CD9">
        <w:t xml:space="preserve"> output</w:t>
      </w:r>
      <w:r>
        <w:t>s and tabletop exercises conducted by the first author during the reassessment of the TOI in 2014.</w:t>
      </w:r>
      <w:r w:rsidR="00754CDB">
        <w:t xml:space="preserve"> A </w:t>
      </w:r>
      <w:r w:rsidR="00754CDB">
        <w:lastRenderedPageBreak/>
        <w:t xml:space="preserve">further limitation results from the </w:t>
      </w:r>
      <w:r w:rsidR="00762028">
        <w:t xml:space="preserve">observation that the methods were not conducted independently of each other and </w:t>
      </w:r>
      <w:r w:rsidR="0065388F">
        <w:t>results from one could be used in another</w:t>
      </w:r>
      <w:r w:rsidR="00821550">
        <w:t>. F</w:t>
      </w:r>
      <w:r w:rsidR="00247515">
        <w:t>or example,</w:t>
      </w:r>
      <w:r w:rsidR="00F76E52">
        <w:t xml:space="preserve"> data gathered </w:t>
      </w:r>
      <w:r w:rsidR="00821550">
        <w:t>from</w:t>
      </w:r>
      <w:r w:rsidR="0065388F">
        <w:t xml:space="preserve"> the CDM interviews </w:t>
      </w:r>
      <w:r w:rsidR="004020AC">
        <w:t>could be</w:t>
      </w:r>
      <w:r w:rsidR="0065388F">
        <w:t xml:space="preserve"> used </w:t>
      </w:r>
      <w:r w:rsidR="00247515">
        <w:t xml:space="preserve">as a starting point for </w:t>
      </w:r>
      <w:r w:rsidR="004020AC">
        <w:t>other methods</w:t>
      </w:r>
      <w:r w:rsidR="00CE1EE2">
        <w:t xml:space="preserve"> – a clean</w:t>
      </w:r>
      <w:r w:rsidR="004020AC">
        <w:t>, method-prompted</w:t>
      </w:r>
      <w:r w:rsidR="00CE1EE2">
        <w:t xml:space="preserve"> data gathering step was not conducted for each method</w:t>
      </w:r>
      <w:r w:rsidR="0065388F">
        <w:t>.</w:t>
      </w:r>
    </w:p>
    <w:p w14:paraId="1D38FCD9" w14:textId="46EFEC89" w:rsidR="00D549E9" w:rsidRDefault="00D549E9" w:rsidP="00D549E9">
      <w:pPr>
        <w:pStyle w:val="Heading3"/>
      </w:pPr>
      <w:bookmarkStart w:id="0" w:name="_Ref109911346"/>
      <w:r>
        <w:t xml:space="preserve">CDM </w:t>
      </w:r>
      <w:r w:rsidR="001B5001">
        <w:t>pr</w:t>
      </w:r>
      <w:r>
        <w:t>ocedure</w:t>
      </w:r>
      <w:r w:rsidR="001B5001">
        <w:t xml:space="preserve"> details</w:t>
      </w:r>
      <w:bookmarkEnd w:id="0"/>
    </w:p>
    <w:p w14:paraId="00D33686" w14:textId="77777777" w:rsidR="005533CA" w:rsidRDefault="00041B31" w:rsidP="00D549E9">
      <w:r>
        <w:t>The CDM process is normally used for incidents or particularly challenging events since these abnormal incidents will be particularly memorable for the participants.</w:t>
      </w:r>
      <w:r w:rsidR="00D549E9">
        <w:t xml:space="preserve"> </w:t>
      </w:r>
      <w:r>
        <w:t>For this scenario, the introduction of the TOI is a relatively normal situation for organisations that manage safety risks by responding to leading indicators of risk with interventions to reinforce the perceived controls for safety in certain contexts. However, the events surrounding the withdrawal of the TOI means that it is a memorable and challenging event where an intervention did not deliver the intended outcome.</w:t>
      </w:r>
    </w:p>
    <w:p w14:paraId="32942DC5" w14:textId="7034309B" w:rsidR="006C102C" w:rsidRDefault="00FE7E75" w:rsidP="00D549E9">
      <w:r>
        <w:t xml:space="preserve">Guidance on the application of CDM was sought from </w:t>
      </w:r>
      <w:r w:rsidR="00DA4170">
        <w:t xml:space="preserve">the literature </w:t>
      </w:r>
      <w:r w:rsidR="00812B78">
        <w:fldChar w:fldCharType="begin" w:fldLock="1"/>
      </w:r>
      <w:r w:rsidR="00EC4290">
        <w:instrText>ADDIN CSL_CITATION {"citationItems":[{"id":"ITEM-1","itemData":{"ISBN":"0-8058-4433-3","author":[{"dropping-particle":"","family":"Wong","given":"B L William","non-dropping-particle":"","parse-names":false,"suffix":""}],"chapter-number":"16","container-title":"The Handbook of Task Analysis for Human-Computer Interaction","editor":[{"dropping-particle":"","family":"Diaper","given":"Dan","non-dropping-particle":"","parse-names":false,"suffix":""},{"dropping-particle":"","family":"Stanton","given":"Neville","non-dropping-particle":"","parse-names":false,"suffix":""}],"id":"ITEM-1","issue":"January","issued":{"date-parts":[["2004"]]},"page":"327-345","publisher":"Lawrence Erlbaum","publisher-place":"London","title":"Data Analysis for the Critical Decision Method","type":"chapter"},"uris":["http://www.mendeley.com/documents/?uuid=0e87018d-96b5-44f1-ad90-027394284de8"]},{"id":"ITEM-2","itemData":{"DOI":"10.1057/rm.2015.20","ISSN":"17434637","abstract":"Although the concept of dynamic risk assessment has in recent times become more topical in the training manuals of most high-risk domains, only a few empirical studies have reported how experts actually carry out this crucial task. The knowledge gap between research and practice in this area, therefore, calls for more empirical investigation within the naturalistic environment. In this article, we present and discuss the problem-solving strategies employed by 16 experienced operational firefighters using a qualitative knowledge elicitation tool-the critical decision method. Findings revealed that dynamic risk assessment is not merely a process of weighing the risks of a proposed course of action against its benefits, but rather an experiential and pattern recognition process. The article concludes by discussing the implications of designing training curriculum for the less experienced officers using the elicited expert knowledge.","author":[{"dropping-particle":"","family":"Okoli","given":"Justin","non-dropping-particle":"","parse-names":false,"suffix":""},{"dropping-particle":"","family":"Watt","given":"John","non-dropping-particle":"","parse-names":false,"suffix":""},{"dropping-particle":"","family":"Weller","given":"Gordon","non-dropping-particle":"","parse-names":false,"suffix":""},{"dropping-particle":"","family":"Wong","given":"William B.L.","non-dropping-particle":"","parse-names":false,"suffix":""}],"container-title":"Risk Management","id":"ITEM-2","issue":"1","issued":{"date-parts":[["2016"]]},"page":"4-25","title":"The role of expertise in dynamic risk assessment: A reflection of the problem-solving strategies used by experienced fireground commanders","type":"article-journal","volume":"18"},"uris":["http://www.mendeley.com/documents/?uuid=d6ec35f5-702a-463b-b86f-1841a0166dd1"]},{"id":"ITEM-3","itemData":{"DOI":"10.1080/00140139.2013.809480","ISBN":"0014-0139","ISSN":"00140139","PMID":"23800131","abstract":"UNLABELLED: Aeronautical decision-making is complex as there is not always a clear coupling between the decision made and decision outcome. As such, there is a call for process-orientated decision research in order to understand why a decision made sense at the time it was made. Schema theory explains how we interact with the world using stored mental representations and forms an integral part of the perceptual cycle model (PCM); proposed here as a way to understand the decision-making process. This paper qualitatively analyses data from the critical decision method (CDM) based on the principles of the PCM. It is demonstrated that the approach can be used to understand a decision-making process and highlights how influential schemata can be at informing decision-making. The reliability of this approach is established, the general applicability is discussed and directions for future work are considered.\\n\\nPRACTITIONER SUMMARY: This paper introduces the PCM, and the associated schema theory, as a framework to structure and explain data collected from the CDM. The reliability of both the method and coding scheme is addressed.","author":[{"dropping-particle":"","family":"Plant","given":"Katherine L.","non-dropping-particle":"","parse-names":false,"suffix":""},{"dropping-particle":"","family":"Stanton","given":"Neville A.","non-dropping-particle":"","parse-names":false,"suffix":""}],"container-title":"Ergonomics","id":"ITEM-3","issue":"8","issued":{"date-parts":[["2013"]]},"page":"1232-1250","title":"What is on your mind? Using the perceptual cycle model and critical decision method to understand the decision-making process in the cockpit","type":"article-journal","volume":"56"},"uris":["http://www.mendeley.com/documents/?uuid=7c9b0e34-44f7-38b4-abf4-3cdb86791989"]},{"id":"ITEM-4","itemData":{"ISBN":"9780262033510","author":[{"dropping-particle":"","family":"Crandall","given":"Beth","non-dropping-particle":"","parse-names":false,"suffix":""},{"dropping-particle":"","family":"Klein","given":"Gary","non-dropping-particle":"","parse-names":false,"suffix":""},{"dropping-particle":"","family":"Hoffman","given":"Robert","non-dropping-particle":"","parse-names":false,"suffix":""}],"id":"ITEM-4","issued":{"date-parts":[["2006"]]},"number-of-pages":"347","title":"Working Minds. A Practioner's Guide to Cognitive Task Analysis","type":"book"},"uris":["http://www.mendeley.com/documents/?uuid=9bc272e9-24bd-479d-aa51-8949704f9267"]}],"mendeley":{"formattedCitation":"(Crandall, Klein, &amp; Hoffman, 2006; Okoli, Watt, Weller, &amp; Wong, 2016; Plant &amp; Stanton, 2013; Wong, 2004)","plainTextFormattedCitation":"(Crandall, Klein, &amp; Hoffman, 2006; Okoli, Watt, Weller, &amp; Wong, 2016; Plant &amp; Stanton, 2013; Wong, 2004)","previouslyFormattedCitation":"(Crandall, Klein, &amp; Hoffman, 2006; Okoli, Watt, Weller, &amp; Wong, 2016; Plant &amp; Stanton, 2013; Wong, 2004)"},"properties":{"noteIndex":0},"schema":"https://github.com/citation-style-language/schema/raw/master/csl-citation.json"}</w:instrText>
      </w:r>
      <w:r w:rsidR="00812B78">
        <w:fldChar w:fldCharType="separate"/>
      </w:r>
      <w:r w:rsidR="00EC4290" w:rsidRPr="00EC4290">
        <w:rPr>
          <w:noProof/>
        </w:rPr>
        <w:t>(Crandall, Klein, &amp; Hoffman, 2006; Okoli, Watt, Weller, &amp; Wong, 2016; Plant &amp; Stanton, 2013; Wong, 2004)</w:t>
      </w:r>
      <w:r w:rsidR="00812B78">
        <w:fldChar w:fldCharType="end"/>
      </w:r>
      <w:r w:rsidR="00587C66">
        <w:t xml:space="preserve"> </w:t>
      </w:r>
      <w:r w:rsidR="00DA4170">
        <w:t xml:space="preserve">and methods handbooks typically available to practitioners </w:t>
      </w:r>
      <w:r w:rsidR="00587C66">
        <w:t xml:space="preserve">such as by Stanton and colleagues </w:t>
      </w:r>
      <w:r w:rsidR="00587C66">
        <w:fldChar w:fldCharType="begin" w:fldLock="1"/>
      </w:r>
      <w:r w:rsidR="00812B78">
        <w:instrText>ADDIN CSL_CITATION {"citationItems":[{"id":"ITEM-1","itemData":{"DOI":"10.1080/00140139.2014.948659","ISBN":"9781409457534","ISSN":"0014-0139","abstract":"This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Edition","id":"ITEM-1","issued":{"date-parts":[["2013"]]},"number-of-pages":"1-627","publisher":"Ashgate Publishing Ltd","title":"Human factors methods: A practical guide for engineering and design, 2nd edition","type":"book"},"suppress-author":1,"uris":["http://www.mendeley.com/documents/?uuid=b0451431-0e93-390b-b25d-987e32766dc4"]}],"mendeley":{"formattedCitation":"(2013)","plainTextFormattedCitation":"(2013)","previouslyFormattedCitation":"(2013)"},"properties":{"noteIndex":0},"schema":"https://github.com/citation-style-language/schema/raw/master/csl-citation.json"}</w:instrText>
      </w:r>
      <w:r w:rsidR="00587C66">
        <w:fldChar w:fldCharType="separate"/>
      </w:r>
      <w:r w:rsidR="00587C66" w:rsidRPr="00587C66">
        <w:rPr>
          <w:noProof/>
        </w:rPr>
        <w:t>(2013)</w:t>
      </w:r>
      <w:r w:rsidR="00587C66">
        <w:fldChar w:fldCharType="end"/>
      </w:r>
      <w:r w:rsidR="00587C66">
        <w:t xml:space="preserve">. </w:t>
      </w:r>
      <w:r w:rsidR="00D549E9">
        <w:t xml:space="preserve">Once the incident is selected the CDM probes, areas of questioning that are designed to elicit information related to the decision-making process at key points in the incident, are selected. The CDM probes described by O’Hare and colleagues </w:t>
      </w:r>
      <w:r w:rsidR="00D549E9">
        <w:fldChar w:fldCharType="begin" w:fldLock="1"/>
      </w:r>
      <w:r w:rsidR="00D549E9">
        <w:instrText>ADDIN CSL_CITATION {"citationItems":[{"id":"ITEM-1","itemData":{"DOI":"10.1080/001401398186144","ISSN":"00140139","abstract":"This paper presents three case studies of Cognitive Task Analysis (CTA) for defining systems design and training requirements. The approach taken involves a modification of the critical decision method of Klein et al. The authors utilized the revised CDM to obtain information from expert white-water rafting guides, general aviation pilots, and emergency ambulance dispatchers. The information obtained was used to develop multi-media tools for training rafting guides and general aviation pilots, and to redesign the VDU display requirements for the ambulance dispatchers. The examples demonstrate the utility of an approach to CTA that is closely based on relevant theory, and provides guidance to practitioners wishing to apply CTA techniques.","author":[{"dropping-particle":"","family":"O'Hare","given":"David","non-dropping-particle":"","parse-names":false,"suffix":""},{"dropping-particle":"","family":"Wiggins","given":"Mark","non-dropping-particle":"","parse-names":false,"suffix":""},{"dropping-particle":"","family":"Williams","given":"Anthony","non-dropping-particle":"","parse-names":false,"suffix":""},{"dropping-particle":"","family":"Wong","given":"William","non-dropping-particle":"","parse-names":false,"suffix":""}],"container-title":"Ergonomics","id":"ITEM-1","issue":"11","issued":{"date-parts":[["1998"]]},"page":"1698-1718","title":"Cognitive task analyses for decision centred design and training","type":"article-journal","volume":"41"},"suppress-author":1,"uris":["http://www.mendeley.com/documents/?uuid=18181f51-8544-4822-a655-f671b0df8ab8"]}],"mendeley":{"formattedCitation":"(1998)","plainTextFormattedCitation":"(1998)","previouslyFormattedCitation":"(1998)"},"properties":{"noteIndex":0},"schema":"https://github.com/citation-style-language/schema/raw/master/csl-citation.json"}</w:instrText>
      </w:r>
      <w:r w:rsidR="00D549E9">
        <w:fldChar w:fldCharType="separate"/>
      </w:r>
      <w:r w:rsidR="00D549E9" w:rsidRPr="0070323E">
        <w:rPr>
          <w:noProof/>
        </w:rPr>
        <w:t>(1998)</w:t>
      </w:r>
      <w:r w:rsidR="00D549E9">
        <w:fldChar w:fldCharType="end"/>
      </w:r>
      <w:r w:rsidR="00D549E9">
        <w:t xml:space="preserve"> provide a useful starting point for the selection of pertinent areas of investigation. </w:t>
      </w:r>
      <w:r w:rsidR="003E01EC">
        <w:t>A</w:t>
      </w:r>
      <w:r w:rsidR="00D549E9">
        <w:t xml:space="preserve"> mapping of </w:t>
      </w:r>
      <w:r w:rsidR="00656BB4">
        <w:t xml:space="preserve">the </w:t>
      </w:r>
      <w:r w:rsidR="00D549E9">
        <w:t>CDM probes to the adaptation factors was conducted and this determined there to be complete coverage of all factors using combinations of all the CDM probes.</w:t>
      </w:r>
      <w:r w:rsidR="004D1732">
        <w:t xml:space="preserve"> Th</w:t>
      </w:r>
      <w:r w:rsidR="00A42A19">
        <w:t xml:space="preserve">e probes were then used </w:t>
      </w:r>
      <w:r w:rsidR="005A1524">
        <w:t>in</w:t>
      </w:r>
      <w:r w:rsidR="00A42A19">
        <w:t xml:space="preserve"> a series of semi-structured interview</w:t>
      </w:r>
      <w:r w:rsidR="001B3488">
        <w:t>s as</w:t>
      </w:r>
      <w:r w:rsidR="00A42A19">
        <w:t xml:space="preserve"> topics and questions for discussion with the participants.</w:t>
      </w:r>
    </w:p>
    <w:p w14:paraId="5FF0844C" w14:textId="77777777" w:rsidR="00EF3ACF" w:rsidRDefault="00D549E9" w:rsidP="006C102C">
      <w:r>
        <w:t xml:space="preserve">The next step is to select participants with knowledge of the incident to be interviewed regarding the decision-making in the development, introduction, and subsequent withdrawal of the TOI. This can be a challenge with the CDM approach if participants are unwilling or unable to discuss the events surrounding an incident. For the TOI event, two senior </w:t>
      </w:r>
      <w:r w:rsidR="00455CC9">
        <w:t>managers from</w:t>
      </w:r>
      <w:r>
        <w:t xml:space="preserve"> NATS were invited and consented to be interviewed using the CDM approach around their recollections and involvement in the decisions surrounding the introduction of the TOI. </w:t>
      </w:r>
      <w:r w:rsidR="00455CC9">
        <w:t xml:space="preserve">Both were subject matter experts, former air traffic controllers and </w:t>
      </w:r>
      <w:r w:rsidR="002A105F">
        <w:t>had been involved in procedure and safety improvement activities for many years</w:t>
      </w:r>
      <w:r w:rsidR="00EA5EB4">
        <w:t xml:space="preserve">. They also had first-hand knowledge of the decision-making processes in the event scenario. </w:t>
      </w:r>
      <w:r>
        <w:t xml:space="preserve">Even though 6 years had passed since the events in question, the participants could recall the events with relative ease and CDM has previously be found to be highly reliable even after the passage of many years after a critical event </w:t>
      </w:r>
      <w:r w:rsidR="0098068A">
        <w:t xml:space="preserve">and </w:t>
      </w:r>
      <w:r w:rsidR="003C5805">
        <w:t xml:space="preserve">usefully applied even with low numbers of participants </w:t>
      </w:r>
      <w:r>
        <w:fldChar w:fldCharType="begin" w:fldLock="1"/>
      </w:r>
      <w:r>
        <w:instrText>ADDIN CSL_CITATION {"citationItems":[{"id":"ITEM-1","itemData":{"DOI":"10.1080/00140139.2013.809480","ISBN":"0014-0139","ISSN":"00140139","PMID":"23800131","abstract":"UNLABELLED: Aeronautical decision-making is complex as there is not always a clear coupling between the decision made and decision outcome. As such, there is a call for process-orientated decision research in order to understand why a decision made sense at the time it was made. Schema theory explains how we interact with the world using stored mental representations and forms an integral part of the perceptual cycle model (PCM); proposed here as a way to understand the decision-making process. This paper qualitatively analyses data from the critical decision method (CDM) based on the principles of the PCM. It is demonstrated that the approach can be used to understand a decision-making process and highlights how influential schemata can be at informing decision-making. The reliability of this approach is established, the general applicability is discussed and directions for future work are considered.\\n\\nPRACTITIONER SUMMARY: This paper introduces the PCM, and the associated schema theory, as a framework to structure and explain data collected from the CDM. The reliability of both the method and coding scheme is addressed.","author":[{"dropping-particle":"","family":"Plant","given":"Katherine L.","non-dropping-particle":"","parse-names":false,"suffix":""},{"dropping-particle":"","family":"Stanton","given":"Neville A.","non-dropping-particle":"","parse-names":false,"suffix":""}],"container-title":"Ergonomics","id":"ITEM-1","issue":"8","issued":{"date-parts":[["2013"]]},"page":"1232-1250","title":"What is on your mind? Using the perceptual cycle model and critical decision method to understand the decision-making process in the cockpit","type":"article-journal","volume":"56"},"uris":["http://www.mendeley.com/documents/?uuid=7c9b0e34-44f7-38b4-abf4-3cdb86791989"]}],"mendeley":{"formattedCitation":"(Plant &amp; Stanton, 2013)","plainTextFormattedCitation":"(Plant &amp; Stanton, 2013)","previouslyFormattedCitation":"(Plant &amp; Stanton, 2013)"},"properties":{"noteIndex":0},"schema":"https://github.com/citation-style-language/schema/raw/master/csl-citation.json"}</w:instrText>
      </w:r>
      <w:r>
        <w:fldChar w:fldCharType="separate"/>
      </w:r>
      <w:r w:rsidRPr="00C149B6">
        <w:rPr>
          <w:noProof/>
        </w:rPr>
        <w:t>(Plant &amp; Stanton, 2013)</w:t>
      </w:r>
      <w:r>
        <w:fldChar w:fldCharType="end"/>
      </w:r>
      <w:r>
        <w:t xml:space="preserve">. </w:t>
      </w:r>
      <w:r w:rsidR="006C102C">
        <w:t xml:space="preserve">The interviewees also made available additional materials including email exchanges, analysis, reports and meeting minutes to support the understanding of events. The interviews received University ethics panel approval (ERGO reference: </w:t>
      </w:r>
      <w:r w:rsidR="006C102C" w:rsidRPr="00343075">
        <w:t>57951</w:t>
      </w:r>
      <w:r w:rsidR="006C102C">
        <w:t>) and were conducted via video conference in July 2020.</w:t>
      </w:r>
    </w:p>
    <w:p w14:paraId="3F4B85C6" w14:textId="557100F6" w:rsidR="006C102C" w:rsidRDefault="00FD31EA" w:rsidP="006C102C">
      <w:r>
        <w:t>The</w:t>
      </w:r>
      <w:r w:rsidR="005748B4">
        <w:t>se</w:t>
      </w:r>
      <w:r>
        <w:t xml:space="preserve"> interviews were transcribed and a </w:t>
      </w:r>
      <w:r w:rsidR="002D41BD">
        <w:t xml:space="preserve">grounded theory approach was </w:t>
      </w:r>
      <w:r w:rsidR="005748B4">
        <w:t xml:space="preserve">then </w:t>
      </w:r>
      <w:r w:rsidR="002D41BD">
        <w:t>used</w:t>
      </w:r>
      <w:r w:rsidR="00745891">
        <w:t xml:space="preserve"> to </w:t>
      </w:r>
      <w:r w:rsidR="009C5B93">
        <w:t>explore</w:t>
      </w:r>
      <w:r w:rsidR="00530CDE">
        <w:t xml:space="preserve"> the </w:t>
      </w:r>
      <w:r w:rsidR="00FA7FA7">
        <w:t xml:space="preserve">decision </w:t>
      </w:r>
      <w:r>
        <w:t xml:space="preserve">making processes surrounding the </w:t>
      </w:r>
      <w:r w:rsidR="00B30960">
        <w:t>TOI intervention</w:t>
      </w:r>
      <w:r w:rsidR="00FD3CD1">
        <w:t>. This approach</w:t>
      </w:r>
      <w:r w:rsidR="009532F9">
        <w:t xml:space="preserve"> iteratively reviewed the transcribed interviews </w:t>
      </w:r>
      <w:r w:rsidR="00624D89">
        <w:t xml:space="preserve">and additional materials </w:t>
      </w:r>
      <w:r w:rsidR="009532F9">
        <w:t>for phrases, themes and ideas</w:t>
      </w:r>
      <w:r w:rsidR="00BA4417">
        <w:t xml:space="preserve"> to make sense of this data</w:t>
      </w:r>
      <w:r w:rsidR="000D03CF">
        <w:t>. T</w:t>
      </w:r>
      <w:r w:rsidR="00285D49">
        <w:t>hese</w:t>
      </w:r>
      <w:r w:rsidR="003C460E">
        <w:t xml:space="preserve"> highlights</w:t>
      </w:r>
      <w:r w:rsidR="00285D49">
        <w:t xml:space="preserve"> were </w:t>
      </w:r>
      <w:r w:rsidR="00D07812">
        <w:t>cross</w:t>
      </w:r>
      <w:r w:rsidR="003C2812">
        <w:t xml:space="preserve"> </w:t>
      </w:r>
      <w:r w:rsidR="00510510">
        <w:t>compared</w:t>
      </w:r>
      <w:r w:rsidR="00FF78FB">
        <w:t>,</w:t>
      </w:r>
      <w:r w:rsidR="00510510">
        <w:t xml:space="preserve"> </w:t>
      </w:r>
      <w:r w:rsidR="00216515">
        <w:t>synthesise</w:t>
      </w:r>
      <w:r w:rsidR="007A0960">
        <w:t>d</w:t>
      </w:r>
      <w:r w:rsidR="00216515">
        <w:t xml:space="preserve"> </w:t>
      </w:r>
      <w:r w:rsidR="00FF78FB">
        <w:t xml:space="preserve">and refined </w:t>
      </w:r>
      <w:r w:rsidR="00510510">
        <w:t xml:space="preserve">to </w:t>
      </w:r>
      <w:r w:rsidR="00404935">
        <w:t xml:space="preserve">identify the timeline of the decision making. </w:t>
      </w:r>
      <w:r w:rsidR="007A0008">
        <w:t>T</w:t>
      </w:r>
      <w:r w:rsidR="009F7072">
        <w:t xml:space="preserve">he CDM probes </w:t>
      </w:r>
      <w:r w:rsidR="00A3155A">
        <w:t xml:space="preserve">were </w:t>
      </w:r>
      <w:r w:rsidR="007A0008">
        <w:t xml:space="preserve">then </w:t>
      </w:r>
      <w:r w:rsidR="00A3155A">
        <w:t xml:space="preserve">used </w:t>
      </w:r>
      <w:r w:rsidR="00624D89">
        <w:t xml:space="preserve">to </w:t>
      </w:r>
      <w:r w:rsidR="00C56FAE">
        <w:t xml:space="preserve">iteratively </w:t>
      </w:r>
      <w:r w:rsidR="00624D89">
        <w:t xml:space="preserve">explore the </w:t>
      </w:r>
      <w:r w:rsidR="00C56FAE">
        <w:t>timeline-coded transcripts</w:t>
      </w:r>
      <w:r w:rsidR="00624D89">
        <w:t xml:space="preserve"> and materials</w:t>
      </w:r>
      <w:r w:rsidR="002B2813">
        <w:t xml:space="preserve">. </w:t>
      </w:r>
      <w:r w:rsidR="0030248D">
        <w:t>The results were then written up in the form of CDM tables for each phase using the CDM probes.</w:t>
      </w:r>
    </w:p>
    <w:p w14:paraId="7CA8257A" w14:textId="2EE4BAE4" w:rsidR="00DE78FB" w:rsidRDefault="00943B2C" w:rsidP="00964357">
      <w:pPr>
        <w:pStyle w:val="Heading1"/>
      </w:pPr>
      <w:r>
        <w:lastRenderedPageBreak/>
        <w:t>Results</w:t>
      </w:r>
    </w:p>
    <w:p w14:paraId="42D25F8B" w14:textId="3B713797" w:rsidR="00AB0AEA" w:rsidRDefault="00B63B94" w:rsidP="00AB0AEA">
      <w:r>
        <w:t xml:space="preserve">The </w:t>
      </w:r>
      <w:r w:rsidR="00993883">
        <w:t>following section describe</w:t>
      </w:r>
      <w:r w:rsidR="00D07F38">
        <w:t>s</w:t>
      </w:r>
      <w:r w:rsidR="00993883">
        <w:t xml:space="preserve"> the results </w:t>
      </w:r>
      <w:r w:rsidR="00C54704">
        <w:t xml:space="preserve">from </w:t>
      </w:r>
      <w:r w:rsidR="00993883">
        <w:t xml:space="preserve">the application </w:t>
      </w:r>
      <w:r w:rsidR="00632677">
        <w:t xml:space="preserve">of each of the methods </w:t>
      </w:r>
      <w:r w:rsidR="009F3071">
        <w:t xml:space="preserve">to the circumstances surrounding the introduction of the TOI </w:t>
      </w:r>
      <w:r w:rsidR="002B5894">
        <w:t>with reference to</w:t>
      </w:r>
      <w:r w:rsidR="00E004F3">
        <w:t xml:space="preserve"> the </w:t>
      </w:r>
      <w:r w:rsidR="004A20F9">
        <w:t>adapt</w:t>
      </w:r>
      <w:r w:rsidR="00E004F3">
        <w:t>ation</w:t>
      </w:r>
      <w:r w:rsidR="004A20F9">
        <w:t xml:space="preserve"> </w:t>
      </w:r>
      <w:r w:rsidR="00E004F3">
        <w:t xml:space="preserve">factors </w:t>
      </w:r>
      <w:r w:rsidR="00C70919">
        <w:t xml:space="preserve">(which are called out in the descriptions) </w:t>
      </w:r>
      <w:r w:rsidR="002E16D7">
        <w:t>at different levels of the organisational hierarchy</w:t>
      </w:r>
      <w:r w:rsidR="0020527D">
        <w:t>.</w:t>
      </w:r>
      <w:r w:rsidR="0042391B">
        <w:t xml:space="preserve"> </w:t>
      </w:r>
    </w:p>
    <w:p w14:paraId="6C898188" w14:textId="2EC76BF7" w:rsidR="00AB0AEA" w:rsidRDefault="00AB0AEA" w:rsidP="00AB0AEA">
      <w:pPr>
        <w:pStyle w:val="Heading2"/>
      </w:pPr>
      <w:r>
        <w:t>Hierarchical Task Analysis (HTA)</w:t>
      </w:r>
    </w:p>
    <w:p w14:paraId="3385C21E" w14:textId="477A8997" w:rsidR="0065114A" w:rsidRPr="0065114A" w:rsidRDefault="008C66BF" w:rsidP="00EA3F05">
      <w:pPr>
        <w:pStyle w:val="Heading3"/>
      </w:pPr>
      <w:r>
        <w:t>Application</w:t>
      </w:r>
    </w:p>
    <w:p w14:paraId="3663331A" w14:textId="3C710260" w:rsidR="00331C63" w:rsidRDefault="00D235F3" w:rsidP="00954248">
      <w:r>
        <w:t xml:space="preserve">The HTA of the TOI </w:t>
      </w:r>
      <w:r w:rsidR="003019B6">
        <w:t>starts with a high-level review of the overall tasks of an air traffic controller to achieve the goal</w:t>
      </w:r>
      <w:r w:rsidR="0033209F">
        <w:t>s</w:t>
      </w:r>
      <w:r w:rsidR="003019B6">
        <w:t xml:space="preserve"> of safe and expeditious </w:t>
      </w:r>
      <w:r w:rsidR="00F050E3">
        <w:t>flow of air traffic</w:t>
      </w:r>
      <w:r w:rsidR="00AF09F8">
        <w:t xml:space="preserve"> (see </w:t>
      </w:r>
      <w:r w:rsidR="00E34FB2">
        <w:t xml:space="preserve">Appendix 2 and </w:t>
      </w:r>
      <w:r w:rsidR="00E34FB2">
        <w:fldChar w:fldCharType="begin"/>
      </w:r>
      <w:r w:rsidR="00E34FB2">
        <w:instrText xml:space="preserve"> REF _Ref76202250 \h </w:instrText>
      </w:r>
      <w:r w:rsidR="00E34FB2">
        <w:fldChar w:fldCharType="separate"/>
      </w:r>
      <w:r w:rsidR="00C37085">
        <w:t xml:space="preserve">Figure </w:t>
      </w:r>
      <w:r w:rsidR="00C37085">
        <w:rPr>
          <w:noProof/>
        </w:rPr>
        <w:t>13</w:t>
      </w:r>
      <w:r w:rsidR="00E34FB2">
        <w:fldChar w:fldCharType="end"/>
      </w:r>
      <w:r w:rsidR="00AF09F8">
        <w:t>)</w:t>
      </w:r>
      <w:r w:rsidR="00F050E3">
        <w:t>.</w:t>
      </w:r>
      <w:r w:rsidR="00866CA5">
        <w:t xml:space="preserve"> </w:t>
      </w:r>
      <w:r w:rsidR="00DA18F8">
        <w:t xml:space="preserve">The </w:t>
      </w:r>
      <w:r w:rsidR="00C52A35">
        <w:t>‘</w:t>
      </w:r>
      <w:r w:rsidR="00DA18F8">
        <w:t xml:space="preserve">receive </w:t>
      </w:r>
      <w:r w:rsidR="00C52A35">
        <w:t xml:space="preserve">handover’ </w:t>
      </w:r>
      <w:r w:rsidR="00DA18F8">
        <w:t xml:space="preserve">and </w:t>
      </w:r>
      <w:r w:rsidR="00C52A35">
        <w:t>‘</w:t>
      </w:r>
      <w:r w:rsidR="00DA18F8">
        <w:t>give handover</w:t>
      </w:r>
      <w:r w:rsidR="00C52A35">
        <w:t>’</w:t>
      </w:r>
      <w:r w:rsidR="00DA18F8">
        <w:t xml:space="preserve"> tasks </w:t>
      </w:r>
      <w:r w:rsidR="00AA195B">
        <w:t xml:space="preserve">that bookend a controller’s duty </w:t>
      </w:r>
      <w:r w:rsidR="00DA18F8">
        <w:t xml:space="preserve">require no further elaboration for the focus of this </w:t>
      </w:r>
      <w:r w:rsidR="00C52A35">
        <w:t>analysis.</w:t>
      </w:r>
    </w:p>
    <w:p w14:paraId="681746F3" w14:textId="5674F690" w:rsidR="00331C63" w:rsidRDefault="00C52A35" w:rsidP="00954248">
      <w:r>
        <w:t xml:space="preserve">The </w:t>
      </w:r>
      <w:r w:rsidR="00AD0A88">
        <w:t>core</w:t>
      </w:r>
      <w:r w:rsidR="00DB2EC9">
        <w:t xml:space="preserve"> tactical control task</w:t>
      </w:r>
      <w:r w:rsidR="00AD0A88">
        <w:t xml:space="preserve"> </w:t>
      </w:r>
      <w:r w:rsidR="00635829">
        <w:t>is</w:t>
      </w:r>
      <w:r w:rsidR="00AD0A88">
        <w:t xml:space="preserve"> split into three sub-tasks: </w:t>
      </w:r>
      <w:r w:rsidR="00944F04">
        <w:t xml:space="preserve">procedural </w:t>
      </w:r>
      <w:r w:rsidR="00C61647">
        <w:t>activities</w:t>
      </w:r>
      <w:r w:rsidR="00944F04">
        <w:t xml:space="preserve">, </w:t>
      </w:r>
      <w:r w:rsidR="00744A79">
        <w:t xml:space="preserve">continuous </w:t>
      </w:r>
      <w:r w:rsidR="00944F04">
        <w:t xml:space="preserve">tasks and </w:t>
      </w:r>
      <w:r w:rsidR="00744A79">
        <w:t xml:space="preserve">reactive </w:t>
      </w:r>
      <w:r w:rsidR="00944F04">
        <w:t>tasks.</w:t>
      </w:r>
      <w:r w:rsidR="005D1AB3">
        <w:t xml:space="preserve"> </w:t>
      </w:r>
      <w:r w:rsidR="0051050B">
        <w:t xml:space="preserve">The procedural tasks </w:t>
      </w:r>
      <w:r w:rsidR="00DE362C">
        <w:t xml:space="preserve">(five sub-tasks) </w:t>
      </w:r>
      <w:r w:rsidR="0051050B">
        <w:t>reflect the nature of the ‘as planned’ work of the controller</w:t>
      </w:r>
      <w:r w:rsidR="007C6CCA">
        <w:t>: planning</w:t>
      </w:r>
      <w:r w:rsidR="00AD4417">
        <w:t>, assuming control and executing the plan</w:t>
      </w:r>
      <w:r w:rsidR="00737B6A">
        <w:t xml:space="preserve"> (</w:t>
      </w:r>
      <w:r w:rsidR="00C37085">
        <w:t>shown in</w:t>
      </w:r>
      <w:r w:rsidR="00B436C5">
        <w:t xml:space="preserve"> focus in</w:t>
      </w:r>
      <w:r w:rsidR="00C37085">
        <w:t xml:space="preserve"> </w:t>
      </w:r>
      <w:r w:rsidR="00C37085">
        <w:fldChar w:fldCharType="begin"/>
      </w:r>
      <w:r w:rsidR="00C37085">
        <w:instrText xml:space="preserve"> REF _Ref49760087 \h </w:instrText>
      </w:r>
      <w:r w:rsidR="00C37085">
        <w:fldChar w:fldCharType="separate"/>
      </w:r>
      <w:r w:rsidR="00C37085">
        <w:t xml:space="preserve">Figure </w:t>
      </w:r>
      <w:r w:rsidR="00C37085">
        <w:rPr>
          <w:noProof/>
        </w:rPr>
        <w:t>1</w:t>
      </w:r>
      <w:r w:rsidR="00C37085">
        <w:fldChar w:fldCharType="end"/>
      </w:r>
      <w:r w:rsidR="00C37085">
        <w:t>)</w:t>
      </w:r>
      <w:r w:rsidR="0051050B">
        <w:t xml:space="preserve">. </w:t>
      </w:r>
      <w:r w:rsidR="00705A0A">
        <w:t xml:space="preserve">The continuous tasks </w:t>
      </w:r>
      <w:r w:rsidR="005741B1">
        <w:t xml:space="preserve">(four sub-tasks) </w:t>
      </w:r>
      <w:r w:rsidR="00705A0A">
        <w:t xml:space="preserve">identify the features of the work related to the </w:t>
      </w:r>
      <w:r w:rsidR="00501C4D">
        <w:t xml:space="preserve">search for greater </w:t>
      </w:r>
      <w:r w:rsidR="00705A0A">
        <w:t>optimisation</w:t>
      </w:r>
      <w:r w:rsidR="00501C4D">
        <w:t xml:space="preserve">s in </w:t>
      </w:r>
      <w:r w:rsidR="00705A0A">
        <w:t>the service and the detection of possible problems</w:t>
      </w:r>
      <w:r w:rsidR="00086CB3">
        <w:t xml:space="preserve"> such as conflicts and non-conformances</w:t>
      </w:r>
      <w:r w:rsidR="005A240C">
        <w:t>. These tasks relate to the concept of situational awareness of the controller or ‘the picture’</w:t>
      </w:r>
      <w:r w:rsidR="005E426E">
        <w:t xml:space="preserve"> </w:t>
      </w:r>
      <w:r w:rsidR="00CD3F8C">
        <w:fldChar w:fldCharType="begin" w:fldLock="1"/>
      </w:r>
      <w:r w:rsidR="00915B18">
        <w:instrText>ADDIN CSL_CITATION {"citationItems":[{"id":"ITEM-1","itemData":{"DOI":"1721.1/35929","ISBN":"0-12-653010-6 (Hardcover)","abstract":"Air traffic controllers (ATC) are called on to sort out and project the paths of an ever-increasing number of aircraft in order to ensure the goals of minimum separation and safe, efficient landing and takeoff operations. This chapter focuses on a certain aspect of this taxing job: situation awareness (SA) of controllers who must maintain up-to-date assessments of the rapidly changing location of each aircraft (in 3-dimensional space) and their projected future locations relative to each other, along with other pertinent aircraft parameters (destination, fuel, communications, etc.). Controllers historically have called this the picture-their mental model of the situation on which all of their decisions hinge. Providing controllers with an accurate, complete, and up-to-date picture of the situation may prove to be daunting challenge as the environment in which they work becomes even more complex and demanding. Topics discussed in this chapter are: SA requirements for air traffic control; theoretical underpinnings of SA; SA and controller performance; SA and controller workload; SA and ATC automation; SA and the operational concept; and measuring and evaluating situation awareness. (PsycINFO Database Record (c) 2016 APA, all rights reserved)","author":[{"dropping-particle":"","family":"Endsley","given":"Mica R","non-dropping-particle":"","parse-names":false,"suffix":""},{"dropping-particle":"","family":"Smolensky","given":"Mark W","non-dropping-particle":"","parse-names":false,"suffix":""}],"container-title":"Human factors in air traffic control.","id":"ITEM-1","issue":"September","issued":{"date-parts":[["1998"]]},"page":"115-154","title":"Situation awareness in air traffic control: The picture.","type":"article-journal"},"uris":["http://www.mendeley.com/documents/?uuid=b1ac6816-2d48-4b74-a22d-0c828e4e23d3"]},{"id":"ITEM-2","itemData":{"DOI":"10.1080/00140130903171672","ISBN":"1366-5847 (Electronic)\\r0014-0139 (Linking)","ISSN":"00140139","PMID":"20099173","abstract":"Command and control is a generic activity involving the exercise of authority over assigned resources, combined with planning, coordinating and controlling how those resources are used. The challenge for understanding this type of activity is that it is not often amenable to the conventional experimental/methodological approach. Command and control tends to be multi-faceted (so requires more than one method), is made up of interacting socio and technical elements (so requires a systemic approach) and exhibits aggregate behaviours that emerge from these interactions (so requires methods that go beyond reductionism). In these circumstances a distributed cognition approach is highly appropriate yet the existing ethnographic methods make it difficult to apply and, for non-specialist audiences, sometimes difficult to meaningfully interpret. The Event Analysis for Systemic Teamwork method is put forward as a means of working from a distributed cognition perspective but in a way that goes beyond ethnography. A worked example from Air Traffic Control is used to illustrate how the language of social science can be translated into the language of systems analysis. Statement of Relevance: Distributed cognition provides a highly appropriate conceptual response to complex work settings such as Air Traffic Control. This paper deals with how to realise those benefits in practice without recourse to problematic ethnographic techniques.","author":[{"dropping-particle":"","family":"Walker","given":"Guy H.","non-dropping-particle":"","parse-names":false,"suffix":""},{"dropping-particle":"","family":"Stanton","given":"Neville A.","non-dropping-particle":"","parse-names":false,"suffix":""},{"dropping-particle":"","family":"Baber","given":"Chris","non-dropping-particle":"","parse-names":false,"suffix":""},{"dropping-particle":"","family":"Wells","given":"Linda","non-dropping-particle":"","parse-names":false,"suffix":""},{"dropping-particle":"","family":"Gibson","given":"Huw","non-dropping-particle":"","parse-names":false,"suffix":""},{"dropping-particle":"","family":"Salmon","given":"Paul","non-dropping-particle":"","parse-names":false,"suffix":""},{"dropping-particle":"","family":"Jenkins","given":"Daniel","non-dropping-particle":"","parse-names":false,"suffix":""}],"container-title":"Ergonomics","id":"ITEM-2","issue":"2","issued":{"date-parts":[["2010"]]},"page":"184-197","title":"From ethnography to the east method: A tractable approach for representing distributed cognition in air traffic control","type":"article-journal","volume":"53"},"uris":["http://www.mendeley.com/documents/?uuid=48ffa208-2902-498e-a2ad-09800d363615"]}],"mendeley":{"formattedCitation":"(Endsley &amp; Smolensky, 1998; Walker et al., 2010)","plainTextFormattedCitation":"(Endsley &amp; Smolensky, 1998; Walker et al., 2010)","previouslyFormattedCitation":"(Endsley &amp; Smolensky, 1998; Walker et al., 2010)"},"properties":{"noteIndex":0},"schema":"https://github.com/citation-style-language/schema/raw/master/csl-citation.json"}</w:instrText>
      </w:r>
      <w:r w:rsidR="00CD3F8C">
        <w:fldChar w:fldCharType="separate"/>
      </w:r>
      <w:r w:rsidR="00656131" w:rsidRPr="00656131">
        <w:rPr>
          <w:noProof/>
        </w:rPr>
        <w:t>(Endsley &amp; Smolensky, 1998; Walker et al., 2010)</w:t>
      </w:r>
      <w:r w:rsidR="00CD3F8C">
        <w:fldChar w:fldCharType="end"/>
      </w:r>
      <w:r w:rsidR="005A240C">
        <w:t xml:space="preserve">. </w:t>
      </w:r>
      <w:r w:rsidR="00A07978">
        <w:t xml:space="preserve">The reactive tasks </w:t>
      </w:r>
      <w:r w:rsidR="006914C8">
        <w:t xml:space="preserve">(seven sub-tasks) </w:t>
      </w:r>
      <w:r w:rsidR="00A07978">
        <w:t xml:space="preserve">highlight the requirement to respond to alerts, problems, suggestions from other controllers and </w:t>
      </w:r>
      <w:r w:rsidR="001477C7">
        <w:t>requests from pilots.</w:t>
      </w:r>
    </w:p>
    <w:p w14:paraId="565073AB" w14:textId="5ACB89C6" w:rsidR="008744C5" w:rsidRDefault="0068398F" w:rsidP="00954248">
      <w:r>
        <w:t>T</w:t>
      </w:r>
      <w:r w:rsidR="008D28C6">
        <w:t>he HTA supports a process</w:t>
      </w:r>
      <w:r w:rsidR="00032490">
        <w:t>-</w:t>
      </w:r>
      <w:r w:rsidR="008D28C6">
        <w:t>model view of air traffic control</w:t>
      </w:r>
      <w:r w:rsidR="00BD5317">
        <w:t xml:space="preserve"> </w:t>
      </w:r>
      <w:r w:rsidR="008D28C6">
        <w:t>in contrast to a linear, barrier or defence-in-depth model</w:t>
      </w:r>
      <w:r w:rsidR="00BD5317">
        <w:t>. For example</w:t>
      </w:r>
      <w:r w:rsidR="0012414A">
        <w:t>,</w:t>
      </w:r>
      <w:r w:rsidR="00BD5317">
        <w:t xml:space="preserve"> </w:t>
      </w:r>
      <w:r w:rsidR="00A44D1F">
        <w:t xml:space="preserve">the vigilance or continuous normal work processes of </w:t>
      </w:r>
      <w:r w:rsidR="00BD5317">
        <w:t xml:space="preserve">conflict detection </w:t>
      </w:r>
      <w:r w:rsidR="00E812A0">
        <w:t>are</w:t>
      </w:r>
      <w:r w:rsidR="00BD5317">
        <w:t xml:space="preserve"> captured in the HTA as a repeating process whereby the controller has multiple opportunities to spot the possible problem</w:t>
      </w:r>
      <w:r w:rsidR="008D28C6">
        <w:t xml:space="preserve"> </w:t>
      </w:r>
      <w:r w:rsidR="00EC16E8">
        <w:t xml:space="preserve">before it occurs as opposed to an event tree analysis </w:t>
      </w:r>
      <w:r w:rsidR="008D28C6">
        <w:t>that recognises when the detection has failed and the barrier has been breached.</w:t>
      </w:r>
    </w:p>
    <w:p w14:paraId="16FA39C7" w14:textId="5DEF88DE" w:rsidR="005D1DAD" w:rsidRDefault="004919C1" w:rsidP="00954248">
      <w:r>
        <w:rPr>
          <w:noProof/>
        </w:rPr>
        <mc:AlternateContent>
          <mc:Choice Requires="wps">
            <w:drawing>
              <wp:anchor distT="0" distB="0" distL="114300" distR="114300" simplePos="0" relativeHeight="251658242" behindDoc="0" locked="0" layoutInCell="1" allowOverlap="1" wp14:anchorId="7B35B6BF" wp14:editId="64357DD1">
                <wp:simplePos x="0" y="0"/>
                <wp:positionH relativeFrom="column">
                  <wp:posOffset>2679826</wp:posOffset>
                </wp:positionH>
                <wp:positionV relativeFrom="paragraph">
                  <wp:posOffset>1515908</wp:posOffset>
                </wp:positionV>
                <wp:extent cx="375719" cy="230864"/>
                <wp:effectExtent l="19050" t="19050" r="24765" b="17145"/>
                <wp:wrapNone/>
                <wp:docPr id="27" name="Rectangle 27"/>
                <wp:cNvGraphicFramePr/>
                <a:graphic xmlns:a="http://schemas.openxmlformats.org/drawingml/2006/main">
                  <a:graphicData uri="http://schemas.microsoft.com/office/word/2010/wordprocessingShape">
                    <wps:wsp>
                      <wps:cNvSpPr/>
                      <wps:spPr>
                        <a:xfrm>
                          <a:off x="0" y="0"/>
                          <a:ext cx="375719" cy="230864"/>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3A74B" id="Rectangle 27" o:spid="_x0000_s1026" style="position:absolute;margin-left:211pt;margin-top:119.35pt;width:29.6pt;height:18.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" filled="f" strokecolor="red" strokeweight="2.25pt"/>
            </w:pict>
          </mc:Fallback>
        </mc:AlternateContent>
      </w:r>
      <w:r w:rsidR="00667070">
        <w:rPr>
          <w:noProof/>
        </w:rPr>
        <w:drawing>
          <wp:inline distT="0" distB="0" distL="0" distR="0" wp14:anchorId="68B4337D" wp14:editId="727F741F">
            <wp:extent cx="5731510" cy="1777365"/>
            <wp:effectExtent l="0" t="0" r="254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a:blip r:embed="rId8"/>
                    <a:stretch>
                      <a:fillRect/>
                    </a:stretch>
                  </pic:blipFill>
                  <pic:spPr>
                    <a:xfrm>
                      <a:off x="0" y="0"/>
                      <a:ext cx="5731510" cy="1777365"/>
                    </a:xfrm>
                    <a:prstGeom prst="rect">
                      <a:avLst/>
                    </a:prstGeom>
                  </pic:spPr>
                </pic:pic>
              </a:graphicData>
            </a:graphic>
          </wp:inline>
        </w:drawing>
      </w:r>
    </w:p>
    <w:p w14:paraId="55E0B1B5" w14:textId="681AF598" w:rsidR="004A48B5" w:rsidRDefault="004A48B5" w:rsidP="004A48B5">
      <w:pPr>
        <w:pStyle w:val="Caption"/>
      </w:pPr>
      <w:bookmarkStart w:id="1" w:name="_Ref49760087"/>
      <w:r>
        <w:t xml:space="preserve">Figure </w:t>
      </w:r>
      <w:r w:rsidR="00881249">
        <w:fldChar w:fldCharType="begin"/>
      </w:r>
      <w:r w:rsidR="00881249">
        <w:instrText xml:space="preserve"> SEQ Figure \* ARABIC </w:instrText>
      </w:r>
      <w:r w:rsidR="00881249">
        <w:fldChar w:fldCharType="separate"/>
      </w:r>
      <w:r w:rsidR="005156EC">
        <w:rPr>
          <w:noProof/>
        </w:rPr>
        <w:t>1</w:t>
      </w:r>
      <w:r w:rsidR="00881249">
        <w:rPr>
          <w:noProof/>
        </w:rPr>
        <w:fldChar w:fldCharType="end"/>
      </w:r>
      <w:bookmarkEnd w:id="1"/>
      <w:r>
        <w:t xml:space="preserve">: </w:t>
      </w:r>
      <w:r w:rsidR="00256216">
        <w:t xml:space="preserve">Simplified </w:t>
      </w:r>
      <w:r>
        <w:t>HTA of the ATC tactical tasks</w:t>
      </w:r>
      <w:r w:rsidR="00BE7A8E">
        <w:t xml:space="preserve"> that were the aim of the TOI</w:t>
      </w:r>
    </w:p>
    <w:p w14:paraId="253C9E88" w14:textId="6754CD28" w:rsidR="00E328F4" w:rsidRDefault="00DD2CEE" w:rsidP="00E328F4">
      <w:pPr>
        <w:pStyle w:val="Heading3"/>
      </w:pPr>
      <w:r>
        <w:t xml:space="preserve">Exploring </w:t>
      </w:r>
      <w:r w:rsidR="00E328F4">
        <w:t>Adaptation</w:t>
      </w:r>
      <w:r w:rsidR="00D82C1E">
        <w:t xml:space="preserve"> (HTA)</w:t>
      </w:r>
    </w:p>
    <w:p w14:paraId="219A7C3C" w14:textId="05A6574D" w:rsidR="00E328F4" w:rsidRDefault="00E328F4" w:rsidP="00E328F4">
      <w:r>
        <w:t xml:space="preserve">The HTA is particularly useful in describing the structure </w:t>
      </w:r>
      <w:r w:rsidR="001228E5">
        <w:t xml:space="preserve">(Procedures &amp; Rules) </w:t>
      </w:r>
      <w:r>
        <w:t xml:space="preserve">of the normal work of the controller. In many respects the HTA can be built from knowledge of the </w:t>
      </w:r>
      <w:r w:rsidR="00257E09">
        <w:t>proc</w:t>
      </w:r>
      <w:r w:rsidR="001228E5">
        <w:t>esses</w:t>
      </w:r>
      <w:r>
        <w:t xml:space="preserve"> governing the work: the work-as-imagined </w:t>
      </w:r>
      <w:r>
        <w:fldChar w:fldCharType="begin" w:fldLock="1"/>
      </w:r>
      <w:r>
        <w:instrText>ADDIN CSL_CITATION {"citationItems":[{"id":"ITEM-1","itemData":{"DOI":"10.1016/S0003-6870(03)00031-0","ISBN":"4113282579","ISSN":"00036870","PMID":"12737923","abstract":"This paper introduces two models on procedures and safety and assesses the practical consequences these have for organizations trying to make progress on safety through procedures. The application of procedures is contrasted as rote rule following versus substantive cognitive activity. It reveals a fundamental double bind: operators can fail to adapt procedures when adapting proved necessary, or attempt procedural adaptations that may fail. Rather than simply increasing pressure to comply, organizations should invest in their understanding of the gap between procedures and practice, and help develop operators' skill at adapting. © 2003 Elsevier Science Ltd. All rights reserved.","author":[{"dropping-particle":"","family":"Dekker","given":"Sidney W.A.","non-dropping-particle":"","parse-names":false,"suffix":""}],"container-title":"Applied Ergonomics","id":"ITEM-1","issue":"3","issued":{"date-parts":[["2003"]]},"note":"From Duplicate 1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successfully.\n\nFrom Duplicate 2 (Failure to adapt or adaptations that fail: Contrasting models on procedures and safety - Dekker, Sidney W.A.)\n\nFrom Duplicate 2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successfully.","page":"233-238","title":"Failure to adapt or adaptations that fail: Contrasting models on procedures and safety","type":"article-journal","volume":"34"},"uris":["http://www.mendeley.com/documents/?uuid=28447276-b2e3-4553-9f2c-a4aea3309764"]}],"mendeley":{"formattedCitation":"(Dekker, 2003)","plainTextFormattedCitation":"(Dekker, 2003)","previouslyFormattedCitation":"(Dekker, 2003)"},"properties":{"noteIndex":0},"schema":"https://github.com/citation-style-language/schema/raw/master/csl-citation.json"}</w:instrText>
      </w:r>
      <w:r>
        <w:fldChar w:fldCharType="separate"/>
      </w:r>
      <w:r w:rsidRPr="00EB288A">
        <w:rPr>
          <w:noProof/>
        </w:rPr>
        <w:t>(Dekker, 2003)</w:t>
      </w:r>
      <w:r>
        <w:fldChar w:fldCharType="end"/>
      </w:r>
      <w:r>
        <w:t>. This c</w:t>
      </w:r>
      <w:r w:rsidR="001228E5">
        <w:t>ould</w:t>
      </w:r>
      <w:r>
        <w:t xml:space="preserve"> then be supplemented by ethnographic studies of controllers to identify the reactive and continuous nature of many of the tasks and the learned strategies that achieve efficiencies and manage unpredictability.</w:t>
      </w:r>
    </w:p>
    <w:p w14:paraId="3E9CBF72" w14:textId="77777777" w:rsidR="00E328F4" w:rsidRDefault="00E328F4" w:rsidP="00E328F4">
      <w:r>
        <w:t xml:space="preserve">However, when considering the phraseology change introduced by the TOI it is apparent that the intervention did not affect the fundamental task description or the planned sequence of tasks. </w:t>
      </w:r>
      <w:r>
        <w:lastRenderedPageBreak/>
        <w:t>Therefore, a far greater depth of analysis is necessary to reach the subtle and emergent consequences on performance from the TOI.</w:t>
      </w:r>
    </w:p>
    <w:p w14:paraId="1E69545A" w14:textId="453148DE" w:rsidR="00E328F4" w:rsidRDefault="00E328F4" w:rsidP="00E328F4">
      <w:r>
        <w:t>At the lowest levels of the HTA, the TOI affects the ‘Execute Plan’ task and its ‘Issue Control Instructions’ sub-task since it adds phraseology, and so lengthens, this instruction. However, the consequences of this are not readily captured. The interruption to the flow of work from the reported requests from aircraft for clarification affect the ‘Process/Respond to aircraft requests’ sub-tasks on the ‘reactive’ branch of the HTA resulting in a possible increase in the frequency of these tasks. However, it is not clear how the HTA would help identify the interactions between a minor change in one sub-task and the interactions with other tasks in other branches. The HTA task also does not adequately capture the depth and nuance of the interface between the pilot and controller. Whilst the ‘conformance monitoring sub-task’ includes the detection of an incorrect readback, the specific detail that was highlighted in the controller safety observations on the TOI of ‘aircraft failing to readback the required pressure instruction’ is not brought out at this level of detail and the HTA would need to be expanded to a far greater depth, and need the requisite imagination to identify these possibilities, to capture the potential for these issues.</w:t>
      </w:r>
    </w:p>
    <w:p w14:paraId="49D5D5AA" w14:textId="6B3EC750" w:rsidR="00E328F4" w:rsidRDefault="00E328F4" w:rsidP="00E328F4">
      <w:r>
        <w:t xml:space="preserve">This is the fundamental limitation of the HTA analysis. Whilst the analysis benefits from the structured notation-style for the work-as-imagined, the specific strategies and informal practices in use, the work-as-done, and the means of achieving the task are not necessarily brought to the fore. Similarly, the fluid nature of work, with its trade-offs and in-the-moment improvisation, is at odds with the purpose of the method which provides a descriptive structure for the work. The administrative burden to describe and then maintain such a detailed in-depth work-as-done structure also calls to mind the views of Dekker </w:t>
      </w:r>
      <w:r>
        <w:fldChar w:fldCharType="begin" w:fldLock="1"/>
      </w:r>
      <w:r>
        <w:instrText>ADDIN CSL_CITATION {"citationItems":[{"id":"ITEM-1","itemData":{"ISBN":"9781409422228","author":[{"dropping-particle":"","family":"Dekker","given":"Sidney W.A.","non-dropping-particle":"","parse-names":false,"suffix":""}],"container-title":"Farnham: Ashgate","id":"ITEM-1","issued":{"date-parts":[["2011"]]},"note":"Focus on complexity theory and systems thinking to understand high risk complex systems. More akin to organic systems than machines.\nMove on from Newtonian-Cartesian world view - too limiting. Critical of linear approaches.\nThe fallacy of rational choice in making safety decisions.\nIntroduces the ideas of complex systems and some of their properties - local rationality, goal conflicts, unruly technology, breakdown of protective structures within the system. \nLots of links to the language of biology.\nSystems can no longer be understood in isolation.","title":"Drift into failure","type":"book"},"suppress-author":1,"uris":["http://www.mendeley.com/documents/?uuid=218351e1-798e-4123-adbf-0f46814e6cfc"]}],"mendeley":{"formattedCitation":"(2011)","plainTextFormattedCitation":"(2011)","previouslyFormattedCitation":"(2011)"},"properties":{"noteIndex":0},"schema":"https://github.com/citation-style-language/schema/raw/master/csl-citation.json"}</w:instrText>
      </w:r>
      <w:r>
        <w:fldChar w:fldCharType="separate"/>
      </w:r>
      <w:r w:rsidRPr="007C3F48">
        <w:rPr>
          <w:noProof/>
        </w:rPr>
        <w:t>(2011)</w:t>
      </w:r>
      <w:r>
        <w:fldChar w:fldCharType="end"/>
      </w:r>
      <w:r>
        <w:t xml:space="preserve"> on formal descriptions of work always being incomplete or out-of-date as soon as they are written down. However, the notation that HTA provides is a useful structure to make sense of the work that can support other methods in keeping with its emerging practical use as a starting point for further analysis </w:t>
      </w:r>
      <w:r>
        <w:fldChar w:fldCharType="begin" w:fldLock="1"/>
      </w:r>
      <w:r>
        <w:instrText>ADDIN CSL_CITATION {"citationItems":[{"id":"ITEM-1","itemData":{"DOI":"10.1016/j.apergo.2005.06.003","ISSN":"00036870","PMID":"16139236","abstract":"Hierarchical task analysis (HTA) is a core ergonomics approach with a pedigree of over 30 years continuous use. At its heart, HTA is based upon a theory of performance and has only three governing principles. Originally developed as a means of determining training requirements, there was no way the initial pioneers of HTA could have foreseen the extent of its success. HTA has endured as a way of representing a system sub-goal hierarchy for extended analysis. It has been used for a range of applications, including interface design and evaluation, allocation of function, job aid design, error prediction, and workload assessment. Ergonomists are still developing new ways of using HTA which has assured the continued use of the approach for the foreseeable future. © 2005 Elsevier Ltd. All rights reserved.","author":[{"dropping-particle":"","family":"Stanton","given":"Neville A.","non-dropping-particle":"","parse-names":false,"suffix":""}],"container-title":"Applied Ergonomics","id":"ITEM-1","issue":"1 SPEC. ISS.","issued":{"date-parts":[["2006"]]},"page":"55-79","publisher":"Elsevier Ltd","title":"Hierarchical task analysis: Developments, applications, and extensions","type":"article-journal","volume":"37"},"uris":["http://www.mendeley.com/documents/?uuid=8ba1df42-96a7-45cc-865c-e279085028d5"]}],"mendeley":{"formattedCitation":"(Stanton, 2006)","plainTextFormattedCitation":"(Stanton, 2006)","previouslyFormattedCitation":"(Stanton, 2006)"},"properties":{"noteIndex":0},"schema":"https://github.com/citation-style-language/schema/raw/master/csl-citation.json"}</w:instrText>
      </w:r>
      <w:r>
        <w:fldChar w:fldCharType="separate"/>
      </w:r>
      <w:r w:rsidRPr="00302C89">
        <w:rPr>
          <w:noProof/>
        </w:rPr>
        <w:t>(Stanton, 2006)</w:t>
      </w:r>
      <w:r>
        <w:fldChar w:fldCharType="end"/>
      </w:r>
      <w:r>
        <w:t xml:space="preserve">. </w:t>
      </w:r>
    </w:p>
    <w:p w14:paraId="746248DB" w14:textId="0363D72E" w:rsidR="002A7357" w:rsidRDefault="002A7357" w:rsidP="001956DD">
      <w:pPr>
        <w:pStyle w:val="Heading2"/>
      </w:pPr>
      <w:r>
        <w:t xml:space="preserve">Systems Theoretic </w:t>
      </w:r>
      <w:r w:rsidR="00852DFC">
        <w:t>Accident Model and Processes</w:t>
      </w:r>
      <w:r w:rsidR="006779F2">
        <w:t xml:space="preserve"> </w:t>
      </w:r>
      <w:r w:rsidR="0082559F">
        <w:t>(STAMP)</w:t>
      </w:r>
    </w:p>
    <w:p w14:paraId="2842B8E2" w14:textId="5058B8CA" w:rsidR="00DD2CEE" w:rsidRPr="00DD2CEE" w:rsidRDefault="00DD2CEE" w:rsidP="00EA3F05">
      <w:pPr>
        <w:pStyle w:val="Heading3"/>
      </w:pPr>
      <w:r>
        <w:t>Application</w:t>
      </w:r>
    </w:p>
    <w:p w14:paraId="1DCF923C" w14:textId="77777777" w:rsidR="00881CDF" w:rsidRDefault="00F54B33" w:rsidP="00954248">
      <w:r>
        <w:t xml:space="preserve">A STAMP </w:t>
      </w:r>
      <w:r w:rsidR="004214F0">
        <w:t xml:space="preserve">control loop </w:t>
      </w:r>
      <w:r w:rsidR="005658E6">
        <w:t>model</w:t>
      </w:r>
      <w:r w:rsidR="004214F0">
        <w:t xml:space="preserve"> </w:t>
      </w:r>
      <w:r w:rsidR="00BA1154">
        <w:t xml:space="preserve">was </w:t>
      </w:r>
      <w:r w:rsidR="004214F0">
        <w:t xml:space="preserve">developed </w:t>
      </w:r>
      <w:r w:rsidR="001C2760">
        <w:t>to illustrate the</w:t>
      </w:r>
      <w:r w:rsidR="004214F0">
        <w:t xml:space="preserve"> organisational </w:t>
      </w:r>
      <w:r w:rsidR="001C2760">
        <w:t xml:space="preserve">expectations and </w:t>
      </w:r>
      <w:r w:rsidR="007B5BCD">
        <w:t xml:space="preserve">the </w:t>
      </w:r>
      <w:r w:rsidR="001C2760">
        <w:t>control mechanisms in place</w:t>
      </w:r>
      <w:r w:rsidR="00BC6161">
        <w:t xml:space="preserve"> within air navigation service provision</w:t>
      </w:r>
      <w:r w:rsidR="001C2760">
        <w:t>.</w:t>
      </w:r>
      <w:r w:rsidR="001B69D8">
        <w:t xml:space="preserve"> A hierarchical control structure </w:t>
      </w:r>
      <w:r w:rsidR="007D4292">
        <w:t>of the as-found</w:t>
      </w:r>
      <w:r w:rsidR="00A33A5F">
        <w:t xml:space="preserve"> </w:t>
      </w:r>
      <w:r w:rsidR="007D4292">
        <w:t xml:space="preserve">control structure </w:t>
      </w:r>
      <w:r w:rsidR="005658E6">
        <w:t>was</w:t>
      </w:r>
      <w:r w:rsidR="00590FA6">
        <w:t xml:space="preserve"> modelled</w:t>
      </w:r>
      <w:r w:rsidR="0001021E">
        <w:t xml:space="preserve"> (see </w:t>
      </w:r>
      <w:r w:rsidR="0001021E">
        <w:fldChar w:fldCharType="begin"/>
      </w:r>
      <w:r w:rsidR="0001021E">
        <w:instrText xml:space="preserve"> REF _Ref48648812 \h </w:instrText>
      </w:r>
      <w:r w:rsidR="0001021E">
        <w:fldChar w:fldCharType="separate"/>
      </w:r>
      <w:r w:rsidR="00A75877">
        <w:t xml:space="preserve">Figure </w:t>
      </w:r>
      <w:r w:rsidR="00A75877">
        <w:rPr>
          <w:noProof/>
        </w:rPr>
        <w:t>2</w:t>
      </w:r>
      <w:r w:rsidR="0001021E">
        <w:fldChar w:fldCharType="end"/>
      </w:r>
      <w:r w:rsidR="006757D7">
        <w:t xml:space="preserve"> and </w:t>
      </w:r>
      <w:r w:rsidR="006757D7">
        <w:fldChar w:fldCharType="begin"/>
      </w:r>
      <w:r w:rsidR="006757D7">
        <w:instrText xml:space="preserve"> REF _Ref48648875 \h </w:instrText>
      </w:r>
      <w:r w:rsidR="006757D7">
        <w:fldChar w:fldCharType="separate"/>
      </w:r>
      <w:r w:rsidR="00A75877">
        <w:t xml:space="preserve">Figure </w:t>
      </w:r>
      <w:r w:rsidR="00A75877">
        <w:rPr>
          <w:noProof/>
        </w:rPr>
        <w:t>3</w:t>
      </w:r>
      <w:r w:rsidR="006757D7">
        <w:fldChar w:fldCharType="end"/>
      </w:r>
      <w:r w:rsidR="0001021E">
        <w:t>)</w:t>
      </w:r>
      <w:r w:rsidR="009519E0">
        <w:t>,</w:t>
      </w:r>
      <w:r w:rsidR="00590FA6">
        <w:t xml:space="preserve"> </w:t>
      </w:r>
      <w:r w:rsidR="009519E0">
        <w:t xml:space="preserve">to analyse the motivation behind the introduction of the TOI, </w:t>
      </w:r>
      <w:r w:rsidR="00590FA6">
        <w:t xml:space="preserve">and then analysed </w:t>
      </w:r>
      <w:r w:rsidR="0047373F">
        <w:t>for possible flawed controls</w:t>
      </w:r>
      <w:r w:rsidR="009519E0">
        <w:t xml:space="preserve"> and disruption to the</w:t>
      </w:r>
      <w:r w:rsidR="0047373F">
        <w:t xml:space="preserve"> feedback loops.</w:t>
      </w:r>
    </w:p>
    <w:p w14:paraId="0DC3E451" w14:textId="19C4749B" w:rsidR="006306F0" w:rsidRDefault="003B5F6B" w:rsidP="00954248">
      <w:r>
        <w:t xml:space="preserve">The </w:t>
      </w:r>
      <w:r w:rsidR="00ED673C">
        <w:t xml:space="preserve">development branch of a </w:t>
      </w:r>
      <w:r>
        <w:t xml:space="preserve">STAMP </w:t>
      </w:r>
      <w:r w:rsidR="00533206">
        <w:t xml:space="preserve">model </w:t>
      </w:r>
      <w:r w:rsidR="00144244">
        <w:t xml:space="preserve">for ATC </w:t>
      </w:r>
      <w:r w:rsidR="00533206">
        <w:t xml:space="preserve">extends from </w:t>
      </w:r>
      <w:r w:rsidR="004A6995">
        <w:t xml:space="preserve">supra-national </w:t>
      </w:r>
      <w:r w:rsidR="001F4283">
        <w:t>organisations</w:t>
      </w:r>
      <w:r w:rsidR="00210BAA">
        <w:t xml:space="preserve"> </w:t>
      </w:r>
      <w:r w:rsidR="00881CDF">
        <w:t xml:space="preserve">such as the International Civil Aviation Organisation </w:t>
      </w:r>
      <w:r w:rsidR="00210BAA">
        <w:t>(</w:t>
      </w:r>
      <w:r w:rsidR="001F4283">
        <w:t>ICAO</w:t>
      </w:r>
      <w:r w:rsidR="00210BAA">
        <w:t>)</w:t>
      </w:r>
      <w:r w:rsidR="001F4283">
        <w:t xml:space="preserve"> </w:t>
      </w:r>
      <w:r w:rsidR="001C0062">
        <w:t xml:space="preserve">and the European Aviation Safety Agency (EASA) </w:t>
      </w:r>
      <w:r w:rsidR="001F4283">
        <w:t xml:space="preserve">to regional and </w:t>
      </w:r>
      <w:r w:rsidR="00927AC7">
        <w:t xml:space="preserve">State-level </w:t>
      </w:r>
      <w:r w:rsidR="00BA7934">
        <w:t xml:space="preserve">regulatory </w:t>
      </w:r>
      <w:r w:rsidR="00927AC7">
        <w:t xml:space="preserve">oversight of air navigation </w:t>
      </w:r>
      <w:r w:rsidR="00210BAA">
        <w:t>services</w:t>
      </w:r>
      <w:r w:rsidR="001C0062">
        <w:t xml:space="preserve"> such as the Civil Aviation Authority (CAA)</w:t>
      </w:r>
      <w:r w:rsidR="005C0E37">
        <w:t>. It continue</w:t>
      </w:r>
      <w:r w:rsidR="00C05967">
        <w:t>s</w:t>
      </w:r>
      <w:r w:rsidR="001F4283">
        <w:t xml:space="preserve"> </w:t>
      </w:r>
      <w:r w:rsidR="00EB4B4D">
        <w:t xml:space="preserve">down </w:t>
      </w:r>
      <w:r w:rsidR="00927AC7">
        <w:t xml:space="preserve">through the multitude of </w:t>
      </w:r>
      <w:r w:rsidR="00640083">
        <w:t xml:space="preserve">organisational </w:t>
      </w:r>
      <w:r w:rsidR="00927AC7">
        <w:t>layers</w:t>
      </w:r>
      <w:r w:rsidR="00BA7934">
        <w:t xml:space="preserve"> </w:t>
      </w:r>
      <w:r w:rsidR="005C0E37">
        <w:t>of</w:t>
      </w:r>
      <w:r w:rsidR="00BA7934">
        <w:t xml:space="preserve"> the </w:t>
      </w:r>
      <w:r w:rsidR="001902F9">
        <w:t xml:space="preserve">service delivery organisation and then </w:t>
      </w:r>
      <w:r w:rsidR="00927AC7">
        <w:t xml:space="preserve">across and within </w:t>
      </w:r>
      <w:r w:rsidR="001902F9">
        <w:t xml:space="preserve">these </w:t>
      </w:r>
      <w:r w:rsidR="005C0E37">
        <w:t>layers</w:t>
      </w:r>
      <w:r w:rsidR="00927AC7">
        <w:t xml:space="preserve"> </w:t>
      </w:r>
      <w:r w:rsidR="00640083">
        <w:t xml:space="preserve">to the supervisory air traffic control </w:t>
      </w:r>
      <w:r w:rsidR="00D37FFE">
        <w:t>roles</w:t>
      </w:r>
      <w:r w:rsidR="00640083">
        <w:t xml:space="preserve"> </w:t>
      </w:r>
      <w:r w:rsidR="00407C65">
        <w:t>and to the</w:t>
      </w:r>
      <w:r w:rsidR="003E0671">
        <w:t xml:space="preserve"> front-line</w:t>
      </w:r>
      <w:r w:rsidR="00407C65">
        <w:t xml:space="preserve"> controller.</w:t>
      </w:r>
    </w:p>
    <w:p w14:paraId="2C8B780F" w14:textId="20BA196E" w:rsidR="006306F0" w:rsidRDefault="00B42FA8" w:rsidP="00954248">
      <w:r>
        <w:t>The STAMP analysis highlights the</w:t>
      </w:r>
      <w:r w:rsidR="003434B1">
        <w:t xml:space="preserve"> safety</w:t>
      </w:r>
      <w:r>
        <w:t xml:space="preserve"> </w:t>
      </w:r>
      <w:r w:rsidR="00156FC0">
        <w:t xml:space="preserve">targets and key performance indicators </w:t>
      </w:r>
      <w:r w:rsidR="004119AA">
        <w:t xml:space="preserve">that </w:t>
      </w:r>
      <w:r w:rsidR="003434B1">
        <w:t>are cascaded down</w:t>
      </w:r>
      <w:r w:rsidR="004119AA">
        <w:t xml:space="preserve"> and how </w:t>
      </w:r>
      <w:r w:rsidR="00067C41">
        <w:t xml:space="preserve">these high-level targets </w:t>
      </w:r>
      <w:r w:rsidR="008F45C7">
        <w:t>are translated</w:t>
      </w:r>
      <w:r w:rsidR="00067C41">
        <w:t xml:space="preserve"> into more detailed safety measures </w:t>
      </w:r>
      <w:r w:rsidR="00643B0F">
        <w:t>once they are within t</w:t>
      </w:r>
      <w:r w:rsidR="00BD5A84">
        <w:t>h</w:t>
      </w:r>
      <w:r w:rsidR="00643B0F">
        <w:t xml:space="preserve">e service delivery organisation. </w:t>
      </w:r>
      <w:r w:rsidR="00CC1C2F">
        <w:t>T</w:t>
      </w:r>
      <w:r w:rsidR="008F45C7">
        <w:t>hese</w:t>
      </w:r>
      <w:r w:rsidR="00BD5A84">
        <w:t xml:space="preserve"> </w:t>
      </w:r>
      <w:r w:rsidR="00C13159">
        <w:t xml:space="preserve">more detailed measures </w:t>
      </w:r>
      <w:r w:rsidR="00CC1C2F">
        <w:t>become</w:t>
      </w:r>
      <w:r w:rsidR="00C13159">
        <w:t xml:space="preserve"> more closely attuned to the work and the risk perceptions of the organisation</w:t>
      </w:r>
      <w:r w:rsidR="00497F2F">
        <w:t>al actors</w:t>
      </w:r>
      <w:r w:rsidR="00E50648">
        <w:t xml:space="preserve"> lower down the model</w:t>
      </w:r>
      <w:r w:rsidR="0097632C">
        <w:t xml:space="preserve">. </w:t>
      </w:r>
      <w:r w:rsidR="00497F2F">
        <w:t xml:space="preserve">As such the </w:t>
      </w:r>
      <w:r w:rsidR="00C13159">
        <w:t xml:space="preserve">measures </w:t>
      </w:r>
      <w:r w:rsidR="006069E6">
        <w:t>gradually move</w:t>
      </w:r>
      <w:r w:rsidR="004231D6">
        <w:t xml:space="preserve"> further away from the </w:t>
      </w:r>
      <w:r w:rsidR="0097632C">
        <w:t xml:space="preserve">infrequent </w:t>
      </w:r>
      <w:r w:rsidR="004231D6">
        <w:t>accident</w:t>
      </w:r>
      <w:r w:rsidR="006069E6">
        <w:t>, a poor measure of control,</w:t>
      </w:r>
      <w:r w:rsidR="004231D6">
        <w:t xml:space="preserve"> </w:t>
      </w:r>
      <w:r w:rsidR="0097632C">
        <w:t xml:space="preserve">and </w:t>
      </w:r>
      <w:r w:rsidR="00CF0089">
        <w:t>instead use</w:t>
      </w:r>
      <w:r w:rsidR="0097632C">
        <w:t xml:space="preserve"> more frequent </w:t>
      </w:r>
      <w:r w:rsidR="00181A2E">
        <w:t xml:space="preserve">process </w:t>
      </w:r>
      <w:r w:rsidR="0097632C">
        <w:t xml:space="preserve">measures </w:t>
      </w:r>
      <w:r w:rsidR="00181A2E">
        <w:t>relating to</w:t>
      </w:r>
      <w:r w:rsidR="0097632C">
        <w:t xml:space="preserve"> </w:t>
      </w:r>
      <w:r w:rsidR="004231D6">
        <w:t xml:space="preserve">accident precursors and </w:t>
      </w:r>
      <w:r w:rsidR="004231D6">
        <w:lastRenderedPageBreak/>
        <w:t>s</w:t>
      </w:r>
      <w:r w:rsidR="00CB1F75">
        <w:t>urrogates</w:t>
      </w:r>
      <w:r w:rsidR="00CF0089">
        <w:t xml:space="preserve"> such as level busts</w:t>
      </w:r>
      <w:r w:rsidR="00D413A8">
        <w:t xml:space="preserve"> which were the focus of the TOI</w:t>
      </w:r>
      <w:r w:rsidR="004231D6">
        <w:t xml:space="preserve">. </w:t>
      </w:r>
      <w:r w:rsidR="00131971">
        <w:t xml:space="preserve">The cultural pressures that </w:t>
      </w:r>
      <w:r w:rsidR="00BC70E1">
        <w:t xml:space="preserve">the </w:t>
      </w:r>
      <w:r w:rsidR="00131971">
        <w:t>measures</w:t>
      </w:r>
      <w:r w:rsidR="00870D5D">
        <w:t xml:space="preserve"> create are implied but not explicitly called out</w:t>
      </w:r>
      <w:r w:rsidR="008D2C75">
        <w:t xml:space="preserve"> in the model</w:t>
      </w:r>
      <w:r w:rsidR="00870D5D">
        <w:t>.</w:t>
      </w:r>
    </w:p>
    <w:p w14:paraId="3C8B7AF1" w14:textId="5DE43BA5" w:rsidR="00CB41EB" w:rsidRDefault="00902E8B" w:rsidP="00954248">
      <w:r>
        <w:t>The control structure then describes the mechanisms for action to address these measures</w:t>
      </w:r>
      <w:r w:rsidR="000A5B5D">
        <w:t xml:space="preserve"> based on the analysis of </w:t>
      </w:r>
      <w:r w:rsidR="008D2C75">
        <w:t xml:space="preserve">the </w:t>
      </w:r>
      <w:r w:rsidR="000A5B5D">
        <w:t>cause</w:t>
      </w:r>
      <w:r w:rsidR="008D2C75">
        <w:t>s</w:t>
      </w:r>
      <w:r w:rsidR="000A5B5D">
        <w:t xml:space="preserve"> of these precursors</w:t>
      </w:r>
      <w:r w:rsidR="003D4B24">
        <w:t xml:space="preserve"> and the development and risk assessment of </w:t>
      </w:r>
      <w:r w:rsidR="008D2C75">
        <w:t>intervention</w:t>
      </w:r>
      <w:r w:rsidR="003D4B24">
        <w:t xml:space="preserve"> actions</w:t>
      </w:r>
      <w:r>
        <w:t>.</w:t>
      </w:r>
      <w:r w:rsidR="003803C8">
        <w:t xml:space="preserve"> The TOI is therefore </w:t>
      </w:r>
      <w:r w:rsidR="00CF42CF">
        <w:t xml:space="preserve">the actuation mechanism that forms the crossover </w:t>
      </w:r>
      <w:r w:rsidR="00BE31D0">
        <w:t>to the operations</w:t>
      </w:r>
      <w:r w:rsidR="00A74E32">
        <w:t xml:space="preserve"> branch </w:t>
      </w:r>
      <w:r w:rsidR="00CF42CF">
        <w:t xml:space="preserve">of the </w:t>
      </w:r>
      <w:r w:rsidR="00585B46">
        <w:t xml:space="preserve">STAMP </w:t>
      </w:r>
      <w:r w:rsidR="00CF42CF">
        <w:t xml:space="preserve">model. </w:t>
      </w:r>
      <w:r w:rsidR="00827DE8">
        <w:t xml:space="preserve">Once the TOI was </w:t>
      </w:r>
      <w:r w:rsidR="005562EC">
        <w:t>introduced into the operation</w:t>
      </w:r>
      <w:r w:rsidR="00572543">
        <w:t>,</w:t>
      </w:r>
      <w:r w:rsidR="005562EC">
        <w:t xml:space="preserve"> </w:t>
      </w:r>
      <w:r w:rsidR="00827DE8">
        <w:t xml:space="preserve">the STAMP model helps identify the </w:t>
      </w:r>
      <w:r w:rsidR="005200CA">
        <w:t xml:space="preserve">positive feedback controls that </w:t>
      </w:r>
      <w:r w:rsidR="00663F8D">
        <w:t>supported</w:t>
      </w:r>
      <w:r w:rsidR="00F31C7C">
        <w:t xml:space="preserve"> the</w:t>
      </w:r>
      <w:r w:rsidR="005200CA">
        <w:t xml:space="preserve"> identif</w:t>
      </w:r>
      <w:r w:rsidR="00F31C7C">
        <w:t>ication of</w:t>
      </w:r>
      <w:r w:rsidR="005200CA">
        <w:t xml:space="preserve"> the emergent issues with the TOI. </w:t>
      </w:r>
      <w:r w:rsidR="00A21D79">
        <w:t xml:space="preserve">The safety observations and </w:t>
      </w:r>
      <w:r w:rsidR="00F31C7C">
        <w:t xml:space="preserve">controller </w:t>
      </w:r>
      <w:r w:rsidR="00A21D79">
        <w:t xml:space="preserve">reports </w:t>
      </w:r>
      <w:r w:rsidR="00F31C7C">
        <w:t xml:space="preserve">described the </w:t>
      </w:r>
      <w:r w:rsidR="00A21D79">
        <w:t xml:space="preserve">maladaptive </w:t>
      </w:r>
      <w:r w:rsidR="00ED1430">
        <w:t xml:space="preserve">effects </w:t>
      </w:r>
      <w:r w:rsidR="00A21D79">
        <w:t xml:space="preserve">of the TOI and </w:t>
      </w:r>
      <w:r w:rsidR="00782F8C">
        <w:t xml:space="preserve">thus </w:t>
      </w:r>
      <w:r w:rsidR="00A21D79">
        <w:t xml:space="preserve">the </w:t>
      </w:r>
      <w:r w:rsidR="00D3542C">
        <w:t xml:space="preserve">flaws in the </w:t>
      </w:r>
      <w:r w:rsidR="00B3387D">
        <w:t xml:space="preserve">controls over its development in the risk </w:t>
      </w:r>
      <w:r w:rsidR="00D3542C">
        <w:t>assessment process</w:t>
      </w:r>
      <w:r w:rsidR="00193D7C">
        <w:t xml:space="preserve"> for example, the assumptions made about airline SOPs and the effectiveness of mitigations such as the NOTAM</w:t>
      </w:r>
      <w:r w:rsidR="00E85FDD">
        <w:t>, among other weaknesses, and the different and more frequent effects experienced</w:t>
      </w:r>
      <w:r w:rsidR="00744190">
        <w:t xml:space="preserve">. </w:t>
      </w:r>
      <w:r w:rsidR="00613F98">
        <w:t>Th</w:t>
      </w:r>
      <w:r w:rsidR="00FA2AED">
        <w:t>e</w:t>
      </w:r>
      <w:r w:rsidR="00744190">
        <w:t xml:space="preserve"> STAMP model records how the</w:t>
      </w:r>
      <w:r w:rsidR="00FA2AED">
        <w:t xml:space="preserve">se issues </w:t>
      </w:r>
      <w:r w:rsidR="00744190">
        <w:t>were</w:t>
      </w:r>
      <w:r w:rsidR="00FA2AED">
        <w:t xml:space="preserve"> raised up through the </w:t>
      </w:r>
      <w:r w:rsidR="009F6125">
        <w:t xml:space="preserve">hierarchical </w:t>
      </w:r>
      <w:r w:rsidR="00FA2AED">
        <w:t xml:space="preserve">control model to the </w:t>
      </w:r>
      <w:r w:rsidR="00F455A6">
        <w:t xml:space="preserve">initiating and accountable </w:t>
      </w:r>
      <w:r w:rsidR="00BD36B1">
        <w:t xml:space="preserve">organisational actors with </w:t>
      </w:r>
      <w:r w:rsidR="00F455A6">
        <w:t>authority to rapidly curtail the trial.</w:t>
      </w:r>
      <w:r w:rsidR="00F56CF4">
        <w:t xml:space="preserve"> </w:t>
      </w:r>
      <w:r w:rsidR="00E02C62">
        <w:t xml:space="preserve">Further development of this branch of the STAMP model is superfluous since the </w:t>
      </w:r>
      <w:r w:rsidR="000267BD">
        <w:t>trial of the TOI was stopped.</w:t>
      </w:r>
    </w:p>
    <w:p w14:paraId="14CA8A81" w14:textId="66E5FA46" w:rsidR="00954248" w:rsidRDefault="00FE12DF" w:rsidP="00954248">
      <w:r>
        <w:t xml:space="preserve">The use of the </w:t>
      </w:r>
      <w:r w:rsidR="000659F4">
        <w:t>flawed control classifications as part of the STAMP analysis provide</w:t>
      </w:r>
      <w:r w:rsidR="00B419A8">
        <w:t>s</w:t>
      </w:r>
      <w:r w:rsidR="000659F4">
        <w:t xml:space="preserve"> a useful prompt to explore the weaknesses introduced by the TOI. </w:t>
      </w:r>
      <w:r w:rsidR="00C116D8">
        <w:t xml:space="preserve">For example, the </w:t>
      </w:r>
      <w:r w:rsidR="008F16C6">
        <w:t xml:space="preserve">classification system prompts </w:t>
      </w:r>
      <w:r w:rsidR="00106FE8">
        <w:t>an</w:t>
      </w:r>
      <w:r w:rsidR="008F16C6">
        <w:t xml:space="preserve"> analysis of the creation process of the TOI and the issues with </w:t>
      </w:r>
      <w:r w:rsidR="00106FE8">
        <w:t>subject matter expert</w:t>
      </w:r>
      <w:r w:rsidR="008F16C6">
        <w:t xml:space="preserve"> involvement </w:t>
      </w:r>
      <w:r w:rsidR="006F10E3">
        <w:t xml:space="preserve">in </w:t>
      </w:r>
      <w:r w:rsidR="009F5D0F">
        <w:t xml:space="preserve">the </w:t>
      </w:r>
      <w:r w:rsidR="006F10E3">
        <w:t xml:space="preserve">specification </w:t>
      </w:r>
      <w:r w:rsidR="008F16C6">
        <w:t>and risk assessment</w:t>
      </w:r>
      <w:r w:rsidR="006F10E3">
        <w:t xml:space="preserve"> of the intervention</w:t>
      </w:r>
      <w:r w:rsidR="008F16C6">
        <w:t>. Th</w:t>
      </w:r>
      <w:r w:rsidR="0057037D">
        <w:t>e classifications also</w:t>
      </w:r>
      <w:r w:rsidR="00B70BD2">
        <w:t xml:space="preserve"> highlight the </w:t>
      </w:r>
      <w:r w:rsidR="00DF604A">
        <w:t>inconsisten</w:t>
      </w:r>
      <w:r w:rsidR="00B70BD2">
        <w:t>cies between the work-as-imagined</w:t>
      </w:r>
      <w:r w:rsidR="001411CD">
        <w:t xml:space="preserve"> (i.e., System Development)</w:t>
      </w:r>
      <w:r w:rsidR="00B70BD2">
        <w:t xml:space="preserve"> and work-as-done </w:t>
      </w:r>
      <w:r w:rsidR="001411CD">
        <w:t xml:space="preserve">(i.e., System Operation) </w:t>
      </w:r>
      <w:r w:rsidR="001C0190">
        <w:t>models of the work process</w:t>
      </w:r>
      <w:r w:rsidR="00B70BD2">
        <w:t>.</w:t>
      </w:r>
      <w:r w:rsidR="005906FF">
        <w:t xml:space="preserve"> Within the</w:t>
      </w:r>
      <w:r w:rsidR="00DF604A">
        <w:t xml:space="preserve"> work-as-done </w:t>
      </w:r>
      <w:r w:rsidR="005906FF">
        <w:t xml:space="preserve">there were a number of </w:t>
      </w:r>
      <w:r w:rsidR="008B647B">
        <w:t>process variations with controllers apply</w:t>
      </w:r>
      <w:r w:rsidR="009F5D0F">
        <w:t>ing</w:t>
      </w:r>
      <w:r w:rsidR="008B647B">
        <w:t xml:space="preserve"> informal strategies to manage the risk</w:t>
      </w:r>
      <w:r w:rsidR="00F94FC6">
        <w:t xml:space="preserve"> that were not appreciated in the specification</w:t>
      </w:r>
      <w:r w:rsidR="003C62A8">
        <w:t xml:space="preserve"> of the TOI</w:t>
      </w:r>
      <w:r w:rsidR="001B77B3">
        <w:t>, termed asynchronous evolution in the STAMP flawed classification scheme</w:t>
      </w:r>
      <w:r w:rsidR="008B647B">
        <w:t>. Similarly, inadequate coordination amongst the actors was clear through the confusion caused by non-standardised language in the phraseology change</w:t>
      </w:r>
      <w:r w:rsidR="004851D5">
        <w:t xml:space="preserve"> and the differences in UK and ICAO</w:t>
      </w:r>
      <w:r w:rsidR="00053EF7">
        <w:t xml:space="preserve"> airline SOPs</w:t>
      </w:r>
      <w:r w:rsidR="008C145F">
        <w:t xml:space="preserve"> for the expected timing of the pressure change</w:t>
      </w:r>
      <w:r w:rsidR="008B647B">
        <w:t>.</w:t>
      </w:r>
      <w:r w:rsidR="00D81CB7">
        <w:t xml:space="preserve"> Flow interruptions (from the lack of readback) and the time lag created by the extra </w:t>
      </w:r>
      <w:r w:rsidR="009704ED">
        <w:t xml:space="preserve">syllables in the instruction </w:t>
      </w:r>
      <w:r w:rsidR="00E16D2B">
        <w:t>caus</w:t>
      </w:r>
      <w:r w:rsidR="00C50B64">
        <w:t>ed</w:t>
      </w:r>
      <w:r w:rsidR="00E16D2B">
        <w:t xml:space="preserve"> delays elsewhere in the process</w:t>
      </w:r>
      <w:r w:rsidR="00F9023C">
        <w:t xml:space="preserve"> </w:t>
      </w:r>
      <w:r w:rsidR="001B77B3">
        <w:t>and these</w:t>
      </w:r>
      <w:r w:rsidR="00F9023C">
        <w:t xml:space="preserve"> </w:t>
      </w:r>
      <w:r w:rsidR="00C50B64">
        <w:t xml:space="preserve">are </w:t>
      </w:r>
      <w:r w:rsidR="00F9023C">
        <w:t>also identified by application of the control classifications in the method.</w:t>
      </w:r>
    </w:p>
    <w:p w14:paraId="363B76B2" w14:textId="4D7E736F" w:rsidR="004A48B5" w:rsidRDefault="00B438D9" w:rsidP="00954248">
      <w:r>
        <w:rPr>
          <w:noProof/>
          <w:lang w:val="en-US"/>
        </w:rPr>
        <w:lastRenderedPageBreak/>
        <w:drawing>
          <wp:inline distT="0" distB="0" distL="0" distR="0" wp14:anchorId="02C54F81" wp14:editId="683C6D70">
            <wp:extent cx="8532937" cy="5773393"/>
            <wp:effectExtent l="8255" t="0" r="0" b="0"/>
            <wp:docPr id="3" name="Picture 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564142" cy="5794506"/>
                    </a:xfrm>
                    <a:prstGeom prst="rect">
                      <a:avLst/>
                    </a:prstGeom>
                  </pic:spPr>
                </pic:pic>
              </a:graphicData>
            </a:graphic>
          </wp:inline>
        </w:drawing>
      </w:r>
    </w:p>
    <w:p w14:paraId="071F45B7" w14:textId="79E9682F" w:rsidR="00B438D9" w:rsidRDefault="00B438D9" w:rsidP="00B438D9">
      <w:pPr>
        <w:pStyle w:val="Caption"/>
      </w:pPr>
      <w:bookmarkStart w:id="2" w:name="_Ref48648812"/>
      <w:r>
        <w:t xml:space="preserve">Figure </w:t>
      </w:r>
      <w:r w:rsidR="00881249">
        <w:fldChar w:fldCharType="begin"/>
      </w:r>
      <w:r w:rsidR="00881249">
        <w:instrText xml:space="preserve"> SEQ Figure \* ARABIC </w:instrText>
      </w:r>
      <w:r w:rsidR="00881249">
        <w:fldChar w:fldCharType="separate"/>
      </w:r>
      <w:r w:rsidR="005156EC">
        <w:rPr>
          <w:noProof/>
        </w:rPr>
        <w:t>2</w:t>
      </w:r>
      <w:r w:rsidR="00881249">
        <w:rPr>
          <w:noProof/>
        </w:rPr>
        <w:fldChar w:fldCharType="end"/>
      </w:r>
      <w:bookmarkEnd w:id="2"/>
      <w:r>
        <w:t xml:space="preserve">: STAMP </w:t>
      </w:r>
      <w:r w:rsidR="00DB3E39">
        <w:t>model for the organisational</w:t>
      </w:r>
      <w:r w:rsidR="0063581B">
        <w:t xml:space="preserve"> level</w:t>
      </w:r>
      <w:r w:rsidR="00DB3E39">
        <w:t xml:space="preserve"> representation</w:t>
      </w:r>
      <w:r w:rsidR="0063581B">
        <w:t xml:space="preserve"> of the TOI introduction</w:t>
      </w:r>
    </w:p>
    <w:p w14:paraId="68EA8534" w14:textId="2ADBFEF8" w:rsidR="00DB3E39" w:rsidRDefault="008D44AE" w:rsidP="00DB3E39">
      <w:r>
        <w:rPr>
          <w:noProof/>
          <w:lang w:val="en-US"/>
        </w:rPr>
        <w:lastRenderedPageBreak/>
        <w:drawing>
          <wp:inline distT="0" distB="0" distL="0" distR="0" wp14:anchorId="46C2446A" wp14:editId="5E74332C">
            <wp:extent cx="5731510" cy="3362960"/>
            <wp:effectExtent l="0" t="0" r="2540" b="889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62960"/>
                    </a:xfrm>
                    <a:prstGeom prst="rect">
                      <a:avLst/>
                    </a:prstGeom>
                  </pic:spPr>
                </pic:pic>
              </a:graphicData>
            </a:graphic>
          </wp:inline>
        </w:drawing>
      </w:r>
    </w:p>
    <w:p w14:paraId="54D13DB8" w14:textId="1D2FDE5C" w:rsidR="008D44AE" w:rsidRDefault="008D44AE" w:rsidP="008D44AE">
      <w:pPr>
        <w:pStyle w:val="Caption"/>
      </w:pPr>
      <w:bookmarkStart w:id="3" w:name="_Ref48648875"/>
      <w:r>
        <w:t xml:space="preserve">Figure </w:t>
      </w:r>
      <w:r w:rsidR="00881249">
        <w:fldChar w:fldCharType="begin"/>
      </w:r>
      <w:r w:rsidR="00881249">
        <w:instrText xml:space="preserve"> SEQ Figure \* ARABIC </w:instrText>
      </w:r>
      <w:r w:rsidR="00881249">
        <w:fldChar w:fldCharType="separate"/>
      </w:r>
      <w:r w:rsidR="005156EC">
        <w:rPr>
          <w:noProof/>
        </w:rPr>
        <w:t>3</w:t>
      </w:r>
      <w:r w:rsidR="00881249">
        <w:rPr>
          <w:noProof/>
        </w:rPr>
        <w:fldChar w:fldCharType="end"/>
      </w:r>
      <w:bookmarkEnd w:id="3"/>
      <w:r>
        <w:t xml:space="preserve">: STAMP model for the individual </w:t>
      </w:r>
      <w:r w:rsidR="0063581B">
        <w:t>level representation of the TOI introduction</w:t>
      </w:r>
    </w:p>
    <w:p w14:paraId="50C70EEB" w14:textId="4F29B332" w:rsidR="00DD2CEE" w:rsidRDefault="00DD2CEE" w:rsidP="00DD2CEE">
      <w:pPr>
        <w:pStyle w:val="Heading3"/>
      </w:pPr>
      <w:r>
        <w:t>Exploring Adaptation</w:t>
      </w:r>
      <w:r w:rsidR="00D82C1E">
        <w:t xml:space="preserve"> (STAMP)</w:t>
      </w:r>
    </w:p>
    <w:p w14:paraId="7F9434D8" w14:textId="4CA03392" w:rsidR="00DD2CEE" w:rsidRDefault="00DD2CEE" w:rsidP="00DD2CEE">
      <w:r>
        <w:t xml:space="preserve">The STAMP model is drawn towards the control structures enacted through the procedures </w:t>
      </w:r>
      <w:r w:rsidR="00095DC4">
        <w:t xml:space="preserve">(Procedures &amp; Rules) </w:t>
      </w:r>
      <w:r>
        <w:t>described in the system and, by extension, the analysis can identify where these are flawed or violated</w:t>
      </w:r>
      <w:r w:rsidR="00095DC4">
        <w:t xml:space="preserve"> (Violations)</w:t>
      </w:r>
      <w:r>
        <w:t>. The ability of the STAMP model to describe the informal practices is possible, as alternative control structures and feedback loops, where these are identified although this would appear to require a degree of requisite imagination to break out of a perceived process control paradigm to consider that alternative models of the work may exist</w:t>
      </w:r>
      <w:r w:rsidR="00474C51">
        <w:t xml:space="preserve"> (Strategies &amp; Informal Practice)</w:t>
      </w:r>
      <w:r>
        <w:t>. This is possible with the benefit of hindsight and for a retrospective analysis</w:t>
      </w:r>
      <w:r w:rsidR="00474C51">
        <w:t xml:space="preserve"> (</w:t>
      </w:r>
      <w:r w:rsidR="00C34169">
        <w:t>Unpredictability of Consequences)</w:t>
      </w:r>
      <w:r>
        <w:t>. An evolution of STAMP exists</w:t>
      </w:r>
      <w:r w:rsidR="00112F74">
        <w:t xml:space="preserve"> to include an associated hazard </w:t>
      </w:r>
      <w:r w:rsidR="007E359D">
        <w:t>analysis technique</w:t>
      </w:r>
      <w:r>
        <w:t xml:space="preserve">: Systems Theoretic Process Analysis (STPA) </w:t>
      </w:r>
      <w:r>
        <w:fldChar w:fldCharType="begin" w:fldLock="1"/>
      </w:r>
      <w:r>
        <w:instrText>ADDIN CSL_CITATION {"citationItems":[{"id":"ITEM-1","itemData":{"DOI":"10.7551/mitpress/8179.001.0001","ISBN":"978-0-262-01662-9","abstract":"Predicting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approach.","author":[{"dropping-particle":"","family":"Leveson","given":"Nancy G.","non-dropping-particle":"","parse-names":false,"suffix":""}],"container-title":"Engineering a Safer World","id":"ITEM-1","issued":{"date-parts":[["2011"]]},"publisher":"MIT Press","title":"Engineering a Safer World","type":"book"},"uris":["http://www.mendeley.com/documents/?uuid=f728e689-4ed1-44f9-9fe3-4d5dc94f833f"]}],"mendeley":{"formattedCitation":"(Leveson, 2011)","plainTextFormattedCitation":"(Leveson, 2011)","previouslyFormattedCitation":"(Leveson, 2011)"},"properties":{"noteIndex":0},"schema":"https://github.com/citation-style-language/schema/raw/master/csl-citation.json"}</w:instrText>
      </w:r>
      <w:r>
        <w:fldChar w:fldCharType="separate"/>
      </w:r>
      <w:r w:rsidRPr="007552B4">
        <w:rPr>
          <w:noProof/>
        </w:rPr>
        <w:t>(Leveson, 2011)</w:t>
      </w:r>
      <w:r>
        <w:fldChar w:fldCharType="end"/>
      </w:r>
      <w:r>
        <w:t xml:space="preserve"> for more anticipative enquiry into the challenges of complex sociotechnical systems.</w:t>
      </w:r>
    </w:p>
    <w:p w14:paraId="10652AD6" w14:textId="3AA4EC0C" w:rsidR="0082559F" w:rsidRDefault="0082559F" w:rsidP="001956DD">
      <w:pPr>
        <w:pStyle w:val="Heading2"/>
      </w:pPr>
      <w:r>
        <w:t>Functional Re</w:t>
      </w:r>
      <w:r w:rsidR="00B312D0">
        <w:t>sonance Analysis Method (FRAM)</w:t>
      </w:r>
    </w:p>
    <w:p w14:paraId="640056CF" w14:textId="18240538" w:rsidR="00D82C1E" w:rsidRPr="00D82C1E" w:rsidRDefault="00D82C1E" w:rsidP="00EA3F05">
      <w:pPr>
        <w:pStyle w:val="Heading3"/>
      </w:pPr>
      <w:r>
        <w:t>Application</w:t>
      </w:r>
    </w:p>
    <w:p w14:paraId="50DB0B6F" w14:textId="30CA7B24" w:rsidR="009548A7" w:rsidRDefault="00D9430E" w:rsidP="00954248">
      <w:r>
        <w:t xml:space="preserve">The development of a FRAM </w:t>
      </w:r>
      <w:r w:rsidR="003B1FDA">
        <w:t>model</w:t>
      </w:r>
      <w:r>
        <w:t xml:space="preserve"> benefits from the use of </w:t>
      </w:r>
      <w:r w:rsidR="004B04BB">
        <w:t xml:space="preserve">software to support the capture of the functional </w:t>
      </w:r>
      <w:r w:rsidR="00650413">
        <w:t xml:space="preserve">links and to draw the network. </w:t>
      </w:r>
      <w:r w:rsidR="00036DE6">
        <w:t>Tools</w:t>
      </w:r>
      <w:r w:rsidR="00650413">
        <w:t xml:space="preserve"> such as myFRAM </w:t>
      </w:r>
      <w:r w:rsidR="00A12F06">
        <w:fldChar w:fldCharType="begin" w:fldLock="1"/>
      </w:r>
      <w:r w:rsidR="00C04AB4">
        <w:instrText>ADDIN CSL_CITATION {"citationItems":[{"id":"ITEM-1","itemData":{"DOI":"10.1109/ICSRS.2017.8272861","ISBN":"9781538633229","abstract":"Innovative risk and safety management models and methods are necessary for the analysis of modern socio-technical systems, which are increasingly more complex. In this context, the Functional Resonance Analysis Method (FRAM) is a recently introduced approach to deal with system's complexity, mainly for risk-related purposes. Currently, the only available IT tool for developing a FRAM analysis is the FRAM Model Visualizer (FMV), which has a static graphical-oriented structure. This paper presents the first functional version of a new open IT tool - myFRAM - developed to support the building process of a FRAM model. myFRAM helps risk and safety analysts to deal with the complexity of the representation of socio-technical systems and generate multiple support analyses. myFRAM takes advantage of FMV for graphically depicting the traditional hexagon-based model, but also allows managing data to perform a number of different analyses in an Excel-based environment. This first version can already help safety analysts in developing and exploring a FRAM model in a systematic way, and we are confident that myFRAM may become a powerful tool support for the FRAM.","author":[{"dropping-particle":"","family":"Patriarca","given":"Riccardo","non-dropping-particle":"","parse-names":false,"suffix":""},{"dropping-particle":"","family":"Gravio","given":"Giulio","non-dropping-particle":"Di","parse-names":false,"suffix":""},{"dropping-particle":"","family":"Costantino","given":"Francesco","non-dropping-particle":"","parse-names":false,"suffix":""}],"container-title":"2017 2nd International Conference on System Reliability and Safety, ICSRS 2017","id":"ITEM-1","issued":{"date-parts":[["2018"]]},"page":"439-443","title":"MyFRAM: An open tool support for the functional resonance analysis method","type":"article-journal","volume":"2018-Janua"},"uris":["http://www.mendeley.com/documents/?uuid=cde6ea12-d9c5-4c90-8b7c-bb6c6d5f5160"]}],"mendeley":{"formattedCitation":"(Patriarca, Di Gravio, &amp; Costantino, 2018)","plainTextFormattedCitation":"(Patriarca, Di Gravio, &amp; Costantino, 2018)","previouslyFormattedCitation":"(Patriarca, Di Gravio, &amp; Costantino, 2018)"},"properties":{"noteIndex":0},"schema":"https://github.com/citation-style-language/schema/raw/master/csl-citation.json"}</w:instrText>
      </w:r>
      <w:r w:rsidR="00A12F06">
        <w:fldChar w:fldCharType="separate"/>
      </w:r>
      <w:r w:rsidR="00013CAD" w:rsidRPr="00013CAD">
        <w:rPr>
          <w:noProof/>
        </w:rPr>
        <w:t>(Patriarca, Di Gravio, &amp; Costantino, 2018)</w:t>
      </w:r>
      <w:r w:rsidR="00A12F06">
        <w:fldChar w:fldCharType="end"/>
      </w:r>
      <w:r w:rsidR="00650413">
        <w:t xml:space="preserve"> and </w:t>
      </w:r>
      <w:r w:rsidR="000708C2">
        <w:t>the FRAM Model Visualiser</w:t>
      </w:r>
      <w:r w:rsidR="007976C0">
        <w:t xml:space="preserve"> (FMV)</w:t>
      </w:r>
      <w:r w:rsidR="000708C2">
        <w:t xml:space="preserve"> </w:t>
      </w:r>
      <w:r w:rsidR="00CB6C91">
        <w:t>help manage the potentially highly complex analysis of every</w:t>
      </w:r>
      <w:r w:rsidR="007D6AE9">
        <w:t xml:space="preserve"> identified</w:t>
      </w:r>
      <w:r w:rsidR="00CB6C91">
        <w:t xml:space="preserve"> function </w:t>
      </w:r>
      <w:r w:rsidR="00ED5D21">
        <w:t>against every other function’s six aspects</w:t>
      </w:r>
      <w:r w:rsidR="00FA5B1E">
        <w:t xml:space="preserve"> and provides the means to visualise and manipulate the </w:t>
      </w:r>
      <w:r w:rsidR="00F51F42">
        <w:t>functions</w:t>
      </w:r>
      <w:r w:rsidR="00FA5B1E">
        <w:t xml:space="preserve"> in the model as it is iteratively developed</w:t>
      </w:r>
      <w:r w:rsidR="00ED5D21">
        <w:t>.</w:t>
      </w:r>
      <w:r w:rsidR="00E22B37">
        <w:t xml:space="preserve"> This process is considerably helped </w:t>
      </w:r>
      <w:r w:rsidR="004D339E">
        <w:t>by the use of t</w:t>
      </w:r>
      <w:r w:rsidR="00E22B37">
        <w:t xml:space="preserve">he </w:t>
      </w:r>
      <w:r w:rsidR="00106BC9">
        <w:t xml:space="preserve">earlier </w:t>
      </w:r>
      <w:r w:rsidR="00E22B37">
        <w:t xml:space="preserve">HTA analysis since </w:t>
      </w:r>
      <w:r w:rsidR="00C10ACF">
        <w:t xml:space="preserve">the generalised ATC </w:t>
      </w:r>
      <w:r w:rsidR="00E22B37">
        <w:t xml:space="preserve">tasks </w:t>
      </w:r>
      <w:r w:rsidR="00996E68">
        <w:t>could</w:t>
      </w:r>
      <w:r w:rsidR="00E22B37">
        <w:t xml:space="preserve"> be naturally translated into </w:t>
      </w:r>
      <w:r w:rsidR="009F5585">
        <w:t>functions for the FRAM</w:t>
      </w:r>
      <w:r w:rsidR="005D2471">
        <w:t xml:space="preserve"> model</w:t>
      </w:r>
      <w:r w:rsidR="009F5585">
        <w:t xml:space="preserve">. </w:t>
      </w:r>
      <w:r w:rsidR="00BF2776">
        <w:t xml:space="preserve">This potentially addresses a criticism of FRAM </w:t>
      </w:r>
      <w:r w:rsidR="00575CA8">
        <w:fldChar w:fldCharType="begin" w:fldLock="1"/>
      </w:r>
      <w:r w:rsidR="00DF1D79">
        <w:instrText>ADDIN CSL_CITATION {"citationItems":[{"id":"ITEM-1","itemData":{"DOI":"10.1080/00140139.2013.768707","ISSN":"00140139 (ISSN)","PMID":"23514010","abstract":"In this article, an application of cognitive work analysis (CWA), using the strategies analysis diagram (SAD) method, to model performance variability in road transport, is presented. Specifically, the method was used to describe performance variability across four road user groups (drivers, cyclists, motorcyclists and pedestrians) when turning right at an urban signalised intersection. The analysis demonstrated that the method was able to identify a comprehensive range of strategies that road users can potentially use while turning right at an intersection, thereby describing a range of performance variability within intersection systems. Furthermore, the method identified constraints, disturbances, changes in circumstances and other influences on road user performance variability. It is concluded that the CWA/SAD approach was able to describe both the different ways in which activities can be executed and disturbances, situations and constraints that create performance variability. The implications of these findings for road design and intersection safety are discussed along with the benefits and drawbacks of the methodology used. Practitioner Summary: Recently, the strategies analysis diagram was proposed as a method to support the cognitive work analysis framework in modelling performance variability. This article evaluated this method within a complex sociotechnical system, namely road transport. The application provided insight into performance variability across road user groups when turning right at intersections. © 2013 Copyright Taylor and Francis Group, LLC.","author":[{"dropping-particle":"","family":"Cornelissen","given":"Miranda","non-dropping-particle":"","parse-names":false,"suffix":""},{"dropping-particle":"","family":"Salmon","given":"Paul M.","non-dropping-particle":"","parse-names":false,"suffix":""},{"dropping-particle":"","family":"McClure","given":"Roderick","non-dropping-particle":"","parse-names":false,"suffix":""},{"dropping-particle":"","family":"Stanton","given":"Neville A.","non-dropping-particle":"","parse-names":false,"suffix":""}],"container-title":"Ergonomics","id":"ITEM-1","issue":"5","issued":{"date-parts":[["2013"]]},"language":"English","note":"From Duplicate 1 (Using cognitive work analysis and the strategies analysis diagram to understand variability in road user behaviour at intersections - Cornelissen, M; Salmon, P M; McClure, R; Stanton, Neville A.)\n\nCited By :22\n\nExport Date: 20 January 2018\n\nCODEN: ERGOA\n\nCorrespondence Address: Cornelissen, M.; Monash Injury Research Institute, Monash University, Clayton, Australia; email: miranda.cornelissen@monash.edu\n\nReferences: Allaire, J.C., Marsiske, M., Intraindividual Variability May not Always Indicate Vulnerability in Elders' Cognitive Performance (2005) Psychology and Aging, 20 (3), pp. 390-401; \nAnnett, J., Duncan, K.D., Stammers, R.B., Gray, M.J., (1971) Task Analysis, , London, London: HMSO;\nBainbridge, L., Verbal Reports as Evidence of the Process Operator's Knowledge (1979) International Journal of Man-Machine Studies, 11 (4), pp. 411-436;\nBirrell, S.A., Young, M.S., Jenkins, D.P., Stanton, A.N., Cognitive Work Analysis for Safe and Efficient Driving (2012) Theoretical Issues in ErgonomicsScience, 13 (4), pp. 430-449;\nCornelissen, M., Salmon, P.M., Jenkins, D.P., Lenné, M.G., A Structured Approach to the Strategies Analysis Phase of Cognitive Work Analysis (2012) Theoretical Issues in ErgonomicsScience, pp. 1-19;\nCornelissen, M., Salmon, P.M., Young, L.K., Same But Different? Understanding Road User Behaviour at Intersections Using Cognitive Work Analysis (2012) Theoretical Issues in ErgonomicsScience, pp. 1-24;\nDeadrick, D.L., Gardner, D.G., Maximal and Typical Measures of Job Performance: An Analysis of Performance Variability Over Time (2008) Human Resource Management Review, 18 (3), pp. 133-145;\nDurugbo, C., Work Domain Analysis for Enhancing Collaborations: A Study of the Management of Microsystems Design (2012) Ergonomics, 55 (6), pp. 603-620;\nEl Esawey, M., Sayed, T., Analysis of Unconventional Arterial Intersection Designs (UAIDs): State-of-the-Art Methodologies and Future Research Directions (2012) Transportmetrica, pp. 1-36;\nElix, B., Naikar, N., Designing Safe and Effective Future Systems: A New Approach for Modelling Decisions in Future Systems with Cognitive Work Analysis (2008); Embrey, D.E., SHERPA: A Systematic Human Error Reduction and Prediction Approach (1986); England, L.I.Z., The Role of Accident Investigation in Road Safety (1981) Ergonomics, 24 (6), pp. 409-422;\nFastenmeier, W., Gstalter, H., Driving Task Analysisas a Tool in Traffic Safety Research and Practice (2007) Safety Science, 45 (9), pp. 952-979;\nGross, F., Lyon, C., Persaud, B., Srinivasan, R., Safety Effectiveness of Converting Signalized Intersections to Roundabouts (2013) Accident Analysis and Prevention, 50, pp. 234-241;\nHale, A.R., Stoop, J., Hommels, J., Human Error Models as Predictors of Accident Scenarios for Designers in Road Transport Systems (1990) Ergonomics, 33 (10-11), pp. 1377-1387;\nHassall, M.E., Sanderson, P.M., A Formative Approach to the Strategies Analysis Phase of Cognitive Work Analysis (2012) Theoretical Issues in ErgonomicsScience, pp. 1-47;\nHoareau, E., Candappa, N., Corben, B., (2011) Intersection Study: Task 1 Report: Problem Definition, , Melbourne, Melbourne: Monash Accident Research Centre;\nHollnagel, E., Understanding accidents-from root causes to performance variability (2002); Hollnagel, E., (2004) Barriers and Accident Prevention, , Aldershot, Aldershot: Ashgate Publishing;\nHollnagel, E., Resilience: The Challenge of the Unstable (2006) Resilience Engineering: Concepts and Precepts, , In: Hollnagel E., Woods D. D., Leveson N., editors Aldershot, Aldershot: Ashgate;\nHollnagel, E., (2009) The ETTO Principle: Efficiency-Thoroughness Trade-Off, , Surrey, Surrey: Ashgate;\nHollnagel, E., Kaarstad, M., Lee, H., Error Mode Prediction (1999) Ergonomics, 42 (11), pp. 1457-1471;\nHollnagel, E., Woods, D.D., Leveson, N., (2006) Resilience Engineering: Concepts and Precepts, , Aldershot, Aldershot: Ashgate Publishing;\nInman, V., Evaluation of Signs and Markings for Partial Continuous Flow Intersection (2009) Transportation Research Record: Journal of the Transportation Research Board, 2138 (2009), pp. 66-74;\nJenkins, D.P., Salmon, P.M., Stanton, N.A., Walker, G.H., A New Approach for Designing Cognitive Artefacts to Support Disaster Management (2010) Ergonomics, 53 (5), pp. 617-635;\nJenkins, D.P., Salmon, P.M., Stanton, N.A., Walker, G.H., Rafferty, L.A., What Could They Have Been Thinking? How Sociotechnical System Design Influences Cognition: A Case Study of the Stockwell Shooting (2011) Ergonomics, 54 (2), pp. 103-119;\nJenkins, D.P., Stanton, N.A., Salmon, P.M., Walker, G.H., Rafferty, L.A., Using the Decision-Ladder to Add a Formative Element to Naturalistic Decision-Making Research (2010) International Journal of Human-Computer Interaction, 26 (2-3), pp. 132-146;\nJenkins, D.P., Stanton, N.A., Walker, G.H., Salmon, P.M., Young, M.S., Using Cognitive Work Analysis to Explore System Flexibility (2010) Theoretical Issues in ErgonomicsScience, 11 (3), pp. 136-150;\nKlein, G.A., Calderwood, R., MacGregor, D., Critical Decision Method for Eliciting Knowledge (1989) IEEE Transactions on Systems, Man and Cybernetics, 19 (3), pp. 462-472;\nKontogiannis, T., A Contemporary View of Organizational Safety: Variability and Interactions of Organizational Processes (2010) Cognition, Technology &amp;amp; Work, 12 (4), pp. 231-249;\nLarsson, P., Dekker, S.W.A., Tingvall, C., The Need for A Systems Theory Approach to Road Safety (2010) Safety Science, 48 (9), pp. 1167-1174;\nNaikar, N., A Methodology for Work Domain Analysis, the First Phase of Cognitive Work Analysis (2005); Naikar, N., Moylan, A., Pearce, B., Analysing Activity in Complex Systems with Cognitive Work Analysis: Concepts, Guidelines and Case Study for Control Task Analysis (2006) Theoretical Issues in ErgonomicsScience, 7 (4), pp. 371-394;\nO'Hare, D., Wiggins, M., Williams, A., Wong, W., Cognitive Task Analyses for Decision Centred Design and Training (1998) Ergonomics, 41 (11), pp. 1698-1718;\nRasmussen, J., (1974) The Human Data Processor as A System Component: Bits and Pieces of A Model, , Roskilde, Roskilde: Danish Atomic Energy Commission;\nRasmussen, J., Pejtersen, A.M., Goodstein, L.P., (1994) Cognitive Systems Engineering, , New York, New York: Wiley;\nReiman, T., Understanding Maintenance Work in Safety-Critical Organisations- Managing the Performance Variability (2011) Theoretical Issues in ErgonomicsScience, 12 (4), pp. 339-366;\nRoberts, I., Mohan, D., Abbasi, K., War on the Roads (2002) British Medical Journal, 324, pp. 1107-1108;\nSalmon, P.M., Jenkins, D.P., Stanton, N.A., Walker, G.H., Hierarchical Task Analysisvs Cognitive Work Analysis: Comparison of Theory, Methodology and Contribution to System Design (2010) Theoretical Issues in ErgonomicsScience, 11 (6), pp. 504-531;\nSalmon, P.M., McClure, R., Stanton, N.A., Road Transport in Drift? Applying Contemporary Systems Thinking to Road Safety (2012) Safety Science, 50 (9), pp. 1829-1838;\nSanderson, P.M., Verhage, A.G., Fuld, R.B., State-Space and Verbal Protocol Methods for Studying the Human Operator in Process Control (1989) Ergonomics, 32 (11), pp. 1343-1372;\nShahi, J., Choupani, A.-A., Modelling the Operational Effects of Unconventional U-Turns at a Highway Intersection (2009) Transportmetrica, 5 (3), pp. 173-191;\nStanton, N.A., McIlroy, R.C., Harvey, C., Blainey, S., Hickford, A., Preston, J.M., Ryan, B., Following the Cognitive Work Analysis Train of Thought: Exploring the Constraints of Modal Shift to Rail Transport (2012) Ergonomics, pp. 1-19;\nStanton, N.A., Walker, G.H., Young, M.S., Kazi, T., Salmon, P.M., Changing Drivers' Minds: The Evaluation of an Advanced Driver Coaching System (2007) Ergonomics, 50 (8), pp. 1209-1234;\nSuchman, L.A., (1987) Plans and Situated Actions: The Problem of Human-Machine Communication, , Cambridge, Cambridge: Cambridge University Press;\nVicente, K.J., (1999) Cognitive Work Analysis: Toward Safe, Productive and Healthy Computer-Based Work, , Mahwah, NJ, Mahwah, NJ: Lawrence Erlbaum Associates, Inc;\n(2009) Driving in Victoria: Rules and Responsibilities, , VicRoads, Kew, Kew: VicRoads;\n(2010) Road to Solo Driving, , VicRoads, Kew, Kew: VicRoads;\n(2011) CrashStats, , http://www.vicroads.vic.gov.au/Home/SafetyAndRules/AboutRoadSafety/StatisticsAndResearch/CrashStats.htm, Vicroads, Accessed February 17;\n(2011) Safety and Rules, , http://www.vicroads.vic.gov.au/Home/SafetyAndRules/, VicRoads, Accessed February 17;\nWaard, D.D., Jessurun, M., Steyvers, F.J.J.M., Reggatt, P.T.F., Brookhuis, K.A., Effect of Road Layout and Road Environment on Driving Performance, Drivers' Physiology and Road Appreciation (1995) Ergonomics, 38 (7), pp. 1395-1407;\nWalker, G.H., Stanton, N.A., Salmon, P.M., Cognitive Compatibility of Motorcyclists and Car Drivers (2011) Accident Analysis &amp;amp; Prevention, 43 (3), pp. 878-888;\nWegman, F., (2002) Review of Irelands Road Safety Strategy, , Leidschendam, Leidschendam: SWOV;\n(2004) World Report on Road Traffic Injury Prevention, , World Health Organization, Geneva, Geneva: World Health Organization","page":"764-780","publisher-place":"Monash Injury Research Institute, Monash University, Clayton, Australia","title":"Using cognitive work analysis and the strategies analysis diagram to understand variability in road user behaviour at intersections","type":"article-journal","volume":"56"},"uris":["http://www.mendeley.com/documents/?uuid=1ca4390d-6fef-4eed-910b-c2e7b75d727c"]}],"mendeley":{"formattedCitation":"(Cornelissen, Salmon, McClure, &amp; Stanton, 2013)","plainTextFormattedCitation":"(Cornelissen, Salmon, McClure, &amp; Stanton, 2013)","previouslyFormattedCitation":"(Cornelissen, Salmon, McClure, &amp; Stanton, 2013)"},"properties":{"noteIndex":0},"schema":"https://github.com/citation-style-language/schema/raw/master/csl-citation.json"}</w:instrText>
      </w:r>
      <w:r w:rsidR="00575CA8">
        <w:fldChar w:fldCharType="separate"/>
      </w:r>
      <w:r w:rsidR="00575CA8" w:rsidRPr="00575CA8">
        <w:rPr>
          <w:noProof/>
        </w:rPr>
        <w:t>(Cornelissen, Salmon, McClure, &amp; Stanton, 2013)</w:t>
      </w:r>
      <w:r w:rsidR="00575CA8">
        <w:fldChar w:fldCharType="end"/>
      </w:r>
      <w:r w:rsidR="00234880">
        <w:t xml:space="preserve"> </w:t>
      </w:r>
      <w:r w:rsidR="00B5097D">
        <w:t>where it is unclear what functions should and should not be included.</w:t>
      </w:r>
    </w:p>
    <w:p w14:paraId="65D7E597" w14:textId="2F51731A" w:rsidR="008944F5" w:rsidRDefault="00984C91" w:rsidP="00954248">
      <w:r>
        <w:t xml:space="preserve">However, </w:t>
      </w:r>
      <w:r w:rsidR="000967B8">
        <w:t>unlike in the HTA</w:t>
      </w:r>
      <w:r w:rsidR="00103276">
        <w:t xml:space="preserve"> (which is </w:t>
      </w:r>
      <w:r w:rsidR="00A61601">
        <w:t xml:space="preserve">a recommended starting point for a </w:t>
      </w:r>
      <w:r w:rsidR="00103276">
        <w:t>FRAM</w:t>
      </w:r>
      <w:r w:rsidR="00A61601">
        <w:t xml:space="preserve"> analysis</w:t>
      </w:r>
      <w:r w:rsidR="003F760E">
        <w:t xml:space="preserve">, see </w:t>
      </w:r>
      <w:r w:rsidR="00AA314B">
        <w:t xml:space="preserve">Hollnagel </w:t>
      </w:r>
      <w:r w:rsidR="003F760E">
        <w:fldChar w:fldCharType="begin" w:fldLock="1"/>
      </w:r>
      <w:r w:rsidR="00B147BB">
        <w:instrText>ADDIN CSL_CITATION {"citationItems":[{"id":"ITEM-1","itemData":{"DOI":"10.1201/9781315255071","ISBN":"978-1-4094-4551-7","abstract":"Resilience engineering has consistently argued that safety is more than the absence of failures. Since the first book was published in 2006, several book chapters and papers have demonstrated the advantage in going behind 'human error' and beyond the failure concept, just as a number of serious accidents have accentuated the need for it. But there has not yet been a comprehensive method for doing so; the Functional Resonance Analysis Method (FRAM) fulfils that need. Whereas commonly used methods explain events by interpreting them in terms of an already existing model, the FRAM is used to model the functions that are needed for everyday performance to succeed. This model can then be used to explain specific events, by showing how functions can be coupled and how the variability of everyday performance sometimes may lead to unexpected and out-of-scale outcomes - either good or bad. The FRAM is based on four principles: equivalence of failures and successes, approximate adjustments, emergence, and functional resonance. As the FRAM is a method rather than a model, it makes no assumptions about how the system under investigation is structured or organised, nor about possible causes and cause-effect relations. Instead of looking for failures and malfunctions, the FRAM explains outcomes in terms of how functions become coupled and how everyday performance variability may resonate. This book presents a detailed and tested method that can be used to model how complex and dynamic socio-technical systems work, to understand why things sometimes go wrong but also why they normally succeed.","author":[{"dropping-particle":"","family":"Hollnagel","given":"Erik","non-dropping-particle":"","parse-names":false,"suffix":""}],"container-title":"FRAM: The Functional Resonance Analysis Method","id":"ITEM-1","issued":{"date-parts":[["2012"]]},"publisher":"Ashgate Publishing Ltd","title":"FRAM: The Functional Resonance Analysis Method","type":"book"},"suppress-author":1,"uris":["http://www.mendeley.com/documents/?uuid=5f00a332-3739-4cf3-bfa7-0cdd58cb95ef"]}],"mendeley":{"formattedCitation":"(2012)","plainTextFormattedCitation":"(2012)","previouslyFormattedCitation":"(2012)"},"properties":{"noteIndex":0},"schema":"https://github.com/citation-style-language/schema/raw/master/csl-citation.json"}</w:instrText>
      </w:r>
      <w:r w:rsidR="003F760E">
        <w:fldChar w:fldCharType="separate"/>
      </w:r>
      <w:r w:rsidR="00C90EE0" w:rsidRPr="00C90EE0">
        <w:rPr>
          <w:noProof/>
        </w:rPr>
        <w:t>(2012)</w:t>
      </w:r>
      <w:r w:rsidR="003F760E">
        <w:fldChar w:fldCharType="end"/>
      </w:r>
      <w:r w:rsidR="00103276">
        <w:t>)</w:t>
      </w:r>
      <w:r w:rsidR="000967B8">
        <w:t xml:space="preserve">, </w:t>
      </w:r>
      <w:r>
        <w:t>the</w:t>
      </w:r>
      <w:r w:rsidR="00736149">
        <w:t xml:space="preserve"> addition of the </w:t>
      </w:r>
      <w:r w:rsidR="00BF5440">
        <w:t>links between the functions illustrates the</w:t>
      </w:r>
      <w:r>
        <w:t xml:space="preserve"> web of </w:t>
      </w:r>
      <w:r w:rsidR="005D2471">
        <w:t xml:space="preserve">interconnectivity between the identified functions </w:t>
      </w:r>
      <w:r w:rsidR="00BF5440">
        <w:t xml:space="preserve">and the potential for </w:t>
      </w:r>
      <w:r w:rsidR="004D11EA">
        <w:t xml:space="preserve">complex emergent </w:t>
      </w:r>
      <w:r w:rsidR="004D11EA">
        <w:lastRenderedPageBreak/>
        <w:t>possibilities</w:t>
      </w:r>
      <w:r w:rsidR="000967B8">
        <w:t xml:space="preserve"> </w:t>
      </w:r>
      <w:r w:rsidR="00237677">
        <w:t xml:space="preserve">when </w:t>
      </w:r>
      <w:r w:rsidR="000967B8">
        <w:t>a function is changed</w:t>
      </w:r>
      <w:r w:rsidR="004D11EA">
        <w:t>.</w:t>
      </w:r>
      <w:r w:rsidR="00C84E40">
        <w:t xml:space="preserve"> T</w:t>
      </w:r>
      <w:r w:rsidR="00E04E24">
        <w:t xml:space="preserve">hese </w:t>
      </w:r>
      <w:r w:rsidR="00C84E40">
        <w:t xml:space="preserve">interconnections provide an alternative representation for many of the control and </w:t>
      </w:r>
      <w:r w:rsidR="00E04E24">
        <w:t xml:space="preserve">feedback loops </w:t>
      </w:r>
      <w:r w:rsidR="00C84E40">
        <w:t>within the system</w:t>
      </w:r>
      <w:r w:rsidR="00DB3F76">
        <w:t xml:space="preserve"> (see </w:t>
      </w:r>
      <w:r w:rsidR="00DB3F76">
        <w:fldChar w:fldCharType="begin"/>
      </w:r>
      <w:r w:rsidR="00DB3F76">
        <w:instrText xml:space="preserve"> REF _Ref48648915 \h </w:instrText>
      </w:r>
      <w:r w:rsidR="00DB3F76">
        <w:fldChar w:fldCharType="separate"/>
      </w:r>
      <w:r w:rsidR="00A75877">
        <w:t xml:space="preserve">Figure </w:t>
      </w:r>
      <w:r w:rsidR="00A75877">
        <w:rPr>
          <w:noProof/>
        </w:rPr>
        <w:t>4</w:t>
      </w:r>
      <w:r w:rsidR="00DB3F76">
        <w:fldChar w:fldCharType="end"/>
      </w:r>
      <w:r w:rsidR="00DB3F76">
        <w:t>)</w:t>
      </w:r>
      <w:r w:rsidR="00B62943">
        <w:t>.</w:t>
      </w:r>
      <w:r w:rsidR="00485A20">
        <w:t xml:space="preserve"> </w:t>
      </w:r>
    </w:p>
    <w:p w14:paraId="3CE8317A" w14:textId="1DA8A5F4" w:rsidR="00954248" w:rsidRDefault="00E4031A" w:rsidP="00954248">
      <w:r>
        <w:t>Additionally</w:t>
      </w:r>
      <w:r w:rsidR="00F2606D">
        <w:t xml:space="preserve">, to </w:t>
      </w:r>
      <w:r w:rsidR="00CC0EFB">
        <w:t>cope with the complexity generated by the FRAM model</w:t>
      </w:r>
      <w:r w:rsidR="00240853" w:rsidRPr="00240853">
        <w:t xml:space="preserve"> </w:t>
      </w:r>
      <w:r w:rsidR="00240853">
        <w:t>and also generate different knowledge representations</w:t>
      </w:r>
      <w:r w:rsidR="00CC0EFB">
        <w:t xml:space="preserve">, </w:t>
      </w:r>
      <w:r w:rsidR="00B431E6">
        <w:t xml:space="preserve">it has been recommended that </w:t>
      </w:r>
      <w:r w:rsidR="00B10CEC">
        <w:t>the</w:t>
      </w:r>
      <w:r w:rsidR="005F02E7">
        <w:t xml:space="preserve"> functions </w:t>
      </w:r>
      <w:r w:rsidR="00B431E6">
        <w:t xml:space="preserve">of the system </w:t>
      </w:r>
      <w:r w:rsidR="005F02E7">
        <w:t xml:space="preserve">be explored at </w:t>
      </w:r>
      <w:r w:rsidR="00193414">
        <w:t xml:space="preserve">different </w:t>
      </w:r>
      <w:r w:rsidR="00FC0787">
        <w:t>resolutions</w:t>
      </w:r>
      <w:r w:rsidR="00FE193C">
        <w:t xml:space="preserve"> and abstractions</w:t>
      </w:r>
      <w:r w:rsidR="00A12F06">
        <w:t xml:space="preserve"> </w:t>
      </w:r>
      <w:r w:rsidR="00A12F06">
        <w:fldChar w:fldCharType="begin" w:fldLock="1"/>
      </w:r>
      <w:r w:rsidR="00C04AB4">
        <w:instrText>ADDIN CSL_CITATION {"citationItems":[{"id":"ITEM-1","itemData":{"DOI":"10.1016/j.ress.2017.03.032","ISSN":"09518320","abstract":"System-thinking and related systemic methods enhance traditional risk and hazard assessments and accident analysis, as well as system design. The Functional Resonance Analysis Method (FRAM) is a recently developed method for systemic analysis. FRAM facilitates descriptions of the functional relations among system elements. In case of large systems (e.g. several agents, multiple procedures, many technical equipment), building a FRAM model may become a difficult task, moreover resulting in a complex model, with limited benefits for the purpose of the analysis. Considering complexity as strictly dependent on the resolution of the representation, this paper explores the compatibility of the Hollnagel's FRAM with Rasmussen's Abstraction Hierarchy (AH). Starting from the AH's traditional Abstraction/Decomposition division, this study conceptually explores the benefits arising from combining an Abstraction/Agency framework with system-thinking, in particular with FRAM. This combined approach, which allows systemic functional analysis at different levels of abstraction and among different agents, for the development of a systemic multi-layer functional structure, useful for intra-agent inter-level and intra-agent intra-level analyses. An application of the framework in the railway domain illustrates some conceptual outcomes of the approach, confirming the relevance of FRAM's fractality as well as the potential for enhanced knowledge representation associated with a multi-dimension approach.","author":[{"dropping-particle":"","family":"Patriarca","given":"Riccardo","non-dropping-particle":"","parse-names":false,"suffix":""},{"dropping-particle":"","family":"Bergström","given":"Johan","non-dropping-particle":"","parse-names":false,"suffix":""},{"dropping-particle":"","family":"Gravio","given":"Giulio","non-dropping-particle":"Di","parse-names":false,"suffix":""}],"container-title":"Reliability Engineering and System Safety","id":"ITEM-1","issue":"July 2016","issued":{"date-parts":[["2017"]]},"page":"34-46","title":"Defining the functional resonance analysis space: Combining Abstraction Hierarchy and FRAM","type":"article-journal","volume":"165"},"uris":["http://www.mendeley.com/documents/?uuid=baff5d88-962f-4866-90fd-6329a3fbc1ea"]}],"mendeley":{"formattedCitation":"(Patriarca, Bergström, &amp; Di Gravio, 2017)","plainTextFormattedCitation":"(Patriarca, Bergström, &amp; Di Gravio, 2017)","previouslyFormattedCitation":"(Patriarca, Bergström, &amp; Di Gravio, 2017)"},"properties":{"noteIndex":0},"schema":"https://github.com/citation-style-language/schema/raw/master/csl-citation.json"}</w:instrText>
      </w:r>
      <w:r w:rsidR="00A12F06">
        <w:fldChar w:fldCharType="separate"/>
      </w:r>
      <w:r w:rsidR="00013CAD" w:rsidRPr="00013CAD">
        <w:rPr>
          <w:noProof/>
        </w:rPr>
        <w:t>(Patriarca, Bergström, &amp; Di Gravio, 2017)</w:t>
      </w:r>
      <w:r w:rsidR="00A12F06">
        <w:fldChar w:fldCharType="end"/>
      </w:r>
      <w:r w:rsidR="00FC0787">
        <w:t xml:space="preserve">. Therefore, to </w:t>
      </w:r>
      <w:r w:rsidR="00F2606D">
        <w:t xml:space="preserve">explore </w:t>
      </w:r>
      <w:r w:rsidR="00157FB2">
        <w:t>more</w:t>
      </w:r>
      <w:r w:rsidR="00F2606D">
        <w:t xml:space="preserve"> detailed effects of the TOI, a </w:t>
      </w:r>
      <w:r w:rsidR="003F1C65">
        <w:t xml:space="preserve">single </w:t>
      </w:r>
      <w:r w:rsidR="00F2606D">
        <w:t xml:space="preserve">FRAM function of </w:t>
      </w:r>
      <w:r w:rsidR="00E63944">
        <w:t xml:space="preserve">issuing a clearance to an aircraft that is climbing through the </w:t>
      </w:r>
      <w:r w:rsidR="00A3504D">
        <w:t>transition</w:t>
      </w:r>
      <w:r w:rsidR="00E63944">
        <w:t xml:space="preserve"> level can be </w:t>
      </w:r>
      <w:r w:rsidR="0099514D">
        <w:t>considered as the focus</w:t>
      </w:r>
      <w:r w:rsidR="00E63944">
        <w:t xml:space="preserve"> and the changes to the </w:t>
      </w:r>
      <w:r w:rsidR="003F1C65">
        <w:t xml:space="preserve">six aspects </w:t>
      </w:r>
      <w:r w:rsidR="003733E5">
        <w:t>of</w:t>
      </w:r>
      <w:r w:rsidR="00ED66A3">
        <w:t xml:space="preserve"> that function </w:t>
      </w:r>
      <w:r w:rsidR="00FC0787">
        <w:t>investigated</w:t>
      </w:r>
      <w:r w:rsidR="006757D7">
        <w:t xml:space="preserve"> (see </w:t>
      </w:r>
      <w:r w:rsidR="006757D7">
        <w:fldChar w:fldCharType="begin"/>
      </w:r>
      <w:r w:rsidR="006757D7">
        <w:instrText xml:space="preserve"> REF _Ref48648900 \h </w:instrText>
      </w:r>
      <w:r w:rsidR="006757D7">
        <w:fldChar w:fldCharType="separate"/>
      </w:r>
      <w:r w:rsidR="004B2ABA">
        <w:t xml:space="preserve">Figure </w:t>
      </w:r>
      <w:r w:rsidR="004B2ABA">
        <w:rPr>
          <w:noProof/>
        </w:rPr>
        <w:t>5</w:t>
      </w:r>
      <w:r w:rsidR="006757D7">
        <w:fldChar w:fldCharType="end"/>
      </w:r>
      <w:r w:rsidR="006757D7">
        <w:t>)</w:t>
      </w:r>
      <w:r w:rsidR="004B339C">
        <w:t xml:space="preserve">. </w:t>
      </w:r>
      <w:r w:rsidR="004D11EA">
        <w:t xml:space="preserve">At </w:t>
      </w:r>
      <w:r w:rsidR="004B339C">
        <w:t>this</w:t>
      </w:r>
      <w:r w:rsidR="004D11EA">
        <w:t xml:space="preserve"> </w:t>
      </w:r>
      <w:r w:rsidR="00157FB2">
        <w:t xml:space="preserve">resolution </w:t>
      </w:r>
      <w:r w:rsidR="00C10ACF">
        <w:t>level</w:t>
      </w:r>
      <w:r w:rsidR="002D645C">
        <w:t xml:space="preserve"> </w:t>
      </w:r>
      <w:r w:rsidR="005B16D1">
        <w:t xml:space="preserve">or </w:t>
      </w:r>
      <w:r w:rsidR="002D645C">
        <w:t xml:space="preserve">level </w:t>
      </w:r>
      <w:r w:rsidR="0058417F">
        <w:t>of</w:t>
      </w:r>
      <w:r w:rsidR="002D645C">
        <w:t xml:space="preserve"> abstraction</w:t>
      </w:r>
      <w:r w:rsidR="00C10ACF">
        <w:t xml:space="preserve">, the TOI </w:t>
      </w:r>
      <w:r w:rsidR="006E7C73">
        <w:t xml:space="preserve">can be seen to </w:t>
      </w:r>
      <w:r w:rsidR="000A32C7">
        <w:t xml:space="preserve">be an attempt to reduce the variability in the </w:t>
      </w:r>
      <w:r w:rsidR="00A21220">
        <w:t xml:space="preserve">function by </w:t>
      </w:r>
      <w:r w:rsidR="00D45524">
        <w:t xml:space="preserve">imposing an additional procedural constraint on the </w:t>
      </w:r>
      <w:r w:rsidR="00974BAB">
        <w:t xml:space="preserve">output: the </w:t>
      </w:r>
      <w:r w:rsidR="00D45524">
        <w:t>ATC clearance</w:t>
      </w:r>
      <w:r w:rsidR="00157FB2">
        <w:t xml:space="preserve"> with the additional phraseology</w:t>
      </w:r>
      <w:r w:rsidR="00974BAB">
        <w:t xml:space="preserve">. </w:t>
      </w:r>
      <w:r w:rsidR="00595C49">
        <w:t xml:space="preserve">However, variability is also increased </w:t>
      </w:r>
      <w:r w:rsidR="00C537C1">
        <w:t xml:space="preserve">since the constraint on the use of standardised phraseology is weakened by the addition of non-standard </w:t>
      </w:r>
      <w:r w:rsidR="00F022E6">
        <w:t>language</w:t>
      </w:r>
      <w:r w:rsidR="00C537C1">
        <w:t xml:space="preserve">. </w:t>
      </w:r>
      <w:r w:rsidR="00AB1A3A">
        <w:t xml:space="preserve">The </w:t>
      </w:r>
      <w:r w:rsidR="00974BAB">
        <w:t>TOI</w:t>
      </w:r>
      <w:r w:rsidR="00AB1A3A">
        <w:t xml:space="preserve"> change</w:t>
      </w:r>
      <w:r w:rsidR="00974BAB">
        <w:t xml:space="preserve"> </w:t>
      </w:r>
      <w:r w:rsidR="0058124E">
        <w:t xml:space="preserve">also </w:t>
      </w:r>
      <w:r w:rsidR="00974BAB">
        <w:t xml:space="preserve">adds </w:t>
      </w:r>
      <w:r w:rsidR="006C4AF7">
        <w:t xml:space="preserve">further </w:t>
      </w:r>
      <w:r w:rsidR="00974BAB">
        <w:t xml:space="preserve">pre-conditions </w:t>
      </w:r>
      <w:r w:rsidR="00F022E6">
        <w:t xml:space="preserve">to the rules governing </w:t>
      </w:r>
      <w:r w:rsidR="00992690">
        <w:t>the function since the TOI only applied on days when pressure was below 1000HPa.</w:t>
      </w:r>
      <w:r w:rsidR="00B5582F">
        <w:t xml:space="preserve"> The resources that the function consumes are negatively impacted since </w:t>
      </w:r>
      <w:r w:rsidR="00F72519">
        <w:t xml:space="preserve">the added length of transmissions </w:t>
      </w:r>
      <w:r w:rsidR="001A0E8C">
        <w:t>increases</w:t>
      </w:r>
      <w:r w:rsidR="006C4AF7">
        <w:t xml:space="preserve"> radio</w:t>
      </w:r>
      <w:r w:rsidR="001A0E8C">
        <w:t xml:space="preserve"> frequency </w:t>
      </w:r>
      <w:r w:rsidR="00016C2F">
        <w:t xml:space="preserve">(RF) </w:t>
      </w:r>
      <w:r w:rsidR="001A0E8C">
        <w:t>usage and this, along with the potential for confusion due to the weakened constraints on standardised language, increased controller workload.</w:t>
      </w:r>
    </w:p>
    <w:p w14:paraId="5B954529" w14:textId="62B97E31" w:rsidR="003F29F1" w:rsidRDefault="00B058BD" w:rsidP="00954248">
      <w:r>
        <w:rPr>
          <w:noProof/>
        </w:rPr>
        <w:lastRenderedPageBreak/>
        <w:drawing>
          <wp:inline distT="0" distB="0" distL="0" distR="0" wp14:anchorId="6BC579B6" wp14:editId="435B6A07">
            <wp:extent cx="8591123" cy="5453901"/>
            <wp:effectExtent l="0" t="0" r="0" b="7303"/>
            <wp:docPr id="2" name="Picture 2" descr="FRA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AM model"/>
                    <pic:cNvPicPr/>
                  </pic:nvPicPr>
                  <pic:blipFill rotWithShape="1">
                    <a:blip r:embed="rId11"/>
                    <a:srcRect l="2594" r="19009" b="19395"/>
                    <a:stretch/>
                  </pic:blipFill>
                  <pic:spPr bwMode="auto">
                    <a:xfrm rot="16200000">
                      <a:off x="0" y="0"/>
                      <a:ext cx="8651009" cy="5491919"/>
                    </a:xfrm>
                    <a:prstGeom prst="rect">
                      <a:avLst/>
                    </a:prstGeom>
                    <a:ln>
                      <a:noFill/>
                    </a:ln>
                    <a:extLst>
                      <a:ext uri="{53640926-AAD7-44D8-BBD7-CCE9431645EC}">
                        <a14:shadowObscured xmlns:a14="http://schemas.microsoft.com/office/drawing/2010/main"/>
                      </a:ext>
                    </a:extLst>
                  </pic:spPr>
                </pic:pic>
              </a:graphicData>
            </a:graphic>
          </wp:inline>
        </w:drawing>
      </w:r>
    </w:p>
    <w:p w14:paraId="6F3A723C" w14:textId="435695B3" w:rsidR="00B00F62" w:rsidRDefault="00B00F62" w:rsidP="00B00F62">
      <w:pPr>
        <w:pStyle w:val="Caption"/>
      </w:pPr>
      <w:bookmarkStart w:id="4" w:name="_Ref48648915"/>
      <w:r>
        <w:t xml:space="preserve">Figure </w:t>
      </w:r>
      <w:r w:rsidR="00881249">
        <w:fldChar w:fldCharType="begin"/>
      </w:r>
      <w:r w:rsidR="00881249">
        <w:instrText xml:space="preserve"> SEQ Figure \* ARABIC </w:instrText>
      </w:r>
      <w:r w:rsidR="00881249">
        <w:fldChar w:fldCharType="separate"/>
      </w:r>
      <w:r w:rsidR="005156EC">
        <w:rPr>
          <w:noProof/>
        </w:rPr>
        <w:t>4</w:t>
      </w:r>
      <w:r w:rsidR="00881249">
        <w:rPr>
          <w:noProof/>
        </w:rPr>
        <w:fldChar w:fldCharType="end"/>
      </w:r>
      <w:bookmarkEnd w:id="4"/>
      <w:r>
        <w:t xml:space="preserve">: FRAM diagram for the wider system representation </w:t>
      </w:r>
      <w:r w:rsidR="00FE0941">
        <w:t>of the TOI introduction</w:t>
      </w:r>
      <w:r w:rsidR="00502372">
        <w:t xml:space="preserve"> (blue: ATC, red: pilot, </w:t>
      </w:r>
      <w:r w:rsidR="000001E7">
        <w:t>grey: external)</w:t>
      </w:r>
    </w:p>
    <w:p w14:paraId="479FC03F" w14:textId="6BB9D788" w:rsidR="00FE0941" w:rsidRDefault="00FE0941" w:rsidP="00FE0941"/>
    <w:p w14:paraId="6163FA05" w14:textId="623AECF6" w:rsidR="00730567" w:rsidRDefault="00730567" w:rsidP="00FE0941">
      <w:r>
        <w:rPr>
          <w:noProof/>
        </w:rPr>
        <w:drawing>
          <wp:inline distT="0" distB="0" distL="0" distR="0" wp14:anchorId="09A19693" wp14:editId="3DF07F68">
            <wp:extent cx="5731510" cy="3310890"/>
            <wp:effectExtent l="0" t="0" r="2540" b="381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2"/>
                    <a:stretch>
                      <a:fillRect/>
                    </a:stretch>
                  </pic:blipFill>
                  <pic:spPr>
                    <a:xfrm>
                      <a:off x="0" y="0"/>
                      <a:ext cx="5731510" cy="3310890"/>
                    </a:xfrm>
                    <a:prstGeom prst="rect">
                      <a:avLst/>
                    </a:prstGeom>
                  </pic:spPr>
                </pic:pic>
              </a:graphicData>
            </a:graphic>
          </wp:inline>
        </w:drawing>
      </w:r>
    </w:p>
    <w:p w14:paraId="7E42D9FD" w14:textId="470C4C73" w:rsidR="009527DE" w:rsidRPr="00FE0941" w:rsidRDefault="009527DE" w:rsidP="009527DE">
      <w:pPr>
        <w:pStyle w:val="Caption"/>
      </w:pPr>
      <w:bookmarkStart w:id="5" w:name="_Ref48648900"/>
      <w:r>
        <w:t xml:space="preserve">Figure </w:t>
      </w:r>
      <w:r w:rsidR="00881249">
        <w:fldChar w:fldCharType="begin"/>
      </w:r>
      <w:r w:rsidR="00881249">
        <w:instrText xml:space="preserve"> SEQ Figure \* ARABIC </w:instrText>
      </w:r>
      <w:r w:rsidR="00881249">
        <w:fldChar w:fldCharType="separate"/>
      </w:r>
      <w:r w:rsidR="005156EC">
        <w:rPr>
          <w:noProof/>
        </w:rPr>
        <w:t>5</w:t>
      </w:r>
      <w:r w:rsidR="00881249">
        <w:rPr>
          <w:noProof/>
        </w:rPr>
        <w:fldChar w:fldCharType="end"/>
      </w:r>
      <w:bookmarkEnd w:id="5"/>
      <w:r>
        <w:t xml:space="preserve">: Simplified </w:t>
      </w:r>
      <w:r w:rsidR="00D06981">
        <w:t>FRAM representation of the controller instruction function with TOI impacts highlighted</w:t>
      </w:r>
    </w:p>
    <w:p w14:paraId="1C6A3039" w14:textId="518EF66C" w:rsidR="00D82C1E" w:rsidRDefault="00D82C1E" w:rsidP="00D82C1E">
      <w:pPr>
        <w:pStyle w:val="Heading3"/>
      </w:pPr>
      <w:r>
        <w:t>Exploring Adaptation (FRAM)</w:t>
      </w:r>
    </w:p>
    <w:p w14:paraId="30C8C4D0" w14:textId="28E77E82" w:rsidR="00D82C1E" w:rsidRDefault="00D82C1E" w:rsidP="00D82C1E">
      <w:r>
        <w:t>The FRAM model draws out the interwoven functions of the system through the connections between the aspects of the functions, although a degree of restraint and iteration is required to ensure the model draws out the important features of the system rather than obscures understanding under a plethora of connections. The completed representation illustrates the potential for unpredictable consequences by using the analysis of individual functions and then walking through the couplings in the wider system to explore potential sources of variability and conflict</w:t>
      </w:r>
      <w:r w:rsidR="00C34169">
        <w:t xml:space="preserve"> (</w:t>
      </w:r>
      <w:r w:rsidR="00D94FE7">
        <w:t>U</w:t>
      </w:r>
      <w:r w:rsidR="00C34169">
        <w:t>npredictability of Consequences, Trade-Off for Performance)</w:t>
      </w:r>
      <w:r>
        <w:t xml:space="preserve">. However, the findings from the system representation are challenging to contextualise. For example, whilst the detailed functional analysis identifies the changing and conflicting constraints on tactical management introduced by the TOI and the system view identifies the linkages to other functions, it is unclear how the model could be interpreted to anticipate what the exact manifestations of the maladaptation will be without the benefit of hindsight. However, the FRAM model provides a representation that can be used to analyse and illustrate the complexity and potential for unpredictable consequences in the system. </w:t>
      </w:r>
    </w:p>
    <w:p w14:paraId="18F50167" w14:textId="658EF590" w:rsidR="000E4AE1" w:rsidRDefault="0077563F" w:rsidP="00C60DE3">
      <w:pPr>
        <w:pStyle w:val="Heading2"/>
      </w:pPr>
      <w:r>
        <w:t xml:space="preserve">Human Factors </w:t>
      </w:r>
      <w:r w:rsidR="00DF0E6A">
        <w:t xml:space="preserve">Analysis and Classification Scheme </w:t>
      </w:r>
      <w:r w:rsidR="000E4AE1">
        <w:t>(HFACS)</w:t>
      </w:r>
    </w:p>
    <w:p w14:paraId="386F8901" w14:textId="32979E27" w:rsidR="00D82C1E" w:rsidRPr="00D82C1E" w:rsidRDefault="00D82C1E" w:rsidP="00EA3F05">
      <w:pPr>
        <w:pStyle w:val="Heading3"/>
      </w:pPr>
      <w:r>
        <w:t>Application</w:t>
      </w:r>
    </w:p>
    <w:p w14:paraId="2014A2D0" w14:textId="469D34D7" w:rsidR="00C90031" w:rsidRDefault="001F781E" w:rsidP="002B712A">
      <w:r>
        <w:t xml:space="preserve">HFACS was identified </w:t>
      </w:r>
      <w:r w:rsidR="007F3C41">
        <w:t xml:space="preserve">as a possible supplement to </w:t>
      </w:r>
      <w:r w:rsidR="0080601E">
        <w:t xml:space="preserve">FRAM to provide better coverage of the adaptation factors. </w:t>
      </w:r>
      <w:r w:rsidR="00BB2152">
        <w:t xml:space="preserve">Given HFACS’ focus on accident scenarios it is more appropriate to </w:t>
      </w:r>
      <w:r w:rsidR="002C375A">
        <w:t>start with the analysis of a level bust due to altimeter setting error.</w:t>
      </w:r>
      <w:r w:rsidR="002E1221">
        <w:t xml:space="preserve"> </w:t>
      </w:r>
      <w:r w:rsidR="006F2324">
        <w:t xml:space="preserve">However, the </w:t>
      </w:r>
      <w:r w:rsidR="00D37A37">
        <w:t>focus o</w:t>
      </w:r>
      <w:r w:rsidR="007D7388">
        <w:t>f HFAC</w:t>
      </w:r>
      <w:r w:rsidR="009B5D6A">
        <w:t>S</w:t>
      </w:r>
      <w:r w:rsidR="007D7388">
        <w:t xml:space="preserve"> on error means that the focus of </w:t>
      </w:r>
      <w:r w:rsidR="00D077E7">
        <w:t>an</w:t>
      </w:r>
      <w:r w:rsidR="007D7388">
        <w:t xml:space="preserve"> analysis </w:t>
      </w:r>
      <w:r w:rsidR="00D077E7">
        <w:t xml:space="preserve">on level busts </w:t>
      </w:r>
      <w:r w:rsidR="007D7388">
        <w:t xml:space="preserve">inevitably </w:t>
      </w:r>
      <w:r w:rsidR="009B5D6A">
        <w:t xml:space="preserve">shifts to the pilot </w:t>
      </w:r>
      <w:r w:rsidR="004E7903">
        <w:t xml:space="preserve">(who errs) </w:t>
      </w:r>
      <w:r w:rsidR="009B5D6A">
        <w:t>rather than the controller</w:t>
      </w:r>
      <w:r w:rsidR="0030515D">
        <w:t>.</w:t>
      </w:r>
      <w:r w:rsidR="00C90031">
        <w:t xml:space="preserve"> </w:t>
      </w:r>
      <w:r w:rsidR="0030515D">
        <w:t>W</w:t>
      </w:r>
      <w:r w:rsidR="00D077E7">
        <w:t>hen considering the TOI as an intervention,</w:t>
      </w:r>
      <w:r w:rsidR="00C61CFD">
        <w:t xml:space="preserve"> </w:t>
      </w:r>
      <w:r w:rsidR="0030515D">
        <w:t xml:space="preserve">this </w:t>
      </w:r>
      <w:r w:rsidR="00C61CFD">
        <w:t xml:space="preserve">presents an interesting transfer of risk management </w:t>
      </w:r>
      <w:r w:rsidR="002961EA">
        <w:t xml:space="preserve">activity in the wider system </w:t>
      </w:r>
      <w:r w:rsidR="00D95BB7">
        <w:t xml:space="preserve">where </w:t>
      </w:r>
      <w:r w:rsidR="002961EA">
        <w:t xml:space="preserve">one actor, </w:t>
      </w:r>
      <w:r w:rsidR="00D95BB7">
        <w:t>the ATC organisation</w:t>
      </w:r>
      <w:r w:rsidR="00D65A98">
        <w:t xml:space="preserve"> and the controller</w:t>
      </w:r>
      <w:r w:rsidR="002961EA">
        <w:t>,</w:t>
      </w:r>
      <w:r w:rsidR="00D95BB7">
        <w:t xml:space="preserve"> takes on the responsibility for </w:t>
      </w:r>
      <w:r w:rsidR="00D464D3">
        <w:t>address</w:t>
      </w:r>
      <w:r w:rsidR="004733D8">
        <w:t>ing</w:t>
      </w:r>
      <w:r w:rsidR="00D464D3">
        <w:t xml:space="preserve"> </w:t>
      </w:r>
      <w:r w:rsidR="00E677BD">
        <w:t xml:space="preserve">the error and consequent </w:t>
      </w:r>
      <w:r w:rsidR="00D464D3">
        <w:t xml:space="preserve">risk </w:t>
      </w:r>
      <w:r w:rsidR="00E677BD">
        <w:t>from</w:t>
      </w:r>
      <w:r w:rsidR="00D464D3">
        <w:t xml:space="preserve"> </w:t>
      </w:r>
      <w:r w:rsidR="00D65A98">
        <w:t xml:space="preserve">another, </w:t>
      </w:r>
      <w:r w:rsidR="00D464D3">
        <w:t>the pilot.</w:t>
      </w:r>
    </w:p>
    <w:p w14:paraId="383415A5" w14:textId="7014A7DB" w:rsidR="00F54322" w:rsidRDefault="00F54322" w:rsidP="002B712A">
      <w:r>
        <w:lastRenderedPageBreak/>
        <w:t>The issue with a level bust</w:t>
      </w:r>
      <w:r w:rsidR="00B26FB3">
        <w:t xml:space="preserve"> due to altimeter setting error</w:t>
      </w:r>
      <w:r>
        <w:t xml:space="preserve"> is the incorrect </w:t>
      </w:r>
      <w:r w:rsidR="00B26FB3">
        <w:t>change from one pressure standard to another</w:t>
      </w:r>
      <w:r>
        <w:t xml:space="preserve"> after an air traffic control clearance to pass through the transition level. </w:t>
      </w:r>
      <w:r w:rsidR="001B51E2">
        <w:t>In HFACS terms</w:t>
      </w:r>
      <w:r w:rsidR="009C7C50">
        <w:t xml:space="preserve"> (see </w:t>
      </w:r>
      <w:r w:rsidR="009C7C50">
        <w:fldChar w:fldCharType="begin"/>
      </w:r>
      <w:r w:rsidR="009C7C50">
        <w:instrText xml:space="preserve"> REF _Ref60049330 \h </w:instrText>
      </w:r>
      <w:r w:rsidR="009C7C50">
        <w:fldChar w:fldCharType="separate"/>
      </w:r>
      <w:r w:rsidR="00A75877">
        <w:t xml:space="preserve">Figure </w:t>
      </w:r>
      <w:r w:rsidR="00A75877">
        <w:rPr>
          <w:noProof/>
        </w:rPr>
        <w:t>6</w:t>
      </w:r>
      <w:r w:rsidR="009C7C50">
        <w:fldChar w:fldCharType="end"/>
      </w:r>
      <w:r w:rsidR="009C7C50">
        <w:t>)</w:t>
      </w:r>
      <w:r w:rsidR="00803032">
        <w:t>,</w:t>
      </w:r>
      <w:r w:rsidR="001B51E2">
        <w:t xml:space="preserve"> this is an unsafe act that is an error of skill.</w:t>
      </w:r>
      <w:r w:rsidR="000053D0">
        <w:t xml:space="preserve"> In terms of pre-conditions for the unsafe act the </w:t>
      </w:r>
      <w:r w:rsidR="009176DC">
        <w:t>major factor</w:t>
      </w:r>
      <w:r w:rsidR="002B5753">
        <w:t>s</w:t>
      </w:r>
      <w:r w:rsidR="009176DC">
        <w:t xml:space="preserve"> here are t</w:t>
      </w:r>
      <w:r w:rsidR="002F344A">
        <w:t>hree</w:t>
      </w:r>
      <w:r w:rsidR="009176DC">
        <w:t xml:space="preserve">-fold. The </w:t>
      </w:r>
      <w:r w:rsidR="008E5DE5">
        <w:t>physical environment</w:t>
      </w:r>
      <w:r w:rsidR="009176DC">
        <w:t xml:space="preserve"> of the airspace </w:t>
      </w:r>
      <w:r w:rsidR="008E5DE5">
        <w:t xml:space="preserve">design </w:t>
      </w:r>
      <w:r w:rsidR="00700E55">
        <w:t>is such that a transition is required</w:t>
      </w:r>
      <w:r w:rsidR="00647587">
        <w:t xml:space="preserve"> </w:t>
      </w:r>
      <w:r w:rsidR="00844A04">
        <w:t xml:space="preserve">in the first place and the nature of the design means that in low pressure conditions the time to make the </w:t>
      </w:r>
      <w:r w:rsidR="002B5753">
        <w:t>change</w:t>
      </w:r>
      <w:r w:rsidR="00844A04">
        <w:t xml:space="preserve"> is greatly reduced</w:t>
      </w:r>
      <w:r w:rsidR="001A79B4">
        <w:t xml:space="preserve"> (and hence why low pressure is commonly associated with</w:t>
      </w:r>
      <w:r w:rsidR="00433023">
        <w:t xml:space="preserve"> this incident type </w:t>
      </w:r>
      <w:r w:rsidR="005B43C0">
        <w:t>and provides a signal to experienced controllers</w:t>
      </w:r>
      <w:r w:rsidR="00433023">
        <w:t xml:space="preserve"> for a possible increase in risk</w:t>
      </w:r>
      <w:r w:rsidR="001A79B4">
        <w:t>)</w:t>
      </w:r>
      <w:r w:rsidR="00844A04">
        <w:t xml:space="preserve">. </w:t>
      </w:r>
      <w:r w:rsidR="001C65B2">
        <w:t xml:space="preserve">The </w:t>
      </w:r>
      <w:r w:rsidR="00B52B03">
        <w:t xml:space="preserve">other </w:t>
      </w:r>
      <w:r w:rsidR="00687562">
        <w:t xml:space="preserve">pre-condition </w:t>
      </w:r>
      <w:r w:rsidR="00D2294A">
        <w:t>factor</w:t>
      </w:r>
      <w:r w:rsidR="00B52B03">
        <w:t>s</w:t>
      </w:r>
      <w:r w:rsidR="00D2294A">
        <w:t xml:space="preserve"> </w:t>
      </w:r>
      <w:r w:rsidR="00B52B03">
        <w:t xml:space="preserve">are </w:t>
      </w:r>
      <w:r w:rsidR="00D2294A">
        <w:t xml:space="preserve">closely related </w:t>
      </w:r>
      <w:r w:rsidR="005816B4">
        <w:t>since</w:t>
      </w:r>
      <w:r w:rsidR="00D2294A">
        <w:t xml:space="preserve"> in low pressure conditions</w:t>
      </w:r>
      <w:r w:rsidR="000664A0">
        <w:t>,</w:t>
      </w:r>
      <w:r w:rsidR="00D2294A">
        <w:t xml:space="preserve"> </w:t>
      </w:r>
      <w:r w:rsidR="000664A0">
        <w:t xml:space="preserve">where </w:t>
      </w:r>
      <w:r w:rsidR="0035665B">
        <w:t xml:space="preserve">the </w:t>
      </w:r>
      <w:r w:rsidR="000664A0">
        <w:t xml:space="preserve">time to make the </w:t>
      </w:r>
      <w:r w:rsidR="005816B4">
        <w:t xml:space="preserve">necessary </w:t>
      </w:r>
      <w:r w:rsidR="000664A0">
        <w:t>change is reduced</w:t>
      </w:r>
      <w:r w:rsidR="00264F4B">
        <w:t xml:space="preserve">, pilot workload </w:t>
      </w:r>
      <w:r w:rsidR="00290F4A">
        <w:t xml:space="preserve">can </w:t>
      </w:r>
      <w:r w:rsidR="0035665B">
        <w:t>already be high</w:t>
      </w:r>
      <w:r w:rsidR="007F0AF2">
        <w:t xml:space="preserve"> and the time available may be insufficient to complete this task in a timely way given the number of other concurrent tasks that are required in </w:t>
      </w:r>
      <w:r w:rsidR="007C11FF">
        <w:t>the cockpit during this complex stage of a flight. Additionally</w:t>
      </w:r>
      <w:r w:rsidR="00A16873">
        <w:t>,</w:t>
      </w:r>
      <w:r w:rsidR="00264F4B">
        <w:t xml:space="preserve"> low pressure is </w:t>
      </w:r>
      <w:r w:rsidR="00A16873">
        <w:t xml:space="preserve">also </w:t>
      </w:r>
      <w:r w:rsidR="00264F4B">
        <w:t xml:space="preserve">associated with </w:t>
      </w:r>
      <w:r w:rsidR="00B51272">
        <w:t>difficult flying conditions, such as high winds</w:t>
      </w:r>
      <w:r w:rsidR="0030515D">
        <w:t>,</w:t>
      </w:r>
      <w:r w:rsidR="001A7854">
        <w:t xml:space="preserve"> and</w:t>
      </w:r>
      <w:r w:rsidR="00E92B8A">
        <w:t xml:space="preserve"> p</w:t>
      </w:r>
      <w:r w:rsidR="00A52079">
        <w:t>ilot workload can also be complicated by factors such as fatigue after a long night flight.</w:t>
      </w:r>
    </w:p>
    <w:p w14:paraId="0510FD98" w14:textId="637876FD" w:rsidR="001E4B96" w:rsidRDefault="00C339AA" w:rsidP="002B712A">
      <w:r>
        <w:rPr>
          <w:noProof/>
        </w:rPr>
        <w:drawing>
          <wp:inline distT="0" distB="0" distL="0" distR="0" wp14:anchorId="510B65B6" wp14:editId="37A0BF45">
            <wp:extent cx="5731510" cy="6062980"/>
            <wp:effectExtent l="0" t="0" r="2540" b="0"/>
            <wp:docPr id="22" name="Picture 22" descr="HFACS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FACS Diagram&#10;"/>
                    <pic:cNvPicPr/>
                  </pic:nvPicPr>
                  <pic:blipFill>
                    <a:blip r:embed="rId13"/>
                    <a:stretch>
                      <a:fillRect/>
                    </a:stretch>
                  </pic:blipFill>
                  <pic:spPr>
                    <a:xfrm>
                      <a:off x="0" y="0"/>
                      <a:ext cx="5731510" cy="6062980"/>
                    </a:xfrm>
                    <a:prstGeom prst="rect">
                      <a:avLst/>
                    </a:prstGeom>
                  </pic:spPr>
                </pic:pic>
              </a:graphicData>
            </a:graphic>
          </wp:inline>
        </w:drawing>
      </w:r>
    </w:p>
    <w:p w14:paraId="7064CB8B" w14:textId="0C7DD84C" w:rsidR="00D50998" w:rsidRDefault="00D50998" w:rsidP="00D50998">
      <w:pPr>
        <w:pStyle w:val="Caption"/>
      </w:pPr>
      <w:bookmarkStart w:id="6" w:name="_Ref60049330"/>
      <w:r>
        <w:lastRenderedPageBreak/>
        <w:t xml:space="preserve">Figure </w:t>
      </w:r>
      <w:r w:rsidR="00881249">
        <w:fldChar w:fldCharType="begin"/>
      </w:r>
      <w:r w:rsidR="00881249">
        <w:instrText xml:space="preserve"> SEQ Figure \* ARABIC </w:instrText>
      </w:r>
      <w:r w:rsidR="00881249">
        <w:fldChar w:fldCharType="separate"/>
      </w:r>
      <w:r w:rsidR="005156EC">
        <w:rPr>
          <w:noProof/>
        </w:rPr>
        <w:t>6</w:t>
      </w:r>
      <w:r w:rsidR="00881249">
        <w:rPr>
          <w:noProof/>
        </w:rPr>
        <w:fldChar w:fldCharType="end"/>
      </w:r>
      <w:bookmarkEnd w:id="6"/>
      <w:r>
        <w:t>: HFACS analysis – key latent and active errors in Level Bust incidents being addressed by the TOI</w:t>
      </w:r>
    </w:p>
    <w:p w14:paraId="26854432" w14:textId="159E7320" w:rsidR="00D82C1E" w:rsidRDefault="00D82C1E" w:rsidP="00D82C1E">
      <w:pPr>
        <w:pStyle w:val="Heading3"/>
      </w:pPr>
      <w:r>
        <w:t>Exploring Adaptation (HFACS)</w:t>
      </w:r>
    </w:p>
    <w:p w14:paraId="6195EEEE" w14:textId="64F5C801" w:rsidR="00D82C1E" w:rsidRDefault="00D82C1E" w:rsidP="00D82C1E">
      <w:r>
        <w:t>With its focus on error, HFACS is more naturally drawn to the adaptation factors related to violations and to the procedures and rules of work</w:t>
      </w:r>
      <w:r w:rsidR="0042391B">
        <w:t xml:space="preserve"> (Violations, Procedures &amp; Rules)</w:t>
      </w:r>
      <w:r>
        <w:t>. The survey of methods highlighted the possible complementary nature of HFACS and FRAM to provide a more complete coverage of the adaptation factors. There appears to be some potential in the use of FRAM to identify the interactions and functional connections in the system and for HFACS to provide some support to addressing the limitations found with FRAM in exploring the contextual interpretation of the FRAM outputs.</w:t>
      </w:r>
      <w:r w:rsidR="0046419B">
        <w:t xml:space="preserve"> </w:t>
      </w:r>
      <w:r w:rsidR="00E63219">
        <w:t xml:space="preserve">Similar </w:t>
      </w:r>
      <w:r w:rsidR="00F27AF0">
        <w:t xml:space="preserve">combinations </w:t>
      </w:r>
      <w:r w:rsidR="00E63219">
        <w:t xml:space="preserve">of HFACS </w:t>
      </w:r>
      <w:r w:rsidR="00F27AF0">
        <w:t>with other methods have also been discussed</w:t>
      </w:r>
      <w:r w:rsidR="009D241D">
        <w:t>,</w:t>
      </w:r>
      <w:r w:rsidR="00F27AF0">
        <w:t xml:space="preserve"> such as </w:t>
      </w:r>
      <w:r w:rsidR="00E63219">
        <w:t xml:space="preserve">to complement STAMP </w:t>
      </w:r>
      <w:r w:rsidR="002F512F">
        <w:fldChar w:fldCharType="begin" w:fldLock="1"/>
      </w:r>
      <w:r w:rsidR="00E60B60">
        <w:instrText>ADDIN CSL_CITATION {"citationItems":[{"id":"ITEM-1","itemData":{"DOI":"10.1080/14639220903536559","ISSN":"1463922X","abstract":"The Human Factors Analysis and Classification System (HFACS), based upon Reason's model of human error in an organisational context, is currently the most widely used human factors accident analysis framework. However, it has been criticised for merely categorising accident data rather than analysing it. Previous research has established statistical associations between the levels and categories within HFACS but has not specified a mechanism by which one category influences subsequent behaviour. This paper extends the approach in two ways. Using the categories of control flaws derived from Leveson's Systems-Theoretical Accident Model and Processes (STAMP) approach, it describes the mechanisms by which categories within HFACS are associated with other categories lower in the organisational hierarchy. It also provides a mechanism by which active failures can promulgate across organisations. The revised methodology HFACS-STAMP is illustrated using the case study of the Uberlingen mid-air collision on 1 July 2002. © 2011 Copyright Taylor and Francis Group, LLC.","author":[{"dropping-particle":"","family":"Harris","given":"D.","non-dropping-particle":"","parse-names":false,"suffix":""},{"dropping-particle":"","family":"Li","given":"W. C.","non-dropping-particle":"","parse-names":false,"suffix":""}],"container-title":"Theoretical Issues in Ergonomics Science","id":"ITEM-1","issue":"2","issued":{"date-parts":[["2011"]]},"page":"108-128","title":"An extension of the Human Factors Analysis and Classification System for use in open systems","type":"article-journal","volume":"12"},"uris":["http://www.mendeley.com/documents/?uuid=8392001b-da7b-41e5-b572-9f61fdfd1818"]}],"mendeley":{"formattedCitation":"(Harris &amp; Li, 2011)","plainTextFormattedCitation":"(Harris &amp; Li, 2011)","previouslyFormattedCitation":"(Harris &amp; Li, 2011)"},"properties":{"noteIndex":0},"schema":"https://github.com/citation-style-language/schema/raw/master/csl-citation.json"}</w:instrText>
      </w:r>
      <w:r w:rsidR="002F512F">
        <w:fldChar w:fldCharType="separate"/>
      </w:r>
      <w:r w:rsidR="00F27AF0" w:rsidRPr="00F27AF0">
        <w:rPr>
          <w:noProof/>
        </w:rPr>
        <w:t>(Harris &amp; Li, 2011)</w:t>
      </w:r>
      <w:r w:rsidR="002F512F">
        <w:fldChar w:fldCharType="end"/>
      </w:r>
      <w:r w:rsidR="00F27AF0">
        <w:t>.</w:t>
      </w:r>
    </w:p>
    <w:p w14:paraId="4FFC0637" w14:textId="779D59F2" w:rsidR="00D82C1E" w:rsidRDefault="00D82C1E" w:rsidP="00D82C1E">
      <w:r>
        <w:t xml:space="preserve">HFACS has also been extended to include the Human Factors Intervention matriX (HFIX) </w:t>
      </w:r>
      <w:r>
        <w:fldChar w:fldCharType="begin" w:fldLock="1"/>
      </w:r>
      <w:r>
        <w:instrText>ADDIN CSL_CITATION {"citationItems":[{"id":"ITEM-1","itemData":{"DOI":"10.1080/10508410902983904","ISSN":"10508414","abstract":"There is a need to develop an effective methodology for generating and evaluating intervention strategies that map current and proposed safety programs onto well-established types of human error. Toward these ends, we conducted 2 studies using recommendations from National Transportation Safety Board accident investigations and two joint Federal Aviation Administration and industry working groups. The goal of these studies was to identify the types of interventions commonly recommended by these agencies, as well as to develop a framework for evaluating the potential impact of specific safety initiatives that target human error in aviation. The results suggest theremendations we evaluated in this study. Therefore, we propose a framework called the Human Factors Intervention Matrix as a potential tool for evaluating current aviation safety programs, as well as generating more comprehensive interventions in the future. © 2009 Taylor &amp; Francis Group, LLC.","author":[{"dropping-particle":"","family":"Shappell","given":"Scott","non-dropping-particle":"","parse-names":false,"suffix":""},{"dropping-particle":"","family":"Wiegmann","given":"Douglas","non-dropping-particle":"","parse-names":false,"suffix":""}],"container-title":"International Journal of Aviation Psychology","id":"ITEM-1","issue":"3","issued":{"date-parts":[["2009"]]},"page":"252-269","title":"A methodology for assessing safety programs targeting human error in aviation","type":"article-journal","volume":"19"},"uris":["http://www.mendeley.com/documents/?uuid=f014b55e-d702-495e-aee2-11c45d30898c"]}],"mendeley":{"formattedCitation":"(Shappell &amp; Wiegmann, 2009)","plainTextFormattedCitation":"(Shappell &amp; Wiegmann, 2009)","previouslyFormattedCitation":"(Shappell &amp; Wiegmann, 2009)"},"properties":{"noteIndex":0},"schema":"https://github.com/citation-style-language/schema/raw/master/csl-citation.json"}</w:instrText>
      </w:r>
      <w:r>
        <w:fldChar w:fldCharType="separate"/>
      </w:r>
      <w:r w:rsidRPr="006922C7">
        <w:rPr>
          <w:noProof/>
        </w:rPr>
        <w:t>(Shappell &amp; Wiegmann, 2009)</w:t>
      </w:r>
      <w:r>
        <w:fldChar w:fldCharType="end"/>
      </w:r>
      <w:r>
        <w:t xml:space="preserve"> and the TOI can be examined, albeit retrospectively, as an intervention in this context. Applying the HFIX framework (see </w:t>
      </w:r>
      <w:r>
        <w:fldChar w:fldCharType="begin"/>
      </w:r>
      <w:r>
        <w:instrText xml:space="preserve"> REF _Ref76203009 \h </w:instrText>
      </w:r>
      <w:r>
        <w:fldChar w:fldCharType="separate"/>
      </w:r>
      <w:r w:rsidR="00AC7C14">
        <w:t xml:space="preserve">Table </w:t>
      </w:r>
      <w:r w:rsidR="00AC7C14">
        <w:rPr>
          <w:noProof/>
        </w:rPr>
        <w:t>1</w:t>
      </w:r>
      <w:r>
        <w:fldChar w:fldCharType="end"/>
      </w:r>
      <w:r w:rsidR="00A41B25">
        <w:t>, blank cells show no identified HFIX features in the scope of the TOI decision-making process</w:t>
      </w:r>
      <w:r>
        <w:t>) suggests that the TOI was a Task/Mission intervention focusing on a procedural change to address a skill-based error. This intervention should be placed in the context of other interventions that had already been tried including working with airlines to understand their operating procedures and the addition of specific tools in the controller display equipment (a Human Machine Interface (HMI)) to present the BPS (after working with aircraft manufacturers and standardisation bodies to enable this information to be downlinked from the aircraft).</w:t>
      </w:r>
      <w:r w:rsidR="005842BA">
        <w:t xml:space="preserve"> </w:t>
      </w:r>
      <w:r>
        <w:t xml:space="preserve">Thus, it could be argued that the TOI was a complementary intervention to these prior initiatives. </w:t>
      </w:r>
    </w:p>
    <w:p w14:paraId="12873916" w14:textId="77777777" w:rsidR="00D82C1E" w:rsidRDefault="00D82C1E" w:rsidP="00D82C1E">
      <w:r>
        <w:t>Additionally, the HFIX approach calls out four other factors that govern the introduction of safety interventions: cost, effectiveness, feasibility and acceptability. Regarding cost and feasibility, the TOI is incredibly low cost compared to the technological initiatives and the amendment of phraseology is within the remit of the air traffic organisation. The effectiveness of the TOI was unknown; hence it was being trialled. However, the acceptability proved subsequently to be problematic given the safety observations and the reports of exchanges between pilots and controllers to query the change. However, the clearest indication from the use of HFACS (and HFIX) of the possible issues with the TOI is the mismatch between a pilot-domain error and the intervention being in the controller-domain.</w:t>
      </w:r>
    </w:p>
    <w:p w14:paraId="68A5B0F2" w14:textId="78292B52" w:rsidR="00D82C1E" w:rsidRDefault="00D82C1E" w:rsidP="00D82C1E">
      <w:r>
        <w:t xml:space="preserve">Lastly, the Safety Notice issued after the TOI was withdrawn can be interpreted as an Organisational/Administrative intervention specifically related to disseminating practices and strategies across the organisation. This can also be considered to have been complementary to the technological and procedural interventions. Although HFACS merely prompts the practitioner to consider the breadth of possible interventions rather </w:t>
      </w:r>
      <w:r w:rsidR="00AE30B1">
        <w:t xml:space="preserve">than </w:t>
      </w:r>
      <w:r>
        <w:t>commenting on the likely effectiveness of a safety intervention.</w:t>
      </w:r>
    </w:p>
    <w:p w14:paraId="37821758" w14:textId="6A9090B9" w:rsidR="00D82C1E" w:rsidRDefault="00D82C1E" w:rsidP="00D82C1E">
      <w:pPr>
        <w:pStyle w:val="Caption"/>
      </w:pPr>
      <w:bookmarkStart w:id="7" w:name="_Ref76203009"/>
      <w:r>
        <w:t xml:space="preserve">Table </w:t>
      </w:r>
      <w:r w:rsidR="00881249">
        <w:fldChar w:fldCharType="begin"/>
      </w:r>
      <w:r w:rsidR="00881249">
        <w:instrText xml:space="preserve"> SEQ Table \* ARABIC </w:instrText>
      </w:r>
      <w:r w:rsidR="00881249">
        <w:fldChar w:fldCharType="separate"/>
      </w:r>
      <w:r w:rsidR="007562E4">
        <w:rPr>
          <w:noProof/>
        </w:rPr>
        <w:t>1</w:t>
      </w:r>
      <w:r w:rsidR="00881249">
        <w:rPr>
          <w:noProof/>
        </w:rPr>
        <w:fldChar w:fldCharType="end"/>
      </w:r>
      <w:bookmarkEnd w:id="7"/>
      <w:r>
        <w:t>: Human Factors Intervention matrix (HFIX) for prior actions, the TOI intervention and the subsequent Safety Notice</w:t>
      </w:r>
    </w:p>
    <w:tbl>
      <w:tblPr>
        <w:tblStyle w:val="TableGrid"/>
        <w:tblW w:w="0" w:type="auto"/>
        <w:tblLook w:val="04A0" w:firstRow="1" w:lastRow="0" w:firstColumn="1" w:lastColumn="0" w:noHBand="0" w:noVBand="1"/>
      </w:tblPr>
      <w:tblGrid>
        <w:gridCol w:w="1601"/>
        <w:gridCol w:w="1633"/>
        <w:gridCol w:w="1303"/>
        <w:gridCol w:w="1836"/>
        <w:gridCol w:w="1227"/>
        <w:gridCol w:w="1642"/>
      </w:tblGrid>
      <w:tr w:rsidR="00D82C1E" w14:paraId="706ABBDA" w14:textId="77777777" w:rsidTr="00C45825">
        <w:tc>
          <w:tcPr>
            <w:tcW w:w="1668" w:type="dxa"/>
            <w:shd w:val="clear" w:color="auto" w:fill="000000" w:themeFill="text1"/>
          </w:tcPr>
          <w:p w14:paraId="14C6663C" w14:textId="77777777" w:rsidR="00D82C1E" w:rsidRPr="00FF0D56" w:rsidRDefault="00D82C1E" w:rsidP="000A67D8">
            <w:pPr>
              <w:rPr>
                <w:sz w:val="20"/>
                <w:szCs w:val="20"/>
              </w:rPr>
            </w:pPr>
          </w:p>
        </w:tc>
        <w:tc>
          <w:tcPr>
            <w:tcW w:w="1655" w:type="dxa"/>
            <w:shd w:val="clear" w:color="auto" w:fill="000000" w:themeFill="text1"/>
          </w:tcPr>
          <w:p w14:paraId="1A4CC86B" w14:textId="77777777" w:rsidR="00D82C1E" w:rsidRDefault="00D82C1E" w:rsidP="000A67D8">
            <w:pPr>
              <w:rPr>
                <w:b/>
                <w:bCs/>
                <w:sz w:val="20"/>
                <w:szCs w:val="20"/>
              </w:rPr>
            </w:pPr>
            <w:r w:rsidRPr="00FF0D56">
              <w:rPr>
                <w:sz w:val="20"/>
                <w:szCs w:val="20"/>
              </w:rPr>
              <w:t>Organisational/</w:t>
            </w:r>
          </w:p>
          <w:p w14:paraId="0EB16254" w14:textId="77777777" w:rsidR="00D82C1E" w:rsidRPr="00FF0D56" w:rsidRDefault="00D82C1E" w:rsidP="000A67D8">
            <w:pPr>
              <w:rPr>
                <w:sz w:val="20"/>
                <w:szCs w:val="20"/>
              </w:rPr>
            </w:pPr>
            <w:r w:rsidRPr="00FF0D56">
              <w:rPr>
                <w:sz w:val="20"/>
                <w:szCs w:val="20"/>
              </w:rPr>
              <w:t>Administrative</w:t>
            </w:r>
          </w:p>
        </w:tc>
        <w:tc>
          <w:tcPr>
            <w:tcW w:w="1157" w:type="dxa"/>
            <w:shd w:val="clear" w:color="auto" w:fill="000000" w:themeFill="text1"/>
          </w:tcPr>
          <w:p w14:paraId="4615DF7F" w14:textId="77777777" w:rsidR="00D82C1E" w:rsidRPr="00FF0D56" w:rsidRDefault="00D82C1E" w:rsidP="000A67D8">
            <w:pPr>
              <w:rPr>
                <w:sz w:val="20"/>
                <w:szCs w:val="20"/>
              </w:rPr>
            </w:pPr>
            <w:r w:rsidRPr="00FF0D56">
              <w:rPr>
                <w:sz w:val="20"/>
                <w:szCs w:val="20"/>
              </w:rPr>
              <w:t>Human/Crew</w:t>
            </w:r>
          </w:p>
        </w:tc>
        <w:tc>
          <w:tcPr>
            <w:tcW w:w="1919" w:type="dxa"/>
            <w:shd w:val="clear" w:color="auto" w:fill="000000" w:themeFill="text1"/>
          </w:tcPr>
          <w:p w14:paraId="502BE0B4" w14:textId="77777777" w:rsidR="00D82C1E" w:rsidRDefault="00D82C1E" w:rsidP="000A67D8">
            <w:pPr>
              <w:rPr>
                <w:b/>
                <w:bCs/>
                <w:sz w:val="20"/>
                <w:szCs w:val="20"/>
              </w:rPr>
            </w:pPr>
            <w:r w:rsidRPr="00FF0D56">
              <w:rPr>
                <w:sz w:val="20"/>
                <w:szCs w:val="20"/>
              </w:rPr>
              <w:t>Technology/</w:t>
            </w:r>
          </w:p>
          <w:p w14:paraId="3E5843DD" w14:textId="77777777" w:rsidR="00D82C1E" w:rsidRPr="00FF0D56" w:rsidRDefault="00D82C1E" w:rsidP="000A67D8">
            <w:pPr>
              <w:rPr>
                <w:sz w:val="20"/>
                <w:szCs w:val="20"/>
              </w:rPr>
            </w:pPr>
            <w:r w:rsidRPr="00FF0D56">
              <w:rPr>
                <w:sz w:val="20"/>
                <w:szCs w:val="20"/>
              </w:rPr>
              <w:t>Engineering</w:t>
            </w:r>
          </w:p>
        </w:tc>
        <w:tc>
          <w:tcPr>
            <w:tcW w:w="1150" w:type="dxa"/>
            <w:shd w:val="clear" w:color="auto" w:fill="000000" w:themeFill="text1"/>
          </w:tcPr>
          <w:p w14:paraId="5B305365" w14:textId="77777777" w:rsidR="00D82C1E" w:rsidRDefault="00D82C1E" w:rsidP="000A67D8">
            <w:pPr>
              <w:rPr>
                <w:b/>
                <w:bCs/>
                <w:sz w:val="20"/>
                <w:szCs w:val="20"/>
              </w:rPr>
            </w:pPr>
            <w:r w:rsidRPr="00FF0D56">
              <w:rPr>
                <w:sz w:val="20"/>
                <w:szCs w:val="20"/>
              </w:rPr>
              <w:t>Task/</w:t>
            </w:r>
          </w:p>
          <w:p w14:paraId="67FC28EC" w14:textId="77777777" w:rsidR="00D82C1E" w:rsidRPr="00FF0D56" w:rsidRDefault="00D82C1E" w:rsidP="000A67D8">
            <w:pPr>
              <w:rPr>
                <w:sz w:val="20"/>
                <w:szCs w:val="20"/>
              </w:rPr>
            </w:pPr>
            <w:r w:rsidRPr="00FF0D56">
              <w:rPr>
                <w:sz w:val="20"/>
                <w:szCs w:val="20"/>
              </w:rPr>
              <w:t>Mission</w:t>
            </w:r>
          </w:p>
        </w:tc>
        <w:tc>
          <w:tcPr>
            <w:tcW w:w="1693" w:type="dxa"/>
            <w:shd w:val="clear" w:color="auto" w:fill="000000" w:themeFill="text1"/>
          </w:tcPr>
          <w:p w14:paraId="4FBAE0C4" w14:textId="77777777" w:rsidR="00D82C1E" w:rsidRDefault="00D82C1E" w:rsidP="000A67D8">
            <w:pPr>
              <w:rPr>
                <w:b/>
                <w:bCs/>
                <w:sz w:val="20"/>
                <w:szCs w:val="20"/>
              </w:rPr>
            </w:pPr>
            <w:r w:rsidRPr="00FF0D56">
              <w:rPr>
                <w:sz w:val="20"/>
                <w:szCs w:val="20"/>
              </w:rPr>
              <w:t>Operational/</w:t>
            </w:r>
          </w:p>
          <w:p w14:paraId="4F4DA2C8" w14:textId="77777777" w:rsidR="00D82C1E" w:rsidRPr="00FF0D56" w:rsidRDefault="00D82C1E" w:rsidP="000A67D8">
            <w:pPr>
              <w:rPr>
                <w:sz w:val="20"/>
                <w:szCs w:val="20"/>
              </w:rPr>
            </w:pPr>
            <w:r w:rsidRPr="00FF0D56">
              <w:rPr>
                <w:sz w:val="20"/>
                <w:szCs w:val="20"/>
              </w:rPr>
              <w:t>Physical Environment</w:t>
            </w:r>
          </w:p>
        </w:tc>
      </w:tr>
      <w:tr w:rsidR="00D82C1E" w14:paraId="785F40F7" w14:textId="77777777" w:rsidTr="00C45825">
        <w:tc>
          <w:tcPr>
            <w:tcW w:w="1668" w:type="dxa"/>
          </w:tcPr>
          <w:p w14:paraId="49B59B4C" w14:textId="77777777" w:rsidR="00D82C1E" w:rsidRPr="00C45825" w:rsidRDefault="00D82C1E" w:rsidP="000A67D8">
            <w:pPr>
              <w:rPr>
                <w:b/>
                <w:bCs/>
                <w:sz w:val="20"/>
                <w:szCs w:val="20"/>
              </w:rPr>
            </w:pPr>
            <w:r w:rsidRPr="00C45825">
              <w:rPr>
                <w:b/>
                <w:bCs/>
                <w:sz w:val="20"/>
                <w:szCs w:val="20"/>
              </w:rPr>
              <w:t>Decision Errors</w:t>
            </w:r>
          </w:p>
        </w:tc>
        <w:tc>
          <w:tcPr>
            <w:tcW w:w="1655" w:type="dxa"/>
          </w:tcPr>
          <w:p w14:paraId="57138B40" w14:textId="77777777" w:rsidR="00D82C1E" w:rsidRPr="00FF0D56" w:rsidRDefault="00D82C1E" w:rsidP="000A67D8">
            <w:pPr>
              <w:rPr>
                <w:sz w:val="20"/>
                <w:szCs w:val="20"/>
              </w:rPr>
            </w:pPr>
          </w:p>
        </w:tc>
        <w:tc>
          <w:tcPr>
            <w:tcW w:w="1157" w:type="dxa"/>
          </w:tcPr>
          <w:p w14:paraId="23D1EB85" w14:textId="77777777" w:rsidR="00D82C1E" w:rsidRPr="00FF0D56" w:rsidRDefault="00D82C1E" w:rsidP="000A67D8">
            <w:pPr>
              <w:rPr>
                <w:sz w:val="20"/>
                <w:szCs w:val="20"/>
              </w:rPr>
            </w:pPr>
          </w:p>
        </w:tc>
        <w:tc>
          <w:tcPr>
            <w:tcW w:w="1919" w:type="dxa"/>
          </w:tcPr>
          <w:p w14:paraId="47451BEB" w14:textId="77777777" w:rsidR="00D82C1E" w:rsidRPr="00FF0D56" w:rsidRDefault="00D82C1E" w:rsidP="000A67D8">
            <w:pPr>
              <w:rPr>
                <w:sz w:val="20"/>
                <w:szCs w:val="20"/>
              </w:rPr>
            </w:pPr>
          </w:p>
        </w:tc>
        <w:tc>
          <w:tcPr>
            <w:tcW w:w="1150" w:type="dxa"/>
          </w:tcPr>
          <w:p w14:paraId="414CCE9A" w14:textId="77777777" w:rsidR="00D82C1E" w:rsidRPr="00FF0D56" w:rsidRDefault="00D82C1E" w:rsidP="000A67D8">
            <w:pPr>
              <w:rPr>
                <w:sz w:val="20"/>
                <w:szCs w:val="20"/>
              </w:rPr>
            </w:pPr>
          </w:p>
        </w:tc>
        <w:tc>
          <w:tcPr>
            <w:tcW w:w="1693" w:type="dxa"/>
          </w:tcPr>
          <w:p w14:paraId="3A9EC7AE" w14:textId="77777777" w:rsidR="00D82C1E" w:rsidRPr="00FF0D56" w:rsidRDefault="00D82C1E" w:rsidP="000A67D8">
            <w:pPr>
              <w:rPr>
                <w:sz w:val="20"/>
                <w:szCs w:val="20"/>
              </w:rPr>
            </w:pPr>
          </w:p>
        </w:tc>
      </w:tr>
      <w:tr w:rsidR="00D82C1E" w14:paraId="5C71DF8F" w14:textId="77777777" w:rsidTr="00C45825">
        <w:tc>
          <w:tcPr>
            <w:tcW w:w="1668" w:type="dxa"/>
          </w:tcPr>
          <w:p w14:paraId="794C2D00" w14:textId="77777777" w:rsidR="00D82C1E" w:rsidRPr="00C45825" w:rsidRDefault="00D82C1E" w:rsidP="000A67D8">
            <w:pPr>
              <w:rPr>
                <w:b/>
                <w:bCs/>
                <w:sz w:val="20"/>
                <w:szCs w:val="20"/>
              </w:rPr>
            </w:pPr>
            <w:r w:rsidRPr="00C45825">
              <w:rPr>
                <w:b/>
                <w:bCs/>
                <w:sz w:val="20"/>
                <w:szCs w:val="20"/>
              </w:rPr>
              <w:t>Skill-based Errors</w:t>
            </w:r>
          </w:p>
        </w:tc>
        <w:tc>
          <w:tcPr>
            <w:tcW w:w="1655" w:type="dxa"/>
          </w:tcPr>
          <w:p w14:paraId="7A676124" w14:textId="77777777" w:rsidR="00D82C1E" w:rsidRPr="00FF0D56" w:rsidRDefault="00D82C1E" w:rsidP="000A67D8">
            <w:pPr>
              <w:rPr>
                <w:sz w:val="20"/>
                <w:szCs w:val="20"/>
              </w:rPr>
            </w:pPr>
          </w:p>
        </w:tc>
        <w:tc>
          <w:tcPr>
            <w:tcW w:w="1157" w:type="dxa"/>
          </w:tcPr>
          <w:p w14:paraId="6B06A3ED" w14:textId="77777777" w:rsidR="00D82C1E" w:rsidRPr="00FF0D56" w:rsidRDefault="00D82C1E" w:rsidP="000A67D8">
            <w:pPr>
              <w:rPr>
                <w:sz w:val="20"/>
                <w:szCs w:val="20"/>
              </w:rPr>
            </w:pPr>
            <w:r>
              <w:rPr>
                <w:sz w:val="20"/>
                <w:szCs w:val="20"/>
              </w:rPr>
              <w:t>Previous ATCO/Pilot interface interventions</w:t>
            </w:r>
          </w:p>
        </w:tc>
        <w:tc>
          <w:tcPr>
            <w:tcW w:w="1919" w:type="dxa"/>
          </w:tcPr>
          <w:p w14:paraId="78CBB30E" w14:textId="77777777" w:rsidR="00D82C1E" w:rsidRPr="00FF0D56" w:rsidRDefault="00D82C1E" w:rsidP="000A67D8">
            <w:pPr>
              <w:rPr>
                <w:sz w:val="20"/>
                <w:szCs w:val="20"/>
              </w:rPr>
            </w:pPr>
          </w:p>
        </w:tc>
        <w:tc>
          <w:tcPr>
            <w:tcW w:w="1150" w:type="dxa"/>
          </w:tcPr>
          <w:p w14:paraId="39A118F2" w14:textId="77777777" w:rsidR="00D82C1E" w:rsidRPr="00FF0D56" w:rsidRDefault="00D82C1E" w:rsidP="000A67D8">
            <w:pPr>
              <w:rPr>
                <w:sz w:val="20"/>
                <w:szCs w:val="20"/>
              </w:rPr>
            </w:pPr>
            <w:r>
              <w:rPr>
                <w:sz w:val="20"/>
                <w:szCs w:val="20"/>
              </w:rPr>
              <w:t xml:space="preserve">TOI Intervention </w:t>
            </w:r>
          </w:p>
        </w:tc>
        <w:tc>
          <w:tcPr>
            <w:tcW w:w="1693" w:type="dxa"/>
          </w:tcPr>
          <w:p w14:paraId="7446D54D" w14:textId="77777777" w:rsidR="00D82C1E" w:rsidRPr="00FF0D56" w:rsidRDefault="00D82C1E" w:rsidP="000A67D8">
            <w:pPr>
              <w:rPr>
                <w:sz w:val="20"/>
                <w:szCs w:val="20"/>
              </w:rPr>
            </w:pPr>
          </w:p>
        </w:tc>
      </w:tr>
      <w:tr w:rsidR="00D82C1E" w14:paraId="6FDDA803" w14:textId="77777777" w:rsidTr="00C45825">
        <w:tc>
          <w:tcPr>
            <w:tcW w:w="1668" w:type="dxa"/>
          </w:tcPr>
          <w:p w14:paraId="179A6311" w14:textId="77777777" w:rsidR="00D82C1E" w:rsidRPr="00C45825" w:rsidRDefault="00D82C1E" w:rsidP="000A67D8">
            <w:pPr>
              <w:rPr>
                <w:b/>
                <w:bCs/>
                <w:sz w:val="20"/>
                <w:szCs w:val="20"/>
              </w:rPr>
            </w:pPr>
            <w:r w:rsidRPr="00C45825">
              <w:rPr>
                <w:b/>
                <w:bCs/>
                <w:sz w:val="20"/>
                <w:szCs w:val="20"/>
              </w:rPr>
              <w:t xml:space="preserve">Perceptual </w:t>
            </w:r>
            <w:r w:rsidRPr="00C45825">
              <w:rPr>
                <w:b/>
                <w:bCs/>
                <w:sz w:val="20"/>
                <w:szCs w:val="20"/>
              </w:rPr>
              <w:lastRenderedPageBreak/>
              <w:t>Errors</w:t>
            </w:r>
          </w:p>
        </w:tc>
        <w:tc>
          <w:tcPr>
            <w:tcW w:w="1655" w:type="dxa"/>
          </w:tcPr>
          <w:p w14:paraId="18D74F28" w14:textId="77777777" w:rsidR="00D82C1E" w:rsidRPr="00FF0D56" w:rsidRDefault="00D82C1E" w:rsidP="000A67D8">
            <w:pPr>
              <w:rPr>
                <w:sz w:val="20"/>
                <w:szCs w:val="20"/>
              </w:rPr>
            </w:pPr>
            <w:r>
              <w:rPr>
                <w:sz w:val="20"/>
                <w:szCs w:val="20"/>
              </w:rPr>
              <w:lastRenderedPageBreak/>
              <w:t xml:space="preserve">After TOI </w:t>
            </w:r>
            <w:r>
              <w:rPr>
                <w:sz w:val="20"/>
                <w:szCs w:val="20"/>
              </w:rPr>
              <w:lastRenderedPageBreak/>
              <w:t>withdrawn, Safety Notice disseminated techniques to address risk</w:t>
            </w:r>
          </w:p>
        </w:tc>
        <w:tc>
          <w:tcPr>
            <w:tcW w:w="1157" w:type="dxa"/>
          </w:tcPr>
          <w:p w14:paraId="17046C0E" w14:textId="77777777" w:rsidR="00D82C1E" w:rsidRPr="00FF0D56" w:rsidRDefault="00D82C1E" w:rsidP="000A67D8">
            <w:pPr>
              <w:rPr>
                <w:sz w:val="20"/>
                <w:szCs w:val="20"/>
              </w:rPr>
            </w:pPr>
          </w:p>
        </w:tc>
        <w:tc>
          <w:tcPr>
            <w:tcW w:w="1919" w:type="dxa"/>
          </w:tcPr>
          <w:p w14:paraId="1FB2033E" w14:textId="77777777" w:rsidR="00D82C1E" w:rsidRPr="00FF0D56" w:rsidRDefault="00D82C1E" w:rsidP="000A67D8">
            <w:pPr>
              <w:rPr>
                <w:sz w:val="20"/>
                <w:szCs w:val="20"/>
              </w:rPr>
            </w:pPr>
            <w:r>
              <w:rPr>
                <w:sz w:val="20"/>
                <w:szCs w:val="20"/>
              </w:rPr>
              <w:t xml:space="preserve">Previous support </w:t>
            </w:r>
            <w:r>
              <w:rPr>
                <w:sz w:val="20"/>
                <w:szCs w:val="20"/>
              </w:rPr>
              <w:lastRenderedPageBreak/>
              <w:t>tools deployed to alert controllers to BPS setting errors</w:t>
            </w:r>
          </w:p>
        </w:tc>
        <w:tc>
          <w:tcPr>
            <w:tcW w:w="1150" w:type="dxa"/>
          </w:tcPr>
          <w:p w14:paraId="0B33372C" w14:textId="77777777" w:rsidR="00D82C1E" w:rsidRPr="00FF0D56" w:rsidRDefault="00D82C1E" w:rsidP="000A67D8">
            <w:pPr>
              <w:rPr>
                <w:sz w:val="20"/>
                <w:szCs w:val="20"/>
              </w:rPr>
            </w:pPr>
          </w:p>
        </w:tc>
        <w:tc>
          <w:tcPr>
            <w:tcW w:w="1693" w:type="dxa"/>
          </w:tcPr>
          <w:p w14:paraId="46D837B3" w14:textId="77777777" w:rsidR="00D82C1E" w:rsidRPr="00FF0D56" w:rsidRDefault="00D82C1E" w:rsidP="000A67D8">
            <w:pPr>
              <w:rPr>
                <w:sz w:val="20"/>
                <w:szCs w:val="20"/>
              </w:rPr>
            </w:pPr>
          </w:p>
        </w:tc>
      </w:tr>
      <w:tr w:rsidR="00D82C1E" w14:paraId="6F551839" w14:textId="77777777" w:rsidTr="00C45825">
        <w:tc>
          <w:tcPr>
            <w:tcW w:w="1668" w:type="dxa"/>
          </w:tcPr>
          <w:p w14:paraId="25838110" w14:textId="77777777" w:rsidR="00D82C1E" w:rsidRPr="00C45825" w:rsidRDefault="00D82C1E" w:rsidP="000A67D8">
            <w:pPr>
              <w:rPr>
                <w:b/>
                <w:bCs/>
                <w:sz w:val="20"/>
                <w:szCs w:val="20"/>
              </w:rPr>
            </w:pPr>
            <w:r w:rsidRPr="00C45825">
              <w:rPr>
                <w:b/>
                <w:bCs/>
                <w:sz w:val="20"/>
                <w:szCs w:val="20"/>
              </w:rPr>
              <w:t>Violations</w:t>
            </w:r>
          </w:p>
        </w:tc>
        <w:tc>
          <w:tcPr>
            <w:tcW w:w="1655" w:type="dxa"/>
          </w:tcPr>
          <w:p w14:paraId="40FB13F6" w14:textId="77777777" w:rsidR="00D82C1E" w:rsidRPr="00FF0D56" w:rsidRDefault="00D82C1E" w:rsidP="000A67D8">
            <w:pPr>
              <w:rPr>
                <w:sz w:val="20"/>
                <w:szCs w:val="20"/>
              </w:rPr>
            </w:pPr>
          </w:p>
        </w:tc>
        <w:tc>
          <w:tcPr>
            <w:tcW w:w="1157" w:type="dxa"/>
          </w:tcPr>
          <w:p w14:paraId="7B399357" w14:textId="77777777" w:rsidR="00D82C1E" w:rsidRPr="00FF0D56" w:rsidRDefault="00D82C1E" w:rsidP="000A67D8">
            <w:pPr>
              <w:rPr>
                <w:sz w:val="20"/>
                <w:szCs w:val="20"/>
              </w:rPr>
            </w:pPr>
          </w:p>
        </w:tc>
        <w:tc>
          <w:tcPr>
            <w:tcW w:w="1919" w:type="dxa"/>
          </w:tcPr>
          <w:p w14:paraId="6AD65BAD" w14:textId="77777777" w:rsidR="00D82C1E" w:rsidRPr="00FF0D56" w:rsidRDefault="00D82C1E" w:rsidP="000A67D8">
            <w:pPr>
              <w:rPr>
                <w:sz w:val="20"/>
                <w:szCs w:val="20"/>
              </w:rPr>
            </w:pPr>
          </w:p>
        </w:tc>
        <w:tc>
          <w:tcPr>
            <w:tcW w:w="1150" w:type="dxa"/>
          </w:tcPr>
          <w:p w14:paraId="3C87EB6B" w14:textId="77777777" w:rsidR="00D82C1E" w:rsidRPr="00FF0D56" w:rsidRDefault="00D82C1E" w:rsidP="000A67D8">
            <w:pPr>
              <w:rPr>
                <w:sz w:val="20"/>
                <w:szCs w:val="20"/>
              </w:rPr>
            </w:pPr>
          </w:p>
        </w:tc>
        <w:tc>
          <w:tcPr>
            <w:tcW w:w="1693" w:type="dxa"/>
          </w:tcPr>
          <w:p w14:paraId="455F2D2E" w14:textId="77777777" w:rsidR="00D82C1E" w:rsidRPr="00FF0D56" w:rsidRDefault="00D82C1E" w:rsidP="000A67D8">
            <w:pPr>
              <w:rPr>
                <w:sz w:val="20"/>
                <w:szCs w:val="20"/>
              </w:rPr>
            </w:pPr>
          </w:p>
        </w:tc>
      </w:tr>
    </w:tbl>
    <w:p w14:paraId="5E7DD35B" w14:textId="5E5F831C" w:rsidR="00DB2A73" w:rsidRPr="00C70919" w:rsidRDefault="00DB2A73" w:rsidP="001956DD">
      <w:pPr>
        <w:pStyle w:val="Heading2"/>
      </w:pPr>
      <w:r w:rsidRPr="00C70919">
        <w:t>Cognitive Work Analysis</w:t>
      </w:r>
      <w:r w:rsidR="0082559F" w:rsidRPr="00C70919">
        <w:t xml:space="preserve"> (CWA)</w:t>
      </w:r>
    </w:p>
    <w:p w14:paraId="0F9953EC" w14:textId="6E755BAD" w:rsidR="00C70919" w:rsidRPr="00EA3F05" w:rsidDel="002F0939" w:rsidRDefault="00C70919" w:rsidP="00EA3F05">
      <w:pPr>
        <w:pStyle w:val="Heading3"/>
      </w:pPr>
      <w:r>
        <w:t>Application</w:t>
      </w:r>
    </w:p>
    <w:p w14:paraId="4290A6A7" w14:textId="5CDBF202" w:rsidR="00E260D1" w:rsidRDefault="007F1182" w:rsidP="00954248">
      <w:r w:rsidRPr="00C70919">
        <w:t>To conduct the initial WDA step</w:t>
      </w:r>
      <w:r w:rsidR="00BA6E97">
        <w:t>,</w:t>
      </w:r>
      <w:r w:rsidRPr="00C70919">
        <w:t xml:space="preserve"> the Abstraction-Hi</w:t>
      </w:r>
      <w:r w:rsidR="00FF270A" w:rsidRPr="00C70919">
        <w:t xml:space="preserve">erarchy </w:t>
      </w:r>
      <w:r w:rsidR="0090549D" w:rsidRPr="00C70919">
        <w:t xml:space="preserve">(see </w:t>
      </w:r>
      <w:r w:rsidR="0090549D" w:rsidRPr="00C70919">
        <w:fldChar w:fldCharType="begin"/>
      </w:r>
      <w:r w:rsidR="0090549D" w:rsidRPr="00C70919">
        <w:instrText xml:space="preserve"> REF _Ref48648944 \h </w:instrText>
      </w:r>
      <w:r w:rsidR="00C70919">
        <w:instrText xml:space="preserve"> \* MERGEFORMAT </w:instrText>
      </w:r>
      <w:r w:rsidR="0090549D" w:rsidRPr="00C70919">
        <w:fldChar w:fldCharType="separate"/>
      </w:r>
      <w:r w:rsidR="00A75877" w:rsidRPr="00C70919">
        <w:t xml:space="preserve">Figure </w:t>
      </w:r>
      <w:r w:rsidR="00A75877" w:rsidRPr="00C70919">
        <w:rPr>
          <w:noProof/>
        </w:rPr>
        <w:t>7</w:t>
      </w:r>
      <w:r w:rsidR="0090549D" w:rsidRPr="00C70919">
        <w:fldChar w:fldCharType="end"/>
      </w:r>
      <w:r w:rsidR="0090549D" w:rsidRPr="00C70919">
        <w:t xml:space="preserve">) </w:t>
      </w:r>
      <w:r w:rsidR="00FF270A" w:rsidRPr="00C70919">
        <w:t xml:space="preserve">was generated as recommended by </w:t>
      </w:r>
      <w:r w:rsidR="00EB5393" w:rsidRPr="00C70919">
        <w:t xml:space="preserve">Vicente </w:t>
      </w:r>
      <w:r w:rsidR="00442667" w:rsidRPr="00C70919">
        <w:fldChar w:fldCharType="begin" w:fldLock="1"/>
      </w:r>
      <w:r w:rsidR="00AC5E8E" w:rsidRPr="00C70919">
        <w:instrText>ADDIN CSL_CITATION {"citationItems":[{"id":"ITEM-1","itemData":{"DOI":"10.1201/b12457","ISBN":"9780429228100","author":[{"dropping-particle":"","family":"Vicente","given":"Kim J.","non-dropping-particle":"","parse-names":false,"suffix":""}],"container-title":"Cognitive Work Analysis","id":"ITEM-1","issued":{"date-parts":[["1999"]]},"number-of-pages":"416","publisher":"CRC Press","publisher-place":"Boca Raton","title":"Cognitive Work Analysis: Towards Safe, Productive and Healthy Computer-Based Work","type":"book"},"suppress-author":1,"uris":["http://www.mendeley.com/documents/?uuid=c458714a-e15f-4c4a-9368-f941a035c26c"]}],"mendeley":{"formattedCitation":"(1999)","plainTextFormattedCitation":"(1999)","previouslyFormattedCitation":"(1999)"},"properties":{"noteIndex":0},"schema":"https://github.com/citation-style-language/schema/raw/master/csl-citation.json"}</w:instrText>
      </w:r>
      <w:r w:rsidR="00442667" w:rsidRPr="00C70919">
        <w:fldChar w:fldCharType="separate"/>
      </w:r>
      <w:r w:rsidR="00EB5393" w:rsidRPr="00C70919">
        <w:rPr>
          <w:noProof/>
        </w:rPr>
        <w:t>(1999)</w:t>
      </w:r>
      <w:r w:rsidR="00442667" w:rsidRPr="00C70919">
        <w:fldChar w:fldCharType="end"/>
      </w:r>
      <w:r w:rsidR="00EB5393" w:rsidRPr="00C70919">
        <w:t xml:space="preserve"> and following the methodology for the completion of the Abstraction Decomposition Space</w:t>
      </w:r>
      <w:r w:rsidR="00EF5285" w:rsidRPr="00C70919">
        <w:t xml:space="preserve"> </w:t>
      </w:r>
      <w:r w:rsidR="0034152F" w:rsidRPr="00C70919">
        <w:t xml:space="preserve">(ADS) </w:t>
      </w:r>
      <w:r w:rsidR="00AC5E8E" w:rsidRPr="00C70919">
        <w:t xml:space="preserve">from Naikar et al. </w:t>
      </w:r>
      <w:r w:rsidR="00AC5E8E" w:rsidRPr="00C70919">
        <w:fldChar w:fldCharType="begin" w:fldLock="1"/>
      </w:r>
      <w:r w:rsidR="00457A95" w:rsidRPr="00C70919">
        <w:instrText>ADDIN CSL_CITATION {"citationItems":[{"id":"ITEM-1","itemData":{"ISBN":"DSTO-TR-1665","abstract":"This report contributes to the development of a coherent theoretical and methodological approach for work domain analysis (WDA), the first phase of cognitive work analysis. The report: (1) addresses a number of conceptual issues relating to WDA, including differences in the approaches of Rasmussen, Pejtersen, and Goodstein (1994) and Vicente (1999); (2) proposes a methodology for performing WDA; and (3) illustrates the theoretical concepts and methodology for WDA with a work domain of a home – a ‘system’ that will be highly familiar to everyone. This research will help to: make WDA more accessible to researchers and practitioners who were not involved in the development of WDA or who cannot be apprenticed to experts in WDA; reduce the amount of time and effort it takes to perform WDA even for experts in WDA; and facilitate the application of WDA to large-scale industry projects. In addition, by making the methodology for WDA more explicit, this research will allow the methodology, or at least parts of the methodology, to be tested empirically.","author":[{"dropping-particle":"","family":"Naikar","given":"N","non-dropping-particle":"","parse-names":false,"suffix":""},{"dropping-particle":"","family":"Hopcroft","given":"R","non-dropping-particle":"","parse-names":false,"suffix":""},{"dropping-particle":"","family":"Moylan","given":"A","non-dropping-particle":"","parse-names":false,"suffix":""}],"container-title":"Defence Science and Technology Report","id":"ITEM-1","issued":{"date-parts":[["2005"]]},"page":"104","title":"Work domain analysis: Theoretical concepts and methodology","type":"article-journal"},"suppress-author":1,"uris":["http://www.mendeley.com/documents/?uuid=713cfd4d-1e42-49b7-b1e6-a56d603c4fd9"]}],"mendeley":{"formattedCitation":"(2005)","plainTextFormattedCitation":"(2005)","previouslyFormattedCitation":"(2005)"},"properties":{"noteIndex":0},"schema":"https://github.com/citation-style-language/schema/raw/master/csl-citation.json"}</w:instrText>
      </w:r>
      <w:r w:rsidR="00AC5E8E" w:rsidRPr="00C70919">
        <w:fldChar w:fldCharType="separate"/>
      </w:r>
      <w:r w:rsidR="00AC5E8E" w:rsidRPr="00C70919">
        <w:rPr>
          <w:noProof/>
        </w:rPr>
        <w:t>(2005)</w:t>
      </w:r>
      <w:r w:rsidR="00AC5E8E" w:rsidRPr="00C70919">
        <w:fldChar w:fldCharType="end"/>
      </w:r>
      <w:r w:rsidR="00AC5E8E" w:rsidRPr="00C70919">
        <w:t xml:space="preserve">. </w:t>
      </w:r>
      <w:r w:rsidR="00FD5FDB" w:rsidRPr="00C70919">
        <w:t xml:space="preserve">Once again, specific software tools such as </w:t>
      </w:r>
      <w:r w:rsidR="00740C1B" w:rsidRPr="00C70919">
        <w:t>the CWA</w:t>
      </w:r>
      <w:r w:rsidR="00740C1B">
        <w:t xml:space="preserve"> Tool </w:t>
      </w:r>
      <w:r w:rsidR="00964357">
        <w:fldChar w:fldCharType="begin" w:fldLock="1"/>
      </w:r>
      <w:r w:rsidR="000962D6">
        <w:instrText>ADDIN CSL_CITATION {"citationItems":[{"id":"ITEM-1","itemData":{"DOI":"10.1007/978-3-540-73331-7_55","ISBN":"9783540733300","ISSN":"16113349","abstract":"Due to their complexity, systems used within Network Centric Warfare and Command and Control are notoriously difficult to predict. These systems are often influenced by an ever increasing number of dynamic constraints. This dynamic instability causes problems for many traditional normative Human Factors techniques. Cognitive Work Analysis (CWA) is a formative process that focuses on these constraints rather than prescriptive methods of working; this constraint based approach allows the model to handle the unexpected and unanticipated events common in network-centric warfare. This paper presents the development of a Cognitive Work Analysis (CWA) software tool. The tool has two main purposes. The primary purpose is to assist the user in developing the large number of graphical representations that support the iterative design process. The secondary purpose is to explain CWA to novices and systematically guide them through the analysis process. The paper provides a brief introduction to CWA along with a description of the tool and its current capabilities. © Springer-Verlag Berlin Heidelberg 2007.","author":[{"dropping-particle":"","family":"Jenkins","given":"Daniel P.","non-dropping-particle":"","parse-names":false,"suffix":""},{"dropping-particle":"","family":"Stanton","given":"Neville A.","non-dropping-particle":"","parse-names":false,"suffix":""},{"dropping-particle":"","family":"Salmon","given":"Paul M.","non-dropping-particle":"","parse-names":false,"suffix":""},{"dropping-particle":"","family":"Walker","given":"Guy H.","non-dropping-particle":"","parse-names":false,"suffix":""},{"dropping-particle":"","family":"Young","given":"Mark S.","non-dropping-particle":"","parse-names":false,"suffix":""},{"dropping-particle":"","family":"Whitworth","given":"Ian","non-dropping-particle":"","parse-names":false,"suffix":""},{"dropping-particle":"","family":"Farmilo","given":"Andy","non-dropping-particle":"","parse-names":false,"suffix":""},{"dropping-particle":"","family":"Hone","given":"Geoffrey","non-dropping-particle":"","parse-names":false,"suffix":""}],"container-title":"Lecture Notes in Computer Science (including subseries Lecture Notes in Artificial Intelligence and Lecture Notes in Bioinformatics)","id":"ITEM-1","issue":"2003","issued":{"date-parts":[["2007"]]},"page":"504-511","title":"The development of a cognitive work analysis tool","type":"article-journal","volume":"4562 LNAI"},"uris":["http://www.mendeley.com/documents/?uuid=bda1f49b-56fc-45c1-aa0b-95a409ac4835"]}],"mendeley":{"formattedCitation":"(Jenkins et al., 2007)","plainTextFormattedCitation":"(Jenkins et al., 2007)","previouslyFormattedCitation":"(Jenkins et al., 2007)"},"properties":{"noteIndex":0},"schema":"https://github.com/citation-style-language/schema/raw/master/csl-citation.json"}</w:instrText>
      </w:r>
      <w:r w:rsidR="00964357">
        <w:fldChar w:fldCharType="separate"/>
      </w:r>
      <w:r w:rsidR="00964357" w:rsidRPr="00964357">
        <w:rPr>
          <w:noProof/>
        </w:rPr>
        <w:t>(Jenkins et al., 2007)</w:t>
      </w:r>
      <w:r w:rsidR="00964357">
        <w:fldChar w:fldCharType="end"/>
      </w:r>
      <w:r w:rsidR="006E034C">
        <w:t xml:space="preserve"> </w:t>
      </w:r>
      <w:r w:rsidR="00BE1435">
        <w:t>can support the analyst in managing some of the complexity in the application of the method.</w:t>
      </w:r>
    </w:p>
    <w:p w14:paraId="0034780A" w14:textId="12C938EF" w:rsidR="00E260D1" w:rsidRDefault="00AA7253" w:rsidP="00954248">
      <w:r>
        <w:t xml:space="preserve">The ADS </w:t>
      </w:r>
      <w:r w:rsidR="00284D60">
        <w:t xml:space="preserve">for air traffic control </w:t>
      </w:r>
      <w:r>
        <w:t>benefits from the HTA generated earlier and</w:t>
      </w:r>
      <w:r w:rsidR="006C2431">
        <w:t>,</w:t>
      </w:r>
      <w:r>
        <w:t xml:space="preserve"> at a high</w:t>
      </w:r>
      <w:r w:rsidR="00AB12D7">
        <w:t>-</w:t>
      </w:r>
      <w:r>
        <w:t>level</w:t>
      </w:r>
      <w:r w:rsidR="006C2431">
        <w:t>,</w:t>
      </w:r>
      <w:r>
        <w:t xml:space="preserve"> the goals </w:t>
      </w:r>
      <w:r w:rsidR="00AB12D7">
        <w:t xml:space="preserve">and design-independent functions </w:t>
      </w:r>
      <w:r w:rsidR="00284D60">
        <w:t>identified are similar.</w:t>
      </w:r>
      <w:r w:rsidR="00B74278">
        <w:t xml:space="preserve"> The addition of the values and priorities </w:t>
      </w:r>
      <w:r w:rsidR="00D41BD9">
        <w:t xml:space="preserve">between these layers of the abstraction </w:t>
      </w:r>
      <w:r w:rsidR="00B74278">
        <w:t xml:space="preserve">extends the </w:t>
      </w:r>
      <w:r w:rsidR="00D41BD9">
        <w:t xml:space="preserve">value of </w:t>
      </w:r>
      <w:r w:rsidR="00B74278">
        <w:t xml:space="preserve">the HTA and immediately uncovers the </w:t>
      </w:r>
      <w:r w:rsidR="00F71C8E">
        <w:t xml:space="preserve">potential </w:t>
      </w:r>
      <w:r w:rsidR="00E92DBC">
        <w:t xml:space="preserve">requirement </w:t>
      </w:r>
      <w:r w:rsidR="00F71C8E">
        <w:t xml:space="preserve">for trade-offs in the system to achieve conflicting </w:t>
      </w:r>
      <w:r w:rsidR="00CA375F">
        <w:t>goals or value measures.</w:t>
      </w:r>
    </w:p>
    <w:p w14:paraId="20F8E299" w14:textId="29DD35C1" w:rsidR="00246985" w:rsidRDefault="001968D8" w:rsidP="00246985">
      <w:pPr>
        <w:pStyle w:val="NormalWeb"/>
        <w:spacing w:before="0" w:beforeAutospacing="0" w:after="0" w:afterAutospacing="0"/>
        <w:rPr>
          <w:rFonts w:ascii="Calibri" w:hAnsi="Calibri" w:cs="Calibri"/>
          <w:sz w:val="22"/>
          <w:szCs w:val="22"/>
        </w:rPr>
      </w:pPr>
      <w:r w:rsidRPr="001968D8">
        <w:rPr>
          <w:noProof/>
        </w:rPr>
        <w:t xml:space="preserve"> </w:t>
      </w:r>
      <w:r w:rsidRPr="001968D8">
        <w:rPr>
          <w:rFonts w:ascii="Calibri" w:hAnsi="Calibri" w:cs="Calibri"/>
          <w:noProof/>
          <w:sz w:val="22"/>
          <w:szCs w:val="22"/>
        </w:rPr>
        <w:drawing>
          <wp:inline distT="0" distB="0" distL="0" distR="0" wp14:anchorId="3F24F460" wp14:editId="74BB1C23">
            <wp:extent cx="5731510" cy="3683000"/>
            <wp:effectExtent l="0" t="0" r="254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4"/>
                    <a:stretch>
                      <a:fillRect/>
                    </a:stretch>
                  </pic:blipFill>
                  <pic:spPr>
                    <a:xfrm>
                      <a:off x="0" y="0"/>
                      <a:ext cx="5731510" cy="3683000"/>
                    </a:xfrm>
                    <a:prstGeom prst="rect">
                      <a:avLst/>
                    </a:prstGeom>
                  </pic:spPr>
                </pic:pic>
              </a:graphicData>
            </a:graphic>
          </wp:inline>
        </w:drawing>
      </w:r>
    </w:p>
    <w:p w14:paraId="0719BD16" w14:textId="217AD68C" w:rsidR="00246985" w:rsidRDefault="00246985" w:rsidP="00246985">
      <w:pPr>
        <w:pStyle w:val="Caption"/>
      </w:pPr>
      <w:bookmarkStart w:id="8" w:name="_Ref48648944"/>
      <w:r>
        <w:t xml:space="preserve">Figure </w:t>
      </w:r>
      <w:r w:rsidR="00881249">
        <w:fldChar w:fldCharType="begin"/>
      </w:r>
      <w:r w:rsidR="00881249">
        <w:instrText xml:space="preserve"> SEQ Figure \* ARABIC </w:instrText>
      </w:r>
      <w:r w:rsidR="00881249">
        <w:fldChar w:fldCharType="separate"/>
      </w:r>
      <w:r w:rsidR="007562E4">
        <w:rPr>
          <w:noProof/>
        </w:rPr>
        <w:t>7</w:t>
      </w:r>
      <w:r w:rsidR="00881249">
        <w:rPr>
          <w:noProof/>
        </w:rPr>
        <w:fldChar w:fldCharType="end"/>
      </w:r>
      <w:bookmarkEnd w:id="8"/>
      <w:r>
        <w:t>: Abstraction Hierarchy for air traffic control</w:t>
      </w:r>
    </w:p>
    <w:p w14:paraId="7862052C" w14:textId="2CAD7358" w:rsidR="00E260D1" w:rsidRDefault="00D41BD9" w:rsidP="00954248">
      <w:r>
        <w:t xml:space="preserve">The </w:t>
      </w:r>
      <w:r w:rsidR="00D445F4">
        <w:t>Acti</w:t>
      </w:r>
      <w:r w:rsidR="005A7A5A">
        <w:t>vity Analysis</w:t>
      </w:r>
      <w:r w:rsidR="00D445F4">
        <w:t xml:space="preserve"> </w:t>
      </w:r>
      <w:r>
        <w:t xml:space="preserve">step uses the Contextual Activity Template </w:t>
      </w:r>
      <w:r w:rsidR="00B17A41">
        <w:t>as</w:t>
      </w:r>
      <w:r w:rsidR="001F07BA">
        <w:t xml:space="preserve"> proposed by Naikar</w:t>
      </w:r>
      <w:r w:rsidR="00A329A2">
        <w:t xml:space="preserve"> and colleagues</w:t>
      </w:r>
      <w:r w:rsidR="001F07BA">
        <w:t xml:space="preserve"> </w:t>
      </w:r>
      <w:r w:rsidR="00B31BFD">
        <w:fldChar w:fldCharType="begin" w:fldLock="1"/>
      </w:r>
      <w:r w:rsidR="00062E68">
        <w:instrText>ADDIN CSL_CITATION {"citationItems":[{"id":"ITEM-1","itemData":{"DOI":"10.1080/14639220500098821","ISSN":"1464536X","abstract":"Cognitive work analysis is gaining momentum as an approach for the analysis, design and evaluation of complex sociotechnical systems. This paper focuses on control task analysis (ConTA), the second phase of cognitive work analysis. The paper consolidates existing approaches to ConTA and extends the basic concepts, in particular, by asserting that activity in some work systems is better characterized by both work situations and work functions and by introducing a new formative representation for ConTA called the contextual activity template. In addition, the paper proposes a set of methodological guidelines for performing ConTA and presents a case study of a ConTA for a first-of-a-kind military system called Airborne Early Warning and Control. As well as illustrating the conceptual extensions and methodological guidelines for ConTA by example, this case study highlights some of the difficulties of conducting ConTA for first-of-a-kind, complex systems during the early stages of development. © 2006 Taylor and Francis Group, LLC.","author":[{"dropping-particle":"","family":"Naikar","given":"N.","non-dropping-particle":"","parse-names":false,"suffix":""},{"dropping-particle":"","family":"Moylan","given":"A.","non-dropping-particle":"","parse-names":false,"suffix":""},{"dropping-particle":"","family":"Pearce","given":"B.","non-dropping-particle":"","parse-names":false,"suffix":""}],"container-title":"Theoretical Issues in Ergonomics Science","id":"ITEM-1","issued":{"date-parts":[["2006"]]},"title":"Analysing activity in complex systems with cognitive work analysis: Concepts, guidelines and case study for control task analysis","type":"article-journal"},"suppress-author":1,"uris":["http://www.mendeley.com/documents/?uuid=f452fd1a-e040-3b45-abad-b84f2708e5eb"]}],"mendeley":{"formattedCitation":"(2006)","plainTextFormattedCitation":"(2006)","previouslyFormattedCitation":"(2006)"},"properties":{"noteIndex":0},"schema":"https://github.com/citation-style-language/schema/raw/master/csl-citation.json"}</w:instrText>
      </w:r>
      <w:r w:rsidR="00B31BFD">
        <w:fldChar w:fldCharType="separate"/>
      </w:r>
      <w:r w:rsidR="00B31BFD" w:rsidRPr="00B31BFD">
        <w:rPr>
          <w:noProof/>
        </w:rPr>
        <w:t>(2006)</w:t>
      </w:r>
      <w:r w:rsidR="00B31BFD">
        <w:fldChar w:fldCharType="end"/>
      </w:r>
      <w:r w:rsidR="00F35622">
        <w:t xml:space="preserve">. </w:t>
      </w:r>
      <w:r w:rsidR="008B6CED">
        <w:t xml:space="preserve">This uses the functions identified in the ADS and </w:t>
      </w:r>
      <w:r w:rsidR="00A80101">
        <w:t xml:space="preserve">decomposes the </w:t>
      </w:r>
      <w:r w:rsidR="00FB050B">
        <w:t>work</w:t>
      </w:r>
      <w:r w:rsidR="00A80101">
        <w:t xml:space="preserve"> into </w:t>
      </w:r>
      <w:r w:rsidR="00FB050B">
        <w:t>situations that may typically recur during normal activities.</w:t>
      </w:r>
      <w:r w:rsidR="0081006B">
        <w:t xml:space="preserve"> </w:t>
      </w:r>
      <w:r w:rsidR="0022774A">
        <w:t xml:space="preserve">The output from the </w:t>
      </w:r>
      <w:r w:rsidR="005A7A5A">
        <w:t xml:space="preserve">Activity Analysis </w:t>
      </w:r>
      <w:r w:rsidR="0022774A">
        <w:t>illustrates the overlap in situations an</w:t>
      </w:r>
      <w:r w:rsidR="00B91D9F">
        <w:t>d</w:t>
      </w:r>
      <w:r w:rsidR="0022774A">
        <w:t xml:space="preserve"> the requirement, in normal work, for </w:t>
      </w:r>
      <w:r w:rsidR="007D6D43">
        <w:t xml:space="preserve">multiple functions to be conducted simultaneously, so </w:t>
      </w:r>
      <w:r w:rsidR="00D177C3">
        <w:t xml:space="preserve">further </w:t>
      </w:r>
      <w:r w:rsidR="007D6D43">
        <w:t>developing the understanding of possible trade-offs.</w:t>
      </w:r>
    </w:p>
    <w:p w14:paraId="1378EE75" w14:textId="404F83E6" w:rsidR="00B718BB" w:rsidRDefault="00A9734E" w:rsidP="00954248">
      <w:r>
        <w:t xml:space="preserve">At this stage of the CWA process the description is still at a </w:t>
      </w:r>
      <w:r w:rsidR="004B70E7">
        <w:t xml:space="preserve">relatively high-level and the analysis has not yet uncovered features of the work with direct relevance to the TOI. This is rectified in the </w:t>
      </w:r>
      <w:r w:rsidR="00CF06E2">
        <w:lastRenderedPageBreak/>
        <w:t xml:space="preserve">strategies analysis stage that </w:t>
      </w:r>
      <w:r w:rsidR="00D76261">
        <w:t xml:space="preserve">first makes </w:t>
      </w:r>
      <w:r w:rsidR="00CF06E2">
        <w:t xml:space="preserve">use of the Decision Ladder </w:t>
      </w:r>
      <w:r w:rsidR="00062E68">
        <w:fldChar w:fldCharType="begin" w:fldLock="1"/>
      </w:r>
      <w:r w:rsidR="00F67933">
        <w:instrText>ADDIN CSL_CITATION {"citationItems":[{"id":"ITEM-1","itemData":{"DOI":"10.1201/b12457","ISBN":"9780429228100","author":[{"dropping-particle":"","family":"Vicente","given":"Kim J.","non-dropping-particle":"","parse-names":false,"suffix":""}],"container-title":"Cognitive Work Analysis","id":"ITEM-1","issued":{"date-parts":[["1999"]]},"number-of-pages":"416","publisher":"CRC Press","publisher-place":"Boca Raton","title":"Cognitive Work Analysis: Towards Safe, Productive and Healthy Computer-Based Work","type":"book"},"uris":["http://www.mendeley.com/documents/?uuid=c458714a-e15f-4c4a-9368-f941a035c26c"]}],"mendeley":{"formattedCitation":"(Vicente, 1999)","plainTextFormattedCitation":"(Vicente, 1999)","previouslyFormattedCitation":"(Vicente, 1999)"},"properties":{"noteIndex":0},"schema":"https://github.com/citation-style-language/schema/raw/master/csl-citation.json"}</w:instrText>
      </w:r>
      <w:r w:rsidR="00062E68">
        <w:fldChar w:fldCharType="separate"/>
      </w:r>
      <w:r w:rsidR="00062E68" w:rsidRPr="00062E68">
        <w:rPr>
          <w:noProof/>
        </w:rPr>
        <w:t>(Vicente, 1999)</w:t>
      </w:r>
      <w:r w:rsidR="00062E68">
        <w:fldChar w:fldCharType="end"/>
      </w:r>
      <w:r w:rsidR="008944EB">
        <w:t xml:space="preserve"> </w:t>
      </w:r>
      <w:r w:rsidR="00574957">
        <w:t>to explore the specifics of the change introduced by the TOI</w:t>
      </w:r>
      <w:r w:rsidR="00DB3F76">
        <w:t xml:space="preserve"> (see </w:t>
      </w:r>
      <w:r w:rsidR="00DB3F76">
        <w:fldChar w:fldCharType="begin"/>
      </w:r>
      <w:r w:rsidR="00DB3F76">
        <w:instrText xml:space="preserve"> REF _Ref48648970 \h </w:instrText>
      </w:r>
      <w:r w:rsidR="00DB3F76">
        <w:fldChar w:fldCharType="separate"/>
      </w:r>
      <w:r w:rsidR="00D513FC">
        <w:t xml:space="preserve">Figure </w:t>
      </w:r>
      <w:r w:rsidR="00D513FC">
        <w:rPr>
          <w:noProof/>
        </w:rPr>
        <w:t>8</w:t>
      </w:r>
      <w:r w:rsidR="00DB3F76">
        <w:fldChar w:fldCharType="end"/>
      </w:r>
      <w:r w:rsidR="00DB3F76">
        <w:t>)</w:t>
      </w:r>
      <w:r w:rsidR="00574957">
        <w:t xml:space="preserve">. </w:t>
      </w:r>
      <w:r w:rsidR="00265E24">
        <w:t xml:space="preserve">The </w:t>
      </w:r>
      <w:r w:rsidR="006F47FD">
        <w:t xml:space="preserve">alert or activation at </w:t>
      </w:r>
      <w:r w:rsidR="005E30AF">
        <w:t>the</w:t>
      </w:r>
      <w:r w:rsidR="006F47FD">
        <w:t xml:space="preserve"> bottom of the ladder is the </w:t>
      </w:r>
      <w:r w:rsidR="001B2FCE">
        <w:t xml:space="preserve">aircraft plan calling </w:t>
      </w:r>
      <w:r w:rsidR="005E30AF">
        <w:t xml:space="preserve">for </w:t>
      </w:r>
      <w:r w:rsidR="00272B75">
        <w:t xml:space="preserve">a climb through the </w:t>
      </w:r>
      <w:r w:rsidR="005E30AF">
        <w:t xml:space="preserve">transition </w:t>
      </w:r>
      <w:r w:rsidR="00272B75">
        <w:t xml:space="preserve">level. </w:t>
      </w:r>
      <w:r w:rsidR="00487611">
        <w:t xml:space="preserve">The form of the TOI, in requiring that all aircraft be treated the same </w:t>
      </w:r>
      <w:r w:rsidR="00DD036A">
        <w:t xml:space="preserve">by </w:t>
      </w:r>
      <w:r w:rsidR="0049431F">
        <w:t>requir</w:t>
      </w:r>
      <w:r w:rsidR="00DD036A">
        <w:t xml:space="preserve">ing the use of the </w:t>
      </w:r>
      <w:r w:rsidR="0049431F">
        <w:t xml:space="preserve">additional </w:t>
      </w:r>
      <w:r w:rsidR="00574D58">
        <w:t xml:space="preserve">phraseology </w:t>
      </w:r>
      <w:r w:rsidR="00B92CF6">
        <w:t>in all necessary circumstances</w:t>
      </w:r>
      <w:r w:rsidR="008037C8">
        <w:t>,</w:t>
      </w:r>
      <w:r w:rsidR="00B92CF6">
        <w:t xml:space="preserve"> </w:t>
      </w:r>
      <w:r w:rsidR="00574D58">
        <w:t>is a natural procedural simplification</w:t>
      </w:r>
      <w:r w:rsidR="008037C8">
        <w:t xml:space="preserve"> that </w:t>
      </w:r>
      <w:r w:rsidR="00CC2191">
        <w:t xml:space="preserve">is attractive to managers seeking to intervene in a system </w:t>
      </w:r>
      <w:r w:rsidR="00760A14">
        <w:fldChar w:fldCharType="begin" w:fldLock="1"/>
      </w:r>
      <w:r w:rsidR="00915B18">
        <w:instrText>ADDIN CSL_CITATION {"citationItems":[{"id":"ITEM-1","itemData":{"DOI":"10.1016/j.ssci.2013.07.020","ISSN":"09257535 (ISSN)","abstract":"Violations of rules and procedures are commonly identified as an important causal factor in workplace accidents. Essentially, there are two different types of violations: intentional and unintentional violations. Whereas the former term refers to deliberate violations of rules and procedures that are known and understood by the actor, the latter refers to violations of rules and procedures that the actor has no awareness or knowledge of and therefore operates without any reference to. The vast majority of previous research has been concerned with intentional rather than unintentional violations. This implies that researchers have put a particular focus on the aspects of work that affect workers' safety motivation and their attitudes towards compliant behavior, and that they have been less concerned with the factors that affect workers' knowledge of rules and procedures. On the basis of semi-structured interviews of 24 contract workers within the Norwegian petroleum industry, this research gap is addressed in the present paper. The objective is to identify, categorize and gain a comprehension of the most significant factors that affect workers' knowledge of rules and procedures. Analysis revealed that eight different factors within the workers' organizational context are important. These are sorted into three paramount categories: the safety management system, work characteristics and social interaction. The theoretical and practical implications of the findings are discussed. © 2013 Elsevier Ltd.","author":[{"dropping-particle":"","family":"Dahl","given":"T","non-dropping-particle":"","parse-names":false,"suffix":""}],"container-title":"Safety Science","id":"ITEM-1","issued":{"date-parts":[["2013"]]},"language":"English","note":"3 Themes in violations:\n\nSafety Management System\nWork characteristics\nSocial interaction (e.g. leadership influence)\n\n\nCited By :12\n\nExport Date: 20 January 2018\n\nCODEN: SSCIE\n\nCorrespondence Address: Dahl, T.; Norwegian University of Science and Technology, Social Research Ltd., 7491 Trondheim, Norway; email: oyvind.dahl@samfunn.ntnu.no\n\nReferences: Alper, S.J., Karsh, B.-T., A systematic review of safety violations in industry (2009) Accident Analysis &amp;amp; Prevention, 41, pp. 739-754; \nAndriessen, J.H.T.H., Safe behavior and safety motivation (1978) Journal of Occupational Accidents, 1, pp. 363-376;\nAntonsen, S., Almklov, P., Fenstad, J., Reducing the gap between procedures and practice - lessons from a successful safety intervention (2008) Safety Science Monitor, 12, pp. 1-16;\nArezes, P.M., Miguel, A.S., Risk perception and safety behavior: a study in an occupational environment (2008) Safety Science, 46, pp. 900-907;\nArgyris, C., Schön, D.A., (1996) Organizational Learning: Theory, Method and Practice, , Addison-Wesley, Reading;\nBailey, C.A., (2007) A Guide to Qualitative Field Research, , Pine Forge Press, Thousand Oaks, CA;\nBarber, N., Should we consider non-compliance a medical error? (2002) Quality and Safety in Health Care, 11, pp. 81-84;\nBattmann, W., Klumb, P., Behavioural economics and compliance with safety regulations (1993) Safety Science, 16, pp. 35-46;\nBesnard, D., Hollnagel, E., I want to believe: some myths about the management of industrial safety (2012) Cognition, Technology &amp;amp; Work, pp. 1-11;\nBiggs, S.E., Banks, T.D., A comparison of safety climate and safety outcomes between construction and resource functions in a large case study organisation (2012), Paper Prepared for Presentation at the Occupational Safety in Transport Conference, Gold Coast, Australia 20-21 September; Biggs, S.E., Banks, T.D., Davey, J.D., Freeman, J.E., Safety leaders' perceptions of safety culture in a large Australasian construction organisation (2013) Safety Science, 52, pp. 3-12;\nBourrier, M., Bieder, C., Trapping safety into rules: an introduction (2013) Trapping Safety into Rules. How Desirable or Avoidable is Proceduralization?, pp. 1-9. , Ashgate, Farnham, C. Bieder, M. Bourrier (Eds.);\nCargan, L., (2007) Doing Social Research, , Rowman &amp;amp; Littlefield, Landham, MD;\nCavazza, N., Serpe, A., Effects of safety climate on safety norm violations: exploring the mediating role of attitudinal ambivalence toward personal protective equipment (2009) Journal of Safety Research, 40, pp. 277-283;\nChan, R., Molassiotis, A., Eunice, C., Virene, C., Becky, H., Chit-ying, L., Pauline, L., Ivy, Y., Nurses' knowledge of and compliance with universal precautions in an acute care hospital (2002) International Journal of Nursing Studies, 39, pp. 157-163;\nChoudhry, R.M., Fang, D., Why operatives engage in unsafe work behavior: investigating factors on construction sites (2008) Safety Science, 46, pp. 566-584;\nChunlin, H., Chengyu, F., Evaluating effects of culture and language on safety (1999) Journal of Petroleum Technology, 51, pp. 74-83;\nCorbin, J.M., Strauss, A.L., (2008) Basics of Qualitative Research: Techniques and Procedures for Developing Grounded Theory, , Sage, Thousand Oaks, CA;\nDahl, Ø., Olsen, E., Safety compliance on offshore platforms: a multi-sample survey on the role of perceived leadership involvement and work climate (2013) Safety Science, 54, pp. 17-26;\nDahl, Ø., Fenstad, J., Kongsvik, T., doi:10.1080/03088839.2013.780311, in press. Antecedents of safety-compliant behavior on offshore service vessels: a multi-factorial approach. Accepted for Publication in Maritime Policy &amp;amp; Management; Dekker, S., (2005) Ten Questions About Human Error: A New View of Human Factors and System Safety, , Lawrence Erlbaum, Mahwah, NJ;\nDekker, S., (2006) The Field Guide to Understanding Human Error, , Ashgate, Farnham;\nDidla, S., Mearns, K., Flin, R., Safety citizenship behavior: a proactive approach to risk management (2009) Journal of Risk Research, 12, pp. 475-483;\nElling, M.G.M., Safe working following written procedures [in Dutch] (1987) Communicatioe in Bedriif en Beroep, 2, pp. 133-143;\nFogarty, G.J., Buikstra, E., A test of direct and indirect pathways linking safety climate, psychological health, and unsafe behaviors (2008) International Journal of Applied Aviation Studies, 8, pp. 199-210;\nGlaser, B.G., Strauss, A.L., (1967) The Discovery of Grounded Theory: Strategies for Qualitative Research, , Aldine de Gruyter, New York;\nGriffin, M.A., Neal, A., Perceptions of safety at work: a framework for linking safety climate to safety performance, knowledge, and motivation (2000) Journal of Occupational Health Psychology, 5, pp. 347-358;\nHale, A.R., Safety rules OK? Possibilities and limitations in behavioral safety strategies (1990) Journal of Occupational Accidents, 12, pp. 3-20;\nHale, A.R., Borys, D., Working to rule, or working safely? Part 1: A state of the art review (2012) Safety Science, 55, pp. 207-221;\nHale, A.R., Borys, D., Working to rule or working safely? Part 2: The management of safety rules and procedures (2012) Safety Science, 55, pp. 222-231;\nHale, A.R., Swuste, P., Safety rules: procedural freedom or action constraint? (1998) Safety Science, 29, pp. 163-177;\nHansez, I., Chmiel, N., Safety behavior: job demands, job resources, and perceived management commitment to safety (2010) Journal of Occupational Health Psychology, 15, pp. 267-278;\nHeinrich, H.W., (1931) Industrial Accident Prevention: A Scientific Approach, , McGraw-Hill, New York;\nHofmann, D.A., Morgeson, F.P., The role of leadership in safety (2004) The Psychology of Workplace Safety, pp. 159-180. , American Psychological Association, Washington, M.R. Frone, J. Barling (Eds.);\nHofmann, D.A., Jacobs, R., Landy, F., High reliability process industries: individual, micro, and macro organizational influences on safety performance (1995) Journal of Safety Research, 26, pp. 131-149;\nHopkins, A., Risk-management and rule-compliance: decision-making in hazardous industries (2011) Safety Science, 49, pp. 110-120;\nHovden, J., Lie, T., Karlsen, J.E., Alteren, B., The safety representative under pressure. A study of occupational health and safety management in the Norwegian oil and gas industry (2008) Safety Science, 46, pp. 493-509;\nJi, M., You, X., Lan, J., Yang, S., The impact of risk tolerance, risk perception and hazardous attitude on safety operation among airline pilots in China (2011) Safety Science, 49, pp. 1412-1420;\nKarish, J., Siokos, G., (2004), Improving safety leadership in drilling and completion operations. Paper prepared for Presentation at the SPE International Conference on Health, Safety, and Environment in Oil and Gas Exploration and Production, Held in Calgary, Alberta, Canada, 29-31 March 2004; Laurence, D., Safety rules and regulations on mine sites - the problem and a solution (2005) Journal of Safety Research, 36, pp. 39-50;\nLawton, R., Not working to rule: understanding procedural violations at work (1998) Safety Science, 28, pp. 77-95;\nLeroy, H., Dierynck, B., Anseel, F., Simons, T., Halbesleben, J.R.B., McCaughey, D., Savage, G.T., Sels, L., Behavioral integrity for safety, priority of safety, psychological safety, and patient safety: a team-level study (2012) Journal of Applied Psychology, 97, pp. 1273-1281;\nLu, C.-S., Yang, C.-S., Safety leadership and safety behavior in container terminal operations (2010) Safety Science, 48, pp. 123-134;\nMartínez-Córcoles, M., Gracia, F., Tomás, I., Peiró, J.M., Leadership and employees' perceived safety behaviors in a nuclear power plant: a structural equation model (2011) Safety Science, 49, pp. 1118-1129;\nMason, S., Procedural violations - causes, costs and cures (1997) Human Factors in Safety-Critical Systems, pp. 287-318. , Butterworth Heinemann, Oxford, F. Redmill, J. Rajan (Eds.);\nMearns, K., Flin, R., Risk perception and attitudes to safety by personnel in the offshore oil and gas industry: a review (1995) Journal of Loss Prevention in the Process Industries, 8, pp. 299-305;\nMullen, J., Investigating factors that influence individual safety behavior at work (2004) Journal of Safety Research, 35, pp. 275-285;\nParboteeah, K., Kapp, E., Ethical climates and workplace safety behaviors: an empirical investigation (2008) Journal of Business Ethics, 80, pp. 515-529;\nParker, S.K., Axtell, C.M., Turner, N., Designing a safer workplace: importance of job autonomy, communication quality, and supportive supervisors (2001) Journal of Occupational Health Psychology, 6, pp. 211-228;\nParkes, K.R., Shift schedules on North Sea oil/gas installations: a systematic review of their impact on performance, safety and health (2012) Safety Science, 50, pp. 1636-1651;\nPatton, M.Q., (2002) Qualitative Evaluation and Research Methods, , Sage Publications, Thousand Oaks, CA;\nhttp://www.ptil.no/priority-areas/category173.html, PSA (Petroleum Safety Authority Norway), 2012. Priority Areas. Reason, J., (1997) Managing the Risks of Organizational Accidents, , Ashgate, Aldershot;\nSalgado, J.F., The big five personality dimensions and counterproductive behaviors (2002) International Journal of Selection and Assessment, 10, pp. 117-125;\nSasson, A., Blomgren, A., Knowledge Based Oil and Gas Industry (2011) BI Norwegian Business School, , Department of Strategy and Logistics, Oslo;\nSimard, M., Marchand, A., Workgroups' propensity to comply with safety rules: the influence of micro-macro organisational factors (1997) Ergonomics, 40, pp. 172-188;\nSlocombe, C.S., The psychology of safety (1941) Personnel Journal, 20, pp. 42-49;\nSnook, S.A., (2000) Friendly Fire: The Accidental Shootdown of U.S. Black Hawks over Northern Iraq, , Princeton University Press, Chichester;\nThunem, A., Kaarstad, M., Thunem, H., (2009) Vurdering av organisatoriske faktorer og tiltak i ulykkesgranskning [Assessment of organizational factors and measures in accident investigation], , Institutt for energiteknikk, Kjeller;\nTomas, J.M., Melia, J.L., Oliver, A., A cross-validation of a structural equation model of accidents: organizational and psychological variables as predictors of work safety (1999) Work &amp;amp; Stress, 13, pp. 49-58;\nWalker, K., Poore, W., Eales, M., Improving the opportunity for learning from industry safety data (2012), Paper Prepared for Presentation at the International Conference on Health, Safety and Environment in Oil and Gas Exploration and Production held in Perth, Australia, 11-13 September; Zhou, Q., Fang, D., Wang, X., A method to identify strategies for the improvement of human safety behavior by considering safety climate and personal experience (2008) Safety Science, 46, pp. 1406-1419;\nZohar, D., Safety climate in industrial organizations: theoretical and applied implications (1980) Journal of Applied Psychology, 65, pp. 96-102;\nZohar, D., Safety climate: conceptual and measurement issues (2003) Handbook of Occupational Health Psychology, pp. 123-142. , American Psychological Association, Washington, J. Quick, L. Tetrick (Eds.);\nZohar, D., Thirty years of safety climate research: reflections and future directions (2010) Accident Analysis and Prevention, 42, pp. 1517-1522;\nZohar, D., Erev, I., On the difficulty of promoting workers' safety behavior: overcoming the underweighting of routine risks (2007) International Journal of Risk Assessment and Management, 7, pp. 122-136","page":"185-195","publisher-place":"Norwegian University of Science and Technology, Social Research Ltd., 7491 Trondheim, Norway","title":"Safety compliance in a highly regulated environment: A case study of workers' knowledge of rules and procedures within the petroleum industry","type":"article-journal","volume":"60"},"uris":["http://www.mendeley.com/documents/?uuid=0851a2c6-cac9-4a39-a4ef-5566dfd29281"]},{"id":"ITEM-2","itemData":{"DOI":"10.1016/j.ssci.2012.05.013","ISBN":"9781409452263","ISSN":"09257535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Science","id":"ITEM-2","issued":{"date-parts":[["2013"]]},"language":"English","note":"From Duplicate 1 (Working to rule or working safely? Part 2: The management of safety rules and procedures - Hale, Andrew; Borys, David)\n\nFrom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https://www.scopus.com/inward/record.uri?eid=2-s2.0-84875249748&amp;amp;doi=10.1016%2fj.ssci.2012.05.013&amp;amp;partnerID=40&amp;amp;md5=d535402c0c2129a4536dc76cf10287ab\n\nFrom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adap","page":"222-231","publisher-place":"Health and Safety Technology and Management (HASTAM), Birmingham, United Kingdom","title":"Working to rule or working safely? Part 2: The management of safety rules and procedures","type":"article-journal","volume":"55"},"uris":["http://www.mendeley.com/documents/?uuid=5d062f39-55ef-49c3-b33a-d53a942cb2fe"]},{"id":"ITEM-3","itemData":{"DOI":"10.1111/j.2044-8325.1998.tb00678.x","ISSN":"09631798","abstract":"Companies operating in hazardous environments employ a variety of organizational controls both to manage the enterprise as a whole and to minimize their risks. This paper critically reviews the use of procedures, rules and regulations to restrict individual behaviour to those courses of action considered safe and productive. In particular, it discusses the psychological, situational and organizational factors influencing compliant and non-compliant behaviour (i.e. violations and circumventions of safe operating procedures). Ten kinds of rule-related behaviour are identified. The paper concludes by arguing for the extended use of social and self-controls to compensate for the inevitable limitations of prescriptive procedures in guiding safe behaviour.","author":[{"dropping-particle":"","family":"Reason","given":"James","non-dropping-particle":"","parse-names":false,"suffix":""},{"dropping-particle":"","family":"Parker","given":"Dianne","non-dropping-particle":"","parse-names":false,"suffix":""},{"dropping-particle":"","family":"Lawton","given":"Rebecca","non-dropping-particle":"","parse-names":false,"suffix":""}],"container-title":"Journal of Occupational and Organizational Psychology","id":"ITEM-3","issue":"4","issued":{"date-parts":[["1998"]]},"page":"289-304","title":"Organizational controls and safety: The varieties of rule-related behaviour","type":"article-journal","volume":"71"},"uris":["http://www.mendeley.com/documents/?uuid=27b22569-0d01-418e-b1b0-1e5e51b8b351"]}],"mendeley":{"formattedCitation":"(Dahl, 2013; Hale &amp; Borys, 2013; Reason, Parker, &amp; Lawton, 1998)","plainTextFormattedCitation":"(Dahl, 2013; Hale &amp; Borys, 2013; Reason, Parker, &amp; Lawton, 1998)","previouslyFormattedCitation":"(Dahl, 2013; Hale &amp; Borys, 2013; Reason, Parker, &amp; Lawton, 1998)"},"properties":{"noteIndex":0},"schema":"https://github.com/citation-style-language/schema/raw/master/csl-citation.json"}</w:instrText>
      </w:r>
      <w:r w:rsidR="00760A14">
        <w:fldChar w:fldCharType="separate"/>
      </w:r>
      <w:r w:rsidR="00AF0C70" w:rsidRPr="00AF0C70">
        <w:rPr>
          <w:noProof/>
        </w:rPr>
        <w:t>(Dahl, 2013; Hale &amp; Borys, 2013; Reason, Parker, &amp; Lawton, 1998)</w:t>
      </w:r>
      <w:r w:rsidR="00760A14">
        <w:fldChar w:fldCharType="end"/>
      </w:r>
      <w:r w:rsidR="00924D5E">
        <w:t>. However, the decision ladder</w:t>
      </w:r>
      <w:r w:rsidR="003407D0">
        <w:t xml:space="preserve"> prompts the</w:t>
      </w:r>
      <w:r w:rsidR="00924D5E">
        <w:t xml:space="preserve"> identifi</w:t>
      </w:r>
      <w:r w:rsidR="003407D0">
        <w:t>cation of</w:t>
      </w:r>
      <w:r w:rsidR="00924D5E">
        <w:t xml:space="preserve"> </w:t>
      </w:r>
      <w:r w:rsidR="003407D0">
        <w:t xml:space="preserve">pre-existing </w:t>
      </w:r>
      <w:r w:rsidR="00924D5E">
        <w:t>short</w:t>
      </w:r>
      <w:r w:rsidR="003407D0">
        <w:t xml:space="preserve">cuts in the </w:t>
      </w:r>
      <w:r w:rsidR="00B3611E">
        <w:t>controllers</w:t>
      </w:r>
      <w:r w:rsidR="002A2612">
        <w:t>’</w:t>
      </w:r>
      <w:r w:rsidR="00B3611E">
        <w:t xml:space="preserve"> activities</w:t>
      </w:r>
      <w:r w:rsidR="00322B0F">
        <w:t>:</w:t>
      </w:r>
      <w:r w:rsidR="008E2776">
        <w:t xml:space="preserve"> the</w:t>
      </w:r>
      <w:r w:rsidR="003407D0">
        <w:t xml:space="preserve"> </w:t>
      </w:r>
      <w:r w:rsidR="00615D14">
        <w:t>use of experience</w:t>
      </w:r>
      <w:r w:rsidR="00924D5E">
        <w:t xml:space="preserve"> and</w:t>
      </w:r>
      <w:r w:rsidR="006D257D">
        <w:t xml:space="preserve"> the</w:t>
      </w:r>
      <w:r w:rsidR="00924D5E">
        <w:t xml:space="preserve"> flexible strategies that were employed in the operation</w:t>
      </w:r>
      <w:r w:rsidR="00615D14">
        <w:t xml:space="preserve"> to tailor phraseology to the perceived risk. The TOI</w:t>
      </w:r>
      <w:r w:rsidR="00AC1957">
        <w:t>, essentially, treats every</w:t>
      </w:r>
      <w:r w:rsidR="00A370E1">
        <w:t xml:space="preserve"> controller</w:t>
      </w:r>
      <w:r w:rsidR="00AC1957">
        <w:t xml:space="preserve"> as a novice</w:t>
      </w:r>
      <w:r w:rsidR="00C8765F">
        <w:t>,</w:t>
      </w:r>
      <w:r w:rsidR="00AC1957">
        <w:t xml:space="preserve"> in decision ladder terms</w:t>
      </w:r>
      <w:r w:rsidR="00C8765F">
        <w:t>,</w:t>
      </w:r>
      <w:r w:rsidR="00D93CC3">
        <w:t xml:space="preserve"> and creates an expectation that controllers follow the planning and execution steps captured in the decision ladder in a linear fashion. </w:t>
      </w:r>
      <w:r w:rsidR="00C96E30">
        <w:t>The strategies, shortcuts</w:t>
      </w:r>
      <w:r w:rsidR="00A77527">
        <w:t xml:space="preserve"> in the flow of work, and the application of experience</w:t>
      </w:r>
      <w:r w:rsidR="000F4CED" w:rsidRPr="000F4CED">
        <w:t xml:space="preserve"> </w:t>
      </w:r>
      <w:r w:rsidR="000F4CED">
        <w:t>to tailor risk mitigation</w:t>
      </w:r>
      <w:r w:rsidR="000F4CED" w:rsidRPr="000F4CED">
        <w:t xml:space="preserve"> </w:t>
      </w:r>
      <w:r w:rsidR="000F4CED">
        <w:t>actions</w:t>
      </w:r>
      <w:r w:rsidR="006B5DC7">
        <w:t xml:space="preserve">, a source of professional pride and </w:t>
      </w:r>
      <w:r w:rsidR="000F4CED">
        <w:t>the hallmark of expertise</w:t>
      </w:r>
      <w:r w:rsidR="00F67933">
        <w:t xml:space="preserve"> </w:t>
      </w:r>
      <w:r w:rsidR="00F67933">
        <w:fldChar w:fldCharType="begin" w:fldLock="1"/>
      </w:r>
      <w:r w:rsidR="00915B18">
        <w:instrText>ADDIN CSL_CITATION {"citationItems":[{"id":"ITEM-1","itemData":{"DOI":"10.1016/S0003-6870(03)00031-0","ISBN":"4113282579","ISSN":"00036870","PMID":"12737923","abstract":"This paper introduces two models on procedures and safety and assesses the practical consequences these have for organizations trying to make progress on safety through procedures. The application of procedures is contrasted as rote rule following versus substantive cognitive activity. It reveals a fundamental double bind: operators can fail to adapt procedures when adapting proved necessary, or attempt procedural adaptations that may fail. Rather than simply increasing pressure to comply, organizations should invest in their understanding of the gap between procedures and practice, and help develop operators' skill at adapting. © 2003 Elsevier Science Ltd. All rights reserved.","author":[{"dropping-particle":"","family":"Dekker","given":"Sidney W.A.","non-dropping-particle":"","parse-names":false,"suffix":""}],"container-title":"Applied Ergonomics","id":"ITEM-1","issue":"3","issued":{"date-parts":[["2003"]]},"note":"From Duplicate 1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successfully.\n\nFrom Duplicate 2 (Failure to adapt or adaptations that fail: Contrasting models on procedures and safety - Dekker, Sidney W.A.)\n\nFrom Duplicate 2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successfully.","page":"233-238","title":"Failure to adapt or adaptations that fail: Contrasting models on procedures and safety","type":"article-journal","volume":"34"},"uris":["http://www.mendeley.com/documents/?uuid=28447276-b2e3-4553-9f2c-a4aea3309764"]}],"mendeley":{"formattedCitation":"(Dekker, 2003)","plainTextFormattedCitation":"(Dekker, 2003)","previouslyFormattedCitation":"(Dekker, 2003)"},"properties":{"noteIndex":0},"schema":"https://github.com/citation-style-language/schema/raw/master/csl-citation.json"}</w:instrText>
      </w:r>
      <w:r w:rsidR="00F67933">
        <w:fldChar w:fldCharType="separate"/>
      </w:r>
      <w:r w:rsidR="00F67933" w:rsidRPr="00F67933">
        <w:rPr>
          <w:noProof/>
        </w:rPr>
        <w:t>(Dekker, 2003)</w:t>
      </w:r>
      <w:r w:rsidR="00F67933">
        <w:fldChar w:fldCharType="end"/>
      </w:r>
      <w:r w:rsidR="000F4CED">
        <w:t>,</w:t>
      </w:r>
      <w:r w:rsidR="00A77527">
        <w:t xml:space="preserve"> are </w:t>
      </w:r>
      <w:r w:rsidR="0098441F">
        <w:t>therefore not appreciated in the TOI description.</w:t>
      </w:r>
    </w:p>
    <w:p w14:paraId="1EA84C8A" w14:textId="2093045E" w:rsidR="0062020C" w:rsidRDefault="00C431C7" w:rsidP="00604F1A">
      <w:r>
        <w:rPr>
          <w:noProof/>
          <w:lang w:val="en-US"/>
        </w:rPr>
        <mc:AlternateContent>
          <mc:Choice Requires="wps">
            <w:drawing>
              <wp:anchor distT="0" distB="0" distL="114300" distR="114300" simplePos="0" relativeHeight="251658241" behindDoc="0" locked="0" layoutInCell="1" allowOverlap="1" wp14:anchorId="75E1AAC0" wp14:editId="11877100">
                <wp:simplePos x="0" y="0"/>
                <wp:positionH relativeFrom="column">
                  <wp:posOffset>1525509</wp:posOffset>
                </wp:positionH>
                <wp:positionV relativeFrom="paragraph">
                  <wp:posOffset>2824681</wp:posOffset>
                </wp:positionV>
                <wp:extent cx="1163370" cy="94156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63370" cy="941561"/>
                        </a:xfrm>
                        <a:prstGeom prst="rect">
                          <a:avLst/>
                        </a:prstGeom>
                        <a:noFill/>
                        <a:ln w="12700">
                          <a:noFill/>
                          <a:prstDash val="sysDot"/>
                        </a:ln>
                      </wps:spPr>
                      <wps:txbx>
                        <w:txbxContent>
                          <w:p w14:paraId="0DD742ED" w14:textId="1469248B" w:rsidR="00604F1A" w:rsidRPr="00FF0D56" w:rsidRDefault="00604F1A" w:rsidP="00604F1A">
                            <w:pPr>
                              <w:rPr>
                                <w:sz w:val="16"/>
                                <w:szCs w:val="16"/>
                              </w:rPr>
                            </w:pPr>
                            <w:r>
                              <w:rPr>
                                <w:sz w:val="16"/>
                                <w:szCs w:val="16"/>
                              </w:rPr>
                              <w:t>In n</w:t>
                            </w:r>
                            <w:r w:rsidRPr="00FF0D56">
                              <w:rPr>
                                <w:sz w:val="16"/>
                                <w:szCs w:val="16"/>
                              </w:rPr>
                              <w:t xml:space="preserve">ormal work </w:t>
                            </w:r>
                            <w:r>
                              <w:rPr>
                                <w:sz w:val="16"/>
                                <w:szCs w:val="16"/>
                              </w:rPr>
                              <w:t xml:space="preserve">before the TOI a shortcut was employed </w:t>
                            </w:r>
                            <w:r w:rsidR="00AF4B82">
                              <w:rPr>
                                <w:sz w:val="16"/>
                                <w:szCs w:val="16"/>
                              </w:rPr>
                              <w:t xml:space="preserve">(dashed arrow) </w:t>
                            </w:r>
                            <w:r>
                              <w:rPr>
                                <w:sz w:val="16"/>
                                <w:szCs w:val="16"/>
                              </w:rPr>
                              <w:t xml:space="preserve">that </w:t>
                            </w:r>
                            <w:r w:rsidR="00C0708D">
                              <w:rPr>
                                <w:sz w:val="16"/>
                                <w:szCs w:val="16"/>
                              </w:rPr>
                              <w:t>‘shunts’</w:t>
                            </w:r>
                            <w:r w:rsidR="00C0708D" w:rsidRPr="00FF0D56">
                              <w:rPr>
                                <w:sz w:val="16"/>
                                <w:szCs w:val="16"/>
                              </w:rPr>
                              <w:t xml:space="preserve"> </w:t>
                            </w:r>
                            <w:r w:rsidRPr="00FF0D56">
                              <w:rPr>
                                <w:sz w:val="16"/>
                                <w:szCs w:val="16"/>
                              </w:rPr>
                              <w:t xml:space="preserve">the Target State </w:t>
                            </w:r>
                            <w:r>
                              <w:rPr>
                                <w:sz w:val="16"/>
                                <w:szCs w:val="16"/>
                              </w:rPr>
                              <w:t>decision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1AAC0" id="_x0000_t202" coordsize="21600,21600" o:spt="202" path="m,l,21600r21600,l21600,xe">
                <v:stroke joinstyle="miter"/>
                <v:path gradientshapeok="t" o:connecttype="rect"/>
              </v:shapetype>
              <v:shape id="Text Box 19" o:spid="_x0000_s1026" type="#_x0000_t202" style="position:absolute;margin-left:120.1pt;margin-top:222.4pt;width:91.6pt;height:7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" filled="f" stroked="f" strokeweight="1pt">
                <v:stroke dashstyle="1 1"/>
                <v:textbox>
                  <w:txbxContent>
                    <w:p w14:paraId="0DD742ED" w14:textId="1469248B" w:rsidR="00604F1A" w:rsidRPr="00FF0D56" w:rsidRDefault="00604F1A" w:rsidP="00604F1A">
                      <w:pPr>
                        <w:rPr>
                          <w:sz w:val="16"/>
                          <w:szCs w:val="16"/>
                        </w:rPr>
                      </w:pPr>
                      <w:r>
                        <w:rPr>
                          <w:sz w:val="16"/>
                          <w:szCs w:val="16"/>
                        </w:rPr>
                        <w:t>In n</w:t>
                      </w:r>
                      <w:r w:rsidRPr="00FF0D56">
                        <w:rPr>
                          <w:sz w:val="16"/>
                          <w:szCs w:val="16"/>
                        </w:rPr>
                        <w:t xml:space="preserve">ormal work </w:t>
                      </w:r>
                      <w:r>
                        <w:rPr>
                          <w:sz w:val="16"/>
                          <w:szCs w:val="16"/>
                        </w:rPr>
                        <w:t xml:space="preserve">before the TOI a shortcut was employed </w:t>
                      </w:r>
                      <w:r w:rsidR="00AF4B82">
                        <w:rPr>
                          <w:sz w:val="16"/>
                          <w:szCs w:val="16"/>
                        </w:rPr>
                        <w:t xml:space="preserve">(dashed arrow) </w:t>
                      </w:r>
                      <w:r>
                        <w:rPr>
                          <w:sz w:val="16"/>
                          <w:szCs w:val="16"/>
                        </w:rPr>
                        <w:t xml:space="preserve">that </w:t>
                      </w:r>
                      <w:r w:rsidR="00C0708D">
                        <w:rPr>
                          <w:sz w:val="16"/>
                          <w:szCs w:val="16"/>
                        </w:rPr>
                        <w:t>‘shunts’</w:t>
                      </w:r>
                      <w:r w:rsidR="00C0708D" w:rsidRPr="00FF0D56">
                        <w:rPr>
                          <w:sz w:val="16"/>
                          <w:szCs w:val="16"/>
                        </w:rPr>
                        <w:t xml:space="preserve"> </w:t>
                      </w:r>
                      <w:r w:rsidRPr="00FF0D56">
                        <w:rPr>
                          <w:sz w:val="16"/>
                          <w:szCs w:val="16"/>
                        </w:rPr>
                        <w:t xml:space="preserve">the Target State </w:t>
                      </w:r>
                      <w:r>
                        <w:rPr>
                          <w:sz w:val="16"/>
                          <w:szCs w:val="16"/>
                        </w:rPr>
                        <w:t>decision step</w:t>
                      </w:r>
                    </w:p>
                  </w:txbxContent>
                </v:textbox>
              </v:shape>
            </w:pict>
          </mc:Fallback>
        </mc:AlternateContent>
      </w:r>
      <w:r w:rsidR="00BE5C96">
        <w:rPr>
          <w:noProof/>
          <w:lang w:val="en-US"/>
        </w:rPr>
        <mc:AlternateContent>
          <mc:Choice Requires="wps">
            <w:drawing>
              <wp:anchor distT="0" distB="0" distL="114300" distR="114300" simplePos="0" relativeHeight="251658244" behindDoc="0" locked="0" layoutInCell="1" allowOverlap="1" wp14:anchorId="13182EAB" wp14:editId="58425008">
                <wp:simplePos x="0" y="0"/>
                <wp:positionH relativeFrom="column">
                  <wp:posOffset>0</wp:posOffset>
                </wp:positionH>
                <wp:positionV relativeFrom="paragraph">
                  <wp:posOffset>2706861</wp:posOffset>
                </wp:positionV>
                <wp:extent cx="873659" cy="77407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73659" cy="774071"/>
                        </a:xfrm>
                        <a:prstGeom prst="rect">
                          <a:avLst/>
                        </a:prstGeom>
                        <a:noFill/>
                        <a:ln w="12700">
                          <a:noFill/>
                          <a:prstDash val="sysDot"/>
                        </a:ln>
                      </wps:spPr>
                      <wps:txbx>
                        <w:txbxContent>
                          <w:p w14:paraId="45AC207E" w14:textId="4D4AA06A" w:rsidR="00BE5C96" w:rsidRPr="00FF0D56" w:rsidRDefault="009E0D9C" w:rsidP="00BE5C96">
                            <w:pPr>
                              <w:rPr>
                                <w:sz w:val="16"/>
                                <w:szCs w:val="16"/>
                              </w:rPr>
                            </w:pPr>
                            <w:r>
                              <w:rPr>
                                <w:sz w:val="16"/>
                                <w:szCs w:val="16"/>
                              </w:rPr>
                              <w:t>Addition of the &lt;1000HPa check for applicability of the 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2EAB" id="Text Box 32" o:spid="_x0000_s1027" type="#_x0000_t202" style="position:absolute;margin-left:0;margin-top:213.15pt;width:68.8pt;height:60.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" filled="f" stroked="f" strokeweight="1pt">
                <v:stroke dashstyle="1 1"/>
                <v:textbox>
                  <w:txbxContent>
                    <w:p w14:paraId="45AC207E" w14:textId="4D4AA06A" w:rsidR="00BE5C96" w:rsidRPr="00FF0D56" w:rsidRDefault="009E0D9C" w:rsidP="00BE5C96">
                      <w:pPr>
                        <w:rPr>
                          <w:sz w:val="16"/>
                          <w:szCs w:val="16"/>
                        </w:rPr>
                      </w:pPr>
                      <w:r>
                        <w:rPr>
                          <w:sz w:val="16"/>
                          <w:szCs w:val="16"/>
                        </w:rPr>
                        <w:t>Addition of the &lt;1000HPa check for applicability of the TOI</w:t>
                      </w:r>
                    </w:p>
                  </w:txbxContent>
                </v:textbox>
              </v:shape>
            </w:pict>
          </mc:Fallback>
        </mc:AlternateContent>
      </w:r>
      <w:r w:rsidR="007F14A1">
        <w:rPr>
          <w:noProof/>
          <w:lang w:val="en-US"/>
        </w:rPr>
        <mc:AlternateContent>
          <mc:Choice Requires="wps">
            <w:drawing>
              <wp:anchor distT="0" distB="0" distL="114300" distR="114300" simplePos="0" relativeHeight="251658243" behindDoc="0" locked="0" layoutInCell="1" allowOverlap="1" wp14:anchorId="47C0DB78" wp14:editId="22B919B0">
                <wp:simplePos x="0" y="0"/>
                <wp:positionH relativeFrom="column">
                  <wp:posOffset>3213370</wp:posOffset>
                </wp:positionH>
                <wp:positionV relativeFrom="paragraph">
                  <wp:posOffset>1493520</wp:posOffset>
                </wp:positionV>
                <wp:extent cx="1643204" cy="950614"/>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643204" cy="950614"/>
                        </a:xfrm>
                        <a:prstGeom prst="rect">
                          <a:avLst/>
                        </a:prstGeom>
                        <a:noFill/>
                        <a:ln w="12700">
                          <a:noFill/>
                          <a:prstDash val="sysDot"/>
                        </a:ln>
                      </wps:spPr>
                      <wps:txbx>
                        <w:txbxContent>
                          <w:p w14:paraId="60465DBA" w14:textId="7C9E0F01" w:rsidR="007F14A1" w:rsidRPr="00FF0D56" w:rsidRDefault="007F14A1" w:rsidP="007F14A1">
                            <w:pPr>
                              <w:rPr>
                                <w:sz w:val="16"/>
                                <w:szCs w:val="16"/>
                              </w:rPr>
                            </w:pPr>
                            <w:r>
                              <w:rPr>
                                <w:sz w:val="16"/>
                                <w:szCs w:val="16"/>
                              </w:rPr>
                              <w:t xml:space="preserve">The TOI </w:t>
                            </w:r>
                            <w:r w:rsidR="00856C36">
                              <w:rPr>
                                <w:sz w:val="16"/>
                                <w:szCs w:val="16"/>
                              </w:rPr>
                              <w:t xml:space="preserve">removed the ‘shunt’ (dashed arrow) by requiring additional phraseology in the clearance under certain conditions </w:t>
                            </w:r>
                            <w:r w:rsidR="00BE5C96">
                              <w:rPr>
                                <w:sz w:val="16"/>
                                <w:szCs w:val="16"/>
                              </w:rPr>
                              <w:t xml:space="preserve">(Define Task) </w:t>
                            </w:r>
                            <w:r w:rsidR="00856C36">
                              <w:rPr>
                                <w:sz w:val="16"/>
                                <w:szCs w:val="16"/>
                              </w:rPr>
                              <w:t>and reduced controller flexibility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DB78" id="Text Box 31" o:spid="_x0000_s1028" type="#_x0000_t202" style="position:absolute;margin-left:253pt;margin-top:117.6pt;width:129.4pt;height:7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" filled="f" stroked="f" strokeweight="1pt">
                <v:stroke dashstyle="1 1"/>
                <v:textbox>
                  <w:txbxContent>
                    <w:p w14:paraId="60465DBA" w14:textId="7C9E0F01" w:rsidR="007F14A1" w:rsidRPr="00FF0D56" w:rsidRDefault="007F14A1" w:rsidP="007F14A1">
                      <w:pPr>
                        <w:rPr>
                          <w:sz w:val="16"/>
                          <w:szCs w:val="16"/>
                        </w:rPr>
                      </w:pPr>
                      <w:r>
                        <w:rPr>
                          <w:sz w:val="16"/>
                          <w:szCs w:val="16"/>
                        </w:rPr>
                        <w:t xml:space="preserve">The TOI </w:t>
                      </w:r>
                      <w:r w:rsidR="00856C36">
                        <w:rPr>
                          <w:sz w:val="16"/>
                          <w:szCs w:val="16"/>
                        </w:rPr>
                        <w:t xml:space="preserve">removed the ‘shunt’ (dashed arrow) by requiring additional phraseology in the clearance under certain conditions </w:t>
                      </w:r>
                      <w:r w:rsidR="00BE5C96">
                        <w:rPr>
                          <w:sz w:val="16"/>
                          <w:szCs w:val="16"/>
                        </w:rPr>
                        <w:t xml:space="preserve">(Define Task) </w:t>
                      </w:r>
                      <w:r w:rsidR="00856C36">
                        <w:rPr>
                          <w:sz w:val="16"/>
                          <w:szCs w:val="16"/>
                        </w:rPr>
                        <w:t>and reduced controller flexibility</w:t>
                      </w:r>
                    </w:p>
                  </w:txbxContent>
                </v:textbox>
              </v:shape>
            </w:pict>
          </mc:Fallback>
        </mc:AlternateContent>
      </w:r>
      <w:r w:rsidR="007B40A2">
        <w:rPr>
          <w:noProof/>
          <w:lang w:val="en-US"/>
        </w:rPr>
        <mc:AlternateContent>
          <mc:Choice Requires="wps">
            <w:drawing>
              <wp:anchor distT="0" distB="0" distL="114300" distR="114300" simplePos="0" relativeHeight="251658240" behindDoc="0" locked="0" layoutInCell="1" allowOverlap="1" wp14:anchorId="00E06CBB" wp14:editId="56FB2F81">
                <wp:simplePos x="0" y="0"/>
                <wp:positionH relativeFrom="column">
                  <wp:posOffset>1576215</wp:posOffset>
                </wp:positionH>
                <wp:positionV relativeFrom="paragraph">
                  <wp:posOffset>2218979</wp:posOffset>
                </wp:positionV>
                <wp:extent cx="1295807" cy="826383"/>
                <wp:effectExtent l="0" t="0" r="76200" b="50165"/>
                <wp:wrapNone/>
                <wp:docPr id="17" name="Straight Arrow Connector 17"/>
                <wp:cNvGraphicFramePr/>
                <a:graphic xmlns:a="http://schemas.openxmlformats.org/drawingml/2006/main">
                  <a:graphicData uri="http://schemas.microsoft.com/office/word/2010/wordprocessingShape">
                    <wps:wsp>
                      <wps:cNvCnPr/>
                      <wps:spPr>
                        <a:xfrm>
                          <a:off x="0" y="0"/>
                          <a:ext cx="1295807" cy="826383"/>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DF95B9C" id="_x0000_t32" coordsize="21600,21600" o:spt="32" o:oned="t" path="m,l21600,21600e" filled="f">
                <v:path arrowok="t" fillok="f" o:connecttype="none"/>
                <o:lock v:ext="edit" shapetype="t"/>
              </v:shapetype>
              <v:shape id="Straight Arrow Connector 17" o:spid="_x0000_s1026" type="#_x0000_t32" style="position:absolute;margin-left:124.1pt;margin-top:174.7pt;width:102.05pt;height:65.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" strokecolor="black [3200]" strokeweight="1.5pt">
                <v:stroke dashstyle="1 1" endarrow="block" joinstyle="miter"/>
              </v:shape>
            </w:pict>
          </mc:Fallback>
        </mc:AlternateContent>
      </w:r>
      <w:r w:rsidR="0062020C" w:rsidRPr="0062020C">
        <w:rPr>
          <w:noProof/>
        </w:rPr>
        <w:drawing>
          <wp:inline distT="0" distB="0" distL="0" distR="0" wp14:anchorId="6D29C698" wp14:editId="3E147880">
            <wp:extent cx="4166159" cy="4789283"/>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stretch>
                      <a:fillRect/>
                    </a:stretch>
                  </pic:blipFill>
                  <pic:spPr>
                    <a:xfrm>
                      <a:off x="0" y="0"/>
                      <a:ext cx="4172868" cy="4796995"/>
                    </a:xfrm>
                    <a:prstGeom prst="rect">
                      <a:avLst/>
                    </a:prstGeom>
                  </pic:spPr>
                </pic:pic>
              </a:graphicData>
            </a:graphic>
          </wp:inline>
        </w:drawing>
      </w:r>
    </w:p>
    <w:p w14:paraId="1944D65D" w14:textId="0C09B3BF" w:rsidR="00604F1A" w:rsidRDefault="00604F1A" w:rsidP="00604F1A">
      <w:pPr>
        <w:pStyle w:val="Caption"/>
      </w:pPr>
      <w:bookmarkStart w:id="9" w:name="_Ref48648970"/>
      <w:r>
        <w:t xml:space="preserve">Figure </w:t>
      </w:r>
      <w:r w:rsidR="00881249">
        <w:fldChar w:fldCharType="begin"/>
      </w:r>
      <w:r w:rsidR="00881249">
        <w:instrText xml:space="preserve"> SEQ Figure \* ARABIC </w:instrText>
      </w:r>
      <w:r w:rsidR="00881249">
        <w:fldChar w:fldCharType="separate"/>
      </w:r>
      <w:r w:rsidR="00A23BEE">
        <w:rPr>
          <w:noProof/>
        </w:rPr>
        <w:t>8</w:t>
      </w:r>
      <w:r w:rsidR="00881249">
        <w:rPr>
          <w:noProof/>
        </w:rPr>
        <w:fldChar w:fldCharType="end"/>
      </w:r>
      <w:bookmarkEnd w:id="9"/>
      <w:r>
        <w:t>: Decision Tree for the TOI highlighting the reversion to more novice-style task conduct</w:t>
      </w:r>
    </w:p>
    <w:p w14:paraId="6437B4B3" w14:textId="7FEF0FF9" w:rsidR="001C04E5" w:rsidRDefault="00C76327" w:rsidP="00954248">
      <w:r>
        <w:t xml:space="preserve">This is further emphasised in the </w:t>
      </w:r>
      <w:r w:rsidR="00D76261">
        <w:t xml:space="preserve">second stage of the </w:t>
      </w:r>
      <w:r>
        <w:t xml:space="preserve">strategies analysis. </w:t>
      </w:r>
      <w:r w:rsidR="00C93350">
        <w:t xml:space="preserve">The implication from the TOI is that </w:t>
      </w:r>
      <w:r w:rsidR="005839A4">
        <w:t xml:space="preserve">the TOI phraseology ‘strategy’ </w:t>
      </w:r>
      <w:r w:rsidR="00FC09B5">
        <w:t xml:space="preserve">was </w:t>
      </w:r>
      <w:r w:rsidR="005839A4">
        <w:t xml:space="preserve">selected </w:t>
      </w:r>
      <w:r w:rsidR="00E10995">
        <w:t xml:space="preserve">in preference to a multitude of other strategies in use by controllers when issuing an instruction </w:t>
      </w:r>
      <w:r w:rsidR="003234CE">
        <w:t xml:space="preserve">to climb through the transition level. </w:t>
      </w:r>
      <w:r w:rsidR="005857D7">
        <w:t xml:space="preserve">The strategies analysis highlights commonalities in </w:t>
      </w:r>
      <w:r w:rsidR="00236681">
        <w:t xml:space="preserve">these approaches taken by controllers that </w:t>
      </w:r>
      <w:r w:rsidR="00971261">
        <w:t xml:space="preserve">involve a number of assessment steps related to </w:t>
      </w:r>
      <w:r w:rsidR="00B056BF">
        <w:t xml:space="preserve">the controller’s perception of </w:t>
      </w:r>
      <w:r w:rsidR="008C0506">
        <w:t xml:space="preserve">a pilot’s </w:t>
      </w:r>
      <w:r w:rsidR="00971261">
        <w:t xml:space="preserve">English language </w:t>
      </w:r>
      <w:r w:rsidR="00971261">
        <w:lastRenderedPageBreak/>
        <w:t xml:space="preserve">proficiency, </w:t>
      </w:r>
      <w:r w:rsidR="008C0506">
        <w:t xml:space="preserve">the </w:t>
      </w:r>
      <w:r w:rsidR="00B056BF">
        <w:t xml:space="preserve">risk of non-conformance due to </w:t>
      </w:r>
      <w:r w:rsidR="00F6336F">
        <w:t xml:space="preserve">an </w:t>
      </w:r>
      <w:r w:rsidR="00B056BF">
        <w:t xml:space="preserve">aircraft’s origin, </w:t>
      </w:r>
      <w:r w:rsidR="00B21697">
        <w:t xml:space="preserve">their </w:t>
      </w:r>
      <w:r w:rsidR="00B056BF">
        <w:t>likely familiarity with U</w:t>
      </w:r>
      <w:r w:rsidR="00AC364B">
        <w:t>K</w:t>
      </w:r>
      <w:r w:rsidR="00B056BF">
        <w:t xml:space="preserve"> airspace requirements</w:t>
      </w:r>
      <w:r w:rsidR="00897674">
        <w:t xml:space="preserve"> and the</w:t>
      </w:r>
      <w:r w:rsidR="0000022B">
        <w:t xml:space="preserve"> controller’s</w:t>
      </w:r>
      <w:r w:rsidR="00897674">
        <w:t xml:space="preserve"> prior experiences </w:t>
      </w:r>
      <w:r w:rsidR="00B21697">
        <w:t xml:space="preserve">from </w:t>
      </w:r>
      <w:r w:rsidR="00897674">
        <w:t xml:space="preserve">similar situations. </w:t>
      </w:r>
      <w:r w:rsidR="00236681">
        <w:t>The safety observations raised in the early days of the TOI trial and the safety notice issued subsequent to</w:t>
      </w:r>
      <w:r w:rsidR="0000022B">
        <w:t xml:space="preserve"> the</w:t>
      </w:r>
      <w:r w:rsidR="00236681">
        <w:t xml:space="preserve"> curtailment of the trial make this clear. In the </w:t>
      </w:r>
      <w:r w:rsidR="00DE10D2">
        <w:t>S</w:t>
      </w:r>
      <w:r w:rsidR="00236681">
        <w:t xml:space="preserve">afety </w:t>
      </w:r>
      <w:r w:rsidR="00DE10D2">
        <w:t>N</w:t>
      </w:r>
      <w:r w:rsidR="00236681">
        <w:t>otice</w:t>
      </w:r>
      <w:r w:rsidR="00332553">
        <w:t>,</w:t>
      </w:r>
      <w:r w:rsidR="00236681">
        <w:t xml:space="preserve"> controllers are </w:t>
      </w:r>
      <w:r w:rsidR="00F35613">
        <w:t xml:space="preserve">later </w:t>
      </w:r>
      <w:r w:rsidR="00236681">
        <w:t xml:space="preserve">recognised and encouraged to continue to apply the </w:t>
      </w:r>
      <w:r w:rsidR="00A52F09">
        <w:t xml:space="preserve">adaptive </w:t>
      </w:r>
      <w:r w:rsidR="00236681">
        <w:t>range of operating techniques, different phraseology options and changes in controlling style</w:t>
      </w:r>
      <w:r w:rsidR="00A52F09">
        <w:t xml:space="preserve"> that had been in use but </w:t>
      </w:r>
      <w:r w:rsidR="00FE4D4E">
        <w:t xml:space="preserve">were </w:t>
      </w:r>
      <w:r w:rsidR="00832695">
        <w:t>unobserved</w:t>
      </w:r>
      <w:r w:rsidR="00236681">
        <w:t>.</w:t>
      </w:r>
      <w:r w:rsidR="00840D7F">
        <w:t xml:space="preserve"> </w:t>
      </w:r>
      <w:r w:rsidR="00656E75">
        <w:t>For example, controllers might reiterate the clear</w:t>
      </w:r>
      <w:r w:rsidR="00167D0E">
        <w:t>a</w:t>
      </w:r>
      <w:r w:rsidR="00656E75">
        <w:t>nce using a phrase such as “</w:t>
      </w:r>
      <w:r w:rsidR="00167D0E">
        <w:t xml:space="preserve">… </w:t>
      </w:r>
      <w:r w:rsidR="00656E75">
        <w:t xml:space="preserve">Maintain Flight Level </w:t>
      </w:r>
      <w:r w:rsidR="00931EBC">
        <w:t>Eight Zero (80) Standard Pressure is One Zero One Three (1013)” if they suspected that the aircraft might have a le</w:t>
      </w:r>
      <w:r w:rsidR="00167D0E">
        <w:t>vel bust.</w:t>
      </w:r>
      <w:r w:rsidR="00931EBC">
        <w:t xml:space="preserve"> </w:t>
      </w:r>
      <w:r w:rsidR="00840D7F">
        <w:t xml:space="preserve">The </w:t>
      </w:r>
      <w:r w:rsidR="00FE4D4E">
        <w:t>S</w:t>
      </w:r>
      <w:r w:rsidR="00840D7F">
        <w:t xml:space="preserve">afety </w:t>
      </w:r>
      <w:r w:rsidR="00FE4D4E">
        <w:t>N</w:t>
      </w:r>
      <w:r w:rsidR="00840D7F">
        <w:t xml:space="preserve">otice </w:t>
      </w:r>
      <w:r w:rsidR="00832695">
        <w:t xml:space="preserve">therefore </w:t>
      </w:r>
      <w:r w:rsidR="00840D7F">
        <w:t xml:space="preserve">reverts the strategies </w:t>
      </w:r>
      <w:r w:rsidR="00716DDE">
        <w:t>available back to the high number of flexible options.</w:t>
      </w:r>
    </w:p>
    <w:p w14:paraId="631ABBD3" w14:textId="0DE822F1" w:rsidR="003C182F" w:rsidRDefault="003C182F" w:rsidP="00954248">
      <w:r>
        <w:t xml:space="preserve">The Social Organisation and Cooperation Analysis (SOCA) </w:t>
      </w:r>
      <w:r w:rsidR="00DB6311">
        <w:t xml:space="preserve">highlights similar </w:t>
      </w:r>
      <w:r w:rsidR="00AD1EE1">
        <w:t xml:space="preserve">features to HFACS in that the </w:t>
      </w:r>
      <w:r w:rsidR="0059019D">
        <w:t xml:space="preserve">intervention seeks to address a pilot error </w:t>
      </w:r>
      <w:r w:rsidR="004E6126">
        <w:t xml:space="preserve">by acting on </w:t>
      </w:r>
      <w:r w:rsidR="0059019D">
        <w:t xml:space="preserve">the </w:t>
      </w:r>
      <w:r w:rsidR="004E6126">
        <w:t xml:space="preserve">controller’s </w:t>
      </w:r>
      <w:r w:rsidR="005C52D3">
        <w:t>‘</w:t>
      </w:r>
      <w:r w:rsidR="0059019D">
        <w:t xml:space="preserve">Execute </w:t>
      </w:r>
      <w:r w:rsidR="00924F59">
        <w:t>task</w:t>
      </w:r>
      <w:r w:rsidR="005C52D3">
        <w:t>’</w:t>
      </w:r>
      <w:r w:rsidR="00924F59">
        <w:t xml:space="preserve"> in the Decision Ladder</w:t>
      </w:r>
      <w:r w:rsidR="004E6126">
        <w:t>,</w:t>
      </w:r>
      <w:r w:rsidR="00924F59">
        <w:t xml:space="preserve"> for example</w:t>
      </w:r>
      <w:r w:rsidR="004E6126">
        <w:t>.</w:t>
      </w:r>
      <w:r w:rsidR="005C52D3">
        <w:t xml:space="preserve"> This stage </w:t>
      </w:r>
      <w:r w:rsidR="006339DA">
        <w:t xml:space="preserve">can be interpreted as highlighting </w:t>
      </w:r>
      <w:r w:rsidR="005C52D3">
        <w:t>th</w:t>
      </w:r>
      <w:r w:rsidR="006339DA">
        <w:t xml:space="preserve">e possible mismatch </w:t>
      </w:r>
      <w:r w:rsidR="001B0AD0">
        <w:t>and potential for maladaptive effects through intervening</w:t>
      </w:r>
      <w:r w:rsidR="006339DA">
        <w:t xml:space="preserve"> in one domain (the controller) to affect a change in behaviours in another (the pilot)</w:t>
      </w:r>
      <w:r w:rsidR="001B0AD0">
        <w:t xml:space="preserve"> without appreciating the </w:t>
      </w:r>
      <w:r w:rsidR="008A20C5">
        <w:t>cooperation that already exists between pilot and controller.</w:t>
      </w:r>
    </w:p>
    <w:p w14:paraId="1135A88F" w14:textId="3848F781" w:rsidR="00954248" w:rsidRDefault="00B4385A" w:rsidP="00954248">
      <w:r>
        <w:t xml:space="preserve">The last step of the CWA </w:t>
      </w:r>
      <w:r w:rsidR="00671A9B">
        <w:t xml:space="preserve">is the </w:t>
      </w:r>
      <w:r w:rsidR="00195E5D">
        <w:t>WCA</w:t>
      </w:r>
      <w:r w:rsidR="00FE3140">
        <w:t xml:space="preserve"> step</w:t>
      </w:r>
      <w:r w:rsidR="00C9014D">
        <w:t xml:space="preserve"> </w:t>
      </w:r>
      <w:r w:rsidR="00177909">
        <w:t>(see</w:t>
      </w:r>
      <w:r w:rsidR="00604F1A">
        <w:t xml:space="preserve"> </w:t>
      </w:r>
      <w:r w:rsidR="00604F1A">
        <w:fldChar w:fldCharType="begin"/>
      </w:r>
      <w:r w:rsidR="00604F1A">
        <w:instrText xml:space="preserve"> REF _Ref60049706 \h </w:instrText>
      </w:r>
      <w:r w:rsidR="00604F1A">
        <w:fldChar w:fldCharType="separate"/>
      </w:r>
      <w:r w:rsidR="00F11CDA">
        <w:t xml:space="preserve">Table </w:t>
      </w:r>
      <w:r w:rsidR="00F11CDA">
        <w:rPr>
          <w:noProof/>
        </w:rPr>
        <w:t>2</w:t>
      </w:r>
      <w:r w:rsidR="00604F1A">
        <w:fldChar w:fldCharType="end"/>
      </w:r>
      <w:r w:rsidR="00177909">
        <w:t xml:space="preserve">) </w:t>
      </w:r>
      <w:r w:rsidR="00C9014D">
        <w:t xml:space="preserve">that examines the </w:t>
      </w:r>
      <w:r w:rsidR="00F2527F">
        <w:t xml:space="preserve">cognitive skills required </w:t>
      </w:r>
      <w:r w:rsidR="00457A95">
        <w:t xml:space="preserve">for the performance of tasks and uses Rasmussen’s </w:t>
      </w:r>
      <w:r w:rsidR="00457A95">
        <w:fldChar w:fldCharType="begin" w:fldLock="1"/>
      </w:r>
      <w:r w:rsidR="00984BAA">
        <w:instrText>ADDIN CSL_CITATION {"citationItems":[{"id":"ITEM-1","itemData":{"DOI":"10.1109/TSMC.1983.6313160","ISBN":"0018-9472","ISSN":"21682909","PMID":"11866201","abstract":"Abstract—The introduction of information technology based on digital computers for the design of man-machine interface systems has led to a requirement for consistent models of human performance in routine task environments and during unfamiliar task conditions. A discussion is pre- sented of the requirement for different types of models for representing performance at the skill-, rule-, and knowledge-based levels, together with a review of the different ways in which information is perceived at these different levels in terms of signals, signs, and symbols. Particular attention is paid to the different possible ways of representing system properties which underlie knowledge-based performance and which can be char- acterized at several levels of abstraction—from the representation of physical form, through functional representation, to representation in terms of intention or purpose. Furthermore, the role of qualitative and quantita- tive models in the design and evaluation of interface systems is mentioned, and the need to consider such distinctions carefully is discussed. INTRODUCTION","author":[{"dropping-particle":"","family":"Rasmussen","given":"Jens","non-dropping-particle":"","parse-names":false,"suffix":""}],"container-title":"IEEE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suppress-author":1,"uris":["http://www.mendeley.com/documents/?uuid=f6d78fd3-18d9-42c6-832d-6a8d1054da61"]}],"mendeley":{"formattedCitation":"(1983)","plainTextFormattedCitation":"(1983)","previouslyFormattedCitation":"(1983)"},"properties":{"noteIndex":0},"schema":"https://github.com/citation-style-language/schema/raw/master/csl-citation.json"}</w:instrText>
      </w:r>
      <w:r w:rsidR="00457A95">
        <w:fldChar w:fldCharType="separate"/>
      </w:r>
      <w:r w:rsidR="00457A95" w:rsidRPr="00457A95">
        <w:rPr>
          <w:noProof/>
        </w:rPr>
        <w:t>(1983)</w:t>
      </w:r>
      <w:r w:rsidR="00457A95">
        <w:fldChar w:fldCharType="end"/>
      </w:r>
      <w:r w:rsidR="00457A95">
        <w:t xml:space="preserve"> skills, rules and knowledge (SRK) framework. </w:t>
      </w:r>
      <w:r w:rsidR="00B31D96">
        <w:t xml:space="preserve">The TOI is an example of a </w:t>
      </w:r>
      <w:r w:rsidR="00226C11">
        <w:t xml:space="preserve">change that alters the balance in </w:t>
      </w:r>
      <w:r w:rsidR="007B7FC2">
        <w:t>cognitive</w:t>
      </w:r>
      <w:r w:rsidR="00226C11">
        <w:t xml:space="preserve"> work</w:t>
      </w:r>
      <w:r w:rsidR="008E4D04">
        <w:t xml:space="preserve">. The act of issuing an instruction to climb through the transition level is </w:t>
      </w:r>
      <w:r w:rsidR="00E86AFF">
        <w:t>a</w:t>
      </w:r>
      <w:r w:rsidR="00226C11">
        <w:t xml:space="preserve"> rule-based behaviour, </w:t>
      </w:r>
      <w:r w:rsidR="005D1688">
        <w:t>where the action taken by the controller is found implicitly and selected fr</w:t>
      </w:r>
      <w:r w:rsidR="00A214A9">
        <w:t>om previous successful control instructions in similar situations</w:t>
      </w:r>
      <w:r w:rsidR="00E86AFF">
        <w:t xml:space="preserve">. For highly experienced individuals it may even approach a skill-based action </w:t>
      </w:r>
      <w:r w:rsidR="003F5D6E">
        <w:t xml:space="preserve">where </w:t>
      </w:r>
      <w:r w:rsidR="00DD0E44">
        <w:t xml:space="preserve">task performance </w:t>
      </w:r>
      <w:r w:rsidR="00077C8E">
        <w:t xml:space="preserve">is </w:t>
      </w:r>
      <w:r w:rsidR="00433E7B">
        <w:t xml:space="preserve">almost </w:t>
      </w:r>
      <w:r w:rsidR="00077C8E">
        <w:t>automatic</w:t>
      </w:r>
      <w:r w:rsidR="00DD0E44">
        <w:t xml:space="preserve">. </w:t>
      </w:r>
      <w:r w:rsidR="00927446">
        <w:t xml:space="preserve">The TOI, by introducing additional process steps and applicability requirements, </w:t>
      </w:r>
      <w:r w:rsidR="00F97F9E">
        <w:t>would be expected to</w:t>
      </w:r>
      <w:r w:rsidR="00066C81" w:rsidRPr="00066C81">
        <w:t xml:space="preserve"> </w:t>
      </w:r>
      <w:r w:rsidR="00066C81">
        <w:t>move the task to</w:t>
      </w:r>
      <w:r w:rsidR="008F0D52">
        <w:t>wards</w:t>
      </w:r>
      <w:r w:rsidR="00066C81">
        <w:t xml:space="preserve"> knowledge-based cognitive </w:t>
      </w:r>
      <w:r w:rsidR="00E535B9">
        <w:t>levels</w:t>
      </w:r>
      <w:r w:rsidR="00F97F9E">
        <w:t>, at least while controllers were unfamiliar with the instruction</w:t>
      </w:r>
      <w:r w:rsidR="00E535B9">
        <w:t xml:space="preserve">. </w:t>
      </w:r>
      <w:r w:rsidR="00FF1DA0">
        <w:t>Similarly, the pilot domain can also be considered</w:t>
      </w:r>
      <w:r w:rsidR="008F0D52">
        <w:t xml:space="preserve"> </w:t>
      </w:r>
      <w:r w:rsidR="007B7FC2">
        <w:t>using the</w:t>
      </w:r>
      <w:r w:rsidR="008F0D52">
        <w:t xml:space="preserve"> SRK framework</w:t>
      </w:r>
      <w:r w:rsidR="00FF1DA0">
        <w:t xml:space="preserve">. Pilots have an expectation of </w:t>
      </w:r>
      <w:r w:rsidR="00A82EE0">
        <w:t xml:space="preserve">what control instructions they will hear and what actions they should take as a result. The change in phraseology interrupts this </w:t>
      </w:r>
      <w:r w:rsidR="000473CF">
        <w:t xml:space="preserve">expected </w:t>
      </w:r>
      <w:r w:rsidR="00A82EE0">
        <w:t xml:space="preserve">flow and </w:t>
      </w:r>
      <w:r w:rsidR="00163403">
        <w:t xml:space="preserve">moves </w:t>
      </w:r>
      <w:r w:rsidR="00CE1537">
        <w:t>the</w:t>
      </w:r>
      <w:r w:rsidR="008913C2">
        <w:t>ir</w:t>
      </w:r>
      <w:r w:rsidR="00CE1537">
        <w:t xml:space="preserve"> </w:t>
      </w:r>
      <w:r w:rsidR="00163403">
        <w:t xml:space="preserve">near skill-based activity </w:t>
      </w:r>
      <w:r w:rsidR="00CE1537">
        <w:t xml:space="preserve">of hearing and responding to controller radio instructions </w:t>
      </w:r>
      <w:r w:rsidR="00163403">
        <w:t>into knowledge-based behaviours and, given the unfamiliarity introduced, prompts additional radio calls for clarification</w:t>
      </w:r>
      <w:r w:rsidR="003C627A">
        <w:t xml:space="preserve"> of the instruction</w:t>
      </w:r>
      <w:r w:rsidR="00163403">
        <w:t>.</w:t>
      </w:r>
      <w:r w:rsidR="003C627A">
        <w:t xml:space="preserve"> </w:t>
      </w:r>
      <w:r w:rsidR="00367476">
        <w:t>However, a limitation identified in the application of the CWA approach is how these interactions are drawn out by the analysis. Whilst the shift to high</w:t>
      </w:r>
      <w:r w:rsidR="004F3786">
        <w:t>er</w:t>
      </w:r>
      <w:r w:rsidR="00367476">
        <w:t xml:space="preserve"> levels of cognitive load and interruptions to the flow of work are identified by the </w:t>
      </w:r>
      <w:r w:rsidR="00FE7C79">
        <w:t xml:space="preserve">latter steps </w:t>
      </w:r>
      <w:r w:rsidR="0018040D">
        <w:t>of the method</w:t>
      </w:r>
      <w:r w:rsidR="004F3786">
        <w:t>,</w:t>
      </w:r>
      <w:r w:rsidR="0018040D">
        <w:t xml:space="preserve"> the potential for cascading </w:t>
      </w:r>
      <w:r w:rsidR="007F2694">
        <w:t>workload</w:t>
      </w:r>
      <w:r w:rsidR="00243B6C">
        <w:t xml:space="preserve"> </w:t>
      </w:r>
      <w:r w:rsidR="0018040D">
        <w:t xml:space="preserve">effects </w:t>
      </w:r>
      <w:r w:rsidR="00436162">
        <w:t xml:space="preserve">resulting </w:t>
      </w:r>
      <w:r w:rsidR="0018040D">
        <w:t>from other controller tasks</w:t>
      </w:r>
      <w:r w:rsidR="001526C1">
        <w:t>,</w:t>
      </w:r>
      <w:r w:rsidR="0018040D">
        <w:t xml:space="preserve"> </w:t>
      </w:r>
      <w:r w:rsidR="00AC7204">
        <w:t>such as</w:t>
      </w:r>
      <w:r w:rsidR="007374F1">
        <w:t xml:space="preserve"> a shift to</w:t>
      </w:r>
      <w:r w:rsidR="00AC7204">
        <w:t xml:space="preserve"> </w:t>
      </w:r>
      <w:r w:rsidR="007374F1">
        <w:t>knowledge-based reasoning required to respond</w:t>
      </w:r>
      <w:r w:rsidR="00AC7204">
        <w:t xml:space="preserve"> to pilot requests for clarification</w:t>
      </w:r>
      <w:r w:rsidR="001526C1">
        <w:t>,</w:t>
      </w:r>
      <w:r w:rsidR="00AC7204">
        <w:t xml:space="preserve"> </w:t>
      </w:r>
      <w:r w:rsidR="001A573D">
        <w:t xml:space="preserve">or the possibility of the pilot mishearing the instruction and the </w:t>
      </w:r>
      <w:r w:rsidR="002D1C2A">
        <w:t xml:space="preserve">controller having to correct an </w:t>
      </w:r>
      <w:r w:rsidR="001A573D">
        <w:t>incorrect readback</w:t>
      </w:r>
      <w:r w:rsidR="00D93976">
        <w:t xml:space="preserve"> </w:t>
      </w:r>
      <w:r w:rsidR="001526C1">
        <w:t>are not readily identified</w:t>
      </w:r>
      <w:r w:rsidR="002D1C2A">
        <w:t>.</w:t>
      </w:r>
    </w:p>
    <w:p w14:paraId="7FE289FD" w14:textId="624BEDE6" w:rsidR="00B27AB1" w:rsidRPr="00FF0D56" w:rsidRDefault="00B27AB1" w:rsidP="00FF0D56">
      <w:pPr>
        <w:pStyle w:val="Caption"/>
        <w:keepNext/>
      </w:pPr>
      <w:bookmarkStart w:id="10" w:name="_Ref60049706"/>
      <w:r>
        <w:lastRenderedPageBreak/>
        <w:t xml:space="preserve">Table </w:t>
      </w:r>
      <w:r w:rsidR="00881249">
        <w:fldChar w:fldCharType="begin"/>
      </w:r>
      <w:r w:rsidR="00881249">
        <w:instrText xml:space="preserve"> SEQ Table \* ARABIC </w:instrText>
      </w:r>
      <w:r w:rsidR="00881249">
        <w:fldChar w:fldCharType="separate"/>
      </w:r>
      <w:r w:rsidR="007562E4">
        <w:rPr>
          <w:noProof/>
        </w:rPr>
        <w:t>2</w:t>
      </w:r>
      <w:r w:rsidR="00881249">
        <w:rPr>
          <w:noProof/>
        </w:rPr>
        <w:fldChar w:fldCharType="end"/>
      </w:r>
      <w:bookmarkEnd w:id="10"/>
      <w:r>
        <w:t>: Worker competencies identified for the pre-TOI case.</w:t>
      </w:r>
    </w:p>
    <w:p w14:paraId="42A83B51" w14:textId="2C3C95CD" w:rsidR="004B6806" w:rsidRDefault="000351A3" w:rsidP="004B6806">
      <w:r>
        <w:rPr>
          <w:noProof/>
          <w:lang w:val="en-US"/>
        </w:rPr>
        <w:drawing>
          <wp:inline distT="0" distB="0" distL="0" distR="0" wp14:anchorId="7D8F39C7" wp14:editId="1D8C76CC">
            <wp:extent cx="6314792" cy="347785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4" t="4151" r="2437" b="4631"/>
                    <a:stretch/>
                  </pic:blipFill>
                  <pic:spPr bwMode="auto">
                    <a:xfrm>
                      <a:off x="0" y="0"/>
                      <a:ext cx="6354628" cy="3499793"/>
                    </a:xfrm>
                    <a:prstGeom prst="rect">
                      <a:avLst/>
                    </a:prstGeom>
                    <a:ln>
                      <a:noFill/>
                    </a:ln>
                    <a:extLst>
                      <a:ext uri="{53640926-AAD7-44D8-BBD7-CCE9431645EC}">
                        <a14:shadowObscured xmlns:a14="http://schemas.microsoft.com/office/drawing/2010/main"/>
                      </a:ext>
                    </a:extLst>
                  </pic:spPr>
                </pic:pic>
              </a:graphicData>
            </a:graphic>
          </wp:inline>
        </w:drawing>
      </w:r>
    </w:p>
    <w:p w14:paraId="6CB5F2E4" w14:textId="0F99DB7D" w:rsidR="008F1835" w:rsidRDefault="008F1835" w:rsidP="008F1835">
      <w:pPr>
        <w:pStyle w:val="Heading3"/>
      </w:pPr>
      <w:r>
        <w:t>Exploring Adaptation (CWA)</w:t>
      </w:r>
    </w:p>
    <w:p w14:paraId="1B34042D" w14:textId="42F8AFBE" w:rsidR="008F1835" w:rsidRDefault="008F1835" w:rsidP="008F1835">
      <w:r>
        <w:t>The CWA draws out many of the adaptive features of the system related to the controller task performance. The abstraction hierarchy identifies the potential requirement for trade-offs in the work to achieve possibly conflicting goals</w:t>
      </w:r>
      <w:r w:rsidR="005440CF">
        <w:t xml:space="preserve"> (Trade-off for Performance)</w:t>
      </w:r>
      <w:r>
        <w:t>. The use of experience and informal strategies within the work are probed and captured in the decision ladder and strategies analysis steps</w:t>
      </w:r>
      <w:r w:rsidR="005440CF">
        <w:t xml:space="preserve"> (Using Experience, Strategies &amp; Informal Practice</w:t>
      </w:r>
      <w:r w:rsidR="00E177A9">
        <w:t>, Improvisation &amp; Creativity</w:t>
      </w:r>
      <w:r w:rsidR="005440CF">
        <w:t>)</w:t>
      </w:r>
      <w:r>
        <w:t>. Similarly, the WCA explores the levels of cognitive work required for the change introduced by the TOI, how this was altered and probes for the hidden skills in adaptation that existed before the introduction of the trial change</w:t>
      </w:r>
      <w:r w:rsidR="005440CF">
        <w:t xml:space="preserve"> (</w:t>
      </w:r>
      <w:r w:rsidR="001F30A3">
        <w:t>Acquiring Knowledge</w:t>
      </w:r>
      <w:r w:rsidR="00E27AD4">
        <w:t>, Skills Needed</w:t>
      </w:r>
      <w:r w:rsidR="001F30A3">
        <w:t>)</w:t>
      </w:r>
      <w:r>
        <w:t>. The SOCA stage also highlights some of the micro-meso-macro interactions of acting in the controller domain to achieve an effect in the pilot-domain. The retrospective analysis of the TOI using the CWA approach suggests that many adaptive features in the existing task activity were being altered by the introduction of the trial and this points towards the possibility of complex emergent consequences</w:t>
      </w:r>
      <w:r w:rsidR="00E27AD4">
        <w:t xml:space="preserve"> (Unpredictability of Consequences)</w:t>
      </w:r>
      <w:r>
        <w:t>.</w:t>
      </w:r>
    </w:p>
    <w:p w14:paraId="3AD9BC6F" w14:textId="71476408" w:rsidR="009A58C2" w:rsidRDefault="009A58C2" w:rsidP="001956DD">
      <w:pPr>
        <w:pStyle w:val="Heading2"/>
      </w:pPr>
      <w:r>
        <w:t>Critical Decision Method (CDM)</w:t>
      </w:r>
    </w:p>
    <w:p w14:paraId="5AD5737A" w14:textId="54B36C07" w:rsidR="008F1835" w:rsidRPr="008F1835" w:rsidRDefault="008F1835" w:rsidP="00EA3F05">
      <w:pPr>
        <w:pStyle w:val="Heading3"/>
      </w:pPr>
      <w:r>
        <w:t>Application</w:t>
      </w:r>
    </w:p>
    <w:p w14:paraId="6373A578" w14:textId="70B6B8F0" w:rsidR="00DD196A" w:rsidRDefault="005F2680" w:rsidP="00BD16BB">
      <w:pPr>
        <w:sectPr w:rsidR="00DD196A">
          <w:pgSz w:w="11906" w:h="16838"/>
          <w:pgMar w:top="1440" w:right="1440" w:bottom="1440" w:left="1440" w:header="708" w:footer="708" w:gutter="0"/>
          <w:cols w:space="708"/>
          <w:docGrid w:linePitch="360"/>
        </w:sectPr>
      </w:pPr>
      <w:r>
        <w:t xml:space="preserve">The </w:t>
      </w:r>
      <w:r w:rsidR="00B97268">
        <w:t>CDM process calls for the construction of an i</w:t>
      </w:r>
      <w:r w:rsidR="00E1126B">
        <w:t>ncident timeline</w:t>
      </w:r>
      <w:r w:rsidR="00B97268">
        <w:t xml:space="preserve"> that explains the sce</w:t>
      </w:r>
      <w:r w:rsidR="00E1126B">
        <w:t>nario phases</w:t>
      </w:r>
      <w:r w:rsidR="000D61A0">
        <w:t xml:space="preserve"> following the approach described in Section </w:t>
      </w:r>
      <w:r w:rsidR="000D61A0">
        <w:fldChar w:fldCharType="begin"/>
      </w:r>
      <w:r w:rsidR="000D61A0">
        <w:instrText xml:space="preserve"> REF _Ref109911346 \r \h </w:instrText>
      </w:r>
      <w:r w:rsidR="000D61A0">
        <w:fldChar w:fldCharType="separate"/>
      </w:r>
      <w:r w:rsidR="000D61A0">
        <w:t>3.2.1</w:t>
      </w:r>
      <w:r w:rsidR="000D61A0">
        <w:fldChar w:fldCharType="end"/>
      </w:r>
      <w:r w:rsidR="00E1126B">
        <w:t>.</w:t>
      </w:r>
      <w:r w:rsidR="00350A0D">
        <w:t xml:space="preserve"> For the TOI, </w:t>
      </w:r>
      <w:r w:rsidR="001A6222">
        <w:t>four</w:t>
      </w:r>
      <w:r w:rsidR="00350A0D">
        <w:t xml:space="preserve"> phases </w:t>
      </w:r>
      <w:r w:rsidR="007A594D">
        <w:t>were</w:t>
      </w:r>
      <w:r w:rsidR="003A6B30">
        <w:t xml:space="preserve"> </w:t>
      </w:r>
      <w:r w:rsidR="00350A0D">
        <w:t>identified</w:t>
      </w:r>
      <w:r w:rsidR="00AE1ACB">
        <w:t xml:space="preserve">: </w:t>
      </w:r>
      <w:r w:rsidR="000A3703">
        <w:t>‘</w:t>
      </w:r>
      <w:r w:rsidR="00583A4F">
        <w:t>N</w:t>
      </w:r>
      <w:r w:rsidR="000A3703">
        <w:t>eed’</w:t>
      </w:r>
      <w:r w:rsidR="00F4180F">
        <w:t>: the realisation that ‘something had to be done’</w:t>
      </w:r>
      <w:r w:rsidR="000A3703">
        <w:t>, ‘</w:t>
      </w:r>
      <w:r w:rsidR="00583A4F">
        <w:t>E</w:t>
      </w:r>
      <w:r w:rsidR="006644E1">
        <w:t>valuation’</w:t>
      </w:r>
      <w:r w:rsidR="00F4180F">
        <w:t xml:space="preserve">: </w:t>
      </w:r>
      <w:r w:rsidR="00CA0F75">
        <w:t>whether ‘on the balance of risks’ the change should be introduced</w:t>
      </w:r>
      <w:r w:rsidR="006644E1">
        <w:t xml:space="preserve">, </w:t>
      </w:r>
      <w:r w:rsidR="00583A4F">
        <w:t>‘Reassessment’</w:t>
      </w:r>
      <w:r w:rsidR="00CA0F75">
        <w:t xml:space="preserve">: </w:t>
      </w:r>
      <w:r w:rsidR="00E93274">
        <w:t>the need to reflect on the TOI following feedback from controllers</w:t>
      </w:r>
      <w:r w:rsidR="00BE567F">
        <w:t xml:space="preserve"> and</w:t>
      </w:r>
      <w:r w:rsidR="00583A4F">
        <w:t xml:space="preserve"> ‘Withdrawal’</w:t>
      </w:r>
      <w:r w:rsidR="007E5BEA">
        <w:t>:</w:t>
      </w:r>
      <w:r w:rsidR="00E93274">
        <w:t xml:space="preserve"> </w:t>
      </w:r>
      <w:r w:rsidR="007E5BEA">
        <w:t xml:space="preserve">the decision of whether to </w:t>
      </w:r>
      <w:r w:rsidR="001914DA">
        <w:t>reinstate or suspend the trial</w:t>
      </w:r>
      <w:r w:rsidR="00583A4F">
        <w:t xml:space="preserve">. </w:t>
      </w:r>
      <w:r w:rsidR="00165EC6">
        <w:t xml:space="preserve">For each of these four phases CDM tables </w:t>
      </w:r>
      <w:r w:rsidR="003A6B30">
        <w:t>were</w:t>
      </w:r>
      <w:r w:rsidR="00E4609E">
        <w:t xml:space="preserve"> constructed using the material gained from the interviews</w:t>
      </w:r>
      <w:r w:rsidR="00DE3BA3">
        <w:t xml:space="preserve"> and th</w:t>
      </w:r>
      <w:r w:rsidR="008528EB">
        <w:t xml:space="preserve">e resulting narrative that was extracted using CDM </w:t>
      </w:r>
      <w:r w:rsidR="00DE3BA3">
        <w:t xml:space="preserve">is summarised </w:t>
      </w:r>
      <w:r w:rsidR="004711E8">
        <w:t xml:space="preserve">in </w:t>
      </w:r>
      <w:r w:rsidR="004711E8">
        <w:fldChar w:fldCharType="begin"/>
      </w:r>
      <w:r w:rsidR="004711E8">
        <w:instrText xml:space="preserve"> REF _Ref55413642 \h </w:instrText>
      </w:r>
      <w:r w:rsidR="004711E8">
        <w:fldChar w:fldCharType="separate"/>
      </w:r>
      <w:r w:rsidR="00F11CDA">
        <w:t xml:space="preserve">Table </w:t>
      </w:r>
      <w:r w:rsidR="00F11CDA">
        <w:rPr>
          <w:noProof/>
        </w:rPr>
        <w:t>3</w:t>
      </w:r>
      <w:r w:rsidR="004711E8">
        <w:fldChar w:fldCharType="end"/>
      </w:r>
      <w:r w:rsidR="004711E8">
        <w:t xml:space="preserve"> </w:t>
      </w:r>
      <w:r w:rsidR="00DE3BA3">
        <w:t xml:space="preserve">with the </w:t>
      </w:r>
      <w:r w:rsidR="004668B1">
        <w:t xml:space="preserve">relevant </w:t>
      </w:r>
      <w:r w:rsidR="00DE3BA3">
        <w:t xml:space="preserve">CDM </w:t>
      </w:r>
      <w:r w:rsidR="004668B1">
        <w:t xml:space="preserve">probes </w:t>
      </w:r>
      <w:r w:rsidR="004711E8">
        <w:t>and key findings</w:t>
      </w:r>
      <w:r w:rsidR="00E4609E">
        <w:t xml:space="preserve">. </w:t>
      </w:r>
      <w:r w:rsidR="00C71856">
        <w:t>This information was also supplemented with additional correspondence, presentations</w:t>
      </w:r>
      <w:r w:rsidR="00B81FCA">
        <w:t xml:space="preserve"> and briefings that were identified </w:t>
      </w:r>
      <w:r w:rsidR="007377FA">
        <w:t xml:space="preserve">and made available </w:t>
      </w:r>
      <w:r w:rsidR="00B81FCA">
        <w:t>as a result of the interview</w:t>
      </w:r>
      <w:r w:rsidR="009B2FC0">
        <w:t>s</w:t>
      </w:r>
      <w:r w:rsidR="00B81FCA">
        <w:t>.</w:t>
      </w:r>
    </w:p>
    <w:p w14:paraId="43FBFB21" w14:textId="6C097614" w:rsidR="0076627A" w:rsidRDefault="0076627A" w:rsidP="0076627A">
      <w:pPr>
        <w:pStyle w:val="Caption"/>
      </w:pPr>
      <w:bookmarkStart w:id="11" w:name="_Ref55413642"/>
      <w:r>
        <w:lastRenderedPageBreak/>
        <w:t xml:space="preserve">Table </w:t>
      </w:r>
      <w:r w:rsidR="00881249">
        <w:fldChar w:fldCharType="begin"/>
      </w:r>
      <w:r w:rsidR="00881249">
        <w:instrText xml:space="preserve"> SEQ Table \* ARABIC </w:instrText>
      </w:r>
      <w:r w:rsidR="00881249">
        <w:fldChar w:fldCharType="separate"/>
      </w:r>
      <w:r w:rsidR="007562E4">
        <w:rPr>
          <w:noProof/>
        </w:rPr>
        <w:t>3</w:t>
      </w:r>
      <w:r w:rsidR="00881249">
        <w:rPr>
          <w:noProof/>
        </w:rPr>
        <w:fldChar w:fldCharType="end"/>
      </w:r>
      <w:bookmarkEnd w:id="11"/>
      <w:r>
        <w:t xml:space="preserve">: Identified CDM Phases and </w:t>
      </w:r>
      <w:r w:rsidR="004722B1">
        <w:t>key points from CDM probes</w:t>
      </w:r>
    </w:p>
    <w:tbl>
      <w:tblPr>
        <w:tblStyle w:val="ListTable31"/>
        <w:tblW w:w="14283" w:type="dxa"/>
        <w:tblLook w:val="04A0" w:firstRow="1" w:lastRow="0" w:firstColumn="1" w:lastColumn="0" w:noHBand="0" w:noVBand="1"/>
      </w:tblPr>
      <w:tblGrid>
        <w:gridCol w:w="1508"/>
        <w:gridCol w:w="1561"/>
        <w:gridCol w:w="11214"/>
      </w:tblGrid>
      <w:tr w:rsidR="00903E67" w14:paraId="18FFB0C0" w14:textId="77777777" w:rsidTr="00FF0D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23FBC130" w14:textId="7E6D5CD2" w:rsidR="00903E67" w:rsidRDefault="00903E67" w:rsidP="004722B1">
            <w:r>
              <w:t>Decision Phase</w:t>
            </w:r>
          </w:p>
        </w:tc>
        <w:tc>
          <w:tcPr>
            <w:tcW w:w="1559" w:type="dxa"/>
          </w:tcPr>
          <w:p w14:paraId="03F02E18" w14:textId="4CDA9F7F" w:rsidR="00903E67" w:rsidRDefault="00903E67" w:rsidP="004722B1">
            <w:pPr>
              <w:cnfStyle w:val="100000000000" w:firstRow="1" w:lastRow="0" w:firstColumn="0" w:lastColumn="0" w:oddVBand="0" w:evenVBand="0" w:oddHBand="0" w:evenHBand="0" w:firstRowFirstColumn="0" w:firstRowLastColumn="0" w:lastRowFirstColumn="0" w:lastRowLastColumn="0"/>
            </w:pPr>
            <w:r>
              <w:t>CDM Probe</w:t>
            </w:r>
          </w:p>
        </w:tc>
        <w:tc>
          <w:tcPr>
            <w:tcW w:w="11198" w:type="dxa"/>
          </w:tcPr>
          <w:p w14:paraId="302510BB" w14:textId="7D7DFDB0" w:rsidR="00903E67" w:rsidRDefault="00903E67" w:rsidP="004722B1">
            <w:pPr>
              <w:cnfStyle w:val="100000000000" w:firstRow="1" w:lastRow="0" w:firstColumn="0" w:lastColumn="0" w:oddVBand="0" w:evenVBand="0" w:oddHBand="0" w:evenHBand="0" w:firstRowFirstColumn="0" w:firstRowLastColumn="0" w:lastRowFirstColumn="0" w:lastRowLastColumn="0"/>
            </w:pPr>
            <w:r>
              <w:t>Key Factors identified</w:t>
            </w:r>
          </w:p>
        </w:tc>
      </w:tr>
      <w:tr w:rsidR="00903E67" w14:paraId="32EC7D18"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42C6EEC" w14:textId="4ABA5488" w:rsidR="00903E67" w:rsidRDefault="00903E67" w:rsidP="004722B1">
            <w:r>
              <w:t>Need</w:t>
            </w:r>
          </w:p>
        </w:tc>
        <w:tc>
          <w:tcPr>
            <w:tcW w:w="1559" w:type="dxa"/>
          </w:tcPr>
          <w:p w14:paraId="67906D1A" w14:textId="174FA9BC" w:rsidR="00903E67" w:rsidRDefault="00903E67" w:rsidP="004722B1">
            <w:pPr>
              <w:cnfStyle w:val="000000100000" w:firstRow="0" w:lastRow="0" w:firstColumn="0" w:lastColumn="0" w:oddVBand="0" w:evenVBand="0" w:oddHBand="1" w:evenHBand="0" w:firstRowFirstColumn="0" w:firstRowLastColumn="0" w:lastRowFirstColumn="0" w:lastRowLastColumn="0"/>
            </w:pPr>
            <w:r>
              <w:t>Goal Specification</w:t>
            </w:r>
          </w:p>
        </w:tc>
        <w:tc>
          <w:tcPr>
            <w:tcW w:w="11198" w:type="dxa"/>
          </w:tcPr>
          <w:p w14:paraId="2AB66925" w14:textId="575C9255" w:rsidR="00903E67" w:rsidRDefault="00903E67" w:rsidP="004722B1">
            <w:pPr>
              <w:cnfStyle w:val="000000100000" w:firstRow="0" w:lastRow="0" w:firstColumn="0" w:lastColumn="0" w:oddVBand="0" w:evenVBand="0" w:oddHBand="1" w:evenHBand="0" w:firstRowFirstColumn="0" w:firstRowLastColumn="0" w:lastRowFirstColumn="0" w:lastRowLastColumn="0"/>
            </w:pPr>
            <w:r>
              <w:t>During the ‘Need’ phase the subjective judgement of the management team was that the current actions in place to manage the risk of level bust incidents were largely correct.</w:t>
            </w:r>
          </w:p>
        </w:tc>
      </w:tr>
      <w:tr w:rsidR="00903E67" w14:paraId="39D2214F"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2BEB2F4B" w14:textId="77777777" w:rsidR="00903E67" w:rsidRDefault="00903E67" w:rsidP="004722B1"/>
        </w:tc>
        <w:tc>
          <w:tcPr>
            <w:tcW w:w="1559" w:type="dxa"/>
          </w:tcPr>
          <w:p w14:paraId="2F769AA3" w14:textId="692BD139" w:rsidR="00903E67" w:rsidRDefault="00903E67" w:rsidP="004722B1">
            <w:pPr>
              <w:cnfStyle w:val="000000000000" w:firstRow="0" w:lastRow="0" w:firstColumn="0" w:lastColumn="0" w:oddVBand="0" w:evenVBand="0" w:oddHBand="0" w:evenHBand="0" w:firstRowFirstColumn="0" w:firstRowLastColumn="0" w:lastRowFirstColumn="0" w:lastRowLastColumn="0"/>
            </w:pPr>
            <w:r>
              <w:t>Cue Identification</w:t>
            </w:r>
          </w:p>
        </w:tc>
        <w:tc>
          <w:tcPr>
            <w:tcW w:w="11198" w:type="dxa"/>
          </w:tcPr>
          <w:p w14:paraId="74173827" w14:textId="59D208A8" w:rsidR="00903E67" w:rsidRDefault="00903E67" w:rsidP="004722B1">
            <w:pPr>
              <w:cnfStyle w:val="000000000000" w:firstRow="0" w:lastRow="0" w:firstColumn="0" w:lastColumn="0" w:oddVBand="0" w:evenVBand="0" w:oddHBand="0" w:evenHBand="0" w:firstRowFirstColumn="0" w:firstRowLastColumn="0" w:lastRowFirstColumn="0" w:lastRowLastColumn="0"/>
            </w:pPr>
            <w:r>
              <w:t>However, the predicted long period of low pressure (known to be associated with level busts) meant that there was an emerging recognition that ‘something had to be done’ in accordance with pre-existing cultural and professional drivers, including the accountability of managers, to demonstrate that they were acting responsibly on leading indicators of safety risk.</w:t>
            </w:r>
          </w:p>
        </w:tc>
      </w:tr>
      <w:tr w:rsidR="00903E67" w14:paraId="0D9361C6"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7C8EB9DB" w14:textId="77777777" w:rsidR="00903E67" w:rsidRDefault="00903E67" w:rsidP="004722B1"/>
        </w:tc>
        <w:tc>
          <w:tcPr>
            <w:tcW w:w="1559" w:type="dxa"/>
          </w:tcPr>
          <w:p w14:paraId="7B61E299" w14:textId="4DEED9BC" w:rsidR="00903E67" w:rsidRDefault="00903E67" w:rsidP="004722B1">
            <w:pPr>
              <w:cnfStyle w:val="000000100000" w:firstRow="0" w:lastRow="0" w:firstColumn="0" w:lastColumn="0" w:oddVBand="0" w:evenVBand="0" w:oddHBand="1" w:evenHBand="0" w:firstRowFirstColumn="0" w:firstRowLastColumn="0" w:lastRowFirstColumn="0" w:lastRowLastColumn="0"/>
            </w:pPr>
            <w:r>
              <w:t>Expectancy</w:t>
            </w:r>
          </w:p>
        </w:tc>
        <w:tc>
          <w:tcPr>
            <w:tcW w:w="11198" w:type="dxa"/>
          </w:tcPr>
          <w:p w14:paraId="753F0443" w14:textId="43D25D9F" w:rsidR="00903E67" w:rsidRDefault="00903E67" w:rsidP="004722B1">
            <w:pPr>
              <w:cnfStyle w:val="000000100000" w:firstRow="0" w:lastRow="0" w:firstColumn="0" w:lastColumn="0" w:oddVBand="0" w:evenVBand="0" w:oddHBand="1" w:evenHBand="0" w:firstRowFirstColumn="0" w:firstRowLastColumn="0" w:lastRowFirstColumn="0" w:lastRowLastColumn="0"/>
            </w:pPr>
            <w:r>
              <w:t>Whilst the problem of level busts was not new, regular reviews of safety data are routine occurrences, and an action plan was already in place, a significant loss of separation between two aircraft that occurred during Storm St</w:t>
            </w:r>
            <w:r w:rsidR="00660635">
              <w:t>.</w:t>
            </w:r>
            <w:r>
              <w:t xml:space="preserve"> Jude proved to be a major trigger for consideration of additional measures. In this way, the organisation needs a degree of flexibility to respond to emerging trends with innovative actions. Whilst safety committees provide challenge and due diligence on risk management</w:t>
            </w:r>
            <w:r w:rsidR="00146988">
              <w:t>,</w:t>
            </w:r>
            <w:r>
              <w:t xml:space="preserve"> this consultation can take time and so delay managing an evolving risk picture.</w:t>
            </w:r>
          </w:p>
        </w:tc>
      </w:tr>
      <w:tr w:rsidR="00903E67" w14:paraId="0E7A29B1"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5A1DFCE6" w14:textId="77777777" w:rsidR="00903E67" w:rsidRDefault="00903E67" w:rsidP="004722B1"/>
        </w:tc>
        <w:tc>
          <w:tcPr>
            <w:tcW w:w="1559" w:type="dxa"/>
          </w:tcPr>
          <w:p w14:paraId="6DA0B28E" w14:textId="6035D8AE" w:rsidR="00903E67" w:rsidRDefault="00903E67" w:rsidP="004722B1">
            <w:pPr>
              <w:cnfStyle w:val="000000000000" w:firstRow="0" w:lastRow="0" w:firstColumn="0" w:lastColumn="0" w:oddVBand="0" w:evenVBand="0" w:oddHBand="0" w:evenHBand="0" w:firstRowFirstColumn="0" w:firstRowLastColumn="0" w:lastRowFirstColumn="0" w:lastRowLastColumn="0"/>
            </w:pPr>
            <w:r>
              <w:t>Conceptual Model</w:t>
            </w:r>
          </w:p>
        </w:tc>
        <w:tc>
          <w:tcPr>
            <w:tcW w:w="11198" w:type="dxa"/>
          </w:tcPr>
          <w:p w14:paraId="48EEDBFC" w14:textId="139EB36D" w:rsidR="00903E67" w:rsidRDefault="00903E67" w:rsidP="004722B1">
            <w:pPr>
              <w:cnfStyle w:val="000000000000" w:firstRow="0" w:lastRow="0" w:firstColumn="0" w:lastColumn="0" w:oddVBand="0" w:evenVBand="0" w:oddHBand="0" w:evenHBand="0" w:firstRowFirstColumn="0" w:firstRowLastColumn="0" w:lastRowFirstColumn="0" w:lastRowLastColumn="0"/>
            </w:pPr>
            <w:r>
              <w:t>A procedural intervention was selected as the experience and perception of safety managers was that these types of incidents did not occur with more experienced controllers. It was also known that a range of techniques were in use and there was a desire to find ways of sharing these across the operation.</w:t>
            </w:r>
          </w:p>
        </w:tc>
      </w:tr>
      <w:tr w:rsidR="00903E67" w14:paraId="63E43A9F"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67CF9D5B" w14:textId="77777777" w:rsidR="00903E67" w:rsidRDefault="00903E67" w:rsidP="004722B1"/>
        </w:tc>
        <w:tc>
          <w:tcPr>
            <w:tcW w:w="1559" w:type="dxa"/>
          </w:tcPr>
          <w:p w14:paraId="53883C05" w14:textId="248512E4" w:rsidR="00903E67" w:rsidRDefault="00903E67" w:rsidP="004722B1">
            <w:pPr>
              <w:cnfStyle w:val="000000100000" w:firstRow="0" w:lastRow="0" w:firstColumn="0" w:lastColumn="0" w:oddVBand="0" w:evenVBand="0" w:oddHBand="1" w:evenHBand="0" w:firstRowFirstColumn="0" w:firstRowLastColumn="0" w:lastRowFirstColumn="0" w:lastRowLastColumn="0"/>
            </w:pPr>
            <w:r>
              <w:t>Influence of Uncertainty</w:t>
            </w:r>
          </w:p>
        </w:tc>
        <w:tc>
          <w:tcPr>
            <w:tcW w:w="11198" w:type="dxa"/>
          </w:tcPr>
          <w:p w14:paraId="2C7371DF" w14:textId="0BE017F4" w:rsidR="00903E67" w:rsidRDefault="00903E67" w:rsidP="004722B1">
            <w:pPr>
              <w:cnfStyle w:val="000000100000" w:firstRow="0" w:lastRow="0" w:firstColumn="0" w:lastColumn="0" w:oddVBand="0" w:evenVBand="0" w:oddHBand="1" w:evenHBand="0" w:firstRowFirstColumn="0" w:firstRowLastColumn="0" w:lastRowFirstColumn="0" w:lastRowLastColumn="0"/>
            </w:pPr>
            <w:r>
              <w:t>However, a phraseology change was novel and there was uncertainty about the appropriateness of the selected option. There was, however, a degree of faith in the risk assessment process to uncover issues and prompt iterative changes to reduce uncertainty and any induced risk.</w:t>
            </w:r>
          </w:p>
        </w:tc>
      </w:tr>
      <w:tr w:rsidR="002C7F96" w14:paraId="7F47A797" w14:textId="77777777" w:rsidTr="00FF0D56">
        <w:trPr>
          <w:trHeight w:val="792"/>
        </w:trPr>
        <w:tc>
          <w:tcPr>
            <w:cnfStyle w:val="001000000000" w:firstRow="0" w:lastRow="0" w:firstColumn="1" w:lastColumn="0" w:oddVBand="0" w:evenVBand="0" w:oddHBand="0" w:evenHBand="0" w:firstRowFirstColumn="0" w:firstRowLastColumn="0" w:lastRowFirstColumn="0" w:lastRowLastColumn="0"/>
            <w:tcW w:w="0" w:type="dxa"/>
            <w:vMerge/>
          </w:tcPr>
          <w:p w14:paraId="1F87F040" w14:textId="77777777" w:rsidR="002C7F96" w:rsidRDefault="002C7F96" w:rsidP="004722B1"/>
        </w:tc>
        <w:tc>
          <w:tcPr>
            <w:tcW w:w="0" w:type="dxa"/>
          </w:tcPr>
          <w:p w14:paraId="730E765D" w14:textId="4703D23D" w:rsidR="002C7F96" w:rsidRDefault="002C7F96" w:rsidP="004722B1">
            <w:pPr>
              <w:cnfStyle w:val="000000000000" w:firstRow="0" w:lastRow="0" w:firstColumn="0" w:lastColumn="0" w:oddVBand="0" w:evenVBand="0" w:oddHBand="0" w:evenHBand="0" w:firstRowFirstColumn="0" w:firstRowLastColumn="0" w:lastRowFirstColumn="0" w:lastRowLastColumn="0"/>
            </w:pPr>
            <w:r>
              <w:t>Situation Awareness</w:t>
            </w:r>
          </w:p>
        </w:tc>
        <w:tc>
          <w:tcPr>
            <w:tcW w:w="0" w:type="dxa"/>
          </w:tcPr>
          <w:p w14:paraId="0CDFC2FA" w14:textId="75ADBAA5" w:rsidR="002C7F96" w:rsidRDefault="002C7F96" w:rsidP="004722B1">
            <w:pPr>
              <w:cnfStyle w:val="000000000000" w:firstRow="0" w:lastRow="0" w:firstColumn="0" w:lastColumn="0" w:oddVBand="0" w:evenVBand="0" w:oddHBand="0" w:evenHBand="0" w:firstRowFirstColumn="0" w:firstRowLastColumn="0" w:lastRowFirstColumn="0" w:lastRowLastColumn="0"/>
            </w:pPr>
            <w:r>
              <w:t>Many of the senior managers with responsibility for these decisions were current or former controllers. This experience provides a front-line appreciation of the risks and a credibility with the current operational community when seeking their acceptance and buy-in for an intervention.</w:t>
            </w:r>
          </w:p>
        </w:tc>
      </w:tr>
      <w:tr w:rsidR="00903E67" w14:paraId="78F261D6"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6EB6C2C2" w14:textId="77777777" w:rsidR="00903E67" w:rsidRDefault="00903E67" w:rsidP="004722B1"/>
        </w:tc>
        <w:tc>
          <w:tcPr>
            <w:tcW w:w="1559" w:type="dxa"/>
          </w:tcPr>
          <w:p w14:paraId="4E587D9D" w14:textId="43CCD33E" w:rsidR="00903E67" w:rsidRDefault="00903E67" w:rsidP="004722B1">
            <w:pPr>
              <w:cnfStyle w:val="000000100000" w:firstRow="0" w:lastRow="0" w:firstColumn="0" w:lastColumn="0" w:oddVBand="0" w:evenVBand="0" w:oddHBand="1" w:evenHBand="0" w:firstRowFirstColumn="0" w:firstRowLastColumn="0" w:lastRowFirstColumn="0" w:lastRowLastColumn="0"/>
            </w:pPr>
            <w:r>
              <w:t>Options</w:t>
            </w:r>
          </w:p>
        </w:tc>
        <w:tc>
          <w:tcPr>
            <w:tcW w:w="11198" w:type="dxa"/>
          </w:tcPr>
          <w:p w14:paraId="33D7CD79" w14:textId="5023594D" w:rsidR="00903E67" w:rsidRDefault="00903E67" w:rsidP="004722B1">
            <w:pPr>
              <w:cnfStyle w:val="000000100000" w:firstRow="0" w:lastRow="0" w:firstColumn="0" w:lastColumn="0" w:oddVBand="0" w:evenVBand="0" w:oddHBand="1" w:evenHBand="0" w:firstRowFirstColumn="0" w:firstRowLastColumn="0" w:lastRowFirstColumn="0" w:lastRowLastColumn="0"/>
            </w:pPr>
            <w:r>
              <w:t>The selected phraseology change was made mandatory in the belief that a prescriptive measure would express the seriousness with which management wanted the risk addressed and also to achieve the greatest impact from the change. Other options to manage the risk were already planned and in progress.</w:t>
            </w:r>
          </w:p>
        </w:tc>
      </w:tr>
      <w:tr w:rsidR="00903E67" w14:paraId="70BEDDC1" w14:textId="77777777" w:rsidTr="00FF0D56">
        <w:tc>
          <w:tcPr>
            <w:cnfStyle w:val="001000000000" w:firstRow="0" w:lastRow="0" w:firstColumn="1" w:lastColumn="0" w:oddVBand="0" w:evenVBand="0" w:oddHBand="0" w:evenHBand="0" w:firstRowFirstColumn="0" w:firstRowLastColumn="0" w:lastRowFirstColumn="0" w:lastRowLastColumn="0"/>
            <w:tcW w:w="0" w:type="dxa"/>
            <w:vMerge w:val="restart"/>
          </w:tcPr>
          <w:p w14:paraId="3ABDF4E1" w14:textId="69B95A84" w:rsidR="00903E67" w:rsidRDefault="00903E67" w:rsidP="00C40390">
            <w:r>
              <w:t>Evaluation</w:t>
            </w:r>
          </w:p>
        </w:tc>
        <w:tc>
          <w:tcPr>
            <w:tcW w:w="1559" w:type="dxa"/>
          </w:tcPr>
          <w:p w14:paraId="4C5246A5" w14:textId="6E83EF37" w:rsidR="00903E67" w:rsidRDefault="00903E67" w:rsidP="00C40390">
            <w:pPr>
              <w:cnfStyle w:val="000000000000" w:firstRow="0" w:lastRow="0" w:firstColumn="0" w:lastColumn="0" w:oddVBand="0" w:evenVBand="0" w:oddHBand="0" w:evenHBand="0" w:firstRowFirstColumn="0" w:firstRowLastColumn="0" w:lastRowFirstColumn="0" w:lastRowLastColumn="0"/>
            </w:pPr>
            <w:r>
              <w:t>Goal Specification</w:t>
            </w:r>
          </w:p>
        </w:tc>
        <w:tc>
          <w:tcPr>
            <w:tcW w:w="11198" w:type="dxa"/>
          </w:tcPr>
          <w:p w14:paraId="0B6D0754" w14:textId="237B7459" w:rsidR="00903E67" w:rsidRDefault="00B06EBD" w:rsidP="00C40390">
            <w:pPr>
              <w:cnfStyle w:val="000000000000" w:firstRow="0" w:lastRow="0" w:firstColumn="0" w:lastColumn="0" w:oddVBand="0" w:evenVBand="0" w:oddHBand="0" w:evenHBand="0" w:firstRowFirstColumn="0" w:firstRowLastColumn="0" w:lastRowFirstColumn="0" w:lastRowLastColumn="0"/>
            </w:pPr>
            <w:r>
              <w:t>The decision-making in the ‘Evaluation’ phase was centred on the desire to understand, given the output from the risk assessment, whether the risks from the trial, such as the increase in radio calls and workload (low severity and possibly frequent), relative to the risks from level bust incidents (high severity but relatively rare) warranted the introduction of the change</w:t>
            </w:r>
            <w:r w:rsidR="002C11D7">
              <w:t>.</w:t>
            </w:r>
          </w:p>
        </w:tc>
      </w:tr>
      <w:tr w:rsidR="00903E67" w14:paraId="2C0CDB54"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0054B54B" w14:textId="77777777" w:rsidR="00903E67" w:rsidRDefault="00903E67" w:rsidP="00C40390"/>
        </w:tc>
        <w:tc>
          <w:tcPr>
            <w:tcW w:w="1559" w:type="dxa"/>
          </w:tcPr>
          <w:p w14:paraId="59D41E67" w14:textId="567CF0D0" w:rsidR="00903E67" w:rsidRDefault="00903E67" w:rsidP="00C40390">
            <w:pPr>
              <w:cnfStyle w:val="000000100000" w:firstRow="0" w:lastRow="0" w:firstColumn="0" w:lastColumn="0" w:oddVBand="0" w:evenVBand="0" w:oddHBand="1" w:evenHBand="0" w:firstRowFirstColumn="0" w:firstRowLastColumn="0" w:lastRowFirstColumn="0" w:lastRowLastColumn="0"/>
            </w:pPr>
            <w:r>
              <w:t>Cue Identification</w:t>
            </w:r>
          </w:p>
        </w:tc>
        <w:tc>
          <w:tcPr>
            <w:tcW w:w="11198" w:type="dxa"/>
          </w:tcPr>
          <w:p w14:paraId="399F36FA" w14:textId="70568CEC" w:rsidR="00903E67" w:rsidRDefault="007279FC" w:rsidP="00C40390">
            <w:pPr>
              <w:cnfStyle w:val="000000100000" w:firstRow="0" w:lastRow="0" w:firstColumn="0" w:lastColumn="0" w:oddVBand="0" w:evenVBand="0" w:oddHBand="1" w:evenHBand="0" w:firstRowFirstColumn="0" w:firstRowLastColumn="0" w:lastRowFirstColumn="0" w:lastRowLastColumn="0"/>
            </w:pPr>
            <w:r>
              <w:t xml:space="preserve">With the completion of the risk assessment, following standard processes for the introduction of a procedural change, the decision </w:t>
            </w:r>
            <w:r w:rsidR="00993AD0">
              <w:t>revolved around</w:t>
            </w:r>
            <w:r>
              <w:t xml:space="preserve"> whether ‘on the balance of risks’ the introduction of the phraseology trial should proceed</w:t>
            </w:r>
            <w:r w:rsidR="00993AD0">
              <w:t xml:space="preserve"> and on </w:t>
            </w:r>
            <w:r w:rsidR="00993AD0">
              <w:lastRenderedPageBreak/>
              <w:t>what timescales (introduction and duration).</w:t>
            </w:r>
          </w:p>
        </w:tc>
      </w:tr>
      <w:tr w:rsidR="00903E67" w14:paraId="1BA2228B"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4D679599" w14:textId="77777777" w:rsidR="00903E67" w:rsidRDefault="00903E67" w:rsidP="00C40390"/>
        </w:tc>
        <w:tc>
          <w:tcPr>
            <w:tcW w:w="1559" w:type="dxa"/>
          </w:tcPr>
          <w:p w14:paraId="3459A21C" w14:textId="122F41B1" w:rsidR="00903E67" w:rsidRDefault="00903E67" w:rsidP="00C40390">
            <w:pPr>
              <w:cnfStyle w:val="000000000000" w:firstRow="0" w:lastRow="0" w:firstColumn="0" w:lastColumn="0" w:oddVBand="0" w:evenVBand="0" w:oddHBand="0" w:evenHBand="0" w:firstRowFirstColumn="0" w:firstRowLastColumn="0" w:lastRowFirstColumn="0" w:lastRowLastColumn="0"/>
            </w:pPr>
            <w:r>
              <w:t>Expectancy</w:t>
            </w:r>
          </w:p>
        </w:tc>
        <w:tc>
          <w:tcPr>
            <w:tcW w:w="11198" w:type="dxa"/>
          </w:tcPr>
          <w:p w14:paraId="6DACDCDE" w14:textId="6B7235DF" w:rsidR="00903E67" w:rsidRDefault="00BE6DAE" w:rsidP="00C40390">
            <w:pPr>
              <w:cnfStyle w:val="000000000000" w:firstRow="0" w:lastRow="0" w:firstColumn="0" w:lastColumn="0" w:oddVBand="0" w:evenVBand="0" w:oddHBand="0" w:evenHBand="0" w:firstRowFirstColumn="0" w:firstRowLastColumn="0" w:lastRowFirstColumn="0" w:lastRowLastColumn="0"/>
            </w:pPr>
            <w:r>
              <w:t>The evaluation and weighing up of risks is</w:t>
            </w:r>
            <w:r w:rsidR="00931602">
              <w:t xml:space="preserve"> the essence of</w:t>
            </w:r>
            <w:r>
              <w:t xml:space="preserve"> risk management decision-making in the presence of uncertainty in any complex system</w:t>
            </w:r>
            <w:r w:rsidR="00931602">
              <w:t>.</w:t>
            </w:r>
          </w:p>
        </w:tc>
      </w:tr>
      <w:tr w:rsidR="00903E67" w14:paraId="3488321B"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57DEAB31" w14:textId="77777777" w:rsidR="00903E67" w:rsidRDefault="00903E67" w:rsidP="00F07A48"/>
        </w:tc>
        <w:tc>
          <w:tcPr>
            <w:tcW w:w="1559" w:type="dxa"/>
          </w:tcPr>
          <w:p w14:paraId="6AABB487" w14:textId="1416EE68" w:rsidR="00903E67" w:rsidRDefault="00903E67" w:rsidP="00F07A48">
            <w:pPr>
              <w:cnfStyle w:val="000000100000" w:firstRow="0" w:lastRow="0" w:firstColumn="0" w:lastColumn="0" w:oddVBand="0" w:evenVBand="0" w:oddHBand="1" w:evenHBand="0" w:firstRowFirstColumn="0" w:firstRowLastColumn="0" w:lastRowFirstColumn="0" w:lastRowLastColumn="0"/>
            </w:pPr>
            <w:r>
              <w:t>Influence of Uncertainty</w:t>
            </w:r>
          </w:p>
        </w:tc>
        <w:tc>
          <w:tcPr>
            <w:tcW w:w="11198" w:type="dxa"/>
          </w:tcPr>
          <w:p w14:paraId="583997FA" w14:textId="3137292A" w:rsidR="00732705" w:rsidRDefault="002D3E75" w:rsidP="00F07A48">
            <w:pPr>
              <w:cnfStyle w:val="000000100000" w:firstRow="0" w:lastRow="0" w:firstColumn="0" w:lastColumn="0" w:oddVBand="0" w:evenVBand="0" w:oddHBand="1" w:evenHBand="0" w:firstRowFirstColumn="0" w:firstRowLastColumn="0" w:lastRowFirstColumn="0" w:lastRowLastColumn="0"/>
            </w:pPr>
            <w:r>
              <w:t>The risk assessment made a number of generalised, uniform assumptions on airline operating procedures and had an expectation of the aircrew response which was by no means certain</w:t>
            </w:r>
            <w:r w:rsidR="00C571EE">
              <w:t xml:space="preserve"> (for </w:t>
            </w:r>
            <w:r w:rsidR="004B0CF6">
              <w:t>example, whether the NOTAM would be fully appreciated)</w:t>
            </w:r>
            <w:r>
              <w:t>.</w:t>
            </w:r>
            <w:r w:rsidR="00732705">
              <w:t xml:space="preserve"> </w:t>
            </w:r>
          </w:p>
        </w:tc>
      </w:tr>
      <w:tr w:rsidR="00903E67" w14:paraId="7A61AF14"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67B4F66A" w14:textId="77777777" w:rsidR="00903E67" w:rsidRDefault="00903E67" w:rsidP="00F07A48"/>
        </w:tc>
        <w:tc>
          <w:tcPr>
            <w:tcW w:w="1559" w:type="dxa"/>
          </w:tcPr>
          <w:p w14:paraId="4B5900A8" w14:textId="4EC4D9DB" w:rsidR="00903E67" w:rsidRDefault="00903E67" w:rsidP="00F07A48">
            <w:pPr>
              <w:cnfStyle w:val="000000000000" w:firstRow="0" w:lastRow="0" w:firstColumn="0" w:lastColumn="0" w:oddVBand="0" w:evenVBand="0" w:oddHBand="0" w:evenHBand="0" w:firstRowFirstColumn="0" w:firstRowLastColumn="0" w:lastRowFirstColumn="0" w:lastRowLastColumn="0"/>
            </w:pPr>
            <w:r>
              <w:t>Information Integration</w:t>
            </w:r>
          </w:p>
        </w:tc>
        <w:tc>
          <w:tcPr>
            <w:tcW w:w="11198" w:type="dxa"/>
          </w:tcPr>
          <w:p w14:paraId="307B0453" w14:textId="2CCF6DE5" w:rsidR="00783F14" w:rsidRDefault="00783F14" w:rsidP="00F07A48">
            <w:pPr>
              <w:cnfStyle w:val="000000000000" w:firstRow="0" w:lastRow="0" w:firstColumn="0" w:lastColumn="0" w:oddVBand="0" w:evenVBand="0" w:oddHBand="0" w:evenHBand="0" w:firstRowFirstColumn="0" w:firstRowLastColumn="0" w:lastRowFirstColumn="0" w:lastRowLastColumn="0"/>
            </w:pPr>
            <w:r>
              <w:t>The prescriptive and mandatory nature of the TOI was understood to remove some flexibility from controllers; however, this was not a fundamental consideration of the risk assessment but rather was weighed in the decision-making.</w:t>
            </w:r>
          </w:p>
        </w:tc>
      </w:tr>
      <w:tr w:rsidR="00903E67" w14:paraId="1A44B268"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DD1AEF9" w14:textId="77777777" w:rsidR="00903E67" w:rsidRDefault="00903E67" w:rsidP="00F07A48"/>
        </w:tc>
        <w:tc>
          <w:tcPr>
            <w:tcW w:w="1559" w:type="dxa"/>
          </w:tcPr>
          <w:p w14:paraId="29CCFC74" w14:textId="70E68ABC" w:rsidR="00903E67" w:rsidRDefault="00903E67" w:rsidP="00F07A48">
            <w:pPr>
              <w:cnfStyle w:val="000000100000" w:firstRow="0" w:lastRow="0" w:firstColumn="0" w:lastColumn="0" w:oddVBand="0" w:evenVBand="0" w:oddHBand="1" w:evenHBand="0" w:firstRowFirstColumn="0" w:firstRowLastColumn="0" w:lastRowFirstColumn="0" w:lastRowLastColumn="0"/>
            </w:pPr>
            <w:r>
              <w:t>Situation Awareness</w:t>
            </w:r>
          </w:p>
        </w:tc>
        <w:tc>
          <w:tcPr>
            <w:tcW w:w="11198" w:type="dxa"/>
          </w:tcPr>
          <w:p w14:paraId="37FDAF8E" w14:textId="695329BD" w:rsidR="00903E67" w:rsidRDefault="00B01EA7">
            <w:pPr>
              <w:cnfStyle w:val="000000100000" w:firstRow="0" w:lastRow="0" w:firstColumn="0" w:lastColumn="0" w:oddVBand="0" w:evenVBand="0" w:oddHBand="1" w:evenHBand="0" w:firstRowFirstColumn="0" w:firstRowLastColumn="0" w:lastRowFirstColumn="0" w:lastRowLastColumn="0"/>
            </w:pPr>
            <w:r>
              <w:t>However, the process for the introduction of the TOI was followed so that iterative reviews and judgements were presented up the management chain so that the people entrusted with the accountability for safety in the operation understood what was being proposed and the possible consequences.</w:t>
            </w:r>
            <w:r w:rsidR="00BF1DE3">
              <w:t xml:space="preserve"> </w:t>
            </w:r>
            <w:r w:rsidR="004501CF">
              <w:t>This judgement drew upon many different voices, inputs and opinions from across the operation on the merits of the TOI as a course of action – recognising that not all of these were supportive.</w:t>
            </w:r>
          </w:p>
        </w:tc>
      </w:tr>
      <w:tr w:rsidR="00903E67" w14:paraId="10DB0013"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4FC3FB71" w14:textId="77777777" w:rsidR="00903E67" w:rsidRDefault="00903E67" w:rsidP="00F07A48"/>
        </w:tc>
        <w:tc>
          <w:tcPr>
            <w:tcW w:w="1559" w:type="dxa"/>
          </w:tcPr>
          <w:p w14:paraId="76196ECF" w14:textId="75AC11EE" w:rsidR="00903E67" w:rsidRDefault="00903E67" w:rsidP="00F07A48">
            <w:pPr>
              <w:cnfStyle w:val="000000000000" w:firstRow="0" w:lastRow="0" w:firstColumn="0" w:lastColumn="0" w:oddVBand="0" w:evenVBand="0" w:oddHBand="0" w:evenHBand="0" w:firstRowFirstColumn="0" w:firstRowLastColumn="0" w:lastRowFirstColumn="0" w:lastRowLastColumn="0"/>
            </w:pPr>
            <w:r>
              <w:t>Situation Assessment</w:t>
            </w:r>
          </w:p>
        </w:tc>
        <w:tc>
          <w:tcPr>
            <w:tcW w:w="11198" w:type="dxa"/>
          </w:tcPr>
          <w:p w14:paraId="48BCDF9A" w14:textId="05C198AD" w:rsidR="00783F14" w:rsidRDefault="00783F14" w:rsidP="00F07A48">
            <w:pPr>
              <w:cnfStyle w:val="000000000000" w:firstRow="0" w:lastRow="0" w:firstColumn="0" w:lastColumn="0" w:oddVBand="0" w:evenVBand="0" w:oddHBand="0" w:evenHBand="0" w:firstRowFirstColumn="0" w:firstRowLastColumn="0" w:lastRowFirstColumn="0" w:lastRowLastColumn="0"/>
            </w:pPr>
            <w:r>
              <w:t>There was also some uncertainty about the estimation of the frequency of the increases in workload and radio calls and the likelihood and impact of these consequences could have been better understood in the risk assessment.</w:t>
            </w:r>
          </w:p>
        </w:tc>
      </w:tr>
      <w:tr w:rsidR="006F2D58" w14:paraId="2B872FCE" w14:textId="77777777" w:rsidTr="00D96EEE">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526" w:type="dxa"/>
            <w:vMerge/>
          </w:tcPr>
          <w:p w14:paraId="23FBCC01" w14:textId="77777777" w:rsidR="006F2D58" w:rsidRDefault="006F2D58" w:rsidP="00F07A48"/>
        </w:tc>
        <w:tc>
          <w:tcPr>
            <w:tcW w:w="1559" w:type="dxa"/>
          </w:tcPr>
          <w:p w14:paraId="3231C135" w14:textId="7F410511" w:rsidR="006F2D58" w:rsidRDefault="006F2D58" w:rsidP="00F07A48">
            <w:pPr>
              <w:cnfStyle w:val="000000100000" w:firstRow="0" w:lastRow="0" w:firstColumn="0" w:lastColumn="0" w:oddVBand="0" w:evenVBand="0" w:oddHBand="1" w:evenHBand="0" w:firstRowFirstColumn="0" w:firstRowLastColumn="0" w:lastRowFirstColumn="0" w:lastRowLastColumn="0"/>
            </w:pPr>
            <w:r>
              <w:t>Options</w:t>
            </w:r>
          </w:p>
        </w:tc>
        <w:tc>
          <w:tcPr>
            <w:tcW w:w="11198" w:type="dxa"/>
          </w:tcPr>
          <w:p w14:paraId="39CDE998" w14:textId="6E8911B3" w:rsidR="006F2D58" w:rsidRDefault="006F2D58">
            <w:pPr>
              <w:cnfStyle w:val="000000100000" w:firstRow="0" w:lastRow="0" w:firstColumn="0" w:lastColumn="0" w:oddVBand="0" w:evenVBand="0" w:oddHBand="1" w:evenHBand="0" w:firstRowFirstColumn="0" w:firstRowLastColumn="0" w:lastRowFirstColumn="0" w:lastRowLastColumn="0"/>
            </w:pPr>
            <w:r>
              <w:t>At all times the option to not introduce the change existed</w:t>
            </w:r>
            <w:r w:rsidR="00120E71">
              <w:t>. Even</w:t>
            </w:r>
            <w:r>
              <w:t xml:space="preserve"> with momentum behind the change there is still the </w:t>
            </w:r>
            <w:r w:rsidR="00540CC5">
              <w:t>requirement</w:t>
            </w:r>
            <w:r>
              <w:t xml:space="preserve"> to get someone </w:t>
            </w:r>
            <w:r w:rsidR="00540CC5">
              <w:t xml:space="preserve">higher up </w:t>
            </w:r>
            <w:r>
              <w:t xml:space="preserve">in the accountability chain </w:t>
            </w:r>
            <w:r w:rsidR="00540CC5">
              <w:t xml:space="preserve">to </w:t>
            </w:r>
            <w:r>
              <w:t>agree to the change and sign it off</w:t>
            </w:r>
            <w:r w:rsidR="00540CC5">
              <w:t xml:space="preserve"> prior to introduction. </w:t>
            </w:r>
          </w:p>
        </w:tc>
      </w:tr>
      <w:tr w:rsidR="00903E67" w14:paraId="3686DA21" w14:textId="77777777" w:rsidTr="00FF0D56">
        <w:tc>
          <w:tcPr>
            <w:cnfStyle w:val="001000000000" w:firstRow="0" w:lastRow="0" w:firstColumn="1" w:lastColumn="0" w:oddVBand="0" w:evenVBand="0" w:oddHBand="0" w:evenHBand="0" w:firstRowFirstColumn="0" w:firstRowLastColumn="0" w:lastRowFirstColumn="0" w:lastRowLastColumn="0"/>
            <w:tcW w:w="0" w:type="dxa"/>
            <w:vMerge w:val="restart"/>
          </w:tcPr>
          <w:p w14:paraId="3587D497" w14:textId="707D0B94" w:rsidR="00903E67" w:rsidRDefault="00903E67" w:rsidP="00F07A48">
            <w:r>
              <w:t>Reassessment</w:t>
            </w:r>
          </w:p>
        </w:tc>
        <w:tc>
          <w:tcPr>
            <w:tcW w:w="1559" w:type="dxa"/>
          </w:tcPr>
          <w:p w14:paraId="35B50B52" w14:textId="43DA833F" w:rsidR="00903E67" w:rsidRDefault="00903E67" w:rsidP="00F07A48">
            <w:pPr>
              <w:cnfStyle w:val="000000000000" w:firstRow="0" w:lastRow="0" w:firstColumn="0" w:lastColumn="0" w:oddVBand="0" w:evenVBand="0" w:oddHBand="0" w:evenHBand="0" w:firstRowFirstColumn="0" w:firstRowLastColumn="0" w:lastRowFirstColumn="0" w:lastRowLastColumn="0"/>
            </w:pPr>
            <w:r>
              <w:t>Cue Identification</w:t>
            </w:r>
          </w:p>
        </w:tc>
        <w:tc>
          <w:tcPr>
            <w:tcW w:w="11198" w:type="dxa"/>
          </w:tcPr>
          <w:p w14:paraId="7D801A88" w14:textId="7C406A3D" w:rsidR="00903E67" w:rsidRDefault="0046457E" w:rsidP="00F07A48">
            <w:pPr>
              <w:cnfStyle w:val="000000000000" w:firstRow="0" w:lastRow="0" w:firstColumn="0" w:lastColumn="0" w:oddVBand="0" w:evenVBand="0" w:oddHBand="0" w:evenHBand="0" w:firstRowFirstColumn="0" w:firstRowLastColumn="0" w:lastRowFirstColumn="0" w:lastRowLastColumn="0"/>
            </w:pPr>
            <w:r>
              <w:t xml:space="preserve">As the safety observations and other feedback began to be reported by controllers the third scenario in the decision timeline is reached that culminated with the decision to revisit the risk assessment. </w:t>
            </w:r>
          </w:p>
        </w:tc>
      </w:tr>
      <w:tr w:rsidR="00903E67" w14:paraId="70C983D4"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6EBE406F" w14:textId="77777777" w:rsidR="00903E67" w:rsidRDefault="00903E67" w:rsidP="00F07A48"/>
        </w:tc>
        <w:tc>
          <w:tcPr>
            <w:tcW w:w="1559" w:type="dxa"/>
          </w:tcPr>
          <w:p w14:paraId="011BA30B" w14:textId="546376E8" w:rsidR="00903E67" w:rsidRDefault="00903E67" w:rsidP="00F07A48">
            <w:pPr>
              <w:cnfStyle w:val="000000100000" w:firstRow="0" w:lastRow="0" w:firstColumn="0" w:lastColumn="0" w:oddVBand="0" w:evenVBand="0" w:oddHBand="1" w:evenHBand="0" w:firstRowFirstColumn="0" w:firstRowLastColumn="0" w:lastRowFirstColumn="0" w:lastRowLastColumn="0"/>
            </w:pPr>
            <w:r>
              <w:t>Goal Specification</w:t>
            </w:r>
          </w:p>
        </w:tc>
        <w:tc>
          <w:tcPr>
            <w:tcW w:w="11198" w:type="dxa"/>
          </w:tcPr>
          <w:p w14:paraId="1C4A7DD1" w14:textId="5C2F6418" w:rsidR="00903E67" w:rsidRDefault="0046457E" w:rsidP="00F07A48">
            <w:pPr>
              <w:cnfStyle w:val="000000100000" w:firstRow="0" w:lastRow="0" w:firstColumn="0" w:lastColumn="0" w:oddVBand="0" w:evenVBand="0" w:oddHBand="1" w:evenHBand="0" w:firstRowFirstColumn="0" w:firstRowLastColumn="0" w:lastRowFirstColumn="0" w:lastRowLastColumn="0"/>
            </w:pPr>
            <w:r>
              <w:t>The feedback from controllers in safety observations</w:t>
            </w:r>
            <w:r w:rsidR="003E32DD">
              <w:t xml:space="preserve"> </w:t>
            </w:r>
            <w:r w:rsidR="00444ECD">
              <w:t>prompted decision makers to reflect upon the balance of risks and ask whether the TOI was generating more risk than existed prior to its introduction.</w:t>
            </w:r>
          </w:p>
        </w:tc>
      </w:tr>
      <w:tr w:rsidR="00903E67" w14:paraId="60923584"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718942BB" w14:textId="77777777" w:rsidR="00903E67" w:rsidRDefault="00903E67" w:rsidP="00F07A48"/>
        </w:tc>
        <w:tc>
          <w:tcPr>
            <w:tcW w:w="1559" w:type="dxa"/>
          </w:tcPr>
          <w:p w14:paraId="49506565" w14:textId="0FF24808" w:rsidR="00903E67" w:rsidRDefault="00903E67" w:rsidP="00F07A48">
            <w:pPr>
              <w:cnfStyle w:val="000000000000" w:firstRow="0" w:lastRow="0" w:firstColumn="0" w:lastColumn="0" w:oddVBand="0" w:evenVBand="0" w:oddHBand="0" w:evenHBand="0" w:firstRowFirstColumn="0" w:firstRowLastColumn="0" w:lastRowFirstColumn="0" w:lastRowLastColumn="0"/>
            </w:pPr>
            <w:r>
              <w:t>Expectancy</w:t>
            </w:r>
          </w:p>
        </w:tc>
        <w:tc>
          <w:tcPr>
            <w:tcW w:w="11198" w:type="dxa"/>
          </w:tcPr>
          <w:p w14:paraId="2C4EA810" w14:textId="19E37654" w:rsidR="00903E67" w:rsidRDefault="00F702AA" w:rsidP="00F07A48">
            <w:pPr>
              <w:cnfStyle w:val="000000000000" w:firstRow="0" w:lastRow="0" w:firstColumn="0" w:lastColumn="0" w:oddVBand="0" w:evenVBand="0" w:oddHBand="0" w:evenHBand="0" w:firstRowFirstColumn="0" w:firstRowLastColumn="0" w:lastRowFirstColumn="0" w:lastRowLastColumn="0"/>
            </w:pPr>
            <w:r>
              <w:t>Feedback had been requested from the operation in recognition that there was not universal support for the change but, within a relatively short period of time, a high number of reports had been made suggesting a much greater consequence than had been anticipated.</w:t>
            </w:r>
          </w:p>
        </w:tc>
      </w:tr>
      <w:tr w:rsidR="00903E67" w14:paraId="4ABC2E2B"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5B3DAF40" w14:textId="77777777" w:rsidR="00903E67" w:rsidRDefault="00903E67" w:rsidP="00F07A48"/>
        </w:tc>
        <w:tc>
          <w:tcPr>
            <w:tcW w:w="1559" w:type="dxa"/>
          </w:tcPr>
          <w:p w14:paraId="07BB1FB8" w14:textId="1E2F80D6" w:rsidR="00903E67" w:rsidRDefault="00903E67" w:rsidP="00F07A48">
            <w:pPr>
              <w:cnfStyle w:val="000000100000" w:firstRow="0" w:lastRow="0" w:firstColumn="0" w:lastColumn="0" w:oddVBand="0" w:evenVBand="0" w:oddHBand="1" w:evenHBand="0" w:firstRowFirstColumn="0" w:firstRowLastColumn="0" w:lastRowFirstColumn="0" w:lastRowLastColumn="0"/>
            </w:pPr>
            <w:r>
              <w:t>Decision Blocking</w:t>
            </w:r>
          </w:p>
        </w:tc>
        <w:tc>
          <w:tcPr>
            <w:tcW w:w="11198" w:type="dxa"/>
          </w:tcPr>
          <w:p w14:paraId="30BC8161" w14:textId="6E17351D" w:rsidR="00903E67" w:rsidRDefault="00EA5510" w:rsidP="00F07A48">
            <w:pPr>
              <w:cnfStyle w:val="000000100000" w:firstRow="0" w:lastRow="0" w:firstColumn="0" w:lastColumn="0" w:oddVBand="0" w:evenVBand="0" w:oddHBand="1" w:evenHBand="0" w:firstRowFirstColumn="0" w:firstRowLastColumn="0" w:lastRowFirstColumn="0" w:lastRowLastColumn="0"/>
            </w:pPr>
            <w:r>
              <w:t>Therefore, with the operation unhappy with the mandatory requirement, the low-pressure period continuing and the risk of level busts still believed to be high, there was a need to rapidly reappraise the approach.</w:t>
            </w:r>
          </w:p>
        </w:tc>
      </w:tr>
      <w:tr w:rsidR="00903E67" w14:paraId="3BBD98D2"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56D180E1" w14:textId="77777777" w:rsidR="00903E67" w:rsidRDefault="00903E67" w:rsidP="00F07A48"/>
        </w:tc>
        <w:tc>
          <w:tcPr>
            <w:tcW w:w="1559" w:type="dxa"/>
          </w:tcPr>
          <w:p w14:paraId="3D852A6D" w14:textId="17D15145" w:rsidR="00903E67" w:rsidRDefault="00903E67" w:rsidP="00F07A48">
            <w:pPr>
              <w:cnfStyle w:val="000000000000" w:firstRow="0" w:lastRow="0" w:firstColumn="0" w:lastColumn="0" w:oddVBand="0" w:evenVBand="0" w:oddHBand="0" w:evenHBand="0" w:firstRowFirstColumn="0" w:firstRowLastColumn="0" w:lastRowFirstColumn="0" w:lastRowLastColumn="0"/>
            </w:pPr>
            <w:r>
              <w:t>Options</w:t>
            </w:r>
          </w:p>
        </w:tc>
        <w:tc>
          <w:tcPr>
            <w:tcW w:w="11198" w:type="dxa"/>
          </w:tcPr>
          <w:p w14:paraId="38B96752" w14:textId="16E48E69" w:rsidR="00903E67" w:rsidRDefault="002E3248" w:rsidP="00F07A48">
            <w:pPr>
              <w:cnfStyle w:val="000000000000" w:firstRow="0" w:lastRow="0" w:firstColumn="0" w:lastColumn="0" w:oddVBand="0" w:evenVBand="0" w:oddHBand="0" w:evenHBand="0" w:firstRowFirstColumn="0" w:firstRowLastColumn="0" w:lastRowFirstColumn="0" w:lastRowLastColumn="0"/>
            </w:pPr>
            <w:r>
              <w:t>The option existed to continue with the trial whilst the risk assessment was reviewed but the decision was made to ‘tactically suspend’ the trial by instructing Operational Supervisors to not apply the procedure in the interim.</w:t>
            </w:r>
          </w:p>
        </w:tc>
      </w:tr>
      <w:tr w:rsidR="00903E67" w14:paraId="642D424D"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179F313A" w14:textId="77777777" w:rsidR="00903E67" w:rsidRDefault="00903E67" w:rsidP="00F07A48"/>
        </w:tc>
        <w:tc>
          <w:tcPr>
            <w:tcW w:w="1559" w:type="dxa"/>
          </w:tcPr>
          <w:p w14:paraId="3FF82465" w14:textId="1752AAFC" w:rsidR="00903E67" w:rsidRDefault="00903E67" w:rsidP="00F07A48">
            <w:pPr>
              <w:cnfStyle w:val="000000100000" w:firstRow="0" w:lastRow="0" w:firstColumn="0" w:lastColumn="0" w:oddVBand="0" w:evenVBand="0" w:oddHBand="1" w:evenHBand="0" w:firstRowFirstColumn="0" w:firstRowLastColumn="0" w:lastRowFirstColumn="0" w:lastRowLastColumn="0"/>
            </w:pPr>
            <w:r>
              <w:t>Information Integration</w:t>
            </w:r>
          </w:p>
        </w:tc>
        <w:tc>
          <w:tcPr>
            <w:tcW w:w="11198" w:type="dxa"/>
          </w:tcPr>
          <w:p w14:paraId="2D9910FB" w14:textId="1FB03A50" w:rsidR="00903E67" w:rsidRDefault="005713C0" w:rsidP="00F07A48">
            <w:pPr>
              <w:cnfStyle w:val="000000100000" w:firstRow="0" w:lastRow="0" w:firstColumn="0" w:lastColumn="0" w:oddVBand="0" w:evenVBand="0" w:oddHBand="1" w:evenHBand="0" w:firstRowFirstColumn="0" w:firstRowLastColumn="0" w:lastRowFirstColumn="0" w:lastRowLastColumn="0"/>
            </w:pPr>
            <w:r>
              <w:t>The feedback from the controllers highlighted that the frequency estimation for the consequence of the additional phraseology on workload and radio calls was not as had been predicted and represented a greater risk than had been assessed</w:t>
            </w:r>
            <w:r w:rsidR="0034132D">
              <w:t xml:space="preserve"> (e.g., as a result of pilots not </w:t>
            </w:r>
            <w:r w:rsidR="00623A67">
              <w:t xml:space="preserve">fully </w:t>
            </w:r>
            <w:r w:rsidR="0034132D">
              <w:t>appreciating the NOTAM describing the change</w:t>
            </w:r>
            <w:r w:rsidR="00623A67">
              <w:t xml:space="preserve"> the mitigation of the original risk was of reduced ef</w:t>
            </w:r>
            <w:r w:rsidR="001B2848">
              <w:t>fectiveness)</w:t>
            </w:r>
            <w:r>
              <w:t>.</w:t>
            </w:r>
          </w:p>
        </w:tc>
      </w:tr>
      <w:tr w:rsidR="00903E67" w14:paraId="0992E181"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3DB56DF6" w14:textId="77777777" w:rsidR="00903E67" w:rsidRDefault="00903E67" w:rsidP="00F07A48"/>
        </w:tc>
        <w:tc>
          <w:tcPr>
            <w:tcW w:w="1559" w:type="dxa"/>
          </w:tcPr>
          <w:p w14:paraId="16D4E06F" w14:textId="2AA13698" w:rsidR="00903E67" w:rsidRDefault="00903E67" w:rsidP="00F07A48">
            <w:pPr>
              <w:cnfStyle w:val="000000000000" w:firstRow="0" w:lastRow="0" w:firstColumn="0" w:lastColumn="0" w:oddVBand="0" w:evenVBand="0" w:oddHBand="0" w:evenHBand="0" w:firstRowFirstColumn="0" w:firstRowLastColumn="0" w:lastRowFirstColumn="0" w:lastRowLastColumn="0"/>
            </w:pPr>
            <w:r>
              <w:t xml:space="preserve">Situation </w:t>
            </w:r>
            <w:r w:rsidR="005713C0">
              <w:t>Assessment</w:t>
            </w:r>
          </w:p>
        </w:tc>
        <w:tc>
          <w:tcPr>
            <w:tcW w:w="11198" w:type="dxa"/>
          </w:tcPr>
          <w:p w14:paraId="7FB2CDEC" w14:textId="797B50F4" w:rsidR="00903E67" w:rsidRDefault="00EB66FD" w:rsidP="00F07A48">
            <w:pPr>
              <w:cnfStyle w:val="000000000000" w:firstRow="0" w:lastRow="0" w:firstColumn="0" w:lastColumn="0" w:oddVBand="0" w:evenVBand="0" w:oddHBand="0" w:evenHBand="0" w:firstRowFirstColumn="0" w:firstRowLastColumn="0" w:lastRowFirstColumn="0" w:lastRowLastColumn="0"/>
            </w:pPr>
            <w:r>
              <w:t>To support the revision of the risk assessment further data on the impact on radio calls and workload was sought and additional expertise was made available for the revised risk assessment process which took advantage of the in-service data.</w:t>
            </w:r>
          </w:p>
        </w:tc>
      </w:tr>
      <w:tr w:rsidR="00903E67" w14:paraId="502BABF5"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E6AEE3D" w14:textId="7FDB6A4C" w:rsidR="00903E67" w:rsidRDefault="00903E67" w:rsidP="00F07A48">
            <w:r>
              <w:t>Withdrawal</w:t>
            </w:r>
          </w:p>
        </w:tc>
        <w:tc>
          <w:tcPr>
            <w:tcW w:w="1559" w:type="dxa"/>
          </w:tcPr>
          <w:p w14:paraId="71315337" w14:textId="36BD06E3" w:rsidR="00903E67" w:rsidRDefault="00903E67" w:rsidP="00F07A48">
            <w:pPr>
              <w:cnfStyle w:val="000000100000" w:firstRow="0" w:lastRow="0" w:firstColumn="0" w:lastColumn="0" w:oddVBand="0" w:evenVBand="0" w:oddHBand="1" w:evenHBand="0" w:firstRowFirstColumn="0" w:firstRowLastColumn="0" w:lastRowFirstColumn="0" w:lastRowLastColumn="0"/>
            </w:pPr>
            <w:r>
              <w:t>Goal Specification</w:t>
            </w:r>
          </w:p>
        </w:tc>
        <w:tc>
          <w:tcPr>
            <w:tcW w:w="11198" w:type="dxa"/>
          </w:tcPr>
          <w:p w14:paraId="0C52664F" w14:textId="52AAADAE" w:rsidR="00903E67" w:rsidRDefault="00BC11C7" w:rsidP="00F07A48">
            <w:pPr>
              <w:cnfStyle w:val="000000100000" w:firstRow="0" w:lastRow="0" w:firstColumn="0" w:lastColumn="0" w:oddVBand="0" w:evenVBand="0" w:oddHBand="1" w:evenHBand="0" w:firstRowFirstColumn="0" w:firstRowLastColumn="0" w:lastRowFirstColumn="0" w:lastRowLastColumn="0"/>
            </w:pPr>
            <w:r>
              <w:t>The revised risk assessment improved upon the description of the underlying hazards, the frequency of the consequences and the necessary mitigations to reduce the impact of the TOI on controller workload. This represented the fourth decision in the timeline that addressed whether the tactical suspension should be removed and the TOI reinstated or whether the TOI should be withdrawn.</w:t>
            </w:r>
          </w:p>
        </w:tc>
      </w:tr>
      <w:tr w:rsidR="00903E67" w14:paraId="77BC524A"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28513FCD" w14:textId="77777777" w:rsidR="00903E67" w:rsidRDefault="00903E67" w:rsidP="00F07A48"/>
        </w:tc>
        <w:tc>
          <w:tcPr>
            <w:tcW w:w="1559" w:type="dxa"/>
          </w:tcPr>
          <w:p w14:paraId="14CC9C69" w14:textId="717C766E" w:rsidR="00903E67" w:rsidRDefault="00903E67" w:rsidP="00F07A48">
            <w:pPr>
              <w:cnfStyle w:val="000000000000" w:firstRow="0" w:lastRow="0" w:firstColumn="0" w:lastColumn="0" w:oddVBand="0" w:evenVBand="0" w:oddHBand="0" w:evenHBand="0" w:firstRowFirstColumn="0" w:firstRowLastColumn="0" w:lastRowFirstColumn="0" w:lastRowLastColumn="0"/>
            </w:pPr>
            <w:r>
              <w:t>Cue Identification</w:t>
            </w:r>
          </w:p>
        </w:tc>
        <w:tc>
          <w:tcPr>
            <w:tcW w:w="11198" w:type="dxa"/>
          </w:tcPr>
          <w:p w14:paraId="08992F68" w14:textId="7586677C" w:rsidR="00903E67" w:rsidRDefault="00C9635D" w:rsidP="00F07A48">
            <w:pPr>
              <w:cnfStyle w:val="000000000000" w:firstRow="0" w:lastRow="0" w:firstColumn="0" w:lastColumn="0" w:oddVBand="0" w:evenVBand="0" w:oddHBand="0" w:evenHBand="0" w:firstRowFirstColumn="0" w:firstRowLastColumn="0" w:lastRowFirstColumn="0" w:lastRowLastColumn="0"/>
            </w:pPr>
            <w:r>
              <w:t>This decision represents the need to address the operational feedback and the results of the preliminary investigation into an incorrect readback and possible aircraft re-route (‘standard pressure setting’ was misheard and readback by a pilot as ‘route direct DET’, a point in the London Area) whilst balancing this against the judgement on the risks from level busts</w:t>
            </w:r>
            <w:r w:rsidR="00260625">
              <w:t>.</w:t>
            </w:r>
          </w:p>
        </w:tc>
      </w:tr>
      <w:tr w:rsidR="00882575" w14:paraId="34E2849B" w14:textId="77777777" w:rsidTr="00FF0D5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vMerge/>
          </w:tcPr>
          <w:p w14:paraId="678563C0" w14:textId="77777777" w:rsidR="00882575" w:rsidRDefault="00882575" w:rsidP="00F07A48"/>
        </w:tc>
        <w:tc>
          <w:tcPr>
            <w:tcW w:w="0" w:type="dxa"/>
          </w:tcPr>
          <w:p w14:paraId="491D9757" w14:textId="16A0AD7C" w:rsidR="00882575" w:rsidRDefault="00882575" w:rsidP="00F07A48">
            <w:pPr>
              <w:cnfStyle w:val="000000100000" w:firstRow="0" w:lastRow="0" w:firstColumn="0" w:lastColumn="0" w:oddVBand="0" w:evenVBand="0" w:oddHBand="1" w:evenHBand="0" w:firstRowFirstColumn="0" w:firstRowLastColumn="0" w:lastRowFirstColumn="0" w:lastRowLastColumn="0"/>
            </w:pPr>
            <w:r>
              <w:t>Expectancy</w:t>
            </w:r>
          </w:p>
        </w:tc>
        <w:tc>
          <w:tcPr>
            <w:tcW w:w="0" w:type="dxa"/>
          </w:tcPr>
          <w:p w14:paraId="0F43BE27" w14:textId="7A761320" w:rsidR="00882575" w:rsidRDefault="00882575" w:rsidP="00F07A48">
            <w:pPr>
              <w:cnfStyle w:val="000000100000" w:firstRow="0" w:lastRow="0" w:firstColumn="0" w:lastColumn="0" w:oddVBand="0" w:evenVBand="0" w:oddHBand="1" w:evenHBand="0" w:firstRowFirstColumn="0" w:firstRowLastColumn="0" w:lastRowFirstColumn="0" w:lastRowLastColumn="0"/>
            </w:pPr>
            <w:r>
              <w:t xml:space="preserve">The decision on the curtailment of a trial is not an usual occurrence </w:t>
            </w:r>
            <w:r w:rsidR="001D68D3">
              <w:t>and</w:t>
            </w:r>
            <w:r>
              <w:t xml:space="preserve"> the reappraisal of safety actions forms part of normal risk management activities.</w:t>
            </w:r>
          </w:p>
        </w:tc>
      </w:tr>
      <w:tr w:rsidR="00903E67" w14:paraId="2250293B"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341E01FC" w14:textId="77777777" w:rsidR="00903E67" w:rsidRDefault="00903E67" w:rsidP="00F07A48"/>
        </w:tc>
        <w:tc>
          <w:tcPr>
            <w:tcW w:w="1559" w:type="dxa"/>
          </w:tcPr>
          <w:p w14:paraId="51325879" w14:textId="52CA221B" w:rsidR="00903E67" w:rsidRDefault="00903E67" w:rsidP="00F07A48">
            <w:pPr>
              <w:cnfStyle w:val="000000000000" w:firstRow="0" w:lastRow="0" w:firstColumn="0" w:lastColumn="0" w:oddVBand="0" w:evenVBand="0" w:oddHBand="0" w:evenHBand="0" w:firstRowFirstColumn="0" w:firstRowLastColumn="0" w:lastRowFirstColumn="0" w:lastRowLastColumn="0"/>
            </w:pPr>
            <w:r>
              <w:t>Situation Assessment</w:t>
            </w:r>
          </w:p>
        </w:tc>
        <w:tc>
          <w:tcPr>
            <w:tcW w:w="11198" w:type="dxa"/>
          </w:tcPr>
          <w:p w14:paraId="1378F4B3" w14:textId="6B6892AB" w:rsidR="00903E67" w:rsidRDefault="0005646E" w:rsidP="00F07A48">
            <w:pPr>
              <w:cnfStyle w:val="000000000000" w:firstRow="0" w:lastRow="0" w:firstColumn="0" w:lastColumn="0" w:oddVBand="0" w:evenVBand="0" w:oddHBand="0" w:evenHBand="0" w:firstRowFirstColumn="0" w:firstRowLastColumn="0" w:lastRowFirstColumn="0" w:lastRowLastColumn="0"/>
            </w:pPr>
            <w:r>
              <w:t xml:space="preserve">The conclusion of the risk assessment highlighted that the assumptions in the TOI on aircrew actions </w:t>
            </w:r>
            <w:r w:rsidR="00BA3781">
              <w:t xml:space="preserve">(SOPs) </w:t>
            </w:r>
            <w:r>
              <w:t>were too general</w:t>
            </w:r>
            <w:r w:rsidR="00124A59">
              <w:t xml:space="preserve"> and whilst pilots could be consulted on the change, the normal sources of pilot information (large, UK and Ireland-based airlines) were not the fundamental problem (business aviation and long-haul non-European carriers).</w:t>
            </w:r>
          </w:p>
        </w:tc>
      </w:tr>
      <w:tr w:rsidR="0009690A" w14:paraId="259C6B6B" w14:textId="77777777" w:rsidTr="0090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106CEA04" w14:textId="77777777" w:rsidR="0009690A" w:rsidRDefault="0009690A" w:rsidP="00F07A48"/>
        </w:tc>
        <w:tc>
          <w:tcPr>
            <w:tcW w:w="1559" w:type="dxa"/>
          </w:tcPr>
          <w:p w14:paraId="3D5A58BF" w14:textId="3D897FE7" w:rsidR="0009690A" w:rsidRDefault="0009690A" w:rsidP="00F07A48">
            <w:pPr>
              <w:cnfStyle w:val="000000100000" w:firstRow="0" w:lastRow="0" w:firstColumn="0" w:lastColumn="0" w:oddVBand="0" w:evenVBand="0" w:oddHBand="1" w:evenHBand="0" w:firstRowFirstColumn="0" w:firstRowLastColumn="0" w:lastRowFirstColumn="0" w:lastRowLastColumn="0"/>
            </w:pPr>
            <w:r>
              <w:t>Options</w:t>
            </w:r>
          </w:p>
        </w:tc>
        <w:tc>
          <w:tcPr>
            <w:tcW w:w="11198" w:type="dxa"/>
          </w:tcPr>
          <w:p w14:paraId="4E0B6131" w14:textId="3FB07DAA" w:rsidR="0009690A" w:rsidRDefault="0009690A" w:rsidP="00F07A48">
            <w:pPr>
              <w:cnfStyle w:val="000000100000" w:firstRow="0" w:lastRow="0" w:firstColumn="0" w:lastColumn="0" w:oddVBand="0" w:evenVBand="0" w:oddHBand="1" w:evenHBand="0" w:firstRowFirstColumn="0" w:firstRowLastColumn="0" w:lastRowFirstColumn="0" w:lastRowLastColumn="0"/>
            </w:pPr>
            <w:r>
              <w:t>There was also an emerging recognition of the role of the controller in providing an adaptive capability in the safety of the operation. The feedback from the operational community was that the TOI constrained controllers by adding more phraseology at exactly the time when both controllers and pilots did not want to have more or longer radio calls. Controllers instead wanted the flexibility to protect themselves (known as defensive controlling techniques) that could be deployed at the appropriate time. Therefore, the options for addressing the risk moved back to finding a way of disseminating, in a non-prescriptive way, the informal strategies for managing the risk across the operation and, in particular, support controllers who were less experienced</w:t>
            </w:r>
            <w:r w:rsidR="00704357">
              <w:t>.</w:t>
            </w:r>
          </w:p>
        </w:tc>
      </w:tr>
      <w:tr w:rsidR="00903E67" w14:paraId="2173C853" w14:textId="77777777" w:rsidTr="00FF0D56">
        <w:tc>
          <w:tcPr>
            <w:cnfStyle w:val="001000000000" w:firstRow="0" w:lastRow="0" w:firstColumn="1" w:lastColumn="0" w:oddVBand="0" w:evenVBand="0" w:oddHBand="0" w:evenHBand="0" w:firstRowFirstColumn="0" w:firstRowLastColumn="0" w:lastRowFirstColumn="0" w:lastRowLastColumn="0"/>
            <w:tcW w:w="0" w:type="dxa"/>
            <w:vMerge/>
          </w:tcPr>
          <w:p w14:paraId="56AD992B" w14:textId="77777777" w:rsidR="00903E67" w:rsidRDefault="00903E67" w:rsidP="00F07A48"/>
        </w:tc>
        <w:tc>
          <w:tcPr>
            <w:tcW w:w="1559" w:type="dxa"/>
          </w:tcPr>
          <w:p w14:paraId="31A3D114" w14:textId="79A6871E" w:rsidR="00903E67" w:rsidRDefault="00903E67" w:rsidP="00F07A48">
            <w:pPr>
              <w:cnfStyle w:val="000000000000" w:firstRow="0" w:lastRow="0" w:firstColumn="0" w:lastColumn="0" w:oddVBand="0" w:evenVBand="0" w:oddHBand="0" w:evenHBand="0" w:firstRowFirstColumn="0" w:firstRowLastColumn="0" w:lastRowFirstColumn="0" w:lastRowLastColumn="0"/>
            </w:pPr>
            <w:r>
              <w:t>Decisions Blocking</w:t>
            </w:r>
          </w:p>
        </w:tc>
        <w:tc>
          <w:tcPr>
            <w:tcW w:w="11198" w:type="dxa"/>
          </w:tcPr>
          <w:p w14:paraId="7498B565" w14:textId="4F9B7D8F" w:rsidR="00903E67" w:rsidRDefault="009C52F8" w:rsidP="00F07A48">
            <w:pPr>
              <w:cnfStyle w:val="000000000000" w:firstRow="0" w:lastRow="0" w:firstColumn="0" w:lastColumn="0" w:oddVBand="0" w:evenVBand="0" w:oddHBand="0" w:evenHBand="0" w:firstRowFirstColumn="0" w:firstRowLastColumn="0" w:lastRowFirstColumn="0" w:lastRowLastColumn="0"/>
            </w:pPr>
            <w:r>
              <w:t>The decision to withdraw the TOI and issue a safety notice that outlined some of these techniques was the culmination of the TOI timeline. The management of the level bust risk reverted to the original action plan. This decision to walk-back the TOI risked the management team ‘losing face’ with the operational front-line. However, in safety related decision-making it is inappropriate to proceed on the basis of ego. Part of the goal of the TOI, to raise awareness of the seriousness with which management considered the level bust risk, had been achieved and the safety notice reinforced the</w:t>
            </w:r>
            <w:r w:rsidR="00873066">
              <w:t>ir</w:t>
            </w:r>
            <w:r>
              <w:t xml:space="preserve"> regard for the professionalism of controllers</w:t>
            </w:r>
            <w:r w:rsidR="005A06B7">
              <w:t>.</w:t>
            </w:r>
          </w:p>
        </w:tc>
      </w:tr>
      <w:tr w:rsidR="00903E67" w14:paraId="0C785ADB" w14:textId="77777777" w:rsidTr="00FF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BD59997" w14:textId="77777777" w:rsidR="00903E67" w:rsidRDefault="00903E67" w:rsidP="00F07A48"/>
        </w:tc>
        <w:tc>
          <w:tcPr>
            <w:tcW w:w="1559" w:type="dxa"/>
          </w:tcPr>
          <w:p w14:paraId="1D164541" w14:textId="5F24B337" w:rsidR="00903E67" w:rsidRDefault="00903E67" w:rsidP="00F07A48">
            <w:pPr>
              <w:cnfStyle w:val="000000100000" w:firstRow="0" w:lastRow="0" w:firstColumn="0" w:lastColumn="0" w:oddVBand="0" w:evenVBand="0" w:oddHBand="1" w:evenHBand="0" w:firstRowFirstColumn="0" w:firstRowLastColumn="0" w:lastRowFirstColumn="0" w:lastRowLastColumn="0"/>
            </w:pPr>
            <w:r>
              <w:t>Basis of Choice</w:t>
            </w:r>
          </w:p>
        </w:tc>
        <w:tc>
          <w:tcPr>
            <w:tcW w:w="11198" w:type="dxa"/>
          </w:tcPr>
          <w:p w14:paraId="7A6B9677" w14:textId="50C84C28" w:rsidR="00903E67" w:rsidRDefault="00921A36" w:rsidP="00F07A48">
            <w:pPr>
              <w:cnfStyle w:val="000000100000" w:firstRow="0" w:lastRow="0" w:firstColumn="0" w:lastColumn="0" w:oddVBand="0" w:evenVBand="0" w:oddHBand="1" w:evenHBand="0" w:firstRowFirstColumn="0" w:firstRowLastColumn="0" w:lastRowFirstColumn="0" w:lastRowLastColumn="0"/>
            </w:pPr>
            <w:r>
              <w:t xml:space="preserve">Whilst the safety assessment of change process is generally considered to have a good pedigree in </w:t>
            </w:r>
            <w:r w:rsidR="00677D12">
              <w:t>identifying risks, preventative measures and possible mitigations,</w:t>
            </w:r>
            <w:r>
              <w:t xml:space="preserve"> it did not adequately capture the likely frequency </w:t>
            </w:r>
            <w:r w:rsidR="00B5462F">
              <w:t xml:space="preserve">of the </w:t>
            </w:r>
            <w:r>
              <w:t>consequences of the TOI for when it was to be active (on low pressure days). The issue of controller flexibility and adaptive capability was also only considered as part of the wider discussion of the balance of risks</w:t>
            </w:r>
            <w:r w:rsidR="00B5462F">
              <w:t>.</w:t>
            </w:r>
          </w:p>
        </w:tc>
      </w:tr>
    </w:tbl>
    <w:p w14:paraId="6ECBF948" w14:textId="77777777" w:rsidR="00DD196A" w:rsidRDefault="00DD196A" w:rsidP="004722B1">
      <w:pPr>
        <w:sectPr w:rsidR="00DD196A" w:rsidSect="00FF0D56">
          <w:pgSz w:w="16838" w:h="11906" w:orient="landscape"/>
          <w:pgMar w:top="1440" w:right="1440" w:bottom="1440" w:left="1440" w:header="708" w:footer="708" w:gutter="0"/>
          <w:cols w:space="708"/>
          <w:docGrid w:linePitch="360"/>
        </w:sectPr>
      </w:pPr>
    </w:p>
    <w:p w14:paraId="71B3ABAA" w14:textId="7DF1304E" w:rsidR="008F1835" w:rsidRDefault="008F1835" w:rsidP="008F1835">
      <w:pPr>
        <w:pStyle w:val="Heading3"/>
      </w:pPr>
      <w:r>
        <w:lastRenderedPageBreak/>
        <w:t>Exploring Adaptation (CDM)</w:t>
      </w:r>
    </w:p>
    <w:p w14:paraId="431F8C54" w14:textId="5FBDF6AD" w:rsidR="008F1835" w:rsidRDefault="008F1835" w:rsidP="00EA3F05">
      <w:r>
        <w:t xml:space="preserve">The CDM method was applied to capture and understand the decision-making process surrounding the introduction of a change that had the effect of reducing the flexibility of controllers in managing the safety of the air traffic operation. The focus of CDM on operator mental models, the use of expertise and the application of judgement in the face of competing demands shows a strong affinity with the model factors of ‘Using Experience, ‘Acquiring Knowledge’, ‘Trade-off for </w:t>
      </w:r>
      <w:r w:rsidR="00E177A9">
        <w:t>P</w:t>
      </w:r>
      <w:r>
        <w:t xml:space="preserve">erformance’ </w:t>
      </w:r>
      <w:r w:rsidR="00F44CC0">
        <w:t xml:space="preserve">‘Skills Needed’ </w:t>
      </w:r>
      <w:r>
        <w:t xml:space="preserve">and ‘Strategies &amp; Informal </w:t>
      </w:r>
      <w:r w:rsidR="00E177A9">
        <w:t>P</w:t>
      </w:r>
      <w:r>
        <w:t>ractice’. Whilst the interviews naturally focus on the decisions of individuals, and therefore focus on the use of experience and the appreciation of skill, it is also worth noting that the discussions, perhaps inevitably in a regulated and process-based safety management organisation, also included the overarching framework at the organisational-level within which those decisions were taken</w:t>
      </w:r>
      <w:r w:rsidR="00764ADF">
        <w:t xml:space="preserve"> (Procedures &amp; Rules)</w:t>
      </w:r>
      <w:r>
        <w:t xml:space="preserve">. This identified that whilst controller flexibility was only tangentially considered </w:t>
      </w:r>
      <w:r w:rsidR="00C413C2">
        <w:t xml:space="preserve">(Unpredictability of Consequences) </w:t>
      </w:r>
      <w:r>
        <w:t>in the decision-making process, at an organisational level the management of safety requires organisational adaptability to respond rapidly and with innovative interventions to a rapidly emerging risk picture</w:t>
      </w:r>
      <w:r w:rsidR="00F37C6F">
        <w:t xml:space="preserve"> (Improvisation &amp; Creativity</w:t>
      </w:r>
      <w:r w:rsidR="00F44CC0">
        <w:t>, Skills Needed</w:t>
      </w:r>
      <w:r w:rsidR="00F37C6F">
        <w:t>)</w:t>
      </w:r>
      <w:r>
        <w:t>. Thus, CDM can check for an appreciation of adaptation and some of the factors in the decision-making, but once it was found that it had only featured as part of the ‘balance of risks’ judgement on the introduction of the TOI, the specifics of the adaptation factors could not be explored further.</w:t>
      </w:r>
    </w:p>
    <w:p w14:paraId="167BCCA3" w14:textId="08FB1E51" w:rsidR="00D01EEA" w:rsidRDefault="006972E6" w:rsidP="00736765">
      <w:pPr>
        <w:pStyle w:val="Heading2"/>
      </w:pPr>
      <w:r>
        <w:t xml:space="preserve">Event Analysis of Systemic Teamwork </w:t>
      </w:r>
      <w:r w:rsidR="00D01EEA">
        <w:t>(EAST)</w:t>
      </w:r>
    </w:p>
    <w:p w14:paraId="24C6BD5A" w14:textId="548F4F49" w:rsidR="008F1835" w:rsidRPr="008F1835" w:rsidRDefault="008F1835" w:rsidP="00EA3F05">
      <w:pPr>
        <w:pStyle w:val="Heading3"/>
      </w:pPr>
      <w:r>
        <w:t>Application</w:t>
      </w:r>
    </w:p>
    <w:p w14:paraId="2CD9666F" w14:textId="77777777" w:rsidR="00D1228B" w:rsidRDefault="00D9794E" w:rsidP="007A11AB">
      <w:r>
        <w:t xml:space="preserve">The </w:t>
      </w:r>
      <w:r w:rsidR="008C03A9">
        <w:t>analysis of the TOI using the EAST method</w:t>
      </w:r>
      <w:r w:rsidR="00F54A1C">
        <w:t xml:space="preserve"> benefits from the perspectives already identified </w:t>
      </w:r>
      <w:r w:rsidR="00296796">
        <w:t>by</w:t>
      </w:r>
      <w:r w:rsidR="00F54A1C">
        <w:t xml:space="preserve"> the methods</w:t>
      </w:r>
      <w:r w:rsidR="00296796">
        <w:t xml:space="preserve"> previously described</w:t>
      </w:r>
      <w:r w:rsidR="00F54A1C">
        <w:t xml:space="preserve">. </w:t>
      </w:r>
      <w:r w:rsidR="00047553">
        <w:t>In common with the other methods</w:t>
      </w:r>
      <w:r w:rsidR="0009141D">
        <w:t>,</w:t>
      </w:r>
      <w:r w:rsidR="00D4093F">
        <w:t xml:space="preserve"> </w:t>
      </w:r>
      <w:r w:rsidR="0009141D">
        <w:t xml:space="preserve">although specifically described as a first step, </w:t>
      </w:r>
      <w:r w:rsidR="00D4093F">
        <w:t>EAST starts with an HTA to frame the activities and scenarios under analysis</w:t>
      </w:r>
      <w:r w:rsidR="0009141D">
        <w:t xml:space="preserve">. This is then extended </w:t>
      </w:r>
      <w:r w:rsidR="008A72EC">
        <w:t xml:space="preserve">to generate Task Networks, </w:t>
      </w:r>
      <w:r w:rsidR="00FB7797">
        <w:t>OSD</w:t>
      </w:r>
      <w:r w:rsidR="00224862">
        <w:t xml:space="preserve">, </w:t>
      </w:r>
      <w:r w:rsidR="00FB7797">
        <w:t>CUD</w:t>
      </w:r>
      <w:r w:rsidR="00224862">
        <w:t xml:space="preserve"> and </w:t>
      </w:r>
      <w:r w:rsidR="00FB7797">
        <w:t>CDA</w:t>
      </w:r>
      <w:r w:rsidR="00224862">
        <w:t>.</w:t>
      </w:r>
      <w:r w:rsidR="007D7007">
        <w:t xml:space="preserve"> </w:t>
      </w:r>
      <w:r w:rsidR="00EB6162">
        <w:t xml:space="preserve">A key benefit of EAST is the extension of the HTA from a number of perspectives and, with particular </w:t>
      </w:r>
      <w:r w:rsidR="006F7AD9">
        <w:t>relevance</w:t>
      </w:r>
      <w:r w:rsidR="00EB6162">
        <w:t xml:space="preserve"> to the TOI example, the interfaces between the actors in the system</w:t>
      </w:r>
      <w:r w:rsidR="007C6A0D">
        <w:t xml:space="preserve"> as a social network (see </w:t>
      </w:r>
      <w:r w:rsidR="005F29FA">
        <w:fldChar w:fldCharType="begin"/>
      </w:r>
      <w:r w:rsidR="005F29FA">
        <w:instrText xml:space="preserve"> REF _Ref56970370 \h </w:instrText>
      </w:r>
      <w:r w:rsidR="005F29FA">
        <w:fldChar w:fldCharType="separate"/>
      </w:r>
      <w:r w:rsidR="00D513FC">
        <w:t xml:space="preserve">Figure </w:t>
      </w:r>
      <w:r w:rsidR="00D513FC">
        <w:rPr>
          <w:noProof/>
        </w:rPr>
        <w:t>9</w:t>
      </w:r>
      <w:r w:rsidR="005F29FA">
        <w:fldChar w:fldCharType="end"/>
      </w:r>
      <w:r w:rsidR="005F29FA">
        <w:t>)</w:t>
      </w:r>
      <w:r w:rsidR="00EB6162">
        <w:t>.</w:t>
      </w:r>
    </w:p>
    <w:p w14:paraId="21A6F32E" w14:textId="495FCEA2" w:rsidR="00D1228B" w:rsidRDefault="00380C7A" w:rsidP="007A11AB">
      <w:r>
        <w:t>A Task Network can be constructed for the ATC tasks that are of relevance to the TOI example specifically around issuing a clearance to an aircraft</w:t>
      </w:r>
      <w:r w:rsidR="00C30146">
        <w:t xml:space="preserve"> and</w:t>
      </w:r>
      <w:r>
        <w:t xml:space="preserve"> monitoring that climb</w:t>
      </w:r>
      <w:r w:rsidR="005F29FA">
        <w:t xml:space="preserve"> (see </w:t>
      </w:r>
      <w:r w:rsidR="005F29FA">
        <w:fldChar w:fldCharType="begin"/>
      </w:r>
      <w:r w:rsidR="005F29FA">
        <w:instrText xml:space="preserve"> REF _Ref56970386 \h </w:instrText>
      </w:r>
      <w:r w:rsidR="005F29FA">
        <w:fldChar w:fldCharType="separate"/>
      </w:r>
      <w:r w:rsidR="00D513FC">
        <w:t xml:space="preserve">Figure </w:t>
      </w:r>
      <w:r w:rsidR="00D513FC">
        <w:rPr>
          <w:noProof/>
        </w:rPr>
        <w:t>10</w:t>
      </w:r>
      <w:r w:rsidR="005F29FA">
        <w:fldChar w:fldCharType="end"/>
      </w:r>
      <w:r w:rsidR="005F29FA">
        <w:t>)</w:t>
      </w:r>
      <w:r w:rsidR="00C30146">
        <w:t xml:space="preserve">. The TOI can be seen to be strengthening one element </w:t>
      </w:r>
      <w:r w:rsidR="00A0083A">
        <w:t xml:space="preserve">(highlighted) </w:t>
      </w:r>
      <w:r w:rsidR="00C30146">
        <w:t xml:space="preserve">in the Task Network structure by reinforcing the </w:t>
      </w:r>
      <w:r w:rsidR="0090446B">
        <w:t xml:space="preserve">information provided to the aircraft, specifically the requirement to change pressure setting. </w:t>
      </w:r>
      <w:r w:rsidR="00CC384C">
        <w:t xml:space="preserve">The </w:t>
      </w:r>
      <w:r w:rsidR="00AB0852">
        <w:t xml:space="preserve">possibility for increased pilot queries or misunderstandings of the instruction can be represented in the </w:t>
      </w:r>
      <w:r w:rsidR="003F0DFD">
        <w:t xml:space="preserve">Task Networks by linking the continuous and reactive tasks identified in the HTA to the normal procedural activities </w:t>
      </w:r>
      <w:r w:rsidR="00CF5FF2">
        <w:t xml:space="preserve">that support the controller in progressing the flight through the airspace. </w:t>
      </w:r>
      <w:r w:rsidR="00D44792">
        <w:t xml:space="preserve">This highlights the potential increase in </w:t>
      </w:r>
      <w:r w:rsidR="00F97E1D">
        <w:t xml:space="preserve">workload that is represented in the diagram. </w:t>
      </w:r>
      <w:r w:rsidR="00CF5FF2">
        <w:t>However, a degree of requisite imagination is required at this stage to identify the nature of the increase in these tasks as a result</w:t>
      </w:r>
      <w:r w:rsidR="0084339F">
        <w:t xml:space="preserve"> </w:t>
      </w:r>
      <w:r w:rsidR="002839DC">
        <w:t>of the TOI.</w:t>
      </w:r>
    </w:p>
    <w:p w14:paraId="64EF7502" w14:textId="7B86F2B7" w:rsidR="00F71FB8" w:rsidRDefault="002839DC" w:rsidP="007A11AB">
      <w:r>
        <w:t xml:space="preserve">The </w:t>
      </w:r>
      <w:r w:rsidR="003D52C7">
        <w:t>CUD</w:t>
      </w:r>
      <w:r w:rsidR="001375B9">
        <w:t xml:space="preserve"> however does start to add more detail</w:t>
      </w:r>
      <w:r w:rsidR="00C71A36">
        <w:t xml:space="preserve"> to the assessment of the impact of the TOI. In this case a standard representation of an ATC instruction to a pilot </w:t>
      </w:r>
      <w:r w:rsidR="001F0929">
        <w:t xml:space="preserve">via </w:t>
      </w:r>
      <w:r w:rsidR="00B55CAE">
        <w:t>radio</w:t>
      </w:r>
      <w:r w:rsidR="001F0929">
        <w:t xml:space="preserve"> (the only possible means of communication) </w:t>
      </w:r>
      <w:r w:rsidR="00C71A36">
        <w:t xml:space="preserve">can be represented and the change in the </w:t>
      </w:r>
      <w:r w:rsidR="00992338">
        <w:t>nature of the communications assessed</w:t>
      </w:r>
      <w:r w:rsidR="0003570A">
        <w:t xml:space="preserve"> if the CUD is adapted to </w:t>
      </w:r>
      <w:r w:rsidR="00E57632">
        <w:t>the effects on the comms medium used (in addition to the effect of the medium used)</w:t>
      </w:r>
      <w:r w:rsidR="00992338">
        <w:t>. Here the potential for distortion on the radio broadcast is captured by specifically considering the means of communication</w:t>
      </w:r>
      <w:r w:rsidR="0093032C">
        <w:t xml:space="preserve"> and this could prompt the analyst to consider the </w:t>
      </w:r>
      <w:r w:rsidR="00CC230C">
        <w:t>possibility of a pilot</w:t>
      </w:r>
      <w:r w:rsidR="0093032C">
        <w:t xml:space="preserve"> mishearing the additional phraseology. Furthermore, the CUD </w:t>
      </w:r>
      <w:r w:rsidR="00B73F8B">
        <w:t xml:space="preserve">identifies strengths </w:t>
      </w:r>
      <w:r w:rsidR="00CC230C">
        <w:t>in</w:t>
      </w:r>
      <w:r w:rsidR="00B73F8B">
        <w:t xml:space="preserve"> the radio broadcasts </w:t>
      </w:r>
      <w:r w:rsidR="00CC230C">
        <w:t>from</w:t>
      </w:r>
      <w:r w:rsidR="00B73F8B">
        <w:t xml:space="preserve"> the </w:t>
      </w:r>
      <w:r w:rsidR="00CC230C">
        <w:t xml:space="preserve">use of </w:t>
      </w:r>
      <w:r w:rsidR="00B73F8B">
        <w:t>standardised phraseology which is then weakened by the introduction of the non-stan</w:t>
      </w:r>
      <w:r w:rsidR="004D7641">
        <w:t>dard TOI phrases.</w:t>
      </w:r>
      <w:r w:rsidR="00B30CC3">
        <w:t xml:space="preserve"> Additionally</w:t>
      </w:r>
      <w:r w:rsidR="00991149">
        <w:t>,</w:t>
      </w:r>
      <w:r w:rsidR="00B30CC3">
        <w:t xml:space="preserve"> the change in the length of the broadcast, by the addition of the extra six syllables and the </w:t>
      </w:r>
      <w:r w:rsidR="00AA1783">
        <w:t xml:space="preserve">requirement for the pilot to read this </w:t>
      </w:r>
      <w:r w:rsidR="00AA1783">
        <w:lastRenderedPageBreak/>
        <w:t xml:space="preserve">back </w:t>
      </w:r>
      <w:r w:rsidR="007A4EA8">
        <w:t>(</w:t>
      </w:r>
      <w:r w:rsidR="00AA1783">
        <w:t>since it is a pressure change instruction</w:t>
      </w:r>
      <w:r w:rsidR="007A4EA8">
        <w:t>)</w:t>
      </w:r>
      <w:r w:rsidR="00AA1783">
        <w:t xml:space="preserve"> is also captured</w:t>
      </w:r>
      <w:r w:rsidR="00746EE4">
        <w:t xml:space="preserve"> as a potential increase in controller and pilot workload</w:t>
      </w:r>
      <w:r w:rsidR="00AA1783">
        <w:t>.</w:t>
      </w:r>
    </w:p>
    <w:p w14:paraId="78D9C392" w14:textId="38618E84" w:rsidR="00F54502" w:rsidRDefault="001433B0" w:rsidP="007A11AB">
      <w:r>
        <w:t xml:space="preserve">These aspects are explored in more detail by building the </w:t>
      </w:r>
      <w:r w:rsidR="00E970CA">
        <w:t>CDA</w:t>
      </w:r>
      <w:r w:rsidR="00314927">
        <w:t xml:space="preserve"> </w:t>
      </w:r>
      <w:r w:rsidR="00B673CB">
        <w:t>to</w:t>
      </w:r>
      <w:r w:rsidR="00CF5734">
        <w:t xml:space="preserve"> examine the interface between the pilot and controller </w:t>
      </w:r>
      <w:r w:rsidR="001A484E">
        <w:t xml:space="preserve">which is at the heart of the issues with the TOI. </w:t>
      </w:r>
      <w:r w:rsidR="00331979">
        <w:t xml:space="preserve">One of the unwritten hallmarks of air traffic control is the degree of </w:t>
      </w:r>
      <w:r w:rsidR="00E51D7F">
        <w:t xml:space="preserve">implied teamwork between the pilot and controller </w:t>
      </w:r>
      <w:r w:rsidR="00834134">
        <w:t>and</w:t>
      </w:r>
      <w:r w:rsidR="00E51D7F">
        <w:t xml:space="preserve"> the </w:t>
      </w:r>
      <w:r w:rsidR="001E656F">
        <w:t xml:space="preserve">level of </w:t>
      </w:r>
      <w:r w:rsidR="00834134">
        <w:t xml:space="preserve">non-standard </w:t>
      </w:r>
      <w:r w:rsidR="001E656F">
        <w:t xml:space="preserve">discourse and mutual support that the controller provides to pilots. </w:t>
      </w:r>
      <w:r w:rsidR="001A484E">
        <w:t xml:space="preserve">Here the three lowest-level tasks in the HTA that are specifically impacted by the TOI can be </w:t>
      </w:r>
      <w:r w:rsidR="003B2A30">
        <w:t xml:space="preserve">examined in more detail to determine the impact on the coordination </w:t>
      </w:r>
      <w:r w:rsidR="00E53549">
        <w:t xml:space="preserve">and teamwork </w:t>
      </w:r>
      <w:r w:rsidR="003B2A30">
        <w:t xml:space="preserve">across the pilot-controller interface. </w:t>
      </w:r>
      <w:r w:rsidR="00BA7774">
        <w:t>The TOI addresses the task of pro</w:t>
      </w:r>
      <w:r w:rsidR="00235586">
        <w:t>viding information to aircraft in the clearance and as such the positive aspects of the change are highlighted by considering the</w:t>
      </w:r>
      <w:r w:rsidR="0068253E">
        <w:t xml:space="preserve"> intended</w:t>
      </w:r>
      <w:r w:rsidR="00235586">
        <w:t xml:space="preserve"> increase in situation awareness </w:t>
      </w:r>
      <w:r w:rsidR="0068253E">
        <w:t>from the reminder to set standard pressure setting. However</w:t>
      </w:r>
      <w:r w:rsidR="0004042B">
        <w:t>,</w:t>
      </w:r>
      <w:r w:rsidR="0068253E">
        <w:t xml:space="preserve"> the </w:t>
      </w:r>
      <w:r w:rsidR="00A30EEF">
        <w:t xml:space="preserve">communications aspects of this teamwork are </w:t>
      </w:r>
      <w:r w:rsidR="00455AC4">
        <w:t>diminished</w:t>
      </w:r>
      <w:r w:rsidR="00A30EEF">
        <w:t xml:space="preserve"> by the use of non-standardised phrases</w:t>
      </w:r>
      <w:r w:rsidR="00C12BB0">
        <w:t xml:space="preserve"> and the lack of appreciation of </w:t>
      </w:r>
      <w:r w:rsidR="003A5FDE">
        <w:t>the conflict between the instruction and some aircraft SOPs</w:t>
      </w:r>
      <w:r w:rsidR="00B522D2">
        <w:t xml:space="preserve">. </w:t>
      </w:r>
      <w:r w:rsidR="00E47155">
        <w:t xml:space="preserve">It is also possible to use the CUD to </w:t>
      </w:r>
      <w:r w:rsidR="00004F5D">
        <w:t xml:space="preserve">examine the impact on </w:t>
      </w:r>
      <w:r w:rsidR="00A30EEF">
        <w:t>the controller</w:t>
      </w:r>
      <w:r w:rsidR="00004F5D">
        <w:t>’</w:t>
      </w:r>
      <w:r w:rsidR="00A30EEF">
        <w:t>s decision making</w:t>
      </w:r>
      <w:r w:rsidR="00C53987">
        <w:t>, adaptability</w:t>
      </w:r>
      <w:r w:rsidR="00A30EEF">
        <w:t xml:space="preserve"> </w:t>
      </w:r>
      <w:r w:rsidR="00344AF4">
        <w:t xml:space="preserve">and assertiveness </w:t>
      </w:r>
      <w:r w:rsidR="00004F5D">
        <w:t>and so remark on the potential reduction in</w:t>
      </w:r>
      <w:r w:rsidR="00A30EEF">
        <w:t xml:space="preserve"> agency to </w:t>
      </w:r>
      <w:r w:rsidR="00004F5D">
        <w:t xml:space="preserve">apply </w:t>
      </w:r>
      <w:r w:rsidR="00327B0C">
        <w:t xml:space="preserve">tailored strategies based on </w:t>
      </w:r>
      <w:r w:rsidR="00004F5D">
        <w:t xml:space="preserve">experience </w:t>
      </w:r>
      <w:r w:rsidR="00327B0C">
        <w:t>and</w:t>
      </w:r>
      <w:r w:rsidR="00004F5D">
        <w:t xml:space="preserve"> </w:t>
      </w:r>
      <w:r w:rsidR="00327B0C">
        <w:t>the perception of risk</w:t>
      </w:r>
      <w:r w:rsidR="00A30EEF">
        <w:t xml:space="preserve">. Lastly, the </w:t>
      </w:r>
      <w:r w:rsidR="00FD570A">
        <w:t xml:space="preserve">aspects of leadership </w:t>
      </w:r>
      <w:r w:rsidR="002042F9">
        <w:t xml:space="preserve">can also be </w:t>
      </w:r>
      <w:r w:rsidR="003F217D">
        <w:t>affected</w:t>
      </w:r>
      <w:r w:rsidR="002042F9">
        <w:t xml:space="preserve"> since the </w:t>
      </w:r>
      <w:r w:rsidR="00E4160A">
        <w:t xml:space="preserve">dynamic of the </w:t>
      </w:r>
      <w:r w:rsidR="002042F9">
        <w:t xml:space="preserve">shared </w:t>
      </w:r>
      <w:r w:rsidR="003F217D">
        <w:t>responsibility between</w:t>
      </w:r>
      <w:r w:rsidR="00E4160A">
        <w:t xml:space="preserve"> the</w:t>
      </w:r>
      <w:r w:rsidR="003F217D">
        <w:t xml:space="preserve"> pilot and controller to avoid a level bust is altered</w:t>
      </w:r>
      <w:r w:rsidR="00CD1E98">
        <w:t xml:space="preserve"> towards the controller</w:t>
      </w:r>
      <w:r w:rsidR="00E4160A">
        <w:t>. B</w:t>
      </w:r>
      <w:r w:rsidR="00CD1E98">
        <w:t xml:space="preserve">y </w:t>
      </w:r>
      <w:r w:rsidR="00E5764C">
        <w:t xml:space="preserve">being </w:t>
      </w:r>
      <w:r w:rsidR="00CD1E98">
        <w:t xml:space="preserve">more </w:t>
      </w:r>
      <w:r w:rsidR="00353767">
        <w:t xml:space="preserve">overtly </w:t>
      </w:r>
      <w:r w:rsidR="00CD1E98">
        <w:t>explicit</w:t>
      </w:r>
      <w:r w:rsidR="00DD74E2">
        <w:t xml:space="preserve"> in the need for the pilot to remember to change pressure setting</w:t>
      </w:r>
      <w:r w:rsidR="002D445F">
        <w:t>, a requirement that most pilots are already aware</w:t>
      </w:r>
      <w:r w:rsidR="00353767">
        <w:t xml:space="preserve"> of, </w:t>
      </w:r>
      <w:r w:rsidR="009D4342">
        <w:t xml:space="preserve">this </w:t>
      </w:r>
      <w:r w:rsidR="00A829F9">
        <w:t>weaken</w:t>
      </w:r>
      <w:r w:rsidR="00B80DA8">
        <w:t>s</w:t>
      </w:r>
      <w:r w:rsidR="00A829F9">
        <w:t xml:space="preserve"> the credibility of the controller </w:t>
      </w:r>
      <w:r w:rsidR="00C72080">
        <w:t>and undermines the motivation of the pilot in achieving the shared goal.</w:t>
      </w:r>
    </w:p>
    <w:p w14:paraId="623248CD" w14:textId="21A39A30" w:rsidR="00360208" w:rsidRDefault="0072211B" w:rsidP="007A11AB">
      <w:r>
        <w:t>The CDM step of EAST reuses the interviews conducted</w:t>
      </w:r>
      <w:r w:rsidR="001068FF">
        <w:t>;</w:t>
      </w:r>
      <w:r>
        <w:t xml:space="preserve"> although EAST recommends </w:t>
      </w:r>
      <w:r w:rsidR="00E62A1E">
        <w:t>structuring these in the form of Propositional Networks</w:t>
      </w:r>
      <w:r w:rsidR="009D5A99">
        <w:t xml:space="preserve"> </w:t>
      </w:r>
      <w:r w:rsidR="009D5A99">
        <w:fldChar w:fldCharType="begin" w:fldLock="1"/>
      </w:r>
      <w:r w:rsidR="00270E6F">
        <w:instrText>ADDIN CSL_CITATION {"citationItems":[{"id":"ITEM-1","itemData":{"DOI":"10.1080/00140139.2014.948659","ISBN":"9781409457534","ISSN":"0014-0139","abstract":"This second edition of Human Factors Methods: A Practical Guide for Engineering and Design now presents 107 design and evaluation methods as well as numerous refinements to those that featured in the original. The book has been carefully designed to act as an ergonomics methods manual, aiding both students and practitioners. The eleven sections represent the different categories of ergonomics methods and techniques that can be used in the evaluation and design process. Offering a 'how-to' text on a substantial range of ergonomics methods that can be used in the design and evaluation of products and systems, it is a comprehensive point of reference for all these methods. An overview of the methods is presented in chapter one, with a methods matrix showing which can be used in conjunction. The following chapters detail the methods showing how to apply them in practice. Flowcharts, procedures and examples cover the requirements of a diverse audience and varied applications of the methods. The final chapter, a new addition, illustrates the EAST method, which integrates several well-known methods into a teamwork analysis approach. © Neville A. Stanton, Paul M. Salmon, Laura A. Rafferty, Guy H. Walker, Chris Baber and Daniel P. Jenkins 2013. All rights reserved.","author":[{"dropping-particle":"","family":"Stanton","given":"Neville A.","non-dropping-particle":"","parse-names":false,"suffix":""},{"dropping-particle":"","family":"Salmon","given":"Paul M.","non-dropping-particle":"","parse-names":false,"suffix":""},{"dropping-particle":"","family":"Rafferty","given":"Laura A.","non-dropping-particle":"","parse-names":false,"suffix":""},{"dropping-particle":"","family":"Walker","given":"Guy H.","non-dropping-particle":"","parse-names":false,"suffix":""},{"dropping-particle":"","family":"Baber","given":"Chris","non-dropping-particle":"","parse-names":false,"suffix":""},{"dropping-particle":"","family":"Jenkins","given":"Daniel P.","non-dropping-particle":"","parse-names":false,"suffix":""}],"container-title":"Human Factors Methods: A Practical Guide for Engineering and Design, 2nd Edition","id":"ITEM-1","issued":{"date-parts":[["2013"]]},"number-of-pages":"1-627","publisher":"Ashgate Publishing Ltd","title":"Human factors methods: A practical guide for engineering and design, 2nd edition","type":"book"},"uris":["http://www.mendeley.com/documents/?uuid=b0451431-0e93-390b-b25d-987e32766dc4"]}],"mendeley":{"formattedCitation":"(Stanton et al., 2013)","plainTextFormattedCitation":"(Stanton et al., 2013)","previouslyFormattedCitation":"(Stanton et al., 2013)"},"properties":{"noteIndex":0},"schema":"https://github.com/citation-style-language/schema/raw/master/csl-citation.json"}</w:instrText>
      </w:r>
      <w:r w:rsidR="009D5A99">
        <w:fldChar w:fldCharType="separate"/>
      </w:r>
      <w:r w:rsidR="009D5A99" w:rsidRPr="009D5A99">
        <w:rPr>
          <w:noProof/>
        </w:rPr>
        <w:t>(Stanton et al., 2013)</w:t>
      </w:r>
      <w:r w:rsidR="009D5A99">
        <w:fldChar w:fldCharType="end"/>
      </w:r>
      <w:r w:rsidR="001220B1">
        <w:t xml:space="preserve"> (see </w:t>
      </w:r>
      <w:r w:rsidR="001220B1">
        <w:fldChar w:fldCharType="begin"/>
      </w:r>
      <w:r w:rsidR="001220B1">
        <w:instrText xml:space="preserve"> REF _Ref50059748 \h </w:instrText>
      </w:r>
      <w:r w:rsidR="001220B1">
        <w:fldChar w:fldCharType="separate"/>
      </w:r>
      <w:r w:rsidR="003C6ACE">
        <w:t xml:space="preserve">Figure </w:t>
      </w:r>
      <w:r w:rsidR="003C6ACE">
        <w:rPr>
          <w:noProof/>
        </w:rPr>
        <w:t>11</w:t>
      </w:r>
      <w:r w:rsidR="001220B1">
        <w:fldChar w:fldCharType="end"/>
      </w:r>
      <w:r w:rsidR="001220B1">
        <w:t>).</w:t>
      </w:r>
      <w:r w:rsidR="00E62A1E">
        <w:t xml:space="preserve"> </w:t>
      </w:r>
      <w:r w:rsidR="00D73766">
        <w:t>This provides a useful notation for the CDM outputs</w:t>
      </w:r>
      <w:r w:rsidR="007C22E6">
        <w:t xml:space="preserve"> and highlights the </w:t>
      </w:r>
      <w:r w:rsidR="007001A0">
        <w:t xml:space="preserve">weakness in the development of the TOI regarding the assumptions on the aircrew procedures. </w:t>
      </w:r>
      <w:r w:rsidR="00797168">
        <w:t>It also highlights th</w:t>
      </w:r>
      <w:r w:rsidR="00C45596">
        <w:t>at whilst the actors in the decision</w:t>
      </w:r>
      <w:r w:rsidR="00130A3F">
        <w:t>-</w:t>
      </w:r>
      <w:r w:rsidR="00C45596">
        <w:t xml:space="preserve">making surrounding the TOI </w:t>
      </w:r>
      <w:r w:rsidR="002D5AAA">
        <w:t>all had controlling experience</w:t>
      </w:r>
      <w:r w:rsidR="004D1622">
        <w:t>, this would not be shared and may not be</w:t>
      </w:r>
      <w:r w:rsidR="000F3DB7">
        <w:t xml:space="preserve"> of equivalent</w:t>
      </w:r>
      <w:r w:rsidR="004D1622">
        <w:t xml:space="preserve"> recen</w:t>
      </w:r>
      <w:r w:rsidR="000F3DB7">
        <w:t>cy</w:t>
      </w:r>
      <w:r w:rsidR="009B5E5F">
        <w:t xml:space="preserve"> to the current operational community. </w:t>
      </w:r>
      <w:r w:rsidR="004D1622">
        <w:t xml:space="preserve">Similarly, </w:t>
      </w:r>
      <w:r w:rsidR="00112D82">
        <w:t xml:space="preserve">the measures of controller workload and radio use </w:t>
      </w:r>
      <w:r w:rsidR="0040154B">
        <w:t xml:space="preserve">not being available to inform </w:t>
      </w:r>
      <w:r w:rsidR="00C36971">
        <w:t>t</w:t>
      </w:r>
      <w:r w:rsidR="003D4E74">
        <w:t xml:space="preserve">he risk assessment </w:t>
      </w:r>
      <w:r w:rsidR="00286028">
        <w:t xml:space="preserve">could </w:t>
      </w:r>
      <w:r w:rsidR="00112D82">
        <w:t>be represented as a ‘broken link’ in the network</w:t>
      </w:r>
      <w:r w:rsidR="003B10DD">
        <w:t xml:space="preserve"> </w:t>
      </w:r>
      <w:r w:rsidR="0008510F">
        <w:fldChar w:fldCharType="begin" w:fldLock="1"/>
      </w:r>
      <w:r w:rsidR="003F760E">
        <w:instrText>ADDIN CSL_CITATION {"citationItems":[{"id":"ITEM-1","itemData":{"DOI":"10.1080/00140139.2016.1232841","ISSN":"0014-0139","PMID":"27604821","abstract":"AbstractRisk assessments in Sociotechnical Systems (STS) tend to be based on error taxonomies, yet the term ‘human error’ does not sit easily with STS theories and concepts. A new break-link approach was proposed as an alternative risk assessment paradigm to reveal the effect of information communication failures between agents and tasks on the entire STS. A case study of the training of a Royal Navy crew detecting a low flying Hawk (simulating a sea-skimming missile) is presented using EAST to model the Hawk-Frigate STS in terms of social, information and task networks. By breaking 19 social links and 12 task links, 137 potential risks were identified. Discoveries included revealing the effect of risk moving around the system; reducing the risks to the Hawk increased the risks to the Frigate. Future research should examine the effects of compounded information communication failures on STS performance.Practitioner Summary: The paper presents a step-by-step walk-through of EAST to show how it can be used for risk assessment in sociotechnical systems. The ‘broken-links’ method takes a systemic, rather than taxonomic, approach to identify information communication failures in social and task networks.","author":[{"dropping-particle":"","family":"Stanton","given":"Neville A.","non-dropping-particle":"","parse-names":false,"suffix":""},{"dropping-particle":"","family":"Harvey","given":"Catherine","non-dropping-particle":"","parse-names":false,"suffix":""}],"container-title":"Ergonomics","id":"ITEM-1","issue":"2","issued":{"date-parts":[["2017"]]},"note":"From Duplicate 1 (Beyond human error taxonomies in assessment of risk in sociotechnical systems: a new paradigm with the EAST ‘broken-links’ approach - Stanton, Neville A.; Harvey, Catherine)\n\nFrom Duplicate 2 (Beyond human error taxonomies in assessment of risk in sociotechnical systems: a new paradigm with the EAST ‘broken-links’ approach - Stanton, Neville A.; Harvey, Catherine)\n\nA Case Study which looks at the Hawk as a missile substitute for training of naval crews. Highlights the use of EAST as a model. Looks to be based on systems maps andinfluence diagrams. Uses the ide of communication between nodes on the network as being a predictor of risks and the breaking of these links as a risk analysis method. Similar to the Swanwick TOI Case study.\n\nFrom Duplicate 2 (Beyond human error taxonomies in assessment of risk in sociotechnical systems: a new paradigm with the EAST ‘broken-links’ approach - Stanton, Neville A.; Harvey, Catherine)\n\nFrom Duplicate 2 (Beyond human error taxonomies in assessment of risk in sociotechnical systems: a new paradigm with the EAST ‘broken-links’ approach - Stanton, Neville A.; Harvey, Catherine)\n\nFrom Duplicate 2 (Beyond human error taxonomies in assessment of risk in sociotechnical systems: a new paradigm with the EAST ‘broken-links’ approach - Stanton, Neville A.; Harvey, Catherine)\n\nA Case Study which looks at the Hawk as a missile substitute for training of naval crews. Highlights the use of EAST as a model. Looks to be based on systems maps andinfluence diagrams. Uses the ide of communication between nodes on the network as being a predictor of risks and the breaking of these links as a risk analysis method. Similar to the Swanwick TOI Case study.","page":"221-233","publisher":"Taylor &amp; Francis","title":"Beyond human error taxonomies in assessment of risk in sociotechnical systems: a new paradigm with the EAST ‘broken-links’ approach","type":"article-journal","volume":"60"},"uris":["http://www.mendeley.com/documents/?uuid=eb3832ae-d573-4a52-b41a-10e1e261aa93"]}],"mendeley":{"formattedCitation":"(Stanton &amp; Harvey, 2017)","plainTextFormattedCitation":"(Stanton &amp; Harvey, 2017)","previouslyFormattedCitation":"(Stanton &amp; Harvey, 2017)"},"properties":{"noteIndex":0},"schema":"https://github.com/citation-style-language/schema/raw/master/csl-citation.json"}</w:instrText>
      </w:r>
      <w:r w:rsidR="0008510F">
        <w:fldChar w:fldCharType="separate"/>
      </w:r>
      <w:r w:rsidR="0008510F" w:rsidRPr="0008510F">
        <w:rPr>
          <w:noProof/>
        </w:rPr>
        <w:t>(Stanton &amp; Harvey, 2017)</w:t>
      </w:r>
      <w:r w:rsidR="0008510F">
        <w:fldChar w:fldCharType="end"/>
      </w:r>
      <w:r w:rsidR="00112D82">
        <w:t xml:space="preserve">. </w:t>
      </w:r>
      <w:r w:rsidR="004D3D95">
        <w:t>O</w:t>
      </w:r>
      <w:r w:rsidR="006B79C7">
        <w:t xml:space="preserve">nly after feedback </w:t>
      </w:r>
      <w:r w:rsidR="00780D95">
        <w:t xml:space="preserve">was </w:t>
      </w:r>
      <w:r w:rsidR="00B45439">
        <w:t xml:space="preserve">received </w:t>
      </w:r>
      <w:r w:rsidR="006B79C7">
        <w:t xml:space="preserve">post-implementation were these </w:t>
      </w:r>
      <w:r w:rsidR="004D3D95">
        <w:t xml:space="preserve">measures </w:t>
      </w:r>
      <w:r w:rsidR="006B79C7">
        <w:t xml:space="preserve">considered in </w:t>
      </w:r>
      <w:r w:rsidR="0026770A">
        <w:t xml:space="preserve">more </w:t>
      </w:r>
      <w:r w:rsidR="006B79C7">
        <w:t>detail.</w:t>
      </w:r>
      <w:r w:rsidR="00FF2442">
        <w:t xml:space="preserve"> The CDM interviews </w:t>
      </w:r>
      <w:r w:rsidR="008F4792">
        <w:t>discussed</w:t>
      </w:r>
      <w:r w:rsidR="00112304">
        <w:t xml:space="preserve"> the as</w:t>
      </w:r>
      <w:r w:rsidR="00FF2442">
        <w:t xml:space="preserve">-found </w:t>
      </w:r>
      <w:r w:rsidR="00112304">
        <w:t xml:space="preserve">control </w:t>
      </w:r>
      <w:r w:rsidR="00C735AD">
        <w:t xml:space="preserve">and feedback </w:t>
      </w:r>
      <w:r w:rsidR="00112304">
        <w:t xml:space="preserve">structures in the organisation for the introduction of change. </w:t>
      </w:r>
      <w:r w:rsidR="004F129E">
        <w:t xml:space="preserve">This can be outlined in a social-network analysis, as called for by EAST, although this </w:t>
      </w:r>
      <w:r w:rsidR="00AF01AB">
        <w:t>was found to largely replicate the structure created during the STAMP analysis.</w:t>
      </w:r>
    </w:p>
    <w:p w14:paraId="4D65ECEB" w14:textId="1C5ED68B" w:rsidR="00527B9C" w:rsidRDefault="00EE4347" w:rsidP="007A11AB">
      <w:r>
        <w:rPr>
          <w:noProof/>
        </w:rPr>
        <w:lastRenderedPageBreak/>
        <w:drawing>
          <wp:inline distT="0" distB="0" distL="0" distR="0" wp14:anchorId="635C4B5C" wp14:editId="4900ACA8">
            <wp:extent cx="5731510" cy="3942715"/>
            <wp:effectExtent l="0" t="0" r="2540" b="63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7"/>
                    <a:stretch>
                      <a:fillRect/>
                    </a:stretch>
                  </pic:blipFill>
                  <pic:spPr>
                    <a:xfrm>
                      <a:off x="0" y="0"/>
                      <a:ext cx="5731510" cy="3942715"/>
                    </a:xfrm>
                    <a:prstGeom prst="rect">
                      <a:avLst/>
                    </a:prstGeom>
                  </pic:spPr>
                </pic:pic>
              </a:graphicData>
            </a:graphic>
          </wp:inline>
        </w:drawing>
      </w:r>
    </w:p>
    <w:p w14:paraId="138810D3" w14:textId="3902FFCC" w:rsidR="00527B9C" w:rsidRDefault="006C648D" w:rsidP="006C648D">
      <w:pPr>
        <w:pStyle w:val="Caption"/>
      </w:pPr>
      <w:bookmarkStart w:id="12" w:name="_Ref56970370"/>
      <w:r>
        <w:t xml:space="preserve">Figure </w:t>
      </w:r>
      <w:r w:rsidR="00881249">
        <w:fldChar w:fldCharType="begin"/>
      </w:r>
      <w:r w:rsidR="00881249">
        <w:instrText xml:space="preserve"> SEQ Figure \* ARABIC </w:instrText>
      </w:r>
      <w:r w:rsidR="00881249">
        <w:fldChar w:fldCharType="separate"/>
      </w:r>
      <w:r w:rsidR="005156EC">
        <w:rPr>
          <w:noProof/>
        </w:rPr>
        <w:t>9</w:t>
      </w:r>
      <w:r w:rsidR="00881249">
        <w:rPr>
          <w:noProof/>
        </w:rPr>
        <w:fldChar w:fldCharType="end"/>
      </w:r>
      <w:bookmarkEnd w:id="12"/>
      <w:r>
        <w:t xml:space="preserve">: Social network overlain with </w:t>
      </w:r>
      <w:r w:rsidR="007B0F15">
        <w:t>communication means (non</w:t>
      </w:r>
      <w:r w:rsidR="00F62143">
        <w:t>-human nodes shown as dashed lines, TOI action highlighted)</w:t>
      </w:r>
    </w:p>
    <w:p w14:paraId="463040DE" w14:textId="44599A02" w:rsidR="00046D58" w:rsidRDefault="00063151" w:rsidP="00046D58">
      <w:r w:rsidRPr="00063151">
        <w:rPr>
          <w:noProof/>
        </w:rPr>
        <w:lastRenderedPageBreak/>
        <w:drawing>
          <wp:inline distT="0" distB="0" distL="0" distR="0" wp14:anchorId="3C761100" wp14:editId="55CBBBCF">
            <wp:extent cx="5731510" cy="4588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588510"/>
                    </a:xfrm>
                    <a:prstGeom prst="rect">
                      <a:avLst/>
                    </a:prstGeom>
                  </pic:spPr>
                </pic:pic>
              </a:graphicData>
            </a:graphic>
          </wp:inline>
        </w:drawing>
      </w:r>
    </w:p>
    <w:p w14:paraId="041968A9" w14:textId="7E7D60BF" w:rsidR="00046D58" w:rsidRPr="00857F92" w:rsidRDefault="00046D58" w:rsidP="00FF0D56">
      <w:pPr>
        <w:pStyle w:val="Caption"/>
      </w:pPr>
      <w:bookmarkStart w:id="13" w:name="_Ref56970386"/>
      <w:r>
        <w:t xml:space="preserve">Figure </w:t>
      </w:r>
      <w:r w:rsidR="00881249">
        <w:fldChar w:fldCharType="begin"/>
      </w:r>
      <w:r w:rsidR="00881249">
        <w:instrText xml:space="preserve"> SEQ Figure \* ARABIC </w:instrText>
      </w:r>
      <w:r w:rsidR="00881249">
        <w:fldChar w:fldCharType="separate"/>
      </w:r>
      <w:r w:rsidR="005156EC">
        <w:rPr>
          <w:noProof/>
        </w:rPr>
        <w:t>10</w:t>
      </w:r>
      <w:r w:rsidR="00881249">
        <w:rPr>
          <w:noProof/>
        </w:rPr>
        <w:fldChar w:fldCharType="end"/>
      </w:r>
      <w:bookmarkEnd w:id="13"/>
      <w:r>
        <w:t xml:space="preserve">: </w:t>
      </w:r>
      <w:r w:rsidR="006E5EEF">
        <w:t xml:space="preserve">Simplified </w:t>
      </w:r>
      <w:r>
        <w:t xml:space="preserve">Task Network </w:t>
      </w:r>
      <w:r w:rsidR="006E5EEF">
        <w:t>for functions addressed by t</w:t>
      </w:r>
      <w:r w:rsidR="00326782">
        <w:t xml:space="preserve">he TOI </w:t>
      </w:r>
      <w:r>
        <w:t>(</w:t>
      </w:r>
      <w:r w:rsidR="006E5EEF">
        <w:t>high-level tasks grouped</w:t>
      </w:r>
      <w:r w:rsidR="00326782">
        <w:t>, increased task workload indicated</w:t>
      </w:r>
      <w:r w:rsidR="006E5EEF">
        <w:t>)</w:t>
      </w:r>
    </w:p>
    <w:p w14:paraId="42C9B3A9" w14:textId="2BDFA89A" w:rsidR="00251F34" w:rsidRDefault="001220B1" w:rsidP="007A11AB">
      <w:r w:rsidRPr="0008775A">
        <w:rPr>
          <w:noProof/>
          <w:lang w:val="en-US"/>
        </w:rPr>
        <w:lastRenderedPageBreak/>
        <w:drawing>
          <wp:inline distT="0" distB="0" distL="0" distR="0" wp14:anchorId="3E53EEE4" wp14:editId="5E9670D9">
            <wp:extent cx="5731510" cy="38379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37940"/>
                    </a:xfrm>
                    <a:prstGeom prst="rect">
                      <a:avLst/>
                    </a:prstGeom>
                  </pic:spPr>
                </pic:pic>
              </a:graphicData>
            </a:graphic>
          </wp:inline>
        </w:drawing>
      </w:r>
    </w:p>
    <w:p w14:paraId="5E6A377D" w14:textId="1204EFF6" w:rsidR="001220B1" w:rsidRDefault="001220B1" w:rsidP="00FF0D56">
      <w:pPr>
        <w:pStyle w:val="Caption"/>
      </w:pPr>
      <w:bookmarkStart w:id="14" w:name="_Ref50059748"/>
      <w:r>
        <w:t xml:space="preserve">Figure </w:t>
      </w:r>
      <w:r w:rsidR="00881249">
        <w:fldChar w:fldCharType="begin"/>
      </w:r>
      <w:r w:rsidR="00881249">
        <w:instrText xml:space="preserve"> SEQ Figure \* ARABIC </w:instrText>
      </w:r>
      <w:r w:rsidR="00881249">
        <w:fldChar w:fldCharType="separate"/>
      </w:r>
      <w:r w:rsidR="005156EC">
        <w:rPr>
          <w:noProof/>
        </w:rPr>
        <w:t>11</w:t>
      </w:r>
      <w:r w:rsidR="00881249">
        <w:rPr>
          <w:noProof/>
        </w:rPr>
        <w:fldChar w:fldCharType="end"/>
      </w:r>
      <w:bookmarkEnd w:id="14"/>
      <w:r>
        <w:t>: Propositional Network for TOI introduction</w:t>
      </w:r>
    </w:p>
    <w:p w14:paraId="342E7584" w14:textId="55797E87" w:rsidR="008F1835" w:rsidRDefault="008F1835" w:rsidP="005221BF">
      <w:pPr>
        <w:pStyle w:val="Heading3"/>
      </w:pPr>
      <w:r>
        <w:t>Exploring Adaptation (EAST)</w:t>
      </w:r>
    </w:p>
    <w:p w14:paraId="01088D32" w14:textId="42A8B3BC" w:rsidR="00B86BC7" w:rsidRDefault="008F1835" w:rsidP="00EA3F05">
      <w:r>
        <w:t xml:space="preserve">The focus of EAST is on the interrelationships and communication means between the actors in the TOI case study and it uses methods that draw out these issues and helps identify weakness in the initial risk assessment related to assumptions </w:t>
      </w:r>
      <w:r w:rsidR="002C6091">
        <w:t xml:space="preserve">around </w:t>
      </w:r>
      <w:r w:rsidR="00D65547">
        <w:t xml:space="preserve">workload, </w:t>
      </w:r>
      <w:r w:rsidR="002C6091">
        <w:t xml:space="preserve">airline SOPs </w:t>
      </w:r>
      <w:r>
        <w:t>and data across these interfaces. The propositional network provides more structure to the analysis of the features identified in the CDM interviews and places them in context. The graphical structure provided by these methods helps contextualise the observational and other data about the system that can support analysis of the informal practices and strategies that exist</w:t>
      </w:r>
      <w:r w:rsidR="00017D6E">
        <w:t xml:space="preserve"> (Strategies &amp; Informal Practice</w:t>
      </w:r>
      <w:r w:rsidR="00632C5F">
        <w:t>, Procedures &amp; Rules</w:t>
      </w:r>
      <w:r w:rsidR="00017D6E">
        <w:t>)</w:t>
      </w:r>
      <w:r>
        <w:t>.</w:t>
      </w:r>
    </w:p>
    <w:p w14:paraId="495BB258" w14:textId="59B14748" w:rsidR="0040101B" w:rsidRDefault="00F15F5F" w:rsidP="00B86BC7">
      <w:pPr>
        <w:pStyle w:val="Heading2"/>
      </w:pPr>
      <w:r>
        <w:t>Results Synthesis</w:t>
      </w:r>
      <w:r w:rsidR="00461FB6">
        <w:t xml:space="preserve"> and Overview</w:t>
      </w:r>
    </w:p>
    <w:p w14:paraId="3F792882" w14:textId="52F49281" w:rsidR="00482F78" w:rsidRDefault="00E83E59" w:rsidP="0080484D">
      <w:r>
        <w:t xml:space="preserve">The </w:t>
      </w:r>
      <w:r w:rsidR="00386F2B">
        <w:t xml:space="preserve">review of the circumstances surrounding the introduction of the TOI </w:t>
      </w:r>
      <w:r w:rsidR="00F67B54">
        <w:t xml:space="preserve">using the identified methods </w:t>
      </w:r>
      <w:r w:rsidR="00386F2B">
        <w:t>highlight</w:t>
      </w:r>
      <w:r w:rsidR="00F67B54">
        <w:t>s</w:t>
      </w:r>
      <w:r w:rsidR="00386F2B">
        <w:t xml:space="preserve"> the limitations of the </w:t>
      </w:r>
      <w:r w:rsidR="00ED0F15">
        <w:t xml:space="preserve">original risk assessment to adequately explore the existing adaptive capabilities in the system. </w:t>
      </w:r>
      <w:r w:rsidR="00482F78">
        <w:t xml:space="preserve">The </w:t>
      </w:r>
      <w:r w:rsidR="006C4921">
        <w:t xml:space="preserve">seven </w:t>
      </w:r>
      <w:r w:rsidR="00482F78">
        <w:t xml:space="preserve">methods each </w:t>
      </w:r>
      <w:r w:rsidR="00B52176">
        <w:t>adopt</w:t>
      </w:r>
      <w:r w:rsidR="00482F78">
        <w:t xml:space="preserve"> a different perspective </w:t>
      </w:r>
      <w:r w:rsidR="00B52176">
        <w:t>on the problem of the TOI and</w:t>
      </w:r>
      <w:r w:rsidR="00B9138A" w:rsidDel="00B9138A">
        <w:t xml:space="preserve"> </w:t>
      </w:r>
      <w:r w:rsidR="00AB6F73">
        <w:t xml:space="preserve"> </w:t>
      </w:r>
      <w:r w:rsidR="00222764">
        <w:t xml:space="preserve">each method </w:t>
      </w:r>
      <w:r w:rsidR="00685DBE">
        <w:t>touche</w:t>
      </w:r>
      <w:r w:rsidR="0010398E">
        <w:t>s</w:t>
      </w:r>
      <w:r w:rsidR="00685DBE">
        <w:t xml:space="preserve"> upon</w:t>
      </w:r>
      <w:r w:rsidR="00222764">
        <w:t xml:space="preserve"> some of the </w:t>
      </w:r>
      <w:r w:rsidR="00166CEB">
        <w:t xml:space="preserve">factors of adaptation. The coverage of the </w:t>
      </w:r>
      <w:r w:rsidR="00310A29">
        <w:t xml:space="preserve">adaptation </w:t>
      </w:r>
      <w:r w:rsidR="00166CEB">
        <w:t xml:space="preserve">factors </w:t>
      </w:r>
      <w:r w:rsidR="00F957A5">
        <w:t xml:space="preserve">by </w:t>
      </w:r>
      <w:r w:rsidR="00E763E5">
        <w:t xml:space="preserve">the </w:t>
      </w:r>
      <w:r w:rsidR="00F957A5">
        <w:t>Human Factors method</w:t>
      </w:r>
      <w:r w:rsidR="00E763E5">
        <w:t>s</w:t>
      </w:r>
      <w:r w:rsidR="00F957A5">
        <w:t xml:space="preserve"> </w:t>
      </w:r>
      <w:r w:rsidR="00166CEB">
        <w:t xml:space="preserve">is illustrated in </w:t>
      </w:r>
      <w:r w:rsidR="00F957A5">
        <w:fldChar w:fldCharType="begin"/>
      </w:r>
      <w:r w:rsidR="00F957A5">
        <w:instrText xml:space="preserve"> REF _Ref48591519 \h </w:instrText>
      </w:r>
      <w:r w:rsidR="00F957A5">
        <w:fldChar w:fldCharType="separate"/>
      </w:r>
      <w:r w:rsidR="00F11CDA">
        <w:t xml:space="preserve">Table </w:t>
      </w:r>
      <w:r w:rsidR="00F11CDA">
        <w:rPr>
          <w:noProof/>
        </w:rPr>
        <w:t>4</w:t>
      </w:r>
      <w:r w:rsidR="00F957A5">
        <w:fldChar w:fldCharType="end"/>
      </w:r>
      <w:r w:rsidR="00F957A5">
        <w:t>.</w:t>
      </w:r>
      <w:r w:rsidR="002F1593">
        <w:t xml:space="preserve"> Where the results </w:t>
      </w:r>
      <w:r w:rsidR="00395F17">
        <w:t xml:space="preserve">from </w:t>
      </w:r>
      <w:r w:rsidR="002F1593">
        <w:t xml:space="preserve">the use of the method </w:t>
      </w:r>
      <w:r w:rsidR="002022AA">
        <w:t>appear to support the understanding of the adaptation factor this is shown</w:t>
      </w:r>
      <w:r w:rsidR="00310A29">
        <w:t xml:space="preserve"> against the expectation from the Delphi survey</w:t>
      </w:r>
      <w:r w:rsidR="00B64EF2">
        <w:t>.</w:t>
      </w:r>
    </w:p>
    <w:p w14:paraId="1CDEA57F" w14:textId="0BA53D34" w:rsidR="00E47101" w:rsidRDefault="00E47101" w:rsidP="00E47101">
      <w:pPr>
        <w:pStyle w:val="Caption"/>
      </w:pPr>
      <w:bookmarkStart w:id="15" w:name="_Ref48591519"/>
      <w:r>
        <w:t xml:space="preserve">Table </w:t>
      </w:r>
      <w:r w:rsidR="00881249">
        <w:fldChar w:fldCharType="begin"/>
      </w:r>
      <w:r w:rsidR="00881249">
        <w:instrText xml:space="preserve"> SEQ Table \* A</w:instrText>
      </w:r>
      <w:r w:rsidR="00881249">
        <w:instrText xml:space="preserve">RABIC </w:instrText>
      </w:r>
      <w:r w:rsidR="00881249">
        <w:fldChar w:fldCharType="separate"/>
      </w:r>
      <w:r w:rsidR="008D1C05">
        <w:rPr>
          <w:noProof/>
        </w:rPr>
        <w:t>4</w:t>
      </w:r>
      <w:r w:rsidR="00881249">
        <w:rPr>
          <w:noProof/>
        </w:rPr>
        <w:fldChar w:fldCharType="end"/>
      </w:r>
      <w:bookmarkEnd w:id="15"/>
      <w:r>
        <w:t>: Coverage of Adaptation Factors by Human Factors method</w:t>
      </w:r>
      <w:r w:rsidR="006B7787">
        <w:t xml:space="preserve"> for TOI Case Study</w:t>
      </w:r>
      <w:r w:rsidR="006B5C4C">
        <w:t xml:space="preserve"> (recommendations shown</w:t>
      </w:r>
      <w:r w:rsidR="00792441">
        <w:t>: black = highly applicable, grey = should be applicable, white = not positively recommended</w:t>
      </w:r>
      <w:r w:rsidR="006B5C4C">
        <w:t>)</w:t>
      </w:r>
    </w:p>
    <w:tbl>
      <w:tblPr>
        <w:tblStyle w:val="TableGrid"/>
        <w:tblW w:w="0" w:type="auto"/>
        <w:tblLook w:val="04A0" w:firstRow="1" w:lastRow="0" w:firstColumn="1" w:lastColumn="0" w:noHBand="0" w:noVBand="1"/>
      </w:tblPr>
      <w:tblGrid>
        <w:gridCol w:w="1781"/>
        <w:gridCol w:w="702"/>
        <w:gridCol w:w="854"/>
        <w:gridCol w:w="752"/>
        <w:gridCol w:w="800"/>
        <w:gridCol w:w="808"/>
        <w:gridCol w:w="733"/>
        <w:gridCol w:w="660"/>
      </w:tblGrid>
      <w:tr w:rsidR="00061A81" w:rsidRPr="00125740" w14:paraId="53A8C364" w14:textId="77777777" w:rsidTr="00EA3F05">
        <w:tc>
          <w:tcPr>
            <w:tcW w:w="1781" w:type="dxa"/>
            <w:vMerge w:val="restart"/>
          </w:tcPr>
          <w:p w14:paraId="65CCB0A1" w14:textId="77777777" w:rsidR="00061A81" w:rsidRPr="00125740" w:rsidRDefault="00061A81" w:rsidP="000A67D8"/>
        </w:tc>
        <w:tc>
          <w:tcPr>
            <w:tcW w:w="5309" w:type="dxa"/>
            <w:gridSpan w:val="7"/>
            <w:tcBorders>
              <w:bottom w:val="double" w:sz="4" w:space="0" w:color="auto"/>
            </w:tcBorders>
            <w:shd w:val="clear" w:color="auto" w:fill="D9D9D9" w:themeFill="background1" w:themeFillShade="D9"/>
          </w:tcPr>
          <w:p w14:paraId="78A100CD" w14:textId="77777777" w:rsidR="00061A81" w:rsidRPr="000A67D8" w:rsidRDefault="00061A81" w:rsidP="000A67D8">
            <w:pPr>
              <w:rPr>
                <w:rFonts w:ascii="Calibri" w:hAnsi="Calibri" w:cs="Calibri"/>
                <w:b/>
                <w:bCs/>
                <w:color w:val="000000"/>
                <w:sz w:val="20"/>
                <w:szCs w:val="20"/>
              </w:rPr>
            </w:pPr>
            <w:r w:rsidRPr="000A67D8">
              <w:rPr>
                <w:rFonts w:ascii="Calibri" w:hAnsi="Calibri" w:cs="Calibri"/>
                <w:b/>
                <w:bCs/>
                <w:color w:val="000000"/>
              </w:rPr>
              <w:t>Methods</w:t>
            </w:r>
          </w:p>
        </w:tc>
      </w:tr>
      <w:tr w:rsidR="00E46BC8" w:rsidRPr="00125740" w14:paraId="5341919F" w14:textId="77777777" w:rsidTr="00EA3F05">
        <w:tc>
          <w:tcPr>
            <w:tcW w:w="1781" w:type="dxa"/>
            <w:vMerge/>
            <w:tcBorders>
              <w:bottom w:val="double" w:sz="4" w:space="0" w:color="auto"/>
            </w:tcBorders>
          </w:tcPr>
          <w:p w14:paraId="0C5CA42E" w14:textId="77777777" w:rsidR="00E46BC8" w:rsidRPr="00125740" w:rsidRDefault="00E46BC8" w:rsidP="000A67D8"/>
        </w:tc>
        <w:tc>
          <w:tcPr>
            <w:tcW w:w="702" w:type="dxa"/>
            <w:tcBorders>
              <w:bottom w:val="double" w:sz="4" w:space="0" w:color="auto"/>
            </w:tcBorders>
            <w:shd w:val="clear" w:color="auto" w:fill="D9D9D9" w:themeFill="background1" w:themeFillShade="D9"/>
          </w:tcPr>
          <w:p w14:paraId="59132BD0" w14:textId="77777777" w:rsidR="00E46BC8" w:rsidRPr="000A67D8" w:rsidRDefault="00E46BC8" w:rsidP="000A67D8">
            <w:pPr>
              <w:rPr>
                <w:rFonts w:ascii="Calibri" w:hAnsi="Calibri" w:cs="Calibri"/>
                <w:color w:val="000000"/>
              </w:rPr>
            </w:pPr>
            <w:r w:rsidRPr="000A67D8">
              <w:rPr>
                <w:rFonts w:ascii="Calibri" w:hAnsi="Calibri" w:cs="Calibri"/>
                <w:color w:val="000000"/>
              </w:rPr>
              <w:t>HTA</w:t>
            </w:r>
          </w:p>
        </w:tc>
        <w:tc>
          <w:tcPr>
            <w:tcW w:w="854" w:type="dxa"/>
            <w:tcBorders>
              <w:bottom w:val="double" w:sz="4" w:space="0" w:color="auto"/>
            </w:tcBorders>
            <w:shd w:val="clear" w:color="auto" w:fill="D9D9D9" w:themeFill="background1" w:themeFillShade="D9"/>
          </w:tcPr>
          <w:p w14:paraId="4F849FC1" w14:textId="77777777" w:rsidR="00E46BC8" w:rsidRPr="000A67D8" w:rsidRDefault="00E46BC8" w:rsidP="000A67D8">
            <w:pPr>
              <w:rPr>
                <w:rFonts w:ascii="Calibri" w:hAnsi="Calibri" w:cs="Calibri"/>
                <w:color w:val="000000"/>
              </w:rPr>
            </w:pPr>
            <w:r w:rsidRPr="000A67D8">
              <w:rPr>
                <w:rFonts w:ascii="Calibri" w:hAnsi="Calibri" w:cs="Calibri"/>
                <w:color w:val="000000"/>
              </w:rPr>
              <w:t>STAMP</w:t>
            </w:r>
          </w:p>
        </w:tc>
        <w:tc>
          <w:tcPr>
            <w:tcW w:w="752" w:type="dxa"/>
            <w:tcBorders>
              <w:bottom w:val="double" w:sz="4" w:space="0" w:color="auto"/>
            </w:tcBorders>
            <w:shd w:val="clear" w:color="auto" w:fill="D9D9D9" w:themeFill="background1" w:themeFillShade="D9"/>
          </w:tcPr>
          <w:p w14:paraId="2DF19D1C" w14:textId="77777777" w:rsidR="00E46BC8" w:rsidRPr="000A67D8" w:rsidRDefault="00E46BC8" w:rsidP="000A67D8">
            <w:pPr>
              <w:rPr>
                <w:rFonts w:ascii="Calibri" w:hAnsi="Calibri" w:cs="Calibri"/>
                <w:color w:val="000000"/>
              </w:rPr>
            </w:pPr>
            <w:r w:rsidRPr="000A67D8">
              <w:rPr>
                <w:rFonts w:ascii="Calibri" w:hAnsi="Calibri" w:cs="Calibri"/>
                <w:color w:val="000000"/>
              </w:rPr>
              <w:t>FRAM</w:t>
            </w:r>
          </w:p>
        </w:tc>
        <w:tc>
          <w:tcPr>
            <w:tcW w:w="800" w:type="dxa"/>
            <w:tcBorders>
              <w:bottom w:val="double" w:sz="4" w:space="0" w:color="auto"/>
            </w:tcBorders>
            <w:shd w:val="clear" w:color="auto" w:fill="D9D9D9" w:themeFill="background1" w:themeFillShade="D9"/>
          </w:tcPr>
          <w:p w14:paraId="29250787" w14:textId="77777777" w:rsidR="00E46BC8" w:rsidRPr="000A67D8" w:rsidRDefault="00E46BC8" w:rsidP="000A67D8">
            <w:pPr>
              <w:rPr>
                <w:rFonts w:ascii="Calibri" w:hAnsi="Calibri" w:cs="Calibri"/>
                <w:color w:val="000000"/>
              </w:rPr>
            </w:pPr>
            <w:r w:rsidRPr="000A67D8">
              <w:rPr>
                <w:rFonts w:ascii="Calibri" w:hAnsi="Calibri" w:cs="Calibri"/>
                <w:color w:val="000000"/>
              </w:rPr>
              <w:t>HFACS</w:t>
            </w:r>
          </w:p>
        </w:tc>
        <w:tc>
          <w:tcPr>
            <w:tcW w:w="808" w:type="dxa"/>
            <w:tcBorders>
              <w:bottom w:val="double" w:sz="4" w:space="0" w:color="auto"/>
            </w:tcBorders>
            <w:shd w:val="clear" w:color="auto" w:fill="D9D9D9" w:themeFill="background1" w:themeFillShade="D9"/>
          </w:tcPr>
          <w:p w14:paraId="0C9E7D0B" w14:textId="77777777" w:rsidR="00E46BC8" w:rsidRPr="000A67D8" w:rsidRDefault="00E46BC8" w:rsidP="000A67D8">
            <w:pPr>
              <w:rPr>
                <w:rFonts w:ascii="Calibri" w:hAnsi="Calibri" w:cs="Calibri"/>
                <w:color w:val="000000"/>
              </w:rPr>
            </w:pPr>
            <w:r w:rsidRPr="000A67D8">
              <w:rPr>
                <w:rFonts w:ascii="Calibri" w:hAnsi="Calibri" w:cs="Calibri"/>
                <w:color w:val="000000"/>
              </w:rPr>
              <w:t>CWA</w:t>
            </w:r>
          </w:p>
        </w:tc>
        <w:tc>
          <w:tcPr>
            <w:tcW w:w="733" w:type="dxa"/>
            <w:tcBorders>
              <w:bottom w:val="double" w:sz="4" w:space="0" w:color="auto"/>
            </w:tcBorders>
            <w:shd w:val="clear" w:color="auto" w:fill="D9D9D9" w:themeFill="background1" w:themeFillShade="D9"/>
          </w:tcPr>
          <w:p w14:paraId="372FCEE9" w14:textId="77777777" w:rsidR="00E46BC8" w:rsidRPr="000A67D8" w:rsidRDefault="00E46BC8" w:rsidP="000A67D8">
            <w:pPr>
              <w:rPr>
                <w:rFonts w:ascii="Calibri" w:hAnsi="Calibri" w:cs="Calibri"/>
                <w:color w:val="000000"/>
              </w:rPr>
            </w:pPr>
            <w:r w:rsidRPr="000A67D8">
              <w:rPr>
                <w:rFonts w:ascii="Calibri" w:hAnsi="Calibri" w:cs="Calibri"/>
                <w:color w:val="000000"/>
              </w:rPr>
              <w:t>CDM</w:t>
            </w:r>
          </w:p>
        </w:tc>
        <w:tc>
          <w:tcPr>
            <w:tcW w:w="660" w:type="dxa"/>
            <w:tcBorders>
              <w:bottom w:val="double" w:sz="4" w:space="0" w:color="auto"/>
            </w:tcBorders>
            <w:shd w:val="clear" w:color="auto" w:fill="D9D9D9" w:themeFill="background1" w:themeFillShade="D9"/>
          </w:tcPr>
          <w:p w14:paraId="40219829" w14:textId="77777777" w:rsidR="00E46BC8" w:rsidRPr="000A67D8" w:rsidRDefault="00E46BC8" w:rsidP="000A67D8">
            <w:pPr>
              <w:rPr>
                <w:rFonts w:ascii="Calibri" w:hAnsi="Calibri" w:cs="Calibri"/>
                <w:color w:val="000000"/>
              </w:rPr>
            </w:pPr>
            <w:r w:rsidRPr="000A67D8">
              <w:rPr>
                <w:rFonts w:ascii="Calibri" w:hAnsi="Calibri" w:cs="Calibri"/>
                <w:color w:val="000000"/>
              </w:rPr>
              <w:t>EAST</w:t>
            </w:r>
          </w:p>
        </w:tc>
      </w:tr>
      <w:tr w:rsidR="00E46BC8" w:rsidRPr="00125740" w14:paraId="6F2F59E7" w14:textId="77777777" w:rsidTr="00EA3F05">
        <w:tc>
          <w:tcPr>
            <w:tcW w:w="1781" w:type="dxa"/>
            <w:tcBorders>
              <w:top w:val="double" w:sz="4" w:space="0" w:color="auto"/>
            </w:tcBorders>
          </w:tcPr>
          <w:p w14:paraId="157C69BD" w14:textId="77777777" w:rsidR="00E46BC8" w:rsidRPr="00125740" w:rsidRDefault="00E46BC8" w:rsidP="000A67D8">
            <w:pPr>
              <w:rPr>
                <w:b/>
                <w:bCs/>
              </w:rPr>
            </w:pPr>
            <w:r w:rsidRPr="00125740">
              <w:rPr>
                <w:rFonts w:ascii="Calibri" w:hAnsi="Calibri" w:cs="Calibri"/>
                <w:b/>
                <w:bCs/>
                <w:color w:val="000000"/>
              </w:rPr>
              <w:t>Using Experience</w:t>
            </w:r>
          </w:p>
        </w:tc>
        <w:tc>
          <w:tcPr>
            <w:tcW w:w="702" w:type="dxa"/>
            <w:tcBorders>
              <w:top w:val="double" w:sz="4" w:space="0" w:color="auto"/>
            </w:tcBorders>
            <w:shd w:val="clear" w:color="auto" w:fill="AEAAAA" w:themeFill="background2" w:themeFillShade="BF"/>
            <w:vAlign w:val="center"/>
          </w:tcPr>
          <w:p w14:paraId="60F13D7E" w14:textId="77777777" w:rsidR="00E46BC8" w:rsidRPr="00125740" w:rsidRDefault="00E46BC8" w:rsidP="00EA3F05">
            <w:pPr>
              <w:jc w:val="center"/>
              <w:rPr>
                <w:color w:val="FFFFFF" w:themeColor="background1"/>
              </w:rPr>
            </w:pPr>
          </w:p>
        </w:tc>
        <w:tc>
          <w:tcPr>
            <w:tcW w:w="854" w:type="dxa"/>
            <w:tcBorders>
              <w:top w:val="double" w:sz="4" w:space="0" w:color="auto"/>
            </w:tcBorders>
            <w:shd w:val="clear" w:color="auto" w:fill="auto"/>
            <w:vAlign w:val="center"/>
          </w:tcPr>
          <w:p w14:paraId="21D0EFB4" w14:textId="77777777" w:rsidR="00E46BC8" w:rsidRPr="00125740" w:rsidRDefault="00E46BC8" w:rsidP="00EA3F05">
            <w:pPr>
              <w:jc w:val="center"/>
            </w:pPr>
          </w:p>
        </w:tc>
        <w:tc>
          <w:tcPr>
            <w:tcW w:w="752" w:type="dxa"/>
            <w:tcBorders>
              <w:top w:val="double" w:sz="4" w:space="0" w:color="auto"/>
            </w:tcBorders>
            <w:shd w:val="clear" w:color="auto" w:fill="auto"/>
            <w:vAlign w:val="center"/>
          </w:tcPr>
          <w:p w14:paraId="67889991" w14:textId="77777777" w:rsidR="00E46BC8" w:rsidRPr="00125740" w:rsidRDefault="00E46BC8" w:rsidP="00EA3F05">
            <w:pPr>
              <w:jc w:val="center"/>
            </w:pPr>
          </w:p>
        </w:tc>
        <w:tc>
          <w:tcPr>
            <w:tcW w:w="800" w:type="dxa"/>
            <w:tcBorders>
              <w:top w:val="double" w:sz="4" w:space="0" w:color="auto"/>
            </w:tcBorders>
            <w:shd w:val="clear" w:color="auto" w:fill="auto"/>
            <w:vAlign w:val="center"/>
          </w:tcPr>
          <w:p w14:paraId="7E782CF5" w14:textId="77777777" w:rsidR="00E46BC8" w:rsidRPr="00125740" w:rsidRDefault="00E46BC8" w:rsidP="00EA3F05">
            <w:pPr>
              <w:jc w:val="center"/>
              <w:rPr>
                <w:color w:val="FFFFFF" w:themeColor="background1"/>
              </w:rPr>
            </w:pPr>
          </w:p>
        </w:tc>
        <w:tc>
          <w:tcPr>
            <w:tcW w:w="808" w:type="dxa"/>
            <w:tcBorders>
              <w:top w:val="double" w:sz="4" w:space="0" w:color="auto"/>
            </w:tcBorders>
            <w:shd w:val="clear" w:color="auto" w:fill="000000" w:themeFill="text1"/>
            <w:vAlign w:val="center"/>
          </w:tcPr>
          <w:p w14:paraId="6361B8AD" w14:textId="5DB05F39" w:rsidR="00E46BC8" w:rsidRPr="00125740" w:rsidRDefault="00E46BC8" w:rsidP="00EA3F05">
            <w:pPr>
              <w:jc w:val="center"/>
            </w:pPr>
            <w:r>
              <w:t>Yes</w:t>
            </w:r>
          </w:p>
        </w:tc>
        <w:tc>
          <w:tcPr>
            <w:tcW w:w="733" w:type="dxa"/>
            <w:tcBorders>
              <w:top w:val="double" w:sz="4" w:space="0" w:color="auto"/>
            </w:tcBorders>
            <w:shd w:val="clear" w:color="auto" w:fill="000000" w:themeFill="text1"/>
            <w:vAlign w:val="center"/>
          </w:tcPr>
          <w:p w14:paraId="36F6A07C" w14:textId="6B47D0C9" w:rsidR="00E46BC8" w:rsidRPr="00EA3F05" w:rsidRDefault="00E46BC8" w:rsidP="00EA3F05">
            <w:pPr>
              <w:jc w:val="center"/>
            </w:pPr>
            <w:r w:rsidRPr="00EA3F05">
              <w:t>Yes</w:t>
            </w:r>
          </w:p>
        </w:tc>
        <w:tc>
          <w:tcPr>
            <w:tcW w:w="660" w:type="dxa"/>
            <w:tcBorders>
              <w:top w:val="double" w:sz="4" w:space="0" w:color="auto"/>
            </w:tcBorders>
            <w:shd w:val="clear" w:color="auto" w:fill="auto"/>
            <w:vAlign w:val="center"/>
          </w:tcPr>
          <w:p w14:paraId="2E779482" w14:textId="77777777" w:rsidR="00E46BC8" w:rsidRPr="00125740" w:rsidRDefault="00E46BC8" w:rsidP="00EA3F05">
            <w:pPr>
              <w:jc w:val="center"/>
              <w:rPr>
                <w:rFonts w:ascii="Calibri" w:hAnsi="Calibri" w:cs="Calibri"/>
                <w:color w:val="000000"/>
              </w:rPr>
            </w:pPr>
          </w:p>
        </w:tc>
      </w:tr>
      <w:tr w:rsidR="00E46BC8" w:rsidRPr="00125740" w14:paraId="1966FDBD" w14:textId="77777777" w:rsidTr="00EA3F05">
        <w:tc>
          <w:tcPr>
            <w:tcW w:w="1781" w:type="dxa"/>
          </w:tcPr>
          <w:p w14:paraId="0698DD3F" w14:textId="77777777" w:rsidR="00E46BC8" w:rsidRPr="00125740" w:rsidRDefault="00E46BC8" w:rsidP="000A67D8">
            <w:pPr>
              <w:rPr>
                <w:b/>
                <w:bCs/>
              </w:rPr>
            </w:pPr>
            <w:r w:rsidRPr="00125740">
              <w:rPr>
                <w:rFonts w:ascii="Calibri" w:hAnsi="Calibri" w:cs="Calibri"/>
                <w:b/>
                <w:bCs/>
                <w:color w:val="000000"/>
              </w:rPr>
              <w:t xml:space="preserve">Strategies &amp; </w:t>
            </w:r>
            <w:r w:rsidRPr="00125740">
              <w:rPr>
                <w:rFonts w:ascii="Calibri" w:hAnsi="Calibri" w:cs="Calibri"/>
                <w:b/>
                <w:bCs/>
                <w:color w:val="000000"/>
              </w:rPr>
              <w:lastRenderedPageBreak/>
              <w:t>Informal Practice</w:t>
            </w:r>
          </w:p>
        </w:tc>
        <w:tc>
          <w:tcPr>
            <w:tcW w:w="702" w:type="dxa"/>
            <w:shd w:val="clear" w:color="auto" w:fill="auto"/>
            <w:vAlign w:val="center"/>
          </w:tcPr>
          <w:p w14:paraId="316C63C6" w14:textId="77777777" w:rsidR="00E46BC8" w:rsidRPr="00125740" w:rsidRDefault="00E46BC8" w:rsidP="00EA3F05">
            <w:pPr>
              <w:jc w:val="center"/>
              <w:rPr>
                <w:color w:val="FFFFFF" w:themeColor="background1"/>
              </w:rPr>
            </w:pPr>
          </w:p>
        </w:tc>
        <w:tc>
          <w:tcPr>
            <w:tcW w:w="854" w:type="dxa"/>
            <w:shd w:val="clear" w:color="auto" w:fill="auto"/>
            <w:vAlign w:val="center"/>
          </w:tcPr>
          <w:p w14:paraId="263C6B03" w14:textId="60CEB525" w:rsidR="00E46BC8" w:rsidRPr="00125740" w:rsidRDefault="00E46BC8" w:rsidP="00EA3F05">
            <w:pPr>
              <w:jc w:val="center"/>
            </w:pPr>
            <w:r>
              <w:t>Yes</w:t>
            </w:r>
          </w:p>
        </w:tc>
        <w:tc>
          <w:tcPr>
            <w:tcW w:w="752" w:type="dxa"/>
            <w:shd w:val="clear" w:color="auto" w:fill="AEAAAA" w:themeFill="background2" w:themeFillShade="BF"/>
            <w:vAlign w:val="center"/>
          </w:tcPr>
          <w:p w14:paraId="76E221E3" w14:textId="77777777" w:rsidR="00E46BC8" w:rsidRPr="00125740" w:rsidRDefault="00E46BC8" w:rsidP="00EA3F05">
            <w:pPr>
              <w:jc w:val="center"/>
            </w:pPr>
          </w:p>
        </w:tc>
        <w:tc>
          <w:tcPr>
            <w:tcW w:w="800" w:type="dxa"/>
            <w:shd w:val="clear" w:color="auto" w:fill="auto"/>
            <w:vAlign w:val="center"/>
          </w:tcPr>
          <w:p w14:paraId="5C3AEC76" w14:textId="77777777" w:rsidR="00E46BC8" w:rsidRPr="00125740" w:rsidRDefault="00E46BC8" w:rsidP="00EA3F05">
            <w:pPr>
              <w:jc w:val="center"/>
              <w:rPr>
                <w:color w:val="FFFFFF" w:themeColor="background1"/>
              </w:rPr>
            </w:pPr>
          </w:p>
        </w:tc>
        <w:tc>
          <w:tcPr>
            <w:tcW w:w="808" w:type="dxa"/>
            <w:shd w:val="clear" w:color="auto" w:fill="000000" w:themeFill="text1"/>
            <w:vAlign w:val="center"/>
          </w:tcPr>
          <w:p w14:paraId="5B8E5364" w14:textId="46444E4F" w:rsidR="00E46BC8" w:rsidRPr="00125740" w:rsidRDefault="00E46BC8" w:rsidP="00EA3F05">
            <w:pPr>
              <w:jc w:val="center"/>
            </w:pPr>
            <w:r>
              <w:t>Yes</w:t>
            </w:r>
          </w:p>
        </w:tc>
        <w:tc>
          <w:tcPr>
            <w:tcW w:w="733" w:type="dxa"/>
            <w:shd w:val="clear" w:color="auto" w:fill="000000" w:themeFill="text1"/>
            <w:vAlign w:val="center"/>
          </w:tcPr>
          <w:p w14:paraId="7E220C13" w14:textId="250E2DFD" w:rsidR="00E46BC8" w:rsidRPr="00EA3F05" w:rsidRDefault="00E46BC8" w:rsidP="00EA3F05">
            <w:pPr>
              <w:jc w:val="center"/>
            </w:pPr>
            <w:r w:rsidRPr="00EA3F05">
              <w:t>Yes</w:t>
            </w:r>
          </w:p>
        </w:tc>
        <w:tc>
          <w:tcPr>
            <w:tcW w:w="660" w:type="dxa"/>
            <w:shd w:val="clear" w:color="auto" w:fill="AEAAAA" w:themeFill="background2" w:themeFillShade="BF"/>
            <w:vAlign w:val="center"/>
          </w:tcPr>
          <w:p w14:paraId="7B36328E" w14:textId="10BA38A9" w:rsidR="00E46BC8" w:rsidRPr="00125740" w:rsidRDefault="00E46BC8" w:rsidP="00EA3F05">
            <w:pPr>
              <w:jc w:val="center"/>
              <w:rPr>
                <w:rFonts w:ascii="Calibri" w:hAnsi="Calibri" w:cs="Calibri"/>
                <w:color w:val="000000"/>
              </w:rPr>
            </w:pPr>
            <w:r>
              <w:rPr>
                <w:rFonts w:ascii="Calibri" w:hAnsi="Calibri" w:cs="Calibri"/>
                <w:color w:val="000000"/>
              </w:rPr>
              <w:t>Yes</w:t>
            </w:r>
          </w:p>
        </w:tc>
      </w:tr>
      <w:tr w:rsidR="00E46BC8" w:rsidRPr="00125740" w14:paraId="3BAC6B84" w14:textId="77777777" w:rsidTr="00EA3F05">
        <w:tc>
          <w:tcPr>
            <w:tcW w:w="1781" w:type="dxa"/>
          </w:tcPr>
          <w:p w14:paraId="1F20FFFF" w14:textId="77777777" w:rsidR="00E46BC8" w:rsidRPr="00125740" w:rsidRDefault="00E46BC8" w:rsidP="000A67D8">
            <w:pPr>
              <w:rPr>
                <w:b/>
                <w:bCs/>
              </w:rPr>
            </w:pPr>
            <w:r w:rsidRPr="00125740">
              <w:rPr>
                <w:rFonts w:ascii="Calibri" w:hAnsi="Calibri" w:cs="Calibri"/>
                <w:b/>
                <w:bCs/>
                <w:color w:val="000000"/>
              </w:rPr>
              <w:t>Acquiring Knowledge</w:t>
            </w:r>
          </w:p>
        </w:tc>
        <w:tc>
          <w:tcPr>
            <w:tcW w:w="702" w:type="dxa"/>
            <w:shd w:val="clear" w:color="auto" w:fill="AEAAAA" w:themeFill="background2" w:themeFillShade="BF"/>
            <w:vAlign w:val="center"/>
          </w:tcPr>
          <w:p w14:paraId="5009A64A" w14:textId="77777777" w:rsidR="00E46BC8" w:rsidRPr="00125740" w:rsidRDefault="00E46BC8" w:rsidP="00EA3F05">
            <w:pPr>
              <w:jc w:val="center"/>
              <w:rPr>
                <w:color w:val="FFFFFF" w:themeColor="background1"/>
              </w:rPr>
            </w:pPr>
          </w:p>
        </w:tc>
        <w:tc>
          <w:tcPr>
            <w:tcW w:w="854" w:type="dxa"/>
            <w:shd w:val="clear" w:color="auto" w:fill="auto"/>
            <w:vAlign w:val="center"/>
          </w:tcPr>
          <w:p w14:paraId="1D3D37C2" w14:textId="77777777" w:rsidR="00E46BC8" w:rsidRPr="00125740" w:rsidRDefault="00E46BC8" w:rsidP="00EA3F05">
            <w:pPr>
              <w:jc w:val="center"/>
            </w:pPr>
          </w:p>
        </w:tc>
        <w:tc>
          <w:tcPr>
            <w:tcW w:w="752" w:type="dxa"/>
            <w:shd w:val="clear" w:color="auto" w:fill="auto"/>
            <w:vAlign w:val="center"/>
          </w:tcPr>
          <w:p w14:paraId="5090BCE8" w14:textId="77777777" w:rsidR="00E46BC8" w:rsidRPr="00125740" w:rsidRDefault="00E46BC8" w:rsidP="00EA3F05">
            <w:pPr>
              <w:jc w:val="center"/>
            </w:pPr>
          </w:p>
        </w:tc>
        <w:tc>
          <w:tcPr>
            <w:tcW w:w="800" w:type="dxa"/>
            <w:shd w:val="clear" w:color="auto" w:fill="auto"/>
            <w:vAlign w:val="center"/>
          </w:tcPr>
          <w:p w14:paraId="5BABE94B" w14:textId="77777777" w:rsidR="00E46BC8" w:rsidRPr="00125740" w:rsidRDefault="00E46BC8" w:rsidP="00EA3F05">
            <w:pPr>
              <w:jc w:val="center"/>
              <w:rPr>
                <w:color w:val="FFFFFF" w:themeColor="background1"/>
              </w:rPr>
            </w:pPr>
          </w:p>
        </w:tc>
        <w:tc>
          <w:tcPr>
            <w:tcW w:w="808" w:type="dxa"/>
            <w:shd w:val="clear" w:color="auto" w:fill="AEAAAA" w:themeFill="background2" w:themeFillShade="BF"/>
            <w:vAlign w:val="center"/>
          </w:tcPr>
          <w:p w14:paraId="6D21DA5B" w14:textId="53727EA8" w:rsidR="00E46BC8" w:rsidRPr="00125740" w:rsidRDefault="00E46BC8" w:rsidP="00EA3F05">
            <w:pPr>
              <w:jc w:val="center"/>
            </w:pPr>
            <w:r>
              <w:t>Yes</w:t>
            </w:r>
          </w:p>
        </w:tc>
        <w:tc>
          <w:tcPr>
            <w:tcW w:w="733" w:type="dxa"/>
            <w:shd w:val="clear" w:color="auto" w:fill="000000" w:themeFill="text1"/>
            <w:vAlign w:val="center"/>
          </w:tcPr>
          <w:p w14:paraId="46C2B56B" w14:textId="5B5E997D" w:rsidR="00E46BC8" w:rsidRPr="00125740" w:rsidRDefault="00E46BC8" w:rsidP="00EA3F05">
            <w:pPr>
              <w:jc w:val="center"/>
            </w:pPr>
            <w:r>
              <w:t>Yes</w:t>
            </w:r>
          </w:p>
        </w:tc>
        <w:tc>
          <w:tcPr>
            <w:tcW w:w="660" w:type="dxa"/>
            <w:shd w:val="clear" w:color="auto" w:fill="auto"/>
            <w:vAlign w:val="center"/>
          </w:tcPr>
          <w:p w14:paraId="36B69420" w14:textId="77777777" w:rsidR="00E46BC8" w:rsidRPr="00125740" w:rsidRDefault="00E46BC8" w:rsidP="00EA3F05">
            <w:pPr>
              <w:jc w:val="center"/>
            </w:pPr>
          </w:p>
        </w:tc>
      </w:tr>
      <w:tr w:rsidR="00E46BC8" w:rsidRPr="00125740" w14:paraId="038E2A81" w14:textId="77777777" w:rsidTr="00EA3F05">
        <w:tc>
          <w:tcPr>
            <w:tcW w:w="1781" w:type="dxa"/>
          </w:tcPr>
          <w:p w14:paraId="60A573FA" w14:textId="77777777" w:rsidR="00E46BC8" w:rsidRPr="00125740" w:rsidRDefault="00E46BC8" w:rsidP="000A67D8">
            <w:pPr>
              <w:rPr>
                <w:b/>
                <w:bCs/>
              </w:rPr>
            </w:pPr>
            <w:r w:rsidRPr="00125740">
              <w:rPr>
                <w:rFonts w:ascii="Calibri" w:hAnsi="Calibri" w:cs="Calibri"/>
                <w:b/>
                <w:bCs/>
                <w:color w:val="000000"/>
              </w:rPr>
              <w:t>Unpredictability of Consequences</w:t>
            </w:r>
          </w:p>
        </w:tc>
        <w:tc>
          <w:tcPr>
            <w:tcW w:w="702" w:type="dxa"/>
            <w:shd w:val="clear" w:color="auto" w:fill="auto"/>
            <w:vAlign w:val="center"/>
          </w:tcPr>
          <w:p w14:paraId="465F3388" w14:textId="77777777" w:rsidR="00E46BC8" w:rsidRPr="00125740" w:rsidRDefault="00E46BC8" w:rsidP="00EA3F05">
            <w:pPr>
              <w:jc w:val="center"/>
            </w:pPr>
          </w:p>
        </w:tc>
        <w:tc>
          <w:tcPr>
            <w:tcW w:w="854" w:type="dxa"/>
            <w:shd w:val="clear" w:color="auto" w:fill="000000" w:themeFill="text1"/>
            <w:vAlign w:val="center"/>
          </w:tcPr>
          <w:p w14:paraId="4D48CFF5" w14:textId="280FB5C8" w:rsidR="00E46BC8" w:rsidRPr="00125740" w:rsidRDefault="00E46BC8" w:rsidP="00EA3F05">
            <w:pPr>
              <w:jc w:val="center"/>
            </w:pPr>
            <w:r>
              <w:t>Yes</w:t>
            </w:r>
          </w:p>
        </w:tc>
        <w:tc>
          <w:tcPr>
            <w:tcW w:w="752" w:type="dxa"/>
            <w:shd w:val="clear" w:color="auto" w:fill="000000" w:themeFill="text1"/>
            <w:vAlign w:val="center"/>
          </w:tcPr>
          <w:p w14:paraId="7D5EC4E3" w14:textId="4C82EEC6" w:rsidR="00E46BC8" w:rsidRPr="00125740" w:rsidRDefault="00E46BC8" w:rsidP="00EA3F05">
            <w:pPr>
              <w:jc w:val="center"/>
            </w:pPr>
            <w:r>
              <w:t>Yes</w:t>
            </w:r>
          </w:p>
        </w:tc>
        <w:tc>
          <w:tcPr>
            <w:tcW w:w="800" w:type="dxa"/>
            <w:shd w:val="clear" w:color="auto" w:fill="auto"/>
            <w:vAlign w:val="center"/>
          </w:tcPr>
          <w:p w14:paraId="37B44555" w14:textId="77777777" w:rsidR="00E46BC8" w:rsidRPr="00125740" w:rsidRDefault="00E46BC8" w:rsidP="00EA3F05">
            <w:pPr>
              <w:jc w:val="center"/>
              <w:rPr>
                <w:color w:val="FFFFFF" w:themeColor="background1"/>
              </w:rPr>
            </w:pPr>
          </w:p>
        </w:tc>
        <w:tc>
          <w:tcPr>
            <w:tcW w:w="808" w:type="dxa"/>
            <w:shd w:val="clear" w:color="auto" w:fill="AEAAAA" w:themeFill="background2" w:themeFillShade="BF"/>
            <w:vAlign w:val="center"/>
          </w:tcPr>
          <w:p w14:paraId="19D493F1" w14:textId="6A623409" w:rsidR="00E46BC8" w:rsidRPr="00125740" w:rsidRDefault="00E27AD4" w:rsidP="00EA3F05">
            <w:pPr>
              <w:jc w:val="center"/>
            </w:pPr>
            <w:r>
              <w:t>Yes</w:t>
            </w:r>
          </w:p>
        </w:tc>
        <w:tc>
          <w:tcPr>
            <w:tcW w:w="733" w:type="dxa"/>
            <w:shd w:val="clear" w:color="auto" w:fill="auto"/>
            <w:vAlign w:val="center"/>
          </w:tcPr>
          <w:p w14:paraId="0B3C31A9" w14:textId="7747E56D" w:rsidR="00E46BC8" w:rsidRPr="00125740" w:rsidRDefault="00E46BC8" w:rsidP="00EA3F05">
            <w:pPr>
              <w:jc w:val="center"/>
            </w:pPr>
            <w:r>
              <w:t>Yes</w:t>
            </w:r>
          </w:p>
        </w:tc>
        <w:tc>
          <w:tcPr>
            <w:tcW w:w="660" w:type="dxa"/>
            <w:shd w:val="clear" w:color="auto" w:fill="auto"/>
            <w:vAlign w:val="center"/>
          </w:tcPr>
          <w:p w14:paraId="1F49E136" w14:textId="77777777" w:rsidR="00E46BC8" w:rsidRPr="00125740" w:rsidRDefault="00E46BC8" w:rsidP="00EA3F05">
            <w:pPr>
              <w:jc w:val="center"/>
            </w:pPr>
          </w:p>
        </w:tc>
      </w:tr>
      <w:tr w:rsidR="00E46BC8" w:rsidRPr="00125740" w14:paraId="4DDEBD05" w14:textId="77777777" w:rsidTr="00EA3F05">
        <w:tc>
          <w:tcPr>
            <w:tcW w:w="1781" w:type="dxa"/>
          </w:tcPr>
          <w:p w14:paraId="00015B21" w14:textId="77777777" w:rsidR="00E46BC8" w:rsidRPr="00125740" w:rsidRDefault="00E46BC8" w:rsidP="000A67D8">
            <w:pPr>
              <w:rPr>
                <w:b/>
                <w:bCs/>
              </w:rPr>
            </w:pPr>
            <w:r w:rsidRPr="00125740">
              <w:rPr>
                <w:rFonts w:ascii="Calibri" w:hAnsi="Calibri" w:cs="Calibri"/>
                <w:b/>
                <w:bCs/>
                <w:color w:val="000000"/>
              </w:rPr>
              <w:t>Trade-off for Performance</w:t>
            </w:r>
          </w:p>
        </w:tc>
        <w:tc>
          <w:tcPr>
            <w:tcW w:w="702" w:type="dxa"/>
            <w:shd w:val="clear" w:color="auto" w:fill="auto"/>
            <w:vAlign w:val="center"/>
          </w:tcPr>
          <w:p w14:paraId="4F11A04F" w14:textId="77777777" w:rsidR="00E46BC8" w:rsidRPr="00125740" w:rsidRDefault="00E46BC8" w:rsidP="00EA3F05">
            <w:pPr>
              <w:jc w:val="center"/>
              <w:rPr>
                <w:color w:val="FFFFFF" w:themeColor="background1"/>
              </w:rPr>
            </w:pPr>
          </w:p>
        </w:tc>
        <w:tc>
          <w:tcPr>
            <w:tcW w:w="854" w:type="dxa"/>
            <w:shd w:val="clear" w:color="auto" w:fill="AEAAAA" w:themeFill="background2" w:themeFillShade="BF"/>
            <w:vAlign w:val="center"/>
          </w:tcPr>
          <w:p w14:paraId="723FCDB1" w14:textId="77777777" w:rsidR="00E46BC8" w:rsidRPr="00125740" w:rsidRDefault="00E46BC8" w:rsidP="00EA3F05">
            <w:pPr>
              <w:jc w:val="center"/>
            </w:pPr>
          </w:p>
        </w:tc>
        <w:tc>
          <w:tcPr>
            <w:tcW w:w="752" w:type="dxa"/>
            <w:shd w:val="clear" w:color="auto" w:fill="AEAAAA" w:themeFill="background2" w:themeFillShade="BF"/>
            <w:vAlign w:val="center"/>
          </w:tcPr>
          <w:p w14:paraId="14C2E295" w14:textId="7EDD21F8" w:rsidR="00E46BC8" w:rsidRPr="00125740" w:rsidRDefault="00E46BC8" w:rsidP="00EA3F05">
            <w:pPr>
              <w:jc w:val="center"/>
            </w:pPr>
            <w:r>
              <w:t>Yes</w:t>
            </w:r>
          </w:p>
        </w:tc>
        <w:tc>
          <w:tcPr>
            <w:tcW w:w="800" w:type="dxa"/>
            <w:shd w:val="clear" w:color="auto" w:fill="auto"/>
            <w:vAlign w:val="center"/>
          </w:tcPr>
          <w:p w14:paraId="137B3B88" w14:textId="77777777" w:rsidR="00E46BC8" w:rsidRPr="00125740" w:rsidRDefault="00E46BC8" w:rsidP="00EA3F05">
            <w:pPr>
              <w:jc w:val="center"/>
              <w:rPr>
                <w:color w:val="FFFFFF" w:themeColor="background1"/>
              </w:rPr>
            </w:pPr>
          </w:p>
        </w:tc>
        <w:tc>
          <w:tcPr>
            <w:tcW w:w="808" w:type="dxa"/>
            <w:shd w:val="clear" w:color="auto" w:fill="000000" w:themeFill="text1"/>
            <w:vAlign w:val="center"/>
          </w:tcPr>
          <w:p w14:paraId="79A79C3B" w14:textId="62D90CBD" w:rsidR="00E46BC8" w:rsidRPr="00125740" w:rsidRDefault="00E46BC8" w:rsidP="00EA3F05">
            <w:pPr>
              <w:jc w:val="center"/>
            </w:pPr>
            <w:r>
              <w:t>Yes</w:t>
            </w:r>
          </w:p>
        </w:tc>
        <w:tc>
          <w:tcPr>
            <w:tcW w:w="733" w:type="dxa"/>
            <w:shd w:val="clear" w:color="auto" w:fill="000000" w:themeFill="text1"/>
            <w:vAlign w:val="center"/>
          </w:tcPr>
          <w:p w14:paraId="2E217CBE" w14:textId="3B8688C3" w:rsidR="00E46BC8" w:rsidRPr="00125740" w:rsidRDefault="00E46BC8" w:rsidP="00EA3F05">
            <w:pPr>
              <w:jc w:val="center"/>
              <w:rPr>
                <w:rFonts w:ascii="Calibri" w:hAnsi="Calibri" w:cs="Calibri"/>
                <w:color w:val="000000"/>
              </w:rPr>
            </w:pPr>
            <w:r w:rsidRPr="00EA3F05">
              <w:t>Yes</w:t>
            </w:r>
          </w:p>
        </w:tc>
        <w:tc>
          <w:tcPr>
            <w:tcW w:w="660" w:type="dxa"/>
            <w:shd w:val="clear" w:color="auto" w:fill="auto"/>
            <w:vAlign w:val="center"/>
          </w:tcPr>
          <w:p w14:paraId="55BB61DC" w14:textId="77777777" w:rsidR="00E46BC8" w:rsidRPr="00125740" w:rsidRDefault="00E46BC8" w:rsidP="00EA3F05">
            <w:pPr>
              <w:jc w:val="center"/>
              <w:rPr>
                <w:rFonts w:ascii="Calibri" w:hAnsi="Calibri" w:cs="Calibri"/>
                <w:color w:val="000000"/>
              </w:rPr>
            </w:pPr>
          </w:p>
        </w:tc>
      </w:tr>
      <w:tr w:rsidR="00E46BC8" w:rsidRPr="00125740" w14:paraId="67630B3C" w14:textId="77777777" w:rsidTr="00EA3F05">
        <w:tc>
          <w:tcPr>
            <w:tcW w:w="1781" w:type="dxa"/>
          </w:tcPr>
          <w:p w14:paraId="75064606" w14:textId="77777777" w:rsidR="00E46BC8" w:rsidRPr="00125740" w:rsidRDefault="00E46BC8" w:rsidP="000A67D8">
            <w:pPr>
              <w:rPr>
                <w:b/>
                <w:bCs/>
              </w:rPr>
            </w:pPr>
            <w:r w:rsidRPr="00125740">
              <w:rPr>
                <w:rFonts w:ascii="Calibri" w:hAnsi="Calibri" w:cs="Calibri"/>
                <w:b/>
                <w:bCs/>
                <w:color w:val="000000"/>
              </w:rPr>
              <w:t>Skills Needed</w:t>
            </w:r>
          </w:p>
        </w:tc>
        <w:tc>
          <w:tcPr>
            <w:tcW w:w="702" w:type="dxa"/>
            <w:shd w:val="clear" w:color="auto" w:fill="AEAAAA" w:themeFill="background2" w:themeFillShade="BF"/>
            <w:vAlign w:val="center"/>
          </w:tcPr>
          <w:p w14:paraId="0CB952E3" w14:textId="77777777" w:rsidR="00E46BC8" w:rsidRPr="00125740" w:rsidRDefault="00E46BC8" w:rsidP="00EA3F05">
            <w:pPr>
              <w:jc w:val="center"/>
              <w:rPr>
                <w:color w:val="FFFFFF" w:themeColor="background1"/>
              </w:rPr>
            </w:pPr>
          </w:p>
        </w:tc>
        <w:tc>
          <w:tcPr>
            <w:tcW w:w="854" w:type="dxa"/>
            <w:shd w:val="clear" w:color="auto" w:fill="auto"/>
            <w:vAlign w:val="center"/>
          </w:tcPr>
          <w:p w14:paraId="3CAD87EF" w14:textId="77777777" w:rsidR="00E46BC8" w:rsidRPr="00125740" w:rsidRDefault="00E46BC8" w:rsidP="00EA3F05">
            <w:pPr>
              <w:jc w:val="center"/>
            </w:pPr>
          </w:p>
        </w:tc>
        <w:tc>
          <w:tcPr>
            <w:tcW w:w="752" w:type="dxa"/>
            <w:shd w:val="clear" w:color="auto" w:fill="AEAAAA" w:themeFill="background2" w:themeFillShade="BF"/>
            <w:vAlign w:val="center"/>
          </w:tcPr>
          <w:p w14:paraId="6844C1E0" w14:textId="77777777" w:rsidR="00E46BC8" w:rsidRPr="00125740" w:rsidRDefault="00E46BC8" w:rsidP="00EA3F05">
            <w:pPr>
              <w:jc w:val="center"/>
            </w:pPr>
          </w:p>
        </w:tc>
        <w:tc>
          <w:tcPr>
            <w:tcW w:w="800" w:type="dxa"/>
            <w:shd w:val="clear" w:color="auto" w:fill="auto"/>
            <w:vAlign w:val="center"/>
          </w:tcPr>
          <w:p w14:paraId="30CE975A" w14:textId="77777777" w:rsidR="00E46BC8" w:rsidRPr="00125740" w:rsidRDefault="00E46BC8" w:rsidP="00EA3F05">
            <w:pPr>
              <w:jc w:val="center"/>
              <w:rPr>
                <w:color w:val="FFFFFF" w:themeColor="background1"/>
              </w:rPr>
            </w:pPr>
          </w:p>
        </w:tc>
        <w:tc>
          <w:tcPr>
            <w:tcW w:w="808" w:type="dxa"/>
            <w:shd w:val="clear" w:color="auto" w:fill="000000" w:themeFill="text1"/>
            <w:vAlign w:val="center"/>
          </w:tcPr>
          <w:p w14:paraId="00911D88" w14:textId="5911B9A7" w:rsidR="00E46BC8" w:rsidRPr="00125740" w:rsidRDefault="00E46BC8" w:rsidP="00EA3F05">
            <w:pPr>
              <w:jc w:val="center"/>
            </w:pPr>
            <w:r>
              <w:t>Yes</w:t>
            </w:r>
          </w:p>
        </w:tc>
        <w:tc>
          <w:tcPr>
            <w:tcW w:w="733" w:type="dxa"/>
            <w:shd w:val="clear" w:color="auto" w:fill="AEAAAA" w:themeFill="background2" w:themeFillShade="BF"/>
            <w:vAlign w:val="center"/>
          </w:tcPr>
          <w:p w14:paraId="5A26A8F8" w14:textId="58E7A778" w:rsidR="00E46BC8" w:rsidRPr="00125740" w:rsidRDefault="00E46BC8" w:rsidP="00EA3F05">
            <w:pPr>
              <w:jc w:val="center"/>
              <w:rPr>
                <w:rFonts w:ascii="Calibri" w:hAnsi="Calibri" w:cs="Calibri"/>
                <w:color w:val="000000"/>
              </w:rPr>
            </w:pPr>
            <w:r>
              <w:rPr>
                <w:rFonts w:ascii="Calibri" w:hAnsi="Calibri" w:cs="Calibri"/>
                <w:color w:val="000000"/>
              </w:rPr>
              <w:t>Yes</w:t>
            </w:r>
          </w:p>
        </w:tc>
        <w:tc>
          <w:tcPr>
            <w:tcW w:w="660" w:type="dxa"/>
            <w:shd w:val="clear" w:color="auto" w:fill="auto"/>
            <w:vAlign w:val="center"/>
          </w:tcPr>
          <w:p w14:paraId="182D25A3" w14:textId="77777777" w:rsidR="00E46BC8" w:rsidRPr="00125740" w:rsidRDefault="00E46BC8" w:rsidP="00EA3F05">
            <w:pPr>
              <w:jc w:val="center"/>
              <w:rPr>
                <w:rFonts w:ascii="Calibri" w:hAnsi="Calibri" w:cs="Calibri"/>
                <w:color w:val="000000"/>
              </w:rPr>
            </w:pPr>
          </w:p>
        </w:tc>
      </w:tr>
      <w:tr w:rsidR="00E46BC8" w:rsidRPr="00125740" w14:paraId="73DFEB11" w14:textId="77777777" w:rsidTr="00EA3F05">
        <w:tc>
          <w:tcPr>
            <w:tcW w:w="1781" w:type="dxa"/>
          </w:tcPr>
          <w:p w14:paraId="5DB2EE16" w14:textId="77777777" w:rsidR="00E46BC8" w:rsidRPr="00125740" w:rsidRDefault="00E46BC8" w:rsidP="000A67D8">
            <w:pPr>
              <w:rPr>
                <w:b/>
                <w:bCs/>
              </w:rPr>
            </w:pPr>
            <w:r w:rsidRPr="00125740">
              <w:rPr>
                <w:rFonts w:ascii="Calibri" w:hAnsi="Calibri" w:cs="Calibri"/>
                <w:b/>
                <w:bCs/>
                <w:color w:val="000000"/>
              </w:rPr>
              <w:t>Violations</w:t>
            </w:r>
          </w:p>
        </w:tc>
        <w:tc>
          <w:tcPr>
            <w:tcW w:w="702" w:type="dxa"/>
            <w:shd w:val="clear" w:color="auto" w:fill="auto"/>
            <w:vAlign w:val="center"/>
          </w:tcPr>
          <w:p w14:paraId="3464B469" w14:textId="77777777" w:rsidR="00E46BC8" w:rsidRPr="00125740" w:rsidRDefault="00E46BC8" w:rsidP="00EA3F05">
            <w:pPr>
              <w:jc w:val="center"/>
              <w:rPr>
                <w:color w:val="FFFFFF" w:themeColor="background1"/>
              </w:rPr>
            </w:pPr>
          </w:p>
        </w:tc>
        <w:tc>
          <w:tcPr>
            <w:tcW w:w="854" w:type="dxa"/>
            <w:shd w:val="clear" w:color="auto" w:fill="000000" w:themeFill="text1"/>
            <w:vAlign w:val="center"/>
          </w:tcPr>
          <w:p w14:paraId="1669E1A2" w14:textId="3ED24712" w:rsidR="00E46BC8" w:rsidRPr="00125740" w:rsidRDefault="00E46BC8" w:rsidP="00EA3F05">
            <w:pPr>
              <w:jc w:val="center"/>
            </w:pPr>
            <w:r>
              <w:t>Yes</w:t>
            </w:r>
          </w:p>
        </w:tc>
        <w:tc>
          <w:tcPr>
            <w:tcW w:w="752" w:type="dxa"/>
            <w:shd w:val="clear" w:color="auto" w:fill="AEAAAA" w:themeFill="background2" w:themeFillShade="BF"/>
            <w:vAlign w:val="center"/>
          </w:tcPr>
          <w:p w14:paraId="7701D43F" w14:textId="77777777" w:rsidR="00E46BC8" w:rsidRPr="00125740" w:rsidRDefault="00E46BC8" w:rsidP="00EA3F05">
            <w:pPr>
              <w:jc w:val="center"/>
            </w:pPr>
          </w:p>
        </w:tc>
        <w:tc>
          <w:tcPr>
            <w:tcW w:w="800" w:type="dxa"/>
            <w:shd w:val="clear" w:color="auto" w:fill="AEAAAA" w:themeFill="background2" w:themeFillShade="BF"/>
            <w:vAlign w:val="center"/>
          </w:tcPr>
          <w:p w14:paraId="1C387145" w14:textId="206527C9" w:rsidR="00E46BC8" w:rsidRPr="00125740" w:rsidRDefault="00E46BC8" w:rsidP="00EA3F05">
            <w:pPr>
              <w:jc w:val="center"/>
            </w:pPr>
            <w:r>
              <w:t>Yes</w:t>
            </w:r>
          </w:p>
        </w:tc>
        <w:tc>
          <w:tcPr>
            <w:tcW w:w="808" w:type="dxa"/>
            <w:shd w:val="clear" w:color="auto" w:fill="auto"/>
            <w:vAlign w:val="center"/>
          </w:tcPr>
          <w:p w14:paraId="3C5E2BA0" w14:textId="77777777" w:rsidR="00E46BC8" w:rsidRPr="00125740" w:rsidRDefault="00E46BC8" w:rsidP="00EA3F05">
            <w:pPr>
              <w:jc w:val="center"/>
            </w:pPr>
          </w:p>
        </w:tc>
        <w:tc>
          <w:tcPr>
            <w:tcW w:w="733" w:type="dxa"/>
            <w:shd w:val="clear" w:color="auto" w:fill="000000" w:themeFill="text1"/>
            <w:vAlign w:val="center"/>
          </w:tcPr>
          <w:p w14:paraId="03BC5E83" w14:textId="77777777" w:rsidR="00E46BC8" w:rsidRPr="00125740" w:rsidRDefault="00E46BC8" w:rsidP="00EA3F05">
            <w:pPr>
              <w:jc w:val="center"/>
              <w:rPr>
                <w:rFonts w:ascii="Calibri" w:hAnsi="Calibri" w:cs="Calibri"/>
                <w:color w:val="000000"/>
              </w:rPr>
            </w:pPr>
          </w:p>
        </w:tc>
        <w:tc>
          <w:tcPr>
            <w:tcW w:w="660" w:type="dxa"/>
            <w:shd w:val="clear" w:color="auto" w:fill="auto"/>
            <w:vAlign w:val="center"/>
          </w:tcPr>
          <w:p w14:paraId="6C8282B5" w14:textId="77777777" w:rsidR="00E46BC8" w:rsidRPr="00125740" w:rsidRDefault="00E46BC8" w:rsidP="00EA3F05">
            <w:pPr>
              <w:jc w:val="center"/>
              <w:rPr>
                <w:rFonts w:ascii="Calibri" w:hAnsi="Calibri" w:cs="Calibri"/>
                <w:color w:val="000000"/>
              </w:rPr>
            </w:pPr>
          </w:p>
        </w:tc>
      </w:tr>
      <w:tr w:rsidR="00E46BC8" w:rsidRPr="00125740" w14:paraId="33AC72BB" w14:textId="77777777" w:rsidTr="00EA3F05">
        <w:tc>
          <w:tcPr>
            <w:tcW w:w="1781" w:type="dxa"/>
          </w:tcPr>
          <w:p w14:paraId="7049DF9D" w14:textId="77777777" w:rsidR="00E46BC8" w:rsidRPr="00125740" w:rsidRDefault="00E46BC8" w:rsidP="000A67D8">
            <w:pPr>
              <w:rPr>
                <w:b/>
                <w:bCs/>
              </w:rPr>
            </w:pPr>
            <w:r w:rsidRPr="00125740">
              <w:rPr>
                <w:rFonts w:ascii="Calibri" w:hAnsi="Calibri" w:cs="Calibri"/>
                <w:b/>
                <w:bCs/>
                <w:color w:val="000000"/>
              </w:rPr>
              <w:t>Improvisation &amp; Creativity</w:t>
            </w:r>
          </w:p>
        </w:tc>
        <w:tc>
          <w:tcPr>
            <w:tcW w:w="702" w:type="dxa"/>
            <w:shd w:val="clear" w:color="auto" w:fill="auto"/>
            <w:vAlign w:val="center"/>
          </w:tcPr>
          <w:p w14:paraId="5D146E5D" w14:textId="77777777" w:rsidR="00E46BC8" w:rsidRPr="00125740" w:rsidRDefault="00E46BC8" w:rsidP="00EA3F05">
            <w:pPr>
              <w:jc w:val="center"/>
              <w:rPr>
                <w:color w:val="FFFFFF" w:themeColor="background1"/>
              </w:rPr>
            </w:pPr>
          </w:p>
        </w:tc>
        <w:tc>
          <w:tcPr>
            <w:tcW w:w="854" w:type="dxa"/>
            <w:shd w:val="clear" w:color="auto" w:fill="auto"/>
            <w:vAlign w:val="center"/>
          </w:tcPr>
          <w:p w14:paraId="73DAC803" w14:textId="77777777" w:rsidR="00E46BC8" w:rsidRPr="00125740" w:rsidRDefault="00E46BC8" w:rsidP="00EA3F05">
            <w:pPr>
              <w:jc w:val="center"/>
            </w:pPr>
          </w:p>
        </w:tc>
        <w:tc>
          <w:tcPr>
            <w:tcW w:w="752" w:type="dxa"/>
            <w:shd w:val="clear" w:color="auto" w:fill="auto"/>
            <w:vAlign w:val="center"/>
          </w:tcPr>
          <w:p w14:paraId="2B382050" w14:textId="77777777" w:rsidR="00E46BC8" w:rsidRPr="00125740" w:rsidRDefault="00E46BC8" w:rsidP="00EA3F05">
            <w:pPr>
              <w:jc w:val="center"/>
            </w:pPr>
          </w:p>
        </w:tc>
        <w:tc>
          <w:tcPr>
            <w:tcW w:w="800" w:type="dxa"/>
            <w:shd w:val="clear" w:color="auto" w:fill="auto"/>
            <w:vAlign w:val="center"/>
          </w:tcPr>
          <w:p w14:paraId="233C7568" w14:textId="77777777" w:rsidR="00E46BC8" w:rsidRPr="00125740" w:rsidRDefault="00E46BC8" w:rsidP="00EA3F05">
            <w:pPr>
              <w:jc w:val="center"/>
            </w:pPr>
          </w:p>
        </w:tc>
        <w:tc>
          <w:tcPr>
            <w:tcW w:w="808" w:type="dxa"/>
            <w:shd w:val="clear" w:color="auto" w:fill="000000" w:themeFill="text1"/>
            <w:vAlign w:val="center"/>
          </w:tcPr>
          <w:p w14:paraId="6170D02D" w14:textId="00E58E54" w:rsidR="00E46BC8" w:rsidRPr="00125740" w:rsidRDefault="00E46BC8" w:rsidP="00EA3F05">
            <w:pPr>
              <w:jc w:val="center"/>
            </w:pPr>
            <w:r>
              <w:t>Yes</w:t>
            </w:r>
          </w:p>
        </w:tc>
        <w:tc>
          <w:tcPr>
            <w:tcW w:w="733" w:type="dxa"/>
            <w:shd w:val="clear" w:color="auto" w:fill="AEAAAA" w:themeFill="background2" w:themeFillShade="BF"/>
            <w:vAlign w:val="center"/>
          </w:tcPr>
          <w:p w14:paraId="3FEF2D6F" w14:textId="18E27CAE" w:rsidR="00E46BC8" w:rsidRPr="00125740" w:rsidRDefault="00E46BC8" w:rsidP="00EA3F05">
            <w:pPr>
              <w:jc w:val="center"/>
            </w:pPr>
            <w:r>
              <w:t>Yes</w:t>
            </w:r>
          </w:p>
        </w:tc>
        <w:tc>
          <w:tcPr>
            <w:tcW w:w="660" w:type="dxa"/>
            <w:shd w:val="clear" w:color="auto" w:fill="AEAAAA" w:themeFill="background2" w:themeFillShade="BF"/>
            <w:vAlign w:val="center"/>
          </w:tcPr>
          <w:p w14:paraId="55AEC20E" w14:textId="77777777" w:rsidR="00E46BC8" w:rsidRPr="00125740" w:rsidRDefault="00E46BC8" w:rsidP="00EA3F05">
            <w:pPr>
              <w:jc w:val="center"/>
            </w:pPr>
          </w:p>
        </w:tc>
      </w:tr>
      <w:tr w:rsidR="00E46BC8" w:rsidRPr="00125740" w14:paraId="23FB6068" w14:textId="77777777" w:rsidTr="00EA3F05">
        <w:tc>
          <w:tcPr>
            <w:tcW w:w="1781" w:type="dxa"/>
          </w:tcPr>
          <w:p w14:paraId="79BA51B6" w14:textId="77777777" w:rsidR="00E46BC8" w:rsidRPr="00125740" w:rsidRDefault="00E46BC8" w:rsidP="000A67D8">
            <w:pPr>
              <w:rPr>
                <w:b/>
                <w:bCs/>
              </w:rPr>
            </w:pPr>
            <w:r w:rsidRPr="00125740">
              <w:rPr>
                <w:rFonts w:ascii="Calibri" w:hAnsi="Calibri" w:cs="Calibri"/>
                <w:b/>
                <w:bCs/>
                <w:color w:val="000000"/>
              </w:rPr>
              <w:t>Procedures &amp; Rules</w:t>
            </w:r>
          </w:p>
        </w:tc>
        <w:tc>
          <w:tcPr>
            <w:tcW w:w="702" w:type="dxa"/>
            <w:shd w:val="clear" w:color="auto" w:fill="000000" w:themeFill="text1"/>
            <w:vAlign w:val="center"/>
          </w:tcPr>
          <w:p w14:paraId="7BDDB4E4" w14:textId="61493285" w:rsidR="00E46BC8" w:rsidRPr="00125740" w:rsidRDefault="00E46BC8" w:rsidP="00EA3F05">
            <w:pPr>
              <w:jc w:val="center"/>
            </w:pPr>
            <w:r>
              <w:t>Yes</w:t>
            </w:r>
          </w:p>
        </w:tc>
        <w:tc>
          <w:tcPr>
            <w:tcW w:w="854" w:type="dxa"/>
            <w:shd w:val="clear" w:color="auto" w:fill="000000" w:themeFill="text1"/>
            <w:vAlign w:val="center"/>
          </w:tcPr>
          <w:p w14:paraId="03717FC0" w14:textId="56C43A64" w:rsidR="00E46BC8" w:rsidRPr="00125740" w:rsidRDefault="00E46BC8" w:rsidP="00EA3F05">
            <w:pPr>
              <w:jc w:val="center"/>
            </w:pPr>
            <w:r>
              <w:t>Yes</w:t>
            </w:r>
          </w:p>
        </w:tc>
        <w:tc>
          <w:tcPr>
            <w:tcW w:w="752" w:type="dxa"/>
            <w:shd w:val="clear" w:color="auto" w:fill="auto"/>
            <w:vAlign w:val="center"/>
          </w:tcPr>
          <w:p w14:paraId="343E9209" w14:textId="77777777" w:rsidR="00E46BC8" w:rsidRPr="00125740" w:rsidRDefault="00E46BC8" w:rsidP="00EA3F05">
            <w:pPr>
              <w:jc w:val="center"/>
            </w:pPr>
          </w:p>
        </w:tc>
        <w:tc>
          <w:tcPr>
            <w:tcW w:w="800" w:type="dxa"/>
            <w:shd w:val="clear" w:color="auto" w:fill="AEAAAA" w:themeFill="background2" w:themeFillShade="BF"/>
            <w:vAlign w:val="center"/>
          </w:tcPr>
          <w:p w14:paraId="5F754054" w14:textId="159D489F" w:rsidR="00E46BC8" w:rsidRPr="00125740" w:rsidRDefault="00E46BC8" w:rsidP="00EA3F05">
            <w:pPr>
              <w:jc w:val="center"/>
            </w:pPr>
            <w:r>
              <w:t>Yes</w:t>
            </w:r>
          </w:p>
        </w:tc>
        <w:tc>
          <w:tcPr>
            <w:tcW w:w="808" w:type="dxa"/>
            <w:shd w:val="clear" w:color="auto" w:fill="auto"/>
            <w:vAlign w:val="center"/>
          </w:tcPr>
          <w:p w14:paraId="3031C749" w14:textId="77777777" w:rsidR="00E46BC8" w:rsidRPr="00125740" w:rsidRDefault="00E46BC8" w:rsidP="00EA3F05">
            <w:pPr>
              <w:jc w:val="center"/>
            </w:pPr>
          </w:p>
        </w:tc>
        <w:tc>
          <w:tcPr>
            <w:tcW w:w="733" w:type="dxa"/>
            <w:shd w:val="clear" w:color="auto" w:fill="AEAAAA" w:themeFill="background2" w:themeFillShade="BF"/>
            <w:vAlign w:val="center"/>
          </w:tcPr>
          <w:p w14:paraId="00B6FD29" w14:textId="3EADA22E" w:rsidR="00E46BC8" w:rsidRPr="00125740" w:rsidRDefault="00E46BC8" w:rsidP="00EA3F05">
            <w:pPr>
              <w:jc w:val="center"/>
              <w:rPr>
                <w:rFonts w:ascii="Calibri" w:hAnsi="Calibri" w:cs="Calibri"/>
                <w:color w:val="000000"/>
              </w:rPr>
            </w:pPr>
            <w:r>
              <w:rPr>
                <w:rFonts w:ascii="Calibri" w:hAnsi="Calibri" w:cs="Calibri"/>
                <w:color w:val="000000"/>
              </w:rPr>
              <w:t>Yes</w:t>
            </w:r>
          </w:p>
        </w:tc>
        <w:tc>
          <w:tcPr>
            <w:tcW w:w="660" w:type="dxa"/>
            <w:shd w:val="clear" w:color="auto" w:fill="auto"/>
            <w:vAlign w:val="center"/>
          </w:tcPr>
          <w:p w14:paraId="071AC5DF" w14:textId="10A53435" w:rsidR="00E46BC8" w:rsidRPr="00125740" w:rsidRDefault="00E46BC8" w:rsidP="00EA3F05">
            <w:pPr>
              <w:jc w:val="center"/>
              <w:rPr>
                <w:rFonts w:ascii="Calibri" w:hAnsi="Calibri" w:cs="Calibri"/>
                <w:color w:val="000000"/>
              </w:rPr>
            </w:pPr>
            <w:r>
              <w:rPr>
                <w:rFonts w:ascii="Calibri" w:hAnsi="Calibri" w:cs="Calibri"/>
                <w:color w:val="000000"/>
              </w:rPr>
              <w:t>Yes</w:t>
            </w:r>
          </w:p>
        </w:tc>
      </w:tr>
    </w:tbl>
    <w:p w14:paraId="7666EE30" w14:textId="6F6DEEF3" w:rsidR="00061A81" w:rsidRDefault="00061A81" w:rsidP="00E47101"/>
    <w:p w14:paraId="6774CB93" w14:textId="207648C2" w:rsidR="00B82BC5" w:rsidRDefault="00BD729C" w:rsidP="00E47101">
      <w:r>
        <w:t>The table shows a</w:t>
      </w:r>
      <w:r w:rsidR="00B82BC5">
        <w:t xml:space="preserve"> broad agreement between the Delphi survey </w:t>
      </w:r>
      <w:r w:rsidR="00F72E43">
        <w:t xml:space="preserve">expectation and the results of the case study for the HF methods that were highly recommended </w:t>
      </w:r>
      <w:r w:rsidR="003C57EA">
        <w:t xml:space="preserve">(black) </w:t>
      </w:r>
      <w:r w:rsidR="00F72E43">
        <w:t xml:space="preserve">for each of the factors. For the methods that were </w:t>
      </w:r>
      <w:r w:rsidR="00BF4C66">
        <w:t xml:space="preserve">less recommended or where other methods were preferred </w:t>
      </w:r>
      <w:r w:rsidR="005A20D9">
        <w:t xml:space="preserve">(grey) </w:t>
      </w:r>
      <w:r w:rsidR="00BF4C66">
        <w:t>there was less agreement</w:t>
      </w:r>
      <w:r w:rsidR="00F603B2">
        <w:t>,</w:t>
      </w:r>
      <w:r w:rsidR="003C57EA">
        <w:t xml:space="preserve"> as might be expected</w:t>
      </w:r>
      <w:r w:rsidR="00BF4C66">
        <w:t>.</w:t>
      </w:r>
      <w:r w:rsidR="00491FEB">
        <w:t xml:space="preserve"> The case study identified a couple of factors that could be explored with methods that had</w:t>
      </w:r>
      <w:r w:rsidR="005A20D9">
        <w:t xml:space="preserve"> not</w:t>
      </w:r>
      <w:r w:rsidR="00491FEB">
        <w:t xml:space="preserve"> been recommended for that factor i.e., CDM for Unpredictability of Consequences and EAST for Procedures &amp; Rules.</w:t>
      </w:r>
    </w:p>
    <w:p w14:paraId="404FBE66" w14:textId="3DB1FD47" w:rsidR="00685DBE" w:rsidRDefault="00C243F6" w:rsidP="00E47101">
      <w:r>
        <w:t xml:space="preserve">The different methods also take different perspectives on the nature of the work across the layers of the organisational hierarchy. </w:t>
      </w:r>
      <w:r w:rsidR="00701379">
        <w:t xml:space="preserve">A summary of these findings for each of the methods is shown in </w:t>
      </w:r>
      <w:r w:rsidR="00701379">
        <w:fldChar w:fldCharType="begin"/>
      </w:r>
      <w:r w:rsidR="00701379">
        <w:instrText xml:space="preserve"> REF _Ref48592111 \h </w:instrText>
      </w:r>
      <w:r w:rsidR="00701379">
        <w:fldChar w:fldCharType="separate"/>
      </w:r>
      <w:r w:rsidR="00F11CDA">
        <w:t xml:space="preserve">Table </w:t>
      </w:r>
      <w:r w:rsidR="00F11CDA">
        <w:rPr>
          <w:noProof/>
        </w:rPr>
        <w:t>5</w:t>
      </w:r>
      <w:r w:rsidR="00701379">
        <w:fldChar w:fldCharType="end"/>
      </w:r>
      <w:r w:rsidR="00A04398">
        <w:t xml:space="preserve"> compared to the Delphi survey results</w:t>
      </w:r>
      <w:r w:rsidR="00486F64">
        <w:t>.</w:t>
      </w:r>
      <w:r w:rsidR="0091467F">
        <w:t xml:space="preserve"> As discussed, the applicability of CDM at the organisational level was identified in this case study </w:t>
      </w:r>
      <w:r w:rsidR="005D2C81">
        <w:t>although it</w:t>
      </w:r>
      <w:r w:rsidR="0091467F">
        <w:t xml:space="preserve"> may not generalise</w:t>
      </w:r>
      <w:r w:rsidR="005D2C81">
        <w:t xml:space="preserve"> to other incidents.</w:t>
      </w:r>
    </w:p>
    <w:p w14:paraId="2847E5DF" w14:textId="704E717E" w:rsidR="003A36CA" w:rsidRDefault="003A36CA" w:rsidP="003A36CA">
      <w:pPr>
        <w:pStyle w:val="Caption"/>
      </w:pPr>
      <w:bookmarkStart w:id="16" w:name="_Ref48592111"/>
      <w:r>
        <w:t xml:space="preserve">Table </w:t>
      </w:r>
      <w:r w:rsidR="00881249">
        <w:fldChar w:fldCharType="begin"/>
      </w:r>
      <w:r w:rsidR="00881249">
        <w:instrText xml:space="preserve"> SEQ Table \* ARABIC </w:instrText>
      </w:r>
      <w:r w:rsidR="00881249">
        <w:fldChar w:fldCharType="separate"/>
      </w:r>
      <w:r w:rsidR="008D1C05">
        <w:rPr>
          <w:noProof/>
        </w:rPr>
        <w:t>5</w:t>
      </w:r>
      <w:r w:rsidR="00881249">
        <w:rPr>
          <w:noProof/>
        </w:rPr>
        <w:fldChar w:fldCharType="end"/>
      </w:r>
      <w:bookmarkEnd w:id="16"/>
      <w:r>
        <w:t xml:space="preserve">: </w:t>
      </w:r>
      <w:r w:rsidR="006B7787">
        <w:t>Applicability of Method to Organisational Hierarchy layer in TOI Case Study</w:t>
      </w:r>
      <w:r w:rsidR="00A04398">
        <w:t>. Expectation from the Delphi survey shown as shading (b</w:t>
      </w:r>
      <w:r w:rsidR="00AB0AEA">
        <w:t>l</w:t>
      </w:r>
      <w:r w:rsidR="00A04398">
        <w:t>ack = highly applicable, grey = should be applicable, white = not positively recommended)</w:t>
      </w:r>
    </w:p>
    <w:tbl>
      <w:tblPr>
        <w:tblStyle w:val="GridTable41"/>
        <w:tblW w:w="0" w:type="auto"/>
        <w:tblLook w:val="06A0" w:firstRow="1" w:lastRow="0" w:firstColumn="1" w:lastColumn="0" w:noHBand="1" w:noVBand="1"/>
      </w:tblPr>
      <w:tblGrid>
        <w:gridCol w:w="2633"/>
        <w:gridCol w:w="857"/>
        <w:gridCol w:w="1680"/>
        <w:gridCol w:w="1656"/>
        <w:gridCol w:w="2170"/>
      </w:tblGrid>
      <w:tr w:rsidR="00106625" w14:paraId="1ADDB15D" w14:textId="77777777" w:rsidTr="008B2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Borders>
              <w:top w:val="single" w:sz="12" w:space="0" w:color="auto"/>
              <w:left w:val="single" w:sz="12" w:space="0" w:color="auto"/>
              <w:bottom w:val="single" w:sz="4" w:space="0" w:color="auto"/>
              <w:right w:val="single" w:sz="12" w:space="0" w:color="auto"/>
            </w:tcBorders>
          </w:tcPr>
          <w:p w14:paraId="703B0F36" w14:textId="77777777" w:rsidR="00106625" w:rsidRDefault="00106625" w:rsidP="00E638DE">
            <w:pPr>
              <w:rPr>
                <w:b w:val="0"/>
                <w:bCs w:val="0"/>
              </w:rPr>
            </w:pPr>
            <w:r>
              <w:t>Methodology</w:t>
            </w:r>
          </w:p>
          <w:p w14:paraId="24C38F2B" w14:textId="23685953" w:rsidR="00106625" w:rsidRDefault="00106625" w:rsidP="00E638DE"/>
        </w:tc>
        <w:tc>
          <w:tcPr>
            <w:tcW w:w="857" w:type="dxa"/>
            <w:tcBorders>
              <w:top w:val="single" w:sz="12" w:space="0" w:color="auto"/>
              <w:left w:val="single" w:sz="12" w:space="0" w:color="auto"/>
              <w:bottom w:val="single" w:sz="4" w:space="0" w:color="auto"/>
              <w:right w:val="single" w:sz="12" w:space="0" w:color="auto"/>
            </w:tcBorders>
          </w:tcPr>
          <w:p w14:paraId="7D582488" w14:textId="77777777" w:rsidR="00106625" w:rsidRDefault="00106625" w:rsidP="00E638DE">
            <w:pPr>
              <w:cnfStyle w:val="100000000000" w:firstRow="1" w:lastRow="0" w:firstColumn="0" w:lastColumn="0" w:oddVBand="0" w:evenVBand="0" w:oddHBand="0" w:evenHBand="0" w:firstRowFirstColumn="0" w:firstRowLastColumn="0" w:lastRowFirstColumn="0" w:lastRowLastColumn="0"/>
            </w:pPr>
          </w:p>
        </w:tc>
        <w:tc>
          <w:tcPr>
            <w:tcW w:w="1680" w:type="dxa"/>
            <w:tcBorders>
              <w:top w:val="single" w:sz="12" w:space="0" w:color="auto"/>
              <w:left w:val="single" w:sz="12" w:space="0" w:color="auto"/>
              <w:bottom w:val="single" w:sz="4" w:space="0" w:color="auto"/>
            </w:tcBorders>
          </w:tcPr>
          <w:p w14:paraId="397E7349" w14:textId="77777777" w:rsidR="00106625" w:rsidRDefault="00106625" w:rsidP="00E638DE">
            <w:pPr>
              <w:cnfStyle w:val="100000000000" w:firstRow="1" w:lastRow="0" w:firstColumn="0" w:lastColumn="0" w:oddVBand="0" w:evenVBand="0" w:oddHBand="0" w:evenHBand="0" w:firstRowFirstColumn="0" w:firstRowLastColumn="0" w:lastRowFirstColumn="0" w:lastRowLastColumn="0"/>
            </w:pPr>
            <w:r>
              <w:t>Micro (Individual)</w:t>
            </w:r>
          </w:p>
        </w:tc>
        <w:tc>
          <w:tcPr>
            <w:tcW w:w="1656" w:type="dxa"/>
            <w:tcBorders>
              <w:top w:val="single" w:sz="12" w:space="0" w:color="auto"/>
              <w:bottom w:val="single" w:sz="4" w:space="0" w:color="auto"/>
            </w:tcBorders>
          </w:tcPr>
          <w:p w14:paraId="236134C5" w14:textId="77777777" w:rsidR="00084173" w:rsidRDefault="00106625" w:rsidP="00E638DE">
            <w:pPr>
              <w:cnfStyle w:val="100000000000" w:firstRow="1" w:lastRow="0" w:firstColumn="0" w:lastColumn="0" w:oddVBand="0" w:evenVBand="0" w:oddHBand="0" w:evenHBand="0" w:firstRowFirstColumn="0" w:firstRowLastColumn="0" w:lastRowFirstColumn="0" w:lastRowLastColumn="0"/>
              <w:rPr>
                <w:b w:val="0"/>
                <w:bCs w:val="0"/>
              </w:rPr>
            </w:pPr>
            <w:r>
              <w:t>Meso</w:t>
            </w:r>
          </w:p>
          <w:p w14:paraId="4319975A" w14:textId="07D221A4" w:rsidR="00106625" w:rsidRDefault="00106625" w:rsidP="00E638DE">
            <w:pPr>
              <w:cnfStyle w:val="100000000000" w:firstRow="1" w:lastRow="0" w:firstColumn="0" w:lastColumn="0" w:oddVBand="0" w:evenVBand="0" w:oddHBand="0" w:evenHBand="0" w:firstRowFirstColumn="0" w:firstRowLastColumn="0" w:lastRowFirstColumn="0" w:lastRowLastColumn="0"/>
            </w:pPr>
            <w:r>
              <w:t>(Team)</w:t>
            </w:r>
          </w:p>
        </w:tc>
        <w:tc>
          <w:tcPr>
            <w:tcW w:w="2170" w:type="dxa"/>
            <w:tcBorders>
              <w:top w:val="single" w:sz="12" w:space="0" w:color="auto"/>
              <w:bottom w:val="single" w:sz="4" w:space="0" w:color="auto"/>
              <w:right w:val="single" w:sz="12" w:space="0" w:color="auto"/>
            </w:tcBorders>
          </w:tcPr>
          <w:p w14:paraId="47D03DBF" w14:textId="77777777" w:rsidR="00106625" w:rsidRDefault="00106625" w:rsidP="00E638DE">
            <w:pPr>
              <w:cnfStyle w:val="100000000000" w:firstRow="1" w:lastRow="0" w:firstColumn="0" w:lastColumn="0" w:oddVBand="0" w:evenVBand="0" w:oddHBand="0" w:evenHBand="0" w:firstRowFirstColumn="0" w:firstRowLastColumn="0" w:lastRowFirstColumn="0" w:lastRowLastColumn="0"/>
            </w:pPr>
            <w:r>
              <w:t>Macro (Organisation)</w:t>
            </w:r>
          </w:p>
        </w:tc>
      </w:tr>
      <w:tr w:rsidR="008B2DC8" w14:paraId="373C16E5"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12" w:space="0" w:color="auto"/>
              <w:right w:val="single" w:sz="4" w:space="0" w:color="auto"/>
            </w:tcBorders>
          </w:tcPr>
          <w:p w14:paraId="232D3D36" w14:textId="5A0742FB" w:rsidR="008B2DC8" w:rsidRDefault="008B2DC8" w:rsidP="008B2DC8">
            <w:pPr>
              <w:rPr>
                <w:rFonts w:ascii="Calibri" w:hAnsi="Calibri" w:cs="Calibri"/>
              </w:rPr>
            </w:pPr>
            <w:r>
              <w:rPr>
                <w:rFonts w:ascii="Calibri" w:hAnsi="Calibri" w:cs="Calibri"/>
              </w:rPr>
              <w:t>Hierarchical Task Analysis</w:t>
            </w:r>
          </w:p>
        </w:tc>
        <w:tc>
          <w:tcPr>
            <w:tcW w:w="0" w:type="dxa"/>
            <w:tcBorders>
              <w:top w:val="single" w:sz="4" w:space="0" w:color="auto"/>
              <w:left w:val="single" w:sz="4" w:space="0" w:color="auto"/>
              <w:right w:val="single" w:sz="12" w:space="0" w:color="auto"/>
            </w:tcBorders>
          </w:tcPr>
          <w:p w14:paraId="19920BC6" w14:textId="63A173F1" w:rsidR="008B2DC8" w:rsidRPr="00915A69" w:rsidRDefault="008B2DC8" w:rsidP="008B2DC8">
            <w:pPr>
              <w:cnfStyle w:val="000000000000" w:firstRow="0" w:lastRow="0" w:firstColumn="0" w:lastColumn="0" w:oddVBand="0" w:evenVBand="0" w:oddHBand="0" w:evenHBand="0" w:firstRowFirstColumn="0" w:firstRowLastColumn="0" w:lastRowFirstColumn="0" w:lastRowLastColumn="0"/>
            </w:pPr>
            <w:r w:rsidRPr="00915A69">
              <w:t>HTA</w:t>
            </w:r>
          </w:p>
        </w:tc>
        <w:tc>
          <w:tcPr>
            <w:tcW w:w="0" w:type="dxa"/>
            <w:tcBorders>
              <w:top w:val="single" w:sz="4" w:space="0" w:color="auto"/>
              <w:left w:val="single" w:sz="12" w:space="0" w:color="auto"/>
            </w:tcBorders>
            <w:shd w:val="clear" w:color="auto" w:fill="AEAAAA" w:themeFill="background2" w:themeFillShade="BF"/>
          </w:tcPr>
          <w:p w14:paraId="12DA6587" w14:textId="43E9DFCF" w:rsidR="008B2DC8" w:rsidRDefault="008B2DC8" w:rsidP="008B2DC8">
            <w:pPr>
              <w:cnfStyle w:val="000000000000" w:firstRow="0" w:lastRow="0" w:firstColumn="0" w:lastColumn="0" w:oddVBand="0" w:evenVBand="0" w:oddHBand="0" w:evenHBand="0" w:firstRowFirstColumn="0" w:firstRowLastColumn="0" w:lastRowFirstColumn="0" w:lastRowLastColumn="0"/>
            </w:pPr>
            <w:r>
              <w:t>Describes the work-as-imagined. Useful as a starting point for other methods</w:t>
            </w:r>
          </w:p>
        </w:tc>
        <w:tc>
          <w:tcPr>
            <w:tcW w:w="0" w:type="dxa"/>
            <w:tcBorders>
              <w:top w:val="single" w:sz="4" w:space="0" w:color="auto"/>
            </w:tcBorders>
          </w:tcPr>
          <w:p w14:paraId="5F75A12A" w14:textId="02477F53" w:rsidR="008B2DC8" w:rsidRDefault="008B2DC8" w:rsidP="008B2DC8">
            <w:pPr>
              <w:cnfStyle w:val="000000000000" w:firstRow="0" w:lastRow="0" w:firstColumn="0" w:lastColumn="0" w:oddVBand="0" w:evenVBand="0" w:oddHBand="0" w:evenHBand="0" w:firstRowFirstColumn="0" w:firstRowLastColumn="0" w:lastRowFirstColumn="0" w:lastRowLastColumn="0"/>
            </w:pPr>
            <w:r>
              <w:t>Task</w:t>
            </w:r>
            <w:r w:rsidR="00AF5A32">
              <w:t>s</w:t>
            </w:r>
            <w:r>
              <w:t xml:space="preserve"> that require interactions with other system actors described</w:t>
            </w:r>
          </w:p>
        </w:tc>
        <w:tc>
          <w:tcPr>
            <w:tcW w:w="0" w:type="dxa"/>
            <w:tcBorders>
              <w:top w:val="single" w:sz="4" w:space="0" w:color="auto"/>
              <w:right w:val="single" w:sz="12" w:space="0" w:color="auto"/>
            </w:tcBorders>
            <w:shd w:val="clear" w:color="auto" w:fill="AEAAAA" w:themeFill="background2" w:themeFillShade="BF"/>
          </w:tcPr>
          <w:p w14:paraId="3EB4C025" w14:textId="77777777" w:rsidR="008B2DC8" w:rsidRDefault="008B2DC8" w:rsidP="008B2DC8">
            <w:pPr>
              <w:cnfStyle w:val="000000000000" w:firstRow="0" w:lastRow="0" w:firstColumn="0" w:lastColumn="0" w:oddVBand="0" w:evenVBand="0" w:oddHBand="0" w:evenHBand="0" w:firstRowFirstColumn="0" w:firstRowLastColumn="0" w:lastRowFirstColumn="0" w:lastRowLastColumn="0"/>
            </w:pPr>
          </w:p>
        </w:tc>
      </w:tr>
      <w:tr w:rsidR="008B2DC8" w14:paraId="3E1C12C5"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12" w:space="0" w:color="auto"/>
              <w:right w:val="single" w:sz="4" w:space="0" w:color="auto"/>
            </w:tcBorders>
          </w:tcPr>
          <w:p w14:paraId="3D734C54" w14:textId="569F675A" w:rsidR="008B2DC8" w:rsidRPr="00253FD8" w:rsidRDefault="008B2DC8" w:rsidP="008B2DC8">
            <w:pPr>
              <w:rPr>
                <w:rFonts w:ascii="Calibri" w:hAnsi="Calibri" w:cs="Calibri"/>
                <w:b w:val="0"/>
                <w:bCs w:val="0"/>
              </w:rPr>
            </w:pPr>
            <w:r>
              <w:rPr>
                <w:rFonts w:ascii="Calibri" w:hAnsi="Calibri" w:cs="Calibri"/>
              </w:rPr>
              <w:t>Systems Theory Accident Modelling and Process</w:t>
            </w:r>
          </w:p>
        </w:tc>
        <w:tc>
          <w:tcPr>
            <w:tcW w:w="0" w:type="dxa"/>
            <w:tcBorders>
              <w:top w:val="single" w:sz="4" w:space="0" w:color="auto"/>
              <w:left w:val="single" w:sz="4" w:space="0" w:color="auto"/>
              <w:right w:val="single" w:sz="12" w:space="0" w:color="auto"/>
            </w:tcBorders>
          </w:tcPr>
          <w:p w14:paraId="0B43FFB2" w14:textId="77777777" w:rsidR="008B2DC8" w:rsidRPr="00915A69" w:rsidRDefault="008B2DC8" w:rsidP="008B2DC8">
            <w:pPr>
              <w:cnfStyle w:val="000000000000" w:firstRow="0" w:lastRow="0" w:firstColumn="0" w:lastColumn="0" w:oddVBand="0" w:evenVBand="0" w:oddHBand="0" w:evenHBand="0" w:firstRowFirstColumn="0" w:firstRowLastColumn="0" w:lastRowFirstColumn="0" w:lastRowLastColumn="0"/>
            </w:pPr>
            <w:r w:rsidRPr="00915A69">
              <w:t>STAMP</w:t>
            </w:r>
          </w:p>
        </w:tc>
        <w:tc>
          <w:tcPr>
            <w:tcW w:w="0" w:type="dxa"/>
            <w:tcBorders>
              <w:top w:val="single" w:sz="4" w:space="0" w:color="auto"/>
              <w:left w:val="single" w:sz="12" w:space="0" w:color="auto"/>
            </w:tcBorders>
          </w:tcPr>
          <w:p w14:paraId="4AB50696" w14:textId="5596E6F9" w:rsidR="008B2DC8" w:rsidRDefault="008B2DC8" w:rsidP="008B2DC8">
            <w:pP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tcBorders>
            <w:shd w:val="clear" w:color="auto" w:fill="AEAAAA" w:themeFill="background2" w:themeFillShade="BF"/>
          </w:tcPr>
          <w:p w14:paraId="7DC89F1B" w14:textId="35B48219" w:rsidR="008B2DC8" w:rsidRDefault="008B2DC8" w:rsidP="008B2DC8">
            <w:pP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right w:val="single" w:sz="12" w:space="0" w:color="auto"/>
            </w:tcBorders>
            <w:shd w:val="clear" w:color="auto" w:fill="000000" w:themeFill="text1"/>
          </w:tcPr>
          <w:p w14:paraId="79C60E35" w14:textId="7A701D91" w:rsidR="008B2DC8" w:rsidRDefault="008B2DC8" w:rsidP="008B2DC8">
            <w:pPr>
              <w:cnfStyle w:val="000000000000" w:firstRow="0" w:lastRow="0" w:firstColumn="0" w:lastColumn="0" w:oddVBand="0" w:evenVBand="0" w:oddHBand="0" w:evenHBand="0" w:firstRowFirstColumn="0" w:firstRowLastColumn="0" w:lastRowFirstColumn="0" w:lastRowLastColumn="0"/>
            </w:pPr>
            <w:r>
              <w:t>Organisational controls &amp; feedback mechanisms identified</w:t>
            </w:r>
          </w:p>
        </w:tc>
      </w:tr>
      <w:tr w:rsidR="008B2DC8" w14:paraId="5B93D211"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auto"/>
              <w:right w:val="single" w:sz="4" w:space="0" w:color="auto"/>
            </w:tcBorders>
          </w:tcPr>
          <w:p w14:paraId="3030FDF8" w14:textId="460294A4" w:rsidR="008B2DC8" w:rsidRPr="00253FD8" w:rsidRDefault="008B2DC8" w:rsidP="008B2DC8">
            <w:pPr>
              <w:rPr>
                <w:rFonts w:ascii="Calibri" w:hAnsi="Calibri" w:cs="Calibri"/>
                <w:b w:val="0"/>
                <w:bCs w:val="0"/>
              </w:rPr>
            </w:pPr>
            <w:r>
              <w:rPr>
                <w:rFonts w:ascii="Calibri" w:hAnsi="Calibri" w:cs="Calibri"/>
              </w:rPr>
              <w:t>Functional Resonance Analysis Method</w:t>
            </w:r>
          </w:p>
        </w:tc>
        <w:tc>
          <w:tcPr>
            <w:tcW w:w="0" w:type="dxa"/>
            <w:tcBorders>
              <w:left w:val="single" w:sz="4" w:space="0" w:color="auto"/>
              <w:right w:val="single" w:sz="12" w:space="0" w:color="auto"/>
            </w:tcBorders>
          </w:tcPr>
          <w:p w14:paraId="628BEB48" w14:textId="77777777" w:rsidR="008B2DC8" w:rsidRPr="00915A69" w:rsidRDefault="008B2DC8" w:rsidP="008B2DC8">
            <w:pPr>
              <w:cnfStyle w:val="000000000000" w:firstRow="0" w:lastRow="0" w:firstColumn="0" w:lastColumn="0" w:oddVBand="0" w:evenVBand="0" w:oddHBand="0" w:evenHBand="0" w:firstRowFirstColumn="0" w:firstRowLastColumn="0" w:lastRowFirstColumn="0" w:lastRowLastColumn="0"/>
            </w:pPr>
            <w:r w:rsidRPr="00915A69">
              <w:t>FRAM</w:t>
            </w:r>
          </w:p>
        </w:tc>
        <w:tc>
          <w:tcPr>
            <w:tcW w:w="0" w:type="dxa"/>
            <w:tcBorders>
              <w:left w:val="single" w:sz="12" w:space="0" w:color="auto"/>
            </w:tcBorders>
          </w:tcPr>
          <w:p w14:paraId="2CCE2158" w14:textId="77777777" w:rsidR="008B2DC8" w:rsidRDefault="008B2DC8" w:rsidP="008B2DC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EAAAA" w:themeFill="background2" w:themeFillShade="BF"/>
          </w:tcPr>
          <w:p w14:paraId="7AE1EDEE" w14:textId="5C4D858B" w:rsidR="008B2DC8" w:rsidRDefault="008B2DC8" w:rsidP="008B2DC8">
            <w:pPr>
              <w:cnfStyle w:val="000000000000" w:firstRow="0" w:lastRow="0" w:firstColumn="0" w:lastColumn="0" w:oddVBand="0" w:evenVBand="0" w:oddHBand="0" w:evenHBand="0" w:firstRowFirstColumn="0" w:firstRowLastColumn="0" w:lastRowFirstColumn="0" w:lastRowLastColumn="0"/>
            </w:pPr>
          </w:p>
        </w:tc>
        <w:tc>
          <w:tcPr>
            <w:tcW w:w="0" w:type="dxa"/>
            <w:tcBorders>
              <w:right w:val="single" w:sz="12" w:space="0" w:color="auto"/>
            </w:tcBorders>
            <w:shd w:val="clear" w:color="auto" w:fill="000000" w:themeFill="text1"/>
          </w:tcPr>
          <w:p w14:paraId="4C7264DA" w14:textId="23F69564" w:rsidR="008B2DC8" w:rsidRDefault="008B2DC8" w:rsidP="008B2DC8">
            <w:pPr>
              <w:cnfStyle w:val="000000000000" w:firstRow="0" w:lastRow="0" w:firstColumn="0" w:lastColumn="0" w:oddVBand="0" w:evenVBand="0" w:oddHBand="0" w:evenHBand="0" w:firstRowFirstColumn="0" w:firstRowLastColumn="0" w:lastRowFirstColumn="0" w:lastRowLastColumn="0"/>
            </w:pPr>
            <w:r>
              <w:t>Alternative representation of the wider system functions, tasks and controls</w:t>
            </w:r>
          </w:p>
        </w:tc>
      </w:tr>
      <w:tr w:rsidR="003C2A39" w14:paraId="1E3CFDC1"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auto"/>
              <w:right w:val="single" w:sz="4" w:space="0" w:color="auto"/>
            </w:tcBorders>
          </w:tcPr>
          <w:p w14:paraId="50E9B920" w14:textId="752468F1" w:rsidR="003C2A39" w:rsidDel="008B2DC8" w:rsidRDefault="003C2A39" w:rsidP="003C2A39">
            <w:pPr>
              <w:rPr>
                <w:rFonts w:ascii="Calibri" w:hAnsi="Calibri" w:cs="Calibri"/>
              </w:rPr>
            </w:pPr>
            <w:r>
              <w:rPr>
                <w:rFonts w:ascii="Calibri" w:hAnsi="Calibri" w:cs="Calibri"/>
              </w:rPr>
              <w:t>Human Factors Analysis Classification System</w:t>
            </w:r>
          </w:p>
        </w:tc>
        <w:tc>
          <w:tcPr>
            <w:tcW w:w="0" w:type="dxa"/>
            <w:tcBorders>
              <w:left w:val="single" w:sz="4" w:space="0" w:color="auto"/>
              <w:right w:val="single" w:sz="12" w:space="0" w:color="auto"/>
            </w:tcBorders>
          </w:tcPr>
          <w:p w14:paraId="316FEFF8" w14:textId="10DADEB7" w:rsidR="003C2A39" w:rsidRPr="00915A69" w:rsidDel="008B2DC8" w:rsidRDefault="003C2A39" w:rsidP="003C2A39">
            <w:pPr>
              <w:cnfStyle w:val="000000000000" w:firstRow="0" w:lastRow="0" w:firstColumn="0" w:lastColumn="0" w:oddVBand="0" w:evenVBand="0" w:oddHBand="0" w:evenHBand="0" w:firstRowFirstColumn="0" w:firstRowLastColumn="0" w:lastRowFirstColumn="0" w:lastRowLastColumn="0"/>
            </w:pPr>
            <w:r w:rsidRPr="00915A69">
              <w:t>HFACS</w:t>
            </w:r>
          </w:p>
        </w:tc>
        <w:tc>
          <w:tcPr>
            <w:tcW w:w="0" w:type="dxa"/>
            <w:tcBorders>
              <w:left w:val="single" w:sz="12" w:space="0" w:color="auto"/>
            </w:tcBorders>
          </w:tcPr>
          <w:p w14:paraId="2E55D3CA" w14:textId="379EBB04" w:rsidR="003C2A39" w:rsidDel="008B2DC8" w:rsidRDefault="003C2A39" w:rsidP="003C2A39">
            <w:pPr>
              <w:cnfStyle w:val="000000000000" w:firstRow="0" w:lastRow="0" w:firstColumn="0" w:lastColumn="0" w:oddVBand="0" w:evenVBand="0" w:oddHBand="0" w:evenHBand="0" w:firstRowFirstColumn="0" w:firstRowLastColumn="0" w:lastRowFirstColumn="0" w:lastRowLastColumn="0"/>
            </w:pPr>
            <w:r>
              <w:t>Focus on potential errors</w:t>
            </w:r>
          </w:p>
        </w:tc>
        <w:tc>
          <w:tcPr>
            <w:tcW w:w="0" w:type="dxa"/>
          </w:tcPr>
          <w:p w14:paraId="2DAAA5EE" w14:textId="77777777" w:rsidR="003C2A39" w:rsidDel="008B2DC8" w:rsidRDefault="003C2A39" w:rsidP="003C2A39">
            <w:pPr>
              <w:cnfStyle w:val="000000000000" w:firstRow="0" w:lastRow="0" w:firstColumn="0" w:lastColumn="0" w:oddVBand="0" w:evenVBand="0" w:oddHBand="0" w:evenHBand="0" w:firstRowFirstColumn="0" w:firstRowLastColumn="0" w:lastRowFirstColumn="0" w:lastRowLastColumn="0"/>
            </w:pPr>
          </w:p>
        </w:tc>
        <w:tc>
          <w:tcPr>
            <w:tcW w:w="0" w:type="dxa"/>
            <w:tcBorders>
              <w:right w:val="single" w:sz="12" w:space="0" w:color="auto"/>
            </w:tcBorders>
            <w:shd w:val="clear" w:color="auto" w:fill="AEAAAA" w:themeFill="background2" w:themeFillShade="BF"/>
          </w:tcPr>
          <w:p w14:paraId="06AC621F" w14:textId="5F796C8E" w:rsidR="003C2A39" w:rsidRDefault="003C2A39" w:rsidP="003C2A39">
            <w:pPr>
              <w:cnfStyle w:val="000000000000" w:firstRow="0" w:lastRow="0" w:firstColumn="0" w:lastColumn="0" w:oddVBand="0" w:evenVBand="0" w:oddHBand="0" w:evenHBand="0" w:firstRowFirstColumn="0" w:firstRowLastColumn="0" w:lastRowFirstColumn="0" w:lastRowLastColumn="0"/>
            </w:pPr>
            <w:r>
              <w:t>Focus on potential systemic error influences</w:t>
            </w:r>
          </w:p>
        </w:tc>
      </w:tr>
      <w:tr w:rsidR="003C2A39" w14:paraId="1AFA7120"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auto"/>
              <w:right w:val="single" w:sz="4" w:space="0" w:color="auto"/>
            </w:tcBorders>
          </w:tcPr>
          <w:p w14:paraId="1175412C" w14:textId="7F26F3CD" w:rsidR="003C2A39" w:rsidRPr="00253FD8" w:rsidRDefault="003C2A39" w:rsidP="003C2A39">
            <w:pPr>
              <w:rPr>
                <w:rFonts w:ascii="Calibri" w:hAnsi="Calibri" w:cs="Calibri"/>
                <w:b w:val="0"/>
                <w:bCs w:val="0"/>
              </w:rPr>
            </w:pPr>
            <w:r>
              <w:rPr>
                <w:rFonts w:ascii="Calibri" w:hAnsi="Calibri" w:cs="Calibri"/>
              </w:rPr>
              <w:t>Cognitive Work Analysis</w:t>
            </w:r>
          </w:p>
        </w:tc>
        <w:tc>
          <w:tcPr>
            <w:tcW w:w="0" w:type="dxa"/>
            <w:tcBorders>
              <w:left w:val="single" w:sz="4" w:space="0" w:color="auto"/>
              <w:right w:val="single" w:sz="12" w:space="0" w:color="auto"/>
            </w:tcBorders>
          </w:tcPr>
          <w:p w14:paraId="5A51F3D9" w14:textId="77777777" w:rsidR="003C2A39" w:rsidRPr="00915A69" w:rsidRDefault="003C2A39" w:rsidP="003C2A39">
            <w:pPr>
              <w:cnfStyle w:val="000000000000" w:firstRow="0" w:lastRow="0" w:firstColumn="0" w:lastColumn="0" w:oddVBand="0" w:evenVBand="0" w:oddHBand="0" w:evenHBand="0" w:firstRowFirstColumn="0" w:firstRowLastColumn="0" w:lastRowFirstColumn="0" w:lastRowLastColumn="0"/>
            </w:pPr>
            <w:r w:rsidRPr="00915A69">
              <w:t>CWA</w:t>
            </w:r>
          </w:p>
        </w:tc>
        <w:tc>
          <w:tcPr>
            <w:tcW w:w="0" w:type="dxa"/>
            <w:tcBorders>
              <w:left w:val="single" w:sz="12" w:space="0" w:color="auto"/>
            </w:tcBorders>
            <w:shd w:val="clear" w:color="auto" w:fill="000000" w:themeFill="text1"/>
          </w:tcPr>
          <w:p w14:paraId="1504B4E2" w14:textId="11E03800" w:rsidR="003C2A39" w:rsidRDefault="003C2A39" w:rsidP="003C2A39">
            <w:pPr>
              <w:cnfStyle w:val="000000000000" w:firstRow="0" w:lastRow="0" w:firstColumn="0" w:lastColumn="0" w:oddVBand="0" w:evenVBand="0" w:oddHBand="0" w:evenHBand="0" w:firstRowFirstColumn="0" w:firstRowLastColumn="0" w:lastRowFirstColumn="0" w:lastRowLastColumn="0"/>
            </w:pPr>
            <w:r>
              <w:t xml:space="preserve">Analysis of the </w:t>
            </w:r>
            <w:r>
              <w:lastRenderedPageBreak/>
              <w:t>descriptions of work, strategies used and competencies needed</w:t>
            </w:r>
          </w:p>
        </w:tc>
        <w:tc>
          <w:tcPr>
            <w:tcW w:w="0" w:type="dxa"/>
            <w:shd w:val="clear" w:color="auto" w:fill="000000" w:themeFill="text1"/>
          </w:tcPr>
          <w:p w14:paraId="709C0EE7" w14:textId="5C5D1DBD" w:rsidR="003C2A39" w:rsidRDefault="003C2A39" w:rsidP="003C2A39">
            <w:pPr>
              <w:cnfStyle w:val="000000000000" w:firstRow="0" w:lastRow="0" w:firstColumn="0" w:lastColumn="0" w:oddVBand="0" w:evenVBand="0" w:oddHBand="0" w:evenHBand="0" w:firstRowFirstColumn="0" w:firstRowLastColumn="0" w:lastRowFirstColumn="0" w:lastRowLastColumn="0"/>
            </w:pPr>
          </w:p>
        </w:tc>
        <w:tc>
          <w:tcPr>
            <w:tcW w:w="0" w:type="dxa"/>
            <w:tcBorders>
              <w:right w:val="single" w:sz="12" w:space="0" w:color="auto"/>
            </w:tcBorders>
          </w:tcPr>
          <w:p w14:paraId="2DF494BA" w14:textId="77777777" w:rsidR="003C2A39" w:rsidRDefault="003C2A39" w:rsidP="003C2A39">
            <w:pPr>
              <w:cnfStyle w:val="000000000000" w:firstRow="0" w:lastRow="0" w:firstColumn="0" w:lastColumn="0" w:oddVBand="0" w:evenVBand="0" w:oddHBand="0" w:evenHBand="0" w:firstRowFirstColumn="0" w:firstRowLastColumn="0" w:lastRowFirstColumn="0" w:lastRowLastColumn="0"/>
            </w:pPr>
          </w:p>
        </w:tc>
      </w:tr>
      <w:tr w:rsidR="003C2A39" w14:paraId="4CA516A1"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auto"/>
              <w:right w:val="single" w:sz="4" w:space="0" w:color="auto"/>
            </w:tcBorders>
          </w:tcPr>
          <w:p w14:paraId="6C52B33E" w14:textId="4FA7B389" w:rsidR="003C2A39" w:rsidRPr="00253FD8" w:rsidRDefault="003C2A39" w:rsidP="003C2A39">
            <w:pPr>
              <w:rPr>
                <w:rFonts w:ascii="Calibri" w:hAnsi="Calibri" w:cs="Calibri"/>
                <w:b w:val="0"/>
                <w:bCs w:val="0"/>
              </w:rPr>
            </w:pPr>
            <w:r>
              <w:rPr>
                <w:rFonts w:ascii="Calibri" w:hAnsi="Calibri" w:cs="Calibri"/>
              </w:rPr>
              <w:t>Critical Decision Method</w:t>
            </w:r>
          </w:p>
        </w:tc>
        <w:tc>
          <w:tcPr>
            <w:tcW w:w="0" w:type="dxa"/>
            <w:tcBorders>
              <w:left w:val="single" w:sz="4" w:space="0" w:color="auto"/>
              <w:right w:val="single" w:sz="12" w:space="0" w:color="auto"/>
            </w:tcBorders>
          </w:tcPr>
          <w:p w14:paraId="3BB35566" w14:textId="014CED0D" w:rsidR="003C2A39" w:rsidRPr="00915A69" w:rsidRDefault="003C2A39" w:rsidP="003C2A39">
            <w:pPr>
              <w:cnfStyle w:val="000000000000" w:firstRow="0" w:lastRow="0" w:firstColumn="0" w:lastColumn="0" w:oddVBand="0" w:evenVBand="0" w:oddHBand="0" w:evenHBand="0" w:firstRowFirstColumn="0" w:firstRowLastColumn="0" w:lastRowFirstColumn="0" w:lastRowLastColumn="0"/>
            </w:pPr>
            <w:r w:rsidRPr="00915A69">
              <w:t>CDM</w:t>
            </w:r>
          </w:p>
        </w:tc>
        <w:tc>
          <w:tcPr>
            <w:tcW w:w="0" w:type="dxa"/>
            <w:tcBorders>
              <w:left w:val="single" w:sz="12" w:space="0" w:color="auto"/>
            </w:tcBorders>
            <w:shd w:val="clear" w:color="auto" w:fill="000000" w:themeFill="text1"/>
          </w:tcPr>
          <w:p w14:paraId="69DFF7E7" w14:textId="0D9D8CF8" w:rsidR="003C2A39" w:rsidRDefault="003C2A39" w:rsidP="003C2A39">
            <w:pPr>
              <w:cnfStyle w:val="000000000000" w:firstRow="0" w:lastRow="0" w:firstColumn="0" w:lastColumn="0" w:oddVBand="0" w:evenVBand="0" w:oddHBand="0" w:evenHBand="0" w:firstRowFirstColumn="0" w:firstRowLastColumn="0" w:lastRowFirstColumn="0" w:lastRowLastColumn="0"/>
            </w:pPr>
            <w:r>
              <w:t>Interviews focus on the decisions of individuals</w:t>
            </w:r>
          </w:p>
        </w:tc>
        <w:tc>
          <w:tcPr>
            <w:tcW w:w="0" w:type="dxa"/>
            <w:shd w:val="clear" w:color="auto" w:fill="000000" w:themeFill="text1"/>
          </w:tcPr>
          <w:p w14:paraId="50364E8E" w14:textId="6A6CBE97" w:rsidR="003C2A39" w:rsidRDefault="003C2A39" w:rsidP="003C2A39">
            <w:pPr>
              <w:cnfStyle w:val="000000000000" w:firstRow="0" w:lastRow="0" w:firstColumn="0" w:lastColumn="0" w:oddVBand="0" w:evenVBand="0" w:oddHBand="0" w:evenHBand="0" w:firstRowFirstColumn="0" w:firstRowLastColumn="0" w:lastRowFirstColumn="0" w:lastRowLastColumn="0"/>
            </w:pPr>
            <w:r>
              <w:t>Discussion of the relationships and interfaces that existed</w:t>
            </w:r>
          </w:p>
        </w:tc>
        <w:tc>
          <w:tcPr>
            <w:tcW w:w="0" w:type="dxa"/>
            <w:tcBorders>
              <w:right w:val="single" w:sz="12" w:space="0" w:color="auto"/>
            </w:tcBorders>
          </w:tcPr>
          <w:p w14:paraId="4E707E2B" w14:textId="6411C82C" w:rsidR="003C2A39" w:rsidRDefault="003C2A39" w:rsidP="003C2A39">
            <w:pPr>
              <w:cnfStyle w:val="000000000000" w:firstRow="0" w:lastRow="0" w:firstColumn="0" w:lastColumn="0" w:oddVBand="0" w:evenVBand="0" w:oddHBand="0" w:evenHBand="0" w:firstRowFirstColumn="0" w:firstRowLastColumn="0" w:lastRowFirstColumn="0" w:lastRowLastColumn="0"/>
            </w:pPr>
            <w:r>
              <w:t>Descriptions of the organisational processes as-prescribed and as-found disclosed</w:t>
            </w:r>
          </w:p>
        </w:tc>
      </w:tr>
      <w:tr w:rsidR="008A20DE" w14:paraId="10340EF6" w14:textId="77777777" w:rsidTr="00EA3F05">
        <w:tc>
          <w:tcPr>
            <w:cnfStyle w:val="001000000000" w:firstRow="0" w:lastRow="0" w:firstColumn="1" w:lastColumn="0" w:oddVBand="0" w:evenVBand="0" w:oddHBand="0" w:evenHBand="0" w:firstRowFirstColumn="0" w:firstRowLastColumn="0" w:lastRowFirstColumn="0" w:lastRowLastColumn="0"/>
            <w:tcW w:w="0" w:type="dxa"/>
            <w:tcBorders>
              <w:left w:val="single" w:sz="12" w:space="0" w:color="auto"/>
              <w:bottom w:val="single" w:sz="12" w:space="0" w:color="auto"/>
              <w:right w:val="single" w:sz="4" w:space="0" w:color="auto"/>
            </w:tcBorders>
          </w:tcPr>
          <w:p w14:paraId="2475E250" w14:textId="7D161074" w:rsidR="008A20DE" w:rsidRPr="00253FD8" w:rsidRDefault="008A20DE" w:rsidP="008A20DE">
            <w:pPr>
              <w:rPr>
                <w:rFonts w:ascii="Calibri" w:hAnsi="Calibri" w:cs="Calibri"/>
                <w:b w:val="0"/>
                <w:bCs w:val="0"/>
              </w:rPr>
            </w:pPr>
            <w:r>
              <w:rPr>
                <w:rFonts w:ascii="Calibri" w:hAnsi="Calibri" w:cs="Calibri"/>
              </w:rPr>
              <w:t>Event Analysis of the Systemic Teamwork Framework</w:t>
            </w:r>
          </w:p>
        </w:tc>
        <w:tc>
          <w:tcPr>
            <w:tcW w:w="0" w:type="dxa"/>
            <w:tcBorders>
              <w:left w:val="single" w:sz="4" w:space="0" w:color="auto"/>
              <w:bottom w:val="single" w:sz="12" w:space="0" w:color="auto"/>
              <w:right w:val="single" w:sz="12" w:space="0" w:color="auto"/>
            </w:tcBorders>
          </w:tcPr>
          <w:p w14:paraId="5977CC7C" w14:textId="52821EC9" w:rsidR="008A20DE" w:rsidRPr="00915A69" w:rsidRDefault="008A20DE" w:rsidP="008A20DE">
            <w:pPr>
              <w:cnfStyle w:val="000000000000" w:firstRow="0" w:lastRow="0" w:firstColumn="0" w:lastColumn="0" w:oddVBand="0" w:evenVBand="0" w:oddHBand="0" w:evenHBand="0" w:firstRowFirstColumn="0" w:firstRowLastColumn="0" w:lastRowFirstColumn="0" w:lastRowLastColumn="0"/>
              <w:rPr>
                <w:b/>
                <w:bCs/>
              </w:rPr>
            </w:pPr>
            <w:r w:rsidRPr="00915A69">
              <w:t>EAST</w:t>
            </w:r>
          </w:p>
        </w:tc>
        <w:tc>
          <w:tcPr>
            <w:tcW w:w="0" w:type="dxa"/>
            <w:tcBorders>
              <w:left w:val="single" w:sz="12" w:space="0" w:color="auto"/>
              <w:bottom w:val="single" w:sz="12" w:space="0" w:color="auto"/>
            </w:tcBorders>
          </w:tcPr>
          <w:p w14:paraId="63EC9E71" w14:textId="64E3ED8B" w:rsidR="008A20DE" w:rsidRDefault="008A20DE" w:rsidP="008A20DE">
            <w:pPr>
              <w:cnfStyle w:val="000000000000" w:firstRow="0" w:lastRow="0" w:firstColumn="0" w:lastColumn="0" w:oddVBand="0" w:evenVBand="0" w:oddHBand="0" w:evenHBand="0" w:firstRowFirstColumn="0" w:firstRowLastColumn="0" w:lastRowFirstColumn="0" w:lastRowLastColumn="0"/>
            </w:pPr>
            <w:r>
              <w:t>Representations of the work</w:t>
            </w:r>
          </w:p>
        </w:tc>
        <w:tc>
          <w:tcPr>
            <w:tcW w:w="0" w:type="dxa"/>
            <w:tcBorders>
              <w:bottom w:val="single" w:sz="12" w:space="0" w:color="auto"/>
            </w:tcBorders>
            <w:shd w:val="clear" w:color="auto" w:fill="AEAAAA" w:themeFill="background2" w:themeFillShade="BF"/>
          </w:tcPr>
          <w:p w14:paraId="07873663" w14:textId="171CD640" w:rsidR="008A20DE" w:rsidRDefault="008A20DE" w:rsidP="008A20DE">
            <w:pPr>
              <w:cnfStyle w:val="000000000000" w:firstRow="0" w:lastRow="0" w:firstColumn="0" w:lastColumn="0" w:oddVBand="0" w:evenVBand="0" w:oddHBand="0" w:evenHBand="0" w:firstRowFirstColumn="0" w:firstRowLastColumn="0" w:lastRowFirstColumn="0" w:lastRowLastColumn="0"/>
            </w:pPr>
            <w:r>
              <w:t>Representation of the data identified to describe the interfaces in the system.</w:t>
            </w:r>
          </w:p>
        </w:tc>
        <w:tc>
          <w:tcPr>
            <w:tcW w:w="0" w:type="dxa"/>
            <w:tcBorders>
              <w:bottom w:val="single" w:sz="12" w:space="0" w:color="auto"/>
              <w:right w:val="single" w:sz="12" w:space="0" w:color="auto"/>
            </w:tcBorders>
            <w:shd w:val="clear" w:color="auto" w:fill="AEAAAA" w:themeFill="background2" w:themeFillShade="BF"/>
          </w:tcPr>
          <w:p w14:paraId="693E2591" w14:textId="4854062E" w:rsidR="008A20DE" w:rsidRDefault="008A20DE" w:rsidP="008A20DE">
            <w:pPr>
              <w:cnfStyle w:val="000000000000" w:firstRow="0" w:lastRow="0" w:firstColumn="0" w:lastColumn="0" w:oddVBand="0" w:evenVBand="0" w:oddHBand="0" w:evenHBand="0" w:firstRowFirstColumn="0" w:firstRowLastColumn="0" w:lastRowFirstColumn="0" w:lastRowLastColumn="0"/>
            </w:pPr>
            <w:r>
              <w:t>Representation of the work structures</w:t>
            </w:r>
          </w:p>
        </w:tc>
      </w:tr>
    </w:tbl>
    <w:p w14:paraId="630920C5" w14:textId="72529012" w:rsidR="00106625" w:rsidRDefault="00106625" w:rsidP="00E47101"/>
    <w:p w14:paraId="646DFCF8" w14:textId="49126427" w:rsidR="00053802" w:rsidRPr="00E47101" w:rsidRDefault="00053802" w:rsidP="00E47101">
      <w:r>
        <w:t>There was broad agreement of the applicability of the methods to t</w:t>
      </w:r>
      <w:r w:rsidR="00083B11">
        <w:t>he expected levels of the organisational hierarchy</w:t>
      </w:r>
      <w:r w:rsidR="00D252D6">
        <w:t>. The</w:t>
      </w:r>
      <w:r w:rsidR="002F2826">
        <w:t xml:space="preserve">re were also some additional levels where it was felt that the methods showed applicability such as in the discussion of organisational </w:t>
      </w:r>
      <w:r w:rsidR="005568B3">
        <w:t xml:space="preserve">principles in </w:t>
      </w:r>
      <w:r w:rsidR="002F2826">
        <w:t>CDM</w:t>
      </w:r>
      <w:r w:rsidR="00D37D53">
        <w:t xml:space="preserve">, errors and work representations at the individual level with HFACS and EAST respectively and </w:t>
      </w:r>
      <w:r w:rsidR="00207CAC">
        <w:t>highlighting of tasks where there are interactions with other actors in HTA.</w:t>
      </w:r>
    </w:p>
    <w:p w14:paraId="3CAD3C52" w14:textId="08A1E891" w:rsidR="00461FB6" w:rsidRDefault="00486F64" w:rsidP="0080484D">
      <w:r>
        <w:t>As can be seen</w:t>
      </w:r>
      <w:r w:rsidR="006E6118">
        <w:t>,</w:t>
      </w:r>
      <w:r w:rsidR="000C1904">
        <w:t xml:space="preserve"> and as expected</w:t>
      </w:r>
      <w:r>
        <w:t xml:space="preserve">, no </w:t>
      </w:r>
      <w:r w:rsidR="00E8138C">
        <w:t xml:space="preserve">single </w:t>
      </w:r>
      <w:r>
        <w:t xml:space="preserve">method addresses all the adaptation factors at all layers of the organisational </w:t>
      </w:r>
      <w:r w:rsidR="000C1904">
        <w:t>hierarchy</w:t>
      </w:r>
      <w:r w:rsidR="009467CE">
        <w:t xml:space="preserve"> and this suggests that for a comprehensive analysis of adaptation in complex sociotechnical systems a methods framework is necessary. </w:t>
      </w:r>
      <w:r w:rsidR="00480561">
        <w:t xml:space="preserve">This would appear to support the </w:t>
      </w:r>
      <w:r w:rsidR="00EE396D">
        <w:t xml:space="preserve">toolkit approach </w:t>
      </w:r>
      <w:r w:rsidR="009B6BC4">
        <w:t xml:space="preserve">based on multiple methods </w:t>
      </w:r>
      <w:r w:rsidR="00EE396D">
        <w:t>proposed by</w:t>
      </w:r>
      <w:r w:rsidR="00480561">
        <w:t xml:space="preserve"> </w:t>
      </w:r>
      <w:r w:rsidR="00C01854">
        <w:t>K</w:t>
      </w:r>
      <w:r w:rsidR="009C0DAB">
        <w:t xml:space="preserve">irwan </w:t>
      </w:r>
      <w:r w:rsidR="004A03DA">
        <w:fldChar w:fldCharType="begin" w:fldLock="1"/>
      </w:r>
      <w:r w:rsidR="00BF222C">
        <w:instrText>ADDIN CSL_CITATION {"citationItems":[{"id":"ITEM-1","itemData":{"DOI":"10.1016/S0003-6870(98)00010-6","ISSN":"00036870","PMID":"9676333","abstract":"This is the first in a two-part series of papers dealing with the area of assessing human errors in high risk complex systems. This first paper outlines thirty-eight approaches of error identification, categorising them into types of error identification approach. The paper then reviews these techniques with respect to a broad range of criteria. Viable and non-viable techniques are identified. Trends and research needs are also noted. The second paper proposes a framework or tool-kit approach to Human Error Identification, and presents a prototype methodology to show what such a framework approach would look like in practice, for the nuclear power domain.","author":[{"dropping-particle":"","family":"Kirwan","given":"Barry","non-dropping-particle":"","parse-names":false,"suffix":""}],"container-title":"Applied Ergonomics","id":"ITEM-1","issue":"3","issued":{"date-parts":[["1998"]]},"page":"157-177","title":"Human error identification techniques for risk assessment of high risk systems - Part 1: Review and evaluation of techniques","type":"article-journal","volume":"29"},"suppress-author":1,"uris":["http://www.mendeley.com/documents/?uuid=15d9d49d-976e-493b-bb6f-db786b7935ba"]},{"id":"ITEM-2","itemData":{"DOI":"10.1016/S0003-6870(98)00011-8","ISSN":"00036870","PMID":"9676333","abstract":"This is the second paper in a series of two, reviewing human error identification approaches for risk assessment of high risk socio-technical systems. The previous paper identified and reviewed thirty-eight techniques. One of the closing comments was that no single technique sufficed for all the practitioner's needs, and that a potential way forward was to utilise a number of techniques in a toolkit fashion, or to develop a new framework-based or toolkit-based approach. This paper therefore describes in detail a framework approach developed for the UK nuclear power and reprocessing industry, showing the practical implementation of such a system. It then considers some of the advantages and disadvantages of such framework approaches. The paper also discusses some of the relationships between error identification and Ergonomics.","author":[{"dropping-particle":"","family":"Kirwan","given":"Barry","non-dropping-particle":"","parse-names":false,"suffix":""}],"container-title":"Applied Ergonomics","id":"ITEM-2","issue":"3","issued":{"date-parts":[["1998"]]},"page":"157-177","title":"Human error identification techniques for risk assessment of high risk systems - Part 2: Towards a framework approach","type":"article-journal","volume":"29"},"suppress-author":1,"uris":["http://www.mendeley.com/documents/?uuid=964a8a6f-85f9-4ea0-973e-eef5cf1131b1"]}],"mendeley":{"formattedCitation":"(1998a, 1998b)","plainTextFormattedCitation":"(1998a, 1998b)","previouslyFormattedCitation":"(1998a, 1998b)"},"properties":{"noteIndex":0},"schema":"https://github.com/citation-style-language/schema/raw/master/csl-citation.json"}</w:instrText>
      </w:r>
      <w:r w:rsidR="004A03DA">
        <w:fldChar w:fldCharType="separate"/>
      </w:r>
      <w:r w:rsidR="004A03DA" w:rsidRPr="004A03DA">
        <w:rPr>
          <w:noProof/>
        </w:rPr>
        <w:t>(1998a, 1998b)</w:t>
      </w:r>
      <w:r w:rsidR="004A03DA">
        <w:fldChar w:fldCharType="end"/>
      </w:r>
      <w:r w:rsidR="004A03DA">
        <w:t xml:space="preserve"> </w:t>
      </w:r>
      <w:r w:rsidR="00EE396D">
        <w:t xml:space="preserve">and </w:t>
      </w:r>
      <w:r w:rsidR="0021367F">
        <w:t>validated</w:t>
      </w:r>
      <w:r w:rsidR="00EE396D">
        <w:t xml:space="preserve"> by Stanton </w:t>
      </w:r>
      <w:r w:rsidR="004A03DA">
        <w:t>et al.</w:t>
      </w:r>
      <w:r w:rsidR="00EE396D">
        <w:t xml:space="preserve"> </w:t>
      </w:r>
      <w:r w:rsidR="004A03DA">
        <w:fldChar w:fldCharType="begin" w:fldLock="1"/>
      </w:r>
      <w:r w:rsidR="004A03DA">
        <w:instrText>ADDIN CSL_CITATION {"citationItems":[{"id":"ITEM-1","itemData":{"DOI":"10.1016/j.apergo.2008.10.005","ISSN":"00036870","PMID":"19041088","abstract":"The Human Error Template (HET) is a recently developed methodology for predicting design-induced pilot error. This article describes a validation study undertaken to compare the performance of HET against three contemporary Human Error Identification (HEI) approaches when used to predict pilot errors for an approach and landing task and also to compare analyst error predictions to an approach to enhancing error prediction sensitivity: the multiple analysts and methods approach, whereby multiple analyst predictions using a range of HEI techniques are pooled. The findings indicate that, of the four methodologies used in isolation, analysts using the HET methodology offered the most accurate error predictions, and also that the multiple analysts and methods approach was more successful overall in terms of error prediction sensitivity than the three other methods but not the HET approach. The results suggest that when predicting design-induced error, it is appropriate to use a toolkit of different HEI approaches and multiple analysts in order to heighten error prediction sensitivity. © 2008 Elsevier Ltd. All rights reserved.","author":[{"dropping-particle":"","family":"Stanton","given":"Neville A.","non-dropping-particle":"","parse-names":false,"suffix":""},{"dropping-particle":"","family":"Salmon","given":"Paul","non-dropping-particle":"","parse-names":false,"suffix":""},{"dropping-particle":"","family":"Harris","given":"Don","non-dropping-particle":"","parse-names":false,"suffix":""},{"dropping-particle":"","family":"Marshall","given":"Andrew","non-dropping-particle":"","parse-names":false,"suffix":""},{"dropping-particle":"","family":"Demagalski","given":"Jason","non-dropping-particle":"","parse-names":false,"suffix":""},{"dropping-particle":"","family":"Young","given":"Mark S.","non-dropping-particle":"","parse-names":false,"suffix":""},{"dropping-particle":"","family":"Waldmann","given":"Thomas","non-dropping-particle":"","parse-names":false,"suffix":""},{"dropping-particle":"","family":"Dekker","given":"Sidney","non-dropping-particle":"","parse-names":false,"suffix":""}],"container-title":"Applied Ergonomics","id":"ITEM-1","issue":"3","issued":{"date-parts":[["2009"]]},"page":"464-471","publisher":"Elsevier Ltd","title":"Predicting pilot error: Testing a new methodology and a multi-methods and analysts approach","type":"article-journal","volume":"40"},"suppress-author":1,"uris":["http://www.mendeley.com/documents/?uuid=4e540ff2-37c7-4e77-9ffd-a2d55d256ffa"]}],"mendeley":{"formattedCitation":"(2009)","plainTextFormattedCitation":"(2009)","previouslyFormattedCitation":"(2009)"},"properties":{"noteIndex":0},"schema":"https://github.com/citation-style-language/schema/raw/master/csl-citation.json"}</w:instrText>
      </w:r>
      <w:r w:rsidR="004A03DA">
        <w:fldChar w:fldCharType="separate"/>
      </w:r>
      <w:r w:rsidR="004A03DA" w:rsidRPr="004A03DA">
        <w:rPr>
          <w:noProof/>
        </w:rPr>
        <w:t>(2009)</w:t>
      </w:r>
      <w:r w:rsidR="004A03DA">
        <w:fldChar w:fldCharType="end"/>
      </w:r>
      <w:r w:rsidR="00EE396D">
        <w:t xml:space="preserve">. </w:t>
      </w:r>
    </w:p>
    <w:p w14:paraId="4D43F9D2" w14:textId="7FBBCBF8" w:rsidR="003E2C47" w:rsidRDefault="003E2C47" w:rsidP="00EA3F05">
      <w:pPr>
        <w:pStyle w:val="Heading1"/>
      </w:pPr>
      <w:r>
        <w:t xml:space="preserve">Adaptation </w:t>
      </w:r>
      <w:r w:rsidR="001252A4">
        <w:t xml:space="preserve">Methods </w:t>
      </w:r>
      <w:r>
        <w:t>Framework</w:t>
      </w:r>
    </w:p>
    <w:p w14:paraId="43D3BD2A" w14:textId="6D23261D" w:rsidR="003E2C47" w:rsidRDefault="003E2C47" w:rsidP="003E2C47">
      <w:r>
        <w:t xml:space="preserve">During the conduct of the analysis in the case study the methods were used in a sequential manner where the outputs from one could be used as inputs to the next. Similarly, some methods provided a cross-check, alternative representation or validation of another. A proposed adaptation methods framework therefore emerges from this analysis and is outlined in </w:t>
      </w:r>
      <w:r>
        <w:fldChar w:fldCharType="begin"/>
      </w:r>
      <w:r>
        <w:instrText xml:space="preserve"> REF _Ref76909698 \h </w:instrText>
      </w:r>
      <w:r>
        <w:fldChar w:fldCharType="separate"/>
      </w:r>
      <w:r>
        <w:t xml:space="preserve">Figure </w:t>
      </w:r>
      <w:r>
        <w:rPr>
          <w:noProof/>
        </w:rPr>
        <w:t>12</w:t>
      </w:r>
      <w:r>
        <w:fldChar w:fldCharType="end"/>
      </w:r>
      <w:r>
        <w:fldChar w:fldCharType="begin"/>
      </w:r>
      <w:r>
        <w:instrText xml:space="preserve"> REF _Ref48592519 \h </w:instrText>
      </w:r>
      <w:r>
        <w:fldChar w:fldCharType="end"/>
      </w:r>
      <w:r>
        <w:t>.</w:t>
      </w:r>
    </w:p>
    <w:p w14:paraId="2D0CBFDD" w14:textId="77777777" w:rsidR="003E2C47" w:rsidRDefault="003E2C47" w:rsidP="003E2C47">
      <w:r>
        <w:rPr>
          <w:noProof/>
        </w:rPr>
        <w:lastRenderedPageBreak/>
        <w:drawing>
          <wp:inline distT="0" distB="0" distL="0" distR="0" wp14:anchorId="50684390" wp14:editId="4AF4C800">
            <wp:extent cx="5731510" cy="3922395"/>
            <wp:effectExtent l="0" t="0" r="2540" b="190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0"/>
                    <a:stretch>
                      <a:fillRect/>
                    </a:stretch>
                  </pic:blipFill>
                  <pic:spPr>
                    <a:xfrm>
                      <a:off x="0" y="0"/>
                      <a:ext cx="5731510" cy="3922395"/>
                    </a:xfrm>
                    <a:prstGeom prst="rect">
                      <a:avLst/>
                    </a:prstGeom>
                  </pic:spPr>
                </pic:pic>
              </a:graphicData>
            </a:graphic>
          </wp:inline>
        </w:drawing>
      </w:r>
    </w:p>
    <w:p w14:paraId="5D293F53" w14:textId="77777777" w:rsidR="003E2C47" w:rsidRPr="0080484D" w:rsidRDefault="003E2C47" w:rsidP="003E2C47">
      <w:pPr>
        <w:pStyle w:val="Caption"/>
      </w:pPr>
      <w:bookmarkStart w:id="17" w:name="_Ref76909698"/>
      <w:r>
        <w:t xml:space="preserve">Figure </w:t>
      </w:r>
      <w:r w:rsidR="00881249">
        <w:fldChar w:fldCharType="begin"/>
      </w:r>
      <w:r w:rsidR="00881249">
        <w:instrText xml:space="preserve"> SEQ Figure \* ARABIC </w:instrText>
      </w:r>
      <w:r w:rsidR="00881249">
        <w:fldChar w:fldCharType="separate"/>
      </w:r>
      <w:r>
        <w:rPr>
          <w:noProof/>
        </w:rPr>
        <w:t>12</w:t>
      </w:r>
      <w:r w:rsidR="00881249">
        <w:rPr>
          <w:noProof/>
        </w:rPr>
        <w:fldChar w:fldCharType="end"/>
      </w:r>
      <w:bookmarkEnd w:id="17"/>
      <w:r>
        <w:t>: Adaptation Method Synthesis Framework</w:t>
      </w:r>
    </w:p>
    <w:p w14:paraId="5159BA4D" w14:textId="741B8F8F" w:rsidR="003E2C47" w:rsidRDefault="003E2C47" w:rsidP="003E2C47">
      <w:r>
        <w:t xml:space="preserve">The adaptation method framework suggests three stages of analysis, a data gathering stage, a data representation stage and an analysis and synthesis stage. In the data gathering </w:t>
      </w:r>
      <w:r w:rsidR="008A66CF">
        <w:t>stage</w:t>
      </w:r>
      <w:r>
        <w:t>, the scenario is defined and observational studies and interviews are conducted</w:t>
      </w:r>
      <w:r w:rsidR="00B6660F">
        <w:t>, structured and analysed</w:t>
      </w:r>
      <w:r>
        <w:t xml:space="preserve"> using CDM. </w:t>
      </w:r>
      <w:r w:rsidR="00B6660F">
        <w:t>All t</w:t>
      </w:r>
      <w:r>
        <w:t xml:space="preserve">he data that is gathered is then structured and represented in different forms to allow different perspectives to be taken. HTA provides a useful and flexible notation for the structure of work and is often used as a starting point for many other methods. Similarly, the propositional networks of EAST provide a useful structure to describe the more informal networks of roles, functions and interactions that exist in the system. It may be useful to also include more measures of the data and the use of Operational Sequence Diagrams (OSD), Comms Usage Diagram (CUD), Coordination Demand Analysis (CDA), for example, may add further richness to the representation of the data gathering. The third stage is analysis </w:t>
      </w:r>
      <w:r w:rsidR="000B6C8A">
        <w:t>&amp;</w:t>
      </w:r>
      <w:r>
        <w:t xml:space="preserve"> </w:t>
      </w:r>
      <w:r w:rsidR="000B6C8A">
        <w:t>synthesis,</w:t>
      </w:r>
      <w:r>
        <w:t xml:space="preserve"> and this uses CWA to </w:t>
      </w:r>
      <w:r w:rsidR="005247C0">
        <w:t xml:space="preserve">further </w:t>
      </w:r>
      <w:r>
        <w:t>explore many of the features of adaptation at the level of the individual with STAMP and FRAM used to explore the features, such as control, feedback and unpredictability at the level of the organisation or wider system. The flow of results from one method to the next</w:t>
      </w:r>
      <w:r w:rsidR="00030922">
        <w:t>,</w:t>
      </w:r>
      <w:r>
        <w:t xml:space="preserve"> identified in the </w:t>
      </w:r>
      <w:r w:rsidR="00030922">
        <w:t xml:space="preserve">application to the </w:t>
      </w:r>
      <w:r>
        <w:t>case study</w:t>
      </w:r>
      <w:r w:rsidR="00030922">
        <w:t>,</w:t>
      </w:r>
      <w:r>
        <w:t xml:space="preserve"> is shown by arrows in the diagram. Where there are double-headed arrows this </w:t>
      </w:r>
      <w:r w:rsidR="00030922">
        <w:t xml:space="preserve">should be interpreted </w:t>
      </w:r>
      <w:r>
        <w:t>as a cross-check between methods for different representations of similar features.</w:t>
      </w:r>
    </w:p>
    <w:p w14:paraId="27351897" w14:textId="605F5A2E" w:rsidR="00DC363D" w:rsidRDefault="00DC363D" w:rsidP="003E2C47">
      <w:r>
        <w:t xml:space="preserve">The framework has been developed to </w:t>
      </w:r>
      <w:r w:rsidR="00EA40CA">
        <w:t xml:space="preserve">illustrate how </w:t>
      </w:r>
      <w:r w:rsidR="00A63617">
        <w:t xml:space="preserve">all </w:t>
      </w:r>
      <w:r w:rsidR="00EA40CA">
        <w:t xml:space="preserve">the methods recommended by the Delphi survey could </w:t>
      </w:r>
      <w:r w:rsidR="00345E53">
        <w:t xml:space="preserve">practically </w:t>
      </w:r>
      <w:r w:rsidR="00EA40CA">
        <w:t xml:space="preserve">be deployed </w:t>
      </w:r>
      <w:r w:rsidR="00345E53">
        <w:t xml:space="preserve">in </w:t>
      </w:r>
      <w:r w:rsidR="00C44840">
        <w:t xml:space="preserve">a sequential fashion </w:t>
      </w:r>
      <w:r w:rsidR="00EA40CA">
        <w:t>to provide complete coverage of all of the adaptation factors across all levels of the organisational hierarchy.</w:t>
      </w:r>
      <w:r w:rsidR="006A3E67">
        <w:t xml:space="preserve"> The framework could also be interpreted </w:t>
      </w:r>
      <w:r w:rsidR="009D799F">
        <w:t>as providing a series of possible pathways where</w:t>
      </w:r>
      <w:r w:rsidR="00C44840">
        <w:t xml:space="preserve"> methods are selected according to the </w:t>
      </w:r>
      <w:r w:rsidR="00D43306">
        <w:t xml:space="preserve">available expertise, resources, data available and desired level of analysis. However, a core set of methods appears to be suggested </w:t>
      </w:r>
      <w:r w:rsidR="00715D85">
        <w:t xml:space="preserve">from the factor and hierarchy coverage </w:t>
      </w:r>
      <w:r w:rsidR="009A1581">
        <w:t xml:space="preserve">that includes HTA, CDM, CWA and STAMP with other methods providing complimentary or more </w:t>
      </w:r>
      <w:r w:rsidR="003B506B">
        <w:t>in-depth</w:t>
      </w:r>
      <w:r w:rsidR="009A1581">
        <w:t xml:space="preserve"> analysis for a </w:t>
      </w:r>
      <w:r w:rsidR="009A1581">
        <w:lastRenderedPageBreak/>
        <w:t>specific hierarchy level (e.g.</w:t>
      </w:r>
      <w:r w:rsidR="00A63617">
        <w:t>,</w:t>
      </w:r>
      <w:r w:rsidR="009A1581">
        <w:t xml:space="preserve"> EAST) or could be </w:t>
      </w:r>
      <w:r w:rsidR="003E4550">
        <w:t xml:space="preserve">a </w:t>
      </w:r>
      <w:r w:rsidR="003B506B">
        <w:t xml:space="preserve">seen as a </w:t>
      </w:r>
      <w:r w:rsidR="009A1581">
        <w:t>supplement</w:t>
      </w:r>
      <w:r w:rsidR="003B506B">
        <w:t>,</w:t>
      </w:r>
      <w:r w:rsidR="003E4550">
        <w:t xml:space="preserve"> cross-check or alternative for a specific </w:t>
      </w:r>
      <w:r w:rsidR="00124F77">
        <w:t xml:space="preserve">sub-set of </w:t>
      </w:r>
      <w:r w:rsidR="003E4550">
        <w:t>adaptation factor</w:t>
      </w:r>
      <w:r w:rsidR="00124F77">
        <w:t>s.</w:t>
      </w:r>
    </w:p>
    <w:p w14:paraId="3C3D691A" w14:textId="69835769" w:rsidR="006D6DAE" w:rsidRDefault="006D6DAE" w:rsidP="006D6DAE">
      <w:pPr>
        <w:pStyle w:val="Heading1"/>
      </w:pPr>
      <w:r>
        <w:t>Discussion</w:t>
      </w:r>
    </w:p>
    <w:p w14:paraId="0B4381AF" w14:textId="3966440D" w:rsidR="00F61596" w:rsidRDefault="00F009FD" w:rsidP="0000542B">
      <w:r>
        <w:t>Whilst safety management actions that are determined through linear simplifications of operational problems can result in specific, reductionist, local actions imposed upon the front-line</w:t>
      </w:r>
      <w:r w:rsidR="00125888">
        <w:t>,</w:t>
      </w:r>
      <w:r>
        <w:t xml:space="preserve"> such as the phraseology change of the TOI </w:t>
      </w:r>
      <w:r>
        <w:fldChar w:fldCharType="begin" w:fldLock="1"/>
      </w:r>
      <w:r w:rsidR="00574984">
        <w:instrText>ADDIN CSL_CITATION {"citationItems":[{"id":"ITEM-1","itemData":{"DOI":"10.1016/j.ress.2019.106740","ISSN":"09518320","abstract":"The safety management literature describes two distinct modes through which safety is achieved. These can be described as safety management through centralized control, or safety management through guided adaptability. Safety management through centralized control, labelled by Hollnagel as ‘Safety-I’, aims to align and control the organization and its people through the central determination of what is safe. Safety management through guided adaptability, or ‘Safety-II’, aims to enable the organization and its people to safely adapt to emergent situations and conditions. Safety-II has been presented as a paradigm shift in safety theory, but it has created practical difficulties for safety professional practice. In this paper, we define the two modes of safety management and explain the challenges in changing the role of a safety professional to support Safety-II. When should safety professionals re-enforce alignment, and when should they support frontline adaptations? We outline specific activities for safety professionals to adopt in their role to move towards a guided adaptability mode of safety management. This will move the safety professional further towards their fundamental responsibility – ‘to create foresight about the changing shape of risk, and facilitate action, before people are harmed.’","author":[{"dropping-particle":"","family":"Provan","given":"David J","non-dropping-particle":"","parse-names":false,"suffix":""},{"dropping-particle":"","family":"Woods","given":"David D.","non-dropping-particle":"","parse-names":false,"suffix":""},{"dropping-particle":"","family":"Dekker","given":"Sidney W.A.","non-dropping-particle":"","parse-names":false,"suffix":""},{"dropping-particle":"","family":"Rae","given":"Andrew J","non-dropping-particle":"","parse-names":false,"suffix":""}],"container-title":"Reliability Engineering &amp; System Safety","id":"ITEM-1","issue":"August 2018","issued":{"date-parts":[["2020"]]},"page":"106740","publisher":"Elsevier Ltd","title":"Safety II professionals: How resilience engineering can transform safety practice","type":"article-journal","volume":"195"},"uris":["http://www.mendeley.com/documents/?uuid=746f600b-d879-4c06-ad9a-107c62c945e6"]}],"mendeley":{"formattedCitation":"(Provan et al., 2020)","plainTextFormattedCitation":"(Provan et al., 2020)","previouslyFormattedCitation":"(Provan et al., 2020)"},"properties":{"noteIndex":0},"schema":"https://github.com/citation-style-language/schema/raw/master/csl-citation.json"}</w:instrText>
      </w:r>
      <w:r>
        <w:fldChar w:fldCharType="separate"/>
      </w:r>
      <w:r w:rsidRPr="00027600">
        <w:rPr>
          <w:noProof/>
        </w:rPr>
        <w:t>(Provan et al., 2020)</w:t>
      </w:r>
      <w:r>
        <w:fldChar w:fldCharType="end"/>
      </w:r>
      <w:r w:rsidR="0027232E">
        <w:t>, t</w:t>
      </w:r>
      <w:r w:rsidR="0000542B">
        <w:t xml:space="preserve">he </w:t>
      </w:r>
      <w:r w:rsidR="00FE1D78">
        <w:t xml:space="preserve">use of </w:t>
      </w:r>
      <w:r w:rsidR="00961A78">
        <w:t xml:space="preserve">a minor </w:t>
      </w:r>
      <w:r w:rsidR="00FE1D78">
        <w:t xml:space="preserve">procedural change </w:t>
      </w:r>
      <w:r w:rsidR="00961A78">
        <w:t>as a</w:t>
      </w:r>
      <w:r w:rsidR="00FE1D78">
        <w:t xml:space="preserve"> safety intervention to address a perceived emerging trend in a leading indicator of risk is </w:t>
      </w:r>
      <w:r w:rsidR="00683A61">
        <w:t>not a particularly unusual</w:t>
      </w:r>
      <w:r w:rsidR="00FE1D78">
        <w:t xml:space="preserve"> practice for </w:t>
      </w:r>
      <w:r w:rsidR="00CF53EF">
        <w:t>organisations managing safety-related risks. However, the story of the TOI is far richer than an</w:t>
      </w:r>
      <w:r w:rsidR="00683A61">
        <w:t>y</w:t>
      </w:r>
      <w:r w:rsidR="00CF53EF">
        <w:t xml:space="preserve"> initial superfluous </w:t>
      </w:r>
      <w:r w:rsidR="00CE7E34">
        <w:t xml:space="preserve">dismissal of the genuine intention to control a real risk to the safety of UK air traffic operations </w:t>
      </w:r>
      <w:r w:rsidR="00CF53EF">
        <w:t xml:space="preserve">might appreciate. </w:t>
      </w:r>
      <w:r w:rsidR="00FE2101">
        <w:t>Despite these intentions though</w:t>
      </w:r>
      <w:r w:rsidR="007A77E9">
        <w:t>,</w:t>
      </w:r>
      <w:r w:rsidR="00FE2101">
        <w:t xml:space="preserve"> t</w:t>
      </w:r>
      <w:r w:rsidR="00CF53EF">
        <w:t xml:space="preserve">he </w:t>
      </w:r>
      <w:r w:rsidR="00A20101">
        <w:t xml:space="preserve">TOI </w:t>
      </w:r>
      <w:r w:rsidR="007A016B">
        <w:t xml:space="preserve">resulted in maladaptive emergent effects </w:t>
      </w:r>
      <w:r w:rsidR="00387B6C">
        <w:t>and</w:t>
      </w:r>
      <w:r w:rsidR="007A016B">
        <w:t xml:space="preserve"> impaired</w:t>
      </w:r>
      <w:r w:rsidR="00A20101">
        <w:t xml:space="preserve"> </w:t>
      </w:r>
      <w:r w:rsidR="000D5D82">
        <w:t xml:space="preserve">air traffic controller flexibility </w:t>
      </w:r>
      <w:r w:rsidR="00387B6C">
        <w:t>as the</w:t>
      </w:r>
      <w:r w:rsidR="00DE6438">
        <w:t xml:space="preserve"> adaptive capacities that </w:t>
      </w:r>
      <w:r w:rsidR="00387B6C">
        <w:t xml:space="preserve">existed in the system and nature of the </w:t>
      </w:r>
      <w:r w:rsidR="00904305">
        <w:t xml:space="preserve">work </w:t>
      </w:r>
      <w:r w:rsidR="00DE6438">
        <w:t xml:space="preserve">were </w:t>
      </w:r>
      <w:r w:rsidR="007A016B">
        <w:t>not fully appreciated in the risk and change assessment process</w:t>
      </w:r>
      <w:r w:rsidR="00904305">
        <w:t xml:space="preserve">. </w:t>
      </w:r>
      <w:r w:rsidR="00AE558A">
        <w:t xml:space="preserve">Whilst the TOI was a relatively minor addition of six syllables to controller transmissions </w:t>
      </w:r>
      <w:r w:rsidR="0098045E">
        <w:t xml:space="preserve">under </w:t>
      </w:r>
      <w:r w:rsidR="00AE558A">
        <w:t>certain circumstances</w:t>
      </w:r>
      <w:r w:rsidR="00BA1DA6">
        <w:t>,</w:t>
      </w:r>
      <w:r w:rsidR="00AE558A">
        <w:t xml:space="preserve"> it</w:t>
      </w:r>
      <w:r w:rsidR="0001138C">
        <w:t xml:space="preserve"> had a disproportionate effect on the air traffic control operation. </w:t>
      </w:r>
      <w:r w:rsidR="005756C5">
        <w:t xml:space="preserve">This suggests a form </w:t>
      </w:r>
      <w:r w:rsidR="00B6720C">
        <w:t xml:space="preserve">of, </w:t>
      </w:r>
      <w:r w:rsidR="005756C5">
        <w:t>o</w:t>
      </w:r>
      <w:r w:rsidR="00245484">
        <w:t>r potential for</w:t>
      </w:r>
      <w:r w:rsidR="00B6720C">
        <w:t>,</w:t>
      </w:r>
      <w:r w:rsidR="005756C5">
        <w:t xml:space="preserve"> scale-invariance </w:t>
      </w:r>
      <w:r w:rsidR="00245484">
        <w:t xml:space="preserve">in </w:t>
      </w:r>
      <w:r w:rsidR="00AF157E">
        <w:t>the effect</w:t>
      </w:r>
      <w:r w:rsidR="00AC0C06">
        <w:t xml:space="preserve">s of </w:t>
      </w:r>
      <w:r w:rsidR="00245484">
        <w:t>changes in complex sociotech</w:t>
      </w:r>
      <w:r w:rsidR="00D3281B">
        <w:t xml:space="preserve">nical systems </w:t>
      </w:r>
      <w:r w:rsidR="00D3281B">
        <w:fldChar w:fldCharType="begin" w:fldLock="1"/>
      </w:r>
      <w:r w:rsidR="00C04AB4">
        <w:instrText>ADDIN CSL_CITATION {"citationItems":[{"id":"ITEM-1","itemData":{"DOI":"10.1016/j.ress.2017.03.032","ISSN":"09518320","abstract":"System-thinking and related systemic methods enhance traditional risk and hazard assessments and accident analysis, as well as system design. The Functional Resonance Analysis Method (FRAM) is a recently developed method for systemic analysis. FRAM facilitates descriptions of the functional relations among system elements. In case of large systems (e.g. several agents, multiple procedures, many technical equipment), building a FRAM model may become a difficult task, moreover resulting in a complex model, with limited benefits for the purpose of the analysis. Considering complexity as strictly dependent on the resolution of the representation, this paper explores the compatibility of the Hollnagel's FRAM with Rasmussen's Abstraction Hierarchy (AH). Starting from the AH's traditional Abstraction/Decomposition division, this study conceptually explores the benefits arising from combining an Abstraction/Agency framework with system-thinking, in particular with FRAM. This combined approach, which allows systemic functional analysis at different levels of abstraction and among different agents, for the development of a systemic multi-layer functional structure, useful for intra-agent inter-level and intra-agent intra-level analyses. An application of the framework in the railway domain illustrates some conceptual outcomes of the approach, confirming the relevance of FRAM's fractality as well as the potential for enhanced knowledge representation associated with a multi-dimension approach.","author":[{"dropping-particle":"","family":"Patriarca","given":"Riccardo","non-dropping-particle":"","parse-names":false,"suffix":""},{"dropping-particle":"","family":"Bergström","given":"Johan","non-dropping-particle":"","parse-names":false,"suffix":""},{"dropping-particle":"","family":"Gravio","given":"Giulio","non-dropping-particle":"Di","parse-names":false,"suffix":""}],"container-title":"Reliability Engineering and System Safety","id":"ITEM-1","issue":"July 2016","issued":{"date-parts":[["2017"]]},"page":"34-46","title":"Defining the functional resonance analysis space: Combining Abstraction Hierarchy and FRAM","type":"article-journal","volume":"165"},"uris":["http://www.mendeley.com/documents/?uuid=baff5d88-962f-4866-90fd-6329a3fbc1ea"]}],"mendeley":{"formattedCitation":"(Patriarca et al., 2017)","plainTextFormattedCitation":"(Patriarca et al., 2017)","previouslyFormattedCitation":"(Patriarca et al., 2017)"},"properties":{"noteIndex":0},"schema":"https://github.com/citation-style-language/schema/raw/master/csl-citation.json"}</w:instrText>
      </w:r>
      <w:r w:rsidR="00D3281B">
        <w:fldChar w:fldCharType="separate"/>
      </w:r>
      <w:r w:rsidR="00013CAD" w:rsidRPr="00013CAD">
        <w:rPr>
          <w:noProof/>
        </w:rPr>
        <w:t>(Patriarca et al., 2017)</w:t>
      </w:r>
      <w:r w:rsidR="00D3281B">
        <w:fldChar w:fldCharType="end"/>
      </w:r>
      <w:r w:rsidR="00D3281B">
        <w:t xml:space="preserve">. </w:t>
      </w:r>
      <w:r w:rsidR="00904305">
        <w:t>The question th</w:t>
      </w:r>
      <w:r w:rsidR="002F54C0">
        <w:t>is raises</w:t>
      </w:r>
      <w:r w:rsidR="00B205D9">
        <w:t>,</w:t>
      </w:r>
      <w:r w:rsidR="002F54C0">
        <w:t xml:space="preserve"> and which has broader implications for Human Factors practitioners looking to better understand </w:t>
      </w:r>
      <w:r w:rsidR="001C7D8F">
        <w:t xml:space="preserve">adaptation as a fundamental tenet of complex sociotechnical systems </w:t>
      </w:r>
      <w:r w:rsidR="00574984">
        <w:fldChar w:fldCharType="begin" w:fldLock="1"/>
      </w:r>
      <w:r w:rsidR="00416241">
        <w:instrText>ADDIN CSL_CITATION {"citationItems":[{"id":"ITEM-1","itemData":{"DOI":"10.1016/j.ssci.2017.12.018","ISBN":"0925-7535","ISSN":"18791042","abstract":"The prediction of accidents, or systems failure, should be driven by an appropriate accident causation model. Whilst various models exist, none is yet universally accepted, but elements of different models are. The paper presents the findings from a review of the most frequently cited systems based accident causation models to extract a common set of systems thinking tenets that could support the prediction of accidents. The review uses the term “systems thinking tenet” to describe a set of principle beliefs about accidents causation found in models proposed by Jens Rasmussen, Erik Hollnagel, Charles Perrow, Nancy Leveson and Sidney Dekker. Twenty-seven common systems thinking tenets were identified. To evaluate and synthesise the tenets, a workshop was conducted with subject matter experts in accident analysis, accident causation, and systems thinking. The evaluation revealed that, to support accident prediction, the tenets required both safe and unsafe properties to capture the influences underpinning systematic weaknesses. The review also shows that, despite the diversity in the models there is considerable agreement regarding the core tenets of system safety and accident causation. It is recommended that future research involves applying and testing the tenets for the extent to which they can predict accidents in complex systems.","author":[{"dropping-particle":"","family":"Grant","given":"Eryn","non-dropping-particle":"","parse-names":false,"suffix":""},{"dropping-particle":"","family":"Salmon","given":"Paul M.","non-dropping-particle":"","parse-names":false,"suffix":""},{"dropping-particle":"","family":"Stevens","given":"Nicholas J.","non-dropping-particle":"","parse-names":false,"suffix":""},{"dropping-particle":"","family":"Goode","given":"Natassia","non-dropping-particle":"","parse-names":false,"suffix":""},{"dropping-particle":"","family":"Read","given":"Gemma J.","non-dropping-particle":"","parse-names":false,"suffix":""}],"container-title":"Safety Science","id":"ITEM-1","issued":{"date-parts":[["2018"]]},"title":"Back to the future: What do accident causation models tell us about accident prediction?","type":"article","volume":"104"},"uris":["http://www.mendeley.com/documents/?uuid=50d83199-54f8-390c-a592-65612542bdde"]}],"mendeley":{"formattedCitation":"(Grant, Salmon, Stevens, Goode, &amp; Read, 2018)","plainTextFormattedCitation":"(Grant, Salmon, Stevens, Goode, &amp; Read, 2018)","previouslyFormattedCitation":"(Grant, Salmon, Stevens, Goode, &amp; Read, 2018)"},"properties":{"noteIndex":0},"schema":"https://github.com/citation-style-language/schema/raw/master/csl-citation.json"}</w:instrText>
      </w:r>
      <w:r w:rsidR="00574984">
        <w:fldChar w:fldCharType="separate"/>
      </w:r>
      <w:r w:rsidR="00574984" w:rsidRPr="00574984">
        <w:rPr>
          <w:noProof/>
        </w:rPr>
        <w:t>(Grant, Salmon, Stevens, Goode, &amp; Read, 2018)</w:t>
      </w:r>
      <w:r w:rsidR="00574984">
        <w:fldChar w:fldCharType="end"/>
      </w:r>
      <w:r w:rsidR="007A77E9">
        <w:t>,</w:t>
      </w:r>
      <w:r w:rsidR="00B205D9">
        <w:t xml:space="preserve"> is: </w:t>
      </w:r>
      <w:r w:rsidR="00EB166A">
        <w:t xml:space="preserve">how did this occur and </w:t>
      </w:r>
      <w:r w:rsidR="00B205D9">
        <w:t>could this have been anticipated?</w:t>
      </w:r>
    </w:p>
    <w:p w14:paraId="79748F4D" w14:textId="36AD6351" w:rsidR="00C64ACB" w:rsidRDefault="00EE0628" w:rsidP="004C187D">
      <w:r w:rsidRPr="00490D0D">
        <w:rPr>
          <w:rFonts w:ascii="Calibri" w:hAnsi="Calibri" w:cs="Calibri"/>
        </w:rPr>
        <w:t xml:space="preserve">Ultimately, the problem is not that safety practitioners do not understand or appreciate the role that  adaptation plays in the safety of complex sociotechnical systems, the problem is that the methodological approaches </w:t>
      </w:r>
      <w:r w:rsidR="00897E70">
        <w:rPr>
          <w:rFonts w:ascii="Calibri" w:hAnsi="Calibri" w:cs="Calibri"/>
        </w:rPr>
        <w:t>that</w:t>
      </w:r>
      <w:r w:rsidR="00897E70" w:rsidRPr="00490D0D">
        <w:rPr>
          <w:rFonts w:ascii="Calibri" w:hAnsi="Calibri" w:cs="Calibri"/>
        </w:rPr>
        <w:t xml:space="preserve"> </w:t>
      </w:r>
      <w:r w:rsidRPr="00490D0D">
        <w:rPr>
          <w:rFonts w:ascii="Calibri" w:hAnsi="Calibri" w:cs="Calibri"/>
        </w:rPr>
        <w:t xml:space="preserve">are currently </w:t>
      </w:r>
      <w:r w:rsidR="003961A5">
        <w:rPr>
          <w:rFonts w:ascii="Calibri" w:hAnsi="Calibri" w:cs="Calibri"/>
        </w:rPr>
        <w:t>in use</w:t>
      </w:r>
      <w:r w:rsidR="003B35E4">
        <w:rPr>
          <w:rFonts w:ascii="Calibri" w:hAnsi="Calibri" w:cs="Calibri"/>
        </w:rPr>
        <w:t xml:space="preserve"> may not support an appreciation and understanding of adaptation</w:t>
      </w:r>
      <w:r w:rsidR="00D74271">
        <w:rPr>
          <w:rFonts w:ascii="Calibri" w:hAnsi="Calibri" w:cs="Calibri"/>
        </w:rPr>
        <w:t xml:space="preserve"> be that because they are linear, reductionist, focused on the individual</w:t>
      </w:r>
      <w:r w:rsidR="00CE544E">
        <w:rPr>
          <w:rFonts w:ascii="Calibri" w:hAnsi="Calibri" w:cs="Calibri"/>
        </w:rPr>
        <w:t xml:space="preserve"> or any other criticism of current practice</w:t>
      </w:r>
      <w:r w:rsidR="00065000">
        <w:rPr>
          <w:rFonts w:ascii="Calibri" w:hAnsi="Calibri" w:cs="Calibri"/>
        </w:rPr>
        <w:t xml:space="preserve"> </w:t>
      </w:r>
      <w:r w:rsidR="00065000">
        <w:rPr>
          <w:rFonts w:ascii="Calibri" w:hAnsi="Calibri" w:cs="Calibri"/>
        </w:rPr>
        <w:fldChar w:fldCharType="begin" w:fldLock="1"/>
      </w:r>
      <w:r w:rsidR="00E8596C">
        <w:rPr>
          <w:rFonts w:ascii="Calibri" w:hAnsi="Calibri" w:cs="Calibri"/>
        </w:rPr>
        <w:instrText>ADDIN CSL_CITATION {"citationItems":[{"id":"ITEM-1","itemData":{"DOI":"10.1177/0018720820926875","ISSN":"15478181","abstract":"Objective: This paper presents the Binary-Based Model (BBM), a new approach to Human Factors (HF) method selection. The BBM helps practitioners select the most appropriate HF methodology in relation to the complexity within the target system. Background: There are over 200 HF methods available to the practitioner and little guidance to help choose between them. Method: The BBM defines a HF “problem space” comprising three complexity attributes. HF problems can be rated against these attributes and located in the “problem space.” In addition, a similar HF “approach space” in which 66 predictive methods are rated according to their ability to confront those attributes is defined. These spaces are combined into a “utility space” in which problems and methods coexist. In the utility space, the match between HF problems and methods can be formally assessed. Results: The method space is split into octants to establish broad groupings of methods distributed throughout the space. About 77% of the methods reside in Octant 1 which corresponds to problems with low levels of complexity. This demonstrates that most HF methods are suited to problems in low-complexity systems. Conclusion: The location of 77% of the rated methods in Octant 1 indicates that HF practitioners are underserved with methods for analysis of HF problems exhibiting high complexity. Application: The BBM can be used by multidisciplinary teams to select the most appropriate HF methodology for the problem under analysis. All the materials and analysis are placed in the public domain for modification and consensus building by the wider HF community.","author":[{"dropping-particle":"","family":"Holman","given":"Matt","non-dropping-particle":"","parse-names":false,"suffix":""},{"dropping-particle":"","family":"Walker","given":"Guy","non-dropping-particle":"","parse-names":false,"suffix":""},{"dropping-particle":"","family":"Lansdown","given":"Terry","non-dropping-particle":"","parse-names":false,"suffix":""},{"dropping-particle":"","family":"Salmon","given":"Paul","non-dropping-particle":"","parse-names":false,"suffix":""},{"dropping-particle":"","family":"Read","given":"Gemma","non-dropping-particle":"","parse-names":false,"suffix":""},{"dropping-particle":"","family":"Stanton","given":"Neville","non-dropping-particle":"","parse-names":false,"suffix":""}],"container-title":"Human Factors","id":"ITEM-1","issued":{"date-parts":[["2020"]]},"title":"The Binary-Based Model (BBM) for Improved Human Factors Method Selection","type":"article-journal"},"uris":["http://www.mendeley.com/documents/?uuid=9801b58e-dd15-4770-aac1-a5484f6b9e27"]},{"id":"ITEM-2","itemData":{"DOI":"10.1080/00140139.2015.1103385","ISBN":"1366-5847 (Electronic)\\r0014-0139 (Linking)","ISSN":"13665847","PMID":"26799501","abstract":"The issues being tackled within ergonomics problem spaces are shifting. Although existing paradigms appear relevant for modern day systems, it is worth questioning whether our methods are. This paper asks whether the complexities of systems thinking, a currently ubiquitous ergonomics paradigm, are outpacing the capabilities of our methodological toolkit. This is achieved through examining the contemporary ergonomics problem space and the extent to which ergonomics methods can meet the challenges posed. Specifically, five key areas within the ergonomics paradigm of systems thinking are focused on: normal performance as a cause of accidents, accident prediction, system migration, systems concepts and ergonomics in design. The methods available for pursuing each line of inquiry are discussed, along with their ability to respond to key requirements. In doing so, a series of new methodological requirements and capabilities are identified. It is argued that further methodological development is required to provide researchers and practitioners with appropriate tools to explore both contemporary and future problems. Practitioner Summary: Ergonomics methods are the cornerstone of our discipline. This paper examines whether our current methodological toolkit is fit for purpose given the changing nature of ergonomics problems. The findings provide key research and practice requirements for methodological development.","author":[{"dropping-particle":"","family":"Salmon","given":"Paul M.","non-dropping-particle":"","parse-names":false,"suffix":""},{"dropping-particle":"","family":"Walker","given":"Guy H.","non-dropping-particle":"","parse-names":false,"suffix":""},{"dropping-particle":"","family":"Gemma","given":"Gemma J.","non-dropping-particle":"","parse-names":false,"suffix":""},{"dropping-particle":"","family":"Goode","given":"Natassia","non-dropping-particle":"","parse-names":false,"suffix":""},{"dropping-particle":"","family":"Stanton","given":"Neville A.","non-dropping-particle":"","parse-names":false,"suffix":""}],"container-title":"Ergonomics","id":"ITEM-2","issue":"2","issued":{"date-parts":[["2017"]]},"page":"194-205","title":"Fitting methods to paradigms: are ergonomics methods fit for systems thinking?","type":"article-journal","volume":"60"},"uris":["http://www.mendeley.com/documents/?uuid=34366165-11b0-431f-8e10-fe49ba6d5485"]}],"mendeley":{"formattedCitation":"(Holman et al., 2020; Salmon et al., 2017)","plainTextFormattedCitation":"(Holman et al., 2020; Salmon et al., 2017)","previouslyFormattedCitation":"(Holman et al., 2020; Salmon et al., 2017)"},"properties":{"noteIndex":0},"schema":"https://github.com/citation-style-language/schema/raw/master/csl-citation.json"}</w:instrText>
      </w:r>
      <w:r w:rsidR="00065000">
        <w:rPr>
          <w:rFonts w:ascii="Calibri" w:hAnsi="Calibri" w:cs="Calibri"/>
        </w:rPr>
        <w:fldChar w:fldCharType="separate"/>
      </w:r>
      <w:r w:rsidR="00065000" w:rsidRPr="00065000">
        <w:rPr>
          <w:rFonts w:ascii="Calibri" w:hAnsi="Calibri" w:cs="Calibri"/>
          <w:noProof/>
        </w:rPr>
        <w:t>(Holman et al., 2020; Salmon et al., 2017)</w:t>
      </w:r>
      <w:r w:rsidR="00065000">
        <w:rPr>
          <w:rFonts w:ascii="Calibri" w:hAnsi="Calibri" w:cs="Calibri"/>
        </w:rPr>
        <w:fldChar w:fldCharType="end"/>
      </w:r>
      <w:r w:rsidRPr="00490D0D">
        <w:rPr>
          <w:rFonts w:ascii="Calibri" w:hAnsi="Calibri" w:cs="Calibri"/>
        </w:rPr>
        <w:t>.</w:t>
      </w:r>
      <w:r w:rsidR="003B35E4">
        <w:rPr>
          <w:rFonts w:ascii="Calibri" w:hAnsi="Calibri" w:cs="Calibri"/>
        </w:rPr>
        <w:t xml:space="preserve"> </w:t>
      </w:r>
      <w:r w:rsidR="00813A66">
        <w:t>In previous work, Foster et al</w:t>
      </w:r>
      <w:r w:rsidR="00444F60">
        <w:t>.</w:t>
      </w:r>
      <w:r w:rsidR="00813A66">
        <w:t xml:space="preserve"> </w:t>
      </w:r>
      <w:r w:rsidR="00813A66">
        <w:fldChar w:fldCharType="begin" w:fldLock="1"/>
      </w:r>
      <w:r w:rsidR="007552B4">
        <w:instrText>ADDIN CSL_CITATION {"citationItems":[{"id":"ITEM-1","itemData":{"DOI":"10.1016/j.ssci.2020.104933","ISSN":"0925-7535","author":[{"dropping-particle":"","family":"Foster","given":"Craig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Science","id":"ITEM-1","issue":"July","issued":{"date-parts":[["2020"]]},"page":"104933","publisher":"Elsevier","title":"A Delphi study of human factors methods for the evaluation of adaptation in safety-related organisations","type":"article-journal","volume":"131"},"suppress-author":1,"uris":["http://www.mendeley.com/documents/?uuid=3dcd98b9-5f29-4956-9ece-f4c7e4425c89"]}],"mendeley":{"formattedCitation":"(2020a)","plainTextFormattedCitation":"(2020a)","previouslyFormattedCitation":"(2020a)"},"properties":{"noteIndex":0},"schema":"https://github.com/citation-style-language/schema/raw/master/csl-citation.json"}</w:instrText>
      </w:r>
      <w:r w:rsidR="00813A66">
        <w:fldChar w:fldCharType="separate"/>
      </w:r>
      <w:r w:rsidR="00E8596C" w:rsidRPr="00E8596C">
        <w:rPr>
          <w:noProof/>
        </w:rPr>
        <w:t>(2020a)</w:t>
      </w:r>
      <w:r w:rsidR="00813A66">
        <w:fldChar w:fldCharType="end"/>
      </w:r>
      <w:r w:rsidR="00813A66">
        <w:t xml:space="preserve"> </w:t>
      </w:r>
      <w:r w:rsidR="00C33F8E">
        <w:t xml:space="preserve">used a Delphi survey of Human Factors experts and </w:t>
      </w:r>
      <w:r w:rsidR="00F61596">
        <w:t xml:space="preserve">safety </w:t>
      </w:r>
      <w:r w:rsidR="00C33F8E">
        <w:t xml:space="preserve">practitioners to identify </w:t>
      </w:r>
      <w:r w:rsidR="00750F97">
        <w:t>a set of</w:t>
      </w:r>
      <w:r w:rsidR="00C33F8E">
        <w:t xml:space="preserve"> Human Factors methods that </w:t>
      </w:r>
      <w:r w:rsidR="00836939">
        <w:t xml:space="preserve">could be applied to the examination of nine factors of adaptation </w:t>
      </w:r>
      <w:r w:rsidR="00836939">
        <w:fldChar w:fldCharType="begin" w:fldLock="1"/>
      </w:r>
      <w:r w:rsidR="00027600">
        <w:instrText>ADDIN CSL_CITATION {"citationItems":[{"id":"ITEM-1","itemData":{"DOI":"10.1016/j.ssci.2019.05.035","ISSN":"09257535","author":[{"dropping-particle":"","family":"Foster","given":"Craig J.","non-dropping-particle":"","parse-names":false,"suffix":""},{"dropping-particle":"","family":"Plant","given":"Katherine L.","non-dropping-particle":"","parse-names":false,"suffix":""},{"dropping-particle":"","family":"Stanton","given":"Neville A.","non-dropping-particle":"","parse-names":false,"suffix":""}],"container-title":"Safety Science","id":"ITEM-1","issue":"May","issued":{"date-parts":[["2019"]]},"page":"617-631","publisher":"Elsevier","title":"Adaptation as a source of safety in complex socio-technical systems: A literature review and model development","type":"article-journal","volume":"118"},"uris":["http://www.mendeley.com/documents/?uuid=138b3605-a7cf-426b-a961-e511a9ba3876"]}],"mendeley":{"formattedCitation":"(Foster et al., 2019)","plainTextFormattedCitation":"(Foster et al., 2019)","previouslyFormattedCitation":"(Foster et al., 2019)"},"properties":{"noteIndex":0},"schema":"https://github.com/citation-style-language/schema/raw/master/csl-citation.json"}</w:instrText>
      </w:r>
      <w:r w:rsidR="00836939">
        <w:fldChar w:fldCharType="separate"/>
      </w:r>
      <w:r w:rsidR="00836939" w:rsidRPr="00836939">
        <w:rPr>
          <w:noProof/>
        </w:rPr>
        <w:t>(Foster et al., 2019)</w:t>
      </w:r>
      <w:r w:rsidR="00836939">
        <w:fldChar w:fldCharType="end"/>
      </w:r>
      <w:r w:rsidR="00836939">
        <w:t>.</w:t>
      </w:r>
      <w:r w:rsidR="0039473D">
        <w:t xml:space="preserve"> This paper has applied these methods to the circumstances surrounding the decision to </w:t>
      </w:r>
      <w:r w:rsidR="008976C4">
        <w:t>intervene</w:t>
      </w:r>
      <w:r w:rsidR="0039473D">
        <w:t xml:space="preserve">, the TOI </w:t>
      </w:r>
      <w:r w:rsidR="008976C4">
        <w:t xml:space="preserve">intervention </w:t>
      </w:r>
      <w:r w:rsidR="0039473D">
        <w:t xml:space="preserve">itself, the pre-existing informal strategies and techniques, the subsequent emergent effects and the decision to </w:t>
      </w:r>
      <w:r w:rsidR="00EB5B69">
        <w:t>withdraw the instruction.</w:t>
      </w:r>
      <w:r w:rsidR="00E634F6">
        <w:t xml:space="preserve"> </w:t>
      </w:r>
      <w:r w:rsidR="00EB5B69">
        <w:t xml:space="preserve">Each of these methods </w:t>
      </w:r>
      <w:r w:rsidR="00FD7B76">
        <w:t xml:space="preserve">has been found to </w:t>
      </w:r>
      <w:r w:rsidR="00161BFB">
        <w:t>provide</w:t>
      </w:r>
      <w:r w:rsidR="00FD7B76">
        <w:t xml:space="preserve"> a slightly different perspective </w:t>
      </w:r>
      <w:r w:rsidR="00161BFB">
        <w:t>o</w:t>
      </w:r>
      <w:r w:rsidR="00CC684B">
        <w:t>n</w:t>
      </w:r>
      <w:r w:rsidR="00161BFB">
        <w:t xml:space="preserve"> the problem and the nature of adaptation.</w:t>
      </w:r>
      <w:r w:rsidR="00E634F6">
        <w:t xml:space="preserve"> </w:t>
      </w:r>
      <w:r w:rsidR="00C04480">
        <w:t xml:space="preserve">This is not an unexpected finding since in a multi-faceted </w:t>
      </w:r>
      <w:r w:rsidR="00C95412">
        <w:t xml:space="preserve">problem in a complex sociotechnical system </w:t>
      </w:r>
      <w:r w:rsidR="009B141D">
        <w:t xml:space="preserve">it should be expected </w:t>
      </w:r>
      <w:r w:rsidR="00554448">
        <w:t xml:space="preserve">that </w:t>
      </w:r>
      <w:r w:rsidR="00C95412">
        <w:t xml:space="preserve">one method </w:t>
      </w:r>
      <w:r w:rsidR="00554448">
        <w:t xml:space="preserve">would </w:t>
      </w:r>
      <w:r w:rsidR="00C275F9">
        <w:t>be insufficient to</w:t>
      </w:r>
      <w:r w:rsidR="00872896">
        <w:t xml:space="preserve"> </w:t>
      </w:r>
      <w:r w:rsidR="00C95412">
        <w:t>adequately describe all perspectives</w:t>
      </w:r>
      <w:r w:rsidR="00B34FC5">
        <w:t xml:space="preserve"> </w:t>
      </w:r>
      <w:r w:rsidR="00270E6F">
        <w:fldChar w:fldCharType="begin" w:fldLock="1"/>
      </w:r>
      <w:r w:rsidR="00EC5734">
        <w:instrText>ADDIN CSL_CITATION {"citationItems":[{"id":"ITEM-1","itemData":{"DOI":"10.1080/00140130903171672","ISBN":"1366-5847 (Electronic)\\r0014-0139 (Linking)","ISSN":"00140139","PMID":"20099173","abstract":"Command and control is a generic activity involving the exercise of authority over assigned resources, combined with planning, coordinating and controlling how those resources are used. The challenge for understanding this type of activity is that it is not often amenable to the conventional experimental/methodological approach. Command and control tends to be multi-faceted (so requires more than one method), is made up of interacting socio and technical elements (so requires a systemic approach) and exhibits aggregate behaviours that emerge from these interactions (so requires methods that go beyond reductionism). In these circumstances a distributed cognition approach is highly appropriate yet the existing ethnographic methods make it difficult to apply and, for non-specialist audiences, sometimes difficult to meaningfully interpret. The Event Analysis for Systemic Teamwork method is put forward as a means of working from a distributed cognition perspective but in a way that goes beyond ethnography. A worked example from Air Traffic Control is used to illustrate how the language of social science can be translated into the language of systems analysis. Statement of Relevance: Distributed cognition provides a highly appropriate conceptual response to complex work settings such as Air Traffic Control. This paper deals with how to realise those benefits in practice without recourse to problematic ethnographic techniques.","author":[{"dropping-particle":"","family":"Walker","given":"Guy H.","non-dropping-particle":"","parse-names":false,"suffix":""},{"dropping-particle":"","family":"Stanton","given":"Neville A.","non-dropping-particle":"","parse-names":false,"suffix":""},{"dropping-particle":"","family":"Baber","given":"Chris","non-dropping-particle":"","parse-names":false,"suffix":""},{"dropping-particle":"","family":"Wells","given":"Linda","non-dropping-particle":"","parse-names":false,"suffix":""},{"dropping-particle":"","family":"Gibson","given":"Huw","non-dropping-particle":"","parse-names":false,"suffix":""},{"dropping-particle":"","family":"Salmon","given":"Paul","non-dropping-particle":"","parse-names":false,"suffix":""},{"dropping-particle":"","family":"Jenkins","given":"Daniel","non-dropping-particle":"","parse-names":false,"suffix":""}],"container-title":"Ergonomics","id":"ITEM-1","issue":"2","issued":{"date-parts":[["2010"]]},"page":"184-197","title":"From ethnography to the east method: A tractable approach for representing distributed cognition in air traffic control","type":"article-journal","volume":"53"},"uris":["http://www.mendeley.com/documents/?uuid=48ffa208-2902-498e-a2ad-09800d363615"]},{"id":"ITEM-2","itemData":{"DOI":"10.1177/0018720820926875","ISSN":"15478181","abstract":"Objective: This paper presents the Binary-Based Model (BBM), a new approach to Human Factors (HF) method selection. The BBM helps practitioners select the most appropriate HF methodology in relation to the complexity within the target system. Background: There are over 200 HF methods available to the practitioner and little guidance to help choose between them. Method: The BBM defines a HF “problem space” comprising three complexity attributes. HF problems can be rated against these attributes and located in the “problem space.” In addition, a similar HF “approach space” in which 66 predictive methods are rated according to their ability to confront those attributes is defined. These spaces are combined into a “utility space” in which problems and methods coexist. In the utility space, the match between HF problems and methods can be formally assessed. Results: The method space is split into octants to establish broad groupings of methods distributed throughout the space. About 77% of the methods reside in Octant 1 which corresponds to problems with low levels of complexity. This demonstrates that most HF methods are suited to problems in low-complexity systems. Conclusion: The location of 77% of the rated methods in Octant 1 indicates that HF practitioners are underserved with methods for analysis of HF problems exhibiting high complexity. Application: The BBM can be used by multidisciplinary teams to select the most appropriate HF methodology for the problem under analysis. All the materials and analysis are placed in the public domain for modification and consensus building by the wider HF community.","author":[{"dropping-particle":"","family":"Holman","given":"Matt","non-dropping-particle":"","parse-names":false,"suffix":""},{"dropping-particle":"","family":"Walker","given":"Guy","non-dropping-particle":"","parse-names":false,"suffix":""},{"dropping-particle":"","family":"Lansdown","given":"Terry","non-dropping-particle":"","parse-names":false,"suffix":""},{"dropping-particle":"","family":"Salmon","given":"Paul","non-dropping-particle":"","parse-names":false,"suffix":""},{"dropping-particle":"","family":"Read","given":"Gemma","non-dropping-particle":"","parse-names":false,"suffix":""},{"dropping-particle":"","family":"Stanton","given":"Neville","non-dropping-particle":"","parse-names":false,"suffix":""}],"container-title":"Human Factors","id":"ITEM-2","issued":{"date-parts":[["2020"]]},"title":"The Binary-Based Model (BBM) for Improved Human Factors Method Selection","type":"article-journal"},"uris":["http://www.mendeley.com/documents/?uuid=9801b58e-dd15-4770-aac1-a5484f6b9e27"]},{"id":"ITEM-3","itemData":{"DOI":"10.1016/j.apergo.2007.10.003","ISSN":"00036870","abstract":"This paper examines the effectiveness of human factors initiatives and addresses some difficulties reported in calculating the value of such interventions. Company representatives and researchers applied a novel probabilistic assessment tool to estimate the financial impact of two macro-ergonomic projects. Key benefits of the company intranet project include reduced administrative and operational costs compared to a paper-based system; time savings for users asking for, providing and receiving information; and improved system usability and higher levels of usage. The communities of practice project demonstrates value through more efficient distribution and retrieval of information; reduced duplication by re-using technical knowledge to solve similar problems and improved sharing of good working practices, lessons and resources. The strengths of the tool include transparency, being quick and easy to learn and the collaborative workshop format, involving researches and key representatives from the organization. It makes a useful contribution to the challenge of assessing the financial value of ergonomic interventions, and, by exploiting its diagnostic and planning capabilities, could be extended to other domains. © 2007 Elsevier Ltd. All rights reserved.","author":[{"dropping-particle":"","family":"Kerr","given":"Micky P.","non-dropping-particle":"","parse-names":false,"suffix":""},{"dropping-particle":"","family":"Knott","given":"David S.","non-dropping-particle":"","parse-names":false,"suffix":""},{"dropping-particle":"","family":"Moss","given":"Michael A.","non-dropping-particle":"","parse-names":false,"suffix":""},{"dropping-particle":"","family":"Clegg","given":"Chris W.","non-dropping-particle":"","parse-names":false,"suffix":""},{"dropping-particle":"","family":"Horton","given":"Robin P.","non-dropping-particle":"","parse-names":false,"suffix":""}],"container-title":"Applied Ergonomics","id":"ITEM-3","issue":"3","issued":{"date-parts":[["2008"]]},"title":"Assessing the value of human factors initiatives","type":"article-journal","volume":"39"},"uris":["http://www.mendeley.com/documents/?uuid=f20d12c7-7dbd-34d7-b457-365a89aa0315"]},{"id":"ITEM-4","itemData":{"DOI":"10.1016/S0003-6870(98)00010-6","ISSN":"00036870","PMID":"9676333","abstract":"This is the first in a two-part series of papers dealing with the area of assessing human errors in high risk complex systems. This first paper outlines thirty-eight approaches of error identification, categorising them into types of error identification approach. The paper then reviews these techniques with respect to a broad range of criteria. Viable and non-viable techniques are identified. Trends and research needs are also noted. The second paper proposes a framework or tool-kit approach to Human Error Identification, and presents a prototype methodology to show what such a framework approach would look like in practice, for the nuclear power domain.","author":[{"dropping-particle":"","family":"Kirwan","given":"Barry","non-dropping-particle":"","parse-names":false,"suffix":""}],"container-title":"Applied Ergonomics","id":"ITEM-4","issue":"3","issued":{"date-parts":[["1998"]]},"page":"157-177","title":"Human error identification techniques for risk assessment of high risk systems - Part 1: Review and evaluation of techniques","type":"article-journal","volume":"29"},"uris":["http://www.mendeley.com/documents/?uuid=15d9d49d-976e-493b-bb6f-db786b7935ba"]},{"id":"ITEM-5","itemData":{"DOI":"10.1016/S0003-6870(98)00011-8","ISSN":"00036870","PMID":"9676333","abstract":"This is the second paper in a series of two, reviewing human error identification approaches for risk assessment of high risk socio-technical systems. The previous paper identified and reviewed thirty-eight techniques. One of the closing comments was that no single technique sufficed for all the practitioner's needs, and that a potential way forward was to utilise a number of techniques in a toolkit fashion, or to develop a new framework-based or toolkit-based approach. This paper therefore describes in detail a framework approach developed for the UK nuclear power and reprocessing industry, showing the practical implementation of such a system. It then considers some of the advantages and disadvantages of such framework approaches. The paper also discusses some of the relationships between error identification and Ergonomics.","author":[{"dropping-particle":"","family":"Kirwan","given":"Barry","non-dropping-particle":"","parse-names":false,"suffix":""}],"container-title":"Applied Ergonomics","id":"ITEM-5","issue":"3","issued":{"date-parts":[["1998"]]},"page":"157-177","title":"Human error identification techniques for risk assessment of high risk systems - Part 2: Towards a framework approach","type":"article-journal","volume":"29"},"uris":["http://www.mendeley.com/documents/?uuid=964a8a6f-85f9-4ea0-973e-eef5cf1131b1"]},{"id":"ITEM-6","itemData":{"DOI":"10.1016/j.apergo.2008.10.005","ISSN":"00036870","PMID":"19041088","abstract":"The Human Error Template (HET) is a recently developed methodology for predicting design-induced pilot error. This article describes a validation study undertaken to compare the performance of HET against three contemporary Human Error Identification (HEI) approaches when used to predict pilot errors for an approach and landing task and also to compare analyst error predictions to an approach to enhancing error prediction sensitivity: the multiple analysts and methods approach, whereby multiple analyst predictions using a range of HEI techniques are pooled. The findings indicate that, of the four methodologies used in isolation, analysts using the HET methodology offered the most accurate error predictions, and also that the multiple analysts and methods approach was more successful overall in terms of error prediction sensitivity than the three other methods but not the HET approach. The results suggest that when predicting design-induced error, it is appropriate to use a toolkit of different HEI approaches and multiple analysts in order to heighten error prediction sensitivity. © 2008 Elsevier Ltd. All rights reserved.","author":[{"dropping-particle":"","family":"Stanton","given":"Neville A.","non-dropping-particle":"","parse-names":false,"suffix":""},{"dropping-particle":"","family":"Salmon","given":"Paul","non-dropping-particle":"","parse-names":false,"suffix":""},{"dropping-particle":"","family":"Harris","given":"Don","non-dropping-particle":"","parse-names":false,"suffix":""},{"dropping-particle":"","family":"Marshall","given":"Andrew","non-dropping-particle":"","parse-names":false,"suffix":""},{"dropping-particle":"","family":"Demagalski","given":"Jason","non-dropping-particle":"","parse-names":false,"suffix":""},{"dropping-particle":"","family":"Young","given":"Mark S.","non-dropping-particle":"","parse-names":false,"suffix":""},{"dropping-particle":"","family":"Waldmann","given":"Thomas","non-dropping-particle":"","parse-names":false,"suffix":""},{"dropping-particle":"","family":"Dekker","given":"Sidney","non-dropping-particle":"","parse-names":false,"suffix":""}],"container-title":"Applied Ergonomics","id":"ITEM-6","issue":"3","issued":{"date-parts":[["2009"]]},"page":"464-471","publisher":"Elsevier Ltd","title":"Predicting pilot error: Testing a new methodology and a multi-methods and analysts approach","type":"article-journal","volume":"40"},"uris":["http://www.mendeley.com/documents/?uuid=4e540ff2-37c7-4e77-9ffd-a2d55d256ffa"]}],"mendeley":{"formattedCitation":"(Holman et al., 2020; Kerr, Knott, Moss, Clegg, &amp; Horton, 2008; Kirwan, 1998a, 1998b; Stanton et al., 2009; Walker et al., 2010)","plainTextFormattedCitation":"(Holman et al., 2020; Kerr, Knott, Moss, Clegg, &amp; Horton, 2008; Kirwan, 1998a, 1998b; Stanton et al., 2009; Walker et al., 2010)","previouslyFormattedCitation":"(Holman et al., 2020; Kerr, Knott, Moss, Clegg, &amp; Horton, 2008; Kirwan, 1998a, 1998b; Stanton et al., 2009; Walker et al., 2010)"},"properties":{"noteIndex":0},"schema":"https://github.com/citation-style-language/schema/raw/master/csl-citation.json"}</w:instrText>
      </w:r>
      <w:r w:rsidR="00270E6F">
        <w:fldChar w:fldCharType="separate"/>
      </w:r>
      <w:r w:rsidR="00BF222C" w:rsidRPr="00BF222C">
        <w:rPr>
          <w:noProof/>
        </w:rPr>
        <w:t>(Holman et al., 2020; Kerr, Knott, Moss, Clegg, &amp; Horton, 2008; Kirwan, 1998a, 1998b; Stanton et al., 2009; Walker et al., 2010)</w:t>
      </w:r>
      <w:r w:rsidR="00270E6F">
        <w:fldChar w:fldCharType="end"/>
      </w:r>
      <w:r w:rsidR="00554448">
        <w:t>.</w:t>
      </w:r>
      <w:r w:rsidR="008D698A">
        <w:t xml:space="preserve"> The analysis of the TOI case study also points towards the need to consider broader systemic interventions to address safety issues in complex sociotechnical systems </w:t>
      </w:r>
      <w:r w:rsidR="008D698A">
        <w:fldChar w:fldCharType="begin" w:fldLock="1"/>
      </w:r>
      <w:r w:rsidR="008D698A">
        <w:instrText>ADDIN CSL_CITATION {"citationItems":[{"id":"ITEM-1","itemData":{"DOI":"10.1080/10508410902983904","ISSN":"10508414","abstract":"There is a need to develop an effective methodology for generating and evaluating intervention strategies that map current and proposed safety programs onto well-established types of human error. Toward these ends, we conducted 2 studies using recommendations from National Transportation Safety Board accident investigations and two joint Federal Aviation Administration and industry working groups. The goal of these studies was to identify the types of interventions commonly recommended by these agencies, as well as to develop a framework for evaluating the potential impact of specific safety initiatives that target human error in aviation. The results suggest theremendations we evaluated in this study. Therefore, we propose a framework called the Human Factors Intervention Matrix as a potential tool for evaluating current aviation safety programs, as well as generating more comprehensive interventions in the future. © 2009 Taylor &amp; Francis Group, LLC.","author":[{"dropping-particle":"","family":"Shappell","given":"Scott","non-dropping-particle":"","parse-names":false,"suffix":""},{"dropping-particle":"","family":"Wiegmann","given":"Douglas","non-dropping-particle":"","parse-names":false,"suffix":""}],"container-title":"International Journal of Aviation Psychology","id":"ITEM-1","issue":"3","issued":{"date-parts":[["2009"]]},"page":"252-269","title":"A methodology for assessing safety programs targeting human error in aviation","type":"article-journal","volume":"19"},"uris":["http://www.mendeley.com/documents/?uuid=f014b55e-d702-495e-aee2-11c45d30898c"]}],"mendeley":{"formattedCitation":"(Shappell &amp; Wiegmann, 2009)","plainTextFormattedCitation":"(Shappell &amp; Wiegmann, 2009)","previouslyFormattedCitation":"(Shappell &amp; Wiegmann, 2009)"},"properties":{"noteIndex":0},"schema":"https://github.com/citation-style-language/schema/raw/master/csl-citation.json"}</w:instrText>
      </w:r>
      <w:r w:rsidR="008D698A">
        <w:fldChar w:fldCharType="separate"/>
      </w:r>
      <w:r w:rsidR="008D698A" w:rsidRPr="00E12A4D">
        <w:rPr>
          <w:noProof/>
        </w:rPr>
        <w:t>(Shappell &amp; Wiegmann, 2009)</w:t>
      </w:r>
      <w:r w:rsidR="008D698A">
        <w:fldChar w:fldCharType="end"/>
      </w:r>
      <w:r w:rsidR="008D698A">
        <w:t>.</w:t>
      </w:r>
    </w:p>
    <w:p w14:paraId="4FC2033F" w14:textId="5EC93873" w:rsidR="004C187D" w:rsidRDefault="00416241" w:rsidP="004C187D">
      <w:r>
        <w:t xml:space="preserve">Whilst </w:t>
      </w:r>
      <w:r w:rsidR="00162136">
        <w:t xml:space="preserve">the </w:t>
      </w:r>
      <w:r w:rsidR="008F036B">
        <w:t>Human Factors methods were identified on the basis of their prospective explanatory power for the adaptation factors</w:t>
      </w:r>
      <w:r w:rsidR="00893628">
        <w:t xml:space="preserve"> </w:t>
      </w:r>
      <w:r w:rsidR="00AA3F4B">
        <w:t>individually</w:t>
      </w:r>
      <w:r w:rsidR="008F036B">
        <w:t xml:space="preserve">, </w:t>
      </w:r>
      <w:r w:rsidR="003C4841">
        <w:t>this analysis has</w:t>
      </w:r>
      <w:r w:rsidR="00433026">
        <w:t xml:space="preserve"> instead</w:t>
      </w:r>
      <w:r w:rsidR="003C4841">
        <w:t xml:space="preserve"> </w:t>
      </w:r>
      <w:r w:rsidR="00F30831">
        <w:t>confirmed</w:t>
      </w:r>
      <w:r w:rsidR="003C4841">
        <w:t xml:space="preserve"> </w:t>
      </w:r>
      <w:r w:rsidR="006515A7">
        <w:t xml:space="preserve">that </w:t>
      </w:r>
      <w:r w:rsidR="00F30831">
        <w:t>it is the</w:t>
      </w:r>
      <w:r w:rsidR="001C5731">
        <w:t xml:space="preserve"> </w:t>
      </w:r>
      <w:r w:rsidR="006515A7">
        <w:t>different perspective</w:t>
      </w:r>
      <w:r w:rsidR="001A5ACC">
        <w:t>s</w:t>
      </w:r>
      <w:r w:rsidR="009A643D">
        <w:t xml:space="preserve"> that the application of the </w:t>
      </w:r>
      <w:r w:rsidR="00AA3F4B">
        <w:t xml:space="preserve">suite </w:t>
      </w:r>
      <w:r w:rsidR="009A643D">
        <w:t>method</w:t>
      </w:r>
      <w:r w:rsidR="00893628">
        <w:t>s</w:t>
      </w:r>
      <w:r w:rsidR="009A643D">
        <w:t xml:space="preserve"> provides that helps uncover and </w:t>
      </w:r>
      <w:r w:rsidR="00757B79">
        <w:t xml:space="preserve">explore adaptation. </w:t>
      </w:r>
      <w:r w:rsidR="00685C34">
        <w:t>Therefore, a multi-perspective, multi-method</w:t>
      </w:r>
      <w:r w:rsidR="00A32A3B">
        <w:t>,</w:t>
      </w:r>
      <w:r w:rsidR="00685C34">
        <w:t xml:space="preserve"> </w:t>
      </w:r>
      <w:r w:rsidR="005F09E0">
        <w:t xml:space="preserve">multi-faceted </w:t>
      </w:r>
      <w:r w:rsidR="00897A7C">
        <w:t xml:space="preserve">systemic </w:t>
      </w:r>
      <w:r w:rsidR="005F09E0">
        <w:t xml:space="preserve">analysis </w:t>
      </w:r>
      <w:r w:rsidR="008542B9">
        <w:t xml:space="preserve">at different levels of abstraction </w:t>
      </w:r>
      <w:r w:rsidR="00A32A3B">
        <w:t>is needed to</w:t>
      </w:r>
      <w:r w:rsidR="00BD2DA7">
        <w:t xml:space="preserve"> identify </w:t>
      </w:r>
      <w:r w:rsidR="006E58CE">
        <w:t xml:space="preserve">and </w:t>
      </w:r>
      <w:r w:rsidR="00FF2A30">
        <w:t xml:space="preserve">fully </w:t>
      </w:r>
      <w:r w:rsidR="006E58CE">
        <w:t xml:space="preserve">explore </w:t>
      </w:r>
      <w:r w:rsidR="00BD2DA7">
        <w:t>systemic features such as adaptation.</w:t>
      </w:r>
      <w:r w:rsidR="004C5DB2">
        <w:t xml:space="preserve"> </w:t>
      </w:r>
      <w:r w:rsidR="00344A90">
        <w:t xml:space="preserve">A methodological framework has been proposed </w:t>
      </w:r>
      <w:r w:rsidR="00F17279">
        <w:t>using</w:t>
      </w:r>
      <w:r w:rsidR="00C80A87">
        <w:t xml:space="preserve"> all of</w:t>
      </w:r>
      <w:r w:rsidR="00F17279">
        <w:t xml:space="preserve"> these methods </w:t>
      </w:r>
      <w:r w:rsidR="00344A90">
        <w:t xml:space="preserve">that </w:t>
      </w:r>
      <w:r w:rsidR="000D153E">
        <w:t xml:space="preserve">has the potential to </w:t>
      </w:r>
      <w:r w:rsidR="002D5E0F">
        <w:t xml:space="preserve">explore </w:t>
      </w:r>
      <w:r w:rsidR="0037530F">
        <w:t>the features of adaptation</w:t>
      </w:r>
      <w:r w:rsidR="00540220">
        <w:t xml:space="preserve"> and</w:t>
      </w:r>
      <w:r w:rsidR="000D153E">
        <w:t xml:space="preserve"> </w:t>
      </w:r>
      <w:r w:rsidR="00D323B7">
        <w:t>connect</w:t>
      </w:r>
      <w:r w:rsidR="008330BE">
        <w:t xml:space="preserve"> the different perspectives provided by</w:t>
      </w:r>
      <w:r w:rsidR="00D323B7">
        <w:t xml:space="preserve"> the different methods</w:t>
      </w:r>
      <w:r w:rsidR="005864BB">
        <w:t xml:space="preserve"> at different levels of abstraction</w:t>
      </w:r>
      <w:r w:rsidR="000F125E">
        <w:t>. Furthermore</w:t>
      </w:r>
      <w:r w:rsidR="00D323B7">
        <w:t xml:space="preserve">, </w:t>
      </w:r>
      <w:r w:rsidR="000F125E">
        <w:t xml:space="preserve">as shown </w:t>
      </w:r>
      <w:r w:rsidR="00D323B7">
        <w:t xml:space="preserve">in the case </w:t>
      </w:r>
      <w:r w:rsidR="00B772AF">
        <w:t>o</w:t>
      </w:r>
      <w:r w:rsidR="00D323B7">
        <w:t xml:space="preserve">f the TOI, </w:t>
      </w:r>
      <w:r w:rsidR="009F67A6">
        <w:t xml:space="preserve">it is possible for methods that are naturally more individual-focused to inform a discussion at </w:t>
      </w:r>
      <w:r w:rsidR="009F67A6">
        <w:lastRenderedPageBreak/>
        <w:t xml:space="preserve">the level of the organisation and so </w:t>
      </w:r>
      <w:r w:rsidR="00D323B7">
        <w:t xml:space="preserve">bridge the </w:t>
      </w:r>
      <w:r w:rsidR="0022629B">
        <w:t>individual-to-organisational (micro-to-</w:t>
      </w:r>
      <w:r w:rsidR="0098045E">
        <w:t>meso-to-</w:t>
      </w:r>
      <w:r w:rsidR="0022629B">
        <w:t xml:space="preserve">macro) understanding of </w:t>
      </w:r>
      <w:r w:rsidR="00EC26C2">
        <w:t xml:space="preserve">adaptation and safety </w:t>
      </w:r>
      <w:r w:rsidR="00EC26C2">
        <w:fldChar w:fldCharType="begin" w:fldLock="1"/>
      </w:r>
      <w:r w:rsidR="00657B0B">
        <w:instrText>ADDIN CSL_CITATION {"citationItems":[{"id":"ITEM-1","itemData":{"DOI":"10.1016/j.ssci.2019.02.023","ISSN":"09257535","author":[{"dropping-particle":"","family":"Coze","given":"Jean Christophe","non-dropping-particle":"Le","parse-names":false,"suffix":""}],"container-title":"Safety Science","id":"ITEM-1","issue":"December 2017","issued":{"date-parts":[["2019"]]},"page":"259-274","publisher":"Elsevier","title":"Safety as strategy: Mistakes, failures and fiascos in high-risk systems","type":"article-journal","volume":"116"},"uris":["http://www.mendeley.com/documents/?uuid=fb89993a-b04c-48bf-b7eb-f5e8048a5d47"]},{"id":"ITEM-2","itemData":{"DOI":"10.1080/00140139.2014.890748","ISBN":"0014-0139","ISSN":"13665847","PMID":"24670142","abstract":"Provides an overview of the present issue of Ergonomics. This special issue has sprung from the unique cooperation between three colleagues representing the academic domains of sociology, work and organisational psychology, and human factors. This cooperation has been driven by the shared supposition that the design of exceedingly complex automated systems can only succeed if a qualitative leap both conceptually and methodologically is achieved. Under the auspices of FonSCI and NeTWork (Marsden 2011) a workshop was organised by Gudela Grote and Johannes Weyer in December 2011 to discuss this supposition with academics and practitioners ranging from human factors specialists to lawyers. Neville Stanton and several other authors of this special issue participated in the workshop, all providing personal answers to these challenges in their papers. Before turning to the papers of the special issue and what can be learned from them for practice and future research, the authors of this editorial provide a brief overview of current thinking on the design of automated systems in order to provide some background for the discussions that follow. (PsycINFO Database Record (c) 2016 APA, all rights reserved)","author":[{"dropping-particle":"","family":"Grote","given":"Gudela","non-dropping-particle":"","parse-names":false,"suffix":""},{"dropping-particle":"","family":"Weyer","given":"Johannes","non-dropping-particle":"","parse-names":false,"suffix":""},{"dropping-particle":"","family":"Stanton","given":"Neville A.","non-dropping-particle":"","parse-names":false,"suffix":""}],"container-title":"Ergonomics","id":"ITEM-2","issue":"3","issued":{"date-parts":[["2014"]]},"note":"High-level overview of the literature in automation and the concepts","page":"289-294","publisher":"Taylor &amp; Francis","title":"Beyond human-centred automation - concepts for human-machine interaction in multi-layered networks","type":"article","volume":"57"},"uris":["http://www.mendeley.com/documents/?uuid=b8b4a15b-4fa5-4edb-899e-41328079a934"]}],"mendeley":{"formattedCitation":"(Grote, Weyer, &amp; Stanton, 2014; Le Coze, 2019)","plainTextFormattedCitation":"(Grote, Weyer, &amp; Stanton, 2014; Le Coze, 2019)","previouslyFormattedCitation":"(Grote, Weyer, &amp; Stanton, 2014; Le Coze, 2019)"},"properties":{"noteIndex":0},"schema":"https://github.com/citation-style-language/schema/raw/master/csl-citation.json"}</w:instrText>
      </w:r>
      <w:r w:rsidR="00EC26C2">
        <w:fldChar w:fldCharType="separate"/>
      </w:r>
      <w:r w:rsidR="00EC26C2" w:rsidRPr="00EC26C2">
        <w:rPr>
          <w:noProof/>
        </w:rPr>
        <w:t>(Grote, Weyer, &amp; Stanton, 2014; Le Coze, 2019)</w:t>
      </w:r>
      <w:r w:rsidR="00EC26C2">
        <w:fldChar w:fldCharType="end"/>
      </w:r>
      <w:r w:rsidR="00EC26C2">
        <w:t>.</w:t>
      </w:r>
      <w:r w:rsidR="004D340F">
        <w:t xml:space="preserve"> </w:t>
      </w:r>
      <w:r w:rsidR="004C187D">
        <w:t xml:space="preserve">For example, the CDM interviews </w:t>
      </w:r>
      <w:r w:rsidR="0082445C">
        <w:t xml:space="preserve">of individuals </w:t>
      </w:r>
      <w:r w:rsidR="004C187D">
        <w:t xml:space="preserve">identified </w:t>
      </w:r>
      <w:r w:rsidR="005337AA">
        <w:t xml:space="preserve">both </w:t>
      </w:r>
      <w:r w:rsidR="004C187D">
        <w:t>the nee</w:t>
      </w:r>
      <w:r w:rsidR="0082445C">
        <w:t>d for</w:t>
      </w:r>
      <w:r w:rsidR="004C187D">
        <w:t xml:space="preserve"> operational response</w:t>
      </w:r>
      <w:r w:rsidR="0082445C">
        <w:t>s</w:t>
      </w:r>
      <w:r w:rsidR="004C187D">
        <w:t xml:space="preserve"> to be flexible and </w:t>
      </w:r>
      <w:r w:rsidR="0082445C">
        <w:t xml:space="preserve">the flexibility needed by </w:t>
      </w:r>
      <w:r w:rsidR="004C187D">
        <w:t>the organisation to address emerging issues</w:t>
      </w:r>
      <w:r w:rsidR="0082445C">
        <w:t xml:space="preserve">. These features </w:t>
      </w:r>
      <w:r w:rsidR="004C187D">
        <w:t xml:space="preserve">can </w:t>
      </w:r>
      <w:r w:rsidR="0082445C">
        <w:t xml:space="preserve">then </w:t>
      </w:r>
      <w:r w:rsidR="004C187D">
        <w:t>be captured in the control and feedback structures used to describe the wider system and organisation with STAMP.</w:t>
      </w:r>
    </w:p>
    <w:p w14:paraId="61035523" w14:textId="5151CB73" w:rsidR="004C187D" w:rsidRDefault="004C187D" w:rsidP="004C187D">
      <w:r>
        <w:t>Given the comprehensive nature of the methods in the framework, the skill, experience, time and resource requirements may be considerable and a proportionate approach should be adopted</w:t>
      </w:r>
      <w:r w:rsidR="0082482A">
        <w:t xml:space="preserve"> commensurate with the scale of the change, the </w:t>
      </w:r>
      <w:r w:rsidR="002723CE">
        <w:t>resources available, the likely value and, ultimately, the risk</w:t>
      </w:r>
      <w:r>
        <w:t xml:space="preserve">. </w:t>
      </w:r>
      <w:r w:rsidR="00FC432D">
        <w:t xml:space="preserve">Further research on the </w:t>
      </w:r>
      <w:r w:rsidR="00624193">
        <w:t xml:space="preserve">practical utility, efficacy and </w:t>
      </w:r>
      <w:r w:rsidR="00FC432D">
        <w:t xml:space="preserve">cost-benefit of </w:t>
      </w:r>
      <w:r w:rsidR="009A4E74">
        <w:t xml:space="preserve">such a </w:t>
      </w:r>
      <w:r w:rsidR="00FC432D">
        <w:t>multi-method, mul</w:t>
      </w:r>
      <w:r w:rsidR="009A4E74">
        <w:t xml:space="preserve">ti-perspective framework is warranted. </w:t>
      </w:r>
      <w:r>
        <w:t>However, by describing the methods as a framework it may be possible to tailor the selection of methods to the problem. For example, the data representation methods such as OSD, CDA, CUD may not be appropriate if the focus is on decision-making rather than communication and task analysis. Additionally, methods such as HFACS were originally suggested as a supplement to address some factors not fully covered by FRAM</w:t>
      </w:r>
      <w:r w:rsidR="00752D6C">
        <w:t>. O</w:t>
      </w:r>
      <w:r w:rsidR="00830785">
        <w:t xml:space="preserve">ther combinations </w:t>
      </w:r>
      <w:r w:rsidR="00261F71">
        <w:t xml:space="preserve">or linkages </w:t>
      </w:r>
      <w:r w:rsidR="00830785">
        <w:t xml:space="preserve">of </w:t>
      </w:r>
      <w:r w:rsidR="004C1C52">
        <w:t xml:space="preserve">the </w:t>
      </w:r>
      <w:r w:rsidR="00830785">
        <w:t xml:space="preserve">methods </w:t>
      </w:r>
      <w:r w:rsidR="00F667DF">
        <w:t xml:space="preserve">in the framework </w:t>
      </w:r>
      <w:r w:rsidR="00830785">
        <w:t>may also be appropriate</w:t>
      </w:r>
      <w:r w:rsidR="00F667DF">
        <w:t xml:space="preserve"> to achieve full coverage of the adaptation factors for the system-under-analysis at the appropriate levels of the organisational hierarchy</w:t>
      </w:r>
      <w:r>
        <w:t xml:space="preserve">. In this case study, the representations of STAMP and FRAM were found to reflect the same prevailing paradigm and whilst useful as a cross-validation, it may be appropriate to select </w:t>
      </w:r>
      <w:r w:rsidR="00D13C4E">
        <w:t xml:space="preserve">only </w:t>
      </w:r>
      <w:r>
        <w:t xml:space="preserve">one based on the domain, problem or experience of the analyst. </w:t>
      </w:r>
      <w:r w:rsidR="00362A39">
        <w:t>Lastly</w:t>
      </w:r>
      <w:r>
        <w:t>, based on the results of th</w:t>
      </w:r>
      <w:r w:rsidR="000B495E">
        <w:t>is</w:t>
      </w:r>
      <w:r>
        <w:t xml:space="preserve"> case study</w:t>
      </w:r>
      <w:r w:rsidR="00362A39">
        <w:t xml:space="preserve">, </w:t>
      </w:r>
      <w:r>
        <w:t xml:space="preserve">the core methods of the framework </w:t>
      </w:r>
      <w:r w:rsidR="00362A39">
        <w:t xml:space="preserve">would appear to be </w:t>
      </w:r>
      <w:r>
        <w:t xml:space="preserve">ethnographic observations </w:t>
      </w:r>
      <w:r w:rsidR="00362A39">
        <w:t>(where possible)</w:t>
      </w:r>
      <w:r>
        <w:t>, CDM, HTA, CWA and STAMP. It should also be noted that the methods in the framework are not specific to any particular domain and evidence of their use across the safety-related industries is replete in the literature. This suggests that the adaptation methods framework should be domain agnostic.</w:t>
      </w:r>
    </w:p>
    <w:p w14:paraId="4CDE6A21" w14:textId="77777777" w:rsidR="00952D5C" w:rsidRDefault="00952D5C" w:rsidP="00952D5C">
      <w:pPr>
        <w:pStyle w:val="Heading1"/>
      </w:pPr>
      <w:r>
        <w:t>Conclusion</w:t>
      </w:r>
    </w:p>
    <w:p w14:paraId="72B79810" w14:textId="1179B967" w:rsidR="007F16FB" w:rsidRDefault="00B97C65" w:rsidP="006D6DAE">
      <w:r>
        <w:t xml:space="preserve">Seven Human Factors methods have been applied </w:t>
      </w:r>
      <w:r w:rsidR="007F16FB">
        <w:t>to examine the emergent and maladaptive effects of a routine risk management decision: the introduction of a temporary procedural change to manage a known risk in the UK air traffic operation</w:t>
      </w:r>
      <w:r w:rsidR="00E2467D">
        <w:t xml:space="preserve">. These methods were found to support an exploration of adaptation, </w:t>
      </w:r>
      <w:r w:rsidR="004C20E5">
        <w:t xml:space="preserve">recognised as an important feature of the safety of complex sociotechnical systems. However, no </w:t>
      </w:r>
      <w:r w:rsidR="008D698A">
        <w:t xml:space="preserve">single </w:t>
      </w:r>
      <w:r w:rsidR="004C20E5">
        <w:t xml:space="preserve">method was shown to completely address all the factors of adaptation across all the levels of the organisational hierarchy. As such, a methodological framework is proposed that combines the different perspectives and approaches in these </w:t>
      </w:r>
      <w:r w:rsidR="00337957">
        <w:t xml:space="preserve">Human Factors methods and which would appear to have broad cross-domain applicability for safety practitioners seeking a structured way of exploring </w:t>
      </w:r>
      <w:r w:rsidR="001707A0">
        <w:t>adaptation.</w:t>
      </w:r>
    </w:p>
    <w:p w14:paraId="7EFD22EC" w14:textId="0223564F" w:rsidR="005A2B28" w:rsidRDefault="00582107" w:rsidP="00582107">
      <w:r>
        <w:t xml:space="preserve">The methods and the emergent framework have been applied to a </w:t>
      </w:r>
      <w:r w:rsidR="001C41DB">
        <w:t xml:space="preserve">single </w:t>
      </w:r>
      <w:r>
        <w:t>retrospective case study</w:t>
      </w:r>
      <w:r w:rsidR="00692242">
        <w:t>.</w:t>
      </w:r>
      <w:r>
        <w:t xml:space="preserve"> </w:t>
      </w:r>
      <w:r w:rsidR="00692242">
        <w:t>B</w:t>
      </w:r>
      <w:r>
        <w:t xml:space="preserve">oth </w:t>
      </w:r>
      <w:r w:rsidR="00692242">
        <w:t>the methods</w:t>
      </w:r>
      <w:r w:rsidR="00B3047D">
        <w:t xml:space="preserve"> and framework, including the pathways through the framework, will</w:t>
      </w:r>
      <w:r w:rsidR="00692242">
        <w:t xml:space="preserve"> </w:t>
      </w:r>
      <w:r>
        <w:t>need to be further validated for their ability to anticipate potential maladaptive problems and provide assurance to decision-makers on the suitability of safety interventions</w:t>
      </w:r>
      <w:r w:rsidR="00802E66">
        <w:t xml:space="preserve"> </w:t>
      </w:r>
      <w:r w:rsidR="00B3047D">
        <w:t>using</w:t>
      </w:r>
      <w:r w:rsidR="00802E66">
        <w:t xml:space="preserve"> </w:t>
      </w:r>
      <w:r w:rsidR="00BA5E60">
        <w:t>additional</w:t>
      </w:r>
      <w:r w:rsidR="00802E66">
        <w:t xml:space="preserve"> case studies</w:t>
      </w:r>
      <w:r w:rsidR="0034407D">
        <w:t xml:space="preserve"> and prospective applications</w:t>
      </w:r>
      <w:r>
        <w:t xml:space="preserve">. Similarly, the framework does not appear to support many of the other considerations that need to be taken into account in risk management decision-making in an organisational context such as cost, effectiveness, feasibility and acceptability. These safety management challenges featured prominently in the interviews as part of the CDM step in the discussion of the ‘balance of risks’ and in complex and uncertain situations the use of experience and </w:t>
      </w:r>
      <w:r>
        <w:lastRenderedPageBreak/>
        <w:t>judgement has a role in decision-making</w:t>
      </w:r>
      <w:r w:rsidR="00D73D14">
        <w:t xml:space="preserve">. </w:t>
      </w:r>
      <w:r w:rsidR="00A46D70">
        <w:t>The</w:t>
      </w:r>
      <w:r w:rsidR="00DD4AD8">
        <w:t xml:space="preserve"> use </w:t>
      </w:r>
      <w:r w:rsidR="00136257">
        <w:t xml:space="preserve">of </w:t>
      </w:r>
      <w:r w:rsidR="00D73D14">
        <w:t xml:space="preserve">HFIX </w:t>
      </w:r>
      <w:r w:rsidR="00A46D70">
        <w:t xml:space="preserve">as an extension to HFACS </w:t>
      </w:r>
      <w:r w:rsidR="00D73D14">
        <w:t>may add further value to the framework</w:t>
      </w:r>
      <w:r w:rsidR="00DD4AD8">
        <w:t xml:space="preserve"> </w:t>
      </w:r>
      <w:r w:rsidR="00A46D70">
        <w:t xml:space="preserve">for </w:t>
      </w:r>
      <w:r w:rsidR="00DD4AD8">
        <w:t xml:space="preserve">these </w:t>
      </w:r>
      <w:r w:rsidR="00422EDB">
        <w:t>issues</w:t>
      </w:r>
      <w:r>
        <w:t xml:space="preserve">. </w:t>
      </w:r>
    </w:p>
    <w:p w14:paraId="53AC4112" w14:textId="422ED5EA" w:rsidR="00480320" w:rsidRDefault="00480320" w:rsidP="00582107">
      <w:r>
        <w:t>In safety critical domains, it is incumbent on the safety practitioner to provide accountable decision-makers with the best possible data and analysis to support the</w:t>
      </w:r>
      <w:r w:rsidR="004C01E7">
        <w:t>ir risk management</w:t>
      </w:r>
      <w:r>
        <w:t xml:space="preserve"> decisions</w:t>
      </w:r>
      <w:r w:rsidR="004C01E7">
        <w:t xml:space="preserve">. The recommended </w:t>
      </w:r>
      <w:r>
        <w:t>Human Factors methods have been shown to have a useful role</w:t>
      </w:r>
      <w:r w:rsidR="004C01E7">
        <w:t xml:space="preserve"> in exploring adaptation</w:t>
      </w:r>
      <w:r>
        <w:t>.</w:t>
      </w:r>
      <w:r w:rsidR="004C01E7">
        <w:t xml:space="preserve"> </w:t>
      </w:r>
      <w:r>
        <w:t xml:space="preserve">The proposed methods framework should </w:t>
      </w:r>
      <w:r w:rsidR="004C01E7">
        <w:t xml:space="preserve">also </w:t>
      </w:r>
      <w:r>
        <w:t xml:space="preserve">assist safety practitioners </w:t>
      </w:r>
      <w:r w:rsidR="007A362D">
        <w:t xml:space="preserve">in structuring </w:t>
      </w:r>
      <w:r w:rsidR="0048157D">
        <w:t>an</w:t>
      </w:r>
      <w:r w:rsidR="007A362D">
        <w:t xml:space="preserve"> </w:t>
      </w:r>
      <w:r w:rsidR="0048157D">
        <w:t>exploration of</w:t>
      </w:r>
      <w:r>
        <w:t xml:space="preserve"> adaptation across the organisational hierarchy</w:t>
      </w:r>
      <w:r w:rsidR="007A362D">
        <w:t>. T</w:t>
      </w:r>
      <w:r>
        <w:t xml:space="preserve">he </w:t>
      </w:r>
      <w:r w:rsidR="007A362D">
        <w:t xml:space="preserve">methods </w:t>
      </w:r>
      <w:r>
        <w:t xml:space="preserve">approach does not appear to be limited to just the adaptations in normal work at the frontline and the case study has shown that it can </w:t>
      </w:r>
      <w:r w:rsidR="007A362D">
        <w:t xml:space="preserve">also </w:t>
      </w:r>
      <w:r>
        <w:t xml:space="preserve">be applied to a problem related to organisational understanding and decision-making.  </w:t>
      </w:r>
    </w:p>
    <w:p w14:paraId="7E9846C9" w14:textId="77777777" w:rsidR="005A2B28" w:rsidRDefault="005A2B28" w:rsidP="00AD1BFC">
      <w:pPr>
        <w:pStyle w:val="Heading1"/>
        <w:numPr>
          <w:ilvl w:val="0"/>
          <w:numId w:val="0"/>
        </w:numPr>
        <w:ind w:left="432" w:hanging="432"/>
      </w:pPr>
      <w:r>
        <w:t>Acknowledgements</w:t>
      </w:r>
    </w:p>
    <w:p w14:paraId="3CAF3C03" w14:textId="6EFBC69F" w:rsidR="00582107" w:rsidRDefault="00766DDA" w:rsidP="005A2B28">
      <w:r w:rsidRPr="00766DDA">
        <w:t>This work is funded by NATS and was originally motivated by a series workshops facilitated by Steven Shorrock from Eurocontrol. The authors are also grateful to the contribution of current and former NATS experts including Christine Deamer, Bill Leipnik, Lee Boulton,</w:t>
      </w:r>
      <w:r w:rsidR="009619F0">
        <w:t xml:space="preserve"> Simon Taylor</w:t>
      </w:r>
      <w:r w:rsidR="006E3B9C">
        <w:t>,</w:t>
      </w:r>
      <w:r w:rsidRPr="00766DDA">
        <w:t xml:space="preserve"> Roger Dillon and Anthony Smoker.</w:t>
      </w:r>
    </w:p>
    <w:p w14:paraId="25E9080A" w14:textId="13C37BEA" w:rsidR="006D6DAE" w:rsidRDefault="006D6DAE" w:rsidP="00AD1BFC">
      <w:pPr>
        <w:pStyle w:val="Heading1"/>
        <w:numPr>
          <w:ilvl w:val="0"/>
          <w:numId w:val="0"/>
        </w:numPr>
        <w:ind w:left="432" w:hanging="432"/>
      </w:pPr>
      <w:r>
        <w:t>References</w:t>
      </w:r>
    </w:p>
    <w:p w14:paraId="7A8D4C51" w14:textId="60630521" w:rsidR="00EC4290" w:rsidRPr="00EC4290" w:rsidRDefault="00657B0B" w:rsidP="00EC4290">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EC4290" w:rsidRPr="00EC4290">
        <w:rPr>
          <w:rFonts w:ascii="Calibri" w:hAnsi="Calibri" w:cs="Calibri"/>
          <w:noProof/>
          <w:szCs w:val="24"/>
        </w:rPr>
        <w:t xml:space="preserve">Annett, J. (2004). Hierarchical Task Analysis (HTA). In </w:t>
      </w:r>
      <w:r w:rsidR="00EC4290" w:rsidRPr="00EC4290">
        <w:rPr>
          <w:rFonts w:ascii="Calibri" w:hAnsi="Calibri" w:cs="Calibri"/>
          <w:i/>
          <w:iCs/>
          <w:noProof/>
          <w:szCs w:val="24"/>
        </w:rPr>
        <w:t>Handbook of Human Factors and Ergonomics Methods</w:t>
      </w:r>
      <w:r w:rsidR="00EC4290" w:rsidRPr="00EC4290">
        <w:rPr>
          <w:rFonts w:ascii="Calibri" w:hAnsi="Calibri" w:cs="Calibri"/>
          <w:noProof/>
          <w:szCs w:val="24"/>
        </w:rPr>
        <w:t xml:space="preserve"> (pp. 33-1-33–37). CRC Press. https://doi.org/10.1201/9780203489925.ch33</w:t>
      </w:r>
    </w:p>
    <w:p w14:paraId="19B5AC69"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CAA. (2011). </w:t>
      </w:r>
      <w:r w:rsidRPr="00EC4290">
        <w:rPr>
          <w:rFonts w:ascii="Calibri" w:hAnsi="Calibri" w:cs="Calibri"/>
          <w:i/>
          <w:iCs/>
          <w:noProof/>
          <w:szCs w:val="24"/>
        </w:rPr>
        <w:t>CAA Paper 2011/03: CAA “Significant Seven” Task Force Reports</w:t>
      </w:r>
      <w:r w:rsidRPr="00EC4290">
        <w:rPr>
          <w:rFonts w:ascii="Calibri" w:hAnsi="Calibri" w:cs="Calibri"/>
          <w:noProof/>
          <w:szCs w:val="24"/>
        </w:rPr>
        <w:t>. Retrieved from https://publicapps.caa.co.uk/docs/33/2011_03.pdf</w:t>
      </w:r>
    </w:p>
    <w:p w14:paraId="69A40671"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CAA. (2014). Safety Notice SN–2014/004 Level Busts: Hazards and Defences. Retrieved January 6, 2020, from https://publicapps.caa.co.uk/docs/33/SafetyNotice2014004.pdf</w:t>
      </w:r>
    </w:p>
    <w:p w14:paraId="54981622"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CAA. (2016). </w:t>
      </w:r>
      <w:r w:rsidRPr="00EC4290">
        <w:rPr>
          <w:rFonts w:ascii="Calibri" w:hAnsi="Calibri" w:cs="Calibri"/>
          <w:i/>
          <w:iCs/>
          <w:noProof/>
          <w:szCs w:val="24"/>
        </w:rPr>
        <w:t>CAP 413: Radiotelephony Manual</w:t>
      </w:r>
      <w:r w:rsidRPr="00EC4290">
        <w:rPr>
          <w:rFonts w:ascii="Calibri" w:hAnsi="Calibri" w:cs="Calibri"/>
          <w:noProof/>
          <w:szCs w:val="24"/>
        </w:rPr>
        <w:t>. Retrieved from https://publicapps.caa.co.uk/docs/33/CAP413 MAY16.2.pdf</w:t>
      </w:r>
    </w:p>
    <w:p w14:paraId="69960492"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CAA &amp; NATS. (2014). CAP 1186 Level Busts - Information for Pilots and Controllers. Retrieved January 6, 2020, from http://publicapps.caa.co.uk/docs/33/CAP 1186 Level Bust leaflet.pdf</w:t>
      </w:r>
    </w:p>
    <w:p w14:paraId="3B3A364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Cornelissen, M., Salmon, P. M., McClure, R., &amp; Stanton, N. A. (2013). Using cognitive work analysis and the strategies analysis diagram to understand variability in road user behaviour at intersections.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56</w:t>
      </w:r>
      <w:r w:rsidRPr="00EC4290">
        <w:rPr>
          <w:rFonts w:ascii="Calibri" w:hAnsi="Calibri" w:cs="Calibri"/>
          <w:noProof/>
          <w:szCs w:val="24"/>
        </w:rPr>
        <w:t>(5), 764–780. https://doi.org/10.1080/00140139.2013.768707</w:t>
      </w:r>
    </w:p>
    <w:p w14:paraId="4341D29B"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Crandall, B., Klein, G., &amp; Hoffman, R. (2006). </w:t>
      </w:r>
      <w:r w:rsidRPr="00EC4290">
        <w:rPr>
          <w:rFonts w:ascii="Calibri" w:hAnsi="Calibri" w:cs="Calibri"/>
          <w:i/>
          <w:iCs/>
          <w:noProof/>
          <w:szCs w:val="24"/>
        </w:rPr>
        <w:t>Working Minds. A Practioner’s Guide to Cognitive Task Analysis</w:t>
      </w:r>
      <w:r w:rsidRPr="00EC4290">
        <w:rPr>
          <w:rFonts w:ascii="Calibri" w:hAnsi="Calibri" w:cs="Calibri"/>
          <w:noProof/>
          <w:szCs w:val="24"/>
        </w:rPr>
        <w:t>.</w:t>
      </w:r>
    </w:p>
    <w:p w14:paraId="4F396BB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Dahl, T. (2013). Safety compliance in a highly regulated environment: A case study of workers’ knowledge of rules and procedures within the petroleum industry.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60</w:t>
      </w:r>
      <w:r w:rsidRPr="00EC4290">
        <w:rPr>
          <w:rFonts w:ascii="Calibri" w:hAnsi="Calibri" w:cs="Calibri"/>
          <w:noProof/>
          <w:szCs w:val="24"/>
        </w:rPr>
        <w:t>, 185–195. https://doi.org/10.1016/j.ssci.2013.07.020</w:t>
      </w:r>
    </w:p>
    <w:p w14:paraId="68E5F211"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Dekker, S. W. A. (2003). Failure to adapt or adaptations that fail: Contrasting models on procedures and safety.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34</w:t>
      </w:r>
      <w:r w:rsidRPr="00EC4290">
        <w:rPr>
          <w:rFonts w:ascii="Calibri" w:hAnsi="Calibri" w:cs="Calibri"/>
          <w:noProof/>
          <w:szCs w:val="24"/>
        </w:rPr>
        <w:t>(3), 233–238. https://doi.org/10.1016/S0003-6870(03)00031-0</w:t>
      </w:r>
    </w:p>
    <w:p w14:paraId="588464EB"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Dekker, S. W. A. (2011). </w:t>
      </w:r>
      <w:r w:rsidRPr="00EC4290">
        <w:rPr>
          <w:rFonts w:ascii="Calibri" w:hAnsi="Calibri" w:cs="Calibri"/>
          <w:i/>
          <w:iCs/>
          <w:noProof/>
          <w:szCs w:val="24"/>
        </w:rPr>
        <w:t>Drift into failure</w:t>
      </w:r>
      <w:r w:rsidRPr="00EC4290">
        <w:rPr>
          <w:rFonts w:ascii="Calibri" w:hAnsi="Calibri" w:cs="Calibri"/>
          <w:noProof/>
          <w:szCs w:val="24"/>
        </w:rPr>
        <w:t xml:space="preserve">. </w:t>
      </w:r>
      <w:r w:rsidRPr="00EC4290">
        <w:rPr>
          <w:rFonts w:ascii="Calibri" w:hAnsi="Calibri" w:cs="Calibri"/>
          <w:i/>
          <w:iCs/>
          <w:noProof/>
          <w:szCs w:val="24"/>
        </w:rPr>
        <w:t>Farnham: Ashgate</w:t>
      </w:r>
      <w:r w:rsidRPr="00EC4290">
        <w:rPr>
          <w:rFonts w:ascii="Calibri" w:hAnsi="Calibri" w:cs="Calibri"/>
          <w:noProof/>
          <w:szCs w:val="24"/>
        </w:rPr>
        <w:t>. Retrieved from https://gowerpublishing.com/pdf/leaflets/Drift-into-Failure-2011.pdf</w:t>
      </w:r>
    </w:p>
    <w:p w14:paraId="6A20770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Endsley, M. R., &amp; Smolensky, M. W. (1998). Situation awareness in air traffic control: The picture. </w:t>
      </w:r>
      <w:r w:rsidRPr="00EC4290">
        <w:rPr>
          <w:rFonts w:ascii="Calibri" w:hAnsi="Calibri" w:cs="Calibri"/>
          <w:i/>
          <w:iCs/>
          <w:noProof/>
          <w:szCs w:val="24"/>
        </w:rPr>
        <w:t>Human Factors in Air Traffic Control.</w:t>
      </w:r>
      <w:r w:rsidRPr="00EC4290">
        <w:rPr>
          <w:rFonts w:ascii="Calibri" w:hAnsi="Calibri" w:cs="Calibri"/>
          <w:noProof/>
          <w:szCs w:val="24"/>
        </w:rPr>
        <w:t>, (September), 115–154. https://doi.org/1721.1/35929</w:t>
      </w:r>
    </w:p>
    <w:p w14:paraId="7A83BB82"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lastRenderedPageBreak/>
        <w:t xml:space="preserve">Foster, C. J., Plant, K. L., &amp; Stanton, N. A. (2019). Adaptation as a source of safety in complex socio-technical systems: A literature review and model development.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118</w:t>
      </w:r>
      <w:r w:rsidRPr="00EC4290">
        <w:rPr>
          <w:rFonts w:ascii="Calibri" w:hAnsi="Calibri" w:cs="Calibri"/>
          <w:noProof/>
          <w:szCs w:val="24"/>
        </w:rPr>
        <w:t>(May), 617–631. https://doi.org/10.1016/j.ssci.2019.05.035</w:t>
      </w:r>
    </w:p>
    <w:p w14:paraId="2ABD544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Foster, C. J., Plant, K. L., &amp; Stanton, N. A. (2020a). A Delphi study of human factors methods for the evaluation of adaptation in safety-related organisations.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131</w:t>
      </w:r>
      <w:r w:rsidRPr="00EC4290">
        <w:rPr>
          <w:rFonts w:ascii="Calibri" w:hAnsi="Calibri" w:cs="Calibri"/>
          <w:noProof/>
          <w:szCs w:val="24"/>
        </w:rPr>
        <w:t>(July), 104933. https://doi.org/10.1016/j.ssci.2020.104933</w:t>
      </w:r>
    </w:p>
    <w:p w14:paraId="3C55F5FD"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Foster, C. J., Plant, K. L., &amp; Stanton, N. A. (2020b). A very temporary operating instruction: Uncovering emergence and adaptation in air traffic control. </w:t>
      </w:r>
      <w:r w:rsidRPr="00EC4290">
        <w:rPr>
          <w:rFonts w:ascii="Calibri" w:hAnsi="Calibri" w:cs="Calibri"/>
          <w:i/>
          <w:iCs/>
          <w:noProof/>
          <w:szCs w:val="24"/>
        </w:rPr>
        <w:t>Reliability Engineering &amp; System Safety</w:t>
      </w:r>
      <w:r w:rsidRPr="00EC4290">
        <w:rPr>
          <w:rFonts w:ascii="Calibri" w:hAnsi="Calibri" w:cs="Calibri"/>
          <w:noProof/>
          <w:szCs w:val="24"/>
        </w:rPr>
        <w:t xml:space="preserve">, </w:t>
      </w:r>
      <w:r w:rsidRPr="00EC4290">
        <w:rPr>
          <w:rFonts w:ascii="Calibri" w:hAnsi="Calibri" w:cs="Calibri"/>
          <w:i/>
          <w:iCs/>
          <w:noProof/>
          <w:szCs w:val="24"/>
        </w:rPr>
        <w:t>208</w:t>
      </w:r>
      <w:r w:rsidRPr="00EC4290">
        <w:rPr>
          <w:rFonts w:ascii="Calibri" w:hAnsi="Calibri" w:cs="Calibri"/>
          <w:noProof/>
          <w:szCs w:val="24"/>
        </w:rPr>
        <w:t>(November 2020), 107386. https://doi.org/10.1016/j.ress.2020.107386</w:t>
      </w:r>
    </w:p>
    <w:p w14:paraId="48CAC37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Grant, E., Salmon, P. M., Stevens, N. J., Goode, N., &amp; Read, G. J. (2018). Back to the future: What do accident causation models tell us about accident prediction? </w:t>
      </w:r>
      <w:r w:rsidRPr="00EC4290">
        <w:rPr>
          <w:rFonts w:ascii="Calibri" w:hAnsi="Calibri" w:cs="Calibri"/>
          <w:i/>
          <w:iCs/>
          <w:noProof/>
          <w:szCs w:val="24"/>
        </w:rPr>
        <w:t>Safety Science</w:t>
      </w:r>
      <w:r w:rsidRPr="00EC4290">
        <w:rPr>
          <w:rFonts w:ascii="Calibri" w:hAnsi="Calibri" w:cs="Calibri"/>
          <w:noProof/>
          <w:szCs w:val="24"/>
        </w:rPr>
        <w:t>. https://doi.org/10.1016/j.ssci.2017.12.018</w:t>
      </w:r>
    </w:p>
    <w:p w14:paraId="25B9ED9F"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Grote, G., Weyer, J., &amp; Stanton, N. A. (2014). Beyond human-centred automation - concepts for human-machine interaction in multi-layered networks. </w:t>
      </w:r>
      <w:r w:rsidRPr="00EC4290">
        <w:rPr>
          <w:rFonts w:ascii="Calibri" w:hAnsi="Calibri" w:cs="Calibri"/>
          <w:i/>
          <w:iCs/>
          <w:noProof/>
          <w:szCs w:val="24"/>
        </w:rPr>
        <w:t>Ergonomics</w:t>
      </w:r>
      <w:r w:rsidRPr="00EC4290">
        <w:rPr>
          <w:rFonts w:ascii="Calibri" w:hAnsi="Calibri" w:cs="Calibri"/>
          <w:noProof/>
          <w:szCs w:val="24"/>
        </w:rPr>
        <w:t>. Taylor &amp; Francis. https://doi.org/10.1080/00140139.2014.890748</w:t>
      </w:r>
    </w:p>
    <w:p w14:paraId="68DDBF7B"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Hale, A., &amp; Borys, D. (2013). Working to rule or working safely? Part 2: The management of safety rules and procedures.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55</w:t>
      </w:r>
      <w:r w:rsidRPr="00EC4290">
        <w:rPr>
          <w:rFonts w:ascii="Calibri" w:hAnsi="Calibri" w:cs="Calibri"/>
          <w:noProof/>
          <w:szCs w:val="24"/>
        </w:rPr>
        <w:t>, 222–231. https://doi.org/10.1016/j.ssci.2012.05.013</w:t>
      </w:r>
    </w:p>
    <w:p w14:paraId="1E07BFE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Harris, D., &amp; Li, W. C. (2011). An extension of the Human Factors Analysis and Classification System for use in open systems. </w:t>
      </w:r>
      <w:r w:rsidRPr="00EC4290">
        <w:rPr>
          <w:rFonts w:ascii="Calibri" w:hAnsi="Calibri" w:cs="Calibri"/>
          <w:i/>
          <w:iCs/>
          <w:noProof/>
          <w:szCs w:val="24"/>
        </w:rPr>
        <w:t>Theoretical Issues in Ergonomics Science</w:t>
      </w:r>
      <w:r w:rsidRPr="00EC4290">
        <w:rPr>
          <w:rFonts w:ascii="Calibri" w:hAnsi="Calibri" w:cs="Calibri"/>
          <w:noProof/>
          <w:szCs w:val="24"/>
        </w:rPr>
        <w:t xml:space="preserve">, </w:t>
      </w:r>
      <w:r w:rsidRPr="00EC4290">
        <w:rPr>
          <w:rFonts w:ascii="Calibri" w:hAnsi="Calibri" w:cs="Calibri"/>
          <w:i/>
          <w:iCs/>
          <w:noProof/>
          <w:szCs w:val="24"/>
        </w:rPr>
        <w:t>12</w:t>
      </w:r>
      <w:r w:rsidRPr="00EC4290">
        <w:rPr>
          <w:rFonts w:ascii="Calibri" w:hAnsi="Calibri" w:cs="Calibri"/>
          <w:noProof/>
          <w:szCs w:val="24"/>
        </w:rPr>
        <w:t>(2), 108–128. https://doi.org/10.1080/14639220903536559</w:t>
      </w:r>
    </w:p>
    <w:p w14:paraId="2A59E22D"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Holen, S. M., Utne, I. B., &amp; Holmen, I. M. (2014). A preliminary accident investigation on a Norwegian fish farm applying two different accident models. In </w:t>
      </w:r>
      <w:r w:rsidRPr="00EC4290">
        <w:rPr>
          <w:rFonts w:ascii="Calibri" w:hAnsi="Calibri" w:cs="Calibri"/>
          <w:i/>
          <w:iCs/>
          <w:noProof/>
          <w:szCs w:val="24"/>
        </w:rPr>
        <w:t>PSAM 2014 - Probabilistic Safety Assessment and Management</w:t>
      </w:r>
      <w:r w:rsidRPr="00EC4290">
        <w:rPr>
          <w:rFonts w:ascii="Calibri" w:hAnsi="Calibri" w:cs="Calibri"/>
          <w:noProof/>
          <w:szCs w:val="24"/>
        </w:rPr>
        <w:t>.</w:t>
      </w:r>
    </w:p>
    <w:p w14:paraId="5546A95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Holling, C. S. (1973). Resilience and Stability of Ecological Systems. </w:t>
      </w:r>
      <w:r w:rsidRPr="00EC4290">
        <w:rPr>
          <w:rFonts w:ascii="Calibri" w:hAnsi="Calibri" w:cs="Calibri"/>
          <w:i/>
          <w:iCs/>
          <w:noProof/>
          <w:szCs w:val="24"/>
        </w:rPr>
        <w:t>Annual Review of Ecology and Systematics</w:t>
      </w:r>
      <w:r w:rsidRPr="00EC4290">
        <w:rPr>
          <w:rFonts w:ascii="Calibri" w:hAnsi="Calibri" w:cs="Calibri"/>
          <w:noProof/>
          <w:szCs w:val="24"/>
        </w:rPr>
        <w:t xml:space="preserve">, </w:t>
      </w:r>
      <w:r w:rsidRPr="00EC4290">
        <w:rPr>
          <w:rFonts w:ascii="Calibri" w:hAnsi="Calibri" w:cs="Calibri"/>
          <w:i/>
          <w:iCs/>
          <w:noProof/>
          <w:szCs w:val="24"/>
        </w:rPr>
        <w:t>4</w:t>
      </w:r>
      <w:r w:rsidRPr="00EC4290">
        <w:rPr>
          <w:rFonts w:ascii="Calibri" w:hAnsi="Calibri" w:cs="Calibri"/>
          <w:noProof/>
          <w:szCs w:val="24"/>
        </w:rPr>
        <w:t>(1), 1–23. https://doi.org/10.1146/annurev.es.04.110173.000245</w:t>
      </w:r>
    </w:p>
    <w:p w14:paraId="12DB7C5F"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Hollnagel, E. (2012). </w:t>
      </w:r>
      <w:r w:rsidRPr="00EC4290">
        <w:rPr>
          <w:rFonts w:ascii="Calibri" w:hAnsi="Calibri" w:cs="Calibri"/>
          <w:i/>
          <w:iCs/>
          <w:noProof/>
          <w:szCs w:val="24"/>
        </w:rPr>
        <w:t>FRAM: The Functional Resonance Analysis Method</w:t>
      </w:r>
      <w:r w:rsidRPr="00EC4290">
        <w:rPr>
          <w:rFonts w:ascii="Calibri" w:hAnsi="Calibri" w:cs="Calibri"/>
          <w:noProof/>
          <w:szCs w:val="24"/>
        </w:rPr>
        <w:t xml:space="preserve">. </w:t>
      </w:r>
      <w:r w:rsidRPr="00EC4290">
        <w:rPr>
          <w:rFonts w:ascii="Calibri" w:hAnsi="Calibri" w:cs="Calibri"/>
          <w:i/>
          <w:iCs/>
          <w:noProof/>
          <w:szCs w:val="24"/>
        </w:rPr>
        <w:t>FRAM: The Functional Resonance Analysis Method</w:t>
      </w:r>
      <w:r w:rsidRPr="00EC4290">
        <w:rPr>
          <w:rFonts w:ascii="Calibri" w:hAnsi="Calibri" w:cs="Calibri"/>
          <w:noProof/>
          <w:szCs w:val="24"/>
        </w:rPr>
        <w:t>. Ashgate Publishing Ltd. https://doi.org/10.1201/9781315255071</w:t>
      </w:r>
    </w:p>
    <w:p w14:paraId="093F157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Hollnagel, E. (2014). </w:t>
      </w:r>
      <w:r w:rsidRPr="00EC4290">
        <w:rPr>
          <w:rFonts w:ascii="Calibri" w:hAnsi="Calibri" w:cs="Calibri"/>
          <w:i/>
          <w:iCs/>
          <w:noProof/>
          <w:szCs w:val="24"/>
        </w:rPr>
        <w:t>Safety-I and safety-II: The past and future of safety management</w:t>
      </w:r>
      <w:r w:rsidRPr="00EC4290">
        <w:rPr>
          <w:rFonts w:ascii="Calibri" w:hAnsi="Calibri" w:cs="Calibri"/>
          <w:noProof/>
          <w:szCs w:val="24"/>
        </w:rPr>
        <w:t>. Ashgate Publishing Ltd.</w:t>
      </w:r>
    </w:p>
    <w:p w14:paraId="54273E9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Hollnagel, E., Woods, D. D., &amp; Leveson, N. G. (2006). </w:t>
      </w:r>
      <w:r w:rsidRPr="00EC4290">
        <w:rPr>
          <w:rFonts w:ascii="Calibri" w:hAnsi="Calibri" w:cs="Calibri"/>
          <w:i/>
          <w:iCs/>
          <w:noProof/>
          <w:szCs w:val="24"/>
        </w:rPr>
        <w:t>Resilience Engineering - Concepts and Precepts</w:t>
      </w:r>
      <w:r w:rsidRPr="00EC4290">
        <w:rPr>
          <w:rFonts w:ascii="Calibri" w:hAnsi="Calibri" w:cs="Calibri"/>
          <w:noProof/>
          <w:szCs w:val="24"/>
        </w:rPr>
        <w:t xml:space="preserve">. </w:t>
      </w:r>
      <w:r w:rsidRPr="00EC4290">
        <w:rPr>
          <w:rFonts w:ascii="Calibri" w:hAnsi="Calibri" w:cs="Calibri"/>
          <w:i/>
          <w:iCs/>
          <w:noProof/>
          <w:szCs w:val="24"/>
        </w:rPr>
        <w:t>Resilience Engineering: Concepts and Precepts</w:t>
      </w:r>
      <w:r w:rsidRPr="00EC4290">
        <w:rPr>
          <w:rFonts w:ascii="Calibri" w:hAnsi="Calibri" w:cs="Calibri"/>
          <w:noProof/>
          <w:szCs w:val="24"/>
        </w:rPr>
        <w:t>.</w:t>
      </w:r>
    </w:p>
    <w:p w14:paraId="0099D259"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Holman, M., Walker, G., Lansdown, T., Salmon, P., Read, G., &amp; Stanton, N. (2020). The Binary-Based Model (BBM) for Improved Human Factors Method Selection. </w:t>
      </w:r>
      <w:r w:rsidRPr="00EC4290">
        <w:rPr>
          <w:rFonts w:ascii="Calibri" w:hAnsi="Calibri" w:cs="Calibri"/>
          <w:i/>
          <w:iCs/>
          <w:noProof/>
          <w:szCs w:val="24"/>
        </w:rPr>
        <w:t>Human Factors</w:t>
      </w:r>
      <w:r w:rsidRPr="00EC4290">
        <w:rPr>
          <w:rFonts w:ascii="Calibri" w:hAnsi="Calibri" w:cs="Calibri"/>
          <w:noProof/>
          <w:szCs w:val="24"/>
        </w:rPr>
        <w:t>. https://doi.org/10.1177/0018720820926875</w:t>
      </w:r>
    </w:p>
    <w:p w14:paraId="2827547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Jenkins, D. P., Stanton, N. A., Salmon, P. M., &amp; Walker, G. H. (2008). </w:t>
      </w:r>
      <w:r w:rsidRPr="00EC4290">
        <w:rPr>
          <w:rFonts w:ascii="Calibri" w:hAnsi="Calibri" w:cs="Calibri"/>
          <w:i/>
          <w:iCs/>
          <w:noProof/>
          <w:szCs w:val="24"/>
        </w:rPr>
        <w:t>Cognitive work analysis: Coping with complexity</w:t>
      </w:r>
      <w:r w:rsidRPr="00EC4290">
        <w:rPr>
          <w:rFonts w:ascii="Calibri" w:hAnsi="Calibri" w:cs="Calibri"/>
          <w:noProof/>
          <w:szCs w:val="24"/>
        </w:rPr>
        <w:t xml:space="preserve">. </w:t>
      </w:r>
      <w:r w:rsidRPr="00EC4290">
        <w:rPr>
          <w:rFonts w:ascii="Calibri" w:hAnsi="Calibri" w:cs="Calibri"/>
          <w:i/>
          <w:iCs/>
          <w:noProof/>
          <w:szCs w:val="24"/>
        </w:rPr>
        <w:t>Cognitive Work Analysis: Coping with Complexity</w:t>
      </w:r>
      <w:r w:rsidRPr="00EC4290">
        <w:rPr>
          <w:rFonts w:ascii="Calibri" w:hAnsi="Calibri" w:cs="Calibri"/>
          <w:noProof/>
          <w:szCs w:val="24"/>
        </w:rPr>
        <w:t>. https://doi.org/10.1080/00140130903458293</w:t>
      </w:r>
    </w:p>
    <w:p w14:paraId="07E0DCB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Jenkins, D. P., Stanton, N. A., Salmon, P. M., Walker, G. H., Young, M. S., Whitworth, I., … Hone, G. (2007). The development of a cognitive work analysis tool. </w:t>
      </w:r>
      <w:r w:rsidRPr="00EC4290">
        <w:rPr>
          <w:rFonts w:ascii="Calibri" w:hAnsi="Calibri" w:cs="Calibri"/>
          <w:i/>
          <w:iCs/>
          <w:noProof/>
          <w:szCs w:val="24"/>
        </w:rPr>
        <w:t>Lecture Notes in Computer Science (Including Subseries Lecture Notes in Artificial Intelligence and Lecture Notes in Bioinformatics)</w:t>
      </w:r>
      <w:r w:rsidRPr="00EC4290">
        <w:rPr>
          <w:rFonts w:ascii="Calibri" w:hAnsi="Calibri" w:cs="Calibri"/>
          <w:noProof/>
          <w:szCs w:val="24"/>
        </w:rPr>
        <w:t xml:space="preserve">, </w:t>
      </w:r>
      <w:r w:rsidRPr="00EC4290">
        <w:rPr>
          <w:rFonts w:ascii="Calibri" w:hAnsi="Calibri" w:cs="Calibri"/>
          <w:i/>
          <w:iCs/>
          <w:noProof/>
          <w:szCs w:val="24"/>
        </w:rPr>
        <w:t>4562 LNAI</w:t>
      </w:r>
      <w:r w:rsidRPr="00EC4290">
        <w:rPr>
          <w:rFonts w:ascii="Calibri" w:hAnsi="Calibri" w:cs="Calibri"/>
          <w:noProof/>
          <w:szCs w:val="24"/>
        </w:rPr>
        <w:t>(2003), 504–511. https://doi.org/10.1007/978-3-540-73331-7_55</w:t>
      </w:r>
    </w:p>
    <w:p w14:paraId="587FF1EB"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Kee, D. (2017). Comparison of Systemic Accident Investigation Techniques Based on the Sewol Ferry Capsizing. </w:t>
      </w:r>
      <w:r w:rsidRPr="00EC4290">
        <w:rPr>
          <w:rFonts w:ascii="Calibri" w:hAnsi="Calibri" w:cs="Calibri"/>
          <w:i/>
          <w:iCs/>
          <w:noProof/>
          <w:szCs w:val="24"/>
        </w:rPr>
        <w:t>Journal of the Ergonomics Society of Korea</w:t>
      </w:r>
      <w:r w:rsidRPr="00EC4290">
        <w:rPr>
          <w:rFonts w:ascii="Calibri" w:hAnsi="Calibri" w:cs="Calibri"/>
          <w:noProof/>
          <w:szCs w:val="24"/>
        </w:rPr>
        <w:t xml:space="preserve">. </w:t>
      </w:r>
      <w:r w:rsidRPr="00EC4290">
        <w:rPr>
          <w:rFonts w:ascii="Calibri" w:hAnsi="Calibri" w:cs="Calibri"/>
          <w:noProof/>
          <w:szCs w:val="24"/>
        </w:rPr>
        <w:lastRenderedPageBreak/>
        <w:t>https://doi.org/10.5143/JESK.2017.36.5.485</w:t>
      </w:r>
    </w:p>
    <w:p w14:paraId="3F70A49E"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Kerr, M. P., Knott, D. S., Moss, M. A., Clegg, C. W., &amp; Horton, R. P. (2008). Assessing the value of human factors initiatives.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39</w:t>
      </w:r>
      <w:r w:rsidRPr="00EC4290">
        <w:rPr>
          <w:rFonts w:ascii="Calibri" w:hAnsi="Calibri" w:cs="Calibri"/>
          <w:noProof/>
          <w:szCs w:val="24"/>
        </w:rPr>
        <w:t>(3). https://doi.org/10.1016/j.apergo.2007.10.003</w:t>
      </w:r>
    </w:p>
    <w:p w14:paraId="5F681444"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Kirwan, B. (1998a). Human error identification techniques for risk assessment of high risk systems - Part 1: Review and evaluation of techniques.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29</w:t>
      </w:r>
      <w:r w:rsidRPr="00EC4290">
        <w:rPr>
          <w:rFonts w:ascii="Calibri" w:hAnsi="Calibri" w:cs="Calibri"/>
          <w:noProof/>
          <w:szCs w:val="24"/>
        </w:rPr>
        <w:t>(3), 157–177. https://doi.org/10.1016/S0003-6870(98)00010-6</w:t>
      </w:r>
    </w:p>
    <w:p w14:paraId="36DE70D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Kirwan, B. (1998b). Human error identification techniques for risk assessment of high risk systems - Part 2: Towards a framework approach.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29</w:t>
      </w:r>
      <w:r w:rsidRPr="00EC4290">
        <w:rPr>
          <w:rFonts w:ascii="Calibri" w:hAnsi="Calibri" w:cs="Calibri"/>
          <w:noProof/>
          <w:szCs w:val="24"/>
        </w:rPr>
        <w:t>(3), 157–177. https://doi.org/10.1016/S0003-6870(98)00011-8</w:t>
      </w:r>
    </w:p>
    <w:p w14:paraId="0E9C80F1"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Klein, G. A. G. A., Calderwood, R., &amp; MacGregor, D. (1989). Critical decision method for eliciting knowledge. </w:t>
      </w:r>
      <w:r w:rsidRPr="00EC4290">
        <w:rPr>
          <w:rFonts w:ascii="Calibri" w:hAnsi="Calibri" w:cs="Calibri"/>
          <w:i/>
          <w:iCs/>
          <w:noProof/>
          <w:szCs w:val="24"/>
        </w:rPr>
        <w:t>Ieee Transactions On Systems Man And Cybernetics</w:t>
      </w:r>
      <w:r w:rsidRPr="00EC4290">
        <w:rPr>
          <w:rFonts w:ascii="Calibri" w:hAnsi="Calibri" w:cs="Calibri"/>
          <w:noProof/>
          <w:szCs w:val="24"/>
        </w:rPr>
        <w:t xml:space="preserve">, </w:t>
      </w:r>
      <w:r w:rsidRPr="00EC4290">
        <w:rPr>
          <w:rFonts w:ascii="Calibri" w:hAnsi="Calibri" w:cs="Calibri"/>
          <w:i/>
          <w:iCs/>
          <w:noProof/>
          <w:szCs w:val="24"/>
        </w:rPr>
        <w:t>19</w:t>
      </w:r>
      <w:r w:rsidRPr="00EC4290">
        <w:rPr>
          <w:rFonts w:ascii="Calibri" w:hAnsi="Calibri" w:cs="Calibri"/>
          <w:noProof/>
          <w:szCs w:val="24"/>
        </w:rPr>
        <w:t>(3), 462–472. https://doi.org/10.1109/21.31053</w:t>
      </w:r>
    </w:p>
    <w:p w14:paraId="250B48F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Le Coze, J. C. (2019). Safety as strategy: Mistakes, failures and fiascos in high-risk systems.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116</w:t>
      </w:r>
      <w:r w:rsidRPr="00EC4290">
        <w:rPr>
          <w:rFonts w:ascii="Calibri" w:hAnsi="Calibri" w:cs="Calibri"/>
          <w:noProof/>
          <w:szCs w:val="24"/>
        </w:rPr>
        <w:t>(December 2017), 259–274. https://doi.org/10.1016/j.ssci.2019.02.023</w:t>
      </w:r>
    </w:p>
    <w:p w14:paraId="3CF9D92F"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Leveson, N. G. (2004). A new accident model for engineering safer systems.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42</w:t>
      </w:r>
      <w:r w:rsidRPr="00EC4290">
        <w:rPr>
          <w:rFonts w:ascii="Calibri" w:hAnsi="Calibri" w:cs="Calibri"/>
          <w:noProof/>
          <w:szCs w:val="24"/>
        </w:rPr>
        <w:t>(4), 237–270. https://doi.org/10.1016/S0925-7535(03)00047-X</w:t>
      </w:r>
    </w:p>
    <w:p w14:paraId="580DAA2D"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Leveson, N. G. (2011). </w:t>
      </w:r>
      <w:r w:rsidRPr="00EC4290">
        <w:rPr>
          <w:rFonts w:ascii="Calibri" w:hAnsi="Calibri" w:cs="Calibri"/>
          <w:i/>
          <w:iCs/>
          <w:noProof/>
          <w:szCs w:val="24"/>
        </w:rPr>
        <w:t>Engineering a Safer World</w:t>
      </w:r>
      <w:r w:rsidRPr="00EC4290">
        <w:rPr>
          <w:rFonts w:ascii="Calibri" w:hAnsi="Calibri" w:cs="Calibri"/>
          <w:noProof/>
          <w:szCs w:val="24"/>
        </w:rPr>
        <w:t xml:space="preserve">. </w:t>
      </w:r>
      <w:r w:rsidRPr="00EC4290">
        <w:rPr>
          <w:rFonts w:ascii="Calibri" w:hAnsi="Calibri" w:cs="Calibri"/>
          <w:i/>
          <w:iCs/>
          <w:noProof/>
          <w:szCs w:val="24"/>
        </w:rPr>
        <w:t>Engineering a Safer World</w:t>
      </w:r>
      <w:r w:rsidRPr="00EC4290">
        <w:rPr>
          <w:rFonts w:ascii="Calibri" w:hAnsi="Calibri" w:cs="Calibri"/>
          <w:noProof/>
          <w:szCs w:val="24"/>
        </w:rPr>
        <w:t>. MIT Press. https://doi.org/10.7551/mitpress/8179.001.0001</w:t>
      </w:r>
    </w:p>
    <w:p w14:paraId="1F4672D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Lofquist, E. A. (2010). The art of measuring nothing: The paradox of measuring safety in a changing civil aviation industry using traditional safety metrics.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48</w:t>
      </w:r>
      <w:r w:rsidRPr="00EC4290">
        <w:rPr>
          <w:rFonts w:ascii="Calibri" w:hAnsi="Calibri" w:cs="Calibri"/>
          <w:noProof/>
          <w:szCs w:val="24"/>
        </w:rPr>
        <w:t>(10), 1520–1529. https://doi.org/10.1016/j.ssci.2010.05.006</w:t>
      </w:r>
    </w:p>
    <w:p w14:paraId="6CB06A8F"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Maslen, S., &amp; Hopkins, A. (2014). Do incentives work? A qualitative study of managers’ motivations in hazardous industries.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70</w:t>
      </w:r>
      <w:r w:rsidRPr="00EC4290">
        <w:rPr>
          <w:rFonts w:ascii="Calibri" w:hAnsi="Calibri" w:cs="Calibri"/>
          <w:noProof/>
          <w:szCs w:val="24"/>
        </w:rPr>
        <w:t>, 419–428. https://doi.org/10.1016/j.ssci.2014.07.008</w:t>
      </w:r>
    </w:p>
    <w:p w14:paraId="46F4E29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Naikar, N., Hopcroft, R., &amp; Moylan, A. (2005). Work domain analysis: Theoretical concepts and methodology. </w:t>
      </w:r>
      <w:r w:rsidRPr="00EC4290">
        <w:rPr>
          <w:rFonts w:ascii="Calibri" w:hAnsi="Calibri" w:cs="Calibri"/>
          <w:i/>
          <w:iCs/>
          <w:noProof/>
          <w:szCs w:val="24"/>
        </w:rPr>
        <w:t>Defence Science and Technology Report</w:t>
      </w:r>
      <w:r w:rsidRPr="00EC4290">
        <w:rPr>
          <w:rFonts w:ascii="Calibri" w:hAnsi="Calibri" w:cs="Calibri"/>
          <w:noProof/>
          <w:szCs w:val="24"/>
        </w:rPr>
        <w:t>, 104. Retrieved from http://dspace.dsto.defence.gov.au/dspace/bitstream/1947/3909/1/DSTO-TR-1665 PR.pdf</w:t>
      </w:r>
    </w:p>
    <w:p w14:paraId="3BA5916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Naikar, N., Moylan, A., &amp; Pearce, B. (2006). Analysing activity in complex systems with cognitive work analysis: Concepts, guidelines and case study for control task analysis. </w:t>
      </w:r>
      <w:r w:rsidRPr="00EC4290">
        <w:rPr>
          <w:rFonts w:ascii="Calibri" w:hAnsi="Calibri" w:cs="Calibri"/>
          <w:i/>
          <w:iCs/>
          <w:noProof/>
          <w:szCs w:val="24"/>
        </w:rPr>
        <w:t>Theoretical Issues in Ergonomics Science</w:t>
      </w:r>
      <w:r w:rsidRPr="00EC4290">
        <w:rPr>
          <w:rFonts w:ascii="Calibri" w:hAnsi="Calibri" w:cs="Calibri"/>
          <w:noProof/>
          <w:szCs w:val="24"/>
        </w:rPr>
        <w:t>. https://doi.org/10.1080/14639220500098821</w:t>
      </w:r>
    </w:p>
    <w:p w14:paraId="59C7C80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O’Hare, D., Wiggins, M., Williams, A., &amp; Wong, W. (1998). Cognitive task analyses for decision centred design and training.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41</w:t>
      </w:r>
      <w:r w:rsidRPr="00EC4290">
        <w:rPr>
          <w:rFonts w:ascii="Calibri" w:hAnsi="Calibri" w:cs="Calibri"/>
          <w:noProof/>
          <w:szCs w:val="24"/>
        </w:rPr>
        <w:t>(11), 1698–1718. https://doi.org/10.1080/001401398186144</w:t>
      </w:r>
    </w:p>
    <w:p w14:paraId="60518371"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Okoli, J., Watt, J., Weller, G., &amp; Wong, W. B. L. (2016). The role of expertise in dynamic risk assessment: A reflection of the problem-solving strategies used by experienced fireground commanders. </w:t>
      </w:r>
      <w:r w:rsidRPr="00EC4290">
        <w:rPr>
          <w:rFonts w:ascii="Calibri" w:hAnsi="Calibri" w:cs="Calibri"/>
          <w:i/>
          <w:iCs/>
          <w:noProof/>
          <w:szCs w:val="24"/>
        </w:rPr>
        <w:t>Risk Management</w:t>
      </w:r>
      <w:r w:rsidRPr="00EC4290">
        <w:rPr>
          <w:rFonts w:ascii="Calibri" w:hAnsi="Calibri" w:cs="Calibri"/>
          <w:noProof/>
          <w:szCs w:val="24"/>
        </w:rPr>
        <w:t xml:space="preserve">, </w:t>
      </w:r>
      <w:r w:rsidRPr="00EC4290">
        <w:rPr>
          <w:rFonts w:ascii="Calibri" w:hAnsi="Calibri" w:cs="Calibri"/>
          <w:i/>
          <w:iCs/>
          <w:noProof/>
          <w:szCs w:val="24"/>
        </w:rPr>
        <w:t>18</w:t>
      </w:r>
      <w:r w:rsidRPr="00EC4290">
        <w:rPr>
          <w:rFonts w:ascii="Calibri" w:hAnsi="Calibri" w:cs="Calibri"/>
          <w:noProof/>
          <w:szCs w:val="24"/>
        </w:rPr>
        <w:t>(1), 4–25. https://doi.org/10.1057/rm.2015.20</w:t>
      </w:r>
    </w:p>
    <w:p w14:paraId="322C6A2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Patriarca, R., Bergström, J., &amp; Di Gravio, G. (2017). Defining the functional resonance analysis space: Combining Abstraction Hierarchy and FRAM. </w:t>
      </w:r>
      <w:r w:rsidRPr="00EC4290">
        <w:rPr>
          <w:rFonts w:ascii="Calibri" w:hAnsi="Calibri" w:cs="Calibri"/>
          <w:i/>
          <w:iCs/>
          <w:noProof/>
          <w:szCs w:val="24"/>
        </w:rPr>
        <w:t>Reliability Engineering and System Safety</w:t>
      </w:r>
      <w:r w:rsidRPr="00EC4290">
        <w:rPr>
          <w:rFonts w:ascii="Calibri" w:hAnsi="Calibri" w:cs="Calibri"/>
          <w:noProof/>
          <w:szCs w:val="24"/>
        </w:rPr>
        <w:t xml:space="preserve">, </w:t>
      </w:r>
      <w:r w:rsidRPr="00EC4290">
        <w:rPr>
          <w:rFonts w:ascii="Calibri" w:hAnsi="Calibri" w:cs="Calibri"/>
          <w:i/>
          <w:iCs/>
          <w:noProof/>
          <w:szCs w:val="24"/>
        </w:rPr>
        <w:t>165</w:t>
      </w:r>
      <w:r w:rsidRPr="00EC4290">
        <w:rPr>
          <w:rFonts w:ascii="Calibri" w:hAnsi="Calibri" w:cs="Calibri"/>
          <w:noProof/>
          <w:szCs w:val="24"/>
        </w:rPr>
        <w:t>(July 2016), 34–46. https://doi.org/10.1016/j.ress.2017.03.032</w:t>
      </w:r>
    </w:p>
    <w:p w14:paraId="6CF14DC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Patriarca, R., Di Gravio, G., &amp; Costantino, F. (2018). MyFRAM: An open tool support for the functional resonance analysis method. </w:t>
      </w:r>
      <w:r w:rsidRPr="00EC4290">
        <w:rPr>
          <w:rFonts w:ascii="Calibri" w:hAnsi="Calibri" w:cs="Calibri"/>
          <w:i/>
          <w:iCs/>
          <w:noProof/>
          <w:szCs w:val="24"/>
        </w:rPr>
        <w:t>2017 2nd International Conference on System Reliability and Safety, ICSRS 2017</w:t>
      </w:r>
      <w:r w:rsidRPr="00EC4290">
        <w:rPr>
          <w:rFonts w:ascii="Calibri" w:hAnsi="Calibri" w:cs="Calibri"/>
          <w:noProof/>
          <w:szCs w:val="24"/>
        </w:rPr>
        <w:t xml:space="preserve">, </w:t>
      </w:r>
      <w:r w:rsidRPr="00EC4290">
        <w:rPr>
          <w:rFonts w:ascii="Calibri" w:hAnsi="Calibri" w:cs="Calibri"/>
          <w:i/>
          <w:iCs/>
          <w:noProof/>
          <w:szCs w:val="24"/>
        </w:rPr>
        <w:t>2018</w:t>
      </w:r>
      <w:r w:rsidRPr="00EC4290">
        <w:rPr>
          <w:rFonts w:ascii="Calibri" w:hAnsi="Calibri" w:cs="Calibri"/>
          <w:noProof/>
          <w:szCs w:val="24"/>
        </w:rPr>
        <w:t>-</w:t>
      </w:r>
      <w:r w:rsidRPr="00EC4290">
        <w:rPr>
          <w:rFonts w:ascii="Calibri" w:hAnsi="Calibri" w:cs="Calibri"/>
          <w:i/>
          <w:iCs/>
          <w:noProof/>
          <w:szCs w:val="24"/>
        </w:rPr>
        <w:t>Janua</w:t>
      </w:r>
      <w:r w:rsidRPr="00EC4290">
        <w:rPr>
          <w:rFonts w:ascii="Calibri" w:hAnsi="Calibri" w:cs="Calibri"/>
          <w:noProof/>
          <w:szCs w:val="24"/>
        </w:rPr>
        <w:t>, 439–443. https://doi.org/10.1109/ICSRS.2017.8272861</w:t>
      </w:r>
    </w:p>
    <w:p w14:paraId="0041D5E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lastRenderedPageBreak/>
        <w:t xml:space="preserve">Patriarca, R., Di Gravio, G., Woltjer, R., Costantino, F., Praetorius, G., Ferreira, P., &amp; Hollnagel, E. (2020). Framing the FRAM: A literature review on the functional resonance analysis method.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129</w:t>
      </w:r>
      <w:r w:rsidRPr="00EC4290">
        <w:rPr>
          <w:rFonts w:ascii="Calibri" w:hAnsi="Calibri" w:cs="Calibri"/>
          <w:noProof/>
          <w:szCs w:val="24"/>
        </w:rPr>
        <w:t>(April), 104827. https://doi.org/10.1016/j.ssci.2020.104827</w:t>
      </w:r>
    </w:p>
    <w:p w14:paraId="78B826FB"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Pinto, A., Filho, G., Thomas, G., Waterson, P., Goncalves Filho, A. P., Jun, G. T., &amp; Waterson, P. (2019). Four studies , two methods , one accident – An examination of the reliability and validity of Accimap and STAMP for accident analysis.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113</w:t>
      </w:r>
      <w:r w:rsidRPr="00EC4290">
        <w:rPr>
          <w:rFonts w:ascii="Calibri" w:hAnsi="Calibri" w:cs="Calibri"/>
          <w:noProof/>
          <w:szCs w:val="24"/>
        </w:rPr>
        <w:t>(December 2018), 310–317. https://doi.org/10.1016/j.ssci.2018.12.002</w:t>
      </w:r>
    </w:p>
    <w:p w14:paraId="4BBC5522"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Plant, K. L., &amp; Stanton, N. A. (2013). What is on your mind? Using the perceptual cycle model and critical decision method to understand the decision-making process in the cockpit.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56</w:t>
      </w:r>
      <w:r w:rsidRPr="00EC4290">
        <w:rPr>
          <w:rFonts w:ascii="Calibri" w:hAnsi="Calibri" w:cs="Calibri"/>
          <w:noProof/>
          <w:szCs w:val="24"/>
        </w:rPr>
        <w:t>(8), 1232–1250. https://doi.org/10.1080/00140139.2013.809480</w:t>
      </w:r>
    </w:p>
    <w:p w14:paraId="131ADB7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Provan, D. J., Woods, D. D., Dekker, S. W. A., &amp; Rae, A. J. (2020). Safety II professionals: How resilience engineering can transform safety practice. </w:t>
      </w:r>
      <w:r w:rsidRPr="00EC4290">
        <w:rPr>
          <w:rFonts w:ascii="Calibri" w:hAnsi="Calibri" w:cs="Calibri"/>
          <w:i/>
          <w:iCs/>
          <w:noProof/>
          <w:szCs w:val="24"/>
        </w:rPr>
        <w:t>Reliability Engineering &amp; System Safety</w:t>
      </w:r>
      <w:r w:rsidRPr="00EC4290">
        <w:rPr>
          <w:rFonts w:ascii="Calibri" w:hAnsi="Calibri" w:cs="Calibri"/>
          <w:noProof/>
          <w:szCs w:val="24"/>
        </w:rPr>
        <w:t xml:space="preserve">, </w:t>
      </w:r>
      <w:r w:rsidRPr="00EC4290">
        <w:rPr>
          <w:rFonts w:ascii="Calibri" w:hAnsi="Calibri" w:cs="Calibri"/>
          <w:i/>
          <w:iCs/>
          <w:noProof/>
          <w:szCs w:val="24"/>
        </w:rPr>
        <w:t>195</w:t>
      </w:r>
      <w:r w:rsidRPr="00EC4290">
        <w:rPr>
          <w:rFonts w:ascii="Calibri" w:hAnsi="Calibri" w:cs="Calibri"/>
          <w:noProof/>
          <w:szCs w:val="24"/>
        </w:rPr>
        <w:t>(August 2018), 106740. https://doi.org/10.1016/j.ress.2019.106740</w:t>
      </w:r>
    </w:p>
    <w:p w14:paraId="0861024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Rasmussen, J. (1983). Skills, Rules, and Knowledge; Signals, Signs, and Symbols, and Other Distinctions in Human Performance Models. </w:t>
      </w:r>
      <w:r w:rsidRPr="00EC4290">
        <w:rPr>
          <w:rFonts w:ascii="Calibri" w:hAnsi="Calibri" w:cs="Calibri"/>
          <w:i/>
          <w:iCs/>
          <w:noProof/>
          <w:szCs w:val="24"/>
        </w:rPr>
        <w:t>IEEE Transactions on Systems, Man and Cybernetics</w:t>
      </w:r>
      <w:r w:rsidRPr="00EC4290">
        <w:rPr>
          <w:rFonts w:ascii="Calibri" w:hAnsi="Calibri" w:cs="Calibri"/>
          <w:noProof/>
          <w:szCs w:val="24"/>
        </w:rPr>
        <w:t xml:space="preserve">, </w:t>
      </w:r>
      <w:r w:rsidRPr="00EC4290">
        <w:rPr>
          <w:rFonts w:ascii="Calibri" w:hAnsi="Calibri" w:cs="Calibri"/>
          <w:i/>
          <w:iCs/>
          <w:noProof/>
          <w:szCs w:val="24"/>
        </w:rPr>
        <w:t>SMC</w:t>
      </w:r>
      <w:r w:rsidRPr="00EC4290">
        <w:rPr>
          <w:rFonts w:ascii="Calibri" w:hAnsi="Calibri" w:cs="Calibri"/>
          <w:noProof/>
          <w:szCs w:val="24"/>
        </w:rPr>
        <w:t>-</w:t>
      </w:r>
      <w:r w:rsidRPr="00EC4290">
        <w:rPr>
          <w:rFonts w:ascii="Calibri" w:hAnsi="Calibri" w:cs="Calibri"/>
          <w:i/>
          <w:iCs/>
          <w:noProof/>
          <w:szCs w:val="24"/>
        </w:rPr>
        <w:t>13</w:t>
      </w:r>
      <w:r w:rsidRPr="00EC4290">
        <w:rPr>
          <w:rFonts w:ascii="Calibri" w:hAnsi="Calibri" w:cs="Calibri"/>
          <w:noProof/>
          <w:szCs w:val="24"/>
        </w:rPr>
        <w:t>(3), 257–266. https://doi.org/10.1109/TSMC.1983.6313160</w:t>
      </w:r>
    </w:p>
    <w:p w14:paraId="0CA00B53"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Rasmussen, J., Pejtersen, A. M., &amp; Goodstein, L. (1994). </w:t>
      </w:r>
      <w:r w:rsidRPr="00EC4290">
        <w:rPr>
          <w:rFonts w:ascii="Calibri" w:hAnsi="Calibri" w:cs="Calibri"/>
          <w:i/>
          <w:iCs/>
          <w:noProof/>
          <w:szCs w:val="24"/>
        </w:rPr>
        <w:t>Cognitive Systems Engineering</w:t>
      </w:r>
      <w:r w:rsidRPr="00EC4290">
        <w:rPr>
          <w:rFonts w:ascii="Calibri" w:hAnsi="Calibri" w:cs="Calibri"/>
          <w:noProof/>
          <w:szCs w:val="24"/>
        </w:rPr>
        <w:t>. New York: Wiley &amp; Sons.</w:t>
      </w:r>
    </w:p>
    <w:p w14:paraId="72DF19D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Read, G. J. M., Salmon, P. M., Lenné, M. G., &amp; Stanton, N. A. (2015). Designing sociotechnical systems with cognitive work analysis: putting theory back into practice. </w:t>
      </w:r>
      <w:r w:rsidRPr="00EC4290">
        <w:rPr>
          <w:rFonts w:ascii="Calibri" w:hAnsi="Calibri" w:cs="Calibri"/>
          <w:i/>
          <w:iCs/>
          <w:noProof/>
          <w:szCs w:val="24"/>
        </w:rPr>
        <w:t>Ergonomics</w:t>
      </w:r>
      <w:r w:rsidRPr="00EC4290">
        <w:rPr>
          <w:rFonts w:ascii="Calibri" w:hAnsi="Calibri" w:cs="Calibri"/>
          <w:noProof/>
          <w:szCs w:val="24"/>
        </w:rPr>
        <w:t>. https://doi.org/10.1080/00140139.2014.980335</w:t>
      </w:r>
    </w:p>
    <w:p w14:paraId="73EFFB4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Reason, J. (1990). </w:t>
      </w:r>
      <w:r w:rsidRPr="00EC4290">
        <w:rPr>
          <w:rFonts w:ascii="Calibri" w:hAnsi="Calibri" w:cs="Calibri"/>
          <w:i/>
          <w:iCs/>
          <w:noProof/>
          <w:szCs w:val="24"/>
        </w:rPr>
        <w:t>Human Error</w:t>
      </w:r>
      <w:r w:rsidRPr="00EC4290">
        <w:rPr>
          <w:rFonts w:ascii="Calibri" w:hAnsi="Calibri" w:cs="Calibri"/>
          <w:noProof/>
          <w:szCs w:val="24"/>
        </w:rPr>
        <w:t>. Cambridge University Press.</w:t>
      </w:r>
    </w:p>
    <w:p w14:paraId="5888352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Reason, J., Parker, D., &amp; Lawton, R. (1998). Organizational controls and safety: The varieties of rule-related behaviour. </w:t>
      </w:r>
      <w:r w:rsidRPr="00EC4290">
        <w:rPr>
          <w:rFonts w:ascii="Calibri" w:hAnsi="Calibri" w:cs="Calibri"/>
          <w:i/>
          <w:iCs/>
          <w:noProof/>
          <w:szCs w:val="24"/>
        </w:rPr>
        <w:t>Journal of Occupational and Organizational Psychology</w:t>
      </w:r>
      <w:r w:rsidRPr="00EC4290">
        <w:rPr>
          <w:rFonts w:ascii="Calibri" w:hAnsi="Calibri" w:cs="Calibri"/>
          <w:noProof/>
          <w:szCs w:val="24"/>
        </w:rPr>
        <w:t xml:space="preserve">, </w:t>
      </w:r>
      <w:r w:rsidRPr="00EC4290">
        <w:rPr>
          <w:rFonts w:ascii="Calibri" w:hAnsi="Calibri" w:cs="Calibri"/>
          <w:i/>
          <w:iCs/>
          <w:noProof/>
          <w:szCs w:val="24"/>
        </w:rPr>
        <w:t>71</w:t>
      </w:r>
      <w:r w:rsidRPr="00EC4290">
        <w:rPr>
          <w:rFonts w:ascii="Calibri" w:hAnsi="Calibri" w:cs="Calibri"/>
          <w:noProof/>
          <w:szCs w:val="24"/>
        </w:rPr>
        <w:t>(4), 289–304. https://doi.org/10.1111/j.2044-8325.1998.tb00678.x</w:t>
      </w:r>
    </w:p>
    <w:p w14:paraId="7C6BE8F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Reiman, T., Rollenhagen, C., Pietikäinen, E., &amp; Heikkilä, J. (2015). Principles of adaptive management in complex safety-critical organizations.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71</w:t>
      </w:r>
      <w:r w:rsidRPr="00EC4290">
        <w:rPr>
          <w:rFonts w:ascii="Calibri" w:hAnsi="Calibri" w:cs="Calibri"/>
          <w:noProof/>
          <w:szCs w:val="24"/>
        </w:rPr>
        <w:t>(PB), 80–92. https://doi.org/10.1016/j.ssci.2014.07.021</w:t>
      </w:r>
    </w:p>
    <w:p w14:paraId="52D536B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Rochlin, G. I. (1999). Safe operation as a social construct.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42</w:t>
      </w:r>
      <w:r w:rsidRPr="00EC4290">
        <w:rPr>
          <w:rFonts w:ascii="Calibri" w:hAnsi="Calibri" w:cs="Calibri"/>
          <w:noProof/>
          <w:szCs w:val="24"/>
        </w:rPr>
        <w:t>(11), 1549–1560. https://doi.org/10.1080/001401399184884</w:t>
      </w:r>
    </w:p>
    <w:p w14:paraId="58A1661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Rose, J. A., &amp; Bearman, C. (2012). Making effective use of task analysis to identify human factors issues in new rail technology.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43</w:t>
      </w:r>
      <w:r w:rsidRPr="00EC4290">
        <w:rPr>
          <w:rFonts w:ascii="Calibri" w:hAnsi="Calibri" w:cs="Calibri"/>
          <w:noProof/>
          <w:szCs w:val="24"/>
        </w:rPr>
        <w:t>(3). https://doi.org/10.1016/j.apergo.2011.09.005</w:t>
      </w:r>
    </w:p>
    <w:p w14:paraId="42D68F7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Salmon, P. M., Walker, G. H., Gemma, G. J., Goode, N., &amp; Stanton, N. A. (2017). Fitting methods to paradigms: are ergonomics methods fit for systems thinking?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60</w:t>
      </w:r>
      <w:r w:rsidRPr="00EC4290">
        <w:rPr>
          <w:rFonts w:ascii="Calibri" w:hAnsi="Calibri" w:cs="Calibri"/>
          <w:noProof/>
          <w:szCs w:val="24"/>
        </w:rPr>
        <w:t>(2), 194–205. https://doi.org/10.1080/00140139.2015.1103385</w:t>
      </w:r>
    </w:p>
    <w:p w14:paraId="3C4AC5E3"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Schraagen, J. M., Chipman, S. F., &amp; Shalin, V. L. (Eds.). (2000). </w:t>
      </w:r>
      <w:r w:rsidRPr="00EC4290">
        <w:rPr>
          <w:rFonts w:ascii="Calibri" w:hAnsi="Calibri" w:cs="Calibri"/>
          <w:i/>
          <w:iCs/>
          <w:noProof/>
          <w:szCs w:val="24"/>
        </w:rPr>
        <w:t>Cognitive Task Analysis</w:t>
      </w:r>
      <w:r w:rsidRPr="00EC4290">
        <w:rPr>
          <w:rFonts w:ascii="Calibri" w:hAnsi="Calibri" w:cs="Calibri"/>
          <w:noProof/>
          <w:szCs w:val="24"/>
        </w:rPr>
        <w:t>. Psychology Press.</w:t>
      </w:r>
    </w:p>
    <w:p w14:paraId="1B966065"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Shappell, S. a, &amp; Wiegmann, D. a. (2000). </w:t>
      </w:r>
      <w:r w:rsidRPr="00EC4290">
        <w:rPr>
          <w:rFonts w:ascii="Calibri" w:hAnsi="Calibri" w:cs="Calibri"/>
          <w:i/>
          <w:iCs/>
          <w:noProof/>
          <w:szCs w:val="24"/>
        </w:rPr>
        <w:t>The Human Factors Analysis and Classification System – HFACS</w:t>
      </w:r>
      <w:r w:rsidRPr="00EC4290">
        <w:rPr>
          <w:rFonts w:ascii="Calibri" w:hAnsi="Calibri" w:cs="Calibri"/>
          <w:noProof/>
          <w:szCs w:val="24"/>
        </w:rPr>
        <w:t xml:space="preserve">. </w:t>
      </w:r>
      <w:r w:rsidRPr="00EC4290">
        <w:rPr>
          <w:rFonts w:ascii="Calibri" w:hAnsi="Calibri" w:cs="Calibri"/>
          <w:i/>
          <w:iCs/>
          <w:noProof/>
          <w:szCs w:val="24"/>
        </w:rPr>
        <w:t>USDOT/FAA/AM-00/7 Office of Aviation Medicine</w:t>
      </w:r>
      <w:r w:rsidRPr="00EC4290">
        <w:rPr>
          <w:rFonts w:ascii="Calibri" w:hAnsi="Calibri" w:cs="Calibri"/>
          <w:noProof/>
          <w:szCs w:val="24"/>
        </w:rPr>
        <w:t>. https://doi.org/10.1177/1062860613491623</w:t>
      </w:r>
    </w:p>
    <w:p w14:paraId="72FCCEBE"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Shappell, S., &amp; Wiegmann, D. (2009). A methodology for assessing safety programs targeting human error in aviation. </w:t>
      </w:r>
      <w:r w:rsidRPr="00EC4290">
        <w:rPr>
          <w:rFonts w:ascii="Calibri" w:hAnsi="Calibri" w:cs="Calibri"/>
          <w:i/>
          <w:iCs/>
          <w:noProof/>
          <w:szCs w:val="24"/>
        </w:rPr>
        <w:t>International Journal of Aviation Psychology</w:t>
      </w:r>
      <w:r w:rsidRPr="00EC4290">
        <w:rPr>
          <w:rFonts w:ascii="Calibri" w:hAnsi="Calibri" w:cs="Calibri"/>
          <w:noProof/>
          <w:szCs w:val="24"/>
        </w:rPr>
        <w:t xml:space="preserve">, </w:t>
      </w:r>
      <w:r w:rsidRPr="00EC4290">
        <w:rPr>
          <w:rFonts w:ascii="Calibri" w:hAnsi="Calibri" w:cs="Calibri"/>
          <w:i/>
          <w:iCs/>
          <w:noProof/>
          <w:szCs w:val="24"/>
        </w:rPr>
        <w:t>19</w:t>
      </w:r>
      <w:r w:rsidRPr="00EC4290">
        <w:rPr>
          <w:rFonts w:ascii="Calibri" w:hAnsi="Calibri" w:cs="Calibri"/>
          <w:noProof/>
          <w:szCs w:val="24"/>
        </w:rPr>
        <w:t xml:space="preserve">(3), 252–269. </w:t>
      </w:r>
      <w:r w:rsidRPr="00EC4290">
        <w:rPr>
          <w:rFonts w:ascii="Calibri" w:hAnsi="Calibri" w:cs="Calibri"/>
          <w:noProof/>
          <w:szCs w:val="24"/>
        </w:rPr>
        <w:lastRenderedPageBreak/>
        <w:t>https://doi.org/10.1080/10508410902983904</w:t>
      </w:r>
    </w:p>
    <w:p w14:paraId="679436DF"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(2006). Hierarchical task analysis: Developments, applications, and extensions.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37</w:t>
      </w:r>
      <w:r w:rsidRPr="00EC4290">
        <w:rPr>
          <w:rFonts w:ascii="Calibri" w:hAnsi="Calibri" w:cs="Calibri"/>
          <w:noProof/>
          <w:szCs w:val="24"/>
        </w:rPr>
        <w:t>(1 SPEC. ISS.), 55–79. https://doi.org/10.1016/j.apergo.2005.06.003</w:t>
      </w:r>
    </w:p>
    <w:p w14:paraId="3C09FFE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(2014). Representing distributed cognition in complex systems: How a submarine returns to periscope depth. </w:t>
      </w:r>
      <w:r w:rsidRPr="00EC4290">
        <w:rPr>
          <w:rFonts w:ascii="Calibri" w:hAnsi="Calibri" w:cs="Calibri"/>
          <w:i/>
          <w:iCs/>
          <w:noProof/>
          <w:szCs w:val="24"/>
        </w:rPr>
        <w:t>Ergonomics</w:t>
      </w:r>
      <w:r w:rsidRPr="00EC4290">
        <w:rPr>
          <w:rFonts w:ascii="Calibri" w:hAnsi="Calibri" w:cs="Calibri"/>
          <w:noProof/>
          <w:szCs w:val="24"/>
        </w:rPr>
        <w:t>. https://doi.org/10.1080/00140139.2013.772244</w:t>
      </w:r>
    </w:p>
    <w:p w14:paraId="66ABE4B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(2016). On the reliability and validity of, and training in, ergonomics methods: a challenge revisited. </w:t>
      </w:r>
      <w:r w:rsidRPr="00EC4290">
        <w:rPr>
          <w:rFonts w:ascii="Calibri" w:hAnsi="Calibri" w:cs="Calibri"/>
          <w:i/>
          <w:iCs/>
          <w:noProof/>
          <w:szCs w:val="24"/>
        </w:rPr>
        <w:t>Theoretical Issues in Ergonomics Science</w:t>
      </w:r>
      <w:r w:rsidRPr="00EC4290">
        <w:rPr>
          <w:rFonts w:ascii="Calibri" w:hAnsi="Calibri" w:cs="Calibri"/>
          <w:noProof/>
          <w:szCs w:val="24"/>
        </w:rPr>
        <w:t xml:space="preserve">, </w:t>
      </w:r>
      <w:r w:rsidRPr="00EC4290">
        <w:rPr>
          <w:rFonts w:ascii="Calibri" w:hAnsi="Calibri" w:cs="Calibri"/>
          <w:i/>
          <w:iCs/>
          <w:noProof/>
          <w:szCs w:val="24"/>
        </w:rPr>
        <w:t>17</w:t>
      </w:r>
      <w:r w:rsidRPr="00EC4290">
        <w:rPr>
          <w:rFonts w:ascii="Calibri" w:hAnsi="Calibri" w:cs="Calibri"/>
          <w:noProof/>
          <w:szCs w:val="24"/>
        </w:rPr>
        <w:t>(4), 345–353. https://doi.org/10.1080/1463922X.2015.1117688</w:t>
      </w:r>
    </w:p>
    <w:p w14:paraId="6B71199D"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Baber, C., &amp; Harris, D. (2008). </w:t>
      </w:r>
      <w:r w:rsidRPr="00EC4290">
        <w:rPr>
          <w:rFonts w:ascii="Calibri" w:hAnsi="Calibri" w:cs="Calibri"/>
          <w:i/>
          <w:iCs/>
          <w:noProof/>
          <w:szCs w:val="24"/>
        </w:rPr>
        <w:t>Modelling command and control: Event analysis of systemic teamwork</w:t>
      </w:r>
      <w:r w:rsidRPr="00EC4290">
        <w:rPr>
          <w:rFonts w:ascii="Calibri" w:hAnsi="Calibri" w:cs="Calibri"/>
          <w:noProof/>
          <w:szCs w:val="24"/>
        </w:rPr>
        <w:t xml:space="preserve">. </w:t>
      </w:r>
      <w:r w:rsidRPr="00EC4290">
        <w:rPr>
          <w:rFonts w:ascii="Calibri" w:hAnsi="Calibri" w:cs="Calibri"/>
          <w:i/>
          <w:iCs/>
          <w:noProof/>
          <w:szCs w:val="24"/>
        </w:rPr>
        <w:t>Modelling Command and Control: Event Analysis of Systemic Teamwork</w:t>
      </w:r>
      <w:r w:rsidRPr="00EC4290">
        <w:rPr>
          <w:rFonts w:ascii="Calibri" w:hAnsi="Calibri" w:cs="Calibri"/>
          <w:noProof/>
          <w:szCs w:val="24"/>
        </w:rPr>
        <w:t>. https://doi.org/10.1080/00140130902924196</w:t>
      </w:r>
    </w:p>
    <w:p w14:paraId="6CF0888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&amp; Harvey, C. (2017). Beyond human error taxonomies in assessment of risk in sociotechnical systems: a new paradigm with the EAST ‘broken-links’ approach.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60</w:t>
      </w:r>
      <w:r w:rsidRPr="00EC4290">
        <w:rPr>
          <w:rFonts w:ascii="Calibri" w:hAnsi="Calibri" w:cs="Calibri"/>
          <w:noProof/>
          <w:szCs w:val="24"/>
        </w:rPr>
        <w:t>(2), 221–233. https://doi.org/10.1080/00140139.2016.1232841</w:t>
      </w:r>
    </w:p>
    <w:p w14:paraId="62B2A3D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Salmon, P., Harris, D., Marshall, A., Demagalski, J., Young, M. S., … Dekker, S. (2009). Predicting pilot error: Testing a new methodology and a multi-methods and analysts approach. </w:t>
      </w:r>
      <w:r w:rsidRPr="00EC4290">
        <w:rPr>
          <w:rFonts w:ascii="Calibri" w:hAnsi="Calibri" w:cs="Calibri"/>
          <w:i/>
          <w:iCs/>
          <w:noProof/>
          <w:szCs w:val="24"/>
        </w:rPr>
        <w:t>Applied Ergonomics</w:t>
      </w:r>
      <w:r w:rsidRPr="00EC4290">
        <w:rPr>
          <w:rFonts w:ascii="Calibri" w:hAnsi="Calibri" w:cs="Calibri"/>
          <w:noProof/>
          <w:szCs w:val="24"/>
        </w:rPr>
        <w:t xml:space="preserve">, </w:t>
      </w:r>
      <w:r w:rsidRPr="00EC4290">
        <w:rPr>
          <w:rFonts w:ascii="Calibri" w:hAnsi="Calibri" w:cs="Calibri"/>
          <w:i/>
          <w:iCs/>
          <w:noProof/>
          <w:szCs w:val="24"/>
        </w:rPr>
        <w:t>40</w:t>
      </w:r>
      <w:r w:rsidRPr="00EC4290">
        <w:rPr>
          <w:rFonts w:ascii="Calibri" w:hAnsi="Calibri" w:cs="Calibri"/>
          <w:noProof/>
          <w:szCs w:val="24"/>
        </w:rPr>
        <w:t>(3), 464–471. https://doi.org/10.1016/j.apergo.2008.10.005</w:t>
      </w:r>
    </w:p>
    <w:p w14:paraId="7A447898"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Salmon, P. M., Rafferty, L. A., Walker, G. H., Baber, C., &amp; Jenkins, D. P. (2013). </w:t>
      </w:r>
      <w:r w:rsidRPr="00EC4290">
        <w:rPr>
          <w:rFonts w:ascii="Calibri" w:hAnsi="Calibri" w:cs="Calibri"/>
          <w:i/>
          <w:iCs/>
          <w:noProof/>
          <w:szCs w:val="24"/>
        </w:rPr>
        <w:t>Human factors methods: A practical guide for engineering and design, 2nd edition</w:t>
      </w:r>
      <w:r w:rsidRPr="00EC4290">
        <w:rPr>
          <w:rFonts w:ascii="Calibri" w:hAnsi="Calibri" w:cs="Calibri"/>
          <w:noProof/>
          <w:szCs w:val="24"/>
        </w:rPr>
        <w:t xml:space="preserve">. </w:t>
      </w:r>
      <w:r w:rsidRPr="00EC4290">
        <w:rPr>
          <w:rFonts w:ascii="Calibri" w:hAnsi="Calibri" w:cs="Calibri"/>
          <w:i/>
          <w:iCs/>
          <w:noProof/>
          <w:szCs w:val="24"/>
        </w:rPr>
        <w:t>Human Factors Methods: A Practical Guide for Engineering and Design, 2nd Edition</w:t>
      </w:r>
      <w:r w:rsidRPr="00EC4290">
        <w:rPr>
          <w:rFonts w:ascii="Calibri" w:hAnsi="Calibri" w:cs="Calibri"/>
          <w:noProof/>
          <w:szCs w:val="24"/>
        </w:rPr>
        <w:t>. Ashgate Publishing Ltd. https://doi.org/10.1080/00140139.2014.948659</w:t>
      </w:r>
    </w:p>
    <w:p w14:paraId="2FD36B56"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Salmon, P. M., &amp; Walker, G. H. (2018). </w:t>
      </w:r>
      <w:r w:rsidRPr="00EC4290">
        <w:rPr>
          <w:rFonts w:ascii="Calibri" w:hAnsi="Calibri" w:cs="Calibri"/>
          <w:i/>
          <w:iCs/>
          <w:noProof/>
          <w:szCs w:val="24"/>
        </w:rPr>
        <w:t>Systems thinking in practice: Applications of the Event Analysis of Systemic Teamwork Method</w:t>
      </w:r>
      <w:r w:rsidRPr="00EC4290">
        <w:rPr>
          <w:rFonts w:ascii="Calibri" w:hAnsi="Calibri" w:cs="Calibri"/>
          <w:noProof/>
          <w:szCs w:val="24"/>
        </w:rPr>
        <w:t>. CRC Press Taylor &amp; Francis Group.</w:t>
      </w:r>
    </w:p>
    <w:p w14:paraId="5CC98F7E"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Salmon, P. M., Walker, G. H., &amp; Stanton, M. (2019). Models and methods for collision analysis: A comparison study based on the Uber collision with a pedestrian. </w:t>
      </w:r>
      <w:r w:rsidRPr="00EC4290">
        <w:rPr>
          <w:rFonts w:ascii="Calibri" w:hAnsi="Calibri" w:cs="Calibri"/>
          <w:i/>
          <w:iCs/>
          <w:noProof/>
          <w:szCs w:val="24"/>
        </w:rPr>
        <w:t>Safety Science</w:t>
      </w:r>
      <w:r w:rsidRPr="00EC4290">
        <w:rPr>
          <w:rFonts w:ascii="Calibri" w:hAnsi="Calibri" w:cs="Calibri"/>
          <w:noProof/>
          <w:szCs w:val="24"/>
        </w:rPr>
        <w:t xml:space="preserve">, </w:t>
      </w:r>
      <w:r w:rsidRPr="00EC4290">
        <w:rPr>
          <w:rFonts w:ascii="Calibri" w:hAnsi="Calibri" w:cs="Calibri"/>
          <w:i/>
          <w:iCs/>
          <w:noProof/>
          <w:szCs w:val="24"/>
        </w:rPr>
        <w:t>120</w:t>
      </w:r>
      <w:r w:rsidRPr="00EC4290">
        <w:rPr>
          <w:rFonts w:ascii="Calibri" w:hAnsi="Calibri" w:cs="Calibri"/>
          <w:noProof/>
          <w:szCs w:val="24"/>
        </w:rPr>
        <w:t>(February), 117–128. https://doi.org/10.1016/j.ssci.2019.06.008</w:t>
      </w:r>
    </w:p>
    <w:p w14:paraId="3B92B907"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Stanton, N. A., &amp; Young, M. S. (1999). What price ergonomics. </w:t>
      </w:r>
      <w:r w:rsidRPr="00EC4290">
        <w:rPr>
          <w:rFonts w:ascii="Calibri" w:hAnsi="Calibri" w:cs="Calibri"/>
          <w:i/>
          <w:iCs/>
          <w:noProof/>
          <w:szCs w:val="24"/>
        </w:rPr>
        <w:t>Nature</w:t>
      </w:r>
      <w:r w:rsidRPr="00EC4290">
        <w:rPr>
          <w:rFonts w:ascii="Calibri" w:hAnsi="Calibri" w:cs="Calibri"/>
          <w:noProof/>
          <w:szCs w:val="24"/>
        </w:rPr>
        <w:t xml:space="preserve">, </w:t>
      </w:r>
      <w:r w:rsidRPr="00EC4290">
        <w:rPr>
          <w:rFonts w:ascii="Calibri" w:hAnsi="Calibri" w:cs="Calibri"/>
          <w:i/>
          <w:iCs/>
          <w:noProof/>
          <w:szCs w:val="24"/>
        </w:rPr>
        <w:t>399</w:t>
      </w:r>
      <w:r w:rsidRPr="00EC4290">
        <w:rPr>
          <w:rFonts w:ascii="Calibri" w:hAnsi="Calibri" w:cs="Calibri"/>
          <w:noProof/>
          <w:szCs w:val="24"/>
        </w:rPr>
        <w:t>(6733), 197–198. https://doi.org/10.1038/20298</w:t>
      </w:r>
    </w:p>
    <w:p w14:paraId="06D11CB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Underwood, P., &amp; Waterson, P. (2013). Systemic accident analysis: Examining the gap between research and practice. </w:t>
      </w:r>
      <w:r w:rsidRPr="00EC4290">
        <w:rPr>
          <w:rFonts w:ascii="Calibri" w:hAnsi="Calibri" w:cs="Calibri"/>
          <w:i/>
          <w:iCs/>
          <w:noProof/>
          <w:szCs w:val="24"/>
        </w:rPr>
        <w:t>Accident Analysis and Prevention</w:t>
      </w:r>
      <w:r w:rsidRPr="00EC4290">
        <w:rPr>
          <w:rFonts w:ascii="Calibri" w:hAnsi="Calibri" w:cs="Calibri"/>
          <w:noProof/>
          <w:szCs w:val="24"/>
        </w:rPr>
        <w:t xml:space="preserve">, </w:t>
      </w:r>
      <w:r w:rsidRPr="00EC4290">
        <w:rPr>
          <w:rFonts w:ascii="Calibri" w:hAnsi="Calibri" w:cs="Calibri"/>
          <w:i/>
          <w:iCs/>
          <w:noProof/>
          <w:szCs w:val="24"/>
        </w:rPr>
        <w:t>55</w:t>
      </w:r>
      <w:r w:rsidRPr="00EC4290">
        <w:rPr>
          <w:rFonts w:ascii="Calibri" w:hAnsi="Calibri" w:cs="Calibri"/>
          <w:noProof/>
          <w:szCs w:val="24"/>
        </w:rPr>
        <w:t>, 154–164. https://doi.org/10.1016/j.aap.2013.02.041</w:t>
      </w:r>
    </w:p>
    <w:p w14:paraId="1F480DF3"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Vicente, K. J. (1999). </w:t>
      </w:r>
      <w:r w:rsidRPr="00EC4290">
        <w:rPr>
          <w:rFonts w:ascii="Calibri" w:hAnsi="Calibri" w:cs="Calibri"/>
          <w:i/>
          <w:iCs/>
          <w:noProof/>
          <w:szCs w:val="24"/>
        </w:rPr>
        <w:t>Cognitive Work Analysis: Towards Safe, Productive and Healthy Computer-Based Work</w:t>
      </w:r>
      <w:r w:rsidRPr="00EC4290">
        <w:rPr>
          <w:rFonts w:ascii="Calibri" w:hAnsi="Calibri" w:cs="Calibri"/>
          <w:noProof/>
          <w:szCs w:val="24"/>
        </w:rPr>
        <w:t xml:space="preserve">. </w:t>
      </w:r>
      <w:r w:rsidRPr="00EC4290">
        <w:rPr>
          <w:rFonts w:ascii="Calibri" w:hAnsi="Calibri" w:cs="Calibri"/>
          <w:i/>
          <w:iCs/>
          <w:noProof/>
          <w:szCs w:val="24"/>
        </w:rPr>
        <w:t>Cognitive Work Analysis</w:t>
      </w:r>
      <w:r w:rsidRPr="00EC4290">
        <w:rPr>
          <w:rFonts w:ascii="Calibri" w:hAnsi="Calibri" w:cs="Calibri"/>
          <w:noProof/>
          <w:szCs w:val="24"/>
        </w:rPr>
        <w:t>. Boca Raton: CRC Press. https://doi.org/10.1201/b12457</w:t>
      </w:r>
    </w:p>
    <w:p w14:paraId="2A4BD8D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Walker, G. H., Stanton, N. A., Baber, C., Wells, L., Gibson, H., Salmon, P., &amp; Jenkins, D. (2010). From ethnography to the east method: A tractable approach for representing distributed cognition in air traffic control.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53</w:t>
      </w:r>
      <w:r w:rsidRPr="00EC4290">
        <w:rPr>
          <w:rFonts w:ascii="Calibri" w:hAnsi="Calibri" w:cs="Calibri"/>
          <w:noProof/>
          <w:szCs w:val="24"/>
        </w:rPr>
        <w:t>(2), 184–197. https://doi.org/10.1080/00140130903171672</w:t>
      </w:r>
    </w:p>
    <w:p w14:paraId="3ACAF82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Waterson, P., Robertson, M. M., Cooke, N. J., Militello, L., Roth, E., &amp; Stanton, N. A. (2015). Defining the methodological challenges and opportunities for an effective science of sociotechnical systems and safety. </w:t>
      </w:r>
      <w:r w:rsidRPr="00EC4290">
        <w:rPr>
          <w:rFonts w:ascii="Calibri" w:hAnsi="Calibri" w:cs="Calibri"/>
          <w:i/>
          <w:iCs/>
          <w:noProof/>
          <w:szCs w:val="24"/>
        </w:rPr>
        <w:t>Ergonomics</w:t>
      </w:r>
      <w:r w:rsidRPr="00EC4290">
        <w:rPr>
          <w:rFonts w:ascii="Calibri" w:hAnsi="Calibri" w:cs="Calibri"/>
          <w:noProof/>
          <w:szCs w:val="24"/>
        </w:rPr>
        <w:t xml:space="preserve">, </w:t>
      </w:r>
      <w:r w:rsidRPr="00EC4290">
        <w:rPr>
          <w:rFonts w:ascii="Calibri" w:hAnsi="Calibri" w:cs="Calibri"/>
          <w:i/>
          <w:iCs/>
          <w:noProof/>
          <w:szCs w:val="24"/>
        </w:rPr>
        <w:t>58</w:t>
      </w:r>
      <w:r w:rsidRPr="00EC4290">
        <w:rPr>
          <w:rFonts w:ascii="Calibri" w:hAnsi="Calibri" w:cs="Calibri"/>
          <w:noProof/>
          <w:szCs w:val="24"/>
        </w:rPr>
        <w:t>(4), 565–599. https://doi.org/10.1080/00140139.2015.1015622</w:t>
      </w:r>
    </w:p>
    <w:p w14:paraId="179F3C5A"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Weick, K. E., &amp; Sutcliffe, K. M. (2015). </w:t>
      </w:r>
      <w:r w:rsidRPr="00EC4290">
        <w:rPr>
          <w:rFonts w:ascii="Calibri" w:hAnsi="Calibri" w:cs="Calibri"/>
          <w:i/>
          <w:iCs/>
          <w:noProof/>
          <w:szCs w:val="24"/>
        </w:rPr>
        <w:t>Managing the unexpected : sustained performance in a complex world</w:t>
      </w:r>
      <w:r w:rsidRPr="00EC4290">
        <w:rPr>
          <w:rFonts w:ascii="Calibri" w:hAnsi="Calibri" w:cs="Calibri"/>
          <w:noProof/>
          <w:szCs w:val="24"/>
        </w:rPr>
        <w:t xml:space="preserve"> (3rd ed.). John Wiley &amp; Sons.</w:t>
      </w:r>
    </w:p>
    <w:p w14:paraId="52DAFB0C"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lastRenderedPageBreak/>
        <w:t xml:space="preserve">Wiegmann, D. A., &amp; Shappell, S. A. (2012). </w:t>
      </w:r>
      <w:r w:rsidRPr="00EC4290">
        <w:rPr>
          <w:rFonts w:ascii="Calibri" w:hAnsi="Calibri" w:cs="Calibri"/>
          <w:i/>
          <w:iCs/>
          <w:noProof/>
          <w:szCs w:val="24"/>
        </w:rPr>
        <w:t>A human error approach to aviation accident analysis: The human factors analysis and classification system</w:t>
      </w:r>
      <w:r w:rsidRPr="00EC4290">
        <w:rPr>
          <w:rFonts w:ascii="Calibri" w:hAnsi="Calibri" w:cs="Calibri"/>
          <w:noProof/>
          <w:szCs w:val="24"/>
        </w:rPr>
        <w:t xml:space="preserve">. </w:t>
      </w:r>
      <w:r w:rsidRPr="00EC4290">
        <w:rPr>
          <w:rFonts w:ascii="Calibri" w:hAnsi="Calibri" w:cs="Calibri"/>
          <w:i/>
          <w:iCs/>
          <w:noProof/>
          <w:szCs w:val="24"/>
        </w:rPr>
        <w:t>A Human Error Approach to Aviation Accident Analysis: The Human Factors Analysis and Classification System</w:t>
      </w:r>
      <w:r w:rsidRPr="00EC4290">
        <w:rPr>
          <w:rFonts w:ascii="Calibri" w:hAnsi="Calibri" w:cs="Calibri"/>
          <w:noProof/>
          <w:szCs w:val="24"/>
        </w:rPr>
        <w:t>.</w:t>
      </w:r>
    </w:p>
    <w:p w14:paraId="35DDD799"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szCs w:val="24"/>
        </w:rPr>
      </w:pPr>
      <w:r w:rsidRPr="00EC4290">
        <w:rPr>
          <w:rFonts w:ascii="Calibri" w:hAnsi="Calibri" w:cs="Calibri"/>
          <w:noProof/>
          <w:szCs w:val="24"/>
        </w:rPr>
        <w:t xml:space="preserve">Wong, B. L. W. (2004). Data Analysis for the Critical Decision Method. In D. Diaper &amp; N. Stanton (Eds.), </w:t>
      </w:r>
      <w:r w:rsidRPr="00EC4290">
        <w:rPr>
          <w:rFonts w:ascii="Calibri" w:hAnsi="Calibri" w:cs="Calibri"/>
          <w:i/>
          <w:iCs/>
          <w:noProof/>
          <w:szCs w:val="24"/>
        </w:rPr>
        <w:t>The Handbook of Task Analysis for Human-Computer Interaction</w:t>
      </w:r>
      <w:r w:rsidRPr="00EC4290">
        <w:rPr>
          <w:rFonts w:ascii="Calibri" w:hAnsi="Calibri" w:cs="Calibri"/>
          <w:noProof/>
          <w:szCs w:val="24"/>
        </w:rPr>
        <w:t xml:space="preserve"> (pp. 327–345). London: Lawrence Erlbaum.</w:t>
      </w:r>
    </w:p>
    <w:p w14:paraId="1AA4D310" w14:textId="77777777" w:rsidR="00EC4290" w:rsidRPr="00EC4290" w:rsidRDefault="00EC4290" w:rsidP="00EC4290">
      <w:pPr>
        <w:widowControl w:val="0"/>
        <w:autoSpaceDE w:val="0"/>
        <w:autoSpaceDN w:val="0"/>
        <w:adjustRightInd w:val="0"/>
        <w:spacing w:line="240" w:lineRule="auto"/>
        <w:ind w:left="480" w:hanging="480"/>
        <w:rPr>
          <w:rFonts w:ascii="Calibri" w:hAnsi="Calibri" w:cs="Calibri"/>
          <w:noProof/>
        </w:rPr>
      </w:pPr>
      <w:r w:rsidRPr="00EC4290">
        <w:rPr>
          <w:rFonts w:ascii="Calibri" w:hAnsi="Calibri" w:cs="Calibri"/>
          <w:noProof/>
          <w:szCs w:val="24"/>
        </w:rPr>
        <w:t xml:space="preserve">Zhang, Y., Dong, C., Guo, W., Dai, J., &amp; Zhao, Z. (2021). Systems theoretic accident model and process (STAMP): A literature review. </w:t>
      </w:r>
      <w:r w:rsidRPr="00EC4290">
        <w:rPr>
          <w:rFonts w:ascii="Calibri" w:hAnsi="Calibri" w:cs="Calibri"/>
          <w:i/>
          <w:iCs/>
          <w:noProof/>
          <w:szCs w:val="24"/>
        </w:rPr>
        <w:t>Safety Science</w:t>
      </w:r>
      <w:r w:rsidRPr="00EC4290">
        <w:rPr>
          <w:rFonts w:ascii="Calibri" w:hAnsi="Calibri" w:cs="Calibri"/>
          <w:noProof/>
          <w:szCs w:val="24"/>
        </w:rPr>
        <w:t>, (November), 105596. https://doi.org/10.1016/j.ssci.2021.105596</w:t>
      </w:r>
    </w:p>
    <w:p w14:paraId="4D7588D6" w14:textId="481E5E4A" w:rsidR="006D6DAE" w:rsidRDefault="00657B0B" w:rsidP="006D6DAE">
      <w:r>
        <w:fldChar w:fldCharType="end"/>
      </w:r>
    </w:p>
    <w:p w14:paraId="03ACE9F1" w14:textId="77777777" w:rsidR="00914EA9" w:rsidRDefault="00914EA9" w:rsidP="00AD1BFC">
      <w:pPr>
        <w:pStyle w:val="Heading1"/>
        <w:numPr>
          <w:ilvl w:val="0"/>
          <w:numId w:val="0"/>
        </w:numPr>
        <w:ind w:left="432" w:hanging="432"/>
      </w:pPr>
      <w:r>
        <w:br w:type="page"/>
      </w:r>
    </w:p>
    <w:p w14:paraId="3736A813" w14:textId="2BFC2890" w:rsidR="006D6DAE" w:rsidRPr="006D6DAE" w:rsidRDefault="006D6DAE" w:rsidP="00AD1BFC">
      <w:pPr>
        <w:pStyle w:val="Heading1"/>
        <w:numPr>
          <w:ilvl w:val="0"/>
          <w:numId w:val="0"/>
        </w:numPr>
        <w:ind w:left="432" w:hanging="432"/>
      </w:pPr>
      <w:r>
        <w:lastRenderedPageBreak/>
        <w:t>Appendix</w:t>
      </w:r>
      <w:r w:rsidR="00741CA0">
        <w:t xml:space="preserve"> 1</w:t>
      </w:r>
      <w:r w:rsidR="00A23BEE">
        <w:t xml:space="preserve">: Adaptation Model </w:t>
      </w:r>
      <w:r w:rsidR="00256216">
        <w:t>Factors</w:t>
      </w:r>
    </w:p>
    <w:p w14:paraId="0BD5B057" w14:textId="20B2CF25" w:rsidR="00D96C21" w:rsidRDefault="00D96C21" w:rsidP="00D96C21">
      <w:pPr>
        <w:pStyle w:val="Caption"/>
      </w:pPr>
      <w:bookmarkStart w:id="18" w:name="_Ref37402231"/>
      <w:r>
        <w:t xml:space="preserve">Table </w:t>
      </w:r>
      <w:r w:rsidR="00881249">
        <w:fldChar w:fldCharType="begin"/>
      </w:r>
      <w:r w:rsidR="00881249">
        <w:instrText xml:space="preserve"> SEQ Table \* ARABIC </w:instrText>
      </w:r>
      <w:r w:rsidR="00881249">
        <w:fldChar w:fldCharType="separate"/>
      </w:r>
      <w:r w:rsidR="008D1C05">
        <w:rPr>
          <w:noProof/>
        </w:rPr>
        <w:t>6</w:t>
      </w:r>
      <w:r w:rsidR="00881249">
        <w:rPr>
          <w:noProof/>
        </w:rPr>
        <w:fldChar w:fldCharType="end"/>
      </w:r>
      <w:bookmarkEnd w:id="18"/>
      <w:r>
        <w:t>: Adaptation Model Factor Summaries</w:t>
      </w:r>
    </w:p>
    <w:tbl>
      <w:tblPr>
        <w:tblStyle w:val="GridTable41"/>
        <w:tblW w:w="0" w:type="auto"/>
        <w:tblLook w:val="06A0" w:firstRow="1" w:lastRow="0" w:firstColumn="1" w:lastColumn="0" w:noHBand="1" w:noVBand="1"/>
      </w:tblPr>
      <w:tblGrid>
        <w:gridCol w:w="1696"/>
        <w:gridCol w:w="7320"/>
      </w:tblGrid>
      <w:tr w:rsidR="00D96C21" w14:paraId="6D29FB72" w14:textId="77777777" w:rsidTr="00E6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DABED7" w14:textId="77777777" w:rsidR="00D96C21" w:rsidRDefault="00D96C21" w:rsidP="00E638DE">
            <w:r>
              <w:t>Adaptation Factor</w:t>
            </w:r>
          </w:p>
        </w:tc>
        <w:tc>
          <w:tcPr>
            <w:tcW w:w="7320" w:type="dxa"/>
          </w:tcPr>
          <w:p w14:paraId="25D811A7" w14:textId="77777777" w:rsidR="00D96C21" w:rsidRDefault="00D96C21" w:rsidP="00E638DE">
            <w:pPr>
              <w:cnfStyle w:val="100000000000" w:firstRow="1" w:lastRow="0" w:firstColumn="0" w:lastColumn="0" w:oddVBand="0" w:evenVBand="0" w:oddHBand="0" w:evenHBand="0" w:firstRowFirstColumn="0" w:firstRowLastColumn="0" w:lastRowFirstColumn="0" w:lastRowLastColumn="0"/>
            </w:pPr>
            <w:r>
              <w:t>Summary</w:t>
            </w:r>
          </w:p>
        </w:tc>
      </w:tr>
      <w:tr w:rsidR="00D96C21" w14:paraId="71DE6E37"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7EA04510" w14:textId="77777777" w:rsidR="00D96C21" w:rsidRDefault="00D96C21" w:rsidP="00E638DE">
            <w:r>
              <w:t>Using Experience</w:t>
            </w:r>
          </w:p>
        </w:tc>
        <w:tc>
          <w:tcPr>
            <w:tcW w:w="7320" w:type="dxa"/>
          </w:tcPr>
          <w:p w14:paraId="6586725E"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The capability of individuals to adapt in the complex work environment implies a certain level of experience in the system. Whilst novices may use what they have been taught, practised operators draw on their experiences to spot the cues, appreciate what is critical, draw on analogies and patterns to apply the acquired lore of the system. However, experience may also breed over confidence, pride in risk taking so feeding a hero complex. Operators may also become stuck in their ways and be unwilling or unable to adapt.</w:t>
            </w:r>
          </w:p>
        </w:tc>
      </w:tr>
      <w:tr w:rsidR="00D96C21" w14:paraId="47D63C5D"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7D372DA9" w14:textId="77777777" w:rsidR="00D96C21" w:rsidRDefault="00D96C21" w:rsidP="00E638DE">
            <w:r>
              <w:t>Strategies &amp; Informal Practice</w:t>
            </w:r>
          </w:p>
        </w:tc>
        <w:tc>
          <w:tcPr>
            <w:tcW w:w="7320" w:type="dxa"/>
          </w:tcPr>
          <w:p w14:paraId="48DFABFF"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The literature identifies adaptation as relating to breaking rules to achieve a goal, however, we draw a distinction between violations and the inconsequential and normal adaptations in work that are not rule breaches. These strategies and informal practices emerge through the everyday conduct of work and address the rigidity of complex and highly optimised systems. These adaptations can be seen as the patterns of behaviour and the routines of normal work.</w:t>
            </w:r>
          </w:p>
        </w:tc>
      </w:tr>
      <w:tr w:rsidR="00D96C21" w14:paraId="23475BDD"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00D696C1" w14:textId="77777777" w:rsidR="00D96C21" w:rsidRDefault="00D96C21" w:rsidP="00E638DE">
            <w:r>
              <w:t>Acquiring Knowledge</w:t>
            </w:r>
          </w:p>
        </w:tc>
        <w:tc>
          <w:tcPr>
            <w:tcW w:w="7320" w:type="dxa"/>
          </w:tcPr>
          <w:p w14:paraId="43620ADB"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The skills needed to develop strategies for adaptation and the experience to apply them are largely built up on-the-job: recognising the patterns, similarity matching, appreciation of the constraints and demands and the boundaries of work. Operators use feedback from the system to build competence through practice. Additionally, they may share in the knowledge of others and their experiences.</w:t>
            </w:r>
          </w:p>
        </w:tc>
      </w:tr>
      <w:tr w:rsidR="00D96C21" w14:paraId="32B92F00"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039BE63C" w14:textId="77777777" w:rsidR="00D96C21" w:rsidRDefault="00D96C21" w:rsidP="00E638DE">
            <w:r>
              <w:t>Unpredictability of Consequences</w:t>
            </w:r>
          </w:p>
        </w:tc>
        <w:tc>
          <w:tcPr>
            <w:tcW w:w="7320" w:type="dxa"/>
          </w:tcPr>
          <w:p w14:paraId="0EDC4113"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 xml:space="preserve">Work needs to be done but it is grounded in a specific context. In complex </w:t>
            </w:r>
            <w:r>
              <w:t>sociotechnical</w:t>
            </w:r>
            <w:r w:rsidRPr="00C02A71">
              <w:t xml:space="preserve"> systems this context is one of uncertainty, non-linearity and emergence. Whilst the work environment has structure, the multitude of connections between interrelated functions all having mutual interdependence upon each other generates emergent complexity. Humans in such systems are inevitably forced to make choices based on an incomplete understanding of the possible effects of their decision. </w:t>
            </w:r>
          </w:p>
        </w:tc>
      </w:tr>
      <w:tr w:rsidR="00D96C21" w14:paraId="1A6D51B4"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054CD637" w14:textId="77777777" w:rsidR="00D96C21" w:rsidRDefault="00D96C21" w:rsidP="00E638DE">
            <w:r>
              <w:t>Trade-off for Performance</w:t>
            </w:r>
          </w:p>
        </w:tc>
        <w:tc>
          <w:tcPr>
            <w:tcW w:w="7320" w:type="dxa"/>
          </w:tcPr>
          <w:p w14:paraId="6FC2ACD5"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Adaptation is a decision, conscious or not, to make a trade-off. Goal conflicts create pressure from the need to address other demands with safety becoming another goal to be managed. Adaptation is required when resources are scarce. Adaptive decisions may satisfice - the search for the least bad option. Similarly, the design of the system itself may be a compromise that can expose human frailties. Trade-offs may normally work but can be reported as contributing to incidents.</w:t>
            </w:r>
          </w:p>
        </w:tc>
      </w:tr>
      <w:tr w:rsidR="00D96C21" w14:paraId="5A469857"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6EE436A3" w14:textId="77777777" w:rsidR="00D96C21" w:rsidRDefault="00D96C21" w:rsidP="00E638DE">
            <w:r>
              <w:t>Skills Needed</w:t>
            </w:r>
          </w:p>
        </w:tc>
        <w:tc>
          <w:tcPr>
            <w:tcW w:w="7320" w:type="dxa"/>
          </w:tcPr>
          <w:p w14:paraId="4410F9A9"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The changing needs of the work environment require individuals to acquire experience or certain skills to support their ability to adapt. This can include the ability to assimilate many diverse indicators and sources of information. Individuals in the system are able to appreciate the patterns in the system and use their knowledge to interpret them and the rules to make a judgement, in the presence of uncertainty, on the course of action. When procedures or rules do not appear to work, safety in complex systems relies on the skills of creativity, problem solving and innovation. If these are found wanting then individuals can work as a group to communicate, cooperate and build consensus to resolve issues through teamwork.</w:t>
            </w:r>
          </w:p>
        </w:tc>
      </w:tr>
      <w:tr w:rsidR="00D96C21" w14:paraId="1C67EC02"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614F3A8A" w14:textId="77777777" w:rsidR="00D96C21" w:rsidRDefault="00D96C21" w:rsidP="00E638DE">
            <w:r>
              <w:t>Violations</w:t>
            </w:r>
          </w:p>
        </w:tc>
        <w:tc>
          <w:tcPr>
            <w:tcW w:w="7320" w:type="dxa"/>
          </w:tcPr>
          <w:p w14:paraId="3785A06B"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 xml:space="preserve">Violations are deliberate deviations from a rule that has previously been declared to be safe for the approved task and they arise through deviations </w:t>
            </w:r>
            <w:r w:rsidRPr="00C02A71">
              <w:lastRenderedPageBreak/>
              <w:t xml:space="preserve">between governance and practice. Violations can be positive, despite the negative connotations of the language. Exceptional violations are covered in the next factor (Improvisation &amp; Creativity). Routine violations are believed to improve the system, for example a work around or the omission of a step in a procedure to address, for example, procedural limitations that create extra work. In highly optimised systems rules become less effective when they get in the way of normal work. For many professionals, routine work does not need procedures and violations can occur when the consequences are believed to be negligible. Indeed, violations may be needed to get the work done. </w:t>
            </w:r>
          </w:p>
        </w:tc>
      </w:tr>
      <w:tr w:rsidR="00D96C21" w14:paraId="03028BB8"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59D5D8F9" w14:textId="77777777" w:rsidR="00D96C21" w:rsidRDefault="00D96C21" w:rsidP="00E638DE">
            <w:r>
              <w:lastRenderedPageBreak/>
              <w:t>Improvisation &amp; Creativity</w:t>
            </w:r>
          </w:p>
        </w:tc>
        <w:tc>
          <w:tcPr>
            <w:tcW w:w="7320" w:type="dxa"/>
          </w:tcPr>
          <w:p w14:paraId="7BF1B6E6"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Exceptional violations are observed in complex systems when individuals are placed under unusual demands. Procedures cannot necessarily be relied upon in an emergency and additional skills are often called upon. Adaptation is reactive innovation in context, in the moment and relies upon the skill, prior knowledge and resources available. The autonomy granted to the front-line in many complex systems provides the capability to have immediate feedback and adjust to ensure changing goals continue to be met, to recover and to support the emergence of innovative responses to cope with the unforeseen.</w:t>
            </w:r>
          </w:p>
        </w:tc>
      </w:tr>
      <w:tr w:rsidR="00D96C21" w14:paraId="25743E1D" w14:textId="77777777" w:rsidTr="00E638DE">
        <w:tc>
          <w:tcPr>
            <w:cnfStyle w:val="001000000000" w:firstRow="0" w:lastRow="0" w:firstColumn="1" w:lastColumn="0" w:oddVBand="0" w:evenVBand="0" w:oddHBand="0" w:evenHBand="0" w:firstRowFirstColumn="0" w:firstRowLastColumn="0" w:lastRowFirstColumn="0" w:lastRowLastColumn="0"/>
            <w:tcW w:w="1696" w:type="dxa"/>
          </w:tcPr>
          <w:p w14:paraId="13B6D68E" w14:textId="77777777" w:rsidR="00D96C21" w:rsidRDefault="00D96C21" w:rsidP="00E638DE">
            <w:r>
              <w:t>Procedures &amp; Rules</w:t>
            </w:r>
          </w:p>
        </w:tc>
        <w:tc>
          <w:tcPr>
            <w:tcW w:w="7320" w:type="dxa"/>
          </w:tcPr>
          <w:p w14:paraId="6851CEB7" w14:textId="77777777" w:rsidR="00D96C21" w:rsidRDefault="00D96C21" w:rsidP="00E638DE">
            <w:pPr>
              <w:cnfStyle w:val="000000000000" w:firstRow="0" w:lastRow="0" w:firstColumn="0" w:lastColumn="0" w:oddVBand="0" w:evenVBand="0" w:oddHBand="0" w:evenHBand="0" w:firstRowFirstColumn="0" w:firstRowLastColumn="0" w:lastRowFirstColumn="0" w:lastRowLastColumn="0"/>
            </w:pPr>
            <w:r w:rsidRPr="00C02A71">
              <w:t>The nature of decision making in a complex system is influenced by the presence of rules and procedures. The general belief is that safety comes from minimising uncertainty through the control of work. The aim of rules and procedures is to motivate, guide, educate, influence or constrain the behaviour of front-line operators. Procedures try to identify the good practices, address variation and so minimise risks. But a compliance-based attitude can breed more procedures that add further complexity. Yet procedures can support adaptation by being the first thing that is tried and, where they are goal-based they can strike a balance between compliance and flexibility to support safety</w:t>
            </w:r>
            <w:r>
              <w:t>.</w:t>
            </w:r>
          </w:p>
        </w:tc>
      </w:tr>
    </w:tbl>
    <w:p w14:paraId="777FAD22" w14:textId="77777777" w:rsidR="00D96C21" w:rsidRDefault="00D96C21" w:rsidP="00D96C21"/>
    <w:p w14:paraId="24060D7D" w14:textId="400E5164" w:rsidR="006D6DAE" w:rsidRDefault="004F2FBD" w:rsidP="00EA3F05">
      <w:pPr>
        <w:pStyle w:val="Heading1"/>
        <w:numPr>
          <w:ilvl w:val="0"/>
          <w:numId w:val="0"/>
        </w:numPr>
        <w:ind w:left="432" w:hanging="432"/>
      </w:pPr>
      <w:r>
        <w:lastRenderedPageBreak/>
        <w:t>Appendix 2: HTA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495"/>
        <w:gridCol w:w="4495"/>
      </w:tblGrid>
      <w:tr w:rsidR="00E06BE4" w14:paraId="3B40FA1A" w14:textId="77777777" w:rsidTr="00EA3F05">
        <w:trPr>
          <w:trHeight w:val="12709"/>
        </w:trPr>
        <w:tc>
          <w:tcPr>
            <w:tcW w:w="4495" w:type="dxa"/>
          </w:tcPr>
          <w:p w14:paraId="51381D02" w14:textId="77777777" w:rsidR="00E06BE4" w:rsidRDefault="00E06BE4" w:rsidP="00F350CF">
            <w:r>
              <w:rPr>
                <w:noProof/>
              </w:rPr>
              <w:drawing>
                <wp:inline distT="0" distB="0" distL="0" distR="0" wp14:anchorId="46C79362" wp14:editId="716DEB91">
                  <wp:extent cx="8279012" cy="1416757"/>
                  <wp:effectExtent l="190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rot="16200000">
                            <a:off x="0" y="0"/>
                            <a:ext cx="8358469" cy="1430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5" w:type="dxa"/>
          </w:tcPr>
          <w:p w14:paraId="70BDC524" w14:textId="77777777" w:rsidR="00E06BE4" w:rsidRDefault="00E06BE4" w:rsidP="00F350CF">
            <w:r>
              <w:rPr>
                <w:noProof/>
              </w:rPr>
              <w:drawing>
                <wp:inline distT="0" distB="0" distL="0" distR="0" wp14:anchorId="20F31922" wp14:editId="2917DFC8">
                  <wp:extent cx="8205502" cy="2308406"/>
                  <wp:effectExtent l="0" t="4128" r="953" b="95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3"/>
                          <a:stretch/>
                        </pic:blipFill>
                        <pic:spPr bwMode="auto">
                          <a:xfrm rot="16200000">
                            <a:off x="0" y="0"/>
                            <a:ext cx="8220802" cy="23127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A338A4" w14:textId="268EC898" w:rsidR="00A23BEE" w:rsidRPr="006D6DAE" w:rsidRDefault="00A23BEE" w:rsidP="00EA3F05">
      <w:pPr>
        <w:pStyle w:val="Caption"/>
      </w:pPr>
      <w:bookmarkStart w:id="19" w:name="_Ref76202250"/>
      <w:r>
        <w:t xml:space="preserve">Figure </w:t>
      </w:r>
      <w:r w:rsidR="00881249">
        <w:fldChar w:fldCharType="begin"/>
      </w:r>
      <w:r w:rsidR="00881249">
        <w:instrText xml:space="preserve"> SEQ Figure \* ARABIC </w:instrText>
      </w:r>
      <w:r w:rsidR="00881249">
        <w:fldChar w:fldCharType="separate"/>
      </w:r>
      <w:r>
        <w:rPr>
          <w:noProof/>
        </w:rPr>
        <w:t>13</w:t>
      </w:r>
      <w:r w:rsidR="00881249">
        <w:rPr>
          <w:noProof/>
        </w:rPr>
        <w:fldChar w:fldCharType="end"/>
      </w:r>
      <w:bookmarkEnd w:id="19"/>
      <w:r>
        <w:t>: Complete HTA diagram for the tactical controlling task</w:t>
      </w:r>
    </w:p>
    <w:sectPr w:rsidR="00A23BEE" w:rsidRPr="006D6D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A629" w14:textId="77777777" w:rsidR="00246562" w:rsidRDefault="00246562" w:rsidP="00040912">
      <w:pPr>
        <w:spacing w:after="0" w:line="240" w:lineRule="auto"/>
      </w:pPr>
      <w:r>
        <w:separator/>
      </w:r>
    </w:p>
  </w:endnote>
  <w:endnote w:type="continuationSeparator" w:id="0">
    <w:p w14:paraId="51B306C5" w14:textId="77777777" w:rsidR="00246562" w:rsidRDefault="00246562" w:rsidP="00040912">
      <w:pPr>
        <w:spacing w:after="0" w:line="240" w:lineRule="auto"/>
      </w:pPr>
      <w:r>
        <w:continuationSeparator/>
      </w:r>
    </w:p>
  </w:endnote>
  <w:endnote w:type="continuationNotice" w:id="1">
    <w:p w14:paraId="122D9734" w14:textId="77777777" w:rsidR="00246562" w:rsidRDefault="00246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6C2D0" w14:textId="77777777" w:rsidR="00246562" w:rsidRDefault="00246562" w:rsidP="00040912">
      <w:pPr>
        <w:spacing w:after="0" w:line="240" w:lineRule="auto"/>
      </w:pPr>
      <w:r>
        <w:separator/>
      </w:r>
    </w:p>
  </w:footnote>
  <w:footnote w:type="continuationSeparator" w:id="0">
    <w:p w14:paraId="0992A23A" w14:textId="77777777" w:rsidR="00246562" w:rsidRDefault="00246562" w:rsidP="00040912">
      <w:pPr>
        <w:spacing w:after="0" w:line="240" w:lineRule="auto"/>
      </w:pPr>
      <w:r>
        <w:continuationSeparator/>
      </w:r>
    </w:p>
  </w:footnote>
  <w:footnote w:type="continuationNotice" w:id="1">
    <w:p w14:paraId="4294315E" w14:textId="77777777" w:rsidR="00246562" w:rsidRDefault="002465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83F9C"/>
    <w:multiLevelType w:val="hybridMultilevel"/>
    <w:tmpl w:val="A16A089C"/>
    <w:lvl w:ilvl="0" w:tplc="04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016CC"/>
    <w:multiLevelType w:val="hybridMultilevel"/>
    <w:tmpl w:val="ADDC68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8495B8F"/>
    <w:multiLevelType w:val="hybridMultilevel"/>
    <w:tmpl w:val="A16A089C"/>
    <w:lvl w:ilvl="0" w:tplc="04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465671"/>
    <w:multiLevelType w:val="hybridMultilevel"/>
    <w:tmpl w:val="A16A089C"/>
    <w:lvl w:ilvl="0" w:tplc="04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632B0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639775521">
    <w:abstractNumId w:val="1"/>
  </w:num>
  <w:num w:numId="2" w16cid:durableId="1413548073">
    <w:abstractNumId w:val="2"/>
  </w:num>
  <w:num w:numId="3" w16cid:durableId="777991853">
    <w:abstractNumId w:val="0"/>
  </w:num>
  <w:num w:numId="4" w16cid:durableId="281806526">
    <w:abstractNumId w:val="3"/>
  </w:num>
  <w:num w:numId="5" w16cid:durableId="2110269748">
    <w:abstractNumId w:val="4"/>
  </w:num>
  <w:num w:numId="6" w16cid:durableId="219484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05A"/>
    <w:rsid w:val="000001E7"/>
    <w:rsid w:val="0000022B"/>
    <w:rsid w:val="00000F96"/>
    <w:rsid w:val="00001DEB"/>
    <w:rsid w:val="000036A7"/>
    <w:rsid w:val="00003CD6"/>
    <w:rsid w:val="00003F92"/>
    <w:rsid w:val="000041F8"/>
    <w:rsid w:val="00004887"/>
    <w:rsid w:val="00004959"/>
    <w:rsid w:val="00004F5D"/>
    <w:rsid w:val="000053D0"/>
    <w:rsid w:val="0000542B"/>
    <w:rsid w:val="0000567A"/>
    <w:rsid w:val="00005B82"/>
    <w:rsid w:val="00005DDD"/>
    <w:rsid w:val="0001021E"/>
    <w:rsid w:val="00010316"/>
    <w:rsid w:val="00010897"/>
    <w:rsid w:val="0001138C"/>
    <w:rsid w:val="00011B7E"/>
    <w:rsid w:val="00012E55"/>
    <w:rsid w:val="0001305E"/>
    <w:rsid w:val="00013220"/>
    <w:rsid w:val="000135B1"/>
    <w:rsid w:val="00013CAD"/>
    <w:rsid w:val="00014D95"/>
    <w:rsid w:val="00015115"/>
    <w:rsid w:val="0001536B"/>
    <w:rsid w:val="00016C2F"/>
    <w:rsid w:val="0001796E"/>
    <w:rsid w:val="00017AEF"/>
    <w:rsid w:val="00017B08"/>
    <w:rsid w:val="00017D6E"/>
    <w:rsid w:val="00017E35"/>
    <w:rsid w:val="00020899"/>
    <w:rsid w:val="00020A4A"/>
    <w:rsid w:val="00021F2A"/>
    <w:rsid w:val="00022B75"/>
    <w:rsid w:val="00022FE8"/>
    <w:rsid w:val="000235F3"/>
    <w:rsid w:val="00024E4F"/>
    <w:rsid w:val="000253AF"/>
    <w:rsid w:val="00025C42"/>
    <w:rsid w:val="0002657B"/>
    <w:rsid w:val="000267BD"/>
    <w:rsid w:val="000271B6"/>
    <w:rsid w:val="00027600"/>
    <w:rsid w:val="0002763F"/>
    <w:rsid w:val="00027A5A"/>
    <w:rsid w:val="0003023D"/>
    <w:rsid w:val="000302DC"/>
    <w:rsid w:val="00030922"/>
    <w:rsid w:val="00030F46"/>
    <w:rsid w:val="00031CE4"/>
    <w:rsid w:val="0003238F"/>
    <w:rsid w:val="00032490"/>
    <w:rsid w:val="0003388D"/>
    <w:rsid w:val="00033CFD"/>
    <w:rsid w:val="00034CB9"/>
    <w:rsid w:val="000351A3"/>
    <w:rsid w:val="0003570A"/>
    <w:rsid w:val="00036DE6"/>
    <w:rsid w:val="00037D72"/>
    <w:rsid w:val="0004042B"/>
    <w:rsid w:val="00040912"/>
    <w:rsid w:val="000409C8"/>
    <w:rsid w:val="00041150"/>
    <w:rsid w:val="00041552"/>
    <w:rsid w:val="00041619"/>
    <w:rsid w:val="00041B31"/>
    <w:rsid w:val="00041FBA"/>
    <w:rsid w:val="00042BE1"/>
    <w:rsid w:val="00042FAA"/>
    <w:rsid w:val="000434C7"/>
    <w:rsid w:val="00045A4A"/>
    <w:rsid w:val="00046BE2"/>
    <w:rsid w:val="00046D58"/>
    <w:rsid w:val="000471EA"/>
    <w:rsid w:val="000473CF"/>
    <w:rsid w:val="00047553"/>
    <w:rsid w:val="00047A04"/>
    <w:rsid w:val="00050A31"/>
    <w:rsid w:val="000511F2"/>
    <w:rsid w:val="0005290A"/>
    <w:rsid w:val="00053802"/>
    <w:rsid w:val="00053EF7"/>
    <w:rsid w:val="000543DC"/>
    <w:rsid w:val="0005646E"/>
    <w:rsid w:val="00056825"/>
    <w:rsid w:val="00056B89"/>
    <w:rsid w:val="0005763E"/>
    <w:rsid w:val="00060A48"/>
    <w:rsid w:val="00060E07"/>
    <w:rsid w:val="00061A81"/>
    <w:rsid w:val="00062AEA"/>
    <w:rsid w:val="00062E68"/>
    <w:rsid w:val="00063151"/>
    <w:rsid w:val="00063492"/>
    <w:rsid w:val="000634B2"/>
    <w:rsid w:val="0006363A"/>
    <w:rsid w:val="00063CEE"/>
    <w:rsid w:val="00065000"/>
    <w:rsid w:val="000659F4"/>
    <w:rsid w:val="000664A0"/>
    <w:rsid w:val="00066C81"/>
    <w:rsid w:val="00067C41"/>
    <w:rsid w:val="000708C2"/>
    <w:rsid w:val="00070E42"/>
    <w:rsid w:val="000727F1"/>
    <w:rsid w:val="00072D92"/>
    <w:rsid w:val="000738C1"/>
    <w:rsid w:val="00077569"/>
    <w:rsid w:val="00077C8E"/>
    <w:rsid w:val="00080781"/>
    <w:rsid w:val="0008119C"/>
    <w:rsid w:val="00081ACF"/>
    <w:rsid w:val="00081D45"/>
    <w:rsid w:val="00081EC4"/>
    <w:rsid w:val="00083B11"/>
    <w:rsid w:val="00084173"/>
    <w:rsid w:val="00084323"/>
    <w:rsid w:val="00084C08"/>
    <w:rsid w:val="0008510F"/>
    <w:rsid w:val="0008537E"/>
    <w:rsid w:val="000855F1"/>
    <w:rsid w:val="00086A55"/>
    <w:rsid w:val="00086CB3"/>
    <w:rsid w:val="00086FE1"/>
    <w:rsid w:val="00087586"/>
    <w:rsid w:val="0008775A"/>
    <w:rsid w:val="00090F2E"/>
    <w:rsid w:val="00091363"/>
    <w:rsid w:val="0009141D"/>
    <w:rsid w:val="00093EB0"/>
    <w:rsid w:val="00094186"/>
    <w:rsid w:val="00094681"/>
    <w:rsid w:val="00094843"/>
    <w:rsid w:val="00095DC4"/>
    <w:rsid w:val="000962D6"/>
    <w:rsid w:val="000963E1"/>
    <w:rsid w:val="000967B8"/>
    <w:rsid w:val="0009690A"/>
    <w:rsid w:val="000969FD"/>
    <w:rsid w:val="000977F9"/>
    <w:rsid w:val="00097FCB"/>
    <w:rsid w:val="000A0E91"/>
    <w:rsid w:val="000A1113"/>
    <w:rsid w:val="000A24A3"/>
    <w:rsid w:val="000A32C7"/>
    <w:rsid w:val="000A3703"/>
    <w:rsid w:val="000A408E"/>
    <w:rsid w:val="000A4C95"/>
    <w:rsid w:val="000A5407"/>
    <w:rsid w:val="000A5B5D"/>
    <w:rsid w:val="000A5D02"/>
    <w:rsid w:val="000A790A"/>
    <w:rsid w:val="000B0955"/>
    <w:rsid w:val="000B1015"/>
    <w:rsid w:val="000B17D7"/>
    <w:rsid w:val="000B2056"/>
    <w:rsid w:val="000B2511"/>
    <w:rsid w:val="000B2D18"/>
    <w:rsid w:val="000B3838"/>
    <w:rsid w:val="000B495E"/>
    <w:rsid w:val="000B4A89"/>
    <w:rsid w:val="000B4D05"/>
    <w:rsid w:val="000B5273"/>
    <w:rsid w:val="000B55B8"/>
    <w:rsid w:val="000B5818"/>
    <w:rsid w:val="000B5B06"/>
    <w:rsid w:val="000B618D"/>
    <w:rsid w:val="000B6C8A"/>
    <w:rsid w:val="000B6E0A"/>
    <w:rsid w:val="000B6FA8"/>
    <w:rsid w:val="000C0428"/>
    <w:rsid w:val="000C09BC"/>
    <w:rsid w:val="000C0F81"/>
    <w:rsid w:val="000C17D7"/>
    <w:rsid w:val="000C1904"/>
    <w:rsid w:val="000C29ED"/>
    <w:rsid w:val="000C2A62"/>
    <w:rsid w:val="000C2CF3"/>
    <w:rsid w:val="000C50F5"/>
    <w:rsid w:val="000C54AC"/>
    <w:rsid w:val="000C5C02"/>
    <w:rsid w:val="000C5D85"/>
    <w:rsid w:val="000C6448"/>
    <w:rsid w:val="000C687B"/>
    <w:rsid w:val="000C6B36"/>
    <w:rsid w:val="000C711B"/>
    <w:rsid w:val="000C7914"/>
    <w:rsid w:val="000D03CF"/>
    <w:rsid w:val="000D0E76"/>
    <w:rsid w:val="000D153E"/>
    <w:rsid w:val="000D18AD"/>
    <w:rsid w:val="000D1F9E"/>
    <w:rsid w:val="000D2328"/>
    <w:rsid w:val="000D24C3"/>
    <w:rsid w:val="000D2DD5"/>
    <w:rsid w:val="000D3E49"/>
    <w:rsid w:val="000D3EA4"/>
    <w:rsid w:val="000D409C"/>
    <w:rsid w:val="000D45C8"/>
    <w:rsid w:val="000D4638"/>
    <w:rsid w:val="000D57EF"/>
    <w:rsid w:val="000D5D82"/>
    <w:rsid w:val="000D61A0"/>
    <w:rsid w:val="000D65C8"/>
    <w:rsid w:val="000D6BAE"/>
    <w:rsid w:val="000E0A82"/>
    <w:rsid w:val="000E1A6E"/>
    <w:rsid w:val="000E20D4"/>
    <w:rsid w:val="000E21B3"/>
    <w:rsid w:val="000E232E"/>
    <w:rsid w:val="000E2881"/>
    <w:rsid w:val="000E2A40"/>
    <w:rsid w:val="000E3298"/>
    <w:rsid w:val="000E3322"/>
    <w:rsid w:val="000E4AE1"/>
    <w:rsid w:val="000E54C2"/>
    <w:rsid w:val="000E61E1"/>
    <w:rsid w:val="000E632A"/>
    <w:rsid w:val="000E63D3"/>
    <w:rsid w:val="000E6CAC"/>
    <w:rsid w:val="000F0511"/>
    <w:rsid w:val="000F125E"/>
    <w:rsid w:val="000F38A6"/>
    <w:rsid w:val="000F3B48"/>
    <w:rsid w:val="000F3DB7"/>
    <w:rsid w:val="000F4B8B"/>
    <w:rsid w:val="000F4CED"/>
    <w:rsid w:val="000F534E"/>
    <w:rsid w:val="000F5541"/>
    <w:rsid w:val="000F6050"/>
    <w:rsid w:val="000F675D"/>
    <w:rsid w:val="000F6849"/>
    <w:rsid w:val="000F6E89"/>
    <w:rsid w:val="00100467"/>
    <w:rsid w:val="00100586"/>
    <w:rsid w:val="00101390"/>
    <w:rsid w:val="00102B07"/>
    <w:rsid w:val="00103276"/>
    <w:rsid w:val="00103967"/>
    <w:rsid w:val="0010398E"/>
    <w:rsid w:val="00103CF4"/>
    <w:rsid w:val="00104AD8"/>
    <w:rsid w:val="00106625"/>
    <w:rsid w:val="001068FF"/>
    <w:rsid w:val="00106A25"/>
    <w:rsid w:val="00106BC9"/>
    <w:rsid w:val="00106FE8"/>
    <w:rsid w:val="00107134"/>
    <w:rsid w:val="001075A1"/>
    <w:rsid w:val="00107750"/>
    <w:rsid w:val="00107AB1"/>
    <w:rsid w:val="0011030D"/>
    <w:rsid w:val="001106E6"/>
    <w:rsid w:val="00110C6B"/>
    <w:rsid w:val="001112CA"/>
    <w:rsid w:val="00112304"/>
    <w:rsid w:val="001123C2"/>
    <w:rsid w:val="001124A4"/>
    <w:rsid w:val="00112D82"/>
    <w:rsid w:val="00112F74"/>
    <w:rsid w:val="0011382A"/>
    <w:rsid w:val="00114811"/>
    <w:rsid w:val="00114877"/>
    <w:rsid w:val="001153D9"/>
    <w:rsid w:val="001155CB"/>
    <w:rsid w:val="0011654D"/>
    <w:rsid w:val="00117276"/>
    <w:rsid w:val="00120E71"/>
    <w:rsid w:val="0012153F"/>
    <w:rsid w:val="001220B1"/>
    <w:rsid w:val="001228E5"/>
    <w:rsid w:val="00123AC8"/>
    <w:rsid w:val="001240C9"/>
    <w:rsid w:val="0012414A"/>
    <w:rsid w:val="00124A59"/>
    <w:rsid w:val="00124D36"/>
    <w:rsid w:val="00124F77"/>
    <w:rsid w:val="001252A4"/>
    <w:rsid w:val="001255AA"/>
    <w:rsid w:val="001257AC"/>
    <w:rsid w:val="00125888"/>
    <w:rsid w:val="00125DB2"/>
    <w:rsid w:val="0012634C"/>
    <w:rsid w:val="001273B7"/>
    <w:rsid w:val="0012760F"/>
    <w:rsid w:val="00130A3F"/>
    <w:rsid w:val="00130B8F"/>
    <w:rsid w:val="00131187"/>
    <w:rsid w:val="0013138E"/>
    <w:rsid w:val="00131971"/>
    <w:rsid w:val="00131D15"/>
    <w:rsid w:val="001328F9"/>
    <w:rsid w:val="00132B77"/>
    <w:rsid w:val="00133650"/>
    <w:rsid w:val="00134D66"/>
    <w:rsid w:val="00134F06"/>
    <w:rsid w:val="001361BB"/>
    <w:rsid w:val="00136257"/>
    <w:rsid w:val="0013744B"/>
    <w:rsid w:val="001375B9"/>
    <w:rsid w:val="00137EC6"/>
    <w:rsid w:val="00140094"/>
    <w:rsid w:val="001411CD"/>
    <w:rsid w:val="00141E72"/>
    <w:rsid w:val="00142233"/>
    <w:rsid w:val="00142931"/>
    <w:rsid w:val="00143143"/>
    <w:rsid w:val="001433B0"/>
    <w:rsid w:val="00143930"/>
    <w:rsid w:val="00144244"/>
    <w:rsid w:val="001444B7"/>
    <w:rsid w:val="00144D1E"/>
    <w:rsid w:val="00146988"/>
    <w:rsid w:val="00146DA8"/>
    <w:rsid w:val="001477C7"/>
    <w:rsid w:val="00147EEC"/>
    <w:rsid w:val="001505FF"/>
    <w:rsid w:val="00150D8D"/>
    <w:rsid w:val="00151704"/>
    <w:rsid w:val="00151983"/>
    <w:rsid w:val="001526C1"/>
    <w:rsid w:val="00152F9B"/>
    <w:rsid w:val="001545FF"/>
    <w:rsid w:val="001559A1"/>
    <w:rsid w:val="00155A1C"/>
    <w:rsid w:val="00156FC0"/>
    <w:rsid w:val="00157FB2"/>
    <w:rsid w:val="0016008F"/>
    <w:rsid w:val="00160FA3"/>
    <w:rsid w:val="00161BAD"/>
    <w:rsid w:val="00161BFB"/>
    <w:rsid w:val="0016204F"/>
    <w:rsid w:val="00162136"/>
    <w:rsid w:val="00162CE7"/>
    <w:rsid w:val="00162D02"/>
    <w:rsid w:val="00162E59"/>
    <w:rsid w:val="00163403"/>
    <w:rsid w:val="00163C11"/>
    <w:rsid w:val="00163E96"/>
    <w:rsid w:val="00164FC3"/>
    <w:rsid w:val="00165AF5"/>
    <w:rsid w:val="00165E59"/>
    <w:rsid w:val="00165EC6"/>
    <w:rsid w:val="0016639A"/>
    <w:rsid w:val="00166CEB"/>
    <w:rsid w:val="0016721E"/>
    <w:rsid w:val="001678C2"/>
    <w:rsid w:val="00167D01"/>
    <w:rsid w:val="00167D0E"/>
    <w:rsid w:val="001705E4"/>
    <w:rsid w:val="001707A0"/>
    <w:rsid w:val="00171564"/>
    <w:rsid w:val="00171ABB"/>
    <w:rsid w:val="00171B67"/>
    <w:rsid w:val="00171FD1"/>
    <w:rsid w:val="00172B18"/>
    <w:rsid w:val="00172F14"/>
    <w:rsid w:val="00173D1E"/>
    <w:rsid w:val="00174F24"/>
    <w:rsid w:val="001755F2"/>
    <w:rsid w:val="001757C4"/>
    <w:rsid w:val="001762F6"/>
    <w:rsid w:val="00176A34"/>
    <w:rsid w:val="00177023"/>
    <w:rsid w:val="001774D8"/>
    <w:rsid w:val="00177909"/>
    <w:rsid w:val="00177E1C"/>
    <w:rsid w:val="0018040D"/>
    <w:rsid w:val="00181A2E"/>
    <w:rsid w:val="00183F48"/>
    <w:rsid w:val="001847C8"/>
    <w:rsid w:val="00184A76"/>
    <w:rsid w:val="00184D44"/>
    <w:rsid w:val="00185DB9"/>
    <w:rsid w:val="00186DA2"/>
    <w:rsid w:val="001902F9"/>
    <w:rsid w:val="001911D8"/>
    <w:rsid w:val="001914DA"/>
    <w:rsid w:val="0019165D"/>
    <w:rsid w:val="0019208E"/>
    <w:rsid w:val="00192ECD"/>
    <w:rsid w:val="00193414"/>
    <w:rsid w:val="00193D7C"/>
    <w:rsid w:val="001944A3"/>
    <w:rsid w:val="00194D86"/>
    <w:rsid w:val="001956DD"/>
    <w:rsid w:val="00195A46"/>
    <w:rsid w:val="00195E5D"/>
    <w:rsid w:val="001968D8"/>
    <w:rsid w:val="00196A8A"/>
    <w:rsid w:val="00196F7F"/>
    <w:rsid w:val="00197083"/>
    <w:rsid w:val="001A073C"/>
    <w:rsid w:val="001A083A"/>
    <w:rsid w:val="001A0E8C"/>
    <w:rsid w:val="001A1ED4"/>
    <w:rsid w:val="001A29FE"/>
    <w:rsid w:val="001A2ED1"/>
    <w:rsid w:val="001A468E"/>
    <w:rsid w:val="001A484E"/>
    <w:rsid w:val="001A573D"/>
    <w:rsid w:val="001A5840"/>
    <w:rsid w:val="001A5ACC"/>
    <w:rsid w:val="001A6222"/>
    <w:rsid w:val="001A7854"/>
    <w:rsid w:val="001A78EE"/>
    <w:rsid w:val="001A79B4"/>
    <w:rsid w:val="001B0AD0"/>
    <w:rsid w:val="001B2848"/>
    <w:rsid w:val="001B2B75"/>
    <w:rsid w:val="001B2FCE"/>
    <w:rsid w:val="001B3488"/>
    <w:rsid w:val="001B470D"/>
    <w:rsid w:val="001B5001"/>
    <w:rsid w:val="001B50DD"/>
    <w:rsid w:val="001B51E2"/>
    <w:rsid w:val="001B596A"/>
    <w:rsid w:val="001B60B9"/>
    <w:rsid w:val="001B61B7"/>
    <w:rsid w:val="001B69D8"/>
    <w:rsid w:val="001B6B3E"/>
    <w:rsid w:val="001B70FD"/>
    <w:rsid w:val="001B7511"/>
    <w:rsid w:val="001B77B3"/>
    <w:rsid w:val="001B7A2C"/>
    <w:rsid w:val="001C0062"/>
    <w:rsid w:val="001C0190"/>
    <w:rsid w:val="001C02EE"/>
    <w:rsid w:val="001C04E5"/>
    <w:rsid w:val="001C110B"/>
    <w:rsid w:val="001C150B"/>
    <w:rsid w:val="001C2760"/>
    <w:rsid w:val="001C3101"/>
    <w:rsid w:val="001C4033"/>
    <w:rsid w:val="001C41DB"/>
    <w:rsid w:val="001C4C91"/>
    <w:rsid w:val="001C515A"/>
    <w:rsid w:val="001C518B"/>
    <w:rsid w:val="001C5731"/>
    <w:rsid w:val="001C5979"/>
    <w:rsid w:val="001C65B2"/>
    <w:rsid w:val="001C6D19"/>
    <w:rsid w:val="001C7D8F"/>
    <w:rsid w:val="001D021E"/>
    <w:rsid w:val="001D0280"/>
    <w:rsid w:val="001D0A60"/>
    <w:rsid w:val="001D2077"/>
    <w:rsid w:val="001D238C"/>
    <w:rsid w:val="001D33E1"/>
    <w:rsid w:val="001D3737"/>
    <w:rsid w:val="001D37E7"/>
    <w:rsid w:val="001D4E5B"/>
    <w:rsid w:val="001D5023"/>
    <w:rsid w:val="001D62D9"/>
    <w:rsid w:val="001D68D3"/>
    <w:rsid w:val="001D6F98"/>
    <w:rsid w:val="001D7390"/>
    <w:rsid w:val="001D7765"/>
    <w:rsid w:val="001D7E12"/>
    <w:rsid w:val="001E10F8"/>
    <w:rsid w:val="001E1296"/>
    <w:rsid w:val="001E17F5"/>
    <w:rsid w:val="001E1892"/>
    <w:rsid w:val="001E197C"/>
    <w:rsid w:val="001E3537"/>
    <w:rsid w:val="001E3F37"/>
    <w:rsid w:val="001E472B"/>
    <w:rsid w:val="001E4B55"/>
    <w:rsid w:val="001E4B96"/>
    <w:rsid w:val="001E5D13"/>
    <w:rsid w:val="001E5E7B"/>
    <w:rsid w:val="001E6290"/>
    <w:rsid w:val="001E656F"/>
    <w:rsid w:val="001E730D"/>
    <w:rsid w:val="001F017A"/>
    <w:rsid w:val="001F07BA"/>
    <w:rsid w:val="001F0929"/>
    <w:rsid w:val="001F0DDF"/>
    <w:rsid w:val="001F193E"/>
    <w:rsid w:val="001F1AD6"/>
    <w:rsid w:val="001F1EB0"/>
    <w:rsid w:val="001F26BC"/>
    <w:rsid w:val="001F282B"/>
    <w:rsid w:val="001F2C68"/>
    <w:rsid w:val="001F30A3"/>
    <w:rsid w:val="001F33F6"/>
    <w:rsid w:val="001F38DA"/>
    <w:rsid w:val="001F3D19"/>
    <w:rsid w:val="001F3EE1"/>
    <w:rsid w:val="001F4283"/>
    <w:rsid w:val="001F4643"/>
    <w:rsid w:val="001F50F6"/>
    <w:rsid w:val="001F660D"/>
    <w:rsid w:val="001F70E7"/>
    <w:rsid w:val="001F781E"/>
    <w:rsid w:val="001F7AB4"/>
    <w:rsid w:val="001F7B56"/>
    <w:rsid w:val="00201F10"/>
    <w:rsid w:val="002022AA"/>
    <w:rsid w:val="00202E40"/>
    <w:rsid w:val="00202F26"/>
    <w:rsid w:val="002042F9"/>
    <w:rsid w:val="0020527D"/>
    <w:rsid w:val="00205758"/>
    <w:rsid w:val="00205DE0"/>
    <w:rsid w:val="00205DFB"/>
    <w:rsid w:val="00205EAC"/>
    <w:rsid w:val="00206403"/>
    <w:rsid w:val="002065E4"/>
    <w:rsid w:val="0020728C"/>
    <w:rsid w:val="00207CAC"/>
    <w:rsid w:val="002106FF"/>
    <w:rsid w:val="00210BAA"/>
    <w:rsid w:val="002121C1"/>
    <w:rsid w:val="00212578"/>
    <w:rsid w:val="00213078"/>
    <w:rsid w:val="0021367F"/>
    <w:rsid w:val="00213693"/>
    <w:rsid w:val="00213AAD"/>
    <w:rsid w:val="00213CAB"/>
    <w:rsid w:val="00213E6C"/>
    <w:rsid w:val="00213E78"/>
    <w:rsid w:val="00214B40"/>
    <w:rsid w:val="00214DE8"/>
    <w:rsid w:val="00215587"/>
    <w:rsid w:val="00215B8E"/>
    <w:rsid w:val="00216515"/>
    <w:rsid w:val="00217F75"/>
    <w:rsid w:val="00217F7D"/>
    <w:rsid w:val="0022026B"/>
    <w:rsid w:val="002203A9"/>
    <w:rsid w:val="002208D2"/>
    <w:rsid w:val="00221459"/>
    <w:rsid w:val="00222764"/>
    <w:rsid w:val="0022294E"/>
    <w:rsid w:val="002232FB"/>
    <w:rsid w:val="00223E39"/>
    <w:rsid w:val="00223EC0"/>
    <w:rsid w:val="00223F4A"/>
    <w:rsid w:val="002246D1"/>
    <w:rsid w:val="00224862"/>
    <w:rsid w:val="00224994"/>
    <w:rsid w:val="00224ABD"/>
    <w:rsid w:val="00224DCC"/>
    <w:rsid w:val="00225A8B"/>
    <w:rsid w:val="0022624E"/>
    <w:rsid w:val="0022629B"/>
    <w:rsid w:val="00226C11"/>
    <w:rsid w:val="00227325"/>
    <w:rsid w:val="00227401"/>
    <w:rsid w:val="0022774A"/>
    <w:rsid w:val="00227B8E"/>
    <w:rsid w:val="00230226"/>
    <w:rsid w:val="0023083C"/>
    <w:rsid w:val="00230A13"/>
    <w:rsid w:val="002317E6"/>
    <w:rsid w:val="00231B62"/>
    <w:rsid w:val="00231D4E"/>
    <w:rsid w:val="002331FE"/>
    <w:rsid w:val="00234880"/>
    <w:rsid w:val="002350CB"/>
    <w:rsid w:val="00235586"/>
    <w:rsid w:val="00236681"/>
    <w:rsid w:val="002368F0"/>
    <w:rsid w:val="00237004"/>
    <w:rsid w:val="00237677"/>
    <w:rsid w:val="00240853"/>
    <w:rsid w:val="002412CD"/>
    <w:rsid w:val="002418E3"/>
    <w:rsid w:val="00241DD1"/>
    <w:rsid w:val="00242096"/>
    <w:rsid w:val="002421BC"/>
    <w:rsid w:val="002425E9"/>
    <w:rsid w:val="00243A9D"/>
    <w:rsid w:val="00243B6C"/>
    <w:rsid w:val="00243D48"/>
    <w:rsid w:val="00244B31"/>
    <w:rsid w:val="00244BFE"/>
    <w:rsid w:val="002453A9"/>
    <w:rsid w:val="00245484"/>
    <w:rsid w:val="002455C7"/>
    <w:rsid w:val="002456C1"/>
    <w:rsid w:val="002459D2"/>
    <w:rsid w:val="00245DAE"/>
    <w:rsid w:val="00246258"/>
    <w:rsid w:val="00246562"/>
    <w:rsid w:val="00246985"/>
    <w:rsid w:val="00246B3E"/>
    <w:rsid w:val="00246FA3"/>
    <w:rsid w:val="0024710C"/>
    <w:rsid w:val="002474BA"/>
    <w:rsid w:val="00247515"/>
    <w:rsid w:val="00247D42"/>
    <w:rsid w:val="002508E8"/>
    <w:rsid w:val="00251899"/>
    <w:rsid w:val="00251F34"/>
    <w:rsid w:val="00252DAB"/>
    <w:rsid w:val="00253241"/>
    <w:rsid w:val="002537B2"/>
    <w:rsid w:val="00253874"/>
    <w:rsid w:val="00253FD8"/>
    <w:rsid w:val="00254A61"/>
    <w:rsid w:val="002559A5"/>
    <w:rsid w:val="00256216"/>
    <w:rsid w:val="00256813"/>
    <w:rsid w:val="002574BD"/>
    <w:rsid w:val="00257E09"/>
    <w:rsid w:val="00260625"/>
    <w:rsid w:val="00261673"/>
    <w:rsid w:val="002618B1"/>
    <w:rsid w:val="00261F71"/>
    <w:rsid w:val="00262142"/>
    <w:rsid w:val="00262E9A"/>
    <w:rsid w:val="0026334C"/>
    <w:rsid w:val="00264F4B"/>
    <w:rsid w:val="00265E24"/>
    <w:rsid w:val="002665D6"/>
    <w:rsid w:val="00266C4F"/>
    <w:rsid w:val="0026712A"/>
    <w:rsid w:val="00267178"/>
    <w:rsid w:val="0026770A"/>
    <w:rsid w:val="002677AE"/>
    <w:rsid w:val="00270760"/>
    <w:rsid w:val="00270A99"/>
    <w:rsid w:val="00270E6F"/>
    <w:rsid w:val="002718A2"/>
    <w:rsid w:val="0027232E"/>
    <w:rsid w:val="002723CE"/>
    <w:rsid w:val="002729A0"/>
    <w:rsid w:val="00272B75"/>
    <w:rsid w:val="00272CA7"/>
    <w:rsid w:val="0027490D"/>
    <w:rsid w:val="00276FF4"/>
    <w:rsid w:val="002779EE"/>
    <w:rsid w:val="00277FB7"/>
    <w:rsid w:val="0028097A"/>
    <w:rsid w:val="00280E28"/>
    <w:rsid w:val="002810F9"/>
    <w:rsid w:val="00281379"/>
    <w:rsid w:val="002813CC"/>
    <w:rsid w:val="00281925"/>
    <w:rsid w:val="00282CEF"/>
    <w:rsid w:val="002838F5"/>
    <w:rsid w:val="002839DC"/>
    <w:rsid w:val="00284486"/>
    <w:rsid w:val="00284D60"/>
    <w:rsid w:val="00284D8B"/>
    <w:rsid w:val="002855D3"/>
    <w:rsid w:val="002856F8"/>
    <w:rsid w:val="00285D49"/>
    <w:rsid w:val="00286028"/>
    <w:rsid w:val="002860C8"/>
    <w:rsid w:val="00286CB3"/>
    <w:rsid w:val="00287009"/>
    <w:rsid w:val="0028735A"/>
    <w:rsid w:val="00290247"/>
    <w:rsid w:val="00290F4A"/>
    <w:rsid w:val="00292BCD"/>
    <w:rsid w:val="00294BD5"/>
    <w:rsid w:val="00295652"/>
    <w:rsid w:val="002961EA"/>
    <w:rsid w:val="0029626D"/>
    <w:rsid w:val="00296796"/>
    <w:rsid w:val="00296DD1"/>
    <w:rsid w:val="00296E5F"/>
    <w:rsid w:val="00297B0E"/>
    <w:rsid w:val="002A013C"/>
    <w:rsid w:val="002A06A2"/>
    <w:rsid w:val="002A0B8C"/>
    <w:rsid w:val="002A0D6B"/>
    <w:rsid w:val="002A105F"/>
    <w:rsid w:val="002A10F5"/>
    <w:rsid w:val="002A2267"/>
    <w:rsid w:val="002A22C3"/>
    <w:rsid w:val="002A254D"/>
    <w:rsid w:val="002A2612"/>
    <w:rsid w:val="002A2E49"/>
    <w:rsid w:val="002A338B"/>
    <w:rsid w:val="002A4932"/>
    <w:rsid w:val="002A4F35"/>
    <w:rsid w:val="002A5B4B"/>
    <w:rsid w:val="002A6291"/>
    <w:rsid w:val="002A66B5"/>
    <w:rsid w:val="002A716D"/>
    <w:rsid w:val="002A7357"/>
    <w:rsid w:val="002A7ABC"/>
    <w:rsid w:val="002B0791"/>
    <w:rsid w:val="002B0EDF"/>
    <w:rsid w:val="002B0F1B"/>
    <w:rsid w:val="002B108E"/>
    <w:rsid w:val="002B1337"/>
    <w:rsid w:val="002B1CF4"/>
    <w:rsid w:val="002B2813"/>
    <w:rsid w:val="002B2E18"/>
    <w:rsid w:val="002B36A9"/>
    <w:rsid w:val="002B37F4"/>
    <w:rsid w:val="002B4CB1"/>
    <w:rsid w:val="002B5753"/>
    <w:rsid w:val="002B5894"/>
    <w:rsid w:val="002B6A86"/>
    <w:rsid w:val="002B712A"/>
    <w:rsid w:val="002B730C"/>
    <w:rsid w:val="002B798D"/>
    <w:rsid w:val="002C11D7"/>
    <w:rsid w:val="002C130A"/>
    <w:rsid w:val="002C1DAC"/>
    <w:rsid w:val="002C1F30"/>
    <w:rsid w:val="002C219B"/>
    <w:rsid w:val="002C228D"/>
    <w:rsid w:val="002C23FD"/>
    <w:rsid w:val="002C2730"/>
    <w:rsid w:val="002C375A"/>
    <w:rsid w:val="002C39CD"/>
    <w:rsid w:val="002C413B"/>
    <w:rsid w:val="002C6091"/>
    <w:rsid w:val="002C719D"/>
    <w:rsid w:val="002C7630"/>
    <w:rsid w:val="002C77F4"/>
    <w:rsid w:val="002C7F96"/>
    <w:rsid w:val="002D18E8"/>
    <w:rsid w:val="002D1BDA"/>
    <w:rsid w:val="002D1C2A"/>
    <w:rsid w:val="002D20E3"/>
    <w:rsid w:val="002D233A"/>
    <w:rsid w:val="002D34DC"/>
    <w:rsid w:val="002D3AA7"/>
    <w:rsid w:val="002D3E75"/>
    <w:rsid w:val="002D3F2B"/>
    <w:rsid w:val="002D41BD"/>
    <w:rsid w:val="002D445F"/>
    <w:rsid w:val="002D44C3"/>
    <w:rsid w:val="002D5AAA"/>
    <w:rsid w:val="002D5C6D"/>
    <w:rsid w:val="002D5E0F"/>
    <w:rsid w:val="002D61BD"/>
    <w:rsid w:val="002D645C"/>
    <w:rsid w:val="002D6D63"/>
    <w:rsid w:val="002E0001"/>
    <w:rsid w:val="002E01F1"/>
    <w:rsid w:val="002E0A31"/>
    <w:rsid w:val="002E1221"/>
    <w:rsid w:val="002E16D7"/>
    <w:rsid w:val="002E1795"/>
    <w:rsid w:val="002E22A9"/>
    <w:rsid w:val="002E3248"/>
    <w:rsid w:val="002E34E5"/>
    <w:rsid w:val="002E431C"/>
    <w:rsid w:val="002E5B3B"/>
    <w:rsid w:val="002E5C17"/>
    <w:rsid w:val="002E66A8"/>
    <w:rsid w:val="002E6949"/>
    <w:rsid w:val="002E7C20"/>
    <w:rsid w:val="002E7E34"/>
    <w:rsid w:val="002F00CF"/>
    <w:rsid w:val="002F03E3"/>
    <w:rsid w:val="002F07FB"/>
    <w:rsid w:val="002F0939"/>
    <w:rsid w:val="002F1593"/>
    <w:rsid w:val="002F2826"/>
    <w:rsid w:val="002F2BF2"/>
    <w:rsid w:val="002F344A"/>
    <w:rsid w:val="002F3E76"/>
    <w:rsid w:val="002F4174"/>
    <w:rsid w:val="002F4195"/>
    <w:rsid w:val="002F42EB"/>
    <w:rsid w:val="002F451C"/>
    <w:rsid w:val="002F4527"/>
    <w:rsid w:val="002F49AF"/>
    <w:rsid w:val="002F512F"/>
    <w:rsid w:val="002F54C0"/>
    <w:rsid w:val="002F6651"/>
    <w:rsid w:val="002F6656"/>
    <w:rsid w:val="002F7DA3"/>
    <w:rsid w:val="002F7F25"/>
    <w:rsid w:val="00300152"/>
    <w:rsid w:val="003009AD"/>
    <w:rsid w:val="00300CEA"/>
    <w:rsid w:val="00300FD0"/>
    <w:rsid w:val="003019B6"/>
    <w:rsid w:val="003020DB"/>
    <w:rsid w:val="0030248D"/>
    <w:rsid w:val="00302C89"/>
    <w:rsid w:val="00302E12"/>
    <w:rsid w:val="00303668"/>
    <w:rsid w:val="00303F30"/>
    <w:rsid w:val="003041CA"/>
    <w:rsid w:val="0030515D"/>
    <w:rsid w:val="00305585"/>
    <w:rsid w:val="0031087E"/>
    <w:rsid w:val="00310A29"/>
    <w:rsid w:val="00310BDA"/>
    <w:rsid w:val="00310C5D"/>
    <w:rsid w:val="00311783"/>
    <w:rsid w:val="00311E25"/>
    <w:rsid w:val="00311ED7"/>
    <w:rsid w:val="00313295"/>
    <w:rsid w:val="00314927"/>
    <w:rsid w:val="00314FDB"/>
    <w:rsid w:val="0031508C"/>
    <w:rsid w:val="00315207"/>
    <w:rsid w:val="003159F4"/>
    <w:rsid w:val="00315DAC"/>
    <w:rsid w:val="00315F91"/>
    <w:rsid w:val="00316079"/>
    <w:rsid w:val="00316828"/>
    <w:rsid w:val="00316D98"/>
    <w:rsid w:val="003176C6"/>
    <w:rsid w:val="00317D83"/>
    <w:rsid w:val="003207C4"/>
    <w:rsid w:val="003208D8"/>
    <w:rsid w:val="00320E6A"/>
    <w:rsid w:val="00321702"/>
    <w:rsid w:val="003225A5"/>
    <w:rsid w:val="00322B0F"/>
    <w:rsid w:val="00322CBA"/>
    <w:rsid w:val="003234CE"/>
    <w:rsid w:val="00323E09"/>
    <w:rsid w:val="003257D0"/>
    <w:rsid w:val="00326782"/>
    <w:rsid w:val="00326E94"/>
    <w:rsid w:val="00326F6C"/>
    <w:rsid w:val="00327680"/>
    <w:rsid w:val="00327B0C"/>
    <w:rsid w:val="00330865"/>
    <w:rsid w:val="00330F79"/>
    <w:rsid w:val="00331146"/>
    <w:rsid w:val="00331979"/>
    <w:rsid w:val="00331C63"/>
    <w:rsid w:val="0033209F"/>
    <w:rsid w:val="00332553"/>
    <w:rsid w:val="00333436"/>
    <w:rsid w:val="00334230"/>
    <w:rsid w:val="00334776"/>
    <w:rsid w:val="00335128"/>
    <w:rsid w:val="00336457"/>
    <w:rsid w:val="00336BD3"/>
    <w:rsid w:val="00337957"/>
    <w:rsid w:val="003407D0"/>
    <w:rsid w:val="00341228"/>
    <w:rsid w:val="0034132D"/>
    <w:rsid w:val="0034152F"/>
    <w:rsid w:val="003427E5"/>
    <w:rsid w:val="00342C07"/>
    <w:rsid w:val="00342D66"/>
    <w:rsid w:val="00343075"/>
    <w:rsid w:val="003432C9"/>
    <w:rsid w:val="003434B1"/>
    <w:rsid w:val="0034407D"/>
    <w:rsid w:val="003448E6"/>
    <w:rsid w:val="00344A90"/>
    <w:rsid w:val="00344A93"/>
    <w:rsid w:val="00344AF4"/>
    <w:rsid w:val="00344F12"/>
    <w:rsid w:val="0034582E"/>
    <w:rsid w:val="00345993"/>
    <w:rsid w:val="00345BCE"/>
    <w:rsid w:val="00345E53"/>
    <w:rsid w:val="00346229"/>
    <w:rsid w:val="0034739F"/>
    <w:rsid w:val="00350A0D"/>
    <w:rsid w:val="0035143E"/>
    <w:rsid w:val="003514E7"/>
    <w:rsid w:val="0035232C"/>
    <w:rsid w:val="0035238B"/>
    <w:rsid w:val="00352C53"/>
    <w:rsid w:val="00353345"/>
    <w:rsid w:val="003535AB"/>
    <w:rsid w:val="00353767"/>
    <w:rsid w:val="0035410D"/>
    <w:rsid w:val="0035481D"/>
    <w:rsid w:val="00354958"/>
    <w:rsid w:val="0035665B"/>
    <w:rsid w:val="0035672E"/>
    <w:rsid w:val="003573C3"/>
    <w:rsid w:val="00357824"/>
    <w:rsid w:val="00360208"/>
    <w:rsid w:val="00360992"/>
    <w:rsid w:val="00362552"/>
    <w:rsid w:val="0036296B"/>
    <w:rsid w:val="00362A39"/>
    <w:rsid w:val="00363168"/>
    <w:rsid w:val="003655BA"/>
    <w:rsid w:val="0036687F"/>
    <w:rsid w:val="00366EA1"/>
    <w:rsid w:val="00367476"/>
    <w:rsid w:val="00367D62"/>
    <w:rsid w:val="00371801"/>
    <w:rsid w:val="003718C9"/>
    <w:rsid w:val="003733E5"/>
    <w:rsid w:val="00373F26"/>
    <w:rsid w:val="0037466A"/>
    <w:rsid w:val="0037530F"/>
    <w:rsid w:val="003757FA"/>
    <w:rsid w:val="00375B63"/>
    <w:rsid w:val="003772CA"/>
    <w:rsid w:val="003803C8"/>
    <w:rsid w:val="00380C7A"/>
    <w:rsid w:val="0038125C"/>
    <w:rsid w:val="003813A9"/>
    <w:rsid w:val="0038141F"/>
    <w:rsid w:val="00381478"/>
    <w:rsid w:val="00381AC8"/>
    <w:rsid w:val="00381D15"/>
    <w:rsid w:val="00381F25"/>
    <w:rsid w:val="003823FE"/>
    <w:rsid w:val="00382519"/>
    <w:rsid w:val="00382F4C"/>
    <w:rsid w:val="003839ED"/>
    <w:rsid w:val="00383EF5"/>
    <w:rsid w:val="00384807"/>
    <w:rsid w:val="003860DA"/>
    <w:rsid w:val="003865C5"/>
    <w:rsid w:val="00386B69"/>
    <w:rsid w:val="00386F2B"/>
    <w:rsid w:val="00387441"/>
    <w:rsid w:val="00387B6C"/>
    <w:rsid w:val="00387EEA"/>
    <w:rsid w:val="00390404"/>
    <w:rsid w:val="003913C0"/>
    <w:rsid w:val="003927AD"/>
    <w:rsid w:val="00392EBB"/>
    <w:rsid w:val="0039403B"/>
    <w:rsid w:val="003940EE"/>
    <w:rsid w:val="0039425E"/>
    <w:rsid w:val="0039473D"/>
    <w:rsid w:val="00394787"/>
    <w:rsid w:val="00395F17"/>
    <w:rsid w:val="003961A5"/>
    <w:rsid w:val="00397A6D"/>
    <w:rsid w:val="003A150E"/>
    <w:rsid w:val="003A21EA"/>
    <w:rsid w:val="003A2261"/>
    <w:rsid w:val="003A301D"/>
    <w:rsid w:val="003A332F"/>
    <w:rsid w:val="003A36CA"/>
    <w:rsid w:val="003A37BD"/>
    <w:rsid w:val="003A4166"/>
    <w:rsid w:val="003A42C5"/>
    <w:rsid w:val="003A57C2"/>
    <w:rsid w:val="003A5FDE"/>
    <w:rsid w:val="003A6975"/>
    <w:rsid w:val="003A6B30"/>
    <w:rsid w:val="003B0087"/>
    <w:rsid w:val="003B0EF0"/>
    <w:rsid w:val="003B10DD"/>
    <w:rsid w:val="003B1FDA"/>
    <w:rsid w:val="003B22B2"/>
    <w:rsid w:val="003B2403"/>
    <w:rsid w:val="003B28EB"/>
    <w:rsid w:val="003B2A30"/>
    <w:rsid w:val="003B35E4"/>
    <w:rsid w:val="003B3C89"/>
    <w:rsid w:val="003B4769"/>
    <w:rsid w:val="003B4B54"/>
    <w:rsid w:val="003B506B"/>
    <w:rsid w:val="003B5469"/>
    <w:rsid w:val="003B5F6B"/>
    <w:rsid w:val="003B652B"/>
    <w:rsid w:val="003B7853"/>
    <w:rsid w:val="003B7B87"/>
    <w:rsid w:val="003C023A"/>
    <w:rsid w:val="003C079C"/>
    <w:rsid w:val="003C11DF"/>
    <w:rsid w:val="003C1623"/>
    <w:rsid w:val="003C182F"/>
    <w:rsid w:val="003C18D8"/>
    <w:rsid w:val="003C236A"/>
    <w:rsid w:val="003C2812"/>
    <w:rsid w:val="003C2A39"/>
    <w:rsid w:val="003C3267"/>
    <w:rsid w:val="003C460E"/>
    <w:rsid w:val="003C4841"/>
    <w:rsid w:val="003C4EE2"/>
    <w:rsid w:val="003C504E"/>
    <w:rsid w:val="003C57EA"/>
    <w:rsid w:val="003C5805"/>
    <w:rsid w:val="003C627A"/>
    <w:rsid w:val="003C62A8"/>
    <w:rsid w:val="003C6351"/>
    <w:rsid w:val="003C674C"/>
    <w:rsid w:val="003C6A0A"/>
    <w:rsid w:val="003C6AAE"/>
    <w:rsid w:val="003C6ACE"/>
    <w:rsid w:val="003C78EC"/>
    <w:rsid w:val="003D0069"/>
    <w:rsid w:val="003D0FE0"/>
    <w:rsid w:val="003D140D"/>
    <w:rsid w:val="003D23FC"/>
    <w:rsid w:val="003D31F4"/>
    <w:rsid w:val="003D33FF"/>
    <w:rsid w:val="003D4B24"/>
    <w:rsid w:val="003D4E74"/>
    <w:rsid w:val="003D4F29"/>
    <w:rsid w:val="003D52C7"/>
    <w:rsid w:val="003D57E3"/>
    <w:rsid w:val="003D5ED5"/>
    <w:rsid w:val="003D60A7"/>
    <w:rsid w:val="003D68A6"/>
    <w:rsid w:val="003D7465"/>
    <w:rsid w:val="003D7A10"/>
    <w:rsid w:val="003E01EC"/>
    <w:rsid w:val="003E0671"/>
    <w:rsid w:val="003E099F"/>
    <w:rsid w:val="003E1065"/>
    <w:rsid w:val="003E1726"/>
    <w:rsid w:val="003E1E01"/>
    <w:rsid w:val="003E1F4F"/>
    <w:rsid w:val="003E277D"/>
    <w:rsid w:val="003E2AD2"/>
    <w:rsid w:val="003E2B31"/>
    <w:rsid w:val="003E2C47"/>
    <w:rsid w:val="003E3230"/>
    <w:rsid w:val="003E32DD"/>
    <w:rsid w:val="003E3F7D"/>
    <w:rsid w:val="003E4550"/>
    <w:rsid w:val="003E4622"/>
    <w:rsid w:val="003E56A7"/>
    <w:rsid w:val="003E7629"/>
    <w:rsid w:val="003F079F"/>
    <w:rsid w:val="003F0DFD"/>
    <w:rsid w:val="003F1990"/>
    <w:rsid w:val="003F1C65"/>
    <w:rsid w:val="003F2060"/>
    <w:rsid w:val="003F217D"/>
    <w:rsid w:val="003F24BB"/>
    <w:rsid w:val="003F29F1"/>
    <w:rsid w:val="003F32E7"/>
    <w:rsid w:val="003F45C8"/>
    <w:rsid w:val="003F4BD3"/>
    <w:rsid w:val="003F516B"/>
    <w:rsid w:val="003F5D6E"/>
    <w:rsid w:val="003F6F48"/>
    <w:rsid w:val="003F7235"/>
    <w:rsid w:val="003F760E"/>
    <w:rsid w:val="003F7E6D"/>
    <w:rsid w:val="0040050C"/>
    <w:rsid w:val="004005AB"/>
    <w:rsid w:val="0040101B"/>
    <w:rsid w:val="004011F5"/>
    <w:rsid w:val="0040151F"/>
    <w:rsid w:val="0040154B"/>
    <w:rsid w:val="004015EB"/>
    <w:rsid w:val="004020AC"/>
    <w:rsid w:val="004033FB"/>
    <w:rsid w:val="00403888"/>
    <w:rsid w:val="00403A9B"/>
    <w:rsid w:val="0040420B"/>
    <w:rsid w:val="00404935"/>
    <w:rsid w:val="00404E79"/>
    <w:rsid w:val="0040627C"/>
    <w:rsid w:val="004069FB"/>
    <w:rsid w:val="00406A45"/>
    <w:rsid w:val="00406E74"/>
    <w:rsid w:val="00406FB3"/>
    <w:rsid w:val="00407733"/>
    <w:rsid w:val="00407C65"/>
    <w:rsid w:val="004100D4"/>
    <w:rsid w:val="004106F1"/>
    <w:rsid w:val="004116EC"/>
    <w:rsid w:val="0041171F"/>
    <w:rsid w:val="004119AA"/>
    <w:rsid w:val="00411B60"/>
    <w:rsid w:val="00413785"/>
    <w:rsid w:val="00413866"/>
    <w:rsid w:val="00414099"/>
    <w:rsid w:val="00414216"/>
    <w:rsid w:val="004148BF"/>
    <w:rsid w:val="00415675"/>
    <w:rsid w:val="004159A7"/>
    <w:rsid w:val="00416241"/>
    <w:rsid w:val="00416FE7"/>
    <w:rsid w:val="00417169"/>
    <w:rsid w:val="0041733B"/>
    <w:rsid w:val="004214F0"/>
    <w:rsid w:val="004215C1"/>
    <w:rsid w:val="00421B4B"/>
    <w:rsid w:val="00422EDB"/>
    <w:rsid w:val="004231D6"/>
    <w:rsid w:val="004233B9"/>
    <w:rsid w:val="0042391B"/>
    <w:rsid w:val="00424215"/>
    <w:rsid w:val="00424E93"/>
    <w:rsid w:val="0042651C"/>
    <w:rsid w:val="00426983"/>
    <w:rsid w:val="00430570"/>
    <w:rsid w:val="00432BA8"/>
    <w:rsid w:val="00433023"/>
    <w:rsid w:val="00433026"/>
    <w:rsid w:val="00433682"/>
    <w:rsid w:val="00433E7B"/>
    <w:rsid w:val="00433F6E"/>
    <w:rsid w:val="0043436A"/>
    <w:rsid w:val="00434824"/>
    <w:rsid w:val="00435482"/>
    <w:rsid w:val="00436162"/>
    <w:rsid w:val="00436F38"/>
    <w:rsid w:val="00437321"/>
    <w:rsid w:val="004375FA"/>
    <w:rsid w:val="00440C4C"/>
    <w:rsid w:val="00441CBF"/>
    <w:rsid w:val="0044205B"/>
    <w:rsid w:val="00442667"/>
    <w:rsid w:val="004435FF"/>
    <w:rsid w:val="004438CB"/>
    <w:rsid w:val="004443D9"/>
    <w:rsid w:val="00444ECD"/>
    <w:rsid w:val="00444F60"/>
    <w:rsid w:val="00444FFD"/>
    <w:rsid w:val="004451E6"/>
    <w:rsid w:val="004471A2"/>
    <w:rsid w:val="0044747C"/>
    <w:rsid w:val="00447904"/>
    <w:rsid w:val="004479BD"/>
    <w:rsid w:val="00447BBF"/>
    <w:rsid w:val="004501CF"/>
    <w:rsid w:val="0045079A"/>
    <w:rsid w:val="00452E96"/>
    <w:rsid w:val="00454409"/>
    <w:rsid w:val="00454EF7"/>
    <w:rsid w:val="00455AC4"/>
    <w:rsid w:val="00455CC9"/>
    <w:rsid w:val="004579AD"/>
    <w:rsid w:val="00457A95"/>
    <w:rsid w:val="00460002"/>
    <w:rsid w:val="0046070B"/>
    <w:rsid w:val="004607C0"/>
    <w:rsid w:val="00461FB6"/>
    <w:rsid w:val="0046284F"/>
    <w:rsid w:val="00463E15"/>
    <w:rsid w:val="0046419B"/>
    <w:rsid w:val="0046457E"/>
    <w:rsid w:val="00464C08"/>
    <w:rsid w:val="004658AF"/>
    <w:rsid w:val="00465E5C"/>
    <w:rsid w:val="004668B1"/>
    <w:rsid w:val="00467914"/>
    <w:rsid w:val="00470551"/>
    <w:rsid w:val="00470686"/>
    <w:rsid w:val="00470D8B"/>
    <w:rsid w:val="0047116E"/>
    <w:rsid w:val="004711E8"/>
    <w:rsid w:val="00471D44"/>
    <w:rsid w:val="004722B1"/>
    <w:rsid w:val="00472738"/>
    <w:rsid w:val="00472FAC"/>
    <w:rsid w:val="004733D8"/>
    <w:rsid w:val="00473717"/>
    <w:rsid w:val="0047373F"/>
    <w:rsid w:val="00473BA0"/>
    <w:rsid w:val="00474249"/>
    <w:rsid w:val="0047463D"/>
    <w:rsid w:val="00474C51"/>
    <w:rsid w:val="00474C81"/>
    <w:rsid w:val="004759E4"/>
    <w:rsid w:val="00475C6A"/>
    <w:rsid w:val="0047739A"/>
    <w:rsid w:val="00480320"/>
    <w:rsid w:val="00480561"/>
    <w:rsid w:val="00480867"/>
    <w:rsid w:val="00481547"/>
    <w:rsid w:val="0048157D"/>
    <w:rsid w:val="00481684"/>
    <w:rsid w:val="00481704"/>
    <w:rsid w:val="00481907"/>
    <w:rsid w:val="00481D33"/>
    <w:rsid w:val="00481F59"/>
    <w:rsid w:val="00482C35"/>
    <w:rsid w:val="00482F78"/>
    <w:rsid w:val="00483CBB"/>
    <w:rsid w:val="00483D32"/>
    <w:rsid w:val="004841E2"/>
    <w:rsid w:val="004851D5"/>
    <w:rsid w:val="00485530"/>
    <w:rsid w:val="00485A20"/>
    <w:rsid w:val="00485ED9"/>
    <w:rsid w:val="00486EA3"/>
    <w:rsid w:val="00486F64"/>
    <w:rsid w:val="00487083"/>
    <w:rsid w:val="004874DD"/>
    <w:rsid w:val="00487611"/>
    <w:rsid w:val="0048774B"/>
    <w:rsid w:val="0049028C"/>
    <w:rsid w:val="0049079C"/>
    <w:rsid w:val="00490D0D"/>
    <w:rsid w:val="00490F56"/>
    <w:rsid w:val="00490F82"/>
    <w:rsid w:val="0049103F"/>
    <w:rsid w:val="0049127D"/>
    <w:rsid w:val="004915C1"/>
    <w:rsid w:val="0049177C"/>
    <w:rsid w:val="004919C1"/>
    <w:rsid w:val="00491FEB"/>
    <w:rsid w:val="00492666"/>
    <w:rsid w:val="00492FC5"/>
    <w:rsid w:val="00493992"/>
    <w:rsid w:val="0049431F"/>
    <w:rsid w:val="00495935"/>
    <w:rsid w:val="00496CB2"/>
    <w:rsid w:val="00497016"/>
    <w:rsid w:val="004974D2"/>
    <w:rsid w:val="00497F2F"/>
    <w:rsid w:val="004A03DA"/>
    <w:rsid w:val="004A12A2"/>
    <w:rsid w:val="004A1667"/>
    <w:rsid w:val="004A1D8B"/>
    <w:rsid w:val="004A20F9"/>
    <w:rsid w:val="004A2238"/>
    <w:rsid w:val="004A2CFE"/>
    <w:rsid w:val="004A3BB9"/>
    <w:rsid w:val="004A4369"/>
    <w:rsid w:val="004A48B5"/>
    <w:rsid w:val="004A528A"/>
    <w:rsid w:val="004A5807"/>
    <w:rsid w:val="004A5C20"/>
    <w:rsid w:val="004A6336"/>
    <w:rsid w:val="004A65B1"/>
    <w:rsid w:val="004A6995"/>
    <w:rsid w:val="004A790C"/>
    <w:rsid w:val="004B04BB"/>
    <w:rsid w:val="004B0CF6"/>
    <w:rsid w:val="004B1623"/>
    <w:rsid w:val="004B1BEA"/>
    <w:rsid w:val="004B2948"/>
    <w:rsid w:val="004B2ABA"/>
    <w:rsid w:val="004B2DA4"/>
    <w:rsid w:val="004B339C"/>
    <w:rsid w:val="004B36FB"/>
    <w:rsid w:val="004B4A7D"/>
    <w:rsid w:val="004B4AE1"/>
    <w:rsid w:val="004B4C28"/>
    <w:rsid w:val="004B5533"/>
    <w:rsid w:val="004B62EF"/>
    <w:rsid w:val="004B6806"/>
    <w:rsid w:val="004B70E7"/>
    <w:rsid w:val="004C000B"/>
    <w:rsid w:val="004C01E7"/>
    <w:rsid w:val="004C187D"/>
    <w:rsid w:val="004C1C52"/>
    <w:rsid w:val="004C20E5"/>
    <w:rsid w:val="004C28F4"/>
    <w:rsid w:val="004C2A1C"/>
    <w:rsid w:val="004C35B6"/>
    <w:rsid w:val="004C452E"/>
    <w:rsid w:val="004C48C9"/>
    <w:rsid w:val="004C5754"/>
    <w:rsid w:val="004C5DB2"/>
    <w:rsid w:val="004C5DC6"/>
    <w:rsid w:val="004C6E76"/>
    <w:rsid w:val="004D11EA"/>
    <w:rsid w:val="004D154D"/>
    <w:rsid w:val="004D1622"/>
    <w:rsid w:val="004D1732"/>
    <w:rsid w:val="004D17C0"/>
    <w:rsid w:val="004D2421"/>
    <w:rsid w:val="004D32A3"/>
    <w:rsid w:val="004D339E"/>
    <w:rsid w:val="004D340F"/>
    <w:rsid w:val="004D346B"/>
    <w:rsid w:val="004D3D95"/>
    <w:rsid w:val="004D4201"/>
    <w:rsid w:val="004D4CBB"/>
    <w:rsid w:val="004D596E"/>
    <w:rsid w:val="004D63C9"/>
    <w:rsid w:val="004D7641"/>
    <w:rsid w:val="004D7BC0"/>
    <w:rsid w:val="004E001E"/>
    <w:rsid w:val="004E0482"/>
    <w:rsid w:val="004E2891"/>
    <w:rsid w:val="004E34CF"/>
    <w:rsid w:val="004E3DB1"/>
    <w:rsid w:val="004E42F8"/>
    <w:rsid w:val="004E46FD"/>
    <w:rsid w:val="004E5265"/>
    <w:rsid w:val="004E5E1C"/>
    <w:rsid w:val="004E6126"/>
    <w:rsid w:val="004E7903"/>
    <w:rsid w:val="004F0FAE"/>
    <w:rsid w:val="004F129E"/>
    <w:rsid w:val="004F2FBD"/>
    <w:rsid w:val="004F3786"/>
    <w:rsid w:val="004F42F4"/>
    <w:rsid w:val="004F462C"/>
    <w:rsid w:val="004F50AB"/>
    <w:rsid w:val="004F56C4"/>
    <w:rsid w:val="004F59B8"/>
    <w:rsid w:val="004F5A1A"/>
    <w:rsid w:val="004F6594"/>
    <w:rsid w:val="004F735C"/>
    <w:rsid w:val="004F77F1"/>
    <w:rsid w:val="005005D9"/>
    <w:rsid w:val="00500D9D"/>
    <w:rsid w:val="00500F92"/>
    <w:rsid w:val="00501304"/>
    <w:rsid w:val="0050176A"/>
    <w:rsid w:val="00501841"/>
    <w:rsid w:val="00501C4D"/>
    <w:rsid w:val="00502302"/>
    <w:rsid w:val="00502372"/>
    <w:rsid w:val="00502FAD"/>
    <w:rsid w:val="00505E10"/>
    <w:rsid w:val="0050612E"/>
    <w:rsid w:val="0050622F"/>
    <w:rsid w:val="00507466"/>
    <w:rsid w:val="00507B0B"/>
    <w:rsid w:val="00507BAA"/>
    <w:rsid w:val="0051050B"/>
    <w:rsid w:val="00510510"/>
    <w:rsid w:val="00511197"/>
    <w:rsid w:val="005135B8"/>
    <w:rsid w:val="00513A97"/>
    <w:rsid w:val="0051402F"/>
    <w:rsid w:val="00514500"/>
    <w:rsid w:val="00515235"/>
    <w:rsid w:val="005156EC"/>
    <w:rsid w:val="0051742D"/>
    <w:rsid w:val="005200CA"/>
    <w:rsid w:val="00521082"/>
    <w:rsid w:val="0052232C"/>
    <w:rsid w:val="005224E6"/>
    <w:rsid w:val="00522579"/>
    <w:rsid w:val="0052348B"/>
    <w:rsid w:val="005247C0"/>
    <w:rsid w:val="00524EBA"/>
    <w:rsid w:val="00524F0E"/>
    <w:rsid w:val="00527B9C"/>
    <w:rsid w:val="005305D0"/>
    <w:rsid w:val="00530A31"/>
    <w:rsid w:val="00530CDE"/>
    <w:rsid w:val="00531124"/>
    <w:rsid w:val="0053300C"/>
    <w:rsid w:val="00533206"/>
    <w:rsid w:val="005337AA"/>
    <w:rsid w:val="00533E2C"/>
    <w:rsid w:val="0053415E"/>
    <w:rsid w:val="0053500C"/>
    <w:rsid w:val="00535550"/>
    <w:rsid w:val="00535E36"/>
    <w:rsid w:val="005361B8"/>
    <w:rsid w:val="00536BE3"/>
    <w:rsid w:val="00537855"/>
    <w:rsid w:val="00540220"/>
    <w:rsid w:val="005405B6"/>
    <w:rsid w:val="005406E5"/>
    <w:rsid w:val="005407F9"/>
    <w:rsid w:val="00540CC5"/>
    <w:rsid w:val="00540DE1"/>
    <w:rsid w:val="00541A02"/>
    <w:rsid w:val="00542131"/>
    <w:rsid w:val="005422CF"/>
    <w:rsid w:val="00542E57"/>
    <w:rsid w:val="005430FC"/>
    <w:rsid w:val="005440CF"/>
    <w:rsid w:val="005443B5"/>
    <w:rsid w:val="00544D43"/>
    <w:rsid w:val="005450EE"/>
    <w:rsid w:val="005453B3"/>
    <w:rsid w:val="00545EB5"/>
    <w:rsid w:val="005509FE"/>
    <w:rsid w:val="00550DE5"/>
    <w:rsid w:val="00551DBB"/>
    <w:rsid w:val="005533CA"/>
    <w:rsid w:val="00553723"/>
    <w:rsid w:val="0055389E"/>
    <w:rsid w:val="00554101"/>
    <w:rsid w:val="00554448"/>
    <w:rsid w:val="0055473B"/>
    <w:rsid w:val="00555152"/>
    <w:rsid w:val="00555620"/>
    <w:rsid w:val="00555EF6"/>
    <w:rsid w:val="005561C9"/>
    <w:rsid w:val="005562EC"/>
    <w:rsid w:val="005568B3"/>
    <w:rsid w:val="005572E4"/>
    <w:rsid w:val="00557471"/>
    <w:rsid w:val="00557533"/>
    <w:rsid w:val="00562090"/>
    <w:rsid w:val="00563B62"/>
    <w:rsid w:val="00563BE0"/>
    <w:rsid w:val="00564C40"/>
    <w:rsid w:val="00564C6B"/>
    <w:rsid w:val="00564CF4"/>
    <w:rsid w:val="005652A3"/>
    <w:rsid w:val="005658E6"/>
    <w:rsid w:val="00565B08"/>
    <w:rsid w:val="005669BC"/>
    <w:rsid w:val="00566EAE"/>
    <w:rsid w:val="00567049"/>
    <w:rsid w:val="0056713A"/>
    <w:rsid w:val="005674F1"/>
    <w:rsid w:val="0056792F"/>
    <w:rsid w:val="0057037D"/>
    <w:rsid w:val="005705C3"/>
    <w:rsid w:val="005713C0"/>
    <w:rsid w:val="00571527"/>
    <w:rsid w:val="00571796"/>
    <w:rsid w:val="005721F6"/>
    <w:rsid w:val="00572543"/>
    <w:rsid w:val="005725D3"/>
    <w:rsid w:val="00572848"/>
    <w:rsid w:val="00572A48"/>
    <w:rsid w:val="0057323C"/>
    <w:rsid w:val="00573CCA"/>
    <w:rsid w:val="00573F8D"/>
    <w:rsid w:val="005741B1"/>
    <w:rsid w:val="005748B4"/>
    <w:rsid w:val="00574957"/>
    <w:rsid w:val="00574984"/>
    <w:rsid w:val="00574D58"/>
    <w:rsid w:val="00574FF1"/>
    <w:rsid w:val="00575344"/>
    <w:rsid w:val="005756C5"/>
    <w:rsid w:val="00575CA8"/>
    <w:rsid w:val="00575E66"/>
    <w:rsid w:val="005770CF"/>
    <w:rsid w:val="00577CBB"/>
    <w:rsid w:val="00577D03"/>
    <w:rsid w:val="00577DB1"/>
    <w:rsid w:val="00577E3E"/>
    <w:rsid w:val="0058124E"/>
    <w:rsid w:val="005813B2"/>
    <w:rsid w:val="005816B4"/>
    <w:rsid w:val="00582107"/>
    <w:rsid w:val="00582B2A"/>
    <w:rsid w:val="005839A4"/>
    <w:rsid w:val="00583A4F"/>
    <w:rsid w:val="0058417F"/>
    <w:rsid w:val="005842BA"/>
    <w:rsid w:val="005849D5"/>
    <w:rsid w:val="00584B8A"/>
    <w:rsid w:val="00584C9A"/>
    <w:rsid w:val="00584F2E"/>
    <w:rsid w:val="00584FEA"/>
    <w:rsid w:val="0058534F"/>
    <w:rsid w:val="005857D7"/>
    <w:rsid w:val="00585B19"/>
    <w:rsid w:val="00585B46"/>
    <w:rsid w:val="00585C94"/>
    <w:rsid w:val="005864BB"/>
    <w:rsid w:val="00586724"/>
    <w:rsid w:val="00586AE4"/>
    <w:rsid w:val="00586D72"/>
    <w:rsid w:val="00587BCD"/>
    <w:rsid w:val="00587C66"/>
    <w:rsid w:val="0059019D"/>
    <w:rsid w:val="005905B1"/>
    <w:rsid w:val="005906FF"/>
    <w:rsid w:val="00590764"/>
    <w:rsid w:val="00590980"/>
    <w:rsid w:val="00590FA6"/>
    <w:rsid w:val="00591BA0"/>
    <w:rsid w:val="005932E6"/>
    <w:rsid w:val="005939AB"/>
    <w:rsid w:val="00593FC4"/>
    <w:rsid w:val="005953E0"/>
    <w:rsid w:val="00595458"/>
    <w:rsid w:val="00595686"/>
    <w:rsid w:val="0059582C"/>
    <w:rsid w:val="005959B9"/>
    <w:rsid w:val="00595C49"/>
    <w:rsid w:val="00595F38"/>
    <w:rsid w:val="00597705"/>
    <w:rsid w:val="00597A14"/>
    <w:rsid w:val="005A04FC"/>
    <w:rsid w:val="005A06B7"/>
    <w:rsid w:val="005A1524"/>
    <w:rsid w:val="005A1F1D"/>
    <w:rsid w:val="005A20D9"/>
    <w:rsid w:val="005A2323"/>
    <w:rsid w:val="005A240C"/>
    <w:rsid w:val="005A2B28"/>
    <w:rsid w:val="005A2E43"/>
    <w:rsid w:val="005A327A"/>
    <w:rsid w:val="005A5012"/>
    <w:rsid w:val="005A62EA"/>
    <w:rsid w:val="005A7086"/>
    <w:rsid w:val="005A70DC"/>
    <w:rsid w:val="005A7A5A"/>
    <w:rsid w:val="005A7ADD"/>
    <w:rsid w:val="005B12AB"/>
    <w:rsid w:val="005B16D1"/>
    <w:rsid w:val="005B1A7F"/>
    <w:rsid w:val="005B2792"/>
    <w:rsid w:val="005B3C4E"/>
    <w:rsid w:val="005B43C0"/>
    <w:rsid w:val="005B4884"/>
    <w:rsid w:val="005B4CD3"/>
    <w:rsid w:val="005B4E7D"/>
    <w:rsid w:val="005B558C"/>
    <w:rsid w:val="005B5BE6"/>
    <w:rsid w:val="005B6F6A"/>
    <w:rsid w:val="005B7155"/>
    <w:rsid w:val="005B7DA9"/>
    <w:rsid w:val="005C0900"/>
    <w:rsid w:val="005C0E0A"/>
    <w:rsid w:val="005C0E37"/>
    <w:rsid w:val="005C156C"/>
    <w:rsid w:val="005C1643"/>
    <w:rsid w:val="005C1B14"/>
    <w:rsid w:val="005C1BBC"/>
    <w:rsid w:val="005C2FB8"/>
    <w:rsid w:val="005C3375"/>
    <w:rsid w:val="005C3425"/>
    <w:rsid w:val="005C4164"/>
    <w:rsid w:val="005C44BF"/>
    <w:rsid w:val="005C48B7"/>
    <w:rsid w:val="005C5223"/>
    <w:rsid w:val="005C528B"/>
    <w:rsid w:val="005C52D3"/>
    <w:rsid w:val="005C53C6"/>
    <w:rsid w:val="005C56AB"/>
    <w:rsid w:val="005C6C30"/>
    <w:rsid w:val="005C7BC3"/>
    <w:rsid w:val="005C7E93"/>
    <w:rsid w:val="005D0907"/>
    <w:rsid w:val="005D0A6A"/>
    <w:rsid w:val="005D0B24"/>
    <w:rsid w:val="005D1688"/>
    <w:rsid w:val="005D1AB3"/>
    <w:rsid w:val="005D1DAD"/>
    <w:rsid w:val="005D2471"/>
    <w:rsid w:val="005D2C81"/>
    <w:rsid w:val="005D308A"/>
    <w:rsid w:val="005D4027"/>
    <w:rsid w:val="005D40D0"/>
    <w:rsid w:val="005D5BA4"/>
    <w:rsid w:val="005D60BF"/>
    <w:rsid w:val="005D6852"/>
    <w:rsid w:val="005D6854"/>
    <w:rsid w:val="005E180F"/>
    <w:rsid w:val="005E1AFA"/>
    <w:rsid w:val="005E232E"/>
    <w:rsid w:val="005E2C2D"/>
    <w:rsid w:val="005E3089"/>
    <w:rsid w:val="005E30AF"/>
    <w:rsid w:val="005E3737"/>
    <w:rsid w:val="005E426E"/>
    <w:rsid w:val="005E5410"/>
    <w:rsid w:val="005E5C57"/>
    <w:rsid w:val="005E5CE8"/>
    <w:rsid w:val="005E620A"/>
    <w:rsid w:val="005E6A52"/>
    <w:rsid w:val="005E72E8"/>
    <w:rsid w:val="005E7FDB"/>
    <w:rsid w:val="005F02E7"/>
    <w:rsid w:val="005F09E0"/>
    <w:rsid w:val="005F1C7A"/>
    <w:rsid w:val="005F1DDA"/>
    <w:rsid w:val="005F2680"/>
    <w:rsid w:val="005F29FA"/>
    <w:rsid w:val="005F2F34"/>
    <w:rsid w:val="005F3DA4"/>
    <w:rsid w:val="005F52CB"/>
    <w:rsid w:val="005F535E"/>
    <w:rsid w:val="005F63F1"/>
    <w:rsid w:val="005F64B4"/>
    <w:rsid w:val="005F6AC4"/>
    <w:rsid w:val="005F73DB"/>
    <w:rsid w:val="005F7646"/>
    <w:rsid w:val="005F77DB"/>
    <w:rsid w:val="00600C4D"/>
    <w:rsid w:val="0060195A"/>
    <w:rsid w:val="00601BCD"/>
    <w:rsid w:val="00602FCE"/>
    <w:rsid w:val="00603243"/>
    <w:rsid w:val="00604519"/>
    <w:rsid w:val="00604BBF"/>
    <w:rsid w:val="00604DEC"/>
    <w:rsid w:val="00604F1A"/>
    <w:rsid w:val="00605592"/>
    <w:rsid w:val="006069E6"/>
    <w:rsid w:val="006070F8"/>
    <w:rsid w:val="0060754E"/>
    <w:rsid w:val="00610915"/>
    <w:rsid w:val="00610B1F"/>
    <w:rsid w:val="00610FD6"/>
    <w:rsid w:val="00611DD6"/>
    <w:rsid w:val="00612B2B"/>
    <w:rsid w:val="00613C06"/>
    <w:rsid w:val="00613F98"/>
    <w:rsid w:val="006146BD"/>
    <w:rsid w:val="0061537F"/>
    <w:rsid w:val="00615491"/>
    <w:rsid w:val="006156AE"/>
    <w:rsid w:val="006158B0"/>
    <w:rsid w:val="00615D14"/>
    <w:rsid w:val="00616FAE"/>
    <w:rsid w:val="00617D0B"/>
    <w:rsid w:val="0062020C"/>
    <w:rsid w:val="006209A0"/>
    <w:rsid w:val="00620DF0"/>
    <w:rsid w:val="00620FB9"/>
    <w:rsid w:val="006210EE"/>
    <w:rsid w:val="00621AA4"/>
    <w:rsid w:val="00622342"/>
    <w:rsid w:val="006226AE"/>
    <w:rsid w:val="00622839"/>
    <w:rsid w:val="00623A67"/>
    <w:rsid w:val="00624193"/>
    <w:rsid w:val="00624217"/>
    <w:rsid w:val="006245A0"/>
    <w:rsid w:val="006247CC"/>
    <w:rsid w:val="00624D89"/>
    <w:rsid w:val="006263C1"/>
    <w:rsid w:val="00626DD8"/>
    <w:rsid w:val="0062710E"/>
    <w:rsid w:val="006306F0"/>
    <w:rsid w:val="0063203A"/>
    <w:rsid w:val="006322B1"/>
    <w:rsid w:val="00632677"/>
    <w:rsid w:val="006326B4"/>
    <w:rsid w:val="00632C5F"/>
    <w:rsid w:val="006332F5"/>
    <w:rsid w:val="006339DA"/>
    <w:rsid w:val="00633BAB"/>
    <w:rsid w:val="0063418A"/>
    <w:rsid w:val="0063466D"/>
    <w:rsid w:val="0063468A"/>
    <w:rsid w:val="0063581B"/>
    <w:rsid w:val="00635829"/>
    <w:rsid w:val="00635CCF"/>
    <w:rsid w:val="006361BE"/>
    <w:rsid w:val="0063712B"/>
    <w:rsid w:val="006374B8"/>
    <w:rsid w:val="00640083"/>
    <w:rsid w:val="006408AE"/>
    <w:rsid w:val="00640D07"/>
    <w:rsid w:val="00641EF8"/>
    <w:rsid w:val="00642295"/>
    <w:rsid w:val="00642463"/>
    <w:rsid w:val="00642B12"/>
    <w:rsid w:val="006439AC"/>
    <w:rsid w:val="00643B0F"/>
    <w:rsid w:val="00643CD6"/>
    <w:rsid w:val="0064550D"/>
    <w:rsid w:val="00645F20"/>
    <w:rsid w:val="00647587"/>
    <w:rsid w:val="00647730"/>
    <w:rsid w:val="006502CB"/>
    <w:rsid w:val="00650413"/>
    <w:rsid w:val="00650C48"/>
    <w:rsid w:val="006510D7"/>
    <w:rsid w:val="0065114A"/>
    <w:rsid w:val="006515A7"/>
    <w:rsid w:val="0065162D"/>
    <w:rsid w:val="00651BD8"/>
    <w:rsid w:val="00652538"/>
    <w:rsid w:val="00653460"/>
    <w:rsid w:val="006536F2"/>
    <w:rsid w:val="0065388F"/>
    <w:rsid w:val="00654ABB"/>
    <w:rsid w:val="00654DA8"/>
    <w:rsid w:val="00655006"/>
    <w:rsid w:val="00656095"/>
    <w:rsid w:val="00656131"/>
    <w:rsid w:val="006569CF"/>
    <w:rsid w:val="00656BB4"/>
    <w:rsid w:val="00656BCA"/>
    <w:rsid w:val="00656E75"/>
    <w:rsid w:val="00657B0B"/>
    <w:rsid w:val="00660635"/>
    <w:rsid w:val="0066101C"/>
    <w:rsid w:val="006610E3"/>
    <w:rsid w:val="006618E9"/>
    <w:rsid w:val="00663178"/>
    <w:rsid w:val="0066343A"/>
    <w:rsid w:val="00663DAE"/>
    <w:rsid w:val="00663F8D"/>
    <w:rsid w:val="006644E1"/>
    <w:rsid w:val="006656AB"/>
    <w:rsid w:val="006656F9"/>
    <w:rsid w:val="00665DA6"/>
    <w:rsid w:val="00667070"/>
    <w:rsid w:val="00667499"/>
    <w:rsid w:val="0067011E"/>
    <w:rsid w:val="006708EF"/>
    <w:rsid w:val="006712FF"/>
    <w:rsid w:val="0067165D"/>
    <w:rsid w:val="006717DE"/>
    <w:rsid w:val="00671A9B"/>
    <w:rsid w:val="006726ED"/>
    <w:rsid w:val="00673523"/>
    <w:rsid w:val="006757D7"/>
    <w:rsid w:val="00675A0B"/>
    <w:rsid w:val="00676490"/>
    <w:rsid w:val="006779F2"/>
    <w:rsid w:val="00677D12"/>
    <w:rsid w:val="00680C93"/>
    <w:rsid w:val="00680E66"/>
    <w:rsid w:val="006815CD"/>
    <w:rsid w:val="00681D4E"/>
    <w:rsid w:val="0068253E"/>
    <w:rsid w:val="0068284F"/>
    <w:rsid w:val="0068332F"/>
    <w:rsid w:val="0068398F"/>
    <w:rsid w:val="00683A61"/>
    <w:rsid w:val="00683DBF"/>
    <w:rsid w:val="00685C34"/>
    <w:rsid w:val="00685C8E"/>
    <w:rsid w:val="00685DBE"/>
    <w:rsid w:val="00686C48"/>
    <w:rsid w:val="0068743D"/>
    <w:rsid w:val="00687562"/>
    <w:rsid w:val="00687634"/>
    <w:rsid w:val="00687D5F"/>
    <w:rsid w:val="0069011A"/>
    <w:rsid w:val="006901EA"/>
    <w:rsid w:val="006914C8"/>
    <w:rsid w:val="006915F4"/>
    <w:rsid w:val="00691977"/>
    <w:rsid w:val="00691B6A"/>
    <w:rsid w:val="0069206D"/>
    <w:rsid w:val="00692242"/>
    <w:rsid w:val="006922C7"/>
    <w:rsid w:val="00692402"/>
    <w:rsid w:val="00692EAE"/>
    <w:rsid w:val="006939A5"/>
    <w:rsid w:val="00693A46"/>
    <w:rsid w:val="00693CB6"/>
    <w:rsid w:val="006948F2"/>
    <w:rsid w:val="0069635F"/>
    <w:rsid w:val="00696E14"/>
    <w:rsid w:val="006972E6"/>
    <w:rsid w:val="00697B7B"/>
    <w:rsid w:val="006A11C8"/>
    <w:rsid w:val="006A1576"/>
    <w:rsid w:val="006A1FCD"/>
    <w:rsid w:val="006A2069"/>
    <w:rsid w:val="006A2741"/>
    <w:rsid w:val="006A3E67"/>
    <w:rsid w:val="006A40CF"/>
    <w:rsid w:val="006A5282"/>
    <w:rsid w:val="006A52E4"/>
    <w:rsid w:val="006A5DCF"/>
    <w:rsid w:val="006A5E8C"/>
    <w:rsid w:val="006A74B2"/>
    <w:rsid w:val="006B05FD"/>
    <w:rsid w:val="006B0F4E"/>
    <w:rsid w:val="006B175F"/>
    <w:rsid w:val="006B183A"/>
    <w:rsid w:val="006B1A5D"/>
    <w:rsid w:val="006B1DBE"/>
    <w:rsid w:val="006B2DCF"/>
    <w:rsid w:val="006B308D"/>
    <w:rsid w:val="006B454B"/>
    <w:rsid w:val="006B47EE"/>
    <w:rsid w:val="006B5229"/>
    <w:rsid w:val="006B5C4C"/>
    <w:rsid w:val="006B5D69"/>
    <w:rsid w:val="006B5DC7"/>
    <w:rsid w:val="006B65E6"/>
    <w:rsid w:val="006B6C86"/>
    <w:rsid w:val="006B7593"/>
    <w:rsid w:val="006B7787"/>
    <w:rsid w:val="006B79C7"/>
    <w:rsid w:val="006B7A2B"/>
    <w:rsid w:val="006B7AF8"/>
    <w:rsid w:val="006B7F7D"/>
    <w:rsid w:val="006C004D"/>
    <w:rsid w:val="006C08C1"/>
    <w:rsid w:val="006C102C"/>
    <w:rsid w:val="006C2431"/>
    <w:rsid w:val="006C38AB"/>
    <w:rsid w:val="006C3A34"/>
    <w:rsid w:val="006C3FE8"/>
    <w:rsid w:val="006C4921"/>
    <w:rsid w:val="006C49F1"/>
    <w:rsid w:val="006C4AF7"/>
    <w:rsid w:val="006C564B"/>
    <w:rsid w:val="006C648D"/>
    <w:rsid w:val="006C6572"/>
    <w:rsid w:val="006C77CF"/>
    <w:rsid w:val="006D0CBF"/>
    <w:rsid w:val="006D152B"/>
    <w:rsid w:val="006D257D"/>
    <w:rsid w:val="006D2600"/>
    <w:rsid w:val="006D2CD6"/>
    <w:rsid w:val="006D3121"/>
    <w:rsid w:val="006D55C1"/>
    <w:rsid w:val="006D5995"/>
    <w:rsid w:val="006D59CF"/>
    <w:rsid w:val="006D65BB"/>
    <w:rsid w:val="006D6DAE"/>
    <w:rsid w:val="006E0091"/>
    <w:rsid w:val="006E034C"/>
    <w:rsid w:val="006E06E3"/>
    <w:rsid w:val="006E0879"/>
    <w:rsid w:val="006E102C"/>
    <w:rsid w:val="006E115B"/>
    <w:rsid w:val="006E22AF"/>
    <w:rsid w:val="006E347B"/>
    <w:rsid w:val="006E3B9C"/>
    <w:rsid w:val="006E4207"/>
    <w:rsid w:val="006E422A"/>
    <w:rsid w:val="006E42B5"/>
    <w:rsid w:val="006E4417"/>
    <w:rsid w:val="006E4AFB"/>
    <w:rsid w:val="006E4F71"/>
    <w:rsid w:val="006E50F2"/>
    <w:rsid w:val="006E58CE"/>
    <w:rsid w:val="006E5EEF"/>
    <w:rsid w:val="006E6053"/>
    <w:rsid w:val="006E6118"/>
    <w:rsid w:val="006E6B57"/>
    <w:rsid w:val="006E7394"/>
    <w:rsid w:val="006E7417"/>
    <w:rsid w:val="006E7C73"/>
    <w:rsid w:val="006F10E3"/>
    <w:rsid w:val="006F16AE"/>
    <w:rsid w:val="006F2324"/>
    <w:rsid w:val="006F2D58"/>
    <w:rsid w:val="006F3526"/>
    <w:rsid w:val="006F4466"/>
    <w:rsid w:val="006F44DD"/>
    <w:rsid w:val="006F47FD"/>
    <w:rsid w:val="006F503F"/>
    <w:rsid w:val="006F5A60"/>
    <w:rsid w:val="006F633A"/>
    <w:rsid w:val="006F7AD9"/>
    <w:rsid w:val="006F7C40"/>
    <w:rsid w:val="006F7F4A"/>
    <w:rsid w:val="00700163"/>
    <w:rsid w:val="007001A0"/>
    <w:rsid w:val="0070082C"/>
    <w:rsid w:val="00700E55"/>
    <w:rsid w:val="00701379"/>
    <w:rsid w:val="007014C3"/>
    <w:rsid w:val="00701C38"/>
    <w:rsid w:val="00702EC8"/>
    <w:rsid w:val="0070323E"/>
    <w:rsid w:val="00703AC8"/>
    <w:rsid w:val="00703C4A"/>
    <w:rsid w:val="00703D0A"/>
    <w:rsid w:val="00703FFA"/>
    <w:rsid w:val="00704357"/>
    <w:rsid w:val="00704497"/>
    <w:rsid w:val="00704A31"/>
    <w:rsid w:val="00704F5C"/>
    <w:rsid w:val="00705180"/>
    <w:rsid w:val="00705A0A"/>
    <w:rsid w:val="00705AA1"/>
    <w:rsid w:val="007061BB"/>
    <w:rsid w:val="00706DC1"/>
    <w:rsid w:val="0070776D"/>
    <w:rsid w:val="0071063E"/>
    <w:rsid w:val="007115F5"/>
    <w:rsid w:val="00711833"/>
    <w:rsid w:val="0071267E"/>
    <w:rsid w:val="007132AF"/>
    <w:rsid w:val="00713BB8"/>
    <w:rsid w:val="007157A7"/>
    <w:rsid w:val="00715D85"/>
    <w:rsid w:val="00716183"/>
    <w:rsid w:val="00716765"/>
    <w:rsid w:val="00716DDE"/>
    <w:rsid w:val="007176C9"/>
    <w:rsid w:val="007203A3"/>
    <w:rsid w:val="00720E0D"/>
    <w:rsid w:val="0072114E"/>
    <w:rsid w:val="0072211B"/>
    <w:rsid w:val="007221CD"/>
    <w:rsid w:val="007233E7"/>
    <w:rsid w:val="00723930"/>
    <w:rsid w:val="00724036"/>
    <w:rsid w:val="007254C8"/>
    <w:rsid w:val="00726F68"/>
    <w:rsid w:val="007279FC"/>
    <w:rsid w:val="00727DD1"/>
    <w:rsid w:val="00730016"/>
    <w:rsid w:val="00730567"/>
    <w:rsid w:val="00730B45"/>
    <w:rsid w:val="007315B2"/>
    <w:rsid w:val="00732705"/>
    <w:rsid w:val="00732B95"/>
    <w:rsid w:val="00735254"/>
    <w:rsid w:val="00736149"/>
    <w:rsid w:val="00736765"/>
    <w:rsid w:val="007374F1"/>
    <w:rsid w:val="007377FA"/>
    <w:rsid w:val="00737B6A"/>
    <w:rsid w:val="00740C1B"/>
    <w:rsid w:val="00741528"/>
    <w:rsid w:val="00741CA0"/>
    <w:rsid w:val="007422DF"/>
    <w:rsid w:val="00744152"/>
    <w:rsid w:val="00744190"/>
    <w:rsid w:val="0074462D"/>
    <w:rsid w:val="00744A79"/>
    <w:rsid w:val="00744EA4"/>
    <w:rsid w:val="00745651"/>
    <w:rsid w:val="00745891"/>
    <w:rsid w:val="00746999"/>
    <w:rsid w:val="00746EE4"/>
    <w:rsid w:val="00750110"/>
    <w:rsid w:val="00750F26"/>
    <w:rsid w:val="00750F97"/>
    <w:rsid w:val="00751818"/>
    <w:rsid w:val="00751829"/>
    <w:rsid w:val="00752163"/>
    <w:rsid w:val="007528B4"/>
    <w:rsid w:val="00752D6C"/>
    <w:rsid w:val="00753E4E"/>
    <w:rsid w:val="00754141"/>
    <w:rsid w:val="00754CDB"/>
    <w:rsid w:val="007552B4"/>
    <w:rsid w:val="007562E4"/>
    <w:rsid w:val="007564C5"/>
    <w:rsid w:val="00757B79"/>
    <w:rsid w:val="00757C54"/>
    <w:rsid w:val="00760A14"/>
    <w:rsid w:val="00760CAD"/>
    <w:rsid w:val="00760F22"/>
    <w:rsid w:val="00761A10"/>
    <w:rsid w:val="00762028"/>
    <w:rsid w:val="007624E6"/>
    <w:rsid w:val="007625A5"/>
    <w:rsid w:val="007628F7"/>
    <w:rsid w:val="007632F5"/>
    <w:rsid w:val="0076436C"/>
    <w:rsid w:val="00764ADF"/>
    <w:rsid w:val="00765211"/>
    <w:rsid w:val="00765225"/>
    <w:rsid w:val="00765D5E"/>
    <w:rsid w:val="0076627A"/>
    <w:rsid w:val="0076640B"/>
    <w:rsid w:val="00766DDA"/>
    <w:rsid w:val="0076796E"/>
    <w:rsid w:val="0077129C"/>
    <w:rsid w:val="0077318F"/>
    <w:rsid w:val="007740F5"/>
    <w:rsid w:val="0077518A"/>
    <w:rsid w:val="0077563F"/>
    <w:rsid w:val="00775950"/>
    <w:rsid w:val="007761B3"/>
    <w:rsid w:val="007808A0"/>
    <w:rsid w:val="00780D95"/>
    <w:rsid w:val="00780F51"/>
    <w:rsid w:val="00781062"/>
    <w:rsid w:val="007816EC"/>
    <w:rsid w:val="0078183D"/>
    <w:rsid w:val="0078223F"/>
    <w:rsid w:val="00782BCD"/>
    <w:rsid w:val="00782E91"/>
    <w:rsid w:val="00782F8C"/>
    <w:rsid w:val="00782FBD"/>
    <w:rsid w:val="00783712"/>
    <w:rsid w:val="00783F14"/>
    <w:rsid w:val="00784BBF"/>
    <w:rsid w:val="00784F22"/>
    <w:rsid w:val="007862B3"/>
    <w:rsid w:val="00786B49"/>
    <w:rsid w:val="007875B1"/>
    <w:rsid w:val="00787728"/>
    <w:rsid w:val="00790DA3"/>
    <w:rsid w:val="00791258"/>
    <w:rsid w:val="00791A25"/>
    <w:rsid w:val="00791B8E"/>
    <w:rsid w:val="00791C93"/>
    <w:rsid w:val="00792441"/>
    <w:rsid w:val="00792603"/>
    <w:rsid w:val="00792793"/>
    <w:rsid w:val="00792DDD"/>
    <w:rsid w:val="007941BC"/>
    <w:rsid w:val="007952D5"/>
    <w:rsid w:val="00795858"/>
    <w:rsid w:val="00796AEB"/>
    <w:rsid w:val="00797168"/>
    <w:rsid w:val="00797552"/>
    <w:rsid w:val="007976C0"/>
    <w:rsid w:val="0079792A"/>
    <w:rsid w:val="007A0008"/>
    <w:rsid w:val="007A00F5"/>
    <w:rsid w:val="007A016B"/>
    <w:rsid w:val="007A0960"/>
    <w:rsid w:val="007A0B08"/>
    <w:rsid w:val="007A11AB"/>
    <w:rsid w:val="007A2073"/>
    <w:rsid w:val="007A2F03"/>
    <w:rsid w:val="007A362D"/>
    <w:rsid w:val="007A373A"/>
    <w:rsid w:val="007A416A"/>
    <w:rsid w:val="007A4360"/>
    <w:rsid w:val="007A4381"/>
    <w:rsid w:val="007A49BC"/>
    <w:rsid w:val="007A4EA8"/>
    <w:rsid w:val="007A594D"/>
    <w:rsid w:val="007A5BC9"/>
    <w:rsid w:val="007A5CEB"/>
    <w:rsid w:val="007A62B0"/>
    <w:rsid w:val="007A73F3"/>
    <w:rsid w:val="007A77E9"/>
    <w:rsid w:val="007B0F15"/>
    <w:rsid w:val="007B1450"/>
    <w:rsid w:val="007B1A36"/>
    <w:rsid w:val="007B2222"/>
    <w:rsid w:val="007B29AE"/>
    <w:rsid w:val="007B40A2"/>
    <w:rsid w:val="007B41B2"/>
    <w:rsid w:val="007B470E"/>
    <w:rsid w:val="007B5BCD"/>
    <w:rsid w:val="007B5E89"/>
    <w:rsid w:val="007B6392"/>
    <w:rsid w:val="007B6AFE"/>
    <w:rsid w:val="007B6D3E"/>
    <w:rsid w:val="007B7FC2"/>
    <w:rsid w:val="007C000F"/>
    <w:rsid w:val="007C0137"/>
    <w:rsid w:val="007C11FF"/>
    <w:rsid w:val="007C13DB"/>
    <w:rsid w:val="007C167A"/>
    <w:rsid w:val="007C2029"/>
    <w:rsid w:val="007C22E6"/>
    <w:rsid w:val="007C3358"/>
    <w:rsid w:val="007C3475"/>
    <w:rsid w:val="007C3797"/>
    <w:rsid w:val="007C3F48"/>
    <w:rsid w:val="007C52CF"/>
    <w:rsid w:val="007C5300"/>
    <w:rsid w:val="007C55A3"/>
    <w:rsid w:val="007C5C0B"/>
    <w:rsid w:val="007C5E41"/>
    <w:rsid w:val="007C677C"/>
    <w:rsid w:val="007C6A0D"/>
    <w:rsid w:val="007C6CCA"/>
    <w:rsid w:val="007C7207"/>
    <w:rsid w:val="007D0F2D"/>
    <w:rsid w:val="007D1C6B"/>
    <w:rsid w:val="007D211E"/>
    <w:rsid w:val="007D266B"/>
    <w:rsid w:val="007D28AD"/>
    <w:rsid w:val="007D2F22"/>
    <w:rsid w:val="007D4292"/>
    <w:rsid w:val="007D48AE"/>
    <w:rsid w:val="007D4CD6"/>
    <w:rsid w:val="007D4DB2"/>
    <w:rsid w:val="007D54B3"/>
    <w:rsid w:val="007D5FB9"/>
    <w:rsid w:val="007D6837"/>
    <w:rsid w:val="007D6AE9"/>
    <w:rsid w:val="007D6D43"/>
    <w:rsid w:val="007D7007"/>
    <w:rsid w:val="007D704D"/>
    <w:rsid w:val="007D7388"/>
    <w:rsid w:val="007D7AC7"/>
    <w:rsid w:val="007D7CD4"/>
    <w:rsid w:val="007E0BCA"/>
    <w:rsid w:val="007E1F32"/>
    <w:rsid w:val="007E1F40"/>
    <w:rsid w:val="007E2736"/>
    <w:rsid w:val="007E359D"/>
    <w:rsid w:val="007E3665"/>
    <w:rsid w:val="007E36A1"/>
    <w:rsid w:val="007E4932"/>
    <w:rsid w:val="007E4D6E"/>
    <w:rsid w:val="007E56D2"/>
    <w:rsid w:val="007E5BEA"/>
    <w:rsid w:val="007E5F68"/>
    <w:rsid w:val="007E6A07"/>
    <w:rsid w:val="007E783B"/>
    <w:rsid w:val="007E7F2A"/>
    <w:rsid w:val="007F036F"/>
    <w:rsid w:val="007F0AC7"/>
    <w:rsid w:val="007F0AF2"/>
    <w:rsid w:val="007F0CD2"/>
    <w:rsid w:val="007F1182"/>
    <w:rsid w:val="007F14A1"/>
    <w:rsid w:val="007F16FB"/>
    <w:rsid w:val="007F2065"/>
    <w:rsid w:val="007F22EB"/>
    <w:rsid w:val="007F2694"/>
    <w:rsid w:val="007F3C41"/>
    <w:rsid w:val="007F534A"/>
    <w:rsid w:val="007F6386"/>
    <w:rsid w:val="007F6515"/>
    <w:rsid w:val="0080165C"/>
    <w:rsid w:val="00802E66"/>
    <w:rsid w:val="00803032"/>
    <w:rsid w:val="0080334F"/>
    <w:rsid w:val="008037C8"/>
    <w:rsid w:val="00803F12"/>
    <w:rsid w:val="0080463E"/>
    <w:rsid w:val="0080484D"/>
    <w:rsid w:val="00805806"/>
    <w:rsid w:val="008059F6"/>
    <w:rsid w:val="0080601E"/>
    <w:rsid w:val="00806188"/>
    <w:rsid w:val="00807329"/>
    <w:rsid w:val="008073B9"/>
    <w:rsid w:val="00807BDF"/>
    <w:rsid w:val="0081006B"/>
    <w:rsid w:val="008115FA"/>
    <w:rsid w:val="00812B78"/>
    <w:rsid w:val="00813044"/>
    <w:rsid w:val="0081327A"/>
    <w:rsid w:val="00813A66"/>
    <w:rsid w:val="008140D7"/>
    <w:rsid w:val="00814DA8"/>
    <w:rsid w:val="00817631"/>
    <w:rsid w:val="00820802"/>
    <w:rsid w:val="00820D24"/>
    <w:rsid w:val="0082144E"/>
    <w:rsid w:val="00821480"/>
    <w:rsid w:val="00821550"/>
    <w:rsid w:val="008220CD"/>
    <w:rsid w:val="008221E5"/>
    <w:rsid w:val="00822DDC"/>
    <w:rsid w:val="00823889"/>
    <w:rsid w:val="00823964"/>
    <w:rsid w:val="0082445C"/>
    <w:rsid w:val="0082482A"/>
    <w:rsid w:val="0082559F"/>
    <w:rsid w:val="00825C15"/>
    <w:rsid w:val="00826C93"/>
    <w:rsid w:val="008272D7"/>
    <w:rsid w:val="00827453"/>
    <w:rsid w:val="008277CF"/>
    <w:rsid w:val="008277D8"/>
    <w:rsid w:val="00827DE8"/>
    <w:rsid w:val="00827EFB"/>
    <w:rsid w:val="008304AF"/>
    <w:rsid w:val="00830785"/>
    <w:rsid w:val="00830D4D"/>
    <w:rsid w:val="008311DE"/>
    <w:rsid w:val="00832306"/>
    <w:rsid w:val="00832695"/>
    <w:rsid w:val="008330BE"/>
    <w:rsid w:val="00834134"/>
    <w:rsid w:val="00835220"/>
    <w:rsid w:val="008364D9"/>
    <w:rsid w:val="00836939"/>
    <w:rsid w:val="00840817"/>
    <w:rsid w:val="00840D7F"/>
    <w:rsid w:val="00841C6F"/>
    <w:rsid w:val="00842A46"/>
    <w:rsid w:val="0084339F"/>
    <w:rsid w:val="008437CF"/>
    <w:rsid w:val="00844398"/>
    <w:rsid w:val="00844A04"/>
    <w:rsid w:val="00845954"/>
    <w:rsid w:val="0084599A"/>
    <w:rsid w:val="00845BC8"/>
    <w:rsid w:val="0084649D"/>
    <w:rsid w:val="0084734B"/>
    <w:rsid w:val="00847677"/>
    <w:rsid w:val="00847E59"/>
    <w:rsid w:val="00850E2B"/>
    <w:rsid w:val="0085150C"/>
    <w:rsid w:val="00851578"/>
    <w:rsid w:val="00851C8D"/>
    <w:rsid w:val="00852804"/>
    <w:rsid w:val="008528EB"/>
    <w:rsid w:val="008528EC"/>
    <w:rsid w:val="008529BA"/>
    <w:rsid w:val="00852B30"/>
    <w:rsid w:val="00852DFC"/>
    <w:rsid w:val="0085337A"/>
    <w:rsid w:val="0085381B"/>
    <w:rsid w:val="008542B9"/>
    <w:rsid w:val="008543ED"/>
    <w:rsid w:val="0085576E"/>
    <w:rsid w:val="008561CF"/>
    <w:rsid w:val="00856A7D"/>
    <w:rsid w:val="00856C22"/>
    <w:rsid w:val="00856C36"/>
    <w:rsid w:val="00857A2C"/>
    <w:rsid w:val="00857F92"/>
    <w:rsid w:val="00857FD4"/>
    <w:rsid w:val="0086022E"/>
    <w:rsid w:val="008602D3"/>
    <w:rsid w:val="00860369"/>
    <w:rsid w:val="00861127"/>
    <w:rsid w:val="0086121C"/>
    <w:rsid w:val="00862B66"/>
    <w:rsid w:val="00863472"/>
    <w:rsid w:val="0086472A"/>
    <w:rsid w:val="008650C9"/>
    <w:rsid w:val="00866CA5"/>
    <w:rsid w:val="00866F91"/>
    <w:rsid w:val="00870D5D"/>
    <w:rsid w:val="00871FD8"/>
    <w:rsid w:val="00872896"/>
    <w:rsid w:val="008728B2"/>
    <w:rsid w:val="00872BFA"/>
    <w:rsid w:val="00873066"/>
    <w:rsid w:val="00873F41"/>
    <w:rsid w:val="008744C5"/>
    <w:rsid w:val="00874B8D"/>
    <w:rsid w:val="00876109"/>
    <w:rsid w:val="008767DE"/>
    <w:rsid w:val="00876C96"/>
    <w:rsid w:val="00877547"/>
    <w:rsid w:val="00880521"/>
    <w:rsid w:val="00881249"/>
    <w:rsid w:val="008812AD"/>
    <w:rsid w:val="00881CDF"/>
    <w:rsid w:val="00881D63"/>
    <w:rsid w:val="00882575"/>
    <w:rsid w:val="00882C5F"/>
    <w:rsid w:val="00883951"/>
    <w:rsid w:val="00884760"/>
    <w:rsid w:val="00885AA9"/>
    <w:rsid w:val="00885E27"/>
    <w:rsid w:val="00887446"/>
    <w:rsid w:val="008879F0"/>
    <w:rsid w:val="00887A71"/>
    <w:rsid w:val="00890EE7"/>
    <w:rsid w:val="00890FC1"/>
    <w:rsid w:val="008913C2"/>
    <w:rsid w:val="00893628"/>
    <w:rsid w:val="008944EB"/>
    <w:rsid w:val="008944F5"/>
    <w:rsid w:val="0089477D"/>
    <w:rsid w:val="0089544F"/>
    <w:rsid w:val="00895DAD"/>
    <w:rsid w:val="008969F4"/>
    <w:rsid w:val="00896A23"/>
    <w:rsid w:val="00897261"/>
    <w:rsid w:val="00897674"/>
    <w:rsid w:val="008976C4"/>
    <w:rsid w:val="00897A7C"/>
    <w:rsid w:val="00897E70"/>
    <w:rsid w:val="008A20C5"/>
    <w:rsid w:val="008A20DE"/>
    <w:rsid w:val="008A2C84"/>
    <w:rsid w:val="008A3537"/>
    <w:rsid w:val="008A3813"/>
    <w:rsid w:val="008A3AB6"/>
    <w:rsid w:val="008A47B0"/>
    <w:rsid w:val="008A4BE0"/>
    <w:rsid w:val="008A57AE"/>
    <w:rsid w:val="008A66CF"/>
    <w:rsid w:val="008A6FCA"/>
    <w:rsid w:val="008A72EC"/>
    <w:rsid w:val="008A7418"/>
    <w:rsid w:val="008A7E8F"/>
    <w:rsid w:val="008A7FC0"/>
    <w:rsid w:val="008B0780"/>
    <w:rsid w:val="008B1151"/>
    <w:rsid w:val="008B2C3D"/>
    <w:rsid w:val="008B2DC8"/>
    <w:rsid w:val="008B45C6"/>
    <w:rsid w:val="008B56B7"/>
    <w:rsid w:val="008B63A2"/>
    <w:rsid w:val="008B647B"/>
    <w:rsid w:val="008B68DE"/>
    <w:rsid w:val="008B6CED"/>
    <w:rsid w:val="008B6DD7"/>
    <w:rsid w:val="008B6F22"/>
    <w:rsid w:val="008B7B94"/>
    <w:rsid w:val="008C03A9"/>
    <w:rsid w:val="008C0506"/>
    <w:rsid w:val="008C145F"/>
    <w:rsid w:val="008C213A"/>
    <w:rsid w:val="008C21AF"/>
    <w:rsid w:val="008C2D5E"/>
    <w:rsid w:val="008C2FB6"/>
    <w:rsid w:val="008C3F41"/>
    <w:rsid w:val="008C556A"/>
    <w:rsid w:val="008C5CF6"/>
    <w:rsid w:val="008C66BF"/>
    <w:rsid w:val="008C67E9"/>
    <w:rsid w:val="008C70B8"/>
    <w:rsid w:val="008C7D9A"/>
    <w:rsid w:val="008C7E86"/>
    <w:rsid w:val="008D178B"/>
    <w:rsid w:val="008D1842"/>
    <w:rsid w:val="008D1C05"/>
    <w:rsid w:val="008D28C6"/>
    <w:rsid w:val="008D2C75"/>
    <w:rsid w:val="008D35E0"/>
    <w:rsid w:val="008D3776"/>
    <w:rsid w:val="008D44AE"/>
    <w:rsid w:val="008D4B17"/>
    <w:rsid w:val="008D50E6"/>
    <w:rsid w:val="008D58F6"/>
    <w:rsid w:val="008D698A"/>
    <w:rsid w:val="008E073A"/>
    <w:rsid w:val="008E0847"/>
    <w:rsid w:val="008E25D9"/>
    <w:rsid w:val="008E2776"/>
    <w:rsid w:val="008E2F9B"/>
    <w:rsid w:val="008E339A"/>
    <w:rsid w:val="008E3794"/>
    <w:rsid w:val="008E4D04"/>
    <w:rsid w:val="008E598E"/>
    <w:rsid w:val="008E5DE5"/>
    <w:rsid w:val="008E65BA"/>
    <w:rsid w:val="008E6ECE"/>
    <w:rsid w:val="008F007A"/>
    <w:rsid w:val="008F036B"/>
    <w:rsid w:val="008F0721"/>
    <w:rsid w:val="008F076B"/>
    <w:rsid w:val="008F0D52"/>
    <w:rsid w:val="008F16C6"/>
    <w:rsid w:val="008F1835"/>
    <w:rsid w:val="008F287D"/>
    <w:rsid w:val="008F3269"/>
    <w:rsid w:val="008F329E"/>
    <w:rsid w:val="008F34DB"/>
    <w:rsid w:val="008F4013"/>
    <w:rsid w:val="008F4200"/>
    <w:rsid w:val="008F45C7"/>
    <w:rsid w:val="008F4792"/>
    <w:rsid w:val="008F4A3E"/>
    <w:rsid w:val="008F5294"/>
    <w:rsid w:val="008F5C41"/>
    <w:rsid w:val="008F686E"/>
    <w:rsid w:val="008F73A2"/>
    <w:rsid w:val="008F76A2"/>
    <w:rsid w:val="008F7ACB"/>
    <w:rsid w:val="008F7DDA"/>
    <w:rsid w:val="009017E2"/>
    <w:rsid w:val="00902E8B"/>
    <w:rsid w:val="00902ECB"/>
    <w:rsid w:val="00903D44"/>
    <w:rsid w:val="00903E67"/>
    <w:rsid w:val="00904305"/>
    <w:rsid w:val="0090446B"/>
    <w:rsid w:val="009045F0"/>
    <w:rsid w:val="00904D8D"/>
    <w:rsid w:val="00905335"/>
    <w:rsid w:val="0090549D"/>
    <w:rsid w:val="00906EF6"/>
    <w:rsid w:val="00907655"/>
    <w:rsid w:val="009076DA"/>
    <w:rsid w:val="00910592"/>
    <w:rsid w:val="00910D67"/>
    <w:rsid w:val="00910D85"/>
    <w:rsid w:val="009121C3"/>
    <w:rsid w:val="00913BE5"/>
    <w:rsid w:val="00914434"/>
    <w:rsid w:val="0091467F"/>
    <w:rsid w:val="009146DD"/>
    <w:rsid w:val="00914882"/>
    <w:rsid w:val="00914941"/>
    <w:rsid w:val="00914EA9"/>
    <w:rsid w:val="0091573B"/>
    <w:rsid w:val="00915B18"/>
    <w:rsid w:val="00916902"/>
    <w:rsid w:val="00916C80"/>
    <w:rsid w:val="00917419"/>
    <w:rsid w:val="009176DC"/>
    <w:rsid w:val="00917D24"/>
    <w:rsid w:val="00921A36"/>
    <w:rsid w:val="009220BC"/>
    <w:rsid w:val="00923222"/>
    <w:rsid w:val="00923FB6"/>
    <w:rsid w:val="00924207"/>
    <w:rsid w:val="00924D5E"/>
    <w:rsid w:val="00924F59"/>
    <w:rsid w:val="00927446"/>
    <w:rsid w:val="00927AC7"/>
    <w:rsid w:val="0093027E"/>
    <w:rsid w:val="0093032C"/>
    <w:rsid w:val="00930946"/>
    <w:rsid w:val="00931602"/>
    <w:rsid w:val="00931C68"/>
    <w:rsid w:val="00931EBC"/>
    <w:rsid w:val="0093311C"/>
    <w:rsid w:val="00933456"/>
    <w:rsid w:val="0093356E"/>
    <w:rsid w:val="0093528F"/>
    <w:rsid w:val="00936A41"/>
    <w:rsid w:val="009374BC"/>
    <w:rsid w:val="0094196D"/>
    <w:rsid w:val="00942E6D"/>
    <w:rsid w:val="009430D9"/>
    <w:rsid w:val="009432E9"/>
    <w:rsid w:val="00943B2C"/>
    <w:rsid w:val="00944F04"/>
    <w:rsid w:val="00946791"/>
    <w:rsid w:val="009467CE"/>
    <w:rsid w:val="00946F1D"/>
    <w:rsid w:val="009476AE"/>
    <w:rsid w:val="00950029"/>
    <w:rsid w:val="00950556"/>
    <w:rsid w:val="00950E47"/>
    <w:rsid w:val="00951634"/>
    <w:rsid w:val="00951974"/>
    <w:rsid w:val="009519E0"/>
    <w:rsid w:val="009527DE"/>
    <w:rsid w:val="00952D5C"/>
    <w:rsid w:val="00952F47"/>
    <w:rsid w:val="009532F9"/>
    <w:rsid w:val="009534B9"/>
    <w:rsid w:val="0095377D"/>
    <w:rsid w:val="00953DF5"/>
    <w:rsid w:val="00953E04"/>
    <w:rsid w:val="00954248"/>
    <w:rsid w:val="009548A7"/>
    <w:rsid w:val="00955ECC"/>
    <w:rsid w:val="00957501"/>
    <w:rsid w:val="0095762A"/>
    <w:rsid w:val="00957AFC"/>
    <w:rsid w:val="00957E54"/>
    <w:rsid w:val="0096002F"/>
    <w:rsid w:val="00961229"/>
    <w:rsid w:val="009619F0"/>
    <w:rsid w:val="00961A78"/>
    <w:rsid w:val="00962C02"/>
    <w:rsid w:val="00962D5B"/>
    <w:rsid w:val="0096312E"/>
    <w:rsid w:val="00964197"/>
    <w:rsid w:val="00964357"/>
    <w:rsid w:val="009647FB"/>
    <w:rsid w:val="00965A35"/>
    <w:rsid w:val="00965C84"/>
    <w:rsid w:val="00967004"/>
    <w:rsid w:val="009678B9"/>
    <w:rsid w:val="009704ED"/>
    <w:rsid w:val="00970FFC"/>
    <w:rsid w:val="00971261"/>
    <w:rsid w:val="009715B6"/>
    <w:rsid w:val="00971A8E"/>
    <w:rsid w:val="009723B6"/>
    <w:rsid w:val="009729C8"/>
    <w:rsid w:val="00974852"/>
    <w:rsid w:val="00974BAB"/>
    <w:rsid w:val="009750F1"/>
    <w:rsid w:val="0097632C"/>
    <w:rsid w:val="00976AB9"/>
    <w:rsid w:val="00977942"/>
    <w:rsid w:val="00980446"/>
    <w:rsid w:val="0098045E"/>
    <w:rsid w:val="0098068A"/>
    <w:rsid w:val="00983049"/>
    <w:rsid w:val="00983361"/>
    <w:rsid w:val="0098382F"/>
    <w:rsid w:val="0098441F"/>
    <w:rsid w:val="00984BAA"/>
    <w:rsid w:val="00984C91"/>
    <w:rsid w:val="00985735"/>
    <w:rsid w:val="0098589A"/>
    <w:rsid w:val="00986300"/>
    <w:rsid w:val="009863FE"/>
    <w:rsid w:val="00986FF8"/>
    <w:rsid w:val="00987184"/>
    <w:rsid w:val="00990E8C"/>
    <w:rsid w:val="00991149"/>
    <w:rsid w:val="00991446"/>
    <w:rsid w:val="00992338"/>
    <w:rsid w:val="00992690"/>
    <w:rsid w:val="00993794"/>
    <w:rsid w:val="00993883"/>
    <w:rsid w:val="00993AD0"/>
    <w:rsid w:val="009947C6"/>
    <w:rsid w:val="00994B7A"/>
    <w:rsid w:val="00994EB2"/>
    <w:rsid w:val="00994F73"/>
    <w:rsid w:val="0099505D"/>
    <w:rsid w:val="0099514D"/>
    <w:rsid w:val="00995E26"/>
    <w:rsid w:val="009967A2"/>
    <w:rsid w:val="00996C59"/>
    <w:rsid w:val="00996E68"/>
    <w:rsid w:val="00997B0F"/>
    <w:rsid w:val="009A1581"/>
    <w:rsid w:val="009A20E5"/>
    <w:rsid w:val="009A262A"/>
    <w:rsid w:val="009A369D"/>
    <w:rsid w:val="009A3773"/>
    <w:rsid w:val="009A41F4"/>
    <w:rsid w:val="009A42A8"/>
    <w:rsid w:val="009A4E74"/>
    <w:rsid w:val="009A4EA7"/>
    <w:rsid w:val="009A548D"/>
    <w:rsid w:val="009A55CD"/>
    <w:rsid w:val="009A58C2"/>
    <w:rsid w:val="009A58F7"/>
    <w:rsid w:val="009A619A"/>
    <w:rsid w:val="009A643D"/>
    <w:rsid w:val="009A663E"/>
    <w:rsid w:val="009A702F"/>
    <w:rsid w:val="009A78C2"/>
    <w:rsid w:val="009A7A4D"/>
    <w:rsid w:val="009A7BD2"/>
    <w:rsid w:val="009A7F66"/>
    <w:rsid w:val="009A7FF8"/>
    <w:rsid w:val="009B0DEE"/>
    <w:rsid w:val="009B1039"/>
    <w:rsid w:val="009B141D"/>
    <w:rsid w:val="009B1828"/>
    <w:rsid w:val="009B18EB"/>
    <w:rsid w:val="009B1A33"/>
    <w:rsid w:val="009B1B0E"/>
    <w:rsid w:val="009B2FC0"/>
    <w:rsid w:val="009B3699"/>
    <w:rsid w:val="009B4EF6"/>
    <w:rsid w:val="009B57A7"/>
    <w:rsid w:val="009B5A16"/>
    <w:rsid w:val="009B5A80"/>
    <w:rsid w:val="009B5D6A"/>
    <w:rsid w:val="009B5E5F"/>
    <w:rsid w:val="009B6634"/>
    <w:rsid w:val="009B6BC4"/>
    <w:rsid w:val="009B6EE3"/>
    <w:rsid w:val="009B7E9C"/>
    <w:rsid w:val="009C0DAB"/>
    <w:rsid w:val="009C1929"/>
    <w:rsid w:val="009C1AAF"/>
    <w:rsid w:val="009C1BE9"/>
    <w:rsid w:val="009C2C3B"/>
    <w:rsid w:val="009C2D58"/>
    <w:rsid w:val="009C35AB"/>
    <w:rsid w:val="009C52F8"/>
    <w:rsid w:val="009C56D2"/>
    <w:rsid w:val="009C5A69"/>
    <w:rsid w:val="009C5B93"/>
    <w:rsid w:val="009C6802"/>
    <w:rsid w:val="009C6DE8"/>
    <w:rsid w:val="009C7C50"/>
    <w:rsid w:val="009D064A"/>
    <w:rsid w:val="009D0FD4"/>
    <w:rsid w:val="009D1E9C"/>
    <w:rsid w:val="009D21FD"/>
    <w:rsid w:val="009D241D"/>
    <w:rsid w:val="009D2CEF"/>
    <w:rsid w:val="009D2F1F"/>
    <w:rsid w:val="009D3476"/>
    <w:rsid w:val="009D4342"/>
    <w:rsid w:val="009D458D"/>
    <w:rsid w:val="009D4F06"/>
    <w:rsid w:val="009D5419"/>
    <w:rsid w:val="009D5641"/>
    <w:rsid w:val="009D5A99"/>
    <w:rsid w:val="009D5DDF"/>
    <w:rsid w:val="009D5EF8"/>
    <w:rsid w:val="009D62E4"/>
    <w:rsid w:val="009D77E8"/>
    <w:rsid w:val="009D799F"/>
    <w:rsid w:val="009E0D9C"/>
    <w:rsid w:val="009E1575"/>
    <w:rsid w:val="009E1F0E"/>
    <w:rsid w:val="009E25E8"/>
    <w:rsid w:val="009E3CA9"/>
    <w:rsid w:val="009E4538"/>
    <w:rsid w:val="009E6050"/>
    <w:rsid w:val="009E6ACB"/>
    <w:rsid w:val="009E74F5"/>
    <w:rsid w:val="009F1680"/>
    <w:rsid w:val="009F1EFE"/>
    <w:rsid w:val="009F201F"/>
    <w:rsid w:val="009F29B5"/>
    <w:rsid w:val="009F29F7"/>
    <w:rsid w:val="009F2CDB"/>
    <w:rsid w:val="009F3071"/>
    <w:rsid w:val="009F378F"/>
    <w:rsid w:val="009F3C60"/>
    <w:rsid w:val="009F4169"/>
    <w:rsid w:val="009F5585"/>
    <w:rsid w:val="009F5D0F"/>
    <w:rsid w:val="009F6125"/>
    <w:rsid w:val="009F67A6"/>
    <w:rsid w:val="009F7072"/>
    <w:rsid w:val="009F7980"/>
    <w:rsid w:val="00A0083A"/>
    <w:rsid w:val="00A00D26"/>
    <w:rsid w:val="00A01227"/>
    <w:rsid w:val="00A029D6"/>
    <w:rsid w:val="00A02C7F"/>
    <w:rsid w:val="00A0324B"/>
    <w:rsid w:val="00A03952"/>
    <w:rsid w:val="00A03F1F"/>
    <w:rsid w:val="00A04398"/>
    <w:rsid w:val="00A046D6"/>
    <w:rsid w:val="00A05F06"/>
    <w:rsid w:val="00A06468"/>
    <w:rsid w:val="00A06974"/>
    <w:rsid w:val="00A07888"/>
    <w:rsid w:val="00A078D4"/>
    <w:rsid w:val="00A07978"/>
    <w:rsid w:val="00A102BE"/>
    <w:rsid w:val="00A10752"/>
    <w:rsid w:val="00A10BAD"/>
    <w:rsid w:val="00A10CF5"/>
    <w:rsid w:val="00A10E6F"/>
    <w:rsid w:val="00A113E5"/>
    <w:rsid w:val="00A12284"/>
    <w:rsid w:val="00A12F06"/>
    <w:rsid w:val="00A14DB5"/>
    <w:rsid w:val="00A15A6C"/>
    <w:rsid w:val="00A165BD"/>
    <w:rsid w:val="00A16873"/>
    <w:rsid w:val="00A16B0C"/>
    <w:rsid w:val="00A16D3C"/>
    <w:rsid w:val="00A16FC2"/>
    <w:rsid w:val="00A173B4"/>
    <w:rsid w:val="00A1794A"/>
    <w:rsid w:val="00A17D04"/>
    <w:rsid w:val="00A20101"/>
    <w:rsid w:val="00A2047C"/>
    <w:rsid w:val="00A21220"/>
    <w:rsid w:val="00A214A9"/>
    <w:rsid w:val="00A21D79"/>
    <w:rsid w:val="00A2220C"/>
    <w:rsid w:val="00A2266C"/>
    <w:rsid w:val="00A23070"/>
    <w:rsid w:val="00A23133"/>
    <w:rsid w:val="00A23BEE"/>
    <w:rsid w:val="00A25246"/>
    <w:rsid w:val="00A2556A"/>
    <w:rsid w:val="00A255EF"/>
    <w:rsid w:val="00A25BA4"/>
    <w:rsid w:val="00A26B8D"/>
    <w:rsid w:val="00A26FCA"/>
    <w:rsid w:val="00A277C4"/>
    <w:rsid w:val="00A30608"/>
    <w:rsid w:val="00A30947"/>
    <w:rsid w:val="00A30E84"/>
    <w:rsid w:val="00A30EEF"/>
    <w:rsid w:val="00A3155A"/>
    <w:rsid w:val="00A31769"/>
    <w:rsid w:val="00A31D4E"/>
    <w:rsid w:val="00A32380"/>
    <w:rsid w:val="00A329A2"/>
    <w:rsid w:val="00A329CF"/>
    <w:rsid w:val="00A32A3B"/>
    <w:rsid w:val="00A33547"/>
    <w:rsid w:val="00A33A5F"/>
    <w:rsid w:val="00A33EC3"/>
    <w:rsid w:val="00A3425B"/>
    <w:rsid w:val="00A34756"/>
    <w:rsid w:val="00A3504D"/>
    <w:rsid w:val="00A3570E"/>
    <w:rsid w:val="00A36593"/>
    <w:rsid w:val="00A366E1"/>
    <w:rsid w:val="00A36FE2"/>
    <w:rsid w:val="00A3701D"/>
    <w:rsid w:val="00A370E1"/>
    <w:rsid w:val="00A374DE"/>
    <w:rsid w:val="00A40B55"/>
    <w:rsid w:val="00A41B25"/>
    <w:rsid w:val="00A4234C"/>
    <w:rsid w:val="00A42A19"/>
    <w:rsid w:val="00A42AA2"/>
    <w:rsid w:val="00A44D1F"/>
    <w:rsid w:val="00A4541E"/>
    <w:rsid w:val="00A4635C"/>
    <w:rsid w:val="00A46D70"/>
    <w:rsid w:val="00A4786A"/>
    <w:rsid w:val="00A50558"/>
    <w:rsid w:val="00A5092B"/>
    <w:rsid w:val="00A51BA6"/>
    <w:rsid w:val="00A52079"/>
    <w:rsid w:val="00A525E2"/>
    <w:rsid w:val="00A52BC0"/>
    <w:rsid w:val="00A52F09"/>
    <w:rsid w:val="00A5342E"/>
    <w:rsid w:val="00A55C3E"/>
    <w:rsid w:val="00A565B1"/>
    <w:rsid w:val="00A60668"/>
    <w:rsid w:val="00A61601"/>
    <w:rsid w:val="00A61714"/>
    <w:rsid w:val="00A61B5A"/>
    <w:rsid w:val="00A61F2B"/>
    <w:rsid w:val="00A63617"/>
    <w:rsid w:val="00A650E5"/>
    <w:rsid w:val="00A6652E"/>
    <w:rsid w:val="00A66571"/>
    <w:rsid w:val="00A67500"/>
    <w:rsid w:val="00A67982"/>
    <w:rsid w:val="00A67A5F"/>
    <w:rsid w:val="00A67ADB"/>
    <w:rsid w:val="00A67D1E"/>
    <w:rsid w:val="00A67F30"/>
    <w:rsid w:val="00A7046A"/>
    <w:rsid w:val="00A710AF"/>
    <w:rsid w:val="00A71BFD"/>
    <w:rsid w:val="00A74CD7"/>
    <w:rsid w:val="00A74E32"/>
    <w:rsid w:val="00A75877"/>
    <w:rsid w:val="00A76388"/>
    <w:rsid w:val="00A76AA9"/>
    <w:rsid w:val="00A7703D"/>
    <w:rsid w:val="00A77527"/>
    <w:rsid w:val="00A80101"/>
    <w:rsid w:val="00A80613"/>
    <w:rsid w:val="00A80A0F"/>
    <w:rsid w:val="00A828C3"/>
    <w:rsid w:val="00A829F9"/>
    <w:rsid w:val="00A82A5C"/>
    <w:rsid w:val="00A82EE0"/>
    <w:rsid w:val="00A8368B"/>
    <w:rsid w:val="00A84095"/>
    <w:rsid w:val="00A84A3E"/>
    <w:rsid w:val="00A85122"/>
    <w:rsid w:val="00A85D7E"/>
    <w:rsid w:val="00A860EA"/>
    <w:rsid w:val="00A86802"/>
    <w:rsid w:val="00A86CD7"/>
    <w:rsid w:val="00A8761F"/>
    <w:rsid w:val="00A903ED"/>
    <w:rsid w:val="00A91DCA"/>
    <w:rsid w:val="00A91DEF"/>
    <w:rsid w:val="00A92083"/>
    <w:rsid w:val="00A92289"/>
    <w:rsid w:val="00A92BC5"/>
    <w:rsid w:val="00A93719"/>
    <w:rsid w:val="00A939C8"/>
    <w:rsid w:val="00A95EDC"/>
    <w:rsid w:val="00A972BE"/>
    <w:rsid w:val="00A9734E"/>
    <w:rsid w:val="00A9753E"/>
    <w:rsid w:val="00A97D56"/>
    <w:rsid w:val="00AA0183"/>
    <w:rsid w:val="00AA0231"/>
    <w:rsid w:val="00AA1783"/>
    <w:rsid w:val="00AA195B"/>
    <w:rsid w:val="00AA2E96"/>
    <w:rsid w:val="00AA314B"/>
    <w:rsid w:val="00AA3561"/>
    <w:rsid w:val="00AA3CDA"/>
    <w:rsid w:val="00AA3F4B"/>
    <w:rsid w:val="00AA50E9"/>
    <w:rsid w:val="00AA6E08"/>
    <w:rsid w:val="00AA70BB"/>
    <w:rsid w:val="00AA70FC"/>
    <w:rsid w:val="00AA7253"/>
    <w:rsid w:val="00AA73E4"/>
    <w:rsid w:val="00AA7BF9"/>
    <w:rsid w:val="00AB0852"/>
    <w:rsid w:val="00AB0AEA"/>
    <w:rsid w:val="00AB12D7"/>
    <w:rsid w:val="00AB132D"/>
    <w:rsid w:val="00AB193C"/>
    <w:rsid w:val="00AB1A3A"/>
    <w:rsid w:val="00AB1E14"/>
    <w:rsid w:val="00AB2187"/>
    <w:rsid w:val="00AB3C2D"/>
    <w:rsid w:val="00AB42B3"/>
    <w:rsid w:val="00AB456B"/>
    <w:rsid w:val="00AB4CD5"/>
    <w:rsid w:val="00AB4DE6"/>
    <w:rsid w:val="00AB4EFA"/>
    <w:rsid w:val="00AB5929"/>
    <w:rsid w:val="00AB6A11"/>
    <w:rsid w:val="00AB6F73"/>
    <w:rsid w:val="00AB723B"/>
    <w:rsid w:val="00AC06E2"/>
    <w:rsid w:val="00AC09F5"/>
    <w:rsid w:val="00AC0C06"/>
    <w:rsid w:val="00AC0C0A"/>
    <w:rsid w:val="00AC1957"/>
    <w:rsid w:val="00AC1D2E"/>
    <w:rsid w:val="00AC1EA7"/>
    <w:rsid w:val="00AC364B"/>
    <w:rsid w:val="00AC3A59"/>
    <w:rsid w:val="00AC4515"/>
    <w:rsid w:val="00AC4978"/>
    <w:rsid w:val="00AC4A0C"/>
    <w:rsid w:val="00AC4B68"/>
    <w:rsid w:val="00AC4F52"/>
    <w:rsid w:val="00AC5356"/>
    <w:rsid w:val="00AC5E8E"/>
    <w:rsid w:val="00AC678C"/>
    <w:rsid w:val="00AC6BDD"/>
    <w:rsid w:val="00AC7204"/>
    <w:rsid w:val="00AC74AB"/>
    <w:rsid w:val="00AC768A"/>
    <w:rsid w:val="00AC7C14"/>
    <w:rsid w:val="00AD0548"/>
    <w:rsid w:val="00AD0634"/>
    <w:rsid w:val="00AD06FC"/>
    <w:rsid w:val="00AD0A88"/>
    <w:rsid w:val="00AD0D18"/>
    <w:rsid w:val="00AD0F36"/>
    <w:rsid w:val="00AD110D"/>
    <w:rsid w:val="00AD1BFC"/>
    <w:rsid w:val="00AD1E46"/>
    <w:rsid w:val="00AD1EE1"/>
    <w:rsid w:val="00AD229D"/>
    <w:rsid w:val="00AD2563"/>
    <w:rsid w:val="00AD287D"/>
    <w:rsid w:val="00AD2C97"/>
    <w:rsid w:val="00AD35C2"/>
    <w:rsid w:val="00AD3D6D"/>
    <w:rsid w:val="00AD4417"/>
    <w:rsid w:val="00AD5AA4"/>
    <w:rsid w:val="00AD5FD6"/>
    <w:rsid w:val="00AD6C3F"/>
    <w:rsid w:val="00AD6D3E"/>
    <w:rsid w:val="00AD7BAC"/>
    <w:rsid w:val="00AE0DA8"/>
    <w:rsid w:val="00AE18E3"/>
    <w:rsid w:val="00AE1ACB"/>
    <w:rsid w:val="00AE2B2C"/>
    <w:rsid w:val="00AE30B1"/>
    <w:rsid w:val="00AE38E7"/>
    <w:rsid w:val="00AE3934"/>
    <w:rsid w:val="00AE3BCF"/>
    <w:rsid w:val="00AE4078"/>
    <w:rsid w:val="00AE558A"/>
    <w:rsid w:val="00AF01AB"/>
    <w:rsid w:val="00AF0720"/>
    <w:rsid w:val="00AF09F8"/>
    <w:rsid w:val="00AF0C70"/>
    <w:rsid w:val="00AF1337"/>
    <w:rsid w:val="00AF157E"/>
    <w:rsid w:val="00AF1C1E"/>
    <w:rsid w:val="00AF2515"/>
    <w:rsid w:val="00AF2723"/>
    <w:rsid w:val="00AF2EF3"/>
    <w:rsid w:val="00AF3CBB"/>
    <w:rsid w:val="00AF4B82"/>
    <w:rsid w:val="00AF5441"/>
    <w:rsid w:val="00AF5571"/>
    <w:rsid w:val="00AF5A32"/>
    <w:rsid w:val="00AF5AA3"/>
    <w:rsid w:val="00AF5D1B"/>
    <w:rsid w:val="00AF7CE6"/>
    <w:rsid w:val="00B003D9"/>
    <w:rsid w:val="00B0049D"/>
    <w:rsid w:val="00B00F62"/>
    <w:rsid w:val="00B01279"/>
    <w:rsid w:val="00B01753"/>
    <w:rsid w:val="00B01EA7"/>
    <w:rsid w:val="00B022AF"/>
    <w:rsid w:val="00B04AF7"/>
    <w:rsid w:val="00B053AA"/>
    <w:rsid w:val="00B056BF"/>
    <w:rsid w:val="00B058BD"/>
    <w:rsid w:val="00B06EBD"/>
    <w:rsid w:val="00B06F68"/>
    <w:rsid w:val="00B10093"/>
    <w:rsid w:val="00B10ADC"/>
    <w:rsid w:val="00B10CEC"/>
    <w:rsid w:val="00B11C35"/>
    <w:rsid w:val="00B12032"/>
    <w:rsid w:val="00B12247"/>
    <w:rsid w:val="00B14060"/>
    <w:rsid w:val="00B14550"/>
    <w:rsid w:val="00B147BB"/>
    <w:rsid w:val="00B14CB8"/>
    <w:rsid w:val="00B16CC3"/>
    <w:rsid w:val="00B17A41"/>
    <w:rsid w:val="00B17F28"/>
    <w:rsid w:val="00B205D9"/>
    <w:rsid w:val="00B2115D"/>
    <w:rsid w:val="00B21471"/>
    <w:rsid w:val="00B21683"/>
    <w:rsid w:val="00B21697"/>
    <w:rsid w:val="00B21729"/>
    <w:rsid w:val="00B2214E"/>
    <w:rsid w:val="00B22A68"/>
    <w:rsid w:val="00B253C5"/>
    <w:rsid w:val="00B258D7"/>
    <w:rsid w:val="00B26FB3"/>
    <w:rsid w:val="00B27AB1"/>
    <w:rsid w:val="00B3047D"/>
    <w:rsid w:val="00B307AA"/>
    <w:rsid w:val="00B30960"/>
    <w:rsid w:val="00B30CC3"/>
    <w:rsid w:val="00B30FD0"/>
    <w:rsid w:val="00B312D0"/>
    <w:rsid w:val="00B31A1B"/>
    <w:rsid w:val="00B31BFD"/>
    <w:rsid w:val="00B31D96"/>
    <w:rsid w:val="00B3219C"/>
    <w:rsid w:val="00B32335"/>
    <w:rsid w:val="00B329C1"/>
    <w:rsid w:val="00B32B73"/>
    <w:rsid w:val="00B3387D"/>
    <w:rsid w:val="00B34FC5"/>
    <w:rsid w:val="00B35F6D"/>
    <w:rsid w:val="00B3611E"/>
    <w:rsid w:val="00B379F5"/>
    <w:rsid w:val="00B40613"/>
    <w:rsid w:val="00B419A8"/>
    <w:rsid w:val="00B42FA8"/>
    <w:rsid w:val="00B431E6"/>
    <w:rsid w:val="00B436C5"/>
    <w:rsid w:val="00B43744"/>
    <w:rsid w:val="00B4385A"/>
    <w:rsid w:val="00B438D9"/>
    <w:rsid w:val="00B4399C"/>
    <w:rsid w:val="00B43DDB"/>
    <w:rsid w:val="00B45439"/>
    <w:rsid w:val="00B45533"/>
    <w:rsid w:val="00B505C4"/>
    <w:rsid w:val="00B506F3"/>
    <w:rsid w:val="00B5097D"/>
    <w:rsid w:val="00B51272"/>
    <w:rsid w:val="00B51837"/>
    <w:rsid w:val="00B52176"/>
    <w:rsid w:val="00B522D2"/>
    <w:rsid w:val="00B52B03"/>
    <w:rsid w:val="00B53583"/>
    <w:rsid w:val="00B53EE8"/>
    <w:rsid w:val="00B5462F"/>
    <w:rsid w:val="00B5582F"/>
    <w:rsid w:val="00B55CAE"/>
    <w:rsid w:val="00B56BA1"/>
    <w:rsid w:val="00B5721E"/>
    <w:rsid w:val="00B611CA"/>
    <w:rsid w:val="00B6145B"/>
    <w:rsid w:val="00B619E9"/>
    <w:rsid w:val="00B62785"/>
    <w:rsid w:val="00B627F9"/>
    <w:rsid w:val="00B62943"/>
    <w:rsid w:val="00B639CB"/>
    <w:rsid w:val="00B63B94"/>
    <w:rsid w:val="00B64EF2"/>
    <w:rsid w:val="00B657AB"/>
    <w:rsid w:val="00B6660F"/>
    <w:rsid w:val="00B6680D"/>
    <w:rsid w:val="00B6720C"/>
    <w:rsid w:val="00B673CB"/>
    <w:rsid w:val="00B676C0"/>
    <w:rsid w:val="00B70BD2"/>
    <w:rsid w:val="00B718BB"/>
    <w:rsid w:val="00B72E27"/>
    <w:rsid w:val="00B73AFC"/>
    <w:rsid w:val="00B73F8B"/>
    <w:rsid w:val="00B74278"/>
    <w:rsid w:val="00B74CA3"/>
    <w:rsid w:val="00B75A3A"/>
    <w:rsid w:val="00B75DB2"/>
    <w:rsid w:val="00B76C31"/>
    <w:rsid w:val="00B772AF"/>
    <w:rsid w:val="00B77D05"/>
    <w:rsid w:val="00B803F9"/>
    <w:rsid w:val="00B80DA8"/>
    <w:rsid w:val="00B81AE9"/>
    <w:rsid w:val="00B81FCA"/>
    <w:rsid w:val="00B82BC5"/>
    <w:rsid w:val="00B83AAD"/>
    <w:rsid w:val="00B8466D"/>
    <w:rsid w:val="00B85EC5"/>
    <w:rsid w:val="00B86BC7"/>
    <w:rsid w:val="00B8734F"/>
    <w:rsid w:val="00B90A02"/>
    <w:rsid w:val="00B90B9C"/>
    <w:rsid w:val="00B90CCE"/>
    <w:rsid w:val="00B90F90"/>
    <w:rsid w:val="00B9138A"/>
    <w:rsid w:val="00B914DA"/>
    <w:rsid w:val="00B91D9F"/>
    <w:rsid w:val="00B92CF6"/>
    <w:rsid w:val="00B930A9"/>
    <w:rsid w:val="00B94AE6"/>
    <w:rsid w:val="00B956C8"/>
    <w:rsid w:val="00B96B94"/>
    <w:rsid w:val="00B97156"/>
    <w:rsid w:val="00B97268"/>
    <w:rsid w:val="00B972C2"/>
    <w:rsid w:val="00B972FA"/>
    <w:rsid w:val="00B97386"/>
    <w:rsid w:val="00B973B0"/>
    <w:rsid w:val="00B97586"/>
    <w:rsid w:val="00B97C65"/>
    <w:rsid w:val="00BA1154"/>
    <w:rsid w:val="00BA1DA6"/>
    <w:rsid w:val="00BA292A"/>
    <w:rsid w:val="00BA3781"/>
    <w:rsid w:val="00BA3DCC"/>
    <w:rsid w:val="00BA4383"/>
    <w:rsid w:val="00BA4417"/>
    <w:rsid w:val="00BA53D7"/>
    <w:rsid w:val="00BA54B2"/>
    <w:rsid w:val="00BA5E60"/>
    <w:rsid w:val="00BA5EFD"/>
    <w:rsid w:val="00BA627F"/>
    <w:rsid w:val="00BA6BD1"/>
    <w:rsid w:val="00BA6E97"/>
    <w:rsid w:val="00BA7774"/>
    <w:rsid w:val="00BA7786"/>
    <w:rsid w:val="00BA7934"/>
    <w:rsid w:val="00BB0116"/>
    <w:rsid w:val="00BB02DA"/>
    <w:rsid w:val="00BB03A0"/>
    <w:rsid w:val="00BB13C4"/>
    <w:rsid w:val="00BB1484"/>
    <w:rsid w:val="00BB16ED"/>
    <w:rsid w:val="00BB2152"/>
    <w:rsid w:val="00BB2810"/>
    <w:rsid w:val="00BB3DB0"/>
    <w:rsid w:val="00BB3F0F"/>
    <w:rsid w:val="00BB4791"/>
    <w:rsid w:val="00BB49A5"/>
    <w:rsid w:val="00BB4BA4"/>
    <w:rsid w:val="00BB53C8"/>
    <w:rsid w:val="00BB5F8F"/>
    <w:rsid w:val="00BB617A"/>
    <w:rsid w:val="00BB6819"/>
    <w:rsid w:val="00BB6B7A"/>
    <w:rsid w:val="00BB6F3B"/>
    <w:rsid w:val="00BB79B1"/>
    <w:rsid w:val="00BC0057"/>
    <w:rsid w:val="00BC0E63"/>
    <w:rsid w:val="00BC0E6D"/>
    <w:rsid w:val="00BC11C7"/>
    <w:rsid w:val="00BC1288"/>
    <w:rsid w:val="00BC447F"/>
    <w:rsid w:val="00BC6161"/>
    <w:rsid w:val="00BC6884"/>
    <w:rsid w:val="00BC70E1"/>
    <w:rsid w:val="00BC7206"/>
    <w:rsid w:val="00BC73CF"/>
    <w:rsid w:val="00BC755A"/>
    <w:rsid w:val="00BC7611"/>
    <w:rsid w:val="00BD06FC"/>
    <w:rsid w:val="00BD0700"/>
    <w:rsid w:val="00BD16BB"/>
    <w:rsid w:val="00BD1941"/>
    <w:rsid w:val="00BD19E1"/>
    <w:rsid w:val="00BD2B06"/>
    <w:rsid w:val="00BD2DA7"/>
    <w:rsid w:val="00BD3096"/>
    <w:rsid w:val="00BD350B"/>
    <w:rsid w:val="00BD36B1"/>
    <w:rsid w:val="00BD39A8"/>
    <w:rsid w:val="00BD44D7"/>
    <w:rsid w:val="00BD5317"/>
    <w:rsid w:val="00BD5A84"/>
    <w:rsid w:val="00BD6046"/>
    <w:rsid w:val="00BD6390"/>
    <w:rsid w:val="00BD68EA"/>
    <w:rsid w:val="00BD729C"/>
    <w:rsid w:val="00BE1092"/>
    <w:rsid w:val="00BE1435"/>
    <w:rsid w:val="00BE1ACB"/>
    <w:rsid w:val="00BE2DB9"/>
    <w:rsid w:val="00BE2DD8"/>
    <w:rsid w:val="00BE31D0"/>
    <w:rsid w:val="00BE3C59"/>
    <w:rsid w:val="00BE3EE8"/>
    <w:rsid w:val="00BE40FB"/>
    <w:rsid w:val="00BE434C"/>
    <w:rsid w:val="00BE487A"/>
    <w:rsid w:val="00BE567F"/>
    <w:rsid w:val="00BE5C96"/>
    <w:rsid w:val="00BE6DAE"/>
    <w:rsid w:val="00BE6FA4"/>
    <w:rsid w:val="00BE7210"/>
    <w:rsid w:val="00BE7A8E"/>
    <w:rsid w:val="00BE7AE9"/>
    <w:rsid w:val="00BF039E"/>
    <w:rsid w:val="00BF0D09"/>
    <w:rsid w:val="00BF0D4B"/>
    <w:rsid w:val="00BF0D5F"/>
    <w:rsid w:val="00BF13BF"/>
    <w:rsid w:val="00BF1DE3"/>
    <w:rsid w:val="00BF1F5B"/>
    <w:rsid w:val="00BF222C"/>
    <w:rsid w:val="00BF2776"/>
    <w:rsid w:val="00BF3C39"/>
    <w:rsid w:val="00BF4C66"/>
    <w:rsid w:val="00BF4DA1"/>
    <w:rsid w:val="00BF5283"/>
    <w:rsid w:val="00BF5388"/>
    <w:rsid w:val="00BF5440"/>
    <w:rsid w:val="00BF594E"/>
    <w:rsid w:val="00BF7309"/>
    <w:rsid w:val="00BF7AFD"/>
    <w:rsid w:val="00C00BFD"/>
    <w:rsid w:val="00C01854"/>
    <w:rsid w:val="00C01A5A"/>
    <w:rsid w:val="00C02B76"/>
    <w:rsid w:val="00C04349"/>
    <w:rsid w:val="00C04480"/>
    <w:rsid w:val="00C04942"/>
    <w:rsid w:val="00C04AB4"/>
    <w:rsid w:val="00C04C02"/>
    <w:rsid w:val="00C04C26"/>
    <w:rsid w:val="00C053D8"/>
    <w:rsid w:val="00C05944"/>
    <w:rsid w:val="00C05967"/>
    <w:rsid w:val="00C06699"/>
    <w:rsid w:val="00C06C23"/>
    <w:rsid w:val="00C0708D"/>
    <w:rsid w:val="00C076FC"/>
    <w:rsid w:val="00C10ACF"/>
    <w:rsid w:val="00C116D8"/>
    <w:rsid w:val="00C11919"/>
    <w:rsid w:val="00C12BB0"/>
    <w:rsid w:val="00C12EDE"/>
    <w:rsid w:val="00C13159"/>
    <w:rsid w:val="00C135D7"/>
    <w:rsid w:val="00C14911"/>
    <w:rsid w:val="00C149B6"/>
    <w:rsid w:val="00C15172"/>
    <w:rsid w:val="00C1617E"/>
    <w:rsid w:val="00C1619D"/>
    <w:rsid w:val="00C16B36"/>
    <w:rsid w:val="00C16E22"/>
    <w:rsid w:val="00C1720A"/>
    <w:rsid w:val="00C17516"/>
    <w:rsid w:val="00C17E7E"/>
    <w:rsid w:val="00C2048B"/>
    <w:rsid w:val="00C20E73"/>
    <w:rsid w:val="00C20F66"/>
    <w:rsid w:val="00C22DAF"/>
    <w:rsid w:val="00C2353F"/>
    <w:rsid w:val="00C23B29"/>
    <w:rsid w:val="00C243F6"/>
    <w:rsid w:val="00C24923"/>
    <w:rsid w:val="00C24EA6"/>
    <w:rsid w:val="00C24F46"/>
    <w:rsid w:val="00C26BE9"/>
    <w:rsid w:val="00C275F9"/>
    <w:rsid w:val="00C27C8A"/>
    <w:rsid w:val="00C30146"/>
    <w:rsid w:val="00C31BAB"/>
    <w:rsid w:val="00C31BE6"/>
    <w:rsid w:val="00C32692"/>
    <w:rsid w:val="00C339AA"/>
    <w:rsid w:val="00C33F8E"/>
    <w:rsid w:val="00C34169"/>
    <w:rsid w:val="00C34A04"/>
    <w:rsid w:val="00C34D6E"/>
    <w:rsid w:val="00C35069"/>
    <w:rsid w:val="00C35821"/>
    <w:rsid w:val="00C362D4"/>
    <w:rsid w:val="00C36971"/>
    <w:rsid w:val="00C36FD0"/>
    <w:rsid w:val="00C37085"/>
    <w:rsid w:val="00C40390"/>
    <w:rsid w:val="00C403D7"/>
    <w:rsid w:val="00C40AA1"/>
    <w:rsid w:val="00C4110F"/>
    <w:rsid w:val="00C412D8"/>
    <w:rsid w:val="00C413C2"/>
    <w:rsid w:val="00C418EE"/>
    <w:rsid w:val="00C42CA7"/>
    <w:rsid w:val="00C431C7"/>
    <w:rsid w:val="00C434AF"/>
    <w:rsid w:val="00C443CC"/>
    <w:rsid w:val="00C44840"/>
    <w:rsid w:val="00C44987"/>
    <w:rsid w:val="00C44BFC"/>
    <w:rsid w:val="00C45596"/>
    <w:rsid w:val="00C45825"/>
    <w:rsid w:val="00C47D7E"/>
    <w:rsid w:val="00C500B4"/>
    <w:rsid w:val="00C50B64"/>
    <w:rsid w:val="00C50E8B"/>
    <w:rsid w:val="00C52484"/>
    <w:rsid w:val="00C52861"/>
    <w:rsid w:val="00C52A35"/>
    <w:rsid w:val="00C52D4A"/>
    <w:rsid w:val="00C537C1"/>
    <w:rsid w:val="00C53987"/>
    <w:rsid w:val="00C54704"/>
    <w:rsid w:val="00C55FC2"/>
    <w:rsid w:val="00C55FCF"/>
    <w:rsid w:val="00C56556"/>
    <w:rsid w:val="00C56970"/>
    <w:rsid w:val="00C56FAE"/>
    <w:rsid w:val="00C57135"/>
    <w:rsid w:val="00C571EE"/>
    <w:rsid w:val="00C577B3"/>
    <w:rsid w:val="00C6087C"/>
    <w:rsid w:val="00C60DE3"/>
    <w:rsid w:val="00C61647"/>
    <w:rsid w:val="00C61CFD"/>
    <w:rsid w:val="00C62C0B"/>
    <w:rsid w:val="00C6320E"/>
    <w:rsid w:val="00C63877"/>
    <w:rsid w:val="00C63F78"/>
    <w:rsid w:val="00C64ACB"/>
    <w:rsid w:val="00C65A94"/>
    <w:rsid w:val="00C65EC5"/>
    <w:rsid w:val="00C66095"/>
    <w:rsid w:val="00C676CF"/>
    <w:rsid w:val="00C677EB"/>
    <w:rsid w:val="00C703DE"/>
    <w:rsid w:val="00C70919"/>
    <w:rsid w:val="00C70EB2"/>
    <w:rsid w:val="00C71856"/>
    <w:rsid w:val="00C71A36"/>
    <w:rsid w:val="00C72080"/>
    <w:rsid w:val="00C72336"/>
    <w:rsid w:val="00C735AD"/>
    <w:rsid w:val="00C738E8"/>
    <w:rsid w:val="00C741B1"/>
    <w:rsid w:val="00C74905"/>
    <w:rsid w:val="00C76327"/>
    <w:rsid w:val="00C76C22"/>
    <w:rsid w:val="00C76D01"/>
    <w:rsid w:val="00C76F8C"/>
    <w:rsid w:val="00C771F6"/>
    <w:rsid w:val="00C77BD8"/>
    <w:rsid w:val="00C77C55"/>
    <w:rsid w:val="00C8084C"/>
    <w:rsid w:val="00C80A87"/>
    <w:rsid w:val="00C80AA0"/>
    <w:rsid w:val="00C827F8"/>
    <w:rsid w:val="00C82845"/>
    <w:rsid w:val="00C834F4"/>
    <w:rsid w:val="00C84415"/>
    <w:rsid w:val="00C84AB8"/>
    <w:rsid w:val="00C84E40"/>
    <w:rsid w:val="00C852BD"/>
    <w:rsid w:val="00C86EB8"/>
    <w:rsid w:val="00C8765F"/>
    <w:rsid w:val="00C90031"/>
    <w:rsid w:val="00C9014D"/>
    <w:rsid w:val="00C90EE0"/>
    <w:rsid w:val="00C917CF"/>
    <w:rsid w:val="00C91B46"/>
    <w:rsid w:val="00C92565"/>
    <w:rsid w:val="00C92E44"/>
    <w:rsid w:val="00C93350"/>
    <w:rsid w:val="00C93AD0"/>
    <w:rsid w:val="00C942C8"/>
    <w:rsid w:val="00C951DF"/>
    <w:rsid w:val="00C95408"/>
    <w:rsid w:val="00C95412"/>
    <w:rsid w:val="00C95A26"/>
    <w:rsid w:val="00C9635D"/>
    <w:rsid w:val="00C96872"/>
    <w:rsid w:val="00C96AFB"/>
    <w:rsid w:val="00C96E30"/>
    <w:rsid w:val="00CA03E7"/>
    <w:rsid w:val="00CA04C3"/>
    <w:rsid w:val="00CA0572"/>
    <w:rsid w:val="00CA0F75"/>
    <w:rsid w:val="00CA1DF5"/>
    <w:rsid w:val="00CA202B"/>
    <w:rsid w:val="00CA347D"/>
    <w:rsid w:val="00CA36B7"/>
    <w:rsid w:val="00CA375F"/>
    <w:rsid w:val="00CA397C"/>
    <w:rsid w:val="00CA4E13"/>
    <w:rsid w:val="00CA533B"/>
    <w:rsid w:val="00CA7075"/>
    <w:rsid w:val="00CB03BC"/>
    <w:rsid w:val="00CB0D44"/>
    <w:rsid w:val="00CB19FB"/>
    <w:rsid w:val="00CB1F75"/>
    <w:rsid w:val="00CB41EB"/>
    <w:rsid w:val="00CB44AC"/>
    <w:rsid w:val="00CB6C91"/>
    <w:rsid w:val="00CB6DBE"/>
    <w:rsid w:val="00CB79F5"/>
    <w:rsid w:val="00CC0DD3"/>
    <w:rsid w:val="00CC0EFB"/>
    <w:rsid w:val="00CC14B8"/>
    <w:rsid w:val="00CC1C2F"/>
    <w:rsid w:val="00CC1EB4"/>
    <w:rsid w:val="00CC1F4C"/>
    <w:rsid w:val="00CC2191"/>
    <w:rsid w:val="00CC2285"/>
    <w:rsid w:val="00CC230C"/>
    <w:rsid w:val="00CC24F7"/>
    <w:rsid w:val="00CC2516"/>
    <w:rsid w:val="00CC2D73"/>
    <w:rsid w:val="00CC3842"/>
    <w:rsid w:val="00CC384C"/>
    <w:rsid w:val="00CC3A28"/>
    <w:rsid w:val="00CC460F"/>
    <w:rsid w:val="00CC4C37"/>
    <w:rsid w:val="00CC5844"/>
    <w:rsid w:val="00CC5AEB"/>
    <w:rsid w:val="00CC64F2"/>
    <w:rsid w:val="00CC684B"/>
    <w:rsid w:val="00CC6FCE"/>
    <w:rsid w:val="00CC739F"/>
    <w:rsid w:val="00CD0972"/>
    <w:rsid w:val="00CD10D6"/>
    <w:rsid w:val="00CD1BBD"/>
    <w:rsid w:val="00CD1BED"/>
    <w:rsid w:val="00CD1C2D"/>
    <w:rsid w:val="00CD1E13"/>
    <w:rsid w:val="00CD1E98"/>
    <w:rsid w:val="00CD3192"/>
    <w:rsid w:val="00CD35F8"/>
    <w:rsid w:val="00CD387B"/>
    <w:rsid w:val="00CD3E69"/>
    <w:rsid w:val="00CD3F8C"/>
    <w:rsid w:val="00CD4498"/>
    <w:rsid w:val="00CD57A7"/>
    <w:rsid w:val="00CE0200"/>
    <w:rsid w:val="00CE1537"/>
    <w:rsid w:val="00CE171D"/>
    <w:rsid w:val="00CE1EE2"/>
    <w:rsid w:val="00CE3328"/>
    <w:rsid w:val="00CE3423"/>
    <w:rsid w:val="00CE42A9"/>
    <w:rsid w:val="00CE45A8"/>
    <w:rsid w:val="00CE4BD6"/>
    <w:rsid w:val="00CE544E"/>
    <w:rsid w:val="00CE67A8"/>
    <w:rsid w:val="00CE67D8"/>
    <w:rsid w:val="00CE7AF8"/>
    <w:rsid w:val="00CE7E34"/>
    <w:rsid w:val="00CE7F53"/>
    <w:rsid w:val="00CF0089"/>
    <w:rsid w:val="00CF06E2"/>
    <w:rsid w:val="00CF09FE"/>
    <w:rsid w:val="00CF10F1"/>
    <w:rsid w:val="00CF1795"/>
    <w:rsid w:val="00CF1C1E"/>
    <w:rsid w:val="00CF2BDD"/>
    <w:rsid w:val="00CF3673"/>
    <w:rsid w:val="00CF42CF"/>
    <w:rsid w:val="00CF4738"/>
    <w:rsid w:val="00CF48EF"/>
    <w:rsid w:val="00CF497B"/>
    <w:rsid w:val="00CF5066"/>
    <w:rsid w:val="00CF530C"/>
    <w:rsid w:val="00CF53EF"/>
    <w:rsid w:val="00CF5734"/>
    <w:rsid w:val="00CF589D"/>
    <w:rsid w:val="00CF5F40"/>
    <w:rsid w:val="00CF5FF2"/>
    <w:rsid w:val="00CF7300"/>
    <w:rsid w:val="00CF7C41"/>
    <w:rsid w:val="00CF7F48"/>
    <w:rsid w:val="00D008D1"/>
    <w:rsid w:val="00D01EEA"/>
    <w:rsid w:val="00D05105"/>
    <w:rsid w:val="00D05B23"/>
    <w:rsid w:val="00D06981"/>
    <w:rsid w:val="00D06B96"/>
    <w:rsid w:val="00D06D71"/>
    <w:rsid w:val="00D06EE8"/>
    <w:rsid w:val="00D077E7"/>
    <w:rsid w:val="00D07812"/>
    <w:rsid w:val="00D07F38"/>
    <w:rsid w:val="00D10586"/>
    <w:rsid w:val="00D1062B"/>
    <w:rsid w:val="00D10B0C"/>
    <w:rsid w:val="00D10B51"/>
    <w:rsid w:val="00D10CFD"/>
    <w:rsid w:val="00D10D54"/>
    <w:rsid w:val="00D1139C"/>
    <w:rsid w:val="00D1228B"/>
    <w:rsid w:val="00D122DF"/>
    <w:rsid w:val="00D12996"/>
    <w:rsid w:val="00D12BAB"/>
    <w:rsid w:val="00D12BDA"/>
    <w:rsid w:val="00D12E01"/>
    <w:rsid w:val="00D13C4E"/>
    <w:rsid w:val="00D149A0"/>
    <w:rsid w:val="00D14B81"/>
    <w:rsid w:val="00D14F7F"/>
    <w:rsid w:val="00D1552B"/>
    <w:rsid w:val="00D15623"/>
    <w:rsid w:val="00D16179"/>
    <w:rsid w:val="00D17657"/>
    <w:rsid w:val="00D177C3"/>
    <w:rsid w:val="00D17CDA"/>
    <w:rsid w:val="00D200D3"/>
    <w:rsid w:val="00D2294A"/>
    <w:rsid w:val="00D235F3"/>
    <w:rsid w:val="00D23627"/>
    <w:rsid w:val="00D23AA4"/>
    <w:rsid w:val="00D23C6F"/>
    <w:rsid w:val="00D2464A"/>
    <w:rsid w:val="00D25132"/>
    <w:rsid w:val="00D252D6"/>
    <w:rsid w:val="00D27A23"/>
    <w:rsid w:val="00D318FF"/>
    <w:rsid w:val="00D32084"/>
    <w:rsid w:val="00D323B7"/>
    <w:rsid w:val="00D323C7"/>
    <w:rsid w:val="00D3281B"/>
    <w:rsid w:val="00D330C7"/>
    <w:rsid w:val="00D330D4"/>
    <w:rsid w:val="00D33524"/>
    <w:rsid w:val="00D335D0"/>
    <w:rsid w:val="00D34921"/>
    <w:rsid w:val="00D3542C"/>
    <w:rsid w:val="00D35867"/>
    <w:rsid w:val="00D361D0"/>
    <w:rsid w:val="00D37A37"/>
    <w:rsid w:val="00D37C80"/>
    <w:rsid w:val="00D37D53"/>
    <w:rsid w:val="00D37FFE"/>
    <w:rsid w:val="00D4093F"/>
    <w:rsid w:val="00D4137F"/>
    <w:rsid w:val="00D413A8"/>
    <w:rsid w:val="00D41B35"/>
    <w:rsid w:val="00D41BD9"/>
    <w:rsid w:val="00D427B0"/>
    <w:rsid w:val="00D43306"/>
    <w:rsid w:val="00D445F4"/>
    <w:rsid w:val="00D44792"/>
    <w:rsid w:val="00D45524"/>
    <w:rsid w:val="00D45580"/>
    <w:rsid w:val="00D4566A"/>
    <w:rsid w:val="00D45A3F"/>
    <w:rsid w:val="00D45D39"/>
    <w:rsid w:val="00D464D3"/>
    <w:rsid w:val="00D46666"/>
    <w:rsid w:val="00D46F52"/>
    <w:rsid w:val="00D4724B"/>
    <w:rsid w:val="00D4732C"/>
    <w:rsid w:val="00D47AC0"/>
    <w:rsid w:val="00D47DBC"/>
    <w:rsid w:val="00D50998"/>
    <w:rsid w:val="00D513FC"/>
    <w:rsid w:val="00D52CFB"/>
    <w:rsid w:val="00D5303F"/>
    <w:rsid w:val="00D5336B"/>
    <w:rsid w:val="00D53848"/>
    <w:rsid w:val="00D54904"/>
    <w:rsid w:val="00D549E9"/>
    <w:rsid w:val="00D555DA"/>
    <w:rsid w:val="00D569B3"/>
    <w:rsid w:val="00D56E91"/>
    <w:rsid w:val="00D57724"/>
    <w:rsid w:val="00D57E72"/>
    <w:rsid w:val="00D6123E"/>
    <w:rsid w:val="00D615C5"/>
    <w:rsid w:val="00D62238"/>
    <w:rsid w:val="00D636A6"/>
    <w:rsid w:val="00D640A4"/>
    <w:rsid w:val="00D64A50"/>
    <w:rsid w:val="00D64BB0"/>
    <w:rsid w:val="00D650E7"/>
    <w:rsid w:val="00D65547"/>
    <w:rsid w:val="00D65A98"/>
    <w:rsid w:val="00D66AA5"/>
    <w:rsid w:val="00D676D4"/>
    <w:rsid w:val="00D67BEF"/>
    <w:rsid w:val="00D7011C"/>
    <w:rsid w:val="00D703C5"/>
    <w:rsid w:val="00D707C2"/>
    <w:rsid w:val="00D70868"/>
    <w:rsid w:val="00D70B71"/>
    <w:rsid w:val="00D71204"/>
    <w:rsid w:val="00D72588"/>
    <w:rsid w:val="00D73766"/>
    <w:rsid w:val="00D73D14"/>
    <w:rsid w:val="00D7414E"/>
    <w:rsid w:val="00D74271"/>
    <w:rsid w:val="00D747F3"/>
    <w:rsid w:val="00D75339"/>
    <w:rsid w:val="00D7541D"/>
    <w:rsid w:val="00D755E1"/>
    <w:rsid w:val="00D76261"/>
    <w:rsid w:val="00D8183E"/>
    <w:rsid w:val="00D81CB7"/>
    <w:rsid w:val="00D82857"/>
    <w:rsid w:val="00D82C1E"/>
    <w:rsid w:val="00D833AC"/>
    <w:rsid w:val="00D84197"/>
    <w:rsid w:val="00D84261"/>
    <w:rsid w:val="00D851FD"/>
    <w:rsid w:val="00D878B4"/>
    <w:rsid w:val="00D90801"/>
    <w:rsid w:val="00D914F1"/>
    <w:rsid w:val="00D9218F"/>
    <w:rsid w:val="00D93976"/>
    <w:rsid w:val="00D93CC3"/>
    <w:rsid w:val="00D9430E"/>
    <w:rsid w:val="00D94395"/>
    <w:rsid w:val="00D94FE7"/>
    <w:rsid w:val="00D95BB7"/>
    <w:rsid w:val="00D95C6B"/>
    <w:rsid w:val="00D95EC9"/>
    <w:rsid w:val="00D9635D"/>
    <w:rsid w:val="00D96C21"/>
    <w:rsid w:val="00D9794E"/>
    <w:rsid w:val="00D97F9E"/>
    <w:rsid w:val="00DA097F"/>
    <w:rsid w:val="00DA18F8"/>
    <w:rsid w:val="00DA1EF0"/>
    <w:rsid w:val="00DA3AAA"/>
    <w:rsid w:val="00DA3CEA"/>
    <w:rsid w:val="00DA4170"/>
    <w:rsid w:val="00DA478B"/>
    <w:rsid w:val="00DA4A8C"/>
    <w:rsid w:val="00DA50A9"/>
    <w:rsid w:val="00DA587D"/>
    <w:rsid w:val="00DA5D63"/>
    <w:rsid w:val="00DB0506"/>
    <w:rsid w:val="00DB0BE1"/>
    <w:rsid w:val="00DB0F7E"/>
    <w:rsid w:val="00DB13FC"/>
    <w:rsid w:val="00DB1FE0"/>
    <w:rsid w:val="00DB2574"/>
    <w:rsid w:val="00DB2A73"/>
    <w:rsid w:val="00DB2C05"/>
    <w:rsid w:val="00DB2CD6"/>
    <w:rsid w:val="00DB2EC9"/>
    <w:rsid w:val="00DB3E39"/>
    <w:rsid w:val="00DB3F76"/>
    <w:rsid w:val="00DB3FA6"/>
    <w:rsid w:val="00DB4C13"/>
    <w:rsid w:val="00DB5921"/>
    <w:rsid w:val="00DB6311"/>
    <w:rsid w:val="00DB6CFD"/>
    <w:rsid w:val="00DC0F89"/>
    <w:rsid w:val="00DC3131"/>
    <w:rsid w:val="00DC363D"/>
    <w:rsid w:val="00DC3FAC"/>
    <w:rsid w:val="00DC4143"/>
    <w:rsid w:val="00DC41F4"/>
    <w:rsid w:val="00DC4B3C"/>
    <w:rsid w:val="00DC57FE"/>
    <w:rsid w:val="00DC5B5A"/>
    <w:rsid w:val="00DC64EC"/>
    <w:rsid w:val="00DC76C1"/>
    <w:rsid w:val="00DC7CB0"/>
    <w:rsid w:val="00DD036A"/>
    <w:rsid w:val="00DD0B55"/>
    <w:rsid w:val="00DD0E44"/>
    <w:rsid w:val="00DD1074"/>
    <w:rsid w:val="00DD13CD"/>
    <w:rsid w:val="00DD196A"/>
    <w:rsid w:val="00DD292B"/>
    <w:rsid w:val="00DD2CEE"/>
    <w:rsid w:val="00DD404E"/>
    <w:rsid w:val="00DD43D1"/>
    <w:rsid w:val="00DD4A3A"/>
    <w:rsid w:val="00DD4A92"/>
    <w:rsid w:val="00DD4AD8"/>
    <w:rsid w:val="00DD5415"/>
    <w:rsid w:val="00DD57DE"/>
    <w:rsid w:val="00DD58CC"/>
    <w:rsid w:val="00DD6EC3"/>
    <w:rsid w:val="00DD6F73"/>
    <w:rsid w:val="00DD74E2"/>
    <w:rsid w:val="00DD76A1"/>
    <w:rsid w:val="00DD7D1E"/>
    <w:rsid w:val="00DD7EA7"/>
    <w:rsid w:val="00DE0797"/>
    <w:rsid w:val="00DE0952"/>
    <w:rsid w:val="00DE10D2"/>
    <w:rsid w:val="00DE1826"/>
    <w:rsid w:val="00DE1A79"/>
    <w:rsid w:val="00DE3264"/>
    <w:rsid w:val="00DE362C"/>
    <w:rsid w:val="00DE36AD"/>
    <w:rsid w:val="00DE3BA3"/>
    <w:rsid w:val="00DE4D6D"/>
    <w:rsid w:val="00DE58C1"/>
    <w:rsid w:val="00DE615B"/>
    <w:rsid w:val="00DE6438"/>
    <w:rsid w:val="00DE6DAD"/>
    <w:rsid w:val="00DE7652"/>
    <w:rsid w:val="00DE78FB"/>
    <w:rsid w:val="00DE7A3F"/>
    <w:rsid w:val="00DE7A66"/>
    <w:rsid w:val="00DE7B93"/>
    <w:rsid w:val="00DE7B97"/>
    <w:rsid w:val="00DF0884"/>
    <w:rsid w:val="00DF0E6A"/>
    <w:rsid w:val="00DF11E4"/>
    <w:rsid w:val="00DF125D"/>
    <w:rsid w:val="00DF1D79"/>
    <w:rsid w:val="00DF262C"/>
    <w:rsid w:val="00DF2B6C"/>
    <w:rsid w:val="00DF3325"/>
    <w:rsid w:val="00DF3A04"/>
    <w:rsid w:val="00DF4C50"/>
    <w:rsid w:val="00DF501F"/>
    <w:rsid w:val="00DF5ADB"/>
    <w:rsid w:val="00DF604A"/>
    <w:rsid w:val="00DF6A18"/>
    <w:rsid w:val="00E000C1"/>
    <w:rsid w:val="00E004F3"/>
    <w:rsid w:val="00E01194"/>
    <w:rsid w:val="00E01A60"/>
    <w:rsid w:val="00E02C62"/>
    <w:rsid w:val="00E03859"/>
    <w:rsid w:val="00E04E24"/>
    <w:rsid w:val="00E05F59"/>
    <w:rsid w:val="00E062A6"/>
    <w:rsid w:val="00E064DB"/>
    <w:rsid w:val="00E06BE4"/>
    <w:rsid w:val="00E076A2"/>
    <w:rsid w:val="00E10605"/>
    <w:rsid w:val="00E10995"/>
    <w:rsid w:val="00E1126B"/>
    <w:rsid w:val="00E12A4D"/>
    <w:rsid w:val="00E15625"/>
    <w:rsid w:val="00E15C4A"/>
    <w:rsid w:val="00E161D9"/>
    <w:rsid w:val="00E16D2B"/>
    <w:rsid w:val="00E177A9"/>
    <w:rsid w:val="00E20E91"/>
    <w:rsid w:val="00E21909"/>
    <w:rsid w:val="00E22026"/>
    <w:rsid w:val="00E22B37"/>
    <w:rsid w:val="00E23BFC"/>
    <w:rsid w:val="00E24538"/>
    <w:rsid w:val="00E2467D"/>
    <w:rsid w:val="00E260D1"/>
    <w:rsid w:val="00E26AD6"/>
    <w:rsid w:val="00E2725E"/>
    <w:rsid w:val="00E27649"/>
    <w:rsid w:val="00E27656"/>
    <w:rsid w:val="00E27AD4"/>
    <w:rsid w:val="00E31237"/>
    <w:rsid w:val="00E322ED"/>
    <w:rsid w:val="00E322F2"/>
    <w:rsid w:val="00E323C3"/>
    <w:rsid w:val="00E328F4"/>
    <w:rsid w:val="00E32EF7"/>
    <w:rsid w:val="00E34E46"/>
    <w:rsid w:val="00E34EBA"/>
    <w:rsid w:val="00E34FB2"/>
    <w:rsid w:val="00E36816"/>
    <w:rsid w:val="00E374E2"/>
    <w:rsid w:val="00E4031A"/>
    <w:rsid w:val="00E4160A"/>
    <w:rsid w:val="00E4282B"/>
    <w:rsid w:val="00E45574"/>
    <w:rsid w:val="00E45AEA"/>
    <w:rsid w:val="00E4609E"/>
    <w:rsid w:val="00E4642A"/>
    <w:rsid w:val="00E46629"/>
    <w:rsid w:val="00E46BC8"/>
    <w:rsid w:val="00E46C7D"/>
    <w:rsid w:val="00E46D72"/>
    <w:rsid w:val="00E46FAD"/>
    <w:rsid w:val="00E47052"/>
    <w:rsid w:val="00E47101"/>
    <w:rsid w:val="00E47155"/>
    <w:rsid w:val="00E47655"/>
    <w:rsid w:val="00E50648"/>
    <w:rsid w:val="00E5105A"/>
    <w:rsid w:val="00E51D7F"/>
    <w:rsid w:val="00E5325D"/>
    <w:rsid w:val="00E53549"/>
    <w:rsid w:val="00E535B9"/>
    <w:rsid w:val="00E545A3"/>
    <w:rsid w:val="00E54A46"/>
    <w:rsid w:val="00E54A52"/>
    <w:rsid w:val="00E56679"/>
    <w:rsid w:val="00E569BF"/>
    <w:rsid w:val="00E572A5"/>
    <w:rsid w:val="00E57365"/>
    <w:rsid w:val="00E57632"/>
    <w:rsid w:val="00E5764C"/>
    <w:rsid w:val="00E60B60"/>
    <w:rsid w:val="00E62A1E"/>
    <w:rsid w:val="00E62A35"/>
    <w:rsid w:val="00E62E98"/>
    <w:rsid w:val="00E63219"/>
    <w:rsid w:val="00E634F6"/>
    <w:rsid w:val="00E638DE"/>
    <w:rsid w:val="00E63944"/>
    <w:rsid w:val="00E649E3"/>
    <w:rsid w:val="00E64C67"/>
    <w:rsid w:val="00E65F14"/>
    <w:rsid w:val="00E66685"/>
    <w:rsid w:val="00E667EF"/>
    <w:rsid w:val="00E66B31"/>
    <w:rsid w:val="00E66DA0"/>
    <w:rsid w:val="00E677BD"/>
    <w:rsid w:val="00E67C41"/>
    <w:rsid w:val="00E67E12"/>
    <w:rsid w:val="00E71231"/>
    <w:rsid w:val="00E71616"/>
    <w:rsid w:val="00E72217"/>
    <w:rsid w:val="00E7418E"/>
    <w:rsid w:val="00E74336"/>
    <w:rsid w:val="00E75E8A"/>
    <w:rsid w:val="00E763E5"/>
    <w:rsid w:val="00E76670"/>
    <w:rsid w:val="00E76EC9"/>
    <w:rsid w:val="00E779EB"/>
    <w:rsid w:val="00E77C4E"/>
    <w:rsid w:val="00E80C96"/>
    <w:rsid w:val="00E812A0"/>
    <w:rsid w:val="00E8138C"/>
    <w:rsid w:val="00E82C58"/>
    <w:rsid w:val="00E82DCC"/>
    <w:rsid w:val="00E82F83"/>
    <w:rsid w:val="00E83E59"/>
    <w:rsid w:val="00E8406D"/>
    <w:rsid w:val="00E856B6"/>
    <w:rsid w:val="00E8596C"/>
    <w:rsid w:val="00E85FDD"/>
    <w:rsid w:val="00E86AFF"/>
    <w:rsid w:val="00E86C85"/>
    <w:rsid w:val="00E8712B"/>
    <w:rsid w:val="00E87DEC"/>
    <w:rsid w:val="00E92B8A"/>
    <w:rsid w:val="00E92DBC"/>
    <w:rsid w:val="00E93274"/>
    <w:rsid w:val="00E93DC7"/>
    <w:rsid w:val="00E940A6"/>
    <w:rsid w:val="00E94B90"/>
    <w:rsid w:val="00E94F17"/>
    <w:rsid w:val="00E9532A"/>
    <w:rsid w:val="00E970CA"/>
    <w:rsid w:val="00E973A5"/>
    <w:rsid w:val="00E97AD1"/>
    <w:rsid w:val="00E97B12"/>
    <w:rsid w:val="00E97C28"/>
    <w:rsid w:val="00EA03AE"/>
    <w:rsid w:val="00EA1539"/>
    <w:rsid w:val="00EA15D2"/>
    <w:rsid w:val="00EA21F4"/>
    <w:rsid w:val="00EA3EE3"/>
    <w:rsid w:val="00EA3F05"/>
    <w:rsid w:val="00EA40CA"/>
    <w:rsid w:val="00EA43C0"/>
    <w:rsid w:val="00EA4CBA"/>
    <w:rsid w:val="00EA5510"/>
    <w:rsid w:val="00EA5EB4"/>
    <w:rsid w:val="00EA621A"/>
    <w:rsid w:val="00EA79B5"/>
    <w:rsid w:val="00EA7C43"/>
    <w:rsid w:val="00EB054F"/>
    <w:rsid w:val="00EB0F11"/>
    <w:rsid w:val="00EB166A"/>
    <w:rsid w:val="00EB1D7D"/>
    <w:rsid w:val="00EB1EB7"/>
    <w:rsid w:val="00EB1F50"/>
    <w:rsid w:val="00EB288A"/>
    <w:rsid w:val="00EB35BE"/>
    <w:rsid w:val="00EB4B4D"/>
    <w:rsid w:val="00EB4F1A"/>
    <w:rsid w:val="00EB51ED"/>
    <w:rsid w:val="00EB5393"/>
    <w:rsid w:val="00EB558D"/>
    <w:rsid w:val="00EB5AAF"/>
    <w:rsid w:val="00EB5B69"/>
    <w:rsid w:val="00EB5D0C"/>
    <w:rsid w:val="00EB6162"/>
    <w:rsid w:val="00EB66FD"/>
    <w:rsid w:val="00EB6D86"/>
    <w:rsid w:val="00EB6D87"/>
    <w:rsid w:val="00EB729B"/>
    <w:rsid w:val="00EC040C"/>
    <w:rsid w:val="00EC16E8"/>
    <w:rsid w:val="00EC178D"/>
    <w:rsid w:val="00EC1DF8"/>
    <w:rsid w:val="00EC25DD"/>
    <w:rsid w:val="00EC26C2"/>
    <w:rsid w:val="00EC2B87"/>
    <w:rsid w:val="00EC3F6A"/>
    <w:rsid w:val="00EC4290"/>
    <w:rsid w:val="00EC4A02"/>
    <w:rsid w:val="00EC550D"/>
    <w:rsid w:val="00EC555B"/>
    <w:rsid w:val="00EC5734"/>
    <w:rsid w:val="00EC59DB"/>
    <w:rsid w:val="00EC5E70"/>
    <w:rsid w:val="00EC7F39"/>
    <w:rsid w:val="00ED0E77"/>
    <w:rsid w:val="00ED0F15"/>
    <w:rsid w:val="00ED1008"/>
    <w:rsid w:val="00ED1430"/>
    <w:rsid w:val="00ED1995"/>
    <w:rsid w:val="00ED1ADB"/>
    <w:rsid w:val="00ED27B7"/>
    <w:rsid w:val="00ED2802"/>
    <w:rsid w:val="00ED31DD"/>
    <w:rsid w:val="00ED4997"/>
    <w:rsid w:val="00ED4BBC"/>
    <w:rsid w:val="00ED4FE0"/>
    <w:rsid w:val="00ED554B"/>
    <w:rsid w:val="00ED5AB4"/>
    <w:rsid w:val="00ED5D21"/>
    <w:rsid w:val="00ED603F"/>
    <w:rsid w:val="00ED66A3"/>
    <w:rsid w:val="00ED673C"/>
    <w:rsid w:val="00EE0628"/>
    <w:rsid w:val="00EE074E"/>
    <w:rsid w:val="00EE13DB"/>
    <w:rsid w:val="00EE14C8"/>
    <w:rsid w:val="00EE1DE0"/>
    <w:rsid w:val="00EE29B6"/>
    <w:rsid w:val="00EE31A6"/>
    <w:rsid w:val="00EE396D"/>
    <w:rsid w:val="00EE3E83"/>
    <w:rsid w:val="00EE4347"/>
    <w:rsid w:val="00EE4F3C"/>
    <w:rsid w:val="00EE606D"/>
    <w:rsid w:val="00EE627D"/>
    <w:rsid w:val="00EE78B5"/>
    <w:rsid w:val="00EF0549"/>
    <w:rsid w:val="00EF091A"/>
    <w:rsid w:val="00EF19BB"/>
    <w:rsid w:val="00EF2A17"/>
    <w:rsid w:val="00EF361E"/>
    <w:rsid w:val="00EF3634"/>
    <w:rsid w:val="00EF3ACF"/>
    <w:rsid w:val="00EF3B96"/>
    <w:rsid w:val="00EF41A8"/>
    <w:rsid w:val="00EF5285"/>
    <w:rsid w:val="00EF5730"/>
    <w:rsid w:val="00EF595F"/>
    <w:rsid w:val="00EF649D"/>
    <w:rsid w:val="00EF70DC"/>
    <w:rsid w:val="00F008CA"/>
    <w:rsid w:val="00F009FD"/>
    <w:rsid w:val="00F01CA9"/>
    <w:rsid w:val="00F022E6"/>
    <w:rsid w:val="00F02C85"/>
    <w:rsid w:val="00F0352C"/>
    <w:rsid w:val="00F04A98"/>
    <w:rsid w:val="00F050E3"/>
    <w:rsid w:val="00F0571A"/>
    <w:rsid w:val="00F05E1C"/>
    <w:rsid w:val="00F074B7"/>
    <w:rsid w:val="00F07586"/>
    <w:rsid w:val="00F07A48"/>
    <w:rsid w:val="00F10523"/>
    <w:rsid w:val="00F10DE8"/>
    <w:rsid w:val="00F11CDA"/>
    <w:rsid w:val="00F1365A"/>
    <w:rsid w:val="00F138A1"/>
    <w:rsid w:val="00F15007"/>
    <w:rsid w:val="00F15E54"/>
    <w:rsid w:val="00F15F5F"/>
    <w:rsid w:val="00F167C8"/>
    <w:rsid w:val="00F17279"/>
    <w:rsid w:val="00F17643"/>
    <w:rsid w:val="00F20672"/>
    <w:rsid w:val="00F216FC"/>
    <w:rsid w:val="00F2273B"/>
    <w:rsid w:val="00F238A9"/>
    <w:rsid w:val="00F2527F"/>
    <w:rsid w:val="00F2597E"/>
    <w:rsid w:val="00F25FFC"/>
    <w:rsid w:val="00F2606D"/>
    <w:rsid w:val="00F26592"/>
    <w:rsid w:val="00F268F1"/>
    <w:rsid w:val="00F2699D"/>
    <w:rsid w:val="00F26ED3"/>
    <w:rsid w:val="00F272A6"/>
    <w:rsid w:val="00F277B6"/>
    <w:rsid w:val="00F27AF0"/>
    <w:rsid w:val="00F27DB1"/>
    <w:rsid w:val="00F30831"/>
    <w:rsid w:val="00F30BCB"/>
    <w:rsid w:val="00F30BDC"/>
    <w:rsid w:val="00F3113D"/>
    <w:rsid w:val="00F316C8"/>
    <w:rsid w:val="00F31C7C"/>
    <w:rsid w:val="00F31D02"/>
    <w:rsid w:val="00F32458"/>
    <w:rsid w:val="00F32CA9"/>
    <w:rsid w:val="00F3350E"/>
    <w:rsid w:val="00F335E4"/>
    <w:rsid w:val="00F335E5"/>
    <w:rsid w:val="00F3502E"/>
    <w:rsid w:val="00F35613"/>
    <w:rsid w:val="00F35622"/>
    <w:rsid w:val="00F35ADE"/>
    <w:rsid w:val="00F36D70"/>
    <w:rsid w:val="00F36EC3"/>
    <w:rsid w:val="00F3750A"/>
    <w:rsid w:val="00F37C6F"/>
    <w:rsid w:val="00F403F1"/>
    <w:rsid w:val="00F40AFF"/>
    <w:rsid w:val="00F4180F"/>
    <w:rsid w:val="00F422CD"/>
    <w:rsid w:val="00F428DD"/>
    <w:rsid w:val="00F430A1"/>
    <w:rsid w:val="00F43192"/>
    <w:rsid w:val="00F44643"/>
    <w:rsid w:val="00F44CC0"/>
    <w:rsid w:val="00F4555E"/>
    <w:rsid w:val="00F455A6"/>
    <w:rsid w:val="00F46577"/>
    <w:rsid w:val="00F470CC"/>
    <w:rsid w:val="00F5018C"/>
    <w:rsid w:val="00F5148F"/>
    <w:rsid w:val="00F51F42"/>
    <w:rsid w:val="00F5240C"/>
    <w:rsid w:val="00F52B1E"/>
    <w:rsid w:val="00F52C09"/>
    <w:rsid w:val="00F53228"/>
    <w:rsid w:val="00F53B7F"/>
    <w:rsid w:val="00F53CD9"/>
    <w:rsid w:val="00F53F50"/>
    <w:rsid w:val="00F54322"/>
    <w:rsid w:val="00F54502"/>
    <w:rsid w:val="00F54A1C"/>
    <w:rsid w:val="00F54B33"/>
    <w:rsid w:val="00F54FF9"/>
    <w:rsid w:val="00F55064"/>
    <w:rsid w:val="00F56CF4"/>
    <w:rsid w:val="00F57922"/>
    <w:rsid w:val="00F603B2"/>
    <w:rsid w:val="00F6047C"/>
    <w:rsid w:val="00F606A8"/>
    <w:rsid w:val="00F610F3"/>
    <w:rsid w:val="00F61596"/>
    <w:rsid w:val="00F61835"/>
    <w:rsid w:val="00F61F90"/>
    <w:rsid w:val="00F62028"/>
    <w:rsid w:val="00F62143"/>
    <w:rsid w:val="00F63084"/>
    <w:rsid w:val="00F6336F"/>
    <w:rsid w:val="00F646A2"/>
    <w:rsid w:val="00F64CA3"/>
    <w:rsid w:val="00F651F3"/>
    <w:rsid w:val="00F667B5"/>
    <w:rsid w:val="00F667DF"/>
    <w:rsid w:val="00F66F8A"/>
    <w:rsid w:val="00F67515"/>
    <w:rsid w:val="00F678DB"/>
    <w:rsid w:val="00F67933"/>
    <w:rsid w:val="00F67B54"/>
    <w:rsid w:val="00F702AA"/>
    <w:rsid w:val="00F70792"/>
    <w:rsid w:val="00F7093D"/>
    <w:rsid w:val="00F71C41"/>
    <w:rsid w:val="00F71C8E"/>
    <w:rsid w:val="00F71D20"/>
    <w:rsid w:val="00F71FB8"/>
    <w:rsid w:val="00F72519"/>
    <w:rsid w:val="00F72AF0"/>
    <w:rsid w:val="00F72E43"/>
    <w:rsid w:val="00F73740"/>
    <w:rsid w:val="00F738FE"/>
    <w:rsid w:val="00F74502"/>
    <w:rsid w:val="00F74D1B"/>
    <w:rsid w:val="00F75BCA"/>
    <w:rsid w:val="00F76419"/>
    <w:rsid w:val="00F76592"/>
    <w:rsid w:val="00F769F0"/>
    <w:rsid w:val="00F76E52"/>
    <w:rsid w:val="00F770AB"/>
    <w:rsid w:val="00F77B0B"/>
    <w:rsid w:val="00F801DC"/>
    <w:rsid w:val="00F80277"/>
    <w:rsid w:val="00F81CE3"/>
    <w:rsid w:val="00F82007"/>
    <w:rsid w:val="00F8272E"/>
    <w:rsid w:val="00F82AC2"/>
    <w:rsid w:val="00F82CC5"/>
    <w:rsid w:val="00F83046"/>
    <w:rsid w:val="00F837B7"/>
    <w:rsid w:val="00F83C4B"/>
    <w:rsid w:val="00F83F39"/>
    <w:rsid w:val="00F84067"/>
    <w:rsid w:val="00F8413A"/>
    <w:rsid w:val="00F84A05"/>
    <w:rsid w:val="00F85FA1"/>
    <w:rsid w:val="00F86362"/>
    <w:rsid w:val="00F9023C"/>
    <w:rsid w:val="00F90430"/>
    <w:rsid w:val="00F904A4"/>
    <w:rsid w:val="00F90ED9"/>
    <w:rsid w:val="00F91206"/>
    <w:rsid w:val="00F926FA"/>
    <w:rsid w:val="00F94FC6"/>
    <w:rsid w:val="00F957A5"/>
    <w:rsid w:val="00F95CB8"/>
    <w:rsid w:val="00F95D92"/>
    <w:rsid w:val="00F95E87"/>
    <w:rsid w:val="00F965FC"/>
    <w:rsid w:val="00F966FA"/>
    <w:rsid w:val="00F96E87"/>
    <w:rsid w:val="00F97D0D"/>
    <w:rsid w:val="00F97E1D"/>
    <w:rsid w:val="00F97F22"/>
    <w:rsid w:val="00F97F9E"/>
    <w:rsid w:val="00FA087C"/>
    <w:rsid w:val="00FA0BE7"/>
    <w:rsid w:val="00FA0D03"/>
    <w:rsid w:val="00FA160D"/>
    <w:rsid w:val="00FA263F"/>
    <w:rsid w:val="00FA2959"/>
    <w:rsid w:val="00FA2AED"/>
    <w:rsid w:val="00FA2F32"/>
    <w:rsid w:val="00FA32EB"/>
    <w:rsid w:val="00FA3442"/>
    <w:rsid w:val="00FA4566"/>
    <w:rsid w:val="00FA45CB"/>
    <w:rsid w:val="00FA5B1E"/>
    <w:rsid w:val="00FA6F8F"/>
    <w:rsid w:val="00FA78D6"/>
    <w:rsid w:val="00FA7FA7"/>
    <w:rsid w:val="00FB0176"/>
    <w:rsid w:val="00FB033C"/>
    <w:rsid w:val="00FB036B"/>
    <w:rsid w:val="00FB050B"/>
    <w:rsid w:val="00FB16BE"/>
    <w:rsid w:val="00FB1C64"/>
    <w:rsid w:val="00FB1CFA"/>
    <w:rsid w:val="00FB1E7A"/>
    <w:rsid w:val="00FB2AF4"/>
    <w:rsid w:val="00FB3214"/>
    <w:rsid w:val="00FB3798"/>
    <w:rsid w:val="00FB3E5C"/>
    <w:rsid w:val="00FB5AD7"/>
    <w:rsid w:val="00FB656E"/>
    <w:rsid w:val="00FB6DB0"/>
    <w:rsid w:val="00FB76B6"/>
    <w:rsid w:val="00FB76BE"/>
    <w:rsid w:val="00FB7797"/>
    <w:rsid w:val="00FB79B3"/>
    <w:rsid w:val="00FC03BF"/>
    <w:rsid w:val="00FC06D8"/>
    <w:rsid w:val="00FC0787"/>
    <w:rsid w:val="00FC09B5"/>
    <w:rsid w:val="00FC10B9"/>
    <w:rsid w:val="00FC134D"/>
    <w:rsid w:val="00FC1796"/>
    <w:rsid w:val="00FC1E40"/>
    <w:rsid w:val="00FC229C"/>
    <w:rsid w:val="00FC243E"/>
    <w:rsid w:val="00FC432D"/>
    <w:rsid w:val="00FC675A"/>
    <w:rsid w:val="00FC6794"/>
    <w:rsid w:val="00FC68AE"/>
    <w:rsid w:val="00FC6FD0"/>
    <w:rsid w:val="00FC7F36"/>
    <w:rsid w:val="00FD021B"/>
    <w:rsid w:val="00FD1B1E"/>
    <w:rsid w:val="00FD1D4E"/>
    <w:rsid w:val="00FD2F46"/>
    <w:rsid w:val="00FD3068"/>
    <w:rsid w:val="00FD31EA"/>
    <w:rsid w:val="00FD362F"/>
    <w:rsid w:val="00FD3CD1"/>
    <w:rsid w:val="00FD42B9"/>
    <w:rsid w:val="00FD5187"/>
    <w:rsid w:val="00FD570A"/>
    <w:rsid w:val="00FD5B44"/>
    <w:rsid w:val="00FD5FDB"/>
    <w:rsid w:val="00FD7B76"/>
    <w:rsid w:val="00FE0941"/>
    <w:rsid w:val="00FE12DF"/>
    <w:rsid w:val="00FE193C"/>
    <w:rsid w:val="00FE1D78"/>
    <w:rsid w:val="00FE2101"/>
    <w:rsid w:val="00FE3140"/>
    <w:rsid w:val="00FE3DEB"/>
    <w:rsid w:val="00FE4AB9"/>
    <w:rsid w:val="00FE4B5E"/>
    <w:rsid w:val="00FE4D4E"/>
    <w:rsid w:val="00FE50BB"/>
    <w:rsid w:val="00FE514B"/>
    <w:rsid w:val="00FE51F6"/>
    <w:rsid w:val="00FE5CE8"/>
    <w:rsid w:val="00FE612E"/>
    <w:rsid w:val="00FE6264"/>
    <w:rsid w:val="00FE6870"/>
    <w:rsid w:val="00FE6B8F"/>
    <w:rsid w:val="00FE7744"/>
    <w:rsid w:val="00FE7C79"/>
    <w:rsid w:val="00FE7E75"/>
    <w:rsid w:val="00FF0D56"/>
    <w:rsid w:val="00FF1DA0"/>
    <w:rsid w:val="00FF1F00"/>
    <w:rsid w:val="00FF2112"/>
    <w:rsid w:val="00FF2442"/>
    <w:rsid w:val="00FF270A"/>
    <w:rsid w:val="00FF2A30"/>
    <w:rsid w:val="00FF3087"/>
    <w:rsid w:val="00FF3D4E"/>
    <w:rsid w:val="00FF4073"/>
    <w:rsid w:val="00FF4A50"/>
    <w:rsid w:val="00FF4D30"/>
    <w:rsid w:val="00FF5D10"/>
    <w:rsid w:val="00FF78FB"/>
    <w:rsid w:val="00FF7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52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702"/>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34E5"/>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56DD"/>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915C1"/>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81F25"/>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1F25"/>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1F25"/>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1F2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1F2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72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76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0760"/>
    <w:rPr>
      <w:rFonts w:eastAsiaTheme="minorEastAsia"/>
      <w:color w:val="5A5A5A" w:themeColor="text1" w:themeTint="A5"/>
      <w:spacing w:val="15"/>
    </w:rPr>
  </w:style>
  <w:style w:type="character" w:styleId="SubtleReference">
    <w:name w:val="Subtle Reference"/>
    <w:basedOn w:val="DefaultParagraphFont"/>
    <w:uiPriority w:val="31"/>
    <w:qFormat/>
    <w:rsid w:val="00270760"/>
    <w:rPr>
      <w:smallCaps/>
      <w:color w:val="5A5A5A" w:themeColor="text1" w:themeTint="A5"/>
    </w:rPr>
  </w:style>
  <w:style w:type="character" w:customStyle="1" w:styleId="Heading1Char">
    <w:name w:val="Heading 1 Char"/>
    <w:basedOn w:val="DefaultParagraphFont"/>
    <w:link w:val="Heading1"/>
    <w:uiPriority w:val="9"/>
    <w:rsid w:val="003217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34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56DD"/>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D12BDA"/>
    <w:rPr>
      <w:sz w:val="16"/>
      <w:szCs w:val="16"/>
    </w:rPr>
  </w:style>
  <w:style w:type="paragraph" w:styleId="CommentText">
    <w:name w:val="annotation text"/>
    <w:basedOn w:val="Normal"/>
    <w:link w:val="CommentTextChar"/>
    <w:uiPriority w:val="99"/>
    <w:unhideWhenUsed/>
    <w:rsid w:val="00D12BDA"/>
    <w:pPr>
      <w:spacing w:line="240" w:lineRule="auto"/>
    </w:pPr>
    <w:rPr>
      <w:sz w:val="20"/>
      <w:szCs w:val="20"/>
    </w:rPr>
  </w:style>
  <w:style w:type="character" w:customStyle="1" w:styleId="CommentTextChar">
    <w:name w:val="Comment Text Char"/>
    <w:basedOn w:val="DefaultParagraphFont"/>
    <w:link w:val="CommentText"/>
    <w:uiPriority w:val="99"/>
    <w:rsid w:val="00D12BDA"/>
    <w:rPr>
      <w:sz w:val="20"/>
      <w:szCs w:val="20"/>
    </w:rPr>
  </w:style>
  <w:style w:type="paragraph" w:styleId="CommentSubject">
    <w:name w:val="annotation subject"/>
    <w:basedOn w:val="CommentText"/>
    <w:next w:val="CommentText"/>
    <w:link w:val="CommentSubjectChar"/>
    <w:uiPriority w:val="99"/>
    <w:semiHidden/>
    <w:unhideWhenUsed/>
    <w:rsid w:val="00D12BDA"/>
    <w:rPr>
      <w:b/>
      <w:bCs/>
    </w:rPr>
  </w:style>
  <w:style w:type="character" w:customStyle="1" w:styleId="CommentSubjectChar">
    <w:name w:val="Comment Subject Char"/>
    <w:basedOn w:val="CommentTextChar"/>
    <w:link w:val="CommentSubject"/>
    <w:uiPriority w:val="99"/>
    <w:semiHidden/>
    <w:rsid w:val="00D12BDA"/>
    <w:rPr>
      <w:b/>
      <w:bCs/>
      <w:sz w:val="20"/>
      <w:szCs w:val="20"/>
    </w:rPr>
  </w:style>
  <w:style w:type="paragraph" w:styleId="BalloonText">
    <w:name w:val="Balloon Text"/>
    <w:basedOn w:val="Normal"/>
    <w:link w:val="BalloonTextChar"/>
    <w:uiPriority w:val="99"/>
    <w:semiHidden/>
    <w:unhideWhenUsed/>
    <w:rsid w:val="00D12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BDA"/>
    <w:rPr>
      <w:rFonts w:ascii="Segoe UI" w:hAnsi="Segoe UI" w:cs="Segoe UI"/>
      <w:sz w:val="18"/>
      <w:szCs w:val="18"/>
    </w:rPr>
  </w:style>
  <w:style w:type="paragraph" w:styleId="Caption">
    <w:name w:val="caption"/>
    <w:basedOn w:val="Normal"/>
    <w:next w:val="Normal"/>
    <w:uiPriority w:val="35"/>
    <w:unhideWhenUsed/>
    <w:qFormat/>
    <w:rsid w:val="00D12BAB"/>
    <w:pPr>
      <w:spacing w:after="200" w:line="240" w:lineRule="auto"/>
    </w:pPr>
    <w:rPr>
      <w:i/>
      <w:iCs/>
      <w:color w:val="44546A" w:themeColor="text2"/>
      <w:sz w:val="18"/>
      <w:szCs w:val="18"/>
    </w:rPr>
  </w:style>
  <w:style w:type="table" w:customStyle="1" w:styleId="GridTable41">
    <w:name w:val="Grid Table 41"/>
    <w:basedOn w:val="TableNormal"/>
    <w:uiPriority w:val="49"/>
    <w:rsid w:val="00D12BA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B7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CBA"/>
    <w:pPr>
      <w:ind w:left="720"/>
      <w:contextualSpacing/>
    </w:pPr>
  </w:style>
  <w:style w:type="table" w:customStyle="1" w:styleId="ListTable31">
    <w:name w:val="List Table 31"/>
    <w:basedOn w:val="TableNormal"/>
    <w:uiPriority w:val="48"/>
    <w:rsid w:val="00403A9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1">
    <w:name w:val="Grid Table 1 Light1"/>
    <w:basedOn w:val="TableNormal"/>
    <w:uiPriority w:val="46"/>
    <w:rsid w:val="005551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4915C1"/>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E64C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C515A"/>
    <w:rPr>
      <w:color w:val="0000FF"/>
      <w:u w:val="single"/>
    </w:rPr>
  </w:style>
  <w:style w:type="character" w:styleId="FollowedHyperlink">
    <w:name w:val="FollowedHyperlink"/>
    <w:basedOn w:val="DefaultParagraphFont"/>
    <w:uiPriority w:val="99"/>
    <w:semiHidden/>
    <w:unhideWhenUsed/>
    <w:rsid w:val="00B329C1"/>
    <w:rPr>
      <w:color w:val="954F72" w:themeColor="followedHyperlink"/>
      <w:u w:val="single"/>
    </w:rPr>
  </w:style>
  <w:style w:type="paragraph" w:styleId="Revision">
    <w:name w:val="Revision"/>
    <w:hidden/>
    <w:uiPriority w:val="99"/>
    <w:semiHidden/>
    <w:rsid w:val="00F10523"/>
    <w:pPr>
      <w:spacing w:after="0" w:line="240" w:lineRule="auto"/>
    </w:pPr>
  </w:style>
  <w:style w:type="table" w:styleId="GridTable5Dark">
    <w:name w:val="Grid Table 5 Dark"/>
    <w:basedOn w:val="TableNormal"/>
    <w:uiPriority w:val="50"/>
    <w:rsid w:val="000B10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CA39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381F2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81F2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81F2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81F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1F2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4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912"/>
  </w:style>
  <w:style w:type="paragraph" w:styleId="Footer">
    <w:name w:val="footer"/>
    <w:basedOn w:val="Normal"/>
    <w:link w:val="FooterChar"/>
    <w:uiPriority w:val="99"/>
    <w:unhideWhenUsed/>
    <w:rsid w:val="0004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912"/>
  </w:style>
  <w:style w:type="table" w:styleId="ListTable3">
    <w:name w:val="List Table 3"/>
    <w:basedOn w:val="TableNormal"/>
    <w:uiPriority w:val="48"/>
    <w:rsid w:val="00F40AF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46774">
      <w:bodyDiv w:val="1"/>
      <w:marLeft w:val="0"/>
      <w:marRight w:val="0"/>
      <w:marTop w:val="0"/>
      <w:marBottom w:val="0"/>
      <w:divBdr>
        <w:top w:val="none" w:sz="0" w:space="0" w:color="auto"/>
        <w:left w:val="none" w:sz="0" w:space="0" w:color="auto"/>
        <w:bottom w:val="none" w:sz="0" w:space="0" w:color="auto"/>
        <w:right w:val="none" w:sz="0" w:space="0" w:color="auto"/>
      </w:divBdr>
      <w:divsChild>
        <w:div w:id="88084772">
          <w:marLeft w:val="0"/>
          <w:marRight w:val="0"/>
          <w:marTop w:val="0"/>
          <w:marBottom w:val="0"/>
          <w:divBdr>
            <w:top w:val="none" w:sz="0" w:space="0" w:color="auto"/>
            <w:left w:val="none" w:sz="0" w:space="0" w:color="auto"/>
            <w:bottom w:val="none" w:sz="0" w:space="0" w:color="auto"/>
            <w:right w:val="none" w:sz="0" w:space="0" w:color="auto"/>
          </w:divBdr>
          <w:divsChild>
            <w:div w:id="372582239">
              <w:marLeft w:val="0"/>
              <w:marRight w:val="0"/>
              <w:marTop w:val="0"/>
              <w:marBottom w:val="0"/>
              <w:divBdr>
                <w:top w:val="none" w:sz="0" w:space="0" w:color="auto"/>
                <w:left w:val="none" w:sz="0" w:space="0" w:color="auto"/>
                <w:bottom w:val="none" w:sz="0" w:space="0" w:color="auto"/>
                <w:right w:val="none" w:sz="0" w:space="0" w:color="auto"/>
              </w:divBdr>
              <w:divsChild>
                <w:div w:id="13057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A002A-AB20-104F-8987-8B774EEF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66244</Words>
  <Characters>377592</Characters>
  <Application>Microsoft Office Word</Application>
  <DocSecurity>0</DocSecurity>
  <Lines>3146</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2022-07-28T14:45:00Z</dcterms:created>
  <dcterms:modified xsi:type="dcterms:W3CDTF">2022-07-28T14:49:00Z</dcterms:modified>
</cp:coreProperties>
</file>