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409E" w14:textId="49A87C0D" w:rsidR="005B0926" w:rsidRPr="00025EAE" w:rsidRDefault="005B0926" w:rsidP="00F10546">
      <w:pPr>
        <w:pStyle w:val="NormalWeb"/>
        <w:jc w:val="both"/>
        <w:rPr>
          <w:rFonts w:asciiTheme="minorHAnsi" w:hAnsiTheme="minorHAnsi" w:cstheme="minorHAnsi"/>
          <w:b/>
          <w:bCs/>
          <w:lang w:val="en-GB"/>
        </w:rPr>
      </w:pPr>
      <w:r w:rsidRPr="00025EAE">
        <w:rPr>
          <w:rFonts w:asciiTheme="minorHAnsi" w:hAnsiTheme="minorHAnsi" w:cstheme="minorHAnsi"/>
          <w:b/>
          <w:bCs/>
          <w:lang w:val="en-GB"/>
        </w:rPr>
        <w:t>Research news in clinical context</w:t>
      </w:r>
    </w:p>
    <w:p w14:paraId="2810B7A1" w14:textId="7605143C" w:rsidR="00F70BD2" w:rsidRPr="00025EAE" w:rsidRDefault="00E75323" w:rsidP="00F10546">
      <w:pPr>
        <w:pStyle w:val="NormalWeb"/>
        <w:jc w:val="both"/>
        <w:rPr>
          <w:rFonts w:asciiTheme="minorHAnsi" w:hAnsiTheme="minorHAnsi" w:cstheme="minorHAnsi"/>
          <w:lang w:val="en-GB"/>
        </w:rPr>
      </w:pPr>
      <w:r w:rsidRPr="00025EAE">
        <w:rPr>
          <w:rFonts w:asciiTheme="minorHAnsi" w:hAnsiTheme="minorHAnsi" w:cstheme="minorHAnsi"/>
          <w:lang w:val="en-GB"/>
        </w:rPr>
        <w:t>Giovanni Villa</w:t>
      </w:r>
      <w:r w:rsidR="004E5AE0" w:rsidRPr="00025EAE">
        <w:rPr>
          <w:rFonts w:asciiTheme="minorHAnsi" w:hAnsiTheme="minorHAnsi" w:cstheme="minorHAnsi"/>
          <w:vertAlign w:val="superscript"/>
          <w:lang w:val="en-GB"/>
        </w:rPr>
        <w:t>1</w:t>
      </w:r>
      <w:r w:rsidRPr="00025EAE">
        <w:rPr>
          <w:rFonts w:asciiTheme="minorHAnsi" w:hAnsiTheme="minorHAnsi" w:cstheme="minorHAnsi"/>
          <w:lang w:val="en-GB"/>
        </w:rPr>
        <w:t xml:space="preserve">, </w:t>
      </w:r>
      <w:r w:rsidR="004E5AE0" w:rsidRPr="00025EAE">
        <w:rPr>
          <w:rFonts w:asciiTheme="minorHAnsi" w:hAnsiTheme="minorHAnsi" w:cstheme="minorHAnsi"/>
          <w:lang w:val="en-GB"/>
        </w:rPr>
        <w:t>Heather Armstrong</w:t>
      </w:r>
      <w:r w:rsidR="007E121E" w:rsidRPr="00025EAE">
        <w:rPr>
          <w:rFonts w:asciiTheme="minorHAnsi" w:hAnsiTheme="minorHAnsi" w:cstheme="minorHAnsi"/>
          <w:vertAlign w:val="superscript"/>
          <w:lang w:val="en-GB"/>
        </w:rPr>
        <w:t>2</w:t>
      </w:r>
      <w:r w:rsidR="004E5AE0" w:rsidRPr="00025EAE">
        <w:rPr>
          <w:rFonts w:asciiTheme="minorHAnsi" w:hAnsiTheme="minorHAnsi" w:cstheme="minorHAnsi"/>
          <w:lang w:val="en-GB"/>
        </w:rPr>
        <w:t>, Ana Arias</w:t>
      </w:r>
      <w:r w:rsidR="007E121E" w:rsidRPr="00025EAE">
        <w:rPr>
          <w:rFonts w:asciiTheme="minorHAnsi" w:hAnsiTheme="minorHAnsi" w:cstheme="minorHAnsi"/>
          <w:vertAlign w:val="superscript"/>
          <w:lang w:val="en-GB"/>
        </w:rPr>
        <w:t>3</w:t>
      </w:r>
      <w:r w:rsidR="007E121E" w:rsidRPr="00025EAE">
        <w:rPr>
          <w:rFonts w:asciiTheme="minorHAnsi" w:hAnsiTheme="minorHAnsi" w:cstheme="minorHAnsi"/>
          <w:lang w:val="en-GB"/>
        </w:rPr>
        <w:t xml:space="preserve">, </w:t>
      </w:r>
      <w:r w:rsidR="007E121E" w:rsidRPr="00025EAE">
        <w:rPr>
          <w:rFonts w:asciiTheme="minorHAnsi" w:hAnsiTheme="minorHAnsi" w:cstheme="minorHAnsi"/>
          <w:lang w:val="en-GB"/>
        </w:rPr>
        <w:t>Marina Daskalopoulou</w:t>
      </w:r>
      <w:r w:rsidR="007E121E" w:rsidRPr="00025EAE">
        <w:rPr>
          <w:rFonts w:asciiTheme="minorHAnsi" w:hAnsiTheme="minorHAnsi" w:cstheme="minorHAnsi"/>
          <w:vertAlign w:val="superscript"/>
          <w:lang w:val="en-GB"/>
        </w:rPr>
        <w:t>4</w:t>
      </w:r>
    </w:p>
    <w:p w14:paraId="3ED8E940" w14:textId="15537FC4" w:rsidR="004E5AE0" w:rsidRPr="00025EAE" w:rsidRDefault="004E5AE0" w:rsidP="00F10546">
      <w:pPr>
        <w:pStyle w:val="NormalWeb"/>
        <w:jc w:val="both"/>
        <w:rPr>
          <w:rFonts w:asciiTheme="minorHAnsi" w:hAnsiTheme="minorHAnsi" w:cstheme="minorHAnsi"/>
          <w:lang w:val="en-GB"/>
        </w:rPr>
      </w:pPr>
      <w:r w:rsidRPr="00025EAE">
        <w:rPr>
          <w:rFonts w:asciiTheme="minorHAnsi" w:hAnsiTheme="minorHAnsi" w:cstheme="minorHAnsi"/>
          <w:vertAlign w:val="superscript"/>
          <w:lang w:val="en-GB"/>
        </w:rPr>
        <w:t>1</w:t>
      </w:r>
      <w:r w:rsidR="001B265A" w:rsidRPr="00025EAE">
        <w:rPr>
          <w:rFonts w:asciiTheme="minorHAnsi" w:hAnsiTheme="minorHAnsi" w:cstheme="minorHAnsi"/>
          <w:lang w:val="en-GB"/>
        </w:rPr>
        <w:t>Department of Genitourinary Medicine and Infectious Diseases, GUIDE Clinic, St James Hospital, Dublin, Ireland</w:t>
      </w:r>
    </w:p>
    <w:p w14:paraId="64AEEF0E" w14:textId="1B33E5C3" w:rsidR="004E5AE0" w:rsidRPr="00025EAE" w:rsidRDefault="007E121E" w:rsidP="00F10546">
      <w:pPr>
        <w:pStyle w:val="NormalWeb"/>
        <w:jc w:val="both"/>
        <w:rPr>
          <w:rFonts w:asciiTheme="minorHAnsi" w:hAnsiTheme="minorHAnsi" w:cstheme="minorHAnsi"/>
          <w:lang w:val="en-GB"/>
        </w:rPr>
      </w:pPr>
      <w:r w:rsidRPr="00025EAE">
        <w:rPr>
          <w:rFonts w:asciiTheme="minorHAnsi" w:hAnsiTheme="minorHAnsi" w:cstheme="minorHAnsi"/>
          <w:vertAlign w:val="superscript"/>
          <w:lang w:val="en-GB"/>
        </w:rPr>
        <w:t>2</w:t>
      </w:r>
      <w:r w:rsidR="001B265A" w:rsidRPr="00025EAE">
        <w:rPr>
          <w:rFonts w:asciiTheme="minorHAnsi" w:hAnsiTheme="minorHAnsi" w:cstheme="minorHAnsi"/>
          <w:lang w:val="en-GB"/>
        </w:rPr>
        <w:t>Department of Psychology, University of Southampton, Southampton, UK</w:t>
      </w:r>
    </w:p>
    <w:p w14:paraId="12265592" w14:textId="31021F44" w:rsidR="004E5AE0" w:rsidRPr="00025EAE" w:rsidRDefault="007E121E" w:rsidP="00F10546">
      <w:pPr>
        <w:pStyle w:val="NormalWeb"/>
        <w:jc w:val="both"/>
        <w:rPr>
          <w:rFonts w:asciiTheme="minorHAnsi" w:hAnsiTheme="minorHAnsi" w:cstheme="minorHAnsi"/>
          <w:lang w:val="en-GB"/>
        </w:rPr>
      </w:pPr>
      <w:r w:rsidRPr="00025EAE">
        <w:rPr>
          <w:rFonts w:asciiTheme="minorHAnsi" w:hAnsiTheme="minorHAnsi" w:cstheme="minorHAnsi"/>
          <w:vertAlign w:val="superscript"/>
          <w:lang w:val="en-GB"/>
        </w:rPr>
        <w:t>3</w:t>
      </w:r>
      <w:r w:rsidR="000A2E18" w:rsidRPr="00025EAE">
        <w:rPr>
          <w:rFonts w:asciiTheme="minorHAnsi" w:hAnsiTheme="minorHAnsi" w:cstheme="minorHAnsi"/>
          <w:lang w:val="en-GB"/>
        </w:rPr>
        <w:t xml:space="preserve">Servicio de </w:t>
      </w:r>
      <w:proofErr w:type="spellStart"/>
      <w:r w:rsidR="000A2E18" w:rsidRPr="00025EAE">
        <w:rPr>
          <w:rFonts w:asciiTheme="minorHAnsi" w:hAnsiTheme="minorHAnsi" w:cstheme="minorHAnsi"/>
          <w:lang w:val="en-GB"/>
        </w:rPr>
        <w:t>Ginecología</w:t>
      </w:r>
      <w:proofErr w:type="spellEnd"/>
      <w:r w:rsidR="000A2E18" w:rsidRPr="00025EAE">
        <w:rPr>
          <w:rFonts w:asciiTheme="minorHAnsi" w:hAnsiTheme="minorHAnsi" w:cstheme="minorHAnsi"/>
          <w:lang w:val="en-GB"/>
        </w:rPr>
        <w:t xml:space="preserve"> Hospital </w:t>
      </w:r>
      <w:proofErr w:type="spellStart"/>
      <w:r w:rsidR="000A2E18" w:rsidRPr="00025EAE">
        <w:rPr>
          <w:rFonts w:asciiTheme="minorHAnsi" w:hAnsiTheme="minorHAnsi" w:cstheme="minorHAnsi"/>
          <w:lang w:val="en-GB"/>
        </w:rPr>
        <w:t>Alemán</w:t>
      </w:r>
      <w:proofErr w:type="spellEnd"/>
      <w:r w:rsidR="000A2E18" w:rsidRPr="00025EAE">
        <w:rPr>
          <w:rFonts w:asciiTheme="minorHAnsi" w:hAnsiTheme="minorHAnsi" w:cstheme="minorHAnsi"/>
          <w:lang w:val="en-GB"/>
        </w:rPr>
        <w:t xml:space="preserve"> and </w:t>
      </w:r>
      <w:proofErr w:type="spellStart"/>
      <w:r w:rsidR="000A2E18" w:rsidRPr="00025EAE">
        <w:rPr>
          <w:rFonts w:asciiTheme="minorHAnsi" w:hAnsiTheme="minorHAnsi" w:cstheme="minorHAnsi"/>
          <w:lang w:val="en-GB"/>
        </w:rPr>
        <w:t>Sección</w:t>
      </w:r>
      <w:proofErr w:type="spellEnd"/>
      <w:r w:rsidR="000A2E18" w:rsidRPr="00025EAE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0A2E18" w:rsidRPr="00025EAE">
        <w:rPr>
          <w:rFonts w:asciiTheme="minorHAnsi" w:hAnsiTheme="minorHAnsi" w:cstheme="minorHAnsi"/>
          <w:lang w:val="en-GB"/>
        </w:rPr>
        <w:t>Tracto</w:t>
      </w:r>
      <w:proofErr w:type="spellEnd"/>
      <w:r w:rsidR="000A2E18" w:rsidRPr="00025EAE">
        <w:rPr>
          <w:rFonts w:asciiTheme="minorHAnsi" w:hAnsiTheme="minorHAnsi" w:cstheme="minorHAnsi"/>
          <w:lang w:val="en-GB"/>
        </w:rPr>
        <w:t xml:space="preserve"> Genital Inferior Hospital Carlos G Durand, Universidad de Buenos Aires, Buenos Aires, Argentina</w:t>
      </w:r>
    </w:p>
    <w:p w14:paraId="68997FED" w14:textId="3F7AE366" w:rsidR="007E121E" w:rsidRPr="00025EAE" w:rsidRDefault="007E121E" w:rsidP="00F10546">
      <w:pPr>
        <w:pStyle w:val="NormalWeb"/>
        <w:jc w:val="both"/>
        <w:rPr>
          <w:rFonts w:asciiTheme="minorHAnsi" w:hAnsiTheme="minorHAnsi" w:cstheme="minorHAnsi"/>
          <w:lang w:val="en-GB"/>
        </w:rPr>
      </w:pPr>
      <w:r w:rsidRPr="00025EAE">
        <w:rPr>
          <w:rFonts w:asciiTheme="minorHAnsi" w:hAnsiTheme="minorHAnsi" w:cstheme="minorHAnsi"/>
          <w:vertAlign w:val="superscript"/>
          <w:lang w:val="en-GB"/>
        </w:rPr>
        <w:t>4</w:t>
      </w:r>
      <w:r w:rsidRPr="00025EAE">
        <w:rPr>
          <w:rFonts w:asciiTheme="minorHAnsi" w:hAnsiTheme="minorHAnsi" w:cstheme="minorHAnsi"/>
          <w:lang w:val="en-GB"/>
        </w:rPr>
        <w:t>Institute for Global Health, University College London, London, UK</w:t>
      </w:r>
    </w:p>
    <w:p w14:paraId="76899574" w14:textId="77777777" w:rsidR="003D0A1C" w:rsidRPr="00025EAE" w:rsidRDefault="003D0A1C" w:rsidP="00F10546">
      <w:pPr>
        <w:pStyle w:val="NormalWeb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017F85F0" w14:textId="15040C2E" w:rsidR="00587612" w:rsidRPr="00025EAE" w:rsidRDefault="00B6387A" w:rsidP="00F10546">
      <w:pPr>
        <w:pStyle w:val="NormalWeb"/>
        <w:jc w:val="both"/>
        <w:rPr>
          <w:rFonts w:asciiTheme="minorHAnsi" w:hAnsiTheme="minorHAnsi" w:cstheme="minorHAnsi"/>
          <w:b/>
          <w:bCs/>
          <w:lang w:val="en-GB"/>
        </w:rPr>
      </w:pPr>
      <w:r w:rsidRPr="00025EAE">
        <w:rPr>
          <w:rFonts w:asciiTheme="minorHAnsi" w:hAnsiTheme="minorHAnsi" w:cstheme="minorHAnsi"/>
          <w:b/>
          <w:bCs/>
          <w:lang w:val="en-GB"/>
        </w:rPr>
        <w:t xml:space="preserve">Worldwide STI burden and trends </w:t>
      </w:r>
      <w:r w:rsidR="00DD5AC8" w:rsidRPr="00025EAE">
        <w:rPr>
          <w:rFonts w:asciiTheme="minorHAnsi" w:hAnsiTheme="minorHAnsi" w:cstheme="minorHAnsi"/>
          <w:b/>
          <w:bCs/>
          <w:lang w:val="en-GB"/>
        </w:rPr>
        <w:t>from 1990 to 2019</w:t>
      </w:r>
      <w:r w:rsidRPr="00025EAE">
        <w:rPr>
          <w:rFonts w:asciiTheme="minorHAnsi" w:hAnsiTheme="minorHAnsi" w:cstheme="minorHAnsi"/>
          <w:b/>
          <w:bCs/>
          <w:lang w:val="en-GB"/>
        </w:rPr>
        <w:t xml:space="preserve"> </w:t>
      </w:r>
    </w:p>
    <w:p w14:paraId="381956FC" w14:textId="286E6C22" w:rsidR="00B91FDC" w:rsidRPr="00025EAE" w:rsidRDefault="00602BDE" w:rsidP="00EF7223">
      <w:pPr>
        <w:pStyle w:val="NormalWeb"/>
        <w:jc w:val="both"/>
        <w:rPr>
          <w:rFonts w:asciiTheme="minorHAnsi" w:hAnsiTheme="minorHAnsi" w:cstheme="minorHAnsi"/>
          <w:lang w:val="en-GB"/>
        </w:rPr>
      </w:pPr>
      <w:r w:rsidRPr="00025EAE">
        <w:rPr>
          <w:rFonts w:asciiTheme="minorHAnsi" w:hAnsiTheme="minorHAnsi" w:cstheme="minorHAnsi"/>
          <w:lang w:val="en-GB"/>
        </w:rPr>
        <w:t xml:space="preserve">Investigators modelled </w:t>
      </w:r>
      <w:r w:rsidR="00E72770" w:rsidRPr="00025EAE">
        <w:rPr>
          <w:rFonts w:asciiTheme="minorHAnsi" w:hAnsiTheme="minorHAnsi" w:cstheme="minorHAnsi"/>
          <w:lang w:val="en-GB"/>
        </w:rPr>
        <w:t xml:space="preserve">STI </w:t>
      </w:r>
      <w:r w:rsidRPr="00025EAE">
        <w:rPr>
          <w:rFonts w:asciiTheme="minorHAnsi" w:hAnsiTheme="minorHAnsi" w:cstheme="minorHAnsi"/>
          <w:lang w:val="en-GB"/>
        </w:rPr>
        <w:t>data e</w:t>
      </w:r>
      <w:r w:rsidR="000F39DF" w:rsidRPr="00025EAE">
        <w:rPr>
          <w:rFonts w:asciiTheme="minorHAnsi" w:hAnsiTheme="minorHAnsi" w:cstheme="minorHAnsi"/>
          <w:lang w:val="en-GB"/>
        </w:rPr>
        <w:t>xtract</w:t>
      </w:r>
      <w:r w:rsidRPr="00025EAE">
        <w:rPr>
          <w:rFonts w:asciiTheme="minorHAnsi" w:hAnsiTheme="minorHAnsi" w:cstheme="minorHAnsi"/>
          <w:lang w:val="en-GB"/>
        </w:rPr>
        <w:t>ed</w:t>
      </w:r>
      <w:r w:rsidR="00C06A35" w:rsidRPr="00025EAE">
        <w:rPr>
          <w:rFonts w:asciiTheme="minorHAnsi" w:hAnsiTheme="minorHAnsi" w:cstheme="minorHAnsi"/>
          <w:lang w:val="en-GB"/>
        </w:rPr>
        <w:t xml:space="preserve"> from </w:t>
      </w:r>
      <w:r w:rsidR="00115722" w:rsidRPr="00025EAE">
        <w:rPr>
          <w:rFonts w:asciiTheme="minorHAnsi" w:hAnsiTheme="minorHAnsi" w:cstheme="minorHAnsi"/>
          <w:lang w:val="en-GB"/>
        </w:rPr>
        <w:t xml:space="preserve">the </w:t>
      </w:r>
      <w:r w:rsidR="00C06A35" w:rsidRPr="00025EAE">
        <w:rPr>
          <w:rFonts w:asciiTheme="minorHAnsi" w:hAnsiTheme="minorHAnsi" w:cstheme="minorHAnsi"/>
          <w:lang w:val="en-GB"/>
        </w:rPr>
        <w:t>G</w:t>
      </w:r>
      <w:r w:rsidR="00115722" w:rsidRPr="00025EAE">
        <w:rPr>
          <w:rFonts w:asciiTheme="minorHAnsi" w:hAnsiTheme="minorHAnsi" w:cstheme="minorHAnsi"/>
          <w:lang w:val="en-GB"/>
        </w:rPr>
        <w:t xml:space="preserve">lobal </w:t>
      </w:r>
      <w:r w:rsidR="00C06A35" w:rsidRPr="00025EAE">
        <w:rPr>
          <w:rFonts w:asciiTheme="minorHAnsi" w:hAnsiTheme="minorHAnsi" w:cstheme="minorHAnsi"/>
          <w:lang w:val="en-GB"/>
        </w:rPr>
        <w:t>B</w:t>
      </w:r>
      <w:r w:rsidR="00115722" w:rsidRPr="00025EAE">
        <w:rPr>
          <w:rFonts w:asciiTheme="minorHAnsi" w:hAnsiTheme="minorHAnsi" w:cstheme="minorHAnsi"/>
          <w:lang w:val="en-GB"/>
        </w:rPr>
        <w:t xml:space="preserve">urden of </w:t>
      </w:r>
      <w:r w:rsidR="00C06A35" w:rsidRPr="00025EAE">
        <w:rPr>
          <w:rFonts w:asciiTheme="minorHAnsi" w:hAnsiTheme="minorHAnsi" w:cstheme="minorHAnsi"/>
          <w:lang w:val="en-GB"/>
        </w:rPr>
        <w:t>D</w:t>
      </w:r>
      <w:r w:rsidR="00115722" w:rsidRPr="00025EAE">
        <w:rPr>
          <w:rFonts w:asciiTheme="minorHAnsi" w:hAnsiTheme="minorHAnsi" w:cstheme="minorHAnsi"/>
          <w:lang w:val="en-GB"/>
        </w:rPr>
        <w:t>isease</w:t>
      </w:r>
      <w:r w:rsidR="00C06A35" w:rsidRPr="00025EAE">
        <w:rPr>
          <w:rFonts w:asciiTheme="minorHAnsi" w:hAnsiTheme="minorHAnsi" w:cstheme="minorHAnsi"/>
          <w:lang w:val="en-GB"/>
        </w:rPr>
        <w:t xml:space="preserve"> </w:t>
      </w:r>
      <w:r w:rsidR="00B6387A" w:rsidRPr="00025EAE">
        <w:rPr>
          <w:rFonts w:asciiTheme="minorHAnsi" w:hAnsiTheme="minorHAnsi" w:cstheme="minorHAnsi"/>
          <w:lang w:val="en-GB"/>
        </w:rPr>
        <w:t xml:space="preserve">study </w:t>
      </w:r>
      <w:r w:rsidR="00C06A35" w:rsidRPr="00025EAE">
        <w:rPr>
          <w:rFonts w:asciiTheme="minorHAnsi" w:hAnsiTheme="minorHAnsi" w:cstheme="minorHAnsi"/>
          <w:lang w:val="en-GB"/>
        </w:rPr>
        <w:t>2019</w:t>
      </w:r>
      <w:r w:rsidR="000F39DF" w:rsidRPr="00025EAE">
        <w:rPr>
          <w:rFonts w:asciiTheme="minorHAnsi" w:hAnsiTheme="minorHAnsi" w:cstheme="minorHAnsi"/>
          <w:lang w:val="en-GB"/>
        </w:rPr>
        <w:t xml:space="preserve">, </w:t>
      </w:r>
      <w:r w:rsidRPr="00025EAE">
        <w:rPr>
          <w:rFonts w:asciiTheme="minorHAnsi" w:hAnsiTheme="minorHAnsi" w:cstheme="minorHAnsi"/>
          <w:lang w:val="en-GB"/>
        </w:rPr>
        <w:t>focusing on</w:t>
      </w:r>
      <w:r w:rsidR="00AE100F" w:rsidRPr="00025EAE">
        <w:rPr>
          <w:rFonts w:asciiTheme="minorHAnsi" w:hAnsiTheme="minorHAnsi" w:cstheme="minorHAnsi"/>
          <w:lang w:val="en-GB"/>
        </w:rPr>
        <w:t xml:space="preserve"> </w:t>
      </w:r>
      <w:r w:rsidR="000F39DF" w:rsidRPr="00025EAE">
        <w:rPr>
          <w:rFonts w:asciiTheme="minorHAnsi" w:hAnsiTheme="minorHAnsi" w:cstheme="minorHAnsi"/>
          <w:lang w:val="en-GB"/>
        </w:rPr>
        <w:t>syphilis,</w:t>
      </w:r>
      <w:r w:rsidR="00EF7223" w:rsidRPr="00025EAE">
        <w:rPr>
          <w:rFonts w:asciiTheme="minorHAnsi" w:hAnsiTheme="minorHAnsi" w:cstheme="minorHAnsi"/>
          <w:lang w:val="en-GB"/>
        </w:rPr>
        <w:t xml:space="preserve"> </w:t>
      </w:r>
      <w:r w:rsidR="000F39DF" w:rsidRPr="00025EAE">
        <w:rPr>
          <w:rFonts w:asciiTheme="minorHAnsi" w:hAnsiTheme="minorHAnsi" w:cstheme="minorHAnsi"/>
          <w:lang w:val="en-GB"/>
        </w:rPr>
        <w:t xml:space="preserve">gonorrhoea, </w:t>
      </w:r>
      <w:r w:rsidR="008C186D" w:rsidRPr="00025EAE">
        <w:rPr>
          <w:rFonts w:asciiTheme="minorHAnsi" w:hAnsiTheme="minorHAnsi" w:cstheme="minorHAnsi"/>
          <w:lang w:val="en-GB"/>
        </w:rPr>
        <w:t>chlamydia</w:t>
      </w:r>
      <w:r w:rsidR="00AE100F" w:rsidRPr="00025EAE">
        <w:rPr>
          <w:rFonts w:asciiTheme="minorHAnsi" w:hAnsiTheme="minorHAnsi" w:cstheme="minorHAnsi"/>
          <w:lang w:val="en-GB"/>
        </w:rPr>
        <w:t xml:space="preserve">, </w:t>
      </w:r>
      <w:r w:rsidR="008C186D" w:rsidRPr="00025EAE">
        <w:rPr>
          <w:rFonts w:asciiTheme="minorHAnsi" w:hAnsiTheme="minorHAnsi" w:cstheme="minorHAnsi"/>
          <w:lang w:val="en-GB"/>
        </w:rPr>
        <w:t xml:space="preserve">trichomonas, and </w:t>
      </w:r>
      <w:r w:rsidR="00646A27" w:rsidRPr="00025EAE">
        <w:rPr>
          <w:rFonts w:asciiTheme="minorHAnsi" w:hAnsiTheme="minorHAnsi" w:cstheme="minorHAnsi"/>
          <w:lang w:val="en-GB"/>
        </w:rPr>
        <w:t xml:space="preserve">genital </w:t>
      </w:r>
      <w:r w:rsidR="008C186D" w:rsidRPr="00025EAE">
        <w:rPr>
          <w:rFonts w:asciiTheme="minorHAnsi" w:hAnsiTheme="minorHAnsi" w:cstheme="minorHAnsi"/>
          <w:lang w:val="en-GB"/>
        </w:rPr>
        <w:t xml:space="preserve">herpes. </w:t>
      </w:r>
      <w:r w:rsidR="000F39DF" w:rsidRPr="00025EAE">
        <w:rPr>
          <w:rFonts w:asciiTheme="minorHAnsi" w:hAnsiTheme="minorHAnsi" w:cstheme="minorHAnsi"/>
          <w:lang w:val="en-GB"/>
        </w:rPr>
        <w:t>Although m</w:t>
      </w:r>
      <w:r w:rsidR="00335EA6" w:rsidRPr="00025EAE">
        <w:rPr>
          <w:rFonts w:asciiTheme="minorHAnsi" w:hAnsiTheme="minorHAnsi" w:cstheme="minorHAnsi"/>
          <w:lang w:val="en-GB"/>
        </w:rPr>
        <w:t>ost countries showed a decrease in the age</w:t>
      </w:r>
      <w:r w:rsidR="009F1AE1" w:rsidRPr="00025EAE">
        <w:rPr>
          <w:rFonts w:asciiTheme="minorHAnsi" w:hAnsiTheme="minorHAnsi" w:cstheme="minorHAnsi"/>
          <w:lang w:val="en-GB"/>
        </w:rPr>
        <w:t>-</w:t>
      </w:r>
      <w:r w:rsidR="00335EA6" w:rsidRPr="00025EAE">
        <w:rPr>
          <w:rFonts w:asciiTheme="minorHAnsi" w:hAnsiTheme="minorHAnsi" w:cstheme="minorHAnsi"/>
          <w:lang w:val="en-GB"/>
        </w:rPr>
        <w:t>standardised inciden</w:t>
      </w:r>
      <w:r w:rsidR="00AE100F" w:rsidRPr="00025EAE">
        <w:rPr>
          <w:rFonts w:asciiTheme="minorHAnsi" w:hAnsiTheme="minorHAnsi" w:cstheme="minorHAnsi"/>
          <w:lang w:val="en-GB"/>
        </w:rPr>
        <w:t>ce</w:t>
      </w:r>
      <w:r w:rsidR="00335EA6" w:rsidRPr="00025EAE">
        <w:rPr>
          <w:rFonts w:asciiTheme="minorHAnsi" w:hAnsiTheme="minorHAnsi" w:cstheme="minorHAnsi"/>
          <w:lang w:val="en-GB"/>
        </w:rPr>
        <w:t xml:space="preserve"> rate</w:t>
      </w:r>
      <w:r w:rsidRPr="00025EAE">
        <w:rPr>
          <w:rFonts w:asciiTheme="minorHAnsi" w:hAnsiTheme="minorHAnsi" w:cstheme="minorHAnsi"/>
          <w:lang w:val="en-GB"/>
        </w:rPr>
        <w:t xml:space="preserve"> of STIs</w:t>
      </w:r>
      <w:r w:rsidR="00335EA6" w:rsidRPr="00025EAE">
        <w:rPr>
          <w:rFonts w:asciiTheme="minorHAnsi" w:hAnsiTheme="minorHAnsi" w:cstheme="minorHAnsi"/>
          <w:lang w:val="en-GB"/>
        </w:rPr>
        <w:t xml:space="preserve">, </w:t>
      </w:r>
      <w:r w:rsidR="009F1AE1" w:rsidRPr="00025EAE">
        <w:rPr>
          <w:rFonts w:asciiTheme="minorHAnsi" w:hAnsiTheme="minorHAnsi" w:cstheme="minorHAnsi"/>
          <w:lang w:val="en-GB"/>
        </w:rPr>
        <w:t xml:space="preserve">incident cases increased </w:t>
      </w:r>
      <w:r w:rsidR="00EF7223" w:rsidRPr="00025EAE">
        <w:rPr>
          <w:rFonts w:asciiTheme="minorHAnsi" w:hAnsiTheme="minorHAnsi" w:cstheme="minorHAnsi"/>
          <w:lang w:val="en-GB"/>
        </w:rPr>
        <w:t>over time</w:t>
      </w:r>
      <w:r w:rsidR="009F1AE1" w:rsidRPr="00025EAE">
        <w:rPr>
          <w:rFonts w:asciiTheme="minorHAnsi" w:hAnsiTheme="minorHAnsi" w:cstheme="minorHAnsi"/>
          <w:lang w:val="en-GB"/>
        </w:rPr>
        <w:t xml:space="preserve">, </w:t>
      </w:r>
      <w:r w:rsidR="00335EA6" w:rsidRPr="00025EAE">
        <w:rPr>
          <w:rFonts w:asciiTheme="minorHAnsi" w:hAnsiTheme="minorHAnsi" w:cstheme="minorHAnsi"/>
          <w:lang w:val="en-GB"/>
        </w:rPr>
        <w:t xml:space="preserve">possibly reflecting growth in sexually active </w:t>
      </w:r>
      <w:r w:rsidRPr="00025EAE">
        <w:rPr>
          <w:rFonts w:asciiTheme="minorHAnsi" w:hAnsiTheme="minorHAnsi" w:cstheme="minorHAnsi"/>
          <w:lang w:val="en-GB"/>
        </w:rPr>
        <w:t>populations</w:t>
      </w:r>
      <w:r w:rsidR="00EF7223" w:rsidRPr="00025EAE">
        <w:rPr>
          <w:rFonts w:asciiTheme="minorHAnsi" w:hAnsiTheme="minorHAnsi" w:cstheme="minorHAnsi"/>
          <w:lang w:val="en-GB"/>
        </w:rPr>
        <w:t xml:space="preserve"> </w:t>
      </w:r>
      <w:r w:rsidR="009F1AE1" w:rsidRPr="00025EAE">
        <w:rPr>
          <w:rFonts w:asciiTheme="minorHAnsi" w:hAnsiTheme="minorHAnsi" w:cstheme="minorHAnsi"/>
          <w:lang w:val="en-GB"/>
        </w:rPr>
        <w:t>and scaling up of STI testing. G</w:t>
      </w:r>
      <w:r w:rsidR="00097DF3" w:rsidRPr="00025EAE">
        <w:rPr>
          <w:rFonts w:asciiTheme="minorHAnsi" w:hAnsiTheme="minorHAnsi" w:cstheme="minorHAnsi"/>
          <w:lang w:val="en-GB"/>
        </w:rPr>
        <w:t xml:space="preserve">lobally, </w:t>
      </w:r>
      <w:r w:rsidR="00646A27" w:rsidRPr="00025EAE">
        <w:rPr>
          <w:rFonts w:asciiTheme="minorHAnsi" w:hAnsiTheme="minorHAnsi" w:cstheme="minorHAnsi"/>
          <w:lang w:val="en-GB"/>
        </w:rPr>
        <w:t xml:space="preserve">there </w:t>
      </w:r>
      <w:r w:rsidR="00097DF3" w:rsidRPr="00025EAE">
        <w:rPr>
          <w:rFonts w:asciiTheme="minorHAnsi" w:hAnsiTheme="minorHAnsi" w:cstheme="minorHAnsi"/>
          <w:lang w:val="en-GB"/>
        </w:rPr>
        <w:t xml:space="preserve">were </w:t>
      </w:r>
      <w:r w:rsidR="00646A27" w:rsidRPr="00025EAE">
        <w:rPr>
          <w:rFonts w:asciiTheme="minorHAnsi" w:hAnsiTheme="minorHAnsi" w:cstheme="minorHAnsi"/>
          <w:lang w:val="en-GB"/>
        </w:rPr>
        <w:t>48</w:t>
      </w:r>
      <w:r w:rsidR="00E72770" w:rsidRPr="00025EAE">
        <w:rPr>
          <w:rFonts w:asciiTheme="minorHAnsi" w:hAnsiTheme="minorHAnsi" w:cstheme="minorHAnsi"/>
          <w:lang w:val="en-GB"/>
        </w:rPr>
        <w:t>,</w:t>
      </w:r>
      <w:r w:rsidR="00646A27" w:rsidRPr="00025EAE">
        <w:rPr>
          <w:rFonts w:asciiTheme="minorHAnsi" w:hAnsiTheme="minorHAnsi" w:cstheme="minorHAnsi"/>
          <w:lang w:val="en-GB"/>
        </w:rPr>
        <w:t xml:space="preserve">677 million </w:t>
      </w:r>
      <w:r w:rsidR="00AE100F" w:rsidRPr="00025EAE">
        <w:rPr>
          <w:rFonts w:asciiTheme="minorHAnsi" w:hAnsiTheme="minorHAnsi" w:cstheme="minorHAnsi"/>
          <w:lang w:val="en-GB"/>
        </w:rPr>
        <w:t xml:space="preserve">incident </w:t>
      </w:r>
      <w:r w:rsidRPr="00025EAE">
        <w:rPr>
          <w:rFonts w:asciiTheme="minorHAnsi" w:hAnsiTheme="minorHAnsi" w:cstheme="minorHAnsi"/>
          <w:lang w:val="en-GB"/>
        </w:rPr>
        <w:t xml:space="preserve">cases of </w:t>
      </w:r>
      <w:r w:rsidR="00AE100F" w:rsidRPr="00025EAE">
        <w:rPr>
          <w:rFonts w:asciiTheme="minorHAnsi" w:hAnsiTheme="minorHAnsi" w:cstheme="minorHAnsi"/>
          <w:lang w:val="en-GB"/>
        </w:rPr>
        <w:t>STIs</w:t>
      </w:r>
      <w:r w:rsidR="00646A27" w:rsidRPr="00025EAE" w:rsidDel="008C186D">
        <w:rPr>
          <w:rFonts w:asciiTheme="minorHAnsi" w:hAnsiTheme="minorHAnsi" w:cstheme="minorHAnsi"/>
          <w:lang w:val="en-GB"/>
        </w:rPr>
        <w:t xml:space="preserve"> </w:t>
      </w:r>
      <w:r w:rsidR="00646A27" w:rsidRPr="00025EAE">
        <w:rPr>
          <w:rFonts w:asciiTheme="minorHAnsi" w:hAnsiTheme="minorHAnsi" w:cstheme="minorHAnsi"/>
          <w:lang w:val="en-GB"/>
        </w:rPr>
        <w:t xml:space="preserve">in 1990 </w:t>
      </w:r>
      <w:r w:rsidR="002117EE" w:rsidRPr="00025EAE">
        <w:rPr>
          <w:rFonts w:asciiTheme="minorHAnsi" w:hAnsiTheme="minorHAnsi" w:cstheme="minorHAnsi"/>
          <w:lang w:val="en-GB"/>
        </w:rPr>
        <w:t>vs.</w:t>
      </w:r>
      <w:r w:rsidR="00646A27" w:rsidRPr="00025EAE">
        <w:rPr>
          <w:rFonts w:asciiTheme="minorHAnsi" w:hAnsiTheme="minorHAnsi" w:cstheme="minorHAnsi"/>
          <w:lang w:val="en-GB"/>
        </w:rPr>
        <w:t xml:space="preserve"> </w:t>
      </w:r>
      <w:r w:rsidR="00097DF3" w:rsidRPr="00025EAE">
        <w:rPr>
          <w:rFonts w:asciiTheme="minorHAnsi" w:hAnsiTheme="minorHAnsi" w:cstheme="minorHAnsi"/>
          <w:lang w:val="en-GB"/>
        </w:rPr>
        <w:t>76</w:t>
      </w:r>
      <w:r w:rsidR="00E72770" w:rsidRPr="00025EAE">
        <w:rPr>
          <w:rFonts w:asciiTheme="minorHAnsi" w:hAnsiTheme="minorHAnsi" w:cstheme="minorHAnsi"/>
          <w:lang w:val="en-GB"/>
        </w:rPr>
        <w:t>,</w:t>
      </w:r>
      <w:r w:rsidR="00097DF3" w:rsidRPr="00025EAE">
        <w:rPr>
          <w:rFonts w:asciiTheme="minorHAnsi" w:hAnsiTheme="minorHAnsi" w:cstheme="minorHAnsi"/>
          <w:lang w:val="en-GB"/>
        </w:rPr>
        <w:t>985 million in 2019</w:t>
      </w:r>
      <w:r w:rsidR="00335EA6" w:rsidRPr="00025EAE">
        <w:rPr>
          <w:rFonts w:asciiTheme="minorHAnsi" w:hAnsiTheme="minorHAnsi" w:cstheme="minorHAnsi"/>
          <w:lang w:val="en-GB"/>
        </w:rPr>
        <w:t>. T</w:t>
      </w:r>
      <w:r w:rsidR="002117EE" w:rsidRPr="00025EAE">
        <w:rPr>
          <w:rFonts w:asciiTheme="minorHAnsi" w:hAnsiTheme="minorHAnsi" w:cstheme="minorHAnsi"/>
          <w:lang w:val="en-GB"/>
        </w:rPr>
        <w:t xml:space="preserve">he highest burden </w:t>
      </w:r>
      <w:r w:rsidR="00335EA6" w:rsidRPr="00025EAE">
        <w:rPr>
          <w:rFonts w:asciiTheme="minorHAnsi" w:hAnsiTheme="minorHAnsi" w:cstheme="minorHAnsi"/>
          <w:lang w:val="en-GB"/>
        </w:rPr>
        <w:t xml:space="preserve">was </w:t>
      </w:r>
      <w:r w:rsidR="002117EE" w:rsidRPr="00025EAE">
        <w:rPr>
          <w:rFonts w:asciiTheme="minorHAnsi" w:hAnsiTheme="minorHAnsi" w:cstheme="minorHAnsi"/>
          <w:lang w:val="en-GB"/>
        </w:rPr>
        <w:t xml:space="preserve">in </w:t>
      </w:r>
      <w:r w:rsidR="00C93074" w:rsidRPr="00025EAE">
        <w:rPr>
          <w:rFonts w:asciiTheme="minorHAnsi" w:hAnsiTheme="minorHAnsi" w:cstheme="minorHAnsi"/>
          <w:lang w:val="en-GB"/>
        </w:rPr>
        <w:t>S</w:t>
      </w:r>
      <w:r w:rsidR="002325DD" w:rsidRPr="00025EAE">
        <w:rPr>
          <w:rFonts w:asciiTheme="minorHAnsi" w:hAnsiTheme="minorHAnsi" w:cstheme="minorHAnsi"/>
          <w:lang w:val="en-GB"/>
        </w:rPr>
        <w:t>ub-Saharan Africa</w:t>
      </w:r>
      <w:r w:rsidR="000E6583" w:rsidRPr="00025EAE">
        <w:rPr>
          <w:rFonts w:asciiTheme="minorHAnsi" w:hAnsiTheme="minorHAnsi" w:cstheme="minorHAnsi"/>
          <w:lang w:val="en-GB"/>
        </w:rPr>
        <w:t xml:space="preserve">, Latin </w:t>
      </w:r>
      <w:proofErr w:type="gramStart"/>
      <w:r w:rsidR="000E6583" w:rsidRPr="00025EAE">
        <w:rPr>
          <w:rFonts w:asciiTheme="minorHAnsi" w:hAnsiTheme="minorHAnsi" w:cstheme="minorHAnsi"/>
          <w:lang w:val="en-GB"/>
        </w:rPr>
        <w:t>America</w:t>
      </w:r>
      <w:proofErr w:type="gramEnd"/>
      <w:r w:rsidR="000E6583" w:rsidRPr="00025EAE">
        <w:rPr>
          <w:rFonts w:asciiTheme="minorHAnsi" w:hAnsiTheme="minorHAnsi" w:cstheme="minorHAnsi"/>
          <w:lang w:val="en-GB"/>
        </w:rPr>
        <w:t xml:space="preserve"> and the Caribbean</w:t>
      </w:r>
      <w:r w:rsidR="004076A8" w:rsidRPr="00025EAE">
        <w:rPr>
          <w:rFonts w:asciiTheme="minorHAnsi" w:hAnsiTheme="minorHAnsi" w:cstheme="minorHAnsi"/>
          <w:lang w:val="en-GB"/>
        </w:rPr>
        <w:t>; chlamydia</w:t>
      </w:r>
      <w:r w:rsidR="004E0335" w:rsidRPr="00025EAE">
        <w:rPr>
          <w:rFonts w:asciiTheme="minorHAnsi" w:hAnsiTheme="minorHAnsi" w:cstheme="minorHAnsi"/>
          <w:lang w:val="en-GB"/>
        </w:rPr>
        <w:t xml:space="preserve"> and</w:t>
      </w:r>
      <w:r w:rsidR="004076A8" w:rsidRPr="00025EAE">
        <w:rPr>
          <w:rFonts w:asciiTheme="minorHAnsi" w:hAnsiTheme="minorHAnsi" w:cstheme="minorHAnsi"/>
          <w:lang w:val="en-GB"/>
        </w:rPr>
        <w:t xml:space="preserve"> </w:t>
      </w:r>
      <w:r w:rsidR="004E0335" w:rsidRPr="00025EAE">
        <w:rPr>
          <w:rFonts w:asciiTheme="minorHAnsi" w:hAnsiTheme="minorHAnsi" w:cstheme="minorHAnsi"/>
          <w:lang w:val="en-GB"/>
        </w:rPr>
        <w:t xml:space="preserve">gonorrhoea also </w:t>
      </w:r>
      <w:r w:rsidR="004076A8" w:rsidRPr="00025EAE">
        <w:rPr>
          <w:rFonts w:asciiTheme="minorHAnsi" w:hAnsiTheme="minorHAnsi" w:cstheme="minorHAnsi"/>
          <w:lang w:val="en-GB"/>
        </w:rPr>
        <w:t>showed high incidence across Asia</w:t>
      </w:r>
      <w:r w:rsidR="004E0335" w:rsidRPr="00025EAE">
        <w:rPr>
          <w:rFonts w:asciiTheme="minorHAnsi" w:hAnsiTheme="minorHAnsi" w:cstheme="minorHAnsi"/>
          <w:lang w:val="en-GB"/>
        </w:rPr>
        <w:t xml:space="preserve"> and </w:t>
      </w:r>
      <w:r w:rsidR="004076A8" w:rsidRPr="00025EAE">
        <w:rPr>
          <w:rFonts w:asciiTheme="minorHAnsi" w:hAnsiTheme="minorHAnsi" w:cstheme="minorHAnsi"/>
          <w:lang w:val="en-GB"/>
        </w:rPr>
        <w:t>in eastern Europe and central Asia</w:t>
      </w:r>
      <w:r w:rsidR="004E0335" w:rsidRPr="00025EAE">
        <w:rPr>
          <w:rFonts w:asciiTheme="minorHAnsi" w:hAnsiTheme="minorHAnsi" w:cstheme="minorHAnsi"/>
          <w:lang w:val="en-GB"/>
        </w:rPr>
        <w:t>, respectively</w:t>
      </w:r>
      <w:r w:rsidR="004076A8" w:rsidRPr="00025EAE">
        <w:rPr>
          <w:rFonts w:asciiTheme="minorHAnsi" w:hAnsiTheme="minorHAnsi" w:cstheme="minorHAnsi"/>
          <w:lang w:val="en-GB"/>
        </w:rPr>
        <w:t>.</w:t>
      </w:r>
      <w:r w:rsidR="00EF7223" w:rsidRPr="00025EAE">
        <w:rPr>
          <w:rFonts w:asciiTheme="minorHAnsi" w:hAnsiTheme="minorHAnsi" w:cstheme="minorHAnsi"/>
          <w:lang w:val="en-GB"/>
        </w:rPr>
        <w:t xml:space="preserve"> </w:t>
      </w:r>
      <w:r w:rsidR="00AE100F" w:rsidRPr="00025EAE">
        <w:rPr>
          <w:rFonts w:asciiTheme="minorHAnsi" w:hAnsiTheme="minorHAnsi" w:cstheme="minorHAnsi"/>
          <w:lang w:val="en-GB"/>
        </w:rPr>
        <w:t>Alarmingly, a</w:t>
      </w:r>
      <w:r w:rsidR="002325DD" w:rsidRPr="00025EAE">
        <w:rPr>
          <w:rFonts w:asciiTheme="minorHAnsi" w:hAnsiTheme="minorHAnsi" w:cstheme="minorHAnsi"/>
          <w:lang w:val="en-GB"/>
        </w:rPr>
        <w:t>dolescents</w:t>
      </w:r>
      <w:r w:rsidR="009F1AE1" w:rsidRPr="00025EAE">
        <w:rPr>
          <w:rFonts w:asciiTheme="minorHAnsi" w:hAnsiTheme="minorHAnsi" w:cstheme="minorHAnsi"/>
          <w:lang w:val="en-GB"/>
        </w:rPr>
        <w:t xml:space="preserve"> </w:t>
      </w:r>
      <w:r w:rsidR="00F124E6" w:rsidRPr="00025EAE">
        <w:rPr>
          <w:rFonts w:asciiTheme="minorHAnsi" w:hAnsiTheme="minorHAnsi" w:cstheme="minorHAnsi"/>
          <w:lang w:val="en-GB"/>
        </w:rPr>
        <w:t xml:space="preserve">had </w:t>
      </w:r>
      <w:r w:rsidR="009F1AE1" w:rsidRPr="00025EAE">
        <w:rPr>
          <w:rFonts w:asciiTheme="minorHAnsi" w:hAnsiTheme="minorHAnsi" w:cstheme="minorHAnsi"/>
          <w:lang w:val="en-GB"/>
        </w:rPr>
        <w:t>disproportionately high incidence rates</w:t>
      </w:r>
      <w:r w:rsidR="00D94917" w:rsidRPr="00025EAE">
        <w:rPr>
          <w:rFonts w:asciiTheme="minorHAnsi" w:hAnsiTheme="minorHAnsi" w:cstheme="minorHAnsi"/>
          <w:lang w:val="en-GB"/>
        </w:rPr>
        <w:t xml:space="preserve">, </w:t>
      </w:r>
      <w:r w:rsidR="00E72770" w:rsidRPr="00025EAE">
        <w:rPr>
          <w:rFonts w:asciiTheme="minorHAnsi" w:hAnsiTheme="minorHAnsi" w:cstheme="minorHAnsi"/>
          <w:lang w:val="en-GB"/>
        </w:rPr>
        <w:t>including an upward trend in</w:t>
      </w:r>
      <w:r w:rsidR="002117EE" w:rsidRPr="00025EAE">
        <w:rPr>
          <w:rFonts w:asciiTheme="minorHAnsi" w:hAnsiTheme="minorHAnsi" w:cstheme="minorHAnsi"/>
          <w:lang w:val="en-GB"/>
        </w:rPr>
        <w:t xml:space="preserve"> syphilis </w:t>
      </w:r>
      <w:r w:rsidR="00335EA6" w:rsidRPr="00025EAE">
        <w:rPr>
          <w:rFonts w:asciiTheme="minorHAnsi" w:hAnsiTheme="minorHAnsi" w:cstheme="minorHAnsi"/>
          <w:lang w:val="en-GB"/>
        </w:rPr>
        <w:t>in recent years</w:t>
      </w:r>
      <w:r w:rsidR="009F1AE1" w:rsidRPr="00025EAE">
        <w:rPr>
          <w:rFonts w:asciiTheme="minorHAnsi" w:hAnsiTheme="minorHAnsi" w:cstheme="minorHAnsi"/>
          <w:lang w:val="en-GB"/>
        </w:rPr>
        <w:t xml:space="preserve">. </w:t>
      </w:r>
      <w:r w:rsidR="00B91FDC" w:rsidRPr="00025EAE">
        <w:rPr>
          <w:rFonts w:asciiTheme="minorHAnsi" w:hAnsiTheme="minorHAnsi" w:cstheme="minorHAnsi"/>
          <w:lang w:val="en-GB"/>
        </w:rPr>
        <w:t xml:space="preserve">STIs </w:t>
      </w:r>
      <w:r w:rsidRPr="00025EAE">
        <w:rPr>
          <w:rFonts w:asciiTheme="minorHAnsi" w:hAnsiTheme="minorHAnsi" w:cstheme="minorHAnsi"/>
          <w:lang w:val="en-GB"/>
        </w:rPr>
        <w:t xml:space="preserve">remain </w:t>
      </w:r>
      <w:r w:rsidR="00B91FDC" w:rsidRPr="00025EAE">
        <w:rPr>
          <w:rFonts w:asciiTheme="minorHAnsi" w:hAnsiTheme="minorHAnsi" w:cstheme="minorHAnsi"/>
          <w:lang w:val="en-GB"/>
        </w:rPr>
        <w:t>a global public health challenge</w:t>
      </w:r>
      <w:r w:rsidR="00F10546" w:rsidRPr="00025EAE">
        <w:rPr>
          <w:rFonts w:asciiTheme="minorHAnsi" w:hAnsiTheme="minorHAnsi" w:cstheme="minorHAnsi"/>
          <w:lang w:val="en-GB"/>
        </w:rPr>
        <w:t>.</w:t>
      </w:r>
    </w:p>
    <w:p w14:paraId="134975A2" w14:textId="567B998E" w:rsidR="00D37530" w:rsidRPr="00025EAE" w:rsidRDefault="00D37530" w:rsidP="00F10546">
      <w:pPr>
        <w:pStyle w:val="NormalWeb"/>
        <w:jc w:val="both"/>
        <w:rPr>
          <w:rFonts w:asciiTheme="minorHAnsi" w:hAnsiTheme="minorHAnsi" w:cstheme="minorHAnsi"/>
          <w:lang w:val="en-GB"/>
        </w:rPr>
      </w:pPr>
      <w:r w:rsidRPr="00025EAE">
        <w:rPr>
          <w:rFonts w:asciiTheme="minorHAnsi" w:hAnsiTheme="minorHAnsi" w:cstheme="minorHAnsi"/>
          <w:lang w:val="en-GB"/>
        </w:rPr>
        <w:t xml:space="preserve">Word count: </w:t>
      </w:r>
      <w:r w:rsidR="00602BDE" w:rsidRPr="00025EAE">
        <w:rPr>
          <w:rFonts w:asciiTheme="minorHAnsi" w:hAnsiTheme="minorHAnsi" w:cstheme="minorHAnsi"/>
          <w:lang w:val="en-GB"/>
        </w:rPr>
        <w:t>12</w:t>
      </w:r>
      <w:r w:rsidR="00E72770" w:rsidRPr="00025EAE">
        <w:rPr>
          <w:rFonts w:asciiTheme="minorHAnsi" w:hAnsiTheme="minorHAnsi" w:cstheme="minorHAnsi"/>
          <w:lang w:val="en-GB"/>
        </w:rPr>
        <w:t>1</w:t>
      </w:r>
    </w:p>
    <w:p w14:paraId="20FA6D76" w14:textId="546C50A6" w:rsidR="000248AB" w:rsidRPr="00025EAE" w:rsidRDefault="00231CF5" w:rsidP="007E121E">
      <w:pPr>
        <w:jc w:val="both"/>
        <w:rPr>
          <w:rFonts w:cstheme="minorHAnsi"/>
          <w:lang w:val="en-GB"/>
        </w:rPr>
      </w:pPr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 xml:space="preserve">Zheng Y, Yu Q, Lin Y, et al. Global burden and trends of sexually transmitted infections from 1990 to 2019: an observational trend study. </w:t>
      </w:r>
      <w:r w:rsidRPr="00025EAE">
        <w:rPr>
          <w:rFonts w:eastAsia="Times New Roman" w:cstheme="minorHAnsi"/>
          <w:i/>
          <w:iCs/>
          <w:color w:val="212121"/>
          <w:shd w:val="clear" w:color="auto" w:fill="FFFFFF"/>
          <w:lang w:val="en-GB" w:eastAsia="es-MX"/>
        </w:rPr>
        <w:t>Lancet Infect Dis</w:t>
      </w:r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 xml:space="preserve">. </w:t>
      </w:r>
      <w:proofErr w:type="gramStart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>2022;</w:t>
      </w:r>
      <w:r w:rsidRPr="00025EAE">
        <w:rPr>
          <w:rFonts w:eastAsia="Times New Roman" w:cstheme="minorHAnsi"/>
          <w:b/>
          <w:bCs/>
          <w:color w:val="212121"/>
          <w:shd w:val="clear" w:color="auto" w:fill="FFFFFF"/>
          <w:lang w:val="en-GB" w:eastAsia="es-MX"/>
        </w:rPr>
        <w:t>22</w:t>
      </w:r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>:541</w:t>
      </w:r>
      <w:proofErr w:type="gramEnd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 xml:space="preserve">-551. </w:t>
      </w:r>
    </w:p>
    <w:p w14:paraId="185573EE" w14:textId="77777777" w:rsidR="00602BDE" w:rsidRPr="00025EAE" w:rsidRDefault="00602BDE" w:rsidP="000248AB">
      <w:pPr>
        <w:pStyle w:val="NormalWeb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3995D62D" w14:textId="4608E8B4" w:rsidR="000248AB" w:rsidRPr="00025EAE" w:rsidRDefault="00D0777C" w:rsidP="000248AB">
      <w:pPr>
        <w:pStyle w:val="NormalWeb"/>
        <w:jc w:val="both"/>
        <w:rPr>
          <w:rFonts w:asciiTheme="minorHAnsi" w:hAnsiTheme="minorHAnsi" w:cstheme="minorHAnsi"/>
          <w:b/>
          <w:bCs/>
          <w:lang w:val="en-GB"/>
        </w:rPr>
      </w:pPr>
      <w:r w:rsidRPr="00025EAE">
        <w:rPr>
          <w:rFonts w:asciiTheme="minorHAnsi" w:hAnsiTheme="minorHAnsi" w:cstheme="minorHAnsi"/>
          <w:b/>
          <w:bCs/>
          <w:lang w:val="en-GB"/>
        </w:rPr>
        <w:t xml:space="preserve">Long-acting </w:t>
      </w:r>
      <w:r w:rsidR="007045DE" w:rsidRPr="00025EAE">
        <w:rPr>
          <w:rFonts w:asciiTheme="minorHAnsi" w:hAnsiTheme="minorHAnsi" w:cstheme="minorHAnsi"/>
          <w:b/>
          <w:bCs/>
          <w:lang w:val="en-GB"/>
        </w:rPr>
        <w:t xml:space="preserve">injectable </w:t>
      </w:r>
      <w:r w:rsidRPr="00025EAE">
        <w:rPr>
          <w:rFonts w:asciiTheme="minorHAnsi" w:hAnsiTheme="minorHAnsi" w:cstheme="minorHAnsi"/>
          <w:b/>
          <w:bCs/>
          <w:lang w:val="en-GB"/>
        </w:rPr>
        <w:t>c</w:t>
      </w:r>
      <w:r w:rsidR="000248AB" w:rsidRPr="00025EAE">
        <w:rPr>
          <w:rFonts w:asciiTheme="minorHAnsi" w:hAnsiTheme="minorHAnsi" w:cstheme="minorHAnsi"/>
          <w:b/>
          <w:bCs/>
          <w:lang w:val="en-GB"/>
        </w:rPr>
        <w:t xml:space="preserve">abotegravir </w:t>
      </w:r>
      <w:r w:rsidR="007045DE" w:rsidRPr="00025EAE">
        <w:rPr>
          <w:rFonts w:asciiTheme="minorHAnsi" w:hAnsiTheme="minorHAnsi" w:cstheme="minorHAnsi"/>
          <w:b/>
          <w:bCs/>
          <w:lang w:val="en-GB"/>
        </w:rPr>
        <w:t xml:space="preserve">(LA-CAB) </w:t>
      </w:r>
      <w:r w:rsidR="00513996" w:rsidRPr="00025EAE">
        <w:rPr>
          <w:rFonts w:asciiTheme="minorHAnsi" w:hAnsiTheme="minorHAnsi" w:cstheme="minorHAnsi"/>
          <w:b/>
          <w:bCs/>
          <w:lang w:val="en-GB"/>
        </w:rPr>
        <w:t xml:space="preserve">is highly effective in preventing </w:t>
      </w:r>
      <w:r w:rsidR="000248AB" w:rsidRPr="00025EAE">
        <w:rPr>
          <w:rFonts w:asciiTheme="minorHAnsi" w:hAnsiTheme="minorHAnsi" w:cstheme="minorHAnsi"/>
          <w:b/>
          <w:bCs/>
          <w:lang w:val="en-GB"/>
        </w:rPr>
        <w:t xml:space="preserve">HIV </w:t>
      </w:r>
      <w:r w:rsidR="00513996" w:rsidRPr="00025EAE">
        <w:rPr>
          <w:rFonts w:asciiTheme="minorHAnsi" w:hAnsiTheme="minorHAnsi" w:cstheme="minorHAnsi"/>
          <w:b/>
          <w:bCs/>
          <w:lang w:val="en-GB"/>
        </w:rPr>
        <w:t>infection</w:t>
      </w:r>
      <w:r w:rsidR="007045DE" w:rsidRPr="00025EAE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0248AB" w:rsidRPr="00025EAE">
        <w:rPr>
          <w:rFonts w:asciiTheme="minorHAnsi" w:hAnsiTheme="minorHAnsi" w:cstheme="minorHAnsi"/>
          <w:b/>
          <w:bCs/>
          <w:lang w:val="en-GB"/>
        </w:rPr>
        <w:t>in women: the HPTN 084 trial</w:t>
      </w:r>
    </w:p>
    <w:p w14:paraId="1271FA23" w14:textId="133D2837" w:rsidR="000248AB" w:rsidRPr="00025EAE" w:rsidRDefault="000248AB" w:rsidP="00F10546">
      <w:pPr>
        <w:pStyle w:val="NormalWeb"/>
        <w:jc w:val="both"/>
        <w:rPr>
          <w:rFonts w:asciiTheme="minorHAnsi" w:hAnsiTheme="minorHAnsi" w:cstheme="minorHAnsi"/>
          <w:lang w:val="en-GB"/>
        </w:rPr>
      </w:pPr>
      <w:r w:rsidRPr="00025EAE">
        <w:rPr>
          <w:rFonts w:asciiTheme="minorHAnsi" w:hAnsiTheme="minorHAnsi" w:cstheme="minorHAnsi"/>
          <w:lang w:val="en-GB"/>
        </w:rPr>
        <w:t xml:space="preserve">HPTN 084 is a </w:t>
      </w:r>
      <w:r w:rsidR="00A4271A" w:rsidRPr="00025EAE">
        <w:rPr>
          <w:rFonts w:asciiTheme="minorHAnsi" w:hAnsiTheme="minorHAnsi" w:cstheme="minorHAnsi"/>
          <w:lang w:val="en-GB"/>
        </w:rPr>
        <w:t>P</w:t>
      </w:r>
      <w:r w:rsidRPr="00025EAE">
        <w:rPr>
          <w:rFonts w:asciiTheme="minorHAnsi" w:hAnsiTheme="minorHAnsi" w:cstheme="minorHAnsi"/>
          <w:lang w:val="en-GB"/>
        </w:rPr>
        <w:t xml:space="preserve">hase 3, randomised, </w:t>
      </w:r>
      <w:r w:rsidR="00D0777C" w:rsidRPr="00025EAE">
        <w:rPr>
          <w:rFonts w:asciiTheme="minorHAnsi" w:hAnsiTheme="minorHAnsi" w:cstheme="minorHAnsi"/>
          <w:lang w:val="en-GB"/>
        </w:rPr>
        <w:t>placebo-controlled</w:t>
      </w:r>
      <w:r w:rsidR="007045DE" w:rsidRPr="00025EAE">
        <w:rPr>
          <w:rFonts w:asciiTheme="minorHAnsi" w:hAnsiTheme="minorHAnsi" w:cstheme="minorHAnsi"/>
          <w:lang w:val="en-GB"/>
        </w:rPr>
        <w:t xml:space="preserve"> </w:t>
      </w:r>
      <w:r w:rsidRPr="00025EAE">
        <w:rPr>
          <w:rFonts w:asciiTheme="minorHAnsi" w:hAnsiTheme="minorHAnsi" w:cstheme="minorHAnsi"/>
          <w:lang w:val="en-GB"/>
        </w:rPr>
        <w:t>trial evaluat</w:t>
      </w:r>
      <w:r w:rsidR="003F20DA" w:rsidRPr="00025EAE">
        <w:rPr>
          <w:rFonts w:asciiTheme="minorHAnsi" w:hAnsiTheme="minorHAnsi" w:cstheme="minorHAnsi"/>
          <w:lang w:val="en-GB"/>
        </w:rPr>
        <w:t>ing</w:t>
      </w:r>
      <w:r w:rsidR="00D0777C" w:rsidRPr="00025EAE">
        <w:rPr>
          <w:rFonts w:asciiTheme="minorHAnsi" w:hAnsiTheme="minorHAnsi" w:cstheme="minorHAnsi"/>
          <w:lang w:val="en-GB"/>
        </w:rPr>
        <w:t xml:space="preserve"> </w:t>
      </w:r>
      <w:r w:rsidR="0016027F" w:rsidRPr="00025EAE">
        <w:rPr>
          <w:rFonts w:asciiTheme="minorHAnsi" w:hAnsiTheme="minorHAnsi" w:cstheme="minorHAnsi"/>
          <w:lang w:val="en-GB"/>
        </w:rPr>
        <w:t xml:space="preserve">the efficacy and safety of </w:t>
      </w:r>
      <w:r w:rsidR="007045DE" w:rsidRPr="00025EAE">
        <w:rPr>
          <w:rFonts w:asciiTheme="minorHAnsi" w:hAnsiTheme="minorHAnsi" w:cstheme="minorHAnsi"/>
          <w:lang w:val="en-GB"/>
        </w:rPr>
        <w:t>LA-CAB</w:t>
      </w:r>
      <w:r w:rsidR="003F20DA" w:rsidRPr="00025EAE">
        <w:rPr>
          <w:rFonts w:asciiTheme="minorHAnsi" w:hAnsiTheme="minorHAnsi" w:cstheme="minorHAnsi"/>
          <w:lang w:val="en-GB"/>
        </w:rPr>
        <w:t xml:space="preserve"> in women in 7 African countries.</w:t>
      </w:r>
      <w:r w:rsidR="0016027F" w:rsidRPr="00025EAE">
        <w:rPr>
          <w:rFonts w:asciiTheme="minorHAnsi" w:hAnsiTheme="minorHAnsi" w:cstheme="minorHAnsi"/>
          <w:lang w:val="en-GB"/>
        </w:rPr>
        <w:t xml:space="preserve"> </w:t>
      </w:r>
      <w:r w:rsidR="003F20DA" w:rsidRPr="00025EAE">
        <w:rPr>
          <w:rFonts w:asciiTheme="minorHAnsi" w:hAnsiTheme="minorHAnsi" w:cstheme="minorHAnsi"/>
          <w:lang w:val="en-GB"/>
        </w:rPr>
        <w:t>Participants</w:t>
      </w:r>
      <w:r w:rsidR="0016027F" w:rsidRPr="00025EAE">
        <w:rPr>
          <w:rFonts w:asciiTheme="minorHAnsi" w:hAnsiTheme="minorHAnsi" w:cstheme="minorHAnsi"/>
          <w:lang w:val="en-GB"/>
        </w:rPr>
        <w:t xml:space="preserve"> </w:t>
      </w:r>
      <w:r w:rsidR="003F20DA" w:rsidRPr="00025EAE">
        <w:rPr>
          <w:rFonts w:asciiTheme="minorHAnsi" w:hAnsiTheme="minorHAnsi" w:cstheme="minorHAnsi"/>
          <w:lang w:val="en-GB"/>
        </w:rPr>
        <w:t xml:space="preserve">aged 18-45 years </w:t>
      </w:r>
      <w:r w:rsidR="0016027F" w:rsidRPr="00025EAE">
        <w:rPr>
          <w:rFonts w:asciiTheme="minorHAnsi" w:hAnsiTheme="minorHAnsi" w:cstheme="minorHAnsi"/>
          <w:lang w:val="en-GB"/>
        </w:rPr>
        <w:t>at risk</w:t>
      </w:r>
      <w:r w:rsidR="003F20DA" w:rsidRPr="00025EAE">
        <w:rPr>
          <w:rFonts w:asciiTheme="minorHAnsi" w:hAnsiTheme="minorHAnsi" w:cstheme="minorHAnsi"/>
          <w:lang w:val="en-GB"/>
        </w:rPr>
        <w:t xml:space="preserve"> of HIV exposure</w:t>
      </w:r>
      <w:r w:rsidR="0016027F" w:rsidRPr="00025EAE">
        <w:rPr>
          <w:rFonts w:asciiTheme="minorHAnsi" w:hAnsiTheme="minorHAnsi" w:cstheme="minorHAnsi"/>
          <w:lang w:val="en-GB"/>
        </w:rPr>
        <w:t xml:space="preserve"> </w:t>
      </w:r>
      <w:r w:rsidRPr="00025EAE">
        <w:rPr>
          <w:rFonts w:asciiTheme="minorHAnsi" w:hAnsiTheme="minorHAnsi" w:cstheme="minorHAnsi"/>
          <w:lang w:val="en-GB"/>
        </w:rPr>
        <w:t xml:space="preserve">were randomly assigned </w:t>
      </w:r>
      <w:r w:rsidR="00132A79" w:rsidRPr="00025EAE">
        <w:rPr>
          <w:rFonts w:asciiTheme="minorHAnsi" w:hAnsiTheme="minorHAnsi" w:cstheme="minorHAnsi"/>
          <w:lang w:val="en-GB"/>
        </w:rPr>
        <w:t xml:space="preserve">(1:1) </w:t>
      </w:r>
      <w:r w:rsidRPr="00025EAE">
        <w:rPr>
          <w:rFonts w:asciiTheme="minorHAnsi" w:hAnsiTheme="minorHAnsi" w:cstheme="minorHAnsi"/>
          <w:lang w:val="en-GB"/>
        </w:rPr>
        <w:t xml:space="preserve">to </w:t>
      </w:r>
      <w:r w:rsidR="00E262C1" w:rsidRPr="00025EAE">
        <w:rPr>
          <w:rFonts w:asciiTheme="minorHAnsi" w:hAnsiTheme="minorHAnsi" w:cstheme="minorHAnsi"/>
          <w:lang w:val="en-GB"/>
        </w:rPr>
        <w:t xml:space="preserve">receive </w:t>
      </w:r>
      <w:r w:rsidRPr="00025EAE">
        <w:rPr>
          <w:rFonts w:asciiTheme="minorHAnsi" w:hAnsiTheme="minorHAnsi" w:cstheme="minorHAnsi"/>
          <w:lang w:val="en-GB"/>
        </w:rPr>
        <w:t xml:space="preserve">either </w:t>
      </w:r>
      <w:r w:rsidR="0016027F" w:rsidRPr="00025EAE">
        <w:rPr>
          <w:rFonts w:asciiTheme="minorHAnsi" w:hAnsiTheme="minorHAnsi" w:cstheme="minorHAnsi"/>
          <w:lang w:val="en-GB"/>
        </w:rPr>
        <w:t xml:space="preserve">intramuscular </w:t>
      </w:r>
      <w:r w:rsidRPr="00025EAE">
        <w:rPr>
          <w:rFonts w:asciiTheme="minorHAnsi" w:hAnsiTheme="minorHAnsi" w:cstheme="minorHAnsi"/>
          <w:lang w:val="en-GB"/>
        </w:rPr>
        <w:t xml:space="preserve">cabotegravir </w:t>
      </w:r>
      <w:r w:rsidR="0016027F" w:rsidRPr="00025EAE">
        <w:rPr>
          <w:rFonts w:asciiTheme="minorHAnsi" w:hAnsiTheme="minorHAnsi" w:cstheme="minorHAnsi"/>
          <w:lang w:val="en-GB"/>
        </w:rPr>
        <w:t xml:space="preserve">every 8 weeks </w:t>
      </w:r>
      <w:r w:rsidR="00132A79" w:rsidRPr="00025EAE">
        <w:rPr>
          <w:rFonts w:asciiTheme="minorHAnsi" w:hAnsiTheme="minorHAnsi" w:cstheme="minorHAnsi"/>
          <w:lang w:val="en-GB"/>
        </w:rPr>
        <w:t xml:space="preserve">or daily oral </w:t>
      </w:r>
      <w:r w:rsidR="003F20DA" w:rsidRPr="00025EAE">
        <w:rPr>
          <w:rFonts w:asciiTheme="minorHAnsi" w:hAnsiTheme="minorHAnsi" w:cstheme="minorHAnsi"/>
          <w:lang w:val="en-GB"/>
        </w:rPr>
        <w:t>tenofovir/emtricitabine (</w:t>
      </w:r>
      <w:r w:rsidR="00D0777C" w:rsidRPr="00025EAE">
        <w:rPr>
          <w:rFonts w:asciiTheme="minorHAnsi" w:hAnsiTheme="minorHAnsi" w:cstheme="minorHAnsi"/>
          <w:lang w:val="en-GB"/>
        </w:rPr>
        <w:t>TDF/FTC</w:t>
      </w:r>
      <w:r w:rsidR="003F20DA" w:rsidRPr="00025EAE">
        <w:rPr>
          <w:rFonts w:asciiTheme="minorHAnsi" w:hAnsiTheme="minorHAnsi" w:cstheme="minorHAnsi"/>
          <w:lang w:val="en-GB"/>
        </w:rPr>
        <w:t>)</w:t>
      </w:r>
      <w:r w:rsidR="00132A79" w:rsidRPr="00025EAE">
        <w:rPr>
          <w:rFonts w:asciiTheme="minorHAnsi" w:hAnsiTheme="minorHAnsi" w:cstheme="minorHAnsi"/>
          <w:lang w:val="en-GB"/>
        </w:rPr>
        <w:t xml:space="preserve">. </w:t>
      </w:r>
      <w:r w:rsidR="002E4750" w:rsidRPr="00025EAE">
        <w:rPr>
          <w:rFonts w:asciiTheme="minorHAnsi" w:hAnsiTheme="minorHAnsi" w:cstheme="minorHAnsi"/>
          <w:lang w:val="en-GB"/>
        </w:rPr>
        <w:t xml:space="preserve">Among </w:t>
      </w:r>
      <w:r w:rsidR="00DB1FEA" w:rsidRPr="00025EAE">
        <w:rPr>
          <w:rFonts w:asciiTheme="minorHAnsi" w:hAnsiTheme="minorHAnsi" w:cstheme="minorHAnsi"/>
          <w:lang w:val="en-GB"/>
        </w:rPr>
        <w:t xml:space="preserve">3178 participants </w:t>
      </w:r>
      <w:r w:rsidR="007045DE" w:rsidRPr="00025EAE">
        <w:rPr>
          <w:rFonts w:asciiTheme="minorHAnsi" w:hAnsiTheme="minorHAnsi" w:cstheme="minorHAnsi"/>
          <w:lang w:val="en-GB"/>
        </w:rPr>
        <w:t xml:space="preserve">and over </w:t>
      </w:r>
      <w:r w:rsidR="00DB1FEA" w:rsidRPr="00025EAE">
        <w:rPr>
          <w:rFonts w:asciiTheme="minorHAnsi" w:hAnsiTheme="minorHAnsi" w:cstheme="minorHAnsi"/>
          <w:lang w:val="en-GB"/>
        </w:rPr>
        <w:t xml:space="preserve">3898 person-years, </w:t>
      </w:r>
      <w:r w:rsidR="007045DE" w:rsidRPr="00025EAE">
        <w:rPr>
          <w:rFonts w:asciiTheme="minorHAnsi" w:hAnsiTheme="minorHAnsi" w:cstheme="minorHAnsi"/>
          <w:lang w:val="en-GB"/>
        </w:rPr>
        <w:t xml:space="preserve">36 infections were observed </w:t>
      </w:r>
      <w:r w:rsidR="003B5314" w:rsidRPr="00025EAE">
        <w:rPr>
          <w:rFonts w:asciiTheme="minorHAnsi" w:hAnsiTheme="minorHAnsi" w:cstheme="minorHAnsi"/>
          <w:lang w:val="en-GB"/>
        </w:rPr>
        <w:t>on</w:t>
      </w:r>
      <w:r w:rsidR="007045DE" w:rsidRPr="00025EAE">
        <w:rPr>
          <w:rFonts w:asciiTheme="minorHAnsi" w:hAnsiTheme="minorHAnsi" w:cstheme="minorHAnsi"/>
          <w:lang w:val="en-GB"/>
        </w:rPr>
        <w:t xml:space="preserve"> TDF/FTC vs. 4</w:t>
      </w:r>
      <w:r w:rsidRPr="00025EAE">
        <w:rPr>
          <w:rFonts w:asciiTheme="minorHAnsi" w:hAnsiTheme="minorHAnsi" w:cstheme="minorHAnsi"/>
          <w:lang w:val="en-GB"/>
        </w:rPr>
        <w:t xml:space="preserve"> </w:t>
      </w:r>
      <w:r w:rsidR="003B5314" w:rsidRPr="00025EAE">
        <w:rPr>
          <w:rFonts w:asciiTheme="minorHAnsi" w:hAnsiTheme="minorHAnsi" w:cstheme="minorHAnsi"/>
          <w:lang w:val="en-GB"/>
        </w:rPr>
        <w:t>on</w:t>
      </w:r>
      <w:r w:rsidRPr="00025EAE">
        <w:rPr>
          <w:rFonts w:asciiTheme="minorHAnsi" w:hAnsiTheme="minorHAnsi" w:cstheme="minorHAnsi"/>
          <w:lang w:val="en-GB"/>
        </w:rPr>
        <w:t xml:space="preserve"> </w:t>
      </w:r>
      <w:r w:rsidR="003B5314" w:rsidRPr="00025EAE">
        <w:rPr>
          <w:rFonts w:asciiTheme="minorHAnsi" w:hAnsiTheme="minorHAnsi" w:cstheme="minorHAnsi"/>
          <w:lang w:val="en-GB"/>
        </w:rPr>
        <w:t>LA-CAB</w:t>
      </w:r>
      <w:r w:rsidR="007045DE" w:rsidRPr="00025EAE">
        <w:rPr>
          <w:rFonts w:asciiTheme="minorHAnsi" w:hAnsiTheme="minorHAnsi" w:cstheme="minorHAnsi"/>
          <w:lang w:val="en-GB"/>
        </w:rPr>
        <w:t xml:space="preserve">, yielding </w:t>
      </w:r>
      <w:r w:rsidR="007045DE" w:rsidRPr="00025EAE">
        <w:rPr>
          <w:rFonts w:asciiTheme="minorHAnsi" w:hAnsiTheme="minorHAnsi" w:cstheme="minorHAnsi"/>
          <w:lang w:val="en-GB"/>
        </w:rPr>
        <w:lastRenderedPageBreak/>
        <w:t xml:space="preserve">an 88% reduction in the risk of HIV infection with cabotegravir. </w:t>
      </w:r>
      <w:r w:rsidR="00100A95" w:rsidRPr="00025EAE">
        <w:rPr>
          <w:rFonts w:asciiTheme="minorHAnsi" w:hAnsiTheme="minorHAnsi" w:cstheme="minorHAnsi"/>
          <w:lang w:val="en-GB"/>
        </w:rPr>
        <w:t xml:space="preserve">Of </w:t>
      </w:r>
      <w:r w:rsidR="007045DE" w:rsidRPr="00025EAE">
        <w:rPr>
          <w:rFonts w:asciiTheme="minorHAnsi" w:hAnsiTheme="minorHAnsi" w:cstheme="minorHAnsi"/>
          <w:lang w:val="en-GB"/>
        </w:rPr>
        <w:t>the 4 infections</w:t>
      </w:r>
      <w:r w:rsidR="00100A95" w:rsidRPr="00025EAE">
        <w:rPr>
          <w:rFonts w:asciiTheme="minorHAnsi" w:hAnsiTheme="minorHAnsi" w:cstheme="minorHAnsi"/>
          <w:lang w:val="en-GB"/>
        </w:rPr>
        <w:t xml:space="preserve"> in the LA-CAB arm</w:t>
      </w:r>
      <w:r w:rsidR="007045DE" w:rsidRPr="00025EAE">
        <w:rPr>
          <w:rFonts w:asciiTheme="minorHAnsi" w:hAnsiTheme="minorHAnsi" w:cstheme="minorHAnsi"/>
          <w:lang w:val="en-GB"/>
        </w:rPr>
        <w:t xml:space="preserve">, </w:t>
      </w:r>
      <w:r w:rsidR="0016027F" w:rsidRPr="00025EAE">
        <w:rPr>
          <w:rFonts w:asciiTheme="minorHAnsi" w:hAnsiTheme="minorHAnsi" w:cstheme="minorHAnsi"/>
          <w:lang w:val="en-GB"/>
        </w:rPr>
        <w:t xml:space="preserve">one was re-classified as </w:t>
      </w:r>
      <w:r w:rsidR="00B55FB5" w:rsidRPr="00025EAE">
        <w:rPr>
          <w:rFonts w:asciiTheme="minorHAnsi" w:hAnsiTheme="minorHAnsi" w:cstheme="minorHAnsi"/>
          <w:lang w:val="en-GB"/>
        </w:rPr>
        <w:t>pre-existing</w:t>
      </w:r>
      <w:r w:rsidR="0016027F" w:rsidRPr="00025EAE">
        <w:rPr>
          <w:rFonts w:asciiTheme="minorHAnsi" w:hAnsiTheme="minorHAnsi" w:cstheme="minorHAnsi"/>
          <w:lang w:val="en-GB"/>
        </w:rPr>
        <w:t xml:space="preserve">, two </w:t>
      </w:r>
      <w:r w:rsidR="00DB1FEA" w:rsidRPr="00025EAE">
        <w:rPr>
          <w:rFonts w:asciiTheme="minorHAnsi" w:hAnsiTheme="minorHAnsi" w:cstheme="minorHAnsi"/>
          <w:lang w:val="en-GB"/>
        </w:rPr>
        <w:t>did not receive any injections</w:t>
      </w:r>
      <w:r w:rsidR="0016027F" w:rsidRPr="00025EAE">
        <w:rPr>
          <w:rFonts w:asciiTheme="minorHAnsi" w:hAnsiTheme="minorHAnsi" w:cstheme="minorHAnsi"/>
          <w:lang w:val="en-GB"/>
        </w:rPr>
        <w:t xml:space="preserve">, </w:t>
      </w:r>
      <w:r w:rsidR="00B55FB5" w:rsidRPr="00025EAE">
        <w:rPr>
          <w:rFonts w:asciiTheme="minorHAnsi" w:hAnsiTheme="minorHAnsi" w:cstheme="minorHAnsi"/>
          <w:lang w:val="en-GB"/>
        </w:rPr>
        <w:t xml:space="preserve">and </w:t>
      </w:r>
      <w:r w:rsidR="007045DE" w:rsidRPr="00025EAE">
        <w:rPr>
          <w:rFonts w:asciiTheme="minorHAnsi" w:hAnsiTheme="minorHAnsi" w:cstheme="minorHAnsi"/>
          <w:lang w:val="en-GB"/>
        </w:rPr>
        <w:t xml:space="preserve">one </w:t>
      </w:r>
      <w:r w:rsidR="00EC1F5F" w:rsidRPr="00025EAE">
        <w:rPr>
          <w:rFonts w:asciiTheme="minorHAnsi" w:hAnsiTheme="minorHAnsi" w:cstheme="minorHAnsi"/>
          <w:lang w:val="en-GB"/>
        </w:rPr>
        <w:t xml:space="preserve">had suboptimal cabotegravir concentrations due to </w:t>
      </w:r>
      <w:r w:rsidR="00DB1FEA" w:rsidRPr="00025EAE">
        <w:rPr>
          <w:rFonts w:asciiTheme="minorHAnsi" w:hAnsiTheme="minorHAnsi" w:cstheme="minorHAnsi"/>
          <w:lang w:val="en-GB"/>
        </w:rPr>
        <w:t>delayed visits</w:t>
      </w:r>
      <w:r w:rsidR="00B55FB5" w:rsidRPr="00025EAE">
        <w:rPr>
          <w:rFonts w:asciiTheme="minorHAnsi" w:hAnsiTheme="minorHAnsi" w:cstheme="minorHAnsi"/>
          <w:lang w:val="en-GB"/>
        </w:rPr>
        <w:t>.</w:t>
      </w:r>
      <w:r w:rsidR="00DF026A" w:rsidRPr="00025EAE">
        <w:rPr>
          <w:rFonts w:asciiTheme="minorHAnsi" w:hAnsiTheme="minorHAnsi" w:cstheme="minorHAnsi"/>
          <w:lang w:val="en-GB"/>
        </w:rPr>
        <w:t xml:space="preserve"> </w:t>
      </w:r>
      <w:r w:rsidR="003B5314" w:rsidRPr="00025EAE">
        <w:rPr>
          <w:rFonts w:asciiTheme="minorHAnsi" w:hAnsiTheme="minorHAnsi" w:cstheme="minorHAnsi"/>
          <w:lang w:val="en-GB"/>
        </w:rPr>
        <w:t xml:space="preserve">Poor or non-adherence was observed in most TDF/FTC incident infections. </w:t>
      </w:r>
      <w:r w:rsidR="00EC1F5F" w:rsidRPr="00025EAE">
        <w:rPr>
          <w:rFonts w:asciiTheme="minorHAnsi" w:hAnsiTheme="minorHAnsi" w:cstheme="minorHAnsi"/>
          <w:lang w:val="en-GB"/>
        </w:rPr>
        <w:t>W</w:t>
      </w:r>
      <w:r w:rsidR="00B55FB5" w:rsidRPr="00025EAE">
        <w:rPr>
          <w:rFonts w:asciiTheme="minorHAnsi" w:hAnsiTheme="minorHAnsi" w:cstheme="minorHAnsi"/>
          <w:lang w:val="en-GB"/>
        </w:rPr>
        <w:t xml:space="preserve">omen </w:t>
      </w:r>
      <w:r w:rsidR="00EC1F5F" w:rsidRPr="00025EAE">
        <w:rPr>
          <w:rFonts w:asciiTheme="minorHAnsi" w:hAnsiTheme="minorHAnsi" w:cstheme="minorHAnsi"/>
          <w:lang w:val="en-GB"/>
        </w:rPr>
        <w:t>in Africa experience</w:t>
      </w:r>
      <w:r w:rsidR="00B55FB5" w:rsidRPr="00025EAE">
        <w:rPr>
          <w:rFonts w:asciiTheme="minorHAnsi" w:hAnsiTheme="minorHAnsi" w:cstheme="minorHAnsi"/>
          <w:lang w:val="en-GB"/>
        </w:rPr>
        <w:t xml:space="preserve"> multiple barriers to </w:t>
      </w:r>
      <w:r w:rsidR="00EC1F5F" w:rsidRPr="00025EAE">
        <w:rPr>
          <w:rFonts w:asciiTheme="minorHAnsi" w:hAnsiTheme="minorHAnsi" w:cstheme="minorHAnsi"/>
          <w:lang w:val="en-GB"/>
        </w:rPr>
        <w:t xml:space="preserve">taking daily TDF/FTC, </w:t>
      </w:r>
      <w:r w:rsidR="00B55FB5" w:rsidRPr="00025EAE">
        <w:rPr>
          <w:rFonts w:asciiTheme="minorHAnsi" w:hAnsiTheme="minorHAnsi" w:cstheme="minorHAnsi"/>
          <w:lang w:val="en-GB"/>
        </w:rPr>
        <w:t>including judgement, stigma, and fear of violence.</w:t>
      </w:r>
      <w:r w:rsidR="007045DE" w:rsidRPr="00025EAE">
        <w:rPr>
          <w:rFonts w:asciiTheme="minorHAnsi" w:hAnsiTheme="minorHAnsi" w:cstheme="minorHAnsi"/>
          <w:lang w:val="en-GB"/>
        </w:rPr>
        <w:t xml:space="preserve"> </w:t>
      </w:r>
      <w:r w:rsidR="00EC1F5F" w:rsidRPr="00025EAE">
        <w:rPr>
          <w:rFonts w:asciiTheme="minorHAnsi" w:hAnsiTheme="minorHAnsi" w:cstheme="minorHAnsi"/>
          <w:lang w:val="en-GB"/>
        </w:rPr>
        <w:t>LA-CAB</w:t>
      </w:r>
      <w:r w:rsidR="007045DE" w:rsidRPr="00025EAE">
        <w:rPr>
          <w:rFonts w:asciiTheme="minorHAnsi" w:hAnsiTheme="minorHAnsi" w:cstheme="minorHAnsi"/>
          <w:lang w:val="en-GB"/>
        </w:rPr>
        <w:t xml:space="preserve"> </w:t>
      </w:r>
      <w:r w:rsidR="00DF026A" w:rsidRPr="00025EAE">
        <w:rPr>
          <w:rFonts w:asciiTheme="minorHAnsi" w:hAnsiTheme="minorHAnsi" w:cstheme="minorHAnsi"/>
          <w:lang w:val="en-GB"/>
        </w:rPr>
        <w:t xml:space="preserve">offers a </w:t>
      </w:r>
      <w:r w:rsidR="00124C19" w:rsidRPr="00025EAE">
        <w:rPr>
          <w:rFonts w:asciiTheme="minorHAnsi" w:hAnsiTheme="minorHAnsi" w:cstheme="minorHAnsi"/>
          <w:lang w:val="en-GB"/>
        </w:rPr>
        <w:t xml:space="preserve">more </w:t>
      </w:r>
      <w:r w:rsidR="003D0024" w:rsidRPr="00025EAE">
        <w:rPr>
          <w:rFonts w:asciiTheme="minorHAnsi" w:hAnsiTheme="minorHAnsi" w:cstheme="minorHAnsi"/>
          <w:lang w:val="en-GB"/>
        </w:rPr>
        <w:t xml:space="preserve">discreet, </w:t>
      </w:r>
      <w:r w:rsidR="00DF026A" w:rsidRPr="00025EAE">
        <w:rPr>
          <w:rFonts w:asciiTheme="minorHAnsi" w:hAnsiTheme="minorHAnsi" w:cstheme="minorHAnsi"/>
          <w:lang w:val="en-GB"/>
        </w:rPr>
        <w:t xml:space="preserve">safe, </w:t>
      </w:r>
      <w:r w:rsidR="003D0024" w:rsidRPr="00025EAE">
        <w:rPr>
          <w:rFonts w:asciiTheme="minorHAnsi" w:hAnsiTheme="minorHAnsi" w:cstheme="minorHAnsi"/>
          <w:lang w:val="en-GB"/>
        </w:rPr>
        <w:t xml:space="preserve">and </w:t>
      </w:r>
      <w:r w:rsidR="00DF026A" w:rsidRPr="00025EAE">
        <w:rPr>
          <w:rFonts w:asciiTheme="minorHAnsi" w:hAnsiTheme="minorHAnsi" w:cstheme="minorHAnsi"/>
          <w:lang w:val="en-GB"/>
        </w:rPr>
        <w:t>superior alternative</w:t>
      </w:r>
      <w:r w:rsidRPr="00025EAE">
        <w:rPr>
          <w:rFonts w:asciiTheme="minorHAnsi" w:hAnsiTheme="minorHAnsi" w:cstheme="minorHAnsi"/>
          <w:lang w:val="en-GB"/>
        </w:rPr>
        <w:t>.</w:t>
      </w:r>
      <w:r w:rsidR="007045DE" w:rsidRPr="00025EAE">
        <w:rPr>
          <w:rFonts w:asciiTheme="minorHAnsi" w:hAnsiTheme="minorHAnsi" w:cstheme="minorHAnsi"/>
          <w:lang w:val="en-GB"/>
        </w:rPr>
        <w:t xml:space="preserve"> </w:t>
      </w:r>
      <w:r w:rsidR="00DF026A" w:rsidRPr="00025EAE">
        <w:rPr>
          <w:rFonts w:asciiTheme="minorHAnsi" w:hAnsiTheme="minorHAnsi" w:cstheme="minorHAnsi"/>
          <w:lang w:val="en-GB"/>
        </w:rPr>
        <w:t xml:space="preserve">Ongoing efforts are </w:t>
      </w:r>
      <w:r w:rsidR="00810ED7" w:rsidRPr="00025EAE">
        <w:rPr>
          <w:rFonts w:asciiTheme="minorHAnsi" w:hAnsiTheme="minorHAnsi" w:cstheme="minorHAnsi"/>
          <w:lang w:val="en-GB"/>
        </w:rPr>
        <w:t xml:space="preserve">needed to </w:t>
      </w:r>
      <w:r w:rsidR="00DF026A" w:rsidRPr="00025EAE">
        <w:rPr>
          <w:rFonts w:asciiTheme="minorHAnsi" w:hAnsiTheme="minorHAnsi" w:cstheme="minorHAnsi"/>
          <w:lang w:val="en-GB"/>
        </w:rPr>
        <w:t xml:space="preserve">address affordability and implementation. </w:t>
      </w:r>
    </w:p>
    <w:p w14:paraId="3C06F622" w14:textId="7E04F1A5" w:rsidR="000248AB" w:rsidRPr="00025EAE" w:rsidRDefault="000248AB" w:rsidP="00F10546">
      <w:pPr>
        <w:pStyle w:val="NormalWeb"/>
        <w:jc w:val="both"/>
        <w:rPr>
          <w:rFonts w:asciiTheme="minorHAnsi" w:hAnsiTheme="minorHAnsi" w:cstheme="minorHAnsi"/>
          <w:lang w:val="en-GB"/>
        </w:rPr>
      </w:pPr>
      <w:r w:rsidRPr="00025EAE">
        <w:rPr>
          <w:rFonts w:asciiTheme="minorHAnsi" w:hAnsiTheme="minorHAnsi" w:cstheme="minorHAnsi"/>
          <w:lang w:val="en-GB"/>
        </w:rPr>
        <w:t>Word count: 1</w:t>
      </w:r>
      <w:r w:rsidR="00810ED7" w:rsidRPr="00025EAE">
        <w:rPr>
          <w:rFonts w:asciiTheme="minorHAnsi" w:hAnsiTheme="minorHAnsi" w:cstheme="minorHAnsi"/>
          <w:lang w:val="en-GB"/>
        </w:rPr>
        <w:t>51</w:t>
      </w:r>
    </w:p>
    <w:p w14:paraId="374BD5F1" w14:textId="77777777" w:rsidR="007E121E" w:rsidRPr="00025EAE" w:rsidRDefault="007E121E" w:rsidP="007E121E">
      <w:pPr>
        <w:jc w:val="both"/>
        <w:rPr>
          <w:rFonts w:eastAsia="Times New Roman" w:cstheme="minorHAnsi"/>
          <w:color w:val="212121"/>
          <w:shd w:val="clear" w:color="auto" w:fill="FFFFFF"/>
          <w:lang w:val="en-GB" w:eastAsia="es-MX"/>
        </w:rPr>
      </w:pPr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>Delany-</w:t>
      </w:r>
      <w:proofErr w:type="spellStart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>Moretlwe</w:t>
      </w:r>
      <w:proofErr w:type="spellEnd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 xml:space="preserve"> S, Hughes JP, Bock P, et al. Cabotegravir for the prevention of HIV-1 in women: results from HPTN 084, a phase 3, randomised clinical trial. </w:t>
      </w:r>
      <w:r w:rsidRPr="00025EAE">
        <w:rPr>
          <w:rFonts w:eastAsia="Times New Roman" w:cstheme="minorHAnsi"/>
          <w:i/>
          <w:iCs/>
          <w:color w:val="212121"/>
          <w:shd w:val="clear" w:color="auto" w:fill="FFFFFF"/>
          <w:lang w:val="en-GB" w:eastAsia="es-MX"/>
        </w:rPr>
        <w:t>Lancet</w:t>
      </w:r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 xml:space="preserve">. </w:t>
      </w:r>
      <w:proofErr w:type="gramStart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>2022;</w:t>
      </w:r>
      <w:r w:rsidRPr="00025EAE">
        <w:rPr>
          <w:rFonts w:eastAsia="Times New Roman" w:cstheme="minorHAnsi"/>
          <w:b/>
          <w:bCs/>
          <w:color w:val="212121"/>
          <w:shd w:val="clear" w:color="auto" w:fill="FFFFFF"/>
          <w:lang w:val="en-GB" w:eastAsia="es-MX"/>
        </w:rPr>
        <w:t>399</w:t>
      </w:r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>:1779</w:t>
      </w:r>
      <w:proofErr w:type="gramEnd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 xml:space="preserve">-1789. </w:t>
      </w:r>
      <w:proofErr w:type="spellStart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>doi</w:t>
      </w:r>
      <w:proofErr w:type="spellEnd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>: 10.1016/S0140-6736(22)00538-4.</w:t>
      </w:r>
    </w:p>
    <w:p w14:paraId="733C32BA" w14:textId="39BC5BCC" w:rsidR="00E262C1" w:rsidRPr="00AF3B79" w:rsidRDefault="00E262C1" w:rsidP="00F10546">
      <w:pPr>
        <w:pStyle w:val="NormalWeb"/>
        <w:jc w:val="both"/>
        <w:rPr>
          <w:rFonts w:asciiTheme="minorHAnsi" w:hAnsiTheme="minorHAnsi" w:cstheme="minorHAnsi"/>
          <w:lang w:val="en-GB"/>
        </w:rPr>
      </w:pPr>
    </w:p>
    <w:p w14:paraId="61A89510" w14:textId="77777777" w:rsidR="007E121E" w:rsidRPr="00025EAE" w:rsidRDefault="007E121E" w:rsidP="007E121E">
      <w:pPr>
        <w:pStyle w:val="NormalWeb"/>
        <w:jc w:val="both"/>
        <w:rPr>
          <w:rFonts w:asciiTheme="minorHAnsi" w:hAnsiTheme="minorHAnsi" w:cstheme="minorHAnsi"/>
          <w:b/>
          <w:bCs/>
          <w:lang w:val="en-GB"/>
        </w:rPr>
      </w:pPr>
      <w:r w:rsidRPr="00025EAE">
        <w:rPr>
          <w:rFonts w:asciiTheme="minorHAnsi" w:hAnsiTheme="minorHAnsi" w:cstheme="minorHAnsi"/>
          <w:b/>
          <w:bCs/>
          <w:lang w:val="en-GB"/>
        </w:rPr>
        <w:t>Integrase strand-transfer inhibitors may be associated with excess incidence of cardiovascular events in the first 2 years of exposure</w:t>
      </w:r>
    </w:p>
    <w:p w14:paraId="1B6B7C3A" w14:textId="77777777" w:rsidR="007E121E" w:rsidRPr="00025EAE" w:rsidRDefault="007E121E" w:rsidP="007E121E">
      <w:pPr>
        <w:pStyle w:val="NormalWeb"/>
        <w:jc w:val="both"/>
        <w:rPr>
          <w:rFonts w:asciiTheme="minorHAnsi" w:hAnsiTheme="minorHAnsi" w:cstheme="minorHAnsi"/>
          <w:b/>
          <w:bCs/>
          <w:lang w:val="en-GB"/>
        </w:rPr>
      </w:pPr>
      <w:r w:rsidRPr="00025EAE">
        <w:rPr>
          <w:rFonts w:asciiTheme="minorHAnsi" w:hAnsiTheme="minorHAnsi" w:cstheme="minorHAnsi"/>
          <w:lang w:val="en-GB"/>
        </w:rPr>
        <w:t xml:space="preserve">The RESPOND observational cohort study analysed the incidence of cardiovascular events (myocardial infarction, stroke, or invasive cardiovascular procedures) among 29,340 participants (74% males; median age at baseline 44 years), including 14,000 who were exposed to ≥1 INSTI (62% dolutegravir). Over a median follow-up of 6.2 years, 748 participants (2.5%) had a cardiovascular event. The incidence of cardiovascular events was increased among participants on INSTIs relative to those without INSTI exposure: after accounting for known cardiovascular disease risk factors, INSTI-experienced participants showed an adjusted incidence rate ratio of 1.85 in the first 6 months of INSTI exposure, 1.19 between &gt;6 and 12 months, and 1.46 between &gt;12 and 24 months. After 24 months, the risk decreased to levels </w:t>
      </w:r>
      <w:proofErr w:type="gramStart"/>
      <w:r w:rsidRPr="00025EAE">
        <w:rPr>
          <w:rFonts w:asciiTheme="minorHAnsi" w:hAnsiTheme="minorHAnsi" w:cstheme="minorHAnsi"/>
          <w:lang w:val="en-GB"/>
        </w:rPr>
        <w:t>similar to</w:t>
      </w:r>
      <w:proofErr w:type="gramEnd"/>
      <w:r w:rsidRPr="00025EAE">
        <w:rPr>
          <w:rFonts w:asciiTheme="minorHAnsi" w:hAnsiTheme="minorHAnsi" w:cstheme="minorHAnsi"/>
          <w:lang w:val="en-GB"/>
        </w:rPr>
        <w:t xml:space="preserve"> those without INSTI exposure. Further studies are needed to confirm the association and identify its potential mechanisms. </w:t>
      </w:r>
    </w:p>
    <w:p w14:paraId="058988C0" w14:textId="77777777" w:rsidR="007E121E" w:rsidRPr="00025EAE" w:rsidRDefault="007E121E" w:rsidP="007E121E">
      <w:pPr>
        <w:pStyle w:val="NormalWeb"/>
        <w:jc w:val="both"/>
        <w:rPr>
          <w:rFonts w:asciiTheme="minorHAnsi" w:hAnsiTheme="minorHAnsi" w:cstheme="minorHAnsi"/>
          <w:lang w:val="en-GB"/>
        </w:rPr>
      </w:pPr>
      <w:r w:rsidRPr="00025EAE">
        <w:rPr>
          <w:rFonts w:asciiTheme="minorHAnsi" w:hAnsiTheme="minorHAnsi" w:cstheme="minorHAnsi"/>
          <w:lang w:val="en-GB"/>
        </w:rPr>
        <w:t>Word count: 136</w:t>
      </w:r>
    </w:p>
    <w:p w14:paraId="7AD93888" w14:textId="77777777" w:rsidR="007E121E" w:rsidRPr="00025EAE" w:rsidRDefault="007E121E" w:rsidP="00025EAE">
      <w:pPr>
        <w:jc w:val="both"/>
        <w:rPr>
          <w:rFonts w:eastAsia="Times New Roman" w:cstheme="minorHAnsi"/>
          <w:color w:val="212121"/>
          <w:shd w:val="clear" w:color="auto" w:fill="FFFFFF"/>
          <w:lang w:val="en-GB" w:eastAsia="es-MX"/>
        </w:rPr>
      </w:pPr>
      <w:proofErr w:type="spellStart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>Neesgaard</w:t>
      </w:r>
      <w:proofErr w:type="spellEnd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 xml:space="preserve"> B, Greenberg L, Miró JM, et al. Associations between integrase strand-transfer inhibitors and cardiovascular disease in people living with HIV: a multicentre prospective study from the RESPOND cohort consortium. </w:t>
      </w:r>
      <w:r w:rsidRPr="00025EAE">
        <w:rPr>
          <w:rFonts w:eastAsia="Times New Roman" w:cstheme="minorHAnsi"/>
          <w:i/>
          <w:iCs/>
          <w:color w:val="212121"/>
          <w:shd w:val="clear" w:color="auto" w:fill="FFFFFF"/>
          <w:lang w:val="en-GB" w:eastAsia="es-MX"/>
        </w:rPr>
        <w:t>Lancet HIV</w:t>
      </w:r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>. 2022;</w:t>
      </w:r>
      <w:proofErr w:type="gramStart"/>
      <w:r w:rsidRPr="00025EAE">
        <w:rPr>
          <w:rFonts w:eastAsia="Times New Roman" w:cstheme="minorHAnsi"/>
          <w:b/>
          <w:bCs/>
          <w:color w:val="212121"/>
          <w:shd w:val="clear" w:color="auto" w:fill="FFFFFF"/>
          <w:lang w:val="en-GB" w:eastAsia="es-MX"/>
        </w:rPr>
        <w:t>9</w:t>
      </w:r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>:e</w:t>
      </w:r>
      <w:proofErr w:type="gramEnd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>474-e485. doi:10.1016/S2352-3018(22)00094-7</w:t>
      </w:r>
    </w:p>
    <w:p w14:paraId="17D13E7F" w14:textId="77777777" w:rsidR="007E121E" w:rsidRPr="00025EAE" w:rsidRDefault="007E121E" w:rsidP="00F10546">
      <w:pPr>
        <w:pStyle w:val="NormalWeb"/>
        <w:jc w:val="both"/>
        <w:rPr>
          <w:rFonts w:asciiTheme="minorHAnsi" w:hAnsiTheme="minorHAnsi" w:cstheme="minorHAnsi"/>
          <w:lang w:val="en-GB"/>
        </w:rPr>
      </w:pPr>
    </w:p>
    <w:p w14:paraId="21E46AB4" w14:textId="39EF7E47" w:rsidR="0006185E" w:rsidRPr="00025EAE" w:rsidRDefault="00513996" w:rsidP="00E262C1">
      <w:pPr>
        <w:pStyle w:val="NormalWeb"/>
        <w:jc w:val="both"/>
        <w:rPr>
          <w:rFonts w:asciiTheme="minorHAnsi" w:hAnsiTheme="minorHAnsi" w:cstheme="minorHAnsi"/>
          <w:b/>
          <w:bCs/>
          <w:lang w:val="en-GB"/>
        </w:rPr>
      </w:pPr>
      <w:r w:rsidRPr="00025EAE">
        <w:rPr>
          <w:rFonts w:asciiTheme="minorHAnsi" w:hAnsiTheme="minorHAnsi" w:cstheme="minorHAnsi"/>
          <w:b/>
          <w:bCs/>
          <w:lang w:val="en-GB"/>
        </w:rPr>
        <w:t xml:space="preserve">What is </w:t>
      </w:r>
      <w:r w:rsidR="0006185E" w:rsidRPr="00025EAE">
        <w:rPr>
          <w:rFonts w:asciiTheme="minorHAnsi" w:hAnsiTheme="minorHAnsi" w:cstheme="minorHAnsi"/>
          <w:b/>
          <w:bCs/>
          <w:lang w:val="en-GB"/>
        </w:rPr>
        <w:t>the optimal sensitivity of the test of cure following treatment of hepatitis C</w:t>
      </w:r>
      <w:r w:rsidRPr="00025EAE">
        <w:rPr>
          <w:rFonts w:asciiTheme="minorHAnsi" w:hAnsiTheme="minorHAnsi" w:cstheme="minorHAnsi"/>
          <w:b/>
          <w:bCs/>
          <w:lang w:val="en-GB"/>
        </w:rPr>
        <w:t xml:space="preserve"> with di</w:t>
      </w:r>
      <w:r w:rsidR="007E121E" w:rsidRPr="00025EAE">
        <w:rPr>
          <w:rFonts w:asciiTheme="minorHAnsi" w:hAnsiTheme="minorHAnsi" w:cstheme="minorHAnsi"/>
          <w:b/>
          <w:bCs/>
          <w:lang w:val="en-GB"/>
        </w:rPr>
        <w:t>r</w:t>
      </w:r>
      <w:r w:rsidRPr="00025EAE">
        <w:rPr>
          <w:rFonts w:asciiTheme="minorHAnsi" w:hAnsiTheme="minorHAnsi" w:cstheme="minorHAnsi"/>
          <w:b/>
          <w:bCs/>
          <w:lang w:val="en-GB"/>
        </w:rPr>
        <w:t xml:space="preserve">ect-acting antivirals (DAAs)? </w:t>
      </w:r>
    </w:p>
    <w:p w14:paraId="50E3A733" w14:textId="056B4AA1" w:rsidR="00E262C1" w:rsidRPr="00025EAE" w:rsidRDefault="00E54B71" w:rsidP="00E262C1">
      <w:pPr>
        <w:pStyle w:val="NormalWeb"/>
        <w:jc w:val="both"/>
        <w:rPr>
          <w:rFonts w:asciiTheme="minorHAnsi" w:hAnsiTheme="minorHAnsi" w:cstheme="minorHAnsi"/>
          <w:lang w:val="en-GB"/>
        </w:rPr>
      </w:pPr>
      <w:r w:rsidRPr="00025EAE">
        <w:rPr>
          <w:rFonts w:asciiTheme="minorHAnsi" w:hAnsiTheme="minorHAnsi" w:cstheme="minorHAnsi"/>
          <w:lang w:val="en-GB"/>
        </w:rPr>
        <w:lastRenderedPageBreak/>
        <w:t>T</w:t>
      </w:r>
      <w:r w:rsidR="008E0636" w:rsidRPr="00025EAE">
        <w:rPr>
          <w:rFonts w:asciiTheme="minorHAnsi" w:hAnsiTheme="minorHAnsi" w:cstheme="minorHAnsi"/>
          <w:lang w:val="en-GB"/>
        </w:rPr>
        <w:t xml:space="preserve">he efficacy endpoint </w:t>
      </w:r>
      <w:r w:rsidRPr="00025EAE">
        <w:rPr>
          <w:rFonts w:asciiTheme="minorHAnsi" w:hAnsiTheme="minorHAnsi" w:cstheme="minorHAnsi"/>
          <w:lang w:val="en-GB"/>
        </w:rPr>
        <w:t xml:space="preserve">of </w:t>
      </w:r>
      <w:r w:rsidR="00513996" w:rsidRPr="00025EAE">
        <w:rPr>
          <w:rFonts w:asciiTheme="minorHAnsi" w:hAnsiTheme="minorHAnsi" w:cstheme="minorHAnsi"/>
          <w:lang w:val="en-GB"/>
        </w:rPr>
        <w:t>DAA</w:t>
      </w:r>
      <w:r w:rsidRPr="00025EAE">
        <w:rPr>
          <w:rFonts w:asciiTheme="minorHAnsi" w:hAnsiTheme="minorHAnsi" w:cstheme="minorHAnsi"/>
          <w:lang w:val="en-GB"/>
        </w:rPr>
        <w:t xml:space="preserve"> therapy </w:t>
      </w:r>
      <w:r w:rsidR="008E0636" w:rsidRPr="00025EAE">
        <w:rPr>
          <w:rFonts w:asciiTheme="minorHAnsi" w:hAnsiTheme="minorHAnsi" w:cstheme="minorHAnsi"/>
          <w:lang w:val="en-GB"/>
        </w:rPr>
        <w:t xml:space="preserve">is </w:t>
      </w:r>
      <w:r w:rsidR="00D572AF" w:rsidRPr="00025EAE">
        <w:rPr>
          <w:rFonts w:asciiTheme="minorHAnsi" w:hAnsiTheme="minorHAnsi" w:cstheme="minorHAnsi"/>
          <w:lang w:val="en-GB"/>
        </w:rPr>
        <w:t>a sustained virological response (SVR)</w:t>
      </w:r>
      <w:r w:rsidR="008E0636" w:rsidRPr="00025EAE">
        <w:rPr>
          <w:rFonts w:asciiTheme="minorHAnsi" w:hAnsiTheme="minorHAnsi" w:cstheme="minorHAnsi"/>
          <w:lang w:val="en-GB"/>
        </w:rPr>
        <w:t xml:space="preserve">, defined as </w:t>
      </w:r>
      <w:r w:rsidR="00D572AF" w:rsidRPr="00025EAE">
        <w:rPr>
          <w:rFonts w:asciiTheme="minorHAnsi" w:hAnsiTheme="minorHAnsi" w:cstheme="minorHAnsi"/>
          <w:lang w:val="en-GB"/>
        </w:rPr>
        <w:t>undetectable HCV RNA 12</w:t>
      </w:r>
      <w:r w:rsidR="00C56996" w:rsidRPr="00025EAE">
        <w:rPr>
          <w:rFonts w:asciiTheme="minorHAnsi" w:hAnsiTheme="minorHAnsi" w:cstheme="minorHAnsi"/>
          <w:lang w:val="en-GB"/>
        </w:rPr>
        <w:t>-</w:t>
      </w:r>
      <w:r w:rsidR="0063338E" w:rsidRPr="00025EAE">
        <w:rPr>
          <w:rFonts w:asciiTheme="minorHAnsi" w:hAnsiTheme="minorHAnsi" w:cstheme="minorHAnsi"/>
          <w:lang w:val="en-GB"/>
        </w:rPr>
        <w:t xml:space="preserve">24 </w:t>
      </w:r>
      <w:r w:rsidR="00D572AF" w:rsidRPr="00025EAE">
        <w:rPr>
          <w:rFonts w:asciiTheme="minorHAnsi" w:hAnsiTheme="minorHAnsi" w:cstheme="minorHAnsi"/>
          <w:lang w:val="en-GB"/>
        </w:rPr>
        <w:t xml:space="preserve">weeks after </w:t>
      </w:r>
      <w:r w:rsidR="00C56996" w:rsidRPr="00025EAE">
        <w:rPr>
          <w:rFonts w:asciiTheme="minorHAnsi" w:hAnsiTheme="minorHAnsi" w:cstheme="minorHAnsi"/>
          <w:lang w:val="en-GB"/>
        </w:rPr>
        <w:t>ending</w:t>
      </w:r>
      <w:r w:rsidR="00D572AF" w:rsidRPr="00025EAE">
        <w:rPr>
          <w:rFonts w:asciiTheme="minorHAnsi" w:hAnsiTheme="minorHAnsi" w:cstheme="minorHAnsi"/>
          <w:lang w:val="en-GB"/>
        </w:rPr>
        <w:t xml:space="preserve"> treatment. </w:t>
      </w:r>
      <w:r w:rsidR="00250D92" w:rsidRPr="00025EAE">
        <w:rPr>
          <w:rFonts w:asciiTheme="minorHAnsi" w:hAnsiTheme="minorHAnsi" w:cstheme="minorHAnsi"/>
          <w:lang w:val="en-GB"/>
        </w:rPr>
        <w:t>To inform the development of point-of-care HCV RNA tests, investigators</w:t>
      </w:r>
      <w:r w:rsidR="00E262C1" w:rsidRPr="00025EAE">
        <w:rPr>
          <w:rFonts w:asciiTheme="minorHAnsi" w:hAnsiTheme="minorHAnsi" w:cstheme="minorHAnsi"/>
          <w:lang w:val="en-GB"/>
        </w:rPr>
        <w:t xml:space="preserve"> </w:t>
      </w:r>
      <w:r w:rsidR="00F12040" w:rsidRPr="00025EAE">
        <w:rPr>
          <w:rFonts w:asciiTheme="minorHAnsi" w:hAnsiTheme="minorHAnsi" w:cstheme="minorHAnsi"/>
          <w:lang w:val="en-GB"/>
        </w:rPr>
        <w:t>analysed</w:t>
      </w:r>
      <w:r w:rsidR="00E262C1" w:rsidRPr="00025EAE">
        <w:rPr>
          <w:rFonts w:asciiTheme="minorHAnsi" w:hAnsiTheme="minorHAnsi" w:cstheme="minorHAnsi"/>
          <w:lang w:val="en-GB"/>
        </w:rPr>
        <w:t xml:space="preserve"> </w:t>
      </w:r>
      <w:r w:rsidR="00817AF8" w:rsidRPr="00025EAE">
        <w:rPr>
          <w:rFonts w:asciiTheme="minorHAnsi" w:hAnsiTheme="minorHAnsi" w:cstheme="minorHAnsi"/>
          <w:lang w:val="en-GB"/>
        </w:rPr>
        <w:t xml:space="preserve">174,889 </w:t>
      </w:r>
      <w:r w:rsidR="00E262C1" w:rsidRPr="00025EAE">
        <w:rPr>
          <w:rFonts w:asciiTheme="minorHAnsi" w:hAnsiTheme="minorHAnsi" w:cstheme="minorHAnsi"/>
          <w:lang w:val="en-GB"/>
        </w:rPr>
        <w:t xml:space="preserve">patients </w:t>
      </w:r>
      <w:r w:rsidR="00C56996" w:rsidRPr="00025EAE">
        <w:rPr>
          <w:rFonts w:asciiTheme="minorHAnsi" w:hAnsiTheme="minorHAnsi" w:cstheme="minorHAnsi"/>
          <w:lang w:val="en-GB"/>
        </w:rPr>
        <w:t>within</w:t>
      </w:r>
      <w:r w:rsidR="00E262C1" w:rsidRPr="00025EAE">
        <w:rPr>
          <w:rFonts w:asciiTheme="minorHAnsi" w:hAnsiTheme="minorHAnsi" w:cstheme="minorHAnsi"/>
          <w:lang w:val="en-GB"/>
        </w:rPr>
        <w:t xml:space="preserve"> observational cohorts or clinical trials</w:t>
      </w:r>
      <w:r w:rsidR="00E60C1C" w:rsidRPr="00025EAE">
        <w:rPr>
          <w:rFonts w:asciiTheme="minorHAnsi" w:hAnsiTheme="minorHAnsi" w:cstheme="minorHAnsi"/>
          <w:lang w:val="en-GB"/>
        </w:rPr>
        <w:t xml:space="preserve">. </w:t>
      </w:r>
      <w:r w:rsidR="00283965" w:rsidRPr="00025EAE">
        <w:rPr>
          <w:rFonts w:asciiTheme="minorHAnsi" w:hAnsiTheme="minorHAnsi" w:cstheme="minorHAnsi"/>
          <w:lang w:val="en-GB"/>
        </w:rPr>
        <w:t>Among</w:t>
      </w:r>
      <w:r w:rsidR="00E60C1C" w:rsidRPr="00025EAE">
        <w:rPr>
          <w:rFonts w:asciiTheme="minorHAnsi" w:hAnsiTheme="minorHAnsi" w:cstheme="minorHAnsi"/>
          <w:lang w:val="en-GB"/>
        </w:rPr>
        <w:t xml:space="preserve"> </w:t>
      </w:r>
      <w:r w:rsidR="00817AF8" w:rsidRPr="00025EAE">
        <w:rPr>
          <w:rFonts w:asciiTheme="minorHAnsi" w:hAnsiTheme="minorHAnsi" w:cstheme="minorHAnsi"/>
          <w:lang w:val="en-GB"/>
        </w:rPr>
        <w:t>5973</w:t>
      </w:r>
      <w:r w:rsidR="00283965" w:rsidRPr="00025EAE">
        <w:rPr>
          <w:rFonts w:asciiTheme="minorHAnsi" w:hAnsiTheme="minorHAnsi" w:cstheme="minorHAnsi"/>
          <w:lang w:val="en-GB"/>
        </w:rPr>
        <w:t xml:space="preserve"> </w:t>
      </w:r>
      <w:r w:rsidR="0002706B" w:rsidRPr="00025EAE">
        <w:rPr>
          <w:rFonts w:asciiTheme="minorHAnsi" w:hAnsiTheme="minorHAnsi" w:cstheme="minorHAnsi"/>
          <w:lang w:val="en-GB"/>
        </w:rPr>
        <w:t xml:space="preserve">participants </w:t>
      </w:r>
      <w:r w:rsidR="00283965" w:rsidRPr="00025EAE">
        <w:rPr>
          <w:rFonts w:asciiTheme="minorHAnsi" w:hAnsiTheme="minorHAnsi" w:cstheme="minorHAnsi"/>
          <w:lang w:val="en-GB"/>
        </w:rPr>
        <w:t>with</w:t>
      </w:r>
      <w:r w:rsidR="00817AF8" w:rsidRPr="00025EAE">
        <w:rPr>
          <w:rFonts w:asciiTheme="minorHAnsi" w:hAnsiTheme="minorHAnsi" w:cstheme="minorHAnsi"/>
          <w:lang w:val="en-GB"/>
        </w:rPr>
        <w:t xml:space="preserve"> viraemia at </w:t>
      </w:r>
      <w:r w:rsidR="00283965" w:rsidRPr="00025EAE">
        <w:rPr>
          <w:rFonts w:asciiTheme="minorHAnsi" w:hAnsiTheme="minorHAnsi" w:cstheme="minorHAnsi"/>
          <w:lang w:val="en-GB"/>
        </w:rPr>
        <w:t>SVR</w:t>
      </w:r>
      <w:r w:rsidR="00817AF8" w:rsidRPr="00025EAE">
        <w:rPr>
          <w:rFonts w:asciiTheme="minorHAnsi" w:hAnsiTheme="minorHAnsi" w:cstheme="minorHAnsi"/>
          <w:vertAlign w:val="subscript"/>
          <w:lang w:val="en-GB"/>
        </w:rPr>
        <w:t>12</w:t>
      </w:r>
      <w:r w:rsidR="00AD04DF" w:rsidRPr="00025EAE">
        <w:rPr>
          <w:rFonts w:asciiTheme="minorHAnsi" w:hAnsiTheme="minorHAnsi" w:cstheme="minorHAnsi"/>
          <w:lang w:val="en-GB"/>
        </w:rPr>
        <w:t xml:space="preserve">, </w:t>
      </w:r>
      <w:r w:rsidR="00250D92" w:rsidRPr="00025EAE">
        <w:rPr>
          <w:rFonts w:asciiTheme="minorHAnsi" w:hAnsiTheme="minorHAnsi" w:cstheme="minorHAnsi"/>
          <w:lang w:val="en-GB"/>
        </w:rPr>
        <w:t xml:space="preserve">41% had advanced fibrosis, </w:t>
      </w:r>
      <w:r w:rsidR="00283965" w:rsidRPr="00025EAE">
        <w:rPr>
          <w:rFonts w:asciiTheme="minorHAnsi" w:hAnsiTheme="minorHAnsi" w:cstheme="minorHAnsi"/>
          <w:lang w:val="en-GB"/>
        </w:rPr>
        <w:t>70% had received DAAs for 12 weeks and 24% for 24 week</w:t>
      </w:r>
      <w:r w:rsidR="00025EAE" w:rsidRPr="00025EAE">
        <w:rPr>
          <w:rFonts w:asciiTheme="minorHAnsi" w:hAnsiTheme="minorHAnsi" w:cstheme="minorHAnsi"/>
          <w:lang w:val="en-GB"/>
        </w:rPr>
        <w:t>s</w:t>
      </w:r>
      <w:r w:rsidR="00AD04DF" w:rsidRPr="00025EAE">
        <w:rPr>
          <w:rFonts w:asciiTheme="minorHAnsi" w:hAnsiTheme="minorHAnsi" w:cstheme="minorHAnsi"/>
          <w:lang w:val="en-GB"/>
        </w:rPr>
        <w:t>,</w:t>
      </w:r>
      <w:r w:rsidRPr="00025EAE">
        <w:rPr>
          <w:rFonts w:asciiTheme="minorHAnsi" w:hAnsiTheme="minorHAnsi" w:cstheme="minorHAnsi"/>
          <w:lang w:val="en-GB"/>
        </w:rPr>
        <w:t xml:space="preserve"> </w:t>
      </w:r>
      <w:r w:rsidR="0063338E" w:rsidRPr="00025EAE">
        <w:rPr>
          <w:rFonts w:asciiTheme="minorHAnsi" w:hAnsiTheme="minorHAnsi" w:cstheme="minorHAnsi"/>
          <w:lang w:val="en-GB"/>
        </w:rPr>
        <w:t xml:space="preserve">and </w:t>
      </w:r>
      <w:r w:rsidRPr="00025EAE">
        <w:rPr>
          <w:rFonts w:asciiTheme="minorHAnsi" w:hAnsiTheme="minorHAnsi" w:cstheme="minorHAnsi"/>
          <w:lang w:val="en-GB"/>
        </w:rPr>
        <w:t>27%, 66%</w:t>
      </w:r>
      <w:r w:rsidR="008263C4" w:rsidRPr="00025EAE">
        <w:rPr>
          <w:rFonts w:asciiTheme="minorHAnsi" w:hAnsiTheme="minorHAnsi" w:cstheme="minorHAnsi"/>
          <w:lang w:val="en-GB"/>
        </w:rPr>
        <w:t>,</w:t>
      </w:r>
      <w:r w:rsidRPr="00025EAE">
        <w:rPr>
          <w:rFonts w:asciiTheme="minorHAnsi" w:hAnsiTheme="minorHAnsi" w:cstheme="minorHAnsi"/>
          <w:lang w:val="en-GB"/>
        </w:rPr>
        <w:t xml:space="preserve"> and 6% had received therapy in the early, mid</w:t>
      </w:r>
      <w:r w:rsidR="008263C4" w:rsidRPr="00025EAE">
        <w:rPr>
          <w:rFonts w:asciiTheme="minorHAnsi" w:hAnsiTheme="minorHAnsi" w:cstheme="minorHAnsi"/>
          <w:lang w:val="en-GB"/>
        </w:rPr>
        <w:t>,</w:t>
      </w:r>
      <w:r w:rsidRPr="00025EAE">
        <w:rPr>
          <w:rFonts w:asciiTheme="minorHAnsi" w:hAnsiTheme="minorHAnsi" w:cstheme="minorHAnsi"/>
          <w:lang w:val="en-GB"/>
        </w:rPr>
        <w:t xml:space="preserve"> and recent DAA era, respectively</w:t>
      </w:r>
      <w:r w:rsidR="00283965" w:rsidRPr="00025EAE">
        <w:rPr>
          <w:rFonts w:asciiTheme="minorHAnsi" w:hAnsiTheme="minorHAnsi" w:cstheme="minorHAnsi"/>
          <w:lang w:val="en-GB"/>
        </w:rPr>
        <w:t>.</w:t>
      </w:r>
      <w:r w:rsidR="00C725A6" w:rsidRPr="00025EAE">
        <w:rPr>
          <w:rFonts w:asciiTheme="minorHAnsi" w:hAnsiTheme="minorHAnsi" w:cstheme="minorHAnsi"/>
          <w:lang w:val="en-GB"/>
        </w:rPr>
        <w:t xml:space="preserve"> </w:t>
      </w:r>
      <w:r w:rsidR="008263C4" w:rsidRPr="00025EAE">
        <w:rPr>
          <w:rFonts w:asciiTheme="minorHAnsi" w:hAnsiTheme="minorHAnsi" w:cstheme="minorHAnsi"/>
        </w:rPr>
        <w:t xml:space="preserve">HCV RNA </w:t>
      </w:r>
      <w:r w:rsidR="008263C4" w:rsidRPr="00025EAE">
        <w:rPr>
          <w:rFonts w:asciiTheme="minorHAnsi" w:hAnsiTheme="minorHAnsi" w:cstheme="minorHAnsi"/>
          <w:lang w:val="en-GB"/>
        </w:rPr>
        <w:t>levels</w:t>
      </w:r>
      <w:r w:rsidR="008263C4" w:rsidRPr="00025EAE">
        <w:rPr>
          <w:rFonts w:asciiTheme="minorHAnsi" w:hAnsiTheme="minorHAnsi" w:cstheme="minorHAnsi"/>
        </w:rPr>
        <w:t xml:space="preserve"> </w:t>
      </w:r>
      <w:r w:rsidR="008263C4" w:rsidRPr="00025EAE">
        <w:rPr>
          <w:rFonts w:asciiTheme="minorHAnsi" w:hAnsiTheme="minorHAnsi" w:cstheme="minorHAnsi"/>
          <w:lang w:val="en-GB"/>
        </w:rPr>
        <w:t xml:space="preserve">were &gt;227 IU/mL in 95% and </w:t>
      </w:r>
      <w:r w:rsidR="0063338E" w:rsidRPr="00025EAE">
        <w:rPr>
          <w:rFonts w:asciiTheme="minorHAnsi" w:hAnsiTheme="minorHAnsi" w:cstheme="minorHAnsi"/>
          <w:lang w:val="en-GB"/>
        </w:rPr>
        <w:t>&gt;</w:t>
      </w:r>
      <w:r w:rsidR="008263C4" w:rsidRPr="00025EAE">
        <w:rPr>
          <w:rFonts w:asciiTheme="minorHAnsi" w:hAnsiTheme="minorHAnsi" w:cstheme="minorHAnsi"/>
          <w:lang w:val="en-GB"/>
        </w:rPr>
        <w:t xml:space="preserve">70 IU/mL </w:t>
      </w:r>
      <w:r w:rsidR="0063338E" w:rsidRPr="00025EAE">
        <w:rPr>
          <w:rFonts w:asciiTheme="minorHAnsi" w:hAnsiTheme="minorHAnsi" w:cstheme="minorHAnsi"/>
          <w:lang w:val="en-GB"/>
        </w:rPr>
        <w:t xml:space="preserve">in 97% </w:t>
      </w:r>
      <w:r w:rsidR="008263C4" w:rsidRPr="00025EAE">
        <w:rPr>
          <w:rFonts w:asciiTheme="minorHAnsi" w:hAnsiTheme="minorHAnsi" w:cstheme="minorHAnsi"/>
          <w:lang w:val="en-GB"/>
        </w:rPr>
        <w:t>(95% CI 48–86)</w:t>
      </w:r>
      <w:r w:rsidR="0002706B" w:rsidRPr="00025EAE">
        <w:rPr>
          <w:rFonts w:asciiTheme="minorHAnsi" w:hAnsiTheme="minorHAnsi" w:cstheme="minorHAnsi"/>
          <w:lang w:val="en-GB"/>
        </w:rPr>
        <w:t>. At both SVR</w:t>
      </w:r>
      <w:r w:rsidR="0002706B" w:rsidRPr="00025EAE">
        <w:rPr>
          <w:rFonts w:asciiTheme="minorHAnsi" w:hAnsiTheme="minorHAnsi" w:cstheme="minorHAnsi"/>
          <w:vertAlign w:val="subscript"/>
          <w:lang w:val="en-GB"/>
        </w:rPr>
        <w:t>12</w:t>
      </w:r>
      <w:r w:rsidR="0002706B" w:rsidRPr="00025EAE">
        <w:rPr>
          <w:rFonts w:asciiTheme="minorHAnsi" w:hAnsiTheme="minorHAnsi" w:cstheme="minorHAnsi"/>
          <w:lang w:val="en-GB"/>
        </w:rPr>
        <w:t xml:space="preserve"> and SVR</w:t>
      </w:r>
      <w:r w:rsidR="0002706B" w:rsidRPr="00025EAE">
        <w:rPr>
          <w:rFonts w:asciiTheme="minorHAnsi" w:hAnsiTheme="minorHAnsi" w:cstheme="minorHAnsi"/>
          <w:vertAlign w:val="subscript"/>
          <w:lang w:val="en-GB"/>
        </w:rPr>
        <w:t>24</w:t>
      </w:r>
      <w:r w:rsidR="0002706B" w:rsidRPr="00025EAE">
        <w:rPr>
          <w:rFonts w:asciiTheme="minorHAnsi" w:hAnsiTheme="minorHAnsi" w:cstheme="minorHAnsi"/>
          <w:lang w:val="en-GB"/>
        </w:rPr>
        <w:t xml:space="preserve">, </w:t>
      </w:r>
      <w:r w:rsidR="0004359D" w:rsidRPr="00025EAE">
        <w:rPr>
          <w:rFonts w:asciiTheme="minorHAnsi" w:hAnsiTheme="minorHAnsi" w:cstheme="minorHAnsi"/>
          <w:lang w:val="en-GB"/>
        </w:rPr>
        <w:t>~</w:t>
      </w:r>
      <w:r w:rsidR="0002706B" w:rsidRPr="00025EAE">
        <w:rPr>
          <w:rFonts w:asciiTheme="minorHAnsi" w:hAnsiTheme="minorHAnsi" w:cstheme="minorHAnsi"/>
          <w:lang w:val="en-GB"/>
        </w:rPr>
        <w:t xml:space="preserve">11% of </w:t>
      </w:r>
      <w:r w:rsidR="00AD04DF" w:rsidRPr="00025EAE">
        <w:rPr>
          <w:rFonts w:asciiTheme="minorHAnsi" w:hAnsiTheme="minorHAnsi" w:cstheme="minorHAnsi"/>
          <w:lang w:val="en-GB"/>
        </w:rPr>
        <w:t>viraemic patients</w:t>
      </w:r>
      <w:r w:rsidR="0004359D" w:rsidRPr="00025EAE">
        <w:rPr>
          <w:rFonts w:asciiTheme="minorHAnsi" w:hAnsiTheme="minorHAnsi" w:cstheme="minorHAnsi"/>
          <w:lang w:val="en-GB"/>
        </w:rPr>
        <w:t xml:space="preserve"> had HCV RNA </w:t>
      </w:r>
      <w:r w:rsidR="00AD04DF" w:rsidRPr="00025EAE">
        <w:rPr>
          <w:rFonts w:asciiTheme="minorHAnsi" w:hAnsiTheme="minorHAnsi" w:cstheme="minorHAnsi"/>
          <w:lang w:val="en-GB"/>
        </w:rPr>
        <w:t>&lt;</w:t>
      </w:r>
      <w:r w:rsidR="0002706B" w:rsidRPr="00025EAE">
        <w:rPr>
          <w:rFonts w:asciiTheme="minorHAnsi" w:hAnsiTheme="minorHAnsi" w:cstheme="minorHAnsi"/>
          <w:lang w:val="en-GB"/>
        </w:rPr>
        <w:t>1000 IU/ml</w:t>
      </w:r>
      <w:r w:rsidR="00AD04DF" w:rsidRPr="00025EAE">
        <w:rPr>
          <w:rFonts w:asciiTheme="minorHAnsi" w:hAnsiTheme="minorHAnsi" w:cstheme="minorHAnsi"/>
          <w:lang w:val="en-GB"/>
        </w:rPr>
        <w:t>;</w:t>
      </w:r>
      <w:r w:rsidR="004666AF" w:rsidRPr="00025EAE">
        <w:rPr>
          <w:rFonts w:asciiTheme="minorHAnsi" w:hAnsiTheme="minorHAnsi" w:cstheme="minorHAnsi"/>
          <w:lang w:val="en-GB"/>
        </w:rPr>
        <w:t xml:space="preserve"> this was more likely in women</w:t>
      </w:r>
      <w:r w:rsidR="00AD04DF" w:rsidRPr="00025EAE">
        <w:rPr>
          <w:rFonts w:asciiTheme="minorHAnsi" w:hAnsiTheme="minorHAnsi" w:cstheme="minorHAnsi"/>
          <w:lang w:val="en-GB"/>
        </w:rPr>
        <w:t xml:space="preserve">, </w:t>
      </w:r>
      <w:r w:rsidR="00C725A6" w:rsidRPr="00025EAE">
        <w:rPr>
          <w:rFonts w:asciiTheme="minorHAnsi" w:hAnsiTheme="minorHAnsi" w:cstheme="minorHAnsi"/>
          <w:lang w:val="en-GB"/>
        </w:rPr>
        <w:t xml:space="preserve">and </w:t>
      </w:r>
      <w:r w:rsidR="004666AF" w:rsidRPr="00025EAE">
        <w:rPr>
          <w:rFonts w:asciiTheme="minorHAnsi" w:hAnsiTheme="minorHAnsi" w:cstheme="minorHAnsi"/>
          <w:lang w:val="en-GB"/>
        </w:rPr>
        <w:t xml:space="preserve">with </w:t>
      </w:r>
      <w:r w:rsidR="0004359D" w:rsidRPr="00025EAE">
        <w:rPr>
          <w:rFonts w:asciiTheme="minorHAnsi" w:hAnsiTheme="minorHAnsi" w:cstheme="minorHAnsi"/>
          <w:lang w:val="en-GB"/>
        </w:rPr>
        <w:t>no</w:t>
      </w:r>
      <w:r w:rsidR="00C725A6" w:rsidRPr="00025EAE">
        <w:rPr>
          <w:rFonts w:asciiTheme="minorHAnsi" w:hAnsiTheme="minorHAnsi" w:cstheme="minorHAnsi"/>
          <w:lang w:val="en-GB"/>
        </w:rPr>
        <w:t>/</w:t>
      </w:r>
      <w:r w:rsidR="0004359D" w:rsidRPr="00025EAE">
        <w:rPr>
          <w:rFonts w:asciiTheme="minorHAnsi" w:hAnsiTheme="minorHAnsi" w:cstheme="minorHAnsi"/>
          <w:lang w:val="en-GB"/>
        </w:rPr>
        <w:t>minimal fibrosis</w:t>
      </w:r>
      <w:r w:rsidR="004666AF" w:rsidRPr="00025EAE">
        <w:rPr>
          <w:rFonts w:asciiTheme="minorHAnsi" w:hAnsiTheme="minorHAnsi" w:cstheme="minorHAnsi"/>
          <w:lang w:val="en-GB"/>
        </w:rPr>
        <w:t xml:space="preserve">, </w:t>
      </w:r>
      <w:r w:rsidR="0004359D" w:rsidRPr="00025EAE">
        <w:rPr>
          <w:rFonts w:asciiTheme="minorHAnsi" w:hAnsiTheme="minorHAnsi" w:cstheme="minorHAnsi"/>
          <w:lang w:val="en-GB"/>
        </w:rPr>
        <w:t>genotype 3</w:t>
      </w:r>
      <w:r w:rsidR="004666AF" w:rsidRPr="00025EAE">
        <w:rPr>
          <w:rFonts w:asciiTheme="minorHAnsi" w:hAnsiTheme="minorHAnsi" w:cstheme="minorHAnsi"/>
          <w:lang w:val="en-GB"/>
        </w:rPr>
        <w:t xml:space="preserve">, </w:t>
      </w:r>
      <w:r w:rsidR="00C725A6" w:rsidRPr="00025EAE">
        <w:rPr>
          <w:rFonts w:asciiTheme="minorHAnsi" w:hAnsiTheme="minorHAnsi" w:cstheme="minorHAnsi"/>
          <w:lang w:val="en-GB"/>
        </w:rPr>
        <w:t>and</w:t>
      </w:r>
      <w:r w:rsidR="004666AF" w:rsidRPr="00025EAE">
        <w:rPr>
          <w:rFonts w:asciiTheme="minorHAnsi" w:hAnsiTheme="minorHAnsi" w:cstheme="minorHAnsi"/>
          <w:lang w:val="en-GB"/>
        </w:rPr>
        <w:t xml:space="preserve"> </w:t>
      </w:r>
      <w:r w:rsidR="0004359D" w:rsidRPr="00025EAE">
        <w:rPr>
          <w:rFonts w:asciiTheme="minorHAnsi" w:hAnsiTheme="minorHAnsi" w:cstheme="minorHAnsi"/>
          <w:lang w:val="en-GB"/>
        </w:rPr>
        <w:t>early era DAA</w:t>
      </w:r>
      <w:r w:rsidR="00C725A6" w:rsidRPr="00025EAE">
        <w:rPr>
          <w:rFonts w:asciiTheme="minorHAnsi" w:hAnsiTheme="minorHAnsi" w:cstheme="minorHAnsi"/>
          <w:lang w:val="en-GB"/>
        </w:rPr>
        <w:t>s</w:t>
      </w:r>
      <w:r w:rsidR="004666AF" w:rsidRPr="00025EAE">
        <w:rPr>
          <w:rFonts w:asciiTheme="minorHAnsi" w:hAnsiTheme="minorHAnsi" w:cstheme="minorHAnsi"/>
          <w:lang w:val="en-GB"/>
        </w:rPr>
        <w:t>.</w:t>
      </w:r>
      <w:r w:rsidR="00C725A6" w:rsidRPr="00025EAE">
        <w:rPr>
          <w:rFonts w:asciiTheme="minorHAnsi" w:hAnsiTheme="minorHAnsi" w:cstheme="minorHAnsi"/>
          <w:lang w:val="en-GB"/>
        </w:rPr>
        <w:t xml:space="preserve"> </w:t>
      </w:r>
      <w:r w:rsidR="00250D92" w:rsidRPr="00025EAE">
        <w:rPr>
          <w:rFonts w:asciiTheme="minorHAnsi" w:hAnsiTheme="minorHAnsi" w:cstheme="minorHAnsi"/>
          <w:lang w:val="en-GB"/>
        </w:rPr>
        <w:t xml:space="preserve">Some point-of-care HCV RNA tests </w:t>
      </w:r>
      <w:r w:rsidR="00C56996" w:rsidRPr="00025EAE">
        <w:rPr>
          <w:rFonts w:asciiTheme="minorHAnsi" w:hAnsiTheme="minorHAnsi" w:cstheme="minorHAnsi"/>
          <w:lang w:val="en-GB"/>
        </w:rPr>
        <w:t xml:space="preserve">may require </w:t>
      </w:r>
      <w:r w:rsidR="00250D92" w:rsidRPr="00025EAE">
        <w:rPr>
          <w:rFonts w:asciiTheme="minorHAnsi" w:hAnsiTheme="minorHAnsi" w:cstheme="minorHAnsi"/>
          <w:lang w:val="en-GB"/>
        </w:rPr>
        <w:t xml:space="preserve">a trade-off </w:t>
      </w:r>
      <w:r w:rsidR="00C56996" w:rsidRPr="00025EAE">
        <w:rPr>
          <w:rFonts w:asciiTheme="minorHAnsi" w:hAnsiTheme="minorHAnsi" w:cstheme="minorHAnsi"/>
          <w:lang w:val="en-GB"/>
        </w:rPr>
        <w:t xml:space="preserve">between convenience and </w:t>
      </w:r>
      <w:r w:rsidR="00AD04DF" w:rsidRPr="00025EAE">
        <w:rPr>
          <w:rFonts w:asciiTheme="minorHAnsi" w:hAnsiTheme="minorHAnsi" w:cstheme="minorHAnsi"/>
          <w:lang w:val="en-GB"/>
        </w:rPr>
        <w:t xml:space="preserve">diagnostic </w:t>
      </w:r>
      <w:r w:rsidR="00C725A6" w:rsidRPr="00025EAE">
        <w:rPr>
          <w:rFonts w:asciiTheme="minorHAnsi" w:hAnsiTheme="minorHAnsi" w:cstheme="minorHAnsi"/>
          <w:lang w:val="en-GB"/>
        </w:rPr>
        <w:t>sensitivity</w:t>
      </w:r>
      <w:r w:rsidR="00C56996" w:rsidRPr="00025EAE">
        <w:rPr>
          <w:rFonts w:asciiTheme="minorHAnsi" w:hAnsiTheme="minorHAnsi" w:cstheme="minorHAnsi"/>
          <w:lang w:val="en-GB"/>
        </w:rPr>
        <w:t xml:space="preserve">. </w:t>
      </w:r>
    </w:p>
    <w:p w14:paraId="48922253" w14:textId="39F93525" w:rsidR="00E262C1" w:rsidRPr="00025EAE" w:rsidRDefault="00BD6401" w:rsidP="00E262C1">
      <w:pPr>
        <w:pStyle w:val="NormalWeb"/>
        <w:jc w:val="both"/>
        <w:rPr>
          <w:rFonts w:asciiTheme="minorHAnsi" w:hAnsiTheme="minorHAnsi" w:cstheme="minorHAnsi"/>
          <w:lang w:val="en-GB"/>
        </w:rPr>
      </w:pPr>
      <w:r w:rsidRPr="00025EAE">
        <w:rPr>
          <w:rFonts w:asciiTheme="minorHAnsi" w:hAnsiTheme="minorHAnsi" w:cstheme="minorHAnsi"/>
          <w:lang w:val="en-GB"/>
        </w:rPr>
        <w:t xml:space="preserve">Word count: </w:t>
      </w:r>
      <w:r w:rsidR="00513996" w:rsidRPr="00025EAE">
        <w:rPr>
          <w:rFonts w:asciiTheme="minorHAnsi" w:hAnsiTheme="minorHAnsi" w:cstheme="minorHAnsi"/>
          <w:lang w:val="en-GB"/>
        </w:rPr>
        <w:t>1</w:t>
      </w:r>
      <w:r w:rsidR="00250D92" w:rsidRPr="00025EAE">
        <w:rPr>
          <w:rFonts w:asciiTheme="minorHAnsi" w:hAnsiTheme="minorHAnsi" w:cstheme="minorHAnsi"/>
          <w:lang w:val="en-GB"/>
        </w:rPr>
        <w:t>42</w:t>
      </w:r>
    </w:p>
    <w:p w14:paraId="3F8AD3BD" w14:textId="77777777" w:rsidR="00025EAE" w:rsidRPr="00025EAE" w:rsidRDefault="00025EAE" w:rsidP="00025EAE">
      <w:pPr>
        <w:jc w:val="both"/>
        <w:rPr>
          <w:rFonts w:eastAsia="Times New Roman" w:cstheme="minorHAnsi"/>
          <w:color w:val="212121"/>
          <w:shd w:val="clear" w:color="auto" w:fill="FFFFFF"/>
          <w:lang w:val="en-GB" w:eastAsia="es-MX"/>
        </w:rPr>
      </w:pPr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 xml:space="preserve">Morgan JR, Marsh E, </w:t>
      </w:r>
      <w:proofErr w:type="spellStart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>Savinkina</w:t>
      </w:r>
      <w:proofErr w:type="spellEnd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 xml:space="preserve"> A, et al. Determining the lower limit of detection required for HCV viral load assay for test of cure following direct-acting antiviral-based treatment regimens: Evidence from a global data set. </w:t>
      </w:r>
      <w:r w:rsidRPr="00025EAE">
        <w:rPr>
          <w:rFonts w:eastAsia="Times New Roman" w:cstheme="minorHAnsi"/>
          <w:i/>
          <w:iCs/>
          <w:color w:val="212121"/>
          <w:shd w:val="clear" w:color="auto" w:fill="FFFFFF"/>
          <w:lang w:val="en-GB" w:eastAsia="es-MX"/>
        </w:rPr>
        <w:t xml:space="preserve">J Viral </w:t>
      </w:r>
      <w:proofErr w:type="spellStart"/>
      <w:r w:rsidRPr="00025EAE">
        <w:rPr>
          <w:rFonts w:eastAsia="Times New Roman" w:cstheme="minorHAnsi"/>
          <w:i/>
          <w:iCs/>
          <w:color w:val="212121"/>
          <w:shd w:val="clear" w:color="auto" w:fill="FFFFFF"/>
          <w:lang w:val="en-GB" w:eastAsia="es-MX"/>
        </w:rPr>
        <w:t>Hepat</w:t>
      </w:r>
      <w:proofErr w:type="spellEnd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 xml:space="preserve">. </w:t>
      </w:r>
      <w:proofErr w:type="gramStart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>2022;</w:t>
      </w:r>
      <w:r w:rsidRPr="00025EAE">
        <w:rPr>
          <w:rFonts w:eastAsia="Times New Roman" w:cstheme="minorHAnsi"/>
          <w:b/>
          <w:bCs/>
          <w:color w:val="212121"/>
          <w:shd w:val="clear" w:color="auto" w:fill="FFFFFF"/>
          <w:lang w:val="en-GB" w:eastAsia="es-MX"/>
        </w:rPr>
        <w:t>29</w:t>
      </w:r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>:474</w:t>
      </w:r>
      <w:proofErr w:type="gramEnd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>-486. doi:10.1111/jvh.13672.</w:t>
      </w:r>
    </w:p>
    <w:p w14:paraId="0E4A0F64" w14:textId="77777777" w:rsidR="00F70BD2" w:rsidRPr="00025EAE" w:rsidRDefault="00F70BD2" w:rsidP="00E262C1">
      <w:pPr>
        <w:pStyle w:val="NormalWeb"/>
        <w:jc w:val="both"/>
        <w:rPr>
          <w:rFonts w:asciiTheme="minorHAnsi" w:hAnsiTheme="minorHAnsi" w:cstheme="minorHAnsi"/>
          <w:lang w:val="en-GB"/>
        </w:rPr>
      </w:pPr>
    </w:p>
    <w:p w14:paraId="7B1E9A2C" w14:textId="48724998" w:rsidR="00F70BD2" w:rsidRPr="00025EAE" w:rsidRDefault="004E5AE0" w:rsidP="00F70BD2">
      <w:pPr>
        <w:pStyle w:val="NormalWeb"/>
        <w:jc w:val="both"/>
        <w:rPr>
          <w:rFonts w:asciiTheme="minorHAnsi" w:hAnsiTheme="minorHAnsi" w:cstheme="minorHAnsi"/>
          <w:b/>
          <w:bCs/>
          <w:lang w:val="en-GB"/>
        </w:rPr>
      </w:pPr>
      <w:r w:rsidRPr="00025EAE">
        <w:rPr>
          <w:rFonts w:asciiTheme="minorHAnsi" w:hAnsiTheme="minorHAnsi" w:cstheme="minorHAnsi"/>
          <w:b/>
          <w:bCs/>
          <w:lang w:val="en-GB"/>
        </w:rPr>
        <w:t>Published in </w:t>
      </w:r>
      <w:r w:rsidRPr="00025EAE">
        <w:rPr>
          <w:rFonts w:asciiTheme="minorHAnsi" w:hAnsiTheme="minorHAnsi" w:cstheme="minorHAnsi"/>
          <w:b/>
          <w:bCs/>
          <w:i/>
          <w:iCs/>
          <w:lang w:val="en-GB"/>
        </w:rPr>
        <w:t>Sexually Transmitted Infections</w:t>
      </w:r>
      <w:r w:rsidRPr="00025EAE">
        <w:rPr>
          <w:rFonts w:asciiTheme="minorHAnsi" w:hAnsiTheme="minorHAnsi" w:cstheme="minorHAnsi"/>
          <w:b/>
          <w:bCs/>
          <w:lang w:val="en-GB"/>
        </w:rPr>
        <w:t xml:space="preserve">: </w:t>
      </w:r>
      <w:r w:rsidR="00F70BD2" w:rsidRPr="00025EAE">
        <w:rPr>
          <w:rFonts w:asciiTheme="minorHAnsi" w:hAnsiTheme="minorHAnsi" w:cstheme="minorHAnsi"/>
          <w:b/>
          <w:bCs/>
          <w:lang w:val="en-GB"/>
        </w:rPr>
        <w:t xml:space="preserve">When to test women for </w:t>
      </w:r>
      <w:r w:rsidR="00F70BD2" w:rsidRPr="00025EAE">
        <w:rPr>
          <w:rFonts w:asciiTheme="minorHAnsi" w:hAnsiTheme="minorHAnsi" w:cstheme="minorHAnsi"/>
          <w:b/>
          <w:bCs/>
          <w:i/>
          <w:iCs/>
          <w:lang w:val="en-GB"/>
        </w:rPr>
        <w:t xml:space="preserve">Mycoplasma </w:t>
      </w:r>
      <w:proofErr w:type="spellStart"/>
      <w:r w:rsidR="00F70BD2" w:rsidRPr="00025EAE">
        <w:rPr>
          <w:rFonts w:asciiTheme="minorHAnsi" w:hAnsiTheme="minorHAnsi" w:cstheme="minorHAnsi"/>
          <w:b/>
          <w:bCs/>
          <w:i/>
          <w:iCs/>
          <w:lang w:val="en-GB"/>
        </w:rPr>
        <w:t>genitalium</w:t>
      </w:r>
      <w:proofErr w:type="spellEnd"/>
      <w:r w:rsidR="00F70BD2" w:rsidRPr="00025EAE">
        <w:rPr>
          <w:rFonts w:asciiTheme="minorHAnsi" w:hAnsiTheme="minorHAnsi" w:cstheme="minorHAnsi"/>
          <w:b/>
          <w:bCs/>
          <w:lang w:val="en-GB"/>
        </w:rPr>
        <w:t xml:space="preserve"> (MG) infection</w:t>
      </w:r>
      <w:r w:rsidR="00F82D57" w:rsidRPr="00025EAE">
        <w:rPr>
          <w:rFonts w:asciiTheme="minorHAnsi" w:hAnsiTheme="minorHAnsi" w:cstheme="minorHAnsi"/>
          <w:b/>
          <w:bCs/>
          <w:lang w:val="en-GB"/>
        </w:rPr>
        <w:t>?</w:t>
      </w:r>
    </w:p>
    <w:p w14:paraId="01C04DAB" w14:textId="7E55B58B" w:rsidR="00F70BD2" w:rsidRPr="00025EAE" w:rsidRDefault="009B3630" w:rsidP="00F70BD2">
      <w:pPr>
        <w:pStyle w:val="NormalWeb"/>
        <w:jc w:val="both"/>
        <w:rPr>
          <w:rFonts w:asciiTheme="minorHAnsi" w:hAnsiTheme="minorHAnsi" w:cstheme="minorHAnsi"/>
          <w:lang w:val="en-GB"/>
        </w:rPr>
      </w:pPr>
      <w:r w:rsidRPr="00025EAE">
        <w:rPr>
          <w:rFonts w:asciiTheme="minorHAnsi" w:hAnsiTheme="minorHAnsi" w:cstheme="minorHAnsi"/>
          <w:lang w:val="en-GB"/>
        </w:rPr>
        <w:t xml:space="preserve">MG has been associated with cervicitis and pelvic inflammatory disease. </w:t>
      </w:r>
      <w:r w:rsidR="00F70BD2" w:rsidRPr="00025EAE">
        <w:rPr>
          <w:rFonts w:asciiTheme="minorHAnsi" w:hAnsiTheme="minorHAnsi" w:cstheme="minorHAnsi"/>
          <w:lang w:val="en-GB"/>
        </w:rPr>
        <w:t xml:space="preserve">A cross-sectional study investigated 1318 women attending a sexual health clinic in Melbourne. A questionnaire </w:t>
      </w:r>
      <w:r w:rsidR="00FD2A8C" w:rsidRPr="00025EAE">
        <w:rPr>
          <w:rFonts w:asciiTheme="minorHAnsi" w:hAnsiTheme="minorHAnsi" w:cstheme="minorHAnsi"/>
          <w:lang w:val="en-GB"/>
        </w:rPr>
        <w:t>gathered</w:t>
      </w:r>
      <w:r w:rsidR="00F70BD2" w:rsidRPr="00025EAE">
        <w:rPr>
          <w:rFonts w:asciiTheme="minorHAnsi" w:hAnsiTheme="minorHAnsi" w:cstheme="minorHAnsi"/>
          <w:lang w:val="en-GB"/>
        </w:rPr>
        <w:t xml:space="preserve"> data on genital symptoms and sexual practices. Asymptomatic women (n=198) </w:t>
      </w:r>
      <w:r w:rsidR="0003326A" w:rsidRPr="00025EAE">
        <w:rPr>
          <w:rFonts w:asciiTheme="minorHAnsi" w:hAnsiTheme="minorHAnsi" w:cstheme="minorHAnsi"/>
          <w:lang w:val="en-GB"/>
        </w:rPr>
        <w:t>self-</w:t>
      </w:r>
      <w:r w:rsidR="00F70BD2" w:rsidRPr="00025EAE">
        <w:rPr>
          <w:rFonts w:asciiTheme="minorHAnsi" w:hAnsiTheme="minorHAnsi" w:cstheme="minorHAnsi"/>
          <w:lang w:val="en-GB"/>
        </w:rPr>
        <w:t xml:space="preserve">collected first-void urine for </w:t>
      </w:r>
      <w:r w:rsidR="00F70BD2" w:rsidRPr="00025EAE">
        <w:rPr>
          <w:rFonts w:asciiTheme="minorHAnsi" w:hAnsiTheme="minorHAnsi" w:cstheme="minorHAnsi"/>
          <w:i/>
          <w:iCs/>
          <w:lang w:val="en-GB"/>
        </w:rPr>
        <w:t>Chlamydia trachomatis</w:t>
      </w:r>
      <w:r w:rsidR="00F70BD2" w:rsidRPr="00025EAE">
        <w:rPr>
          <w:rFonts w:asciiTheme="minorHAnsi" w:hAnsiTheme="minorHAnsi" w:cstheme="minorHAnsi"/>
          <w:lang w:val="en-GB"/>
        </w:rPr>
        <w:t xml:space="preserve"> (CT) and </w:t>
      </w:r>
      <w:r w:rsidR="00F70BD2" w:rsidRPr="00025EAE">
        <w:rPr>
          <w:rFonts w:asciiTheme="minorHAnsi" w:hAnsiTheme="minorHAnsi" w:cstheme="minorHAnsi"/>
          <w:i/>
          <w:iCs/>
          <w:lang w:val="en-GB"/>
        </w:rPr>
        <w:t>Neisseria gonorrhoeae</w:t>
      </w:r>
      <w:r w:rsidR="00F70BD2" w:rsidRPr="00025EAE">
        <w:rPr>
          <w:rFonts w:asciiTheme="minorHAnsi" w:hAnsiTheme="minorHAnsi" w:cstheme="minorHAnsi"/>
          <w:lang w:val="en-GB"/>
        </w:rPr>
        <w:t xml:space="preserve"> (NG), and a vaginal swab for MG. A clinician </w:t>
      </w:r>
      <w:r w:rsidR="0003326A" w:rsidRPr="00025EAE">
        <w:rPr>
          <w:rFonts w:asciiTheme="minorHAnsi" w:hAnsiTheme="minorHAnsi" w:cstheme="minorHAnsi"/>
          <w:lang w:val="en-GB"/>
        </w:rPr>
        <w:t xml:space="preserve">examined symptomatic women (n=1120) and </w:t>
      </w:r>
      <w:r w:rsidR="00F70BD2" w:rsidRPr="00025EAE">
        <w:rPr>
          <w:rFonts w:asciiTheme="minorHAnsi" w:hAnsiTheme="minorHAnsi" w:cstheme="minorHAnsi"/>
          <w:lang w:val="en-GB"/>
        </w:rPr>
        <w:t xml:space="preserve">collected a cervicovaginal swab for CT, NG, and MG. </w:t>
      </w:r>
      <w:r w:rsidR="002743B4" w:rsidRPr="00025EAE">
        <w:rPr>
          <w:rFonts w:asciiTheme="minorHAnsi" w:hAnsiTheme="minorHAnsi" w:cstheme="minorHAnsi"/>
          <w:lang w:val="en-GB"/>
        </w:rPr>
        <w:t xml:space="preserve">Overall, </w:t>
      </w:r>
      <w:r w:rsidR="00F70BD2" w:rsidRPr="00025EAE">
        <w:rPr>
          <w:rFonts w:asciiTheme="minorHAnsi" w:hAnsiTheme="minorHAnsi" w:cstheme="minorHAnsi"/>
          <w:lang w:val="en-GB"/>
        </w:rPr>
        <w:t>6%</w:t>
      </w:r>
      <w:r w:rsidR="0003326A" w:rsidRPr="00025EAE">
        <w:rPr>
          <w:rFonts w:asciiTheme="minorHAnsi" w:hAnsiTheme="minorHAnsi" w:cstheme="minorHAnsi"/>
          <w:lang w:val="en-GB"/>
        </w:rPr>
        <w:t xml:space="preserve"> of women </w:t>
      </w:r>
      <w:r w:rsidR="00F70BD2" w:rsidRPr="00025EAE">
        <w:rPr>
          <w:rFonts w:asciiTheme="minorHAnsi" w:hAnsiTheme="minorHAnsi" w:cstheme="minorHAnsi"/>
          <w:lang w:val="en-GB"/>
        </w:rPr>
        <w:t>had MG</w:t>
      </w:r>
      <w:r w:rsidR="0003326A" w:rsidRPr="00025EAE">
        <w:rPr>
          <w:rFonts w:asciiTheme="minorHAnsi" w:hAnsiTheme="minorHAnsi" w:cstheme="minorHAnsi"/>
          <w:lang w:val="en-GB"/>
        </w:rPr>
        <w:t xml:space="preserve"> detected</w:t>
      </w:r>
      <w:r w:rsidR="00F70BD2" w:rsidRPr="00025EAE">
        <w:rPr>
          <w:rFonts w:asciiTheme="minorHAnsi" w:hAnsiTheme="minorHAnsi" w:cstheme="minorHAnsi"/>
          <w:lang w:val="en-GB"/>
        </w:rPr>
        <w:t xml:space="preserve">, with no difference according to </w:t>
      </w:r>
      <w:r w:rsidR="00FD2A8C" w:rsidRPr="00025EAE">
        <w:rPr>
          <w:rFonts w:asciiTheme="minorHAnsi" w:hAnsiTheme="minorHAnsi" w:cstheme="minorHAnsi"/>
          <w:lang w:val="en-GB"/>
        </w:rPr>
        <w:t xml:space="preserve">presence or absence of </w:t>
      </w:r>
      <w:r w:rsidR="00F70BD2" w:rsidRPr="00025EAE">
        <w:rPr>
          <w:rFonts w:asciiTheme="minorHAnsi" w:hAnsiTheme="minorHAnsi" w:cstheme="minorHAnsi"/>
          <w:lang w:val="en-GB"/>
        </w:rPr>
        <w:t xml:space="preserve">symptoms. MG was associated with </w:t>
      </w:r>
      <w:r w:rsidRPr="00025EAE">
        <w:rPr>
          <w:rFonts w:asciiTheme="minorHAnsi" w:hAnsiTheme="minorHAnsi" w:cstheme="minorHAnsi"/>
          <w:lang w:val="en-GB"/>
        </w:rPr>
        <w:t xml:space="preserve">mucopurulent </w:t>
      </w:r>
      <w:r w:rsidR="00F70BD2" w:rsidRPr="00025EAE">
        <w:rPr>
          <w:rFonts w:asciiTheme="minorHAnsi" w:hAnsiTheme="minorHAnsi" w:cstheme="minorHAnsi"/>
          <w:lang w:val="en-GB"/>
        </w:rPr>
        <w:t>cervicitis in women without bacterial vaginosis (</w:t>
      </w:r>
      <w:r w:rsidR="00FD2A8C" w:rsidRPr="00025EAE">
        <w:rPr>
          <w:rFonts w:asciiTheme="minorHAnsi" w:hAnsiTheme="minorHAnsi" w:cstheme="minorHAnsi"/>
          <w:lang w:val="en-GB"/>
        </w:rPr>
        <w:t>adjusted</w:t>
      </w:r>
      <w:r w:rsidR="002743B4" w:rsidRPr="00025EAE">
        <w:rPr>
          <w:rFonts w:asciiTheme="minorHAnsi" w:hAnsiTheme="minorHAnsi" w:cstheme="minorHAnsi"/>
          <w:lang w:val="en-GB"/>
        </w:rPr>
        <w:t xml:space="preserve"> odds ratio </w:t>
      </w:r>
      <w:r w:rsidR="00F70BD2" w:rsidRPr="00025EAE">
        <w:rPr>
          <w:rFonts w:asciiTheme="minorHAnsi" w:hAnsiTheme="minorHAnsi" w:cstheme="minorHAnsi"/>
          <w:lang w:val="en-GB"/>
        </w:rPr>
        <w:t>4.38, 95% CI 1.69-11.33</w:t>
      </w:r>
      <w:r w:rsidR="00F82D57" w:rsidRPr="00025EAE">
        <w:rPr>
          <w:rFonts w:asciiTheme="minorHAnsi" w:hAnsiTheme="minorHAnsi" w:cstheme="minorHAnsi"/>
          <w:lang w:val="en-GB"/>
        </w:rPr>
        <w:t>; p=0.002</w:t>
      </w:r>
      <w:r w:rsidR="00F70BD2" w:rsidRPr="00025EAE">
        <w:rPr>
          <w:rFonts w:asciiTheme="minorHAnsi" w:hAnsiTheme="minorHAnsi" w:cstheme="minorHAnsi"/>
          <w:lang w:val="en-GB"/>
        </w:rPr>
        <w:t>)</w:t>
      </w:r>
      <w:r w:rsidRPr="00025EAE">
        <w:rPr>
          <w:rFonts w:asciiTheme="minorHAnsi" w:hAnsiTheme="minorHAnsi" w:cstheme="minorHAnsi"/>
          <w:lang w:val="en-GB"/>
        </w:rPr>
        <w:t>, but</w:t>
      </w:r>
      <w:r w:rsidR="00FD2A8C" w:rsidRPr="00025EAE">
        <w:rPr>
          <w:rFonts w:asciiTheme="minorHAnsi" w:hAnsiTheme="minorHAnsi" w:cstheme="minorHAnsi"/>
          <w:lang w:val="en-GB"/>
        </w:rPr>
        <w:t xml:space="preserve"> </w:t>
      </w:r>
      <w:r w:rsidRPr="00025EAE">
        <w:rPr>
          <w:rFonts w:asciiTheme="minorHAnsi" w:hAnsiTheme="minorHAnsi" w:cstheme="minorHAnsi"/>
          <w:lang w:val="en-GB"/>
        </w:rPr>
        <w:t>not</w:t>
      </w:r>
      <w:r w:rsidR="00F82D57" w:rsidRPr="00025EAE">
        <w:rPr>
          <w:rFonts w:asciiTheme="minorHAnsi" w:hAnsiTheme="minorHAnsi" w:cstheme="minorHAnsi"/>
          <w:lang w:val="en-GB"/>
        </w:rPr>
        <w:t xml:space="preserve"> with any other clinical signs. </w:t>
      </w:r>
      <w:r w:rsidR="008B273D" w:rsidRPr="00025EAE">
        <w:rPr>
          <w:rFonts w:asciiTheme="minorHAnsi" w:hAnsiTheme="minorHAnsi" w:cstheme="minorHAnsi"/>
          <w:lang w:val="en-GB"/>
        </w:rPr>
        <w:t xml:space="preserve">Nearly half of MG infections showed macrolide resistance. </w:t>
      </w:r>
      <w:r w:rsidRPr="00025EAE">
        <w:rPr>
          <w:rFonts w:asciiTheme="minorHAnsi" w:hAnsiTheme="minorHAnsi" w:cstheme="minorHAnsi"/>
          <w:lang w:val="en-GB"/>
        </w:rPr>
        <w:t>More data are needed to inform MG testing practices in women with common genitourinary symptoms.</w:t>
      </w:r>
    </w:p>
    <w:p w14:paraId="2E578600" w14:textId="6401F9A5" w:rsidR="00FD2A8C" w:rsidRPr="00025EAE" w:rsidRDefault="00F70BD2" w:rsidP="00F10546">
      <w:pPr>
        <w:pStyle w:val="NormalWeb"/>
        <w:jc w:val="both"/>
        <w:rPr>
          <w:rFonts w:asciiTheme="minorHAnsi" w:hAnsiTheme="minorHAnsi" w:cstheme="minorHAnsi"/>
          <w:lang w:val="en-GB"/>
        </w:rPr>
      </w:pPr>
      <w:r w:rsidRPr="00025EAE">
        <w:rPr>
          <w:rFonts w:asciiTheme="minorHAnsi" w:hAnsiTheme="minorHAnsi" w:cstheme="minorHAnsi"/>
          <w:lang w:val="en-GB"/>
        </w:rPr>
        <w:t>Word count: 1</w:t>
      </w:r>
      <w:r w:rsidR="008B273D" w:rsidRPr="00025EAE">
        <w:rPr>
          <w:rFonts w:asciiTheme="minorHAnsi" w:hAnsiTheme="minorHAnsi" w:cstheme="minorHAnsi"/>
          <w:lang w:val="en-GB"/>
        </w:rPr>
        <w:t>34</w:t>
      </w:r>
    </w:p>
    <w:p w14:paraId="44E70297" w14:textId="77777777" w:rsidR="00025EAE" w:rsidRPr="00025EAE" w:rsidRDefault="00025EAE" w:rsidP="00025EAE">
      <w:pPr>
        <w:jc w:val="both"/>
        <w:rPr>
          <w:rFonts w:eastAsia="Times New Roman" w:cstheme="minorHAnsi"/>
          <w:color w:val="212121"/>
          <w:shd w:val="clear" w:color="auto" w:fill="FFFFFF"/>
          <w:lang w:val="en-GB" w:eastAsia="es-MX"/>
        </w:rPr>
      </w:pPr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 xml:space="preserve">Latimer RL, </w:t>
      </w:r>
      <w:proofErr w:type="spellStart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>Vodstrcil</w:t>
      </w:r>
      <w:proofErr w:type="spellEnd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 xml:space="preserve"> LA, Plummer EL, et al. The clinical indications for testing women for </w:t>
      </w:r>
      <w:r w:rsidRPr="00025EAE">
        <w:rPr>
          <w:rFonts w:eastAsia="Times New Roman" w:cstheme="minorHAnsi"/>
          <w:i/>
          <w:iCs/>
          <w:color w:val="212121"/>
          <w:shd w:val="clear" w:color="auto" w:fill="FFFFFF"/>
          <w:lang w:val="en-GB" w:eastAsia="es-MX"/>
        </w:rPr>
        <w:t xml:space="preserve">Mycoplasma </w:t>
      </w:r>
      <w:proofErr w:type="spellStart"/>
      <w:r w:rsidRPr="00025EAE">
        <w:rPr>
          <w:rFonts w:eastAsia="Times New Roman" w:cstheme="minorHAnsi"/>
          <w:i/>
          <w:iCs/>
          <w:color w:val="212121"/>
          <w:shd w:val="clear" w:color="auto" w:fill="FFFFFF"/>
          <w:lang w:val="en-GB" w:eastAsia="es-MX"/>
        </w:rPr>
        <w:t>genitalium</w:t>
      </w:r>
      <w:proofErr w:type="spellEnd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 xml:space="preserve">. </w:t>
      </w:r>
      <w:r w:rsidRPr="00025EAE">
        <w:rPr>
          <w:rFonts w:eastAsia="Times New Roman" w:cstheme="minorHAnsi"/>
          <w:i/>
          <w:iCs/>
          <w:color w:val="212121"/>
          <w:shd w:val="clear" w:color="auto" w:fill="FFFFFF"/>
          <w:lang w:val="en-GB" w:eastAsia="es-MX"/>
        </w:rPr>
        <w:t xml:space="preserve">Sex </w:t>
      </w:r>
      <w:proofErr w:type="spellStart"/>
      <w:r w:rsidRPr="00025EAE">
        <w:rPr>
          <w:rFonts w:eastAsia="Times New Roman" w:cstheme="minorHAnsi"/>
          <w:i/>
          <w:iCs/>
          <w:color w:val="212121"/>
          <w:shd w:val="clear" w:color="auto" w:fill="FFFFFF"/>
          <w:lang w:val="en-GB" w:eastAsia="es-MX"/>
        </w:rPr>
        <w:t>Transm</w:t>
      </w:r>
      <w:proofErr w:type="spellEnd"/>
      <w:r w:rsidRPr="00025EAE">
        <w:rPr>
          <w:rFonts w:eastAsia="Times New Roman" w:cstheme="minorHAnsi"/>
          <w:i/>
          <w:iCs/>
          <w:color w:val="212121"/>
          <w:shd w:val="clear" w:color="auto" w:fill="FFFFFF"/>
          <w:lang w:val="en-GB" w:eastAsia="es-MX"/>
        </w:rPr>
        <w:t xml:space="preserve"> Infect</w:t>
      </w:r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 xml:space="preserve">. 2022 </w:t>
      </w:r>
      <w:proofErr w:type="gramStart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>Jun;</w:t>
      </w:r>
      <w:r w:rsidRPr="00025EAE">
        <w:rPr>
          <w:rFonts w:eastAsia="Times New Roman" w:cstheme="minorHAnsi"/>
          <w:b/>
          <w:bCs/>
          <w:color w:val="212121"/>
          <w:shd w:val="clear" w:color="auto" w:fill="FFFFFF"/>
          <w:lang w:val="en-GB" w:eastAsia="es-MX"/>
        </w:rPr>
        <w:t>98</w:t>
      </w:r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>:277</w:t>
      </w:r>
      <w:proofErr w:type="gramEnd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 xml:space="preserve">-285. </w:t>
      </w:r>
      <w:proofErr w:type="spellStart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>doi</w:t>
      </w:r>
      <w:proofErr w:type="spellEnd"/>
      <w:r w:rsidRPr="00025EAE">
        <w:rPr>
          <w:rFonts w:eastAsia="Times New Roman" w:cstheme="minorHAnsi"/>
          <w:color w:val="212121"/>
          <w:shd w:val="clear" w:color="auto" w:fill="FFFFFF"/>
          <w:lang w:val="en-GB" w:eastAsia="es-MX"/>
        </w:rPr>
        <w:t>: 10.1136/sextrans-2020-054818.</w:t>
      </w:r>
    </w:p>
    <w:p w14:paraId="7140FA39" w14:textId="1F2DA63A" w:rsidR="00E75323" w:rsidRPr="00025EAE" w:rsidRDefault="00E75323" w:rsidP="00F10546">
      <w:pPr>
        <w:pStyle w:val="NormalWeb"/>
        <w:jc w:val="both"/>
        <w:rPr>
          <w:rFonts w:asciiTheme="minorHAnsi" w:hAnsiTheme="minorHAnsi" w:cstheme="minorHAnsi"/>
          <w:lang w:val="en-GB"/>
        </w:rPr>
      </w:pPr>
    </w:p>
    <w:p w14:paraId="5C9CB552" w14:textId="356D7248" w:rsidR="00E75323" w:rsidRPr="00025EAE" w:rsidRDefault="00E75323" w:rsidP="00E75323">
      <w:pPr>
        <w:pStyle w:val="NormalWeb"/>
        <w:jc w:val="both"/>
        <w:rPr>
          <w:rFonts w:asciiTheme="minorHAnsi" w:hAnsiTheme="minorHAnsi" w:cstheme="minorHAnsi"/>
          <w:b/>
          <w:bCs/>
          <w:lang w:val="en-GB"/>
        </w:rPr>
      </w:pPr>
      <w:r w:rsidRPr="00025EAE">
        <w:rPr>
          <w:rFonts w:asciiTheme="minorHAnsi" w:hAnsiTheme="minorHAnsi" w:cstheme="minorHAnsi"/>
          <w:b/>
          <w:bCs/>
          <w:lang w:val="en-GB"/>
        </w:rPr>
        <w:t xml:space="preserve">HPV </w:t>
      </w:r>
      <w:r w:rsidR="00C7167B" w:rsidRPr="00025EAE">
        <w:rPr>
          <w:rFonts w:asciiTheme="minorHAnsi" w:hAnsiTheme="minorHAnsi" w:cstheme="minorHAnsi"/>
          <w:b/>
          <w:bCs/>
          <w:lang w:val="en-GB"/>
        </w:rPr>
        <w:t xml:space="preserve">infection may be </w:t>
      </w:r>
      <w:r w:rsidRPr="00025EAE">
        <w:rPr>
          <w:rFonts w:asciiTheme="minorHAnsi" w:hAnsiTheme="minorHAnsi" w:cstheme="minorHAnsi"/>
          <w:b/>
          <w:bCs/>
          <w:lang w:val="en-GB"/>
        </w:rPr>
        <w:t>associated with sudden sensorineural hearing loss</w:t>
      </w:r>
    </w:p>
    <w:p w14:paraId="0F9F2230" w14:textId="7F752E9C" w:rsidR="00E75323" w:rsidRPr="00025EAE" w:rsidRDefault="00E75323" w:rsidP="00F10546">
      <w:pPr>
        <w:pStyle w:val="NormalWeb"/>
        <w:jc w:val="both"/>
        <w:rPr>
          <w:rFonts w:asciiTheme="minorHAnsi" w:hAnsiTheme="minorHAnsi" w:cstheme="minorHAnsi"/>
          <w:lang w:val="en-GB"/>
        </w:rPr>
      </w:pPr>
      <w:r w:rsidRPr="00025EAE">
        <w:rPr>
          <w:rFonts w:asciiTheme="minorHAnsi" w:hAnsiTheme="minorHAnsi" w:cstheme="minorHAnsi"/>
          <w:lang w:val="en-GB"/>
        </w:rPr>
        <w:lastRenderedPageBreak/>
        <w:t xml:space="preserve">Viral infection is one possible cause of sudden sensorineural hearing loss (SSNHL). </w:t>
      </w:r>
      <w:r w:rsidR="00F37124" w:rsidRPr="00025EAE">
        <w:rPr>
          <w:rFonts w:asciiTheme="minorHAnsi" w:hAnsiTheme="minorHAnsi" w:cstheme="minorHAnsi"/>
          <w:lang w:val="en-GB"/>
        </w:rPr>
        <w:t>A</w:t>
      </w:r>
      <w:r w:rsidRPr="00025EAE">
        <w:rPr>
          <w:rFonts w:asciiTheme="minorHAnsi" w:hAnsiTheme="minorHAnsi" w:cstheme="minorHAnsi"/>
          <w:lang w:val="en-GB"/>
        </w:rPr>
        <w:t xml:space="preserve"> Taiwanese nationwide population-based cohort study</w:t>
      </w:r>
      <w:r w:rsidR="00F37124" w:rsidRPr="00025EAE">
        <w:rPr>
          <w:rFonts w:asciiTheme="minorHAnsi" w:hAnsiTheme="minorHAnsi" w:cstheme="minorHAnsi"/>
          <w:lang w:val="en-GB"/>
        </w:rPr>
        <w:t xml:space="preserve"> </w:t>
      </w:r>
      <w:r w:rsidRPr="00025EAE">
        <w:rPr>
          <w:rFonts w:asciiTheme="minorHAnsi" w:hAnsiTheme="minorHAnsi" w:cstheme="minorHAnsi"/>
          <w:lang w:val="en-GB"/>
        </w:rPr>
        <w:t xml:space="preserve">examined </w:t>
      </w:r>
      <w:r w:rsidR="005130EF" w:rsidRPr="00025EAE">
        <w:rPr>
          <w:rFonts w:asciiTheme="minorHAnsi" w:hAnsiTheme="minorHAnsi" w:cstheme="minorHAnsi"/>
          <w:lang w:val="en-GB"/>
        </w:rPr>
        <w:t>the occurrence of</w:t>
      </w:r>
      <w:r w:rsidRPr="00025EAE">
        <w:rPr>
          <w:rFonts w:asciiTheme="minorHAnsi" w:hAnsiTheme="minorHAnsi" w:cstheme="minorHAnsi"/>
          <w:lang w:val="en-GB"/>
        </w:rPr>
        <w:t xml:space="preserve"> SSNHL</w:t>
      </w:r>
      <w:r w:rsidR="005130EF" w:rsidRPr="00025EAE">
        <w:rPr>
          <w:rFonts w:asciiTheme="minorHAnsi" w:hAnsiTheme="minorHAnsi" w:cstheme="minorHAnsi"/>
          <w:lang w:val="en-GB"/>
        </w:rPr>
        <w:t xml:space="preserve"> among </w:t>
      </w:r>
      <w:r w:rsidRPr="00025EAE">
        <w:rPr>
          <w:rFonts w:asciiTheme="minorHAnsi" w:hAnsiTheme="minorHAnsi" w:cstheme="minorHAnsi"/>
          <w:lang w:val="en-GB"/>
        </w:rPr>
        <w:t>49</w:t>
      </w:r>
      <w:r w:rsidR="00F37124" w:rsidRPr="00025EAE">
        <w:rPr>
          <w:rFonts w:asciiTheme="minorHAnsi" w:hAnsiTheme="minorHAnsi" w:cstheme="minorHAnsi"/>
          <w:lang w:val="en-GB"/>
        </w:rPr>
        <w:t>,</w:t>
      </w:r>
      <w:r w:rsidRPr="00025EAE">
        <w:rPr>
          <w:rFonts w:asciiTheme="minorHAnsi" w:hAnsiTheme="minorHAnsi" w:cstheme="minorHAnsi"/>
          <w:lang w:val="en-GB"/>
        </w:rPr>
        <w:t xml:space="preserve">247 individuals with HPV infection </w:t>
      </w:r>
      <w:r w:rsidR="005130EF" w:rsidRPr="00025EAE">
        <w:rPr>
          <w:rFonts w:asciiTheme="minorHAnsi" w:hAnsiTheme="minorHAnsi" w:cstheme="minorHAnsi"/>
          <w:lang w:val="en-GB"/>
        </w:rPr>
        <w:t xml:space="preserve">who </w:t>
      </w:r>
      <w:r w:rsidRPr="00025EAE">
        <w:rPr>
          <w:rFonts w:asciiTheme="minorHAnsi" w:hAnsiTheme="minorHAnsi" w:cstheme="minorHAnsi"/>
          <w:lang w:val="en-GB"/>
        </w:rPr>
        <w:t>were matched 1:2 by age, sex, index year, and comorbidities to a control group of 98</w:t>
      </w:r>
      <w:r w:rsidR="00F37124" w:rsidRPr="00025EAE">
        <w:rPr>
          <w:rFonts w:asciiTheme="minorHAnsi" w:hAnsiTheme="minorHAnsi" w:cstheme="minorHAnsi"/>
          <w:lang w:val="en-GB"/>
        </w:rPr>
        <w:t>,</w:t>
      </w:r>
      <w:r w:rsidRPr="00025EAE">
        <w:rPr>
          <w:rFonts w:asciiTheme="minorHAnsi" w:hAnsiTheme="minorHAnsi" w:cstheme="minorHAnsi"/>
          <w:lang w:val="en-GB"/>
        </w:rPr>
        <w:t>494 individuals without any HPV history. After controlling for demographics, comorbidities, and medications, individuals with HPV infection had a 37% greater risk of developing SSNHL compared to controls (adjusted hazard ratio [</w:t>
      </w:r>
      <w:proofErr w:type="spellStart"/>
      <w:r w:rsidRPr="00025EAE">
        <w:rPr>
          <w:rFonts w:asciiTheme="minorHAnsi" w:hAnsiTheme="minorHAnsi" w:cstheme="minorHAnsi"/>
          <w:lang w:val="en-GB"/>
        </w:rPr>
        <w:t>aHR</w:t>
      </w:r>
      <w:proofErr w:type="spellEnd"/>
      <w:r w:rsidRPr="00025EAE">
        <w:rPr>
          <w:rFonts w:asciiTheme="minorHAnsi" w:hAnsiTheme="minorHAnsi" w:cstheme="minorHAnsi"/>
          <w:lang w:val="en-GB"/>
        </w:rPr>
        <w:t>]: 1.37; 95%</w:t>
      </w:r>
      <w:r w:rsidR="00F37124" w:rsidRPr="00025EAE">
        <w:rPr>
          <w:rFonts w:asciiTheme="minorHAnsi" w:hAnsiTheme="minorHAnsi" w:cstheme="minorHAnsi"/>
          <w:lang w:val="en-GB"/>
        </w:rPr>
        <w:t xml:space="preserve"> </w:t>
      </w:r>
      <w:r w:rsidRPr="00025EAE">
        <w:rPr>
          <w:rFonts w:asciiTheme="minorHAnsi" w:hAnsiTheme="minorHAnsi" w:cstheme="minorHAnsi"/>
          <w:lang w:val="en-GB"/>
        </w:rPr>
        <w:t>CI</w:t>
      </w:r>
      <w:r w:rsidR="00F37124" w:rsidRPr="00025EAE">
        <w:rPr>
          <w:rFonts w:asciiTheme="minorHAnsi" w:hAnsiTheme="minorHAnsi" w:cstheme="minorHAnsi"/>
          <w:lang w:val="en-GB"/>
        </w:rPr>
        <w:t xml:space="preserve"> </w:t>
      </w:r>
      <w:r w:rsidRPr="00025EAE">
        <w:rPr>
          <w:rFonts w:asciiTheme="minorHAnsi" w:hAnsiTheme="minorHAnsi" w:cstheme="minorHAnsi"/>
          <w:lang w:val="en-GB"/>
        </w:rPr>
        <w:t>1.07-1.74). Individuals with HPV who also had a previous diagnosis of cerebrovascular disease were at greater risk compared to those without cerebrovascular disease (</w:t>
      </w:r>
      <w:proofErr w:type="spellStart"/>
      <w:r w:rsidRPr="00025EAE">
        <w:rPr>
          <w:rFonts w:asciiTheme="minorHAnsi" w:hAnsiTheme="minorHAnsi" w:cstheme="minorHAnsi"/>
          <w:lang w:val="en-GB"/>
        </w:rPr>
        <w:t>aHR</w:t>
      </w:r>
      <w:proofErr w:type="spellEnd"/>
      <w:r w:rsidRPr="00025EAE">
        <w:rPr>
          <w:rFonts w:asciiTheme="minorHAnsi" w:hAnsiTheme="minorHAnsi" w:cstheme="minorHAnsi"/>
          <w:lang w:val="en-GB"/>
        </w:rPr>
        <w:t xml:space="preserve">: 4.59 vs. 1.27, </w:t>
      </w:r>
      <w:r w:rsidRPr="00025EAE">
        <w:rPr>
          <w:rFonts w:asciiTheme="minorHAnsi" w:hAnsiTheme="minorHAnsi" w:cstheme="minorHAnsi"/>
          <w:i/>
          <w:iCs/>
          <w:lang w:val="en-GB"/>
        </w:rPr>
        <w:t>p</w:t>
      </w:r>
      <w:r w:rsidRPr="00025EAE">
        <w:rPr>
          <w:rFonts w:asciiTheme="minorHAnsi" w:hAnsiTheme="minorHAnsi" w:cstheme="minorHAnsi"/>
          <w:lang w:val="en-GB"/>
        </w:rPr>
        <w:t xml:space="preserve">=0.024). Further research is needed to </w:t>
      </w:r>
      <w:r w:rsidR="00F37124" w:rsidRPr="00025EAE">
        <w:rPr>
          <w:rFonts w:asciiTheme="minorHAnsi" w:hAnsiTheme="minorHAnsi" w:cstheme="minorHAnsi"/>
          <w:lang w:val="en-GB"/>
        </w:rPr>
        <w:t xml:space="preserve">confirm the observation and </w:t>
      </w:r>
      <w:r w:rsidRPr="00025EAE">
        <w:rPr>
          <w:rFonts w:asciiTheme="minorHAnsi" w:hAnsiTheme="minorHAnsi" w:cstheme="minorHAnsi"/>
          <w:lang w:val="en-GB"/>
        </w:rPr>
        <w:t>understand the causal mechanism</w:t>
      </w:r>
      <w:r w:rsidR="00F37124" w:rsidRPr="00025EAE">
        <w:rPr>
          <w:rFonts w:asciiTheme="minorHAnsi" w:hAnsiTheme="minorHAnsi" w:cstheme="minorHAnsi"/>
          <w:lang w:val="en-GB"/>
        </w:rPr>
        <w:t>s</w:t>
      </w:r>
      <w:r w:rsidRPr="00025EAE">
        <w:rPr>
          <w:rFonts w:asciiTheme="minorHAnsi" w:hAnsiTheme="minorHAnsi" w:cstheme="minorHAnsi"/>
          <w:lang w:val="en-GB"/>
        </w:rPr>
        <w:t xml:space="preserve">. </w:t>
      </w:r>
    </w:p>
    <w:p w14:paraId="766CF07F" w14:textId="13860DDA" w:rsidR="00E75323" w:rsidRPr="00025EAE" w:rsidRDefault="00E75323" w:rsidP="00F10546">
      <w:pPr>
        <w:pStyle w:val="NormalWeb"/>
        <w:jc w:val="both"/>
        <w:rPr>
          <w:rFonts w:asciiTheme="minorHAnsi" w:hAnsiTheme="minorHAnsi" w:cstheme="minorHAnsi"/>
          <w:lang w:val="en-GB"/>
        </w:rPr>
      </w:pPr>
      <w:r w:rsidRPr="00025EAE">
        <w:rPr>
          <w:rFonts w:asciiTheme="minorHAnsi" w:hAnsiTheme="minorHAnsi" w:cstheme="minorHAnsi"/>
          <w:lang w:val="en-GB"/>
        </w:rPr>
        <w:t>Word count: 12</w:t>
      </w:r>
      <w:r w:rsidR="00E82900" w:rsidRPr="00025EAE">
        <w:rPr>
          <w:rFonts w:asciiTheme="minorHAnsi" w:hAnsiTheme="minorHAnsi" w:cstheme="minorHAnsi"/>
          <w:lang w:val="en-GB"/>
        </w:rPr>
        <w:t>1</w:t>
      </w:r>
    </w:p>
    <w:p w14:paraId="75F830AA" w14:textId="4405C1D4" w:rsidR="00E75323" w:rsidRPr="00025EAE" w:rsidRDefault="004E5AE0" w:rsidP="00025EAE">
      <w:pPr>
        <w:pStyle w:val="NormalWeb"/>
        <w:jc w:val="both"/>
        <w:rPr>
          <w:rFonts w:asciiTheme="minorHAnsi" w:hAnsiTheme="minorHAnsi" w:cstheme="minorHAnsi"/>
          <w:shd w:val="clear" w:color="auto" w:fill="FFFFFF"/>
          <w:lang w:val="en-GB"/>
        </w:rPr>
      </w:pPr>
      <w:r w:rsidRPr="00025EAE">
        <w:rPr>
          <w:rFonts w:asciiTheme="minorHAnsi" w:hAnsiTheme="minorHAnsi" w:cstheme="minorHAnsi"/>
          <w:shd w:val="clear" w:color="auto" w:fill="FFFFFF"/>
          <w:lang w:val="en-GB"/>
        </w:rPr>
        <w:t xml:space="preserve">Chen TY, Chang R, Hung YM, et al. Association between human papillomavirus infection and sudden sensorineural hearing loss: A nationwide population-based cohort study. </w:t>
      </w:r>
      <w:proofErr w:type="spellStart"/>
      <w:r w:rsidRPr="00025EAE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EClinicalMedicine</w:t>
      </w:r>
      <w:proofErr w:type="spellEnd"/>
      <w:r w:rsidRPr="00025EAE">
        <w:rPr>
          <w:rFonts w:asciiTheme="minorHAnsi" w:hAnsiTheme="minorHAnsi" w:cstheme="minorHAnsi"/>
          <w:shd w:val="clear" w:color="auto" w:fill="FFFFFF"/>
          <w:lang w:val="en-GB"/>
        </w:rPr>
        <w:t xml:space="preserve">. </w:t>
      </w:r>
      <w:proofErr w:type="gramStart"/>
      <w:r w:rsidRPr="00025EAE">
        <w:rPr>
          <w:rFonts w:asciiTheme="minorHAnsi" w:hAnsiTheme="minorHAnsi" w:cstheme="minorHAnsi"/>
          <w:shd w:val="clear" w:color="auto" w:fill="FFFFFF"/>
          <w:lang w:val="en-GB"/>
        </w:rPr>
        <w:t>2022;</w:t>
      </w:r>
      <w:r w:rsidRPr="00025EAE">
        <w:rPr>
          <w:rFonts w:asciiTheme="minorHAnsi" w:hAnsiTheme="minorHAnsi" w:cstheme="minorHAnsi"/>
          <w:b/>
          <w:bCs/>
          <w:shd w:val="clear" w:color="auto" w:fill="FFFFFF"/>
          <w:lang w:val="en-GB"/>
        </w:rPr>
        <w:t>47</w:t>
      </w:r>
      <w:r w:rsidRPr="00025EAE">
        <w:rPr>
          <w:rFonts w:asciiTheme="minorHAnsi" w:hAnsiTheme="minorHAnsi" w:cstheme="minorHAnsi"/>
          <w:shd w:val="clear" w:color="auto" w:fill="FFFFFF"/>
          <w:lang w:val="en-GB"/>
        </w:rPr>
        <w:t>:101402</w:t>
      </w:r>
      <w:proofErr w:type="gramEnd"/>
      <w:r w:rsidRPr="00025EAE">
        <w:rPr>
          <w:rFonts w:asciiTheme="minorHAnsi" w:hAnsiTheme="minorHAnsi" w:cstheme="minorHAnsi"/>
          <w:shd w:val="clear" w:color="auto" w:fill="FFFFFF"/>
          <w:lang w:val="en-GB"/>
        </w:rPr>
        <w:t>.</w:t>
      </w:r>
    </w:p>
    <w:p w14:paraId="6A120147" w14:textId="77777777" w:rsidR="00682FAC" w:rsidRPr="00025EAE" w:rsidRDefault="00682FAC">
      <w:pPr>
        <w:rPr>
          <w:rFonts w:cstheme="minorHAnsi"/>
          <w:lang w:val="en-GB"/>
        </w:rPr>
      </w:pPr>
    </w:p>
    <w:sectPr w:rsidR="00682FAC" w:rsidRPr="00025E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44FE2"/>
    <w:multiLevelType w:val="hybridMultilevel"/>
    <w:tmpl w:val="3796E052"/>
    <w:lvl w:ilvl="0" w:tplc="67FA8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32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C8"/>
    <w:rsid w:val="000248AB"/>
    <w:rsid w:val="00025EAE"/>
    <w:rsid w:val="0002706B"/>
    <w:rsid w:val="0003326A"/>
    <w:rsid w:val="0004359D"/>
    <w:rsid w:val="0006185E"/>
    <w:rsid w:val="00096D1E"/>
    <w:rsid w:val="00097DF3"/>
    <w:rsid w:val="000A2E18"/>
    <w:rsid w:val="000E6583"/>
    <w:rsid w:val="000F39DF"/>
    <w:rsid w:val="00100A95"/>
    <w:rsid w:val="0011401C"/>
    <w:rsid w:val="00115722"/>
    <w:rsid w:val="00124C19"/>
    <w:rsid w:val="00126226"/>
    <w:rsid w:val="00132A79"/>
    <w:rsid w:val="00150F4A"/>
    <w:rsid w:val="0016027F"/>
    <w:rsid w:val="001B265A"/>
    <w:rsid w:val="001C5381"/>
    <w:rsid w:val="001F6F2B"/>
    <w:rsid w:val="002117EE"/>
    <w:rsid w:val="00231CF5"/>
    <w:rsid w:val="002325DD"/>
    <w:rsid w:val="00250D92"/>
    <w:rsid w:val="002678ED"/>
    <w:rsid w:val="002743B4"/>
    <w:rsid w:val="002775A9"/>
    <w:rsid w:val="00283965"/>
    <w:rsid w:val="002A43C6"/>
    <w:rsid w:val="002D25A3"/>
    <w:rsid w:val="002E4750"/>
    <w:rsid w:val="00302309"/>
    <w:rsid w:val="00314509"/>
    <w:rsid w:val="003162A4"/>
    <w:rsid w:val="00335EA6"/>
    <w:rsid w:val="003B5314"/>
    <w:rsid w:val="003D0024"/>
    <w:rsid w:val="003D0A1C"/>
    <w:rsid w:val="003F20DA"/>
    <w:rsid w:val="004076A8"/>
    <w:rsid w:val="00411152"/>
    <w:rsid w:val="004666AF"/>
    <w:rsid w:val="004E0335"/>
    <w:rsid w:val="004E5AE0"/>
    <w:rsid w:val="005130EF"/>
    <w:rsid w:val="00513996"/>
    <w:rsid w:val="00524ED2"/>
    <w:rsid w:val="005737AA"/>
    <w:rsid w:val="00587612"/>
    <w:rsid w:val="00593A86"/>
    <w:rsid w:val="005B0926"/>
    <w:rsid w:val="005C153D"/>
    <w:rsid w:val="005D44EF"/>
    <w:rsid w:val="00602BDE"/>
    <w:rsid w:val="006141D4"/>
    <w:rsid w:val="00625324"/>
    <w:rsid w:val="0063338E"/>
    <w:rsid w:val="00646A27"/>
    <w:rsid w:val="00682FAC"/>
    <w:rsid w:val="006A47FE"/>
    <w:rsid w:val="006B0538"/>
    <w:rsid w:val="006D6539"/>
    <w:rsid w:val="007045DE"/>
    <w:rsid w:val="0075472A"/>
    <w:rsid w:val="00755AEB"/>
    <w:rsid w:val="00770746"/>
    <w:rsid w:val="0079624E"/>
    <w:rsid w:val="007A2DDD"/>
    <w:rsid w:val="007E0BF3"/>
    <w:rsid w:val="007E121E"/>
    <w:rsid w:val="00810ED7"/>
    <w:rsid w:val="00817AF8"/>
    <w:rsid w:val="008263C4"/>
    <w:rsid w:val="008B273D"/>
    <w:rsid w:val="008C186D"/>
    <w:rsid w:val="008E0636"/>
    <w:rsid w:val="009060AE"/>
    <w:rsid w:val="009176CE"/>
    <w:rsid w:val="00966AC6"/>
    <w:rsid w:val="009B3630"/>
    <w:rsid w:val="009B3B02"/>
    <w:rsid w:val="009F1AE1"/>
    <w:rsid w:val="00A1754C"/>
    <w:rsid w:val="00A3422B"/>
    <w:rsid w:val="00A4271A"/>
    <w:rsid w:val="00A503BB"/>
    <w:rsid w:val="00A65795"/>
    <w:rsid w:val="00A6601B"/>
    <w:rsid w:val="00AD04DF"/>
    <w:rsid w:val="00AE100F"/>
    <w:rsid w:val="00B55FB5"/>
    <w:rsid w:val="00B608E9"/>
    <w:rsid w:val="00B6387A"/>
    <w:rsid w:val="00B91FDC"/>
    <w:rsid w:val="00BC2C18"/>
    <w:rsid w:val="00BD6401"/>
    <w:rsid w:val="00C06A35"/>
    <w:rsid w:val="00C21660"/>
    <w:rsid w:val="00C55276"/>
    <w:rsid w:val="00C56996"/>
    <w:rsid w:val="00C7167B"/>
    <w:rsid w:val="00C725A6"/>
    <w:rsid w:val="00C93074"/>
    <w:rsid w:val="00CA1DC7"/>
    <w:rsid w:val="00CF425B"/>
    <w:rsid w:val="00D0777C"/>
    <w:rsid w:val="00D123DB"/>
    <w:rsid w:val="00D32ED1"/>
    <w:rsid w:val="00D37530"/>
    <w:rsid w:val="00D46CCE"/>
    <w:rsid w:val="00D572AF"/>
    <w:rsid w:val="00D94917"/>
    <w:rsid w:val="00DB1FEA"/>
    <w:rsid w:val="00DC233B"/>
    <w:rsid w:val="00DD5AC8"/>
    <w:rsid w:val="00DF026A"/>
    <w:rsid w:val="00E262C1"/>
    <w:rsid w:val="00E3750D"/>
    <w:rsid w:val="00E45952"/>
    <w:rsid w:val="00E54B71"/>
    <w:rsid w:val="00E60C1C"/>
    <w:rsid w:val="00E72770"/>
    <w:rsid w:val="00E72E1B"/>
    <w:rsid w:val="00E7382E"/>
    <w:rsid w:val="00E75323"/>
    <w:rsid w:val="00E82900"/>
    <w:rsid w:val="00EC1F5F"/>
    <w:rsid w:val="00EE781D"/>
    <w:rsid w:val="00EF55BB"/>
    <w:rsid w:val="00EF7223"/>
    <w:rsid w:val="00F02B65"/>
    <w:rsid w:val="00F10546"/>
    <w:rsid w:val="00F12040"/>
    <w:rsid w:val="00F124E6"/>
    <w:rsid w:val="00F37124"/>
    <w:rsid w:val="00F42AC2"/>
    <w:rsid w:val="00F45D39"/>
    <w:rsid w:val="00F70BD2"/>
    <w:rsid w:val="00F82D57"/>
    <w:rsid w:val="00FA4B3D"/>
    <w:rsid w:val="00FB042B"/>
    <w:rsid w:val="00FC20BE"/>
    <w:rsid w:val="00FD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14B13B"/>
  <w15:chartTrackingRefBased/>
  <w15:docId w15:val="{3C6DB41D-DD08-6649-B752-5BC0D3AA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5A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Revision">
    <w:name w:val="Revision"/>
    <w:hidden/>
    <w:uiPriority w:val="99"/>
    <w:semiHidden/>
    <w:rsid w:val="006D6539"/>
  </w:style>
  <w:style w:type="paragraph" w:styleId="ListParagraph">
    <w:name w:val="List Paragraph"/>
    <w:basedOn w:val="Normal"/>
    <w:uiPriority w:val="34"/>
    <w:qFormat/>
    <w:rsid w:val="006D65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1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C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C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9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0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Arias</dc:creator>
  <cp:keywords/>
  <dc:description/>
  <cp:lastModifiedBy>Giovanni Villa</cp:lastModifiedBy>
  <cp:revision>3</cp:revision>
  <dcterms:created xsi:type="dcterms:W3CDTF">2022-08-26T00:01:00Z</dcterms:created>
  <dcterms:modified xsi:type="dcterms:W3CDTF">2022-08-26T00:05:00Z</dcterms:modified>
</cp:coreProperties>
</file>