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49BE3" w14:textId="3D34B5FF" w:rsidR="009659B1" w:rsidRPr="00C3757E" w:rsidRDefault="00097E3C" w:rsidP="00DA445C">
      <w:pPr>
        <w:spacing w:after="200" w:line="360" w:lineRule="auto"/>
        <w:rPr>
          <w:rFonts w:ascii="Times New Roman" w:hAnsi="Times New Roman" w:cs="Times New Roman"/>
          <w:b/>
          <w:bCs/>
        </w:rPr>
      </w:pPr>
      <w:r w:rsidRPr="00C3757E">
        <w:rPr>
          <w:rFonts w:ascii="Times New Roman" w:hAnsi="Times New Roman" w:cs="Times New Roman"/>
          <w:b/>
          <w:bCs/>
        </w:rPr>
        <w:t xml:space="preserve">In Flanders Fields Museum: </w:t>
      </w:r>
      <w:r w:rsidR="00027582" w:rsidRPr="00C3757E">
        <w:rPr>
          <w:rFonts w:ascii="Times New Roman" w:hAnsi="Times New Roman" w:cs="Times New Roman"/>
          <w:b/>
          <w:bCs/>
        </w:rPr>
        <w:t>A Crude History of the Great War</w:t>
      </w:r>
    </w:p>
    <w:p w14:paraId="5205C357" w14:textId="360AEF62" w:rsidR="00061005" w:rsidRPr="00C3757E" w:rsidRDefault="00061005" w:rsidP="00DA445C">
      <w:pPr>
        <w:spacing w:after="200" w:line="360" w:lineRule="auto"/>
        <w:rPr>
          <w:rFonts w:ascii="Times New Roman" w:hAnsi="Times New Roman" w:cs="Times New Roman"/>
        </w:rPr>
      </w:pPr>
      <w:r w:rsidRPr="00C3757E">
        <w:rPr>
          <w:rFonts w:ascii="Times New Roman" w:hAnsi="Times New Roman" w:cs="Times New Roman"/>
        </w:rPr>
        <w:t>Jonathan Conlin</w:t>
      </w:r>
    </w:p>
    <w:p w14:paraId="122F025B" w14:textId="3D46864A" w:rsidR="00027582" w:rsidRPr="00C3757E" w:rsidRDefault="00027582" w:rsidP="00DA445C">
      <w:pPr>
        <w:spacing w:after="200" w:line="360" w:lineRule="auto"/>
        <w:rPr>
          <w:rFonts w:ascii="Times New Roman" w:hAnsi="Times New Roman" w:cs="Times New Roman"/>
        </w:rPr>
      </w:pPr>
    </w:p>
    <w:p w14:paraId="559A98E0" w14:textId="290DB355" w:rsidR="00A7791C" w:rsidRPr="00C3757E" w:rsidRDefault="00A7791C" w:rsidP="00C3757E">
      <w:pPr>
        <w:spacing w:after="160" w:line="360" w:lineRule="auto"/>
        <w:rPr>
          <w:rFonts w:ascii="Times New Roman" w:hAnsi="Times New Roman" w:cs="Times New Roman"/>
        </w:rPr>
      </w:pPr>
      <w:r w:rsidRPr="00C3757E">
        <w:rPr>
          <w:rFonts w:ascii="Times New Roman" w:hAnsi="Times New Roman" w:cs="Times New Roman"/>
        </w:rPr>
        <w:t xml:space="preserve">The story of oil and the Great War is usually told as one in which governments suddenly became aware of the importance of </w:t>
      </w:r>
      <w:r w:rsidR="008528F8" w:rsidRPr="00C3757E">
        <w:rPr>
          <w:rFonts w:ascii="Times New Roman" w:hAnsi="Times New Roman" w:cs="Times New Roman"/>
        </w:rPr>
        <w:t>oil to modern warfare</w:t>
      </w:r>
      <w:r w:rsidRPr="00C3757E">
        <w:rPr>
          <w:rFonts w:ascii="Times New Roman" w:hAnsi="Times New Roman" w:cs="Times New Roman"/>
        </w:rPr>
        <w:t xml:space="preserve"> and responded by seeking to take control of </w:t>
      </w:r>
      <w:r w:rsidR="008B7930" w:rsidRPr="00C3757E">
        <w:rPr>
          <w:rFonts w:ascii="Times New Roman" w:hAnsi="Times New Roman" w:cs="Times New Roman"/>
        </w:rPr>
        <w:t xml:space="preserve">private </w:t>
      </w:r>
      <w:r w:rsidRPr="00C3757E">
        <w:rPr>
          <w:rFonts w:ascii="Times New Roman" w:hAnsi="Times New Roman" w:cs="Times New Roman"/>
        </w:rPr>
        <w:t>oil companies and oil-bearing lands across the globe</w:t>
      </w:r>
      <w:r w:rsidR="00636A0C">
        <w:rPr>
          <w:rFonts w:ascii="Times New Roman" w:hAnsi="Times New Roman" w:cs="Times New Roman"/>
        </w:rPr>
        <w:t>—</w:t>
      </w:r>
      <w:r w:rsidR="008B7930" w:rsidRPr="00C3757E">
        <w:rPr>
          <w:rFonts w:ascii="Times New Roman" w:hAnsi="Times New Roman" w:cs="Times New Roman"/>
        </w:rPr>
        <w:t>particularly lands in the Middle East</w:t>
      </w:r>
      <w:r w:rsidRPr="00C3757E">
        <w:rPr>
          <w:rFonts w:ascii="Times New Roman" w:hAnsi="Times New Roman" w:cs="Times New Roman"/>
        </w:rPr>
        <w:t xml:space="preserve">. </w:t>
      </w:r>
      <w:r w:rsidR="00C3757E" w:rsidRPr="00C3757E">
        <w:rPr>
          <w:rFonts w:ascii="Times New Roman" w:hAnsi="Times New Roman" w:cs="Times New Roman"/>
        </w:rPr>
        <w:t>‘</w:t>
      </w:r>
      <w:r w:rsidR="008B7930" w:rsidRPr="00C3757E">
        <w:rPr>
          <w:rFonts w:ascii="Times New Roman" w:hAnsi="Times New Roman" w:cs="Times New Roman"/>
        </w:rPr>
        <w:t>Control of oil</w:t>
      </w:r>
      <w:r w:rsidR="00C3757E" w:rsidRPr="00C3757E">
        <w:rPr>
          <w:rFonts w:ascii="Times New Roman" w:hAnsi="Times New Roman" w:cs="Times New Roman"/>
        </w:rPr>
        <w:t>’</w:t>
      </w:r>
      <w:r w:rsidR="008B7930" w:rsidRPr="00C3757E">
        <w:rPr>
          <w:rFonts w:ascii="Times New Roman" w:hAnsi="Times New Roman" w:cs="Times New Roman"/>
        </w:rPr>
        <w:t xml:space="preserve"> was achieved by imperialist expansion abroad and by greater economic regulation at home: partial nationalisation of private companies, for example.</w:t>
      </w:r>
      <w:r w:rsidR="008528F8" w:rsidRPr="00C3757E">
        <w:rPr>
          <w:rFonts w:ascii="Times New Roman" w:hAnsi="Times New Roman" w:cs="Times New Roman"/>
        </w:rPr>
        <w:t xml:space="preserve"> If only it had been that simple. </w:t>
      </w:r>
    </w:p>
    <w:p w14:paraId="6815AAEA" w14:textId="472A8590" w:rsidR="00DA1FC9" w:rsidRPr="00C3757E" w:rsidRDefault="008528F8" w:rsidP="00C3757E">
      <w:pPr>
        <w:spacing w:after="160" w:line="360" w:lineRule="auto"/>
        <w:ind w:firstLine="720"/>
        <w:rPr>
          <w:rFonts w:ascii="Times New Roman" w:hAnsi="Times New Roman" w:cs="Times New Roman"/>
        </w:rPr>
      </w:pPr>
      <w:r w:rsidRPr="00C3757E">
        <w:rPr>
          <w:rFonts w:ascii="Times New Roman" w:hAnsi="Times New Roman" w:cs="Times New Roman"/>
        </w:rPr>
        <w:t>Few individuals get to smell crude oil as it gushes from the ground. The same might be said of the many products it contains</w:t>
      </w:r>
      <w:r w:rsidR="00636A0C">
        <w:rPr>
          <w:rFonts w:ascii="Times New Roman" w:hAnsi="Times New Roman" w:cs="Times New Roman"/>
        </w:rPr>
        <w:t>,</w:t>
      </w:r>
      <w:r w:rsidR="00636A0C" w:rsidRPr="00C3757E">
        <w:rPr>
          <w:rFonts w:ascii="Times New Roman" w:hAnsi="Times New Roman" w:cs="Times New Roman"/>
        </w:rPr>
        <w:t xml:space="preserve"> </w:t>
      </w:r>
      <w:r w:rsidRPr="00C3757E">
        <w:rPr>
          <w:rFonts w:ascii="Times New Roman" w:hAnsi="Times New Roman" w:cs="Times New Roman"/>
        </w:rPr>
        <w:t xml:space="preserve">from heavy ship oil through gasoline to kerosene, and on to lubricants and the chemicals behind everything from film to TNT. </w:t>
      </w:r>
      <w:r w:rsidR="00CA32FD" w:rsidRPr="00C3757E">
        <w:rPr>
          <w:rFonts w:ascii="Times New Roman" w:hAnsi="Times New Roman" w:cs="Times New Roman"/>
        </w:rPr>
        <w:t xml:space="preserve">These products powered the dreadnoughts which bottled up the German </w:t>
      </w:r>
      <w:r w:rsidR="00636A0C">
        <w:rPr>
          <w:rFonts w:ascii="Times New Roman" w:hAnsi="Times New Roman" w:cs="Times New Roman"/>
        </w:rPr>
        <w:t>n</w:t>
      </w:r>
      <w:r w:rsidR="00636A0C" w:rsidRPr="00C3757E">
        <w:rPr>
          <w:rFonts w:ascii="Times New Roman" w:hAnsi="Times New Roman" w:cs="Times New Roman"/>
        </w:rPr>
        <w:t xml:space="preserve">avy </w:t>
      </w:r>
      <w:r w:rsidR="0025212B" w:rsidRPr="00C3757E">
        <w:rPr>
          <w:rFonts w:ascii="Times New Roman" w:hAnsi="Times New Roman" w:cs="Times New Roman"/>
        </w:rPr>
        <w:t>and shelled Gallipoli</w:t>
      </w:r>
      <w:r w:rsidR="00CA32FD" w:rsidRPr="00C3757E">
        <w:rPr>
          <w:rFonts w:ascii="Times New Roman" w:hAnsi="Times New Roman" w:cs="Times New Roman"/>
        </w:rPr>
        <w:t xml:space="preserve">. They </w:t>
      </w:r>
      <w:r w:rsidR="0025212B" w:rsidRPr="00C3757E">
        <w:rPr>
          <w:rFonts w:ascii="Times New Roman" w:hAnsi="Times New Roman" w:cs="Times New Roman"/>
        </w:rPr>
        <w:t>powered</w:t>
      </w:r>
      <w:r w:rsidR="00CA32FD" w:rsidRPr="00C3757E">
        <w:rPr>
          <w:rFonts w:ascii="Times New Roman" w:hAnsi="Times New Roman" w:cs="Times New Roman"/>
        </w:rPr>
        <w:t xml:space="preserve"> the trucks and cars carrying men and materiel to the front lines</w:t>
      </w:r>
      <w:r w:rsidR="0025212B" w:rsidRPr="00C3757E">
        <w:rPr>
          <w:rFonts w:ascii="Times New Roman" w:hAnsi="Times New Roman" w:cs="Times New Roman"/>
        </w:rPr>
        <w:t xml:space="preserve"> in France and Belgium</w:t>
      </w:r>
      <w:r w:rsidR="00CA32FD" w:rsidRPr="00C3757E">
        <w:rPr>
          <w:rFonts w:ascii="Times New Roman" w:hAnsi="Times New Roman" w:cs="Times New Roman"/>
        </w:rPr>
        <w:t xml:space="preserve">, as well as the planes and shells which flew </w:t>
      </w:r>
      <w:r w:rsidR="0025212B" w:rsidRPr="00C3757E">
        <w:rPr>
          <w:rFonts w:ascii="Times New Roman" w:hAnsi="Times New Roman" w:cs="Times New Roman"/>
        </w:rPr>
        <w:t>high above the battlefield</w:t>
      </w:r>
      <w:r w:rsidR="00CA32FD" w:rsidRPr="00C3757E">
        <w:rPr>
          <w:rFonts w:ascii="Times New Roman" w:hAnsi="Times New Roman" w:cs="Times New Roman"/>
        </w:rPr>
        <w:t xml:space="preserve">. </w:t>
      </w:r>
      <w:r w:rsidR="00636A0C" w:rsidRPr="00C3757E">
        <w:rPr>
          <w:rFonts w:ascii="Times New Roman" w:hAnsi="Times New Roman" w:cs="Times New Roman"/>
        </w:rPr>
        <w:t>Finally,</w:t>
      </w:r>
      <w:r w:rsidR="0025212B" w:rsidRPr="00C3757E">
        <w:rPr>
          <w:rFonts w:ascii="Times New Roman" w:hAnsi="Times New Roman" w:cs="Times New Roman"/>
        </w:rPr>
        <w:t xml:space="preserve"> they powered new weapons</w:t>
      </w:r>
      <w:r w:rsidR="00636A0C">
        <w:rPr>
          <w:rFonts w:ascii="Times New Roman" w:hAnsi="Times New Roman" w:cs="Times New Roman"/>
        </w:rPr>
        <w:t>—</w:t>
      </w:r>
      <w:r w:rsidR="0025212B" w:rsidRPr="00C3757E">
        <w:rPr>
          <w:rFonts w:ascii="Times New Roman" w:hAnsi="Times New Roman" w:cs="Times New Roman"/>
        </w:rPr>
        <w:t>notably tanks</w:t>
      </w:r>
      <w:r w:rsidR="00636A0C">
        <w:rPr>
          <w:rFonts w:ascii="Times New Roman" w:hAnsi="Times New Roman" w:cs="Times New Roman"/>
        </w:rPr>
        <w:t>—</w:t>
      </w:r>
      <w:r w:rsidR="0025212B" w:rsidRPr="00C3757E">
        <w:rPr>
          <w:rFonts w:ascii="Times New Roman" w:hAnsi="Times New Roman" w:cs="Times New Roman"/>
        </w:rPr>
        <w:t xml:space="preserve">which many hoped would end the stalemate of trench warfare. </w:t>
      </w:r>
      <w:r w:rsidR="00B647C8" w:rsidRPr="00C3757E">
        <w:rPr>
          <w:rFonts w:ascii="Times New Roman" w:hAnsi="Times New Roman" w:cs="Times New Roman"/>
        </w:rPr>
        <w:t xml:space="preserve">The resulting </w:t>
      </w:r>
      <w:r w:rsidR="00C01CC4" w:rsidRPr="00C3757E">
        <w:rPr>
          <w:rFonts w:ascii="Times New Roman" w:hAnsi="Times New Roman" w:cs="Times New Roman"/>
        </w:rPr>
        <w:t>oil</w:t>
      </w:r>
      <w:r w:rsidR="00636A0C">
        <w:rPr>
          <w:rFonts w:ascii="Times New Roman" w:hAnsi="Times New Roman" w:cs="Times New Roman"/>
        </w:rPr>
        <w:t xml:space="preserve"> </w:t>
      </w:r>
      <w:r w:rsidR="00C01CC4" w:rsidRPr="00C3757E">
        <w:rPr>
          <w:rFonts w:ascii="Times New Roman" w:hAnsi="Times New Roman" w:cs="Times New Roman"/>
        </w:rPr>
        <w:t>dependen</w:t>
      </w:r>
      <w:r w:rsidR="00B647C8" w:rsidRPr="00C3757E">
        <w:rPr>
          <w:rFonts w:ascii="Times New Roman" w:hAnsi="Times New Roman" w:cs="Times New Roman"/>
        </w:rPr>
        <w:t xml:space="preserve">ce </w:t>
      </w:r>
      <w:r w:rsidR="00C01CC4" w:rsidRPr="00C3757E">
        <w:rPr>
          <w:rFonts w:ascii="Times New Roman" w:hAnsi="Times New Roman" w:cs="Times New Roman"/>
        </w:rPr>
        <w:t>certainly came</w:t>
      </w:r>
      <w:r w:rsidRPr="00C3757E">
        <w:rPr>
          <w:rFonts w:ascii="Times New Roman" w:hAnsi="Times New Roman" w:cs="Times New Roman"/>
        </w:rPr>
        <w:t xml:space="preserve"> into focus during the Great W</w:t>
      </w:r>
      <w:r w:rsidR="00C01CC4" w:rsidRPr="00C3757E">
        <w:rPr>
          <w:rFonts w:ascii="Times New Roman" w:hAnsi="Times New Roman" w:cs="Times New Roman"/>
        </w:rPr>
        <w:t xml:space="preserve">ar, but it was not a </w:t>
      </w:r>
      <w:r w:rsidR="00C3757E" w:rsidRPr="00C3757E">
        <w:rPr>
          <w:rFonts w:ascii="Times New Roman" w:hAnsi="Times New Roman" w:cs="Times New Roman"/>
        </w:rPr>
        <w:t>‘</w:t>
      </w:r>
      <w:r w:rsidR="00C01CC4" w:rsidRPr="00C3757E">
        <w:rPr>
          <w:rFonts w:ascii="Times New Roman" w:hAnsi="Times New Roman" w:cs="Times New Roman"/>
        </w:rPr>
        <w:t>lightbulb moment</w:t>
      </w:r>
      <w:r w:rsidR="00C3757E" w:rsidRPr="00C3757E">
        <w:rPr>
          <w:rFonts w:ascii="Times New Roman" w:hAnsi="Times New Roman" w:cs="Times New Roman"/>
        </w:rPr>
        <w:t>’</w:t>
      </w:r>
      <w:r w:rsidR="00C01CC4" w:rsidRPr="00C3757E">
        <w:rPr>
          <w:rFonts w:ascii="Times New Roman" w:hAnsi="Times New Roman" w:cs="Times New Roman"/>
        </w:rPr>
        <w:t xml:space="preserve">. </w:t>
      </w:r>
    </w:p>
    <w:p w14:paraId="259E1EE9" w14:textId="6B18BE3E" w:rsidR="00DE6680" w:rsidRPr="00C3757E" w:rsidRDefault="0011286E" w:rsidP="00C3757E">
      <w:pPr>
        <w:spacing w:after="160" w:line="360" w:lineRule="auto"/>
        <w:ind w:firstLine="720"/>
        <w:rPr>
          <w:rFonts w:ascii="Times New Roman" w:hAnsi="Times New Roman" w:cs="Times New Roman"/>
        </w:rPr>
      </w:pPr>
      <w:r w:rsidRPr="00C3757E">
        <w:rPr>
          <w:rFonts w:ascii="Times New Roman" w:hAnsi="Times New Roman" w:cs="Times New Roman"/>
        </w:rPr>
        <w:t>F</w:t>
      </w:r>
      <w:r w:rsidR="00C01CC4" w:rsidRPr="00C3757E">
        <w:rPr>
          <w:rFonts w:ascii="Times New Roman" w:hAnsi="Times New Roman" w:cs="Times New Roman"/>
        </w:rPr>
        <w:t>ar from feeling in command, statesmen and diplomats felt uneasy</w:t>
      </w:r>
      <w:r w:rsidR="00B647C8" w:rsidRPr="00C3757E">
        <w:rPr>
          <w:rFonts w:ascii="Times New Roman" w:hAnsi="Times New Roman" w:cs="Times New Roman"/>
        </w:rPr>
        <w:t>.</w:t>
      </w:r>
      <w:r w:rsidR="00C01CC4" w:rsidRPr="00C3757E">
        <w:rPr>
          <w:rFonts w:ascii="Times New Roman" w:hAnsi="Times New Roman" w:cs="Times New Roman"/>
        </w:rPr>
        <w:t xml:space="preserve"> </w:t>
      </w:r>
      <w:r w:rsidR="00B647C8" w:rsidRPr="00C3757E">
        <w:rPr>
          <w:rFonts w:ascii="Times New Roman" w:hAnsi="Times New Roman" w:cs="Times New Roman"/>
        </w:rPr>
        <w:t xml:space="preserve">The </w:t>
      </w:r>
      <w:r w:rsidR="00D060FE" w:rsidRPr="00C3757E">
        <w:rPr>
          <w:rFonts w:ascii="Times New Roman" w:hAnsi="Times New Roman" w:cs="Times New Roman"/>
        </w:rPr>
        <w:t>w</w:t>
      </w:r>
      <w:r w:rsidR="00DA1FC9" w:rsidRPr="00C3757E">
        <w:rPr>
          <w:rFonts w:ascii="Times New Roman" w:hAnsi="Times New Roman" w:cs="Times New Roman"/>
        </w:rPr>
        <w:t>ar had also seen the oil industry consolidate into a handful of large companies, each with global reach. These were the world</w:t>
      </w:r>
      <w:r w:rsidR="00C3757E" w:rsidRPr="00C3757E">
        <w:rPr>
          <w:rFonts w:ascii="Times New Roman" w:hAnsi="Times New Roman" w:cs="Times New Roman"/>
        </w:rPr>
        <w:t>’</w:t>
      </w:r>
      <w:r w:rsidR="00DA1FC9" w:rsidRPr="00C3757E">
        <w:rPr>
          <w:rFonts w:ascii="Times New Roman" w:hAnsi="Times New Roman" w:cs="Times New Roman"/>
        </w:rPr>
        <w:t xml:space="preserve">s first multi-national companies, a phenomenon familiar to us today, but a source of both </w:t>
      </w:r>
      <w:r w:rsidR="00290C3A" w:rsidRPr="00C3757E">
        <w:rPr>
          <w:rFonts w:ascii="Times New Roman" w:hAnsi="Times New Roman" w:cs="Times New Roman"/>
        </w:rPr>
        <w:t>wonder and suspicion a century ago. I</w:t>
      </w:r>
      <w:r w:rsidR="00DA1FC9" w:rsidRPr="00C3757E">
        <w:rPr>
          <w:rFonts w:ascii="Times New Roman" w:hAnsi="Times New Roman" w:cs="Times New Roman"/>
        </w:rPr>
        <w:t xml:space="preserve">t was difficult to understand how </w:t>
      </w:r>
      <w:r w:rsidR="00290C3A" w:rsidRPr="00C3757E">
        <w:rPr>
          <w:rFonts w:ascii="Times New Roman" w:hAnsi="Times New Roman" w:cs="Times New Roman"/>
        </w:rPr>
        <w:t>these companies</w:t>
      </w:r>
      <w:r w:rsidR="00C3757E" w:rsidRPr="00C3757E">
        <w:rPr>
          <w:rFonts w:ascii="Times New Roman" w:hAnsi="Times New Roman" w:cs="Times New Roman"/>
        </w:rPr>
        <w:t>’</w:t>
      </w:r>
      <w:r w:rsidR="00DA1FC9" w:rsidRPr="00C3757E">
        <w:rPr>
          <w:rFonts w:ascii="Times New Roman" w:hAnsi="Times New Roman" w:cs="Times New Roman"/>
        </w:rPr>
        <w:t xml:space="preserve"> interests </w:t>
      </w:r>
      <w:r w:rsidR="00290C3A" w:rsidRPr="00C3757E">
        <w:rPr>
          <w:rFonts w:ascii="Times New Roman" w:hAnsi="Times New Roman" w:cs="Times New Roman"/>
        </w:rPr>
        <w:t xml:space="preserve">could </w:t>
      </w:r>
      <w:r w:rsidR="00DA1FC9" w:rsidRPr="00C3757E">
        <w:rPr>
          <w:rFonts w:ascii="Times New Roman" w:hAnsi="Times New Roman" w:cs="Times New Roman"/>
        </w:rPr>
        <w:t xml:space="preserve">align with those of individual nations. Alongside the familiar </w:t>
      </w:r>
      <w:r w:rsidR="00C3757E" w:rsidRPr="00C3757E">
        <w:rPr>
          <w:rFonts w:ascii="Times New Roman" w:hAnsi="Times New Roman" w:cs="Times New Roman"/>
        </w:rPr>
        <w:t>‘</w:t>
      </w:r>
      <w:r w:rsidR="00DA1FC9" w:rsidRPr="00C3757E">
        <w:rPr>
          <w:rFonts w:ascii="Times New Roman" w:hAnsi="Times New Roman" w:cs="Times New Roman"/>
        </w:rPr>
        <w:t>Powers</w:t>
      </w:r>
      <w:r w:rsidR="00C3757E" w:rsidRPr="00C3757E">
        <w:rPr>
          <w:rFonts w:ascii="Times New Roman" w:hAnsi="Times New Roman" w:cs="Times New Roman"/>
        </w:rPr>
        <w:t>’</w:t>
      </w:r>
      <w:r w:rsidR="00DA1FC9" w:rsidRPr="00C3757E">
        <w:rPr>
          <w:rFonts w:ascii="Times New Roman" w:hAnsi="Times New Roman" w:cs="Times New Roman"/>
        </w:rPr>
        <w:t xml:space="preserve"> (Britain, France, </w:t>
      </w:r>
      <w:r w:rsidR="00B647C8" w:rsidRPr="00C3757E">
        <w:rPr>
          <w:rFonts w:ascii="Times New Roman" w:hAnsi="Times New Roman" w:cs="Times New Roman"/>
        </w:rPr>
        <w:t xml:space="preserve">Italy, </w:t>
      </w:r>
      <w:r w:rsidR="00DA1FC9" w:rsidRPr="00C3757E">
        <w:rPr>
          <w:rFonts w:ascii="Times New Roman" w:hAnsi="Times New Roman" w:cs="Times New Roman"/>
        </w:rPr>
        <w:t>the United States), oil seemed to be</w:t>
      </w:r>
      <w:r w:rsidR="00290C3A" w:rsidRPr="00C3757E">
        <w:rPr>
          <w:rFonts w:ascii="Times New Roman" w:hAnsi="Times New Roman" w:cs="Times New Roman"/>
        </w:rPr>
        <w:t xml:space="preserve">come a </w:t>
      </w:r>
      <w:r w:rsidR="00C3757E" w:rsidRPr="00C3757E">
        <w:rPr>
          <w:rFonts w:ascii="Times New Roman" w:hAnsi="Times New Roman" w:cs="Times New Roman"/>
        </w:rPr>
        <w:t>‘</w:t>
      </w:r>
      <w:r w:rsidR="00DA1FC9" w:rsidRPr="00C3757E">
        <w:rPr>
          <w:rFonts w:ascii="Times New Roman" w:hAnsi="Times New Roman" w:cs="Times New Roman"/>
        </w:rPr>
        <w:t>Power</w:t>
      </w:r>
      <w:r w:rsidR="00C3757E" w:rsidRPr="00C3757E">
        <w:rPr>
          <w:rFonts w:ascii="Times New Roman" w:hAnsi="Times New Roman" w:cs="Times New Roman"/>
        </w:rPr>
        <w:t>’</w:t>
      </w:r>
      <w:r w:rsidR="00DA1FC9" w:rsidRPr="00C3757E">
        <w:rPr>
          <w:rFonts w:ascii="Times New Roman" w:hAnsi="Times New Roman" w:cs="Times New Roman"/>
        </w:rPr>
        <w:t xml:space="preserve"> </w:t>
      </w:r>
      <w:r w:rsidR="00290C3A" w:rsidRPr="00C3757E">
        <w:rPr>
          <w:rFonts w:ascii="Times New Roman" w:hAnsi="Times New Roman" w:cs="Times New Roman"/>
        </w:rPr>
        <w:t xml:space="preserve">of its own. </w:t>
      </w:r>
    </w:p>
    <w:p w14:paraId="627223FE" w14:textId="79E917CB" w:rsidR="007555E1" w:rsidRPr="00C3757E" w:rsidRDefault="007555E1" w:rsidP="00DA445C">
      <w:pPr>
        <w:spacing w:after="200" w:line="360" w:lineRule="auto"/>
        <w:rPr>
          <w:rFonts w:ascii="Times New Roman" w:hAnsi="Times New Roman" w:cs="Times New Roman"/>
        </w:rPr>
      </w:pPr>
    </w:p>
    <w:p w14:paraId="7E42B869" w14:textId="62C43001" w:rsidR="00DF1E39" w:rsidRPr="00C3757E" w:rsidRDefault="006D1581" w:rsidP="00C3757E">
      <w:pPr>
        <w:spacing w:after="160" w:line="360" w:lineRule="auto"/>
        <w:rPr>
          <w:rFonts w:ascii="Times New Roman" w:hAnsi="Times New Roman" w:cs="Times New Roman"/>
          <w:b/>
          <w:bCs/>
        </w:rPr>
      </w:pPr>
      <w:r w:rsidRPr="00C3757E">
        <w:rPr>
          <w:rFonts w:ascii="Times New Roman" w:hAnsi="Times New Roman" w:cs="Times New Roman"/>
          <w:b/>
          <w:bCs/>
        </w:rPr>
        <w:t xml:space="preserve">From Baba Gurgur to </w:t>
      </w:r>
      <w:r w:rsidRPr="00C3757E">
        <w:rPr>
          <w:rFonts w:ascii="Times New Roman" w:hAnsi="Times New Roman" w:cs="Times New Roman"/>
          <w:b/>
          <w:bCs/>
          <w:i/>
          <w:iCs/>
        </w:rPr>
        <w:t>Bagdadbahn</w:t>
      </w:r>
    </w:p>
    <w:p w14:paraId="028CB8D7" w14:textId="13D4FD53" w:rsidR="00FB214A" w:rsidRPr="00C3757E" w:rsidRDefault="0024742B" w:rsidP="00C3757E">
      <w:pPr>
        <w:spacing w:after="160" w:line="360" w:lineRule="auto"/>
        <w:rPr>
          <w:rFonts w:ascii="Times New Roman" w:hAnsi="Times New Roman" w:cs="Times New Roman"/>
        </w:rPr>
      </w:pPr>
      <w:r w:rsidRPr="00C3757E">
        <w:rPr>
          <w:rFonts w:ascii="Times New Roman" w:hAnsi="Times New Roman" w:cs="Times New Roman"/>
        </w:rPr>
        <w:t>For centuries mankind had exploited and revered</w:t>
      </w:r>
      <w:r w:rsidR="00DA445C" w:rsidRPr="00C3757E">
        <w:rPr>
          <w:rFonts w:ascii="Times New Roman" w:hAnsi="Times New Roman" w:cs="Times New Roman"/>
        </w:rPr>
        <w:t xml:space="preserve"> the</w:t>
      </w:r>
      <w:r w:rsidRPr="00C3757E">
        <w:rPr>
          <w:rFonts w:ascii="Times New Roman" w:hAnsi="Times New Roman" w:cs="Times New Roman"/>
        </w:rPr>
        <w:t xml:space="preserve"> </w:t>
      </w:r>
      <w:r w:rsidR="00C3757E" w:rsidRPr="00C3757E">
        <w:rPr>
          <w:rFonts w:ascii="Times New Roman" w:hAnsi="Times New Roman" w:cs="Times New Roman"/>
        </w:rPr>
        <w:t>‘</w:t>
      </w:r>
      <w:r w:rsidRPr="00C3757E">
        <w:rPr>
          <w:rFonts w:ascii="Times New Roman" w:hAnsi="Times New Roman" w:cs="Times New Roman"/>
        </w:rPr>
        <w:t>eternal flames</w:t>
      </w:r>
      <w:r w:rsidR="00C3757E" w:rsidRPr="00C3757E">
        <w:rPr>
          <w:rFonts w:ascii="Times New Roman" w:hAnsi="Times New Roman" w:cs="Times New Roman"/>
        </w:rPr>
        <w:t>’</w:t>
      </w:r>
      <w:r w:rsidRPr="00C3757E">
        <w:rPr>
          <w:rFonts w:ascii="Times New Roman" w:hAnsi="Times New Roman" w:cs="Times New Roman"/>
        </w:rPr>
        <w:t xml:space="preserve"> caused by seepages of oil and gas. Baba Gurgur </w:t>
      </w:r>
      <w:r w:rsidR="007555E1" w:rsidRPr="00C3757E">
        <w:rPr>
          <w:rFonts w:ascii="Times New Roman" w:hAnsi="Times New Roman" w:cs="Times New Roman"/>
        </w:rPr>
        <w:t>(</w:t>
      </w:r>
      <w:r w:rsidR="00C3757E" w:rsidRPr="00C3757E">
        <w:rPr>
          <w:rFonts w:ascii="Times New Roman" w:hAnsi="Times New Roman" w:cs="Times New Roman"/>
        </w:rPr>
        <w:t>‘</w:t>
      </w:r>
      <w:r w:rsidR="007555E1" w:rsidRPr="00C3757E">
        <w:rPr>
          <w:rFonts w:ascii="Times New Roman" w:hAnsi="Times New Roman" w:cs="Times New Roman"/>
        </w:rPr>
        <w:t>Daddy Fire</w:t>
      </w:r>
      <w:r w:rsidR="00C3757E" w:rsidRPr="00C3757E">
        <w:rPr>
          <w:rFonts w:ascii="Times New Roman" w:hAnsi="Times New Roman" w:cs="Times New Roman"/>
        </w:rPr>
        <w:t>’</w:t>
      </w:r>
      <w:r w:rsidR="007555E1" w:rsidRPr="00C3757E">
        <w:rPr>
          <w:rFonts w:ascii="Times New Roman" w:hAnsi="Times New Roman" w:cs="Times New Roman"/>
        </w:rPr>
        <w:t xml:space="preserve">) </w:t>
      </w:r>
      <w:r w:rsidRPr="00C3757E">
        <w:rPr>
          <w:rFonts w:ascii="Times New Roman" w:hAnsi="Times New Roman" w:cs="Times New Roman"/>
        </w:rPr>
        <w:t xml:space="preserve">in Mesopotamia (Iraq) </w:t>
      </w:r>
      <w:r w:rsidR="00061005" w:rsidRPr="00C3757E">
        <w:rPr>
          <w:rFonts w:ascii="Times New Roman" w:hAnsi="Times New Roman" w:cs="Times New Roman"/>
        </w:rPr>
        <w:t>is</w:t>
      </w:r>
      <w:r w:rsidRPr="00C3757E">
        <w:rPr>
          <w:rFonts w:ascii="Times New Roman" w:hAnsi="Times New Roman" w:cs="Times New Roman"/>
        </w:rPr>
        <w:t xml:space="preserve"> one such natural curiosit</w:t>
      </w:r>
      <w:r w:rsidR="004C7707" w:rsidRPr="00C3757E">
        <w:rPr>
          <w:rFonts w:ascii="Times New Roman" w:hAnsi="Times New Roman" w:cs="Times New Roman"/>
        </w:rPr>
        <w:t>y</w:t>
      </w:r>
      <w:r w:rsidRPr="00C3757E">
        <w:rPr>
          <w:rFonts w:ascii="Times New Roman" w:hAnsi="Times New Roman" w:cs="Times New Roman"/>
        </w:rPr>
        <w:t xml:space="preserve">. </w:t>
      </w:r>
      <w:r w:rsidR="00DF1E39" w:rsidRPr="00C3757E">
        <w:rPr>
          <w:rFonts w:ascii="Times New Roman" w:hAnsi="Times New Roman" w:cs="Times New Roman"/>
        </w:rPr>
        <w:t>Rubbery p</w:t>
      </w:r>
      <w:r w:rsidRPr="00C3757E">
        <w:rPr>
          <w:rFonts w:ascii="Times New Roman" w:hAnsi="Times New Roman" w:cs="Times New Roman"/>
        </w:rPr>
        <w:t xml:space="preserve">itch was </w:t>
      </w:r>
      <w:r w:rsidR="009B3028" w:rsidRPr="00C3757E">
        <w:rPr>
          <w:rFonts w:ascii="Times New Roman" w:hAnsi="Times New Roman" w:cs="Times New Roman"/>
        </w:rPr>
        <w:t xml:space="preserve">extracted from shallow, hand-dug wells and </w:t>
      </w:r>
      <w:r w:rsidRPr="00C3757E">
        <w:rPr>
          <w:rFonts w:ascii="Times New Roman" w:hAnsi="Times New Roman" w:cs="Times New Roman"/>
        </w:rPr>
        <w:t xml:space="preserve">used to caulk </w:t>
      </w:r>
      <w:r w:rsidR="008F7677" w:rsidRPr="00C3757E">
        <w:rPr>
          <w:rFonts w:ascii="Times New Roman" w:hAnsi="Times New Roman" w:cs="Times New Roman"/>
        </w:rPr>
        <w:t>boats</w:t>
      </w:r>
      <w:r w:rsidRPr="00C3757E">
        <w:rPr>
          <w:rFonts w:ascii="Times New Roman" w:hAnsi="Times New Roman" w:cs="Times New Roman"/>
        </w:rPr>
        <w:t xml:space="preserve">. Only in </w:t>
      </w:r>
      <w:r w:rsidRPr="00C3757E">
        <w:rPr>
          <w:rFonts w:ascii="Times New Roman" w:hAnsi="Times New Roman" w:cs="Times New Roman"/>
        </w:rPr>
        <w:lastRenderedPageBreak/>
        <w:t>the second half of the nineteenth century</w:t>
      </w:r>
      <w:r w:rsidR="0029467E" w:rsidRPr="00C3757E">
        <w:rPr>
          <w:rFonts w:ascii="Times New Roman" w:hAnsi="Times New Roman" w:cs="Times New Roman"/>
        </w:rPr>
        <w:t xml:space="preserve"> were</w:t>
      </w:r>
      <w:r w:rsidRPr="00C3757E">
        <w:rPr>
          <w:rFonts w:ascii="Times New Roman" w:hAnsi="Times New Roman" w:cs="Times New Roman"/>
        </w:rPr>
        <w:t xml:space="preserve"> </w:t>
      </w:r>
      <w:r w:rsidR="0029467E" w:rsidRPr="00C3757E">
        <w:rPr>
          <w:rFonts w:ascii="Times New Roman" w:hAnsi="Times New Roman" w:cs="Times New Roman"/>
        </w:rPr>
        <w:t>deep wells</w:t>
      </w:r>
      <w:r w:rsidRPr="00C3757E">
        <w:rPr>
          <w:rFonts w:ascii="Times New Roman" w:hAnsi="Times New Roman" w:cs="Times New Roman"/>
        </w:rPr>
        <w:t xml:space="preserve"> </w:t>
      </w:r>
      <w:r w:rsidR="0029467E" w:rsidRPr="00C3757E">
        <w:rPr>
          <w:rFonts w:ascii="Times New Roman" w:hAnsi="Times New Roman" w:cs="Times New Roman"/>
        </w:rPr>
        <w:t>sunk</w:t>
      </w:r>
      <w:r w:rsidR="007555E1" w:rsidRPr="00C3757E">
        <w:rPr>
          <w:rFonts w:ascii="Times New Roman" w:hAnsi="Times New Roman" w:cs="Times New Roman"/>
        </w:rPr>
        <w:t xml:space="preserve"> in the Russian Caucasus</w:t>
      </w:r>
      <w:r w:rsidR="003E525E" w:rsidRPr="00C3757E">
        <w:rPr>
          <w:rFonts w:ascii="Times New Roman" w:hAnsi="Times New Roman" w:cs="Times New Roman"/>
        </w:rPr>
        <w:t xml:space="preserve"> (</w:t>
      </w:r>
      <w:r w:rsidR="00636A0C">
        <w:rPr>
          <w:rFonts w:ascii="Times New Roman" w:hAnsi="Times New Roman" w:cs="Times New Roman"/>
        </w:rPr>
        <w:t>F</w:t>
      </w:r>
      <w:r w:rsidR="003E525E" w:rsidRPr="00C3757E">
        <w:rPr>
          <w:rFonts w:ascii="Times New Roman" w:hAnsi="Times New Roman" w:cs="Times New Roman"/>
        </w:rPr>
        <w:t>ig</w:t>
      </w:r>
      <w:r w:rsidR="00636A0C">
        <w:rPr>
          <w:rFonts w:ascii="Times New Roman" w:hAnsi="Times New Roman" w:cs="Times New Roman"/>
        </w:rPr>
        <w:t>. 1</w:t>
      </w:r>
      <w:r w:rsidR="003E525E" w:rsidRPr="00C3757E">
        <w:rPr>
          <w:rFonts w:ascii="Times New Roman" w:hAnsi="Times New Roman" w:cs="Times New Roman"/>
        </w:rPr>
        <w:t>)</w:t>
      </w:r>
      <w:r w:rsidR="007555E1" w:rsidRPr="00C3757E">
        <w:rPr>
          <w:rFonts w:ascii="Times New Roman" w:hAnsi="Times New Roman" w:cs="Times New Roman"/>
        </w:rPr>
        <w:t xml:space="preserve"> and in Pennsylvania in the United States</w:t>
      </w:r>
      <w:r w:rsidRPr="00C3757E">
        <w:rPr>
          <w:rFonts w:ascii="Times New Roman" w:hAnsi="Times New Roman" w:cs="Times New Roman"/>
        </w:rPr>
        <w:t xml:space="preserve">, </w:t>
      </w:r>
      <w:r w:rsidR="007555E1" w:rsidRPr="00C3757E">
        <w:rPr>
          <w:rFonts w:ascii="Times New Roman" w:hAnsi="Times New Roman" w:cs="Times New Roman"/>
        </w:rPr>
        <w:t>accompanied by</w:t>
      </w:r>
      <w:r w:rsidRPr="00C3757E">
        <w:rPr>
          <w:rFonts w:ascii="Times New Roman" w:hAnsi="Times New Roman" w:cs="Times New Roman"/>
        </w:rPr>
        <w:t xml:space="preserve"> the refining of crude oil into kerosene, used for lighting. By 1910 it was clear that another oil product, gasoline, had beat steam and electricity to become the driving force behind the car</w:t>
      </w:r>
      <w:r w:rsidR="007555E1" w:rsidRPr="00C3757E">
        <w:rPr>
          <w:rFonts w:ascii="Times New Roman" w:hAnsi="Times New Roman" w:cs="Times New Roman"/>
        </w:rPr>
        <w:t xml:space="preserve">, </w:t>
      </w:r>
      <w:r w:rsidR="0081306B" w:rsidRPr="00C3757E">
        <w:rPr>
          <w:rFonts w:ascii="Times New Roman" w:hAnsi="Times New Roman" w:cs="Times New Roman"/>
        </w:rPr>
        <w:t>having already</w:t>
      </w:r>
      <w:r w:rsidR="007555E1" w:rsidRPr="00C3757E">
        <w:rPr>
          <w:rFonts w:ascii="Times New Roman" w:hAnsi="Times New Roman" w:cs="Times New Roman"/>
        </w:rPr>
        <w:t xml:space="preserve"> enabl</w:t>
      </w:r>
      <w:r w:rsidR="0081306B" w:rsidRPr="00C3757E">
        <w:rPr>
          <w:rFonts w:ascii="Times New Roman" w:hAnsi="Times New Roman" w:cs="Times New Roman"/>
        </w:rPr>
        <w:t>ed</w:t>
      </w:r>
      <w:r w:rsidR="007555E1" w:rsidRPr="00C3757E">
        <w:rPr>
          <w:rFonts w:ascii="Times New Roman" w:hAnsi="Times New Roman" w:cs="Times New Roman"/>
        </w:rPr>
        <w:t xml:space="preserve"> the Wright </w:t>
      </w:r>
      <w:r w:rsidR="00636A0C">
        <w:rPr>
          <w:rFonts w:ascii="Times New Roman" w:hAnsi="Times New Roman" w:cs="Times New Roman"/>
        </w:rPr>
        <w:t>b</w:t>
      </w:r>
      <w:r w:rsidR="00636A0C" w:rsidRPr="00C3757E">
        <w:rPr>
          <w:rFonts w:ascii="Times New Roman" w:hAnsi="Times New Roman" w:cs="Times New Roman"/>
        </w:rPr>
        <w:t xml:space="preserve">rothers </w:t>
      </w:r>
      <w:r w:rsidR="007555E1" w:rsidRPr="00C3757E">
        <w:rPr>
          <w:rFonts w:ascii="Times New Roman" w:hAnsi="Times New Roman" w:cs="Times New Roman"/>
        </w:rPr>
        <w:t xml:space="preserve">to achieve powered flight. </w:t>
      </w:r>
      <w:r w:rsidRPr="00C3757E">
        <w:rPr>
          <w:rFonts w:ascii="Times New Roman" w:hAnsi="Times New Roman" w:cs="Times New Roman"/>
        </w:rPr>
        <w:t>Two years later</w:t>
      </w:r>
      <w:r w:rsidR="00636A0C">
        <w:rPr>
          <w:rFonts w:ascii="Times New Roman" w:hAnsi="Times New Roman" w:cs="Times New Roman"/>
        </w:rPr>
        <w:t>,</w:t>
      </w:r>
      <w:r w:rsidRPr="00C3757E">
        <w:rPr>
          <w:rFonts w:ascii="Times New Roman" w:hAnsi="Times New Roman" w:cs="Times New Roman"/>
        </w:rPr>
        <w:t xml:space="preserve"> </w:t>
      </w:r>
      <w:r w:rsidR="0081306B" w:rsidRPr="00C3757E">
        <w:rPr>
          <w:rFonts w:ascii="Times New Roman" w:hAnsi="Times New Roman" w:cs="Times New Roman"/>
        </w:rPr>
        <w:t>Britain</w:t>
      </w:r>
      <w:r w:rsidR="00C3757E" w:rsidRPr="00C3757E">
        <w:rPr>
          <w:rFonts w:ascii="Times New Roman" w:hAnsi="Times New Roman" w:cs="Times New Roman"/>
        </w:rPr>
        <w:t>’</w:t>
      </w:r>
      <w:r w:rsidR="0081306B" w:rsidRPr="00C3757E">
        <w:rPr>
          <w:rFonts w:ascii="Times New Roman" w:hAnsi="Times New Roman" w:cs="Times New Roman"/>
        </w:rPr>
        <w:t>s</w:t>
      </w:r>
      <w:r w:rsidRPr="00C3757E">
        <w:rPr>
          <w:rFonts w:ascii="Times New Roman" w:hAnsi="Times New Roman" w:cs="Times New Roman"/>
        </w:rPr>
        <w:t xml:space="preserve"> Royal Navy </w:t>
      </w:r>
      <w:r w:rsidR="0081306B" w:rsidRPr="00C3757E">
        <w:rPr>
          <w:rFonts w:ascii="Times New Roman" w:hAnsi="Times New Roman" w:cs="Times New Roman"/>
        </w:rPr>
        <w:t>began</w:t>
      </w:r>
      <w:r w:rsidR="00FB14F9" w:rsidRPr="00C3757E">
        <w:rPr>
          <w:rFonts w:ascii="Times New Roman" w:hAnsi="Times New Roman" w:cs="Times New Roman"/>
        </w:rPr>
        <w:t xml:space="preserve"> the long process of </w:t>
      </w:r>
      <w:r w:rsidRPr="00C3757E">
        <w:rPr>
          <w:rFonts w:ascii="Times New Roman" w:hAnsi="Times New Roman" w:cs="Times New Roman"/>
        </w:rPr>
        <w:t>convert</w:t>
      </w:r>
      <w:r w:rsidR="00FB14F9" w:rsidRPr="00C3757E">
        <w:rPr>
          <w:rFonts w:ascii="Times New Roman" w:hAnsi="Times New Roman" w:cs="Times New Roman"/>
        </w:rPr>
        <w:t>ing</w:t>
      </w:r>
      <w:r w:rsidRPr="00C3757E">
        <w:rPr>
          <w:rFonts w:ascii="Times New Roman" w:hAnsi="Times New Roman" w:cs="Times New Roman"/>
        </w:rPr>
        <w:t xml:space="preserve"> the fleet from coal- to oil-fired engines. </w:t>
      </w:r>
    </w:p>
    <w:p w14:paraId="7A9EA714" w14:textId="41347597" w:rsidR="003C0018" w:rsidRPr="00C3757E" w:rsidRDefault="00FB14F9" w:rsidP="00C3757E">
      <w:pPr>
        <w:spacing w:after="160" w:line="360" w:lineRule="auto"/>
        <w:ind w:firstLine="720"/>
        <w:rPr>
          <w:rFonts w:ascii="Times New Roman" w:hAnsi="Times New Roman" w:cs="Times New Roman"/>
        </w:rPr>
      </w:pPr>
      <w:r w:rsidRPr="00C3757E">
        <w:rPr>
          <w:rFonts w:ascii="Times New Roman" w:hAnsi="Times New Roman" w:cs="Times New Roman"/>
        </w:rPr>
        <w:t>For Admiral Jacky Fisher</w:t>
      </w:r>
      <w:r w:rsidR="00636A0C">
        <w:rPr>
          <w:rFonts w:ascii="Times New Roman" w:hAnsi="Times New Roman" w:cs="Times New Roman"/>
        </w:rPr>
        <w:t>,</w:t>
      </w:r>
      <w:r w:rsidRPr="00C3757E">
        <w:rPr>
          <w:rFonts w:ascii="Times New Roman" w:hAnsi="Times New Roman" w:cs="Times New Roman"/>
        </w:rPr>
        <w:t xml:space="preserve"> oil</w:t>
      </w:r>
      <w:r w:rsidR="00C3757E" w:rsidRPr="00C3757E">
        <w:rPr>
          <w:rFonts w:ascii="Times New Roman" w:hAnsi="Times New Roman" w:cs="Times New Roman"/>
        </w:rPr>
        <w:t>’</w:t>
      </w:r>
      <w:r w:rsidRPr="00C3757E">
        <w:rPr>
          <w:rFonts w:ascii="Times New Roman" w:hAnsi="Times New Roman" w:cs="Times New Roman"/>
        </w:rPr>
        <w:t>s higher power-to-weight ratio offered greater endurance at sea</w:t>
      </w:r>
      <w:r w:rsidR="00FB214A" w:rsidRPr="00C3757E">
        <w:rPr>
          <w:rFonts w:ascii="Times New Roman" w:hAnsi="Times New Roman" w:cs="Times New Roman"/>
        </w:rPr>
        <w:t>, without cal</w:t>
      </w:r>
      <w:r w:rsidR="00076435" w:rsidRPr="00C3757E">
        <w:rPr>
          <w:rFonts w:ascii="Times New Roman" w:hAnsi="Times New Roman" w:cs="Times New Roman"/>
        </w:rPr>
        <w:t>ling</w:t>
      </w:r>
      <w:r w:rsidR="00FB214A" w:rsidRPr="00C3757E">
        <w:rPr>
          <w:rFonts w:ascii="Times New Roman" w:hAnsi="Times New Roman" w:cs="Times New Roman"/>
        </w:rPr>
        <w:t xml:space="preserve"> at coaling stations</w:t>
      </w:r>
      <w:r w:rsidRPr="00C3757E">
        <w:rPr>
          <w:rFonts w:ascii="Times New Roman" w:hAnsi="Times New Roman" w:cs="Times New Roman"/>
        </w:rPr>
        <w:t>.</w:t>
      </w:r>
      <w:r w:rsidR="00FB214A" w:rsidRPr="00C3757E">
        <w:rPr>
          <w:rFonts w:ascii="Times New Roman" w:hAnsi="Times New Roman" w:cs="Times New Roman"/>
        </w:rPr>
        <w:t xml:space="preserve"> </w:t>
      </w:r>
      <w:r w:rsidR="007D0CA2" w:rsidRPr="00C3757E">
        <w:rPr>
          <w:rFonts w:ascii="Times New Roman" w:hAnsi="Times New Roman" w:cs="Times New Roman"/>
        </w:rPr>
        <w:t>Like Germany, Belgium</w:t>
      </w:r>
      <w:r w:rsidR="00636A0C">
        <w:rPr>
          <w:rFonts w:ascii="Times New Roman" w:hAnsi="Times New Roman" w:cs="Times New Roman"/>
        </w:rPr>
        <w:t>,</w:t>
      </w:r>
      <w:r w:rsidR="007D0CA2" w:rsidRPr="00C3757E">
        <w:rPr>
          <w:rFonts w:ascii="Times New Roman" w:hAnsi="Times New Roman" w:cs="Times New Roman"/>
        </w:rPr>
        <w:t xml:space="preserve"> and France, </w:t>
      </w:r>
      <w:r w:rsidR="00FB214A" w:rsidRPr="00C3757E">
        <w:rPr>
          <w:rFonts w:ascii="Times New Roman" w:hAnsi="Times New Roman" w:cs="Times New Roman"/>
        </w:rPr>
        <w:t xml:space="preserve">Britain owed her wealth to an industrial revolution driven by domestic supplies of coal. </w:t>
      </w:r>
      <w:r w:rsidR="00636A0C">
        <w:rPr>
          <w:rFonts w:ascii="Times New Roman" w:hAnsi="Times New Roman" w:cs="Times New Roman"/>
        </w:rPr>
        <w:t xml:space="preserve">However, </w:t>
      </w:r>
      <w:r w:rsidR="001A0A74" w:rsidRPr="00C3757E">
        <w:rPr>
          <w:rFonts w:ascii="Times New Roman" w:hAnsi="Times New Roman" w:cs="Times New Roman"/>
        </w:rPr>
        <w:t>Europe</w:t>
      </w:r>
      <w:r w:rsidR="00C3757E" w:rsidRPr="00C3757E">
        <w:rPr>
          <w:rFonts w:ascii="Times New Roman" w:hAnsi="Times New Roman" w:cs="Times New Roman"/>
        </w:rPr>
        <w:t>’</w:t>
      </w:r>
      <w:r w:rsidR="001A0A74" w:rsidRPr="00C3757E">
        <w:rPr>
          <w:rFonts w:ascii="Times New Roman" w:hAnsi="Times New Roman" w:cs="Times New Roman"/>
        </w:rPr>
        <w:t xml:space="preserve">s only oilfields lay in </w:t>
      </w:r>
      <w:r w:rsidR="00D07F0F" w:rsidRPr="00C3757E">
        <w:rPr>
          <w:rFonts w:ascii="Times New Roman" w:hAnsi="Times New Roman" w:cs="Times New Roman"/>
        </w:rPr>
        <w:t xml:space="preserve">the Carpathian Mountain range. </w:t>
      </w:r>
      <w:r w:rsidR="00243B45" w:rsidRPr="00C3757E">
        <w:rPr>
          <w:rFonts w:ascii="Times New Roman" w:hAnsi="Times New Roman" w:cs="Times New Roman"/>
        </w:rPr>
        <w:t>In the absence of domestic supply</w:t>
      </w:r>
      <w:r w:rsidR="00636A0C">
        <w:rPr>
          <w:rFonts w:ascii="Times New Roman" w:hAnsi="Times New Roman" w:cs="Times New Roman"/>
        </w:rPr>
        <w:t>,</w:t>
      </w:r>
      <w:r w:rsidR="00243B45" w:rsidRPr="00C3757E">
        <w:rPr>
          <w:rFonts w:ascii="Times New Roman" w:hAnsi="Times New Roman" w:cs="Times New Roman"/>
        </w:rPr>
        <w:t xml:space="preserve"> oil had to be sought abroad</w:t>
      </w:r>
      <w:r w:rsidR="009D748B" w:rsidRPr="00C3757E">
        <w:rPr>
          <w:rFonts w:ascii="Times New Roman" w:hAnsi="Times New Roman" w:cs="Times New Roman"/>
        </w:rPr>
        <w:t>. In 1914</w:t>
      </w:r>
      <w:r w:rsidR="00636A0C">
        <w:rPr>
          <w:rFonts w:ascii="Times New Roman" w:hAnsi="Times New Roman" w:cs="Times New Roman"/>
        </w:rPr>
        <w:t>,</w:t>
      </w:r>
      <w:r w:rsidR="009D748B" w:rsidRPr="00C3757E">
        <w:rPr>
          <w:rFonts w:ascii="Times New Roman" w:hAnsi="Times New Roman" w:cs="Times New Roman"/>
        </w:rPr>
        <w:t xml:space="preserve"> 64% of world production came from the US, with Russia (16%) a distant second</w:t>
      </w:r>
      <w:r w:rsidR="003E0413" w:rsidRPr="00C3757E">
        <w:rPr>
          <w:rFonts w:ascii="Times New Roman" w:hAnsi="Times New Roman" w:cs="Times New Roman"/>
        </w:rPr>
        <w:t>, followed by Mexico (7%) and Romania (3%)</w:t>
      </w:r>
      <w:r w:rsidR="00243B45" w:rsidRPr="00C3757E">
        <w:rPr>
          <w:rFonts w:ascii="Times New Roman" w:hAnsi="Times New Roman" w:cs="Times New Roman"/>
        </w:rPr>
        <w:t>.</w:t>
      </w:r>
      <w:r w:rsidR="00FF52BF" w:rsidRPr="00C3757E">
        <w:rPr>
          <w:rFonts w:ascii="Times New Roman" w:hAnsi="Times New Roman" w:cs="Times New Roman"/>
        </w:rPr>
        <w:t xml:space="preserve"> </w:t>
      </w:r>
      <w:r w:rsidR="009D748B" w:rsidRPr="00C3757E">
        <w:rPr>
          <w:rFonts w:ascii="Times New Roman" w:hAnsi="Times New Roman" w:cs="Times New Roman"/>
        </w:rPr>
        <w:t xml:space="preserve">American exports were controlled by </w:t>
      </w:r>
      <w:r w:rsidR="003C0018" w:rsidRPr="00C3757E">
        <w:rPr>
          <w:rFonts w:ascii="Times New Roman" w:hAnsi="Times New Roman" w:cs="Times New Roman"/>
        </w:rPr>
        <w:t xml:space="preserve">John D. </w:t>
      </w:r>
      <w:r w:rsidR="009D748B" w:rsidRPr="00C3757E">
        <w:rPr>
          <w:rFonts w:ascii="Times New Roman" w:hAnsi="Times New Roman" w:cs="Times New Roman"/>
        </w:rPr>
        <w:t>Rockefeller</w:t>
      </w:r>
      <w:r w:rsidR="00C3757E" w:rsidRPr="00C3757E">
        <w:rPr>
          <w:rFonts w:ascii="Times New Roman" w:hAnsi="Times New Roman" w:cs="Times New Roman"/>
        </w:rPr>
        <w:t>’</w:t>
      </w:r>
      <w:r w:rsidR="009D748B" w:rsidRPr="00C3757E">
        <w:rPr>
          <w:rFonts w:ascii="Times New Roman" w:hAnsi="Times New Roman" w:cs="Times New Roman"/>
        </w:rPr>
        <w:t xml:space="preserve">s Standard Oil, </w:t>
      </w:r>
      <w:r w:rsidR="00636A0C">
        <w:rPr>
          <w:rFonts w:ascii="Times New Roman" w:hAnsi="Times New Roman" w:cs="Times New Roman"/>
        </w:rPr>
        <w:t>a circumstance that</w:t>
      </w:r>
      <w:r w:rsidR="00636A0C" w:rsidRPr="00C3757E">
        <w:rPr>
          <w:rFonts w:ascii="Times New Roman" w:hAnsi="Times New Roman" w:cs="Times New Roman"/>
        </w:rPr>
        <w:t xml:space="preserve"> </w:t>
      </w:r>
      <w:r w:rsidR="009D748B" w:rsidRPr="00C3757E">
        <w:rPr>
          <w:rFonts w:ascii="Times New Roman" w:hAnsi="Times New Roman" w:cs="Times New Roman"/>
        </w:rPr>
        <w:t>many</w:t>
      </w:r>
      <w:r w:rsidR="00636A0C">
        <w:rPr>
          <w:rFonts w:ascii="Times New Roman" w:hAnsi="Times New Roman" w:cs="Times New Roman"/>
        </w:rPr>
        <w:t xml:space="preserve"> found unsettling</w:t>
      </w:r>
      <w:r w:rsidR="009D748B" w:rsidRPr="00C3757E">
        <w:rPr>
          <w:rFonts w:ascii="Times New Roman" w:hAnsi="Times New Roman" w:cs="Times New Roman"/>
        </w:rPr>
        <w:t xml:space="preserve">. </w:t>
      </w:r>
    </w:p>
    <w:p w14:paraId="4095F147" w14:textId="71789BB0" w:rsidR="00B66766" w:rsidRPr="00C3757E" w:rsidRDefault="009D748B" w:rsidP="00C3757E">
      <w:pPr>
        <w:spacing w:after="160" w:line="360" w:lineRule="auto"/>
        <w:ind w:firstLine="720"/>
        <w:rPr>
          <w:rFonts w:ascii="Times New Roman" w:hAnsi="Times New Roman" w:cs="Times New Roman"/>
        </w:rPr>
      </w:pPr>
      <w:r w:rsidRPr="00C3757E">
        <w:rPr>
          <w:rFonts w:ascii="Times New Roman" w:hAnsi="Times New Roman" w:cs="Times New Roman"/>
        </w:rPr>
        <w:t xml:space="preserve">Other sources were needed. </w:t>
      </w:r>
      <w:r w:rsidR="00B66766" w:rsidRPr="00C3757E">
        <w:rPr>
          <w:rFonts w:ascii="Times New Roman" w:hAnsi="Times New Roman" w:cs="Times New Roman"/>
        </w:rPr>
        <w:t>In many cases</w:t>
      </w:r>
      <w:r w:rsidR="00636A0C">
        <w:rPr>
          <w:rFonts w:ascii="Times New Roman" w:hAnsi="Times New Roman" w:cs="Times New Roman"/>
        </w:rPr>
        <w:t>,</w:t>
      </w:r>
      <w:r w:rsidR="00B66766" w:rsidRPr="00C3757E">
        <w:rPr>
          <w:rFonts w:ascii="Times New Roman" w:hAnsi="Times New Roman" w:cs="Times New Roman"/>
        </w:rPr>
        <w:t xml:space="preserve"> the discovery of oil provided </w:t>
      </w:r>
      <w:r w:rsidR="0081306B" w:rsidRPr="00C3757E">
        <w:rPr>
          <w:rFonts w:ascii="Times New Roman" w:hAnsi="Times New Roman" w:cs="Times New Roman"/>
        </w:rPr>
        <w:t xml:space="preserve">delayed </w:t>
      </w:r>
      <w:r w:rsidR="00B66766" w:rsidRPr="00C3757E">
        <w:rPr>
          <w:rFonts w:ascii="Times New Roman" w:hAnsi="Times New Roman" w:cs="Times New Roman"/>
        </w:rPr>
        <w:t xml:space="preserve">justification for expansion which even the most ardent imperialist </w:t>
      </w:r>
      <w:r w:rsidR="0081306B" w:rsidRPr="00C3757E">
        <w:rPr>
          <w:rFonts w:ascii="Times New Roman" w:hAnsi="Times New Roman" w:cs="Times New Roman"/>
        </w:rPr>
        <w:t>might otherwise have struggled to</w:t>
      </w:r>
      <w:r w:rsidR="00B66766" w:rsidRPr="00C3757E">
        <w:rPr>
          <w:rFonts w:ascii="Times New Roman" w:hAnsi="Times New Roman" w:cs="Times New Roman"/>
        </w:rPr>
        <w:t xml:space="preserve"> explain</w:t>
      </w:r>
      <w:r w:rsidR="009F03D4" w:rsidRPr="00C3757E">
        <w:rPr>
          <w:rFonts w:ascii="Times New Roman" w:hAnsi="Times New Roman" w:cs="Times New Roman"/>
        </w:rPr>
        <w:t>. Though rubber provided a way to make the Dutch East Indies and Belgian Congo pay</w:t>
      </w:r>
      <w:r w:rsidR="0006493A" w:rsidRPr="00C3757E">
        <w:rPr>
          <w:rFonts w:ascii="Times New Roman" w:hAnsi="Times New Roman" w:cs="Times New Roman"/>
        </w:rPr>
        <w:t xml:space="preserve"> (at terrible cost)</w:t>
      </w:r>
      <w:r w:rsidR="009F03D4" w:rsidRPr="00C3757E">
        <w:rPr>
          <w:rFonts w:ascii="Times New Roman" w:hAnsi="Times New Roman" w:cs="Times New Roman"/>
        </w:rPr>
        <w:t xml:space="preserve">, until </w:t>
      </w:r>
      <w:r w:rsidR="00636A0C">
        <w:rPr>
          <w:rFonts w:ascii="Times New Roman" w:hAnsi="Times New Roman" w:cs="Times New Roman"/>
        </w:rPr>
        <w:t>commercial oil production began</w:t>
      </w:r>
      <w:r w:rsidR="00745B1E" w:rsidRPr="00C3757E">
        <w:rPr>
          <w:rFonts w:ascii="Times New Roman" w:hAnsi="Times New Roman" w:cs="Times New Roman"/>
        </w:rPr>
        <w:t xml:space="preserve"> in </w:t>
      </w:r>
      <w:r w:rsidR="009F03D4" w:rsidRPr="00C3757E">
        <w:rPr>
          <w:rFonts w:ascii="Times New Roman" w:hAnsi="Times New Roman" w:cs="Times New Roman"/>
        </w:rPr>
        <w:t>the Caucasus</w:t>
      </w:r>
      <w:r w:rsidR="00745B1E" w:rsidRPr="00C3757E">
        <w:rPr>
          <w:rFonts w:ascii="Times New Roman" w:hAnsi="Times New Roman" w:cs="Times New Roman"/>
        </w:rPr>
        <w:t xml:space="preserve"> and Burma (1880s)</w:t>
      </w:r>
      <w:r w:rsidR="009F03D4" w:rsidRPr="00C3757E">
        <w:rPr>
          <w:rFonts w:ascii="Times New Roman" w:hAnsi="Times New Roman" w:cs="Times New Roman"/>
        </w:rPr>
        <w:t xml:space="preserve">, </w:t>
      </w:r>
      <w:r w:rsidR="00807F46" w:rsidRPr="00C3757E">
        <w:rPr>
          <w:rFonts w:ascii="Times New Roman" w:hAnsi="Times New Roman" w:cs="Times New Roman"/>
        </w:rPr>
        <w:t>Persia</w:t>
      </w:r>
      <w:r w:rsidR="00745B1E" w:rsidRPr="00C3757E">
        <w:rPr>
          <w:rFonts w:ascii="Times New Roman" w:hAnsi="Times New Roman" w:cs="Times New Roman"/>
        </w:rPr>
        <w:t xml:space="preserve"> and </w:t>
      </w:r>
      <w:r w:rsidR="009F03D4" w:rsidRPr="00C3757E">
        <w:rPr>
          <w:rFonts w:ascii="Times New Roman" w:hAnsi="Times New Roman" w:cs="Times New Roman"/>
        </w:rPr>
        <w:t>Mexico</w:t>
      </w:r>
      <w:r w:rsidR="00745B1E" w:rsidRPr="00C3757E">
        <w:rPr>
          <w:rFonts w:ascii="Times New Roman" w:hAnsi="Times New Roman" w:cs="Times New Roman"/>
        </w:rPr>
        <w:t xml:space="preserve"> (1900s) and</w:t>
      </w:r>
      <w:r w:rsidR="009F03D4" w:rsidRPr="00C3757E">
        <w:rPr>
          <w:rFonts w:ascii="Times New Roman" w:hAnsi="Times New Roman" w:cs="Times New Roman"/>
        </w:rPr>
        <w:t xml:space="preserve"> Venezuela </w:t>
      </w:r>
      <w:r w:rsidR="00745B1E" w:rsidRPr="00C3757E">
        <w:rPr>
          <w:rFonts w:ascii="Times New Roman" w:hAnsi="Times New Roman" w:cs="Times New Roman"/>
        </w:rPr>
        <w:t>(1910s)</w:t>
      </w:r>
      <w:r w:rsidR="00636A0C">
        <w:rPr>
          <w:rFonts w:ascii="Times New Roman" w:hAnsi="Times New Roman" w:cs="Times New Roman"/>
        </w:rPr>
        <w:t>,</w:t>
      </w:r>
      <w:r w:rsidR="00745B1E" w:rsidRPr="00C3757E">
        <w:rPr>
          <w:rFonts w:ascii="Times New Roman" w:hAnsi="Times New Roman" w:cs="Times New Roman"/>
        </w:rPr>
        <w:t xml:space="preserve"> </w:t>
      </w:r>
      <w:r w:rsidR="009F03D4" w:rsidRPr="00C3757E">
        <w:rPr>
          <w:rFonts w:ascii="Times New Roman" w:hAnsi="Times New Roman" w:cs="Times New Roman"/>
        </w:rPr>
        <w:t xml:space="preserve">it was hard to see what exactly the </w:t>
      </w:r>
      <w:r w:rsidR="0006493A" w:rsidRPr="00C3757E">
        <w:rPr>
          <w:rFonts w:ascii="Times New Roman" w:hAnsi="Times New Roman" w:cs="Times New Roman"/>
        </w:rPr>
        <w:t>Russian</w:t>
      </w:r>
      <w:r w:rsidR="009F03D4" w:rsidRPr="00C3757E">
        <w:rPr>
          <w:rFonts w:ascii="Times New Roman" w:hAnsi="Times New Roman" w:cs="Times New Roman"/>
        </w:rPr>
        <w:t>, British</w:t>
      </w:r>
      <w:r w:rsidR="00636A0C">
        <w:rPr>
          <w:rFonts w:ascii="Times New Roman" w:hAnsi="Times New Roman" w:cs="Times New Roman"/>
        </w:rPr>
        <w:t>,</w:t>
      </w:r>
      <w:r w:rsidR="009F03D4" w:rsidRPr="00C3757E">
        <w:rPr>
          <w:rFonts w:ascii="Times New Roman" w:hAnsi="Times New Roman" w:cs="Times New Roman"/>
        </w:rPr>
        <w:t xml:space="preserve"> and </w:t>
      </w:r>
      <w:r w:rsidR="0006493A" w:rsidRPr="00C3757E">
        <w:rPr>
          <w:rFonts w:ascii="Times New Roman" w:hAnsi="Times New Roman" w:cs="Times New Roman"/>
        </w:rPr>
        <w:t>American</w:t>
      </w:r>
      <w:r w:rsidR="009F03D4" w:rsidRPr="00C3757E">
        <w:rPr>
          <w:rFonts w:ascii="Times New Roman" w:hAnsi="Times New Roman" w:cs="Times New Roman"/>
        </w:rPr>
        <w:t xml:space="preserve"> </w:t>
      </w:r>
      <w:r w:rsidR="00076435" w:rsidRPr="00C3757E">
        <w:rPr>
          <w:rFonts w:ascii="Times New Roman" w:hAnsi="Times New Roman" w:cs="Times New Roman"/>
        </w:rPr>
        <w:t>e</w:t>
      </w:r>
      <w:r w:rsidR="009F03D4" w:rsidRPr="00C3757E">
        <w:rPr>
          <w:rFonts w:ascii="Times New Roman" w:hAnsi="Times New Roman" w:cs="Times New Roman"/>
        </w:rPr>
        <w:t xml:space="preserve">mpires could find to </w:t>
      </w:r>
      <w:r w:rsidR="0029467E" w:rsidRPr="00C3757E">
        <w:rPr>
          <w:rFonts w:ascii="Times New Roman" w:hAnsi="Times New Roman" w:cs="Times New Roman"/>
        </w:rPr>
        <w:t>fight</w:t>
      </w:r>
      <w:r w:rsidR="009F03D4" w:rsidRPr="00C3757E">
        <w:rPr>
          <w:rFonts w:ascii="Times New Roman" w:hAnsi="Times New Roman" w:cs="Times New Roman"/>
        </w:rPr>
        <w:t xml:space="preserve"> </w:t>
      </w:r>
      <w:r w:rsidR="00745B1E" w:rsidRPr="00C3757E">
        <w:rPr>
          <w:rFonts w:ascii="Times New Roman" w:hAnsi="Times New Roman" w:cs="Times New Roman"/>
        </w:rPr>
        <w:t>over</w:t>
      </w:r>
      <w:r w:rsidR="009F03D4" w:rsidRPr="00C3757E">
        <w:rPr>
          <w:rFonts w:ascii="Times New Roman" w:hAnsi="Times New Roman" w:cs="Times New Roman"/>
        </w:rPr>
        <w:t xml:space="preserve">. </w:t>
      </w:r>
    </w:p>
    <w:p w14:paraId="386514D8" w14:textId="173F6FB9" w:rsidR="00E756F2" w:rsidRPr="00C3757E" w:rsidRDefault="00745B1E" w:rsidP="00C3757E">
      <w:pPr>
        <w:spacing w:after="160" w:line="360" w:lineRule="auto"/>
        <w:ind w:firstLine="720"/>
        <w:rPr>
          <w:rFonts w:ascii="Times New Roman" w:hAnsi="Times New Roman" w:cs="Times New Roman"/>
        </w:rPr>
      </w:pPr>
      <w:r w:rsidRPr="00C3757E">
        <w:rPr>
          <w:rFonts w:ascii="Times New Roman" w:hAnsi="Times New Roman" w:cs="Times New Roman"/>
        </w:rPr>
        <w:t>France, Italy</w:t>
      </w:r>
      <w:r w:rsidR="00636A0C">
        <w:rPr>
          <w:rFonts w:ascii="Times New Roman" w:hAnsi="Times New Roman" w:cs="Times New Roman"/>
        </w:rPr>
        <w:t>,</w:t>
      </w:r>
      <w:r w:rsidRPr="00C3757E">
        <w:rPr>
          <w:rFonts w:ascii="Times New Roman" w:hAnsi="Times New Roman" w:cs="Times New Roman"/>
        </w:rPr>
        <w:t xml:space="preserve"> and </w:t>
      </w:r>
      <w:r w:rsidR="002F3DB5" w:rsidRPr="00C3757E">
        <w:rPr>
          <w:rFonts w:ascii="Times New Roman" w:hAnsi="Times New Roman" w:cs="Times New Roman"/>
        </w:rPr>
        <w:t xml:space="preserve">Germany </w:t>
      </w:r>
      <w:r w:rsidRPr="00C3757E">
        <w:rPr>
          <w:rFonts w:ascii="Times New Roman" w:hAnsi="Times New Roman" w:cs="Times New Roman"/>
        </w:rPr>
        <w:t>were lagg</w:t>
      </w:r>
      <w:r w:rsidR="009B3028" w:rsidRPr="00C3757E">
        <w:rPr>
          <w:rFonts w:ascii="Times New Roman" w:hAnsi="Times New Roman" w:cs="Times New Roman"/>
        </w:rPr>
        <w:t>a</w:t>
      </w:r>
      <w:r w:rsidRPr="00C3757E">
        <w:rPr>
          <w:rFonts w:ascii="Times New Roman" w:hAnsi="Times New Roman" w:cs="Times New Roman"/>
        </w:rPr>
        <w:t>rds</w:t>
      </w:r>
      <w:r w:rsidR="002F3DB5" w:rsidRPr="00C3757E">
        <w:rPr>
          <w:rFonts w:ascii="Times New Roman" w:hAnsi="Times New Roman" w:cs="Times New Roman"/>
        </w:rPr>
        <w:t>. Under Kaiser Wilhelm II</w:t>
      </w:r>
      <w:r w:rsidR="00636A0C">
        <w:rPr>
          <w:rFonts w:ascii="Times New Roman" w:hAnsi="Times New Roman" w:cs="Times New Roman"/>
        </w:rPr>
        <w:t>,</w:t>
      </w:r>
      <w:r w:rsidR="002F3DB5" w:rsidRPr="00C3757E">
        <w:rPr>
          <w:rFonts w:ascii="Times New Roman" w:hAnsi="Times New Roman" w:cs="Times New Roman"/>
        </w:rPr>
        <w:t xml:space="preserve"> Germany turned towards the Ottoman Empire in the 1890s, seeking to </w:t>
      </w:r>
      <w:r w:rsidR="00807F46" w:rsidRPr="00C3757E">
        <w:rPr>
          <w:rFonts w:ascii="Times New Roman" w:hAnsi="Times New Roman" w:cs="Times New Roman"/>
        </w:rPr>
        <w:t>transform</w:t>
      </w:r>
      <w:r w:rsidR="002F3DB5" w:rsidRPr="00C3757E">
        <w:rPr>
          <w:rFonts w:ascii="Times New Roman" w:hAnsi="Times New Roman" w:cs="Times New Roman"/>
        </w:rPr>
        <w:t xml:space="preserve"> a weakness into a strength, presenting itself as a strategic partner without any territorial ambitions in the region. </w:t>
      </w:r>
      <w:r w:rsidR="0029467E" w:rsidRPr="00C3757E">
        <w:rPr>
          <w:rFonts w:ascii="Times New Roman" w:hAnsi="Times New Roman" w:cs="Times New Roman"/>
        </w:rPr>
        <w:t>T</w:t>
      </w:r>
      <w:r w:rsidR="00076435" w:rsidRPr="00C3757E">
        <w:rPr>
          <w:rFonts w:ascii="Times New Roman" w:hAnsi="Times New Roman" w:cs="Times New Roman"/>
        </w:rPr>
        <w:t>he decade before 1914</w:t>
      </w:r>
      <w:r w:rsidR="008C652D">
        <w:rPr>
          <w:rFonts w:ascii="Times New Roman" w:hAnsi="Times New Roman" w:cs="Times New Roman"/>
        </w:rPr>
        <w:t>,</w:t>
      </w:r>
      <w:r w:rsidR="00076435" w:rsidRPr="00C3757E">
        <w:rPr>
          <w:rFonts w:ascii="Times New Roman" w:hAnsi="Times New Roman" w:cs="Times New Roman"/>
        </w:rPr>
        <w:t xml:space="preserve"> t</w:t>
      </w:r>
      <w:r w:rsidR="00177F0D" w:rsidRPr="00C3757E">
        <w:rPr>
          <w:rFonts w:ascii="Times New Roman" w:hAnsi="Times New Roman" w:cs="Times New Roman"/>
        </w:rPr>
        <w:t xml:space="preserve">he famous </w:t>
      </w:r>
      <w:r w:rsidR="0006493A" w:rsidRPr="00C3757E">
        <w:rPr>
          <w:rFonts w:ascii="Times New Roman" w:hAnsi="Times New Roman" w:cs="Times New Roman"/>
        </w:rPr>
        <w:t>Bag</w:t>
      </w:r>
      <w:r w:rsidR="009B3028" w:rsidRPr="00C3757E">
        <w:rPr>
          <w:rFonts w:ascii="Times New Roman" w:hAnsi="Times New Roman" w:cs="Times New Roman"/>
        </w:rPr>
        <w:t>h</w:t>
      </w:r>
      <w:r w:rsidR="0006493A" w:rsidRPr="00C3757E">
        <w:rPr>
          <w:rFonts w:ascii="Times New Roman" w:hAnsi="Times New Roman" w:cs="Times New Roman"/>
        </w:rPr>
        <w:t>dad</w:t>
      </w:r>
      <w:r w:rsidR="00177F0D" w:rsidRPr="00C3757E">
        <w:rPr>
          <w:rFonts w:ascii="Times New Roman" w:hAnsi="Times New Roman" w:cs="Times New Roman"/>
        </w:rPr>
        <w:t xml:space="preserve"> railway </w:t>
      </w:r>
      <w:r w:rsidR="0006493A" w:rsidRPr="00C3757E">
        <w:rPr>
          <w:rFonts w:ascii="Times New Roman" w:hAnsi="Times New Roman" w:cs="Times New Roman"/>
        </w:rPr>
        <w:t>(</w:t>
      </w:r>
      <w:r w:rsidR="0006493A" w:rsidRPr="00C3757E">
        <w:rPr>
          <w:rFonts w:ascii="Times New Roman" w:hAnsi="Times New Roman" w:cs="Times New Roman"/>
          <w:i/>
          <w:iCs/>
        </w:rPr>
        <w:t>Bagdadbahn</w:t>
      </w:r>
      <w:r w:rsidR="0006493A" w:rsidRPr="00C3757E">
        <w:rPr>
          <w:rFonts w:ascii="Times New Roman" w:hAnsi="Times New Roman" w:cs="Times New Roman"/>
        </w:rPr>
        <w:t xml:space="preserve">) </w:t>
      </w:r>
      <w:r w:rsidR="00177F0D" w:rsidRPr="00C3757E">
        <w:rPr>
          <w:rFonts w:ascii="Times New Roman" w:hAnsi="Times New Roman" w:cs="Times New Roman"/>
        </w:rPr>
        <w:t xml:space="preserve">and </w:t>
      </w:r>
      <w:r w:rsidR="00807F46" w:rsidRPr="00C3757E">
        <w:rPr>
          <w:rFonts w:ascii="Times New Roman" w:hAnsi="Times New Roman" w:cs="Times New Roman"/>
        </w:rPr>
        <w:t xml:space="preserve">General </w:t>
      </w:r>
      <w:r w:rsidR="00177F0D" w:rsidRPr="00C3757E">
        <w:rPr>
          <w:rFonts w:ascii="Times New Roman" w:hAnsi="Times New Roman" w:cs="Times New Roman"/>
        </w:rPr>
        <w:t>Liman van Sanders</w:t>
      </w:r>
      <w:r w:rsidR="00C3757E" w:rsidRPr="00C3757E">
        <w:rPr>
          <w:rFonts w:ascii="Times New Roman" w:hAnsi="Times New Roman" w:cs="Times New Roman"/>
        </w:rPr>
        <w:t>’</w:t>
      </w:r>
      <w:r w:rsidR="008C652D">
        <w:rPr>
          <w:rFonts w:ascii="Times New Roman" w:hAnsi="Times New Roman" w:cs="Times New Roman"/>
        </w:rPr>
        <w:t>s</w:t>
      </w:r>
      <w:r w:rsidR="00177F0D" w:rsidRPr="00C3757E">
        <w:rPr>
          <w:rFonts w:ascii="Times New Roman" w:hAnsi="Times New Roman" w:cs="Times New Roman"/>
        </w:rPr>
        <w:t xml:space="preserve"> military mission saw Germany </w:t>
      </w:r>
      <w:r w:rsidR="00F24C71" w:rsidRPr="00C3757E">
        <w:rPr>
          <w:rFonts w:ascii="Times New Roman" w:hAnsi="Times New Roman" w:cs="Times New Roman"/>
        </w:rPr>
        <w:t>deploy its financial strength, engineering know-how</w:t>
      </w:r>
      <w:r w:rsidR="008C652D">
        <w:rPr>
          <w:rFonts w:ascii="Times New Roman" w:hAnsi="Times New Roman" w:cs="Times New Roman"/>
        </w:rPr>
        <w:t>,</w:t>
      </w:r>
      <w:r w:rsidR="00F24C71" w:rsidRPr="00C3757E">
        <w:rPr>
          <w:rFonts w:ascii="Times New Roman" w:hAnsi="Times New Roman" w:cs="Times New Roman"/>
        </w:rPr>
        <w:t xml:space="preserve"> and military prowess to </w:t>
      </w:r>
      <w:r w:rsidR="00177F0D" w:rsidRPr="00C3757E">
        <w:rPr>
          <w:rFonts w:ascii="Times New Roman" w:hAnsi="Times New Roman" w:cs="Times New Roman"/>
        </w:rPr>
        <w:t xml:space="preserve">knit together </w:t>
      </w:r>
      <w:r w:rsidR="00F24C71" w:rsidRPr="00C3757E">
        <w:rPr>
          <w:rFonts w:ascii="Times New Roman" w:hAnsi="Times New Roman" w:cs="Times New Roman"/>
        </w:rPr>
        <w:t xml:space="preserve">an </w:t>
      </w:r>
      <w:r w:rsidR="009B3028" w:rsidRPr="00C3757E">
        <w:rPr>
          <w:rFonts w:ascii="Times New Roman" w:hAnsi="Times New Roman" w:cs="Times New Roman"/>
        </w:rPr>
        <w:t xml:space="preserve">Ottoman </w:t>
      </w:r>
      <w:r w:rsidR="00F24C71" w:rsidRPr="00C3757E">
        <w:rPr>
          <w:rFonts w:ascii="Times New Roman" w:hAnsi="Times New Roman" w:cs="Times New Roman"/>
        </w:rPr>
        <w:t>Empire whose extremities</w:t>
      </w:r>
      <w:r w:rsidR="00EB68D0" w:rsidRPr="00C3757E">
        <w:rPr>
          <w:rFonts w:ascii="Times New Roman" w:hAnsi="Times New Roman" w:cs="Times New Roman"/>
        </w:rPr>
        <w:t xml:space="preserve"> (Egypt, the Balkans, Libya)</w:t>
      </w:r>
      <w:r w:rsidR="00177F0D" w:rsidRPr="00C3757E">
        <w:rPr>
          <w:rFonts w:ascii="Times New Roman" w:hAnsi="Times New Roman" w:cs="Times New Roman"/>
        </w:rPr>
        <w:t xml:space="preserve"> </w:t>
      </w:r>
      <w:r w:rsidR="00F24C71" w:rsidRPr="00C3757E">
        <w:rPr>
          <w:rFonts w:ascii="Times New Roman" w:hAnsi="Times New Roman" w:cs="Times New Roman"/>
        </w:rPr>
        <w:t xml:space="preserve">had been </w:t>
      </w:r>
      <w:commentRangeStart w:id="0"/>
      <w:r w:rsidR="00ED4AD9">
        <w:rPr>
          <w:rFonts w:ascii="Times New Roman" w:hAnsi="Times New Roman" w:cs="Times New Roman"/>
        </w:rPr>
        <w:t>picked</w:t>
      </w:r>
      <w:r w:rsidR="008C652D" w:rsidRPr="00C3757E">
        <w:rPr>
          <w:rFonts w:ascii="Times New Roman" w:hAnsi="Times New Roman" w:cs="Times New Roman"/>
        </w:rPr>
        <w:t xml:space="preserve"> </w:t>
      </w:r>
      <w:commentRangeEnd w:id="0"/>
      <w:r w:rsidR="00ED4AD9">
        <w:rPr>
          <w:rStyle w:val="CommentReference"/>
        </w:rPr>
        <w:commentReference w:id="0"/>
      </w:r>
      <w:r w:rsidR="00F24C71" w:rsidRPr="00C3757E">
        <w:rPr>
          <w:rFonts w:ascii="Times New Roman" w:hAnsi="Times New Roman" w:cs="Times New Roman"/>
        </w:rPr>
        <w:t xml:space="preserve">away by other </w:t>
      </w:r>
      <w:r w:rsidR="00076435" w:rsidRPr="00C3757E">
        <w:rPr>
          <w:rFonts w:ascii="Times New Roman" w:hAnsi="Times New Roman" w:cs="Times New Roman"/>
        </w:rPr>
        <w:t>P</w:t>
      </w:r>
      <w:r w:rsidR="00F24C71" w:rsidRPr="00C3757E">
        <w:rPr>
          <w:rFonts w:ascii="Times New Roman" w:hAnsi="Times New Roman" w:cs="Times New Roman"/>
        </w:rPr>
        <w:t>owers</w:t>
      </w:r>
      <w:r w:rsidR="00E756F2" w:rsidRPr="00C3757E">
        <w:rPr>
          <w:rFonts w:ascii="Times New Roman" w:hAnsi="Times New Roman" w:cs="Times New Roman"/>
        </w:rPr>
        <w:t xml:space="preserve"> over the previous half century</w:t>
      </w:r>
      <w:r w:rsidR="00F24C71" w:rsidRPr="00C3757E">
        <w:rPr>
          <w:rFonts w:ascii="Times New Roman" w:hAnsi="Times New Roman" w:cs="Times New Roman"/>
        </w:rPr>
        <w:t xml:space="preserve">. </w:t>
      </w:r>
    </w:p>
    <w:p w14:paraId="09E75BFB" w14:textId="739D089C" w:rsidR="006D1581" w:rsidRPr="00C3757E" w:rsidRDefault="00F24C71" w:rsidP="00C3757E">
      <w:pPr>
        <w:spacing w:after="160" w:line="360" w:lineRule="auto"/>
        <w:ind w:firstLine="720"/>
        <w:rPr>
          <w:rFonts w:ascii="Times New Roman" w:hAnsi="Times New Roman" w:cs="Times New Roman"/>
        </w:rPr>
      </w:pPr>
      <w:r w:rsidRPr="00C3757E">
        <w:rPr>
          <w:rFonts w:ascii="Times New Roman" w:hAnsi="Times New Roman" w:cs="Times New Roman"/>
        </w:rPr>
        <w:t xml:space="preserve">What Germany got out of </w:t>
      </w:r>
      <w:r w:rsidR="00807F46" w:rsidRPr="00C3757E">
        <w:rPr>
          <w:rFonts w:ascii="Times New Roman" w:hAnsi="Times New Roman" w:cs="Times New Roman"/>
        </w:rPr>
        <w:t>this</w:t>
      </w:r>
      <w:r w:rsidRPr="00C3757E">
        <w:rPr>
          <w:rFonts w:ascii="Times New Roman" w:hAnsi="Times New Roman" w:cs="Times New Roman"/>
        </w:rPr>
        <w:t xml:space="preserve"> bargain </w:t>
      </w:r>
      <w:r w:rsidR="0006493A" w:rsidRPr="00C3757E">
        <w:rPr>
          <w:rFonts w:ascii="Times New Roman" w:hAnsi="Times New Roman" w:cs="Times New Roman"/>
        </w:rPr>
        <w:t>was</w:t>
      </w:r>
      <w:r w:rsidRPr="00C3757E">
        <w:rPr>
          <w:rFonts w:ascii="Times New Roman" w:hAnsi="Times New Roman" w:cs="Times New Roman"/>
        </w:rPr>
        <w:t xml:space="preserve"> </w:t>
      </w:r>
      <w:r w:rsidR="00076435" w:rsidRPr="00C3757E">
        <w:rPr>
          <w:rFonts w:ascii="Times New Roman" w:hAnsi="Times New Roman" w:cs="Times New Roman"/>
        </w:rPr>
        <w:t>un</w:t>
      </w:r>
      <w:r w:rsidRPr="00C3757E">
        <w:rPr>
          <w:rFonts w:ascii="Times New Roman" w:hAnsi="Times New Roman" w:cs="Times New Roman"/>
        </w:rPr>
        <w:t>clear</w:t>
      </w:r>
      <w:r w:rsidR="00E756F2" w:rsidRPr="00C3757E">
        <w:rPr>
          <w:rFonts w:ascii="Times New Roman" w:hAnsi="Times New Roman" w:cs="Times New Roman"/>
        </w:rPr>
        <w:t>. Under a 1904 concession</w:t>
      </w:r>
      <w:r w:rsidR="008C652D">
        <w:rPr>
          <w:rFonts w:ascii="Times New Roman" w:hAnsi="Times New Roman" w:cs="Times New Roman"/>
        </w:rPr>
        <w:t>,</w:t>
      </w:r>
      <w:r w:rsidR="00E756F2" w:rsidRPr="00C3757E">
        <w:rPr>
          <w:rFonts w:ascii="Times New Roman" w:hAnsi="Times New Roman" w:cs="Times New Roman"/>
        </w:rPr>
        <w:t xml:space="preserve"> Deutsche Bank secured oil rights over lands </w:t>
      </w:r>
      <w:r w:rsidR="008C652D">
        <w:rPr>
          <w:rFonts w:ascii="Times New Roman" w:hAnsi="Times New Roman" w:cs="Times New Roman"/>
        </w:rPr>
        <w:t xml:space="preserve">on </w:t>
      </w:r>
      <w:r w:rsidR="00E756F2" w:rsidRPr="00C3757E">
        <w:rPr>
          <w:rFonts w:ascii="Times New Roman" w:hAnsi="Times New Roman" w:cs="Times New Roman"/>
        </w:rPr>
        <w:t xml:space="preserve">either side of the railway line, whose course was altered to </w:t>
      </w:r>
      <w:r w:rsidR="008F7677" w:rsidRPr="00C3757E">
        <w:rPr>
          <w:rFonts w:ascii="Times New Roman" w:hAnsi="Times New Roman" w:cs="Times New Roman"/>
        </w:rPr>
        <w:t>pass</w:t>
      </w:r>
      <w:r w:rsidR="00E756F2" w:rsidRPr="00C3757E">
        <w:rPr>
          <w:rFonts w:ascii="Times New Roman" w:hAnsi="Times New Roman" w:cs="Times New Roman"/>
        </w:rPr>
        <w:t xml:space="preserve"> through the most promising areas</w:t>
      </w:r>
      <w:r w:rsidR="007D71AC" w:rsidRPr="00C3757E">
        <w:rPr>
          <w:rFonts w:ascii="Times New Roman" w:hAnsi="Times New Roman" w:cs="Times New Roman"/>
        </w:rPr>
        <w:t xml:space="preserve"> around Mosul</w:t>
      </w:r>
      <w:r w:rsidR="00E756F2" w:rsidRPr="00C3757E">
        <w:rPr>
          <w:rFonts w:ascii="Times New Roman" w:hAnsi="Times New Roman" w:cs="Times New Roman"/>
        </w:rPr>
        <w:t>.</w:t>
      </w:r>
      <w:r w:rsidR="0044511D" w:rsidRPr="00C3757E">
        <w:rPr>
          <w:rFonts w:ascii="Times New Roman" w:hAnsi="Times New Roman" w:cs="Times New Roman"/>
        </w:rPr>
        <w:t xml:space="preserve"> Once again</w:t>
      </w:r>
      <w:r w:rsidR="008C652D">
        <w:rPr>
          <w:rFonts w:ascii="Times New Roman" w:hAnsi="Times New Roman" w:cs="Times New Roman"/>
        </w:rPr>
        <w:t>,</w:t>
      </w:r>
      <w:r w:rsidR="0044511D" w:rsidRPr="00C3757E">
        <w:rPr>
          <w:rFonts w:ascii="Times New Roman" w:hAnsi="Times New Roman" w:cs="Times New Roman"/>
        </w:rPr>
        <w:t xml:space="preserve"> oil provided a belated justification</w:t>
      </w:r>
      <w:r w:rsidR="0029467E" w:rsidRPr="00C3757E">
        <w:rPr>
          <w:rFonts w:ascii="Times New Roman" w:hAnsi="Times New Roman" w:cs="Times New Roman"/>
        </w:rPr>
        <w:t xml:space="preserve"> </w:t>
      </w:r>
      <w:r w:rsidR="0044511D" w:rsidRPr="00C3757E">
        <w:rPr>
          <w:rFonts w:ascii="Times New Roman" w:hAnsi="Times New Roman" w:cs="Times New Roman"/>
        </w:rPr>
        <w:t>for a railway to nowhere.</w:t>
      </w:r>
    </w:p>
    <w:p w14:paraId="289A4B85" w14:textId="77777777" w:rsidR="0044511D" w:rsidRPr="00C3757E" w:rsidRDefault="0044511D" w:rsidP="00C3757E">
      <w:pPr>
        <w:spacing w:after="160" w:line="360" w:lineRule="auto"/>
        <w:rPr>
          <w:rFonts w:ascii="Times New Roman" w:hAnsi="Times New Roman" w:cs="Times New Roman"/>
          <w:b/>
          <w:bCs/>
        </w:rPr>
      </w:pPr>
    </w:p>
    <w:p w14:paraId="6E8FE326" w14:textId="638CB8CC" w:rsidR="006D1581" w:rsidRPr="00C3757E" w:rsidRDefault="006D1581" w:rsidP="00C3757E">
      <w:pPr>
        <w:spacing w:after="160" w:line="360" w:lineRule="auto"/>
        <w:rPr>
          <w:rFonts w:ascii="Times New Roman" w:hAnsi="Times New Roman" w:cs="Times New Roman"/>
          <w:b/>
          <w:bCs/>
        </w:rPr>
      </w:pPr>
      <w:r w:rsidRPr="00C3757E">
        <w:rPr>
          <w:rFonts w:ascii="Times New Roman" w:hAnsi="Times New Roman" w:cs="Times New Roman"/>
          <w:b/>
          <w:bCs/>
        </w:rPr>
        <w:lastRenderedPageBreak/>
        <w:t>Fighting</w:t>
      </w:r>
    </w:p>
    <w:p w14:paraId="086DE683" w14:textId="2E214393" w:rsidR="00220D95" w:rsidRPr="00C3757E" w:rsidRDefault="00220D95" w:rsidP="00C3757E">
      <w:pPr>
        <w:spacing w:after="160" w:line="360" w:lineRule="auto"/>
        <w:rPr>
          <w:rFonts w:ascii="Times New Roman" w:hAnsi="Times New Roman" w:cs="Times New Roman"/>
        </w:rPr>
      </w:pPr>
      <w:r w:rsidRPr="00C3757E">
        <w:rPr>
          <w:rFonts w:ascii="Times New Roman" w:hAnsi="Times New Roman" w:cs="Times New Roman"/>
        </w:rPr>
        <w:t>Further down the Tigris</w:t>
      </w:r>
      <w:r w:rsidR="00DF6D64" w:rsidRPr="00C3757E">
        <w:rPr>
          <w:rFonts w:ascii="Times New Roman" w:hAnsi="Times New Roman" w:cs="Times New Roman"/>
        </w:rPr>
        <w:t>,</w:t>
      </w:r>
      <w:r w:rsidRPr="00C3757E">
        <w:rPr>
          <w:rFonts w:ascii="Times New Roman" w:hAnsi="Times New Roman" w:cs="Times New Roman"/>
        </w:rPr>
        <w:t xml:space="preserve"> in </w:t>
      </w:r>
      <w:r w:rsidR="00DF6D64" w:rsidRPr="00C3757E">
        <w:rPr>
          <w:rFonts w:ascii="Times New Roman" w:hAnsi="Times New Roman" w:cs="Times New Roman"/>
        </w:rPr>
        <w:t>Persia (Iran)</w:t>
      </w:r>
      <w:r w:rsidRPr="00C3757E">
        <w:rPr>
          <w:rFonts w:ascii="Times New Roman" w:hAnsi="Times New Roman" w:cs="Times New Roman"/>
        </w:rPr>
        <w:t>, oil was struck much earlier, in 1908</w:t>
      </w:r>
      <w:r w:rsidR="0044511D" w:rsidRPr="00C3757E">
        <w:rPr>
          <w:rFonts w:ascii="Times New Roman" w:hAnsi="Times New Roman" w:cs="Times New Roman"/>
        </w:rPr>
        <w:t xml:space="preserve">, conveniently close to </w:t>
      </w:r>
      <w:r w:rsidRPr="00C3757E">
        <w:rPr>
          <w:rFonts w:ascii="Times New Roman" w:hAnsi="Times New Roman" w:cs="Times New Roman"/>
        </w:rPr>
        <w:t>the Persian Gulf. Th</w:t>
      </w:r>
      <w:r w:rsidR="00DF6D64" w:rsidRPr="00C3757E">
        <w:rPr>
          <w:rFonts w:ascii="Times New Roman" w:hAnsi="Times New Roman" w:cs="Times New Roman"/>
        </w:rPr>
        <w:t xml:space="preserve">is concession </w:t>
      </w:r>
      <w:r w:rsidRPr="00C3757E">
        <w:rPr>
          <w:rFonts w:ascii="Times New Roman" w:hAnsi="Times New Roman" w:cs="Times New Roman"/>
        </w:rPr>
        <w:t xml:space="preserve">had been </w:t>
      </w:r>
      <w:r w:rsidR="00DF6D64" w:rsidRPr="00C3757E">
        <w:rPr>
          <w:rFonts w:ascii="Times New Roman" w:hAnsi="Times New Roman" w:cs="Times New Roman"/>
        </w:rPr>
        <w:t xml:space="preserve">granted by the Shah to </w:t>
      </w:r>
      <w:r w:rsidR="00AA2F0C" w:rsidRPr="00C3757E">
        <w:rPr>
          <w:rFonts w:ascii="Times New Roman" w:hAnsi="Times New Roman" w:cs="Times New Roman"/>
        </w:rPr>
        <w:t xml:space="preserve">a Briton, </w:t>
      </w:r>
      <w:r w:rsidRPr="00C3757E">
        <w:rPr>
          <w:rFonts w:ascii="Times New Roman" w:hAnsi="Times New Roman" w:cs="Times New Roman"/>
        </w:rPr>
        <w:t>William Knox D</w:t>
      </w:r>
      <w:r w:rsidR="00C3757E" w:rsidRPr="00C3757E">
        <w:rPr>
          <w:rFonts w:ascii="Times New Roman" w:hAnsi="Times New Roman" w:cs="Times New Roman"/>
        </w:rPr>
        <w:t>’</w:t>
      </w:r>
      <w:r w:rsidRPr="00C3757E">
        <w:rPr>
          <w:rFonts w:ascii="Times New Roman" w:hAnsi="Times New Roman" w:cs="Times New Roman"/>
        </w:rPr>
        <w:t>Arcy</w:t>
      </w:r>
      <w:r w:rsidR="00AA2F0C" w:rsidRPr="00C3757E">
        <w:rPr>
          <w:rFonts w:ascii="Times New Roman" w:hAnsi="Times New Roman" w:cs="Times New Roman"/>
        </w:rPr>
        <w:t>,</w:t>
      </w:r>
      <w:r w:rsidRPr="00C3757E">
        <w:rPr>
          <w:rFonts w:ascii="Times New Roman" w:hAnsi="Times New Roman" w:cs="Times New Roman"/>
        </w:rPr>
        <w:t xml:space="preserve"> in 1901</w:t>
      </w:r>
      <w:r w:rsidR="00DF6D64" w:rsidRPr="00C3757E">
        <w:rPr>
          <w:rFonts w:ascii="Times New Roman" w:hAnsi="Times New Roman" w:cs="Times New Roman"/>
        </w:rPr>
        <w:t xml:space="preserve">. Like so many before him and </w:t>
      </w:r>
      <w:r w:rsidR="003C0018" w:rsidRPr="00C3757E">
        <w:rPr>
          <w:rFonts w:ascii="Times New Roman" w:hAnsi="Times New Roman" w:cs="Times New Roman"/>
        </w:rPr>
        <w:t>since</w:t>
      </w:r>
      <w:r w:rsidR="005573F2" w:rsidRPr="00C3757E">
        <w:rPr>
          <w:rFonts w:ascii="Times New Roman" w:hAnsi="Times New Roman" w:cs="Times New Roman"/>
        </w:rPr>
        <w:t xml:space="preserve">, </w:t>
      </w:r>
      <w:r w:rsidR="00DF6D64" w:rsidRPr="00C3757E">
        <w:rPr>
          <w:rFonts w:ascii="Times New Roman" w:hAnsi="Times New Roman" w:cs="Times New Roman"/>
        </w:rPr>
        <w:t>for years D</w:t>
      </w:r>
      <w:r w:rsidR="00C3757E" w:rsidRPr="00C3757E">
        <w:rPr>
          <w:rFonts w:ascii="Times New Roman" w:hAnsi="Times New Roman" w:cs="Times New Roman"/>
        </w:rPr>
        <w:t>’</w:t>
      </w:r>
      <w:r w:rsidR="00DF6D64" w:rsidRPr="00C3757E">
        <w:rPr>
          <w:rFonts w:ascii="Times New Roman" w:hAnsi="Times New Roman" w:cs="Times New Roman"/>
        </w:rPr>
        <w:t>Arcy</w:t>
      </w:r>
      <w:r w:rsidR="005573F2" w:rsidRPr="00C3757E">
        <w:rPr>
          <w:rFonts w:ascii="Times New Roman" w:hAnsi="Times New Roman" w:cs="Times New Roman"/>
        </w:rPr>
        <w:t xml:space="preserve"> pump</w:t>
      </w:r>
      <w:r w:rsidR="00DF6D64" w:rsidRPr="00C3757E">
        <w:rPr>
          <w:rFonts w:ascii="Times New Roman" w:hAnsi="Times New Roman" w:cs="Times New Roman"/>
        </w:rPr>
        <w:t>ed</w:t>
      </w:r>
      <w:r w:rsidR="005573F2" w:rsidRPr="00C3757E">
        <w:rPr>
          <w:rFonts w:ascii="Times New Roman" w:hAnsi="Times New Roman" w:cs="Times New Roman"/>
        </w:rPr>
        <w:t xml:space="preserve"> a small fortune into the ground</w:t>
      </w:r>
      <w:r w:rsidR="00410D45" w:rsidRPr="00C3757E">
        <w:rPr>
          <w:rFonts w:ascii="Times New Roman" w:hAnsi="Times New Roman" w:cs="Times New Roman"/>
        </w:rPr>
        <w:t xml:space="preserve"> before seeing a profit</w:t>
      </w:r>
      <w:r w:rsidR="005573F2" w:rsidRPr="00C3757E">
        <w:rPr>
          <w:rFonts w:ascii="Times New Roman" w:hAnsi="Times New Roman" w:cs="Times New Roman"/>
        </w:rPr>
        <w:t xml:space="preserve">. Even after </w:t>
      </w:r>
      <w:r w:rsidR="00DF6D64" w:rsidRPr="00C3757E">
        <w:rPr>
          <w:rFonts w:ascii="Times New Roman" w:hAnsi="Times New Roman" w:cs="Times New Roman"/>
        </w:rPr>
        <w:t xml:space="preserve">the </w:t>
      </w:r>
      <w:r w:rsidR="005573F2" w:rsidRPr="00C3757E">
        <w:rPr>
          <w:rFonts w:ascii="Times New Roman" w:hAnsi="Times New Roman" w:cs="Times New Roman"/>
        </w:rPr>
        <w:t xml:space="preserve">1908 </w:t>
      </w:r>
      <w:r w:rsidR="00DF6D64" w:rsidRPr="00C3757E">
        <w:rPr>
          <w:rFonts w:ascii="Times New Roman" w:hAnsi="Times New Roman" w:cs="Times New Roman"/>
        </w:rPr>
        <w:t xml:space="preserve">strike, </w:t>
      </w:r>
      <w:r w:rsidR="003138E4" w:rsidRPr="00C3757E">
        <w:rPr>
          <w:rFonts w:ascii="Times New Roman" w:hAnsi="Times New Roman" w:cs="Times New Roman"/>
        </w:rPr>
        <w:t>the Anglo-Persian Oil Company</w:t>
      </w:r>
      <w:r w:rsidR="00C3757E" w:rsidRPr="00C3757E">
        <w:rPr>
          <w:rFonts w:ascii="Times New Roman" w:hAnsi="Times New Roman" w:cs="Times New Roman"/>
        </w:rPr>
        <w:t>’</w:t>
      </w:r>
      <w:r w:rsidR="003138E4" w:rsidRPr="00C3757E">
        <w:rPr>
          <w:rFonts w:ascii="Times New Roman" w:hAnsi="Times New Roman" w:cs="Times New Roman"/>
        </w:rPr>
        <w:t xml:space="preserve">s </w:t>
      </w:r>
      <w:r w:rsidR="00DF6D64" w:rsidRPr="00C3757E">
        <w:rPr>
          <w:rFonts w:ascii="Times New Roman" w:hAnsi="Times New Roman" w:cs="Times New Roman"/>
        </w:rPr>
        <w:t>poor</w:t>
      </w:r>
      <w:r w:rsidR="005573F2" w:rsidRPr="00C3757E">
        <w:rPr>
          <w:rFonts w:ascii="Times New Roman" w:hAnsi="Times New Roman" w:cs="Times New Roman"/>
        </w:rPr>
        <w:t xml:space="preserve"> management slowed development. </w:t>
      </w:r>
      <w:r w:rsidR="0029467E" w:rsidRPr="00C3757E">
        <w:rPr>
          <w:rFonts w:ascii="Times New Roman" w:hAnsi="Times New Roman" w:cs="Times New Roman"/>
        </w:rPr>
        <w:t>U</w:t>
      </w:r>
      <w:r w:rsidR="003138E4" w:rsidRPr="00C3757E">
        <w:rPr>
          <w:rFonts w:ascii="Times New Roman" w:hAnsi="Times New Roman" w:cs="Times New Roman"/>
        </w:rPr>
        <w:t>nable to find a buyer</w:t>
      </w:r>
      <w:r w:rsidR="005573F2" w:rsidRPr="00C3757E">
        <w:rPr>
          <w:rFonts w:ascii="Times New Roman" w:hAnsi="Times New Roman" w:cs="Times New Roman"/>
        </w:rPr>
        <w:t>, in 1914 D</w:t>
      </w:r>
      <w:r w:rsidR="00C3757E" w:rsidRPr="00C3757E">
        <w:rPr>
          <w:rFonts w:ascii="Times New Roman" w:hAnsi="Times New Roman" w:cs="Times New Roman"/>
        </w:rPr>
        <w:t>’</w:t>
      </w:r>
      <w:r w:rsidR="005573F2" w:rsidRPr="00C3757E">
        <w:rPr>
          <w:rFonts w:ascii="Times New Roman" w:hAnsi="Times New Roman" w:cs="Times New Roman"/>
        </w:rPr>
        <w:t xml:space="preserve">Arcy and </w:t>
      </w:r>
      <w:r w:rsidR="003138E4" w:rsidRPr="00C3757E">
        <w:rPr>
          <w:rFonts w:ascii="Times New Roman" w:hAnsi="Times New Roman" w:cs="Times New Roman"/>
        </w:rPr>
        <w:t>APOC</w:t>
      </w:r>
      <w:r w:rsidR="005573F2" w:rsidRPr="00C3757E">
        <w:rPr>
          <w:rFonts w:ascii="Times New Roman" w:hAnsi="Times New Roman" w:cs="Times New Roman"/>
        </w:rPr>
        <w:t xml:space="preserve"> managing director </w:t>
      </w:r>
      <w:r w:rsidR="00DF6D64" w:rsidRPr="00C3757E">
        <w:rPr>
          <w:rFonts w:ascii="Times New Roman" w:hAnsi="Times New Roman" w:cs="Times New Roman"/>
        </w:rPr>
        <w:t xml:space="preserve">Charles </w:t>
      </w:r>
      <w:r w:rsidR="005573F2" w:rsidRPr="00C3757E">
        <w:rPr>
          <w:rFonts w:ascii="Times New Roman" w:hAnsi="Times New Roman" w:cs="Times New Roman"/>
        </w:rPr>
        <w:t>Greenway pulled off a coup</w:t>
      </w:r>
      <w:r w:rsidR="00AA2F0C" w:rsidRPr="00C3757E">
        <w:rPr>
          <w:rFonts w:ascii="Times New Roman" w:hAnsi="Times New Roman" w:cs="Times New Roman"/>
        </w:rPr>
        <w:t>:</w:t>
      </w:r>
      <w:r w:rsidR="005573F2" w:rsidRPr="00C3757E">
        <w:rPr>
          <w:rFonts w:ascii="Times New Roman" w:hAnsi="Times New Roman" w:cs="Times New Roman"/>
        </w:rPr>
        <w:t xml:space="preserve"> </w:t>
      </w:r>
      <w:r w:rsidR="00AA2F0C" w:rsidRPr="00C3757E">
        <w:rPr>
          <w:rFonts w:ascii="Times New Roman" w:hAnsi="Times New Roman" w:cs="Times New Roman"/>
        </w:rPr>
        <w:t>b</w:t>
      </w:r>
      <w:r w:rsidR="005573F2" w:rsidRPr="00C3757E">
        <w:rPr>
          <w:rFonts w:ascii="Times New Roman" w:hAnsi="Times New Roman" w:cs="Times New Roman"/>
        </w:rPr>
        <w:t>y threatening to sell out to Shell</w:t>
      </w:r>
      <w:r w:rsidR="004B580C" w:rsidRPr="00C3757E">
        <w:rPr>
          <w:rFonts w:ascii="Times New Roman" w:hAnsi="Times New Roman" w:cs="Times New Roman"/>
        </w:rPr>
        <w:t>,</w:t>
      </w:r>
      <w:r w:rsidR="005573F2" w:rsidRPr="00C3757E">
        <w:rPr>
          <w:rFonts w:ascii="Times New Roman" w:hAnsi="Times New Roman" w:cs="Times New Roman"/>
        </w:rPr>
        <w:t xml:space="preserve"> </w:t>
      </w:r>
      <w:r w:rsidR="00382932" w:rsidRPr="00C3757E">
        <w:rPr>
          <w:rFonts w:ascii="Times New Roman" w:hAnsi="Times New Roman" w:cs="Times New Roman"/>
        </w:rPr>
        <w:t xml:space="preserve">Greenway persuaded </w:t>
      </w:r>
      <w:r w:rsidR="00DF6D64" w:rsidRPr="00C3757E">
        <w:rPr>
          <w:rFonts w:ascii="Times New Roman" w:hAnsi="Times New Roman" w:cs="Times New Roman"/>
        </w:rPr>
        <w:t xml:space="preserve">First Lord of the Admiralty Winston </w:t>
      </w:r>
      <w:r w:rsidR="00382932" w:rsidRPr="00C3757E">
        <w:rPr>
          <w:rFonts w:ascii="Times New Roman" w:hAnsi="Times New Roman" w:cs="Times New Roman"/>
        </w:rPr>
        <w:t xml:space="preserve">Churchill to </w:t>
      </w:r>
      <w:r w:rsidR="00DF6D64" w:rsidRPr="00C3757E">
        <w:rPr>
          <w:rFonts w:ascii="Times New Roman" w:hAnsi="Times New Roman" w:cs="Times New Roman"/>
        </w:rPr>
        <w:t>give</w:t>
      </w:r>
      <w:r w:rsidR="00382932" w:rsidRPr="00C3757E">
        <w:rPr>
          <w:rFonts w:ascii="Times New Roman" w:hAnsi="Times New Roman" w:cs="Times New Roman"/>
        </w:rPr>
        <w:t xml:space="preserve"> </w:t>
      </w:r>
      <w:r w:rsidR="003138E4" w:rsidRPr="00C3757E">
        <w:rPr>
          <w:rFonts w:ascii="Times New Roman" w:hAnsi="Times New Roman" w:cs="Times New Roman"/>
        </w:rPr>
        <w:t>APOC</w:t>
      </w:r>
      <w:r w:rsidR="00382932" w:rsidRPr="00C3757E">
        <w:rPr>
          <w:rFonts w:ascii="Times New Roman" w:hAnsi="Times New Roman" w:cs="Times New Roman"/>
        </w:rPr>
        <w:t xml:space="preserve"> an Admiralty </w:t>
      </w:r>
      <w:r w:rsidR="00DF6D64" w:rsidRPr="00C3757E">
        <w:rPr>
          <w:rFonts w:ascii="Times New Roman" w:hAnsi="Times New Roman" w:cs="Times New Roman"/>
        </w:rPr>
        <w:t xml:space="preserve">supply </w:t>
      </w:r>
      <w:r w:rsidR="00382932" w:rsidRPr="00C3757E">
        <w:rPr>
          <w:rFonts w:ascii="Times New Roman" w:hAnsi="Times New Roman" w:cs="Times New Roman"/>
        </w:rPr>
        <w:t>contract and purchase a 5</w:t>
      </w:r>
      <w:r w:rsidR="00865FD3" w:rsidRPr="00C3757E">
        <w:rPr>
          <w:rFonts w:ascii="Times New Roman" w:hAnsi="Times New Roman" w:cs="Times New Roman"/>
        </w:rPr>
        <w:t>1</w:t>
      </w:r>
      <w:r w:rsidR="00382932" w:rsidRPr="00C3757E">
        <w:rPr>
          <w:rFonts w:ascii="Times New Roman" w:hAnsi="Times New Roman" w:cs="Times New Roman"/>
        </w:rPr>
        <w:t xml:space="preserve">% share on behalf of the British government. </w:t>
      </w:r>
    </w:p>
    <w:p w14:paraId="313A271D" w14:textId="60B081F5" w:rsidR="002258A2" w:rsidRPr="00C3757E" w:rsidRDefault="00382932" w:rsidP="00C3757E">
      <w:pPr>
        <w:spacing w:after="160" w:line="360" w:lineRule="auto"/>
        <w:ind w:firstLine="720"/>
        <w:rPr>
          <w:rFonts w:ascii="Times New Roman" w:hAnsi="Times New Roman" w:cs="Times New Roman"/>
        </w:rPr>
      </w:pPr>
      <w:r w:rsidRPr="00C3757E">
        <w:rPr>
          <w:rFonts w:ascii="Times New Roman" w:hAnsi="Times New Roman" w:cs="Times New Roman"/>
        </w:rPr>
        <w:t>The British government</w:t>
      </w:r>
      <w:r w:rsidR="00C3757E" w:rsidRPr="00C3757E">
        <w:rPr>
          <w:rFonts w:ascii="Times New Roman" w:hAnsi="Times New Roman" w:cs="Times New Roman"/>
        </w:rPr>
        <w:t>’</w:t>
      </w:r>
      <w:r w:rsidRPr="00C3757E">
        <w:rPr>
          <w:rFonts w:ascii="Times New Roman" w:hAnsi="Times New Roman" w:cs="Times New Roman"/>
        </w:rPr>
        <w:t xml:space="preserve">s purchase of </w:t>
      </w:r>
      <w:r w:rsidR="003138E4" w:rsidRPr="00C3757E">
        <w:rPr>
          <w:rFonts w:ascii="Times New Roman" w:hAnsi="Times New Roman" w:cs="Times New Roman"/>
        </w:rPr>
        <w:t>APOC</w:t>
      </w:r>
      <w:r w:rsidRPr="00C3757E">
        <w:rPr>
          <w:rFonts w:ascii="Times New Roman" w:hAnsi="Times New Roman" w:cs="Times New Roman"/>
        </w:rPr>
        <w:t xml:space="preserve"> (</w:t>
      </w:r>
      <w:r w:rsidR="0044511D" w:rsidRPr="00C3757E">
        <w:rPr>
          <w:rFonts w:ascii="Times New Roman" w:hAnsi="Times New Roman" w:cs="Times New Roman"/>
        </w:rPr>
        <w:t>today</w:t>
      </w:r>
      <w:r w:rsidR="00C3757E" w:rsidRPr="00C3757E">
        <w:rPr>
          <w:rFonts w:ascii="Times New Roman" w:hAnsi="Times New Roman" w:cs="Times New Roman"/>
        </w:rPr>
        <w:t>’</w:t>
      </w:r>
      <w:r w:rsidR="0044511D" w:rsidRPr="00C3757E">
        <w:rPr>
          <w:rFonts w:ascii="Times New Roman" w:hAnsi="Times New Roman" w:cs="Times New Roman"/>
        </w:rPr>
        <w:t>s BP</w:t>
      </w:r>
      <w:r w:rsidRPr="00C3757E">
        <w:rPr>
          <w:rFonts w:ascii="Times New Roman" w:hAnsi="Times New Roman" w:cs="Times New Roman"/>
        </w:rPr>
        <w:t xml:space="preserve">) </w:t>
      </w:r>
      <w:r w:rsidR="00AA2F0C" w:rsidRPr="00C3757E">
        <w:rPr>
          <w:rFonts w:ascii="Times New Roman" w:hAnsi="Times New Roman" w:cs="Times New Roman"/>
        </w:rPr>
        <w:t>wa</w:t>
      </w:r>
      <w:r w:rsidRPr="00C3757E">
        <w:rPr>
          <w:rFonts w:ascii="Times New Roman" w:hAnsi="Times New Roman" w:cs="Times New Roman"/>
        </w:rPr>
        <w:t>s hailed as a masterstroke on Churchill</w:t>
      </w:r>
      <w:r w:rsidR="00C3757E" w:rsidRPr="00C3757E">
        <w:rPr>
          <w:rFonts w:ascii="Times New Roman" w:hAnsi="Times New Roman" w:cs="Times New Roman"/>
        </w:rPr>
        <w:t>’</w:t>
      </w:r>
      <w:r w:rsidRPr="00C3757E">
        <w:rPr>
          <w:rFonts w:ascii="Times New Roman" w:hAnsi="Times New Roman" w:cs="Times New Roman"/>
        </w:rPr>
        <w:t xml:space="preserve">s part. In </w:t>
      </w:r>
      <w:r w:rsidR="008C652D" w:rsidRPr="00C3757E">
        <w:rPr>
          <w:rFonts w:ascii="Times New Roman" w:hAnsi="Times New Roman" w:cs="Times New Roman"/>
        </w:rPr>
        <w:t>fact,</w:t>
      </w:r>
      <w:r w:rsidRPr="00C3757E">
        <w:rPr>
          <w:rFonts w:ascii="Times New Roman" w:hAnsi="Times New Roman" w:cs="Times New Roman"/>
        </w:rPr>
        <w:t xml:space="preserve"> this bail-out </w:t>
      </w:r>
      <w:r w:rsidR="00865FD3" w:rsidRPr="00C3757E">
        <w:rPr>
          <w:rFonts w:ascii="Times New Roman" w:hAnsi="Times New Roman" w:cs="Times New Roman"/>
        </w:rPr>
        <w:t>proved an embarrassment</w:t>
      </w:r>
      <w:r w:rsidRPr="00C3757E">
        <w:rPr>
          <w:rFonts w:ascii="Times New Roman" w:hAnsi="Times New Roman" w:cs="Times New Roman"/>
        </w:rPr>
        <w:t xml:space="preserve">. If the British </w:t>
      </w:r>
      <w:r w:rsidR="00C3757E" w:rsidRPr="00C3757E">
        <w:rPr>
          <w:rFonts w:ascii="Times New Roman" w:hAnsi="Times New Roman" w:cs="Times New Roman"/>
        </w:rPr>
        <w:t>‘</w:t>
      </w:r>
      <w:r w:rsidRPr="00C3757E">
        <w:rPr>
          <w:rFonts w:ascii="Times New Roman" w:hAnsi="Times New Roman" w:cs="Times New Roman"/>
        </w:rPr>
        <w:t>sailed to victory on a sea of oil</w:t>
      </w:r>
      <w:r w:rsidR="00C3757E" w:rsidRPr="00C3757E">
        <w:rPr>
          <w:rFonts w:ascii="Times New Roman" w:hAnsi="Times New Roman" w:cs="Times New Roman"/>
        </w:rPr>
        <w:t>’</w:t>
      </w:r>
      <w:r w:rsidRPr="00C3757E">
        <w:rPr>
          <w:rFonts w:ascii="Times New Roman" w:hAnsi="Times New Roman" w:cs="Times New Roman"/>
        </w:rPr>
        <w:t xml:space="preserve">, as foreign secretary </w:t>
      </w:r>
      <w:r w:rsidR="003138E4" w:rsidRPr="00C3757E">
        <w:rPr>
          <w:rFonts w:ascii="Times New Roman" w:hAnsi="Times New Roman" w:cs="Times New Roman"/>
        </w:rPr>
        <w:t xml:space="preserve">George Nathaniel </w:t>
      </w:r>
      <w:r w:rsidRPr="00C3757E">
        <w:rPr>
          <w:rFonts w:ascii="Times New Roman" w:hAnsi="Times New Roman" w:cs="Times New Roman"/>
        </w:rPr>
        <w:t xml:space="preserve">Curzon put it, it was not </w:t>
      </w:r>
      <w:r w:rsidR="003138E4" w:rsidRPr="00C3757E">
        <w:rPr>
          <w:rFonts w:ascii="Times New Roman" w:hAnsi="Times New Roman" w:cs="Times New Roman"/>
        </w:rPr>
        <w:t>BP</w:t>
      </w:r>
      <w:r w:rsidR="00C3757E" w:rsidRPr="00C3757E">
        <w:rPr>
          <w:rFonts w:ascii="Times New Roman" w:hAnsi="Times New Roman" w:cs="Times New Roman"/>
        </w:rPr>
        <w:t>’</w:t>
      </w:r>
      <w:r w:rsidR="003138E4" w:rsidRPr="00C3757E">
        <w:rPr>
          <w:rFonts w:ascii="Times New Roman" w:hAnsi="Times New Roman" w:cs="Times New Roman"/>
        </w:rPr>
        <w:t>s</w:t>
      </w:r>
      <w:r w:rsidRPr="00C3757E">
        <w:rPr>
          <w:rFonts w:ascii="Times New Roman" w:hAnsi="Times New Roman" w:cs="Times New Roman"/>
        </w:rPr>
        <w:t xml:space="preserve"> oil</w:t>
      </w:r>
      <w:r w:rsidR="004B580C" w:rsidRPr="00C3757E">
        <w:rPr>
          <w:rFonts w:ascii="Times New Roman" w:hAnsi="Times New Roman" w:cs="Times New Roman"/>
        </w:rPr>
        <w:t>.</w:t>
      </w:r>
      <w:r w:rsidRPr="00C3757E">
        <w:rPr>
          <w:rFonts w:ascii="Times New Roman" w:hAnsi="Times New Roman" w:cs="Times New Roman"/>
        </w:rPr>
        <w:t xml:space="preserve"> </w:t>
      </w:r>
      <w:r w:rsidR="004B580C" w:rsidRPr="00C3757E">
        <w:rPr>
          <w:rFonts w:ascii="Times New Roman" w:hAnsi="Times New Roman" w:cs="Times New Roman"/>
        </w:rPr>
        <w:t>T</w:t>
      </w:r>
      <w:r w:rsidRPr="00C3757E">
        <w:rPr>
          <w:rFonts w:ascii="Times New Roman" w:hAnsi="Times New Roman" w:cs="Times New Roman"/>
        </w:rPr>
        <w:t>he Admiralty discovered that what little fuel BP</w:t>
      </w:r>
      <w:r w:rsidR="00C3757E" w:rsidRPr="00C3757E">
        <w:rPr>
          <w:rFonts w:ascii="Times New Roman" w:hAnsi="Times New Roman" w:cs="Times New Roman"/>
        </w:rPr>
        <w:t>’</w:t>
      </w:r>
      <w:r w:rsidRPr="00C3757E">
        <w:rPr>
          <w:rFonts w:ascii="Times New Roman" w:hAnsi="Times New Roman" w:cs="Times New Roman"/>
        </w:rPr>
        <w:t xml:space="preserve">s Abadan facility produced turned to jelly in cold temperatures. </w:t>
      </w:r>
      <w:r w:rsidR="003138E4" w:rsidRPr="00C3757E">
        <w:rPr>
          <w:rFonts w:ascii="Times New Roman" w:hAnsi="Times New Roman" w:cs="Times New Roman"/>
        </w:rPr>
        <w:t xml:space="preserve">With Russian oil inaccessible </w:t>
      </w:r>
      <w:r w:rsidR="006A21C3" w:rsidRPr="00C3757E">
        <w:rPr>
          <w:rFonts w:ascii="Times New Roman" w:hAnsi="Times New Roman" w:cs="Times New Roman"/>
        </w:rPr>
        <w:t>owing to</w:t>
      </w:r>
      <w:r w:rsidR="003138E4" w:rsidRPr="00C3757E">
        <w:rPr>
          <w:rFonts w:ascii="Times New Roman" w:hAnsi="Times New Roman" w:cs="Times New Roman"/>
        </w:rPr>
        <w:t xml:space="preserve"> the </w:t>
      </w:r>
      <w:r w:rsidR="006A21C3" w:rsidRPr="00C3757E">
        <w:rPr>
          <w:rFonts w:ascii="Times New Roman" w:hAnsi="Times New Roman" w:cs="Times New Roman"/>
        </w:rPr>
        <w:t>r</w:t>
      </w:r>
      <w:r w:rsidR="003138E4" w:rsidRPr="00C3757E">
        <w:rPr>
          <w:rFonts w:ascii="Times New Roman" w:hAnsi="Times New Roman" w:cs="Times New Roman"/>
        </w:rPr>
        <w:t xml:space="preserve">evolution, </w:t>
      </w:r>
      <w:r w:rsidR="002258A2" w:rsidRPr="00C3757E">
        <w:rPr>
          <w:rFonts w:ascii="Times New Roman" w:hAnsi="Times New Roman" w:cs="Times New Roman"/>
        </w:rPr>
        <w:t xml:space="preserve">it was </w:t>
      </w:r>
      <w:r w:rsidR="0044511D" w:rsidRPr="00C3757E">
        <w:rPr>
          <w:rFonts w:ascii="Times New Roman" w:hAnsi="Times New Roman" w:cs="Times New Roman"/>
        </w:rPr>
        <w:t xml:space="preserve">the </w:t>
      </w:r>
      <w:r w:rsidR="00AA2F0C" w:rsidRPr="00C3757E">
        <w:rPr>
          <w:rFonts w:ascii="Times New Roman" w:hAnsi="Times New Roman" w:cs="Times New Roman"/>
        </w:rPr>
        <w:t xml:space="preserve">much-feared </w:t>
      </w:r>
      <w:r w:rsidR="006A21C3" w:rsidRPr="00C3757E">
        <w:rPr>
          <w:rFonts w:ascii="Times New Roman" w:hAnsi="Times New Roman" w:cs="Times New Roman"/>
        </w:rPr>
        <w:t xml:space="preserve">Standard Oil and </w:t>
      </w:r>
      <w:r w:rsidR="002258A2" w:rsidRPr="00C3757E">
        <w:rPr>
          <w:rFonts w:ascii="Times New Roman" w:hAnsi="Times New Roman" w:cs="Times New Roman"/>
        </w:rPr>
        <w:t>the much</w:t>
      </w:r>
      <w:r w:rsidR="004B580C" w:rsidRPr="00C3757E">
        <w:rPr>
          <w:rFonts w:ascii="Times New Roman" w:hAnsi="Times New Roman" w:cs="Times New Roman"/>
        </w:rPr>
        <w:t>-</w:t>
      </w:r>
      <w:r w:rsidR="002258A2" w:rsidRPr="00C3757E">
        <w:rPr>
          <w:rFonts w:ascii="Times New Roman" w:hAnsi="Times New Roman" w:cs="Times New Roman"/>
        </w:rPr>
        <w:t>maligned Shell (</w:t>
      </w:r>
      <w:r w:rsidR="003138E4" w:rsidRPr="00C3757E">
        <w:rPr>
          <w:rFonts w:ascii="Times New Roman" w:hAnsi="Times New Roman" w:cs="Times New Roman"/>
        </w:rPr>
        <w:t xml:space="preserve">whom </w:t>
      </w:r>
      <w:r w:rsidR="002258A2" w:rsidRPr="00C3757E">
        <w:rPr>
          <w:rFonts w:ascii="Times New Roman" w:hAnsi="Times New Roman" w:cs="Times New Roman"/>
        </w:rPr>
        <w:t xml:space="preserve">Greenway said was secretly German-controlled) which kept </w:t>
      </w:r>
      <w:r w:rsidR="003138E4" w:rsidRPr="00C3757E">
        <w:rPr>
          <w:rFonts w:ascii="Times New Roman" w:hAnsi="Times New Roman" w:cs="Times New Roman"/>
        </w:rPr>
        <w:t>Allied</w:t>
      </w:r>
      <w:r w:rsidR="002258A2" w:rsidRPr="00C3757E">
        <w:rPr>
          <w:rFonts w:ascii="Times New Roman" w:hAnsi="Times New Roman" w:cs="Times New Roman"/>
        </w:rPr>
        <w:t xml:space="preserve"> forces supplied during the </w:t>
      </w:r>
      <w:r w:rsidR="006A21C3" w:rsidRPr="00C3757E">
        <w:rPr>
          <w:rFonts w:ascii="Times New Roman" w:hAnsi="Times New Roman" w:cs="Times New Roman"/>
        </w:rPr>
        <w:t>war</w:t>
      </w:r>
      <w:r w:rsidR="007D71AC" w:rsidRPr="00C3757E">
        <w:rPr>
          <w:rFonts w:ascii="Times New Roman" w:hAnsi="Times New Roman" w:cs="Times New Roman"/>
        </w:rPr>
        <w:t>, with American and Mexican oil</w:t>
      </w:r>
      <w:r w:rsidR="002258A2" w:rsidRPr="00C3757E">
        <w:rPr>
          <w:rFonts w:ascii="Times New Roman" w:hAnsi="Times New Roman" w:cs="Times New Roman"/>
        </w:rPr>
        <w:t xml:space="preserve">. </w:t>
      </w:r>
    </w:p>
    <w:p w14:paraId="5A170DFC" w14:textId="552D7DD3" w:rsidR="00E55918" w:rsidRPr="00C3757E" w:rsidRDefault="007D71AC" w:rsidP="00C3757E">
      <w:pPr>
        <w:spacing w:after="160" w:line="360" w:lineRule="auto"/>
        <w:ind w:firstLine="720"/>
        <w:rPr>
          <w:rFonts w:ascii="Times New Roman" w:hAnsi="Times New Roman" w:cs="Times New Roman"/>
        </w:rPr>
      </w:pPr>
      <w:bookmarkStart w:id="1" w:name="_Hlk92351083"/>
      <w:r w:rsidRPr="00C3757E">
        <w:rPr>
          <w:rFonts w:ascii="Times New Roman" w:hAnsi="Times New Roman" w:cs="Times New Roman"/>
        </w:rPr>
        <w:t>With BP focused on survival</w:t>
      </w:r>
      <w:r w:rsidR="00163B53">
        <w:rPr>
          <w:rFonts w:ascii="Times New Roman" w:hAnsi="Times New Roman" w:cs="Times New Roman"/>
        </w:rPr>
        <w:t>,</w:t>
      </w:r>
      <w:r w:rsidRPr="00C3757E">
        <w:rPr>
          <w:rFonts w:ascii="Times New Roman" w:hAnsi="Times New Roman" w:cs="Times New Roman"/>
        </w:rPr>
        <w:t xml:space="preserve"> it was left to Shell and Standard to compete for global dominance. While BP nailed its colours to a British mast, these firms chang</w:t>
      </w:r>
      <w:r w:rsidR="00514B44" w:rsidRPr="00C3757E">
        <w:rPr>
          <w:rFonts w:ascii="Times New Roman" w:hAnsi="Times New Roman" w:cs="Times New Roman"/>
        </w:rPr>
        <w:t>ed</w:t>
      </w:r>
      <w:r w:rsidRPr="00C3757E">
        <w:rPr>
          <w:rFonts w:ascii="Times New Roman" w:hAnsi="Times New Roman" w:cs="Times New Roman"/>
        </w:rPr>
        <w:t xml:space="preserve"> their colours as circumstances dictated. Thanks to the </w:t>
      </w:r>
      <w:r w:rsidR="00E55918" w:rsidRPr="00C3757E">
        <w:rPr>
          <w:rFonts w:ascii="Times New Roman" w:hAnsi="Times New Roman" w:cs="Times New Roman"/>
        </w:rPr>
        <w:t>break-up of Standard Oil in 1911 into a sisterhood of smaller firms and Shell</w:t>
      </w:r>
      <w:r w:rsidR="00C3757E" w:rsidRPr="00C3757E">
        <w:rPr>
          <w:rFonts w:ascii="Times New Roman" w:hAnsi="Times New Roman" w:cs="Times New Roman"/>
        </w:rPr>
        <w:t>’</w:t>
      </w:r>
      <w:r w:rsidR="00E55918" w:rsidRPr="00C3757E">
        <w:rPr>
          <w:rFonts w:ascii="Times New Roman" w:hAnsi="Times New Roman" w:cs="Times New Roman"/>
        </w:rPr>
        <w:t>s Anglo-Dutch ownership</w:t>
      </w:r>
      <w:r w:rsidR="003B3C0F" w:rsidRPr="00C3757E">
        <w:rPr>
          <w:rFonts w:ascii="Times New Roman" w:hAnsi="Times New Roman" w:cs="Times New Roman"/>
        </w:rPr>
        <w:t xml:space="preserve"> structure</w:t>
      </w:r>
      <w:r w:rsidR="00E55918" w:rsidRPr="00C3757E">
        <w:rPr>
          <w:rFonts w:ascii="Times New Roman" w:hAnsi="Times New Roman" w:cs="Times New Roman"/>
        </w:rPr>
        <w:t xml:space="preserve">, it was easy for both to hide behind foreign subsidiaries. Remarkably, while Shell had a major subsidiary producing oil within the United States, </w:t>
      </w:r>
      <w:r w:rsidR="00944342" w:rsidRPr="00C3757E">
        <w:rPr>
          <w:rFonts w:ascii="Times New Roman" w:hAnsi="Times New Roman" w:cs="Times New Roman"/>
        </w:rPr>
        <w:t>Shell</w:t>
      </w:r>
      <w:r w:rsidR="00C3757E" w:rsidRPr="00C3757E">
        <w:rPr>
          <w:rFonts w:ascii="Times New Roman" w:hAnsi="Times New Roman" w:cs="Times New Roman"/>
        </w:rPr>
        <w:t>’</w:t>
      </w:r>
      <w:r w:rsidR="00944342" w:rsidRPr="00C3757E">
        <w:rPr>
          <w:rFonts w:ascii="Times New Roman" w:hAnsi="Times New Roman" w:cs="Times New Roman"/>
        </w:rPr>
        <w:t xml:space="preserve">s </w:t>
      </w:r>
      <w:r w:rsidR="00E55918" w:rsidRPr="00C3757E">
        <w:rPr>
          <w:rFonts w:ascii="Times New Roman" w:hAnsi="Times New Roman" w:cs="Times New Roman"/>
        </w:rPr>
        <w:t>lobbying helped delay Standard</w:t>
      </w:r>
      <w:r w:rsidR="00C3757E" w:rsidRPr="00C3757E">
        <w:rPr>
          <w:rFonts w:ascii="Times New Roman" w:hAnsi="Times New Roman" w:cs="Times New Roman"/>
        </w:rPr>
        <w:t>’</w:t>
      </w:r>
      <w:r w:rsidR="00E55918" w:rsidRPr="00C3757E">
        <w:rPr>
          <w:rFonts w:ascii="Times New Roman" w:hAnsi="Times New Roman" w:cs="Times New Roman"/>
        </w:rPr>
        <w:t>s entry into Dutch-controlled Indonesia.</w:t>
      </w:r>
      <w:r w:rsidR="003B3C0F" w:rsidRPr="00C3757E">
        <w:rPr>
          <w:rFonts w:ascii="Times New Roman" w:hAnsi="Times New Roman" w:cs="Times New Roman"/>
        </w:rPr>
        <w:t xml:space="preserve"> </w:t>
      </w:r>
      <w:bookmarkEnd w:id="1"/>
    </w:p>
    <w:p w14:paraId="52D57C59" w14:textId="2671006F" w:rsidR="007351F7" w:rsidRPr="00C3757E" w:rsidRDefault="004D0E9C" w:rsidP="00C3757E">
      <w:pPr>
        <w:spacing w:after="160" w:line="360" w:lineRule="auto"/>
        <w:ind w:firstLine="720"/>
        <w:rPr>
          <w:rFonts w:ascii="Times New Roman" w:hAnsi="Times New Roman" w:cs="Times New Roman"/>
        </w:rPr>
      </w:pPr>
      <w:r w:rsidRPr="00C3757E">
        <w:rPr>
          <w:rFonts w:ascii="Times New Roman" w:hAnsi="Times New Roman" w:cs="Times New Roman"/>
        </w:rPr>
        <w:t xml:space="preserve">A savvy oil company like </w:t>
      </w:r>
      <w:r w:rsidR="0025212B" w:rsidRPr="00C3757E">
        <w:rPr>
          <w:rFonts w:ascii="Times New Roman" w:hAnsi="Times New Roman" w:cs="Times New Roman"/>
        </w:rPr>
        <w:t xml:space="preserve">Shell </w:t>
      </w:r>
      <w:r w:rsidRPr="00C3757E">
        <w:rPr>
          <w:rFonts w:ascii="Times New Roman" w:hAnsi="Times New Roman" w:cs="Times New Roman"/>
        </w:rPr>
        <w:t xml:space="preserve">could make both protectionist and free-trading </w:t>
      </w:r>
      <w:r w:rsidR="00755578" w:rsidRPr="00C3757E">
        <w:rPr>
          <w:rFonts w:ascii="Times New Roman" w:hAnsi="Times New Roman" w:cs="Times New Roman"/>
        </w:rPr>
        <w:t>policies pay. War paid even better: in four years</w:t>
      </w:r>
      <w:r w:rsidR="00163B53">
        <w:rPr>
          <w:rFonts w:ascii="Times New Roman" w:hAnsi="Times New Roman" w:cs="Times New Roman"/>
        </w:rPr>
        <w:t>,</w:t>
      </w:r>
      <w:r w:rsidR="00755578" w:rsidRPr="00C3757E">
        <w:rPr>
          <w:rFonts w:ascii="Times New Roman" w:hAnsi="Times New Roman" w:cs="Times New Roman"/>
        </w:rPr>
        <w:t xml:space="preserve"> </w:t>
      </w:r>
      <w:r w:rsidR="0042453E" w:rsidRPr="00C3757E">
        <w:rPr>
          <w:rFonts w:ascii="Times New Roman" w:hAnsi="Times New Roman" w:cs="Times New Roman"/>
        </w:rPr>
        <w:t>France</w:t>
      </w:r>
      <w:r w:rsidR="00C3757E" w:rsidRPr="00C3757E">
        <w:rPr>
          <w:rFonts w:ascii="Times New Roman" w:hAnsi="Times New Roman" w:cs="Times New Roman"/>
        </w:rPr>
        <w:t>’</w:t>
      </w:r>
      <w:r w:rsidR="0042453E" w:rsidRPr="00C3757E">
        <w:rPr>
          <w:rFonts w:ascii="Times New Roman" w:hAnsi="Times New Roman" w:cs="Times New Roman"/>
        </w:rPr>
        <w:t>s fleet of oil-</w:t>
      </w:r>
      <w:r w:rsidR="00163B53" w:rsidRPr="00C3757E">
        <w:rPr>
          <w:rFonts w:ascii="Times New Roman" w:hAnsi="Times New Roman" w:cs="Times New Roman"/>
        </w:rPr>
        <w:t>fuelled</w:t>
      </w:r>
      <w:r w:rsidR="0042453E" w:rsidRPr="00C3757E">
        <w:rPr>
          <w:rFonts w:ascii="Times New Roman" w:hAnsi="Times New Roman" w:cs="Times New Roman"/>
        </w:rPr>
        <w:t xml:space="preserve"> trucks, </w:t>
      </w:r>
      <w:r w:rsidR="00A06EE6" w:rsidRPr="00C3757E">
        <w:rPr>
          <w:rFonts w:ascii="Times New Roman" w:hAnsi="Times New Roman" w:cs="Times New Roman"/>
        </w:rPr>
        <w:t xml:space="preserve">tractors, </w:t>
      </w:r>
      <w:r w:rsidR="00163B53" w:rsidRPr="00C3757E">
        <w:rPr>
          <w:rFonts w:ascii="Times New Roman" w:hAnsi="Times New Roman" w:cs="Times New Roman"/>
        </w:rPr>
        <w:t>tanks,</w:t>
      </w:r>
      <w:r w:rsidR="00A06EE6" w:rsidRPr="00C3757E">
        <w:rPr>
          <w:rFonts w:ascii="Times New Roman" w:hAnsi="Times New Roman" w:cs="Times New Roman"/>
        </w:rPr>
        <w:t xml:space="preserve"> and planes </w:t>
      </w:r>
      <w:r w:rsidR="0042453E" w:rsidRPr="00C3757E">
        <w:rPr>
          <w:rFonts w:ascii="Times New Roman" w:hAnsi="Times New Roman" w:cs="Times New Roman"/>
        </w:rPr>
        <w:t xml:space="preserve">exploded from </w:t>
      </w:r>
      <w:r w:rsidR="00A06EE6" w:rsidRPr="00C3757E">
        <w:rPr>
          <w:rFonts w:ascii="Times New Roman" w:hAnsi="Times New Roman" w:cs="Times New Roman"/>
        </w:rPr>
        <w:t>316</w:t>
      </w:r>
      <w:r w:rsidR="0042453E" w:rsidRPr="00C3757E">
        <w:rPr>
          <w:rFonts w:ascii="Times New Roman" w:hAnsi="Times New Roman" w:cs="Times New Roman"/>
        </w:rPr>
        <w:t xml:space="preserve"> to </w:t>
      </w:r>
      <w:r w:rsidR="00A06EE6" w:rsidRPr="00C3757E">
        <w:rPr>
          <w:rFonts w:ascii="Times New Roman" w:hAnsi="Times New Roman" w:cs="Times New Roman"/>
        </w:rPr>
        <w:t>97,279</w:t>
      </w:r>
      <w:r w:rsidR="0042453E" w:rsidRPr="00C3757E">
        <w:rPr>
          <w:rFonts w:ascii="Times New Roman" w:hAnsi="Times New Roman" w:cs="Times New Roman"/>
        </w:rPr>
        <w:t>. Admittedly, the war also led governments to set up oil supply agencies</w:t>
      </w:r>
      <w:r w:rsidR="00A06EE6" w:rsidRPr="00C3757E">
        <w:rPr>
          <w:rFonts w:ascii="Times New Roman" w:hAnsi="Times New Roman" w:cs="Times New Roman"/>
        </w:rPr>
        <w:t xml:space="preserve"> such as the French </w:t>
      </w:r>
      <w:r w:rsidR="00F702B1" w:rsidRPr="00F44E25">
        <w:rPr>
          <w:rFonts w:ascii="Times New Roman" w:hAnsi="Times New Roman" w:cs="Times New Roman"/>
        </w:rPr>
        <w:t>Comité Générale des Pétroles</w:t>
      </w:r>
      <w:r w:rsidR="00865FD3" w:rsidRPr="00C3757E">
        <w:rPr>
          <w:rFonts w:ascii="Times New Roman" w:hAnsi="Times New Roman" w:cs="Times New Roman"/>
        </w:rPr>
        <w:t>.</w:t>
      </w:r>
      <w:r w:rsidR="0042453E" w:rsidRPr="00C3757E">
        <w:rPr>
          <w:rFonts w:ascii="Times New Roman" w:hAnsi="Times New Roman" w:cs="Times New Roman"/>
        </w:rPr>
        <w:t xml:space="preserve"> </w:t>
      </w:r>
      <w:r w:rsidR="00865FD3" w:rsidRPr="00C3757E">
        <w:rPr>
          <w:rFonts w:ascii="Times New Roman" w:hAnsi="Times New Roman" w:cs="Times New Roman"/>
        </w:rPr>
        <w:t>R</w:t>
      </w:r>
      <w:r w:rsidR="0042453E" w:rsidRPr="00C3757E">
        <w:rPr>
          <w:rFonts w:ascii="Times New Roman" w:hAnsi="Times New Roman" w:cs="Times New Roman"/>
        </w:rPr>
        <w:t xml:space="preserve">ather than being a </w:t>
      </w:r>
      <w:r w:rsidR="00A06EE6" w:rsidRPr="00C3757E">
        <w:rPr>
          <w:rFonts w:ascii="Times New Roman" w:hAnsi="Times New Roman" w:cs="Times New Roman"/>
        </w:rPr>
        <w:t>route to nationalisation</w:t>
      </w:r>
      <w:r w:rsidR="0042453E" w:rsidRPr="00C3757E">
        <w:rPr>
          <w:rFonts w:ascii="Times New Roman" w:hAnsi="Times New Roman" w:cs="Times New Roman"/>
        </w:rPr>
        <w:t xml:space="preserve">, these </w:t>
      </w:r>
      <w:r w:rsidR="004810A5" w:rsidRPr="00C3757E">
        <w:rPr>
          <w:rFonts w:ascii="Times New Roman" w:hAnsi="Times New Roman" w:cs="Times New Roman"/>
        </w:rPr>
        <w:t xml:space="preserve">agencies </w:t>
      </w:r>
      <w:r w:rsidR="00F702B1" w:rsidRPr="00C3757E">
        <w:rPr>
          <w:rFonts w:ascii="Times New Roman" w:hAnsi="Times New Roman" w:cs="Times New Roman"/>
        </w:rPr>
        <w:t>enabled</w:t>
      </w:r>
      <w:r w:rsidR="004810A5" w:rsidRPr="00C3757E">
        <w:rPr>
          <w:rFonts w:ascii="Times New Roman" w:hAnsi="Times New Roman" w:cs="Times New Roman"/>
        </w:rPr>
        <w:t xml:space="preserve"> state capture by the oil firms</w:t>
      </w:r>
      <w:r w:rsidR="00F702B1" w:rsidRPr="00C3757E">
        <w:rPr>
          <w:rFonts w:ascii="Times New Roman" w:hAnsi="Times New Roman" w:cs="Times New Roman"/>
        </w:rPr>
        <w:t xml:space="preserve">: </w:t>
      </w:r>
      <w:r w:rsidR="004810A5" w:rsidRPr="00C3757E">
        <w:rPr>
          <w:rFonts w:ascii="Times New Roman" w:hAnsi="Times New Roman" w:cs="Times New Roman"/>
        </w:rPr>
        <w:t xml:space="preserve">they were largely staffed by </w:t>
      </w:r>
      <w:r w:rsidR="00AA2F0C" w:rsidRPr="00C3757E">
        <w:rPr>
          <w:rFonts w:ascii="Times New Roman" w:hAnsi="Times New Roman" w:cs="Times New Roman"/>
        </w:rPr>
        <w:t>executives</w:t>
      </w:r>
      <w:r w:rsidR="004810A5" w:rsidRPr="00C3757E">
        <w:rPr>
          <w:rFonts w:ascii="Times New Roman" w:hAnsi="Times New Roman" w:cs="Times New Roman"/>
        </w:rPr>
        <w:t xml:space="preserve"> seconded from the oil industry.</w:t>
      </w:r>
    </w:p>
    <w:p w14:paraId="0396CCB5" w14:textId="190E11E6" w:rsidR="001B2354" w:rsidRPr="00C3757E" w:rsidRDefault="00514B44" w:rsidP="00C3757E">
      <w:pPr>
        <w:spacing w:after="160" w:line="360" w:lineRule="auto"/>
        <w:ind w:firstLine="720"/>
        <w:rPr>
          <w:rFonts w:ascii="Times New Roman" w:hAnsi="Times New Roman" w:cs="Times New Roman"/>
        </w:rPr>
      </w:pPr>
      <w:bookmarkStart w:id="2" w:name="_Hlk92352382"/>
      <w:r w:rsidRPr="00C3757E">
        <w:rPr>
          <w:rFonts w:ascii="Times New Roman" w:hAnsi="Times New Roman" w:cs="Times New Roman"/>
        </w:rPr>
        <w:lastRenderedPageBreak/>
        <w:t>C</w:t>
      </w:r>
      <w:r w:rsidR="00632D7F" w:rsidRPr="00C3757E">
        <w:rPr>
          <w:rFonts w:ascii="Times New Roman" w:hAnsi="Times New Roman" w:cs="Times New Roman"/>
        </w:rPr>
        <w:t>ompanies</w:t>
      </w:r>
      <w:r w:rsidR="0042453E" w:rsidRPr="00C3757E">
        <w:rPr>
          <w:rFonts w:ascii="Times New Roman" w:hAnsi="Times New Roman" w:cs="Times New Roman"/>
        </w:rPr>
        <w:t xml:space="preserve"> making so much money</w:t>
      </w:r>
      <w:r w:rsidRPr="00C3757E">
        <w:rPr>
          <w:rFonts w:ascii="Times New Roman" w:hAnsi="Times New Roman" w:cs="Times New Roman"/>
        </w:rPr>
        <w:t xml:space="preserve"> might have</w:t>
      </w:r>
      <w:r w:rsidR="0042453E" w:rsidRPr="00C3757E">
        <w:rPr>
          <w:rFonts w:ascii="Times New Roman" w:hAnsi="Times New Roman" w:cs="Times New Roman"/>
        </w:rPr>
        <w:t xml:space="preserve"> </w:t>
      </w:r>
      <w:r w:rsidR="004810A5" w:rsidRPr="00C3757E">
        <w:rPr>
          <w:rFonts w:ascii="Times New Roman" w:hAnsi="Times New Roman" w:cs="Times New Roman"/>
        </w:rPr>
        <w:t>behave</w:t>
      </w:r>
      <w:r w:rsidRPr="00C3757E">
        <w:rPr>
          <w:rFonts w:ascii="Times New Roman" w:hAnsi="Times New Roman" w:cs="Times New Roman"/>
        </w:rPr>
        <w:t>d</w:t>
      </w:r>
      <w:r w:rsidR="004810A5" w:rsidRPr="00C3757E">
        <w:rPr>
          <w:rFonts w:ascii="Times New Roman" w:hAnsi="Times New Roman" w:cs="Times New Roman"/>
        </w:rPr>
        <w:t xml:space="preserve"> nice</w:t>
      </w:r>
      <w:r w:rsidRPr="00C3757E">
        <w:rPr>
          <w:rFonts w:ascii="Times New Roman" w:hAnsi="Times New Roman" w:cs="Times New Roman"/>
        </w:rPr>
        <w:t>ly</w:t>
      </w:r>
      <w:r w:rsidR="004810A5" w:rsidRPr="00C3757E">
        <w:rPr>
          <w:rFonts w:ascii="Times New Roman" w:hAnsi="Times New Roman" w:cs="Times New Roman"/>
        </w:rPr>
        <w:t xml:space="preserve"> to each other</w:t>
      </w:r>
      <w:r w:rsidR="0042453E" w:rsidRPr="00C3757E">
        <w:rPr>
          <w:rFonts w:ascii="Times New Roman" w:hAnsi="Times New Roman" w:cs="Times New Roman"/>
        </w:rPr>
        <w:t xml:space="preserve">. </w:t>
      </w:r>
      <w:r w:rsidR="00632D7F" w:rsidRPr="00C3757E">
        <w:rPr>
          <w:rFonts w:ascii="Times New Roman" w:hAnsi="Times New Roman" w:cs="Times New Roman"/>
        </w:rPr>
        <w:t>On the contrary</w:t>
      </w:r>
      <w:r w:rsidR="004810A5" w:rsidRPr="00C3757E">
        <w:rPr>
          <w:rFonts w:ascii="Times New Roman" w:hAnsi="Times New Roman" w:cs="Times New Roman"/>
        </w:rPr>
        <w:t xml:space="preserve">, </w:t>
      </w:r>
      <w:r w:rsidR="00632D7F" w:rsidRPr="00C3757E">
        <w:rPr>
          <w:rFonts w:ascii="Times New Roman" w:hAnsi="Times New Roman" w:cs="Times New Roman"/>
        </w:rPr>
        <w:t xml:space="preserve">they were not above creating a phoney supply </w:t>
      </w:r>
      <w:r w:rsidR="00C3757E" w:rsidRPr="00C3757E">
        <w:rPr>
          <w:rFonts w:ascii="Times New Roman" w:hAnsi="Times New Roman" w:cs="Times New Roman"/>
        </w:rPr>
        <w:t>‘</w:t>
      </w:r>
      <w:r w:rsidR="00632D7F" w:rsidRPr="00C3757E">
        <w:rPr>
          <w:rFonts w:ascii="Times New Roman" w:hAnsi="Times New Roman" w:cs="Times New Roman"/>
        </w:rPr>
        <w:t>crisis</w:t>
      </w:r>
      <w:r w:rsidR="00C3757E" w:rsidRPr="00C3757E">
        <w:rPr>
          <w:rFonts w:ascii="Times New Roman" w:hAnsi="Times New Roman" w:cs="Times New Roman"/>
        </w:rPr>
        <w:t>’</w:t>
      </w:r>
      <w:r w:rsidR="00632D7F" w:rsidRPr="00C3757E">
        <w:rPr>
          <w:rFonts w:ascii="Times New Roman" w:hAnsi="Times New Roman" w:cs="Times New Roman"/>
        </w:rPr>
        <w:t>, as in 1917</w:t>
      </w:r>
      <w:r w:rsidR="004810A5" w:rsidRPr="00C3757E">
        <w:rPr>
          <w:rFonts w:ascii="Times New Roman" w:hAnsi="Times New Roman" w:cs="Times New Roman"/>
        </w:rPr>
        <w:t>, simply to boost market share.</w:t>
      </w:r>
      <w:r w:rsidR="00632D7F" w:rsidRPr="00C3757E">
        <w:rPr>
          <w:rFonts w:ascii="Times New Roman" w:hAnsi="Times New Roman" w:cs="Times New Roman"/>
        </w:rPr>
        <w:t xml:space="preserve"> </w:t>
      </w:r>
      <w:r w:rsidR="00AF6F20" w:rsidRPr="00C3757E">
        <w:rPr>
          <w:rFonts w:ascii="Times New Roman" w:hAnsi="Times New Roman" w:cs="Times New Roman"/>
        </w:rPr>
        <w:t>By exaggerating the effect of German submarines on trans</w:t>
      </w:r>
      <w:r w:rsidR="00410D45" w:rsidRPr="00C3757E">
        <w:rPr>
          <w:rFonts w:ascii="Times New Roman" w:hAnsi="Times New Roman" w:cs="Times New Roman"/>
        </w:rPr>
        <w:t>a</w:t>
      </w:r>
      <w:r w:rsidR="00AF6F20" w:rsidRPr="00C3757E">
        <w:rPr>
          <w:rFonts w:ascii="Times New Roman" w:hAnsi="Times New Roman" w:cs="Times New Roman"/>
        </w:rPr>
        <w:t>tlantic tankers, Shell claimed, falsely, that France would run out of oil in a matter of months.</w:t>
      </w:r>
      <w:r w:rsidR="00632D7F" w:rsidRPr="00C3757E">
        <w:rPr>
          <w:rFonts w:ascii="Times New Roman" w:hAnsi="Times New Roman" w:cs="Times New Roman"/>
        </w:rPr>
        <w:t xml:space="preserve"> </w:t>
      </w:r>
      <w:r w:rsidR="00AF6F20" w:rsidRPr="00C3757E">
        <w:rPr>
          <w:rFonts w:ascii="Times New Roman" w:hAnsi="Times New Roman" w:cs="Times New Roman"/>
        </w:rPr>
        <w:t xml:space="preserve">Shell </w:t>
      </w:r>
      <w:r w:rsidR="00632D7F" w:rsidRPr="00C3757E">
        <w:rPr>
          <w:rFonts w:ascii="Times New Roman" w:hAnsi="Times New Roman" w:cs="Times New Roman"/>
        </w:rPr>
        <w:t>persuade</w:t>
      </w:r>
      <w:r w:rsidR="00AF6F20" w:rsidRPr="00C3757E">
        <w:rPr>
          <w:rFonts w:ascii="Times New Roman" w:hAnsi="Times New Roman" w:cs="Times New Roman"/>
        </w:rPr>
        <w:t>d</w:t>
      </w:r>
      <w:r w:rsidR="00632D7F" w:rsidRPr="00C3757E">
        <w:rPr>
          <w:rFonts w:ascii="Times New Roman" w:hAnsi="Times New Roman" w:cs="Times New Roman"/>
        </w:rPr>
        <w:t xml:space="preserve"> </w:t>
      </w:r>
      <w:r w:rsidR="00AA2F0C" w:rsidRPr="00C3757E">
        <w:rPr>
          <w:rFonts w:ascii="Times New Roman" w:hAnsi="Times New Roman" w:cs="Times New Roman"/>
        </w:rPr>
        <w:t xml:space="preserve">the </w:t>
      </w:r>
      <w:r w:rsidR="007351F7" w:rsidRPr="00C3757E">
        <w:rPr>
          <w:rFonts w:ascii="Times New Roman" w:hAnsi="Times New Roman" w:cs="Times New Roman"/>
        </w:rPr>
        <w:t xml:space="preserve">French </w:t>
      </w:r>
      <w:r w:rsidR="00457C22" w:rsidRPr="00C3757E">
        <w:rPr>
          <w:rFonts w:ascii="Times New Roman" w:hAnsi="Times New Roman" w:cs="Times New Roman"/>
        </w:rPr>
        <w:t>prime minister Georges Clemenceau</w:t>
      </w:r>
      <w:r w:rsidR="00632D7F" w:rsidRPr="00C3757E">
        <w:rPr>
          <w:rFonts w:ascii="Times New Roman" w:hAnsi="Times New Roman" w:cs="Times New Roman"/>
        </w:rPr>
        <w:t xml:space="preserve"> to lobby </w:t>
      </w:r>
      <w:r w:rsidR="007351F7" w:rsidRPr="00C3757E">
        <w:rPr>
          <w:rFonts w:ascii="Times New Roman" w:hAnsi="Times New Roman" w:cs="Times New Roman"/>
        </w:rPr>
        <w:t xml:space="preserve">US </w:t>
      </w:r>
      <w:r w:rsidR="004810A5" w:rsidRPr="00C3757E">
        <w:rPr>
          <w:rFonts w:ascii="Times New Roman" w:hAnsi="Times New Roman" w:cs="Times New Roman"/>
        </w:rPr>
        <w:t>p</w:t>
      </w:r>
      <w:r w:rsidR="007351F7" w:rsidRPr="00C3757E">
        <w:rPr>
          <w:rFonts w:ascii="Times New Roman" w:hAnsi="Times New Roman" w:cs="Times New Roman"/>
        </w:rPr>
        <w:t>resident Woodrow Wilson</w:t>
      </w:r>
      <w:r w:rsidR="00632D7F" w:rsidRPr="00C3757E">
        <w:rPr>
          <w:rFonts w:ascii="Times New Roman" w:hAnsi="Times New Roman" w:cs="Times New Roman"/>
        </w:rPr>
        <w:t xml:space="preserve"> to put pressure on </w:t>
      </w:r>
      <w:r w:rsidR="004810A5" w:rsidRPr="00C3757E">
        <w:rPr>
          <w:rFonts w:ascii="Times New Roman" w:hAnsi="Times New Roman" w:cs="Times New Roman"/>
        </w:rPr>
        <w:t xml:space="preserve">Standard Oil </w:t>
      </w:r>
      <w:r w:rsidR="00632D7F" w:rsidRPr="00C3757E">
        <w:rPr>
          <w:rFonts w:ascii="Times New Roman" w:hAnsi="Times New Roman" w:cs="Times New Roman"/>
        </w:rPr>
        <w:t xml:space="preserve">to move </w:t>
      </w:r>
      <w:r w:rsidR="00457C22" w:rsidRPr="00C3757E">
        <w:rPr>
          <w:rFonts w:ascii="Times New Roman" w:hAnsi="Times New Roman" w:cs="Times New Roman"/>
        </w:rPr>
        <w:t>four</w:t>
      </w:r>
      <w:r w:rsidR="007351F7" w:rsidRPr="00C3757E">
        <w:rPr>
          <w:rFonts w:ascii="Times New Roman" w:hAnsi="Times New Roman" w:cs="Times New Roman"/>
        </w:rPr>
        <w:t xml:space="preserve"> of its</w:t>
      </w:r>
      <w:r w:rsidR="00632D7F" w:rsidRPr="00C3757E">
        <w:rPr>
          <w:rFonts w:ascii="Times New Roman" w:hAnsi="Times New Roman" w:cs="Times New Roman"/>
        </w:rPr>
        <w:t xml:space="preserve"> tankers from the Pacific to the Atlantic. </w:t>
      </w:r>
      <w:r w:rsidR="007351F7" w:rsidRPr="00C3757E">
        <w:rPr>
          <w:rFonts w:ascii="Times New Roman" w:hAnsi="Times New Roman" w:cs="Times New Roman"/>
        </w:rPr>
        <w:t>For Shell, it was a matter of defending Asian oil markets</w:t>
      </w:r>
      <w:r w:rsidR="00457C22" w:rsidRPr="00C3757E">
        <w:rPr>
          <w:rFonts w:ascii="Times New Roman" w:hAnsi="Times New Roman" w:cs="Times New Roman"/>
        </w:rPr>
        <w:t xml:space="preserve"> against Standard Oil</w:t>
      </w:r>
      <w:r w:rsidR="007351F7" w:rsidRPr="00C3757E">
        <w:rPr>
          <w:rFonts w:ascii="Times New Roman" w:hAnsi="Times New Roman" w:cs="Times New Roman"/>
        </w:rPr>
        <w:t xml:space="preserve">. But for the </w:t>
      </w:r>
      <w:r w:rsidR="001B2354" w:rsidRPr="00C3757E">
        <w:rPr>
          <w:rFonts w:ascii="Times New Roman" w:hAnsi="Times New Roman" w:cs="Times New Roman"/>
        </w:rPr>
        <w:t>statesmen and generals</w:t>
      </w:r>
      <w:r w:rsidR="007351F7" w:rsidRPr="00C3757E">
        <w:rPr>
          <w:rFonts w:ascii="Times New Roman" w:hAnsi="Times New Roman" w:cs="Times New Roman"/>
        </w:rPr>
        <w:t xml:space="preserve">, </w:t>
      </w:r>
      <w:r w:rsidR="001B2354" w:rsidRPr="00C3757E">
        <w:rPr>
          <w:rFonts w:ascii="Times New Roman" w:hAnsi="Times New Roman" w:cs="Times New Roman"/>
        </w:rPr>
        <w:t>it was something more important</w:t>
      </w:r>
      <w:r w:rsidR="007351F7" w:rsidRPr="00C3757E">
        <w:rPr>
          <w:rFonts w:ascii="Times New Roman" w:hAnsi="Times New Roman" w:cs="Times New Roman"/>
        </w:rPr>
        <w:t xml:space="preserve">. </w:t>
      </w:r>
      <w:bookmarkEnd w:id="2"/>
    </w:p>
    <w:p w14:paraId="147A5C33" w14:textId="0178B923" w:rsidR="006D1581" w:rsidRPr="00C3757E" w:rsidRDefault="00047667" w:rsidP="00C3757E">
      <w:pPr>
        <w:spacing w:after="160" w:line="360" w:lineRule="auto"/>
        <w:ind w:firstLine="720"/>
        <w:rPr>
          <w:rFonts w:ascii="Times New Roman" w:hAnsi="Times New Roman" w:cs="Times New Roman"/>
        </w:rPr>
      </w:pPr>
      <w:r w:rsidRPr="00C3757E">
        <w:rPr>
          <w:rFonts w:ascii="Times New Roman" w:hAnsi="Times New Roman" w:cs="Times New Roman"/>
        </w:rPr>
        <w:t xml:space="preserve">The </w:t>
      </w:r>
      <w:r w:rsidR="004B580C" w:rsidRPr="00C3757E">
        <w:rPr>
          <w:rFonts w:ascii="Times New Roman" w:hAnsi="Times New Roman" w:cs="Times New Roman"/>
        </w:rPr>
        <w:t>latter</w:t>
      </w:r>
      <w:r w:rsidR="00C3757E" w:rsidRPr="00C3757E">
        <w:rPr>
          <w:rFonts w:ascii="Times New Roman" w:hAnsi="Times New Roman" w:cs="Times New Roman"/>
        </w:rPr>
        <w:t>’</w:t>
      </w:r>
      <w:r w:rsidR="004B580C" w:rsidRPr="00C3757E">
        <w:rPr>
          <w:rFonts w:ascii="Times New Roman" w:hAnsi="Times New Roman" w:cs="Times New Roman"/>
        </w:rPr>
        <w:t>s</w:t>
      </w:r>
      <w:r w:rsidRPr="00C3757E">
        <w:rPr>
          <w:rFonts w:ascii="Times New Roman" w:hAnsi="Times New Roman" w:cs="Times New Roman"/>
        </w:rPr>
        <w:t xml:space="preserve"> perspective was that of the front and the factory, measured in days</w:t>
      </w:r>
      <w:r w:rsidR="00C3757E" w:rsidRPr="00C3757E">
        <w:rPr>
          <w:rFonts w:ascii="Times New Roman" w:hAnsi="Times New Roman" w:cs="Times New Roman"/>
        </w:rPr>
        <w:t>’</w:t>
      </w:r>
      <w:r w:rsidRPr="00C3757E">
        <w:rPr>
          <w:rFonts w:ascii="Times New Roman" w:hAnsi="Times New Roman" w:cs="Times New Roman"/>
        </w:rPr>
        <w:t xml:space="preserve"> supply of gasoline and daily output of TNT. The oil compan</w:t>
      </w:r>
      <w:r w:rsidR="0083022C" w:rsidRPr="00C3757E">
        <w:rPr>
          <w:rFonts w:ascii="Times New Roman" w:hAnsi="Times New Roman" w:cs="Times New Roman"/>
        </w:rPr>
        <w:t>ies</w:t>
      </w:r>
      <w:r w:rsidR="00C3757E" w:rsidRPr="00C3757E">
        <w:rPr>
          <w:rFonts w:ascii="Times New Roman" w:hAnsi="Times New Roman" w:cs="Times New Roman"/>
        </w:rPr>
        <w:t>’</w:t>
      </w:r>
      <w:r w:rsidRPr="00C3757E">
        <w:rPr>
          <w:rFonts w:ascii="Times New Roman" w:hAnsi="Times New Roman" w:cs="Times New Roman"/>
        </w:rPr>
        <w:t xml:space="preserve"> perspective was </w:t>
      </w:r>
      <w:r w:rsidR="004810A5" w:rsidRPr="00C3757E">
        <w:rPr>
          <w:rFonts w:ascii="Times New Roman" w:hAnsi="Times New Roman" w:cs="Times New Roman"/>
        </w:rPr>
        <w:t>global</w:t>
      </w:r>
      <w:r w:rsidRPr="00C3757E">
        <w:rPr>
          <w:rFonts w:ascii="Times New Roman" w:hAnsi="Times New Roman" w:cs="Times New Roman"/>
        </w:rPr>
        <w:t xml:space="preserve"> market share</w:t>
      </w:r>
      <w:r w:rsidR="001B2354" w:rsidRPr="00C3757E">
        <w:rPr>
          <w:rFonts w:ascii="Times New Roman" w:hAnsi="Times New Roman" w:cs="Times New Roman"/>
        </w:rPr>
        <w:t>.</w:t>
      </w:r>
      <w:r w:rsidRPr="00C3757E">
        <w:rPr>
          <w:rFonts w:ascii="Times New Roman" w:hAnsi="Times New Roman" w:cs="Times New Roman"/>
        </w:rPr>
        <w:t xml:space="preserve"> </w:t>
      </w:r>
      <w:r w:rsidR="00865FD3" w:rsidRPr="00C3757E">
        <w:rPr>
          <w:rFonts w:ascii="Times New Roman" w:hAnsi="Times New Roman" w:cs="Times New Roman"/>
        </w:rPr>
        <w:t>The war</w:t>
      </w:r>
      <w:r w:rsidR="0083022C" w:rsidRPr="00C3757E">
        <w:rPr>
          <w:rFonts w:ascii="Times New Roman" w:hAnsi="Times New Roman" w:cs="Times New Roman"/>
        </w:rPr>
        <w:t xml:space="preserve"> among</w:t>
      </w:r>
      <w:r w:rsidR="004733DE" w:rsidRPr="00C3757E">
        <w:rPr>
          <w:rFonts w:ascii="Times New Roman" w:hAnsi="Times New Roman" w:cs="Times New Roman"/>
        </w:rPr>
        <w:t xml:space="preserve"> these emerging oil </w:t>
      </w:r>
      <w:r w:rsidR="00C3757E" w:rsidRPr="00C3757E">
        <w:rPr>
          <w:rFonts w:ascii="Times New Roman" w:hAnsi="Times New Roman" w:cs="Times New Roman"/>
        </w:rPr>
        <w:t>‘</w:t>
      </w:r>
      <w:r w:rsidR="004733DE" w:rsidRPr="00C3757E">
        <w:rPr>
          <w:rFonts w:ascii="Times New Roman" w:hAnsi="Times New Roman" w:cs="Times New Roman"/>
        </w:rPr>
        <w:t>majors</w:t>
      </w:r>
      <w:r w:rsidR="00C3757E" w:rsidRPr="00C3757E">
        <w:rPr>
          <w:rFonts w:ascii="Times New Roman" w:hAnsi="Times New Roman" w:cs="Times New Roman"/>
        </w:rPr>
        <w:t>’</w:t>
      </w:r>
      <w:r w:rsidR="004733DE" w:rsidRPr="00C3757E">
        <w:rPr>
          <w:rFonts w:ascii="Times New Roman" w:hAnsi="Times New Roman" w:cs="Times New Roman"/>
        </w:rPr>
        <w:t xml:space="preserve"> never stopped, even during the odd </w:t>
      </w:r>
      <w:r w:rsidR="0083022C" w:rsidRPr="00C3757E">
        <w:rPr>
          <w:rFonts w:ascii="Times New Roman" w:hAnsi="Times New Roman" w:cs="Times New Roman"/>
        </w:rPr>
        <w:t>negotiated cease-fire</w:t>
      </w:r>
      <w:r w:rsidR="004733DE" w:rsidRPr="00C3757E">
        <w:rPr>
          <w:rFonts w:ascii="Times New Roman" w:hAnsi="Times New Roman" w:cs="Times New Roman"/>
        </w:rPr>
        <w:t xml:space="preserve">. As the oil magnate Calouste Gulbenkian put it, </w:t>
      </w:r>
      <w:r w:rsidR="00C3757E" w:rsidRPr="00C3757E">
        <w:rPr>
          <w:rFonts w:ascii="Times New Roman" w:hAnsi="Times New Roman" w:cs="Times New Roman"/>
        </w:rPr>
        <w:t>‘</w:t>
      </w:r>
      <w:r w:rsidR="004733DE" w:rsidRPr="00C3757E">
        <w:rPr>
          <w:rFonts w:ascii="Times New Roman" w:hAnsi="Times New Roman" w:cs="Times New Roman"/>
        </w:rPr>
        <w:t>oil men are like cats: you never know listening to them whether they are fighting or making love.</w:t>
      </w:r>
      <w:r w:rsidR="00C3757E" w:rsidRPr="00C3757E">
        <w:rPr>
          <w:rFonts w:ascii="Times New Roman" w:hAnsi="Times New Roman" w:cs="Times New Roman"/>
        </w:rPr>
        <w:t>’</w:t>
      </w:r>
      <w:r w:rsidR="0083022C" w:rsidRPr="00C3757E">
        <w:rPr>
          <w:rFonts w:ascii="Times New Roman" w:hAnsi="Times New Roman" w:cs="Times New Roman"/>
        </w:rPr>
        <w:t xml:space="preserve"> </w:t>
      </w:r>
      <w:r w:rsidR="003273CC" w:rsidRPr="00C3757E">
        <w:rPr>
          <w:rFonts w:ascii="Times New Roman" w:hAnsi="Times New Roman" w:cs="Times New Roman"/>
        </w:rPr>
        <w:t>Middle East</w:t>
      </w:r>
      <w:r w:rsidR="00163B53">
        <w:rPr>
          <w:rFonts w:ascii="Times New Roman" w:hAnsi="Times New Roman" w:cs="Times New Roman"/>
        </w:rPr>
        <w:t>ern</w:t>
      </w:r>
      <w:r w:rsidR="003273CC" w:rsidRPr="00C3757E">
        <w:rPr>
          <w:rFonts w:ascii="Times New Roman" w:hAnsi="Times New Roman" w:cs="Times New Roman"/>
        </w:rPr>
        <w:t xml:space="preserve"> </w:t>
      </w:r>
      <w:r w:rsidR="0083022C" w:rsidRPr="00C3757E">
        <w:rPr>
          <w:rFonts w:ascii="Times New Roman" w:hAnsi="Times New Roman" w:cs="Times New Roman"/>
        </w:rPr>
        <w:t xml:space="preserve">oil played a central role in the shift from cut-throat competition to </w:t>
      </w:r>
      <w:r w:rsidR="00C3757E" w:rsidRPr="00C3757E">
        <w:rPr>
          <w:rFonts w:ascii="Times New Roman" w:hAnsi="Times New Roman" w:cs="Times New Roman"/>
        </w:rPr>
        <w:t>‘</w:t>
      </w:r>
      <w:r w:rsidR="0083022C" w:rsidRPr="00C3757E">
        <w:rPr>
          <w:rFonts w:ascii="Times New Roman" w:hAnsi="Times New Roman" w:cs="Times New Roman"/>
        </w:rPr>
        <w:t>making love</w:t>
      </w:r>
      <w:r w:rsidR="00C3757E" w:rsidRPr="00C3757E">
        <w:rPr>
          <w:rFonts w:ascii="Times New Roman" w:hAnsi="Times New Roman" w:cs="Times New Roman"/>
        </w:rPr>
        <w:t>’</w:t>
      </w:r>
      <w:r w:rsidR="0083022C" w:rsidRPr="00C3757E">
        <w:rPr>
          <w:rFonts w:ascii="Times New Roman" w:hAnsi="Times New Roman" w:cs="Times New Roman"/>
        </w:rPr>
        <w:t>.</w:t>
      </w:r>
    </w:p>
    <w:p w14:paraId="3AA7C881" w14:textId="77777777" w:rsidR="0083022C" w:rsidRPr="00C3757E" w:rsidRDefault="0083022C" w:rsidP="00C3757E">
      <w:pPr>
        <w:spacing w:after="160" w:line="360" w:lineRule="auto"/>
        <w:rPr>
          <w:rFonts w:ascii="Times New Roman" w:hAnsi="Times New Roman" w:cs="Times New Roman"/>
        </w:rPr>
      </w:pPr>
    </w:p>
    <w:p w14:paraId="76B02DB1" w14:textId="38CFFE5A" w:rsidR="0083022C" w:rsidRPr="00C3757E" w:rsidRDefault="0083022C" w:rsidP="00C3757E">
      <w:pPr>
        <w:spacing w:after="160" w:line="360" w:lineRule="auto"/>
        <w:rPr>
          <w:rFonts w:ascii="Times New Roman" w:hAnsi="Times New Roman" w:cs="Times New Roman"/>
          <w:b/>
          <w:bCs/>
        </w:rPr>
      </w:pPr>
      <w:r w:rsidRPr="00C3757E">
        <w:rPr>
          <w:rFonts w:ascii="Times New Roman" w:hAnsi="Times New Roman" w:cs="Times New Roman"/>
          <w:b/>
          <w:bCs/>
        </w:rPr>
        <w:t>Making Love</w:t>
      </w:r>
    </w:p>
    <w:p w14:paraId="6D7487D0" w14:textId="116997EB" w:rsidR="00410D45" w:rsidRPr="00C3757E" w:rsidRDefault="005B6DCB" w:rsidP="00C3757E">
      <w:pPr>
        <w:spacing w:after="160" w:line="360" w:lineRule="auto"/>
        <w:rPr>
          <w:rFonts w:ascii="Times New Roman" w:hAnsi="Times New Roman" w:cs="Times New Roman"/>
        </w:rPr>
      </w:pPr>
      <w:r w:rsidRPr="00C3757E">
        <w:rPr>
          <w:rFonts w:ascii="Times New Roman" w:hAnsi="Times New Roman" w:cs="Times New Roman"/>
        </w:rPr>
        <w:t>A polyglot Ottoman-Armenian</w:t>
      </w:r>
      <w:r w:rsidR="001B2354" w:rsidRPr="00C3757E">
        <w:rPr>
          <w:rFonts w:ascii="Times New Roman" w:hAnsi="Times New Roman" w:cs="Times New Roman"/>
        </w:rPr>
        <w:t xml:space="preserve">, </w:t>
      </w:r>
      <w:r w:rsidR="003A1F3F" w:rsidRPr="00C3757E">
        <w:rPr>
          <w:rFonts w:ascii="Times New Roman" w:hAnsi="Times New Roman" w:cs="Times New Roman"/>
        </w:rPr>
        <w:t>Gulbenkian</w:t>
      </w:r>
      <w:r w:rsidR="003E525E" w:rsidRPr="00C3757E">
        <w:rPr>
          <w:rFonts w:ascii="Times New Roman" w:hAnsi="Times New Roman" w:cs="Times New Roman"/>
        </w:rPr>
        <w:t xml:space="preserve"> (</w:t>
      </w:r>
      <w:r w:rsidR="00163B53">
        <w:rPr>
          <w:rFonts w:ascii="Times New Roman" w:hAnsi="Times New Roman" w:cs="Times New Roman"/>
        </w:rPr>
        <w:t>F</w:t>
      </w:r>
      <w:r w:rsidR="003E525E" w:rsidRPr="00C3757E">
        <w:rPr>
          <w:rFonts w:ascii="Times New Roman" w:hAnsi="Times New Roman" w:cs="Times New Roman"/>
        </w:rPr>
        <w:t>ig</w:t>
      </w:r>
      <w:r w:rsidR="00163B53">
        <w:rPr>
          <w:rFonts w:ascii="Times New Roman" w:hAnsi="Times New Roman" w:cs="Times New Roman"/>
        </w:rPr>
        <w:t>. 2</w:t>
      </w:r>
      <w:r w:rsidR="003E525E" w:rsidRPr="00C3757E">
        <w:rPr>
          <w:rFonts w:ascii="Times New Roman" w:hAnsi="Times New Roman" w:cs="Times New Roman"/>
        </w:rPr>
        <w:t>)</w:t>
      </w:r>
      <w:r w:rsidR="003A1F3F" w:rsidRPr="00C3757E">
        <w:rPr>
          <w:rFonts w:ascii="Times New Roman" w:hAnsi="Times New Roman" w:cs="Times New Roman"/>
        </w:rPr>
        <w:t xml:space="preserve"> was fond of collecting idioms, including the Dutch </w:t>
      </w:r>
      <w:r w:rsidR="003A1F3F" w:rsidRPr="00C3757E">
        <w:rPr>
          <w:rFonts w:ascii="Times New Roman" w:hAnsi="Times New Roman" w:cs="Times New Roman"/>
          <w:i/>
          <w:iCs/>
        </w:rPr>
        <w:t xml:space="preserve">eendracht maakt macht </w:t>
      </w:r>
      <w:r w:rsidR="003A1F3F" w:rsidRPr="00C3757E">
        <w:rPr>
          <w:rFonts w:ascii="Times New Roman" w:hAnsi="Times New Roman" w:cs="Times New Roman"/>
        </w:rPr>
        <w:t>(</w:t>
      </w:r>
      <w:r w:rsidR="00C3757E" w:rsidRPr="00C3757E">
        <w:rPr>
          <w:rFonts w:ascii="Times New Roman" w:hAnsi="Times New Roman" w:cs="Times New Roman"/>
        </w:rPr>
        <w:t>‘</w:t>
      </w:r>
      <w:r w:rsidR="003A1F3F" w:rsidRPr="00C3757E">
        <w:rPr>
          <w:rFonts w:ascii="Times New Roman" w:hAnsi="Times New Roman" w:cs="Times New Roman"/>
        </w:rPr>
        <w:t>unity is strength</w:t>
      </w:r>
      <w:r w:rsidR="00C3757E" w:rsidRPr="00C3757E">
        <w:rPr>
          <w:rFonts w:ascii="Times New Roman" w:hAnsi="Times New Roman" w:cs="Times New Roman"/>
        </w:rPr>
        <w:t>’</w:t>
      </w:r>
      <w:r w:rsidR="003A1F3F" w:rsidRPr="00C3757E">
        <w:rPr>
          <w:rFonts w:ascii="Times New Roman" w:hAnsi="Times New Roman" w:cs="Times New Roman"/>
        </w:rPr>
        <w:t xml:space="preserve">). In the years leading up to </w:t>
      </w:r>
      <w:r w:rsidR="009E4598">
        <w:rPr>
          <w:rFonts w:ascii="Times New Roman" w:hAnsi="Times New Roman" w:cs="Times New Roman"/>
        </w:rPr>
        <w:t>World War I,</w:t>
      </w:r>
      <w:r w:rsidR="009E4598" w:rsidRPr="00C3757E">
        <w:rPr>
          <w:rFonts w:ascii="Times New Roman" w:hAnsi="Times New Roman" w:cs="Times New Roman"/>
        </w:rPr>
        <w:t xml:space="preserve"> </w:t>
      </w:r>
      <w:r w:rsidR="003A1F3F" w:rsidRPr="00C3757E">
        <w:rPr>
          <w:rFonts w:ascii="Times New Roman" w:hAnsi="Times New Roman" w:cs="Times New Roman"/>
        </w:rPr>
        <w:t>he observed how rival concession holders prevented each other from developing their claims</w:t>
      </w:r>
      <w:r w:rsidRPr="00C3757E">
        <w:rPr>
          <w:rFonts w:ascii="Times New Roman" w:hAnsi="Times New Roman" w:cs="Times New Roman"/>
        </w:rPr>
        <w:t xml:space="preserve"> within the Ottoman Empire</w:t>
      </w:r>
      <w:r w:rsidR="003A1F3F" w:rsidRPr="00C3757E">
        <w:rPr>
          <w:rFonts w:ascii="Times New Roman" w:hAnsi="Times New Roman" w:cs="Times New Roman"/>
        </w:rPr>
        <w:t xml:space="preserve">: </w:t>
      </w:r>
      <w:r w:rsidR="00824F34" w:rsidRPr="00C3757E">
        <w:rPr>
          <w:rFonts w:ascii="Times New Roman" w:hAnsi="Times New Roman" w:cs="Times New Roman"/>
        </w:rPr>
        <w:t>whenever Deutsche Bank</w:t>
      </w:r>
      <w:r w:rsidR="00C3757E" w:rsidRPr="00C3757E">
        <w:rPr>
          <w:rFonts w:ascii="Times New Roman" w:hAnsi="Times New Roman" w:cs="Times New Roman"/>
        </w:rPr>
        <w:t>’</w:t>
      </w:r>
      <w:r w:rsidR="00824F34" w:rsidRPr="00C3757E">
        <w:rPr>
          <w:rFonts w:ascii="Times New Roman" w:hAnsi="Times New Roman" w:cs="Times New Roman"/>
        </w:rPr>
        <w:t>s concession seemed to be making progress</w:t>
      </w:r>
      <w:r w:rsidR="009E4598">
        <w:rPr>
          <w:rFonts w:ascii="Times New Roman" w:hAnsi="Times New Roman" w:cs="Times New Roman"/>
        </w:rPr>
        <w:t>,</w:t>
      </w:r>
      <w:r w:rsidR="00824F34" w:rsidRPr="00C3757E">
        <w:rPr>
          <w:rFonts w:ascii="Times New Roman" w:hAnsi="Times New Roman" w:cs="Times New Roman"/>
        </w:rPr>
        <w:t xml:space="preserve"> </w:t>
      </w:r>
      <w:r w:rsidR="001761BA" w:rsidRPr="00C3757E">
        <w:rPr>
          <w:rFonts w:ascii="Times New Roman" w:hAnsi="Times New Roman" w:cs="Times New Roman"/>
        </w:rPr>
        <w:t xml:space="preserve">American, </w:t>
      </w:r>
      <w:r w:rsidR="00824F34" w:rsidRPr="00C3757E">
        <w:rPr>
          <w:rFonts w:ascii="Times New Roman" w:hAnsi="Times New Roman" w:cs="Times New Roman"/>
        </w:rPr>
        <w:t>British</w:t>
      </w:r>
      <w:r w:rsidR="009E4598">
        <w:rPr>
          <w:rFonts w:ascii="Times New Roman" w:hAnsi="Times New Roman" w:cs="Times New Roman"/>
        </w:rPr>
        <w:t>,</w:t>
      </w:r>
      <w:r w:rsidR="00824F34" w:rsidRPr="00C3757E">
        <w:rPr>
          <w:rFonts w:ascii="Times New Roman" w:hAnsi="Times New Roman" w:cs="Times New Roman"/>
        </w:rPr>
        <w:t xml:space="preserve"> and French ambassadors in Istanbul would pressure the Ottomans to stop</w:t>
      </w:r>
      <w:r w:rsidRPr="00C3757E">
        <w:rPr>
          <w:rFonts w:ascii="Times New Roman" w:hAnsi="Times New Roman" w:cs="Times New Roman"/>
        </w:rPr>
        <w:t>.</w:t>
      </w:r>
      <w:r w:rsidR="00824F34" w:rsidRPr="00C3757E">
        <w:rPr>
          <w:rFonts w:ascii="Times New Roman" w:hAnsi="Times New Roman" w:cs="Times New Roman"/>
        </w:rPr>
        <w:t xml:space="preserve"> </w:t>
      </w:r>
      <w:r w:rsidRPr="00C3757E">
        <w:rPr>
          <w:rFonts w:ascii="Times New Roman" w:hAnsi="Times New Roman" w:cs="Times New Roman"/>
        </w:rPr>
        <w:t>T</w:t>
      </w:r>
      <w:r w:rsidR="00824F34" w:rsidRPr="00C3757E">
        <w:rPr>
          <w:rFonts w:ascii="Times New Roman" w:hAnsi="Times New Roman" w:cs="Times New Roman"/>
        </w:rPr>
        <w:t>he reverse happened whenever, say, BP</w:t>
      </w:r>
      <w:r w:rsidR="00C3757E" w:rsidRPr="00C3757E">
        <w:rPr>
          <w:rFonts w:ascii="Times New Roman" w:hAnsi="Times New Roman" w:cs="Times New Roman"/>
        </w:rPr>
        <w:t>’</w:t>
      </w:r>
      <w:r w:rsidR="00824F34" w:rsidRPr="00C3757E">
        <w:rPr>
          <w:rFonts w:ascii="Times New Roman" w:hAnsi="Times New Roman" w:cs="Times New Roman"/>
        </w:rPr>
        <w:t xml:space="preserve">s claim seemed to have the </w:t>
      </w:r>
      <w:r w:rsidR="009E4598">
        <w:rPr>
          <w:rFonts w:ascii="Times New Roman" w:hAnsi="Times New Roman" w:cs="Times New Roman"/>
        </w:rPr>
        <w:t>g</w:t>
      </w:r>
      <w:r w:rsidR="009E4598" w:rsidRPr="00C3757E">
        <w:rPr>
          <w:rFonts w:ascii="Times New Roman" w:hAnsi="Times New Roman" w:cs="Times New Roman"/>
        </w:rPr>
        <w:t xml:space="preserve">rand </w:t>
      </w:r>
      <w:r w:rsidR="009E4598">
        <w:rPr>
          <w:rFonts w:ascii="Times New Roman" w:hAnsi="Times New Roman" w:cs="Times New Roman"/>
        </w:rPr>
        <w:t>v</w:t>
      </w:r>
      <w:r w:rsidR="009E4598" w:rsidRPr="00C3757E">
        <w:rPr>
          <w:rFonts w:ascii="Times New Roman" w:hAnsi="Times New Roman" w:cs="Times New Roman"/>
        </w:rPr>
        <w:t xml:space="preserve">izier’s </w:t>
      </w:r>
      <w:r w:rsidR="00824F34" w:rsidRPr="00C3757E">
        <w:rPr>
          <w:rFonts w:ascii="Times New Roman" w:hAnsi="Times New Roman" w:cs="Times New Roman"/>
        </w:rPr>
        <w:t xml:space="preserve">favour. </w:t>
      </w:r>
    </w:p>
    <w:p w14:paraId="22ACE4EB" w14:textId="60A5B3A9" w:rsidR="0053419C" w:rsidRPr="00C3757E" w:rsidRDefault="00457C22" w:rsidP="00C3757E">
      <w:pPr>
        <w:spacing w:after="160" w:line="360" w:lineRule="auto"/>
        <w:ind w:firstLine="720"/>
        <w:rPr>
          <w:rFonts w:ascii="Times New Roman" w:hAnsi="Times New Roman" w:cs="Times New Roman"/>
        </w:rPr>
      </w:pPr>
      <w:r w:rsidRPr="00C3757E">
        <w:rPr>
          <w:rFonts w:ascii="Times New Roman" w:hAnsi="Times New Roman" w:cs="Times New Roman"/>
        </w:rPr>
        <w:t xml:space="preserve">Though Ottomans ranging from local sheikhs to the </w:t>
      </w:r>
      <w:r w:rsidR="009E4598">
        <w:rPr>
          <w:rFonts w:ascii="Times New Roman" w:hAnsi="Times New Roman" w:cs="Times New Roman"/>
        </w:rPr>
        <w:t>s</w:t>
      </w:r>
      <w:r w:rsidR="009E4598" w:rsidRPr="00C3757E">
        <w:rPr>
          <w:rFonts w:ascii="Times New Roman" w:hAnsi="Times New Roman" w:cs="Times New Roman"/>
        </w:rPr>
        <w:t xml:space="preserve">ultan </w:t>
      </w:r>
      <w:r w:rsidRPr="00C3757E">
        <w:rPr>
          <w:rFonts w:ascii="Times New Roman" w:hAnsi="Times New Roman" w:cs="Times New Roman"/>
        </w:rPr>
        <w:t xml:space="preserve">himself had </w:t>
      </w:r>
      <w:r w:rsidR="005B36E6" w:rsidRPr="00C3757E">
        <w:rPr>
          <w:rFonts w:ascii="Times New Roman" w:hAnsi="Times New Roman" w:cs="Times New Roman"/>
        </w:rPr>
        <w:t>been staking</w:t>
      </w:r>
      <w:r w:rsidRPr="00C3757E">
        <w:rPr>
          <w:rFonts w:ascii="Times New Roman" w:hAnsi="Times New Roman" w:cs="Times New Roman"/>
        </w:rPr>
        <w:t xml:space="preserve"> their own claims</w:t>
      </w:r>
      <w:r w:rsidR="005B36E6" w:rsidRPr="00C3757E">
        <w:rPr>
          <w:rFonts w:ascii="Times New Roman" w:hAnsi="Times New Roman" w:cs="Times New Roman"/>
        </w:rPr>
        <w:t xml:space="preserve"> for decades</w:t>
      </w:r>
      <w:r w:rsidRPr="00C3757E">
        <w:rPr>
          <w:rFonts w:ascii="Times New Roman" w:hAnsi="Times New Roman" w:cs="Times New Roman"/>
        </w:rPr>
        <w:t>, none had the financing or know-how to develop their own oil production.</w:t>
      </w:r>
      <w:r w:rsidR="00410D45" w:rsidRPr="00C3757E">
        <w:rPr>
          <w:rFonts w:ascii="Times New Roman" w:hAnsi="Times New Roman" w:cs="Times New Roman"/>
        </w:rPr>
        <w:t xml:space="preserve"> </w:t>
      </w:r>
      <w:r w:rsidR="003A1F3F" w:rsidRPr="00C3757E">
        <w:rPr>
          <w:rFonts w:ascii="Times New Roman" w:hAnsi="Times New Roman" w:cs="Times New Roman"/>
        </w:rPr>
        <w:t xml:space="preserve">As the brains behind the Turkish Petroleum Company </w:t>
      </w:r>
      <w:r w:rsidR="00A37A2B" w:rsidRPr="00C3757E">
        <w:rPr>
          <w:rFonts w:ascii="Times New Roman" w:hAnsi="Times New Roman" w:cs="Times New Roman"/>
        </w:rPr>
        <w:t>(TPC)</w:t>
      </w:r>
      <w:r w:rsidR="009E4598">
        <w:rPr>
          <w:rFonts w:ascii="Times New Roman" w:hAnsi="Times New Roman" w:cs="Times New Roman"/>
        </w:rPr>
        <w:t>,</w:t>
      </w:r>
      <w:r w:rsidR="00A37A2B" w:rsidRPr="00C3757E">
        <w:rPr>
          <w:rFonts w:ascii="Times New Roman" w:hAnsi="Times New Roman" w:cs="Times New Roman"/>
        </w:rPr>
        <w:t xml:space="preserve"> </w:t>
      </w:r>
      <w:r w:rsidR="003A1F3F" w:rsidRPr="00C3757E">
        <w:rPr>
          <w:rFonts w:ascii="Times New Roman" w:hAnsi="Times New Roman" w:cs="Times New Roman"/>
        </w:rPr>
        <w:t>established in 1912, Gulbenkian brought rival English and German concession-holders together</w:t>
      </w:r>
      <w:r w:rsidR="00824F34" w:rsidRPr="00C3757E">
        <w:rPr>
          <w:rFonts w:ascii="Times New Roman" w:hAnsi="Times New Roman" w:cs="Times New Roman"/>
        </w:rPr>
        <w:t>, ending the stalemate</w:t>
      </w:r>
      <w:r w:rsidR="005B6DCB" w:rsidRPr="00C3757E">
        <w:rPr>
          <w:rFonts w:ascii="Times New Roman" w:hAnsi="Times New Roman" w:cs="Times New Roman"/>
        </w:rPr>
        <w:t xml:space="preserve"> in the 1914 Foreign Office Agreement. Under this remarkable alliance of rivals</w:t>
      </w:r>
      <w:r w:rsidR="009E4598">
        <w:rPr>
          <w:rFonts w:ascii="Times New Roman" w:hAnsi="Times New Roman" w:cs="Times New Roman"/>
        </w:rPr>
        <w:t>,</w:t>
      </w:r>
      <w:r w:rsidR="005B6DCB" w:rsidRPr="00C3757E">
        <w:rPr>
          <w:rFonts w:ascii="Times New Roman" w:hAnsi="Times New Roman" w:cs="Times New Roman"/>
        </w:rPr>
        <w:t xml:space="preserve"> Shell, BP</w:t>
      </w:r>
      <w:r w:rsidR="009E4598">
        <w:rPr>
          <w:rFonts w:ascii="Times New Roman" w:hAnsi="Times New Roman" w:cs="Times New Roman"/>
        </w:rPr>
        <w:t>,</w:t>
      </w:r>
      <w:r w:rsidR="005B6DCB" w:rsidRPr="00C3757E">
        <w:rPr>
          <w:rFonts w:ascii="Times New Roman" w:hAnsi="Times New Roman" w:cs="Times New Roman"/>
        </w:rPr>
        <w:t xml:space="preserve"> and Deutsche Bank agreed that none of them would seek oil within the confines of </w:t>
      </w:r>
      <w:r w:rsidR="00C3757E" w:rsidRPr="00C3757E">
        <w:rPr>
          <w:rFonts w:ascii="Times New Roman" w:hAnsi="Times New Roman" w:cs="Times New Roman"/>
        </w:rPr>
        <w:t>‘</w:t>
      </w:r>
      <w:r w:rsidR="005B6DCB" w:rsidRPr="00C3757E">
        <w:rPr>
          <w:rFonts w:ascii="Times New Roman" w:hAnsi="Times New Roman" w:cs="Times New Roman"/>
        </w:rPr>
        <w:t>the Ottoman Empire in Asia</w:t>
      </w:r>
      <w:r w:rsidR="00C3757E" w:rsidRPr="00C3757E">
        <w:rPr>
          <w:rFonts w:ascii="Times New Roman" w:hAnsi="Times New Roman" w:cs="Times New Roman"/>
        </w:rPr>
        <w:t>’</w:t>
      </w:r>
      <w:r w:rsidR="005B6DCB" w:rsidRPr="00C3757E">
        <w:rPr>
          <w:rFonts w:ascii="Times New Roman" w:hAnsi="Times New Roman" w:cs="Times New Roman"/>
        </w:rPr>
        <w:t xml:space="preserve"> except through TPC, their joint venture. </w:t>
      </w:r>
    </w:p>
    <w:p w14:paraId="0482CF49" w14:textId="4D20E9B1" w:rsidR="0083022C" w:rsidRPr="00C3757E" w:rsidRDefault="005B6DCB" w:rsidP="00C3757E">
      <w:pPr>
        <w:spacing w:after="160" w:line="360" w:lineRule="auto"/>
        <w:ind w:firstLine="720"/>
        <w:rPr>
          <w:rFonts w:ascii="Times New Roman" w:hAnsi="Times New Roman" w:cs="Times New Roman"/>
        </w:rPr>
      </w:pPr>
      <w:r w:rsidRPr="00C3757E">
        <w:rPr>
          <w:rFonts w:ascii="Times New Roman" w:hAnsi="Times New Roman" w:cs="Times New Roman"/>
        </w:rPr>
        <w:lastRenderedPageBreak/>
        <w:t xml:space="preserve">When one considers that the </w:t>
      </w:r>
      <w:r w:rsidR="00C3757E" w:rsidRPr="00C3757E">
        <w:rPr>
          <w:rFonts w:ascii="Times New Roman" w:hAnsi="Times New Roman" w:cs="Times New Roman"/>
        </w:rPr>
        <w:t>‘</w:t>
      </w:r>
      <w:r w:rsidRPr="00C3757E">
        <w:rPr>
          <w:rFonts w:ascii="Times New Roman" w:hAnsi="Times New Roman" w:cs="Times New Roman"/>
        </w:rPr>
        <w:t>Ottoman Empire in Asia</w:t>
      </w:r>
      <w:r w:rsidR="00C3757E" w:rsidRPr="00C3757E">
        <w:rPr>
          <w:rFonts w:ascii="Times New Roman" w:hAnsi="Times New Roman" w:cs="Times New Roman"/>
        </w:rPr>
        <w:t>’</w:t>
      </w:r>
      <w:r w:rsidRPr="00C3757E">
        <w:rPr>
          <w:rFonts w:ascii="Times New Roman" w:hAnsi="Times New Roman" w:cs="Times New Roman"/>
        </w:rPr>
        <w:t xml:space="preserve"> </w:t>
      </w:r>
      <w:r w:rsidR="0053419C" w:rsidRPr="00C3757E">
        <w:rPr>
          <w:rFonts w:ascii="Times New Roman" w:hAnsi="Times New Roman" w:cs="Times New Roman"/>
        </w:rPr>
        <w:t xml:space="preserve">in 1914 </w:t>
      </w:r>
      <w:r w:rsidRPr="00C3757E">
        <w:rPr>
          <w:rFonts w:ascii="Times New Roman" w:hAnsi="Times New Roman" w:cs="Times New Roman"/>
        </w:rPr>
        <w:t xml:space="preserve">embraced </w:t>
      </w:r>
      <w:r w:rsidR="0053419C" w:rsidRPr="00C3757E">
        <w:rPr>
          <w:rFonts w:ascii="Times New Roman" w:hAnsi="Times New Roman" w:cs="Times New Roman"/>
        </w:rPr>
        <w:t>modern-day Iraq, Saudi Arabia</w:t>
      </w:r>
      <w:r w:rsidR="009E4598">
        <w:rPr>
          <w:rFonts w:ascii="Times New Roman" w:hAnsi="Times New Roman" w:cs="Times New Roman"/>
        </w:rPr>
        <w:t>,</w:t>
      </w:r>
      <w:r w:rsidR="0053419C" w:rsidRPr="00C3757E">
        <w:rPr>
          <w:rFonts w:ascii="Times New Roman" w:hAnsi="Times New Roman" w:cs="Times New Roman"/>
        </w:rPr>
        <w:t xml:space="preserve"> and the Gulf statelets (if not Kuwait or Iran), the </w:t>
      </w:r>
      <w:r w:rsidR="001761BA" w:rsidRPr="00C3757E">
        <w:rPr>
          <w:rFonts w:ascii="Times New Roman" w:hAnsi="Times New Roman" w:cs="Times New Roman"/>
        </w:rPr>
        <w:t>Agreement</w:t>
      </w:r>
      <w:r w:rsidR="00C3757E" w:rsidRPr="00C3757E">
        <w:rPr>
          <w:rFonts w:ascii="Times New Roman" w:hAnsi="Times New Roman" w:cs="Times New Roman"/>
        </w:rPr>
        <w:t>’</w:t>
      </w:r>
      <w:r w:rsidR="001761BA" w:rsidRPr="00C3757E">
        <w:rPr>
          <w:rFonts w:ascii="Times New Roman" w:hAnsi="Times New Roman" w:cs="Times New Roman"/>
        </w:rPr>
        <w:t xml:space="preserve">s </w:t>
      </w:r>
      <w:r w:rsidR="0053419C" w:rsidRPr="00C3757E">
        <w:rPr>
          <w:rFonts w:ascii="Times New Roman" w:hAnsi="Times New Roman" w:cs="Times New Roman"/>
        </w:rPr>
        <w:t>potential becomes evident. A concession was signed with the Ottomans later that year</w:t>
      </w:r>
      <w:r w:rsidR="004C7707" w:rsidRPr="00C3757E">
        <w:rPr>
          <w:rFonts w:ascii="Times New Roman" w:hAnsi="Times New Roman" w:cs="Times New Roman"/>
        </w:rPr>
        <w:t xml:space="preserve">, giving TPC rights to explore the most promising </w:t>
      </w:r>
      <w:r w:rsidR="00A81FC7" w:rsidRPr="00C3757E">
        <w:rPr>
          <w:rFonts w:ascii="Times New Roman" w:hAnsi="Times New Roman" w:cs="Times New Roman"/>
        </w:rPr>
        <w:t>Ottoman territories around Mosul</w:t>
      </w:r>
      <w:r w:rsidR="0053419C" w:rsidRPr="00C3757E">
        <w:rPr>
          <w:rFonts w:ascii="Times New Roman" w:hAnsi="Times New Roman" w:cs="Times New Roman"/>
        </w:rPr>
        <w:t xml:space="preserve">. Unfortunately, the </w:t>
      </w:r>
      <w:r w:rsidR="005B36E6" w:rsidRPr="00C3757E">
        <w:rPr>
          <w:rFonts w:ascii="Times New Roman" w:hAnsi="Times New Roman" w:cs="Times New Roman"/>
        </w:rPr>
        <w:t xml:space="preserve">outbreak of </w:t>
      </w:r>
      <w:r w:rsidR="0053419C" w:rsidRPr="00C3757E">
        <w:rPr>
          <w:rFonts w:ascii="Times New Roman" w:hAnsi="Times New Roman" w:cs="Times New Roman"/>
        </w:rPr>
        <w:t xml:space="preserve">war </w:t>
      </w:r>
      <w:r w:rsidR="001761BA" w:rsidRPr="00C3757E">
        <w:rPr>
          <w:rFonts w:ascii="Times New Roman" w:hAnsi="Times New Roman" w:cs="Times New Roman"/>
        </w:rPr>
        <w:t>left</w:t>
      </w:r>
      <w:r w:rsidR="0053419C" w:rsidRPr="00C3757E">
        <w:rPr>
          <w:rFonts w:ascii="Times New Roman" w:hAnsi="Times New Roman" w:cs="Times New Roman"/>
        </w:rPr>
        <w:t xml:space="preserve"> both agreements dead in the water. </w:t>
      </w:r>
      <w:r w:rsidR="001761BA" w:rsidRPr="00C3757E">
        <w:rPr>
          <w:rFonts w:ascii="Times New Roman" w:hAnsi="Times New Roman" w:cs="Times New Roman"/>
        </w:rPr>
        <w:t xml:space="preserve">Having </w:t>
      </w:r>
      <w:r w:rsidR="009E4598" w:rsidRPr="00C3757E">
        <w:rPr>
          <w:rFonts w:ascii="Times New Roman" w:hAnsi="Times New Roman" w:cs="Times New Roman"/>
        </w:rPr>
        <w:t>entered</w:t>
      </w:r>
      <w:r w:rsidR="001761BA" w:rsidRPr="00C3757E">
        <w:rPr>
          <w:rFonts w:ascii="Times New Roman" w:hAnsi="Times New Roman" w:cs="Times New Roman"/>
        </w:rPr>
        <w:t xml:space="preserve"> an alliance with the </w:t>
      </w:r>
      <w:r w:rsidR="009E4598">
        <w:rPr>
          <w:rFonts w:ascii="Times New Roman" w:hAnsi="Times New Roman" w:cs="Times New Roman"/>
        </w:rPr>
        <w:t>e</w:t>
      </w:r>
      <w:r w:rsidR="009E4598" w:rsidRPr="00C3757E">
        <w:rPr>
          <w:rFonts w:ascii="Times New Roman" w:hAnsi="Times New Roman" w:cs="Times New Roman"/>
        </w:rPr>
        <w:t xml:space="preserve">mpire </w:t>
      </w:r>
      <w:r w:rsidR="001761BA" w:rsidRPr="00C3757E">
        <w:rPr>
          <w:rFonts w:ascii="Times New Roman" w:hAnsi="Times New Roman" w:cs="Times New Roman"/>
        </w:rPr>
        <w:t>on the very eve of the conflict</w:t>
      </w:r>
      <w:r w:rsidR="001B2354" w:rsidRPr="00C3757E">
        <w:rPr>
          <w:rFonts w:ascii="Times New Roman" w:hAnsi="Times New Roman" w:cs="Times New Roman"/>
        </w:rPr>
        <w:t>,</w:t>
      </w:r>
      <w:r w:rsidR="001761BA" w:rsidRPr="00C3757E">
        <w:rPr>
          <w:rFonts w:ascii="Times New Roman" w:hAnsi="Times New Roman" w:cs="Times New Roman"/>
        </w:rPr>
        <w:t xml:space="preserve"> the Germans now </w:t>
      </w:r>
      <w:r w:rsidR="004B580C" w:rsidRPr="00C3757E">
        <w:rPr>
          <w:rFonts w:ascii="Times New Roman" w:hAnsi="Times New Roman" w:cs="Times New Roman"/>
        </w:rPr>
        <w:t xml:space="preserve">had the field to </w:t>
      </w:r>
      <w:r w:rsidR="00824F34" w:rsidRPr="00C3757E">
        <w:rPr>
          <w:rFonts w:ascii="Times New Roman" w:hAnsi="Times New Roman" w:cs="Times New Roman"/>
        </w:rPr>
        <w:t>themselves, sending the</w:t>
      </w:r>
      <w:r w:rsidR="001B2354" w:rsidRPr="00C3757E">
        <w:rPr>
          <w:rFonts w:ascii="Times New Roman" w:hAnsi="Times New Roman" w:cs="Times New Roman"/>
        </w:rPr>
        <w:t>ir</w:t>
      </w:r>
      <w:r w:rsidR="00824F34" w:rsidRPr="00C3757E">
        <w:rPr>
          <w:rFonts w:ascii="Times New Roman" w:hAnsi="Times New Roman" w:cs="Times New Roman"/>
        </w:rPr>
        <w:t xml:space="preserve"> </w:t>
      </w:r>
      <w:r w:rsidR="002D5FDE" w:rsidRPr="00C3757E">
        <w:rPr>
          <w:rFonts w:ascii="Times New Roman" w:hAnsi="Times New Roman" w:cs="Times New Roman"/>
          <w:i/>
          <w:iCs/>
        </w:rPr>
        <w:t>Brennstoffkommando Arabien</w:t>
      </w:r>
      <w:r w:rsidR="00824F34" w:rsidRPr="00C3757E">
        <w:rPr>
          <w:rFonts w:ascii="Times New Roman" w:hAnsi="Times New Roman" w:cs="Times New Roman"/>
          <w:i/>
          <w:iCs/>
        </w:rPr>
        <w:t xml:space="preserve"> </w:t>
      </w:r>
      <w:r w:rsidR="00824F34" w:rsidRPr="00C3757E">
        <w:rPr>
          <w:rFonts w:ascii="Times New Roman" w:hAnsi="Times New Roman" w:cs="Times New Roman"/>
        </w:rPr>
        <w:t>(</w:t>
      </w:r>
      <w:r w:rsidR="009E4598" w:rsidRPr="00C3757E">
        <w:rPr>
          <w:rFonts w:ascii="Times New Roman" w:hAnsi="Times New Roman" w:cs="Times New Roman"/>
        </w:rPr>
        <w:t>militari</w:t>
      </w:r>
      <w:r w:rsidR="009E4598">
        <w:rPr>
          <w:rFonts w:ascii="Times New Roman" w:hAnsi="Times New Roman" w:cs="Times New Roman"/>
        </w:rPr>
        <w:t>s</w:t>
      </w:r>
      <w:r w:rsidR="009E4598" w:rsidRPr="00C3757E">
        <w:rPr>
          <w:rFonts w:ascii="Times New Roman" w:hAnsi="Times New Roman" w:cs="Times New Roman"/>
        </w:rPr>
        <w:t xml:space="preserve">ed </w:t>
      </w:r>
      <w:r w:rsidR="00824F34" w:rsidRPr="00C3757E">
        <w:rPr>
          <w:rFonts w:ascii="Times New Roman" w:hAnsi="Times New Roman" w:cs="Times New Roman"/>
        </w:rPr>
        <w:t>oil survey) to sink the first modern oil wells in Ottoman Mesopotamia</w:t>
      </w:r>
      <w:r w:rsidR="00A81FC7" w:rsidRPr="00C3757E">
        <w:rPr>
          <w:rFonts w:ascii="Times New Roman" w:hAnsi="Times New Roman" w:cs="Times New Roman"/>
        </w:rPr>
        <w:t>, once again around Mosul</w:t>
      </w:r>
      <w:r w:rsidR="00824F34" w:rsidRPr="00C3757E">
        <w:rPr>
          <w:rFonts w:ascii="Times New Roman" w:hAnsi="Times New Roman" w:cs="Times New Roman"/>
        </w:rPr>
        <w:t>.</w:t>
      </w:r>
      <w:r w:rsidR="005B36E6" w:rsidRPr="00C3757E">
        <w:rPr>
          <w:rFonts w:ascii="Times New Roman" w:hAnsi="Times New Roman" w:cs="Times New Roman"/>
        </w:rPr>
        <w:t xml:space="preserve"> Oil was found, but too late: it was December 1917.</w:t>
      </w:r>
    </w:p>
    <w:p w14:paraId="16CA67EB" w14:textId="05E5E070" w:rsidR="00886A98" w:rsidRPr="00C3757E" w:rsidRDefault="00F526CC" w:rsidP="00C3757E">
      <w:pPr>
        <w:spacing w:after="160" w:line="360" w:lineRule="auto"/>
        <w:ind w:firstLine="720"/>
        <w:rPr>
          <w:rFonts w:ascii="Times New Roman" w:hAnsi="Times New Roman" w:cs="Times New Roman"/>
        </w:rPr>
      </w:pPr>
      <w:r w:rsidRPr="00C3757E">
        <w:rPr>
          <w:rFonts w:ascii="Times New Roman" w:hAnsi="Times New Roman" w:cs="Times New Roman"/>
        </w:rPr>
        <w:t>Defeat in Europe ended the Kaiser</w:t>
      </w:r>
      <w:r w:rsidR="00C3757E" w:rsidRPr="00C3757E">
        <w:rPr>
          <w:rFonts w:ascii="Times New Roman" w:hAnsi="Times New Roman" w:cs="Times New Roman"/>
        </w:rPr>
        <w:t>’</w:t>
      </w:r>
      <w:r w:rsidRPr="00C3757E">
        <w:rPr>
          <w:rFonts w:ascii="Times New Roman" w:hAnsi="Times New Roman" w:cs="Times New Roman"/>
        </w:rPr>
        <w:t>s dreams of Bag</w:t>
      </w:r>
      <w:r w:rsidR="00C0639C" w:rsidRPr="00C3757E">
        <w:rPr>
          <w:rFonts w:ascii="Times New Roman" w:hAnsi="Times New Roman" w:cs="Times New Roman"/>
        </w:rPr>
        <w:t>h</w:t>
      </w:r>
      <w:r w:rsidRPr="00C3757E">
        <w:rPr>
          <w:rFonts w:ascii="Times New Roman" w:hAnsi="Times New Roman" w:cs="Times New Roman"/>
        </w:rPr>
        <w:t xml:space="preserve">dad, and </w:t>
      </w:r>
      <w:r w:rsidR="00A37A2B" w:rsidRPr="00C3757E">
        <w:rPr>
          <w:rFonts w:ascii="Times New Roman" w:hAnsi="Times New Roman" w:cs="Times New Roman"/>
        </w:rPr>
        <w:t xml:space="preserve">Deutsche Bank was stripped of </w:t>
      </w:r>
      <w:r w:rsidR="009E4598">
        <w:rPr>
          <w:rFonts w:ascii="Times New Roman" w:hAnsi="Times New Roman" w:cs="Times New Roman"/>
        </w:rPr>
        <w:t>its</w:t>
      </w:r>
      <w:r w:rsidR="009E4598" w:rsidRPr="00C3757E">
        <w:rPr>
          <w:rFonts w:ascii="Times New Roman" w:hAnsi="Times New Roman" w:cs="Times New Roman"/>
        </w:rPr>
        <w:t xml:space="preserve"> </w:t>
      </w:r>
      <w:r w:rsidR="00A37A2B" w:rsidRPr="00C3757E">
        <w:rPr>
          <w:rFonts w:ascii="Times New Roman" w:hAnsi="Times New Roman" w:cs="Times New Roman"/>
        </w:rPr>
        <w:t>25% share in TPC</w:t>
      </w:r>
      <w:r w:rsidR="002A48E6" w:rsidRPr="00C3757E">
        <w:rPr>
          <w:rFonts w:ascii="Times New Roman" w:hAnsi="Times New Roman" w:cs="Times New Roman"/>
        </w:rPr>
        <w:t xml:space="preserve"> under the Treaty of Versailles</w:t>
      </w:r>
      <w:r w:rsidR="00A37A2B" w:rsidRPr="00C3757E">
        <w:rPr>
          <w:rFonts w:ascii="Times New Roman" w:hAnsi="Times New Roman" w:cs="Times New Roman"/>
        </w:rPr>
        <w:t xml:space="preserve">. </w:t>
      </w:r>
      <w:r w:rsidR="004B580C" w:rsidRPr="00C3757E">
        <w:rPr>
          <w:rFonts w:ascii="Times New Roman" w:hAnsi="Times New Roman" w:cs="Times New Roman"/>
        </w:rPr>
        <w:t>Amazingly</w:t>
      </w:r>
      <w:r w:rsidR="00A37A2B" w:rsidRPr="00C3757E">
        <w:rPr>
          <w:rFonts w:ascii="Times New Roman" w:hAnsi="Times New Roman" w:cs="Times New Roman"/>
        </w:rPr>
        <w:t xml:space="preserve">, this share was offered </w:t>
      </w:r>
      <w:r w:rsidR="002A48E6" w:rsidRPr="00C3757E">
        <w:rPr>
          <w:rFonts w:ascii="Times New Roman" w:hAnsi="Times New Roman" w:cs="Times New Roman"/>
        </w:rPr>
        <w:t xml:space="preserve">by the British government </w:t>
      </w:r>
      <w:r w:rsidR="00A37A2B" w:rsidRPr="00C3757E">
        <w:rPr>
          <w:rFonts w:ascii="Times New Roman" w:hAnsi="Times New Roman" w:cs="Times New Roman"/>
        </w:rPr>
        <w:t>to the French</w:t>
      </w:r>
      <w:r w:rsidR="00D46107" w:rsidRPr="00C3757E">
        <w:rPr>
          <w:rFonts w:ascii="Times New Roman" w:hAnsi="Times New Roman" w:cs="Times New Roman"/>
        </w:rPr>
        <w:t xml:space="preserve">, </w:t>
      </w:r>
      <w:r w:rsidR="009E4598" w:rsidRPr="00C3757E">
        <w:rPr>
          <w:rFonts w:ascii="Times New Roman" w:hAnsi="Times New Roman" w:cs="Times New Roman"/>
        </w:rPr>
        <w:t>even though</w:t>
      </w:r>
      <w:r w:rsidR="00A37A2B" w:rsidRPr="00C3757E">
        <w:rPr>
          <w:rFonts w:ascii="Times New Roman" w:hAnsi="Times New Roman" w:cs="Times New Roman"/>
        </w:rPr>
        <w:t xml:space="preserve"> France had contributed </w:t>
      </w:r>
      <w:r w:rsidR="00886A98" w:rsidRPr="00C3757E">
        <w:rPr>
          <w:rFonts w:ascii="Times New Roman" w:hAnsi="Times New Roman" w:cs="Times New Roman"/>
        </w:rPr>
        <w:t xml:space="preserve">little to </w:t>
      </w:r>
      <w:r w:rsidR="00A37A2B" w:rsidRPr="00C3757E">
        <w:rPr>
          <w:rFonts w:ascii="Times New Roman" w:hAnsi="Times New Roman" w:cs="Times New Roman"/>
        </w:rPr>
        <w:t xml:space="preserve">the war </w:t>
      </w:r>
      <w:r w:rsidR="002B5E30" w:rsidRPr="00C3757E">
        <w:rPr>
          <w:rFonts w:ascii="Times New Roman" w:hAnsi="Times New Roman" w:cs="Times New Roman"/>
        </w:rPr>
        <w:t xml:space="preserve">effort </w:t>
      </w:r>
      <w:r w:rsidR="00A37A2B" w:rsidRPr="00C3757E">
        <w:rPr>
          <w:rFonts w:ascii="Times New Roman" w:hAnsi="Times New Roman" w:cs="Times New Roman"/>
        </w:rPr>
        <w:t xml:space="preserve">in the </w:t>
      </w:r>
      <w:r w:rsidR="002B5E30" w:rsidRPr="00C3757E">
        <w:rPr>
          <w:rFonts w:ascii="Times New Roman" w:hAnsi="Times New Roman" w:cs="Times New Roman"/>
        </w:rPr>
        <w:t>Middle East</w:t>
      </w:r>
      <w:r w:rsidR="005F06D1" w:rsidRPr="00C3757E">
        <w:rPr>
          <w:rFonts w:ascii="Times New Roman" w:hAnsi="Times New Roman" w:cs="Times New Roman"/>
        </w:rPr>
        <w:t xml:space="preserve">. </w:t>
      </w:r>
      <w:r w:rsidR="001761BA" w:rsidRPr="00C3757E">
        <w:rPr>
          <w:rFonts w:ascii="Times New Roman" w:hAnsi="Times New Roman" w:cs="Times New Roman"/>
        </w:rPr>
        <w:t>Clemenceau</w:t>
      </w:r>
      <w:r w:rsidR="00C3757E" w:rsidRPr="00C3757E">
        <w:rPr>
          <w:rFonts w:ascii="Times New Roman" w:hAnsi="Times New Roman" w:cs="Times New Roman"/>
        </w:rPr>
        <w:t>’</w:t>
      </w:r>
      <w:r w:rsidR="001761BA" w:rsidRPr="00C3757E">
        <w:rPr>
          <w:rFonts w:ascii="Times New Roman" w:hAnsi="Times New Roman" w:cs="Times New Roman"/>
        </w:rPr>
        <w:t xml:space="preserve">s </w:t>
      </w:r>
      <w:r w:rsidR="00886A98" w:rsidRPr="00C3757E">
        <w:rPr>
          <w:rFonts w:ascii="Times New Roman" w:hAnsi="Times New Roman" w:cs="Times New Roman"/>
        </w:rPr>
        <w:t xml:space="preserve">snooty </w:t>
      </w:r>
      <w:r w:rsidR="00093240" w:rsidRPr="00C3757E">
        <w:rPr>
          <w:rFonts w:ascii="Times New Roman" w:hAnsi="Times New Roman" w:cs="Times New Roman"/>
        </w:rPr>
        <w:t xml:space="preserve">remark that </w:t>
      </w:r>
      <w:r w:rsidR="00C3757E" w:rsidRPr="00C3757E">
        <w:rPr>
          <w:rFonts w:ascii="Times New Roman" w:hAnsi="Times New Roman" w:cs="Times New Roman"/>
        </w:rPr>
        <w:t>‘</w:t>
      </w:r>
      <w:r w:rsidR="002B5E30" w:rsidRPr="00C3757E">
        <w:rPr>
          <w:rFonts w:ascii="Times New Roman" w:hAnsi="Times New Roman" w:cs="Times New Roman"/>
        </w:rPr>
        <w:t>when I want some oil, I go to my grocer</w:t>
      </w:r>
      <w:r w:rsidR="00C3757E" w:rsidRPr="00C3757E">
        <w:rPr>
          <w:rFonts w:ascii="Times New Roman" w:hAnsi="Times New Roman" w:cs="Times New Roman"/>
        </w:rPr>
        <w:t>’</w:t>
      </w:r>
      <w:r w:rsidR="005F06D1" w:rsidRPr="00C3757E">
        <w:rPr>
          <w:rFonts w:ascii="Times New Roman" w:hAnsi="Times New Roman" w:cs="Times New Roman"/>
        </w:rPr>
        <w:t xml:space="preserve"> suggested a certain indifference to oil</w:t>
      </w:r>
      <w:r w:rsidR="00C3757E" w:rsidRPr="00C3757E">
        <w:rPr>
          <w:rFonts w:ascii="Times New Roman" w:hAnsi="Times New Roman" w:cs="Times New Roman"/>
        </w:rPr>
        <w:t>’</w:t>
      </w:r>
      <w:r w:rsidR="005F06D1" w:rsidRPr="00C3757E">
        <w:rPr>
          <w:rFonts w:ascii="Times New Roman" w:hAnsi="Times New Roman" w:cs="Times New Roman"/>
        </w:rPr>
        <w:t xml:space="preserve">s significance. </w:t>
      </w:r>
      <w:r w:rsidR="00A81FC7" w:rsidRPr="00C3757E">
        <w:rPr>
          <w:rFonts w:ascii="Times New Roman" w:hAnsi="Times New Roman" w:cs="Times New Roman"/>
        </w:rPr>
        <w:t>Under the</w:t>
      </w:r>
      <w:r w:rsidR="00944342" w:rsidRPr="00C3757E">
        <w:rPr>
          <w:rFonts w:ascii="Times New Roman" w:hAnsi="Times New Roman" w:cs="Times New Roman"/>
        </w:rPr>
        <w:t xml:space="preserve"> secret</w:t>
      </w:r>
      <w:r w:rsidR="00A81FC7" w:rsidRPr="00C3757E">
        <w:rPr>
          <w:rFonts w:ascii="Times New Roman" w:hAnsi="Times New Roman" w:cs="Times New Roman"/>
        </w:rPr>
        <w:t xml:space="preserve"> 1916 Anglo-French Sykes-Picot Agreement</w:t>
      </w:r>
      <w:r w:rsidR="009E4598">
        <w:rPr>
          <w:rFonts w:ascii="Times New Roman" w:hAnsi="Times New Roman" w:cs="Times New Roman"/>
        </w:rPr>
        <w:t>,</w:t>
      </w:r>
      <w:r w:rsidR="00A81FC7" w:rsidRPr="00C3757E">
        <w:rPr>
          <w:rFonts w:ascii="Times New Roman" w:hAnsi="Times New Roman" w:cs="Times New Roman"/>
        </w:rPr>
        <w:t xml:space="preserve"> oil-rich Mosul (in northern Mesopotamia/Iraq) was allocated to a</w:t>
      </w:r>
      <w:r w:rsidR="00944342" w:rsidRPr="00C3757E">
        <w:rPr>
          <w:rFonts w:ascii="Times New Roman" w:hAnsi="Times New Roman" w:cs="Times New Roman"/>
        </w:rPr>
        <w:t xml:space="preserve"> future French sphere of influence</w:t>
      </w:r>
      <w:r w:rsidR="00A81FC7" w:rsidRPr="00C3757E">
        <w:rPr>
          <w:rFonts w:ascii="Times New Roman" w:hAnsi="Times New Roman" w:cs="Times New Roman"/>
        </w:rPr>
        <w:t>. Yet Clemenceau abandoned France</w:t>
      </w:r>
      <w:r w:rsidR="00C3757E" w:rsidRPr="00C3757E">
        <w:rPr>
          <w:rFonts w:ascii="Times New Roman" w:hAnsi="Times New Roman" w:cs="Times New Roman"/>
        </w:rPr>
        <w:t>’</w:t>
      </w:r>
      <w:r w:rsidR="00A81FC7" w:rsidRPr="00C3757E">
        <w:rPr>
          <w:rFonts w:ascii="Times New Roman" w:hAnsi="Times New Roman" w:cs="Times New Roman"/>
        </w:rPr>
        <w:t>s claim at the request of</w:t>
      </w:r>
      <w:r w:rsidR="006C0381" w:rsidRPr="00C3757E">
        <w:rPr>
          <w:rFonts w:ascii="Times New Roman" w:hAnsi="Times New Roman" w:cs="Times New Roman"/>
        </w:rPr>
        <w:t xml:space="preserve"> British premier David Lloyd George in December 1918.</w:t>
      </w:r>
      <w:r w:rsidR="005F06D1" w:rsidRPr="00C3757E">
        <w:rPr>
          <w:rFonts w:ascii="Times New Roman" w:hAnsi="Times New Roman" w:cs="Times New Roman"/>
        </w:rPr>
        <w:t xml:space="preserve"> T</w:t>
      </w:r>
      <w:r w:rsidR="00CC34D7" w:rsidRPr="00C3757E">
        <w:rPr>
          <w:rFonts w:ascii="Times New Roman" w:hAnsi="Times New Roman" w:cs="Times New Roman"/>
        </w:rPr>
        <w:t xml:space="preserve">he achievement of French officials is </w:t>
      </w:r>
      <w:r w:rsidR="004C7707" w:rsidRPr="00C3757E">
        <w:rPr>
          <w:rFonts w:ascii="Times New Roman" w:hAnsi="Times New Roman" w:cs="Times New Roman"/>
        </w:rPr>
        <w:t xml:space="preserve">therefore </w:t>
      </w:r>
      <w:r w:rsidR="00CC34D7" w:rsidRPr="00C3757E">
        <w:rPr>
          <w:rFonts w:ascii="Times New Roman" w:hAnsi="Times New Roman" w:cs="Times New Roman"/>
        </w:rPr>
        <w:t>remarkable. Having dallied with Shell</w:t>
      </w:r>
      <w:r w:rsidR="002D4AEC" w:rsidRPr="00C3757E">
        <w:rPr>
          <w:rFonts w:ascii="Times New Roman" w:hAnsi="Times New Roman" w:cs="Times New Roman"/>
        </w:rPr>
        <w:t xml:space="preserve"> during the war</w:t>
      </w:r>
      <w:r w:rsidR="00CC34D7" w:rsidRPr="00C3757E">
        <w:rPr>
          <w:rFonts w:ascii="Times New Roman" w:hAnsi="Times New Roman" w:cs="Times New Roman"/>
        </w:rPr>
        <w:t xml:space="preserve">, in 1920 </w:t>
      </w:r>
      <w:r w:rsidR="00886A98" w:rsidRPr="00C3757E">
        <w:rPr>
          <w:rFonts w:ascii="Times New Roman" w:hAnsi="Times New Roman" w:cs="Times New Roman"/>
        </w:rPr>
        <w:t>they</w:t>
      </w:r>
      <w:r w:rsidR="00CC34D7" w:rsidRPr="00C3757E">
        <w:rPr>
          <w:rFonts w:ascii="Times New Roman" w:hAnsi="Times New Roman" w:cs="Times New Roman"/>
        </w:rPr>
        <w:t xml:space="preserve"> decided to allocate the quarter share of TPC to a new company, </w:t>
      </w:r>
      <w:r w:rsidR="002D4AEC" w:rsidRPr="00C3757E">
        <w:rPr>
          <w:rFonts w:ascii="Times New Roman" w:hAnsi="Times New Roman" w:cs="Times New Roman"/>
        </w:rPr>
        <w:t>the Compagnie Française des Pétroles (CFP</w:t>
      </w:r>
      <w:r w:rsidR="00093240" w:rsidRPr="00C3757E">
        <w:rPr>
          <w:rFonts w:ascii="Times New Roman" w:hAnsi="Times New Roman" w:cs="Times New Roman"/>
        </w:rPr>
        <w:t>, established in 1924</w:t>
      </w:r>
      <w:r w:rsidR="002D4AEC" w:rsidRPr="00C3757E">
        <w:rPr>
          <w:rFonts w:ascii="Times New Roman" w:hAnsi="Times New Roman" w:cs="Times New Roman"/>
        </w:rPr>
        <w:t xml:space="preserve">). </w:t>
      </w:r>
    </w:p>
    <w:p w14:paraId="1215E8DD" w14:textId="4EF6C9F0" w:rsidR="007F0C2D" w:rsidRPr="00C3757E" w:rsidRDefault="002D4AEC" w:rsidP="00C3757E">
      <w:pPr>
        <w:spacing w:after="160" w:line="360" w:lineRule="auto"/>
        <w:ind w:firstLine="720"/>
        <w:rPr>
          <w:rFonts w:ascii="Times New Roman" w:hAnsi="Times New Roman" w:cs="Times New Roman"/>
          <w:i/>
          <w:iCs/>
        </w:rPr>
      </w:pPr>
      <w:r w:rsidRPr="00C3757E">
        <w:rPr>
          <w:rFonts w:ascii="Times New Roman" w:hAnsi="Times New Roman" w:cs="Times New Roman"/>
        </w:rPr>
        <w:t xml:space="preserve">Unable to afford </w:t>
      </w:r>
      <w:r w:rsidR="004C7707" w:rsidRPr="00C3757E">
        <w:rPr>
          <w:rFonts w:ascii="Times New Roman" w:hAnsi="Times New Roman" w:cs="Times New Roman"/>
        </w:rPr>
        <w:t>to take its own state share</w:t>
      </w:r>
      <w:r w:rsidRPr="00C3757E">
        <w:rPr>
          <w:rFonts w:ascii="Times New Roman" w:hAnsi="Times New Roman" w:cs="Times New Roman"/>
        </w:rPr>
        <w:t xml:space="preserve">, </w:t>
      </w:r>
      <w:r w:rsidR="00093240" w:rsidRPr="00C3757E">
        <w:rPr>
          <w:rFonts w:ascii="Times New Roman" w:hAnsi="Times New Roman" w:cs="Times New Roman"/>
        </w:rPr>
        <w:t xml:space="preserve">the French </w:t>
      </w:r>
      <w:r w:rsidR="004C7707" w:rsidRPr="00C3757E">
        <w:rPr>
          <w:rFonts w:ascii="Times New Roman" w:hAnsi="Times New Roman" w:cs="Times New Roman"/>
        </w:rPr>
        <w:t xml:space="preserve">government </w:t>
      </w:r>
      <w:r w:rsidRPr="00C3757E">
        <w:rPr>
          <w:rFonts w:ascii="Times New Roman" w:hAnsi="Times New Roman" w:cs="Times New Roman"/>
        </w:rPr>
        <w:t xml:space="preserve">ensured that shares </w:t>
      </w:r>
      <w:r w:rsidR="00445478" w:rsidRPr="00C3757E">
        <w:rPr>
          <w:rFonts w:ascii="Times New Roman" w:hAnsi="Times New Roman" w:cs="Times New Roman"/>
        </w:rPr>
        <w:t xml:space="preserve">in CFP </w:t>
      </w:r>
      <w:r w:rsidRPr="00C3757E">
        <w:rPr>
          <w:rFonts w:ascii="Times New Roman" w:hAnsi="Times New Roman" w:cs="Times New Roman"/>
        </w:rPr>
        <w:t xml:space="preserve">were </w:t>
      </w:r>
      <w:r w:rsidR="00093240" w:rsidRPr="00C3757E">
        <w:rPr>
          <w:rFonts w:ascii="Times New Roman" w:hAnsi="Times New Roman" w:cs="Times New Roman"/>
        </w:rPr>
        <w:t>spread</w:t>
      </w:r>
      <w:r w:rsidRPr="00C3757E">
        <w:rPr>
          <w:rFonts w:ascii="Times New Roman" w:hAnsi="Times New Roman" w:cs="Times New Roman"/>
        </w:rPr>
        <w:t xml:space="preserve"> among </w:t>
      </w:r>
      <w:commentRangeStart w:id="3"/>
      <w:r w:rsidR="00ED4AD9">
        <w:rPr>
          <w:rFonts w:ascii="Times New Roman" w:hAnsi="Times New Roman" w:cs="Times New Roman"/>
        </w:rPr>
        <w:t>a number of</w:t>
      </w:r>
      <w:r w:rsidRPr="00C3757E">
        <w:rPr>
          <w:rFonts w:ascii="Times New Roman" w:hAnsi="Times New Roman" w:cs="Times New Roman"/>
        </w:rPr>
        <w:t xml:space="preserve"> </w:t>
      </w:r>
      <w:commentRangeEnd w:id="3"/>
      <w:r w:rsidR="00ED4AD9">
        <w:rPr>
          <w:rStyle w:val="CommentReference"/>
        </w:rPr>
        <w:commentReference w:id="3"/>
      </w:r>
      <w:r w:rsidRPr="00C3757E">
        <w:rPr>
          <w:rFonts w:ascii="Times New Roman" w:hAnsi="Times New Roman" w:cs="Times New Roman"/>
        </w:rPr>
        <w:t>companies, preventing any one from taking control. CFP was little more than a holding company, repeatedly failing to develop sources of oil elsewhere</w:t>
      </w:r>
      <w:r w:rsidR="00FA6DAE" w:rsidRPr="00C3757E">
        <w:rPr>
          <w:rFonts w:ascii="Times New Roman" w:hAnsi="Times New Roman" w:cs="Times New Roman"/>
        </w:rPr>
        <w:t xml:space="preserve">. Yet </w:t>
      </w:r>
      <w:r w:rsidRPr="00C3757E">
        <w:rPr>
          <w:rFonts w:ascii="Times New Roman" w:hAnsi="Times New Roman" w:cs="Times New Roman"/>
        </w:rPr>
        <w:t xml:space="preserve">the surprise </w:t>
      </w:r>
      <w:r w:rsidR="007F0C2D" w:rsidRPr="00C3757E">
        <w:rPr>
          <w:rFonts w:ascii="Times New Roman" w:hAnsi="Times New Roman" w:cs="Times New Roman"/>
        </w:rPr>
        <w:t xml:space="preserve">post-war </w:t>
      </w:r>
      <w:r w:rsidRPr="00C3757E">
        <w:rPr>
          <w:rFonts w:ascii="Times New Roman" w:hAnsi="Times New Roman" w:cs="Times New Roman"/>
        </w:rPr>
        <w:t>allocation of a quarter share in Middle East</w:t>
      </w:r>
      <w:r w:rsidR="009E4598">
        <w:rPr>
          <w:rFonts w:ascii="Times New Roman" w:hAnsi="Times New Roman" w:cs="Times New Roman"/>
        </w:rPr>
        <w:t>ern</w:t>
      </w:r>
      <w:r w:rsidRPr="00C3757E">
        <w:rPr>
          <w:rFonts w:ascii="Times New Roman" w:hAnsi="Times New Roman" w:cs="Times New Roman"/>
        </w:rPr>
        <w:t xml:space="preserve"> oil production</w:t>
      </w:r>
      <w:r w:rsidR="007F0C2D" w:rsidRPr="00C3757E">
        <w:rPr>
          <w:rFonts w:ascii="Times New Roman" w:hAnsi="Times New Roman" w:cs="Times New Roman"/>
        </w:rPr>
        <w:t xml:space="preserve"> allowed the French to stay in the </w:t>
      </w:r>
      <w:r w:rsidR="00093240" w:rsidRPr="00C3757E">
        <w:rPr>
          <w:rFonts w:ascii="Times New Roman" w:hAnsi="Times New Roman" w:cs="Times New Roman"/>
        </w:rPr>
        <w:t xml:space="preserve">oil </w:t>
      </w:r>
      <w:r w:rsidR="007F0C2D" w:rsidRPr="00C3757E">
        <w:rPr>
          <w:rFonts w:ascii="Times New Roman" w:hAnsi="Times New Roman" w:cs="Times New Roman"/>
        </w:rPr>
        <w:t xml:space="preserve">game. Eventually, after another world war, CFP would finally spread its wings, becoming the oil giant we know as Total. </w:t>
      </w:r>
      <w:r w:rsidR="005B6DCB" w:rsidRPr="00C3757E">
        <w:rPr>
          <w:rFonts w:ascii="Times New Roman" w:hAnsi="Times New Roman" w:cs="Times New Roman"/>
        </w:rPr>
        <w:t xml:space="preserve">It had been a </w:t>
      </w:r>
      <w:r w:rsidR="00093240" w:rsidRPr="00C3757E">
        <w:rPr>
          <w:rFonts w:ascii="Times New Roman" w:hAnsi="Times New Roman" w:cs="Times New Roman"/>
        </w:rPr>
        <w:t xml:space="preserve">very </w:t>
      </w:r>
      <w:r w:rsidR="005B6DCB" w:rsidRPr="00C3757E">
        <w:rPr>
          <w:rFonts w:ascii="Times New Roman" w:hAnsi="Times New Roman" w:cs="Times New Roman"/>
        </w:rPr>
        <w:t>close</w:t>
      </w:r>
      <w:r w:rsidR="00886A98" w:rsidRPr="00C3757E">
        <w:rPr>
          <w:rFonts w:ascii="Times New Roman" w:hAnsi="Times New Roman" w:cs="Times New Roman"/>
        </w:rPr>
        <w:t>-</w:t>
      </w:r>
      <w:r w:rsidR="005B6DCB" w:rsidRPr="00C3757E">
        <w:rPr>
          <w:rFonts w:ascii="Times New Roman" w:hAnsi="Times New Roman" w:cs="Times New Roman"/>
        </w:rPr>
        <w:t>run thing.</w:t>
      </w:r>
    </w:p>
    <w:p w14:paraId="2E3BF79A" w14:textId="647FB622" w:rsidR="003879C9" w:rsidRPr="00C3757E" w:rsidRDefault="00093240" w:rsidP="00C3757E">
      <w:pPr>
        <w:spacing w:after="160" w:line="360" w:lineRule="auto"/>
        <w:ind w:firstLine="720"/>
        <w:rPr>
          <w:rFonts w:ascii="Times New Roman" w:hAnsi="Times New Roman" w:cs="Times New Roman"/>
        </w:rPr>
      </w:pPr>
      <w:r w:rsidRPr="00C3757E">
        <w:rPr>
          <w:rFonts w:ascii="Times New Roman" w:hAnsi="Times New Roman" w:cs="Times New Roman"/>
        </w:rPr>
        <w:t>America</w:t>
      </w:r>
      <w:r w:rsidR="00C3757E" w:rsidRPr="00C3757E">
        <w:rPr>
          <w:rFonts w:ascii="Times New Roman" w:hAnsi="Times New Roman" w:cs="Times New Roman"/>
        </w:rPr>
        <w:t>’</w:t>
      </w:r>
      <w:r w:rsidRPr="00C3757E">
        <w:rPr>
          <w:rFonts w:ascii="Times New Roman" w:hAnsi="Times New Roman" w:cs="Times New Roman"/>
        </w:rPr>
        <w:t xml:space="preserve">s </w:t>
      </w:r>
      <w:r w:rsidR="00962348" w:rsidRPr="00C3757E">
        <w:rPr>
          <w:rFonts w:ascii="Times New Roman" w:hAnsi="Times New Roman" w:cs="Times New Roman"/>
        </w:rPr>
        <w:t xml:space="preserve">Standard Oil was not going to stand by and let Britain and France </w:t>
      </w:r>
      <w:r w:rsidR="002C750A" w:rsidRPr="00C3757E">
        <w:rPr>
          <w:rFonts w:ascii="Times New Roman" w:hAnsi="Times New Roman" w:cs="Times New Roman"/>
        </w:rPr>
        <w:t xml:space="preserve">divide the oily spoils of war between themselves. In 1920 it launched </w:t>
      </w:r>
      <w:r w:rsidR="00886A98" w:rsidRPr="00C3757E">
        <w:rPr>
          <w:rFonts w:ascii="Times New Roman" w:hAnsi="Times New Roman" w:cs="Times New Roman"/>
        </w:rPr>
        <w:t>the</w:t>
      </w:r>
      <w:r w:rsidR="002C750A" w:rsidRPr="00C3757E">
        <w:rPr>
          <w:rFonts w:ascii="Times New Roman" w:hAnsi="Times New Roman" w:cs="Times New Roman"/>
        </w:rPr>
        <w:t xml:space="preserve"> </w:t>
      </w:r>
      <w:r w:rsidR="00C3757E" w:rsidRPr="00C3757E">
        <w:rPr>
          <w:rFonts w:ascii="Times New Roman" w:hAnsi="Times New Roman" w:cs="Times New Roman"/>
        </w:rPr>
        <w:t>‘</w:t>
      </w:r>
      <w:r w:rsidR="002C750A" w:rsidRPr="00C3757E">
        <w:rPr>
          <w:rFonts w:ascii="Times New Roman" w:hAnsi="Times New Roman" w:cs="Times New Roman"/>
        </w:rPr>
        <w:t>oil war</w:t>
      </w:r>
      <w:r w:rsidR="00C3757E" w:rsidRPr="00C3757E">
        <w:rPr>
          <w:rFonts w:ascii="Times New Roman" w:hAnsi="Times New Roman" w:cs="Times New Roman"/>
        </w:rPr>
        <w:t>’</w:t>
      </w:r>
      <w:r w:rsidR="002C750A" w:rsidRPr="00C3757E">
        <w:rPr>
          <w:rFonts w:ascii="Times New Roman" w:hAnsi="Times New Roman" w:cs="Times New Roman"/>
        </w:rPr>
        <w:t xml:space="preserve">: a public relations campaign which conjured up a British oil </w:t>
      </w:r>
      <w:r w:rsidR="00C3757E" w:rsidRPr="00C3757E">
        <w:rPr>
          <w:rFonts w:ascii="Times New Roman" w:hAnsi="Times New Roman" w:cs="Times New Roman"/>
        </w:rPr>
        <w:t>‘</w:t>
      </w:r>
      <w:r w:rsidR="002C750A" w:rsidRPr="00C3757E">
        <w:rPr>
          <w:rFonts w:ascii="Times New Roman" w:hAnsi="Times New Roman" w:cs="Times New Roman"/>
        </w:rPr>
        <w:t>octopus</w:t>
      </w:r>
      <w:r w:rsidR="00C3757E" w:rsidRPr="00C3757E">
        <w:rPr>
          <w:rFonts w:ascii="Times New Roman" w:hAnsi="Times New Roman" w:cs="Times New Roman"/>
        </w:rPr>
        <w:t>’</w:t>
      </w:r>
      <w:r w:rsidR="002C750A" w:rsidRPr="00C3757E">
        <w:rPr>
          <w:rFonts w:ascii="Times New Roman" w:hAnsi="Times New Roman" w:cs="Times New Roman"/>
        </w:rPr>
        <w:t xml:space="preserve"> intent on world domination, in defiance of what Americans referred to as </w:t>
      </w:r>
      <w:r w:rsidR="00C3757E" w:rsidRPr="00C3757E">
        <w:rPr>
          <w:rFonts w:ascii="Times New Roman" w:hAnsi="Times New Roman" w:cs="Times New Roman"/>
        </w:rPr>
        <w:t>‘</w:t>
      </w:r>
      <w:r w:rsidR="002C750A" w:rsidRPr="00C3757E">
        <w:rPr>
          <w:rFonts w:ascii="Times New Roman" w:hAnsi="Times New Roman" w:cs="Times New Roman"/>
        </w:rPr>
        <w:t>the open door</w:t>
      </w:r>
      <w:r w:rsidR="00C3757E" w:rsidRPr="00C3757E">
        <w:rPr>
          <w:rFonts w:ascii="Times New Roman" w:hAnsi="Times New Roman" w:cs="Times New Roman"/>
        </w:rPr>
        <w:t>’</w:t>
      </w:r>
      <w:r w:rsidR="002C750A" w:rsidRPr="00C3757E">
        <w:rPr>
          <w:rFonts w:ascii="Times New Roman" w:hAnsi="Times New Roman" w:cs="Times New Roman"/>
        </w:rPr>
        <w:t>: th</w:t>
      </w:r>
      <w:r w:rsidR="00F25A50" w:rsidRPr="00C3757E">
        <w:rPr>
          <w:rFonts w:ascii="Times New Roman" w:hAnsi="Times New Roman" w:cs="Times New Roman"/>
        </w:rPr>
        <w:t>e freedom to invest one</w:t>
      </w:r>
      <w:r w:rsidR="00C3757E" w:rsidRPr="00C3757E">
        <w:rPr>
          <w:rFonts w:ascii="Times New Roman" w:hAnsi="Times New Roman" w:cs="Times New Roman"/>
        </w:rPr>
        <w:t>’</w:t>
      </w:r>
      <w:r w:rsidR="00F25A50" w:rsidRPr="00C3757E">
        <w:rPr>
          <w:rFonts w:ascii="Times New Roman" w:hAnsi="Times New Roman" w:cs="Times New Roman"/>
        </w:rPr>
        <w:t>s capital anywhere in the world</w:t>
      </w:r>
      <w:r w:rsidR="002C750A" w:rsidRPr="00C3757E">
        <w:rPr>
          <w:rFonts w:ascii="Times New Roman" w:hAnsi="Times New Roman" w:cs="Times New Roman"/>
        </w:rPr>
        <w:t>.</w:t>
      </w:r>
      <w:r w:rsidR="00F25A50" w:rsidRPr="00C3757E">
        <w:rPr>
          <w:rFonts w:ascii="Times New Roman" w:hAnsi="Times New Roman" w:cs="Times New Roman"/>
        </w:rPr>
        <w:t xml:space="preserve"> The State Department lapped it up, </w:t>
      </w:r>
      <w:r w:rsidRPr="00C3757E">
        <w:rPr>
          <w:rFonts w:ascii="Times New Roman" w:hAnsi="Times New Roman" w:cs="Times New Roman"/>
        </w:rPr>
        <w:t>putting</w:t>
      </w:r>
      <w:r w:rsidR="00F25A50" w:rsidRPr="00C3757E">
        <w:rPr>
          <w:rFonts w:ascii="Times New Roman" w:hAnsi="Times New Roman" w:cs="Times New Roman"/>
        </w:rPr>
        <w:t xml:space="preserve"> diplomatic pressure on </w:t>
      </w:r>
      <w:r w:rsidR="00F25A50" w:rsidRPr="00C3757E">
        <w:rPr>
          <w:rFonts w:ascii="Times New Roman" w:hAnsi="Times New Roman" w:cs="Times New Roman"/>
        </w:rPr>
        <w:lastRenderedPageBreak/>
        <w:t xml:space="preserve">London, </w:t>
      </w:r>
      <w:r w:rsidR="009E4598">
        <w:rPr>
          <w:rFonts w:ascii="Times New Roman" w:hAnsi="Times New Roman" w:cs="Times New Roman"/>
        </w:rPr>
        <w:t>which</w:t>
      </w:r>
      <w:r w:rsidR="009E4598" w:rsidRPr="00C3757E">
        <w:rPr>
          <w:rFonts w:ascii="Times New Roman" w:hAnsi="Times New Roman" w:cs="Times New Roman"/>
        </w:rPr>
        <w:t xml:space="preserve"> </w:t>
      </w:r>
      <w:r w:rsidR="00F25A50" w:rsidRPr="00C3757E">
        <w:rPr>
          <w:rFonts w:ascii="Times New Roman" w:hAnsi="Times New Roman" w:cs="Times New Roman"/>
        </w:rPr>
        <w:t xml:space="preserve">in turn </w:t>
      </w:r>
      <w:r w:rsidR="009E4598">
        <w:rPr>
          <w:rFonts w:ascii="Times New Roman" w:hAnsi="Times New Roman" w:cs="Times New Roman"/>
        </w:rPr>
        <w:t>pressured</w:t>
      </w:r>
      <w:r w:rsidR="00F25A50" w:rsidRPr="00C3757E">
        <w:rPr>
          <w:rFonts w:ascii="Times New Roman" w:hAnsi="Times New Roman" w:cs="Times New Roman"/>
        </w:rPr>
        <w:t xml:space="preserve"> BP to let the Americans into both TPC as well as a new venture set up to exploit northern Iran. </w:t>
      </w:r>
    </w:p>
    <w:p w14:paraId="2699BA36" w14:textId="5D8ACFA5" w:rsidR="003E525E" w:rsidRPr="00C3757E" w:rsidRDefault="00F25A50" w:rsidP="00C3757E">
      <w:pPr>
        <w:spacing w:after="160" w:line="360" w:lineRule="auto"/>
        <w:ind w:firstLine="720"/>
        <w:rPr>
          <w:rFonts w:ascii="Times New Roman" w:hAnsi="Times New Roman" w:cs="Times New Roman"/>
        </w:rPr>
      </w:pPr>
      <w:r w:rsidRPr="00C3757E">
        <w:rPr>
          <w:rFonts w:ascii="Times New Roman" w:hAnsi="Times New Roman" w:cs="Times New Roman"/>
        </w:rPr>
        <w:t xml:space="preserve">Having achieved its aims, the </w:t>
      </w:r>
      <w:r w:rsidR="00C3757E" w:rsidRPr="00C3757E">
        <w:rPr>
          <w:rFonts w:ascii="Times New Roman" w:hAnsi="Times New Roman" w:cs="Times New Roman"/>
        </w:rPr>
        <w:t>‘</w:t>
      </w:r>
      <w:r w:rsidRPr="00C3757E">
        <w:rPr>
          <w:rFonts w:ascii="Times New Roman" w:hAnsi="Times New Roman" w:cs="Times New Roman"/>
        </w:rPr>
        <w:t>oil war</w:t>
      </w:r>
      <w:r w:rsidR="00C3757E" w:rsidRPr="00C3757E">
        <w:rPr>
          <w:rFonts w:ascii="Times New Roman" w:hAnsi="Times New Roman" w:cs="Times New Roman"/>
        </w:rPr>
        <w:t>’</w:t>
      </w:r>
      <w:r w:rsidRPr="00C3757E">
        <w:rPr>
          <w:rFonts w:ascii="Times New Roman" w:hAnsi="Times New Roman" w:cs="Times New Roman"/>
        </w:rPr>
        <w:t xml:space="preserve"> ended</w:t>
      </w:r>
      <w:r w:rsidR="00093240" w:rsidRPr="00C3757E">
        <w:rPr>
          <w:rFonts w:ascii="Times New Roman" w:hAnsi="Times New Roman" w:cs="Times New Roman"/>
        </w:rPr>
        <w:t>: Standard</w:t>
      </w:r>
      <w:r w:rsidR="00C3757E" w:rsidRPr="00C3757E">
        <w:rPr>
          <w:rFonts w:ascii="Times New Roman" w:hAnsi="Times New Roman" w:cs="Times New Roman"/>
        </w:rPr>
        <w:t>’</w:t>
      </w:r>
      <w:r w:rsidR="00093240" w:rsidRPr="00C3757E">
        <w:rPr>
          <w:rFonts w:ascii="Times New Roman" w:hAnsi="Times New Roman" w:cs="Times New Roman"/>
        </w:rPr>
        <w:t xml:space="preserve">s revenge for the equally artificial </w:t>
      </w:r>
      <w:r w:rsidR="00C3757E" w:rsidRPr="00C3757E">
        <w:rPr>
          <w:rFonts w:ascii="Times New Roman" w:hAnsi="Times New Roman" w:cs="Times New Roman"/>
        </w:rPr>
        <w:t>‘</w:t>
      </w:r>
      <w:r w:rsidR="00093240" w:rsidRPr="00C3757E">
        <w:rPr>
          <w:rFonts w:ascii="Times New Roman" w:hAnsi="Times New Roman" w:cs="Times New Roman"/>
        </w:rPr>
        <w:t>oil crisis</w:t>
      </w:r>
      <w:r w:rsidR="00C3757E" w:rsidRPr="00C3757E">
        <w:rPr>
          <w:rFonts w:ascii="Times New Roman" w:hAnsi="Times New Roman" w:cs="Times New Roman"/>
        </w:rPr>
        <w:t>’</w:t>
      </w:r>
      <w:r w:rsidR="00093240" w:rsidRPr="00C3757E">
        <w:rPr>
          <w:rFonts w:ascii="Times New Roman" w:hAnsi="Times New Roman" w:cs="Times New Roman"/>
        </w:rPr>
        <w:t xml:space="preserve"> of 1917</w:t>
      </w:r>
      <w:r w:rsidRPr="00C3757E">
        <w:rPr>
          <w:rFonts w:ascii="Times New Roman" w:hAnsi="Times New Roman" w:cs="Times New Roman"/>
        </w:rPr>
        <w:t>. Working out the terms under which Standard would participate in TPC</w:t>
      </w:r>
      <w:r w:rsidR="00D46107" w:rsidRPr="00C3757E">
        <w:rPr>
          <w:rFonts w:ascii="Times New Roman" w:hAnsi="Times New Roman" w:cs="Times New Roman"/>
        </w:rPr>
        <w:t xml:space="preserve"> </w:t>
      </w:r>
      <w:r w:rsidRPr="00C3757E">
        <w:rPr>
          <w:rFonts w:ascii="Times New Roman" w:hAnsi="Times New Roman" w:cs="Times New Roman"/>
        </w:rPr>
        <w:t xml:space="preserve">took much longer. </w:t>
      </w:r>
      <w:r w:rsidR="00D46107" w:rsidRPr="00C3757E">
        <w:rPr>
          <w:rFonts w:ascii="Times New Roman" w:hAnsi="Times New Roman" w:cs="Times New Roman"/>
        </w:rPr>
        <w:t>N</w:t>
      </w:r>
      <w:r w:rsidR="0020677F" w:rsidRPr="00C3757E">
        <w:rPr>
          <w:rFonts w:ascii="Times New Roman" w:hAnsi="Times New Roman" w:cs="Times New Roman"/>
        </w:rPr>
        <w:t>egotiations at Lausanne in 1922</w:t>
      </w:r>
      <w:r w:rsidR="00652A26">
        <w:rPr>
          <w:rFonts w:ascii="Times New Roman" w:hAnsi="Times New Roman" w:cs="Times New Roman"/>
        </w:rPr>
        <w:t>–</w:t>
      </w:r>
      <w:r w:rsidR="0020677F" w:rsidRPr="00C3757E">
        <w:rPr>
          <w:rFonts w:ascii="Times New Roman" w:hAnsi="Times New Roman" w:cs="Times New Roman"/>
        </w:rPr>
        <w:t>3 delayed matters, raising the possibility that the Americans might find a way to Mosul</w:t>
      </w:r>
      <w:r w:rsidR="00C3757E" w:rsidRPr="00C3757E">
        <w:rPr>
          <w:rFonts w:ascii="Times New Roman" w:hAnsi="Times New Roman" w:cs="Times New Roman"/>
        </w:rPr>
        <w:t>’</w:t>
      </w:r>
      <w:r w:rsidR="0020677F" w:rsidRPr="00C3757E">
        <w:rPr>
          <w:rFonts w:ascii="Times New Roman" w:hAnsi="Times New Roman" w:cs="Times New Roman"/>
        </w:rPr>
        <w:t>s oil in collaboration with the new Turk</w:t>
      </w:r>
      <w:r w:rsidR="00015BD1" w:rsidRPr="00C3757E">
        <w:rPr>
          <w:rFonts w:ascii="Times New Roman" w:hAnsi="Times New Roman" w:cs="Times New Roman"/>
        </w:rPr>
        <w:t>ish regime</w:t>
      </w:r>
      <w:r w:rsidR="0020677F" w:rsidRPr="00C3757E">
        <w:rPr>
          <w:rFonts w:ascii="Times New Roman" w:hAnsi="Times New Roman" w:cs="Times New Roman"/>
        </w:rPr>
        <w:t>.</w:t>
      </w:r>
      <w:r w:rsidR="00E6472F" w:rsidRPr="00C3757E">
        <w:rPr>
          <w:rFonts w:ascii="Times New Roman" w:hAnsi="Times New Roman" w:cs="Times New Roman"/>
        </w:rPr>
        <w:t xml:space="preserve"> </w:t>
      </w:r>
      <w:r w:rsidR="003E525E" w:rsidRPr="00C3757E">
        <w:rPr>
          <w:rFonts w:ascii="Times New Roman" w:hAnsi="Times New Roman" w:cs="Times New Roman"/>
        </w:rPr>
        <w:t>Many</w:t>
      </w:r>
      <w:r w:rsidR="00E6472F" w:rsidRPr="00C3757E">
        <w:rPr>
          <w:rFonts w:ascii="Times New Roman" w:hAnsi="Times New Roman" w:cs="Times New Roman"/>
        </w:rPr>
        <w:t xml:space="preserve"> </w:t>
      </w:r>
      <w:r w:rsidR="003E525E" w:rsidRPr="00C3757E">
        <w:rPr>
          <w:rFonts w:ascii="Times New Roman" w:hAnsi="Times New Roman" w:cs="Times New Roman"/>
        </w:rPr>
        <w:t>Turks</w:t>
      </w:r>
      <w:r w:rsidR="00E6472F" w:rsidRPr="00C3757E">
        <w:rPr>
          <w:rFonts w:ascii="Times New Roman" w:hAnsi="Times New Roman" w:cs="Times New Roman"/>
        </w:rPr>
        <w:t xml:space="preserve"> had visions of </w:t>
      </w:r>
      <w:r w:rsidR="003E525E" w:rsidRPr="00C3757E">
        <w:rPr>
          <w:rFonts w:ascii="Times New Roman" w:hAnsi="Times New Roman" w:cs="Times New Roman"/>
        </w:rPr>
        <w:t>the</w:t>
      </w:r>
      <w:r w:rsidR="00E6472F" w:rsidRPr="00C3757E">
        <w:rPr>
          <w:rFonts w:ascii="Times New Roman" w:hAnsi="Times New Roman" w:cs="Times New Roman"/>
        </w:rPr>
        <w:t xml:space="preserve"> </w:t>
      </w:r>
      <w:r w:rsidR="003E525E" w:rsidRPr="00C3757E">
        <w:rPr>
          <w:rFonts w:ascii="Times New Roman" w:hAnsi="Times New Roman" w:cs="Times New Roman"/>
        </w:rPr>
        <w:t>blessings</w:t>
      </w:r>
      <w:r w:rsidR="00652A26">
        <w:rPr>
          <w:rFonts w:ascii="Times New Roman" w:hAnsi="Times New Roman" w:cs="Times New Roman"/>
        </w:rPr>
        <w:t xml:space="preserve"> that</w:t>
      </w:r>
      <w:r w:rsidR="003E525E" w:rsidRPr="00C3757E">
        <w:rPr>
          <w:rFonts w:ascii="Times New Roman" w:hAnsi="Times New Roman" w:cs="Times New Roman"/>
        </w:rPr>
        <w:t xml:space="preserve"> oil-inspired </w:t>
      </w:r>
      <w:r w:rsidR="00E6472F" w:rsidRPr="00C3757E">
        <w:rPr>
          <w:rFonts w:ascii="Times New Roman" w:hAnsi="Times New Roman" w:cs="Times New Roman"/>
        </w:rPr>
        <w:t xml:space="preserve">American investment </w:t>
      </w:r>
      <w:r w:rsidR="003E525E" w:rsidRPr="00C3757E">
        <w:rPr>
          <w:rFonts w:ascii="Times New Roman" w:hAnsi="Times New Roman" w:cs="Times New Roman"/>
        </w:rPr>
        <w:t>w</w:t>
      </w:r>
      <w:r w:rsidR="00E6472F" w:rsidRPr="00C3757E">
        <w:rPr>
          <w:rFonts w:ascii="Times New Roman" w:hAnsi="Times New Roman" w:cs="Times New Roman"/>
        </w:rPr>
        <w:t xml:space="preserve">ould </w:t>
      </w:r>
      <w:r w:rsidR="003E525E" w:rsidRPr="00C3757E">
        <w:rPr>
          <w:rFonts w:ascii="Times New Roman" w:hAnsi="Times New Roman" w:cs="Times New Roman"/>
        </w:rPr>
        <w:t>bring the infant Republic: railways, factories</w:t>
      </w:r>
      <w:r w:rsidR="00C10985" w:rsidRPr="00C3757E">
        <w:rPr>
          <w:rFonts w:ascii="Times New Roman" w:hAnsi="Times New Roman" w:cs="Times New Roman"/>
        </w:rPr>
        <w:t xml:space="preserve">, </w:t>
      </w:r>
      <w:r w:rsidR="003E525E" w:rsidRPr="00C3757E">
        <w:rPr>
          <w:rFonts w:ascii="Times New Roman" w:hAnsi="Times New Roman" w:cs="Times New Roman"/>
        </w:rPr>
        <w:t>and high-rise buildings</w:t>
      </w:r>
      <w:r w:rsidR="00E6472F" w:rsidRPr="00C3757E">
        <w:rPr>
          <w:rFonts w:ascii="Times New Roman" w:hAnsi="Times New Roman" w:cs="Times New Roman"/>
        </w:rPr>
        <w:t xml:space="preserve"> (</w:t>
      </w:r>
      <w:r w:rsidR="00652A26">
        <w:rPr>
          <w:rFonts w:ascii="Times New Roman" w:hAnsi="Times New Roman" w:cs="Times New Roman"/>
        </w:rPr>
        <w:t>Fig. 3</w:t>
      </w:r>
      <w:r w:rsidR="00E6472F" w:rsidRPr="00C3757E">
        <w:rPr>
          <w:rFonts w:ascii="Times New Roman" w:hAnsi="Times New Roman" w:cs="Times New Roman"/>
        </w:rPr>
        <w:t xml:space="preserve">). </w:t>
      </w:r>
      <w:r w:rsidR="003E525E" w:rsidRPr="00C3757E">
        <w:rPr>
          <w:rFonts w:ascii="Times New Roman" w:hAnsi="Times New Roman" w:cs="Times New Roman"/>
        </w:rPr>
        <w:t xml:space="preserve">It was not the last </w:t>
      </w:r>
      <w:r w:rsidR="00652A26">
        <w:rPr>
          <w:rFonts w:ascii="Times New Roman" w:hAnsi="Times New Roman" w:cs="Times New Roman"/>
        </w:rPr>
        <w:t>oil-fuelled</w:t>
      </w:r>
      <w:r w:rsidR="00652A26" w:rsidRPr="00C3757E">
        <w:rPr>
          <w:rFonts w:ascii="Times New Roman" w:hAnsi="Times New Roman" w:cs="Times New Roman"/>
        </w:rPr>
        <w:t xml:space="preserve"> </w:t>
      </w:r>
      <w:r w:rsidR="003E525E" w:rsidRPr="00C3757E">
        <w:rPr>
          <w:rFonts w:ascii="Times New Roman" w:hAnsi="Times New Roman" w:cs="Times New Roman"/>
        </w:rPr>
        <w:t>vision to prove illusory.</w:t>
      </w:r>
    </w:p>
    <w:p w14:paraId="0910DD61" w14:textId="1C05E746" w:rsidR="005B6DCB" w:rsidRPr="00C3757E" w:rsidRDefault="00F25A50" w:rsidP="00C3757E">
      <w:pPr>
        <w:spacing w:after="160" w:line="360" w:lineRule="auto"/>
        <w:ind w:firstLine="720"/>
        <w:rPr>
          <w:rFonts w:ascii="Times New Roman" w:hAnsi="Times New Roman" w:cs="Times New Roman"/>
        </w:rPr>
      </w:pPr>
      <w:r w:rsidRPr="00C3757E">
        <w:rPr>
          <w:rFonts w:ascii="Times New Roman" w:hAnsi="Times New Roman" w:cs="Times New Roman"/>
        </w:rPr>
        <w:t xml:space="preserve">Only in 1928 </w:t>
      </w:r>
      <w:r w:rsidR="00D46107" w:rsidRPr="00C3757E">
        <w:rPr>
          <w:rFonts w:ascii="Times New Roman" w:hAnsi="Times New Roman" w:cs="Times New Roman"/>
        </w:rPr>
        <w:t>would</w:t>
      </w:r>
      <w:r w:rsidR="003879C9" w:rsidRPr="00C3757E">
        <w:rPr>
          <w:rFonts w:ascii="Times New Roman" w:hAnsi="Times New Roman" w:cs="Times New Roman"/>
        </w:rPr>
        <w:t xml:space="preserve"> the Red Line Agreement</w:t>
      </w:r>
      <w:r w:rsidR="00D46107" w:rsidRPr="00C3757E">
        <w:rPr>
          <w:rFonts w:ascii="Times New Roman" w:hAnsi="Times New Roman" w:cs="Times New Roman"/>
        </w:rPr>
        <w:t xml:space="preserve"> be reached</w:t>
      </w:r>
      <w:r w:rsidR="003879C9" w:rsidRPr="00C3757E">
        <w:rPr>
          <w:rFonts w:ascii="Times New Roman" w:hAnsi="Times New Roman" w:cs="Times New Roman"/>
        </w:rPr>
        <w:t>, named after the line delineating the vast area within which TPC partners agreed to collaborate</w:t>
      </w:r>
      <w:r w:rsidR="003E525E" w:rsidRPr="00C3757E">
        <w:rPr>
          <w:rFonts w:ascii="Times New Roman" w:hAnsi="Times New Roman" w:cs="Times New Roman"/>
        </w:rPr>
        <w:t xml:space="preserve"> (</w:t>
      </w:r>
      <w:r w:rsidR="00652A26">
        <w:rPr>
          <w:rFonts w:ascii="Times New Roman" w:hAnsi="Times New Roman" w:cs="Times New Roman"/>
        </w:rPr>
        <w:t>Fig. 4</w:t>
      </w:r>
      <w:r w:rsidR="003E525E" w:rsidRPr="00C3757E">
        <w:rPr>
          <w:rFonts w:ascii="Times New Roman" w:hAnsi="Times New Roman" w:cs="Times New Roman"/>
        </w:rPr>
        <w:t>)</w:t>
      </w:r>
      <w:r w:rsidR="003879C9" w:rsidRPr="00C3757E">
        <w:rPr>
          <w:rFonts w:ascii="Times New Roman" w:hAnsi="Times New Roman" w:cs="Times New Roman"/>
        </w:rPr>
        <w:t xml:space="preserve">. </w:t>
      </w:r>
      <w:r w:rsidR="00FA6DAE" w:rsidRPr="00C3757E">
        <w:rPr>
          <w:rFonts w:ascii="Times New Roman" w:hAnsi="Times New Roman" w:cs="Times New Roman"/>
        </w:rPr>
        <w:t xml:space="preserve">TPC had struck oil </w:t>
      </w:r>
      <w:r w:rsidR="00652A26">
        <w:rPr>
          <w:rFonts w:ascii="Times New Roman" w:hAnsi="Times New Roman" w:cs="Times New Roman"/>
        </w:rPr>
        <w:t>100</w:t>
      </w:r>
      <w:r w:rsidR="00FA6DAE" w:rsidRPr="00C3757E">
        <w:rPr>
          <w:rFonts w:ascii="Times New Roman" w:hAnsi="Times New Roman" w:cs="Times New Roman"/>
        </w:rPr>
        <w:t xml:space="preserve"> miles southeast of Mosul the previous October. </w:t>
      </w:r>
      <w:r w:rsidR="0020677F" w:rsidRPr="00C3757E">
        <w:rPr>
          <w:rFonts w:ascii="Times New Roman" w:hAnsi="Times New Roman" w:cs="Times New Roman"/>
        </w:rPr>
        <w:t xml:space="preserve">By adopting a </w:t>
      </w:r>
      <w:r w:rsidR="00C3757E" w:rsidRPr="00C3757E">
        <w:rPr>
          <w:rFonts w:ascii="Times New Roman" w:hAnsi="Times New Roman" w:cs="Times New Roman"/>
        </w:rPr>
        <w:t>‘</w:t>
      </w:r>
      <w:r w:rsidR="0020677F" w:rsidRPr="00C3757E">
        <w:rPr>
          <w:rFonts w:ascii="Times New Roman" w:hAnsi="Times New Roman" w:cs="Times New Roman"/>
        </w:rPr>
        <w:t>go slow</w:t>
      </w:r>
      <w:r w:rsidR="00C3757E" w:rsidRPr="00C3757E">
        <w:rPr>
          <w:rFonts w:ascii="Times New Roman" w:hAnsi="Times New Roman" w:cs="Times New Roman"/>
        </w:rPr>
        <w:t>’</w:t>
      </w:r>
      <w:r w:rsidR="0020677F" w:rsidRPr="00C3757E">
        <w:rPr>
          <w:rFonts w:ascii="Times New Roman" w:hAnsi="Times New Roman" w:cs="Times New Roman"/>
        </w:rPr>
        <w:t xml:space="preserve"> policy on the construction of pipelines necessary to bring the region</w:t>
      </w:r>
      <w:r w:rsidR="00C3757E" w:rsidRPr="00C3757E">
        <w:rPr>
          <w:rFonts w:ascii="Times New Roman" w:hAnsi="Times New Roman" w:cs="Times New Roman"/>
        </w:rPr>
        <w:t>’</w:t>
      </w:r>
      <w:r w:rsidR="0020677F" w:rsidRPr="00C3757E">
        <w:rPr>
          <w:rFonts w:ascii="Times New Roman" w:hAnsi="Times New Roman" w:cs="Times New Roman"/>
        </w:rPr>
        <w:t>s oil on stream</w:t>
      </w:r>
      <w:r w:rsidR="00A91832" w:rsidRPr="00C3757E">
        <w:rPr>
          <w:rFonts w:ascii="Times New Roman" w:hAnsi="Times New Roman" w:cs="Times New Roman"/>
        </w:rPr>
        <w:t xml:space="preserve"> (Mosul</w:t>
      </w:r>
      <w:r w:rsidR="00C3757E" w:rsidRPr="00C3757E">
        <w:rPr>
          <w:rFonts w:ascii="Times New Roman" w:hAnsi="Times New Roman" w:cs="Times New Roman"/>
        </w:rPr>
        <w:t>’</w:t>
      </w:r>
      <w:r w:rsidR="00A91832" w:rsidRPr="00C3757E">
        <w:rPr>
          <w:rFonts w:ascii="Times New Roman" w:hAnsi="Times New Roman" w:cs="Times New Roman"/>
        </w:rPr>
        <w:t>s oil finally reached TPC</w:t>
      </w:r>
      <w:r w:rsidR="00C3757E" w:rsidRPr="00C3757E">
        <w:rPr>
          <w:rFonts w:ascii="Times New Roman" w:hAnsi="Times New Roman" w:cs="Times New Roman"/>
        </w:rPr>
        <w:t>’</w:t>
      </w:r>
      <w:r w:rsidR="00A91832" w:rsidRPr="00C3757E">
        <w:rPr>
          <w:rFonts w:ascii="Times New Roman" w:hAnsi="Times New Roman" w:cs="Times New Roman"/>
        </w:rPr>
        <w:t>s Mediterranean terminal at Haifa in 1934)</w:t>
      </w:r>
      <w:r w:rsidR="004B64F1" w:rsidRPr="00C3757E">
        <w:rPr>
          <w:rFonts w:ascii="Times New Roman" w:hAnsi="Times New Roman" w:cs="Times New Roman"/>
        </w:rPr>
        <w:t xml:space="preserve">, the TPC partners protected their </w:t>
      </w:r>
      <w:r w:rsidR="00785A52" w:rsidRPr="00C3757E">
        <w:rPr>
          <w:rFonts w:ascii="Times New Roman" w:hAnsi="Times New Roman" w:cs="Times New Roman"/>
        </w:rPr>
        <w:t xml:space="preserve">global </w:t>
      </w:r>
      <w:r w:rsidR="004B64F1" w:rsidRPr="00C3757E">
        <w:rPr>
          <w:rFonts w:ascii="Times New Roman" w:hAnsi="Times New Roman" w:cs="Times New Roman"/>
        </w:rPr>
        <w:t xml:space="preserve">markets from </w:t>
      </w:r>
      <w:r w:rsidR="00C3757E" w:rsidRPr="00C3757E">
        <w:rPr>
          <w:rFonts w:ascii="Times New Roman" w:hAnsi="Times New Roman" w:cs="Times New Roman"/>
        </w:rPr>
        <w:t>‘</w:t>
      </w:r>
      <w:r w:rsidR="004B64F1" w:rsidRPr="00C3757E">
        <w:rPr>
          <w:rFonts w:ascii="Times New Roman" w:hAnsi="Times New Roman" w:cs="Times New Roman"/>
        </w:rPr>
        <w:t>oversupply</w:t>
      </w:r>
      <w:r w:rsidR="00C3757E" w:rsidRPr="00C3757E">
        <w:rPr>
          <w:rFonts w:ascii="Times New Roman" w:hAnsi="Times New Roman" w:cs="Times New Roman"/>
        </w:rPr>
        <w:t>’</w:t>
      </w:r>
      <w:r w:rsidR="004B64F1" w:rsidRPr="00C3757E">
        <w:rPr>
          <w:rFonts w:ascii="Times New Roman" w:hAnsi="Times New Roman" w:cs="Times New Roman"/>
        </w:rPr>
        <w:t xml:space="preserve">. For Iraq and its neighbours, </w:t>
      </w:r>
      <w:r w:rsidR="00D01E8E" w:rsidRPr="00C3757E">
        <w:rPr>
          <w:rFonts w:ascii="Times New Roman" w:hAnsi="Times New Roman" w:cs="Times New Roman"/>
        </w:rPr>
        <w:t xml:space="preserve">the TPC cartel </w:t>
      </w:r>
      <w:r w:rsidR="00564B70" w:rsidRPr="00C3757E">
        <w:rPr>
          <w:rFonts w:ascii="Times New Roman" w:hAnsi="Times New Roman" w:cs="Times New Roman"/>
        </w:rPr>
        <w:t>kept</w:t>
      </w:r>
      <w:r w:rsidR="004B64F1" w:rsidRPr="00C3757E">
        <w:rPr>
          <w:rFonts w:ascii="Times New Roman" w:hAnsi="Times New Roman" w:cs="Times New Roman"/>
        </w:rPr>
        <w:t xml:space="preserve"> </w:t>
      </w:r>
      <w:r w:rsidR="005502D1" w:rsidRPr="00C3757E">
        <w:rPr>
          <w:rFonts w:ascii="Times New Roman" w:hAnsi="Times New Roman" w:cs="Times New Roman"/>
        </w:rPr>
        <w:t xml:space="preserve">much-needed </w:t>
      </w:r>
      <w:r w:rsidR="004B64F1" w:rsidRPr="00C3757E">
        <w:rPr>
          <w:rFonts w:ascii="Times New Roman" w:hAnsi="Times New Roman" w:cs="Times New Roman"/>
        </w:rPr>
        <w:t>income from royalties low. Rather than a partnership, many within Iraq saw the relationship as exploitative</w:t>
      </w:r>
      <w:r w:rsidR="00F73FCD" w:rsidRPr="00C3757E">
        <w:rPr>
          <w:rFonts w:ascii="Times New Roman" w:hAnsi="Times New Roman" w:cs="Times New Roman"/>
        </w:rPr>
        <w:t xml:space="preserve">. </w:t>
      </w:r>
      <w:r w:rsidR="00C3757E" w:rsidRPr="00C3757E">
        <w:rPr>
          <w:rFonts w:ascii="Times New Roman" w:hAnsi="Times New Roman" w:cs="Times New Roman"/>
        </w:rPr>
        <w:t>‘</w:t>
      </w:r>
      <w:r w:rsidR="00F73FCD" w:rsidRPr="00C3757E">
        <w:rPr>
          <w:rFonts w:ascii="Times New Roman" w:hAnsi="Times New Roman" w:cs="Times New Roman"/>
        </w:rPr>
        <w:t>We wish Iraq to benefit from its resources</w:t>
      </w:r>
      <w:r w:rsidR="00C3757E" w:rsidRPr="00C3757E">
        <w:rPr>
          <w:rFonts w:ascii="Times New Roman" w:hAnsi="Times New Roman" w:cs="Times New Roman"/>
        </w:rPr>
        <w:t>’</w:t>
      </w:r>
      <w:r w:rsidR="00F73FCD" w:rsidRPr="00C3757E">
        <w:rPr>
          <w:rFonts w:ascii="Times New Roman" w:hAnsi="Times New Roman" w:cs="Times New Roman"/>
        </w:rPr>
        <w:t xml:space="preserve">, noted the Bagdad newspaper </w:t>
      </w:r>
      <w:r w:rsidR="00015BD1" w:rsidRPr="00C3757E">
        <w:rPr>
          <w:rFonts w:ascii="Times New Roman" w:hAnsi="Times New Roman" w:cs="Times New Roman"/>
          <w:i/>
          <w:iCs/>
        </w:rPr>
        <w:t xml:space="preserve">İstiklâl </w:t>
      </w:r>
      <w:r w:rsidR="00F73FCD" w:rsidRPr="00C3757E">
        <w:rPr>
          <w:rFonts w:ascii="Times New Roman" w:hAnsi="Times New Roman" w:cs="Times New Roman"/>
        </w:rPr>
        <w:t xml:space="preserve">in 1923, </w:t>
      </w:r>
      <w:r w:rsidR="00C3757E" w:rsidRPr="00C3757E">
        <w:rPr>
          <w:rFonts w:ascii="Times New Roman" w:hAnsi="Times New Roman" w:cs="Times New Roman"/>
        </w:rPr>
        <w:t>‘</w:t>
      </w:r>
      <w:r w:rsidR="00F73FCD" w:rsidRPr="00C3757E">
        <w:rPr>
          <w:rFonts w:ascii="Times New Roman" w:hAnsi="Times New Roman" w:cs="Times New Roman"/>
        </w:rPr>
        <w:t>the exploitation of such deposits should leave no ground for foreign interference in the administration of our country.</w:t>
      </w:r>
      <w:r w:rsidR="00C3757E" w:rsidRPr="00C3757E">
        <w:rPr>
          <w:rFonts w:ascii="Times New Roman" w:hAnsi="Times New Roman" w:cs="Times New Roman"/>
        </w:rPr>
        <w:t>’</w:t>
      </w:r>
      <w:r w:rsidR="004B64F1" w:rsidRPr="00C3757E">
        <w:rPr>
          <w:rFonts w:ascii="Times New Roman" w:hAnsi="Times New Roman" w:cs="Times New Roman"/>
        </w:rPr>
        <w:t xml:space="preserve"> </w:t>
      </w:r>
      <w:r w:rsidR="00A91832" w:rsidRPr="00C3757E">
        <w:rPr>
          <w:rFonts w:ascii="Times New Roman" w:hAnsi="Times New Roman" w:cs="Times New Roman"/>
        </w:rPr>
        <w:t xml:space="preserve">Distrust of TPC led Ibn Saud to award the concession for his </w:t>
      </w:r>
      <w:r w:rsidR="00652A26" w:rsidRPr="00C3757E">
        <w:rPr>
          <w:rFonts w:ascii="Times New Roman" w:hAnsi="Times New Roman" w:cs="Times New Roman"/>
        </w:rPr>
        <w:t>newly established</w:t>
      </w:r>
      <w:r w:rsidR="006067BC" w:rsidRPr="00C3757E">
        <w:rPr>
          <w:rFonts w:ascii="Times New Roman" w:hAnsi="Times New Roman" w:cs="Times New Roman"/>
        </w:rPr>
        <w:t xml:space="preserve"> </w:t>
      </w:r>
      <w:r w:rsidR="00A91832" w:rsidRPr="00C3757E">
        <w:rPr>
          <w:rFonts w:ascii="Times New Roman" w:hAnsi="Times New Roman" w:cs="Times New Roman"/>
        </w:rPr>
        <w:t xml:space="preserve">kingdom </w:t>
      </w:r>
      <w:r w:rsidR="006067BC" w:rsidRPr="00C3757E">
        <w:rPr>
          <w:rFonts w:ascii="Times New Roman" w:hAnsi="Times New Roman" w:cs="Times New Roman"/>
        </w:rPr>
        <w:t xml:space="preserve">of Saudi Arabia </w:t>
      </w:r>
      <w:r w:rsidR="00A91832" w:rsidRPr="00C3757E">
        <w:rPr>
          <w:rFonts w:ascii="Times New Roman" w:hAnsi="Times New Roman" w:cs="Times New Roman"/>
        </w:rPr>
        <w:t xml:space="preserve">to </w:t>
      </w:r>
      <w:r w:rsidR="006067BC" w:rsidRPr="00C3757E">
        <w:rPr>
          <w:rFonts w:ascii="Times New Roman" w:hAnsi="Times New Roman" w:cs="Times New Roman"/>
        </w:rPr>
        <w:t>an all-American company</w:t>
      </w:r>
      <w:r w:rsidR="00A91832" w:rsidRPr="00C3757E">
        <w:rPr>
          <w:rFonts w:ascii="Times New Roman" w:hAnsi="Times New Roman" w:cs="Times New Roman"/>
        </w:rPr>
        <w:t xml:space="preserve"> in 1933</w:t>
      </w:r>
      <w:r w:rsidR="006067BC" w:rsidRPr="00C3757E">
        <w:rPr>
          <w:rFonts w:ascii="Times New Roman" w:hAnsi="Times New Roman" w:cs="Times New Roman"/>
        </w:rPr>
        <w:t>; American oil executives ensured that the United States would in time become a firm Saudi ally</w:t>
      </w:r>
      <w:r w:rsidR="00A91832" w:rsidRPr="00C3757E">
        <w:rPr>
          <w:rFonts w:ascii="Times New Roman" w:hAnsi="Times New Roman" w:cs="Times New Roman"/>
        </w:rPr>
        <w:t>.</w:t>
      </w:r>
    </w:p>
    <w:p w14:paraId="46D2910D" w14:textId="2EC50B1F" w:rsidR="00D01E8E" w:rsidRPr="00C3757E" w:rsidRDefault="00D01E8E" w:rsidP="00C3757E">
      <w:pPr>
        <w:spacing w:after="160" w:line="360" w:lineRule="auto"/>
        <w:rPr>
          <w:rFonts w:ascii="Times New Roman" w:hAnsi="Times New Roman" w:cs="Times New Roman"/>
        </w:rPr>
      </w:pPr>
    </w:p>
    <w:p w14:paraId="58485DBB" w14:textId="0B4F2BE3" w:rsidR="00D01E8E" w:rsidRPr="00C3757E" w:rsidRDefault="00D01E8E" w:rsidP="00C3757E">
      <w:pPr>
        <w:spacing w:after="160" w:line="360" w:lineRule="auto"/>
        <w:rPr>
          <w:rFonts w:ascii="Times New Roman" w:hAnsi="Times New Roman" w:cs="Times New Roman"/>
          <w:b/>
          <w:bCs/>
        </w:rPr>
      </w:pPr>
      <w:r w:rsidRPr="00C3757E">
        <w:rPr>
          <w:rFonts w:ascii="Times New Roman" w:hAnsi="Times New Roman" w:cs="Times New Roman"/>
          <w:b/>
          <w:bCs/>
        </w:rPr>
        <w:t>Dream or Nightmare?</w:t>
      </w:r>
    </w:p>
    <w:p w14:paraId="1E8BAA88" w14:textId="512B4704" w:rsidR="00564B70" w:rsidRPr="00C3757E" w:rsidRDefault="005502D1" w:rsidP="00C3757E">
      <w:pPr>
        <w:spacing w:after="160" w:line="360" w:lineRule="auto"/>
        <w:rPr>
          <w:rFonts w:ascii="Times New Roman" w:hAnsi="Times New Roman" w:cs="Times New Roman"/>
          <w:color w:val="000000" w:themeColor="text1"/>
        </w:rPr>
      </w:pPr>
      <w:bookmarkStart w:id="4" w:name="_Hlk92696588"/>
      <w:r w:rsidRPr="00C3757E">
        <w:rPr>
          <w:rFonts w:ascii="Times New Roman" w:hAnsi="Times New Roman" w:cs="Times New Roman"/>
        </w:rPr>
        <w:t>The oil of the Middle East did little</w:t>
      </w:r>
      <w:r w:rsidR="00D46107" w:rsidRPr="00C3757E">
        <w:rPr>
          <w:rFonts w:ascii="Times New Roman" w:hAnsi="Times New Roman" w:cs="Times New Roman"/>
        </w:rPr>
        <w:t xml:space="preserve"> </w:t>
      </w:r>
      <w:r w:rsidRPr="00C3757E">
        <w:rPr>
          <w:rFonts w:ascii="Times New Roman" w:hAnsi="Times New Roman" w:cs="Times New Roman"/>
        </w:rPr>
        <w:t xml:space="preserve">to power </w:t>
      </w:r>
      <w:bookmarkEnd w:id="4"/>
      <w:r w:rsidRPr="00C3757E">
        <w:rPr>
          <w:rFonts w:ascii="Times New Roman" w:hAnsi="Times New Roman" w:cs="Times New Roman"/>
        </w:rPr>
        <w:t xml:space="preserve">the </w:t>
      </w:r>
      <w:r w:rsidR="00D46107" w:rsidRPr="00C3757E">
        <w:rPr>
          <w:rFonts w:ascii="Times New Roman" w:hAnsi="Times New Roman" w:cs="Times New Roman"/>
        </w:rPr>
        <w:t>war effort</w:t>
      </w:r>
      <w:r w:rsidRPr="00C3757E">
        <w:rPr>
          <w:rFonts w:ascii="Times New Roman" w:hAnsi="Times New Roman" w:cs="Times New Roman"/>
        </w:rPr>
        <w:t xml:space="preserve">: only after the second world war did the axis of world oil production shift from the Gulf of Mexico to the Persian Gulf. The rapid </w:t>
      </w:r>
      <w:r w:rsidR="00B41C13" w:rsidRPr="00C3757E">
        <w:rPr>
          <w:rFonts w:ascii="Times New Roman" w:hAnsi="Times New Roman" w:cs="Times New Roman"/>
        </w:rPr>
        <w:t>consolidation</w:t>
      </w:r>
      <w:r w:rsidRPr="00C3757E">
        <w:rPr>
          <w:rFonts w:ascii="Times New Roman" w:hAnsi="Times New Roman" w:cs="Times New Roman"/>
        </w:rPr>
        <w:t xml:space="preserve"> of the oil industry during the Great War</w:t>
      </w:r>
      <w:r w:rsidR="00B41C13" w:rsidRPr="00C3757E">
        <w:rPr>
          <w:rFonts w:ascii="Times New Roman" w:hAnsi="Times New Roman" w:cs="Times New Roman"/>
        </w:rPr>
        <w:t xml:space="preserve"> and its manipulation of host states </w:t>
      </w:r>
      <w:r w:rsidR="00F73FCD" w:rsidRPr="00C3757E">
        <w:rPr>
          <w:rFonts w:ascii="Times New Roman" w:hAnsi="Times New Roman" w:cs="Times New Roman"/>
        </w:rPr>
        <w:t xml:space="preserve">nonetheless </w:t>
      </w:r>
      <w:r w:rsidR="00B41C13" w:rsidRPr="00C3757E">
        <w:rPr>
          <w:rFonts w:ascii="Times New Roman" w:hAnsi="Times New Roman" w:cs="Times New Roman"/>
        </w:rPr>
        <w:t>set the terms by which Middle Eastern oil enter</w:t>
      </w:r>
      <w:r w:rsidR="00944342" w:rsidRPr="00C3757E">
        <w:rPr>
          <w:rFonts w:ascii="Times New Roman" w:hAnsi="Times New Roman" w:cs="Times New Roman"/>
        </w:rPr>
        <w:t>ed</w:t>
      </w:r>
      <w:r w:rsidR="00B41C13" w:rsidRPr="00C3757E">
        <w:rPr>
          <w:rFonts w:ascii="Times New Roman" w:hAnsi="Times New Roman" w:cs="Times New Roman"/>
        </w:rPr>
        <w:t xml:space="preserve"> world markets.</w:t>
      </w:r>
      <w:r w:rsidR="00D82FA0" w:rsidRPr="00C3757E">
        <w:rPr>
          <w:rFonts w:ascii="Times New Roman" w:hAnsi="Times New Roman" w:cs="Times New Roman"/>
        </w:rPr>
        <w:t xml:space="preserve"> These terms were far removed from the anti-imperialist Fourteen Points advanced by Wilson at the conflict</w:t>
      </w:r>
      <w:r w:rsidR="00C3757E" w:rsidRPr="00C3757E">
        <w:rPr>
          <w:rFonts w:ascii="Times New Roman" w:hAnsi="Times New Roman" w:cs="Times New Roman"/>
        </w:rPr>
        <w:t>’</w:t>
      </w:r>
      <w:r w:rsidR="00D82FA0" w:rsidRPr="00C3757E">
        <w:rPr>
          <w:rFonts w:ascii="Times New Roman" w:hAnsi="Times New Roman" w:cs="Times New Roman"/>
        </w:rPr>
        <w:t>s end.</w:t>
      </w:r>
      <w:r w:rsidR="00B41C13" w:rsidRPr="00C3757E">
        <w:rPr>
          <w:rFonts w:ascii="Times New Roman" w:hAnsi="Times New Roman" w:cs="Times New Roman"/>
        </w:rPr>
        <w:t xml:space="preserve"> </w:t>
      </w:r>
      <w:r w:rsidR="00944342" w:rsidRPr="00C3757E">
        <w:rPr>
          <w:rFonts w:ascii="Times New Roman" w:hAnsi="Times New Roman" w:cs="Times New Roman"/>
          <w:color w:val="000000" w:themeColor="text1"/>
        </w:rPr>
        <w:t>Thanks to Henri Deterding, Walter Teagle</w:t>
      </w:r>
      <w:r w:rsidR="00652A26">
        <w:rPr>
          <w:rFonts w:ascii="Times New Roman" w:hAnsi="Times New Roman" w:cs="Times New Roman"/>
          <w:color w:val="000000" w:themeColor="text1"/>
        </w:rPr>
        <w:t>,</w:t>
      </w:r>
      <w:r w:rsidR="00944342" w:rsidRPr="00C3757E">
        <w:rPr>
          <w:rFonts w:ascii="Times New Roman" w:hAnsi="Times New Roman" w:cs="Times New Roman"/>
          <w:color w:val="000000" w:themeColor="text1"/>
        </w:rPr>
        <w:t xml:space="preserve"> and John Cadman, the leaders of giants we know as Shell, ExxonMobil</w:t>
      </w:r>
      <w:r w:rsidR="00652A26">
        <w:rPr>
          <w:rFonts w:ascii="Times New Roman" w:hAnsi="Times New Roman" w:cs="Times New Roman"/>
          <w:color w:val="000000" w:themeColor="text1"/>
        </w:rPr>
        <w:t>,</w:t>
      </w:r>
      <w:r w:rsidR="00944342" w:rsidRPr="00C3757E">
        <w:rPr>
          <w:rFonts w:ascii="Times New Roman" w:hAnsi="Times New Roman" w:cs="Times New Roman"/>
          <w:color w:val="000000" w:themeColor="text1"/>
        </w:rPr>
        <w:t xml:space="preserve"> and BP the fate of the Middle East lay as much in the hands of oil executives and shareholders as it did in those of presidents and statesmen.</w:t>
      </w:r>
    </w:p>
    <w:p w14:paraId="6AD8E08D" w14:textId="2986377B" w:rsidR="000633B6" w:rsidRPr="00C3757E" w:rsidRDefault="00B41C13" w:rsidP="00C3757E">
      <w:pPr>
        <w:spacing w:after="160" w:line="360" w:lineRule="auto"/>
        <w:ind w:firstLine="720"/>
        <w:rPr>
          <w:rFonts w:ascii="Times New Roman" w:hAnsi="Times New Roman" w:cs="Times New Roman"/>
        </w:rPr>
      </w:pPr>
      <w:r w:rsidRPr="00C3757E">
        <w:rPr>
          <w:rFonts w:ascii="Times New Roman" w:hAnsi="Times New Roman" w:cs="Times New Roman"/>
        </w:rPr>
        <w:lastRenderedPageBreak/>
        <w:t xml:space="preserve">Culturally the </w:t>
      </w:r>
      <w:r w:rsidR="00D82FA0" w:rsidRPr="00C3757E">
        <w:rPr>
          <w:rFonts w:ascii="Times New Roman" w:hAnsi="Times New Roman" w:cs="Times New Roman"/>
        </w:rPr>
        <w:t>Great War</w:t>
      </w:r>
      <w:r w:rsidRPr="00C3757E">
        <w:rPr>
          <w:rFonts w:ascii="Times New Roman" w:hAnsi="Times New Roman" w:cs="Times New Roman"/>
        </w:rPr>
        <w:t xml:space="preserve"> saw </w:t>
      </w:r>
      <w:r w:rsidR="00C3757E" w:rsidRPr="00C3757E">
        <w:rPr>
          <w:rFonts w:ascii="Times New Roman" w:hAnsi="Times New Roman" w:cs="Times New Roman"/>
        </w:rPr>
        <w:t>‘</w:t>
      </w:r>
      <w:r w:rsidR="00BB13F5" w:rsidRPr="00C3757E">
        <w:rPr>
          <w:rFonts w:ascii="Times New Roman" w:hAnsi="Times New Roman" w:cs="Times New Roman"/>
        </w:rPr>
        <w:t>oil</w:t>
      </w:r>
      <w:r w:rsidR="00C3757E" w:rsidRPr="00C3757E">
        <w:rPr>
          <w:rFonts w:ascii="Times New Roman" w:hAnsi="Times New Roman" w:cs="Times New Roman"/>
        </w:rPr>
        <w:t>’</w:t>
      </w:r>
      <w:r w:rsidR="00BB13F5" w:rsidRPr="00C3757E">
        <w:rPr>
          <w:rFonts w:ascii="Times New Roman" w:hAnsi="Times New Roman" w:cs="Times New Roman"/>
        </w:rPr>
        <w:t xml:space="preserve"> emerge as a </w:t>
      </w:r>
      <w:r w:rsidR="002F2690" w:rsidRPr="00C3757E">
        <w:rPr>
          <w:rFonts w:ascii="Times New Roman" w:hAnsi="Times New Roman" w:cs="Times New Roman"/>
        </w:rPr>
        <w:t>symbol with conflicting meanings: for some</w:t>
      </w:r>
      <w:r w:rsidR="00652A26">
        <w:rPr>
          <w:rFonts w:ascii="Times New Roman" w:hAnsi="Times New Roman" w:cs="Times New Roman"/>
        </w:rPr>
        <w:t>,</w:t>
      </w:r>
      <w:r w:rsidR="002F2690" w:rsidRPr="00C3757E">
        <w:rPr>
          <w:rFonts w:ascii="Times New Roman" w:hAnsi="Times New Roman" w:cs="Times New Roman"/>
        </w:rPr>
        <w:t xml:space="preserve"> </w:t>
      </w:r>
      <w:r w:rsidR="00C3757E" w:rsidRPr="00C3757E">
        <w:rPr>
          <w:rFonts w:ascii="Times New Roman" w:hAnsi="Times New Roman" w:cs="Times New Roman"/>
        </w:rPr>
        <w:t>‘</w:t>
      </w:r>
      <w:r w:rsidR="002F2690" w:rsidRPr="00C3757E">
        <w:rPr>
          <w:rFonts w:ascii="Times New Roman" w:hAnsi="Times New Roman" w:cs="Times New Roman"/>
        </w:rPr>
        <w:t>oil</w:t>
      </w:r>
      <w:r w:rsidR="00C3757E" w:rsidRPr="00C3757E">
        <w:rPr>
          <w:rFonts w:ascii="Times New Roman" w:hAnsi="Times New Roman" w:cs="Times New Roman"/>
        </w:rPr>
        <w:t>’</w:t>
      </w:r>
      <w:r w:rsidR="002F2690" w:rsidRPr="00C3757E">
        <w:rPr>
          <w:rFonts w:ascii="Times New Roman" w:hAnsi="Times New Roman" w:cs="Times New Roman"/>
        </w:rPr>
        <w:t xml:space="preserve"> meant power</w:t>
      </w:r>
      <w:r w:rsidR="00652A26">
        <w:rPr>
          <w:rFonts w:ascii="Times New Roman" w:hAnsi="Times New Roman" w:cs="Times New Roman"/>
        </w:rPr>
        <w:t>;</w:t>
      </w:r>
      <w:r w:rsidR="00652A26" w:rsidRPr="00C3757E">
        <w:rPr>
          <w:rFonts w:ascii="Times New Roman" w:hAnsi="Times New Roman" w:cs="Times New Roman"/>
        </w:rPr>
        <w:t xml:space="preserve"> </w:t>
      </w:r>
      <w:r w:rsidR="002F2690" w:rsidRPr="00C3757E">
        <w:rPr>
          <w:rFonts w:ascii="Times New Roman" w:hAnsi="Times New Roman" w:cs="Times New Roman"/>
        </w:rPr>
        <w:t>for others</w:t>
      </w:r>
      <w:r w:rsidR="00652A26">
        <w:rPr>
          <w:rFonts w:ascii="Times New Roman" w:hAnsi="Times New Roman" w:cs="Times New Roman"/>
        </w:rPr>
        <w:t>,</w:t>
      </w:r>
      <w:r w:rsidR="002F2690" w:rsidRPr="00C3757E">
        <w:rPr>
          <w:rFonts w:ascii="Times New Roman" w:hAnsi="Times New Roman" w:cs="Times New Roman"/>
        </w:rPr>
        <w:t xml:space="preserve"> </w:t>
      </w:r>
      <w:r w:rsidR="00564B70" w:rsidRPr="00C3757E">
        <w:rPr>
          <w:rFonts w:ascii="Times New Roman" w:hAnsi="Times New Roman" w:cs="Times New Roman"/>
        </w:rPr>
        <w:t>exploitation</w:t>
      </w:r>
      <w:r w:rsidR="00BB13F5" w:rsidRPr="00C3757E">
        <w:rPr>
          <w:rFonts w:ascii="Times New Roman" w:hAnsi="Times New Roman" w:cs="Times New Roman"/>
        </w:rPr>
        <w:t>.</w:t>
      </w:r>
      <w:r w:rsidR="002F2690" w:rsidRPr="00C3757E">
        <w:rPr>
          <w:rFonts w:ascii="Times New Roman" w:hAnsi="Times New Roman" w:cs="Times New Roman"/>
        </w:rPr>
        <w:t xml:space="preserve"> In 1923 Britain ruled Iraq under a League of Nations mandate, yet many within Britain would have shared </w:t>
      </w:r>
      <w:r w:rsidR="00C20B36" w:rsidRPr="00C3757E">
        <w:rPr>
          <w:rFonts w:ascii="Times New Roman" w:hAnsi="Times New Roman" w:cs="Times New Roman"/>
          <w:i/>
          <w:iCs/>
        </w:rPr>
        <w:t xml:space="preserve">İstiklâl </w:t>
      </w:r>
      <w:r w:rsidR="00C3757E" w:rsidRPr="00C3757E">
        <w:rPr>
          <w:rFonts w:ascii="Times New Roman" w:hAnsi="Times New Roman" w:cs="Times New Roman"/>
        </w:rPr>
        <w:t>‘</w:t>
      </w:r>
      <w:r w:rsidR="002F2690" w:rsidRPr="00C3757E">
        <w:rPr>
          <w:rFonts w:ascii="Times New Roman" w:hAnsi="Times New Roman" w:cs="Times New Roman"/>
        </w:rPr>
        <w:t xml:space="preserve">s sense of being exploited </w:t>
      </w:r>
      <w:r w:rsidR="00C20B36" w:rsidRPr="00C3757E">
        <w:rPr>
          <w:rFonts w:ascii="Times New Roman" w:hAnsi="Times New Roman" w:cs="Times New Roman"/>
        </w:rPr>
        <w:t xml:space="preserve">(as consumers) </w:t>
      </w:r>
      <w:r w:rsidR="002F2690" w:rsidRPr="00C3757E">
        <w:rPr>
          <w:rFonts w:ascii="Times New Roman" w:hAnsi="Times New Roman" w:cs="Times New Roman"/>
        </w:rPr>
        <w:t xml:space="preserve">by </w:t>
      </w:r>
      <w:r w:rsidR="00C20B36" w:rsidRPr="00C3757E">
        <w:rPr>
          <w:rFonts w:ascii="Times New Roman" w:hAnsi="Times New Roman" w:cs="Times New Roman"/>
        </w:rPr>
        <w:t xml:space="preserve">the same </w:t>
      </w:r>
      <w:r w:rsidR="002F2690" w:rsidRPr="00C3757E">
        <w:rPr>
          <w:rFonts w:ascii="Times New Roman" w:hAnsi="Times New Roman" w:cs="Times New Roman"/>
        </w:rPr>
        <w:t>oil companies</w:t>
      </w:r>
      <w:r w:rsidR="00C3757E" w:rsidRPr="00C3757E">
        <w:rPr>
          <w:rFonts w:ascii="Times New Roman" w:hAnsi="Times New Roman" w:cs="Times New Roman"/>
        </w:rPr>
        <w:t>’</w:t>
      </w:r>
      <w:r w:rsidR="00EA2A71" w:rsidRPr="00C3757E">
        <w:rPr>
          <w:rFonts w:ascii="Times New Roman" w:hAnsi="Times New Roman" w:cs="Times New Roman"/>
        </w:rPr>
        <w:t xml:space="preserve"> price fixing</w:t>
      </w:r>
      <w:r w:rsidR="002F2690" w:rsidRPr="00C3757E">
        <w:rPr>
          <w:rFonts w:ascii="Times New Roman" w:hAnsi="Times New Roman" w:cs="Times New Roman"/>
        </w:rPr>
        <w:t xml:space="preserve">. </w:t>
      </w:r>
      <w:r w:rsidR="00BB13F5" w:rsidRPr="00C3757E">
        <w:rPr>
          <w:rFonts w:ascii="Times New Roman" w:hAnsi="Times New Roman" w:cs="Times New Roman"/>
        </w:rPr>
        <w:t xml:space="preserve"> </w:t>
      </w:r>
      <w:r w:rsidR="00564B70" w:rsidRPr="00C3757E">
        <w:rPr>
          <w:rFonts w:ascii="Times New Roman" w:hAnsi="Times New Roman" w:cs="Times New Roman"/>
        </w:rPr>
        <w:t xml:space="preserve">Whether conceived as a </w:t>
      </w:r>
      <w:r w:rsidR="00C3757E" w:rsidRPr="00C3757E">
        <w:rPr>
          <w:rFonts w:ascii="Times New Roman" w:hAnsi="Times New Roman" w:cs="Times New Roman"/>
        </w:rPr>
        <w:t>‘</w:t>
      </w:r>
      <w:r w:rsidR="00564B70" w:rsidRPr="00C3757E">
        <w:rPr>
          <w:rFonts w:ascii="Times New Roman" w:hAnsi="Times New Roman" w:cs="Times New Roman"/>
        </w:rPr>
        <w:t>spider</w:t>
      </w:r>
      <w:r w:rsidR="00C3757E" w:rsidRPr="00C3757E">
        <w:rPr>
          <w:rFonts w:ascii="Times New Roman" w:hAnsi="Times New Roman" w:cs="Times New Roman"/>
        </w:rPr>
        <w:t>’</w:t>
      </w:r>
      <w:r w:rsidR="00564B70" w:rsidRPr="00C3757E">
        <w:rPr>
          <w:rFonts w:ascii="Times New Roman" w:hAnsi="Times New Roman" w:cs="Times New Roman"/>
        </w:rPr>
        <w:t xml:space="preserve">, an </w:t>
      </w:r>
      <w:r w:rsidR="00C3757E" w:rsidRPr="00C3757E">
        <w:rPr>
          <w:rFonts w:ascii="Times New Roman" w:hAnsi="Times New Roman" w:cs="Times New Roman"/>
        </w:rPr>
        <w:t>‘</w:t>
      </w:r>
      <w:r w:rsidR="00564B70" w:rsidRPr="00C3757E">
        <w:rPr>
          <w:rFonts w:ascii="Times New Roman" w:hAnsi="Times New Roman" w:cs="Times New Roman"/>
        </w:rPr>
        <w:t>octopus</w:t>
      </w:r>
      <w:r w:rsidR="00C3757E" w:rsidRPr="00C3757E">
        <w:rPr>
          <w:rFonts w:ascii="Times New Roman" w:hAnsi="Times New Roman" w:cs="Times New Roman"/>
        </w:rPr>
        <w:t>’</w:t>
      </w:r>
      <w:r w:rsidR="00564B70" w:rsidRPr="00C3757E">
        <w:rPr>
          <w:rFonts w:ascii="Times New Roman" w:hAnsi="Times New Roman" w:cs="Times New Roman"/>
        </w:rPr>
        <w:t xml:space="preserve"> or something else entirely, </w:t>
      </w:r>
      <w:r w:rsidR="000633B6" w:rsidRPr="00C3757E">
        <w:rPr>
          <w:rFonts w:ascii="Times New Roman" w:hAnsi="Times New Roman" w:cs="Times New Roman"/>
        </w:rPr>
        <w:t xml:space="preserve">by 1923 it was evident that </w:t>
      </w:r>
      <w:r w:rsidR="00C3757E" w:rsidRPr="00C3757E">
        <w:rPr>
          <w:rFonts w:ascii="Times New Roman" w:hAnsi="Times New Roman" w:cs="Times New Roman"/>
        </w:rPr>
        <w:t>‘</w:t>
      </w:r>
      <w:r w:rsidR="000633B6" w:rsidRPr="00C3757E">
        <w:rPr>
          <w:rFonts w:ascii="Times New Roman" w:hAnsi="Times New Roman" w:cs="Times New Roman"/>
        </w:rPr>
        <w:t>oil</w:t>
      </w:r>
      <w:r w:rsidR="00C3757E" w:rsidRPr="00C3757E">
        <w:rPr>
          <w:rFonts w:ascii="Times New Roman" w:hAnsi="Times New Roman" w:cs="Times New Roman"/>
        </w:rPr>
        <w:t>’</w:t>
      </w:r>
      <w:r w:rsidR="000633B6" w:rsidRPr="00C3757E">
        <w:rPr>
          <w:rFonts w:ascii="Times New Roman" w:hAnsi="Times New Roman" w:cs="Times New Roman"/>
        </w:rPr>
        <w:t xml:space="preserve"> was detached from familiar structures of </w:t>
      </w:r>
      <w:r w:rsidR="00C20B36" w:rsidRPr="00C3757E">
        <w:rPr>
          <w:rFonts w:ascii="Times New Roman" w:hAnsi="Times New Roman" w:cs="Times New Roman"/>
        </w:rPr>
        <w:t>empire and the state.</w:t>
      </w:r>
      <w:r w:rsidR="000633B6" w:rsidRPr="00C3757E">
        <w:rPr>
          <w:rFonts w:ascii="Times New Roman" w:hAnsi="Times New Roman" w:cs="Times New Roman"/>
        </w:rPr>
        <w:t xml:space="preserve"> </w:t>
      </w:r>
      <w:r w:rsidR="00C20B36" w:rsidRPr="00C3757E">
        <w:rPr>
          <w:rFonts w:ascii="Times New Roman" w:hAnsi="Times New Roman" w:cs="Times New Roman"/>
        </w:rPr>
        <w:t xml:space="preserve">Yet </w:t>
      </w:r>
      <w:r w:rsidR="00C3757E" w:rsidRPr="00C3757E">
        <w:rPr>
          <w:rFonts w:ascii="Times New Roman" w:hAnsi="Times New Roman" w:cs="Times New Roman"/>
        </w:rPr>
        <w:t>‘</w:t>
      </w:r>
      <w:r w:rsidR="00C20B36" w:rsidRPr="00C3757E">
        <w:rPr>
          <w:rFonts w:ascii="Times New Roman" w:hAnsi="Times New Roman" w:cs="Times New Roman"/>
        </w:rPr>
        <w:t>oil</w:t>
      </w:r>
      <w:r w:rsidR="00C3757E" w:rsidRPr="00C3757E">
        <w:rPr>
          <w:rFonts w:ascii="Times New Roman" w:hAnsi="Times New Roman" w:cs="Times New Roman"/>
        </w:rPr>
        <w:t>’</w:t>
      </w:r>
      <w:r w:rsidR="00C20B36" w:rsidRPr="00C3757E">
        <w:rPr>
          <w:rFonts w:ascii="Times New Roman" w:hAnsi="Times New Roman" w:cs="Times New Roman"/>
        </w:rPr>
        <w:t xml:space="preserve"> also </w:t>
      </w:r>
      <w:r w:rsidR="000633B6" w:rsidRPr="00C3757E">
        <w:rPr>
          <w:rFonts w:ascii="Times New Roman" w:hAnsi="Times New Roman" w:cs="Times New Roman"/>
        </w:rPr>
        <w:t>shaped that</w:t>
      </w:r>
      <w:r w:rsidR="00C20B36" w:rsidRPr="00C3757E">
        <w:rPr>
          <w:rFonts w:ascii="Times New Roman" w:hAnsi="Times New Roman" w:cs="Times New Roman"/>
        </w:rPr>
        <w:t xml:space="preserve"> political</w:t>
      </w:r>
      <w:r w:rsidR="000633B6" w:rsidRPr="00C3757E">
        <w:rPr>
          <w:rFonts w:ascii="Times New Roman" w:hAnsi="Times New Roman" w:cs="Times New Roman"/>
        </w:rPr>
        <w:t xml:space="preserve"> order. The resulting conspiracy theories</w:t>
      </w:r>
      <w:r w:rsidR="00C20B36" w:rsidRPr="00C3757E">
        <w:rPr>
          <w:rFonts w:ascii="Times New Roman" w:hAnsi="Times New Roman" w:cs="Times New Roman"/>
        </w:rPr>
        <w:t xml:space="preserve">, </w:t>
      </w:r>
      <w:r w:rsidR="000633B6" w:rsidRPr="00C3757E">
        <w:rPr>
          <w:rFonts w:ascii="Times New Roman" w:hAnsi="Times New Roman" w:cs="Times New Roman"/>
        </w:rPr>
        <w:t>apocalyptic visions</w:t>
      </w:r>
      <w:r w:rsidR="00652A26">
        <w:rPr>
          <w:rFonts w:ascii="Times New Roman" w:hAnsi="Times New Roman" w:cs="Times New Roman"/>
        </w:rPr>
        <w:t>,</w:t>
      </w:r>
      <w:r w:rsidR="000633B6" w:rsidRPr="00C3757E">
        <w:rPr>
          <w:rFonts w:ascii="Times New Roman" w:hAnsi="Times New Roman" w:cs="Times New Roman"/>
        </w:rPr>
        <w:t xml:space="preserve"> </w:t>
      </w:r>
      <w:r w:rsidR="00C20B36" w:rsidRPr="00C3757E">
        <w:rPr>
          <w:rFonts w:ascii="Times New Roman" w:hAnsi="Times New Roman" w:cs="Times New Roman"/>
        </w:rPr>
        <w:t xml:space="preserve">and moral exhaustion </w:t>
      </w:r>
      <w:r w:rsidR="000633B6" w:rsidRPr="00C3757E">
        <w:rPr>
          <w:rFonts w:ascii="Times New Roman" w:hAnsi="Times New Roman" w:cs="Times New Roman"/>
        </w:rPr>
        <w:t>have not left us: indeed, we might say they define the post-truth world we live in today.</w:t>
      </w:r>
    </w:p>
    <w:p w14:paraId="7410A700" w14:textId="5F5A8A8B" w:rsidR="005B6DCB" w:rsidRPr="00C3757E" w:rsidRDefault="005B6DCB" w:rsidP="00DA445C">
      <w:pPr>
        <w:spacing w:line="360" w:lineRule="auto"/>
        <w:rPr>
          <w:rFonts w:ascii="Times New Roman" w:hAnsi="Times New Roman" w:cs="Times New Roman"/>
        </w:rPr>
      </w:pPr>
    </w:p>
    <w:p w14:paraId="7BF72B29" w14:textId="4E435C61" w:rsidR="00944342" w:rsidRPr="00C3757E" w:rsidRDefault="00944342" w:rsidP="00DA445C">
      <w:pPr>
        <w:spacing w:line="360" w:lineRule="auto"/>
        <w:rPr>
          <w:rFonts w:ascii="Times New Roman" w:hAnsi="Times New Roman" w:cs="Times New Roman"/>
        </w:rPr>
      </w:pPr>
    </w:p>
    <w:p w14:paraId="63708CF2" w14:textId="7FD2B5E4" w:rsidR="005B6DCB" w:rsidRPr="00C3757E" w:rsidRDefault="00114781" w:rsidP="00C3757E">
      <w:pPr>
        <w:spacing w:after="160" w:line="360" w:lineRule="auto"/>
        <w:ind w:left="720" w:hanging="720"/>
        <w:rPr>
          <w:rFonts w:ascii="Times New Roman" w:hAnsi="Times New Roman" w:cs="Times New Roman"/>
          <w:b/>
          <w:bCs/>
        </w:rPr>
      </w:pPr>
      <w:r w:rsidRPr="00C3757E">
        <w:rPr>
          <w:rFonts w:ascii="Times New Roman" w:hAnsi="Times New Roman" w:cs="Times New Roman"/>
          <w:b/>
          <w:bCs/>
        </w:rPr>
        <w:t>Further Reading</w:t>
      </w:r>
    </w:p>
    <w:p w14:paraId="2B96FDF7" w14:textId="344106E5" w:rsidR="003E0413" w:rsidRPr="00C3757E" w:rsidRDefault="003E0413" w:rsidP="00C3757E">
      <w:pPr>
        <w:spacing w:after="160" w:line="360" w:lineRule="auto"/>
        <w:ind w:left="720" w:hanging="720"/>
        <w:rPr>
          <w:rFonts w:ascii="Times New Roman" w:hAnsi="Times New Roman" w:cs="Times New Roman"/>
        </w:rPr>
      </w:pPr>
      <w:r w:rsidRPr="00C3757E">
        <w:rPr>
          <w:rFonts w:ascii="Times New Roman" w:hAnsi="Times New Roman" w:cs="Times New Roman"/>
        </w:rPr>
        <w:t>Bouguen,</w:t>
      </w:r>
      <w:r w:rsidR="00361E6F">
        <w:rPr>
          <w:rFonts w:ascii="Times New Roman" w:hAnsi="Times New Roman" w:cs="Times New Roman"/>
        </w:rPr>
        <w:t xml:space="preserve"> J-M. (2013).</w:t>
      </w:r>
      <w:r w:rsidRPr="00C3757E">
        <w:rPr>
          <w:rFonts w:ascii="Times New Roman" w:hAnsi="Times New Roman" w:cs="Times New Roman"/>
        </w:rPr>
        <w:t xml:space="preserve"> </w:t>
      </w:r>
      <w:r w:rsidRPr="00C3757E">
        <w:rPr>
          <w:rFonts w:ascii="Times New Roman" w:hAnsi="Times New Roman" w:cs="Times New Roman"/>
          <w:i/>
          <w:iCs/>
        </w:rPr>
        <w:t>Le pétrole en France: Genèse et stratégies d</w:t>
      </w:r>
      <w:r w:rsidR="00C3757E" w:rsidRPr="00C3757E">
        <w:rPr>
          <w:rFonts w:ascii="Times New Roman" w:hAnsi="Times New Roman" w:cs="Times New Roman"/>
          <w:i/>
          <w:iCs/>
        </w:rPr>
        <w:t>’</w:t>
      </w:r>
      <w:r w:rsidRPr="00C3757E">
        <w:rPr>
          <w:rFonts w:ascii="Times New Roman" w:hAnsi="Times New Roman" w:cs="Times New Roman"/>
          <w:i/>
          <w:iCs/>
        </w:rPr>
        <w:t>influence (1917</w:t>
      </w:r>
      <w:r w:rsidR="00652A26">
        <w:rPr>
          <w:rFonts w:ascii="Times New Roman" w:hAnsi="Times New Roman" w:cs="Times New Roman"/>
          <w:i/>
          <w:iCs/>
        </w:rPr>
        <w:t>–</w:t>
      </w:r>
      <w:r w:rsidRPr="00C3757E">
        <w:rPr>
          <w:rFonts w:ascii="Times New Roman" w:hAnsi="Times New Roman" w:cs="Times New Roman"/>
          <w:i/>
          <w:iCs/>
        </w:rPr>
        <w:t>1924)</w:t>
      </w:r>
      <w:r w:rsidR="00361E6F">
        <w:rPr>
          <w:rFonts w:ascii="Times New Roman" w:hAnsi="Times New Roman" w:cs="Times New Roman"/>
          <w:i/>
          <w:iCs/>
        </w:rPr>
        <w:t>.</w:t>
      </w:r>
      <w:r w:rsidRPr="00C3757E">
        <w:rPr>
          <w:rFonts w:ascii="Times New Roman" w:hAnsi="Times New Roman" w:cs="Times New Roman"/>
          <w:i/>
          <w:iCs/>
        </w:rPr>
        <w:t xml:space="preserve"> </w:t>
      </w:r>
      <w:r w:rsidRPr="00C3757E">
        <w:rPr>
          <w:rFonts w:ascii="Times New Roman" w:hAnsi="Times New Roman" w:cs="Times New Roman"/>
        </w:rPr>
        <w:t>Paris: L</w:t>
      </w:r>
      <w:r w:rsidR="00C3757E" w:rsidRPr="00C3757E">
        <w:rPr>
          <w:rFonts w:ascii="Times New Roman" w:hAnsi="Times New Roman" w:cs="Times New Roman"/>
        </w:rPr>
        <w:t>’</w:t>
      </w:r>
      <w:r w:rsidRPr="00C3757E">
        <w:rPr>
          <w:rFonts w:ascii="Times New Roman" w:hAnsi="Times New Roman" w:cs="Times New Roman"/>
        </w:rPr>
        <w:t>Harmattan.</w:t>
      </w:r>
    </w:p>
    <w:p w14:paraId="5BA944BA" w14:textId="2715A324" w:rsidR="00E754BB" w:rsidRPr="00C3757E" w:rsidRDefault="00E754BB" w:rsidP="00C3757E">
      <w:pPr>
        <w:spacing w:after="160" w:line="360" w:lineRule="auto"/>
        <w:ind w:left="720" w:hanging="720"/>
        <w:rPr>
          <w:rFonts w:ascii="Times New Roman" w:hAnsi="Times New Roman" w:cs="Times New Roman"/>
        </w:rPr>
      </w:pPr>
      <w:r w:rsidRPr="00C3757E">
        <w:rPr>
          <w:rFonts w:ascii="Times New Roman" w:hAnsi="Times New Roman" w:cs="Times New Roman"/>
        </w:rPr>
        <w:t>Conlin</w:t>
      </w:r>
      <w:r w:rsidR="00B0630F" w:rsidRPr="00C3757E">
        <w:rPr>
          <w:rFonts w:ascii="Times New Roman" w:hAnsi="Times New Roman" w:cs="Times New Roman"/>
        </w:rPr>
        <w:t>,</w:t>
      </w:r>
      <w:r w:rsidR="00361E6F">
        <w:rPr>
          <w:rFonts w:ascii="Times New Roman" w:hAnsi="Times New Roman" w:cs="Times New Roman"/>
        </w:rPr>
        <w:t xml:space="preserve"> J. (2019).</w:t>
      </w:r>
      <w:r w:rsidR="00B0630F" w:rsidRPr="00C3757E">
        <w:rPr>
          <w:rFonts w:ascii="Times New Roman" w:hAnsi="Times New Roman" w:cs="Times New Roman"/>
        </w:rPr>
        <w:t xml:space="preserve"> </w:t>
      </w:r>
      <w:r w:rsidR="00B0630F" w:rsidRPr="00C3757E">
        <w:rPr>
          <w:rFonts w:ascii="Times New Roman" w:hAnsi="Times New Roman" w:cs="Times New Roman"/>
          <w:i/>
          <w:iCs/>
        </w:rPr>
        <w:t>Mr Five Per Cent: The Many Lives of Calouste Gulbenkian, the World</w:t>
      </w:r>
      <w:r w:rsidR="00C3757E" w:rsidRPr="00C3757E">
        <w:rPr>
          <w:rFonts w:ascii="Times New Roman" w:hAnsi="Times New Roman" w:cs="Times New Roman"/>
          <w:i/>
          <w:iCs/>
        </w:rPr>
        <w:t>’</w:t>
      </w:r>
      <w:r w:rsidR="00B0630F" w:rsidRPr="00C3757E">
        <w:rPr>
          <w:rFonts w:ascii="Times New Roman" w:hAnsi="Times New Roman" w:cs="Times New Roman"/>
          <w:i/>
          <w:iCs/>
        </w:rPr>
        <w:t>s Richest Man</w:t>
      </w:r>
      <w:r w:rsidR="00361E6F">
        <w:rPr>
          <w:rFonts w:ascii="Times New Roman" w:hAnsi="Times New Roman" w:cs="Times New Roman"/>
          <w:i/>
          <w:iCs/>
        </w:rPr>
        <w:t>.</w:t>
      </w:r>
      <w:r w:rsidR="00B0630F" w:rsidRPr="00C3757E">
        <w:rPr>
          <w:rFonts w:ascii="Times New Roman" w:hAnsi="Times New Roman" w:cs="Times New Roman"/>
          <w:i/>
          <w:iCs/>
        </w:rPr>
        <w:t xml:space="preserve"> </w:t>
      </w:r>
      <w:r w:rsidR="00B0630F" w:rsidRPr="00C3757E">
        <w:rPr>
          <w:rFonts w:ascii="Times New Roman" w:hAnsi="Times New Roman" w:cs="Times New Roman"/>
        </w:rPr>
        <w:t>London: Profile.</w:t>
      </w:r>
    </w:p>
    <w:p w14:paraId="3270998E" w14:textId="293E4610" w:rsidR="00E754BB" w:rsidRPr="00C3757E" w:rsidRDefault="00E754BB" w:rsidP="00C3757E">
      <w:pPr>
        <w:spacing w:after="160" w:line="360" w:lineRule="auto"/>
        <w:ind w:left="720" w:hanging="720"/>
        <w:rPr>
          <w:rFonts w:ascii="Times New Roman" w:hAnsi="Times New Roman" w:cs="Times New Roman"/>
        </w:rPr>
      </w:pPr>
      <w:r w:rsidRPr="00C3757E">
        <w:rPr>
          <w:rFonts w:ascii="Times New Roman" w:hAnsi="Times New Roman" w:cs="Times New Roman"/>
        </w:rPr>
        <w:t>Fursenko,</w:t>
      </w:r>
      <w:r w:rsidR="00361E6F">
        <w:rPr>
          <w:rFonts w:ascii="Times New Roman" w:hAnsi="Times New Roman" w:cs="Times New Roman"/>
        </w:rPr>
        <w:t xml:space="preserve"> H. H. (1990).</w:t>
      </w:r>
      <w:r w:rsidRPr="00C3757E">
        <w:rPr>
          <w:rFonts w:ascii="Times New Roman" w:hAnsi="Times New Roman" w:cs="Times New Roman"/>
        </w:rPr>
        <w:t xml:space="preserve"> </w:t>
      </w:r>
      <w:r w:rsidRPr="00C3757E">
        <w:rPr>
          <w:rFonts w:ascii="Times New Roman" w:hAnsi="Times New Roman" w:cs="Times New Roman"/>
          <w:i/>
          <w:iCs/>
        </w:rPr>
        <w:t>The Battle for Oil: The Economics and Politics of International Corporate Conflict over Petroleum, 1860</w:t>
      </w:r>
      <w:r w:rsidR="00652A26">
        <w:rPr>
          <w:rFonts w:ascii="Times New Roman" w:hAnsi="Times New Roman" w:cs="Times New Roman"/>
          <w:i/>
          <w:iCs/>
        </w:rPr>
        <w:t>–</w:t>
      </w:r>
      <w:r w:rsidRPr="00C3757E">
        <w:rPr>
          <w:rFonts w:ascii="Times New Roman" w:hAnsi="Times New Roman" w:cs="Times New Roman"/>
          <w:i/>
          <w:iCs/>
        </w:rPr>
        <w:t>1930</w:t>
      </w:r>
      <w:r w:rsidR="00361E6F">
        <w:rPr>
          <w:rFonts w:ascii="Times New Roman" w:hAnsi="Times New Roman" w:cs="Times New Roman"/>
          <w:i/>
          <w:iCs/>
        </w:rPr>
        <w:t>.</w:t>
      </w:r>
      <w:r w:rsidRPr="00C3757E">
        <w:rPr>
          <w:rFonts w:ascii="Times New Roman" w:hAnsi="Times New Roman" w:cs="Times New Roman"/>
          <w:i/>
          <w:iCs/>
        </w:rPr>
        <w:t xml:space="preserve"> </w:t>
      </w:r>
      <w:r w:rsidR="00361E6F">
        <w:rPr>
          <w:rFonts w:ascii="Times New Roman" w:hAnsi="Times New Roman" w:cs="Times New Roman"/>
        </w:rPr>
        <w:t>Translated by</w:t>
      </w:r>
      <w:r w:rsidRPr="00C3757E">
        <w:rPr>
          <w:rFonts w:ascii="Times New Roman" w:hAnsi="Times New Roman" w:cs="Times New Roman"/>
        </w:rPr>
        <w:t xml:space="preserve"> Gregory L. Free</w:t>
      </w:r>
      <w:r w:rsidR="00B0630F" w:rsidRPr="00C3757E">
        <w:rPr>
          <w:rFonts w:ascii="Times New Roman" w:hAnsi="Times New Roman" w:cs="Times New Roman"/>
        </w:rPr>
        <w:t>z</w:t>
      </w:r>
      <w:r w:rsidRPr="00C3757E">
        <w:rPr>
          <w:rFonts w:ascii="Times New Roman" w:hAnsi="Times New Roman" w:cs="Times New Roman"/>
        </w:rPr>
        <w:t>e</w:t>
      </w:r>
      <w:r w:rsidR="00361E6F">
        <w:rPr>
          <w:rFonts w:ascii="Times New Roman" w:hAnsi="Times New Roman" w:cs="Times New Roman"/>
        </w:rPr>
        <w:t xml:space="preserve">. </w:t>
      </w:r>
      <w:r w:rsidRPr="00C3757E">
        <w:rPr>
          <w:rFonts w:ascii="Times New Roman" w:hAnsi="Times New Roman" w:cs="Times New Roman"/>
        </w:rPr>
        <w:t>Greenwich: Jai Press.</w:t>
      </w:r>
    </w:p>
    <w:p w14:paraId="40E8A2F0" w14:textId="3E4C2FFF" w:rsidR="00B0630F" w:rsidRPr="00C3757E" w:rsidRDefault="00B0630F" w:rsidP="00C3757E">
      <w:pPr>
        <w:spacing w:after="160" w:line="360" w:lineRule="auto"/>
        <w:ind w:left="720" w:hanging="720"/>
        <w:rPr>
          <w:rFonts w:ascii="Times New Roman" w:hAnsi="Times New Roman" w:cs="Times New Roman"/>
        </w:rPr>
      </w:pPr>
      <w:r w:rsidRPr="00C3757E">
        <w:rPr>
          <w:rFonts w:ascii="Times New Roman" w:hAnsi="Times New Roman" w:cs="Times New Roman"/>
        </w:rPr>
        <w:t>Mitchell,</w:t>
      </w:r>
      <w:r w:rsidR="00361E6F">
        <w:rPr>
          <w:rFonts w:ascii="Times New Roman" w:hAnsi="Times New Roman" w:cs="Times New Roman"/>
        </w:rPr>
        <w:t xml:space="preserve"> T. (2011).</w:t>
      </w:r>
      <w:r w:rsidRPr="00C3757E">
        <w:rPr>
          <w:rFonts w:ascii="Times New Roman" w:hAnsi="Times New Roman" w:cs="Times New Roman"/>
        </w:rPr>
        <w:t xml:space="preserve"> </w:t>
      </w:r>
      <w:r w:rsidRPr="00C3757E">
        <w:rPr>
          <w:rFonts w:ascii="Times New Roman" w:hAnsi="Times New Roman" w:cs="Times New Roman"/>
          <w:i/>
          <w:iCs/>
        </w:rPr>
        <w:t>Carbon Democracy: Political Power in the Age of Oil</w:t>
      </w:r>
      <w:r w:rsidR="00361E6F">
        <w:rPr>
          <w:rFonts w:ascii="Times New Roman" w:hAnsi="Times New Roman" w:cs="Times New Roman"/>
          <w:i/>
          <w:iCs/>
        </w:rPr>
        <w:t>.</w:t>
      </w:r>
      <w:r w:rsidRPr="00C3757E">
        <w:rPr>
          <w:rFonts w:ascii="Times New Roman" w:hAnsi="Times New Roman" w:cs="Times New Roman"/>
          <w:i/>
          <w:iCs/>
        </w:rPr>
        <w:t xml:space="preserve"> </w:t>
      </w:r>
      <w:r w:rsidRPr="00C3757E">
        <w:rPr>
          <w:rFonts w:ascii="Times New Roman" w:hAnsi="Times New Roman" w:cs="Times New Roman"/>
        </w:rPr>
        <w:t>London: Verso.</w:t>
      </w:r>
    </w:p>
    <w:p w14:paraId="06E41C52" w14:textId="7380AD8D" w:rsidR="00E754BB" w:rsidRPr="00C3757E" w:rsidRDefault="00E754BB" w:rsidP="00C3757E">
      <w:pPr>
        <w:spacing w:after="160" w:line="360" w:lineRule="auto"/>
        <w:ind w:left="720" w:hanging="720"/>
        <w:rPr>
          <w:rFonts w:ascii="Times New Roman" w:hAnsi="Times New Roman" w:cs="Times New Roman"/>
        </w:rPr>
      </w:pPr>
      <w:r w:rsidRPr="00C3757E">
        <w:rPr>
          <w:rFonts w:ascii="Times New Roman" w:hAnsi="Times New Roman" w:cs="Times New Roman"/>
        </w:rPr>
        <w:t>Nowell,</w:t>
      </w:r>
      <w:r w:rsidR="00361E6F">
        <w:rPr>
          <w:rFonts w:ascii="Times New Roman" w:hAnsi="Times New Roman" w:cs="Times New Roman"/>
        </w:rPr>
        <w:t xml:space="preserve"> G. (1994).</w:t>
      </w:r>
      <w:r w:rsidRPr="00C3757E">
        <w:rPr>
          <w:rFonts w:ascii="Times New Roman" w:hAnsi="Times New Roman" w:cs="Times New Roman"/>
        </w:rPr>
        <w:t xml:space="preserve"> </w:t>
      </w:r>
      <w:r w:rsidRPr="00C3757E">
        <w:rPr>
          <w:rFonts w:ascii="Times New Roman" w:hAnsi="Times New Roman" w:cs="Times New Roman"/>
          <w:i/>
          <w:iCs/>
        </w:rPr>
        <w:t>Mercantile States and the World Oil Cartel, 1900-1939</w:t>
      </w:r>
      <w:r w:rsidR="00361E6F">
        <w:rPr>
          <w:rFonts w:ascii="Times New Roman" w:hAnsi="Times New Roman" w:cs="Times New Roman"/>
          <w:i/>
          <w:iCs/>
        </w:rPr>
        <w:t>.</w:t>
      </w:r>
      <w:r w:rsidRPr="00C3757E">
        <w:rPr>
          <w:rFonts w:ascii="Times New Roman" w:hAnsi="Times New Roman" w:cs="Times New Roman"/>
          <w:i/>
          <w:iCs/>
        </w:rPr>
        <w:t xml:space="preserve"> </w:t>
      </w:r>
      <w:r w:rsidRPr="00C3757E">
        <w:rPr>
          <w:rFonts w:ascii="Times New Roman" w:hAnsi="Times New Roman" w:cs="Times New Roman"/>
        </w:rPr>
        <w:t>Ithaca, NY: Cornell University Press.</w:t>
      </w:r>
    </w:p>
    <w:p w14:paraId="62706DA3" w14:textId="784A0954" w:rsidR="003E0413" w:rsidRPr="00C3757E" w:rsidRDefault="003E0413" w:rsidP="00C3757E">
      <w:pPr>
        <w:spacing w:after="160" w:line="360" w:lineRule="auto"/>
        <w:ind w:left="720" w:hanging="720"/>
        <w:rPr>
          <w:rFonts w:ascii="Times New Roman" w:hAnsi="Times New Roman" w:cs="Times New Roman"/>
        </w:rPr>
      </w:pPr>
      <w:r w:rsidRPr="00C3757E">
        <w:rPr>
          <w:rFonts w:ascii="Times New Roman" w:hAnsi="Times New Roman" w:cs="Times New Roman"/>
        </w:rPr>
        <w:t>Stivers,</w:t>
      </w:r>
      <w:r w:rsidR="00361E6F">
        <w:rPr>
          <w:rFonts w:ascii="Times New Roman" w:hAnsi="Times New Roman" w:cs="Times New Roman"/>
        </w:rPr>
        <w:t xml:space="preserve"> W. (1982).</w:t>
      </w:r>
      <w:r w:rsidRPr="00C3757E">
        <w:rPr>
          <w:rFonts w:ascii="Times New Roman" w:hAnsi="Times New Roman" w:cs="Times New Roman"/>
        </w:rPr>
        <w:t xml:space="preserve"> </w:t>
      </w:r>
      <w:r w:rsidRPr="00C3757E">
        <w:rPr>
          <w:rFonts w:ascii="Times New Roman" w:hAnsi="Times New Roman" w:cs="Times New Roman"/>
          <w:i/>
          <w:iCs/>
        </w:rPr>
        <w:t>Supremacy</w:t>
      </w:r>
      <w:r w:rsidR="00F767B8" w:rsidRPr="00C3757E">
        <w:rPr>
          <w:rFonts w:ascii="Times New Roman" w:hAnsi="Times New Roman" w:cs="Times New Roman"/>
          <w:i/>
          <w:iCs/>
        </w:rPr>
        <w:t xml:space="preserve"> and Oil: Iraq, Turkey, and the Anglo-American World Order, 1918</w:t>
      </w:r>
      <w:r w:rsidR="00652A26">
        <w:rPr>
          <w:rFonts w:ascii="Times New Roman" w:hAnsi="Times New Roman" w:cs="Times New Roman"/>
          <w:i/>
          <w:iCs/>
        </w:rPr>
        <w:t>–</w:t>
      </w:r>
      <w:r w:rsidR="00F767B8" w:rsidRPr="00C3757E">
        <w:rPr>
          <w:rFonts w:ascii="Times New Roman" w:hAnsi="Times New Roman" w:cs="Times New Roman"/>
          <w:i/>
          <w:iCs/>
        </w:rPr>
        <w:t>1930</w:t>
      </w:r>
      <w:r w:rsidR="00361E6F">
        <w:rPr>
          <w:rFonts w:ascii="Times New Roman" w:hAnsi="Times New Roman" w:cs="Times New Roman"/>
          <w:i/>
          <w:iCs/>
        </w:rPr>
        <w:t>.</w:t>
      </w:r>
      <w:r w:rsidR="00F767B8" w:rsidRPr="00C3757E">
        <w:rPr>
          <w:rFonts w:ascii="Times New Roman" w:hAnsi="Times New Roman" w:cs="Times New Roman"/>
          <w:i/>
          <w:iCs/>
        </w:rPr>
        <w:t xml:space="preserve"> </w:t>
      </w:r>
      <w:r w:rsidR="00F767B8" w:rsidRPr="00C3757E">
        <w:rPr>
          <w:rFonts w:ascii="Times New Roman" w:hAnsi="Times New Roman" w:cs="Times New Roman"/>
        </w:rPr>
        <w:t>Ithaca, NY: Cornell University Press.</w:t>
      </w:r>
    </w:p>
    <w:p w14:paraId="21399475" w14:textId="511965CE" w:rsidR="00114781" w:rsidRPr="00C3757E" w:rsidRDefault="00E754BB" w:rsidP="00C3757E">
      <w:pPr>
        <w:spacing w:after="160" w:line="360" w:lineRule="auto"/>
        <w:ind w:left="720" w:hanging="720"/>
        <w:rPr>
          <w:rFonts w:ascii="Times New Roman" w:hAnsi="Times New Roman" w:cs="Times New Roman"/>
        </w:rPr>
      </w:pPr>
      <w:r w:rsidRPr="00C3757E">
        <w:rPr>
          <w:rFonts w:ascii="Times New Roman" w:hAnsi="Times New Roman" w:cs="Times New Roman"/>
        </w:rPr>
        <w:t>Venn,</w:t>
      </w:r>
      <w:r w:rsidR="00361E6F">
        <w:rPr>
          <w:rFonts w:ascii="Times New Roman" w:hAnsi="Times New Roman" w:cs="Times New Roman"/>
        </w:rPr>
        <w:t xml:space="preserve"> F. (1986).</w:t>
      </w:r>
      <w:r w:rsidRPr="00C3757E">
        <w:rPr>
          <w:rFonts w:ascii="Times New Roman" w:hAnsi="Times New Roman" w:cs="Times New Roman"/>
        </w:rPr>
        <w:t xml:space="preserve"> </w:t>
      </w:r>
      <w:r w:rsidRPr="00C3757E">
        <w:rPr>
          <w:rFonts w:ascii="Times New Roman" w:hAnsi="Times New Roman" w:cs="Times New Roman"/>
          <w:i/>
          <w:iCs/>
        </w:rPr>
        <w:t>Oil Diplomacy in the Twentieth Century</w:t>
      </w:r>
      <w:r w:rsidR="00361E6F">
        <w:rPr>
          <w:rFonts w:ascii="Times New Roman" w:hAnsi="Times New Roman" w:cs="Times New Roman"/>
          <w:i/>
          <w:iCs/>
        </w:rPr>
        <w:t>.</w:t>
      </w:r>
      <w:r w:rsidRPr="00C3757E">
        <w:rPr>
          <w:rFonts w:ascii="Times New Roman" w:hAnsi="Times New Roman" w:cs="Times New Roman"/>
          <w:i/>
          <w:iCs/>
        </w:rPr>
        <w:t xml:space="preserve"> </w:t>
      </w:r>
      <w:r w:rsidRPr="00C3757E">
        <w:rPr>
          <w:rFonts w:ascii="Times New Roman" w:hAnsi="Times New Roman" w:cs="Times New Roman"/>
        </w:rPr>
        <w:t>Basingstoke: Macmillan</w:t>
      </w:r>
      <w:r w:rsidR="00361E6F">
        <w:rPr>
          <w:rFonts w:ascii="Times New Roman" w:hAnsi="Times New Roman" w:cs="Times New Roman"/>
        </w:rPr>
        <w:t>.</w:t>
      </w:r>
    </w:p>
    <w:p w14:paraId="37605A5C" w14:textId="3B99B086" w:rsidR="00E22C7C" w:rsidRPr="00C3757E" w:rsidRDefault="007F0C2D" w:rsidP="00C3757E">
      <w:pPr>
        <w:spacing w:after="160" w:line="360" w:lineRule="auto"/>
        <w:ind w:left="720" w:hanging="720"/>
        <w:rPr>
          <w:rFonts w:ascii="Times New Roman" w:hAnsi="Times New Roman" w:cs="Times New Roman"/>
        </w:rPr>
      </w:pPr>
      <w:r w:rsidRPr="00C3757E">
        <w:rPr>
          <w:rFonts w:ascii="Times New Roman" w:hAnsi="Times New Roman" w:cs="Times New Roman"/>
        </w:rPr>
        <w:t xml:space="preserve"> </w:t>
      </w:r>
    </w:p>
    <w:p w14:paraId="21EC5370" w14:textId="56637F54" w:rsidR="003A1F3F" w:rsidRPr="00C3757E" w:rsidRDefault="00361E6F" w:rsidP="00C3757E">
      <w:pPr>
        <w:spacing w:after="160" w:line="360" w:lineRule="auto"/>
        <w:ind w:left="720" w:hanging="720"/>
        <w:rPr>
          <w:rFonts w:ascii="Times New Roman" w:hAnsi="Times New Roman" w:cs="Times New Roman"/>
          <w:b/>
          <w:bCs/>
        </w:rPr>
      </w:pPr>
      <w:r>
        <w:rPr>
          <w:rFonts w:ascii="Times New Roman" w:hAnsi="Times New Roman" w:cs="Times New Roman"/>
          <w:b/>
          <w:bCs/>
        </w:rPr>
        <w:t>Legend</w:t>
      </w:r>
    </w:p>
    <w:p w14:paraId="23633D4B" w14:textId="6F3E45DA" w:rsidR="00B4637D" w:rsidRPr="00C3757E" w:rsidRDefault="00C3757E" w:rsidP="00C3757E">
      <w:pPr>
        <w:spacing w:after="160" w:line="360" w:lineRule="auto"/>
        <w:ind w:left="720" w:hanging="720"/>
        <w:rPr>
          <w:rFonts w:ascii="Times New Roman" w:hAnsi="Times New Roman" w:cs="Times New Roman"/>
        </w:rPr>
      </w:pPr>
      <w:r w:rsidRPr="00C3757E">
        <w:rPr>
          <w:rFonts w:ascii="Times New Roman" w:hAnsi="Times New Roman" w:cs="Times New Roman"/>
        </w:rPr>
        <w:t xml:space="preserve">Fig. 1. </w:t>
      </w:r>
      <w:r w:rsidR="00B4637D" w:rsidRPr="00C3757E">
        <w:rPr>
          <w:rFonts w:ascii="Times New Roman" w:hAnsi="Times New Roman" w:cs="Times New Roman"/>
        </w:rPr>
        <w:t xml:space="preserve">A </w:t>
      </w:r>
      <w:r w:rsidRPr="00C3757E">
        <w:rPr>
          <w:rFonts w:ascii="Times New Roman" w:hAnsi="Times New Roman" w:cs="Times New Roman"/>
        </w:rPr>
        <w:t>‘</w:t>
      </w:r>
      <w:r w:rsidR="00B4637D" w:rsidRPr="00C3757E">
        <w:rPr>
          <w:rFonts w:ascii="Times New Roman" w:hAnsi="Times New Roman" w:cs="Times New Roman"/>
        </w:rPr>
        <w:t>gusher</w:t>
      </w:r>
      <w:r w:rsidRPr="00C3757E">
        <w:rPr>
          <w:rFonts w:ascii="Times New Roman" w:hAnsi="Times New Roman" w:cs="Times New Roman"/>
        </w:rPr>
        <w:t>’</w:t>
      </w:r>
      <w:r w:rsidR="00B4637D" w:rsidRPr="00C3757E">
        <w:rPr>
          <w:rFonts w:ascii="Times New Roman" w:hAnsi="Times New Roman" w:cs="Times New Roman"/>
        </w:rPr>
        <w:t xml:space="preserve"> near Grozny in the Russian Caucasus, 1895 (Courtesy Calouste Gulbenkian Foundation)</w:t>
      </w:r>
    </w:p>
    <w:p w14:paraId="25BC9EF6" w14:textId="77777777" w:rsidR="00B4637D" w:rsidRPr="00C3757E" w:rsidRDefault="00B4637D" w:rsidP="00C3757E">
      <w:pPr>
        <w:spacing w:after="160" w:line="360" w:lineRule="auto"/>
        <w:ind w:left="720" w:hanging="720"/>
        <w:rPr>
          <w:rFonts w:ascii="Times New Roman" w:hAnsi="Times New Roman" w:cs="Times New Roman"/>
          <w:b/>
          <w:bCs/>
        </w:rPr>
      </w:pPr>
    </w:p>
    <w:p w14:paraId="313795FA" w14:textId="3C7EB969" w:rsidR="00B4637D" w:rsidRPr="00C3757E" w:rsidRDefault="00C3757E" w:rsidP="00C3757E">
      <w:pPr>
        <w:spacing w:after="160" w:line="360" w:lineRule="auto"/>
        <w:ind w:left="720" w:hanging="720"/>
        <w:rPr>
          <w:rFonts w:ascii="Times New Roman" w:hAnsi="Times New Roman" w:cs="Times New Roman"/>
        </w:rPr>
      </w:pPr>
      <w:r w:rsidRPr="00C3757E">
        <w:rPr>
          <w:rFonts w:ascii="Times New Roman" w:hAnsi="Times New Roman" w:cs="Times New Roman"/>
        </w:rPr>
        <w:lastRenderedPageBreak/>
        <w:t xml:space="preserve">Fig. 2. </w:t>
      </w:r>
      <w:r w:rsidR="00B4637D" w:rsidRPr="00C3757E">
        <w:rPr>
          <w:rFonts w:ascii="Times New Roman" w:hAnsi="Times New Roman" w:cs="Times New Roman"/>
        </w:rPr>
        <w:t xml:space="preserve">Charles Joseph Watelet, </w:t>
      </w:r>
      <w:r w:rsidR="00B4637D" w:rsidRPr="00C3757E">
        <w:rPr>
          <w:rFonts w:ascii="Times New Roman" w:hAnsi="Times New Roman" w:cs="Times New Roman"/>
          <w:i/>
          <w:iCs/>
        </w:rPr>
        <w:t xml:space="preserve">Calouste Gulbenkian </w:t>
      </w:r>
      <w:r w:rsidR="00B4637D" w:rsidRPr="00C3757E">
        <w:rPr>
          <w:rFonts w:ascii="Times New Roman" w:hAnsi="Times New Roman" w:cs="Times New Roman"/>
        </w:rPr>
        <w:t>(1912)</w:t>
      </w:r>
      <w:r w:rsidR="00B4637D" w:rsidRPr="00C3757E">
        <w:rPr>
          <w:rFonts w:ascii="Times New Roman" w:hAnsi="Times New Roman" w:cs="Times New Roman"/>
          <w:i/>
          <w:iCs/>
        </w:rPr>
        <w:t xml:space="preserve">, </w:t>
      </w:r>
      <w:r w:rsidR="00B4637D" w:rsidRPr="00C3757E">
        <w:rPr>
          <w:rFonts w:ascii="Times New Roman" w:hAnsi="Times New Roman" w:cs="Times New Roman"/>
        </w:rPr>
        <w:t>oil on canvas (Courtesy Calouste Gulbenkian Foundation)</w:t>
      </w:r>
    </w:p>
    <w:p w14:paraId="45DF494A" w14:textId="59FF1075" w:rsidR="00E6472F" w:rsidRPr="00C3757E" w:rsidRDefault="00C3757E" w:rsidP="00C3757E">
      <w:pPr>
        <w:spacing w:after="160" w:line="360" w:lineRule="auto"/>
        <w:ind w:left="720" w:hanging="720"/>
        <w:rPr>
          <w:rFonts w:ascii="Times New Roman" w:hAnsi="Times New Roman" w:cs="Times New Roman"/>
        </w:rPr>
      </w:pPr>
      <w:r w:rsidRPr="00C3757E">
        <w:rPr>
          <w:rFonts w:ascii="Times New Roman" w:hAnsi="Times New Roman" w:cs="Times New Roman"/>
        </w:rPr>
        <w:t>Fig. 3. ‘</w:t>
      </w:r>
      <w:r w:rsidR="00E6472F" w:rsidRPr="00C3757E">
        <w:rPr>
          <w:rFonts w:ascii="Times New Roman" w:hAnsi="Times New Roman" w:cs="Times New Roman"/>
        </w:rPr>
        <w:t>Dream</w:t>
      </w:r>
      <w:r w:rsidRPr="00C3757E">
        <w:rPr>
          <w:rFonts w:ascii="Times New Roman" w:hAnsi="Times New Roman" w:cs="Times New Roman"/>
        </w:rPr>
        <w:t>’</w:t>
      </w:r>
      <w:r w:rsidR="00E6472F" w:rsidRPr="00C3757E">
        <w:rPr>
          <w:rFonts w:ascii="Times New Roman" w:hAnsi="Times New Roman" w:cs="Times New Roman"/>
        </w:rPr>
        <w:t xml:space="preserve">, </w:t>
      </w:r>
      <w:r w:rsidR="00E6472F" w:rsidRPr="00C3757E">
        <w:rPr>
          <w:rFonts w:ascii="Times New Roman" w:hAnsi="Times New Roman" w:cs="Times New Roman"/>
          <w:i/>
          <w:iCs/>
        </w:rPr>
        <w:t xml:space="preserve">Akbaba </w:t>
      </w:r>
      <w:r w:rsidR="00E6472F" w:rsidRPr="00C3757E">
        <w:rPr>
          <w:rFonts w:ascii="Times New Roman" w:hAnsi="Times New Roman" w:cs="Times New Roman"/>
        </w:rPr>
        <w:t>cartoon of 1923</w:t>
      </w:r>
    </w:p>
    <w:p w14:paraId="333F403B" w14:textId="1F6AFE95" w:rsidR="00B356AB" w:rsidRPr="00C3757E" w:rsidRDefault="00C3757E" w:rsidP="00C3757E">
      <w:pPr>
        <w:spacing w:after="160" w:line="360" w:lineRule="auto"/>
        <w:ind w:left="720" w:hanging="720"/>
        <w:rPr>
          <w:rFonts w:ascii="Times New Roman" w:hAnsi="Times New Roman" w:cs="Times New Roman"/>
        </w:rPr>
      </w:pPr>
      <w:r w:rsidRPr="00C3757E">
        <w:rPr>
          <w:rFonts w:ascii="Times New Roman" w:hAnsi="Times New Roman" w:cs="Times New Roman"/>
        </w:rPr>
        <w:t xml:space="preserve">Fig. 4. </w:t>
      </w:r>
      <w:r w:rsidR="00B4637D" w:rsidRPr="00C3757E">
        <w:rPr>
          <w:rFonts w:ascii="Times New Roman" w:hAnsi="Times New Roman" w:cs="Times New Roman"/>
        </w:rPr>
        <w:t>The 1928 Red Line Agreement (</w:t>
      </w:r>
      <w:r w:rsidR="00B647C8" w:rsidRPr="00C3757E">
        <w:rPr>
          <w:rFonts w:ascii="Times New Roman" w:eastAsia="Times New Roman" w:hAnsi="Times New Roman" w:cs="Times New Roman"/>
          <w:lang w:eastAsia="en-GB"/>
        </w:rPr>
        <w:t xml:space="preserve">Tim Aspden, courtesy </w:t>
      </w:r>
      <w:r w:rsidR="00B647C8" w:rsidRPr="00F44E25">
        <w:rPr>
          <w:rFonts w:ascii="Times New Roman" w:eastAsia="Times New Roman" w:hAnsi="Times New Roman" w:cs="Times New Roman"/>
          <w:i/>
          <w:iCs/>
          <w:lang w:eastAsia="en-GB"/>
        </w:rPr>
        <w:t>History Today</w:t>
      </w:r>
      <w:r w:rsidR="00652A26">
        <w:rPr>
          <w:rFonts w:ascii="Times New Roman" w:eastAsia="Times New Roman" w:hAnsi="Times New Roman" w:cs="Times New Roman"/>
          <w:i/>
          <w:iCs/>
          <w:lang w:eastAsia="en-GB"/>
        </w:rPr>
        <w:t>,</w:t>
      </w:r>
      <w:r w:rsidR="00B647C8" w:rsidRPr="00C3757E">
        <w:rPr>
          <w:rFonts w:ascii="Times New Roman" w:eastAsia="Times New Roman" w:hAnsi="Times New Roman" w:cs="Times New Roman"/>
          <w:lang w:eastAsia="en-GB"/>
        </w:rPr>
        <w:t xml:space="preserve"> originally published </w:t>
      </w:r>
      <w:r w:rsidR="00E10C52" w:rsidRPr="00C3757E">
        <w:rPr>
          <w:rFonts w:ascii="Times New Roman" w:eastAsia="Times New Roman" w:hAnsi="Times New Roman" w:cs="Times New Roman"/>
          <w:lang w:eastAsia="en-GB"/>
        </w:rPr>
        <w:t xml:space="preserve">in volume 68, issue 1, January </w:t>
      </w:r>
      <w:r w:rsidR="00B647C8" w:rsidRPr="00C3757E">
        <w:rPr>
          <w:rFonts w:ascii="Times New Roman" w:eastAsia="Times New Roman" w:hAnsi="Times New Roman" w:cs="Times New Roman"/>
          <w:lang w:eastAsia="en-GB"/>
        </w:rPr>
        <w:t>2018</w:t>
      </w:r>
      <w:r w:rsidR="00B4637D" w:rsidRPr="00C3757E">
        <w:rPr>
          <w:rFonts w:ascii="Times New Roman" w:hAnsi="Times New Roman" w:cs="Times New Roman"/>
        </w:rPr>
        <w:t>)</w:t>
      </w:r>
    </w:p>
    <w:sectPr w:rsidR="00B356AB" w:rsidRPr="00C3757E" w:rsidSect="00D92FAC">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nathan Conlin" w:date="2022-03-17T19:18:00Z" w:initials="JC">
    <w:p w14:paraId="0BA680C6" w14:textId="776BBA53" w:rsidR="00ED4AD9" w:rsidRDefault="00ED4AD9">
      <w:pPr>
        <w:pStyle w:val="CommentText"/>
      </w:pPr>
      <w:r>
        <w:rPr>
          <w:rStyle w:val="CommentReference"/>
        </w:rPr>
        <w:annotationRef/>
      </w:r>
      <w:r>
        <w:t xml:space="preserve">"snatch" implies a series of </w:t>
      </w:r>
      <w:r w:rsidRPr="00ED4AD9">
        <w:rPr>
          <w:b/>
          <w:bCs/>
        </w:rPr>
        <w:t>rapid</w:t>
      </w:r>
      <w:r>
        <w:t xml:space="preserve"> actions - it was far from being that! "Pick away" in the sense of vultures slowly picking away at a corpse was the image I was deliberately aiming for here. So have returned this to "picked"</w:t>
      </w:r>
    </w:p>
  </w:comment>
  <w:comment w:id="3" w:author="Jonathan Conlin" w:date="2022-03-17T19:21:00Z" w:initials="JC">
    <w:p w14:paraId="26AD6697" w14:textId="34F71B6C" w:rsidR="00ED4AD9" w:rsidRDefault="00ED4AD9">
      <w:pPr>
        <w:pStyle w:val="CommentText"/>
      </w:pPr>
      <w:r>
        <w:rPr>
          <w:rStyle w:val="CommentReference"/>
        </w:rPr>
        <w:annotationRef/>
      </w:r>
      <w:r>
        <w:t>"several" implies fewer than ten, but it was more than that - more like 20-30 companies. So I have returned this to the more accurate original - "a number 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A680C6" w15:done="0"/>
  <w15:commentEx w15:paraId="26AD66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E0813" w16cex:dateUtc="2022-03-17T23:18:00Z"/>
  <w16cex:commentExtensible w16cex:durableId="25DE08AA" w16cex:dateUtc="2022-03-17T2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680C6" w16cid:durableId="25DE0813"/>
  <w16cid:commentId w16cid:paraId="26AD6697" w16cid:durableId="25DE08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3ADBD" w14:textId="77777777" w:rsidR="00BD2FB8" w:rsidRDefault="00BD2FB8" w:rsidP="00AA7293">
      <w:r>
        <w:separator/>
      </w:r>
    </w:p>
  </w:endnote>
  <w:endnote w:type="continuationSeparator" w:id="0">
    <w:p w14:paraId="6211F350" w14:textId="77777777" w:rsidR="00BD2FB8" w:rsidRDefault="00BD2FB8" w:rsidP="00AA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85491" w14:textId="77777777" w:rsidR="00BD2FB8" w:rsidRDefault="00BD2FB8" w:rsidP="00AA7293">
      <w:r>
        <w:separator/>
      </w:r>
    </w:p>
  </w:footnote>
  <w:footnote w:type="continuationSeparator" w:id="0">
    <w:p w14:paraId="4AA9EE30" w14:textId="77777777" w:rsidR="00BD2FB8" w:rsidRDefault="00BD2FB8" w:rsidP="00AA729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Conlin">
    <w15:presenceInfo w15:providerId="AD" w15:userId="S::jgwc2@soton.ac.uk::be4798b6-4b41-462b-af75-196bdbc24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82"/>
    <w:rsid w:val="000021BE"/>
    <w:rsid w:val="00011856"/>
    <w:rsid w:val="00015BD1"/>
    <w:rsid w:val="00026FCB"/>
    <w:rsid w:val="00027582"/>
    <w:rsid w:val="00044FAA"/>
    <w:rsid w:val="00047667"/>
    <w:rsid w:val="00061005"/>
    <w:rsid w:val="000633B6"/>
    <w:rsid w:val="0006493A"/>
    <w:rsid w:val="00066BE9"/>
    <w:rsid w:val="0007553B"/>
    <w:rsid w:val="00076435"/>
    <w:rsid w:val="00093240"/>
    <w:rsid w:val="00097E3C"/>
    <w:rsid w:val="000A6F7C"/>
    <w:rsid w:val="000C5976"/>
    <w:rsid w:val="000D499F"/>
    <w:rsid w:val="0010466C"/>
    <w:rsid w:val="0011286E"/>
    <w:rsid w:val="00114781"/>
    <w:rsid w:val="001213FC"/>
    <w:rsid w:val="00140921"/>
    <w:rsid w:val="00150873"/>
    <w:rsid w:val="00163B53"/>
    <w:rsid w:val="001761BA"/>
    <w:rsid w:val="00177F0D"/>
    <w:rsid w:val="001A0A74"/>
    <w:rsid w:val="001B2354"/>
    <w:rsid w:val="001D7A81"/>
    <w:rsid w:val="0020677F"/>
    <w:rsid w:val="0021082F"/>
    <w:rsid w:val="002173D7"/>
    <w:rsid w:val="00220D95"/>
    <w:rsid w:val="002258A2"/>
    <w:rsid w:val="0023411C"/>
    <w:rsid w:val="00243B45"/>
    <w:rsid w:val="0024515D"/>
    <w:rsid w:val="0024742B"/>
    <w:rsid w:val="0025212B"/>
    <w:rsid w:val="002612E2"/>
    <w:rsid w:val="0026590F"/>
    <w:rsid w:val="00275383"/>
    <w:rsid w:val="00281238"/>
    <w:rsid w:val="00290C3A"/>
    <w:rsid w:val="0029467E"/>
    <w:rsid w:val="002A48E6"/>
    <w:rsid w:val="002B0BB0"/>
    <w:rsid w:val="002B5E30"/>
    <w:rsid w:val="002B693B"/>
    <w:rsid w:val="002C1034"/>
    <w:rsid w:val="002C750A"/>
    <w:rsid w:val="002D4AEC"/>
    <w:rsid w:val="002D5FDE"/>
    <w:rsid w:val="002F2690"/>
    <w:rsid w:val="002F3DB5"/>
    <w:rsid w:val="00302A10"/>
    <w:rsid w:val="00312E39"/>
    <w:rsid w:val="003138E4"/>
    <w:rsid w:val="00320B5F"/>
    <w:rsid w:val="00323C49"/>
    <w:rsid w:val="003273CC"/>
    <w:rsid w:val="00350EE4"/>
    <w:rsid w:val="00361E6F"/>
    <w:rsid w:val="00365DE2"/>
    <w:rsid w:val="003714FA"/>
    <w:rsid w:val="00382932"/>
    <w:rsid w:val="00383F0B"/>
    <w:rsid w:val="003879C9"/>
    <w:rsid w:val="00395FE0"/>
    <w:rsid w:val="003A1F3F"/>
    <w:rsid w:val="003B3C0F"/>
    <w:rsid w:val="003C0018"/>
    <w:rsid w:val="003E0413"/>
    <w:rsid w:val="003E525E"/>
    <w:rsid w:val="003F2641"/>
    <w:rsid w:val="00403B23"/>
    <w:rsid w:val="00410D45"/>
    <w:rsid w:val="00411AC5"/>
    <w:rsid w:val="00413B10"/>
    <w:rsid w:val="00423A90"/>
    <w:rsid w:val="0042453E"/>
    <w:rsid w:val="00427F72"/>
    <w:rsid w:val="00435918"/>
    <w:rsid w:val="0043600B"/>
    <w:rsid w:val="004427FC"/>
    <w:rsid w:val="0044511D"/>
    <w:rsid w:val="00445478"/>
    <w:rsid w:val="00457C22"/>
    <w:rsid w:val="004733DE"/>
    <w:rsid w:val="004810A5"/>
    <w:rsid w:val="0049760A"/>
    <w:rsid w:val="004B580C"/>
    <w:rsid w:val="004B64F1"/>
    <w:rsid w:val="004C7707"/>
    <w:rsid w:val="004D0E9C"/>
    <w:rsid w:val="00504CBB"/>
    <w:rsid w:val="00514B44"/>
    <w:rsid w:val="00523E68"/>
    <w:rsid w:val="0053419C"/>
    <w:rsid w:val="005502D1"/>
    <w:rsid w:val="005573F2"/>
    <w:rsid w:val="00564B70"/>
    <w:rsid w:val="005657A0"/>
    <w:rsid w:val="00570D6A"/>
    <w:rsid w:val="005755C9"/>
    <w:rsid w:val="0058082B"/>
    <w:rsid w:val="005A6C73"/>
    <w:rsid w:val="005B22D5"/>
    <w:rsid w:val="005B36E6"/>
    <w:rsid w:val="005B6DCB"/>
    <w:rsid w:val="005B73F7"/>
    <w:rsid w:val="005F06D1"/>
    <w:rsid w:val="005F726D"/>
    <w:rsid w:val="006067BC"/>
    <w:rsid w:val="0062200A"/>
    <w:rsid w:val="0062472D"/>
    <w:rsid w:val="00624EDF"/>
    <w:rsid w:val="00632D7F"/>
    <w:rsid w:val="00636A0C"/>
    <w:rsid w:val="00652A26"/>
    <w:rsid w:val="00660500"/>
    <w:rsid w:val="006607BA"/>
    <w:rsid w:val="006A08A1"/>
    <w:rsid w:val="006A21C3"/>
    <w:rsid w:val="006A4D2D"/>
    <w:rsid w:val="006B1525"/>
    <w:rsid w:val="006C0381"/>
    <w:rsid w:val="006D1581"/>
    <w:rsid w:val="00701121"/>
    <w:rsid w:val="0070112D"/>
    <w:rsid w:val="007064C4"/>
    <w:rsid w:val="007351F7"/>
    <w:rsid w:val="00745B1E"/>
    <w:rsid w:val="00755578"/>
    <w:rsid w:val="007555E1"/>
    <w:rsid w:val="00756AD9"/>
    <w:rsid w:val="007847F6"/>
    <w:rsid w:val="00785A52"/>
    <w:rsid w:val="00793C32"/>
    <w:rsid w:val="00794833"/>
    <w:rsid w:val="007C532B"/>
    <w:rsid w:val="007D0CA2"/>
    <w:rsid w:val="007D71AC"/>
    <w:rsid w:val="007F0C2D"/>
    <w:rsid w:val="008075F0"/>
    <w:rsid w:val="00807F46"/>
    <w:rsid w:val="0081306B"/>
    <w:rsid w:val="00824F34"/>
    <w:rsid w:val="0083022C"/>
    <w:rsid w:val="008528F8"/>
    <w:rsid w:val="00865FD3"/>
    <w:rsid w:val="008807BD"/>
    <w:rsid w:val="00880F75"/>
    <w:rsid w:val="00886A98"/>
    <w:rsid w:val="008A1467"/>
    <w:rsid w:val="008A22B5"/>
    <w:rsid w:val="008B7930"/>
    <w:rsid w:val="008C652D"/>
    <w:rsid w:val="008F7677"/>
    <w:rsid w:val="00904DBE"/>
    <w:rsid w:val="00944342"/>
    <w:rsid w:val="0095475E"/>
    <w:rsid w:val="00962348"/>
    <w:rsid w:val="009659B1"/>
    <w:rsid w:val="00966FD5"/>
    <w:rsid w:val="00975912"/>
    <w:rsid w:val="009840FB"/>
    <w:rsid w:val="009842CF"/>
    <w:rsid w:val="00990471"/>
    <w:rsid w:val="009B3028"/>
    <w:rsid w:val="009C45FB"/>
    <w:rsid w:val="009C4693"/>
    <w:rsid w:val="009D7336"/>
    <w:rsid w:val="009D748B"/>
    <w:rsid w:val="009E4598"/>
    <w:rsid w:val="009F03D4"/>
    <w:rsid w:val="00A06EE6"/>
    <w:rsid w:val="00A07C74"/>
    <w:rsid w:val="00A37A2B"/>
    <w:rsid w:val="00A70244"/>
    <w:rsid w:val="00A7358D"/>
    <w:rsid w:val="00A7791C"/>
    <w:rsid w:val="00A81FC7"/>
    <w:rsid w:val="00A91832"/>
    <w:rsid w:val="00A96851"/>
    <w:rsid w:val="00AA2F0C"/>
    <w:rsid w:val="00AA7293"/>
    <w:rsid w:val="00AB0A54"/>
    <w:rsid w:val="00AE78BD"/>
    <w:rsid w:val="00AF6F20"/>
    <w:rsid w:val="00B0630F"/>
    <w:rsid w:val="00B06C82"/>
    <w:rsid w:val="00B252F5"/>
    <w:rsid w:val="00B356AB"/>
    <w:rsid w:val="00B41C13"/>
    <w:rsid w:val="00B431ED"/>
    <w:rsid w:val="00B4637D"/>
    <w:rsid w:val="00B647C8"/>
    <w:rsid w:val="00B66766"/>
    <w:rsid w:val="00BA3743"/>
    <w:rsid w:val="00BA5878"/>
    <w:rsid w:val="00BB13F5"/>
    <w:rsid w:val="00BD2FB8"/>
    <w:rsid w:val="00BE3B78"/>
    <w:rsid w:val="00BF5810"/>
    <w:rsid w:val="00C019B3"/>
    <w:rsid w:val="00C01CC4"/>
    <w:rsid w:val="00C0639C"/>
    <w:rsid w:val="00C10985"/>
    <w:rsid w:val="00C20B36"/>
    <w:rsid w:val="00C3757E"/>
    <w:rsid w:val="00C45763"/>
    <w:rsid w:val="00C46711"/>
    <w:rsid w:val="00C82D38"/>
    <w:rsid w:val="00C83D12"/>
    <w:rsid w:val="00C86F08"/>
    <w:rsid w:val="00CA32FD"/>
    <w:rsid w:val="00CA4421"/>
    <w:rsid w:val="00CB1107"/>
    <w:rsid w:val="00CC34D7"/>
    <w:rsid w:val="00D01E8E"/>
    <w:rsid w:val="00D060FE"/>
    <w:rsid w:val="00D07F0F"/>
    <w:rsid w:val="00D113C4"/>
    <w:rsid w:val="00D1689C"/>
    <w:rsid w:val="00D46107"/>
    <w:rsid w:val="00D53E44"/>
    <w:rsid w:val="00D763C3"/>
    <w:rsid w:val="00D813BD"/>
    <w:rsid w:val="00D82FA0"/>
    <w:rsid w:val="00D92FAC"/>
    <w:rsid w:val="00DA1FC9"/>
    <w:rsid w:val="00DA445C"/>
    <w:rsid w:val="00DD7323"/>
    <w:rsid w:val="00DE40BC"/>
    <w:rsid w:val="00DE5492"/>
    <w:rsid w:val="00DE6680"/>
    <w:rsid w:val="00DF1E39"/>
    <w:rsid w:val="00DF273B"/>
    <w:rsid w:val="00DF6D64"/>
    <w:rsid w:val="00E10C52"/>
    <w:rsid w:val="00E22C7C"/>
    <w:rsid w:val="00E34B73"/>
    <w:rsid w:val="00E55918"/>
    <w:rsid w:val="00E6472F"/>
    <w:rsid w:val="00E72EF9"/>
    <w:rsid w:val="00E754BB"/>
    <w:rsid w:val="00E756F2"/>
    <w:rsid w:val="00E90D30"/>
    <w:rsid w:val="00EA2A71"/>
    <w:rsid w:val="00EB14A5"/>
    <w:rsid w:val="00EB68D0"/>
    <w:rsid w:val="00EC39EC"/>
    <w:rsid w:val="00ED4AD9"/>
    <w:rsid w:val="00EE4098"/>
    <w:rsid w:val="00EE6D22"/>
    <w:rsid w:val="00F24C71"/>
    <w:rsid w:val="00F25A50"/>
    <w:rsid w:val="00F44E25"/>
    <w:rsid w:val="00F526CC"/>
    <w:rsid w:val="00F702B1"/>
    <w:rsid w:val="00F73FCD"/>
    <w:rsid w:val="00F767B8"/>
    <w:rsid w:val="00FA6DAE"/>
    <w:rsid w:val="00FB14F9"/>
    <w:rsid w:val="00FB214A"/>
    <w:rsid w:val="00FE3D58"/>
    <w:rsid w:val="00FF5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A9A73"/>
  <w15:chartTrackingRefBased/>
  <w15:docId w15:val="{DC925109-6C47-BE42-B062-CE236D62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7293"/>
    <w:rPr>
      <w:sz w:val="20"/>
      <w:szCs w:val="20"/>
    </w:rPr>
  </w:style>
  <w:style w:type="character" w:customStyle="1" w:styleId="FootnoteTextChar">
    <w:name w:val="Footnote Text Char"/>
    <w:basedOn w:val="DefaultParagraphFont"/>
    <w:link w:val="FootnoteText"/>
    <w:uiPriority w:val="99"/>
    <w:semiHidden/>
    <w:rsid w:val="00AA7293"/>
    <w:rPr>
      <w:sz w:val="20"/>
      <w:szCs w:val="20"/>
    </w:rPr>
  </w:style>
  <w:style w:type="character" w:styleId="FootnoteReference">
    <w:name w:val="footnote reference"/>
    <w:basedOn w:val="DefaultParagraphFont"/>
    <w:uiPriority w:val="99"/>
    <w:semiHidden/>
    <w:unhideWhenUsed/>
    <w:rsid w:val="00AA7293"/>
    <w:rPr>
      <w:vertAlign w:val="superscript"/>
    </w:rPr>
  </w:style>
  <w:style w:type="character" w:styleId="CommentReference">
    <w:name w:val="annotation reference"/>
    <w:basedOn w:val="DefaultParagraphFont"/>
    <w:uiPriority w:val="99"/>
    <w:semiHidden/>
    <w:unhideWhenUsed/>
    <w:rsid w:val="00793C32"/>
    <w:rPr>
      <w:sz w:val="16"/>
      <w:szCs w:val="16"/>
    </w:rPr>
  </w:style>
  <w:style w:type="paragraph" w:styleId="CommentText">
    <w:name w:val="annotation text"/>
    <w:basedOn w:val="Normal"/>
    <w:link w:val="CommentTextChar"/>
    <w:uiPriority w:val="99"/>
    <w:unhideWhenUsed/>
    <w:rsid w:val="00793C32"/>
    <w:rPr>
      <w:sz w:val="20"/>
      <w:szCs w:val="20"/>
    </w:rPr>
  </w:style>
  <w:style w:type="character" w:customStyle="1" w:styleId="CommentTextChar">
    <w:name w:val="Comment Text Char"/>
    <w:basedOn w:val="DefaultParagraphFont"/>
    <w:link w:val="CommentText"/>
    <w:uiPriority w:val="99"/>
    <w:rsid w:val="00793C32"/>
    <w:rPr>
      <w:sz w:val="20"/>
      <w:szCs w:val="20"/>
    </w:rPr>
  </w:style>
  <w:style w:type="paragraph" w:styleId="CommentSubject">
    <w:name w:val="annotation subject"/>
    <w:basedOn w:val="CommentText"/>
    <w:next w:val="CommentText"/>
    <w:link w:val="CommentSubjectChar"/>
    <w:uiPriority w:val="99"/>
    <w:semiHidden/>
    <w:unhideWhenUsed/>
    <w:rsid w:val="00793C32"/>
    <w:rPr>
      <w:b/>
      <w:bCs/>
    </w:rPr>
  </w:style>
  <w:style w:type="character" w:customStyle="1" w:styleId="CommentSubjectChar">
    <w:name w:val="Comment Subject Char"/>
    <w:basedOn w:val="CommentTextChar"/>
    <w:link w:val="CommentSubject"/>
    <w:uiPriority w:val="99"/>
    <w:semiHidden/>
    <w:rsid w:val="00793C32"/>
    <w:rPr>
      <w:b/>
      <w:bCs/>
      <w:sz w:val="20"/>
      <w:szCs w:val="20"/>
    </w:rPr>
  </w:style>
  <w:style w:type="paragraph" w:styleId="Revision">
    <w:name w:val="Revision"/>
    <w:hidden/>
    <w:uiPriority w:val="99"/>
    <w:semiHidden/>
    <w:rsid w:val="00852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2512</Words>
  <Characters>14319</Characters>
  <Application>Microsoft Office Word</Application>
  <DocSecurity>0</DocSecurity>
  <Lines>119</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Conlin</dc:creator>
  <cp:keywords/>
  <dc:description/>
  <cp:lastModifiedBy>Jonathan Conlin</cp:lastModifiedBy>
  <cp:revision>3</cp:revision>
  <cp:lastPrinted>2022-01-06T15:20:00Z</cp:lastPrinted>
  <dcterms:created xsi:type="dcterms:W3CDTF">2022-03-17T23:23:00Z</dcterms:created>
  <dcterms:modified xsi:type="dcterms:W3CDTF">2022-09-16T10:56:00Z</dcterms:modified>
</cp:coreProperties>
</file>