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0CD9" w14:textId="7280D5B3" w:rsidR="00DA20F8" w:rsidRDefault="000C4DF9" w:rsidP="000C4DF9">
      <w:pPr>
        <w:pStyle w:val="NoSpacing"/>
        <w:jc w:val="center"/>
        <w:rPr>
          <w:rFonts w:cs="Calibri"/>
          <w:b/>
          <w:color w:val="201F1E"/>
          <w:sz w:val="30"/>
          <w:szCs w:val="30"/>
          <w:shd w:val="clear" w:color="auto" w:fill="FFFFFF"/>
        </w:rPr>
      </w:pPr>
      <w:r w:rsidRPr="004F6B53">
        <w:rPr>
          <w:rFonts w:cs="Calibri"/>
          <w:b/>
          <w:color w:val="201F1E"/>
          <w:sz w:val="30"/>
          <w:szCs w:val="30"/>
          <w:shd w:val="clear" w:color="auto" w:fill="FFFFFF"/>
        </w:rPr>
        <w:t xml:space="preserve">Quantifying unintended effects of an agroecological research project on farmers’ practices and social network in </w:t>
      </w:r>
    </w:p>
    <w:p w14:paraId="1F3E08C2" w14:textId="7100CB00" w:rsidR="000C4DF9" w:rsidRDefault="000C4DF9" w:rsidP="000C4DF9">
      <w:pPr>
        <w:pStyle w:val="NoSpacing"/>
        <w:jc w:val="center"/>
        <w:rPr>
          <w:rFonts w:cs="Calibri"/>
          <w:b/>
          <w:color w:val="201F1E"/>
          <w:sz w:val="30"/>
          <w:szCs w:val="30"/>
          <w:shd w:val="clear" w:color="auto" w:fill="FFFFFF"/>
        </w:rPr>
      </w:pPr>
      <w:r w:rsidRPr="004F6B53">
        <w:rPr>
          <w:rFonts w:cs="Calibri"/>
          <w:b/>
          <w:color w:val="201F1E"/>
          <w:sz w:val="30"/>
          <w:szCs w:val="30"/>
          <w:shd w:val="clear" w:color="auto" w:fill="FFFFFF"/>
        </w:rPr>
        <w:t>Papua New Guinea</w:t>
      </w:r>
    </w:p>
    <w:p w14:paraId="4678A3EE" w14:textId="1D35AEB7" w:rsidR="00A124CE" w:rsidRDefault="00A124CE" w:rsidP="00A124CE">
      <w:pPr>
        <w:pStyle w:val="NoSpacing"/>
        <w:rPr>
          <w:rFonts w:cs="Calibri"/>
          <w:b/>
          <w:color w:val="201F1E"/>
          <w:sz w:val="30"/>
          <w:szCs w:val="30"/>
          <w:shd w:val="clear" w:color="auto" w:fill="FFFFFF"/>
        </w:rPr>
      </w:pPr>
    </w:p>
    <w:p w14:paraId="5189F7B3" w14:textId="77777777" w:rsidR="00A124CE" w:rsidRDefault="00A124CE" w:rsidP="00A124CE">
      <w:pPr>
        <w:pStyle w:val="Heading2"/>
      </w:pPr>
      <w:r>
        <w:t>Authors</w:t>
      </w:r>
    </w:p>
    <w:p w14:paraId="34F06A0A" w14:textId="77777777" w:rsidR="00A124CE" w:rsidRDefault="00A124CE" w:rsidP="00A124CE">
      <w:pPr>
        <w:pStyle w:val="NoSpacing"/>
      </w:pPr>
    </w:p>
    <w:p w14:paraId="0620DD93" w14:textId="6A78921C" w:rsidR="00A124CE" w:rsidRPr="00AD6D5F" w:rsidRDefault="00A124CE" w:rsidP="00A124CE">
      <w:pPr>
        <w:pStyle w:val="NoSpacing"/>
      </w:pPr>
      <w:r>
        <w:t>Mirjam Hazenbosch</w:t>
      </w:r>
      <w:r>
        <w:rPr>
          <w:vertAlign w:val="superscript"/>
        </w:rPr>
        <w:t>1</w:t>
      </w:r>
      <w:r w:rsidR="00704F74">
        <w:rPr>
          <w:vertAlign w:val="superscript"/>
        </w:rPr>
        <w:t>*</w:t>
      </w:r>
      <w:r w:rsidRPr="00105B17">
        <w:t xml:space="preserve">, </w:t>
      </w:r>
      <w:r>
        <w:t>Shen Sui</w:t>
      </w:r>
      <w:r>
        <w:rPr>
          <w:vertAlign w:val="superscript"/>
        </w:rPr>
        <w:t>2</w:t>
      </w:r>
      <w:r>
        <w:t>, Brus Isua</w:t>
      </w:r>
      <w:r>
        <w:rPr>
          <w:vertAlign w:val="superscript"/>
        </w:rPr>
        <w:t>2</w:t>
      </w:r>
      <w:r>
        <w:t xml:space="preserve">, </w:t>
      </w:r>
      <w:r w:rsidRPr="00105B17">
        <w:t>Emilie Beauchamp</w:t>
      </w:r>
      <w:r>
        <w:rPr>
          <w:vertAlign w:val="superscript"/>
        </w:rPr>
        <w:t>3</w:t>
      </w:r>
      <w:r w:rsidRPr="00105B17">
        <w:t xml:space="preserve">, </w:t>
      </w:r>
      <w:r>
        <w:t>Alfred Kik</w:t>
      </w:r>
      <w:r>
        <w:rPr>
          <w:vertAlign w:val="superscript"/>
        </w:rPr>
        <w:t>2,4</w:t>
      </w:r>
      <w:r>
        <w:t>, Grace Luke</w:t>
      </w:r>
      <w:r>
        <w:rPr>
          <w:vertAlign w:val="superscript"/>
        </w:rPr>
        <w:t>2</w:t>
      </w:r>
      <w:r>
        <w:t>, Petr Matou</w:t>
      </w:r>
      <w:r>
        <w:rPr>
          <w:rFonts w:cstheme="minorHAnsi"/>
        </w:rPr>
        <w:t>š</w:t>
      </w:r>
      <w:r>
        <w:rPr>
          <w:rFonts w:cstheme="minorHAnsi"/>
          <w:vertAlign w:val="superscript"/>
        </w:rPr>
        <w:t>5</w:t>
      </w:r>
      <w:r>
        <w:t xml:space="preserve">, </w:t>
      </w:r>
      <w:r w:rsidRPr="00105B17">
        <w:t>Rebecca J. Morris</w:t>
      </w:r>
      <w:r>
        <w:rPr>
          <w:vertAlign w:val="superscript"/>
        </w:rPr>
        <w:t>1,6</w:t>
      </w:r>
      <w:r>
        <w:t>, Jason Paliau</w:t>
      </w:r>
      <w:r>
        <w:rPr>
          <w:vertAlign w:val="superscript"/>
        </w:rPr>
        <w:t>2</w:t>
      </w:r>
      <w:r>
        <w:t xml:space="preserve">, </w:t>
      </w:r>
      <w:r w:rsidRPr="00105B17">
        <w:t>E.J. Milner-Gulland</w:t>
      </w:r>
      <w:r>
        <w:rPr>
          <w:vertAlign w:val="superscript"/>
        </w:rPr>
        <w:t>1</w:t>
      </w:r>
    </w:p>
    <w:p w14:paraId="35E0FF02" w14:textId="77777777" w:rsidR="00A124CE" w:rsidRDefault="00A124CE" w:rsidP="00A124CE">
      <w:pPr>
        <w:pStyle w:val="NoSpacing"/>
      </w:pPr>
    </w:p>
    <w:p w14:paraId="13A3C8D2" w14:textId="77777777" w:rsidR="00A124CE" w:rsidRPr="007D4D2B" w:rsidRDefault="00A124CE" w:rsidP="00A124CE">
      <w:pPr>
        <w:pStyle w:val="NoSpacing"/>
      </w:pPr>
      <w:r w:rsidRPr="007D4D2B">
        <w:rPr>
          <w:vertAlign w:val="superscript"/>
        </w:rPr>
        <w:t xml:space="preserve">1 </w:t>
      </w:r>
      <w:r w:rsidRPr="007D4D2B">
        <w:t>Department</w:t>
      </w:r>
      <w:r w:rsidRPr="007D4D2B">
        <w:rPr>
          <w:rFonts w:eastAsia="CharisSIL"/>
          <w:iCs/>
        </w:rPr>
        <w:t xml:space="preserve"> of Zoology, University of Oxford, Oxford, United Kingdom</w:t>
      </w:r>
    </w:p>
    <w:p w14:paraId="0D5BD2A5" w14:textId="77777777" w:rsidR="00A124CE" w:rsidRDefault="00A124CE" w:rsidP="00A124CE">
      <w:pPr>
        <w:pStyle w:val="NoSpacing"/>
      </w:pPr>
      <w:r w:rsidRPr="007D4D2B">
        <w:rPr>
          <w:vertAlign w:val="superscript"/>
        </w:rPr>
        <w:t>2</w:t>
      </w:r>
      <w:r w:rsidRPr="007D4D2B">
        <w:t xml:space="preserve"> The Ne</w:t>
      </w:r>
      <w:r>
        <w:t xml:space="preserve">w Guinea </w:t>
      </w:r>
      <w:proofErr w:type="spellStart"/>
      <w:r>
        <w:t>Binatang</w:t>
      </w:r>
      <w:proofErr w:type="spellEnd"/>
      <w:r>
        <w:t xml:space="preserve"> Research Cent</w:t>
      </w:r>
      <w:r w:rsidRPr="007D4D2B">
        <w:t>r</w:t>
      </w:r>
      <w:r>
        <w:t>e</w:t>
      </w:r>
      <w:r w:rsidRPr="007D4D2B">
        <w:t>, Madang, Papua New Guinea</w:t>
      </w:r>
    </w:p>
    <w:p w14:paraId="16ACB9D1" w14:textId="77777777" w:rsidR="00A124CE" w:rsidRDefault="00A124CE" w:rsidP="00A124CE">
      <w:pPr>
        <w:pStyle w:val="NoSpacing"/>
        <w:rPr>
          <w:rFonts w:eastAsia="CharisSIL"/>
          <w:iCs/>
        </w:rPr>
      </w:pPr>
      <w:r>
        <w:rPr>
          <w:vertAlign w:val="superscript"/>
          <w:lang w:val="en-US"/>
        </w:rPr>
        <w:t>3</w:t>
      </w:r>
      <w:r w:rsidRPr="007D4D2B">
        <w:rPr>
          <w:vertAlign w:val="superscript"/>
          <w:lang w:val="en-US"/>
        </w:rPr>
        <w:t xml:space="preserve"> </w:t>
      </w:r>
      <w:r w:rsidRPr="007D4D2B">
        <w:rPr>
          <w:rFonts w:eastAsia="CharisSIL"/>
          <w:iCs/>
        </w:rPr>
        <w:t>International Institute for En</w:t>
      </w:r>
      <w:r>
        <w:rPr>
          <w:rFonts w:eastAsia="CharisSIL"/>
          <w:iCs/>
        </w:rPr>
        <w:t>vironment and Development</w:t>
      </w:r>
      <w:r w:rsidRPr="007D4D2B">
        <w:rPr>
          <w:rFonts w:eastAsia="CharisSIL"/>
          <w:iCs/>
        </w:rPr>
        <w:t>, London, United Kingdom</w:t>
      </w:r>
    </w:p>
    <w:p w14:paraId="7B615167" w14:textId="77777777" w:rsidR="00A124CE" w:rsidRPr="007D4D2B" w:rsidRDefault="00A124CE" w:rsidP="00A124CE">
      <w:pPr>
        <w:pStyle w:val="NoSpacing"/>
        <w:rPr>
          <w:lang w:val="en-US"/>
        </w:rPr>
      </w:pPr>
      <w:r>
        <w:rPr>
          <w:vertAlign w:val="superscript"/>
          <w:lang w:val="en-US"/>
        </w:rPr>
        <w:t xml:space="preserve">4 </w:t>
      </w:r>
      <w:r w:rsidRPr="007D4D2B">
        <w:rPr>
          <w:lang w:val="en-US"/>
        </w:rPr>
        <w:t xml:space="preserve">Faculty of Science, University of South Bohemia, </w:t>
      </w:r>
      <w:proofErr w:type="spellStart"/>
      <w:r w:rsidRPr="007D4D2B">
        <w:rPr>
          <w:bdr w:val="none" w:sz="0" w:space="0" w:color="auto" w:frame="1"/>
          <w:shd w:val="clear" w:color="auto" w:fill="FFFFFF"/>
        </w:rPr>
        <w:t>České</w:t>
      </w:r>
      <w:proofErr w:type="spellEnd"/>
      <w:r w:rsidRPr="007D4D2B">
        <w:rPr>
          <w:bdr w:val="none" w:sz="0" w:space="0" w:color="auto" w:frame="1"/>
          <w:shd w:val="clear" w:color="auto" w:fill="FFFFFF"/>
        </w:rPr>
        <w:t xml:space="preserve"> </w:t>
      </w:r>
      <w:proofErr w:type="spellStart"/>
      <w:r w:rsidRPr="007D4D2B">
        <w:rPr>
          <w:bdr w:val="none" w:sz="0" w:space="0" w:color="auto" w:frame="1"/>
          <w:shd w:val="clear" w:color="auto" w:fill="FFFFFF"/>
        </w:rPr>
        <w:t>Budějovice</w:t>
      </w:r>
      <w:proofErr w:type="spellEnd"/>
      <w:r w:rsidRPr="007D4D2B">
        <w:rPr>
          <w:lang w:val="en-US"/>
        </w:rPr>
        <w:t>, Czech Republic</w:t>
      </w:r>
    </w:p>
    <w:p w14:paraId="5F7CCB63" w14:textId="77777777" w:rsidR="00A124CE" w:rsidRPr="00CC01CD" w:rsidRDefault="00A124CE" w:rsidP="00A124CE">
      <w:pPr>
        <w:pStyle w:val="NoSpacing"/>
        <w:rPr>
          <w:rFonts w:eastAsia="CharisSIL"/>
          <w:iCs/>
        </w:rPr>
      </w:pPr>
      <w:r>
        <w:rPr>
          <w:rFonts w:eastAsia="CharisSIL"/>
          <w:iCs/>
          <w:vertAlign w:val="superscript"/>
        </w:rPr>
        <w:t xml:space="preserve">5 </w:t>
      </w:r>
      <w:r w:rsidRPr="00CC01CD">
        <w:rPr>
          <w:iCs/>
        </w:rPr>
        <w:t xml:space="preserve">Faculty of Engineering and Information Technologies, University of Sydney, </w:t>
      </w:r>
      <w:r>
        <w:rPr>
          <w:iCs/>
        </w:rPr>
        <w:t xml:space="preserve">Sydney, </w:t>
      </w:r>
      <w:r w:rsidRPr="00CC01CD">
        <w:rPr>
          <w:iCs/>
        </w:rPr>
        <w:t>Australia</w:t>
      </w:r>
    </w:p>
    <w:p w14:paraId="2F7C605F" w14:textId="688B1C6A" w:rsidR="00A124CE" w:rsidRDefault="00A124CE" w:rsidP="00A124CE">
      <w:pPr>
        <w:pStyle w:val="NoSpacing"/>
        <w:rPr>
          <w:iCs/>
        </w:rPr>
      </w:pPr>
      <w:r>
        <w:rPr>
          <w:vertAlign w:val="superscript"/>
        </w:rPr>
        <w:t xml:space="preserve">6 </w:t>
      </w:r>
      <w:r>
        <w:rPr>
          <w:iCs/>
        </w:rPr>
        <w:t>School of B</w:t>
      </w:r>
      <w:r w:rsidRPr="007D4D2B">
        <w:rPr>
          <w:iCs/>
        </w:rPr>
        <w:t>iological Sciences, University of Southampton, Southampton, United Kingdom</w:t>
      </w:r>
    </w:p>
    <w:p w14:paraId="3BCE045F" w14:textId="1751BE33" w:rsidR="00E31057" w:rsidRDefault="00E31057" w:rsidP="00A124CE">
      <w:pPr>
        <w:pStyle w:val="NoSpacing"/>
        <w:rPr>
          <w:iCs/>
        </w:rPr>
      </w:pPr>
    </w:p>
    <w:p w14:paraId="66CA1126" w14:textId="18997148" w:rsidR="00A124CE" w:rsidRPr="00EC3B8D" w:rsidRDefault="00000000" w:rsidP="00EC3B8D">
      <w:pPr>
        <w:pStyle w:val="NoSpacing"/>
        <w:rPr>
          <w:rFonts w:cs="Calibri"/>
          <w:b/>
          <w:color w:val="201F1E"/>
          <w:sz w:val="30"/>
          <w:szCs w:val="30"/>
          <w:shd w:val="clear" w:color="auto" w:fill="FFFFFF"/>
        </w:rPr>
      </w:pPr>
      <w:hyperlink r:id="rId8" w:history="1">
        <w:r w:rsidR="00EC3B8D" w:rsidRPr="00F22795">
          <w:rPr>
            <w:rStyle w:val="Hyperlink"/>
            <w:iCs/>
          </w:rPr>
          <w:t xml:space="preserve">* </w:t>
        </w:r>
        <w:r w:rsidR="00704F74">
          <w:rPr>
            <w:rStyle w:val="Hyperlink"/>
            <w:iCs/>
          </w:rPr>
          <w:t>mirjam.hazenbosch@gmail.com</w:t>
        </w:r>
      </w:hyperlink>
      <w:r w:rsidR="00A124CE">
        <w:br w:type="page"/>
      </w:r>
    </w:p>
    <w:p w14:paraId="4DDBDE67" w14:textId="2E434C12" w:rsidR="00FA7AC7" w:rsidRDefault="00FA7AC7" w:rsidP="006976B5">
      <w:pPr>
        <w:pStyle w:val="Heading2"/>
      </w:pPr>
      <w:r w:rsidRPr="00A90C56">
        <w:lastRenderedPageBreak/>
        <w:t xml:space="preserve">Abstract </w:t>
      </w:r>
    </w:p>
    <w:p w14:paraId="798857C6" w14:textId="77777777" w:rsidR="00D2471A" w:rsidRPr="00A90C56" w:rsidRDefault="00D2471A" w:rsidP="00E21C9E">
      <w:pPr>
        <w:pStyle w:val="NoSpacing"/>
        <w:rPr>
          <w:b/>
          <w:i/>
        </w:rPr>
      </w:pPr>
    </w:p>
    <w:p w14:paraId="1D791B9F" w14:textId="565239B7" w:rsidR="00616B4D" w:rsidRPr="008B643A" w:rsidRDefault="00C75AE0" w:rsidP="00017572">
      <w:pPr>
        <w:pStyle w:val="NoSpacing"/>
        <w:numPr>
          <w:ilvl w:val="0"/>
          <w:numId w:val="16"/>
        </w:numPr>
      </w:pPr>
      <w:r w:rsidRPr="008B643A">
        <w:t>Agro</w:t>
      </w:r>
      <w:r w:rsidR="00CC3013" w:rsidRPr="008B643A">
        <w:t xml:space="preserve">ecological researchers </w:t>
      </w:r>
      <w:r w:rsidR="00616B4D" w:rsidRPr="008B643A">
        <w:t xml:space="preserve">and </w:t>
      </w:r>
      <w:r w:rsidR="00ED532C" w:rsidRPr="008B643A">
        <w:t>advocates</w:t>
      </w:r>
      <w:r w:rsidR="00616B4D" w:rsidRPr="008B643A">
        <w:t xml:space="preserve"> often make assumptions about the</w:t>
      </w:r>
      <w:r w:rsidR="00605DA8" w:rsidRPr="008B643A">
        <w:t xml:space="preserve"> social</w:t>
      </w:r>
      <w:r w:rsidR="00616B4D" w:rsidRPr="008B643A">
        <w:t xml:space="preserve"> impact and disseminati</w:t>
      </w:r>
      <w:r w:rsidR="000A62FE" w:rsidRPr="008B643A">
        <w:t>on of their work</w:t>
      </w:r>
      <w:r w:rsidR="002B0945" w:rsidRPr="008B643A">
        <w:t>:</w:t>
      </w:r>
      <w:r w:rsidR="000A62FE" w:rsidRPr="008B643A">
        <w:t xml:space="preserve"> </w:t>
      </w:r>
      <w:r w:rsidR="007A4D47">
        <w:t>r</w:t>
      </w:r>
      <w:r w:rsidR="000A62FE" w:rsidRPr="008B643A">
        <w:t xml:space="preserve">esearchers </w:t>
      </w:r>
      <w:r w:rsidR="00420047" w:rsidRPr="008B643A">
        <w:t xml:space="preserve">may </w:t>
      </w:r>
      <w:r w:rsidR="00AC5EB4" w:rsidRPr="008B643A">
        <w:t>assume</w:t>
      </w:r>
      <w:r w:rsidR="003D778C" w:rsidRPr="008B643A">
        <w:t xml:space="preserve"> that their </w:t>
      </w:r>
      <w:r w:rsidR="000A62FE" w:rsidRPr="008B643A">
        <w:t>w</w:t>
      </w:r>
      <w:r w:rsidR="00C12226" w:rsidRPr="008B643A">
        <w:t>ork has</w:t>
      </w:r>
      <w:r w:rsidR="003D778C" w:rsidRPr="008B643A">
        <w:t xml:space="preserve"> impact </w:t>
      </w:r>
      <w:r w:rsidR="0069750B">
        <w:t>through</w:t>
      </w:r>
      <w:r w:rsidR="00BC1F2A" w:rsidRPr="008B643A">
        <w:t xml:space="preserve"> post-research dissemination</w:t>
      </w:r>
      <w:r w:rsidR="003D778C" w:rsidRPr="008B643A">
        <w:t xml:space="preserve">, while </w:t>
      </w:r>
      <w:r w:rsidR="00644747" w:rsidRPr="008B643A">
        <w:t>advocates</w:t>
      </w:r>
      <w:r w:rsidR="003D778C" w:rsidRPr="008B643A">
        <w:t xml:space="preserve"> </w:t>
      </w:r>
      <w:r w:rsidR="00EF7C79" w:rsidRPr="008B643A">
        <w:t xml:space="preserve">may </w:t>
      </w:r>
      <w:r w:rsidR="003D778C" w:rsidRPr="008B643A">
        <w:t xml:space="preserve">assume that </w:t>
      </w:r>
      <w:r w:rsidR="00BC1F2A" w:rsidRPr="008B643A">
        <w:t xml:space="preserve">new </w:t>
      </w:r>
      <w:r w:rsidRPr="008B643A">
        <w:t>agro</w:t>
      </w:r>
      <w:r w:rsidR="00E50BD0" w:rsidRPr="008B643A">
        <w:t xml:space="preserve">ecological </w:t>
      </w:r>
      <w:r w:rsidR="003D778C" w:rsidRPr="008B643A">
        <w:t>practice</w:t>
      </w:r>
      <w:r w:rsidR="00E50BD0" w:rsidRPr="008B643A">
        <w:t>s</w:t>
      </w:r>
      <w:r w:rsidR="003D778C" w:rsidRPr="008B643A">
        <w:t xml:space="preserve"> </w:t>
      </w:r>
      <w:r w:rsidR="00BC1F2A" w:rsidRPr="008B643A">
        <w:t xml:space="preserve">can be effectively </w:t>
      </w:r>
      <w:r w:rsidR="003D778C" w:rsidRPr="008B643A">
        <w:t xml:space="preserve">spread </w:t>
      </w:r>
      <w:r w:rsidR="0069750B">
        <w:t>through</w:t>
      </w:r>
      <w:r w:rsidR="008B7323" w:rsidRPr="008B643A">
        <w:t xml:space="preserve"> existing</w:t>
      </w:r>
      <w:r w:rsidR="00BC1F2A" w:rsidRPr="008B643A">
        <w:t xml:space="preserve"> </w:t>
      </w:r>
      <w:r w:rsidR="003D778C" w:rsidRPr="008B643A">
        <w:t>social networks.</w:t>
      </w:r>
    </w:p>
    <w:p w14:paraId="552CF38F" w14:textId="2954BD5A" w:rsidR="00656EA8" w:rsidRPr="008B643A" w:rsidRDefault="00197507" w:rsidP="00017572">
      <w:pPr>
        <w:pStyle w:val="NoSpacing"/>
        <w:numPr>
          <w:ilvl w:val="0"/>
          <w:numId w:val="16"/>
        </w:numPr>
      </w:pPr>
      <w:r w:rsidRPr="008B643A">
        <w:t>Here</w:t>
      </w:r>
      <w:r w:rsidR="007B4BC8">
        <w:t xml:space="preserve"> we </w:t>
      </w:r>
      <w:r w:rsidR="00053170" w:rsidRPr="008B643A">
        <w:t>test</w:t>
      </w:r>
      <w:r w:rsidR="00057FB7" w:rsidRPr="008B643A">
        <w:t xml:space="preserve"> the</w:t>
      </w:r>
      <w:r w:rsidR="00D5715E" w:rsidRPr="008B643A">
        <w:t>se</w:t>
      </w:r>
      <w:r w:rsidR="00057FB7" w:rsidRPr="008B643A">
        <w:t xml:space="preserve"> a</w:t>
      </w:r>
      <w:r w:rsidR="005A70CB" w:rsidRPr="008B643A">
        <w:t>s</w:t>
      </w:r>
      <w:r w:rsidR="000260CD" w:rsidRPr="008B643A">
        <w:t>sumptions</w:t>
      </w:r>
      <w:r w:rsidR="00BC1F2A" w:rsidRPr="008B643A">
        <w:t xml:space="preserve"> by</w:t>
      </w:r>
      <w:r w:rsidRPr="008B643A">
        <w:t xml:space="preserve"> </w:t>
      </w:r>
      <w:r w:rsidR="00E95926" w:rsidRPr="008B643A">
        <w:t>quantif</w:t>
      </w:r>
      <w:r w:rsidR="00BC1F2A" w:rsidRPr="008B643A">
        <w:t>ying</w:t>
      </w:r>
      <w:r w:rsidR="00E95926" w:rsidRPr="008B643A">
        <w:t xml:space="preserve"> </w:t>
      </w:r>
      <w:r w:rsidR="001D5D3E" w:rsidRPr="008B643A">
        <w:t>the effects of an agro</w:t>
      </w:r>
      <w:r w:rsidR="006E38C5" w:rsidRPr="008B643A">
        <w:t>ecological research project on farming practices and the social network in a village comm</w:t>
      </w:r>
      <w:r w:rsidR="00AE4C02">
        <w:t>unity in Papua New Guinea</w:t>
      </w:r>
      <w:r w:rsidR="00A675D3" w:rsidRPr="008B643A">
        <w:t>.</w:t>
      </w:r>
      <w:r w:rsidR="008D5A2B" w:rsidRPr="008B643A">
        <w:t xml:space="preserve"> </w:t>
      </w:r>
      <w:r w:rsidR="00DD2DE0" w:rsidRPr="008B643A">
        <w:t xml:space="preserve">The project aimed to test </w:t>
      </w:r>
      <w:r w:rsidR="008D5A2B" w:rsidRPr="008B643A">
        <w:t>the effect of</w:t>
      </w:r>
      <w:r w:rsidR="008D1DCC">
        <w:t xml:space="preserve"> applying</w:t>
      </w:r>
      <w:r w:rsidR="008D5A2B" w:rsidRPr="008B643A">
        <w:t xml:space="preserve"> banana peel compost, chicken manure and NPK fertiliser on sweet potato</w:t>
      </w:r>
      <w:r w:rsidR="00BC1F2A" w:rsidRPr="008B643A">
        <w:t xml:space="preserve"> yields</w:t>
      </w:r>
      <w:r w:rsidR="008D5A2B" w:rsidRPr="008B643A">
        <w:t>.</w:t>
      </w:r>
      <w:r w:rsidR="009A5262" w:rsidRPr="008B643A">
        <w:t xml:space="preserve"> L</w:t>
      </w:r>
      <w:r w:rsidR="008D5A2B" w:rsidRPr="008B643A">
        <w:t>ocal farmer</w:t>
      </w:r>
      <w:r w:rsidR="003A2E48" w:rsidRPr="008B643A">
        <w:t xml:space="preserve">s were involved </w:t>
      </w:r>
      <w:r w:rsidR="00F52917" w:rsidRPr="008B643A">
        <w:t xml:space="preserve">in the research </w:t>
      </w:r>
      <w:r w:rsidR="008D5A2B" w:rsidRPr="008B643A">
        <w:t xml:space="preserve">as </w:t>
      </w:r>
      <w:r w:rsidR="00A152BA" w:rsidRPr="008B643A">
        <w:t xml:space="preserve">project </w:t>
      </w:r>
      <w:r w:rsidR="00C03F37" w:rsidRPr="008B643A">
        <w:t>garden owners</w:t>
      </w:r>
      <w:r w:rsidR="008D5A2B" w:rsidRPr="008B643A">
        <w:t xml:space="preserve"> or research assistants.</w:t>
      </w:r>
      <w:r w:rsidR="00F02A18" w:rsidRPr="008B643A">
        <w:t xml:space="preserve"> </w:t>
      </w:r>
      <w:r w:rsidR="00D11375" w:rsidRPr="008B643A">
        <w:t>Using stochastic actor-oriented modelling,</w:t>
      </w:r>
      <w:r w:rsidR="0068475A">
        <w:t xml:space="preserve"> we </w:t>
      </w:r>
      <w:r w:rsidR="00D11375" w:rsidRPr="008B643A">
        <w:t>track</w:t>
      </w:r>
      <w:r w:rsidR="00581F06" w:rsidRPr="008B643A">
        <w:t>ed</w:t>
      </w:r>
      <w:r w:rsidR="00D11375" w:rsidRPr="008B643A">
        <w:t xml:space="preserve"> </w:t>
      </w:r>
      <w:r w:rsidR="007A645F" w:rsidRPr="008B643A">
        <w:t>changes in</w:t>
      </w:r>
      <w:r w:rsidR="00D11375" w:rsidRPr="008B643A">
        <w:t xml:space="preserve"> farming practices and the social network.</w:t>
      </w:r>
      <w:r w:rsidR="00C3479A" w:rsidRPr="008B643A">
        <w:rPr>
          <w:rFonts w:ascii="Calibri" w:hAnsi="Calibri" w:cs="Calibri"/>
          <w:color w:val="201F1E"/>
        </w:rPr>
        <w:t xml:space="preserve"> </w:t>
      </w:r>
    </w:p>
    <w:p w14:paraId="448654E5" w14:textId="41942803" w:rsidR="00E805D7" w:rsidRPr="008B643A" w:rsidRDefault="00BC1F2A" w:rsidP="00017572">
      <w:pPr>
        <w:pStyle w:val="NoSpacing"/>
        <w:numPr>
          <w:ilvl w:val="0"/>
          <w:numId w:val="16"/>
        </w:numPr>
      </w:pPr>
      <w:r w:rsidRPr="008B643A">
        <w:t>O</w:t>
      </w:r>
      <w:r w:rsidR="002906B9" w:rsidRPr="008B643A">
        <w:t xml:space="preserve">ver the course of the </w:t>
      </w:r>
      <w:r w:rsidR="00E91DF2" w:rsidRPr="008B643A">
        <w:t>research project</w:t>
      </w:r>
      <w:r w:rsidR="001478CE" w:rsidRPr="008B643A">
        <w:t>,</w:t>
      </w:r>
      <w:r w:rsidR="00E91DF2" w:rsidRPr="008B643A">
        <w:t xml:space="preserve"> </w:t>
      </w:r>
      <w:r w:rsidR="002906B9" w:rsidRPr="008B643A">
        <w:t>m</w:t>
      </w:r>
      <w:r w:rsidR="00915984" w:rsidRPr="008B643A">
        <w:t xml:space="preserve">ore people started to use food waste </w:t>
      </w:r>
      <w:r w:rsidR="00365D19" w:rsidRPr="008B643A">
        <w:t>on their farms</w:t>
      </w:r>
      <w:r w:rsidR="00F36D1F" w:rsidRPr="008B643A">
        <w:t>, while animal</w:t>
      </w:r>
      <w:r w:rsidR="005F0321" w:rsidRPr="008B643A">
        <w:t xml:space="preserve"> manure and NPK fertiliser were not frequently adopted</w:t>
      </w:r>
      <w:r w:rsidR="00915984" w:rsidRPr="008B643A">
        <w:t xml:space="preserve">. </w:t>
      </w:r>
      <w:r w:rsidR="00B2408A" w:rsidRPr="008B643A">
        <w:t xml:space="preserve">Farmers </w:t>
      </w:r>
      <w:r w:rsidR="00915984" w:rsidRPr="008B643A">
        <w:t xml:space="preserve">also took up </w:t>
      </w:r>
      <w:r w:rsidR="00411CB1">
        <w:t>practices</w:t>
      </w:r>
      <w:r w:rsidR="00915984" w:rsidRPr="008B643A">
        <w:t xml:space="preserve"> that were not directly researched, such as mulching and planting the specific variety of sweet potato that was used in the </w:t>
      </w:r>
      <w:r w:rsidR="00773343" w:rsidRPr="008B643A">
        <w:t>project</w:t>
      </w:r>
      <w:r w:rsidR="00915984" w:rsidRPr="008B643A">
        <w:t>.</w:t>
      </w:r>
      <w:r w:rsidR="008E00F7" w:rsidRPr="008B643A">
        <w:t xml:space="preserve"> </w:t>
      </w:r>
      <w:r w:rsidR="000F6E6B" w:rsidRPr="008B643A">
        <w:t>T</w:t>
      </w:r>
      <w:r w:rsidR="001F0774" w:rsidRPr="008B643A">
        <w:t xml:space="preserve">his </w:t>
      </w:r>
      <w:r w:rsidRPr="008B643A">
        <w:t xml:space="preserve">suggests </w:t>
      </w:r>
      <w:r w:rsidR="001F0774" w:rsidRPr="008B643A">
        <w:t xml:space="preserve">that local </w:t>
      </w:r>
      <w:r w:rsidR="00C1291E" w:rsidRPr="008B643A">
        <w:t xml:space="preserve">farmers </w:t>
      </w:r>
      <w:r w:rsidR="000F6E6B" w:rsidRPr="008B643A">
        <w:t>create</w:t>
      </w:r>
      <w:r w:rsidR="001F0774" w:rsidRPr="008B643A">
        <w:t>d</w:t>
      </w:r>
      <w:r w:rsidR="00102ACF" w:rsidRPr="008B643A">
        <w:t xml:space="preserve"> meaning from the</w:t>
      </w:r>
      <w:r w:rsidR="000F6E6B" w:rsidRPr="008B643A">
        <w:t xml:space="preserve"> project, </w:t>
      </w:r>
      <w:r w:rsidR="00676197" w:rsidRPr="008B643A">
        <w:t>despite the resear</w:t>
      </w:r>
      <w:r w:rsidR="00886C09" w:rsidRPr="008B643A">
        <w:t>chers</w:t>
      </w:r>
      <w:r w:rsidR="000F6E6B" w:rsidRPr="008B643A">
        <w:t xml:space="preserve"> not intending to give advice</w:t>
      </w:r>
      <w:r w:rsidR="004910E8" w:rsidRPr="008B643A">
        <w:t xml:space="preserve"> until the end of the project. </w:t>
      </w:r>
    </w:p>
    <w:p w14:paraId="4A9BB393" w14:textId="123B7F06" w:rsidR="0074293B" w:rsidRPr="008B643A" w:rsidRDefault="00BC1F2A" w:rsidP="00017572">
      <w:pPr>
        <w:pStyle w:val="NoSpacing"/>
        <w:numPr>
          <w:ilvl w:val="0"/>
          <w:numId w:val="16"/>
        </w:numPr>
      </w:pPr>
      <w:r w:rsidRPr="008B643A">
        <w:t>T</w:t>
      </w:r>
      <w:r w:rsidR="009B3D02" w:rsidRPr="008B643A">
        <w:t>he research project</w:t>
      </w:r>
      <w:r w:rsidR="001478CE" w:rsidRPr="008B643A">
        <w:t xml:space="preserve"> also</w:t>
      </w:r>
      <w:r w:rsidR="009B3D02" w:rsidRPr="008B643A">
        <w:t xml:space="preserve"> </w:t>
      </w:r>
      <w:r w:rsidR="0074293B" w:rsidRPr="008B643A">
        <w:t xml:space="preserve">affected the </w:t>
      </w:r>
      <w:r w:rsidR="008D1DCC">
        <w:t xml:space="preserve">community’s </w:t>
      </w:r>
      <w:r w:rsidR="0074293B" w:rsidRPr="008B643A">
        <w:t>s</w:t>
      </w:r>
      <w:r w:rsidR="00506B13" w:rsidRPr="008B643A">
        <w:t>oci</w:t>
      </w:r>
      <w:r w:rsidR="00F93CFE" w:rsidRPr="008B643A">
        <w:t>al network. R</w:t>
      </w:r>
      <w:r w:rsidR="0074293B" w:rsidRPr="008B643A">
        <w:t xml:space="preserve">esearch </w:t>
      </w:r>
      <w:r w:rsidR="00F93CFE" w:rsidRPr="008B643A">
        <w:t>assistants became</w:t>
      </w:r>
      <w:r w:rsidR="00600C6C" w:rsidRPr="008B643A">
        <w:t xml:space="preserve"> more often</w:t>
      </w:r>
      <w:r w:rsidR="00B13B71" w:rsidRPr="008B643A">
        <w:t xml:space="preserve"> sought</w:t>
      </w:r>
      <w:r w:rsidR="00237EBC" w:rsidRPr="008B643A">
        <w:t>-</w:t>
      </w:r>
      <w:r w:rsidR="00B13B71" w:rsidRPr="008B643A">
        <w:t>after for advice</w:t>
      </w:r>
      <w:r w:rsidR="00B6217B" w:rsidRPr="008B643A">
        <w:t>, while k</w:t>
      </w:r>
      <w:r w:rsidR="00E060CB" w:rsidRPr="008B643A">
        <w:t xml:space="preserve">nowledge about the project did not flow far from </w:t>
      </w:r>
      <w:r w:rsidR="0049556D" w:rsidRPr="008B643A">
        <w:t>those directly involved</w:t>
      </w:r>
      <w:r w:rsidR="00DF34AD" w:rsidRPr="008B643A">
        <w:t>. These results</w:t>
      </w:r>
      <w:r w:rsidR="009410C3" w:rsidRPr="008B643A">
        <w:t xml:space="preserve"> indicate</w:t>
      </w:r>
      <w:r w:rsidR="00860389" w:rsidRPr="008B643A">
        <w:t xml:space="preserve"> that</w:t>
      </w:r>
      <w:r w:rsidR="00107C97" w:rsidRPr="008B643A">
        <w:t xml:space="preserve"> w</w:t>
      </w:r>
      <w:r w:rsidR="00F45978" w:rsidRPr="008B643A">
        <w:t>h</w:t>
      </w:r>
      <w:r w:rsidR="00107C97" w:rsidRPr="008B643A">
        <w:t>o gets involved</w:t>
      </w:r>
      <w:r w:rsidR="00F2308E" w:rsidRPr="008B643A">
        <w:t xml:space="preserve"> </w:t>
      </w:r>
      <w:r w:rsidR="00984B8C" w:rsidRPr="008B643A">
        <w:t xml:space="preserve">in a project </w:t>
      </w:r>
      <w:r w:rsidR="00390526" w:rsidRPr="008B643A">
        <w:t>may have</w:t>
      </w:r>
      <w:r w:rsidR="00107C97" w:rsidRPr="008B643A">
        <w:t xml:space="preserve"> </w:t>
      </w:r>
      <w:r w:rsidR="00984B8C" w:rsidRPr="008B643A">
        <w:t xml:space="preserve">social </w:t>
      </w:r>
      <w:r w:rsidR="00107C97" w:rsidRPr="008B643A">
        <w:t>consequences</w:t>
      </w:r>
      <w:r w:rsidR="000224FE" w:rsidRPr="008B643A">
        <w:t xml:space="preserve">, and show the importance of understanding </w:t>
      </w:r>
      <w:r w:rsidR="00154344" w:rsidRPr="008B643A">
        <w:t xml:space="preserve">existing </w:t>
      </w:r>
      <w:r w:rsidR="000224FE" w:rsidRPr="008B643A">
        <w:t>social networks before they are relied upon for spread</w:t>
      </w:r>
      <w:r w:rsidR="00B33042" w:rsidRPr="008B643A">
        <w:t>ing</w:t>
      </w:r>
      <w:r w:rsidR="000224FE" w:rsidRPr="008B643A">
        <w:t xml:space="preserve"> farming practices</w:t>
      </w:r>
      <w:r w:rsidR="002B759C" w:rsidRPr="008B643A">
        <w:t>.</w:t>
      </w:r>
      <w:r w:rsidR="00525272" w:rsidRPr="008B643A">
        <w:t xml:space="preserve"> </w:t>
      </w:r>
    </w:p>
    <w:p w14:paraId="054D7715" w14:textId="03DFE7A4" w:rsidR="00EC3B8D" w:rsidRDefault="00B42A20" w:rsidP="00EC3B8D">
      <w:pPr>
        <w:pStyle w:val="NoSpacing"/>
        <w:numPr>
          <w:ilvl w:val="0"/>
          <w:numId w:val="16"/>
        </w:numPr>
      </w:pPr>
      <w:r w:rsidRPr="008B643A">
        <w:t xml:space="preserve">Overall, </w:t>
      </w:r>
      <w:r w:rsidR="008864A7">
        <w:t>this</w:t>
      </w:r>
      <w:r w:rsidR="00075F2B">
        <w:t xml:space="preserve"> </w:t>
      </w:r>
      <w:r w:rsidR="0092762E" w:rsidRPr="008B643A">
        <w:t xml:space="preserve">work </w:t>
      </w:r>
      <w:r w:rsidR="00834686" w:rsidRPr="008B643A">
        <w:t xml:space="preserve">challenges often-held assumptions </w:t>
      </w:r>
      <w:r w:rsidR="009B642F" w:rsidRPr="008B643A">
        <w:t xml:space="preserve">about </w:t>
      </w:r>
      <w:r w:rsidR="00984B8C" w:rsidRPr="008B643A">
        <w:t xml:space="preserve">the </w:t>
      </w:r>
      <w:r w:rsidR="009B642F" w:rsidRPr="008B643A">
        <w:t xml:space="preserve">social impact and </w:t>
      </w:r>
      <w:r w:rsidR="009E0305" w:rsidRPr="008B643A">
        <w:t>dissemination of</w:t>
      </w:r>
      <w:r w:rsidR="001D5D3E" w:rsidRPr="008B643A">
        <w:t xml:space="preserve"> agro</w:t>
      </w:r>
      <w:r w:rsidR="0092762E" w:rsidRPr="008B643A">
        <w:t>ecologi</w:t>
      </w:r>
      <w:r w:rsidR="00BC1F2A" w:rsidRPr="008B643A">
        <w:t>cal research</w:t>
      </w:r>
      <w:r w:rsidR="0092762E" w:rsidRPr="008B643A">
        <w:t>,</w:t>
      </w:r>
      <w:r w:rsidR="003045F6" w:rsidRPr="008B643A">
        <w:t xml:space="preserve"> </w:t>
      </w:r>
      <w:r w:rsidR="009A4177" w:rsidRPr="008B643A">
        <w:t xml:space="preserve">provides insights </w:t>
      </w:r>
      <w:r w:rsidR="00BC1F2A" w:rsidRPr="008B643A">
        <w:t xml:space="preserve">into </w:t>
      </w:r>
      <w:r w:rsidR="008661DC" w:rsidRPr="008B643A">
        <w:t xml:space="preserve">the </w:t>
      </w:r>
      <w:r w:rsidR="00B031E4" w:rsidRPr="008B643A">
        <w:t>type</w:t>
      </w:r>
      <w:r w:rsidR="00BC1F2A" w:rsidRPr="008B643A">
        <w:t>s</w:t>
      </w:r>
      <w:r w:rsidR="00B031E4" w:rsidRPr="008B643A">
        <w:t xml:space="preserve"> of agricultural innovations </w:t>
      </w:r>
      <w:r w:rsidR="00BC1F2A" w:rsidRPr="008B643A">
        <w:t xml:space="preserve">more </w:t>
      </w:r>
      <w:r w:rsidR="00B031E4" w:rsidRPr="008B643A">
        <w:t xml:space="preserve">likely to be accepted among farmers, and </w:t>
      </w:r>
      <w:r w:rsidR="007639DD" w:rsidRPr="008B643A">
        <w:t>explores</w:t>
      </w:r>
      <w:r w:rsidR="00984B8C" w:rsidRPr="008B643A">
        <w:t xml:space="preserve"> </w:t>
      </w:r>
      <w:r w:rsidR="00B031E4" w:rsidRPr="008B643A">
        <w:t xml:space="preserve">how </w:t>
      </w:r>
      <w:r w:rsidR="00984B8C" w:rsidRPr="008B643A">
        <w:t xml:space="preserve">new </w:t>
      </w:r>
      <w:r w:rsidR="00B031E4" w:rsidRPr="008B643A">
        <w:t>practices may most effectively be promoted within a community.</w:t>
      </w:r>
    </w:p>
    <w:p w14:paraId="3FC631C1" w14:textId="4976D0DE" w:rsidR="00EC3B8D" w:rsidRDefault="00EC3B8D" w:rsidP="00EC3B8D">
      <w:pPr>
        <w:pStyle w:val="Heading2"/>
      </w:pPr>
      <w:r>
        <w:lastRenderedPageBreak/>
        <w:t>Keywords</w:t>
      </w:r>
    </w:p>
    <w:p w14:paraId="6E37A2A5" w14:textId="40221DE1" w:rsidR="00EC3B8D" w:rsidRDefault="00EC3B8D" w:rsidP="00EC3B8D"/>
    <w:p w14:paraId="77E12165" w14:textId="20458733" w:rsidR="00EC3B8D" w:rsidRDefault="00DE493D" w:rsidP="00DE493D">
      <w:pPr>
        <w:pStyle w:val="NoSpacing"/>
      </w:pPr>
      <w:r>
        <w:t>Behaviour change, Fertiliser, Knowledge exchange, Science-policy gap, Social network analysis, Stochastic actor-oriented modelling, Sweet potato, Swidden agriculture</w:t>
      </w:r>
    </w:p>
    <w:p w14:paraId="556CC9CA" w14:textId="77777777" w:rsidR="00EC3B8D" w:rsidRPr="00EC3B8D" w:rsidRDefault="00EC3B8D" w:rsidP="00EC3B8D"/>
    <w:p w14:paraId="69312700" w14:textId="4FCEDB22" w:rsidR="00113C03" w:rsidRDefault="00113C03" w:rsidP="006D0654">
      <w:pPr>
        <w:pStyle w:val="Heading2"/>
        <w:numPr>
          <w:ilvl w:val="1"/>
          <w:numId w:val="22"/>
        </w:numPr>
      </w:pPr>
      <w:r>
        <w:t>Introduction</w:t>
      </w:r>
    </w:p>
    <w:p w14:paraId="1DB21660" w14:textId="77777777" w:rsidR="00113C03" w:rsidRDefault="00113C03" w:rsidP="00E21C9E">
      <w:pPr>
        <w:pStyle w:val="NoSpacing"/>
        <w:rPr>
          <w:b/>
          <w:i/>
        </w:rPr>
      </w:pPr>
    </w:p>
    <w:p w14:paraId="0D07C8E8" w14:textId="2E390F09" w:rsidR="00432634" w:rsidRDefault="00C35514" w:rsidP="00D73B1B">
      <w:pPr>
        <w:pStyle w:val="NoSpacing"/>
      </w:pPr>
      <w:r w:rsidRPr="008B643A">
        <w:t>Agro</w:t>
      </w:r>
      <w:r w:rsidR="00432634" w:rsidRPr="008B643A">
        <w:t xml:space="preserve">ecology </w:t>
      </w:r>
      <w:r w:rsidR="00747751" w:rsidRPr="008B643A">
        <w:t>aims to solve challenges in agricultural production</w:t>
      </w:r>
      <w:r w:rsidR="00432634" w:rsidRPr="008B643A">
        <w:t xml:space="preserve">. </w:t>
      </w:r>
      <w:r w:rsidR="00CF2D7A" w:rsidRPr="008B643A">
        <w:t>To achieve this</w:t>
      </w:r>
      <w:r w:rsidR="001B4AC3" w:rsidRPr="008B643A">
        <w:t>,</w:t>
      </w:r>
      <w:r w:rsidR="00432634" w:rsidRPr="008B643A">
        <w:t xml:space="preserve"> d</w:t>
      </w:r>
      <w:r w:rsidR="004D5F4C" w:rsidRPr="008B643A">
        <w:t>if</w:t>
      </w:r>
      <w:r w:rsidR="00CF2D7A" w:rsidRPr="008B643A">
        <w:t xml:space="preserve">ferent approaches </w:t>
      </w:r>
      <w:r w:rsidR="00B83646" w:rsidRPr="008B643A">
        <w:t>are taken</w:t>
      </w:r>
      <w:r w:rsidR="00EC62B9">
        <w:t>, with ‘agro</w:t>
      </w:r>
      <w:r w:rsidR="00D45463" w:rsidRPr="008B643A">
        <w:t xml:space="preserve">ecology’ not only being an agricultural practice, but also </w:t>
      </w:r>
      <w:r w:rsidR="008A6B80" w:rsidRPr="008B643A">
        <w:t xml:space="preserve">a scientific discipline </w:t>
      </w:r>
      <w:r w:rsidR="00CC32B6" w:rsidRPr="008B643A">
        <w:t>and</w:t>
      </w:r>
      <w:r w:rsidR="008A6B80" w:rsidRPr="008B643A">
        <w:t xml:space="preserve"> a social movement </w:t>
      </w:r>
      <w:r w:rsidR="00014ED5" w:rsidRPr="008B643A">
        <w:fldChar w:fldCharType="begin" w:fldLock="1"/>
      </w:r>
      <w:r w:rsidR="001C3948">
        <w:instrText>ADDIN CSL_CITATION {"citationItems":[{"id":"ITEM-1","itemData":{"DOI":"10.1007/978-94-007-0394-0_3","ISBN":"9789048126651","abstract":"Agroecology involves various approaches to solve actual challenges of agricultural production. Though agroecology initially dealt primarily with crop production and protection aspects, in recent decades new dimensions such as environmental, social, economic, ethical and development issues are becoming relevant. Today, the term 'agroecology' means either a scientific discipline, agricultural practice, or political or social movement. Here we study the different meanings of agroecology. For that we analyse the historical development of agroecology. We present examples from USA, Brazil, Germany, and France. We study and discuss the evolution of different meanings agroecology. The use of the term agroecology can be traced back to the 1930s. Until the 1960s agroecology referred only as a purely scientific discipline. Then, different branches of agroecology developed. Following environmental movements in the 1960s that went against industrial agriculture, agroecology evolved and fostered agroecological movements in the 1990s. Agroecology as an agricultural practice emerged in the 1980s, and was often intertwined with movements. Further, the scales and dimensions of agroecological investigations changed over the past 80 years from the plot and field scales to the farm and agroecosystem scales. Actually three approaches persist: (1) investigations at plot and field scales, (2) investigations at the agroecosystem and farm scales, and (3) investigations covering the whole food system. These different approaches of agroecological science can be explained by the history of nations. In France, agroecology was mainly understood as a farming practice and to certain extent as a movement, whereas the corresponding scientific discipline was agronomy. In Germany, agroecology has a long tradition as a scientific discipline. In the USA and in Brazil all three interpretations of agroecology occur, albeit with a predominance of agroecology as a science in the USA and a stronger emphasis on movement and agricultural practice in Brazil. These varied meanings of the term agroecology cause confusion among scientists and the public, and we recommend that those who publish using this term be explicit in their interpretation. © 2011 Springer Science+Business Media B.V.","author":[{"dropping-particle":"","family":"Wezel","given":"A.","non-dropping-particle":"","parse-names":false,"suffix":""},{"dropping-particle":"","family":"Bellon","given":"S.","non-dropping-particle":"","parse-names":false,"suffix":""},{"dropping-particle":"","family":"Doré","given":"T.","non-dropping-particle":"","parse-names":false,"suffix":""},{"dropping-particle":"","family":"Francis","given":"C.","non-dropping-particle":"","parse-names":false,"suffix":""},{"dropping-particle":"","family":"Vallod","given":"D.","non-dropping-particle":"","parse-names":false,"suffix":""},{"dropping-particle":"","family":"David","given":"C.","non-dropping-particle":"","parse-names":false,"suffix":""}],"container-title":"Sustainable Agriculture","id":"ITEM-1","issued":{"date-parts":[["2009"]]},"page":"27-43","title":"Agroecology as a science, a movement and a practice","type":"article-journal","volume":"2"},"uris":["http://www.mendeley.com/documents/?uuid=be10ada2-efbd-45e7-b641-9d85db8e791e"]}],"mendeley":{"formattedCitation":"(Wezel &lt;i&gt;et al.&lt;/i&gt;, 2009)","plainTextFormattedCitation":"(Wezel et al., 2009)","previouslyFormattedCitation":"(Wezel &lt;i&gt;et al.&lt;/i&gt;, 2009)"},"properties":{"noteIndex":0},"schema":"https://github.com/citation-style-language/schema/raw/master/csl-citation.json"}</w:instrText>
      </w:r>
      <w:r w:rsidR="00014ED5" w:rsidRPr="008B643A">
        <w:fldChar w:fldCharType="separate"/>
      </w:r>
      <w:r w:rsidR="00636F5B" w:rsidRPr="00636F5B">
        <w:rPr>
          <w:noProof/>
        </w:rPr>
        <w:t xml:space="preserve">(Wezel </w:t>
      </w:r>
      <w:r w:rsidR="00636F5B" w:rsidRPr="00636F5B">
        <w:rPr>
          <w:i/>
          <w:noProof/>
        </w:rPr>
        <w:t>et al.</w:t>
      </w:r>
      <w:r w:rsidR="00636F5B" w:rsidRPr="00636F5B">
        <w:rPr>
          <w:noProof/>
        </w:rPr>
        <w:t>, 2009)</w:t>
      </w:r>
      <w:r w:rsidR="00014ED5" w:rsidRPr="008B643A">
        <w:fldChar w:fldCharType="end"/>
      </w:r>
      <w:r w:rsidR="00A228C7" w:rsidRPr="008B643A">
        <w:t>.</w:t>
      </w:r>
      <w:r w:rsidR="00E04266" w:rsidRPr="008B643A">
        <w:t xml:space="preserve"> A</w:t>
      </w:r>
      <w:r w:rsidR="00D72A9F" w:rsidRPr="008B643A">
        <w:t>gro</w:t>
      </w:r>
      <w:r w:rsidR="00A75371" w:rsidRPr="008B643A">
        <w:t>ecological researchers</w:t>
      </w:r>
      <w:r w:rsidR="00562B2B" w:rsidRPr="008B643A">
        <w:t xml:space="preserve"> </w:t>
      </w:r>
      <w:r w:rsidR="00CF2D7A" w:rsidRPr="008B643A">
        <w:t>focus</w:t>
      </w:r>
      <w:r w:rsidR="004D5F4C" w:rsidRPr="008B643A">
        <w:t xml:space="preserve"> on </w:t>
      </w:r>
      <w:r w:rsidR="00E95926" w:rsidRPr="008B643A">
        <w:t>investigating</w:t>
      </w:r>
      <w:r w:rsidR="0095661E" w:rsidRPr="008B643A">
        <w:t xml:space="preserve"> </w:t>
      </w:r>
      <w:r w:rsidR="00984B8C" w:rsidRPr="008B643A">
        <w:t xml:space="preserve">factors affecting </w:t>
      </w:r>
      <w:r w:rsidR="007E08E0" w:rsidRPr="008B643A">
        <w:t>agricultur</w:t>
      </w:r>
      <w:r w:rsidR="00AC7FCC" w:rsidRPr="008B643A">
        <w:t>a</w:t>
      </w:r>
      <w:r w:rsidR="00037E4E" w:rsidRPr="008B643A">
        <w:t>l production</w:t>
      </w:r>
      <w:r w:rsidR="007A64EA" w:rsidRPr="008B643A">
        <w:t>,</w:t>
      </w:r>
      <w:r w:rsidR="00FD22FD" w:rsidRPr="008B643A">
        <w:t xml:space="preserve"> </w:t>
      </w:r>
      <w:r w:rsidR="00B9528E" w:rsidRPr="008B643A">
        <w:t>while</w:t>
      </w:r>
      <w:r w:rsidR="000954FA" w:rsidRPr="008B643A">
        <w:t xml:space="preserve"> </w:t>
      </w:r>
      <w:r w:rsidR="0066425D" w:rsidRPr="008B643A">
        <w:t xml:space="preserve">agroecological </w:t>
      </w:r>
      <w:r w:rsidR="00037E4E" w:rsidRPr="008B643A">
        <w:t>advocates</w:t>
      </w:r>
      <w:r w:rsidR="00C0672C" w:rsidRPr="008B643A">
        <w:t xml:space="preserve"> use</w:t>
      </w:r>
      <w:r w:rsidR="00C05208" w:rsidRPr="008B643A">
        <w:t xml:space="preserve"> agroecology</w:t>
      </w:r>
      <w:r w:rsidR="003F54ED" w:rsidRPr="008B643A">
        <w:t xml:space="preserve"> </w:t>
      </w:r>
      <w:r w:rsidR="00761072" w:rsidRPr="008B643A">
        <w:t xml:space="preserve">to drive </w:t>
      </w:r>
      <w:r w:rsidR="005736B4" w:rsidRPr="008B643A">
        <w:t xml:space="preserve">forward </w:t>
      </w:r>
      <w:r w:rsidR="00761072" w:rsidRPr="008B643A">
        <w:t xml:space="preserve">a political agenda </w:t>
      </w:r>
      <w:r w:rsidR="005736B4" w:rsidRPr="008B643A">
        <w:t>on sustainable agriculture, rural d</w:t>
      </w:r>
      <w:r w:rsidR="00F76114" w:rsidRPr="008B643A">
        <w:t>evelopment and environmentalism</w:t>
      </w:r>
      <w:r w:rsidR="002B2530" w:rsidRPr="008B643A">
        <w:t xml:space="preserve"> </w:t>
      </w:r>
      <w:r w:rsidR="00F233CA" w:rsidRPr="008B643A">
        <w:fldChar w:fldCharType="begin" w:fldLock="1"/>
      </w:r>
      <w:r w:rsidR="001C3948">
        <w:instrText>ADDIN CSL_CITATION {"citationItems":[{"id":"ITEM-1","itemData":{"DOI":"10.1007/978-94-007-0394-0_3","ISBN":"9789048126651","abstract":"Agroecology involves various approaches to solve actual challenges of agricultural production. Though agroecology initially dealt primarily with crop production and protection aspects, in recent decades new dimensions such as environmental, social, economic, ethical and development issues are becoming relevant. Today, the term 'agroecology' means either a scientific discipline, agricultural practice, or political or social movement. Here we study the different meanings of agroecology. For that we analyse the historical development of agroecology. We present examples from USA, Brazil, Germany, and France. We study and discuss the evolution of different meanings agroecology. The use of the term agroecology can be traced back to the 1930s. Until the 1960s agroecology referred only as a purely scientific discipline. Then, different branches of agroecology developed. Following environmental movements in the 1960s that went against industrial agriculture, agroecology evolved and fostered agroecological movements in the 1990s. Agroecology as an agricultural practice emerged in the 1980s, and was often intertwined with movements. Further, the scales and dimensions of agroecological investigations changed over the past 80 years from the plot and field scales to the farm and agroecosystem scales. Actually three approaches persist: (1) investigations at plot and field scales, (2) investigations at the agroecosystem and farm scales, and (3) investigations covering the whole food system. These different approaches of agroecological science can be explained by the history of nations. In France, agroecology was mainly understood as a farming practice and to certain extent as a movement, whereas the corresponding scientific discipline was agronomy. In Germany, agroecology has a long tradition as a scientific discipline. In the USA and in Brazil all three interpretations of agroecology occur, albeit with a predominance of agroecology as a science in the USA and a stronger emphasis on movement and agricultural practice in Brazil. These varied meanings of the term agroecology cause confusion among scientists and the public, and we recommend that those who publish using this term be explicit in their interpretation. © 2011 Springer Science+Business Media B.V.","author":[{"dropping-particle":"","family":"Wezel","given":"A.","non-dropping-particle":"","parse-names":false,"suffix":""},{"dropping-particle":"","family":"Bellon","given":"S.","non-dropping-particle":"","parse-names":false,"suffix":""},{"dropping-particle":"","family":"Doré","given":"T.","non-dropping-particle":"","parse-names":false,"suffix":""},{"dropping-particle":"","family":"Francis","given":"C.","non-dropping-particle":"","parse-names":false,"suffix":""},{"dropping-particle":"","family":"Vallod","given":"D.","non-dropping-particle":"","parse-names":false,"suffix":""},{"dropping-particle":"","family":"David","given":"C.","non-dropping-particle":"","parse-names":false,"suffix":""}],"container-title":"Sustainable Agriculture","id":"ITEM-1","issued":{"date-parts":[["2009"]]},"page":"27-43","title":"Agroecology as a science, a movement and a practice","type":"article-journal","volume":"2"},"uris":["http://www.mendeley.com/documents/?uuid=be10ada2-efbd-45e7-b641-9d85db8e791e"]}],"mendeley":{"formattedCitation":"(Wezel &lt;i&gt;et al.&lt;/i&gt;, 2009)","plainTextFormattedCitation":"(Wezel et al., 2009)","previouslyFormattedCitation":"(Wezel &lt;i&gt;et al.&lt;/i&gt;, 2009)"},"properties":{"noteIndex":0},"schema":"https://github.com/citation-style-language/schema/raw/master/csl-citation.json"}</w:instrText>
      </w:r>
      <w:r w:rsidR="00F233CA" w:rsidRPr="008B643A">
        <w:fldChar w:fldCharType="separate"/>
      </w:r>
      <w:r w:rsidR="00636F5B" w:rsidRPr="00636F5B">
        <w:rPr>
          <w:noProof/>
        </w:rPr>
        <w:t xml:space="preserve">(Wezel </w:t>
      </w:r>
      <w:r w:rsidR="00636F5B" w:rsidRPr="00636F5B">
        <w:rPr>
          <w:i/>
          <w:noProof/>
        </w:rPr>
        <w:t>et al.</w:t>
      </w:r>
      <w:r w:rsidR="00636F5B" w:rsidRPr="00636F5B">
        <w:rPr>
          <w:noProof/>
        </w:rPr>
        <w:t>, 2009)</w:t>
      </w:r>
      <w:r w:rsidR="00F233CA" w:rsidRPr="008B643A">
        <w:fldChar w:fldCharType="end"/>
      </w:r>
      <w:r w:rsidR="002B2530" w:rsidRPr="008B643A">
        <w:t>.</w:t>
      </w:r>
      <w:r w:rsidR="002B2530">
        <w:t xml:space="preserve"> </w:t>
      </w:r>
    </w:p>
    <w:p w14:paraId="5BD8E75E" w14:textId="3FA3E749" w:rsidR="00F02DAD" w:rsidRDefault="00D72A9F" w:rsidP="00F02DAD">
      <w:pPr>
        <w:pStyle w:val="NoSpacing"/>
        <w:ind w:firstLine="720"/>
      </w:pPr>
      <w:r>
        <w:t>Agro</w:t>
      </w:r>
      <w:r w:rsidR="009A7983">
        <w:t>e</w:t>
      </w:r>
      <w:r w:rsidR="0030132F">
        <w:t>cological researchers</w:t>
      </w:r>
      <w:r w:rsidR="009A7983">
        <w:t xml:space="preserve"> often </w:t>
      </w:r>
      <w:r w:rsidR="008A35C1">
        <w:t xml:space="preserve">work in </w:t>
      </w:r>
      <w:r w:rsidR="008805A1">
        <w:t>collaboration with farming</w:t>
      </w:r>
      <w:r w:rsidR="008A35C1">
        <w:t xml:space="preserve"> communitie</w:t>
      </w:r>
      <w:r w:rsidR="009A7983">
        <w:t>s</w:t>
      </w:r>
      <w:r w:rsidR="00D90EF3">
        <w:t xml:space="preserve"> and </w:t>
      </w:r>
      <w:r w:rsidR="00A9062F">
        <w:t>s</w:t>
      </w:r>
      <w:r w:rsidR="009A7983">
        <w:t xml:space="preserve">pend a significant amount of time </w:t>
      </w:r>
      <w:r w:rsidR="00382030">
        <w:t>‘</w:t>
      </w:r>
      <w:r w:rsidR="009A7983">
        <w:t>in the field</w:t>
      </w:r>
      <w:r w:rsidR="00382030">
        <w:t>’</w:t>
      </w:r>
      <w:r w:rsidR="009A7983">
        <w:t xml:space="preserve"> to collect their data. </w:t>
      </w:r>
      <w:r w:rsidR="009D4C32">
        <w:t>I</w:t>
      </w:r>
      <w:r w:rsidR="001566E5">
        <w:t>t is often assumed</w:t>
      </w:r>
      <w:r w:rsidR="009D4C32">
        <w:t xml:space="preserve"> by </w:t>
      </w:r>
      <w:r w:rsidR="00984B8C">
        <w:t>these</w:t>
      </w:r>
      <w:r w:rsidR="001A03FF">
        <w:t xml:space="preserve"> research</w:t>
      </w:r>
      <w:r w:rsidR="001319EF">
        <w:t>ers</w:t>
      </w:r>
      <w:r w:rsidR="001A03FF">
        <w:t xml:space="preserve"> </w:t>
      </w:r>
      <w:r w:rsidR="00654DCA">
        <w:t xml:space="preserve">that their work may </w:t>
      </w:r>
      <w:r w:rsidR="00401965">
        <w:t>impact</w:t>
      </w:r>
      <w:r w:rsidR="00654DCA">
        <w:t xml:space="preserve"> farmers’ practices, but only at the end of </w:t>
      </w:r>
      <w:r w:rsidR="007C7BDC">
        <w:t>a</w:t>
      </w:r>
      <w:r w:rsidR="00DB3470">
        <w:t xml:space="preserve"> </w:t>
      </w:r>
      <w:r w:rsidR="00654DCA">
        <w:t xml:space="preserve">project </w:t>
      </w:r>
      <w:r w:rsidR="00654DCA">
        <w:fldChar w:fldCharType="begin" w:fldLock="1"/>
      </w:r>
      <w:r w:rsidR="001C3948">
        <w:instrText>ADDIN CSL_CITATION {"citationItems":[{"id":"ITEM-1","itemData":{"DOI":"10.1111/brv.12385","ISSN":"1469185X","PMID":"29160024","abstract":"Applying scientific knowledge to confront societal challenges is a difficult task, an issue known as the science–practice gap. In Ecology and Conservation, scientific evidence has been seldom used directly to support decision-making, despite calls for an increasing role of ecological science in developing solutions for a sustainable future. To date, multiple causes of the science–practice gap and diverse approaches to link science and practice in Ecology and Conservation have been proposed. To foster a transparent debate and broaden our understanding of the difficulties of using scientific knowledge, we reviewed the perceived causes of the science–practice gap, aiming to: (i) identify the perspectives of ecologists and conservation scientists on this problem, (ii) evaluate the predominance of these perspectives over time and across journals, and (iii) assess them in light of disciplines studying the role of science in decision-making. We based our review on 1563 sentences describing causes of the science–practice gap extracted from 122 articles and on discussions with eight scientists on how to classify these sentences. The resulting process-based framework describes three distinct perspectives on the relevant processes, knowledge and actors in the science–practice interface. The most common perspective assumes only scientific knowledge should support practice, perceiving a one-way knowledge flow from science to practice and recognizing flaws in knowledge generation, communication, and/or use. The second assumes that both scientists and decision-makers should contribute to support practice, perceiving a two-way knowledge flow between science and practice through joint knowledge-production/integration processes, which, for several reasons, are perceived to occur infrequently. The last perspective was very rare, and assumes scientists should put their results into practice, but they rarely do. Some causes (e.g. cultural differences between scientists and decision-makers) are shared with other disciplines, while others seem specific to Ecology and Conservation (e.g. inadequate research scales). All identified causes require one of three general types of solutions, depending on whether the causal factor can (e.g. inadequate research questions) or cannot (e.g. scientific uncertainty) be changed, or if misconceptions (e.g. undervaluing abstract knowledge) should be solved. The unchanged predominance of the one-way perspective over time may be associated with …","author":[{"dropping-particle":"","family":"Bertuol-Garcia","given":"Diana","non-dropping-particle":"","parse-names":false,"suffix":""},{"dropping-particle":"","family":"Morsello","given":"Carla","non-dropping-particle":"","parse-names":false,"suffix":""},{"dropping-particle":"","family":"El-Hani","given":"Charbel N.","non-dropping-particle":"","parse-names":false,"suffix":""},{"dropping-particle":"","family":"Pardini","given":"Renata","non-dropping-particle":"","parse-names":false,"suffix":""}],"container-title":"Biological Reviews","id":"ITEM-1","issue":"2","issued":{"date-parts":[["2018"]]},"page":"1032-1055","title":"A conceptual framework for understanding the perspectives on the causes of the science–practice gap in ecology and conservation","type":"article-journal","volume":"93"},"uris":["http://www.mendeley.com/documents/?uuid=fa569c6d-d667-4a90-9d84-7b0ba9c8c25c"]}],"mendeley":{"formattedCitation":"(Bertuol-Garcia &lt;i&gt;et al.&lt;/i&gt;, 2018)","plainTextFormattedCitation":"(Bertuol-Garcia et al., 2018)","previouslyFormattedCitation":"(Bertuol-Garcia &lt;i&gt;et al.&lt;/i&gt;, 2018)"},"properties":{"noteIndex":0},"schema":"https://github.com/citation-style-language/schema/raw/master/csl-citation.json"}</w:instrText>
      </w:r>
      <w:r w:rsidR="00654DCA">
        <w:fldChar w:fldCharType="separate"/>
      </w:r>
      <w:r w:rsidR="00636F5B" w:rsidRPr="00636F5B">
        <w:rPr>
          <w:noProof/>
        </w:rPr>
        <w:t xml:space="preserve">(Bertuol-Garcia </w:t>
      </w:r>
      <w:r w:rsidR="00636F5B" w:rsidRPr="00636F5B">
        <w:rPr>
          <w:i/>
          <w:noProof/>
        </w:rPr>
        <w:t>et al.</w:t>
      </w:r>
      <w:r w:rsidR="00636F5B" w:rsidRPr="00636F5B">
        <w:rPr>
          <w:noProof/>
        </w:rPr>
        <w:t>, 2018)</w:t>
      </w:r>
      <w:r w:rsidR="00654DCA">
        <w:fldChar w:fldCharType="end"/>
      </w:r>
      <w:r w:rsidR="00654DCA">
        <w:t xml:space="preserve">. </w:t>
      </w:r>
      <w:r w:rsidR="00841C35">
        <w:t>M</w:t>
      </w:r>
      <w:r w:rsidR="00654DCA">
        <w:t>uch of the literature on how to bridge the so-called science</w:t>
      </w:r>
      <w:r w:rsidR="00984B8C">
        <w:t>-</w:t>
      </w:r>
      <w:r w:rsidR="00654DCA">
        <w:t>policy</w:t>
      </w:r>
      <w:r w:rsidR="00984B8C">
        <w:t xml:space="preserve"> gap</w:t>
      </w:r>
      <w:r w:rsidR="00654DCA">
        <w:t xml:space="preserve"> </w:t>
      </w:r>
      <w:r w:rsidR="00140539">
        <w:t xml:space="preserve">also </w:t>
      </w:r>
      <w:r w:rsidR="00654DCA">
        <w:t xml:space="preserve">stresses the importance of </w:t>
      </w:r>
      <w:r w:rsidR="00654DCA" w:rsidRPr="00D5384A">
        <w:t xml:space="preserve">communication, </w:t>
      </w:r>
      <w:r w:rsidR="00113D61">
        <w:t>dissemination</w:t>
      </w:r>
      <w:r w:rsidR="00654DCA" w:rsidRPr="00D5384A">
        <w:t xml:space="preserve"> and implementation </w:t>
      </w:r>
      <w:r w:rsidR="00654DCA">
        <w:t>once the research</w:t>
      </w:r>
      <w:r w:rsidR="00EF4C40">
        <w:t xml:space="preserve"> is </w:t>
      </w:r>
      <w:r w:rsidR="00654DCA" w:rsidRPr="00D5384A">
        <w:t>done</w:t>
      </w:r>
      <w:r w:rsidR="00654DCA">
        <w:t xml:space="preserve"> </w:t>
      </w:r>
      <w:r w:rsidR="00654DCA">
        <w:fldChar w:fldCharType="begin" w:fldLock="1"/>
      </w:r>
      <w:r w:rsidR="001C3948">
        <w:instrText>ADDIN CSL_CITATION {"citationItems":[{"id":"ITEM-1","itemData":{"DOI":"10.5751/ES-08409-210228","ISSN":"17083087","abstract":"Researchers studying processes of global environmental change are increasingly interested in their work having impacts that go beyond academia to influence policy and management. Recent scholarship in the conservation sciences has pointed to the existence of a research-action gap and has proposed various solutions for overcoming it. However, most of these studies have been limited to the spaces of dissemination, where the science has already been done and is then to be passed over to users of the information. Much less attention has been paid to encounters that occur between scientists and nonscientists during the practice of doing scientific research, especially in situations that include everyday roles of labor and styles of communication (i.e., fieldwork). This paper builds on theories of contact that have examined encounters and relations between different groups and cultures in diverse settings. I use quantitative and qualitative evidence from Madidi National Park, Bolivia, including an analysis of past research in the protected area, as well as interviews (N = 137) and workshops and focus groups (N = 12) with local inhabitants, scientists, and park guards. The study demonstrates the significance of currently unacknowledged or undervalued components of the research-action gap, such as power, respect, and recognition, to develop a relational and reciprocal notion of impact. I explain why, within such spaces of encounter or misencounter between scientists and local people, knowledge can be exchanged or hidden away, worldviews can be expanded or further entrenched, and scientific research can be welcomed or rejected.","author":[{"dropping-particle":"","family":"Toomey","given":"Anne H.","non-dropping-particle":"","parse-names":false,"suffix":""}],"container-title":"Ecology and Society","id":"ITEM-1","issue":"2","issued":{"date-parts":[["2016"]]},"note":"* Definitions:\n- Contact zone = the space of imperial encounters in which peoples on different sides of the colonial equation come into contact with each other and establish ongoing relations, usually involving conditions of coercian, radical inequality and intractable conflict.\n\n* Research question:\nWhat kind of spaces exist when scientists carry out research? \n\n* Main points:\n- Recent trends in academia incentivise science to have greater relevance to society. Recent scholarship on the question of why not more science is taken up in policy making focuses on there being a &amp;quot;research-implementation&amp;quot; gap as a result of lack in communication, dissemination and implementation.\n- Some researchers have begun to question the language of the gap, as it implies that there is a void needing to be filles or a divide to be bridges and it does not adequately recognise the capacities, value conflicts and complex relations that already exist in the various spaces and places in which scientists and the public interact.\n- Spaces of local involvement in research\n(1) Spaces of arriving and getting permission: scientists may not consider themselves among the powerful, but locals may fear being exploited by scientists. Scientists may also not be aware of the long history that locals have with other researchers who may have neglected to keep their promises.\n(2) Spaces in the field - local labour: many scientists take shortcuts and limit their interactions with local people or those in the community who have less of a voice. This may lead to a re-inforcing cycle in which those who have more power may interact with researchers and get chosen again. Locals may also not understand what doing research means.\n(3) Spaces of knowledge exchange: many scientists regard their knowledge as superior to that held by those who live or work in a given region. Sometimes locals may refuse to collaborate with scientists. \n(4) Spaces of relevance: there are questions for whom scientific information is relevant.\n(5) Spaces of friendship: relations of friendship between researchers and locals could be seen as representing spaces of hope, based on the idea that it is in such interpersonal (although complex) interactions where ethical relationships can find their feet.\n(6) Spaces of analysis and acknowledgement: among locals there is a lot of resentment about who gets credit in the process of research.\n- We need to shift our focus away from the the dissemination stage and toward forms of scientific impact that are often not anticipated or intended because of the complex relations that occur in the field.\n- Researchers need to think about their impact in the field before they even enter. They also need to read about the social, cultural and political context of the region.","page":"1-19","title":"What happens at the gap between knowledge and practice? Spaces of encounter and misencounter between environmental scientists and local people","type":"article-journal","volume":"21"},"uris":["http://www.mendeley.com/documents/?uuid=97cded43-72f9-450f-8158-90d4eb8da3b9"]}],"mendeley":{"formattedCitation":"(Toomey, 2016)","plainTextFormattedCitation":"(Toomey, 2016)","previouslyFormattedCitation":"(Toomey, 2016)"},"properties":{"noteIndex":0},"schema":"https://github.com/citation-style-language/schema/raw/master/csl-citation.json"}</w:instrText>
      </w:r>
      <w:r w:rsidR="00654DCA">
        <w:fldChar w:fldCharType="separate"/>
      </w:r>
      <w:r w:rsidR="00636F5B" w:rsidRPr="00636F5B">
        <w:rPr>
          <w:noProof/>
        </w:rPr>
        <w:t>(Toomey, 2016)</w:t>
      </w:r>
      <w:r w:rsidR="00654DCA">
        <w:fldChar w:fldCharType="end"/>
      </w:r>
      <w:r w:rsidR="00654DCA">
        <w:t>.</w:t>
      </w:r>
      <w:r w:rsidR="00F02DAD" w:rsidRPr="00F02DAD">
        <w:t xml:space="preserve"> </w:t>
      </w:r>
      <w:r w:rsidR="00F02DAD">
        <w:t>However, some have begun to question the supposedly linear relationship between science and society, arguing that it does not adequately recognise the complex interactions that exist in the spaces and places in which research takes place</w:t>
      </w:r>
      <w:r w:rsidR="000E447C">
        <w:t>, especially when the research is field-based</w:t>
      </w:r>
      <w:r w:rsidR="00F02DAD">
        <w:t xml:space="preserve"> </w:t>
      </w:r>
      <w:r w:rsidR="00F02DAD">
        <w:fldChar w:fldCharType="begin" w:fldLock="1"/>
      </w:r>
      <w:r w:rsidR="001C3948">
        <w:instrText>ADDIN CSL_CITATION {"citationItems":[{"id":"ITEM-1","itemData":{"DOI":"10.5751/ES-07188-200114","ISSN":"17083087","abstract":"Tackling major environmental change issues requires effective partnerships between science and governance, but relatively little work in this area has examined the diversity of settings from which such partnerships may, or may not, emerge. In this special feature we draw on experiences from around the world to demonstrate and investigate the consequences of diverse capacities and capabilities in bringing science and governance together. We propose the concept of coproductive capacities as a useful new lens through which to examine these relations. Coproductive capacity is “the combination of scientific resources and governance capability that shapes the extent to which a society, at various levels, can operationalize relationships between scientific and public, private, and civil society institutions and actors to effect scientifically-informed social change.” This recasts the relationships between science and society from notions of “gaps” to notions of interconnectedness and interplay (coproduction); alongside the societal foundations that shape what is or is not possible in that dynamic connection (capacities). The articles in this special feature apply this concept to reveal social, political, and institutional conditions that both support and inhibit high-quality environmental governance as global issues are tackled in particular places. Across these articles we suggest that five themes emerge as important to understanding coproductive capacity: history, experience, and perceptions; quality of relationships (especially in suboptimal settings); disjunct across scales; power, interests, and legitimacy; and alternative pathways for environmental governance. Taking a coproductive capacities perspective can help us identify which interventions may best enable scientifically informed, but locally sensitive approaches to environmental governance.","author":[{"dropping-particle":"","family":"Kerkhoff","given":"Lorrae E.","non-dropping-particle":"van","parse-names":false,"suffix":""},{"dropping-particle":"","family":"Lebel","given":"Louis","non-dropping-particle":"","parse-names":false,"suffix":""}],"container-title":"Ecology and Society","id":"ITEM-1","issue":"1","issued":{"date-parts":[["2015"]]},"note":"* Definitions:\n- Capacity = the ability to perform functions, solve problems and set and achieve objectives.\n- Coproductive capacity = combination of scientific resources and governance capability that shapes the extent to which a society, at various levels, can opertaionalise relationships between scientific and public, private and civil institutions and actors to effect scientifically informed social change.\n\n* Research question\nSeek to identify concepts and approaches that can draw fruitful connections between the universality of scientifically constructed global concerns, the ambiguity of bureaucratic power and the necessary diversity and social embeddedness of localised responses.\n\n* Main points:\n- There is widespread concern over persistent inaction on pressing environmental issues.\n- This has generated substantial interest in the complex relationships between science and policy, politics and society.\n- Much of the analyses in this area has become embedded in the mantra of the science-policy-gap and fails to address the diversity of challenges and opportunities that constructing and supporting these relationships entails.\n- Social experiences and cultural preconceptions of science and government have historical roots, and they can influence present day willingness to engage in coproduction processes.\n- Building coproductive capacity requires processes of engagement that can support and trust and commitment to improving sicence-governance relationships with the associated resources, time as well as funding to do so.\n- Efforts to understand and facilitate coproductive capacity need to look across scales to identify important constraints or opportunities where productive relationships at one scale cannot be assumed to translate to different scales of organisation or action.","page":"1-6","title":"Coproductive capacities: rethinking science-governance relations in a diverse world","type":"article-journal","volume":"20"},"uris":["http://www.mendeley.com/documents/?uuid=6ad36f03-251a-4b01-aece-68c3a2693f2e"]}],"mendeley":{"formattedCitation":"(van Kerkhoff and Lebel, 2015)","plainTextFormattedCitation":"(van Kerkhoff and Lebel, 2015)","previouslyFormattedCitation":"(van Kerkhoff and Lebel, 2015)"},"properties":{"noteIndex":0},"schema":"https://github.com/citation-style-language/schema/raw/master/csl-citation.json"}</w:instrText>
      </w:r>
      <w:r w:rsidR="00F02DAD">
        <w:fldChar w:fldCharType="separate"/>
      </w:r>
      <w:r w:rsidR="00636F5B" w:rsidRPr="00636F5B">
        <w:rPr>
          <w:noProof/>
        </w:rPr>
        <w:t>(van Kerkhoff and Lebel, 2015)</w:t>
      </w:r>
      <w:r w:rsidR="00F02DAD">
        <w:fldChar w:fldCharType="end"/>
      </w:r>
      <w:r w:rsidR="00F02DAD">
        <w:t xml:space="preserve">. </w:t>
      </w:r>
      <w:r w:rsidR="00D861F2">
        <w:t xml:space="preserve">For example, </w:t>
      </w:r>
      <w:proofErr w:type="spellStart"/>
      <w:r w:rsidR="00D861F2">
        <w:t>Hakkarainen</w:t>
      </w:r>
      <w:proofErr w:type="spellEnd"/>
      <w:r w:rsidR="00D861F2">
        <w:t xml:space="preserve"> </w:t>
      </w:r>
      <w:r w:rsidR="00D861F2" w:rsidRPr="00877426">
        <w:rPr>
          <w:i/>
        </w:rPr>
        <w:t xml:space="preserve">et al. </w:t>
      </w:r>
      <w:r w:rsidR="00D861F2">
        <w:fldChar w:fldCharType="begin" w:fldLock="1"/>
      </w:r>
      <w:r w:rsidR="001C3948">
        <w:instrText>ADDIN CSL_CITATION {"citationItems":[{"id":"ITEM-1","itemData":{"DOI":"10.1007/s11625-019-00750-4","ISBN":"0123456789","ISSN":"18624057","abstract":"Sustainability science has increasingly adopted more action-oriented approaches in an attempt to mobilise and implement a broad knowledge base to sustain human wellbeing and promote sustainable development. There is an increasing recognition of the importance of knowledge exchange (KE) between scientists and end users of research for enhancing social, environmental and economic impacts of research. Here, we explore the process of KE through close observation of two cases of KE between external PhD researchers and local actors in small-scale fisheries at the community level in Zanzibar, Tanzania. First, we address context by examining perceptions of research held by actors at community level and patterns of interactions and flows of benefits between external researchers and local actors including fisheries managers, local research institute as well as fishers and traders. Second, we unpack experiences of actors engaged in the cases of KE. The study draws attention to KE processes in the Global South and actors outside decision-making processes in fisheries management. The study concludes that as KE is a complex and dynamic process and that (i) history and relationships between actors shape the outcomes of KE, (ii) KE includes more than knowledge-based processes and outcomes because multiple incentives of different actors shape KE and how it is experiences and (iii) knowledge-based outcomes of KE are complex and unpredictable as different actors create their own meaning from shared information. The results exemplify the inevitably complex and unpredictable nature of KE processes and their outcomes, and provide insight into how KE can contribute to science–society relationships.","author":[{"dropping-particle":"","family":"Hakkarainen","given":"Viola","non-dropping-particle":"","parse-names":false,"suffix":""},{"dropping-particle":"","family":"Daw","given":"Tim M.","non-dropping-particle":"","parse-names":false,"suffix":""},{"dropping-particle":"","family":"Tengö","given":"Maria","non-dropping-particle":"","parse-names":false,"suffix":""}],"container-title":"Sustainability Science","id":"ITEM-1","issued":{"date-parts":[["2019"]]},"page":"281-295","title":"On the other end of research: exploring community-level knowledge exchanges in small-scale fisheries in Zanzibar","type":"article-journal","volume":"15"},"suppress-author":1,"uris":["http://www.mendeley.com/documents/?uuid=5711d623-65ba-45b2-9b3f-93dbd7c52810"]}],"mendeley":{"formattedCitation":"(2019)","plainTextFormattedCitation":"(2019)","previouslyFormattedCitation":"(2019)"},"properties":{"noteIndex":0},"schema":"https://github.com/citation-style-language/schema/raw/master/csl-citation.json"}</w:instrText>
      </w:r>
      <w:r w:rsidR="00D861F2">
        <w:fldChar w:fldCharType="separate"/>
      </w:r>
      <w:r w:rsidR="00636F5B" w:rsidRPr="00636F5B">
        <w:rPr>
          <w:noProof/>
        </w:rPr>
        <w:t>(2019)</w:t>
      </w:r>
      <w:r w:rsidR="00D861F2">
        <w:fldChar w:fldCharType="end"/>
      </w:r>
      <w:r w:rsidR="00D861F2">
        <w:t xml:space="preserve"> describe how local fishermen thought of ways of making their fishing business more profitable, </w:t>
      </w:r>
      <w:r w:rsidR="00E95926">
        <w:t xml:space="preserve">based on information collected by a researcher, </w:t>
      </w:r>
      <w:r w:rsidR="00D861F2">
        <w:t>despite the researcher not intending to give advice about this.</w:t>
      </w:r>
      <w:r w:rsidR="005476B2">
        <w:t xml:space="preserve"> Ideas of linear knowledge transfer are increasingly replaced by more complex understanding of knowledge exchange in which research is embedded in society</w:t>
      </w:r>
      <w:r w:rsidR="00B31238">
        <w:t>,</w:t>
      </w:r>
      <w:r w:rsidR="005476B2">
        <w:t xml:space="preserve"> and </w:t>
      </w:r>
      <w:r w:rsidR="00B31238">
        <w:lastRenderedPageBreak/>
        <w:t>has</w:t>
      </w:r>
      <w:r w:rsidR="005476B2">
        <w:t xml:space="preserve"> impact not only upon</w:t>
      </w:r>
      <w:r w:rsidR="00DA2740">
        <w:t xml:space="preserve"> its</w:t>
      </w:r>
      <w:r w:rsidR="005476B2">
        <w:t xml:space="preserve"> compl</w:t>
      </w:r>
      <w:r w:rsidR="00E104A9">
        <w:t xml:space="preserve">etion </w:t>
      </w:r>
      <w:r w:rsidR="005476B2">
        <w:t xml:space="preserve">but also during the research process </w:t>
      </w:r>
      <w:r w:rsidR="005476B2">
        <w:fldChar w:fldCharType="begin" w:fldLock="1"/>
      </w:r>
      <w:r w:rsidR="001C3948">
        <w:instrText>ADDIN CSL_CITATION {"citationItems":[{"id":"ITEM-1","itemData":{"DOI":"10.1111/conl.12315","ISSN":"1755263X","abstract":"Recent scholarship in conservation biology has pointed to the existence of a “research-implementation” gap and has proposed various solutions for overcoming it. Some of these solutions, such as evidence-based conservation, are based on the assumption that the gap exists primarily because of a communication problem in getting reliable and needed technical information to decision makers. First, we identify conceptual weaknesses with this framing, supporting our arguments with decades of research in other fields of study. We then reconceptualize the gap as a series of crucial, productive spaces in which shared interests, value conflicts, and complex relations between scientists and publics can interact. Whereas synonyms for “gap” include words such as “chasm,” “rift,” or “breach,” the word “space” is connected with words such as “arena,” “capacity,” and “place” and points to who and what already exists in a specific context. Finally, we offer ways forward for applying this new understanding in practice.","author":[{"dropping-particle":"","family":"Toomey","given":"Anne H.","non-dropping-particle":"","parse-names":false,"suffix":""},{"dropping-particle":"","family":"Knight","given":"Andrew T.","non-dropping-particle":"","parse-names":false,"suffix":""},{"dropping-particle":"","family":"Barlow","given":"Jos","non-dropping-particle":"","parse-names":false,"suffix":""}],"container-title":"Conservation Letters","id":"ITEM-1","issue":"5","issued":{"date-parts":[["2017"]]},"note":"* Research question\nIs viewing the reearch-implementation gap as linear helpful at all?\n\n* Main points\n- Within conservation there is often a belief that the world faces environmental problems which are best addressed by a group of experts providing evidence-based solutions to decision makers. This conceptualisation frames the relationship between research and practice as linear.\n- Decades of science studies scholarship has demonstrated that facts are not perceived in the same way by different publics but are filtered through existing beliefs, mental models, experiences and concerns. Effective decision-makng is based upon clear understandings of values, knowledge, rules, behaviours and actions, and the complex interactions between them.\n- We need to envision impact as an ongoing emergent property of human-managed systems, one that manifests not only upon the completion of research but also throughout the social and policy process within which useful research is engaged and embedded.\n- It would be more useful to describe the research information action as a &amp;quot;space&amp;quot; than a &amp;quot;gap&amp;quot; because it points to whom and what already exist in a specific context.\n- The extent to which local values, knowledge, and behaviours are acknowledged, understood and given due recognition during the process of conducting research can have great bearing on whether or not the results of such research are accepted or rejected in a given political or cultural context.\n- Research scientists can broaden their role by identifying conservation challenges with stakeholders and collaboratively developing research plans, departments can train students to seek out, understand, integrate and apply different types of knowledge, universities can partner with community-based organisations, NGOs and other stakeholder groups, and there is a need for deep self-reflection.","page":"619-625","title":"Navigating the space between research and implementation in conservation","type":"article-journal","volume":"10"},"uris":["http://www.mendeley.com/documents/?uuid=b5e1104e-f2ad-48d9-84f5-1e01a0bbcbc1"]}],"mendeley":{"formattedCitation":"(Toomey, Knight and Barlow, 2017)","plainTextFormattedCitation":"(Toomey, Knight and Barlow, 2017)","previouslyFormattedCitation":"(Toomey, Knight and Barlow, 2017)"},"properties":{"noteIndex":0},"schema":"https://github.com/citation-style-language/schema/raw/master/csl-citation.json"}</w:instrText>
      </w:r>
      <w:r w:rsidR="005476B2">
        <w:fldChar w:fldCharType="separate"/>
      </w:r>
      <w:r w:rsidR="00636F5B" w:rsidRPr="00636F5B">
        <w:rPr>
          <w:noProof/>
        </w:rPr>
        <w:t>(Toomey, Knight and Barlow, 2017)</w:t>
      </w:r>
      <w:r w:rsidR="005476B2">
        <w:fldChar w:fldCharType="end"/>
      </w:r>
      <w:r w:rsidR="005476B2">
        <w:t>.</w:t>
      </w:r>
    </w:p>
    <w:p w14:paraId="4CE24899" w14:textId="44F70FEE" w:rsidR="00DA5249" w:rsidRDefault="00DA5249" w:rsidP="00F02DAD">
      <w:pPr>
        <w:pStyle w:val="NoSpacing"/>
        <w:ind w:firstLine="720"/>
      </w:pPr>
      <w:r>
        <w:t xml:space="preserve">There are very few studies that </w:t>
      </w:r>
      <w:r w:rsidR="001A3E66">
        <w:t xml:space="preserve">quantify the real-time effects of an agroecological research project on the community in which it takes place </w:t>
      </w:r>
      <w:r>
        <w:fldChar w:fldCharType="begin" w:fldLock="1"/>
      </w:r>
      <w:r w:rsidR="001C3948">
        <w:instrText>ADDIN CSL_CITATION {"citationItems":[{"id":"ITEM-1","itemData":{"DOI":"10.5751/ES-08409-210228","ISSN":"17083087","abstract":"Researchers studying processes of global environmental change are increasingly interested in their work having impacts that go beyond academia to influence policy and management. Recent scholarship in the conservation sciences has pointed to the existence of a research-action gap and has proposed various solutions for overcoming it. However, most of these studies have been limited to the spaces of dissemination, where the science has already been done and is then to be passed over to users of the information. Much less attention has been paid to encounters that occur between scientists and nonscientists during the practice of doing scientific research, especially in situations that include everyday roles of labor and styles of communication (i.e., fieldwork). This paper builds on theories of contact that have examined encounters and relations between different groups and cultures in diverse settings. I use quantitative and qualitative evidence from Madidi National Park, Bolivia, including an analysis of past research in the protected area, as well as interviews (N = 137) and workshops and focus groups (N = 12) with local inhabitants, scientists, and park guards. The study demonstrates the significance of currently unacknowledged or undervalued components of the research-action gap, such as power, respect, and recognition, to develop a relational and reciprocal notion of impact. I explain why, within such spaces of encounter or misencounter between scientists and local people, knowledge can be exchanged or hidden away, worldviews can be expanded or further entrenched, and scientific research can be welcomed or rejected.","author":[{"dropping-particle":"","family":"Toomey","given":"Anne H.","non-dropping-particle":"","parse-names":false,"suffix":""}],"container-title":"Ecology and Society","id":"ITEM-1","issue":"2","issued":{"date-parts":[["2016"]]},"note":"* Definitions:\n- Contact zone = the space of imperial encounters in which peoples on different sides of the colonial equation come into contact with each other and establish ongoing relations, usually involving conditions of coercian, radical inequality and intractable conflict.\n\n* Research question:\nWhat kind of spaces exist when scientists carry out research? \n\n* Main points:\n- Recent trends in academia incentivise science to have greater relevance to society. Recent scholarship on the question of why not more science is taken up in policy making focuses on there being a &amp;quot;research-implementation&amp;quot; gap as a result of lack in communication, dissemination and implementation.\n- Some researchers have begun to question the language of the gap, as it implies that there is a void needing to be filles or a divide to be bridges and it does not adequately recognise the capacities, value conflicts and complex relations that already exist in the various spaces and places in which scientists and the public interact.\n- Spaces of local involvement in research\n(1) Spaces of arriving and getting permission: scientists may not consider themselves among the powerful, but locals may fear being exploited by scientists. Scientists may also not be aware of the long history that locals have with other researchers who may have neglected to keep their promises.\n(2) Spaces in the field - local labour: many scientists take shortcuts and limit their interactions with local people or those in the community who have less of a voice. This may lead to a re-inforcing cycle in which those who have more power may interact with researchers and get chosen again. Locals may also not understand what doing research means.\n(3) Spaces of knowledge exchange: many scientists regard their knowledge as superior to that held by those who live or work in a given region. Sometimes locals may refuse to collaborate with scientists. \n(4) Spaces of relevance: there are questions for whom scientific information is relevant.\n(5) Spaces of friendship: relations of friendship between researchers and locals could be seen as representing spaces of hope, based on the idea that it is in such interpersonal (although complex) interactions where ethical relationships can find their feet.\n(6) Spaces of analysis and acknowledgement: among locals there is a lot of resentment about who gets credit in the process of research.\n- We need to shift our focus away from the the dissemination stage and toward forms of scientific impact that are often not anticipated or intended because of the complex relations that occur in the field.\n- Researchers need to think about their impact in the field before they even enter. They also need to read about the social, cultural and political context of the region.","page":"1-19","title":"What happens at the gap between knowledge and practice? Spaces of encounter and misencounter between environmental scientists and local people","type":"article-journal","volume":"21"},"uris":["http://www.mendeley.com/documents/?uuid=97cded43-72f9-450f-8158-90d4eb8da3b9"]}],"mendeley":{"formattedCitation":"(Toomey, 2016)","plainTextFormattedCitation":"(Toomey, 2016)","previouslyFormattedCitation":"(Toomey, 2016)"},"properties":{"noteIndex":0},"schema":"https://github.com/citation-style-language/schema/raw/master/csl-citation.json"}</w:instrText>
      </w:r>
      <w:r>
        <w:fldChar w:fldCharType="separate"/>
      </w:r>
      <w:r w:rsidR="00636F5B" w:rsidRPr="00636F5B">
        <w:rPr>
          <w:noProof/>
        </w:rPr>
        <w:t>(Toomey, 2016)</w:t>
      </w:r>
      <w:r>
        <w:fldChar w:fldCharType="end"/>
      </w:r>
      <w:r>
        <w:t xml:space="preserve">. It is, however, important to better understand the impacts of the scientific process, as it can </w:t>
      </w:r>
      <w:r w:rsidR="00984B8C">
        <w:t xml:space="preserve">affect </w:t>
      </w:r>
      <w:r>
        <w:t xml:space="preserve">the lives of local people </w:t>
      </w:r>
      <w:r>
        <w:fldChar w:fldCharType="begin" w:fldLock="1"/>
      </w:r>
      <w:r w:rsidR="001C3948">
        <w:instrText>ADDIN CSL_CITATION {"citationItems":[{"id":"ITEM-1","itemData":{"DOI":"10.1016/j.jdeveco.2018.01.009","ISSN":"03043878","abstract":"Social networks are an important mechanism for diffusing information when institutions are missing, but there may be distributional consequences from targeting only central nodes in a network. After implementing a social network census, one of three village-level treatments determined which treated nodes in the village received information about composting: random assignment, nodes with the highest degree, or nodes with high betweenness. We then look at how information diffuses through the network. We find information diffusion declines with social distance, suggesting frictions in the diffusion of information. Aggregate knowledge about the technology did not differ across targeting strategies, but targeting nodes using betweenness measures in village-level networks excludes less-connected nodes from new information. Women farmers are less likely to receive information when betweenness centrality is used in targeting, suggesting there are important gender differences, not only in the relationship between social distance and diffusion, but also in the social learning process.","author":[{"dropping-particle":"","family":"Beaman","given":"Lori A.","non-dropping-particle":"","parse-names":false,"suffix":""},{"dropping-particle":"","family":"Dillon","given":"Andrew","non-dropping-particle":"","parse-names":false,"suffix":""}],"container-title":"Journal of Development Economics","id":"ITEM-1","issued":{"date-parts":[["2018"]]},"page":"147-161","title":"Diffusion of agricultural information within social networks: evidence on gender inequalities from Mali","type":"article-journal","volume":"133"},"uris":["http://www.mendeley.com/documents/?uuid=2b1f04a2-9203-449a-8e0b-ba7d2bc9a3c6"]},{"id":"ITEM-2","itemData":{"DOI":"10.1111/cobi.13464","ISSN":"15231739","PMID":"31953971","abstract":"Social science is becoming increasingly important in conservation, with more studies involving methodologies that collect data from and about people. Conservation science is a normative and applied discipline designed to support and inform management and practice. Poor research practice risks harming participants and, researchers, and can leave negative legacies. Often, those at the forefront of field-based research are early-career researchers, many of whom enter their first research experience ill-prepared for the ethical conundrums they may face. We draw on our own experiences as early-career researchers to illuminate how ethical challenges arise during conservation research that involves human participants. Specifically, we considered ethical review procedures, conflicts of values, and power relations, and devised broad recommendations on how to navigate ethical challenges when they arise during research. In particular, we recommend researchers apply reflexivity (i.e., thinking that allows researchers to recognize the effect researchers have on the research) to help navigate ethical challenges and encourage greater engagement with ethical review processes and the development of ethical guidelines for conservation research that involves human participants. Such guidelines must be accompanied by the integration of rigorous ethical training into conservation education. We believe our experiences are not uncommon and can be avoided and hope to spark discussion to contribute to a more socially just conservation.","author":[{"dropping-particle":"","family":"Brittain","given":"Stephanie","non-dropping-particle":"","parse-names":false,"suffix":""},{"dropping-particle":"","family":"Ibbett","given":"Harriet","non-dropping-particle":"","parse-names":false,"suffix":""},{"dropping-particle":"","family":"Lange","given":"Emiel","non-dropping-particle":"de","parse-names":false,"suffix":""},{"dropping-particle":"","family":"Dorward","given":"Leejiah","non-dropping-particle":"","parse-names":false,"suffix":""},{"dropping-particle":"","family":"Hoyte","given":"Simon","non-dropping-particle":"","parse-names":false,"suffix":""},{"dropping-particle":"","family":"Marino","given":"Agnese","non-dropping-particle":"","parse-names":false,"suffix":""},{"dropping-particle":"","family":"Milner-Gulland","given":"E. J.","non-dropping-particle":"","parse-names":false,"suffix":""},{"dropping-particle":"","family":"Newth","given":"Julia","non-dropping-particle":"","parse-names":false,"suffix":""},{"dropping-particle":"","family":"Rakotonarivo","given":"Sarobidy","non-dropping-particle":"","parse-names":false,"suffix":""},{"dropping-particle":"","family":"Veríssimo","given":"Diogo","non-dropping-particle":"","parse-names":false,"suffix":""},{"dropping-particle":"","family":"Lewis","given":"Jerome","non-dropping-particle":"","parse-names":false,"suffix":""}],"container-title":"Conservation Biology","id":"ITEM-2","issue":"4","issued":{"date-parts":[["2020"]]},"page":"925-933","title":"Ethical considerations when conservation research involves people","type":"article-journal","volume":"34"},"uris":["http://www.mendeley.com/documents/?uuid=0e777662-d73e-42cd-8839-bba104416d9d"]}],"mendeley":{"formattedCitation":"(Beaman and Dillon, 2018; Brittain &lt;i&gt;et al.&lt;/i&gt;, 2020)","plainTextFormattedCitation":"(Beaman and Dillon, 2018; Brittain et al., 2020)","previouslyFormattedCitation":"(Beaman and Dillon, 2018; Brittain &lt;i&gt;et al.&lt;/i&gt;, 2020)"},"properties":{"noteIndex":0},"schema":"https://github.com/citation-style-language/schema/raw/master/csl-citation.json"}</w:instrText>
      </w:r>
      <w:r>
        <w:fldChar w:fldCharType="separate"/>
      </w:r>
      <w:r w:rsidR="00636F5B" w:rsidRPr="00636F5B">
        <w:rPr>
          <w:noProof/>
        </w:rPr>
        <w:t xml:space="preserve">(Beaman and Dillon, 2018; Brittain </w:t>
      </w:r>
      <w:r w:rsidR="00636F5B" w:rsidRPr="00636F5B">
        <w:rPr>
          <w:i/>
          <w:noProof/>
        </w:rPr>
        <w:t>et al.</w:t>
      </w:r>
      <w:r w:rsidR="00636F5B" w:rsidRPr="00636F5B">
        <w:rPr>
          <w:noProof/>
        </w:rPr>
        <w:t>, 2020)</w:t>
      </w:r>
      <w:r>
        <w:fldChar w:fldCharType="end"/>
      </w:r>
      <w:r>
        <w:t xml:space="preserve">, influence the acceptance of research results by local actors </w:t>
      </w:r>
      <w:r>
        <w:fldChar w:fldCharType="begin" w:fldLock="1"/>
      </w:r>
      <w:r w:rsidR="001C3948">
        <w:instrText>ADDIN CSL_CITATION {"citationItems":[{"id":"ITEM-1","itemData":{"DOI":"10.5751/ES-08409-210228","ISSN":"17083087","abstract":"Researchers studying processes of global environmental change are increasingly interested in their work having impacts that go beyond academia to influence policy and management. Recent scholarship in the conservation sciences has pointed to the existence of a research-action gap and has proposed various solutions for overcoming it. However, most of these studies have been limited to the spaces of dissemination, where the science has already been done and is then to be passed over to users of the information. Much less attention has been paid to encounters that occur between scientists and nonscientists during the practice of doing scientific research, especially in situations that include everyday roles of labor and styles of communication (i.e., fieldwork). This paper builds on theories of contact that have examined encounters and relations between different groups and cultures in diverse settings. I use quantitative and qualitative evidence from Madidi National Park, Bolivia, including an analysis of past research in the protected area, as well as interviews (N = 137) and workshops and focus groups (N = 12) with local inhabitants, scientists, and park guards. The study demonstrates the significance of currently unacknowledged or undervalued components of the research-action gap, such as power, respect, and recognition, to develop a relational and reciprocal notion of impact. I explain why, within such spaces of encounter or misencounter between scientists and local people, knowledge can be exchanged or hidden away, worldviews can be expanded or further entrenched, and scientific research can be welcomed or rejected.","author":[{"dropping-particle":"","family":"Toomey","given":"Anne H.","non-dropping-particle":"","parse-names":false,"suffix":""}],"container-title":"Ecology and Society","id":"ITEM-1","issue":"2","issued":{"date-parts":[["2016"]]},"note":"* Definitions:\n- Contact zone = the space of imperial encounters in which peoples on different sides of the colonial equation come into contact with each other and establish ongoing relations, usually involving conditions of coercian, radical inequality and intractable conflict.\n\n* Research question:\nWhat kind of spaces exist when scientists carry out research? \n\n* Main points:\n- Recent trends in academia incentivise science to have greater relevance to society. Recent scholarship on the question of why not more science is taken up in policy making focuses on there being a &amp;quot;research-implementation&amp;quot; gap as a result of lack in communication, dissemination and implementation.\n- Some researchers have begun to question the language of the gap, as it implies that there is a void needing to be filles or a divide to be bridges and it does not adequately recognise the capacities, value conflicts and complex relations that already exist in the various spaces and places in which scientists and the public interact.\n- Spaces of local involvement in research\n(1) Spaces of arriving and getting permission: scientists may not consider themselves among the powerful, but locals may fear being exploited by scientists. Scientists may also not be aware of the long history that locals have with other researchers who may have neglected to keep their promises.\n(2) Spaces in the field - local labour: many scientists take shortcuts and limit their interactions with local people or those in the community who have less of a voice. This may lead to a re-inforcing cycle in which those who have more power may interact with researchers and get chosen again. Locals may also not understand what doing research means.\n(3) Spaces of knowledge exchange: many scientists regard their knowledge as superior to that held by those who live or work in a given region. Sometimes locals may refuse to collaborate with scientists. \n(4) Spaces of relevance: there are questions for whom scientific information is relevant.\n(5) Spaces of friendship: relations of friendship between researchers and locals could be seen as representing spaces of hope, based on the idea that it is in such interpersonal (although complex) interactions where ethical relationships can find their feet.\n(6) Spaces of analysis and acknowledgement: among locals there is a lot of resentment about who gets credit in the process of research.\n- We need to shift our focus away from the the dissemination stage and toward forms of scientific impact that are often not anticipated or intended because of the complex relations that occur in the field.\n- Researchers need to think about their impact in the field before they even enter. They also need to read about the social, cultural and political context of the region.","page":"1-19","title":"What happens at the gap between knowledge and practice? Spaces of encounter and misencounter between environmental scientists and local people","type":"article-journal","volume":"21"},"uris":["http://www.mendeley.com/documents/?uuid=97cded43-72f9-450f-8158-90d4eb8da3b9"]}],"mendeley":{"formattedCitation":"(Toomey, 2016)","plainTextFormattedCitation":"(Toomey, 2016)","previouslyFormattedCitation":"(Toomey, 2016)"},"properties":{"noteIndex":0},"schema":"https://github.com/citation-style-language/schema/raw/master/csl-citation.json"}</w:instrText>
      </w:r>
      <w:r>
        <w:fldChar w:fldCharType="separate"/>
      </w:r>
      <w:r w:rsidR="00636F5B" w:rsidRPr="00636F5B">
        <w:rPr>
          <w:noProof/>
        </w:rPr>
        <w:t>(Toomey, 2016)</w:t>
      </w:r>
      <w:r>
        <w:fldChar w:fldCharType="end"/>
      </w:r>
      <w:r>
        <w:t xml:space="preserve">, and </w:t>
      </w:r>
      <w:r w:rsidR="00E95926">
        <w:t>affect</w:t>
      </w:r>
      <w:r>
        <w:t xml:space="preserve"> the long-term acceptance of research</w:t>
      </w:r>
      <w:r w:rsidR="00633551">
        <w:t xml:space="preserve"> activities</w:t>
      </w:r>
      <w:r>
        <w:t xml:space="preserve"> in a community </w:t>
      </w:r>
      <w:r>
        <w:fldChar w:fldCharType="begin" w:fldLock="1"/>
      </w:r>
      <w:r w:rsidR="001C3948">
        <w:instrText>ADDIN CSL_CITATION {"citationItems":[{"id":"ITEM-1","itemData":{"author":[{"dropping-particle":"","family":"West","given":"Paige","non-dropping-particle":"","parse-names":false,"suffix":""}],"id":"ITEM-1","issued":{"date-parts":[["2006"]]},"publisher":"Duke University Press","publisher-place":"Durham and London","title":"Conservation is our government now: the politics of ecology in Papua New Guinea.","type":"book"},"uris":["http://www.mendeley.com/documents/?uuid=c65eae81-bb36-4d49-9905-a55d21da8326"]}],"mendeley":{"formattedCitation":"(West, 2006)","plainTextFormattedCitation":"(West, 2006)","previouslyFormattedCitation":"(West, 2006)"},"properties":{"noteIndex":0},"schema":"https://github.com/citation-style-language/schema/raw/master/csl-citation.json"}</w:instrText>
      </w:r>
      <w:r>
        <w:fldChar w:fldCharType="separate"/>
      </w:r>
      <w:r w:rsidR="00636F5B" w:rsidRPr="00636F5B">
        <w:rPr>
          <w:noProof/>
        </w:rPr>
        <w:t>(West, 2006)</w:t>
      </w:r>
      <w:r>
        <w:fldChar w:fldCharType="end"/>
      </w:r>
      <w:r>
        <w:t xml:space="preserve">. </w:t>
      </w:r>
      <w:r w:rsidR="00EA73EF">
        <w:t>P</w:t>
      </w:r>
      <w:r>
        <w:t xml:space="preserve">ositive or negative effects of a research project can have far-reaching consequences for local society and </w:t>
      </w:r>
      <w:r w:rsidR="005027D1">
        <w:t xml:space="preserve">the </w:t>
      </w:r>
      <w:r>
        <w:t>environment</w:t>
      </w:r>
      <w:r w:rsidR="00B11092">
        <w:t>,</w:t>
      </w:r>
      <w:r>
        <w:t xml:space="preserve"> and thus need to be understood </w:t>
      </w:r>
      <w:r>
        <w:fldChar w:fldCharType="begin" w:fldLock="1"/>
      </w:r>
      <w:r w:rsidR="001C3948">
        <w:instrText>ADDIN CSL_CITATION {"citationItems":[{"id":"ITEM-1","itemData":{"DOI":"10.1111/j.1744-7429.2009.00559.x","ISSN":"00063606","abstract":"There is a well-acknowledged communication or knowledge gap between scientists and decision-makers. Many scientists who take on the challenge of narrowing this gap operate on the understanding that their role is to communicate their findings in a one-way flow of information: from science to decision-makers. However, to be effective scientists must engage in an ongoing social learning process with decision-makers, and regard themselves as facilitators, and also as one among many stakeholders who have valid and important ecological knowledge. The developing world poses some particular challenges in this regard, specifically in terms of the large number of local level subsistence resources users who are important de facto decision-makers. We examine four natural resource management case studies from South Africa that differ in spatial scale and complexity, ranging from a single village to a whole biome. We distil seven lessons to help guide development of social learning processes and organizations in similar situations relating to natural resource planning and management. The lessons pertain to: maintaining 'key individuals' within social learning processes; the role of researchers; the formulation of research questions that social learning processes require adaptive long-term funding and capacity support; that local resource users are key decision-makers in developing countries; some perspectives on knowledge; and the need to measure research success. © 2009 by The Association for Tropical Biology and Conservation.","author":[{"dropping-particle":"","family":"Shackleton","given":"Charlie M.","non-dropping-particle":"","parse-names":false,"suffix":""},{"dropping-particle":"","family":"Cundill","given":"Georgina","non-dropping-particle":"","parse-names":false,"suffix":""},{"dropping-particle":"","family":"Knight","given":"Andrew T.","non-dropping-particle":"","parse-names":false,"suffix":""}],"container-title":"Biotropica","id":"ITEM-1","issue":"5","issued":{"date-parts":[["2009"]]},"page":"563-570","title":"Beyond just research: experiences from Southern Africa in developing social learning partnerships for resource conservation initiatives","type":"article-journal","volume":"41"},"uris":["http://www.mendeley.com/documents/?uuid=107a7d08-a89b-4682-bca4-819f1cde749e"]}],"mendeley":{"formattedCitation":"(Shackleton, Cundill and Knight, 2009)","plainTextFormattedCitation":"(Shackleton, Cundill and Knight, 2009)","previouslyFormattedCitation":"(Shackleton, Cundill and Knight, 2009)"},"properties":{"noteIndex":0},"schema":"https://github.com/citation-style-language/schema/raw/master/csl-citation.json"}</w:instrText>
      </w:r>
      <w:r>
        <w:fldChar w:fldCharType="separate"/>
      </w:r>
      <w:r w:rsidR="00636F5B" w:rsidRPr="00636F5B">
        <w:rPr>
          <w:noProof/>
        </w:rPr>
        <w:t>(Shackleton, Cundill and Knight, 2009)</w:t>
      </w:r>
      <w:r>
        <w:fldChar w:fldCharType="end"/>
      </w:r>
      <w:r>
        <w:t>.</w:t>
      </w:r>
      <w:r w:rsidR="00D43DA2" w:rsidRPr="00D43DA2">
        <w:t xml:space="preserve"> </w:t>
      </w:r>
      <w:r w:rsidR="00D43DA2">
        <w:t xml:space="preserve">This is especially </w:t>
      </w:r>
      <w:r w:rsidR="00500549">
        <w:t xml:space="preserve">true </w:t>
      </w:r>
      <w:r w:rsidR="00081862">
        <w:t xml:space="preserve">when </w:t>
      </w:r>
      <w:r w:rsidR="00D43DA2">
        <w:t xml:space="preserve">subsistence resource users </w:t>
      </w:r>
      <w:r w:rsidR="00081862">
        <w:t>are involved, because they</w:t>
      </w:r>
      <w:r w:rsidR="00D43DA2">
        <w:t xml:space="preserve"> make important decisions </w:t>
      </w:r>
      <w:r w:rsidR="00194601">
        <w:t>which affect</w:t>
      </w:r>
      <w:r w:rsidR="00984B8C">
        <w:t xml:space="preserve"> </w:t>
      </w:r>
      <w:r w:rsidR="00D43DA2">
        <w:t xml:space="preserve">the dynamics of </w:t>
      </w:r>
      <w:r w:rsidR="00984B8C">
        <w:t>their</w:t>
      </w:r>
      <w:r w:rsidR="00D43DA2">
        <w:t xml:space="preserve"> </w:t>
      </w:r>
      <w:r w:rsidR="00984B8C">
        <w:t xml:space="preserve">natural </w:t>
      </w:r>
      <w:r w:rsidR="00D43DA2">
        <w:t>resources</w:t>
      </w:r>
      <w:r w:rsidR="00D06E9E">
        <w:t xml:space="preserve"> </w:t>
      </w:r>
      <w:r w:rsidR="00A04D35">
        <w:t>and have</w:t>
      </w:r>
      <w:r w:rsidR="00D06E9E">
        <w:t xml:space="preserve"> consequences for their own food security and biodiversity conservation</w:t>
      </w:r>
      <w:r w:rsidR="00647CA7">
        <w:t xml:space="preserve"> </w:t>
      </w:r>
      <w:r w:rsidR="00647CA7">
        <w:fldChar w:fldCharType="begin" w:fldLock="1"/>
      </w:r>
      <w:r w:rsidR="001C3948">
        <w:instrText>ADDIN CSL_CITATION {"citationItems":[{"id":"ITEM-1","itemData":{"DOI":"10.1111/j.1744-7429.2009.00559.x","ISSN":"00063606","abstract":"There is a well-acknowledged communication or knowledge gap between scientists and decision-makers. Many scientists who take on the challenge of narrowing this gap operate on the understanding that their role is to communicate their findings in a one-way flow of information: from science to decision-makers. However, to be effective scientists must engage in an ongoing social learning process with decision-makers, and regard themselves as facilitators, and also as one among many stakeholders who have valid and important ecological knowledge. The developing world poses some particular challenges in this regard, specifically in terms of the large number of local level subsistence resources users who are important de facto decision-makers. We examine four natural resource management case studies from South Africa that differ in spatial scale and complexity, ranging from a single village to a whole biome. We distil seven lessons to help guide development of social learning processes and organizations in similar situations relating to natural resource planning and management. The lessons pertain to: maintaining 'key individuals' within social learning processes; the role of researchers; the formulation of research questions that social learning processes require adaptive long-term funding and capacity support; that local resource users are key decision-makers in developing countries; some perspectives on knowledge; and the need to measure research success. © 2009 by The Association for Tropical Biology and Conservation.","author":[{"dropping-particle":"","family":"Shackleton","given":"Charlie M.","non-dropping-particle":"","parse-names":false,"suffix":""},{"dropping-particle":"","family":"Cundill","given":"Georgina","non-dropping-particle":"","parse-names":false,"suffix":""},{"dropping-particle":"","family":"Knight","given":"Andrew T.","non-dropping-particle":"","parse-names":false,"suffix":""}],"container-title":"Biotropica","id":"ITEM-1","issue":"5","issued":{"date-parts":[["2009"]]},"page":"563-570","title":"Beyond just research: experiences from Southern Africa in developing social learning partnerships for resource conservation initiatives","type":"article-journal","volume":"41"},"uris":["http://www.mendeley.com/documents/?uuid=107a7d08-a89b-4682-bca4-819f1cde749e"]}],"mendeley":{"formattedCitation":"(Shackleton, Cundill and Knight, 2009)","plainTextFormattedCitation":"(Shackleton, Cundill and Knight, 2009)","previouslyFormattedCitation":"(Shackleton, Cundill and Knight, 2009)"},"properties":{"noteIndex":0},"schema":"https://github.com/citation-style-language/schema/raw/master/csl-citation.json"}</w:instrText>
      </w:r>
      <w:r w:rsidR="00647CA7">
        <w:fldChar w:fldCharType="separate"/>
      </w:r>
      <w:r w:rsidR="00636F5B" w:rsidRPr="00636F5B">
        <w:rPr>
          <w:noProof/>
        </w:rPr>
        <w:t>(Shackleton, Cundill and Knight, 2009)</w:t>
      </w:r>
      <w:r w:rsidR="00647CA7">
        <w:fldChar w:fldCharType="end"/>
      </w:r>
      <w:r w:rsidR="00D43DA2">
        <w:t>.</w:t>
      </w:r>
    </w:p>
    <w:p w14:paraId="2F067111" w14:textId="1A7996E5" w:rsidR="00002910" w:rsidRDefault="00CC6AF2" w:rsidP="00002910">
      <w:pPr>
        <w:pStyle w:val="NoSpacing"/>
        <w:ind w:firstLine="720"/>
      </w:pPr>
      <w:r>
        <w:t xml:space="preserve">Contrary to researchers, </w:t>
      </w:r>
      <w:r w:rsidR="00E91983">
        <w:t xml:space="preserve">agroecological </w:t>
      </w:r>
      <w:r w:rsidR="00390741">
        <w:t>advocates</w:t>
      </w:r>
      <w:r w:rsidR="008E2F59">
        <w:t xml:space="preserve"> who promote the use</w:t>
      </w:r>
      <w:r w:rsidR="00D72A9F">
        <w:t xml:space="preserve"> of agro</w:t>
      </w:r>
      <w:r w:rsidR="00472CA7">
        <w:t xml:space="preserve">ecological practices </w:t>
      </w:r>
      <w:r w:rsidR="00984B8C">
        <w:t xml:space="preserve">by </w:t>
      </w:r>
      <w:r w:rsidR="008E2F59">
        <w:t>farmers</w:t>
      </w:r>
      <w:r w:rsidR="00E01565">
        <w:t>,</w:t>
      </w:r>
      <w:r w:rsidR="00604362">
        <w:t xml:space="preserve"> </w:t>
      </w:r>
      <w:r w:rsidR="000361C9">
        <w:t>aim to have impact from the onset</w:t>
      </w:r>
      <w:r w:rsidR="00584932">
        <w:t xml:space="preserve"> of a project</w:t>
      </w:r>
      <w:r w:rsidR="00FC5832">
        <w:t>.</w:t>
      </w:r>
      <w:r w:rsidR="000361C9">
        <w:t xml:space="preserve"> </w:t>
      </w:r>
      <w:r w:rsidR="00B54287">
        <w:t>U</w:t>
      </w:r>
      <w:r w:rsidR="00FC13F3">
        <w:t xml:space="preserve">sually </w:t>
      </w:r>
      <w:r w:rsidR="006F4CD7">
        <w:t>agr</w:t>
      </w:r>
      <w:r w:rsidR="00142CF4">
        <w:t>oecological</w:t>
      </w:r>
      <w:r w:rsidR="00680534">
        <w:t xml:space="preserve"> </w:t>
      </w:r>
      <w:r w:rsidR="00655E1F">
        <w:t xml:space="preserve">extension officers </w:t>
      </w:r>
      <w:r w:rsidR="00DB141D">
        <w:t xml:space="preserve">target </w:t>
      </w:r>
      <w:r w:rsidR="00FC13F3">
        <w:t xml:space="preserve">specific farmers </w:t>
      </w:r>
      <w:r w:rsidR="002E5231">
        <w:t xml:space="preserve">within a community </w:t>
      </w:r>
      <w:r w:rsidR="00FC13F3">
        <w:t>and provide</w:t>
      </w:r>
      <w:r w:rsidR="009A21ED">
        <w:t xml:space="preserve"> them </w:t>
      </w:r>
      <w:r w:rsidR="00FC13F3">
        <w:t xml:space="preserve">with </w:t>
      </w:r>
      <w:r w:rsidR="008C57AC">
        <w:t>training</w:t>
      </w:r>
      <w:r w:rsidR="003F71B8">
        <w:t xml:space="preserve"> on new agroecological practices</w:t>
      </w:r>
      <w:r w:rsidR="008C57AC">
        <w:t xml:space="preserve"> </w:t>
      </w:r>
      <w:r w:rsidR="00FC13F3">
        <w:fldChar w:fldCharType="begin" w:fldLock="1"/>
      </w:r>
      <w:r w:rsidR="001C3948">
        <w:instrText>ADDIN CSL_CITATION {"citationItems":[{"id":"ITEM-1","itemData":{"DOI":"10.1016/j.jdeveco.2018.01.009","ISSN":"03043878","abstract":"Social networks are an important mechanism for diffusing information when institutions are missing, but there may be distributional consequences from targeting only central nodes in a network. After implementing a social network census, one of three village-level treatments determined which treated nodes in the village received information about composting: random assignment, nodes with the highest degree, or nodes with high betweenness. We then look at how information diffuses through the network. We find information diffusion declines with social distance, suggesting frictions in the diffusion of information. Aggregate knowledge about the technology did not differ across targeting strategies, but targeting nodes using betweenness measures in village-level networks excludes less-connected nodes from new information. Women farmers are less likely to receive information when betweenness centrality is used in targeting, suggesting there are important gender differences, not only in the relationship between social distance and diffusion, but also in the social learning process.","author":[{"dropping-particle":"","family":"Beaman","given":"Lori A.","non-dropping-particle":"","parse-names":false,"suffix":""},{"dropping-particle":"","family":"Dillon","given":"Andrew","non-dropping-particle":"","parse-names":false,"suffix":""}],"container-title":"Journal of Development Economics","id":"ITEM-1","issued":{"date-parts":[["2018"]]},"page":"147-161","title":"Diffusion of agricultural information within social networks: evidence on gender inequalities from Mali","type":"article-journal","volume":"133"},"uris":["http://www.mendeley.com/documents/?uuid=2b1f04a2-9203-449a-8e0b-ba7d2bc9a3c6"]}],"mendeley":{"formattedCitation":"(Beaman and Dillon, 2018)","plainTextFormattedCitation":"(Beaman and Dillon, 2018)","previouslyFormattedCitation":"(Beaman and Dillon, 2018)"},"properties":{"noteIndex":0},"schema":"https://github.com/citation-style-language/schema/raw/master/csl-citation.json"}</w:instrText>
      </w:r>
      <w:r w:rsidR="00FC13F3">
        <w:fldChar w:fldCharType="separate"/>
      </w:r>
      <w:r w:rsidR="00636F5B" w:rsidRPr="00636F5B">
        <w:rPr>
          <w:noProof/>
        </w:rPr>
        <w:t>(Beaman and Dillon, 2018)</w:t>
      </w:r>
      <w:r w:rsidR="00FC13F3">
        <w:fldChar w:fldCharType="end"/>
      </w:r>
      <w:r w:rsidR="00FC13F3">
        <w:t>. The</w:t>
      </w:r>
      <w:r w:rsidR="00426AE0">
        <w:t>se farmers</w:t>
      </w:r>
      <w:r w:rsidR="002C0381">
        <w:t xml:space="preserve"> </w:t>
      </w:r>
      <w:r w:rsidR="00FC13F3">
        <w:t>are then expected to influence the</w:t>
      </w:r>
      <w:r w:rsidR="002C0381">
        <w:t>ir</w:t>
      </w:r>
      <w:r w:rsidR="00FC13F3">
        <w:t xml:space="preserve"> </w:t>
      </w:r>
      <w:r w:rsidR="00984B8C">
        <w:t>wider community</w:t>
      </w:r>
      <w:r w:rsidR="00CB1AA8">
        <w:t xml:space="preserve"> </w:t>
      </w:r>
      <w:r w:rsidR="00FC13F3" w:rsidRPr="00DB2C00">
        <w:fldChar w:fldCharType="begin" w:fldLock="1"/>
      </w:r>
      <w:r w:rsidR="001C3948">
        <w:instrText>ADDIN CSL_CITATION {"citationItems":[{"id":"ITEM-1","itemData":{"DOI":"10.1093/ajae/aat054","ISSN":"00029092","abstract":"In this article, we investigate the role of information transmission in promoting agricultural technology adoption and diffusion through extension services and social learning. We develop a theoretical model of technology adoption and diffusion, which we then empirically apply, using duration analysis, on a micro-dataset consisting of recall data covering the period 1994-2004 for olive-producing farms from Crete, Greece. Our findings suggest that both extension services and social learning are strong determinants of technology adoption and diffusion, while the effectiveness of each of the two informational channels is enhanced by the presence of the other.","author":[{"dropping-particle":"","family":"Genius","given":"Margarita","non-dropping-particle":"","parse-names":false,"suffix":""},{"dropping-particle":"","family":"Koundouri","given":"Phoebe","non-dropping-particle":"","parse-names":false,"suffix":""},{"dropping-particle":"","family":"Nauges","given":"Céline","non-dropping-particle":"","parse-names":false,"suffix":""},{"dropping-particle":"","family":"Tzouvelekas","given":"Vangelis","non-dropping-particle":"","parse-names":false,"suffix":""}],"container-title":"American Journal of Agricultural Economics","id":"ITEM-1","issue":"1","issued":{"date-parts":[["2014"]]},"page":"328-344","title":"Information transmission in irrigation technology adoption and diffusion: social learning, extension services, and spatial effects","type":"article-journal","volume":"96"},"uris":["http://www.mendeley.com/documents/?uuid=d14a7d88-6099-48c2-ad72-8a6ef7f05280"]}],"mendeley":{"formattedCitation":"(Genius &lt;i&gt;et al.&lt;/i&gt;, 2014)","plainTextFormattedCitation":"(Genius et al., 2014)","previouslyFormattedCitation":"(Genius &lt;i&gt;et al.&lt;/i&gt;, 2014)"},"properties":{"noteIndex":0},"schema":"https://github.com/citation-style-language/schema/raw/master/csl-citation.json"}</w:instrText>
      </w:r>
      <w:r w:rsidR="00FC13F3" w:rsidRPr="00DB2C00">
        <w:fldChar w:fldCharType="separate"/>
      </w:r>
      <w:r w:rsidR="00636F5B" w:rsidRPr="00636F5B">
        <w:rPr>
          <w:noProof/>
        </w:rPr>
        <w:t xml:space="preserve">(Genius </w:t>
      </w:r>
      <w:r w:rsidR="00636F5B" w:rsidRPr="00636F5B">
        <w:rPr>
          <w:i/>
          <w:noProof/>
        </w:rPr>
        <w:t>et al.</w:t>
      </w:r>
      <w:r w:rsidR="00636F5B" w:rsidRPr="00636F5B">
        <w:rPr>
          <w:noProof/>
        </w:rPr>
        <w:t>, 2014)</w:t>
      </w:r>
      <w:r w:rsidR="00FC13F3" w:rsidRPr="00DB2C00">
        <w:fldChar w:fldCharType="end"/>
      </w:r>
      <w:r w:rsidR="00FC13F3">
        <w:t>. Whether this works</w:t>
      </w:r>
      <w:r w:rsidR="00984B8C">
        <w:t>,</w:t>
      </w:r>
      <w:r w:rsidR="00FC13F3">
        <w:t xml:space="preserve"> and which farmers could best be targeted, depends on the information-sharing relationships among farmers</w:t>
      </w:r>
      <w:r w:rsidR="00D306AB">
        <w:t xml:space="preserve"> </w:t>
      </w:r>
      <w:r w:rsidR="00D306AB">
        <w:fldChar w:fldCharType="begin" w:fldLock="1"/>
      </w:r>
      <w:r w:rsidR="001C3948">
        <w:instrText>ADDIN CSL_CITATION {"citationItems":[{"id":"ITEM-1","itemData":{"DOI":"10.1016/j.tree.2019.06.007","ISSN":"01695347","abstract":"Conservationists are increasingly interested in changing human behaviour. One understudied aspect of such interventions is information flow. Different patterns of interpersonal communication and social structures within communities influence the adoption of behavioural changes through social influence and social reinforcement. Understanding the structure of information flow in a group, using tools such as social network analysis, can therefore offer important insights for interventions. For example, communications may be targeted to highly connected opinion leaders to leverage their influence, or communication may be facilitated between distinct subgroups to promote peer learning. Incorporating these approaches into conservation interventions can promote more effective behaviour change. This review introduces conservation researchers and practitioners to key concepts underpinning information flows for interventions targeting networks of individuals.","author":[{"dropping-particle":"","family":"Lange","given":"Emiel","non-dropping-particle":"de","parse-names":false,"suffix":""},{"dropping-particle":"","family":"Milner-Gulland","given":"E.J.","non-dropping-particle":"","parse-names":false,"suffix":""},{"dropping-particle":"","family":"Keane","given":"Aidan","non-dropping-particle":"","parse-names":false,"suffix":""}],"container-title":"Trends in Ecology and Evolution","id":"ITEM-1","issue":"11","issued":{"date-parts":[["2019"]]},"page":"1034-1047","title":"Improving environmental interventions by understanding information flows","type":"article-journal","volume":"34"},"uris":["http://www.mendeley.com/documents/?uuid=fd7e6e6b-1a8e-4e7d-bcd4-c9742741d903"]}],"mendeley":{"formattedCitation":"(de Lange, Milner-Gulland and Keane, 2019)","plainTextFormattedCitation":"(de Lange, Milner-Gulland and Keane, 2019)","previouslyFormattedCitation":"(de Lange, Milner-Gulland and Keane, 2019)"},"properties":{"noteIndex":0},"schema":"https://github.com/citation-style-language/schema/raw/master/csl-citation.json"}</w:instrText>
      </w:r>
      <w:r w:rsidR="00D306AB">
        <w:fldChar w:fldCharType="separate"/>
      </w:r>
      <w:r w:rsidR="00636F5B" w:rsidRPr="00636F5B">
        <w:rPr>
          <w:noProof/>
        </w:rPr>
        <w:t>(de Lange, Milner-Gulland and Keane, 2019)</w:t>
      </w:r>
      <w:r w:rsidR="00D306AB">
        <w:fldChar w:fldCharType="end"/>
      </w:r>
      <w:r w:rsidR="00D306AB">
        <w:t>.</w:t>
      </w:r>
      <w:r w:rsidR="00197B23">
        <w:t xml:space="preserve"> </w:t>
      </w:r>
      <w:r w:rsidR="00E11797">
        <w:t>It is increasingly becoming clear that</w:t>
      </w:r>
      <w:r w:rsidR="00197B23">
        <w:t xml:space="preserve"> top-down linear models of knowledge transfer </w:t>
      </w:r>
      <w:r w:rsidR="00E72768">
        <w:t xml:space="preserve">in which information flows </w:t>
      </w:r>
      <w:r w:rsidR="005465D9">
        <w:t>directly</w:t>
      </w:r>
      <w:r w:rsidR="008278D8">
        <w:t xml:space="preserve"> from</w:t>
      </w:r>
      <w:r w:rsidR="00197B23">
        <w:t xml:space="preserve"> extension officers to farmers </w:t>
      </w:r>
      <w:r w:rsidR="00E11797">
        <w:t>often do not represent reality</w:t>
      </w:r>
      <w:r w:rsidR="007D51EE">
        <w:t xml:space="preserve"> accurately</w:t>
      </w:r>
      <w:r w:rsidR="00E11797">
        <w:t xml:space="preserve">. Instead, non-linear models in which </w:t>
      </w:r>
      <w:r w:rsidR="00197B23">
        <w:t>farmers’</w:t>
      </w:r>
      <w:r w:rsidR="00E51ECF">
        <w:t xml:space="preserve"> interpersonal connections, </w:t>
      </w:r>
      <w:r w:rsidR="00197B23">
        <w:t>learning</w:t>
      </w:r>
      <w:r w:rsidR="00E43C92">
        <w:t xml:space="preserve"> style</w:t>
      </w:r>
      <w:r w:rsidR="00197B23">
        <w:t xml:space="preserve"> and decision-making processes are taken into account</w:t>
      </w:r>
      <w:r w:rsidR="00E11797">
        <w:t xml:space="preserve">, are being developed to more accurately represent </w:t>
      </w:r>
      <w:r w:rsidR="00505DB9">
        <w:t xml:space="preserve">and understand how information on agroecology spreads </w:t>
      </w:r>
      <w:r w:rsidR="00947F20">
        <w:fldChar w:fldCharType="begin" w:fldLock="1"/>
      </w:r>
      <w:r w:rsidR="00947F20">
        <w:instrText>ADDIN CSL_CITATION {"citationItems":[{"id":"ITEM-1","itemData":{"DOI":"10.1016/j.tree.2019.06.007","ISSN":"01695347","abstract":"Conservationists are increasingly interested in changing human behaviour. One understudied aspect of such interventions is information flow. Different patterns of interpersonal communication and social structures within communities influence the adoption of behavioural changes through social influence and social reinforcement. Understanding the structure of information flow in a group, using tools such as social network analysis, can therefore offer important insights for interventions. For example, communications may be targeted to highly connected opinion leaders to leverage their influence, or communication may be facilitated between distinct subgroups to promote peer learning. Incorporating these approaches into conservation interventions can promote more effective behaviour change. This review introduces conservation researchers and practitioners to key concepts underpinning information flows for interventions targeting networks of individuals.","author":[{"dropping-particle":"","family":"Lange","given":"Emiel","non-dropping-particle":"de","parse-names":false,"suffix":""},{"dropping-particle":"","family":"Milner-Gulland","given":"E.J.","non-dropping-particle":"","parse-names":false,"suffix":""},{"dropping-particle":"","family":"Keane","given":"Aidan","non-dropping-particle":"","parse-names":false,"suffix":""}],"container-title":"Trends in Ecology and Evolution","id":"ITEM-1","issue":"11","issued":{"date-parts":[["2019"]]},"page":"1034-1047","title":"Improving environmental interventions by understanding information flows","type":"article-journal","volume":"34"},"uris":["http://www.mendeley.com/documents/?uuid=fd7e6e6b-1a8e-4e7d-bcd4-c9742741d903"]}],"mendeley":{"formattedCitation":"(de Lange, Milner-Gulland and Keane, 2019)","plainTextFormattedCitation":"(de Lange, Milner-Gulland and Keane, 2019)","previouslyFormattedCitation":"(de Lange, Milner-Gulland and Keane, 2019)"},"properties":{"noteIndex":0},"schema":"https://github.com/citation-style-language/schema/raw/master/csl-citation.json"}</w:instrText>
      </w:r>
      <w:r w:rsidR="00947F20">
        <w:fldChar w:fldCharType="separate"/>
      </w:r>
      <w:r w:rsidR="00947F20" w:rsidRPr="00636F5B">
        <w:rPr>
          <w:noProof/>
        </w:rPr>
        <w:t>(</w:t>
      </w:r>
      <w:r w:rsidR="008A62B2">
        <w:rPr>
          <w:noProof/>
        </w:rPr>
        <w:t>Matous, Todo and Mojo, 2013</w:t>
      </w:r>
      <w:r w:rsidR="006A461E">
        <w:rPr>
          <w:noProof/>
        </w:rPr>
        <w:t>a</w:t>
      </w:r>
      <w:r w:rsidR="008A62B2">
        <w:rPr>
          <w:noProof/>
        </w:rPr>
        <w:t xml:space="preserve">; </w:t>
      </w:r>
      <w:r w:rsidR="00947F20" w:rsidRPr="00636F5B">
        <w:rPr>
          <w:noProof/>
        </w:rPr>
        <w:t>de Lange, Milner-Gulland and Keane, 2019)</w:t>
      </w:r>
      <w:r w:rsidR="00947F20">
        <w:fldChar w:fldCharType="end"/>
      </w:r>
      <w:r w:rsidR="00505DB9">
        <w:t xml:space="preserve">. </w:t>
      </w:r>
    </w:p>
    <w:p w14:paraId="03D3B912" w14:textId="69C5AA70" w:rsidR="00020B66" w:rsidRDefault="00F83FCD" w:rsidP="00020B66">
      <w:pPr>
        <w:pStyle w:val="NoSpacing"/>
        <w:ind w:firstLine="720"/>
      </w:pPr>
      <w:r>
        <w:t>Social network analysis</w:t>
      </w:r>
      <w:r w:rsidR="00706BD7">
        <w:t xml:space="preserve"> has emerged as a suitable tool </w:t>
      </w:r>
      <w:r w:rsidR="00E95926">
        <w:t>to</w:t>
      </w:r>
      <w:r w:rsidR="00706BD7">
        <w:t xml:space="preserve"> investigate the structures and properties of an information-sharing network</w:t>
      </w:r>
      <w:r w:rsidR="008943A4">
        <w:t xml:space="preserve"> </w:t>
      </w:r>
      <w:r w:rsidR="008943A4">
        <w:fldChar w:fldCharType="begin" w:fldLock="1"/>
      </w:r>
      <w:r w:rsidR="001C3948">
        <w:instrText>ADDIN CSL_CITATION {"citationItems":[{"id":"ITEM-1","itemData":{"DOI":"10.1111/cobi.13127","ISSN":"15231739","abstract":"The conservation and management of natural resources operates in social–ecological systems in which resource users are embedded in social and environmental contexts that influence their management decisions. Characterizing social networks of resource users can be used to inform understanding of social influences on decision making, and social network analysis (SNA) has emerged as a useful technique to explore these relationships. We synthesized how SNA has been used in 85 studies of natural resource management. We considered how social networks and social processes (e.g., interactions between individuals) influence each other and in turn influence social outcomes (e.g., decisions or actions) that affect environmental outcomes (e.g., improved condition). Descriptive methods were used in 58% of the studies to characterize social processes, and 42% of the studies compared multiple networks or multiple points in time to assess social or environmental outcomes. In 4 studies, authors assessed network interventions intended to affect social processes or environmental outcomes. The heterogeneity in case studies, methods, and analyses preclude general lessons. Thus, to structure and further learning about the role of social networks in achieving environmental outcomes, we created a typology that deconstructs social processes, social outcomes, and environmental outcomes into themes and options of social and ecological measures within each. We suggest shifts in research foci toward intervention studies to aid in understanding causality and inform the design of conservation initiatives. There is a need to develop clearer justification and guidance around the proliferation of network measures. The use of SNA in natural resource management is expanding rapidly; thus, now is the time for the conservation community to build a more rigorous evidence base to demonstrate the extent to which social networks can play a role in achieving desired social and environmental outcomes.","author":[{"dropping-particle":"","family":"Groce","given":"Julie E.","non-dropping-particle":"","parse-names":false,"suffix":""},{"dropping-particle":"","family":"Farrelly","given":"Megan A.","non-dropping-particle":"","parse-names":false,"suffix":""},{"dropping-particle":"","family":"Jorgensen","given":"Bradley S.","non-dropping-particle":"","parse-names":false,"suffix":""},{"dropping-particle":"","family":"Cook","given":"Carly N.","non-dropping-particle":"","parse-names":false,"suffix":""}],"container-title":"Conservation Biology","id":"ITEM-1","issue":"1","issued":{"date-parts":[["2018"]]},"page":"53-65","title":"Using social-network research to improve outcomes in natural resource management","type":"article-journal","volume":"33"},"uris":["http://www.mendeley.com/documents/?uuid=dbaead36-53af-4aca-a5fe-45a42b5f08f9"]}],"mendeley":{"formattedCitation":"(Groce &lt;i&gt;et al.&lt;/i&gt;, 2018)","plainTextFormattedCitation":"(Groce et al., 2018)","previouslyFormattedCitation":"(Groce &lt;i&gt;et al.&lt;/i&gt;, 2018)"},"properties":{"noteIndex":0},"schema":"https://github.com/citation-style-language/schema/raw/master/csl-citation.json"}</w:instrText>
      </w:r>
      <w:r w:rsidR="008943A4">
        <w:fldChar w:fldCharType="separate"/>
      </w:r>
      <w:r w:rsidR="00636F5B" w:rsidRPr="00636F5B">
        <w:rPr>
          <w:noProof/>
        </w:rPr>
        <w:t xml:space="preserve">(Groce </w:t>
      </w:r>
      <w:r w:rsidR="00636F5B" w:rsidRPr="00636F5B">
        <w:rPr>
          <w:i/>
          <w:noProof/>
        </w:rPr>
        <w:t>et al.</w:t>
      </w:r>
      <w:r w:rsidR="00636F5B" w:rsidRPr="00636F5B">
        <w:rPr>
          <w:noProof/>
        </w:rPr>
        <w:t>, 2018)</w:t>
      </w:r>
      <w:r w:rsidR="008943A4">
        <w:fldChar w:fldCharType="end"/>
      </w:r>
      <w:r w:rsidR="00706BD7">
        <w:t>.</w:t>
      </w:r>
      <w:r w:rsidR="003B50C1">
        <w:t xml:space="preserve"> </w:t>
      </w:r>
      <w:r w:rsidR="0022217E">
        <w:t xml:space="preserve">Few </w:t>
      </w:r>
      <w:r w:rsidR="00FF4442">
        <w:t xml:space="preserve">longitudinal, </w:t>
      </w:r>
      <w:r w:rsidR="0022217E">
        <w:t xml:space="preserve">empirical </w:t>
      </w:r>
      <w:r w:rsidR="0022217E">
        <w:lastRenderedPageBreak/>
        <w:t xml:space="preserve">studies directly address how social networks affect natural resource management in rural settings of the Global South </w:t>
      </w:r>
      <w:r w:rsidR="0022217E">
        <w:fldChar w:fldCharType="begin" w:fldLock="1"/>
      </w:r>
      <w:r w:rsidR="00F651A0">
        <w:instrText>ADDIN CSL_CITATION {"citationItems":[{"id":"ITEM-1","itemData":{"DOI":"10.1111/cobi.13127","ISSN":"15231739","abstract":"The conservation and management of natural resources operates in social–ecological systems in which resource users are embedded in social and environmental contexts that influence their management decisions. Characterizing social networks of resource users can be used to inform understanding of social influences on decision making, and social network analysis (SNA) has emerged as a useful technique to explore these relationships. We synthesized how SNA has been used in 85 studies of natural resource management. We considered how social networks and social processes (e.g., interactions between individuals) influence each other and in turn influence social outcomes (e.g., decisions or actions) that affect environmental outcomes (e.g., improved condition). Descriptive methods were used in 58% of the studies to characterize social processes, and 42% of the studies compared multiple networks or multiple points in time to assess social or environmental outcomes. In 4 studies, authors assessed network interventions intended to affect social processes or environmental outcomes. The heterogeneity in case studies, methods, and analyses preclude general lessons. Thus, to structure and further learning about the role of social networks in achieving environmental outcomes, we created a typology that deconstructs social processes, social outcomes, and environmental outcomes into themes and options of social and ecological measures within each. We suggest shifts in research foci toward intervention studies to aid in understanding causality and inform the design of conservation initiatives. There is a need to develop clearer justification and guidance around the proliferation of network measures. The use of SNA in natural resource management is expanding rapidly; thus, now is the time for the conservation community to build a more rigorous evidence base to demonstrate the extent to which social networks can play a role in achieving desired social and environmental outcomes.","author":[{"dropping-particle":"","family":"Groce","given":"Julie E.","non-dropping-particle":"","parse-names":false,"suffix":""},{"dropping-particle":"","family":"Farrelly","given":"Megan A.","non-dropping-particle":"","parse-names":false,"suffix":""},{"dropping-particle":"","family":"Jorgensen","given":"Bradley S.","non-dropping-particle":"","parse-names":false,"suffix":""},{"dropping-particle":"","family":"Cook","given":"Carly N.","non-dropping-particle":"","parse-names":false,"suffix":""}],"container-title":"Conservation Biology","id":"ITEM-1","issue":"1","issued":{"date-parts":[["2018"]]},"page":"53-65","title":"Using social-network research to improve outcomes in natural resource management","type":"article-journal","volume":"33"},"uris":["http://www.mendeley.com/documents/?uuid=dbaead36-53af-4aca-a5fe-45a42b5f08f9"]},{"id":"ITEM-2","itemData":{"DOI":"10.5751/ES-12734-260412","ISSN":"17083087","abstract":"Agroecosystem strategies to enhance agrobiodiversity can curb many of the negative impacts associated with current food production systems. With rising interest in agrobiodiversity and agroforestry as farming interventions that confer ecological and socioeconomic benefits, understanding the intended pathways of interventions is important for successful agroecological transformations. Yet, the patterns of agrobiodiversity introduction and adoption remain elusive. Drawing upon social network research from the regions of Ghana where cocoa (Theobroma cacao) is grown, we synthesize the relationships between agroforestry interventions, information networks, and the adoption of diversified agroecosystems. We illustrate middle-level patterns from independent studies in three regions of Ghana and nearly 500 farmer interviews. Strong structural indicators at the network level are linked to agrobiodiversity; farmers in larger, less dense information networks with ties to external organizations tend to have higher reported and measured agrobiodiversity. Remarkably, these trends were found in environmentally and socio-culturally different contexts in Ghana. However, these trends do not, in all cases, scale to the community level. For example, we did not observe any clear relationship between the density of community networks and the measures of agrobiodiversity at the community scale. This may be on account of the type of agrobiodiversity measure applied (above-ground biomass) to assess community-level outcomes. Selection of environmental attributes with meaningful spillover effects, such as pest management, would more likely uncover nontrivial network effects at the collective level. Our findings support that both innovation and cooperation are indispensable for successful agrobiodiversity interventions, and that networks can operate to overcome negative outcomes of agrobiodiversity. Based on these studies, we conclude that agrobiodiversity adoption via interventions and established farmer-to-farmer networks may trigger the formation of other, observation-based networks that draw in socially distant actors. Our research strategy of ex-post qualitative comparisons allowed for in-depth insight into the complexities of information networks and agrobiodiversity adoption but also generated new hypotheses on the role of social networks in diversified farming systems.","author":[{"dropping-particle":"","family":"Isaac","given":"Marney E.","non-dropping-particle":"","parse-names":false,"suffix":""},{"dropping-particle":"","family":"Nyantakyi-Frimpong","given":"Hanson","non-dropping-particle":"","parse-names":false,"suffix":""},{"dropping-particle":"","family":"Matouš","given":"Petr","non-dropping-particle":"","parse-names":false,"suffix":""},{"dropping-particle":"","family":"Dawoe","given":"Evans","non-dropping-particle":"","parse-names":false,"suffix":""},{"dropping-particle":"","family":"Anglaaere","given":"Luke C.N.","non-dropping-particle":"","parse-names":false,"suffix":""}],"container-title":"Ecology and Society","id":"ITEM-2","issue":"4","issued":{"date-parts":[["2021"]]},"title":"Farmer networks and agrobiodiversity interventions: The unintended outcomes of intended change","type":"article-journal","volume":"26"},"uris":["http://www.mendeley.com/documents/?uuid=a5d04974-982f-45aa-83fa-4577b6b5b4ae"]}],"mendeley":{"formattedCitation":"(Groce &lt;i&gt;et al.&lt;/i&gt;, 2018; Isaac &lt;i&gt;et al.&lt;/i&gt;, 2021)","plainTextFormattedCitation":"(Groce et al., 2018; Isaac et al., 2021)","previouslyFormattedCitation":"(Groce &lt;i&gt;et al.&lt;/i&gt;, 2018; Isaac &lt;i&gt;et al.&lt;/i&gt;, 2021)"},"properties":{"noteIndex":0},"schema":"https://github.com/citation-style-language/schema/raw/master/csl-citation.json"}</w:instrText>
      </w:r>
      <w:r w:rsidR="0022217E">
        <w:fldChar w:fldCharType="separate"/>
      </w:r>
      <w:r w:rsidR="001C3948" w:rsidRPr="001C3948">
        <w:rPr>
          <w:noProof/>
        </w:rPr>
        <w:t xml:space="preserve">(Groce </w:t>
      </w:r>
      <w:r w:rsidR="001C3948" w:rsidRPr="001C3948">
        <w:rPr>
          <w:i/>
          <w:noProof/>
        </w:rPr>
        <w:t>et al.</w:t>
      </w:r>
      <w:r w:rsidR="001C3948" w:rsidRPr="001C3948">
        <w:rPr>
          <w:noProof/>
        </w:rPr>
        <w:t xml:space="preserve">, 2018; Isaac </w:t>
      </w:r>
      <w:r w:rsidR="001C3948" w:rsidRPr="001C3948">
        <w:rPr>
          <w:i/>
          <w:noProof/>
        </w:rPr>
        <w:t>et al.</w:t>
      </w:r>
      <w:r w:rsidR="001C3948" w:rsidRPr="001C3948">
        <w:rPr>
          <w:noProof/>
        </w:rPr>
        <w:t>, 2021)</w:t>
      </w:r>
      <w:r w:rsidR="0022217E">
        <w:fldChar w:fldCharType="end"/>
      </w:r>
      <w:r w:rsidR="0022217E">
        <w:t xml:space="preserve">. This is likely to be due to the difficulty of obtaining appropriate data in such settings, and potentially lack of access to the complex modelling tools that such data often require </w:t>
      </w:r>
      <w:r w:rsidR="0022217E">
        <w:fldChar w:fldCharType="begin" w:fldLock="1"/>
      </w:r>
      <w:r w:rsidR="0022217E">
        <w:instrText>ADDIN CSL_CITATION {"citationItems":[{"id":"ITEM-1","itemData":{"DOI":"10.5751/ES-07602-200236","abstract":"The importance of networks for social-ecological processes has been recognized in the literature; however, existing studies have not sufficiently addressed the dynamic nature of networks. Using data on the social learning networks of 265 farmers in Ethiopia for 2011 and 2012 and stochastic actor-oriented modeling, we explain the mechanisms of network evolution and soil conservation. The farmers’ preferences for information exchange within the same social groups support the creation of interactive, clustered, nonhierarchical structures within the evolving learning networks, which contributed to the diffusion of the practice of composting. The introduced methods can be applied to determine whether and how social networks can be used to facilitate environmental interventions in various contexts.","author":[{"dropping-particle":"","family":"Matous","given":"Petr","non-dropping-particle":"","parse-names":false,"suffix":""},{"dropping-particle":"","family":"Todo","given":"Yasuyuki","non-dropping-particle":"","parse-names":false,"suffix":""}],"container-title":"Ecology and Society","id":"ITEM-1","issue":"2","issued":{"date-parts":[["2015"]]},"title":"Exploring dynamic mechanisms of learning networks for resource conservation","type":"article-journal","volume":"20"},"uris":["http://www.mendeley.com/documents/?uuid=806cdd31-4a44-4417-b5bf-7d1433436e2d"]}],"mendeley":{"formattedCitation":"(Matous and Todo, 2015)","plainTextFormattedCitation":"(Matous and Todo, 2015)","previouslyFormattedCitation":"(Matous and Todo, 2015)"},"properties":{"noteIndex":0},"schema":"https://github.com/citation-style-language/schema/raw/master/csl-citation.json"}</w:instrText>
      </w:r>
      <w:r w:rsidR="0022217E">
        <w:fldChar w:fldCharType="separate"/>
      </w:r>
      <w:r w:rsidR="0022217E" w:rsidRPr="000F31EA">
        <w:rPr>
          <w:noProof/>
        </w:rPr>
        <w:t>(Matous and Todo, 2015)</w:t>
      </w:r>
      <w:r w:rsidR="0022217E">
        <w:fldChar w:fldCharType="end"/>
      </w:r>
      <w:r w:rsidR="0022217E">
        <w:t xml:space="preserve">. </w:t>
      </w:r>
      <w:r w:rsidR="003B50C1">
        <w:t>I</w:t>
      </w:r>
      <w:r w:rsidR="00AB2EA6">
        <w:t xml:space="preserve">t is crucial to </w:t>
      </w:r>
      <w:r w:rsidR="00E01565">
        <w:t>have a solid</w:t>
      </w:r>
      <w:r w:rsidR="00AB2EA6">
        <w:t xml:space="preserve"> unders</w:t>
      </w:r>
      <w:r w:rsidR="00793353">
        <w:t>tand</w:t>
      </w:r>
      <w:r w:rsidR="00E01565">
        <w:t>ing of</w:t>
      </w:r>
      <w:r w:rsidR="00793353">
        <w:t xml:space="preserve"> </w:t>
      </w:r>
      <w:r w:rsidR="00AB2EA6">
        <w:t xml:space="preserve">social networks </w:t>
      </w:r>
      <w:r w:rsidR="00ED05E3">
        <w:t xml:space="preserve">among </w:t>
      </w:r>
      <w:r w:rsidR="00267EBE">
        <w:t xml:space="preserve">smallholder </w:t>
      </w:r>
      <w:r w:rsidR="00265641">
        <w:t>farmers</w:t>
      </w:r>
      <w:r w:rsidR="00ED37B3">
        <w:t xml:space="preserve"> as it helps </w:t>
      </w:r>
      <w:r w:rsidR="00680534">
        <w:t xml:space="preserve">agroecological </w:t>
      </w:r>
      <w:r w:rsidR="00311C4E">
        <w:t>extension officers</w:t>
      </w:r>
      <w:r w:rsidR="00401D89">
        <w:t xml:space="preserve"> </w:t>
      </w:r>
      <w:r w:rsidR="00257A28">
        <w:t xml:space="preserve">to know </w:t>
      </w:r>
      <w:r w:rsidR="00444947">
        <w:t>how</w:t>
      </w:r>
      <w:r w:rsidR="00ED37B3">
        <w:t xml:space="preserve"> social networks can be relied upon for </w:t>
      </w:r>
      <w:r w:rsidR="00F20589">
        <w:t xml:space="preserve">effectively </w:t>
      </w:r>
      <w:r w:rsidR="00793353">
        <w:t>spreading</w:t>
      </w:r>
      <w:r w:rsidR="00ED37B3">
        <w:t xml:space="preserve"> information and </w:t>
      </w:r>
      <w:r w:rsidR="00257A28">
        <w:t xml:space="preserve">how </w:t>
      </w:r>
      <w:r w:rsidR="00A96AE4">
        <w:t>changing</w:t>
      </w:r>
      <w:r w:rsidR="00CA4E95">
        <w:t xml:space="preserve"> </w:t>
      </w:r>
      <w:r w:rsidR="00ED37B3">
        <w:t xml:space="preserve">farming practices </w:t>
      </w:r>
      <w:r w:rsidR="008E477E">
        <w:t>may</w:t>
      </w:r>
      <w:r w:rsidR="00257A28">
        <w:t xml:space="preserve"> be achieved </w:t>
      </w:r>
      <w:r w:rsidR="00D95FE3">
        <w:fldChar w:fldCharType="begin" w:fldLock="1"/>
      </w:r>
      <w:r w:rsidR="001C3948">
        <w:instrText>ADDIN CSL_CITATION {"citationItems":[{"id":"ITEM-1","itemData":{"DOI":"10.1111/cobi.13127","ISSN":"15231739","abstract":"The conservation and management of natural resources operates in social–ecological systems in which resource users are embedded in social and environmental contexts that influence their management decisions. Characterizing social networks of resource users can be used to inform understanding of social influences on decision making, and social network analysis (SNA) has emerged as a useful technique to explore these relationships. We synthesized how SNA has been used in 85 studies of natural resource management. We considered how social networks and social processes (e.g., interactions between individuals) influence each other and in turn influence social outcomes (e.g., decisions or actions) that affect environmental outcomes (e.g., improved condition). Descriptive methods were used in 58% of the studies to characterize social processes, and 42% of the studies compared multiple networks or multiple points in time to assess social or environmental outcomes. In 4 studies, authors assessed network interventions intended to affect social processes or environmental outcomes. The heterogeneity in case studies, methods, and analyses preclude general lessons. Thus, to structure and further learning about the role of social networks in achieving environmental outcomes, we created a typology that deconstructs social processes, social outcomes, and environmental outcomes into themes and options of social and ecological measures within each. We suggest shifts in research foci toward intervention studies to aid in understanding causality and inform the design of conservation initiatives. There is a need to develop clearer justification and guidance around the proliferation of network measures. The use of SNA in natural resource management is expanding rapidly; thus, now is the time for the conservation community to build a more rigorous evidence base to demonstrate the extent to which social networks can play a role in achieving desired social and environmental outcomes.","author":[{"dropping-particle":"","family":"Groce","given":"Julie E.","non-dropping-particle":"","parse-names":false,"suffix":""},{"dropping-particle":"","family":"Farrelly","given":"Megan A.","non-dropping-particle":"","parse-names":false,"suffix":""},{"dropping-particle":"","family":"Jorgensen","given":"Bradley S.","non-dropping-particle":"","parse-names":false,"suffix":""},{"dropping-particle":"","family":"Cook","given":"Carly N.","non-dropping-particle":"","parse-names":false,"suffix":""}],"container-title":"Conservation Biology","id":"ITEM-1","issue":"1","issued":{"date-parts":[["2018"]]},"page":"53-65","title":"Using social-network research to improve outcomes in natural resource management","type":"article-journal","volume":"33"},"uris":["http://www.mendeley.com/documents/?uuid=dbaead36-53af-4aca-a5fe-45a42b5f08f9"]},{"id":"ITEM-2","itemData":{"DOI":"10.5751/ES-07602-200236","abstract":"The importance of networks for social-ecological processes has been recognized in the literature; however, existing studies have not sufficiently addressed the dynamic nature of networks. Using data on the social learning networks of 265 farmers in Ethiopia for 2011 and 2012 and stochastic actor-oriented modeling, we explain the mechanisms of network evolution and soil conservation. The farmers’ preferences for information exchange within the same social groups support the creation of interactive, clustered, nonhierarchical structures within the evolving learning networks, which contributed to the diffusion of the practice of composting. The introduced methods can be applied to determine whether and how social networks can be used to facilitate environmental interventions in various contexts.","author":[{"dropping-particle":"","family":"Matous","given":"Petr","non-dropping-particle":"","parse-names":false,"suffix":""},{"dropping-particle":"","family":"Todo","given":"Yasuyuki","non-dropping-particle":"","parse-names":false,"suffix":""}],"container-title":"Ecology and Society","id":"ITEM-2","issue":"2","issued":{"date-parts":[["2015"]]},"title":"Exploring dynamic mechanisms of learning networks for resource conservation","type":"article-journal","volume":"20"},"uris":["http://www.mendeley.com/documents/?uuid=806cdd31-4a44-4417-b5bf-7d1433436e2d"]}],"mendeley":{"formattedCitation":"(Matous and Todo, 2015; Groce &lt;i&gt;et al.&lt;/i&gt;, 2018)","plainTextFormattedCitation":"(Matous and Todo, 2015; Groce et al., 2018)","previouslyFormattedCitation":"(Matous and Todo, 2015; Groce &lt;i&gt;et al.&lt;/i&gt;, 2018)"},"properties":{"noteIndex":0},"schema":"https://github.com/citation-style-language/schema/raw/master/csl-citation.json"}</w:instrText>
      </w:r>
      <w:r w:rsidR="00D95FE3">
        <w:fldChar w:fldCharType="separate"/>
      </w:r>
      <w:r w:rsidR="00636F5B" w:rsidRPr="00636F5B">
        <w:rPr>
          <w:noProof/>
        </w:rPr>
        <w:t xml:space="preserve">(Matous and Todo, 2015; Groce </w:t>
      </w:r>
      <w:r w:rsidR="00636F5B" w:rsidRPr="00636F5B">
        <w:rPr>
          <w:i/>
          <w:noProof/>
        </w:rPr>
        <w:t>et al.</w:t>
      </w:r>
      <w:r w:rsidR="00636F5B" w:rsidRPr="00636F5B">
        <w:rPr>
          <w:noProof/>
        </w:rPr>
        <w:t>, 2018)</w:t>
      </w:r>
      <w:r w:rsidR="00D95FE3">
        <w:fldChar w:fldCharType="end"/>
      </w:r>
      <w:r w:rsidR="00ED37B3">
        <w:t xml:space="preserve">. </w:t>
      </w:r>
      <w:r w:rsidR="00193A40">
        <w:t>I</w:t>
      </w:r>
      <w:r w:rsidR="00267EBE">
        <w:t xml:space="preserve">t is </w:t>
      </w:r>
      <w:r w:rsidR="00B464BE">
        <w:t xml:space="preserve">also </w:t>
      </w:r>
      <w:r w:rsidR="005021FB">
        <w:t>important to</w:t>
      </w:r>
      <w:r w:rsidR="00403FC2">
        <w:t xml:space="preserve"> </w:t>
      </w:r>
      <w:r w:rsidR="00B464BE">
        <w:t xml:space="preserve">find out </w:t>
      </w:r>
      <w:r w:rsidR="00267EBE">
        <w:t xml:space="preserve">how </w:t>
      </w:r>
      <w:r w:rsidR="00D72A9F">
        <w:t>agro</w:t>
      </w:r>
      <w:r w:rsidR="00403FC2">
        <w:t>ecological</w:t>
      </w:r>
      <w:r w:rsidR="00754F39">
        <w:t xml:space="preserve"> researchers </w:t>
      </w:r>
      <w:r w:rsidR="00403FC2">
        <w:t xml:space="preserve">and advocates </w:t>
      </w:r>
      <w:r w:rsidR="00267EBE">
        <w:t xml:space="preserve">may </w:t>
      </w:r>
      <w:r w:rsidR="00403FC2">
        <w:t xml:space="preserve">be </w:t>
      </w:r>
      <w:r w:rsidR="00267EBE">
        <w:t>affect</w:t>
      </w:r>
      <w:r w:rsidR="00403FC2">
        <w:t>ing</w:t>
      </w:r>
      <w:r w:rsidR="00267EBE">
        <w:t xml:space="preserve"> local networks and the process</w:t>
      </w:r>
      <w:r w:rsidR="00403FC2">
        <w:t>es</w:t>
      </w:r>
      <w:r w:rsidR="00267EBE">
        <w:t xml:space="preserve"> that take place </w:t>
      </w:r>
      <w:r w:rsidR="00CA4E95">
        <w:t>within</w:t>
      </w:r>
      <w:r w:rsidR="00267EBE">
        <w:t xml:space="preserve"> them as a side ef</w:t>
      </w:r>
      <w:r w:rsidR="00874322">
        <w:t>fect of their activities</w:t>
      </w:r>
      <w:r w:rsidR="00062F17">
        <w:t>,</w:t>
      </w:r>
      <w:r w:rsidR="002A7060">
        <w:t xml:space="preserve"> so that potential unintended negativ</w:t>
      </w:r>
      <w:r w:rsidR="00755470">
        <w:t>e effects</w:t>
      </w:r>
      <w:r w:rsidR="002A7060">
        <w:t xml:space="preserve"> can be avoided</w:t>
      </w:r>
      <w:r w:rsidR="00F651A0">
        <w:t xml:space="preserve"> </w:t>
      </w:r>
      <w:r w:rsidR="00F651A0">
        <w:fldChar w:fldCharType="begin" w:fldLock="1"/>
      </w:r>
      <w:r w:rsidR="00F651A0">
        <w:instrText>ADDIN CSL_CITATION {"citationItems":[{"id":"ITEM-1","itemData":{"DOI":"10.5751/ES-12734-260412","ISSN":"17083087","abstract":"Agroecosystem strategies to enhance agrobiodiversity can curb many of the negative impacts associated with current food production systems. With rising interest in agrobiodiversity and agroforestry as farming interventions that confer ecological and socioeconomic benefits, understanding the intended pathways of interventions is important for successful agroecological transformations. Yet, the patterns of agrobiodiversity introduction and adoption remain elusive. Drawing upon social network research from the regions of Ghana where cocoa (Theobroma cacao) is grown, we synthesize the relationships between agroforestry interventions, information networks, and the adoption of diversified agroecosystems. We illustrate middle-level patterns from independent studies in three regions of Ghana and nearly 500 farmer interviews. Strong structural indicators at the network level are linked to agrobiodiversity; farmers in larger, less dense information networks with ties to external organizations tend to have higher reported and measured agrobiodiversity. Remarkably, these trends were found in environmentally and socio-culturally different contexts in Ghana. However, these trends do not, in all cases, scale to the community level. For example, we did not observe any clear relationship between the density of community networks and the measures of agrobiodiversity at the community scale. This may be on account of the type of agrobiodiversity measure applied (above-ground biomass) to assess community-level outcomes. Selection of environmental attributes with meaningful spillover effects, such as pest management, would more likely uncover nontrivial network effects at the collective level. Our findings support that both innovation and cooperation are indispensable for successful agrobiodiversity interventions, and that networks can operate to overcome negative outcomes of agrobiodiversity. Based on these studies, we conclude that agrobiodiversity adoption via interventions and established farmer-to-farmer networks may trigger the formation of other, observation-based networks that draw in socially distant actors. Our research strategy of ex-post qualitative comparisons allowed for in-depth insight into the complexities of information networks and agrobiodiversity adoption but also generated new hypotheses on the role of social networks in diversified farming systems.","author":[{"dropping-particle":"","family":"Isaac","given":"Marney E.","non-dropping-particle":"","parse-names":false,"suffix":""},{"dropping-particle":"","family":"Nyantakyi-Frimpong","given":"Hanson","non-dropping-particle":"","parse-names":false,"suffix":""},{"dropping-particle":"","family":"Matouš","given":"Petr","non-dropping-particle":"","parse-names":false,"suffix":""},{"dropping-particle":"","family":"Dawoe","given":"Evans","non-dropping-particle":"","parse-names":false,"suffix":""},{"dropping-particle":"","family":"Anglaaere","given":"Luke C.N.","non-dropping-particle":"","parse-names":false,"suffix":""}],"container-title":"Ecology and Society","id":"ITEM-1","issue":"4","issued":{"date-parts":[["2021"]]},"title":"Farmer networks and agrobiodiversity interventions: The unintended outcomes of intended change","type":"article-journal","volume":"26"},"uris":["http://www.mendeley.com/documents/?uuid=a5d04974-982f-45aa-83fa-4577b6b5b4ae"]}],"mendeley":{"formattedCitation":"(Isaac &lt;i&gt;et al.&lt;/i&gt;, 2021)","plainTextFormattedCitation":"(Isaac et al., 2021)"},"properties":{"noteIndex":0},"schema":"https://github.com/citation-style-language/schema/raw/master/csl-citation.json"}</w:instrText>
      </w:r>
      <w:r w:rsidR="00F651A0">
        <w:fldChar w:fldCharType="separate"/>
      </w:r>
      <w:r w:rsidR="00F651A0" w:rsidRPr="00F651A0">
        <w:rPr>
          <w:noProof/>
        </w:rPr>
        <w:t xml:space="preserve">(Isaac </w:t>
      </w:r>
      <w:r w:rsidR="00F651A0" w:rsidRPr="00F651A0">
        <w:rPr>
          <w:i/>
          <w:noProof/>
        </w:rPr>
        <w:t>et al.</w:t>
      </w:r>
      <w:r w:rsidR="00F651A0" w:rsidRPr="00F651A0">
        <w:rPr>
          <w:noProof/>
        </w:rPr>
        <w:t>, 2021)</w:t>
      </w:r>
      <w:r w:rsidR="00F651A0">
        <w:fldChar w:fldCharType="end"/>
      </w:r>
      <w:r w:rsidR="002A7060">
        <w:t>.</w:t>
      </w:r>
      <w:r w:rsidR="005021FB">
        <w:t xml:space="preserve"> </w:t>
      </w:r>
    </w:p>
    <w:p w14:paraId="51F2748C" w14:textId="77777777" w:rsidR="00E82946" w:rsidRDefault="0079110E" w:rsidP="00E82946">
      <w:pPr>
        <w:pStyle w:val="NoSpacing"/>
        <w:ind w:firstLine="720"/>
      </w:pPr>
      <w:r>
        <w:t>Here</w:t>
      </w:r>
      <w:r w:rsidR="007B4BC8">
        <w:t xml:space="preserve"> we </w:t>
      </w:r>
      <w:r>
        <w:t>r</w:t>
      </w:r>
      <w:r w:rsidR="00D72A9F">
        <w:t>eport on the effects of an agro</w:t>
      </w:r>
      <w:r>
        <w:t xml:space="preserve">ecological research project on farming practices and </w:t>
      </w:r>
      <w:r w:rsidR="00231270">
        <w:t xml:space="preserve">the </w:t>
      </w:r>
      <w:r>
        <w:t>social network in a village community in Papua New Guinea (PNG).</w:t>
      </w:r>
      <w:r w:rsidR="003140A5">
        <w:t xml:space="preserve"> </w:t>
      </w:r>
      <w:r w:rsidR="00947CEC">
        <w:t xml:space="preserve">The research project aimed to investigate whether the use of fertilisers could increase the yields of swidden farmers </w:t>
      </w:r>
      <w:r w:rsidR="00947CEC">
        <w:fldChar w:fldCharType="begin" w:fldLock="1"/>
      </w:r>
      <w:r w:rsidR="001C3948">
        <w:instrText>ADDIN CSL_CITATION {"citationItems":[{"id":"ITEM-1","itemData":{"DOI":"10.1016/j.agsy.2021.103089","author":[{"dropping-particle":"","family":"Hazenbosch","given":"Mirjam","non-dropping-particle":"","parse-names":false,"suffix":""},{"dropping-particle":"","family":"Sui","given":"Shen","non-dropping-particle":"","parse-names":false,"suffix":""},{"dropping-particle":"","family":"Isua","given":"Brus","non-dropping-particle":"","parse-names":false,"suffix":""},{"dropping-particle":"","family":"Beauchamp","given":"Emilie","non-dropping-particle":"","parse-names":false,"suffix":""},{"dropping-particle":"","family":"Frouz","given":"Jan","non-dropping-particle":"","parse-names":false,"suffix":""},{"dropping-particle":"","family":"Imale","given":"Kiole","non-dropping-particle":"","parse-names":false,"suffix":""},{"dropping-particle":"","family":"Jimbudo","given":"Mavis","non-dropping-particle":"","parse-names":false,"suffix":""},{"dropping-particle":"","family":"Milner-Gulland","given":"E.J.","non-dropping-particle":"","parse-names":false,"suffix":""},{"dropping-particle":"","family":"Novotný","given":"Vojtěch","non-dropping-particle":"","parse-names":false,"suffix":""},{"dropping-particle":"","family":"Veselá","given":"Hana","non-dropping-particle":"","parse-names":false,"suffix":""},{"dropping-particle":"","family":"Morris","given":"Rebecca J.","non-dropping-particle":"","parse-names":false,"suffix":""}],"container-title":"Agricultural Systems","id":"ITEM-1","issued":{"date-parts":[["2021"]]},"title":"Using locally available fertilisers to enhance the yields of swidden farmers in Papua New Guinea","type":"article-journal","volume":"192"},"uris":["http://www.mendeley.com/documents/?uuid=19e20fb5-b1f8-4462-9206-74f9fab3c31c"]}],"mendeley":{"formattedCitation":"(Hazenbosch &lt;i&gt;et al.&lt;/i&gt;, 2021)","plainTextFormattedCitation":"(Hazenbosch et al., 2021)","previouslyFormattedCitation":"(Hazenbosch &lt;i&gt;et al.&lt;/i&gt;, 2021)"},"properties":{"noteIndex":0},"schema":"https://github.com/citation-style-language/schema/raw/master/csl-citation.json"}</w:instrText>
      </w:r>
      <w:r w:rsidR="00947CEC">
        <w:fldChar w:fldCharType="separate"/>
      </w:r>
      <w:r w:rsidR="00636F5B" w:rsidRPr="00636F5B">
        <w:rPr>
          <w:noProof/>
        </w:rPr>
        <w:t xml:space="preserve">(Hazenbosch </w:t>
      </w:r>
      <w:r w:rsidR="00636F5B" w:rsidRPr="00636F5B">
        <w:rPr>
          <w:i/>
          <w:noProof/>
        </w:rPr>
        <w:t>et al.</w:t>
      </w:r>
      <w:r w:rsidR="00636F5B" w:rsidRPr="00636F5B">
        <w:rPr>
          <w:noProof/>
        </w:rPr>
        <w:t>, 2021)</w:t>
      </w:r>
      <w:r w:rsidR="00947CEC">
        <w:fldChar w:fldCharType="end"/>
      </w:r>
      <w:r w:rsidR="00947CEC">
        <w:t xml:space="preserve">. </w:t>
      </w:r>
      <w:r w:rsidR="005D3D66">
        <w:t>T</w:t>
      </w:r>
      <w:r w:rsidR="00DE2B66">
        <w:t>o achieve</w:t>
      </w:r>
      <w:r w:rsidR="005D3D66">
        <w:t xml:space="preserve"> this, </w:t>
      </w:r>
      <w:r w:rsidR="00B325E6">
        <w:t>the research team</w:t>
      </w:r>
      <w:r w:rsidR="000D3715">
        <w:t xml:space="preserve"> </w:t>
      </w:r>
      <w:r w:rsidR="00891D99">
        <w:t>established</w:t>
      </w:r>
      <w:r w:rsidR="001A6A61">
        <w:t xml:space="preserve"> experimental plots on the</w:t>
      </w:r>
      <w:r w:rsidR="00A15C9F" w:rsidRPr="004D4BEC">
        <w:t xml:space="preserve"> fields</w:t>
      </w:r>
      <w:r w:rsidR="001A6A61">
        <w:t xml:space="preserve"> </w:t>
      </w:r>
      <w:r w:rsidR="007F3AAF">
        <w:t>of</w:t>
      </w:r>
      <w:r w:rsidR="00FE7957">
        <w:t xml:space="preserve"> swidden</w:t>
      </w:r>
      <w:r w:rsidR="00456AD1">
        <w:t xml:space="preserve"> farmers</w:t>
      </w:r>
      <w:r w:rsidR="004D06C3">
        <w:t>,</w:t>
      </w:r>
      <w:r w:rsidR="00B54A32">
        <w:t xml:space="preserve"> </w:t>
      </w:r>
      <w:r w:rsidR="007F3AAF">
        <w:t>appl</w:t>
      </w:r>
      <w:r w:rsidR="00164813">
        <w:t xml:space="preserve">ied locally </w:t>
      </w:r>
      <w:r w:rsidR="00FB3C78">
        <w:t>available fertilisers</w:t>
      </w:r>
      <w:r w:rsidR="00765527">
        <w:t>, and</w:t>
      </w:r>
      <w:r w:rsidR="00BA2C7D">
        <w:t xml:space="preserve"> </w:t>
      </w:r>
      <w:r w:rsidR="00FB3C78">
        <w:t>tracked soil quality and crop yields</w:t>
      </w:r>
      <w:r w:rsidR="00DE1194">
        <w:t xml:space="preserve"> </w:t>
      </w:r>
      <w:r w:rsidR="003C5885">
        <w:t xml:space="preserve">of sweet potato </w:t>
      </w:r>
      <w:r w:rsidR="00DE1194">
        <w:t xml:space="preserve">for 12 months. </w:t>
      </w:r>
      <w:r w:rsidR="00947CEC">
        <w:t xml:space="preserve">Depending on </w:t>
      </w:r>
      <w:r w:rsidR="001D1F01">
        <w:t>which fertiliser yielded the best results</w:t>
      </w:r>
      <w:r w:rsidR="008C7BDB">
        <w:t xml:space="preserve"> at the end of t</w:t>
      </w:r>
      <w:r w:rsidR="00EC2BBD">
        <w:t>he experimental trial</w:t>
      </w:r>
      <w:r w:rsidR="00947CEC">
        <w:t>, the</w:t>
      </w:r>
      <w:r w:rsidR="00692543">
        <w:t xml:space="preserve"> research</w:t>
      </w:r>
      <w:r w:rsidR="00FA4FBA">
        <w:t xml:space="preserve"> team</w:t>
      </w:r>
      <w:r w:rsidR="00947CEC">
        <w:t xml:space="preserve"> intended to </w:t>
      </w:r>
      <w:r w:rsidR="00CA4E95">
        <w:t>inform</w:t>
      </w:r>
      <w:r w:rsidR="00947CEC">
        <w:t xml:space="preserve"> </w:t>
      </w:r>
      <w:r w:rsidR="00C35841">
        <w:t>local farming practices</w:t>
      </w:r>
      <w:r w:rsidR="00947CEC">
        <w:t xml:space="preserve"> after the work had finished. However,</w:t>
      </w:r>
      <w:r w:rsidR="007B4BC8">
        <w:t xml:space="preserve"> we </w:t>
      </w:r>
      <w:r w:rsidR="00947CEC">
        <w:t>observed that even while the research took place, farming practices</w:t>
      </w:r>
      <w:r w:rsidR="00EC525E">
        <w:t xml:space="preserve"> and information-sharing practices among </w:t>
      </w:r>
      <w:r w:rsidR="007172DD">
        <w:t xml:space="preserve">local </w:t>
      </w:r>
      <w:r w:rsidR="00EC525E">
        <w:t>farmers</w:t>
      </w:r>
      <w:r w:rsidR="00947CEC">
        <w:t xml:space="preserve"> were changing.</w:t>
      </w:r>
      <w:r w:rsidR="007B4BC8">
        <w:t xml:space="preserve"> </w:t>
      </w:r>
      <w:r w:rsidR="00FB1C68">
        <w:t xml:space="preserve">This spontaneous diffusion was unexpected and not part of the original research design and hypotheses. </w:t>
      </w:r>
      <w:r w:rsidR="000E59DA">
        <w:t>We decided to track and quantify th</w:t>
      </w:r>
      <w:r w:rsidR="00E14CF5">
        <w:t>is spontaneous</w:t>
      </w:r>
      <w:r w:rsidR="000E59DA">
        <w:t xml:space="preserve"> diffusion to better understand how a</w:t>
      </w:r>
      <w:r w:rsidR="000E59DA" w:rsidRPr="008B643A">
        <w:t>groecological research can actively shape individuals’ behaviours and a community’s social network.</w:t>
      </w:r>
    </w:p>
    <w:p w14:paraId="3E5C9B96" w14:textId="720C0396" w:rsidR="009211DB" w:rsidRDefault="00EF5907" w:rsidP="00E82946">
      <w:pPr>
        <w:pStyle w:val="NoSpacing"/>
        <w:ind w:firstLine="720"/>
      </w:pPr>
      <w:r w:rsidRPr="002C1637">
        <w:t xml:space="preserve">In this study, </w:t>
      </w:r>
      <w:r w:rsidR="00DF4DBB">
        <w:t xml:space="preserve">therefore, </w:t>
      </w:r>
      <w:r w:rsidRPr="002C1637">
        <w:t>we investigate contemporaneous effects of our study on farming practices. In order to analyse these effects</w:t>
      </w:r>
      <w:r>
        <w:t>, w</w:t>
      </w:r>
      <w:r w:rsidR="007B4BC8">
        <w:t xml:space="preserve">e </w:t>
      </w:r>
      <w:r w:rsidR="00051829" w:rsidRPr="000265EE">
        <w:t xml:space="preserve">conceptualised </w:t>
      </w:r>
      <w:r w:rsidR="003140A5" w:rsidRPr="000265EE">
        <w:t xml:space="preserve">the </w:t>
      </w:r>
      <w:r w:rsidR="007B314A" w:rsidRPr="000265EE">
        <w:t>setting</w:t>
      </w:r>
      <w:r w:rsidR="003140A5" w:rsidRPr="000265EE">
        <w:t xml:space="preserve"> as a network system, </w:t>
      </w:r>
      <w:r w:rsidR="00485982" w:rsidRPr="000265EE">
        <w:t xml:space="preserve">and </w:t>
      </w:r>
      <w:r w:rsidR="00C1535B" w:rsidRPr="000265EE">
        <w:t>tracked</w:t>
      </w:r>
      <w:r w:rsidR="00531386" w:rsidRPr="000265EE">
        <w:t xml:space="preserve"> </w:t>
      </w:r>
      <w:r w:rsidR="00F26CBA" w:rsidRPr="000265EE">
        <w:t xml:space="preserve">and quantified </w:t>
      </w:r>
      <w:r w:rsidR="00531386" w:rsidRPr="000265EE">
        <w:t>the</w:t>
      </w:r>
      <w:r w:rsidR="001F5868" w:rsidRPr="000265EE">
        <w:t xml:space="preserve"> joint</w:t>
      </w:r>
      <w:r w:rsidR="003140A5" w:rsidRPr="000265EE">
        <w:t xml:space="preserve"> evolution</w:t>
      </w:r>
      <w:r w:rsidR="00C54805" w:rsidRPr="000265EE">
        <w:t xml:space="preserve"> of</w:t>
      </w:r>
      <w:r w:rsidR="000C278D" w:rsidRPr="000265EE">
        <w:t xml:space="preserve"> farming practices and </w:t>
      </w:r>
      <w:r w:rsidR="0013423C">
        <w:t xml:space="preserve">the </w:t>
      </w:r>
      <w:r w:rsidR="00531386" w:rsidRPr="000265EE">
        <w:t>social network</w:t>
      </w:r>
      <w:r w:rsidR="001E1FA7" w:rsidRPr="000265EE">
        <w:t xml:space="preserve">. </w:t>
      </w:r>
      <w:r w:rsidR="007B4BC8">
        <w:t>We</w:t>
      </w:r>
      <w:r w:rsidR="000D3715">
        <w:t xml:space="preserve"> </w:t>
      </w:r>
      <w:r w:rsidR="00531386" w:rsidRPr="000265EE">
        <w:lastRenderedPageBreak/>
        <w:t>estimated the underlying processes through simulations</w:t>
      </w:r>
      <w:r w:rsidR="00386761" w:rsidRPr="000265EE">
        <w:t xml:space="preserve"> using stochastic actor-oriented modelling</w:t>
      </w:r>
      <w:r w:rsidR="00531386" w:rsidRPr="000265EE">
        <w:t xml:space="preserve">. </w:t>
      </w:r>
      <w:r w:rsidR="00175497">
        <w:t xml:space="preserve">The results </w:t>
      </w:r>
      <w:r w:rsidR="00471B37">
        <w:t xml:space="preserve">challenge often-held </w:t>
      </w:r>
      <w:r w:rsidR="000C5F70">
        <w:t xml:space="preserve">assumptions </w:t>
      </w:r>
      <w:r w:rsidR="00D72A9F">
        <w:t>by agro</w:t>
      </w:r>
      <w:r w:rsidR="000D0635">
        <w:t>ecological</w:t>
      </w:r>
      <w:r w:rsidR="00754F39">
        <w:t xml:space="preserve"> researchers</w:t>
      </w:r>
      <w:r w:rsidR="000C5F70">
        <w:t xml:space="preserve"> and advocates</w:t>
      </w:r>
      <w:r w:rsidR="009211DB">
        <w:t>.</w:t>
      </w:r>
      <w:r w:rsidR="00CA4E95">
        <w:t xml:space="preserve"> They also</w:t>
      </w:r>
      <w:r w:rsidR="00887C37">
        <w:t xml:space="preserve"> </w:t>
      </w:r>
      <w:r w:rsidR="00106CEA">
        <w:t xml:space="preserve">help </w:t>
      </w:r>
      <w:r w:rsidR="0051780E">
        <w:t>explore</w:t>
      </w:r>
      <w:r w:rsidR="009211DB">
        <w:t xml:space="preserve"> what </w:t>
      </w:r>
      <w:r w:rsidR="00471B37">
        <w:t>type of agricultural innovations are likely to be accepted</w:t>
      </w:r>
      <w:r w:rsidR="009211DB">
        <w:t xml:space="preserve"> </w:t>
      </w:r>
      <w:r w:rsidR="000E77E2">
        <w:t>among farmers</w:t>
      </w:r>
      <w:r w:rsidR="00CA4E95">
        <w:t xml:space="preserve"> in this setting</w:t>
      </w:r>
      <w:r w:rsidR="000E77E2">
        <w:t>, and</w:t>
      </w:r>
      <w:r w:rsidR="00CC6628">
        <w:t xml:space="preserve"> </w:t>
      </w:r>
      <w:r w:rsidR="000E77E2">
        <w:t>how practices may</w:t>
      </w:r>
      <w:r w:rsidR="00501F34">
        <w:t xml:space="preserve"> be most effectively </w:t>
      </w:r>
      <w:r w:rsidR="000E77E2">
        <w:t xml:space="preserve">promoted </w:t>
      </w:r>
      <w:r w:rsidR="00050D6C">
        <w:t>within a community.</w:t>
      </w:r>
    </w:p>
    <w:p w14:paraId="792825F5" w14:textId="7B259530" w:rsidR="00E360FE" w:rsidRDefault="00E360FE" w:rsidP="00050D6C">
      <w:pPr>
        <w:pStyle w:val="NoSpacing"/>
        <w:ind w:firstLine="720"/>
      </w:pPr>
    </w:p>
    <w:p w14:paraId="08D8D864" w14:textId="74E29168" w:rsidR="00113C03" w:rsidRDefault="00113C03" w:rsidP="00114835">
      <w:pPr>
        <w:pStyle w:val="Heading2"/>
        <w:numPr>
          <w:ilvl w:val="1"/>
          <w:numId w:val="22"/>
        </w:numPr>
      </w:pPr>
      <w:r w:rsidRPr="0005148E">
        <w:t>Materials and Methods</w:t>
      </w:r>
    </w:p>
    <w:p w14:paraId="6DE9EB36" w14:textId="77777777" w:rsidR="00D306AB" w:rsidRPr="0005148E" w:rsidRDefault="00D306AB" w:rsidP="00D306AB">
      <w:pPr>
        <w:pStyle w:val="NoSpacing"/>
        <w:ind w:left="360"/>
        <w:rPr>
          <w:b/>
          <w:i/>
        </w:rPr>
      </w:pPr>
    </w:p>
    <w:p w14:paraId="40D14850" w14:textId="5029ECB4" w:rsidR="00113C03" w:rsidRDefault="00113C03" w:rsidP="00703C04">
      <w:pPr>
        <w:pStyle w:val="Heading3"/>
        <w:numPr>
          <w:ilvl w:val="2"/>
          <w:numId w:val="22"/>
        </w:numPr>
      </w:pPr>
      <w:r>
        <w:t>Context</w:t>
      </w:r>
    </w:p>
    <w:p w14:paraId="5CF16587" w14:textId="77777777" w:rsidR="008506E7" w:rsidRDefault="008506E7" w:rsidP="008506E7">
      <w:pPr>
        <w:pStyle w:val="NoSpacing"/>
        <w:ind w:left="792"/>
        <w:rPr>
          <w:i/>
        </w:rPr>
      </w:pPr>
    </w:p>
    <w:p w14:paraId="5CEF5B95" w14:textId="5F5A80BF" w:rsidR="000D57F0" w:rsidRDefault="0086644E" w:rsidP="006D5DBE">
      <w:pPr>
        <w:pStyle w:val="NoSpacing"/>
      </w:pPr>
      <w:r>
        <w:t>In</w:t>
      </w:r>
      <w:r w:rsidR="00F5770A">
        <w:t xml:space="preserve"> February 2018</w:t>
      </w:r>
      <w:r w:rsidR="0013423C">
        <w:t xml:space="preserve">, together with </w:t>
      </w:r>
      <w:r w:rsidR="001E7AE3">
        <w:t xml:space="preserve">a team of Papua New Guinean </w:t>
      </w:r>
      <w:r>
        <w:t>researchers</w:t>
      </w:r>
      <w:r w:rsidR="00A57A3B">
        <w:t>,</w:t>
      </w:r>
      <w:r w:rsidR="007B4BC8">
        <w:t xml:space="preserve"> we </w:t>
      </w:r>
      <w:r w:rsidR="00CC16AB">
        <w:t xml:space="preserve">entered </w:t>
      </w:r>
      <w:proofErr w:type="spellStart"/>
      <w:r w:rsidR="00193A40">
        <w:t>Ohu</w:t>
      </w:r>
      <w:proofErr w:type="spellEnd"/>
      <w:r w:rsidR="00193A40">
        <w:t xml:space="preserve"> </w:t>
      </w:r>
      <w:r w:rsidR="00587C60">
        <w:t>village</w:t>
      </w:r>
      <w:r w:rsidR="00095072">
        <w:t xml:space="preserve"> </w:t>
      </w:r>
      <w:r w:rsidR="008B62CD">
        <w:t>(S 05</w:t>
      </w:r>
      <w:r w:rsidR="008B62CD">
        <w:rPr>
          <w:rFonts w:cstheme="minorHAnsi"/>
        </w:rPr>
        <w:t>°</w:t>
      </w:r>
      <w:r w:rsidR="008B62CD">
        <w:t>13.081’, E 145</w:t>
      </w:r>
      <w:r w:rsidR="008B62CD">
        <w:rPr>
          <w:rFonts w:cstheme="minorHAnsi"/>
        </w:rPr>
        <w:t>°</w:t>
      </w:r>
      <w:r w:rsidR="00DE6E1A">
        <w:t>40.735’</w:t>
      </w:r>
      <w:r w:rsidR="008B62CD">
        <w:t xml:space="preserve">) </w:t>
      </w:r>
      <w:r w:rsidR="002E301B">
        <w:t>to con</w:t>
      </w:r>
      <w:r w:rsidR="00E7503E">
        <w:t xml:space="preserve">duct </w:t>
      </w:r>
      <w:r w:rsidR="002E301B">
        <w:t xml:space="preserve">scoping research </w:t>
      </w:r>
      <w:r w:rsidR="00D1047F">
        <w:t xml:space="preserve">on </w:t>
      </w:r>
      <w:r w:rsidR="00DE6E1A">
        <w:t>soil quality and crop yields</w:t>
      </w:r>
      <w:r w:rsidR="001624F1">
        <w:t xml:space="preserve">. </w:t>
      </w:r>
      <w:proofErr w:type="spellStart"/>
      <w:r w:rsidR="001624F1">
        <w:t>Ohu</w:t>
      </w:r>
      <w:proofErr w:type="spellEnd"/>
      <w:r w:rsidR="001624F1">
        <w:t xml:space="preserve"> has </w:t>
      </w:r>
      <w:r w:rsidR="00397AB5">
        <w:t xml:space="preserve">hosted various research projects since 1995, and has </w:t>
      </w:r>
      <w:r w:rsidR="001624F1">
        <w:t xml:space="preserve">a </w:t>
      </w:r>
      <w:r w:rsidR="00713B64">
        <w:t>long-standing</w:t>
      </w:r>
      <w:r w:rsidR="001119E7">
        <w:t xml:space="preserve"> collaboration with T</w:t>
      </w:r>
      <w:r w:rsidR="001624F1">
        <w:t xml:space="preserve">he New Guinea </w:t>
      </w:r>
      <w:proofErr w:type="spellStart"/>
      <w:r w:rsidR="001624F1">
        <w:t>Bi</w:t>
      </w:r>
      <w:r w:rsidR="00AF5144">
        <w:t>natang</w:t>
      </w:r>
      <w:proofErr w:type="spellEnd"/>
      <w:r w:rsidR="00AF5144">
        <w:t xml:space="preserve"> Research Centre</w:t>
      </w:r>
      <w:r w:rsidR="00507E94">
        <w:t xml:space="preserve"> (NGBRC)</w:t>
      </w:r>
      <w:r w:rsidR="00AF5144">
        <w:t>, a local non-profit organisation</w:t>
      </w:r>
      <w:r w:rsidR="00A46BF6">
        <w:t xml:space="preserve"> committed to conducting biological re</w:t>
      </w:r>
      <w:r w:rsidR="009C5A3B">
        <w:t>search and conservation.</w:t>
      </w:r>
      <w:r w:rsidR="002C6180">
        <w:t xml:space="preserve"> </w:t>
      </w:r>
      <w:r w:rsidR="008156AC">
        <w:t xml:space="preserve">NGBRC research projects have been a significant source of income and opportunity for training in </w:t>
      </w:r>
      <w:proofErr w:type="spellStart"/>
      <w:r w:rsidR="008156AC">
        <w:t>Ohu</w:t>
      </w:r>
      <w:proofErr w:type="spellEnd"/>
      <w:r w:rsidR="008156AC">
        <w:t xml:space="preserve">, and several members of </w:t>
      </w:r>
      <w:proofErr w:type="spellStart"/>
      <w:r w:rsidR="008156AC">
        <w:t>Ohu</w:t>
      </w:r>
      <w:proofErr w:type="spellEnd"/>
      <w:r w:rsidR="008156AC">
        <w:t xml:space="preserve"> community have gone on to become full-time staff with NGBRC.</w:t>
      </w:r>
      <w:r w:rsidR="00BE2082">
        <w:t xml:space="preserve"> Most research in </w:t>
      </w:r>
      <w:proofErr w:type="spellStart"/>
      <w:r w:rsidR="00BE2082">
        <w:t>Ohu</w:t>
      </w:r>
      <w:proofErr w:type="spellEnd"/>
      <w:r w:rsidR="00BE2082">
        <w:t xml:space="preserve"> done so far focused </w:t>
      </w:r>
      <w:r w:rsidR="00684F6B">
        <w:t>on studying insects, plants, birds, bats and fungi found in the local forests</w:t>
      </w:r>
      <w:r w:rsidR="00366138">
        <w:t xml:space="preserve"> (</w:t>
      </w:r>
      <w:proofErr w:type="spellStart"/>
      <w:r w:rsidR="00366138">
        <w:t>Weiblen</w:t>
      </w:r>
      <w:proofErr w:type="spellEnd"/>
      <w:r w:rsidR="00366138">
        <w:t xml:space="preserve"> and Moe, 2016)</w:t>
      </w:r>
      <w:r w:rsidR="00BE2082">
        <w:t xml:space="preserve">. We were one of the first research projects in </w:t>
      </w:r>
      <w:proofErr w:type="spellStart"/>
      <w:r w:rsidR="00BE2082">
        <w:t>Ohu</w:t>
      </w:r>
      <w:proofErr w:type="spellEnd"/>
      <w:r w:rsidR="00BE2082">
        <w:t xml:space="preserve"> to focus on swidden agriculture specifically. </w:t>
      </w:r>
      <w:r w:rsidR="00056BE2">
        <w:t xml:space="preserve">To our knowledge, no other agriculture-related projects were conducted in </w:t>
      </w:r>
      <w:proofErr w:type="spellStart"/>
      <w:r w:rsidR="00056BE2">
        <w:t>Ohu</w:t>
      </w:r>
      <w:proofErr w:type="spellEnd"/>
      <w:r w:rsidR="00056BE2">
        <w:t xml:space="preserve"> from 2018 to 2019.</w:t>
      </w:r>
    </w:p>
    <w:p w14:paraId="4AD8C7A8" w14:textId="642A5EC9" w:rsidR="001006B7" w:rsidRDefault="0085798E" w:rsidP="000D57F0">
      <w:pPr>
        <w:pStyle w:val="NoSpacing"/>
        <w:ind w:firstLine="720"/>
      </w:pPr>
      <w:r>
        <w:t xml:space="preserve">In August 2018, </w:t>
      </w:r>
      <w:r w:rsidR="003566EB">
        <w:t>the research team was granted permission from local leaders to set</w:t>
      </w:r>
      <w:r w:rsidR="00D1047F">
        <w:t xml:space="preserve"> </w:t>
      </w:r>
      <w:r w:rsidR="003566EB">
        <w:t xml:space="preserve">up experimental gardens. </w:t>
      </w:r>
      <w:r w:rsidR="00437C1E">
        <w:t xml:space="preserve">Ten gardens were </w:t>
      </w:r>
      <w:r w:rsidR="00C374D7">
        <w:t>established</w:t>
      </w:r>
      <w:r w:rsidR="00437C1E">
        <w:t xml:space="preserve"> on the land of local farmers</w:t>
      </w:r>
      <w:r w:rsidR="00A96DCD">
        <w:t xml:space="preserve">. </w:t>
      </w:r>
      <w:r w:rsidR="00FC7C1E">
        <w:t xml:space="preserve">Some </w:t>
      </w:r>
      <w:r w:rsidR="00097267">
        <w:t xml:space="preserve">farmers were involved </w:t>
      </w:r>
      <w:r w:rsidR="00267F35">
        <w:t xml:space="preserve">in the research project </w:t>
      </w:r>
      <w:r w:rsidR="00097267">
        <w:t xml:space="preserve">as </w:t>
      </w:r>
      <w:r w:rsidR="002D6411">
        <w:t xml:space="preserve">project </w:t>
      </w:r>
      <w:r w:rsidR="00097267">
        <w:t xml:space="preserve">garden </w:t>
      </w:r>
      <w:r w:rsidR="00667ADD">
        <w:t>owners or research assistants. Project g</w:t>
      </w:r>
      <w:r w:rsidR="00097267">
        <w:t xml:space="preserve">arden owners were actively involved in monitoring of the gardens, </w:t>
      </w:r>
      <w:r w:rsidR="00366C6E">
        <w:t>whereas</w:t>
      </w:r>
      <w:r w:rsidR="00193A40">
        <w:t xml:space="preserve"> </w:t>
      </w:r>
      <w:r w:rsidR="008B6D99">
        <w:t xml:space="preserve">research assistants contributed to </w:t>
      </w:r>
      <w:r w:rsidR="008C0ACF">
        <w:t>preparing</w:t>
      </w:r>
      <w:r w:rsidR="00CE4079">
        <w:t xml:space="preserve"> and harvesting </w:t>
      </w:r>
      <w:r w:rsidR="00097267">
        <w:t xml:space="preserve">the gardens. </w:t>
      </w:r>
      <w:r w:rsidR="00DD0082">
        <w:t>The</w:t>
      </w:r>
      <w:r w:rsidR="009F7877">
        <w:t xml:space="preserve"> local assistants came fr</w:t>
      </w:r>
      <w:r w:rsidR="00A061BC">
        <w:t xml:space="preserve">om four different clans, </w:t>
      </w:r>
      <w:r w:rsidR="002774AE">
        <w:t xml:space="preserve">out of a </w:t>
      </w:r>
      <w:r w:rsidR="00645CAC">
        <w:t>total of 11</w:t>
      </w:r>
      <w:r w:rsidR="009F7877">
        <w:t xml:space="preserve"> clans</w:t>
      </w:r>
      <w:r w:rsidR="00AA5480">
        <w:t xml:space="preserve"> </w:t>
      </w:r>
      <w:r w:rsidR="005728AA">
        <w:t xml:space="preserve">which make up </w:t>
      </w:r>
      <w:proofErr w:type="spellStart"/>
      <w:r w:rsidR="005728AA">
        <w:t>Ohu</w:t>
      </w:r>
      <w:proofErr w:type="spellEnd"/>
      <w:r w:rsidR="005728AA">
        <w:t xml:space="preserve"> village</w:t>
      </w:r>
      <w:r w:rsidR="009F7877">
        <w:t xml:space="preserve">. </w:t>
      </w:r>
      <w:r w:rsidR="008022B9">
        <w:t>In the experimental</w:t>
      </w:r>
      <w:r w:rsidR="00554ABA">
        <w:t xml:space="preserve"> gardens </w:t>
      </w:r>
      <w:r w:rsidR="00554ABA">
        <w:lastRenderedPageBreak/>
        <w:t xml:space="preserve">the effect of different soil enhancement techniques, including </w:t>
      </w:r>
      <w:r w:rsidR="00AA5480">
        <w:t xml:space="preserve">applying </w:t>
      </w:r>
      <w:r w:rsidR="00EF65F3">
        <w:t xml:space="preserve">banana peel </w:t>
      </w:r>
      <w:r w:rsidR="00554ABA">
        <w:t xml:space="preserve">compost, chicken manure and </w:t>
      </w:r>
      <w:r w:rsidR="00285F1D">
        <w:t xml:space="preserve">commercial </w:t>
      </w:r>
      <w:r w:rsidR="00554ABA">
        <w:t xml:space="preserve">NPK fertiliser </w:t>
      </w:r>
      <w:r w:rsidR="00D82602">
        <w:t>on soil quality and crop yield were</w:t>
      </w:r>
      <w:r w:rsidR="00554ABA">
        <w:t xml:space="preserve"> tested. Traditionally</w:t>
      </w:r>
      <w:r w:rsidR="00B45DE7">
        <w:t>,</w:t>
      </w:r>
      <w:r w:rsidR="002948A5">
        <w:t xml:space="preserve"> farmers in </w:t>
      </w:r>
      <w:proofErr w:type="spellStart"/>
      <w:r w:rsidR="002948A5">
        <w:t>Ohu</w:t>
      </w:r>
      <w:proofErr w:type="spellEnd"/>
      <w:r w:rsidR="002948A5">
        <w:t xml:space="preserve"> do not </w:t>
      </w:r>
      <w:r w:rsidR="00554ABA">
        <w:t xml:space="preserve">use these fertilisers in their food gardens </w:t>
      </w:r>
      <w:r w:rsidR="00554ABA">
        <w:fldChar w:fldCharType="begin" w:fldLock="1"/>
      </w:r>
      <w:r w:rsidR="001C3948">
        <w:instrText>ADDIN CSL_CITATION {"citationItems":[{"id":"ITEM-1","itemData":{"DOI":"10.1016/j.agsy.2021.103089","author":[{"dropping-particle":"","family":"Hazenbosch","given":"Mirjam","non-dropping-particle":"","parse-names":false,"suffix":""},{"dropping-particle":"","family":"Sui","given":"Shen","non-dropping-particle":"","parse-names":false,"suffix":""},{"dropping-particle":"","family":"Isua","given":"Brus","non-dropping-particle":"","parse-names":false,"suffix":""},{"dropping-particle":"","family":"Beauchamp","given":"Emilie","non-dropping-particle":"","parse-names":false,"suffix":""},{"dropping-particle":"","family":"Frouz","given":"Jan","non-dropping-particle":"","parse-names":false,"suffix":""},{"dropping-particle":"","family":"Imale","given":"Kiole","non-dropping-particle":"","parse-names":false,"suffix":""},{"dropping-particle":"","family":"Jimbudo","given":"Mavis","non-dropping-particle":"","parse-names":false,"suffix":""},{"dropping-particle":"","family":"Milner-Gulland","given":"E.J.","non-dropping-particle":"","parse-names":false,"suffix":""},{"dropping-particle":"","family":"Novotný","given":"Vojtěch","non-dropping-particle":"","parse-names":false,"suffix":""},{"dropping-particle":"","family":"Veselá","given":"Hana","non-dropping-particle":"","parse-names":false,"suffix":""},{"dropping-particle":"","family":"Morris","given":"Rebecca J.","non-dropping-particle":"","parse-names":false,"suffix":""}],"container-title":"Agricultural Systems","id":"ITEM-1","issued":{"date-parts":[["2021"]]},"title":"Using locally available fertilisers to enhance the yields of swidden farmers in Papua New Guinea","type":"article-journal","volume":"192"},"uris":["http://www.mendeley.com/documents/?uuid=19e20fb5-b1f8-4462-9206-74f9fab3c31c"]}],"mendeley":{"formattedCitation":"(Hazenbosch &lt;i&gt;et al.&lt;/i&gt;, 2021)","plainTextFormattedCitation":"(Hazenbosch et al., 2021)","previouslyFormattedCitation":"(Hazenbosch &lt;i&gt;et al.&lt;/i&gt;, 2021)"},"properties":{"noteIndex":0},"schema":"https://github.com/citation-style-language/schema/raw/master/csl-citation.json"}</w:instrText>
      </w:r>
      <w:r w:rsidR="00554ABA">
        <w:fldChar w:fldCharType="separate"/>
      </w:r>
      <w:r w:rsidR="00636F5B" w:rsidRPr="00636F5B">
        <w:rPr>
          <w:noProof/>
        </w:rPr>
        <w:t xml:space="preserve">(Hazenbosch </w:t>
      </w:r>
      <w:r w:rsidR="00636F5B" w:rsidRPr="00636F5B">
        <w:rPr>
          <w:i/>
          <w:noProof/>
        </w:rPr>
        <w:t>et al.</w:t>
      </w:r>
      <w:r w:rsidR="00636F5B" w:rsidRPr="00636F5B">
        <w:rPr>
          <w:noProof/>
        </w:rPr>
        <w:t>, 2021)</w:t>
      </w:r>
      <w:r w:rsidR="00554ABA">
        <w:fldChar w:fldCharType="end"/>
      </w:r>
      <w:r w:rsidR="00554ABA">
        <w:t xml:space="preserve">. </w:t>
      </w:r>
      <w:r w:rsidR="00C17177">
        <w:t>S</w:t>
      </w:r>
      <w:r w:rsidR="00554ABA">
        <w:t>weet</w:t>
      </w:r>
      <w:r w:rsidR="004855D7">
        <w:t xml:space="preserve"> </w:t>
      </w:r>
      <w:r w:rsidR="00554ABA">
        <w:t>potato</w:t>
      </w:r>
      <w:r w:rsidR="004855D7">
        <w:t xml:space="preserve"> </w:t>
      </w:r>
      <w:r w:rsidR="00C4358D">
        <w:t>(</w:t>
      </w:r>
      <w:r w:rsidR="00D52F2F">
        <w:rPr>
          <w:i/>
        </w:rPr>
        <w:t>Ipomoea batatas</w:t>
      </w:r>
      <w:r w:rsidR="00D52F2F">
        <w:t>)</w:t>
      </w:r>
      <w:r w:rsidR="00C4358D">
        <w:t xml:space="preserve"> </w:t>
      </w:r>
      <w:r w:rsidR="00496B81">
        <w:t>was</w:t>
      </w:r>
      <w:r w:rsidR="00997D75">
        <w:t xml:space="preserve"> chosen as the focal crop as </w:t>
      </w:r>
      <w:r w:rsidR="00554ABA">
        <w:t xml:space="preserve">it is a staple in PNG </w:t>
      </w:r>
      <w:r w:rsidR="00554ABA">
        <w:fldChar w:fldCharType="begin" w:fldLock="1"/>
      </w:r>
      <w:r w:rsidR="001C3948">
        <w:instrText>ADDIN CSL_CITATION {"citationItems":[{"id":"ITEM-1","itemData":{"ISBN":"1921536616","abstract":"Agriculture dominates the rural economy of Papua New Guinea (PNG). More than five million rural dwellers (80% of the population) earn a living from subsistence agriculture and selling crops in domestic and international markets. Many aspects of agriculture in PNG are described in this data-rich book. Topics include agricultural environments in which crops are grown; production of food crops, cash crops and animals; land use; soils; demography; migration; the macro-economic environment; gender issues; governance of agricultural institutions; and transport. The history of agriculture over the 50 000 years that PNG has been occupied by humans is summarised. Much of the information presented is not readily available within PNG. The book contains results of many new analyses, including a food budget for the entire nation. The text is supported by 165 tables and 215 maps and figures.","editor":[{"dropping-particle":"","family":"Bourke","given":"R. M.","non-dropping-particle":"","parse-names":false,"suffix":""},{"dropping-particle":"","family":"Harwood","given":"T. A.","non-dropping-particle":"","parse-names":false,"suffix":""}],"id":"ITEM-1","issued":{"date-parts":[["2009"]]},"publisher":"ANU E Press","publisher-place":"Canberra","title":"Food and agriculture in Papua New Guinea","type":"book"},"uris":["http://www.mendeley.com/documents/?uuid=0c6c348f-3fed-4183-955d-348d6a14db09"]}],"mendeley":{"formattedCitation":"(Bourke and Harwood, 2009)","plainTextFormattedCitation":"(Bourke and Harwood, 2009)","previouslyFormattedCitation":"(Bourke and Harwood, 2009)"},"properties":{"noteIndex":0},"schema":"https://github.com/citation-style-language/schema/raw/master/csl-citation.json"}</w:instrText>
      </w:r>
      <w:r w:rsidR="00554ABA">
        <w:fldChar w:fldCharType="separate"/>
      </w:r>
      <w:r w:rsidR="00636F5B" w:rsidRPr="00636F5B">
        <w:rPr>
          <w:noProof/>
        </w:rPr>
        <w:t>(Bourke and Harwood, 2009)</w:t>
      </w:r>
      <w:r w:rsidR="00554ABA">
        <w:fldChar w:fldCharType="end"/>
      </w:r>
      <w:r w:rsidR="00554ABA">
        <w:t xml:space="preserve">. </w:t>
      </w:r>
      <w:r w:rsidR="007B4BC8">
        <w:t>We</w:t>
      </w:r>
      <w:r w:rsidR="000D3715">
        <w:t xml:space="preserve"> </w:t>
      </w:r>
      <w:r w:rsidR="004A1B0E">
        <w:t>asked a local farmer to select a suit</w:t>
      </w:r>
      <w:r w:rsidR="00BD7687">
        <w:t>able variety of sweet potato</w:t>
      </w:r>
      <w:r w:rsidR="0000174C">
        <w:t>,</w:t>
      </w:r>
      <w:r w:rsidR="00C4358D">
        <w:t xml:space="preserve"> which </w:t>
      </w:r>
      <w:r w:rsidR="00AA5480">
        <w:t>the team</w:t>
      </w:r>
      <w:r w:rsidR="000D3715">
        <w:t xml:space="preserve"> </w:t>
      </w:r>
      <w:r w:rsidR="00C4358D">
        <w:t>could grow in the experimental garden</w:t>
      </w:r>
      <w:r w:rsidR="00E73D4B">
        <w:t>s</w:t>
      </w:r>
      <w:r w:rsidR="0028210B">
        <w:t>. The farmer</w:t>
      </w:r>
      <w:r w:rsidR="004A1B0E">
        <w:t xml:space="preserve"> selected </w:t>
      </w:r>
      <w:r w:rsidR="002948A5">
        <w:t>one</w:t>
      </w:r>
      <w:r w:rsidR="004A1B0E">
        <w:t xml:space="preserve"> </w:t>
      </w:r>
      <w:r w:rsidR="00E73D4B">
        <w:t xml:space="preserve">variety </w:t>
      </w:r>
      <w:r w:rsidR="004A1B0E">
        <w:t xml:space="preserve">locally called </w:t>
      </w:r>
      <w:r w:rsidR="00382030">
        <w:t>‘</w:t>
      </w:r>
      <w:r w:rsidR="004A1B0E">
        <w:t xml:space="preserve">wan </w:t>
      </w:r>
      <w:proofErr w:type="spellStart"/>
      <w:r w:rsidR="004A1B0E">
        <w:t>mun</w:t>
      </w:r>
      <w:proofErr w:type="spellEnd"/>
      <w:r w:rsidR="004A1B0E">
        <w:t xml:space="preserve"> </w:t>
      </w:r>
      <w:proofErr w:type="spellStart"/>
      <w:r w:rsidR="004A1B0E">
        <w:t>kaukau</w:t>
      </w:r>
      <w:proofErr w:type="spellEnd"/>
      <w:r w:rsidR="00382030">
        <w:t>’</w:t>
      </w:r>
      <w:r w:rsidR="00C4358D">
        <w:t>.</w:t>
      </w:r>
      <w:r w:rsidR="00C75AD1">
        <w:t xml:space="preserve"> It later turned out that the farmer </w:t>
      </w:r>
      <w:r w:rsidR="004A1B0E">
        <w:t xml:space="preserve">did not have much experience </w:t>
      </w:r>
      <w:r w:rsidR="0028210B">
        <w:t>gro</w:t>
      </w:r>
      <w:r w:rsidR="00B9636D">
        <w:t xml:space="preserve">wing this specific variety, </w:t>
      </w:r>
      <w:r w:rsidR="00143973">
        <w:t xml:space="preserve">so </w:t>
      </w:r>
      <w:r w:rsidR="00B9636D">
        <w:t>was keen f</w:t>
      </w:r>
      <w:r w:rsidR="002857D0">
        <w:t xml:space="preserve">or </w:t>
      </w:r>
      <w:r w:rsidR="00724A4D">
        <w:t>us</w:t>
      </w:r>
      <w:r w:rsidR="00E82315">
        <w:t xml:space="preserve"> </w:t>
      </w:r>
      <w:r w:rsidR="00B91BC8">
        <w:t>t</w:t>
      </w:r>
      <w:r w:rsidR="00B716FC">
        <w:t>o t</w:t>
      </w:r>
      <w:r w:rsidR="00BA3184">
        <w:t>ry it</w:t>
      </w:r>
      <w:r w:rsidR="00B91BC8">
        <w:t>.</w:t>
      </w:r>
      <w:r w:rsidR="000D7115">
        <w:t xml:space="preserve"> The experimental gardens were actively used for research throughout the following year. </w:t>
      </w:r>
    </w:p>
    <w:p w14:paraId="6994072A" w14:textId="77777777" w:rsidR="00E95230" w:rsidRDefault="00E95230" w:rsidP="006D5DBE">
      <w:pPr>
        <w:pStyle w:val="NoSpacing"/>
      </w:pPr>
    </w:p>
    <w:p w14:paraId="37CFF072" w14:textId="52E93B78" w:rsidR="00A82D98" w:rsidRDefault="00A82D98" w:rsidP="00AA6F40">
      <w:pPr>
        <w:pStyle w:val="Heading3"/>
        <w:numPr>
          <w:ilvl w:val="2"/>
          <w:numId w:val="22"/>
        </w:numPr>
      </w:pPr>
      <w:r>
        <w:t>Survey</w:t>
      </w:r>
    </w:p>
    <w:p w14:paraId="1E890921" w14:textId="5C7B1E9E" w:rsidR="00DE67EF" w:rsidRDefault="00DE67EF" w:rsidP="00DE67EF">
      <w:pPr>
        <w:pStyle w:val="NoSpacing"/>
        <w:rPr>
          <w:i/>
        </w:rPr>
      </w:pPr>
    </w:p>
    <w:p w14:paraId="06DBA127" w14:textId="521287D7" w:rsidR="00A54AAB" w:rsidRDefault="004C32CE" w:rsidP="000B3DAB">
      <w:pPr>
        <w:pStyle w:val="NoSpacing"/>
      </w:pPr>
      <w:r>
        <w:t>To track changes in farming practices and the community’s social network,</w:t>
      </w:r>
      <w:r w:rsidR="007B4BC8">
        <w:t xml:space="preserve"> we </w:t>
      </w:r>
      <w:r>
        <w:t>administered two waves of interviews</w:t>
      </w:r>
      <w:r w:rsidR="005F20B4">
        <w:t>, one at the beginning of the research project and one at the end</w:t>
      </w:r>
      <w:r w:rsidR="00F34F68">
        <w:t>. The first wave was conducted i</w:t>
      </w:r>
      <w:r w:rsidR="00CA5B4A">
        <w:t>n November and December 2018</w:t>
      </w:r>
      <w:r w:rsidR="000B3DAB">
        <w:t xml:space="preserve">, </w:t>
      </w:r>
      <w:r w:rsidR="00AF105D">
        <w:t xml:space="preserve">three months after setting up the experimental gardens </w:t>
      </w:r>
      <w:r w:rsidR="00EF5AE5">
        <w:t xml:space="preserve">but </w:t>
      </w:r>
      <w:r>
        <w:t xml:space="preserve">before the first harvest of the experimental gardens. </w:t>
      </w:r>
      <w:r w:rsidR="00120064">
        <w:t>The first</w:t>
      </w:r>
      <w:r w:rsidR="008F0E92">
        <w:t xml:space="preserve"> wave of interviews </w:t>
      </w:r>
      <w:r w:rsidR="003F1933">
        <w:t>cannot be considered</w:t>
      </w:r>
      <w:r w:rsidR="00000034">
        <w:t xml:space="preserve"> a true</w:t>
      </w:r>
      <w:r w:rsidR="003F1933">
        <w:t xml:space="preserve"> pre-project</w:t>
      </w:r>
      <w:r w:rsidR="00000034">
        <w:t xml:space="preserve"> </w:t>
      </w:r>
      <w:r w:rsidR="004229DB">
        <w:t>baseline. B</w:t>
      </w:r>
      <w:r w:rsidR="00000034">
        <w:t xml:space="preserve">ut </w:t>
      </w:r>
      <w:r w:rsidR="0059556D">
        <w:t xml:space="preserve">given that </w:t>
      </w:r>
      <w:r w:rsidR="005D4412">
        <w:t xml:space="preserve">the interviews took place </w:t>
      </w:r>
      <w:r w:rsidR="00000034">
        <w:t xml:space="preserve">before the </w:t>
      </w:r>
      <w:r w:rsidR="003820D4">
        <w:t xml:space="preserve">results of the </w:t>
      </w:r>
      <w:r w:rsidR="00000034">
        <w:t xml:space="preserve">first </w:t>
      </w:r>
      <w:r w:rsidR="00083FE6">
        <w:t xml:space="preserve">harvest </w:t>
      </w:r>
      <w:r w:rsidR="00000034">
        <w:t>were collected</w:t>
      </w:r>
      <w:r w:rsidR="00B760F1">
        <w:t>,</w:t>
      </w:r>
      <w:r w:rsidR="007B4BC8">
        <w:t xml:space="preserve"> we </w:t>
      </w:r>
      <w:r w:rsidR="00000034">
        <w:t xml:space="preserve">assume that </w:t>
      </w:r>
      <w:r w:rsidR="00531487">
        <w:t>people were not changing their farming practices yet</w:t>
      </w:r>
      <w:r w:rsidR="00D1047F">
        <w:t xml:space="preserve"> as a result of </w:t>
      </w:r>
      <w:r w:rsidR="00554041">
        <w:t>our</w:t>
      </w:r>
      <w:r w:rsidR="00D929D6">
        <w:t xml:space="preserve"> </w:t>
      </w:r>
      <w:r w:rsidR="00D1047F">
        <w:t>findings</w:t>
      </w:r>
      <w:r w:rsidR="00531487">
        <w:t xml:space="preserve"> and </w:t>
      </w:r>
      <w:r w:rsidR="00B33638">
        <w:t xml:space="preserve">that </w:t>
      </w:r>
      <w:r w:rsidR="006B51C6">
        <w:t>the research project</w:t>
      </w:r>
      <w:r w:rsidR="00531487">
        <w:t xml:space="preserve"> had</w:t>
      </w:r>
      <w:r w:rsidR="006B51C6">
        <w:t xml:space="preserve"> had</w:t>
      </w:r>
      <w:r w:rsidR="00531487">
        <w:t xml:space="preserve"> a </w:t>
      </w:r>
      <w:r w:rsidR="006B51C6">
        <w:t>minimal</w:t>
      </w:r>
      <w:r w:rsidR="00531487">
        <w:t xml:space="preserve"> influence on the social network</w:t>
      </w:r>
      <w:r w:rsidR="00B33638">
        <w:t xml:space="preserve"> thus far</w:t>
      </w:r>
      <w:r w:rsidR="00531487">
        <w:t xml:space="preserve">. </w:t>
      </w:r>
      <w:r w:rsidR="004C5FD8">
        <w:t xml:space="preserve">Even if there </w:t>
      </w:r>
      <w:r w:rsidR="00B33638">
        <w:t>had already been</w:t>
      </w:r>
      <w:r w:rsidR="00D1047F">
        <w:t xml:space="preserve"> </w:t>
      </w:r>
      <w:r w:rsidR="004C5FD8">
        <w:t>some effects</w:t>
      </w:r>
      <w:r w:rsidR="0081130E">
        <w:t>,</w:t>
      </w:r>
      <w:r w:rsidR="007B4BC8">
        <w:t xml:space="preserve"> we </w:t>
      </w:r>
      <w:r w:rsidR="0081130E">
        <w:t xml:space="preserve">would be </w:t>
      </w:r>
      <w:r w:rsidR="00F73F74">
        <w:t>underestimating rather than overestimating the</w:t>
      </w:r>
      <w:r w:rsidR="004643A6">
        <w:t xml:space="preserve"> overall impact</w:t>
      </w:r>
      <w:r w:rsidR="00F73F74">
        <w:t xml:space="preserve"> of the research project</w:t>
      </w:r>
      <w:r w:rsidR="00BF308D">
        <w:t xml:space="preserve"> on local farming practices and the social network</w:t>
      </w:r>
      <w:r w:rsidR="00F73F74">
        <w:t xml:space="preserve">. </w:t>
      </w:r>
      <w:r w:rsidR="00232166">
        <w:t>The second wave of interviews was conducted after the final harvest of the experimental gardens in July and August 2019</w:t>
      </w:r>
      <w:r w:rsidR="00C4296F">
        <w:t xml:space="preserve"> (a year after setting up the experimental gardens)</w:t>
      </w:r>
      <w:r w:rsidR="00232166">
        <w:t>, with three final interviews being conducted in October</w:t>
      </w:r>
      <w:r w:rsidR="00051829">
        <w:t xml:space="preserve"> 2019</w:t>
      </w:r>
      <w:r w:rsidR="00232166">
        <w:t xml:space="preserve"> due to unavailability of the participants in earlier months. </w:t>
      </w:r>
    </w:p>
    <w:p w14:paraId="7A5289A2" w14:textId="3B6E1729" w:rsidR="004C32CE" w:rsidRDefault="00232166" w:rsidP="00A54AAB">
      <w:pPr>
        <w:pStyle w:val="NoSpacing"/>
        <w:ind w:firstLine="720"/>
      </w:pPr>
      <w:r>
        <w:t xml:space="preserve">The team collected data from 63 people across the four clans in </w:t>
      </w:r>
      <w:proofErr w:type="spellStart"/>
      <w:r>
        <w:t>Ohu</w:t>
      </w:r>
      <w:proofErr w:type="spellEnd"/>
      <w:r>
        <w:t xml:space="preserve"> that were involved in the research project (</w:t>
      </w:r>
      <w:r w:rsidR="00D34FFB">
        <w:t>Table 1</w:t>
      </w:r>
      <w:r>
        <w:t>), which represents ~80% of the household heads in these clans.</w:t>
      </w:r>
      <w:r w:rsidR="00507E94">
        <w:t xml:space="preserve"> </w:t>
      </w:r>
      <w:r w:rsidR="007B4BC8">
        <w:lastRenderedPageBreak/>
        <w:t>We</w:t>
      </w:r>
      <w:r w:rsidR="000D3715">
        <w:t xml:space="preserve"> </w:t>
      </w:r>
      <w:r w:rsidR="00726FF5">
        <w:t>interviewed both</w:t>
      </w:r>
      <w:r w:rsidR="00961E3B">
        <w:t xml:space="preserve"> the male and female head of each</w:t>
      </w:r>
      <w:r w:rsidR="00FD396A">
        <w:t xml:space="preserve"> household, because in PNG</w:t>
      </w:r>
      <w:r w:rsidR="00BD2561">
        <w:t xml:space="preserve"> </w:t>
      </w:r>
      <w:r w:rsidR="00726FF5">
        <w:t xml:space="preserve">men and women farm </w:t>
      </w:r>
      <w:r w:rsidR="009F3DD6">
        <w:t xml:space="preserve">together on shared fields </w:t>
      </w:r>
      <w:r w:rsidR="00AD6A6D">
        <w:t xml:space="preserve">and are </w:t>
      </w:r>
      <w:r w:rsidR="00DE6AFE">
        <w:t xml:space="preserve">thus both </w:t>
      </w:r>
      <w:r w:rsidR="00726FF5">
        <w:t xml:space="preserve">agricultural decision-makers </w:t>
      </w:r>
      <w:r w:rsidR="00726FF5">
        <w:fldChar w:fldCharType="begin" w:fldLock="1"/>
      </w:r>
      <w:r w:rsidR="001C3948">
        <w:instrText>ADDIN CSL_CITATION {"citationItems":[{"id":"ITEM-1","itemData":{"ISSN":"14431394","abstract":"Smallholder farmers are the backbone of food production in Papua New Guinea (PNG). Due to an increasing need to pay for schooling and health costs, many farming families are seeking ways to move from semi-subsistence farming to activities that generate more income. The long tradition of agricultural training in PNG to support the development of farmers has focused on technology transfer and on the production of cash crops. This form of farmer education has primarily benefited men, who typically control cash crop production. It has often excluded women, whose significant engagement in it is precluded by their low literacy, low education, family responsibilities and daily work on subsistence crops. This article examines the lessons learned from a project that facilitated village-level community education workshops that sought to bring male and female heads of families together in a culturally appropriate way in order to encourage more genderequitable planning and farming practices. Through the development and capacity building of local training teams, the project developed a critical and place-based pedagogy underpinned by gender-inclusive and asset-based community development principles.","author":[{"dropping-particle":"","family":"Pamphilon","given":"Barbara","non-dropping-particle":"","parse-names":false,"suffix":""},{"dropping-particle":"","family":"Mikhailovich","given":"Katja","non-dropping-particle":"","parse-names":false,"suffix":""}],"container-title":"Australian Journal of Adult Learning","id":"ITEM-1","issue":"2","issued":{"date-parts":[["2017"]]},"page":"172-196","title":"Bringing together learning from two worlds: lessons from a gender-inclusive community education approach with smallholder farmers in Papua New Guinea","type":"article-journal","volume":"57"},"uris":["http://www.mendeley.com/documents/?uuid=57dd2a49-2f97-4f97-8d63-b14beb32c0b8"]}],"mendeley":{"formattedCitation":"(Pamphilon and Mikhailovich, 2017)","plainTextFormattedCitation":"(Pamphilon and Mikhailovich, 2017)","previouslyFormattedCitation":"(Pamphilon and Mikhailovich, 2017)"},"properties":{"noteIndex":0},"schema":"https://github.com/citation-style-language/schema/raw/master/csl-citation.json"}</w:instrText>
      </w:r>
      <w:r w:rsidR="00726FF5">
        <w:fldChar w:fldCharType="separate"/>
      </w:r>
      <w:r w:rsidR="00636F5B" w:rsidRPr="00636F5B">
        <w:rPr>
          <w:noProof/>
        </w:rPr>
        <w:t>(Pamphilon and Mikhailovich, 2017)</w:t>
      </w:r>
      <w:r w:rsidR="00726FF5">
        <w:fldChar w:fldCharType="end"/>
      </w:r>
      <w:r w:rsidR="00726FF5">
        <w:t>.</w:t>
      </w:r>
      <w:r>
        <w:t xml:space="preserve"> The four clans live on geographically neighbouring land. </w:t>
      </w:r>
      <w:r w:rsidR="007B4BC8">
        <w:t>We</w:t>
      </w:r>
      <w:r w:rsidR="000D3715">
        <w:t xml:space="preserve"> </w:t>
      </w:r>
      <w:r>
        <w:t xml:space="preserve">had to exclude </w:t>
      </w:r>
      <w:r w:rsidR="00FC118C">
        <w:t xml:space="preserve">interview data from </w:t>
      </w:r>
      <w:r>
        <w:t>six farmers, either because</w:t>
      </w:r>
      <w:r w:rsidR="009F34C2">
        <w:t xml:space="preserve"> during the second survey</w:t>
      </w:r>
      <w:r>
        <w:t xml:space="preserve"> they were no longer present in the </w:t>
      </w:r>
      <w:r w:rsidR="006833FA">
        <w:t>village (two people) or</w:t>
      </w:r>
      <w:r>
        <w:t xml:space="preserve"> they did not want to take part in the second interview (four people). Free prior-informed consent was given by all participants before the start of the interviews. The interview protocol was approved by the University of Oxford’s Research Ethics Committee under permit number R58337/RE002.</w:t>
      </w:r>
    </w:p>
    <w:p w14:paraId="15314CDD" w14:textId="40BE8DC0" w:rsidR="0002180D" w:rsidRDefault="0002180D" w:rsidP="000B3DAB">
      <w:pPr>
        <w:pStyle w:val="NoSpacing"/>
      </w:pPr>
    </w:p>
    <w:p w14:paraId="2291411F" w14:textId="0D0ED6A5" w:rsidR="0002180D" w:rsidRPr="009D626C" w:rsidRDefault="0002180D" w:rsidP="008708CA">
      <w:r w:rsidRPr="009D626C">
        <w:rPr>
          <w:b/>
        </w:rPr>
        <w:t>Table 1</w:t>
      </w:r>
      <w:r w:rsidR="007A4D47">
        <w:t xml:space="preserve"> </w:t>
      </w:r>
      <w:r w:rsidR="007A4D47">
        <w:rPr>
          <w:b/>
        </w:rPr>
        <w:t>|</w:t>
      </w:r>
      <w:r w:rsidRPr="009D626C">
        <w:t xml:space="preserve"> Description of the sample. </w:t>
      </w:r>
      <w:r w:rsidR="00BF0BFF">
        <w:t>Total sample size consisted of 57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2146"/>
        <w:gridCol w:w="109"/>
        <w:gridCol w:w="2257"/>
        <w:gridCol w:w="2255"/>
      </w:tblGrid>
      <w:tr w:rsidR="0002180D" w:rsidRPr="00E30BEE" w14:paraId="652D9C04" w14:textId="77777777" w:rsidTr="007A198A">
        <w:tc>
          <w:tcPr>
            <w:tcW w:w="2249" w:type="dxa"/>
            <w:tcBorders>
              <w:bottom w:val="single" w:sz="4" w:space="0" w:color="auto"/>
            </w:tcBorders>
            <w:shd w:val="clear" w:color="auto" w:fill="A6A6A6" w:themeFill="background1" w:themeFillShade="A6"/>
          </w:tcPr>
          <w:p w14:paraId="397BFEE1" w14:textId="77777777" w:rsidR="0002180D" w:rsidRDefault="0002180D" w:rsidP="0086169C">
            <w:pPr>
              <w:pStyle w:val="NoSpacing"/>
              <w:spacing w:line="360" w:lineRule="auto"/>
            </w:pPr>
          </w:p>
        </w:tc>
        <w:tc>
          <w:tcPr>
            <w:tcW w:w="2146" w:type="dxa"/>
            <w:tcBorders>
              <w:bottom w:val="single" w:sz="4" w:space="0" w:color="auto"/>
            </w:tcBorders>
            <w:shd w:val="clear" w:color="auto" w:fill="A6A6A6" w:themeFill="background1" w:themeFillShade="A6"/>
          </w:tcPr>
          <w:p w14:paraId="64EDD58D" w14:textId="77777777" w:rsidR="0002180D" w:rsidRPr="00E30BEE" w:rsidRDefault="0002180D" w:rsidP="0086169C">
            <w:pPr>
              <w:pStyle w:val="NoSpacing"/>
              <w:spacing w:line="360" w:lineRule="auto"/>
              <w:jc w:val="center"/>
              <w:rPr>
                <w:b/>
              </w:rPr>
            </w:pPr>
            <w:r w:rsidRPr="00E30BEE">
              <w:rPr>
                <w:b/>
              </w:rPr>
              <w:t>Non-participants</w:t>
            </w:r>
          </w:p>
        </w:tc>
        <w:tc>
          <w:tcPr>
            <w:tcW w:w="2366" w:type="dxa"/>
            <w:gridSpan w:val="2"/>
            <w:tcBorders>
              <w:bottom w:val="single" w:sz="4" w:space="0" w:color="auto"/>
            </w:tcBorders>
            <w:shd w:val="clear" w:color="auto" w:fill="A6A6A6" w:themeFill="background1" w:themeFillShade="A6"/>
          </w:tcPr>
          <w:p w14:paraId="13267DEF" w14:textId="1C65B807" w:rsidR="0002180D" w:rsidRPr="00E30BEE" w:rsidRDefault="00D74281" w:rsidP="0086169C">
            <w:pPr>
              <w:pStyle w:val="NoSpacing"/>
              <w:spacing w:line="360" w:lineRule="auto"/>
              <w:jc w:val="center"/>
              <w:rPr>
                <w:b/>
              </w:rPr>
            </w:pPr>
            <w:r>
              <w:rPr>
                <w:b/>
              </w:rPr>
              <w:t>Project g</w:t>
            </w:r>
            <w:r w:rsidR="0002180D" w:rsidRPr="00E30BEE">
              <w:rPr>
                <w:b/>
              </w:rPr>
              <w:t>arden owners</w:t>
            </w:r>
          </w:p>
        </w:tc>
        <w:tc>
          <w:tcPr>
            <w:tcW w:w="2255" w:type="dxa"/>
            <w:tcBorders>
              <w:bottom w:val="single" w:sz="4" w:space="0" w:color="auto"/>
            </w:tcBorders>
            <w:shd w:val="clear" w:color="auto" w:fill="A6A6A6" w:themeFill="background1" w:themeFillShade="A6"/>
          </w:tcPr>
          <w:p w14:paraId="46B9E907" w14:textId="77777777" w:rsidR="0002180D" w:rsidRPr="00E30BEE" w:rsidRDefault="0002180D" w:rsidP="0086169C">
            <w:pPr>
              <w:pStyle w:val="NoSpacing"/>
              <w:spacing w:line="360" w:lineRule="auto"/>
              <w:jc w:val="center"/>
              <w:rPr>
                <w:b/>
              </w:rPr>
            </w:pPr>
            <w:r w:rsidRPr="00E30BEE">
              <w:rPr>
                <w:b/>
              </w:rPr>
              <w:t>Research assistants</w:t>
            </w:r>
          </w:p>
        </w:tc>
      </w:tr>
      <w:tr w:rsidR="0002180D" w14:paraId="6231BBB3" w14:textId="77777777" w:rsidTr="007A198A">
        <w:tc>
          <w:tcPr>
            <w:tcW w:w="2249" w:type="dxa"/>
            <w:tcBorders>
              <w:top w:val="single" w:sz="4" w:space="0" w:color="auto"/>
            </w:tcBorders>
          </w:tcPr>
          <w:p w14:paraId="21C72391" w14:textId="77777777" w:rsidR="0002180D" w:rsidRPr="00092994" w:rsidRDefault="0002180D" w:rsidP="0086169C">
            <w:pPr>
              <w:pStyle w:val="NoSpacing"/>
              <w:spacing w:line="360" w:lineRule="auto"/>
              <w:jc w:val="center"/>
            </w:pPr>
            <w:r w:rsidRPr="00092994">
              <w:t>Number of people</w:t>
            </w:r>
          </w:p>
        </w:tc>
        <w:tc>
          <w:tcPr>
            <w:tcW w:w="2255" w:type="dxa"/>
            <w:gridSpan w:val="2"/>
            <w:tcBorders>
              <w:top w:val="single" w:sz="4" w:space="0" w:color="auto"/>
            </w:tcBorders>
          </w:tcPr>
          <w:p w14:paraId="6FAC2A8B" w14:textId="77777777" w:rsidR="0002180D" w:rsidRDefault="0002180D" w:rsidP="0086169C">
            <w:pPr>
              <w:pStyle w:val="NoSpacing"/>
              <w:spacing w:line="360" w:lineRule="auto"/>
              <w:jc w:val="center"/>
            </w:pPr>
            <w:r>
              <w:t>33</w:t>
            </w:r>
          </w:p>
        </w:tc>
        <w:tc>
          <w:tcPr>
            <w:tcW w:w="2257" w:type="dxa"/>
            <w:tcBorders>
              <w:top w:val="single" w:sz="4" w:space="0" w:color="auto"/>
            </w:tcBorders>
          </w:tcPr>
          <w:p w14:paraId="3AE91187" w14:textId="77777777" w:rsidR="0002180D" w:rsidRDefault="0002180D" w:rsidP="0086169C">
            <w:pPr>
              <w:pStyle w:val="NoSpacing"/>
              <w:spacing w:line="360" w:lineRule="auto"/>
              <w:jc w:val="center"/>
            </w:pPr>
            <w:r>
              <w:t>10</w:t>
            </w:r>
          </w:p>
        </w:tc>
        <w:tc>
          <w:tcPr>
            <w:tcW w:w="2255" w:type="dxa"/>
            <w:tcBorders>
              <w:top w:val="single" w:sz="4" w:space="0" w:color="auto"/>
            </w:tcBorders>
          </w:tcPr>
          <w:p w14:paraId="1A524BC6" w14:textId="77777777" w:rsidR="0002180D" w:rsidRDefault="0002180D" w:rsidP="0086169C">
            <w:pPr>
              <w:pStyle w:val="NoSpacing"/>
              <w:spacing w:line="360" w:lineRule="auto"/>
              <w:jc w:val="center"/>
            </w:pPr>
            <w:r>
              <w:t>14</w:t>
            </w:r>
          </w:p>
        </w:tc>
      </w:tr>
      <w:tr w:rsidR="0002180D" w14:paraId="5C802BDA" w14:textId="77777777" w:rsidTr="003544D3">
        <w:tc>
          <w:tcPr>
            <w:tcW w:w="2249" w:type="dxa"/>
          </w:tcPr>
          <w:p w14:paraId="28FABAE3" w14:textId="77777777" w:rsidR="0002180D" w:rsidRPr="00092994" w:rsidRDefault="0002180D" w:rsidP="0086169C">
            <w:pPr>
              <w:pStyle w:val="NoSpacing"/>
              <w:spacing w:line="360" w:lineRule="auto"/>
              <w:jc w:val="center"/>
            </w:pPr>
            <w:r w:rsidRPr="00092994">
              <w:t>Age (mean)</w:t>
            </w:r>
          </w:p>
        </w:tc>
        <w:tc>
          <w:tcPr>
            <w:tcW w:w="2255" w:type="dxa"/>
            <w:gridSpan w:val="2"/>
          </w:tcPr>
          <w:p w14:paraId="35E06FC8" w14:textId="34DF4A8A" w:rsidR="0002180D" w:rsidRDefault="0040293B" w:rsidP="0086169C">
            <w:pPr>
              <w:pStyle w:val="NoSpacing"/>
              <w:spacing w:line="360" w:lineRule="auto"/>
              <w:jc w:val="center"/>
            </w:pPr>
            <w:r>
              <w:t>42</w:t>
            </w:r>
          </w:p>
        </w:tc>
        <w:tc>
          <w:tcPr>
            <w:tcW w:w="2257" w:type="dxa"/>
          </w:tcPr>
          <w:p w14:paraId="7E2D12E9" w14:textId="056E6902" w:rsidR="0002180D" w:rsidRDefault="00966CCE" w:rsidP="0086169C">
            <w:pPr>
              <w:pStyle w:val="NoSpacing"/>
              <w:spacing w:line="360" w:lineRule="auto"/>
              <w:jc w:val="center"/>
            </w:pPr>
            <w:r>
              <w:t>40</w:t>
            </w:r>
          </w:p>
        </w:tc>
        <w:tc>
          <w:tcPr>
            <w:tcW w:w="2255" w:type="dxa"/>
          </w:tcPr>
          <w:p w14:paraId="223B6AE2" w14:textId="4B42847C" w:rsidR="0002180D" w:rsidRDefault="00127AD5" w:rsidP="0086169C">
            <w:pPr>
              <w:pStyle w:val="NoSpacing"/>
              <w:spacing w:line="360" w:lineRule="auto"/>
              <w:jc w:val="center"/>
            </w:pPr>
            <w:r>
              <w:t>38</w:t>
            </w:r>
          </w:p>
        </w:tc>
      </w:tr>
      <w:tr w:rsidR="0002180D" w14:paraId="125372C9" w14:textId="77777777" w:rsidTr="003544D3">
        <w:tc>
          <w:tcPr>
            <w:tcW w:w="2249" w:type="dxa"/>
          </w:tcPr>
          <w:p w14:paraId="3C1F3C89" w14:textId="77777777" w:rsidR="0002180D" w:rsidRPr="00092994" w:rsidRDefault="0002180D" w:rsidP="0086169C">
            <w:pPr>
              <w:pStyle w:val="NoSpacing"/>
              <w:spacing w:line="360" w:lineRule="auto"/>
              <w:jc w:val="center"/>
            </w:pPr>
            <w:r w:rsidRPr="00092994">
              <w:t xml:space="preserve">Gender (no. of </w:t>
            </w:r>
            <w:r w:rsidRPr="00092994">
              <w:rPr>
                <w:rFonts w:ascii="Segoe UI Symbol" w:hAnsi="Segoe UI Symbol" w:cs="Segoe UI Symbol"/>
              </w:rPr>
              <w:t>♀)</w:t>
            </w:r>
          </w:p>
        </w:tc>
        <w:tc>
          <w:tcPr>
            <w:tcW w:w="2255" w:type="dxa"/>
            <w:gridSpan w:val="2"/>
          </w:tcPr>
          <w:p w14:paraId="156234A8" w14:textId="77777777" w:rsidR="0002180D" w:rsidRDefault="0002180D" w:rsidP="0086169C">
            <w:pPr>
              <w:pStyle w:val="NoSpacing"/>
              <w:spacing w:line="360" w:lineRule="auto"/>
              <w:jc w:val="center"/>
            </w:pPr>
            <w:r>
              <w:t>17</w:t>
            </w:r>
          </w:p>
        </w:tc>
        <w:tc>
          <w:tcPr>
            <w:tcW w:w="2257" w:type="dxa"/>
          </w:tcPr>
          <w:p w14:paraId="738ABF2F" w14:textId="77777777" w:rsidR="0002180D" w:rsidRDefault="0002180D" w:rsidP="0086169C">
            <w:pPr>
              <w:pStyle w:val="NoSpacing"/>
              <w:spacing w:line="360" w:lineRule="auto"/>
              <w:jc w:val="center"/>
            </w:pPr>
            <w:r>
              <w:t>6</w:t>
            </w:r>
          </w:p>
        </w:tc>
        <w:tc>
          <w:tcPr>
            <w:tcW w:w="2255" w:type="dxa"/>
          </w:tcPr>
          <w:p w14:paraId="2CD56A15" w14:textId="77777777" w:rsidR="0002180D" w:rsidRDefault="0002180D" w:rsidP="0086169C">
            <w:pPr>
              <w:pStyle w:val="NoSpacing"/>
              <w:spacing w:line="360" w:lineRule="auto"/>
              <w:jc w:val="center"/>
            </w:pPr>
            <w:r>
              <w:t>3</w:t>
            </w:r>
          </w:p>
        </w:tc>
      </w:tr>
      <w:tr w:rsidR="0002180D" w14:paraId="3F5D825B" w14:textId="77777777" w:rsidTr="003544D3">
        <w:tc>
          <w:tcPr>
            <w:tcW w:w="2249" w:type="dxa"/>
          </w:tcPr>
          <w:p w14:paraId="59BC760B" w14:textId="77777777" w:rsidR="00B76975" w:rsidRPr="00092994" w:rsidRDefault="0002180D" w:rsidP="0086169C">
            <w:pPr>
              <w:pStyle w:val="NoSpacing"/>
              <w:spacing w:line="360" w:lineRule="auto"/>
              <w:jc w:val="center"/>
            </w:pPr>
            <w:r w:rsidRPr="00092994">
              <w:t xml:space="preserve">Clan </w:t>
            </w:r>
            <w:r w:rsidR="00B76975" w:rsidRPr="00092994">
              <w:t>1 (no. of people)</w:t>
            </w:r>
          </w:p>
          <w:p w14:paraId="68C89400" w14:textId="64D6E624" w:rsidR="00B76975" w:rsidRPr="00092994" w:rsidRDefault="00B76975" w:rsidP="0086169C">
            <w:pPr>
              <w:pStyle w:val="NoSpacing"/>
              <w:spacing w:line="360" w:lineRule="auto"/>
              <w:jc w:val="center"/>
            </w:pPr>
            <w:r w:rsidRPr="00092994">
              <w:t>Clan 2</w:t>
            </w:r>
          </w:p>
          <w:p w14:paraId="2347CE6B" w14:textId="2E06E71F" w:rsidR="00B76975" w:rsidRPr="00092994" w:rsidRDefault="00B76975" w:rsidP="0086169C">
            <w:pPr>
              <w:pStyle w:val="NoSpacing"/>
              <w:spacing w:line="360" w:lineRule="auto"/>
              <w:jc w:val="center"/>
            </w:pPr>
            <w:r w:rsidRPr="00092994">
              <w:t>Clan 3</w:t>
            </w:r>
          </w:p>
          <w:p w14:paraId="2667439E" w14:textId="50A7FD2E" w:rsidR="00DC0EB9" w:rsidRPr="00092994" w:rsidRDefault="00B76975" w:rsidP="0086169C">
            <w:pPr>
              <w:pStyle w:val="NoSpacing"/>
              <w:spacing w:line="360" w:lineRule="auto"/>
              <w:jc w:val="center"/>
            </w:pPr>
            <w:r w:rsidRPr="00092994">
              <w:t>Clan 4</w:t>
            </w:r>
          </w:p>
        </w:tc>
        <w:tc>
          <w:tcPr>
            <w:tcW w:w="2255" w:type="dxa"/>
            <w:gridSpan w:val="2"/>
          </w:tcPr>
          <w:p w14:paraId="6299B985" w14:textId="301EADFE" w:rsidR="0002180D" w:rsidRDefault="0002180D" w:rsidP="0086169C">
            <w:pPr>
              <w:pStyle w:val="NoSpacing"/>
              <w:spacing w:line="360" w:lineRule="auto"/>
              <w:jc w:val="center"/>
            </w:pPr>
            <w:r>
              <w:t>7</w:t>
            </w:r>
          </w:p>
          <w:p w14:paraId="3E6F1B34" w14:textId="4A18182E" w:rsidR="0002180D" w:rsidRDefault="0002180D" w:rsidP="0086169C">
            <w:pPr>
              <w:pStyle w:val="NoSpacing"/>
              <w:spacing w:line="360" w:lineRule="auto"/>
              <w:jc w:val="center"/>
            </w:pPr>
            <w:r>
              <w:t>1</w:t>
            </w:r>
            <w:r w:rsidR="00E17756">
              <w:t>6</w:t>
            </w:r>
          </w:p>
          <w:p w14:paraId="47736558" w14:textId="528DEFEB" w:rsidR="0002180D" w:rsidRDefault="0002180D" w:rsidP="0086169C">
            <w:pPr>
              <w:pStyle w:val="NoSpacing"/>
              <w:spacing w:line="360" w:lineRule="auto"/>
              <w:jc w:val="center"/>
            </w:pPr>
            <w:r>
              <w:t>9</w:t>
            </w:r>
          </w:p>
          <w:p w14:paraId="3103B770" w14:textId="307F13DD" w:rsidR="0002180D" w:rsidRDefault="0002180D" w:rsidP="0086169C">
            <w:pPr>
              <w:pStyle w:val="NoSpacing"/>
              <w:spacing w:line="360" w:lineRule="auto"/>
              <w:jc w:val="center"/>
            </w:pPr>
            <w:r>
              <w:t>1</w:t>
            </w:r>
          </w:p>
        </w:tc>
        <w:tc>
          <w:tcPr>
            <w:tcW w:w="2257" w:type="dxa"/>
          </w:tcPr>
          <w:p w14:paraId="76A10EB0" w14:textId="32CD5E7B" w:rsidR="0002180D" w:rsidRDefault="0002180D" w:rsidP="0086169C">
            <w:pPr>
              <w:pStyle w:val="NoSpacing"/>
              <w:spacing w:line="360" w:lineRule="auto"/>
              <w:jc w:val="center"/>
            </w:pPr>
            <w:r>
              <w:t>4</w:t>
            </w:r>
          </w:p>
          <w:p w14:paraId="1BBD6F53" w14:textId="1847E493" w:rsidR="0002180D" w:rsidRDefault="0002180D" w:rsidP="0086169C">
            <w:pPr>
              <w:pStyle w:val="NoSpacing"/>
              <w:spacing w:line="360" w:lineRule="auto"/>
              <w:jc w:val="center"/>
            </w:pPr>
            <w:r>
              <w:t>1</w:t>
            </w:r>
          </w:p>
          <w:p w14:paraId="4D648085" w14:textId="50C82206" w:rsidR="0002180D" w:rsidRDefault="0002180D" w:rsidP="0086169C">
            <w:pPr>
              <w:pStyle w:val="NoSpacing"/>
              <w:spacing w:line="360" w:lineRule="auto"/>
              <w:jc w:val="center"/>
            </w:pPr>
            <w:r>
              <w:t>5</w:t>
            </w:r>
          </w:p>
          <w:p w14:paraId="23A33F17" w14:textId="3CF94526" w:rsidR="0002180D" w:rsidRDefault="0002180D" w:rsidP="0086169C">
            <w:pPr>
              <w:pStyle w:val="NoSpacing"/>
              <w:spacing w:line="360" w:lineRule="auto"/>
              <w:jc w:val="center"/>
            </w:pPr>
            <w:r>
              <w:t>0</w:t>
            </w:r>
          </w:p>
        </w:tc>
        <w:tc>
          <w:tcPr>
            <w:tcW w:w="2255" w:type="dxa"/>
          </w:tcPr>
          <w:p w14:paraId="48B827DA" w14:textId="4E9AFC2E" w:rsidR="0002180D" w:rsidRDefault="0002180D" w:rsidP="0086169C">
            <w:pPr>
              <w:pStyle w:val="NoSpacing"/>
              <w:spacing w:line="360" w:lineRule="auto"/>
              <w:jc w:val="center"/>
            </w:pPr>
            <w:r>
              <w:t>0</w:t>
            </w:r>
          </w:p>
          <w:p w14:paraId="5BDDAF82" w14:textId="17BE268E" w:rsidR="0002180D" w:rsidRDefault="0002180D" w:rsidP="0086169C">
            <w:pPr>
              <w:pStyle w:val="NoSpacing"/>
              <w:spacing w:line="360" w:lineRule="auto"/>
              <w:jc w:val="center"/>
            </w:pPr>
            <w:r>
              <w:t>3</w:t>
            </w:r>
          </w:p>
          <w:p w14:paraId="62A2FBD8" w14:textId="07B83EC1" w:rsidR="0002180D" w:rsidRDefault="0002180D" w:rsidP="0086169C">
            <w:pPr>
              <w:pStyle w:val="NoSpacing"/>
              <w:spacing w:line="360" w:lineRule="auto"/>
              <w:jc w:val="center"/>
            </w:pPr>
            <w:r>
              <w:t>10</w:t>
            </w:r>
          </w:p>
          <w:p w14:paraId="21A483B5" w14:textId="6DD8DF07" w:rsidR="0002180D" w:rsidRDefault="0002180D" w:rsidP="0086169C">
            <w:pPr>
              <w:pStyle w:val="NoSpacing"/>
              <w:spacing w:line="360" w:lineRule="auto"/>
              <w:jc w:val="center"/>
            </w:pPr>
            <w:r>
              <w:t>1</w:t>
            </w:r>
          </w:p>
        </w:tc>
      </w:tr>
    </w:tbl>
    <w:p w14:paraId="249FF66C" w14:textId="77777777" w:rsidR="00DD0082" w:rsidRDefault="00DD0082" w:rsidP="0041796B">
      <w:pPr>
        <w:pStyle w:val="NoSpacing"/>
      </w:pPr>
    </w:p>
    <w:p w14:paraId="074C5314" w14:textId="6501A685" w:rsidR="00B2734D" w:rsidRDefault="007F4CDC" w:rsidP="00F06993">
      <w:pPr>
        <w:pStyle w:val="NoSpacing"/>
        <w:ind w:firstLine="720"/>
      </w:pPr>
      <w:r>
        <w:t>Interviews were done face-to-face in Tok Pisin</w:t>
      </w:r>
      <w:r w:rsidR="002D28E8">
        <w:t xml:space="preserve"> (PNG’s </w:t>
      </w:r>
      <w:r w:rsidR="001E0A66">
        <w:t>lingua franca</w:t>
      </w:r>
      <w:r w:rsidR="002D28E8">
        <w:t>)</w:t>
      </w:r>
      <w:r>
        <w:t xml:space="preserve"> using fixed-form data sheets</w:t>
      </w:r>
      <w:r w:rsidR="00BA5175">
        <w:t xml:space="preserve"> by </w:t>
      </w:r>
      <w:r w:rsidR="00D929D6">
        <w:t xml:space="preserve">our </w:t>
      </w:r>
      <w:r w:rsidR="00BA5175">
        <w:t>research team from NGBRC</w:t>
      </w:r>
      <w:r w:rsidR="00060F67">
        <w:t xml:space="preserve"> and </w:t>
      </w:r>
      <w:r w:rsidR="00DA0907">
        <w:t>the first author</w:t>
      </w:r>
      <w:r w:rsidR="00517AB9">
        <w:t xml:space="preserve"> (Appendix, section </w:t>
      </w:r>
      <w:r w:rsidR="007E7638">
        <w:t>1</w:t>
      </w:r>
      <w:r w:rsidR="00517AB9">
        <w:t>)</w:t>
      </w:r>
      <w:r>
        <w:t>. In the first part</w:t>
      </w:r>
      <w:r w:rsidR="005E7E2F">
        <w:t>,</w:t>
      </w:r>
      <w:r w:rsidR="007B4BC8">
        <w:t xml:space="preserve"> we </w:t>
      </w:r>
      <w:r>
        <w:t xml:space="preserve">collected demographic information, such as age, gender, clan and main livelihood of the interviewee. </w:t>
      </w:r>
      <w:r w:rsidR="007B4BC8">
        <w:t>We</w:t>
      </w:r>
      <w:r w:rsidR="000D3715" w:rsidRPr="00D371A9">
        <w:t xml:space="preserve"> </w:t>
      </w:r>
      <w:r w:rsidRPr="00D371A9">
        <w:t>also recorded</w:t>
      </w:r>
      <w:r w:rsidR="00DD48EF" w:rsidRPr="00D371A9">
        <w:t xml:space="preserve"> Global Positioning System</w:t>
      </w:r>
      <w:r w:rsidRPr="00D371A9">
        <w:t xml:space="preserve"> coordinates</w:t>
      </w:r>
      <w:r w:rsidR="00D74036" w:rsidRPr="00D371A9">
        <w:t xml:space="preserve"> of the interviewee’s house</w:t>
      </w:r>
      <w:r w:rsidR="004A4FBD" w:rsidRPr="00D371A9">
        <w:t xml:space="preserve"> so</w:t>
      </w:r>
      <w:r w:rsidR="007B4BC8">
        <w:t xml:space="preserve"> we </w:t>
      </w:r>
      <w:r w:rsidR="004A4FBD" w:rsidRPr="00D371A9">
        <w:t xml:space="preserve">could calculate the shortest distance in </w:t>
      </w:r>
      <w:r w:rsidR="00193A40" w:rsidRPr="00D371A9">
        <w:t xml:space="preserve">metres </w:t>
      </w:r>
      <w:r w:rsidR="004A4FBD" w:rsidRPr="00D371A9">
        <w:t>between houses of respondents. People</w:t>
      </w:r>
      <w:r w:rsidR="00C723DD">
        <w:t xml:space="preserve"> in </w:t>
      </w:r>
      <w:proofErr w:type="spellStart"/>
      <w:r w:rsidR="00C723DD">
        <w:t>Ohu</w:t>
      </w:r>
      <w:proofErr w:type="spellEnd"/>
      <w:r w:rsidR="004A4FBD" w:rsidRPr="00D371A9">
        <w:t xml:space="preserve"> can walk from </w:t>
      </w:r>
      <w:r w:rsidR="004F5B54">
        <w:t xml:space="preserve">one </w:t>
      </w:r>
      <w:r w:rsidR="004A4FBD" w:rsidRPr="00D371A9">
        <w:t xml:space="preserve">house to </w:t>
      </w:r>
      <w:r w:rsidR="004F5B54">
        <w:t>the next</w:t>
      </w:r>
      <w:r w:rsidR="004A4FBD" w:rsidRPr="00D371A9">
        <w:t xml:space="preserve"> in more</w:t>
      </w:r>
      <w:r w:rsidR="001931B4" w:rsidRPr="00D371A9">
        <w:t xml:space="preserve"> or less a straight line, so</w:t>
      </w:r>
      <w:r w:rsidR="007B4BC8">
        <w:t xml:space="preserve"> we </w:t>
      </w:r>
      <w:r w:rsidR="00841418" w:rsidRPr="00D371A9">
        <w:t>did not apply any transformations</w:t>
      </w:r>
      <w:r w:rsidR="00C723DD">
        <w:t xml:space="preserve"> when calculating distances</w:t>
      </w:r>
      <w:r w:rsidR="00731E89">
        <w:t xml:space="preserve"> between two points.</w:t>
      </w:r>
      <w:r w:rsidRPr="00D371A9">
        <w:t xml:space="preserve"> </w:t>
      </w:r>
    </w:p>
    <w:p w14:paraId="11D8744F" w14:textId="4F755C19" w:rsidR="00C313BF" w:rsidRDefault="00B2734D" w:rsidP="00334CB7">
      <w:pPr>
        <w:pStyle w:val="NoSpacing"/>
        <w:ind w:firstLine="720"/>
      </w:pPr>
      <w:r>
        <w:t>Next,</w:t>
      </w:r>
      <w:r w:rsidR="007B4BC8">
        <w:t xml:space="preserve"> we </w:t>
      </w:r>
      <w:r w:rsidR="00731E89">
        <w:t xml:space="preserve">recorded </w:t>
      </w:r>
      <w:r w:rsidR="007F4CDC">
        <w:t>the interviewee’s</w:t>
      </w:r>
      <w:r w:rsidR="006D44BD">
        <w:t xml:space="preserve"> farming practices. Some of the farming practices</w:t>
      </w:r>
      <w:r w:rsidR="007B4BC8">
        <w:t xml:space="preserve"> we </w:t>
      </w:r>
      <w:r w:rsidR="002D28E8">
        <w:t>asked about</w:t>
      </w:r>
      <w:r w:rsidR="003B28D1">
        <w:t xml:space="preserve">, including the use of </w:t>
      </w:r>
      <w:r w:rsidR="00F510AF">
        <w:t>food waste</w:t>
      </w:r>
      <w:r w:rsidR="003B28D1">
        <w:t>, animal manure and NPK fertiliser,</w:t>
      </w:r>
      <w:r w:rsidR="006D44BD">
        <w:t xml:space="preserve"> </w:t>
      </w:r>
      <w:r w:rsidR="000B045E">
        <w:t xml:space="preserve">were </w:t>
      </w:r>
      <w:r w:rsidR="006D44BD">
        <w:t xml:space="preserve">directly </w:t>
      </w:r>
      <w:r w:rsidR="004E2420">
        <w:lastRenderedPageBreak/>
        <w:t>associated</w:t>
      </w:r>
      <w:r w:rsidR="006D44BD">
        <w:t xml:space="preserve"> </w:t>
      </w:r>
      <w:r w:rsidR="001F64F8">
        <w:t xml:space="preserve">to </w:t>
      </w:r>
      <w:r w:rsidR="00A61C63">
        <w:t>our</w:t>
      </w:r>
      <w:r w:rsidR="00FB3448">
        <w:t xml:space="preserve"> research project.</w:t>
      </w:r>
      <w:r w:rsidR="00623340">
        <w:t xml:space="preserve"> Food waste </w:t>
      </w:r>
      <w:r w:rsidR="00C2111F">
        <w:t>corresponded</w:t>
      </w:r>
      <w:r w:rsidR="0018553C">
        <w:t xml:space="preserve"> to </w:t>
      </w:r>
      <w:r w:rsidR="006C1C08">
        <w:t>our</w:t>
      </w:r>
      <w:r w:rsidR="00193DAE">
        <w:t xml:space="preserve"> </w:t>
      </w:r>
      <w:r w:rsidR="0018553C">
        <w:t xml:space="preserve">banana peel compost treatment, animal manure to </w:t>
      </w:r>
      <w:r w:rsidR="006C1C08">
        <w:t>our</w:t>
      </w:r>
      <w:r w:rsidR="00193DAE">
        <w:t xml:space="preserve"> </w:t>
      </w:r>
      <w:r w:rsidR="0018553C">
        <w:t xml:space="preserve">chicken manure treatment and NPK fertiliser to </w:t>
      </w:r>
      <w:r w:rsidR="006C1C08">
        <w:t>our</w:t>
      </w:r>
      <w:r w:rsidR="00193DAE">
        <w:t xml:space="preserve"> </w:t>
      </w:r>
      <w:r w:rsidR="0018553C">
        <w:t>NPK fertiliser treatment.</w:t>
      </w:r>
      <w:r w:rsidR="00FB3448">
        <w:t xml:space="preserve"> </w:t>
      </w:r>
      <w:r w:rsidR="00E81A62">
        <w:t>Others, in</w:t>
      </w:r>
      <w:r w:rsidR="00B96A52">
        <w:t xml:space="preserve">cluding the use of </w:t>
      </w:r>
      <w:r w:rsidR="00E077EE">
        <w:t>grass</w:t>
      </w:r>
      <w:r w:rsidR="00505423">
        <w:t>, leaves or</w:t>
      </w:r>
      <w:r w:rsidR="00E22854">
        <w:t xml:space="preserve"> plant </w:t>
      </w:r>
      <w:r w:rsidR="00585C0C">
        <w:t>residues</w:t>
      </w:r>
      <w:r w:rsidR="00C2111F">
        <w:t xml:space="preserve"> </w:t>
      </w:r>
      <w:r w:rsidR="00A92F6C">
        <w:t>besides</w:t>
      </w:r>
      <w:r w:rsidR="00C2111F">
        <w:t xml:space="preserve"> food waste</w:t>
      </w:r>
      <w:r w:rsidR="00E22854">
        <w:t xml:space="preserve"> (henceforth </w:t>
      </w:r>
      <w:r w:rsidR="00DB678F">
        <w:t xml:space="preserve">called </w:t>
      </w:r>
      <w:r w:rsidR="00E22854">
        <w:t>mulch)</w:t>
      </w:r>
      <w:r w:rsidR="00B96A52">
        <w:t>, were</w:t>
      </w:r>
      <w:r w:rsidR="00E81A62">
        <w:t xml:space="preserve"> related</w:t>
      </w:r>
      <w:r w:rsidR="00D816F2">
        <w:t xml:space="preserve"> to </w:t>
      </w:r>
      <w:r w:rsidR="006C1C08">
        <w:t>our</w:t>
      </w:r>
      <w:r w:rsidR="00D816F2">
        <w:t xml:space="preserve"> research project</w:t>
      </w:r>
      <w:r w:rsidR="00051829">
        <w:t>,</w:t>
      </w:r>
      <w:r w:rsidR="00E81A62">
        <w:t xml:space="preserve"> but not s</w:t>
      </w:r>
      <w:r w:rsidR="00140E11">
        <w:t>pecifically tested in the experimental gardens.</w:t>
      </w:r>
      <w:r w:rsidR="00334CB7">
        <w:t xml:space="preserve"> </w:t>
      </w:r>
      <w:r w:rsidR="007B4BC8">
        <w:t>We</w:t>
      </w:r>
      <w:r w:rsidR="00AF1BCF">
        <w:t xml:space="preserve"> </w:t>
      </w:r>
      <w:r w:rsidR="00144416">
        <w:t xml:space="preserve">asked about both </w:t>
      </w:r>
      <w:r w:rsidR="00161250">
        <w:t xml:space="preserve">directly </w:t>
      </w:r>
      <w:r w:rsidR="00A61555">
        <w:t>associated</w:t>
      </w:r>
      <w:r w:rsidR="00161250">
        <w:t xml:space="preserve"> and related </w:t>
      </w:r>
      <w:r w:rsidR="00935F86">
        <w:t xml:space="preserve">farming </w:t>
      </w:r>
      <w:r w:rsidR="00144416">
        <w:t>practices to better unders</w:t>
      </w:r>
      <w:r w:rsidR="00B6373E">
        <w:t xml:space="preserve">tand </w:t>
      </w:r>
      <w:r w:rsidR="002D28E8">
        <w:t xml:space="preserve">the </w:t>
      </w:r>
      <w:r w:rsidR="004F2E5E">
        <w:t xml:space="preserve">potential </w:t>
      </w:r>
      <w:r w:rsidR="00144416">
        <w:t>unintended effects of the research proj</w:t>
      </w:r>
      <w:r w:rsidR="0023169E">
        <w:t xml:space="preserve">ect on farming practices. </w:t>
      </w:r>
    </w:p>
    <w:p w14:paraId="10730938" w14:textId="3C409F16" w:rsidR="00522352" w:rsidRDefault="007F4CDC" w:rsidP="002764F1">
      <w:pPr>
        <w:pStyle w:val="NoSpacing"/>
        <w:ind w:firstLine="720"/>
      </w:pPr>
      <w:r>
        <w:t xml:space="preserve">In the third part </w:t>
      </w:r>
      <w:r w:rsidR="00BF308D">
        <w:t>of the survey,</w:t>
      </w:r>
      <w:r w:rsidR="007B4BC8">
        <w:t xml:space="preserve"> we </w:t>
      </w:r>
      <w:r>
        <w:t xml:space="preserve">collected data on farmers’ most important information sources regarding their food gardens. Specifically, the English translation of the network prompt was: </w:t>
      </w:r>
      <w:r w:rsidR="00F52D60">
        <w:t>‘</w:t>
      </w:r>
      <w:r w:rsidRPr="00C62673">
        <w:t xml:space="preserve">Now we need you to think about people </w:t>
      </w:r>
      <w:r w:rsidR="004D4BD2" w:rsidRPr="00C62673">
        <w:t xml:space="preserve">in the village </w:t>
      </w:r>
      <w:r w:rsidRPr="00C62673">
        <w:t>you have talked to most often about farming</w:t>
      </w:r>
      <w:r w:rsidR="004D4BD2">
        <w:t xml:space="preserve"> </w:t>
      </w:r>
      <w:r w:rsidR="004D4BD2" w:rsidRPr="00C62673">
        <w:t>over the last year</w:t>
      </w:r>
      <w:r w:rsidRPr="00C62673">
        <w:t>. Could you give us the names of</w:t>
      </w:r>
      <w:r>
        <w:t xml:space="preserve"> </w:t>
      </w:r>
      <w:r w:rsidR="00A92014">
        <w:t>up to</w:t>
      </w:r>
      <w:r w:rsidRPr="00C62673">
        <w:t xml:space="preserve"> five people who you</w:t>
      </w:r>
      <w:r>
        <w:t xml:space="preserve"> regularly talk to about your food gardens?</w:t>
      </w:r>
      <w:r w:rsidR="00F52D60">
        <w:t>’</w:t>
      </w:r>
      <w:r>
        <w:t>. The elicited networks were preserved in their directed form</w:t>
      </w:r>
      <w:r w:rsidR="00B77FA2">
        <w:t xml:space="preserve">. This allowed </w:t>
      </w:r>
      <w:r w:rsidR="00CB3F71">
        <w:t>us</w:t>
      </w:r>
      <w:r w:rsidR="00F50CBD">
        <w:t xml:space="preserve"> to distinguish between information seekers, conceptualised </w:t>
      </w:r>
      <w:r w:rsidR="002B0DEC">
        <w:t>as nominating many others (i.e.</w:t>
      </w:r>
      <w:r w:rsidR="00F50CBD">
        <w:t xml:space="preserve"> actors with a high out-degree</w:t>
      </w:r>
      <w:r w:rsidR="00C63F53">
        <w:t xml:space="preserve"> in network science terminology</w:t>
      </w:r>
      <w:r w:rsidR="00F50CBD">
        <w:t>), from popular advisors, conceptualised as often being nominated by others</w:t>
      </w:r>
      <w:r w:rsidR="00EF73FF">
        <w:t xml:space="preserve"> (i.e. </w:t>
      </w:r>
      <w:r w:rsidR="002B0DEC">
        <w:t xml:space="preserve">actors with a </w:t>
      </w:r>
      <w:r w:rsidR="00EF73FF">
        <w:t>high in-degree). Ne</w:t>
      </w:r>
      <w:r w:rsidR="00F50CBD">
        <w:t>twork analysis requires setting a meaningful bound</w:t>
      </w:r>
      <w:r w:rsidR="00A53E31">
        <w:t>ary</w:t>
      </w:r>
      <w:r w:rsidR="00F50CBD">
        <w:t xml:space="preserve">. </w:t>
      </w:r>
      <w:r w:rsidR="00EE580A">
        <w:t>I</w:t>
      </w:r>
      <w:r w:rsidR="00F50CBD">
        <w:t xml:space="preserve">n this study </w:t>
      </w:r>
      <w:r w:rsidR="003B382C">
        <w:t xml:space="preserve">the boundary of the network </w:t>
      </w:r>
      <w:r w:rsidR="00F50CBD" w:rsidRPr="0039355A">
        <w:t xml:space="preserve">is the clans </w:t>
      </w:r>
      <w:r w:rsidR="00051829">
        <w:t>that</w:t>
      </w:r>
      <w:r w:rsidR="00051829" w:rsidRPr="0039355A">
        <w:t xml:space="preserve"> </w:t>
      </w:r>
      <w:r w:rsidR="00F50CBD" w:rsidRPr="0039355A">
        <w:t>were involved in the research project.</w:t>
      </w:r>
      <w:r w:rsidR="00F50CBD">
        <w:t xml:space="preserve"> </w:t>
      </w:r>
      <w:r w:rsidR="007B4BC8">
        <w:t>We</w:t>
      </w:r>
      <w:r w:rsidR="00193DAE">
        <w:t xml:space="preserve"> </w:t>
      </w:r>
      <w:r w:rsidR="00EF6231">
        <w:t xml:space="preserve">only </w:t>
      </w:r>
      <w:r w:rsidR="00547123">
        <w:t>consider</w:t>
      </w:r>
      <w:r w:rsidR="008349A4">
        <w:t>ed</w:t>
      </w:r>
      <w:r w:rsidR="00547123">
        <w:t xml:space="preserve"> links </w:t>
      </w:r>
      <w:r w:rsidR="00022C6E">
        <w:t>within the selected boundary and discarded outgoing links</w:t>
      </w:r>
      <w:r w:rsidR="004F49BD">
        <w:t>, as is usually done within network analyses</w:t>
      </w:r>
      <w:r w:rsidR="00547123">
        <w:t>.</w:t>
      </w:r>
      <w:r>
        <w:t xml:space="preserve"> </w:t>
      </w:r>
    </w:p>
    <w:p w14:paraId="12BB6938" w14:textId="1F68ACBA" w:rsidR="007F4CDC" w:rsidRDefault="007F4CDC" w:rsidP="00334CB7">
      <w:pPr>
        <w:pStyle w:val="NoSpacing"/>
        <w:ind w:firstLine="720"/>
      </w:pPr>
      <w:r>
        <w:t xml:space="preserve">In the second interview wave, there was a fourth part </w:t>
      </w:r>
      <w:r w:rsidR="002764F1">
        <w:t xml:space="preserve">to the interview </w:t>
      </w:r>
      <w:r>
        <w:t>in which</w:t>
      </w:r>
      <w:r w:rsidR="007B4BC8">
        <w:t xml:space="preserve"> we </w:t>
      </w:r>
      <w:r>
        <w:t xml:space="preserve">asked participants about </w:t>
      </w:r>
      <w:r w:rsidR="005A227B">
        <w:t>why or why not</w:t>
      </w:r>
      <w:r w:rsidR="00143973">
        <w:t xml:space="preserve"> they</w:t>
      </w:r>
      <w:r w:rsidR="005A227B">
        <w:t xml:space="preserve"> were using a certain </w:t>
      </w:r>
      <w:r w:rsidR="0069136C">
        <w:t>farming</w:t>
      </w:r>
      <w:r w:rsidR="0041482A">
        <w:t xml:space="preserve"> </w:t>
      </w:r>
      <w:r w:rsidR="005A227B">
        <w:t xml:space="preserve">practice, </w:t>
      </w:r>
      <w:r>
        <w:t>whether they had changed the variety of sweet</w:t>
      </w:r>
      <w:r w:rsidR="004C0F18">
        <w:t xml:space="preserve"> </w:t>
      </w:r>
      <w:r>
        <w:t xml:space="preserve">potato that they were planting, and </w:t>
      </w:r>
      <w:r w:rsidR="00F90FE0">
        <w:t xml:space="preserve">whether and </w:t>
      </w:r>
      <w:r>
        <w:t>what they had learned from the research project</w:t>
      </w:r>
      <w:r w:rsidR="00C8407A">
        <w:t xml:space="preserve"> (</w:t>
      </w:r>
      <w:r w:rsidR="00D34FFB">
        <w:t>Table 2</w:t>
      </w:r>
      <w:r w:rsidR="00C8407A">
        <w:t>)</w:t>
      </w:r>
      <w:r>
        <w:t xml:space="preserve">. </w:t>
      </w:r>
    </w:p>
    <w:p w14:paraId="7FCFA016" w14:textId="14CE4581" w:rsidR="007F4CDC" w:rsidRDefault="007F4CDC" w:rsidP="0041796B">
      <w:pPr>
        <w:pStyle w:val="NoSpacing"/>
      </w:pPr>
      <w:r>
        <w:tab/>
      </w:r>
    </w:p>
    <w:p w14:paraId="5B3D581D" w14:textId="550132F2" w:rsidR="007F4CDC" w:rsidRPr="006132A8" w:rsidRDefault="00401965" w:rsidP="00142897">
      <w:r>
        <w:rPr>
          <w:b/>
        </w:rPr>
        <w:br w:type="page"/>
      </w:r>
      <w:r w:rsidR="007F4CDC" w:rsidRPr="006132A8">
        <w:rPr>
          <w:b/>
        </w:rPr>
        <w:lastRenderedPageBreak/>
        <w:t>Table 2</w:t>
      </w:r>
      <w:r w:rsidR="007A4D47">
        <w:rPr>
          <w:b/>
        </w:rPr>
        <w:t xml:space="preserve"> |</w:t>
      </w:r>
      <w:r w:rsidR="007F4CDC" w:rsidRPr="006132A8">
        <w:t xml:space="preserve"> Overview of variabl</w:t>
      </w:r>
      <w:r w:rsidR="00EA3B63">
        <w:t>es. Variables highlighted in blue</w:t>
      </w:r>
      <w:r w:rsidR="007F4CDC" w:rsidRPr="006132A8">
        <w:t xml:space="preserve"> are independent variables, and </w:t>
      </w:r>
      <w:r w:rsidR="007F4CDC">
        <w:t>un</w:t>
      </w:r>
      <w:r w:rsidR="007F4CDC" w:rsidRPr="006132A8">
        <w:t>highlighted variables are dependent variables.</w:t>
      </w:r>
      <w:r w:rsidR="00201927" w:rsidRPr="00201927">
        <w:t xml:space="preserve"> </w:t>
      </w:r>
      <w:r w:rsidR="00E75754">
        <w:t>Note that</w:t>
      </w:r>
      <w:r w:rsidR="00201927">
        <w:t xml:space="preserve"> in the research project </w:t>
      </w:r>
      <w:r w:rsidR="00381B06">
        <w:t xml:space="preserve">only </w:t>
      </w:r>
      <w:r w:rsidR="00201927">
        <w:t>three farming practices, namely</w:t>
      </w:r>
      <w:r w:rsidR="001A4EC7">
        <w:t xml:space="preserve"> those related to</w:t>
      </w:r>
      <w:r w:rsidR="00201927">
        <w:t xml:space="preserve"> </w:t>
      </w:r>
      <w:r w:rsidR="001A6088">
        <w:t>food waste, animal</w:t>
      </w:r>
      <w:r w:rsidR="00C94E19">
        <w:t xml:space="preserve"> </w:t>
      </w:r>
      <w:r w:rsidR="00201927">
        <w:t xml:space="preserve">manure and NPK fertiliser, were researched. The other two farming practices, including mulching and the variety of sweet potato planted, were not explicitly </w:t>
      </w:r>
      <w:r w:rsidR="00C8407A">
        <w:t>researched.</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58"/>
        <w:gridCol w:w="2555"/>
      </w:tblGrid>
      <w:tr w:rsidR="007F4CDC" w:rsidRPr="00212499" w14:paraId="362C9AD5" w14:textId="77777777" w:rsidTr="008566C5">
        <w:tc>
          <w:tcPr>
            <w:tcW w:w="1701" w:type="dxa"/>
            <w:tcBorders>
              <w:bottom w:val="single" w:sz="4" w:space="0" w:color="auto"/>
            </w:tcBorders>
            <w:shd w:val="clear" w:color="auto" w:fill="A6A6A6" w:themeFill="background1" w:themeFillShade="A6"/>
          </w:tcPr>
          <w:p w14:paraId="5B6A2E92" w14:textId="77777777" w:rsidR="007F4CDC" w:rsidRPr="00441875" w:rsidRDefault="007F4CDC" w:rsidP="00D62615">
            <w:pPr>
              <w:spacing w:line="360" w:lineRule="auto"/>
              <w:jc w:val="center"/>
              <w:rPr>
                <w:b/>
                <w:lang w:eastAsia="en-GB"/>
              </w:rPr>
            </w:pPr>
            <w:r w:rsidRPr="00441875">
              <w:rPr>
                <w:b/>
                <w:lang w:eastAsia="en-GB"/>
              </w:rPr>
              <w:t>Variable</w:t>
            </w:r>
          </w:p>
        </w:tc>
        <w:tc>
          <w:tcPr>
            <w:tcW w:w="4958" w:type="dxa"/>
            <w:tcBorders>
              <w:bottom w:val="single" w:sz="4" w:space="0" w:color="auto"/>
            </w:tcBorders>
            <w:shd w:val="clear" w:color="auto" w:fill="A6A6A6" w:themeFill="background1" w:themeFillShade="A6"/>
          </w:tcPr>
          <w:p w14:paraId="13896F4F" w14:textId="77777777" w:rsidR="007F4CDC" w:rsidRPr="00441875" w:rsidRDefault="007F4CDC" w:rsidP="00D62615">
            <w:pPr>
              <w:spacing w:line="360" w:lineRule="auto"/>
              <w:jc w:val="center"/>
              <w:rPr>
                <w:b/>
                <w:lang w:eastAsia="en-GB"/>
              </w:rPr>
            </w:pPr>
            <w:r w:rsidRPr="00441875">
              <w:rPr>
                <w:b/>
                <w:lang w:eastAsia="en-GB"/>
              </w:rPr>
              <w:t>Description of variable</w:t>
            </w:r>
          </w:p>
        </w:tc>
        <w:tc>
          <w:tcPr>
            <w:tcW w:w="2555" w:type="dxa"/>
            <w:tcBorders>
              <w:bottom w:val="single" w:sz="4" w:space="0" w:color="auto"/>
            </w:tcBorders>
            <w:shd w:val="clear" w:color="auto" w:fill="A6A6A6" w:themeFill="background1" w:themeFillShade="A6"/>
          </w:tcPr>
          <w:p w14:paraId="1A7FDC21" w14:textId="77777777" w:rsidR="007F4CDC" w:rsidRPr="00441875" w:rsidRDefault="007F4CDC" w:rsidP="00D62615">
            <w:pPr>
              <w:spacing w:line="360" w:lineRule="auto"/>
              <w:jc w:val="center"/>
              <w:rPr>
                <w:b/>
                <w:lang w:eastAsia="en-GB"/>
              </w:rPr>
            </w:pPr>
            <w:r w:rsidRPr="00441875">
              <w:rPr>
                <w:b/>
                <w:lang w:eastAsia="en-GB"/>
              </w:rPr>
              <w:t>Metric</w:t>
            </w:r>
          </w:p>
        </w:tc>
      </w:tr>
      <w:tr w:rsidR="007F4CDC" w:rsidRPr="00525CF5" w14:paraId="2F458F5A" w14:textId="77777777" w:rsidTr="008566C5">
        <w:tc>
          <w:tcPr>
            <w:tcW w:w="1701" w:type="dxa"/>
            <w:tcBorders>
              <w:top w:val="single" w:sz="4" w:space="0" w:color="auto"/>
            </w:tcBorders>
            <w:shd w:val="clear" w:color="auto" w:fill="CCECFF"/>
          </w:tcPr>
          <w:p w14:paraId="683CA3BC" w14:textId="77777777" w:rsidR="007F4CDC" w:rsidRPr="00092994" w:rsidRDefault="007F4CDC" w:rsidP="00D62615">
            <w:pPr>
              <w:spacing w:line="360" w:lineRule="auto"/>
              <w:jc w:val="center"/>
              <w:rPr>
                <w:lang w:eastAsia="en-GB"/>
              </w:rPr>
            </w:pPr>
            <w:r w:rsidRPr="00092994">
              <w:rPr>
                <w:lang w:eastAsia="en-GB"/>
              </w:rPr>
              <w:t>Time</w:t>
            </w:r>
          </w:p>
        </w:tc>
        <w:tc>
          <w:tcPr>
            <w:tcW w:w="4958" w:type="dxa"/>
            <w:tcBorders>
              <w:top w:val="single" w:sz="4" w:space="0" w:color="auto"/>
            </w:tcBorders>
            <w:shd w:val="clear" w:color="auto" w:fill="CCECFF"/>
          </w:tcPr>
          <w:p w14:paraId="796252A3" w14:textId="77777777" w:rsidR="007F4CDC" w:rsidRDefault="007F4CDC" w:rsidP="00DE1004">
            <w:pPr>
              <w:spacing w:line="360" w:lineRule="auto"/>
              <w:jc w:val="left"/>
              <w:rPr>
                <w:lang w:eastAsia="en-GB"/>
              </w:rPr>
            </w:pPr>
            <w:r>
              <w:rPr>
                <w:lang w:eastAsia="en-GB"/>
              </w:rPr>
              <w:t>Indicates whether the interview was conducted before or after the research project had been conducted.</w:t>
            </w:r>
          </w:p>
        </w:tc>
        <w:tc>
          <w:tcPr>
            <w:tcW w:w="2555" w:type="dxa"/>
            <w:tcBorders>
              <w:top w:val="single" w:sz="4" w:space="0" w:color="auto"/>
            </w:tcBorders>
            <w:shd w:val="clear" w:color="auto" w:fill="CCECFF"/>
          </w:tcPr>
          <w:p w14:paraId="4C093445" w14:textId="77777777" w:rsidR="007F4CDC" w:rsidRDefault="007F4CDC" w:rsidP="00D62615">
            <w:pPr>
              <w:spacing w:line="360" w:lineRule="auto"/>
              <w:jc w:val="center"/>
              <w:rPr>
                <w:lang w:eastAsia="en-GB"/>
              </w:rPr>
            </w:pPr>
            <w:r>
              <w:rPr>
                <w:lang w:eastAsia="en-GB"/>
              </w:rPr>
              <w:t>Factor</w:t>
            </w:r>
          </w:p>
          <w:p w14:paraId="18271B0D" w14:textId="5080A85B" w:rsidR="007F4CDC" w:rsidRPr="00525CF5" w:rsidRDefault="007B60BB" w:rsidP="007B60BB">
            <w:pPr>
              <w:spacing w:line="360" w:lineRule="auto"/>
              <w:jc w:val="center"/>
              <w:rPr>
                <w:sz w:val="18"/>
                <w:szCs w:val="18"/>
                <w:lang w:eastAsia="en-GB"/>
              </w:rPr>
            </w:pPr>
            <w:r>
              <w:rPr>
                <w:sz w:val="18"/>
                <w:szCs w:val="18"/>
                <w:lang w:eastAsia="en-GB"/>
              </w:rPr>
              <w:t xml:space="preserve">Time </w:t>
            </w:r>
            <w:r w:rsidR="000816D2">
              <w:rPr>
                <w:sz w:val="18"/>
                <w:szCs w:val="18"/>
                <w:lang w:eastAsia="en-GB"/>
              </w:rPr>
              <w:t>1</w:t>
            </w:r>
            <w:r>
              <w:rPr>
                <w:sz w:val="18"/>
                <w:szCs w:val="18"/>
                <w:lang w:eastAsia="en-GB"/>
              </w:rPr>
              <w:t xml:space="preserve"> |</w:t>
            </w:r>
            <w:r w:rsidR="007F4CDC">
              <w:rPr>
                <w:sz w:val="18"/>
                <w:szCs w:val="18"/>
                <w:lang w:eastAsia="en-GB"/>
              </w:rPr>
              <w:t xml:space="preserve"> Time 2</w:t>
            </w:r>
          </w:p>
        </w:tc>
      </w:tr>
      <w:tr w:rsidR="007F4CDC" w:rsidRPr="00A064A5" w14:paraId="71CE2B10" w14:textId="77777777" w:rsidTr="008566C5">
        <w:tc>
          <w:tcPr>
            <w:tcW w:w="1701" w:type="dxa"/>
            <w:shd w:val="clear" w:color="auto" w:fill="CCECFF"/>
          </w:tcPr>
          <w:p w14:paraId="1A992A11" w14:textId="77777777" w:rsidR="007F4CDC" w:rsidRPr="00092994" w:rsidRDefault="007F4CDC" w:rsidP="00D62615">
            <w:pPr>
              <w:spacing w:line="360" w:lineRule="auto"/>
              <w:jc w:val="center"/>
              <w:rPr>
                <w:lang w:eastAsia="en-GB"/>
              </w:rPr>
            </w:pPr>
            <w:r w:rsidRPr="00092994">
              <w:rPr>
                <w:lang w:eastAsia="en-GB"/>
              </w:rPr>
              <w:t>Project</w:t>
            </w:r>
          </w:p>
        </w:tc>
        <w:tc>
          <w:tcPr>
            <w:tcW w:w="4958" w:type="dxa"/>
            <w:shd w:val="clear" w:color="auto" w:fill="CCECFF"/>
          </w:tcPr>
          <w:p w14:paraId="00EF94C3" w14:textId="2BDA7C39" w:rsidR="007F4CDC" w:rsidRDefault="007F4CDC" w:rsidP="00DE1004">
            <w:pPr>
              <w:spacing w:line="360" w:lineRule="auto"/>
              <w:jc w:val="left"/>
              <w:rPr>
                <w:lang w:eastAsia="en-GB"/>
              </w:rPr>
            </w:pPr>
            <w:r>
              <w:rPr>
                <w:lang w:eastAsia="en-GB"/>
              </w:rPr>
              <w:t xml:space="preserve">Describes whether someone was involved in the </w:t>
            </w:r>
            <w:r w:rsidR="009724B4">
              <w:rPr>
                <w:lang w:eastAsia="en-GB"/>
              </w:rPr>
              <w:t xml:space="preserve">research </w:t>
            </w:r>
            <w:r>
              <w:rPr>
                <w:lang w:eastAsia="en-GB"/>
              </w:rPr>
              <w:t xml:space="preserve">project, involved as a </w:t>
            </w:r>
            <w:r w:rsidR="00CB05BC">
              <w:rPr>
                <w:lang w:eastAsia="en-GB"/>
              </w:rPr>
              <w:t xml:space="preserve">project </w:t>
            </w:r>
            <w:r>
              <w:rPr>
                <w:lang w:eastAsia="en-GB"/>
              </w:rPr>
              <w:t>garden owner or involved as a research assistant</w:t>
            </w:r>
            <w:r w:rsidR="00B3323D">
              <w:rPr>
                <w:lang w:eastAsia="en-GB"/>
              </w:rPr>
              <w:t>.</w:t>
            </w:r>
          </w:p>
        </w:tc>
        <w:tc>
          <w:tcPr>
            <w:tcW w:w="2555" w:type="dxa"/>
            <w:shd w:val="clear" w:color="auto" w:fill="CCECFF"/>
          </w:tcPr>
          <w:p w14:paraId="022AB45E" w14:textId="77777777" w:rsidR="007F4CDC" w:rsidRDefault="007F4CDC" w:rsidP="00D62615">
            <w:pPr>
              <w:spacing w:line="360" w:lineRule="auto"/>
              <w:jc w:val="center"/>
              <w:rPr>
                <w:lang w:eastAsia="en-GB"/>
              </w:rPr>
            </w:pPr>
            <w:r>
              <w:rPr>
                <w:lang w:eastAsia="en-GB"/>
              </w:rPr>
              <w:t>Factor</w:t>
            </w:r>
          </w:p>
          <w:p w14:paraId="3B561E1E" w14:textId="2055F174" w:rsidR="007F4CDC" w:rsidRPr="00A064A5" w:rsidRDefault="007B60BB" w:rsidP="007B60BB">
            <w:pPr>
              <w:spacing w:line="360" w:lineRule="auto"/>
              <w:jc w:val="center"/>
              <w:rPr>
                <w:sz w:val="18"/>
                <w:szCs w:val="18"/>
                <w:lang w:eastAsia="en-GB"/>
              </w:rPr>
            </w:pPr>
            <w:r>
              <w:rPr>
                <w:sz w:val="18"/>
                <w:szCs w:val="18"/>
                <w:lang w:eastAsia="en-GB"/>
              </w:rPr>
              <w:t>Not involved |</w:t>
            </w:r>
            <w:r w:rsidR="007F4CDC" w:rsidRPr="00A064A5">
              <w:rPr>
                <w:sz w:val="18"/>
                <w:szCs w:val="18"/>
                <w:lang w:eastAsia="en-GB"/>
              </w:rPr>
              <w:t xml:space="preserve"> </w:t>
            </w:r>
            <w:r>
              <w:rPr>
                <w:sz w:val="18"/>
                <w:szCs w:val="18"/>
                <w:lang w:eastAsia="en-GB"/>
              </w:rPr>
              <w:t>P</w:t>
            </w:r>
            <w:r w:rsidR="00C638FF">
              <w:rPr>
                <w:sz w:val="18"/>
                <w:szCs w:val="18"/>
                <w:lang w:eastAsia="en-GB"/>
              </w:rPr>
              <w:t xml:space="preserve">roject </w:t>
            </w:r>
            <w:r w:rsidR="007F4CDC" w:rsidRPr="00A064A5">
              <w:rPr>
                <w:sz w:val="18"/>
                <w:szCs w:val="18"/>
                <w:lang w:eastAsia="en-GB"/>
              </w:rPr>
              <w:t>garden owner</w:t>
            </w:r>
            <w:r>
              <w:rPr>
                <w:sz w:val="18"/>
                <w:szCs w:val="18"/>
                <w:lang w:eastAsia="en-GB"/>
              </w:rPr>
              <w:t xml:space="preserve"> |</w:t>
            </w:r>
            <w:r w:rsidR="007F4CDC" w:rsidRPr="00A064A5">
              <w:rPr>
                <w:sz w:val="18"/>
                <w:szCs w:val="18"/>
                <w:lang w:eastAsia="en-GB"/>
              </w:rPr>
              <w:t xml:space="preserve"> </w:t>
            </w:r>
            <w:r>
              <w:rPr>
                <w:sz w:val="18"/>
                <w:szCs w:val="18"/>
                <w:lang w:eastAsia="en-GB"/>
              </w:rPr>
              <w:t>R</w:t>
            </w:r>
            <w:r w:rsidR="007F4CDC" w:rsidRPr="00A064A5">
              <w:rPr>
                <w:sz w:val="18"/>
                <w:szCs w:val="18"/>
                <w:lang w:eastAsia="en-GB"/>
              </w:rPr>
              <w:t>esearch assistant</w:t>
            </w:r>
          </w:p>
        </w:tc>
      </w:tr>
      <w:tr w:rsidR="007F4CDC" w:rsidRPr="006D7410" w14:paraId="27B3B0A5" w14:textId="77777777" w:rsidTr="008566C5">
        <w:tc>
          <w:tcPr>
            <w:tcW w:w="1701" w:type="dxa"/>
            <w:shd w:val="clear" w:color="auto" w:fill="CCECFF"/>
          </w:tcPr>
          <w:p w14:paraId="0D570551" w14:textId="77777777" w:rsidR="007F4CDC" w:rsidRPr="00092994" w:rsidRDefault="007F4CDC" w:rsidP="00D62615">
            <w:pPr>
              <w:spacing w:line="360" w:lineRule="auto"/>
              <w:jc w:val="center"/>
              <w:rPr>
                <w:lang w:eastAsia="en-GB"/>
              </w:rPr>
            </w:pPr>
            <w:r w:rsidRPr="00092994">
              <w:rPr>
                <w:lang w:eastAsia="en-GB"/>
              </w:rPr>
              <w:t>Gender</w:t>
            </w:r>
          </w:p>
        </w:tc>
        <w:tc>
          <w:tcPr>
            <w:tcW w:w="4958" w:type="dxa"/>
            <w:shd w:val="clear" w:color="auto" w:fill="CCECFF"/>
          </w:tcPr>
          <w:p w14:paraId="5E73BBAE" w14:textId="1DE66C6E" w:rsidR="007F4CDC" w:rsidRDefault="007F4CDC" w:rsidP="00DE1004">
            <w:pPr>
              <w:spacing w:line="360" w:lineRule="auto"/>
              <w:jc w:val="left"/>
              <w:rPr>
                <w:lang w:eastAsia="en-GB"/>
              </w:rPr>
            </w:pPr>
            <w:r>
              <w:rPr>
                <w:lang w:eastAsia="en-GB"/>
              </w:rPr>
              <w:t>Specifies whether t</w:t>
            </w:r>
            <w:r w:rsidR="00087E8C">
              <w:rPr>
                <w:lang w:eastAsia="en-GB"/>
              </w:rPr>
              <w:t xml:space="preserve">he interviewee identified as </w:t>
            </w:r>
            <w:r w:rsidR="00830DA8">
              <w:rPr>
                <w:lang w:eastAsia="en-GB"/>
              </w:rPr>
              <w:t>a man or a woman</w:t>
            </w:r>
            <w:r w:rsidR="00B3323D">
              <w:rPr>
                <w:lang w:eastAsia="en-GB"/>
              </w:rPr>
              <w:t>.</w:t>
            </w:r>
          </w:p>
        </w:tc>
        <w:tc>
          <w:tcPr>
            <w:tcW w:w="2555" w:type="dxa"/>
            <w:shd w:val="clear" w:color="auto" w:fill="CCECFF"/>
          </w:tcPr>
          <w:p w14:paraId="18F3F873" w14:textId="77777777" w:rsidR="007F4CDC" w:rsidRDefault="007F4CDC" w:rsidP="00D62615">
            <w:pPr>
              <w:spacing w:line="360" w:lineRule="auto"/>
              <w:jc w:val="center"/>
              <w:rPr>
                <w:lang w:eastAsia="en-GB"/>
              </w:rPr>
            </w:pPr>
            <w:r>
              <w:rPr>
                <w:lang w:eastAsia="en-GB"/>
              </w:rPr>
              <w:t>Factor</w:t>
            </w:r>
          </w:p>
          <w:p w14:paraId="628F1F61" w14:textId="4A7AE651" w:rsidR="007F4CDC" w:rsidRPr="006D7410" w:rsidRDefault="007B60BB" w:rsidP="007B60BB">
            <w:pPr>
              <w:spacing w:line="360" w:lineRule="auto"/>
              <w:jc w:val="center"/>
              <w:rPr>
                <w:sz w:val="18"/>
                <w:szCs w:val="18"/>
                <w:lang w:eastAsia="en-GB"/>
              </w:rPr>
            </w:pPr>
            <w:r>
              <w:rPr>
                <w:sz w:val="18"/>
                <w:szCs w:val="18"/>
                <w:lang w:eastAsia="en-GB"/>
              </w:rPr>
              <w:t>Man |</w:t>
            </w:r>
            <w:r w:rsidR="005C6BCC">
              <w:rPr>
                <w:sz w:val="18"/>
                <w:szCs w:val="18"/>
                <w:lang w:eastAsia="en-GB"/>
              </w:rPr>
              <w:t xml:space="preserve"> </w:t>
            </w:r>
            <w:r>
              <w:rPr>
                <w:sz w:val="18"/>
                <w:szCs w:val="18"/>
                <w:lang w:eastAsia="en-GB"/>
              </w:rPr>
              <w:t>W</w:t>
            </w:r>
            <w:r w:rsidR="005C6BCC">
              <w:rPr>
                <w:sz w:val="18"/>
                <w:szCs w:val="18"/>
                <w:lang w:eastAsia="en-GB"/>
              </w:rPr>
              <w:t>oman</w:t>
            </w:r>
          </w:p>
        </w:tc>
      </w:tr>
      <w:tr w:rsidR="007F4CDC" w:rsidRPr="006D7410" w14:paraId="24E7900E" w14:textId="77777777" w:rsidTr="008566C5">
        <w:tc>
          <w:tcPr>
            <w:tcW w:w="1701" w:type="dxa"/>
            <w:shd w:val="clear" w:color="auto" w:fill="CCECFF"/>
          </w:tcPr>
          <w:p w14:paraId="338C6CB4" w14:textId="77777777" w:rsidR="007F4CDC" w:rsidRPr="00092994" w:rsidRDefault="007F4CDC" w:rsidP="00D62615">
            <w:pPr>
              <w:spacing w:line="360" w:lineRule="auto"/>
              <w:jc w:val="center"/>
              <w:rPr>
                <w:lang w:eastAsia="en-GB"/>
              </w:rPr>
            </w:pPr>
            <w:r w:rsidRPr="00092994">
              <w:rPr>
                <w:lang w:eastAsia="en-GB"/>
              </w:rPr>
              <w:t>Age</w:t>
            </w:r>
          </w:p>
        </w:tc>
        <w:tc>
          <w:tcPr>
            <w:tcW w:w="4958" w:type="dxa"/>
            <w:shd w:val="clear" w:color="auto" w:fill="CCECFF"/>
          </w:tcPr>
          <w:p w14:paraId="2D330929" w14:textId="7A224BA5" w:rsidR="007F4CDC" w:rsidRDefault="007F4CDC" w:rsidP="00DE1004">
            <w:pPr>
              <w:spacing w:line="360" w:lineRule="auto"/>
              <w:jc w:val="left"/>
              <w:rPr>
                <w:lang w:eastAsia="en-GB"/>
              </w:rPr>
            </w:pPr>
            <w:r w:rsidRPr="00664A21">
              <w:rPr>
                <w:lang w:eastAsia="en-GB"/>
              </w:rPr>
              <w:t>Indicates the interviewee’s age in years in 2019.</w:t>
            </w:r>
          </w:p>
        </w:tc>
        <w:tc>
          <w:tcPr>
            <w:tcW w:w="2555" w:type="dxa"/>
            <w:shd w:val="clear" w:color="auto" w:fill="CCECFF"/>
          </w:tcPr>
          <w:p w14:paraId="19F34695" w14:textId="77777777" w:rsidR="007F4CDC" w:rsidRDefault="007F4CDC" w:rsidP="00D62615">
            <w:pPr>
              <w:spacing w:line="360" w:lineRule="auto"/>
              <w:jc w:val="center"/>
              <w:rPr>
                <w:lang w:eastAsia="en-GB"/>
              </w:rPr>
            </w:pPr>
            <w:r w:rsidRPr="00664A21">
              <w:rPr>
                <w:lang w:eastAsia="en-GB"/>
              </w:rPr>
              <w:t>Continuous</w:t>
            </w:r>
          </w:p>
        </w:tc>
      </w:tr>
      <w:tr w:rsidR="007F4CDC" w:rsidRPr="00303F6F" w14:paraId="0E45A880" w14:textId="77777777" w:rsidTr="008566C5">
        <w:tc>
          <w:tcPr>
            <w:tcW w:w="1701" w:type="dxa"/>
            <w:shd w:val="clear" w:color="auto" w:fill="CCECFF"/>
          </w:tcPr>
          <w:p w14:paraId="628E3F54" w14:textId="77777777" w:rsidR="007F4CDC" w:rsidRPr="00092994" w:rsidRDefault="007F4CDC" w:rsidP="00D62615">
            <w:pPr>
              <w:spacing w:line="360" w:lineRule="auto"/>
              <w:jc w:val="center"/>
              <w:rPr>
                <w:lang w:eastAsia="en-GB"/>
              </w:rPr>
            </w:pPr>
            <w:r w:rsidRPr="00092994">
              <w:rPr>
                <w:lang w:eastAsia="en-GB"/>
              </w:rPr>
              <w:t>Location</w:t>
            </w:r>
          </w:p>
        </w:tc>
        <w:tc>
          <w:tcPr>
            <w:tcW w:w="4958" w:type="dxa"/>
            <w:shd w:val="clear" w:color="auto" w:fill="CCECFF"/>
          </w:tcPr>
          <w:p w14:paraId="062055FB" w14:textId="04EEF0D2" w:rsidR="007F4CDC" w:rsidRPr="006A5D23" w:rsidRDefault="007F4CDC" w:rsidP="00DE1004">
            <w:pPr>
              <w:spacing w:line="360" w:lineRule="auto"/>
              <w:jc w:val="left"/>
              <w:rPr>
                <w:lang w:eastAsia="en-GB"/>
              </w:rPr>
            </w:pPr>
            <w:r>
              <w:rPr>
                <w:lang w:eastAsia="en-GB"/>
              </w:rPr>
              <w:t>Shortest</w:t>
            </w:r>
            <w:r w:rsidRPr="006A5D23">
              <w:rPr>
                <w:lang w:eastAsia="en-GB"/>
              </w:rPr>
              <w:t xml:space="preserve"> distance</w:t>
            </w:r>
            <w:r>
              <w:rPr>
                <w:lang w:eastAsia="en-GB"/>
              </w:rPr>
              <w:t xml:space="preserve"> in meters</w:t>
            </w:r>
            <w:r w:rsidRPr="006A5D23">
              <w:rPr>
                <w:lang w:eastAsia="en-GB"/>
              </w:rPr>
              <w:t xml:space="preserve"> between houses of respondents</w:t>
            </w:r>
            <w:r w:rsidR="00A03329">
              <w:rPr>
                <w:lang w:eastAsia="en-GB"/>
              </w:rPr>
              <w:t>.</w:t>
            </w:r>
          </w:p>
        </w:tc>
        <w:tc>
          <w:tcPr>
            <w:tcW w:w="2555" w:type="dxa"/>
            <w:shd w:val="clear" w:color="auto" w:fill="CCECFF"/>
          </w:tcPr>
          <w:p w14:paraId="218F3735" w14:textId="77777777" w:rsidR="007F4CDC" w:rsidRPr="006A5D23" w:rsidRDefault="007F4CDC" w:rsidP="00D62615">
            <w:pPr>
              <w:spacing w:line="360" w:lineRule="auto"/>
              <w:jc w:val="center"/>
              <w:rPr>
                <w:lang w:eastAsia="en-GB"/>
              </w:rPr>
            </w:pPr>
            <w:r w:rsidRPr="006A5D23">
              <w:rPr>
                <w:lang w:eastAsia="en-GB"/>
              </w:rPr>
              <w:t>Continuous</w:t>
            </w:r>
          </w:p>
        </w:tc>
      </w:tr>
      <w:tr w:rsidR="007F4CDC" w:rsidRPr="004A0CAD" w14:paraId="57F4BD2E" w14:textId="77777777" w:rsidTr="008566C5">
        <w:tc>
          <w:tcPr>
            <w:tcW w:w="1701" w:type="dxa"/>
            <w:tcBorders>
              <w:bottom w:val="single" w:sz="4" w:space="0" w:color="auto"/>
            </w:tcBorders>
            <w:shd w:val="clear" w:color="auto" w:fill="CCECFF"/>
          </w:tcPr>
          <w:p w14:paraId="215DEB7A" w14:textId="77777777" w:rsidR="007F4CDC" w:rsidRPr="00092994" w:rsidRDefault="007F4CDC" w:rsidP="00D62615">
            <w:pPr>
              <w:spacing w:line="360" w:lineRule="auto"/>
              <w:jc w:val="center"/>
              <w:rPr>
                <w:lang w:eastAsia="en-GB"/>
              </w:rPr>
            </w:pPr>
            <w:r w:rsidRPr="00092994">
              <w:rPr>
                <w:lang w:eastAsia="en-GB"/>
              </w:rPr>
              <w:t>Clan</w:t>
            </w:r>
          </w:p>
        </w:tc>
        <w:tc>
          <w:tcPr>
            <w:tcW w:w="4958" w:type="dxa"/>
            <w:tcBorders>
              <w:bottom w:val="single" w:sz="4" w:space="0" w:color="auto"/>
            </w:tcBorders>
            <w:shd w:val="clear" w:color="auto" w:fill="CCECFF"/>
          </w:tcPr>
          <w:p w14:paraId="2B1F6AE8" w14:textId="77777777" w:rsidR="007F4CDC" w:rsidRDefault="007F4CDC" w:rsidP="00DE1004">
            <w:pPr>
              <w:spacing w:line="360" w:lineRule="auto"/>
              <w:jc w:val="left"/>
              <w:rPr>
                <w:lang w:eastAsia="en-GB"/>
              </w:rPr>
            </w:pPr>
            <w:r>
              <w:rPr>
                <w:lang w:eastAsia="en-GB"/>
              </w:rPr>
              <w:t>Describes the clan the interviewee was part of.</w:t>
            </w:r>
          </w:p>
        </w:tc>
        <w:tc>
          <w:tcPr>
            <w:tcW w:w="2555" w:type="dxa"/>
            <w:tcBorders>
              <w:bottom w:val="single" w:sz="4" w:space="0" w:color="auto"/>
            </w:tcBorders>
            <w:shd w:val="clear" w:color="auto" w:fill="CCECFF"/>
          </w:tcPr>
          <w:p w14:paraId="6F5519F9" w14:textId="77777777" w:rsidR="007F4CDC" w:rsidRDefault="007F4CDC" w:rsidP="00D62615">
            <w:pPr>
              <w:spacing w:line="360" w:lineRule="auto"/>
              <w:jc w:val="center"/>
              <w:rPr>
                <w:lang w:eastAsia="en-GB"/>
              </w:rPr>
            </w:pPr>
            <w:r>
              <w:rPr>
                <w:lang w:eastAsia="en-GB"/>
              </w:rPr>
              <w:t>Factor</w:t>
            </w:r>
          </w:p>
          <w:p w14:paraId="2ED2618A" w14:textId="4E16E920" w:rsidR="007F4CDC" w:rsidRPr="004A0CAD" w:rsidRDefault="007B60BB" w:rsidP="007B60BB">
            <w:pPr>
              <w:spacing w:line="360" w:lineRule="auto"/>
              <w:jc w:val="center"/>
              <w:rPr>
                <w:sz w:val="18"/>
                <w:szCs w:val="18"/>
                <w:lang w:eastAsia="en-GB"/>
              </w:rPr>
            </w:pPr>
            <w:r>
              <w:rPr>
                <w:sz w:val="18"/>
                <w:szCs w:val="18"/>
                <w:lang w:eastAsia="en-GB"/>
              </w:rPr>
              <w:t>Clan 1 |</w:t>
            </w:r>
            <w:r w:rsidR="007F4CDC">
              <w:rPr>
                <w:sz w:val="18"/>
                <w:szCs w:val="18"/>
                <w:lang w:eastAsia="en-GB"/>
              </w:rPr>
              <w:t xml:space="preserve"> Clan 2</w:t>
            </w:r>
            <w:r>
              <w:rPr>
                <w:sz w:val="18"/>
                <w:szCs w:val="18"/>
                <w:lang w:eastAsia="en-GB"/>
              </w:rPr>
              <w:t xml:space="preserve"> |</w:t>
            </w:r>
            <w:r w:rsidR="007F4CDC">
              <w:rPr>
                <w:sz w:val="18"/>
                <w:szCs w:val="18"/>
                <w:lang w:eastAsia="en-GB"/>
              </w:rPr>
              <w:t xml:space="preserve"> Clan 3</w:t>
            </w:r>
            <w:r>
              <w:rPr>
                <w:sz w:val="18"/>
                <w:szCs w:val="18"/>
                <w:lang w:eastAsia="en-GB"/>
              </w:rPr>
              <w:t xml:space="preserve"> |</w:t>
            </w:r>
            <w:r w:rsidR="007F4CDC">
              <w:rPr>
                <w:sz w:val="18"/>
                <w:szCs w:val="18"/>
                <w:lang w:eastAsia="en-GB"/>
              </w:rPr>
              <w:t xml:space="preserve"> Clan 4</w:t>
            </w:r>
          </w:p>
        </w:tc>
      </w:tr>
      <w:tr w:rsidR="007F4CDC" w14:paraId="2B92D913" w14:textId="77777777" w:rsidTr="008566C5">
        <w:tc>
          <w:tcPr>
            <w:tcW w:w="1701" w:type="dxa"/>
            <w:tcBorders>
              <w:top w:val="single" w:sz="4" w:space="0" w:color="auto"/>
              <w:bottom w:val="single" w:sz="4" w:space="0" w:color="auto"/>
            </w:tcBorders>
            <w:shd w:val="clear" w:color="auto" w:fill="auto"/>
          </w:tcPr>
          <w:p w14:paraId="27F8E292" w14:textId="77777777" w:rsidR="007F4CDC" w:rsidRPr="00645EF5" w:rsidRDefault="007F4CDC" w:rsidP="00D62615">
            <w:pPr>
              <w:spacing w:line="360" w:lineRule="auto"/>
              <w:jc w:val="center"/>
              <w:rPr>
                <w:i/>
                <w:lang w:eastAsia="en-GB"/>
              </w:rPr>
            </w:pPr>
          </w:p>
        </w:tc>
        <w:tc>
          <w:tcPr>
            <w:tcW w:w="4958" w:type="dxa"/>
            <w:tcBorders>
              <w:top w:val="single" w:sz="4" w:space="0" w:color="auto"/>
              <w:bottom w:val="single" w:sz="4" w:space="0" w:color="auto"/>
            </w:tcBorders>
            <w:shd w:val="clear" w:color="auto" w:fill="auto"/>
          </w:tcPr>
          <w:p w14:paraId="1218C153" w14:textId="2413030F" w:rsidR="007F4CDC" w:rsidRPr="000019F0" w:rsidRDefault="007F4CDC" w:rsidP="00D62615">
            <w:pPr>
              <w:spacing w:line="360" w:lineRule="auto"/>
              <w:jc w:val="center"/>
              <w:rPr>
                <w:i/>
                <w:lang w:eastAsia="en-GB"/>
              </w:rPr>
            </w:pPr>
            <w:r w:rsidRPr="000019F0">
              <w:rPr>
                <w:i/>
                <w:lang w:eastAsia="en-GB"/>
              </w:rPr>
              <w:t xml:space="preserve">Researched </w:t>
            </w:r>
            <w:r w:rsidR="00D52808">
              <w:rPr>
                <w:i/>
                <w:lang w:eastAsia="en-GB"/>
              </w:rPr>
              <w:t>farming practices</w:t>
            </w:r>
          </w:p>
        </w:tc>
        <w:tc>
          <w:tcPr>
            <w:tcW w:w="2555" w:type="dxa"/>
            <w:tcBorders>
              <w:top w:val="single" w:sz="4" w:space="0" w:color="auto"/>
              <w:bottom w:val="single" w:sz="4" w:space="0" w:color="auto"/>
            </w:tcBorders>
            <w:shd w:val="clear" w:color="auto" w:fill="auto"/>
          </w:tcPr>
          <w:p w14:paraId="5ABD4F2A" w14:textId="77777777" w:rsidR="007F4CDC" w:rsidRDefault="007F4CDC" w:rsidP="00D62615">
            <w:pPr>
              <w:spacing w:line="360" w:lineRule="auto"/>
              <w:jc w:val="center"/>
              <w:rPr>
                <w:lang w:eastAsia="en-GB"/>
              </w:rPr>
            </w:pPr>
          </w:p>
        </w:tc>
      </w:tr>
      <w:tr w:rsidR="007F4CDC" w:rsidRPr="004A0CAD" w14:paraId="722FC5EE" w14:textId="77777777" w:rsidTr="008566C5">
        <w:tc>
          <w:tcPr>
            <w:tcW w:w="1701" w:type="dxa"/>
            <w:tcBorders>
              <w:top w:val="single" w:sz="4" w:space="0" w:color="auto"/>
            </w:tcBorders>
          </w:tcPr>
          <w:p w14:paraId="3B9E6713" w14:textId="30DC01E7" w:rsidR="007F4CDC" w:rsidRPr="00092994" w:rsidRDefault="00B45C1F" w:rsidP="00D62615">
            <w:pPr>
              <w:spacing w:line="360" w:lineRule="auto"/>
              <w:jc w:val="center"/>
              <w:rPr>
                <w:lang w:eastAsia="en-GB"/>
              </w:rPr>
            </w:pPr>
            <w:r w:rsidRPr="00092994">
              <w:rPr>
                <w:lang w:eastAsia="en-GB"/>
              </w:rPr>
              <w:t>Food waste</w:t>
            </w:r>
          </w:p>
        </w:tc>
        <w:tc>
          <w:tcPr>
            <w:tcW w:w="4958" w:type="dxa"/>
            <w:tcBorders>
              <w:top w:val="single" w:sz="4" w:space="0" w:color="auto"/>
            </w:tcBorders>
          </w:tcPr>
          <w:p w14:paraId="46E50E15" w14:textId="3595A09A" w:rsidR="007F4CDC" w:rsidRDefault="007F4CDC" w:rsidP="00DE1004">
            <w:pPr>
              <w:spacing w:line="360" w:lineRule="auto"/>
              <w:jc w:val="left"/>
              <w:rPr>
                <w:lang w:eastAsia="en-GB"/>
              </w:rPr>
            </w:pPr>
            <w:r>
              <w:rPr>
                <w:lang w:eastAsia="en-GB"/>
              </w:rPr>
              <w:t>Spec</w:t>
            </w:r>
            <w:r w:rsidR="00B45C1F">
              <w:rPr>
                <w:lang w:eastAsia="en-GB"/>
              </w:rPr>
              <w:t xml:space="preserve">ifies whether </w:t>
            </w:r>
            <w:r w:rsidR="00873259">
              <w:rPr>
                <w:lang w:eastAsia="en-GB"/>
              </w:rPr>
              <w:t>respondents</w:t>
            </w:r>
            <w:r w:rsidR="00B45C1F">
              <w:rPr>
                <w:lang w:eastAsia="en-GB"/>
              </w:rPr>
              <w:t xml:space="preserve"> appl</w:t>
            </w:r>
            <w:r w:rsidR="005923D6">
              <w:rPr>
                <w:lang w:eastAsia="en-GB"/>
              </w:rPr>
              <w:t>ied</w:t>
            </w:r>
            <w:r w:rsidR="00B45C1F">
              <w:rPr>
                <w:lang w:eastAsia="en-GB"/>
              </w:rPr>
              <w:t xml:space="preserve"> food waste</w:t>
            </w:r>
            <w:r w:rsidR="00873259">
              <w:rPr>
                <w:lang w:eastAsia="en-GB"/>
              </w:rPr>
              <w:t xml:space="preserve"> on their plots</w:t>
            </w:r>
            <w:r>
              <w:rPr>
                <w:lang w:eastAsia="en-GB"/>
              </w:rPr>
              <w:t>.</w:t>
            </w:r>
          </w:p>
        </w:tc>
        <w:tc>
          <w:tcPr>
            <w:tcW w:w="2555" w:type="dxa"/>
            <w:tcBorders>
              <w:top w:val="single" w:sz="4" w:space="0" w:color="auto"/>
            </w:tcBorders>
          </w:tcPr>
          <w:p w14:paraId="5C5A0EB9" w14:textId="77777777" w:rsidR="007F4CDC" w:rsidRDefault="007F4CDC" w:rsidP="00D62615">
            <w:pPr>
              <w:spacing w:line="360" w:lineRule="auto"/>
              <w:jc w:val="center"/>
              <w:rPr>
                <w:lang w:eastAsia="en-GB"/>
              </w:rPr>
            </w:pPr>
            <w:r>
              <w:rPr>
                <w:lang w:eastAsia="en-GB"/>
              </w:rPr>
              <w:t>Factor</w:t>
            </w:r>
          </w:p>
          <w:p w14:paraId="29300387" w14:textId="36A58995" w:rsidR="00F27188" w:rsidRDefault="007B60BB" w:rsidP="00D62615">
            <w:pPr>
              <w:spacing w:line="360" w:lineRule="auto"/>
              <w:jc w:val="center"/>
              <w:rPr>
                <w:sz w:val="18"/>
                <w:szCs w:val="18"/>
                <w:lang w:eastAsia="en-GB"/>
              </w:rPr>
            </w:pPr>
            <w:r>
              <w:rPr>
                <w:sz w:val="18"/>
                <w:szCs w:val="18"/>
                <w:lang w:eastAsia="en-GB"/>
              </w:rPr>
              <w:t>No |</w:t>
            </w:r>
            <w:r w:rsidR="007F4CDC">
              <w:rPr>
                <w:sz w:val="18"/>
                <w:szCs w:val="18"/>
                <w:lang w:eastAsia="en-GB"/>
              </w:rPr>
              <w:t xml:space="preserve"> Yes</w:t>
            </w:r>
          </w:p>
          <w:p w14:paraId="05F3B9E9" w14:textId="4A4DE3FB" w:rsidR="00F27188" w:rsidRPr="004A0CAD" w:rsidRDefault="00F27188" w:rsidP="00D62615">
            <w:pPr>
              <w:spacing w:line="360" w:lineRule="auto"/>
              <w:jc w:val="center"/>
              <w:rPr>
                <w:sz w:val="18"/>
                <w:szCs w:val="18"/>
                <w:lang w:eastAsia="en-GB"/>
              </w:rPr>
            </w:pPr>
          </w:p>
        </w:tc>
      </w:tr>
      <w:tr w:rsidR="007F4CDC" w:rsidRPr="004A0CAD" w14:paraId="5109CD93" w14:textId="77777777" w:rsidTr="008566C5">
        <w:tc>
          <w:tcPr>
            <w:tcW w:w="1701" w:type="dxa"/>
          </w:tcPr>
          <w:p w14:paraId="2DC934B2" w14:textId="77777777" w:rsidR="007F4CDC" w:rsidRPr="00092994" w:rsidRDefault="007F4CDC" w:rsidP="00D62615">
            <w:pPr>
              <w:spacing w:line="360" w:lineRule="auto"/>
              <w:jc w:val="center"/>
              <w:rPr>
                <w:lang w:eastAsia="en-GB"/>
              </w:rPr>
            </w:pPr>
            <w:r w:rsidRPr="00092994">
              <w:rPr>
                <w:lang w:eastAsia="en-GB"/>
              </w:rPr>
              <w:t>Animal manure</w:t>
            </w:r>
          </w:p>
        </w:tc>
        <w:tc>
          <w:tcPr>
            <w:tcW w:w="4958" w:type="dxa"/>
          </w:tcPr>
          <w:p w14:paraId="1AF7669C" w14:textId="0D801887" w:rsidR="007F4CDC" w:rsidRDefault="007F4CDC" w:rsidP="00DE1004">
            <w:pPr>
              <w:spacing w:line="360" w:lineRule="auto"/>
              <w:jc w:val="left"/>
              <w:rPr>
                <w:lang w:eastAsia="en-GB"/>
              </w:rPr>
            </w:pPr>
            <w:r>
              <w:rPr>
                <w:lang w:eastAsia="en-GB"/>
              </w:rPr>
              <w:t xml:space="preserve">Specifies whether </w:t>
            </w:r>
            <w:r w:rsidR="00BC182F">
              <w:rPr>
                <w:lang w:eastAsia="en-GB"/>
              </w:rPr>
              <w:t>respondents</w:t>
            </w:r>
            <w:r>
              <w:rPr>
                <w:lang w:eastAsia="en-GB"/>
              </w:rPr>
              <w:t xml:space="preserve"> use</w:t>
            </w:r>
            <w:r w:rsidR="005923D6">
              <w:rPr>
                <w:lang w:eastAsia="en-GB"/>
              </w:rPr>
              <w:t>d</w:t>
            </w:r>
            <w:r>
              <w:rPr>
                <w:lang w:eastAsia="en-GB"/>
              </w:rPr>
              <w:t xml:space="preserve"> animal manure.</w:t>
            </w:r>
          </w:p>
        </w:tc>
        <w:tc>
          <w:tcPr>
            <w:tcW w:w="2555" w:type="dxa"/>
          </w:tcPr>
          <w:p w14:paraId="20282F43" w14:textId="77777777" w:rsidR="007F4CDC" w:rsidRDefault="007F4CDC" w:rsidP="00D62615">
            <w:pPr>
              <w:spacing w:line="360" w:lineRule="auto"/>
              <w:jc w:val="center"/>
              <w:rPr>
                <w:lang w:eastAsia="en-GB"/>
              </w:rPr>
            </w:pPr>
            <w:r>
              <w:rPr>
                <w:lang w:eastAsia="en-GB"/>
              </w:rPr>
              <w:t>Factor</w:t>
            </w:r>
          </w:p>
          <w:p w14:paraId="40A9E6D8" w14:textId="5434EA84" w:rsidR="007F4CDC" w:rsidRPr="004A0CAD" w:rsidRDefault="007B60BB" w:rsidP="00D62615">
            <w:pPr>
              <w:spacing w:line="360" w:lineRule="auto"/>
              <w:jc w:val="center"/>
              <w:rPr>
                <w:sz w:val="18"/>
                <w:szCs w:val="18"/>
                <w:lang w:eastAsia="en-GB"/>
              </w:rPr>
            </w:pPr>
            <w:r>
              <w:rPr>
                <w:sz w:val="18"/>
                <w:szCs w:val="18"/>
                <w:lang w:eastAsia="en-GB"/>
              </w:rPr>
              <w:t>No |</w:t>
            </w:r>
            <w:r w:rsidR="007F4CDC">
              <w:rPr>
                <w:sz w:val="18"/>
                <w:szCs w:val="18"/>
                <w:lang w:eastAsia="en-GB"/>
              </w:rPr>
              <w:t xml:space="preserve"> Yes</w:t>
            </w:r>
          </w:p>
        </w:tc>
      </w:tr>
      <w:tr w:rsidR="007F4CDC" w:rsidRPr="004A0CAD" w14:paraId="5AA6B12E" w14:textId="77777777" w:rsidTr="008566C5">
        <w:tc>
          <w:tcPr>
            <w:tcW w:w="1701" w:type="dxa"/>
            <w:tcBorders>
              <w:bottom w:val="single" w:sz="4" w:space="0" w:color="auto"/>
            </w:tcBorders>
          </w:tcPr>
          <w:p w14:paraId="002069D5" w14:textId="77777777" w:rsidR="007F4CDC" w:rsidRPr="00092994" w:rsidRDefault="007F4CDC" w:rsidP="00D62615">
            <w:pPr>
              <w:spacing w:line="360" w:lineRule="auto"/>
              <w:jc w:val="center"/>
              <w:rPr>
                <w:lang w:eastAsia="en-GB"/>
              </w:rPr>
            </w:pPr>
            <w:r w:rsidRPr="00092994">
              <w:rPr>
                <w:lang w:eastAsia="en-GB"/>
              </w:rPr>
              <w:t>NPK fertiliser</w:t>
            </w:r>
          </w:p>
        </w:tc>
        <w:tc>
          <w:tcPr>
            <w:tcW w:w="4958" w:type="dxa"/>
            <w:tcBorders>
              <w:bottom w:val="single" w:sz="4" w:space="0" w:color="auto"/>
            </w:tcBorders>
          </w:tcPr>
          <w:p w14:paraId="7688B34B" w14:textId="7BFB6BAD" w:rsidR="007F4CDC" w:rsidRDefault="007F4CDC" w:rsidP="00DE1004">
            <w:pPr>
              <w:spacing w:line="360" w:lineRule="auto"/>
              <w:jc w:val="left"/>
              <w:rPr>
                <w:lang w:eastAsia="en-GB"/>
              </w:rPr>
            </w:pPr>
            <w:r>
              <w:rPr>
                <w:lang w:eastAsia="en-GB"/>
              </w:rPr>
              <w:t xml:space="preserve">Specifies whether </w:t>
            </w:r>
            <w:r w:rsidR="00BC182F">
              <w:rPr>
                <w:lang w:eastAsia="en-GB"/>
              </w:rPr>
              <w:t>respondents</w:t>
            </w:r>
            <w:r>
              <w:rPr>
                <w:lang w:eastAsia="en-GB"/>
              </w:rPr>
              <w:t xml:space="preserve"> use</w:t>
            </w:r>
            <w:r w:rsidR="005923D6">
              <w:rPr>
                <w:lang w:eastAsia="en-GB"/>
              </w:rPr>
              <w:t>d</w:t>
            </w:r>
            <w:r>
              <w:rPr>
                <w:lang w:eastAsia="en-GB"/>
              </w:rPr>
              <w:t xml:space="preserve"> NPK fertiliser</w:t>
            </w:r>
            <w:r w:rsidR="00D53C71">
              <w:rPr>
                <w:lang w:eastAsia="en-GB"/>
              </w:rPr>
              <w:t>.</w:t>
            </w:r>
          </w:p>
        </w:tc>
        <w:tc>
          <w:tcPr>
            <w:tcW w:w="2555" w:type="dxa"/>
            <w:tcBorders>
              <w:bottom w:val="single" w:sz="4" w:space="0" w:color="auto"/>
            </w:tcBorders>
          </w:tcPr>
          <w:p w14:paraId="755336CF" w14:textId="77777777" w:rsidR="007F4CDC" w:rsidRDefault="007F4CDC" w:rsidP="00D62615">
            <w:pPr>
              <w:spacing w:line="360" w:lineRule="auto"/>
              <w:jc w:val="center"/>
              <w:rPr>
                <w:lang w:eastAsia="en-GB"/>
              </w:rPr>
            </w:pPr>
            <w:r>
              <w:rPr>
                <w:lang w:eastAsia="en-GB"/>
              </w:rPr>
              <w:t>Factor</w:t>
            </w:r>
          </w:p>
          <w:p w14:paraId="146AA773" w14:textId="24CCF38D" w:rsidR="007F4CDC" w:rsidRPr="004A0CAD" w:rsidRDefault="007F4CDC" w:rsidP="007B60BB">
            <w:pPr>
              <w:spacing w:line="360" w:lineRule="auto"/>
              <w:jc w:val="center"/>
              <w:rPr>
                <w:sz w:val="18"/>
                <w:szCs w:val="18"/>
                <w:lang w:eastAsia="en-GB"/>
              </w:rPr>
            </w:pPr>
            <w:r>
              <w:rPr>
                <w:sz w:val="18"/>
                <w:szCs w:val="18"/>
                <w:lang w:eastAsia="en-GB"/>
              </w:rPr>
              <w:t>No</w:t>
            </w:r>
            <w:r w:rsidR="007B60BB">
              <w:rPr>
                <w:sz w:val="18"/>
                <w:szCs w:val="18"/>
                <w:lang w:eastAsia="en-GB"/>
              </w:rPr>
              <w:t xml:space="preserve"> |</w:t>
            </w:r>
            <w:r>
              <w:rPr>
                <w:sz w:val="18"/>
                <w:szCs w:val="18"/>
                <w:lang w:eastAsia="en-GB"/>
              </w:rPr>
              <w:t xml:space="preserve"> Yes</w:t>
            </w:r>
          </w:p>
        </w:tc>
      </w:tr>
      <w:tr w:rsidR="007F4CDC" w14:paraId="2E2F3974" w14:textId="77777777" w:rsidTr="00EE6C12">
        <w:tc>
          <w:tcPr>
            <w:tcW w:w="9214" w:type="dxa"/>
            <w:gridSpan w:val="3"/>
            <w:tcBorders>
              <w:top w:val="single" w:sz="4" w:space="0" w:color="auto"/>
              <w:bottom w:val="single" w:sz="4" w:space="0" w:color="auto"/>
            </w:tcBorders>
            <w:shd w:val="clear" w:color="auto" w:fill="auto"/>
          </w:tcPr>
          <w:p w14:paraId="47E819B6" w14:textId="32D73E83" w:rsidR="007F4CDC" w:rsidRPr="00645EF5" w:rsidRDefault="000A5B10" w:rsidP="00D62615">
            <w:pPr>
              <w:spacing w:line="360" w:lineRule="auto"/>
              <w:jc w:val="center"/>
              <w:rPr>
                <w:i/>
                <w:lang w:eastAsia="en-GB"/>
              </w:rPr>
            </w:pPr>
            <w:r>
              <w:rPr>
                <w:i/>
                <w:lang w:eastAsia="en-GB"/>
              </w:rPr>
              <w:t>Un</w:t>
            </w:r>
            <w:r w:rsidR="007F4CDC" w:rsidRPr="00645EF5">
              <w:rPr>
                <w:i/>
                <w:lang w:eastAsia="en-GB"/>
              </w:rPr>
              <w:t xml:space="preserve">researched </w:t>
            </w:r>
            <w:r w:rsidR="001F29FF">
              <w:rPr>
                <w:i/>
                <w:lang w:eastAsia="en-GB"/>
              </w:rPr>
              <w:t>farming practices</w:t>
            </w:r>
          </w:p>
        </w:tc>
      </w:tr>
      <w:tr w:rsidR="007F4CDC" w:rsidRPr="004A0CAD" w14:paraId="75719634" w14:textId="77777777" w:rsidTr="008566C5">
        <w:tc>
          <w:tcPr>
            <w:tcW w:w="1701" w:type="dxa"/>
            <w:tcBorders>
              <w:top w:val="single" w:sz="4" w:space="0" w:color="auto"/>
            </w:tcBorders>
          </w:tcPr>
          <w:p w14:paraId="64BBE4EA" w14:textId="77777777" w:rsidR="007F4CDC" w:rsidRPr="00092994" w:rsidRDefault="007F4CDC" w:rsidP="00D62615">
            <w:pPr>
              <w:spacing w:line="360" w:lineRule="auto"/>
              <w:jc w:val="center"/>
              <w:rPr>
                <w:lang w:eastAsia="en-GB"/>
              </w:rPr>
            </w:pPr>
            <w:r w:rsidRPr="00092994">
              <w:rPr>
                <w:lang w:eastAsia="en-GB"/>
              </w:rPr>
              <w:t>Mulching</w:t>
            </w:r>
          </w:p>
        </w:tc>
        <w:tc>
          <w:tcPr>
            <w:tcW w:w="4958" w:type="dxa"/>
            <w:tcBorders>
              <w:top w:val="single" w:sz="4" w:space="0" w:color="auto"/>
            </w:tcBorders>
          </w:tcPr>
          <w:p w14:paraId="1749D3AE" w14:textId="538F9FE8" w:rsidR="007F4CDC" w:rsidRDefault="007F4CDC" w:rsidP="00DE1004">
            <w:pPr>
              <w:spacing w:line="360" w:lineRule="auto"/>
              <w:jc w:val="left"/>
              <w:rPr>
                <w:lang w:eastAsia="en-GB"/>
              </w:rPr>
            </w:pPr>
            <w:r>
              <w:rPr>
                <w:lang w:eastAsia="en-GB"/>
              </w:rPr>
              <w:t xml:space="preserve">Specifies whether </w:t>
            </w:r>
            <w:r w:rsidR="00BC182F">
              <w:rPr>
                <w:lang w:eastAsia="en-GB"/>
              </w:rPr>
              <w:t>respondents</w:t>
            </w:r>
            <w:r>
              <w:rPr>
                <w:lang w:eastAsia="en-GB"/>
              </w:rPr>
              <w:t xml:space="preserve"> use</w:t>
            </w:r>
            <w:r w:rsidR="005923D6">
              <w:rPr>
                <w:lang w:eastAsia="en-GB"/>
              </w:rPr>
              <w:t>d</w:t>
            </w:r>
            <w:r>
              <w:rPr>
                <w:lang w:eastAsia="en-GB"/>
              </w:rPr>
              <w:t xml:space="preserve"> mulching.</w:t>
            </w:r>
          </w:p>
        </w:tc>
        <w:tc>
          <w:tcPr>
            <w:tcW w:w="2555" w:type="dxa"/>
            <w:tcBorders>
              <w:top w:val="single" w:sz="4" w:space="0" w:color="auto"/>
            </w:tcBorders>
          </w:tcPr>
          <w:p w14:paraId="064A788E" w14:textId="77777777" w:rsidR="007F4CDC" w:rsidRDefault="007F4CDC" w:rsidP="00D62615">
            <w:pPr>
              <w:spacing w:line="360" w:lineRule="auto"/>
              <w:jc w:val="center"/>
              <w:rPr>
                <w:lang w:eastAsia="en-GB"/>
              </w:rPr>
            </w:pPr>
            <w:r>
              <w:rPr>
                <w:lang w:eastAsia="en-GB"/>
              </w:rPr>
              <w:t>Factor</w:t>
            </w:r>
          </w:p>
          <w:p w14:paraId="71FF97DB" w14:textId="036AC21D" w:rsidR="007F4CDC" w:rsidRPr="004A0CAD" w:rsidRDefault="007B60BB" w:rsidP="00D62615">
            <w:pPr>
              <w:spacing w:line="360" w:lineRule="auto"/>
              <w:jc w:val="center"/>
              <w:rPr>
                <w:sz w:val="18"/>
                <w:szCs w:val="18"/>
                <w:lang w:eastAsia="en-GB"/>
              </w:rPr>
            </w:pPr>
            <w:r>
              <w:rPr>
                <w:sz w:val="18"/>
                <w:szCs w:val="18"/>
                <w:lang w:eastAsia="en-GB"/>
              </w:rPr>
              <w:t>No |</w:t>
            </w:r>
            <w:r w:rsidR="007F4CDC">
              <w:rPr>
                <w:sz w:val="18"/>
                <w:szCs w:val="18"/>
                <w:lang w:eastAsia="en-GB"/>
              </w:rPr>
              <w:t xml:space="preserve"> Yes</w:t>
            </w:r>
          </w:p>
        </w:tc>
      </w:tr>
      <w:tr w:rsidR="007F4CDC" w:rsidRPr="004A0CAD" w14:paraId="72536DB5" w14:textId="77777777" w:rsidTr="008566C5">
        <w:tc>
          <w:tcPr>
            <w:tcW w:w="1701" w:type="dxa"/>
            <w:tcBorders>
              <w:bottom w:val="single" w:sz="4" w:space="0" w:color="auto"/>
            </w:tcBorders>
          </w:tcPr>
          <w:p w14:paraId="219C4D97" w14:textId="77777777" w:rsidR="007F4CDC" w:rsidRPr="00092994" w:rsidRDefault="007F4CDC" w:rsidP="00D62615">
            <w:pPr>
              <w:spacing w:line="360" w:lineRule="auto"/>
              <w:jc w:val="center"/>
              <w:rPr>
                <w:lang w:eastAsia="en-GB"/>
              </w:rPr>
            </w:pPr>
            <w:r w:rsidRPr="00092994">
              <w:rPr>
                <w:lang w:eastAsia="en-GB"/>
              </w:rPr>
              <w:t>Variety</w:t>
            </w:r>
          </w:p>
        </w:tc>
        <w:tc>
          <w:tcPr>
            <w:tcW w:w="4958" w:type="dxa"/>
            <w:tcBorders>
              <w:bottom w:val="single" w:sz="4" w:space="0" w:color="auto"/>
            </w:tcBorders>
          </w:tcPr>
          <w:p w14:paraId="045967B6" w14:textId="6BB928EB" w:rsidR="007F4CDC" w:rsidRDefault="007F4CDC" w:rsidP="00DE1004">
            <w:pPr>
              <w:spacing w:line="360" w:lineRule="auto"/>
              <w:jc w:val="left"/>
              <w:rPr>
                <w:lang w:eastAsia="en-GB"/>
              </w:rPr>
            </w:pPr>
            <w:r>
              <w:rPr>
                <w:lang w:eastAsia="en-GB"/>
              </w:rPr>
              <w:t>Specifies if after the research project had been conducted (time 2)</w:t>
            </w:r>
            <w:r w:rsidR="00B37D1D">
              <w:rPr>
                <w:lang w:eastAsia="en-GB"/>
              </w:rPr>
              <w:t>,</w:t>
            </w:r>
            <w:r>
              <w:rPr>
                <w:lang w:eastAsia="en-GB"/>
              </w:rPr>
              <w:t xml:space="preserve"> </w:t>
            </w:r>
            <w:r w:rsidR="00BC182F">
              <w:rPr>
                <w:lang w:eastAsia="en-GB"/>
              </w:rPr>
              <w:t>respondents</w:t>
            </w:r>
            <w:r>
              <w:rPr>
                <w:lang w:eastAsia="en-GB"/>
              </w:rPr>
              <w:t xml:space="preserve"> started planting the specific variety of sweet</w:t>
            </w:r>
            <w:r w:rsidR="00E74EE7">
              <w:rPr>
                <w:lang w:eastAsia="en-GB"/>
              </w:rPr>
              <w:t xml:space="preserve"> </w:t>
            </w:r>
            <w:r>
              <w:rPr>
                <w:lang w:eastAsia="en-GB"/>
              </w:rPr>
              <w:t>potato planted in the experimental gardens.</w:t>
            </w:r>
          </w:p>
        </w:tc>
        <w:tc>
          <w:tcPr>
            <w:tcW w:w="2555" w:type="dxa"/>
            <w:tcBorders>
              <w:bottom w:val="single" w:sz="4" w:space="0" w:color="auto"/>
            </w:tcBorders>
          </w:tcPr>
          <w:p w14:paraId="74EC5A06" w14:textId="77777777" w:rsidR="007F4CDC" w:rsidRDefault="007F4CDC" w:rsidP="00D62615">
            <w:pPr>
              <w:spacing w:line="360" w:lineRule="auto"/>
              <w:jc w:val="center"/>
              <w:rPr>
                <w:lang w:eastAsia="en-GB"/>
              </w:rPr>
            </w:pPr>
            <w:r>
              <w:rPr>
                <w:lang w:eastAsia="en-GB"/>
              </w:rPr>
              <w:t>Factor</w:t>
            </w:r>
          </w:p>
          <w:p w14:paraId="2A469F21" w14:textId="3E58DC5C" w:rsidR="007F4CDC" w:rsidRPr="004A0CAD" w:rsidRDefault="007F4CDC" w:rsidP="007B60BB">
            <w:pPr>
              <w:spacing w:line="360" w:lineRule="auto"/>
              <w:jc w:val="center"/>
              <w:rPr>
                <w:sz w:val="18"/>
                <w:szCs w:val="18"/>
                <w:lang w:eastAsia="en-GB"/>
              </w:rPr>
            </w:pPr>
            <w:r>
              <w:rPr>
                <w:sz w:val="18"/>
                <w:szCs w:val="18"/>
                <w:lang w:eastAsia="en-GB"/>
              </w:rPr>
              <w:t>No</w:t>
            </w:r>
            <w:r w:rsidR="007B60BB">
              <w:rPr>
                <w:sz w:val="18"/>
                <w:szCs w:val="18"/>
                <w:lang w:eastAsia="en-GB"/>
              </w:rPr>
              <w:t xml:space="preserve"> |</w:t>
            </w:r>
            <w:r>
              <w:rPr>
                <w:sz w:val="18"/>
                <w:szCs w:val="18"/>
                <w:lang w:eastAsia="en-GB"/>
              </w:rPr>
              <w:t xml:space="preserve"> Yes</w:t>
            </w:r>
          </w:p>
        </w:tc>
      </w:tr>
      <w:tr w:rsidR="007F4CDC" w14:paraId="187B61A8" w14:textId="77777777" w:rsidTr="00EE6C12">
        <w:tc>
          <w:tcPr>
            <w:tcW w:w="9214" w:type="dxa"/>
            <w:gridSpan w:val="3"/>
            <w:tcBorders>
              <w:top w:val="single" w:sz="4" w:space="0" w:color="auto"/>
              <w:bottom w:val="single" w:sz="4" w:space="0" w:color="auto"/>
            </w:tcBorders>
            <w:shd w:val="clear" w:color="auto" w:fill="auto"/>
          </w:tcPr>
          <w:p w14:paraId="05A4A5DA" w14:textId="27BA0E82" w:rsidR="007F4CDC" w:rsidRPr="00645EF5" w:rsidRDefault="007F4CDC" w:rsidP="00D62615">
            <w:pPr>
              <w:spacing w:line="360" w:lineRule="auto"/>
              <w:jc w:val="center"/>
              <w:rPr>
                <w:i/>
                <w:lang w:eastAsia="en-GB"/>
              </w:rPr>
            </w:pPr>
            <w:r w:rsidRPr="00645EF5">
              <w:rPr>
                <w:i/>
                <w:lang w:eastAsia="en-GB"/>
              </w:rPr>
              <w:t>Information dissemination</w:t>
            </w:r>
          </w:p>
        </w:tc>
      </w:tr>
      <w:tr w:rsidR="007F4CDC" w:rsidRPr="004A0CAD" w14:paraId="186C94FC" w14:textId="77777777" w:rsidTr="007210A2">
        <w:tc>
          <w:tcPr>
            <w:tcW w:w="1701" w:type="dxa"/>
            <w:tcBorders>
              <w:top w:val="single" w:sz="4" w:space="0" w:color="auto"/>
              <w:bottom w:val="single" w:sz="4" w:space="0" w:color="auto"/>
            </w:tcBorders>
          </w:tcPr>
          <w:p w14:paraId="505E2C1E" w14:textId="77777777" w:rsidR="007F4CDC" w:rsidRPr="00092994" w:rsidRDefault="007F4CDC" w:rsidP="00D62615">
            <w:pPr>
              <w:spacing w:line="360" w:lineRule="auto"/>
              <w:jc w:val="center"/>
              <w:rPr>
                <w:lang w:eastAsia="en-GB"/>
              </w:rPr>
            </w:pPr>
            <w:r w:rsidRPr="00092994">
              <w:rPr>
                <w:lang w:eastAsia="en-GB"/>
              </w:rPr>
              <w:t>Learned</w:t>
            </w:r>
          </w:p>
        </w:tc>
        <w:tc>
          <w:tcPr>
            <w:tcW w:w="4958" w:type="dxa"/>
            <w:tcBorders>
              <w:top w:val="single" w:sz="4" w:space="0" w:color="auto"/>
              <w:bottom w:val="single" w:sz="4" w:space="0" w:color="auto"/>
            </w:tcBorders>
          </w:tcPr>
          <w:p w14:paraId="79235A9F" w14:textId="6079940C" w:rsidR="007F4CDC" w:rsidRDefault="007F4CDC" w:rsidP="006B27C2">
            <w:pPr>
              <w:spacing w:line="360" w:lineRule="auto"/>
              <w:jc w:val="left"/>
              <w:rPr>
                <w:lang w:eastAsia="en-GB"/>
              </w:rPr>
            </w:pPr>
            <w:r>
              <w:rPr>
                <w:lang w:eastAsia="en-GB"/>
              </w:rPr>
              <w:t xml:space="preserve">Whether </w:t>
            </w:r>
            <w:r w:rsidR="00BC182F">
              <w:rPr>
                <w:lang w:eastAsia="en-GB"/>
              </w:rPr>
              <w:t>respondents</w:t>
            </w:r>
            <w:r>
              <w:rPr>
                <w:lang w:eastAsia="en-GB"/>
              </w:rPr>
              <w:t xml:space="preserve"> stated that they had learned something from the research project (at time 2).</w:t>
            </w:r>
          </w:p>
        </w:tc>
        <w:tc>
          <w:tcPr>
            <w:tcW w:w="2555" w:type="dxa"/>
            <w:tcBorders>
              <w:top w:val="single" w:sz="4" w:space="0" w:color="auto"/>
              <w:bottom w:val="single" w:sz="4" w:space="0" w:color="auto"/>
            </w:tcBorders>
          </w:tcPr>
          <w:p w14:paraId="5C5876AD" w14:textId="77777777" w:rsidR="007F4CDC" w:rsidRDefault="007F4CDC" w:rsidP="00D62615">
            <w:pPr>
              <w:spacing w:line="360" w:lineRule="auto"/>
              <w:jc w:val="center"/>
              <w:rPr>
                <w:lang w:eastAsia="en-GB"/>
              </w:rPr>
            </w:pPr>
            <w:r>
              <w:rPr>
                <w:lang w:eastAsia="en-GB"/>
              </w:rPr>
              <w:t>Factor</w:t>
            </w:r>
          </w:p>
          <w:p w14:paraId="48CDC0DC" w14:textId="5FE61498" w:rsidR="007F4CDC" w:rsidRPr="004A0CAD" w:rsidRDefault="007B60BB" w:rsidP="00D62615">
            <w:pPr>
              <w:spacing w:line="360" w:lineRule="auto"/>
              <w:jc w:val="center"/>
              <w:rPr>
                <w:sz w:val="18"/>
                <w:szCs w:val="18"/>
                <w:lang w:eastAsia="en-GB"/>
              </w:rPr>
            </w:pPr>
            <w:r>
              <w:rPr>
                <w:sz w:val="18"/>
                <w:szCs w:val="18"/>
                <w:lang w:eastAsia="en-GB"/>
              </w:rPr>
              <w:t>No |</w:t>
            </w:r>
            <w:r w:rsidR="007F4CDC">
              <w:rPr>
                <w:sz w:val="18"/>
                <w:szCs w:val="18"/>
                <w:lang w:eastAsia="en-GB"/>
              </w:rPr>
              <w:t xml:space="preserve"> Yes</w:t>
            </w:r>
          </w:p>
        </w:tc>
      </w:tr>
      <w:tr w:rsidR="007210A2" w:rsidRPr="004A0CAD" w14:paraId="0D869E82" w14:textId="77777777" w:rsidTr="007210A2">
        <w:tc>
          <w:tcPr>
            <w:tcW w:w="1701" w:type="dxa"/>
            <w:tcBorders>
              <w:top w:val="single" w:sz="4" w:space="0" w:color="auto"/>
              <w:bottom w:val="single" w:sz="4" w:space="0" w:color="auto"/>
            </w:tcBorders>
          </w:tcPr>
          <w:p w14:paraId="474D5C7C" w14:textId="77777777" w:rsidR="007210A2" w:rsidRPr="00092994" w:rsidRDefault="007210A2" w:rsidP="007210A2">
            <w:pPr>
              <w:spacing w:line="360" w:lineRule="auto"/>
              <w:jc w:val="center"/>
              <w:rPr>
                <w:lang w:eastAsia="en-GB"/>
              </w:rPr>
            </w:pPr>
          </w:p>
        </w:tc>
        <w:tc>
          <w:tcPr>
            <w:tcW w:w="4958" w:type="dxa"/>
            <w:tcBorders>
              <w:top w:val="single" w:sz="4" w:space="0" w:color="auto"/>
              <w:bottom w:val="single" w:sz="4" w:space="0" w:color="auto"/>
            </w:tcBorders>
          </w:tcPr>
          <w:p w14:paraId="7DE1DC15" w14:textId="477461A9" w:rsidR="007210A2" w:rsidRDefault="007210A2" w:rsidP="007210A2">
            <w:pPr>
              <w:spacing w:line="360" w:lineRule="auto"/>
              <w:jc w:val="center"/>
              <w:rPr>
                <w:lang w:eastAsia="en-GB"/>
              </w:rPr>
            </w:pPr>
            <w:r w:rsidRPr="000019F0">
              <w:rPr>
                <w:i/>
                <w:lang w:eastAsia="en-GB"/>
              </w:rPr>
              <w:t>Network</w:t>
            </w:r>
          </w:p>
        </w:tc>
        <w:tc>
          <w:tcPr>
            <w:tcW w:w="2555" w:type="dxa"/>
            <w:tcBorders>
              <w:top w:val="single" w:sz="4" w:space="0" w:color="auto"/>
              <w:bottom w:val="single" w:sz="4" w:space="0" w:color="auto"/>
            </w:tcBorders>
          </w:tcPr>
          <w:p w14:paraId="5CC50611" w14:textId="77777777" w:rsidR="007210A2" w:rsidRDefault="007210A2" w:rsidP="007210A2">
            <w:pPr>
              <w:spacing w:line="360" w:lineRule="auto"/>
              <w:jc w:val="center"/>
              <w:rPr>
                <w:lang w:eastAsia="en-GB"/>
              </w:rPr>
            </w:pPr>
          </w:p>
        </w:tc>
      </w:tr>
      <w:tr w:rsidR="007210A2" w:rsidRPr="004A0CAD" w14:paraId="219F6B1E" w14:textId="77777777" w:rsidTr="007210A2">
        <w:tc>
          <w:tcPr>
            <w:tcW w:w="1701" w:type="dxa"/>
            <w:tcBorders>
              <w:top w:val="single" w:sz="4" w:space="0" w:color="auto"/>
              <w:bottom w:val="single" w:sz="4" w:space="0" w:color="auto"/>
            </w:tcBorders>
          </w:tcPr>
          <w:p w14:paraId="53369520" w14:textId="56D37B77" w:rsidR="007210A2" w:rsidRPr="00092994" w:rsidRDefault="007210A2" w:rsidP="007210A2">
            <w:pPr>
              <w:spacing w:line="360" w:lineRule="auto"/>
              <w:jc w:val="center"/>
              <w:rPr>
                <w:lang w:eastAsia="en-GB"/>
              </w:rPr>
            </w:pPr>
            <w:r w:rsidRPr="00092994">
              <w:rPr>
                <w:lang w:eastAsia="en-GB"/>
              </w:rPr>
              <w:t>In-degree</w:t>
            </w:r>
          </w:p>
        </w:tc>
        <w:tc>
          <w:tcPr>
            <w:tcW w:w="4958" w:type="dxa"/>
            <w:tcBorders>
              <w:top w:val="single" w:sz="4" w:space="0" w:color="auto"/>
              <w:bottom w:val="single" w:sz="4" w:space="0" w:color="auto"/>
            </w:tcBorders>
          </w:tcPr>
          <w:p w14:paraId="7003BFCB" w14:textId="0A3473BA" w:rsidR="007210A2" w:rsidRDefault="007210A2" w:rsidP="007210A2">
            <w:pPr>
              <w:spacing w:line="360" w:lineRule="auto"/>
              <w:jc w:val="left"/>
              <w:rPr>
                <w:lang w:eastAsia="en-GB"/>
              </w:rPr>
            </w:pPr>
            <w:r>
              <w:rPr>
                <w:lang w:eastAsia="en-GB"/>
              </w:rPr>
              <w:t>In-degree is the number of people in the network that identified the focal respondent as an information source for farming.</w:t>
            </w:r>
          </w:p>
        </w:tc>
        <w:tc>
          <w:tcPr>
            <w:tcW w:w="2555" w:type="dxa"/>
            <w:tcBorders>
              <w:top w:val="single" w:sz="4" w:space="0" w:color="auto"/>
              <w:bottom w:val="single" w:sz="4" w:space="0" w:color="auto"/>
            </w:tcBorders>
          </w:tcPr>
          <w:p w14:paraId="5AE1C069" w14:textId="194864D7" w:rsidR="007210A2" w:rsidRDefault="007210A2" w:rsidP="007210A2">
            <w:pPr>
              <w:spacing w:line="360" w:lineRule="auto"/>
              <w:jc w:val="center"/>
              <w:rPr>
                <w:lang w:eastAsia="en-GB"/>
              </w:rPr>
            </w:pPr>
            <w:r>
              <w:rPr>
                <w:lang w:eastAsia="en-GB"/>
              </w:rPr>
              <w:t>Continuous</w:t>
            </w:r>
          </w:p>
        </w:tc>
      </w:tr>
      <w:tr w:rsidR="007210A2" w:rsidRPr="004A0CAD" w14:paraId="5ABCA2F7" w14:textId="77777777" w:rsidTr="008566C5">
        <w:tc>
          <w:tcPr>
            <w:tcW w:w="1701" w:type="dxa"/>
            <w:tcBorders>
              <w:top w:val="single" w:sz="4" w:space="0" w:color="auto"/>
            </w:tcBorders>
          </w:tcPr>
          <w:p w14:paraId="59B2036F" w14:textId="09513D69" w:rsidR="007210A2" w:rsidRPr="00092994" w:rsidRDefault="007210A2" w:rsidP="007210A2">
            <w:pPr>
              <w:spacing w:line="360" w:lineRule="auto"/>
              <w:jc w:val="center"/>
              <w:rPr>
                <w:lang w:eastAsia="en-GB"/>
              </w:rPr>
            </w:pPr>
            <w:r w:rsidRPr="00092994">
              <w:rPr>
                <w:lang w:eastAsia="en-GB"/>
              </w:rPr>
              <w:t>Out-degree</w:t>
            </w:r>
          </w:p>
        </w:tc>
        <w:tc>
          <w:tcPr>
            <w:tcW w:w="4958" w:type="dxa"/>
            <w:tcBorders>
              <w:top w:val="single" w:sz="4" w:space="0" w:color="auto"/>
            </w:tcBorders>
          </w:tcPr>
          <w:p w14:paraId="1DCFF02A" w14:textId="77777777" w:rsidR="007210A2" w:rsidRDefault="007210A2" w:rsidP="007210A2">
            <w:pPr>
              <w:spacing w:line="360" w:lineRule="auto"/>
              <w:jc w:val="left"/>
              <w:rPr>
                <w:lang w:eastAsia="en-GB"/>
              </w:rPr>
            </w:pPr>
            <w:r>
              <w:rPr>
                <w:lang w:eastAsia="en-GB"/>
              </w:rPr>
              <w:t>Out-degree is the number of people named by the focal respondent as information sources for farming.</w:t>
            </w:r>
          </w:p>
          <w:p w14:paraId="1D3A9CAE" w14:textId="0E84F5A2" w:rsidR="00F94E96" w:rsidRDefault="00F94E96" w:rsidP="007210A2">
            <w:pPr>
              <w:spacing w:line="360" w:lineRule="auto"/>
              <w:jc w:val="left"/>
              <w:rPr>
                <w:lang w:eastAsia="en-GB"/>
              </w:rPr>
            </w:pPr>
          </w:p>
        </w:tc>
        <w:tc>
          <w:tcPr>
            <w:tcW w:w="2555" w:type="dxa"/>
            <w:tcBorders>
              <w:top w:val="single" w:sz="4" w:space="0" w:color="auto"/>
            </w:tcBorders>
          </w:tcPr>
          <w:p w14:paraId="6C999381" w14:textId="7DC17B08" w:rsidR="007210A2" w:rsidRDefault="007210A2" w:rsidP="007210A2">
            <w:pPr>
              <w:spacing w:line="360" w:lineRule="auto"/>
              <w:jc w:val="center"/>
              <w:rPr>
                <w:lang w:eastAsia="en-GB"/>
              </w:rPr>
            </w:pPr>
            <w:r>
              <w:rPr>
                <w:lang w:eastAsia="en-GB"/>
              </w:rPr>
              <w:t>Continuous</w:t>
            </w:r>
          </w:p>
        </w:tc>
      </w:tr>
    </w:tbl>
    <w:p w14:paraId="3F48058E" w14:textId="0E532E09" w:rsidR="00A82D98" w:rsidRDefault="00A82D98" w:rsidP="00AA6F40">
      <w:pPr>
        <w:pStyle w:val="Heading3"/>
        <w:numPr>
          <w:ilvl w:val="2"/>
          <w:numId w:val="22"/>
        </w:numPr>
      </w:pPr>
      <w:r>
        <w:t>Statistical analyses</w:t>
      </w:r>
    </w:p>
    <w:p w14:paraId="2D7E0987" w14:textId="77777777" w:rsidR="004A3ADC" w:rsidRDefault="004A3ADC" w:rsidP="004A3ADC">
      <w:pPr>
        <w:pStyle w:val="NoSpacing"/>
        <w:ind w:left="720"/>
        <w:rPr>
          <w:i/>
        </w:rPr>
      </w:pPr>
    </w:p>
    <w:p w14:paraId="4C8F8ADC" w14:textId="03E6D1BB" w:rsidR="004C600A" w:rsidRDefault="00FC6116" w:rsidP="004C600A">
      <w:pPr>
        <w:pStyle w:val="NoSpacing"/>
        <w:rPr>
          <w:noProof/>
        </w:rPr>
      </w:pPr>
      <w:r>
        <w:t xml:space="preserve">The </w:t>
      </w:r>
      <w:r w:rsidR="008D5403">
        <w:t xml:space="preserve">main </w:t>
      </w:r>
      <w:r w:rsidR="002764F1">
        <w:t>aim of the analyse</w:t>
      </w:r>
      <w:r>
        <w:t xml:space="preserve">s was </w:t>
      </w:r>
      <w:r w:rsidR="00653C55">
        <w:t>to determine</w:t>
      </w:r>
      <w:r w:rsidR="00A87785">
        <w:t xml:space="preserve"> how </w:t>
      </w:r>
      <w:r w:rsidR="009F4B2A">
        <w:t>the</w:t>
      </w:r>
      <w:r w:rsidR="00193A40">
        <w:t xml:space="preserve"> </w:t>
      </w:r>
      <w:r w:rsidR="00A87785">
        <w:t xml:space="preserve">research project affected farmers’ behaviour and social network. </w:t>
      </w:r>
      <w:r w:rsidR="007F2284">
        <w:t>T</w:t>
      </w:r>
      <w:r w:rsidR="002D28E8">
        <w:t>hese</w:t>
      </w:r>
      <w:r w:rsidR="000E24BB">
        <w:t xml:space="preserve"> </w:t>
      </w:r>
      <w:r w:rsidR="002D1456">
        <w:t>can be</w:t>
      </w:r>
      <w:r w:rsidR="00AB37EB">
        <w:t xml:space="preserve"> </w:t>
      </w:r>
      <w:r w:rsidR="00E035B1">
        <w:t>interconnected</w:t>
      </w:r>
      <w:r w:rsidR="00193A40">
        <w:t>,</w:t>
      </w:r>
      <w:r w:rsidR="00E035B1">
        <w:t xml:space="preserve"> </w:t>
      </w:r>
      <w:r w:rsidR="007F2284">
        <w:t xml:space="preserve">though, </w:t>
      </w:r>
      <w:r w:rsidR="00E035B1">
        <w:t xml:space="preserve">with </w:t>
      </w:r>
      <w:r w:rsidR="00C15974">
        <w:t xml:space="preserve">people </w:t>
      </w:r>
      <w:r w:rsidR="00C813CC">
        <w:t xml:space="preserve">who exchange information </w:t>
      </w:r>
      <w:r w:rsidR="00B9779A">
        <w:t>being more likely to display</w:t>
      </w:r>
      <w:r w:rsidR="00C813CC">
        <w:t xml:space="preserve"> similar behaviour</w:t>
      </w:r>
      <w:r w:rsidR="004A4E74">
        <w:t xml:space="preserve"> (i.e. social influence)</w:t>
      </w:r>
      <w:r w:rsidR="00C813CC">
        <w:t xml:space="preserve">, and people behaving similarly </w:t>
      </w:r>
      <w:r w:rsidR="004055D3">
        <w:t xml:space="preserve">having a higher chance of forming </w:t>
      </w:r>
      <w:r w:rsidR="004A4E74">
        <w:t>friendships (i.e. social selection</w:t>
      </w:r>
      <w:r w:rsidR="00C813CC">
        <w:t>)</w:t>
      </w:r>
      <w:r w:rsidR="00AB37EB">
        <w:t xml:space="preserve"> </w:t>
      </w:r>
      <w:r w:rsidR="00AB37EB">
        <w:fldChar w:fldCharType="begin" w:fldLock="1"/>
      </w:r>
      <w:r w:rsidR="001C3948">
        <w:instrText>ADDIN CSL_CITATION {"citationItems":[{"id":"ITEM-1","itemData":{"DOI":"10.1016/j.socnet.2009.02.004","ISSN":"03788733","abstract":"Stochastic actor-based models are models for network dynamics that can represent a wide variety of influences on network change, and allow to estimate parameters expressing such influences, and test corresponding hypotheses. The nodes in the network represent social actors, and the collection of ties represents a social relation. The assumptions posit that the network evolves as a stochastic process 'driven by the actors', i.e., the model lends itself especially for representing theories about how actors change their outgoing ties. The probabilities of tie changes are in part endogenously determined, i.e., as a function of the current network structure itself, and in part exogenously, as a function of characteristics of the nodes ('actor covariates') and of characteristics of pairs of nodes ('dyadic covariates'). In an extended form, stochastic actor-based models can be used to analyze longitudinal data on social networks jointly with changing attributes of the actors: dynamics of networks and behavior. This paper gives an introduction to stochastic actor-based models for dynamics of directed networks, using only a minimum of mathematics. The focus is on understanding the basic principles of the model, understanding the results, and on sensible rules for model selection. Crown Copyright © 2009.","author":[{"dropping-particle":"","family":"Snijders","given":"Tom A.B.","non-dropping-particle":"","parse-names":false,"suffix":""},{"dropping-particle":"","family":"Bunt","given":"Gerhard G.","non-dropping-particle":"van de","parse-names":false,"suffix":""},{"dropping-particle":"","family":"Steglich","given":"Christian E.G.","non-dropping-particle":"","parse-names":false,"suffix":""}],"container-title":"Social Networks","id":"ITEM-1","issue":"1","issued":{"date-parts":[["2010"]]},"page":"44-60","title":"Introduction to stochastic actor-based models for network dynamics","type":"article-journal","volume":"32"},"uris":["http://www.mendeley.com/documents/?uuid=45917028-4f9c-4eb9-af90-779e14e59cb2"]}],"mendeley":{"formattedCitation":"(Snijders, van de Bunt and Steglich, 2010)","plainTextFormattedCitation":"(Snijders, van de Bunt and Steglich, 2010)","previouslyFormattedCitation":"(Snijders, van de Bunt and Steglich, 2010)"},"properties":{"noteIndex":0},"schema":"https://github.com/citation-style-language/schema/raw/master/csl-citation.json"}</w:instrText>
      </w:r>
      <w:r w:rsidR="00AB37EB">
        <w:fldChar w:fldCharType="separate"/>
      </w:r>
      <w:r w:rsidR="00636F5B" w:rsidRPr="00636F5B">
        <w:rPr>
          <w:noProof/>
        </w:rPr>
        <w:t>(Snijders, van de Bunt and Steglich, 2010)</w:t>
      </w:r>
      <w:r w:rsidR="00AB37EB">
        <w:fldChar w:fldCharType="end"/>
      </w:r>
      <w:r w:rsidR="00C813CC">
        <w:t xml:space="preserve">. </w:t>
      </w:r>
      <w:r w:rsidR="003B335E">
        <w:t xml:space="preserve">To analyse the joint evolution of </w:t>
      </w:r>
      <w:r w:rsidR="007B1BE5">
        <w:t>farmers’</w:t>
      </w:r>
      <w:r w:rsidR="003B335E">
        <w:t xml:space="preserve"> behaviour</w:t>
      </w:r>
      <w:r w:rsidR="002764F1">
        <w:t xml:space="preserve"> and social network</w:t>
      </w:r>
      <w:r w:rsidR="003B335E">
        <w:t>,</w:t>
      </w:r>
      <w:r w:rsidR="007B4BC8">
        <w:t xml:space="preserve"> we </w:t>
      </w:r>
      <w:r w:rsidR="003B335E">
        <w:t>conducted stoch</w:t>
      </w:r>
      <w:r w:rsidR="00647DA9">
        <w:t xml:space="preserve">astic actor-oriented modelling </w:t>
      </w:r>
      <w:r w:rsidR="00EB6A21">
        <w:t xml:space="preserve">(SAOM) </w:t>
      </w:r>
      <w:r w:rsidR="00BF308D">
        <w:fldChar w:fldCharType="begin" w:fldLock="1"/>
      </w:r>
      <w:r w:rsidR="001C3948">
        <w:instrText>ADDIN CSL_CITATION {"citationItems":[{"id":"ITEM-1","itemData":{"DOI":"10.1016/j.socnet.2009.02.004","ISSN":"03788733","abstract":"Stochastic actor-based models are models for network dynamics that can represent a wide variety of influences on network change, and allow to estimate parameters expressing such influences, and test corresponding hypotheses. The nodes in the network represent social actors, and the collection of ties represents a social relation. The assumptions posit that the network evolves as a stochastic process 'driven by the actors', i.e., the model lends itself especially for representing theories about how actors change their outgoing ties. The probabilities of tie changes are in part endogenously determined, i.e., as a function of the current network structure itself, and in part exogenously, as a function of characteristics of the nodes ('actor covariates') and of characteristics of pairs of nodes ('dyadic covariates'). In an extended form, stochastic actor-based models can be used to analyze longitudinal data on social networks jointly with changing attributes of the actors: dynamics of networks and behavior. This paper gives an introduction to stochastic actor-based models for dynamics of directed networks, using only a minimum of mathematics. The focus is on understanding the basic principles of the model, understanding the results, and on sensible rules for model selection. Crown Copyright © 2009.","author":[{"dropping-particle":"","family":"Snijders","given":"Tom A.B.","non-dropping-particle":"","parse-names":false,"suffix":""},{"dropping-particle":"","family":"Bunt","given":"Gerhard G.","non-dropping-particle":"van de","parse-names":false,"suffix":""},{"dropping-particle":"","family":"Steglich","given":"Christian E.G.","non-dropping-particle":"","parse-names":false,"suffix":""}],"container-title":"Social Networks","id":"ITEM-1","issue":"1","issued":{"date-parts":[["2010"]]},"page":"44-60","title":"Introduction to stochastic actor-based models for network dynamics","type":"article-journal","volume":"32"},"uris":["http://www.mendeley.com/documents/?uuid=45917028-4f9c-4eb9-af90-779e14e59cb2"]}],"mendeley":{"formattedCitation":"(Snijders, van de Bunt and Steglich, 2010)","manualFormatting":"(Snijders et al., 2010)","plainTextFormattedCitation":"(Snijders, van de Bunt and Steglich, 2010)","previouslyFormattedCitation":"(Snijders, van de Bunt and Steglich, 2010)"},"properties":{"noteIndex":0},"schema":"https://github.com/citation-style-language/schema/raw/master/csl-citation.json"}</w:instrText>
      </w:r>
      <w:r w:rsidR="00BF308D">
        <w:fldChar w:fldCharType="separate"/>
      </w:r>
      <w:r w:rsidR="00AB37EB" w:rsidRPr="00AB37EB">
        <w:rPr>
          <w:noProof/>
        </w:rPr>
        <w:t>(Snijders et al., 2010)</w:t>
      </w:r>
      <w:r w:rsidR="00BF308D">
        <w:fldChar w:fldCharType="end"/>
      </w:r>
      <w:r w:rsidR="0012369A">
        <w:t xml:space="preserve"> in R version 4.0 </w:t>
      </w:r>
      <w:r w:rsidR="0012369A">
        <w:fldChar w:fldCharType="begin" w:fldLock="1"/>
      </w:r>
      <w:r w:rsidR="001C3948">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computing.","type":"article"},"uris":["http://www.mendeley.com/documents/?uuid=cde24191-3f24-4856-9e47-dad7d25cc0a9"]}],"mendeley":{"formattedCitation":"(R Core Team, 2020)","plainTextFormattedCitation":"(R Core Team, 2020)","previouslyFormattedCitation":"(R Core Team, 2020)"},"properties":{"noteIndex":0},"schema":"https://github.com/citation-style-language/schema/raw/master/csl-citation.json"}</w:instrText>
      </w:r>
      <w:r w:rsidR="0012369A">
        <w:fldChar w:fldCharType="separate"/>
      </w:r>
      <w:r w:rsidR="00636F5B" w:rsidRPr="00636F5B">
        <w:rPr>
          <w:noProof/>
        </w:rPr>
        <w:t>(R Core Team, 2020)</w:t>
      </w:r>
      <w:r w:rsidR="0012369A">
        <w:fldChar w:fldCharType="end"/>
      </w:r>
      <w:r w:rsidR="00BF308D" w:rsidRPr="001E4E3F">
        <w:t>.</w:t>
      </w:r>
      <w:r w:rsidR="007B7DCF">
        <w:t xml:space="preserve"> </w:t>
      </w:r>
      <w:r w:rsidR="009F4B2A">
        <w:t>F</w:t>
      </w:r>
      <w:r w:rsidR="00DC3E68">
        <w:t>or a full</w:t>
      </w:r>
      <w:r w:rsidR="009F4B2A">
        <w:t xml:space="preserve"> explanation of SAOM, see Appendix, section </w:t>
      </w:r>
      <w:r w:rsidR="007E7638">
        <w:t>2</w:t>
      </w:r>
      <w:r w:rsidR="009F4B2A">
        <w:t>.</w:t>
      </w:r>
    </w:p>
    <w:p w14:paraId="26F362E6" w14:textId="10A61F09" w:rsidR="002E71FF" w:rsidRDefault="0092737A" w:rsidP="004C600A">
      <w:pPr>
        <w:pStyle w:val="NoSpacing"/>
        <w:ind w:firstLine="720"/>
      </w:pPr>
      <w:r>
        <w:t xml:space="preserve">In short, a SAOM </w:t>
      </w:r>
      <w:r w:rsidR="00AA3FBC" w:rsidRPr="001E4E3F">
        <w:t xml:space="preserve">is </w:t>
      </w:r>
      <w:r w:rsidR="00AA3FBC">
        <w:t>based on the assumption that the network evolves as a stochastic process that is driven by its actors</w:t>
      </w:r>
      <w:r w:rsidR="00613A8A">
        <w:t xml:space="preserve">, in </w:t>
      </w:r>
      <w:r w:rsidR="006C1C08">
        <w:t>our</w:t>
      </w:r>
      <w:r w:rsidR="000D6A83">
        <w:t xml:space="preserve"> case</w:t>
      </w:r>
      <w:r w:rsidR="002D28E8">
        <w:t xml:space="preserve"> the</w:t>
      </w:r>
      <w:r w:rsidR="000D6A83">
        <w:t xml:space="preserve"> farmers</w:t>
      </w:r>
      <w:r w:rsidR="002D28E8">
        <w:t xml:space="preserve"> </w:t>
      </w:r>
      <w:r w:rsidR="000E2E85">
        <w:t>whom</w:t>
      </w:r>
      <w:r w:rsidR="007B4BC8">
        <w:t xml:space="preserve"> we </w:t>
      </w:r>
      <w:r w:rsidR="002D28E8">
        <w:t>interviewed</w:t>
      </w:r>
      <w:r w:rsidR="00AA3FBC">
        <w:t>.</w:t>
      </w:r>
      <w:r w:rsidR="002E71FF">
        <w:t xml:space="preserve"> </w:t>
      </w:r>
      <w:r w:rsidR="00BD285F">
        <w:t xml:space="preserve">A </w:t>
      </w:r>
      <w:r w:rsidR="002E71FF">
        <w:t>SAOM models the change between two observed periods</w:t>
      </w:r>
      <w:r w:rsidR="002B0028">
        <w:t xml:space="preserve">, </w:t>
      </w:r>
      <w:r w:rsidR="00162D8C">
        <w:t>such as</w:t>
      </w:r>
      <w:r w:rsidR="00BC4612">
        <w:t xml:space="preserve"> between a</w:t>
      </w:r>
      <w:r w:rsidR="002B0028">
        <w:t xml:space="preserve"> first and second wave of interview data</w:t>
      </w:r>
      <w:r w:rsidR="002E71FF">
        <w:t xml:space="preserve">. </w:t>
      </w:r>
      <w:r w:rsidR="002E71FF" w:rsidRPr="001E4E3F">
        <w:t>Between</w:t>
      </w:r>
      <w:r w:rsidR="002E71FF">
        <w:t xml:space="preserve"> these two</w:t>
      </w:r>
      <w:r w:rsidR="002E71FF" w:rsidRPr="001E4E3F">
        <w:t xml:space="preserve"> </w:t>
      </w:r>
      <w:r w:rsidR="002E71FF">
        <w:t xml:space="preserve">observation moments, </w:t>
      </w:r>
      <w:r w:rsidR="002E71FF" w:rsidRPr="001E4E3F">
        <w:t xml:space="preserve">actors receive chances </w:t>
      </w:r>
      <w:r w:rsidR="002E71FF">
        <w:t>to change the ties in their network</w:t>
      </w:r>
      <w:r w:rsidR="002D28E8" w:rsidRPr="002D28E8">
        <w:t xml:space="preserve"> </w:t>
      </w:r>
      <w:r w:rsidR="002D28E8" w:rsidRPr="001E4E3F">
        <w:t>in a rando</w:t>
      </w:r>
      <w:r w:rsidR="002D28E8">
        <w:t>m order</w:t>
      </w:r>
      <w:r w:rsidR="002E71FF">
        <w:t xml:space="preserve">. </w:t>
      </w:r>
      <w:r w:rsidR="0043383D">
        <w:t>A</w:t>
      </w:r>
      <w:r w:rsidR="002E71FF" w:rsidRPr="001E4E3F">
        <w:t>ctor</w:t>
      </w:r>
      <w:r w:rsidR="0043383D">
        <w:t>s</w:t>
      </w:r>
      <w:r w:rsidR="002E71FF" w:rsidRPr="001E4E3F">
        <w:t xml:space="preserve"> can also </w:t>
      </w:r>
      <w:r w:rsidR="002E71FF">
        <w:t xml:space="preserve">choose to </w:t>
      </w:r>
      <w:r w:rsidR="002E71FF" w:rsidRPr="001E4E3F">
        <w:t>increase, decrease or m</w:t>
      </w:r>
      <w:r w:rsidR="002E71FF">
        <w:t xml:space="preserve">aintain </w:t>
      </w:r>
      <w:r w:rsidR="002D28E8">
        <w:t>their</w:t>
      </w:r>
      <w:r w:rsidR="002E71FF">
        <w:t xml:space="preserve"> level of behaviour.</w:t>
      </w:r>
      <w:r w:rsidR="00E806E6">
        <w:t xml:space="preserve"> SAOMs allow </w:t>
      </w:r>
      <w:r w:rsidR="002D28E8">
        <w:t>the</w:t>
      </w:r>
      <w:r w:rsidR="00E806E6">
        <w:t xml:space="preserve"> specif</w:t>
      </w:r>
      <w:r w:rsidR="002D28E8">
        <w:t>ication of</w:t>
      </w:r>
      <w:r w:rsidR="00E806E6">
        <w:t xml:space="preserve"> </w:t>
      </w:r>
      <w:r w:rsidR="00EE2187">
        <w:t>‘effects’</w:t>
      </w:r>
      <w:r w:rsidR="000348FC">
        <w:t xml:space="preserve"> which represent</w:t>
      </w:r>
      <w:r w:rsidR="00EE2187">
        <w:t xml:space="preserve"> </w:t>
      </w:r>
      <w:r w:rsidR="00E806E6">
        <w:t>ways in which network structure</w:t>
      </w:r>
      <w:r w:rsidR="00DE205B">
        <w:t>s</w:t>
      </w:r>
      <w:r w:rsidR="00E806E6">
        <w:t xml:space="preserve"> and covariates affect the network or behaviour. </w:t>
      </w:r>
      <w:r w:rsidR="00491D52">
        <w:t>Examples of effects include the</w:t>
      </w:r>
      <w:r w:rsidR="00E806E6">
        <w:t xml:space="preserve"> ‘reciprocity effect’</w:t>
      </w:r>
      <w:r w:rsidR="00232233">
        <w:t>,</w:t>
      </w:r>
      <w:r w:rsidR="00C0364E">
        <w:t xml:space="preserve"> </w:t>
      </w:r>
      <w:r w:rsidR="00E806E6">
        <w:t xml:space="preserve">which represents the </w:t>
      </w:r>
      <w:r w:rsidR="00491D52">
        <w:t xml:space="preserve">tendency to reciprocate </w:t>
      </w:r>
      <w:r w:rsidR="00033514">
        <w:t>ties, or the ‘attribute alter’ effect</w:t>
      </w:r>
      <w:r w:rsidR="00232233">
        <w:t>,</w:t>
      </w:r>
      <w:r w:rsidR="00033514">
        <w:t xml:space="preserve"> which indicates whether actors with higher values </w:t>
      </w:r>
      <w:r w:rsidR="002D28E8">
        <w:t xml:space="preserve">for </w:t>
      </w:r>
      <w:r w:rsidR="00033514">
        <w:t>an attribute (e.g. participation in the research pro</w:t>
      </w:r>
      <w:r w:rsidR="0007554B">
        <w:t>j</w:t>
      </w:r>
      <w:r w:rsidR="00033514">
        <w:t xml:space="preserve">ect) receive more nominations from others. </w:t>
      </w:r>
      <w:r w:rsidR="00E806E6">
        <w:t>T</w:t>
      </w:r>
      <w:r w:rsidR="00E806E6" w:rsidRPr="001E4E3F">
        <w:t xml:space="preserve">he strength of each effect </w:t>
      </w:r>
      <w:r w:rsidR="00E806E6">
        <w:t>is</w:t>
      </w:r>
      <w:r w:rsidR="00E806E6" w:rsidRPr="001E4E3F">
        <w:t xml:space="preserve"> estimated using a simulation-based approach </w:t>
      </w:r>
      <w:r w:rsidR="00E806E6" w:rsidRPr="001E4E3F">
        <w:fldChar w:fldCharType="begin" w:fldLock="1"/>
      </w:r>
      <w:r w:rsidR="001C3948">
        <w:instrText>ADDIN CSL_CITATION {"citationItems":[{"id":"ITEM-1","itemData":{"abstract":"SIENA (for Simulation Investigation for Empirical Network Analysis) is a computer pro- gram that carries out the statistical estimation of models for the evolution of social networks according to the dynamic actor-oriented model of Snijders (2001, 2005), Snijders et al. (2007), and Snijders et al. (2010a). This is the manual for RSiena, a contributed package to the statistical system R. It also contains contributions written earlier, for the manual for SIENA version 3, by Mark Huisman, Michael Schweinberger, and Christian Steglich.","author":[{"dropping-particle":"","family":"Ripley","given":"Ruth M","non-dropping-particle":"","parse-names":false,"suffix":""},{"dropping-particle":"","family":"Snijders","given":"Tom A B","non-dropping-particle":"","parse-names":false,"suffix":""},{"dropping-particle":"","family":"Boda","given":"Zsófia","non-dropping-particle":"","parse-names":false,"suffix":""},{"dropping-particle":"","family":"Vörös","given":"András","non-dropping-particle":"","parse-names":false,"suffix":""},{"dropping-particle":"","family":"Preciado","given":"Paulina","non-dropping-particle":"","parse-names":false,"suffix":""}],"container-title":"University of Oxford, Department of Statistics, Nuffield College","id":"ITEM-1","issued":{"date-parts":[["2019"]]},"title":"Manual for RSIENA version 4.0","type":"report"},"uris":["http://www.mendeley.com/documents/?uuid=c8f8a9b7-d0a3-4b5a-9bbd-c1570ccc70b8"]}],"mendeley":{"formattedCitation":"(Ripley &lt;i&gt;et al.&lt;/i&gt;, 2019)","plainTextFormattedCitation":"(Ripley et al., 2019)","previouslyFormattedCitation":"(Ripley &lt;i&gt;et al.&lt;/i&gt;, 2019)"},"properties":{"noteIndex":0},"schema":"https://github.com/citation-style-language/schema/raw/master/csl-citation.json"}</w:instrText>
      </w:r>
      <w:r w:rsidR="00E806E6" w:rsidRPr="001E4E3F">
        <w:fldChar w:fldCharType="separate"/>
      </w:r>
      <w:r w:rsidR="00636F5B" w:rsidRPr="00636F5B">
        <w:rPr>
          <w:noProof/>
        </w:rPr>
        <w:t xml:space="preserve">(Ripley </w:t>
      </w:r>
      <w:r w:rsidR="00636F5B" w:rsidRPr="00636F5B">
        <w:rPr>
          <w:i/>
          <w:noProof/>
        </w:rPr>
        <w:t>et al.</w:t>
      </w:r>
      <w:r w:rsidR="00636F5B" w:rsidRPr="00636F5B">
        <w:rPr>
          <w:noProof/>
        </w:rPr>
        <w:t>, 2019)</w:t>
      </w:r>
      <w:r w:rsidR="00E806E6" w:rsidRPr="001E4E3F">
        <w:fldChar w:fldCharType="end"/>
      </w:r>
      <w:r w:rsidR="00E806E6" w:rsidRPr="001E4E3F">
        <w:t>.</w:t>
      </w:r>
      <w:r w:rsidR="0042687F">
        <w:t xml:space="preserve"> </w:t>
      </w:r>
      <w:r w:rsidR="004D74C6">
        <w:t>The</w:t>
      </w:r>
      <w:r w:rsidR="0042687F">
        <w:t xml:space="preserve"> parameter </w:t>
      </w:r>
      <w:r w:rsidR="005707C7">
        <w:t xml:space="preserve">represents the log-probabilities of change, </w:t>
      </w:r>
      <w:r w:rsidR="0042687F">
        <w:t>similar to parameters of multinomial logistic re</w:t>
      </w:r>
      <w:r w:rsidR="000A26DE">
        <w:t>gression models</w:t>
      </w:r>
      <w:r w:rsidR="0042687F">
        <w:t>.</w:t>
      </w:r>
    </w:p>
    <w:p w14:paraId="1836ACAE" w14:textId="1CB2F93F" w:rsidR="000A6E7C" w:rsidRDefault="00C0364E" w:rsidP="004A7AAC">
      <w:pPr>
        <w:pStyle w:val="NoSpacing"/>
        <w:ind w:firstLine="720"/>
      </w:pPr>
      <w:r>
        <w:lastRenderedPageBreak/>
        <w:t xml:space="preserve">In </w:t>
      </w:r>
      <w:r w:rsidR="00F01AB3">
        <w:t>our</w:t>
      </w:r>
      <w:r w:rsidR="00347B73">
        <w:t xml:space="preserve"> </w:t>
      </w:r>
      <w:r>
        <w:t xml:space="preserve">case </w:t>
      </w:r>
      <w:r w:rsidR="00065F7D">
        <w:t>the main effects included</w:t>
      </w:r>
      <w:r w:rsidR="001A62C4">
        <w:t>:</w:t>
      </w:r>
      <w:r w:rsidR="00065F7D">
        <w:t xml:space="preserve"> (1) </w:t>
      </w:r>
      <w:r w:rsidR="0008274F">
        <w:t>the effect</w:t>
      </w:r>
      <w:r w:rsidR="00065F7D">
        <w:t xml:space="preserve"> of participation in the research project on the network,</w:t>
      </w:r>
      <w:r w:rsidR="00755D95">
        <w:t xml:space="preserve"> and (2) </w:t>
      </w:r>
      <w:r w:rsidR="002D5B3E">
        <w:t xml:space="preserve">the </w:t>
      </w:r>
      <w:r w:rsidR="00755D95">
        <w:t xml:space="preserve">effect of participation in the research project on farming </w:t>
      </w:r>
      <w:r w:rsidR="00BD187E">
        <w:t>practice</w:t>
      </w:r>
      <w:r w:rsidR="00755D95">
        <w:t xml:space="preserve">s and information dissemination. </w:t>
      </w:r>
      <w:r w:rsidR="00AE00CB">
        <w:t xml:space="preserve">To test whether the network and farming </w:t>
      </w:r>
      <w:r w:rsidR="00F70E13">
        <w:t>practices</w:t>
      </w:r>
      <w:r w:rsidR="00AE00CB">
        <w:t xml:space="preserve"> were </w:t>
      </w:r>
      <w:r w:rsidR="009F3C97">
        <w:t>inter</w:t>
      </w:r>
      <w:r w:rsidR="00AE00CB">
        <w:t>connected,</w:t>
      </w:r>
      <w:r w:rsidR="007B4BC8">
        <w:t xml:space="preserve"> we </w:t>
      </w:r>
      <w:r w:rsidR="00AE00CB">
        <w:t>also included (3)</w:t>
      </w:r>
      <w:r w:rsidR="00702416">
        <w:t xml:space="preserve"> the</w:t>
      </w:r>
      <w:r w:rsidR="00AE00CB">
        <w:t xml:space="preserve"> </w:t>
      </w:r>
      <w:r w:rsidR="00515037">
        <w:t xml:space="preserve">effect of farming </w:t>
      </w:r>
      <w:r w:rsidR="007416D2">
        <w:t>practices</w:t>
      </w:r>
      <w:r w:rsidR="00515037">
        <w:t xml:space="preserve"> on the network, and (4) </w:t>
      </w:r>
      <w:r w:rsidR="00702416">
        <w:t xml:space="preserve">the </w:t>
      </w:r>
      <w:r w:rsidR="00515037">
        <w:t xml:space="preserve">effect of the network on farming </w:t>
      </w:r>
      <w:r w:rsidR="00F8050F">
        <w:t>practices</w:t>
      </w:r>
      <w:r w:rsidR="00515037">
        <w:t xml:space="preserve"> and information dissemination</w:t>
      </w:r>
      <w:r w:rsidR="00462C8D">
        <w:t xml:space="preserve">. </w:t>
      </w:r>
      <w:r w:rsidR="006D5AC5">
        <w:t>Lastly,</w:t>
      </w:r>
      <w:r w:rsidR="007B4BC8">
        <w:t xml:space="preserve"> we </w:t>
      </w:r>
      <w:r w:rsidR="006D5AC5">
        <w:t>included (5) standard structural network effects which represent ba</w:t>
      </w:r>
      <w:r w:rsidR="00F25CA1">
        <w:t>sic structures of networks</w:t>
      </w:r>
      <w:r w:rsidR="006D5AC5">
        <w:t>,</w:t>
      </w:r>
      <w:r w:rsidR="00DB05D1">
        <w:t xml:space="preserve"> and (6) </w:t>
      </w:r>
      <w:r w:rsidR="008A3937">
        <w:t>effects of geographical distance between farmers, clan, gender and age on</w:t>
      </w:r>
      <w:r w:rsidR="008A3937" w:rsidRPr="0028752F">
        <w:t xml:space="preserve"> </w:t>
      </w:r>
      <w:r w:rsidR="008A3937">
        <w:t>the network</w:t>
      </w:r>
      <w:r w:rsidR="002D28E8">
        <w:t>,</w:t>
      </w:r>
      <w:r w:rsidR="008A3937">
        <w:t xml:space="preserve"> as they have been shown to influence network</w:t>
      </w:r>
      <w:r w:rsidR="002D28E8">
        <w:t>s</w:t>
      </w:r>
      <w:r w:rsidR="008A3937">
        <w:t xml:space="preserve"> </w:t>
      </w:r>
      <w:r w:rsidR="004173CB">
        <w:fldChar w:fldCharType="begin" w:fldLock="1"/>
      </w:r>
      <w:r w:rsidR="001C3948">
        <w:instrText>ADDIN CSL_CITATION {"citationItems":[{"id":"ITEM-1","itemData":{"DOI":"10.1016/j.jtrangeo.2013.04.001","ISSN":"09666923","abstract":"While detailed data are available on people's travel behavior in industrialized countries, little is known about the spatial characteristics of activities of those living in vast infrastructure-poor areas in the developing world where walking is still the dominant form of transport. We have interviewed 297 randomly selected inhabitants of Tiyo District, Ethiopia, and by random name cues identified 4158 individuals who are a representative cross-section of everyone the informants knew and met. Consequently, we inquired about the distance to these individuals, frequency of contacting them, and the mode of contact. Half of the respondents' social contacts lived within 15-min walking distance and the interviewed inhabitants contacted 98% of all people that they knew only by walking and meeting face-to-face. After examining the determinants of the size, density, and geographical extent of the inhabitants' personal networks, we employed multilevel analysis to explore the relevance of physical and social distance as well as personal characteristics for frequency of interaction. We found that in addition to the strong impact of walking time (-), common organization membership (-), the same religious affiliation (+), kinship (+), and patience (-) also predict the frequency of meetings. From this we present comparisons of the variables' relative effects and conclude with practical implications. © 2013 Elsevier Ltd.","author":[{"dropping-particle":"","family":"Matous","given":"Petr","non-dropping-particle":"","parse-names":false,"suffix":""},{"dropping-particle":"","family":"Todo","given":"Yasuyuki","non-dropping-particle":"","parse-names":false,"suffix":""},{"dropping-particle":"","family":"Mojo","given":"Dagne","non-dropping-particle":"","parse-names":false,"suffix":""}],"container-title":"Journal of Transport Geography","id":"ITEM-1","issued":{"date-parts":[["2013"]]},"page":"226-235","title":"Boots are made for walking: interactions across physical and social space in infrastructure-poor regions","type":"article-journal","volume":"31"},"uris":["http://www.mendeley.com/documents/?uuid=fa47036e-f00b-4e83-9324-9da8586144fc"]},{"id":"ITEM-2","itemData":{"DOI":"10.5751/ES-07602-200236","abstract":"The importance of networks for social-ecological processes has been recognized in the literature; however, existing studies have not sufficiently addressed the dynamic nature of networks. Using data on the social learning networks of 265 farmers in Ethiopia for 2011 and 2012 and stochastic actor-oriented modeling, we explain the mechanisms of network evolution and soil conservation. The farmers’ preferences for information exchange within the same social groups support the creation of interactive, clustered, nonhierarchical structures within the evolving learning networks, which contributed to the diffusion of the practice of composting. The introduced methods can be applied to determine whether and how social networks can be used to facilitate environmental interventions in various contexts.","author":[{"dropping-particle":"","family":"Matous","given":"Petr","non-dropping-particle":"","parse-names":false,"suffix":""},{"dropping-particle":"","family":"Todo","given":"Yasuyuki","non-dropping-particle":"","parse-names":false,"suffix":""}],"container-title":"Ecology and Society","id":"ITEM-2","issue":"2","issued":{"date-parts":[["2015"]]},"title":"Exploring dynamic mechanisms of learning networks for resource conservation","type":"article-journal","volume":"20"},"uris":["http://www.mendeley.com/documents/?uuid=806cdd31-4a44-4417-b5bf-7d1433436e2d"]},{"id":"ITEM-3","itemData":{"DOI":"10.1016/j.socnet.2019.10.001","ISSN":"03788733","abstract":"Multiple dynamics jointly determine who we befriend, however, researchers have failed to systematically assess which processes matter most under different circumstances. Here I draw on observations around how the demands of paddy rice cultivation shape social interaction to demonstrate that the relative importance of reciprocity, transitivity and generalised exchange to who rice producers choose as friends varies with the amount of agricultural land under their control. In doing so, I use unique data on farm size and friendship amongst 4713 rice-growing smallholders in 162 rural villages in Jiangxi, China along with a new technique for measuring the relative importance of effects in Stochastic Actor-Oriented Models. In line with the micro-level component of the recently advanced “theory of network ecology”, results suggest that features of an individual's proximal environment can powerfully moderate the relative expression of network-formation mechanisms such that for some individuals, a dynamic may be expected to hold substantial sway over the process of choosing social contacts and, for others, no sway at all.","author":[{"dropping-particle":"","family":"Simpson","given":"Cohen R.","non-dropping-particle":"","parse-names":false,"suffix":""}],"container-title":"Social Networks","id":"ITEM-3","issued":{"date-parts":[["2020"]]},"page":"107-127","title":"Farm size shapes friend choice amongst rice producers in China: some evidence for the theory of network ecology","type":"article-journal","volume":"61"},"uris":["http://www.mendeley.com/documents/?uuid=78826bbf-8f09-4091-99c1-49ec39d82817"]},{"id":"ITEM-4","itemData":{"DOI":"10.1016/j.jdeveco.2018.01.009","ISSN":"03043878","abstract":"Social networks are an important mechanism for diffusing information when institutions are missing, but there may be distributional consequences from targeting only central nodes in a network. After implementing a social network census, one of three village-level treatments determined which treated nodes in the village received information about composting: random assignment, nodes with the highest degree, or nodes with high betweenness. We then look at how information diffuses through the network. We find information diffusion declines with social distance, suggesting frictions in the diffusion of information. Aggregate knowledge about the technology did not differ across targeting strategies, but targeting nodes using betweenness measures in village-level networks excludes less-connected nodes from new information. Women farmers are less likely to receive information when betweenness centrality is used in targeting, suggesting there are important gender differences, not only in the relationship between social distance and diffusion, but also in the social learning process.","author":[{"dropping-particle":"","family":"Beaman","given":"Lori A.","non-dropping-particle":"","parse-names":false,"suffix":""},{"dropping-particle":"","family":"Dillon","given":"Andrew","non-dropping-particle":"","parse-names":false,"suffix":""}],"container-title":"Journal of Development Economics","id":"ITEM-4","issued":{"date-parts":[["2018"]]},"page":"147-161","title":"Diffusion of agricultural information within social networks: evidence on gender inequalities from Mali","type":"article-journal","volume":"133"},"uris":["http://www.mendeley.com/documents/?uuid=2b1f04a2-9203-449a-8e0b-ba7d2bc9a3c6"]}],"mendeley":{"formattedCitation":"(Matous, Todo and Mojo, 2013; Matous and Todo, 2015; Beaman and Dillon, 2018; Simpson, 2020)","plainTextFormattedCitation":"(Matous, Todo and Mojo, 2013; Matous and Todo, 2015; Beaman and Dillon, 2018; Simpson, 2020)","previouslyFormattedCitation":"(Matous, Todo and Mojo, 2013; Matous and Todo, 2015; Beaman and Dillon, 2018; Simpson, 2020)"},"properties":{"noteIndex":0},"schema":"https://github.com/citation-style-language/schema/raw/master/csl-citation.json"}</w:instrText>
      </w:r>
      <w:r w:rsidR="004173CB">
        <w:fldChar w:fldCharType="separate"/>
      </w:r>
      <w:r w:rsidR="00636F5B" w:rsidRPr="00636F5B">
        <w:rPr>
          <w:noProof/>
        </w:rPr>
        <w:t>(Matous, Todo and Mojo, 2013</w:t>
      </w:r>
      <w:r w:rsidR="006A461E">
        <w:rPr>
          <w:noProof/>
        </w:rPr>
        <w:t>b</w:t>
      </w:r>
      <w:r w:rsidR="00636F5B" w:rsidRPr="00636F5B">
        <w:rPr>
          <w:noProof/>
        </w:rPr>
        <w:t>; Matous and Todo, 2015; Beaman and Dillon, 2018; Simpson, 2020)</w:t>
      </w:r>
      <w:r w:rsidR="004173CB">
        <w:fldChar w:fldCharType="end"/>
      </w:r>
      <w:r w:rsidR="004A7AAC">
        <w:t xml:space="preserve">. </w:t>
      </w:r>
      <w:r w:rsidR="000A4AD1">
        <w:t xml:space="preserve">Participation in the research project was coded as 0 for non-participation and 1 for participation either as </w:t>
      </w:r>
      <w:r w:rsidR="00376101">
        <w:t xml:space="preserve">a project </w:t>
      </w:r>
      <w:r w:rsidR="000A4AD1">
        <w:t xml:space="preserve">garden owner or research assistant. Including </w:t>
      </w:r>
      <w:r w:rsidR="00F178B5">
        <w:t xml:space="preserve">project </w:t>
      </w:r>
      <w:r w:rsidR="000A4AD1">
        <w:t>garden owner and research assistant as separate levels led to over-specific</w:t>
      </w:r>
      <w:r w:rsidR="00F27188">
        <w:t>ation of the model and was</w:t>
      </w:r>
      <w:r w:rsidR="00232233">
        <w:t xml:space="preserve"> thus</w:t>
      </w:r>
      <w:r w:rsidR="00F27188">
        <w:t xml:space="preserve"> </w:t>
      </w:r>
      <w:r w:rsidR="000A4AD1">
        <w:t xml:space="preserve">avoided. The researched farming </w:t>
      </w:r>
      <w:r w:rsidR="00A71635">
        <w:t>practices</w:t>
      </w:r>
      <w:r w:rsidR="000A4AD1">
        <w:t xml:space="preserve"> of using </w:t>
      </w:r>
      <w:r w:rsidR="00505423">
        <w:t>food waste</w:t>
      </w:r>
      <w:r w:rsidR="000A4AD1">
        <w:t xml:space="preserve">, animal </w:t>
      </w:r>
      <w:r w:rsidR="0052566F">
        <w:t xml:space="preserve">manure or NPK fertiliser were grouped </w:t>
      </w:r>
      <w:r w:rsidR="000A4AD1">
        <w:t xml:space="preserve">into one variable called </w:t>
      </w:r>
      <w:r w:rsidR="00247718">
        <w:t>‘</w:t>
      </w:r>
      <w:r w:rsidR="000A4AD1">
        <w:t xml:space="preserve">Total researched </w:t>
      </w:r>
      <w:r w:rsidR="00A71635">
        <w:t>practices</w:t>
      </w:r>
      <w:r w:rsidR="00247718">
        <w:t>’</w:t>
      </w:r>
      <w:r w:rsidR="000A4AD1">
        <w:t xml:space="preserve"> with people who used any of these </w:t>
      </w:r>
      <w:r w:rsidR="00A71635">
        <w:t>practices</w:t>
      </w:r>
      <w:r w:rsidR="000A4AD1">
        <w:t xml:space="preserve"> scored as 1</w:t>
      </w:r>
      <w:r w:rsidR="00F27188">
        <w:t>,</w:t>
      </w:r>
      <w:r w:rsidR="000A4AD1">
        <w:t xml:space="preserve"> and those who did not scored as 0. </w:t>
      </w:r>
      <w:r w:rsidR="00F27188">
        <w:t>This</w:t>
      </w:r>
      <w:r w:rsidR="00671A17">
        <w:t xml:space="preserve"> was </w:t>
      </w:r>
      <w:r w:rsidR="00F27188">
        <w:t>because</w:t>
      </w:r>
      <w:r w:rsidR="00671A17">
        <w:t xml:space="preserve"> too few people adapted animal manure </w:t>
      </w:r>
      <w:r w:rsidR="00193A40">
        <w:t xml:space="preserve">or </w:t>
      </w:r>
      <w:r w:rsidR="00671A17">
        <w:t>NPK fertiliser over the course of the project and</w:t>
      </w:r>
      <w:r w:rsidR="000A4AD1">
        <w:t xml:space="preserve"> including them as separate </w:t>
      </w:r>
      <w:r w:rsidR="00A71635">
        <w:t>practices</w:t>
      </w:r>
      <w:r w:rsidR="000A4AD1">
        <w:t xml:space="preserve"> led to non-convergence. A full list of the effects included and their descriptions is provided in </w:t>
      </w:r>
      <w:r w:rsidR="00D84467">
        <w:t>Appendix</w:t>
      </w:r>
      <w:r w:rsidR="00D3298F">
        <w:t>, Table</w:t>
      </w:r>
      <w:r w:rsidR="00EE1EA6">
        <w:t>s</w:t>
      </w:r>
      <w:r w:rsidR="00D3298F">
        <w:t xml:space="preserve"> 1 and 2</w:t>
      </w:r>
      <w:r w:rsidR="00EE008D">
        <w:t xml:space="preserve">, with code deposited </w:t>
      </w:r>
      <w:r w:rsidR="008B444D">
        <w:t>at</w:t>
      </w:r>
      <w:r w:rsidR="00EE008D">
        <w:t xml:space="preserve">: </w:t>
      </w:r>
      <w:hyperlink r:id="rId9" w:history="1">
        <w:r w:rsidR="008B444D" w:rsidRPr="00064C2D">
          <w:rPr>
            <w:rStyle w:val="Hyperlink"/>
          </w:rPr>
          <w:t>https://data.mendeley.com/datasets/ft8gb8cn5b/1</w:t>
        </w:r>
      </w:hyperlink>
      <w:r w:rsidR="000A4AD1">
        <w:t xml:space="preserve">. </w:t>
      </w:r>
    </w:p>
    <w:p w14:paraId="3DACC1EB" w14:textId="231310DC" w:rsidR="000A4AD1" w:rsidRDefault="000A4AD1" w:rsidP="000A4AD1">
      <w:pPr>
        <w:pStyle w:val="NoSpacing"/>
        <w:ind w:firstLine="720"/>
      </w:pPr>
      <w:r>
        <w:t>The fu</w:t>
      </w:r>
      <w:r w:rsidR="0002200B">
        <w:t xml:space="preserve">ll SAOM </w:t>
      </w:r>
      <w:r>
        <w:t>with both network and behaviour data showed that there were no signi</w:t>
      </w:r>
      <w:r w:rsidR="00BB5F4C">
        <w:t>ficant relationships between farmers’</w:t>
      </w:r>
      <w:r w:rsidR="00E66E2A">
        <w:t xml:space="preserve"> social</w:t>
      </w:r>
      <w:r>
        <w:t xml:space="preserve"> network and behaviour (</w:t>
      </w:r>
      <w:r w:rsidR="00D84467">
        <w:t>Appendix</w:t>
      </w:r>
      <w:r w:rsidR="00554CDD">
        <w:t>, T</w:t>
      </w:r>
      <w:r w:rsidR="00D218D8">
        <w:t>able 3</w:t>
      </w:r>
      <w:r w:rsidR="00260A23">
        <w:t xml:space="preserve">). This allowed </w:t>
      </w:r>
      <w:r w:rsidR="005C5DFD">
        <w:t>us</w:t>
      </w:r>
      <w:r>
        <w:t xml:space="preserve"> to analyse the network data and behavi</w:t>
      </w:r>
      <w:r w:rsidR="00005C16">
        <w:t xml:space="preserve">our data separately and more in </w:t>
      </w:r>
      <w:r>
        <w:t>depth. To better understand the structure of the social network</w:t>
      </w:r>
      <w:r w:rsidR="007B4BC8">
        <w:t xml:space="preserve"> we </w:t>
      </w:r>
      <w:r>
        <w:t>re-ran the SAOM, but with only the network part, which included</w:t>
      </w:r>
      <w:r w:rsidR="00322877">
        <w:t>:</w:t>
      </w:r>
      <w:r>
        <w:t xml:space="preserve"> (1) </w:t>
      </w:r>
      <w:r w:rsidR="00F52317">
        <w:t>effects of participation in the research project on the network, (2) s</w:t>
      </w:r>
      <w:r>
        <w:t xml:space="preserve">tandard structural network effects, </w:t>
      </w:r>
      <w:r w:rsidR="00A65823">
        <w:t xml:space="preserve">and </w:t>
      </w:r>
      <w:r>
        <w:t>(</w:t>
      </w:r>
      <w:r w:rsidR="00A65823">
        <w:t>3</w:t>
      </w:r>
      <w:r>
        <w:t>) effects of geographical distance between farmers, clan, gender and age on</w:t>
      </w:r>
      <w:r w:rsidRPr="0028752F">
        <w:t xml:space="preserve"> </w:t>
      </w:r>
      <w:r w:rsidR="007E1BBB">
        <w:t xml:space="preserve">the network. </w:t>
      </w:r>
      <w:r>
        <w:t>This time</w:t>
      </w:r>
      <w:r w:rsidR="007B4BC8">
        <w:t xml:space="preserve"> we </w:t>
      </w:r>
      <w:r>
        <w:t>coded participation as a dummy variable in which</w:t>
      </w:r>
      <w:r w:rsidR="007B4BC8">
        <w:t xml:space="preserve"> we </w:t>
      </w:r>
      <w:r>
        <w:t xml:space="preserve">represented non-participants, </w:t>
      </w:r>
      <w:r w:rsidR="00765E4F">
        <w:t xml:space="preserve">project </w:t>
      </w:r>
      <w:r>
        <w:t>garden owners and research a</w:t>
      </w:r>
      <w:r w:rsidR="00B25619">
        <w:t>ssistants separately (</w:t>
      </w:r>
      <w:r w:rsidR="00D84467">
        <w:t>Appendix</w:t>
      </w:r>
      <w:r w:rsidR="00B25619">
        <w:t>, Table 2</w:t>
      </w:r>
      <w:r>
        <w:t xml:space="preserve">). </w:t>
      </w:r>
    </w:p>
    <w:p w14:paraId="0964CFF8" w14:textId="6CB14BE9" w:rsidR="0099707D" w:rsidRDefault="00762FA1" w:rsidP="00EF0E0D">
      <w:pPr>
        <w:pStyle w:val="NoSpacing"/>
        <w:ind w:firstLine="720"/>
      </w:pPr>
      <w:r>
        <w:lastRenderedPageBreak/>
        <w:t>To furthe</w:t>
      </w:r>
      <w:r w:rsidR="000A4AD1">
        <w:t>r understand the effect of the research project on farmer behaviour and information dissemination</w:t>
      </w:r>
      <w:r w:rsidR="007B4BC8">
        <w:t xml:space="preserve"> we </w:t>
      </w:r>
      <w:r w:rsidR="000A4AD1">
        <w:t>used logistic regression</w:t>
      </w:r>
      <w:r w:rsidR="00E66E2A">
        <w:t>s</w:t>
      </w:r>
      <w:r w:rsidR="000A4AD1">
        <w:t xml:space="preserve">. The use of </w:t>
      </w:r>
      <w:r w:rsidR="00505423">
        <w:t>food waste</w:t>
      </w:r>
      <w:r w:rsidR="000A4AD1" w:rsidRPr="00396CEB">
        <w:t xml:space="preserve">, </w:t>
      </w:r>
      <w:r w:rsidR="000A4AD1">
        <w:t xml:space="preserve">mulching, </w:t>
      </w:r>
      <w:r w:rsidR="004F6459">
        <w:t xml:space="preserve">starting to </w:t>
      </w:r>
      <w:r w:rsidR="001558F8">
        <w:t>plant</w:t>
      </w:r>
      <w:r w:rsidR="000A4AD1">
        <w:t xml:space="preserve"> the research project’s specific variety of sweet</w:t>
      </w:r>
      <w:r w:rsidR="00C0364E">
        <w:t xml:space="preserve"> </w:t>
      </w:r>
      <w:r w:rsidR="000A4AD1">
        <w:t>potato</w:t>
      </w:r>
      <w:r w:rsidR="000A4AD1" w:rsidRPr="00396CEB">
        <w:t xml:space="preserve"> </w:t>
      </w:r>
      <w:r w:rsidR="000A4AD1">
        <w:t xml:space="preserve">and having learned from the project were the dependent variables. Participation in the project as non-participant, </w:t>
      </w:r>
      <w:r w:rsidR="00693050">
        <w:t xml:space="preserve">project </w:t>
      </w:r>
      <w:r w:rsidR="000A4AD1">
        <w:t xml:space="preserve">garden owner or research assistant was an independent variable. </w:t>
      </w:r>
      <w:r w:rsidR="007B4BC8">
        <w:t>We</w:t>
      </w:r>
      <w:r w:rsidR="00193DAE">
        <w:t xml:space="preserve"> </w:t>
      </w:r>
      <w:r w:rsidR="002D28E8">
        <w:t>included</w:t>
      </w:r>
      <w:r w:rsidR="000A4AD1">
        <w:t xml:space="preserve"> an interaction </w:t>
      </w:r>
      <w:r w:rsidR="002D28E8">
        <w:t xml:space="preserve">between participation and </w:t>
      </w:r>
      <w:r w:rsidR="000A4AD1">
        <w:t xml:space="preserve">time in the case of using </w:t>
      </w:r>
      <w:r w:rsidR="00791D98">
        <w:t>food waste</w:t>
      </w:r>
      <w:r w:rsidR="000A4AD1">
        <w:t xml:space="preserve"> or mulching. For</w:t>
      </w:r>
      <w:r w:rsidR="00BF579B">
        <w:t xml:space="preserve"> starting to plant</w:t>
      </w:r>
      <w:r w:rsidR="000A4AD1">
        <w:t xml:space="preserve"> the project’s specific variety of sweet</w:t>
      </w:r>
      <w:r w:rsidR="00C0364E">
        <w:t xml:space="preserve"> </w:t>
      </w:r>
      <w:r w:rsidR="000A4AD1">
        <w:t xml:space="preserve">potato and learning, time was not included as these were only relevant during the second survey. Gender was also included as an independent variable, as the adoption of </w:t>
      </w:r>
      <w:r w:rsidR="00A30DE8">
        <w:t>farming practices</w:t>
      </w:r>
      <w:r w:rsidR="000A4AD1">
        <w:t xml:space="preserve"> may differ between men and women </w:t>
      </w:r>
      <w:r w:rsidR="000A4AD1">
        <w:fldChar w:fldCharType="begin" w:fldLock="1"/>
      </w:r>
      <w:r w:rsidR="001C3948">
        <w:instrText>ADDIN CSL_CITATION {"citationItems":[{"id":"ITEM-1","itemData":{"DOI":"10.1080/14735903.2015.1065602","ISSN":"1747762X","abstract":"It is remarkable that despite wide-ranging, in-depth studies over many years, almost no conservation agriculture (CA) studies consider gender and gender relations as a potential explanatory factor for (low) adoption rates. This is important because CA demands new ways of working with the farm system. Implementation will inevitably involve a reallocation of men's and women's resources as well as having an impact upon their ability to realize their gender interests. With respect to intra-household decision-making and the distribution of benefits, CA interventions have implications for labour requirements and labour allocation, investment decisions with respect to mechanization and herbicide use, crop choice, and residue management. CA practice may impact upon the ability of households to source a wide variety of crops, wild plants, and insects and small animals for household nutrition. Gender biases in extension service design can sideline women. This paper examines the limited research to date on the interactions between CA interventions and gender in East and Southern Africa, and, based on the gaps observed, sets out a research agenda. It argues that attention to gender in CA is particularly timely given the increasing interest in CA as a means of adapting to climate change.","author":[{"dropping-particle":"","family":"Farnworth","given":"Cathy Rozel","non-dropping-particle":"","parse-names":false,"suffix":""},{"dropping-particle":"","family":"Baudron","given":"Frédéric","non-dropping-particle":"","parse-names":false,"suffix":""},{"dropping-particle":"","family":"Andersson","given":"Jens A.","non-dropping-particle":"","parse-names":false,"suffix":""},{"dropping-particle":"","family":"Misiko","given":"Michael","non-dropping-particle":"","parse-names":false,"suffix":""},{"dropping-particle":"","family":"Badstue","given":"Lone","non-dropping-particle":"","parse-names":false,"suffix":""},{"dropping-particle":"","family":"Stirling","given":"Clare M.","non-dropping-particle":"","parse-names":false,"suffix":""}],"container-title":"International Journal of Agricultural Sustainability","id":"ITEM-1","issue":"2","issued":{"date-parts":[["2016"]]},"page":"142-165","title":"Gender and conservation agriculture in East and Southern Africa: towards a research agenda","type":"article-journal","volume":"14"},"uris":["http://www.mendeley.com/documents/?uuid=e6eb748d-8fd5-4df1-821c-b9d8c29053b4"]}],"mendeley":{"formattedCitation":"(Farnworth &lt;i&gt;et al.&lt;/i&gt;, 2016)","plainTextFormattedCitation":"(Farnworth et al., 2016)","previouslyFormattedCitation":"(Farnworth &lt;i&gt;et al.&lt;/i&gt;, 2016)"},"properties":{"noteIndex":0},"schema":"https://github.com/citation-style-language/schema/raw/master/csl-citation.json"}</w:instrText>
      </w:r>
      <w:r w:rsidR="000A4AD1">
        <w:fldChar w:fldCharType="separate"/>
      </w:r>
      <w:r w:rsidR="00636F5B" w:rsidRPr="00636F5B">
        <w:rPr>
          <w:noProof/>
        </w:rPr>
        <w:t xml:space="preserve">(Farnworth </w:t>
      </w:r>
      <w:r w:rsidR="00636F5B" w:rsidRPr="00636F5B">
        <w:rPr>
          <w:i/>
          <w:noProof/>
        </w:rPr>
        <w:t>et al.</w:t>
      </w:r>
      <w:r w:rsidR="00636F5B" w:rsidRPr="00636F5B">
        <w:rPr>
          <w:noProof/>
        </w:rPr>
        <w:t>, 2016)</w:t>
      </w:r>
      <w:r w:rsidR="000A4AD1">
        <w:fldChar w:fldCharType="end"/>
      </w:r>
      <w:r w:rsidR="00DE0134">
        <w:t>. Including two data points from the same household leads to pseudo-replication, so</w:t>
      </w:r>
      <w:r w:rsidR="007B4BC8">
        <w:t xml:space="preserve"> we </w:t>
      </w:r>
      <w:r w:rsidR="00DE0134">
        <w:t>included household number as a random effect. However, m</w:t>
      </w:r>
      <w:r w:rsidR="00232354">
        <w:t xml:space="preserve">odel results did not significantly change </w:t>
      </w:r>
      <w:r w:rsidR="00333CC4">
        <w:t>(</w:t>
      </w:r>
      <w:r w:rsidR="00D84467">
        <w:t>Appendix</w:t>
      </w:r>
      <w:r w:rsidR="00333CC4">
        <w:t>, T</w:t>
      </w:r>
      <w:r w:rsidR="004A03F2">
        <w:t>able 4</w:t>
      </w:r>
      <w:r w:rsidR="00333CC4">
        <w:t>)</w:t>
      </w:r>
      <w:r w:rsidR="00232354">
        <w:t xml:space="preserve">, </w:t>
      </w:r>
      <w:r w:rsidR="0044265F">
        <w:t>so</w:t>
      </w:r>
      <w:r w:rsidR="007B4BC8">
        <w:t xml:space="preserve"> we </w:t>
      </w:r>
      <w:r w:rsidR="00C11745">
        <w:t>report here on the simpler</w:t>
      </w:r>
      <w:r w:rsidR="00232354">
        <w:t xml:space="preserve"> model</w:t>
      </w:r>
      <w:r w:rsidR="00DF755B">
        <w:t xml:space="preserve"> without household number</w:t>
      </w:r>
      <w:r w:rsidR="0044265F" w:rsidRPr="0044265F">
        <w:t xml:space="preserve"> </w:t>
      </w:r>
      <w:r w:rsidR="0044265F">
        <w:t>as a random effect</w:t>
      </w:r>
      <w:r w:rsidR="00232354">
        <w:t xml:space="preserve">. </w:t>
      </w:r>
      <w:r w:rsidR="000A4AD1">
        <w:t xml:space="preserve">For a full overview of the models run, </w:t>
      </w:r>
      <w:r w:rsidR="000A4AD1" w:rsidRPr="00B44C58">
        <w:t xml:space="preserve">see </w:t>
      </w:r>
      <w:r w:rsidR="00D84467">
        <w:t>Appendix</w:t>
      </w:r>
      <w:r w:rsidR="00D23FD8">
        <w:t>, Table</w:t>
      </w:r>
      <w:r w:rsidR="000A4AD1" w:rsidRPr="00B44C58">
        <w:t xml:space="preserve"> </w:t>
      </w:r>
      <w:r w:rsidR="00960EAA">
        <w:t>5</w:t>
      </w:r>
      <w:r w:rsidR="000A4AD1">
        <w:t xml:space="preserve">. </w:t>
      </w:r>
    </w:p>
    <w:p w14:paraId="27981808" w14:textId="4EF1C539" w:rsidR="000A4AD1" w:rsidRDefault="000A4AD1" w:rsidP="00EF0E0D">
      <w:pPr>
        <w:pStyle w:val="NoSpacing"/>
        <w:ind w:firstLine="720"/>
      </w:pPr>
      <w:r>
        <w:t>A</w:t>
      </w:r>
      <w:r w:rsidRPr="00396CEB">
        <w:t xml:space="preserve"> general linear model with a binomial error structure was fitted to the data</w:t>
      </w:r>
      <w:r>
        <w:t xml:space="preserve"> using the ‘</w:t>
      </w:r>
      <w:proofErr w:type="spellStart"/>
      <w:r>
        <w:t>glm</w:t>
      </w:r>
      <w:proofErr w:type="spellEnd"/>
      <w:r>
        <w:t>’ function in R</w:t>
      </w:r>
      <w:r w:rsidRPr="00396CEB">
        <w:t xml:space="preserve">. </w:t>
      </w:r>
      <w:r w:rsidR="007B4BC8">
        <w:t>We</w:t>
      </w:r>
      <w:r w:rsidR="00193DAE">
        <w:t xml:space="preserve"> </w:t>
      </w:r>
      <w:r w:rsidRPr="00396CEB">
        <w:t xml:space="preserve">checked </w:t>
      </w:r>
      <w:r w:rsidR="002D28E8">
        <w:t>for</w:t>
      </w:r>
      <w:r w:rsidR="002D28E8" w:rsidRPr="00396CEB">
        <w:t xml:space="preserve"> </w:t>
      </w:r>
      <w:r w:rsidRPr="00396CEB">
        <w:t>over-dispersion by calculating the ratio between residual deviance and degrees of freedom. If the ratio was &gt;</w:t>
      </w:r>
      <w:r w:rsidR="005F1C46">
        <w:t xml:space="preserve"> </w:t>
      </w:r>
      <w:r w:rsidRPr="00396CEB">
        <w:t>1.2 or &lt;</w:t>
      </w:r>
      <w:r w:rsidR="005F1C46">
        <w:t xml:space="preserve"> </w:t>
      </w:r>
      <w:r w:rsidRPr="00396CEB">
        <w:t xml:space="preserve">0.8 the model was re-fitted with a quasi-binomial distribution. </w:t>
      </w:r>
      <w:r w:rsidR="007B4BC8">
        <w:t>We</w:t>
      </w:r>
      <w:r w:rsidR="00193DAE">
        <w:t xml:space="preserve"> </w:t>
      </w:r>
      <w:r w:rsidRPr="00396CEB">
        <w:t>report values from the full models because</w:t>
      </w:r>
      <w:r w:rsidR="00551017">
        <w:t xml:space="preserve"> we </w:t>
      </w:r>
      <w:r w:rsidRPr="00396CEB">
        <w:t>only included a few unrelated</w:t>
      </w:r>
      <w:r w:rsidR="0002200B">
        <w:t xml:space="preserve"> independent variables and </w:t>
      </w:r>
      <w:r w:rsidR="00D114F7">
        <w:t xml:space="preserve">thus model </w:t>
      </w:r>
      <w:r w:rsidR="00A22D88">
        <w:t>simplification</w:t>
      </w:r>
      <w:r w:rsidR="00D114F7">
        <w:t xml:space="preserve"> was</w:t>
      </w:r>
      <w:r w:rsidRPr="00396CEB">
        <w:t xml:space="preserve"> </w:t>
      </w:r>
      <w:r w:rsidR="0044265F">
        <w:t>un</w:t>
      </w:r>
      <w:r w:rsidRPr="00396CEB">
        <w:t>necessary.</w:t>
      </w:r>
      <w:r>
        <w:t xml:space="preserve"> These models were not run for the </w:t>
      </w:r>
      <w:r w:rsidR="00B03B63">
        <w:t>farming practices</w:t>
      </w:r>
      <w:r>
        <w:t xml:space="preserve"> of using animal manure and NPK fertiliser, as there was too </w:t>
      </w:r>
      <w:r w:rsidR="002449E7">
        <w:t>little variation in the data,</w:t>
      </w:r>
      <w:r>
        <w:t xml:space="preserve"> thus running</w:t>
      </w:r>
      <w:r w:rsidR="00CA23DC">
        <w:t xml:space="preserve"> statistical analyses would </w:t>
      </w:r>
      <w:r>
        <w:t xml:space="preserve">be </w:t>
      </w:r>
      <w:r w:rsidR="00CA23DC">
        <w:t>in</w:t>
      </w:r>
      <w:r>
        <w:t xml:space="preserve">appropriate. Instead, the results for these </w:t>
      </w:r>
      <w:r w:rsidR="006E6AC5">
        <w:t>farming practices</w:t>
      </w:r>
      <w:r>
        <w:t xml:space="preserve"> are described qualitatively.</w:t>
      </w:r>
    </w:p>
    <w:p w14:paraId="2AEBF573" w14:textId="77777777" w:rsidR="00B3729A" w:rsidRDefault="00B3729A" w:rsidP="000A4AD1">
      <w:pPr>
        <w:pStyle w:val="Default"/>
        <w:spacing w:line="480" w:lineRule="auto"/>
        <w:ind w:firstLine="720"/>
        <w:jc w:val="both"/>
        <w:rPr>
          <w:sz w:val="22"/>
          <w:szCs w:val="22"/>
        </w:rPr>
      </w:pPr>
    </w:p>
    <w:p w14:paraId="1AAF336A" w14:textId="50EE0CF6" w:rsidR="00AF1EE4" w:rsidRPr="001B5291" w:rsidRDefault="00AF1EE4" w:rsidP="00AA6F40">
      <w:pPr>
        <w:pStyle w:val="Heading2"/>
        <w:numPr>
          <w:ilvl w:val="1"/>
          <w:numId w:val="22"/>
        </w:numPr>
      </w:pPr>
      <w:r>
        <w:t>Results</w:t>
      </w:r>
    </w:p>
    <w:p w14:paraId="091FBF66" w14:textId="199D8AE0" w:rsidR="001B5291" w:rsidRDefault="001B5291" w:rsidP="00484821">
      <w:pPr>
        <w:pStyle w:val="NoSpacing"/>
        <w:rPr>
          <w:i/>
        </w:rPr>
      </w:pPr>
    </w:p>
    <w:p w14:paraId="4BE57397" w14:textId="7D85D023" w:rsidR="00484821" w:rsidRPr="00484821" w:rsidRDefault="005005EB" w:rsidP="009624C0">
      <w:pPr>
        <w:pStyle w:val="NoSpacing"/>
      </w:pPr>
      <w:r>
        <w:t xml:space="preserve">Results </w:t>
      </w:r>
      <w:r w:rsidR="0082250F">
        <w:t>fr</w:t>
      </w:r>
      <w:r w:rsidR="00E65CD4">
        <w:t>om the experimental gardens</w:t>
      </w:r>
      <w:r>
        <w:t xml:space="preserve"> show</w:t>
      </w:r>
      <w:r w:rsidR="00D62615">
        <w:t>ed</w:t>
      </w:r>
      <w:r w:rsidR="00484821">
        <w:t xml:space="preserve"> that </w:t>
      </w:r>
      <w:r w:rsidR="005A5E54">
        <w:t xml:space="preserve">using </w:t>
      </w:r>
      <w:r w:rsidR="00F33D6B">
        <w:t>NPK fertiliser and chicken manure</w:t>
      </w:r>
      <w:r w:rsidR="00E65BEE">
        <w:t>, but not banana peel compost,</w:t>
      </w:r>
      <w:r w:rsidR="00F33D6B">
        <w:t xml:space="preserve"> </w:t>
      </w:r>
      <w:r w:rsidR="00484821">
        <w:t>improve</w:t>
      </w:r>
      <w:r w:rsidR="000A45FF">
        <w:t>d</w:t>
      </w:r>
      <w:r w:rsidR="00484821">
        <w:t xml:space="preserve"> soil quality and enhance</w:t>
      </w:r>
      <w:r w:rsidR="000A45FF">
        <w:t>d</w:t>
      </w:r>
      <w:r w:rsidR="005C7A3A">
        <w:t xml:space="preserve"> sweet potato </w:t>
      </w:r>
      <w:r w:rsidR="00484821">
        <w:t xml:space="preserve">yields </w:t>
      </w:r>
      <w:r w:rsidR="00315105">
        <w:fldChar w:fldCharType="begin" w:fldLock="1"/>
      </w:r>
      <w:r w:rsidR="001C3948">
        <w:instrText>ADDIN CSL_CITATION {"citationItems":[{"id":"ITEM-1","itemData":{"DOI":"10.1016/j.agsy.2021.103089","author":[{"dropping-particle":"","family":"Hazenbosch","given":"Mirjam","non-dropping-particle":"","parse-names":false,"suffix":""},{"dropping-particle":"","family":"Sui","given":"Shen","non-dropping-particle":"","parse-names":false,"suffix":""},{"dropping-particle":"","family":"Isua","given":"Brus","non-dropping-particle":"","parse-names":false,"suffix":""},{"dropping-particle":"","family":"Beauchamp","given":"Emilie","non-dropping-particle":"","parse-names":false,"suffix":""},{"dropping-particle":"","family":"Frouz","given":"Jan","non-dropping-particle":"","parse-names":false,"suffix":""},{"dropping-particle":"","family":"Imale","given":"Kiole","non-dropping-particle":"","parse-names":false,"suffix":""},{"dropping-particle":"","family":"Jimbudo","given":"Mavis","non-dropping-particle":"","parse-names":false,"suffix":""},{"dropping-particle":"","family":"Milner-Gulland","given":"E.J.","non-dropping-particle":"","parse-names":false,"suffix":""},{"dropping-particle":"","family":"Novotný","given":"Vojtěch","non-dropping-particle":"","parse-names":false,"suffix":""},{"dropping-particle":"","family":"Veselá","given":"Hana","non-dropping-particle":"","parse-names":false,"suffix":""},{"dropping-particle":"","family":"Morris","given":"Rebecca J.","non-dropping-particle":"","parse-names":false,"suffix":""}],"container-title":"Agricultural Systems","id":"ITEM-1","issued":{"date-parts":[["2021"]]},"title":"Using locally available fertilisers to enhance the yields of swidden farmers in Papua New Guinea","type":"article-journal","volume":"192"},"uris":["http://www.mendeley.com/documents/?uuid=19e20fb5-b1f8-4462-9206-74f9fab3c31c"]}],"mendeley":{"formattedCitation":"(Hazenbosch &lt;i&gt;et al.&lt;/i&gt;, 2021)","plainTextFormattedCitation":"(Hazenbosch et al., 2021)","previouslyFormattedCitation":"(Hazenbosch &lt;i&gt;et al.&lt;/i&gt;, 2021)"},"properties":{"noteIndex":0},"schema":"https://github.com/citation-style-language/schema/raw/master/csl-citation.json"}</w:instrText>
      </w:r>
      <w:r w:rsidR="00315105">
        <w:fldChar w:fldCharType="separate"/>
      </w:r>
      <w:r w:rsidR="00636F5B" w:rsidRPr="00636F5B">
        <w:rPr>
          <w:noProof/>
        </w:rPr>
        <w:t xml:space="preserve">(Hazenbosch </w:t>
      </w:r>
      <w:r w:rsidR="00636F5B" w:rsidRPr="00636F5B">
        <w:rPr>
          <w:i/>
          <w:noProof/>
        </w:rPr>
        <w:t>et al.</w:t>
      </w:r>
      <w:r w:rsidR="00636F5B" w:rsidRPr="00636F5B">
        <w:rPr>
          <w:noProof/>
        </w:rPr>
        <w:t>, 2021)</w:t>
      </w:r>
      <w:r w:rsidR="00315105">
        <w:fldChar w:fldCharType="end"/>
      </w:r>
      <w:r w:rsidR="00315105">
        <w:t xml:space="preserve">. </w:t>
      </w:r>
      <w:r w:rsidR="00157305">
        <w:t xml:space="preserve">The effect of mulching </w:t>
      </w:r>
      <w:r w:rsidR="00F416A3">
        <w:t xml:space="preserve">and </w:t>
      </w:r>
      <w:r w:rsidR="00157305">
        <w:t>the va</w:t>
      </w:r>
      <w:r w:rsidR="007E7CE5">
        <w:t>riety of sweet potato planted were</w:t>
      </w:r>
      <w:r w:rsidR="00157305">
        <w:t xml:space="preserve"> not researched.</w:t>
      </w:r>
    </w:p>
    <w:p w14:paraId="5EC369FA" w14:textId="7B9BA4AD" w:rsidR="00BF3919" w:rsidRDefault="00BF3919" w:rsidP="00AA6F40">
      <w:pPr>
        <w:pStyle w:val="Heading3"/>
        <w:numPr>
          <w:ilvl w:val="2"/>
          <w:numId w:val="22"/>
        </w:numPr>
      </w:pPr>
      <w:r>
        <w:lastRenderedPageBreak/>
        <w:t>Changes in farming</w:t>
      </w:r>
      <w:r w:rsidR="00273134">
        <w:t xml:space="preserve"> practices</w:t>
      </w:r>
    </w:p>
    <w:p w14:paraId="09C59103" w14:textId="77777777" w:rsidR="00BF3919" w:rsidRDefault="00BF3919" w:rsidP="00BF3919">
      <w:pPr>
        <w:pStyle w:val="NoSpacing"/>
        <w:rPr>
          <w:i/>
        </w:rPr>
      </w:pPr>
    </w:p>
    <w:p w14:paraId="7B58D6DC" w14:textId="6984531A" w:rsidR="00BF3919" w:rsidRDefault="00BF3919" w:rsidP="00BF3919">
      <w:pPr>
        <w:pStyle w:val="NoSpacing"/>
      </w:pPr>
      <w:r>
        <w:t>Before the start of the research project</w:t>
      </w:r>
      <w:r w:rsidR="00464016">
        <w:t>,</w:t>
      </w:r>
      <w:r>
        <w:t xml:space="preserve"> the researched</w:t>
      </w:r>
      <w:r w:rsidR="00DF2B76">
        <w:t xml:space="preserve"> farming</w:t>
      </w:r>
      <w:r>
        <w:t xml:space="preserve"> </w:t>
      </w:r>
      <w:r w:rsidR="00DF2B76">
        <w:t>practices</w:t>
      </w:r>
      <w:r>
        <w:t xml:space="preserve"> were not used by many farmers: 19% of farmers used </w:t>
      </w:r>
      <w:r w:rsidR="00791D98">
        <w:t>food waste</w:t>
      </w:r>
      <w:r>
        <w:t xml:space="preserve"> in their gardens, 5</w:t>
      </w:r>
      <w:r w:rsidR="00464016">
        <w:t xml:space="preserve">.3% animal manure and none </w:t>
      </w:r>
      <w:r>
        <w:t>NPK fertiliser (</w:t>
      </w:r>
      <w:r w:rsidR="00D34FFB">
        <w:t>Table 3</w:t>
      </w:r>
      <w:r>
        <w:t xml:space="preserve">). Mulching, however, was a popular practice among 72% of the farmers, especially </w:t>
      </w:r>
      <w:r w:rsidR="000C3A11">
        <w:t>women</w:t>
      </w:r>
      <w:r>
        <w:t xml:space="preserve"> (</w:t>
      </w:r>
      <w:r w:rsidR="00D34FFB">
        <w:t>Table 4</w:t>
      </w:r>
      <w:r>
        <w:t>).</w:t>
      </w:r>
      <w:r w:rsidR="00750C7E">
        <w:t xml:space="preserve"> </w:t>
      </w:r>
      <w:r>
        <w:t xml:space="preserve">There was a tendency, </w:t>
      </w:r>
      <w:r w:rsidR="00464016">
        <w:t>significant at the p</w:t>
      </w:r>
      <w:r w:rsidR="004B15C4">
        <w:t xml:space="preserve"> </w:t>
      </w:r>
      <w:r w:rsidR="00464016">
        <w:t>&lt;</w:t>
      </w:r>
      <w:r w:rsidR="004B15C4">
        <w:t xml:space="preserve"> </w:t>
      </w:r>
      <w:r>
        <w:t>0.1 le</w:t>
      </w:r>
      <w:r w:rsidR="00791D98">
        <w:t xml:space="preserve">vel, for </w:t>
      </w:r>
      <w:r w:rsidR="00BD7FDF">
        <w:t xml:space="preserve">project </w:t>
      </w:r>
      <w:r w:rsidR="00791D98">
        <w:t>garden owners to use food waste</w:t>
      </w:r>
      <w:r>
        <w:t xml:space="preserve"> and research assistants to use mulching compared to non-participants (</w:t>
      </w:r>
      <w:r w:rsidR="00D34FFB">
        <w:t>Table 4</w:t>
      </w:r>
      <w:r>
        <w:t xml:space="preserve">). </w:t>
      </w:r>
    </w:p>
    <w:p w14:paraId="650DEA0F" w14:textId="617703A4" w:rsidR="00BF3919" w:rsidRDefault="00BF3919" w:rsidP="005144A7">
      <w:pPr>
        <w:pStyle w:val="NoSpacing"/>
      </w:pPr>
      <w:r>
        <w:tab/>
      </w:r>
      <w:r w:rsidR="00EE2824">
        <w:t>F</w:t>
      </w:r>
      <w:r>
        <w:t>armers’ beha</w:t>
      </w:r>
      <w:r w:rsidR="00D22035">
        <w:t>viour changed over time (</w:t>
      </w:r>
      <w:r w:rsidR="00D34FFB">
        <w:t>Table 3</w:t>
      </w:r>
      <w:r w:rsidR="00B93C08">
        <w:t>). For</w:t>
      </w:r>
      <w:r>
        <w:t xml:space="preserve"> the researched </w:t>
      </w:r>
      <w:r w:rsidR="00643E46">
        <w:t>farming practices</w:t>
      </w:r>
      <w:r>
        <w:t xml:space="preserve">, there was a significant increase in the number of farmers who used </w:t>
      </w:r>
      <w:r w:rsidR="00791D98">
        <w:t>food waste</w:t>
      </w:r>
      <w:r>
        <w:t xml:space="preserve"> during the second survey (</w:t>
      </w:r>
      <w:r w:rsidR="00D34FFB">
        <w:t>Table 4</w:t>
      </w:r>
      <w:r>
        <w:t xml:space="preserve">). Whether people started to use </w:t>
      </w:r>
      <w:r w:rsidR="00791D98">
        <w:t>food waste</w:t>
      </w:r>
      <w:r>
        <w:t xml:space="preserve"> was not linked to their involvement in the research project, as </w:t>
      </w:r>
      <w:r w:rsidR="001B4F5F">
        <w:t xml:space="preserve">project </w:t>
      </w:r>
      <w:r>
        <w:t>garden owners and research assistants were not more or less likely to adopt these practices compared to non-participants (</w:t>
      </w:r>
      <w:r w:rsidR="00D34FFB">
        <w:t>Table 4</w:t>
      </w:r>
      <w:r>
        <w:t xml:space="preserve">). </w:t>
      </w:r>
      <w:r w:rsidR="00D07787">
        <w:t>F</w:t>
      </w:r>
      <w:r>
        <w:t xml:space="preserve">armers did not use animal manure or NPK fertiliser more often during the second survey. Farmers gave as their main reason for </w:t>
      </w:r>
      <w:r w:rsidR="00D07787">
        <w:t>this</w:t>
      </w:r>
      <w:r>
        <w:t xml:space="preserve"> that they lacked knowledge </w:t>
      </w:r>
      <w:r w:rsidR="00D07787">
        <w:t xml:space="preserve">about </w:t>
      </w:r>
      <w:r>
        <w:t xml:space="preserve">how to apply </w:t>
      </w:r>
      <w:r w:rsidR="001B39AB">
        <w:t>these</w:t>
      </w:r>
      <w:r>
        <w:t xml:space="preserve"> fertiliser</w:t>
      </w:r>
      <w:r w:rsidR="002D28E8">
        <w:t>s</w:t>
      </w:r>
      <w:r>
        <w:t>. In addition, farmers mentioned that they may not have access to animal manure or NPK fertiliser, that using these techniques was too much extra work</w:t>
      </w:r>
      <w:r w:rsidR="00D07787">
        <w:t>,</w:t>
      </w:r>
      <w:r>
        <w:t xml:space="preserve"> or that they were afraid that using these fertilisers may negatively affect their physical health.</w:t>
      </w:r>
    </w:p>
    <w:p w14:paraId="61D92E18" w14:textId="1A6B17EC" w:rsidR="00BF3919" w:rsidRDefault="00BF3919" w:rsidP="00BF3919">
      <w:pPr>
        <w:pStyle w:val="NoSpacing"/>
        <w:ind w:firstLine="720"/>
      </w:pPr>
      <w:r>
        <w:t xml:space="preserve">There was an increase in the uptake of </w:t>
      </w:r>
      <w:r w:rsidR="00067360">
        <w:t xml:space="preserve">farming </w:t>
      </w:r>
      <w:r w:rsidR="005969DF">
        <w:t>practices</w:t>
      </w:r>
      <w:r>
        <w:t xml:space="preserve"> that were not explicitly resear</w:t>
      </w:r>
      <w:r w:rsidR="00D22035">
        <w:t>ched during the project (</w:t>
      </w:r>
      <w:r w:rsidR="00D34FFB">
        <w:t>Table 3</w:t>
      </w:r>
      <w:r>
        <w:t xml:space="preserve">). Significantly more farmers started to mulch. </w:t>
      </w:r>
      <w:r w:rsidR="00D8551F">
        <w:t>Similar</w:t>
      </w:r>
      <w:r w:rsidR="00D07787">
        <w:t>ly</w:t>
      </w:r>
      <w:r w:rsidR="00D8551F">
        <w:t xml:space="preserve"> to the use of</w:t>
      </w:r>
      <w:r>
        <w:t xml:space="preserve"> </w:t>
      </w:r>
      <w:r w:rsidR="00791D98">
        <w:t>food waste</w:t>
      </w:r>
      <w:r>
        <w:t>, whether people started to mulch was not dependent on their involvement in the research project (</w:t>
      </w:r>
      <w:r w:rsidR="00D34FFB">
        <w:t>Table 4</w:t>
      </w:r>
      <w:r>
        <w:t xml:space="preserve">). Some farmers started to plant the specific variety of sweet potato that was </w:t>
      </w:r>
      <w:r w:rsidR="00BD4E64">
        <w:t xml:space="preserve">also </w:t>
      </w:r>
      <w:r>
        <w:t xml:space="preserve">planted in the experimental gardens. Research assistants were more likely </w:t>
      </w:r>
      <w:r w:rsidR="00D07787">
        <w:t>than</w:t>
      </w:r>
      <w:r>
        <w:t xml:space="preserve"> non-participants</w:t>
      </w:r>
      <w:r w:rsidR="00D07787">
        <w:t>, and women were more likely than men,</w:t>
      </w:r>
      <w:r>
        <w:t xml:space="preserve"> to start planting the project’s variety of sweet potato</w:t>
      </w:r>
      <w:r w:rsidR="00D22035">
        <w:t xml:space="preserve"> (</w:t>
      </w:r>
      <w:r w:rsidR="00D34FFB">
        <w:t>Table 4</w:t>
      </w:r>
      <w:r>
        <w:t xml:space="preserve">). </w:t>
      </w:r>
    </w:p>
    <w:p w14:paraId="63CA3718" w14:textId="263CC5A9" w:rsidR="00BF3919" w:rsidRDefault="00BF3919" w:rsidP="00BF3919">
      <w:pPr>
        <w:pStyle w:val="NoSpacing"/>
      </w:pPr>
      <w:r>
        <w:tab/>
        <w:t xml:space="preserve">All </w:t>
      </w:r>
      <w:r w:rsidR="00960916">
        <w:t xml:space="preserve">project </w:t>
      </w:r>
      <w:r>
        <w:t>garde</w:t>
      </w:r>
      <w:r w:rsidR="007D2539">
        <w:t>n owners and 13 out of 14</w:t>
      </w:r>
      <w:r>
        <w:t xml:space="preserve"> research assistants said that they had learned from the research project, which was significantly higher </w:t>
      </w:r>
      <w:r w:rsidR="005F280C">
        <w:t>than</w:t>
      </w:r>
      <w:r>
        <w:t xml:space="preserve"> non-participants. Those who had </w:t>
      </w:r>
      <w:r>
        <w:lastRenderedPageBreak/>
        <w:t xml:space="preserve">learned something said that they had learned that </w:t>
      </w:r>
      <w:r w:rsidR="00D8551F">
        <w:t>food waste</w:t>
      </w:r>
      <w:r>
        <w:t xml:space="preserve">, animal manure and NPK fertiliser can be used to enhance soil quality, and how to </w:t>
      </w:r>
      <w:r w:rsidR="00D1718C">
        <w:t>apply these fertilisers</w:t>
      </w:r>
      <w:r>
        <w:t xml:space="preserve">. Four people also mentioned that they </w:t>
      </w:r>
      <w:r w:rsidR="009137D5">
        <w:t>now knew</w:t>
      </w:r>
      <w:r>
        <w:t xml:space="preserve"> how to better manage their land. </w:t>
      </w:r>
    </w:p>
    <w:p w14:paraId="0477A07E" w14:textId="77777777" w:rsidR="008475AC" w:rsidRDefault="008475AC" w:rsidP="00BF3919">
      <w:pPr>
        <w:pStyle w:val="NoSpacing"/>
      </w:pPr>
    </w:p>
    <w:p w14:paraId="0E8D36F1" w14:textId="5688E911" w:rsidR="00BF3919" w:rsidRPr="00986D99" w:rsidRDefault="00BF3919" w:rsidP="008708CA">
      <w:r>
        <w:rPr>
          <w:b/>
        </w:rPr>
        <w:t xml:space="preserve">Table </w:t>
      </w:r>
      <w:r w:rsidR="00D22035">
        <w:rPr>
          <w:b/>
        </w:rPr>
        <w:t>3</w:t>
      </w:r>
      <w:r w:rsidR="007A4D47">
        <w:rPr>
          <w:b/>
        </w:rPr>
        <w:t xml:space="preserve"> |</w:t>
      </w:r>
      <w:r>
        <w:rPr>
          <w:b/>
        </w:rPr>
        <w:t xml:space="preserve"> </w:t>
      </w:r>
      <w:r>
        <w:t xml:space="preserve">Change in farming </w:t>
      </w:r>
      <w:r w:rsidR="00AB073B">
        <w:t>practices</w:t>
      </w:r>
      <w:r>
        <w:t xml:space="preserve">. </w:t>
      </w:r>
      <w:r w:rsidR="00D96AF9">
        <w:t>Numbers of respondents</w:t>
      </w:r>
      <w:r w:rsidR="00992E64">
        <w:t xml:space="preserve"> using a specified practice at t</w:t>
      </w:r>
      <w:r w:rsidR="00D96AF9">
        <w:t xml:space="preserve">ime 1 and </w:t>
      </w:r>
      <w:r w:rsidR="00992E64">
        <w:t>t</w:t>
      </w:r>
      <w:r w:rsidR="00D96AF9">
        <w:t>ime 2 are displayed.</w:t>
      </w:r>
      <w:r w:rsidR="00053993">
        <w:t xml:space="preserve"> </w:t>
      </w:r>
      <w:r w:rsidR="00C2218D">
        <w:t>Total s</w:t>
      </w:r>
      <w:r w:rsidR="00053993">
        <w:t>ample size</w:t>
      </w:r>
      <w:r w:rsidR="00B74F35">
        <w:t xml:space="preserve"> consisted of</w:t>
      </w:r>
      <w:r w:rsidR="00015474">
        <w:t xml:space="preserve"> 57</w:t>
      </w:r>
      <w:r w:rsidR="00B74F35">
        <w:t xml:space="preserve"> participants</w:t>
      </w:r>
      <w:r w:rsidR="0001547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50"/>
        <w:gridCol w:w="987"/>
        <w:gridCol w:w="1154"/>
        <w:gridCol w:w="1266"/>
        <w:gridCol w:w="991"/>
        <w:gridCol w:w="1079"/>
      </w:tblGrid>
      <w:tr w:rsidR="00BF3919" w14:paraId="7C6AAD4A" w14:textId="77777777" w:rsidTr="003058E3">
        <w:tc>
          <w:tcPr>
            <w:tcW w:w="2689" w:type="dxa"/>
            <w:tcBorders>
              <w:bottom w:val="single" w:sz="4" w:space="0" w:color="auto"/>
            </w:tcBorders>
            <w:shd w:val="clear" w:color="auto" w:fill="A6A6A6" w:themeFill="background1" w:themeFillShade="A6"/>
          </w:tcPr>
          <w:p w14:paraId="5A8185BA" w14:textId="77777777" w:rsidR="00BF3919" w:rsidRDefault="00BF3919" w:rsidP="00B568CF">
            <w:pPr>
              <w:pStyle w:val="NoSpacing"/>
              <w:keepNext/>
              <w:spacing w:line="360" w:lineRule="auto"/>
            </w:pPr>
          </w:p>
        </w:tc>
        <w:tc>
          <w:tcPr>
            <w:tcW w:w="1837" w:type="dxa"/>
            <w:gridSpan w:val="2"/>
            <w:tcBorders>
              <w:bottom w:val="single" w:sz="4" w:space="0" w:color="auto"/>
            </w:tcBorders>
            <w:shd w:val="clear" w:color="auto" w:fill="A6A6A6" w:themeFill="background1" w:themeFillShade="A6"/>
          </w:tcPr>
          <w:p w14:paraId="35F42A08" w14:textId="77777777" w:rsidR="00BF3919" w:rsidRPr="00E30BEE" w:rsidRDefault="00BF3919" w:rsidP="00B568CF">
            <w:pPr>
              <w:pStyle w:val="NoSpacing"/>
              <w:keepNext/>
              <w:spacing w:line="360" w:lineRule="auto"/>
              <w:jc w:val="center"/>
              <w:rPr>
                <w:b/>
              </w:rPr>
            </w:pPr>
            <w:r w:rsidRPr="00E30BEE">
              <w:rPr>
                <w:b/>
              </w:rPr>
              <w:t>Non-participants</w:t>
            </w:r>
          </w:p>
        </w:tc>
        <w:tc>
          <w:tcPr>
            <w:tcW w:w="2420" w:type="dxa"/>
            <w:gridSpan w:val="2"/>
            <w:tcBorders>
              <w:bottom w:val="single" w:sz="4" w:space="0" w:color="auto"/>
            </w:tcBorders>
            <w:shd w:val="clear" w:color="auto" w:fill="A6A6A6" w:themeFill="background1" w:themeFillShade="A6"/>
          </w:tcPr>
          <w:p w14:paraId="72FD393D" w14:textId="1F29D910" w:rsidR="00BF3919" w:rsidRPr="00E30BEE" w:rsidRDefault="0081367C" w:rsidP="00B568CF">
            <w:pPr>
              <w:pStyle w:val="NoSpacing"/>
              <w:keepNext/>
              <w:spacing w:line="360" w:lineRule="auto"/>
              <w:jc w:val="center"/>
              <w:rPr>
                <w:b/>
              </w:rPr>
            </w:pPr>
            <w:r>
              <w:rPr>
                <w:b/>
              </w:rPr>
              <w:t>Project g</w:t>
            </w:r>
            <w:r w:rsidR="00BF3919" w:rsidRPr="00E30BEE">
              <w:rPr>
                <w:b/>
              </w:rPr>
              <w:t>arden owners</w:t>
            </w:r>
          </w:p>
        </w:tc>
        <w:tc>
          <w:tcPr>
            <w:tcW w:w="2070" w:type="dxa"/>
            <w:gridSpan w:val="2"/>
            <w:tcBorders>
              <w:bottom w:val="single" w:sz="4" w:space="0" w:color="auto"/>
            </w:tcBorders>
            <w:shd w:val="clear" w:color="auto" w:fill="A6A6A6" w:themeFill="background1" w:themeFillShade="A6"/>
          </w:tcPr>
          <w:p w14:paraId="7789CC2C" w14:textId="77777777" w:rsidR="00BF3919" w:rsidRPr="00E30BEE" w:rsidRDefault="00BF3919" w:rsidP="00B568CF">
            <w:pPr>
              <w:pStyle w:val="NoSpacing"/>
              <w:keepNext/>
              <w:spacing w:line="360" w:lineRule="auto"/>
              <w:jc w:val="center"/>
              <w:rPr>
                <w:b/>
              </w:rPr>
            </w:pPr>
            <w:r w:rsidRPr="00E30BEE">
              <w:rPr>
                <w:b/>
              </w:rPr>
              <w:t>Research assistants</w:t>
            </w:r>
          </w:p>
        </w:tc>
      </w:tr>
      <w:tr w:rsidR="00BF3919" w14:paraId="0B284892" w14:textId="77777777" w:rsidTr="003058E3">
        <w:tc>
          <w:tcPr>
            <w:tcW w:w="9016" w:type="dxa"/>
            <w:gridSpan w:val="7"/>
            <w:tcBorders>
              <w:top w:val="single" w:sz="4" w:space="0" w:color="auto"/>
              <w:bottom w:val="single" w:sz="4" w:space="0" w:color="auto"/>
            </w:tcBorders>
            <w:shd w:val="clear" w:color="auto" w:fill="auto"/>
          </w:tcPr>
          <w:p w14:paraId="2386F316" w14:textId="3ADA324A" w:rsidR="00BF3919" w:rsidRDefault="00BF3919" w:rsidP="00B568CF">
            <w:pPr>
              <w:pStyle w:val="NoSpacing"/>
              <w:spacing w:line="360" w:lineRule="auto"/>
              <w:jc w:val="center"/>
            </w:pPr>
            <w:r>
              <w:rPr>
                <w:i/>
              </w:rPr>
              <w:t>Researched</w:t>
            </w:r>
            <w:r w:rsidRPr="00AB073B">
              <w:rPr>
                <w:i/>
                <w:iCs/>
              </w:rPr>
              <w:t xml:space="preserve"> </w:t>
            </w:r>
            <w:r w:rsidR="002A584C">
              <w:rPr>
                <w:i/>
                <w:iCs/>
              </w:rPr>
              <w:t xml:space="preserve">farming </w:t>
            </w:r>
            <w:r w:rsidR="00AB073B" w:rsidRPr="00AB073B">
              <w:rPr>
                <w:i/>
                <w:iCs/>
              </w:rPr>
              <w:t>practices</w:t>
            </w:r>
          </w:p>
        </w:tc>
      </w:tr>
      <w:tr w:rsidR="00BF3919" w14:paraId="7C424C03" w14:textId="77777777" w:rsidTr="009862E7">
        <w:tc>
          <w:tcPr>
            <w:tcW w:w="2689" w:type="dxa"/>
            <w:tcBorders>
              <w:top w:val="single" w:sz="4" w:space="0" w:color="auto"/>
              <w:right w:val="single" w:sz="4" w:space="0" w:color="auto"/>
            </w:tcBorders>
          </w:tcPr>
          <w:p w14:paraId="2374B7A6" w14:textId="77777777" w:rsidR="00BF3919" w:rsidRDefault="00BF3919" w:rsidP="00B568CF">
            <w:pPr>
              <w:pStyle w:val="NoSpacing"/>
              <w:spacing w:line="360" w:lineRule="auto"/>
            </w:pPr>
          </w:p>
        </w:tc>
        <w:tc>
          <w:tcPr>
            <w:tcW w:w="850" w:type="dxa"/>
            <w:tcBorders>
              <w:top w:val="single" w:sz="4" w:space="0" w:color="auto"/>
              <w:left w:val="single" w:sz="4" w:space="0" w:color="auto"/>
            </w:tcBorders>
          </w:tcPr>
          <w:p w14:paraId="4FB60E08" w14:textId="77777777" w:rsidR="00BF3919" w:rsidRPr="004A2C2D" w:rsidRDefault="00BF3919" w:rsidP="00B568CF">
            <w:pPr>
              <w:pStyle w:val="NoSpacing"/>
              <w:spacing w:line="360" w:lineRule="auto"/>
              <w:jc w:val="center"/>
              <w:rPr>
                <w:i/>
              </w:rPr>
            </w:pPr>
            <w:r w:rsidRPr="004A2C2D">
              <w:rPr>
                <w:i/>
              </w:rPr>
              <w:t>Time 1</w:t>
            </w:r>
          </w:p>
        </w:tc>
        <w:tc>
          <w:tcPr>
            <w:tcW w:w="987" w:type="dxa"/>
            <w:tcBorders>
              <w:top w:val="single" w:sz="4" w:space="0" w:color="auto"/>
              <w:right w:val="single" w:sz="4" w:space="0" w:color="auto"/>
            </w:tcBorders>
          </w:tcPr>
          <w:p w14:paraId="164521A0" w14:textId="77777777" w:rsidR="00BF3919" w:rsidRPr="004A2C2D" w:rsidRDefault="00BF3919" w:rsidP="00B568CF">
            <w:pPr>
              <w:pStyle w:val="NoSpacing"/>
              <w:spacing w:line="360" w:lineRule="auto"/>
              <w:jc w:val="center"/>
              <w:rPr>
                <w:i/>
              </w:rPr>
            </w:pPr>
            <w:r w:rsidRPr="004A2C2D">
              <w:rPr>
                <w:i/>
              </w:rPr>
              <w:t>Time 2</w:t>
            </w:r>
          </w:p>
        </w:tc>
        <w:tc>
          <w:tcPr>
            <w:tcW w:w="1154" w:type="dxa"/>
            <w:tcBorders>
              <w:top w:val="single" w:sz="4" w:space="0" w:color="auto"/>
              <w:left w:val="single" w:sz="4" w:space="0" w:color="auto"/>
            </w:tcBorders>
          </w:tcPr>
          <w:p w14:paraId="7527ACFF" w14:textId="77777777" w:rsidR="00BF3919" w:rsidRPr="004A2C2D" w:rsidRDefault="00BF3919" w:rsidP="00B568CF">
            <w:pPr>
              <w:pStyle w:val="NoSpacing"/>
              <w:spacing w:line="360" w:lineRule="auto"/>
              <w:jc w:val="center"/>
              <w:rPr>
                <w:i/>
              </w:rPr>
            </w:pPr>
            <w:r w:rsidRPr="004A2C2D">
              <w:rPr>
                <w:i/>
              </w:rPr>
              <w:t>Time 1</w:t>
            </w:r>
          </w:p>
        </w:tc>
        <w:tc>
          <w:tcPr>
            <w:tcW w:w="1266" w:type="dxa"/>
            <w:tcBorders>
              <w:top w:val="single" w:sz="4" w:space="0" w:color="auto"/>
              <w:right w:val="single" w:sz="4" w:space="0" w:color="auto"/>
            </w:tcBorders>
          </w:tcPr>
          <w:p w14:paraId="0E24A37B" w14:textId="77777777" w:rsidR="00BF3919" w:rsidRPr="004A2C2D" w:rsidRDefault="00BF3919" w:rsidP="00B568CF">
            <w:pPr>
              <w:pStyle w:val="NoSpacing"/>
              <w:spacing w:line="360" w:lineRule="auto"/>
              <w:jc w:val="center"/>
              <w:rPr>
                <w:i/>
              </w:rPr>
            </w:pPr>
            <w:r w:rsidRPr="004A2C2D">
              <w:rPr>
                <w:i/>
              </w:rPr>
              <w:t>Time 2</w:t>
            </w:r>
          </w:p>
        </w:tc>
        <w:tc>
          <w:tcPr>
            <w:tcW w:w="991" w:type="dxa"/>
            <w:tcBorders>
              <w:top w:val="single" w:sz="4" w:space="0" w:color="auto"/>
              <w:left w:val="single" w:sz="4" w:space="0" w:color="auto"/>
            </w:tcBorders>
          </w:tcPr>
          <w:p w14:paraId="2EA06E71" w14:textId="77777777" w:rsidR="00BF3919" w:rsidRPr="004A2C2D" w:rsidRDefault="00BF3919" w:rsidP="00B568CF">
            <w:pPr>
              <w:pStyle w:val="NoSpacing"/>
              <w:spacing w:line="360" w:lineRule="auto"/>
              <w:jc w:val="center"/>
              <w:rPr>
                <w:i/>
              </w:rPr>
            </w:pPr>
            <w:r w:rsidRPr="004A2C2D">
              <w:rPr>
                <w:i/>
              </w:rPr>
              <w:t>Time 1</w:t>
            </w:r>
          </w:p>
        </w:tc>
        <w:tc>
          <w:tcPr>
            <w:tcW w:w="1079" w:type="dxa"/>
            <w:tcBorders>
              <w:top w:val="single" w:sz="4" w:space="0" w:color="auto"/>
            </w:tcBorders>
          </w:tcPr>
          <w:p w14:paraId="5BB9A6D6" w14:textId="77777777" w:rsidR="00BF3919" w:rsidRPr="004A2C2D" w:rsidRDefault="00BF3919" w:rsidP="00B568CF">
            <w:pPr>
              <w:pStyle w:val="NoSpacing"/>
              <w:spacing w:line="360" w:lineRule="auto"/>
              <w:jc w:val="center"/>
              <w:rPr>
                <w:i/>
              </w:rPr>
            </w:pPr>
            <w:r w:rsidRPr="004A2C2D">
              <w:rPr>
                <w:i/>
              </w:rPr>
              <w:t>Time 2</w:t>
            </w:r>
          </w:p>
        </w:tc>
      </w:tr>
      <w:tr w:rsidR="00BF3919" w14:paraId="6D588565" w14:textId="77777777" w:rsidTr="0043111F">
        <w:tc>
          <w:tcPr>
            <w:tcW w:w="2689" w:type="dxa"/>
            <w:tcBorders>
              <w:right w:val="single" w:sz="4" w:space="0" w:color="auto"/>
            </w:tcBorders>
          </w:tcPr>
          <w:p w14:paraId="166AFAFD" w14:textId="15DF80DC" w:rsidR="00BF3919" w:rsidRPr="00D5005B" w:rsidRDefault="00D8551F" w:rsidP="00AC411C">
            <w:pPr>
              <w:pStyle w:val="NoSpacing"/>
              <w:spacing w:line="360" w:lineRule="auto"/>
              <w:jc w:val="center"/>
            </w:pPr>
            <w:r w:rsidRPr="00D5005B">
              <w:t>Food waste</w:t>
            </w:r>
          </w:p>
        </w:tc>
        <w:tc>
          <w:tcPr>
            <w:tcW w:w="850" w:type="dxa"/>
            <w:tcBorders>
              <w:left w:val="single" w:sz="4" w:space="0" w:color="auto"/>
            </w:tcBorders>
          </w:tcPr>
          <w:p w14:paraId="212B84F8" w14:textId="77777777" w:rsidR="00BF3919" w:rsidRDefault="00BF3919" w:rsidP="00B568CF">
            <w:pPr>
              <w:pStyle w:val="NoSpacing"/>
              <w:spacing w:line="360" w:lineRule="auto"/>
              <w:jc w:val="center"/>
            </w:pPr>
            <w:r>
              <w:t>4</w:t>
            </w:r>
          </w:p>
        </w:tc>
        <w:tc>
          <w:tcPr>
            <w:tcW w:w="987" w:type="dxa"/>
            <w:tcBorders>
              <w:right w:val="single" w:sz="4" w:space="0" w:color="auto"/>
            </w:tcBorders>
          </w:tcPr>
          <w:p w14:paraId="1D98D565" w14:textId="77777777" w:rsidR="00BF3919" w:rsidRDefault="00BF3919" w:rsidP="00B568CF">
            <w:pPr>
              <w:pStyle w:val="NoSpacing"/>
              <w:spacing w:line="360" w:lineRule="auto"/>
              <w:jc w:val="center"/>
            </w:pPr>
            <w:r>
              <w:t>14</w:t>
            </w:r>
          </w:p>
        </w:tc>
        <w:tc>
          <w:tcPr>
            <w:tcW w:w="1154" w:type="dxa"/>
            <w:tcBorders>
              <w:left w:val="single" w:sz="4" w:space="0" w:color="auto"/>
            </w:tcBorders>
          </w:tcPr>
          <w:p w14:paraId="0B3F391E" w14:textId="77777777" w:rsidR="00BF3919" w:rsidRDefault="00BF3919" w:rsidP="00B568CF">
            <w:pPr>
              <w:pStyle w:val="NoSpacing"/>
              <w:spacing w:line="360" w:lineRule="auto"/>
              <w:jc w:val="center"/>
            </w:pPr>
            <w:r>
              <w:t>4</w:t>
            </w:r>
          </w:p>
        </w:tc>
        <w:tc>
          <w:tcPr>
            <w:tcW w:w="1266" w:type="dxa"/>
            <w:tcBorders>
              <w:right w:val="single" w:sz="4" w:space="0" w:color="auto"/>
            </w:tcBorders>
          </w:tcPr>
          <w:p w14:paraId="137EFAEF" w14:textId="77777777" w:rsidR="00BF3919" w:rsidRDefault="00BF3919" w:rsidP="00B568CF">
            <w:pPr>
              <w:pStyle w:val="NoSpacing"/>
              <w:spacing w:line="360" w:lineRule="auto"/>
              <w:jc w:val="center"/>
            </w:pPr>
            <w:r>
              <w:t>5</w:t>
            </w:r>
          </w:p>
        </w:tc>
        <w:tc>
          <w:tcPr>
            <w:tcW w:w="991" w:type="dxa"/>
            <w:tcBorders>
              <w:left w:val="single" w:sz="4" w:space="0" w:color="auto"/>
            </w:tcBorders>
          </w:tcPr>
          <w:p w14:paraId="096D5DCC" w14:textId="77777777" w:rsidR="00BF3919" w:rsidRDefault="00BF3919" w:rsidP="00B568CF">
            <w:pPr>
              <w:pStyle w:val="NoSpacing"/>
              <w:spacing w:line="360" w:lineRule="auto"/>
              <w:jc w:val="center"/>
            </w:pPr>
            <w:r>
              <w:t>3</w:t>
            </w:r>
          </w:p>
        </w:tc>
        <w:tc>
          <w:tcPr>
            <w:tcW w:w="1079" w:type="dxa"/>
          </w:tcPr>
          <w:p w14:paraId="43B40CB6" w14:textId="77777777" w:rsidR="00BF3919" w:rsidRDefault="00BF3919" w:rsidP="00B568CF">
            <w:pPr>
              <w:pStyle w:val="NoSpacing"/>
              <w:spacing w:line="360" w:lineRule="auto"/>
              <w:jc w:val="center"/>
            </w:pPr>
            <w:r>
              <w:t>3</w:t>
            </w:r>
          </w:p>
        </w:tc>
      </w:tr>
      <w:tr w:rsidR="00BF3919" w14:paraId="6493CF03" w14:textId="77777777" w:rsidTr="0043111F">
        <w:tc>
          <w:tcPr>
            <w:tcW w:w="2689" w:type="dxa"/>
            <w:tcBorders>
              <w:right w:val="single" w:sz="4" w:space="0" w:color="auto"/>
            </w:tcBorders>
          </w:tcPr>
          <w:p w14:paraId="78026761" w14:textId="77777777" w:rsidR="00BF3919" w:rsidRPr="00D5005B" w:rsidRDefault="00BF3919" w:rsidP="00AC411C">
            <w:pPr>
              <w:pStyle w:val="NoSpacing"/>
              <w:spacing w:line="360" w:lineRule="auto"/>
              <w:jc w:val="center"/>
            </w:pPr>
            <w:r w:rsidRPr="00D5005B">
              <w:t>Animal manure</w:t>
            </w:r>
          </w:p>
        </w:tc>
        <w:tc>
          <w:tcPr>
            <w:tcW w:w="850" w:type="dxa"/>
            <w:tcBorders>
              <w:left w:val="single" w:sz="4" w:space="0" w:color="auto"/>
            </w:tcBorders>
          </w:tcPr>
          <w:p w14:paraId="0F44DF77" w14:textId="77777777" w:rsidR="00BF3919" w:rsidRDefault="00BF3919" w:rsidP="00B568CF">
            <w:pPr>
              <w:pStyle w:val="NoSpacing"/>
              <w:spacing w:line="360" w:lineRule="auto"/>
              <w:jc w:val="center"/>
            </w:pPr>
            <w:r>
              <w:t>0</w:t>
            </w:r>
          </w:p>
        </w:tc>
        <w:tc>
          <w:tcPr>
            <w:tcW w:w="987" w:type="dxa"/>
            <w:tcBorders>
              <w:right w:val="single" w:sz="4" w:space="0" w:color="auto"/>
            </w:tcBorders>
          </w:tcPr>
          <w:p w14:paraId="603D8902" w14:textId="77777777" w:rsidR="00BF3919" w:rsidRDefault="00BF3919" w:rsidP="00B568CF">
            <w:pPr>
              <w:pStyle w:val="NoSpacing"/>
              <w:spacing w:line="360" w:lineRule="auto"/>
              <w:jc w:val="center"/>
            </w:pPr>
            <w:r>
              <w:t>6</w:t>
            </w:r>
          </w:p>
        </w:tc>
        <w:tc>
          <w:tcPr>
            <w:tcW w:w="1154" w:type="dxa"/>
            <w:tcBorders>
              <w:left w:val="single" w:sz="4" w:space="0" w:color="auto"/>
            </w:tcBorders>
          </w:tcPr>
          <w:p w14:paraId="33BDF515" w14:textId="77777777" w:rsidR="00BF3919" w:rsidRDefault="00BF3919" w:rsidP="00B568CF">
            <w:pPr>
              <w:pStyle w:val="NoSpacing"/>
              <w:spacing w:line="360" w:lineRule="auto"/>
              <w:jc w:val="center"/>
            </w:pPr>
            <w:r>
              <w:t>2</w:t>
            </w:r>
          </w:p>
        </w:tc>
        <w:tc>
          <w:tcPr>
            <w:tcW w:w="1266" w:type="dxa"/>
            <w:tcBorders>
              <w:right w:val="single" w:sz="4" w:space="0" w:color="auto"/>
            </w:tcBorders>
          </w:tcPr>
          <w:p w14:paraId="196FFAED" w14:textId="77777777" w:rsidR="00BF3919" w:rsidRDefault="00BF3919" w:rsidP="00B568CF">
            <w:pPr>
              <w:pStyle w:val="NoSpacing"/>
              <w:spacing w:line="360" w:lineRule="auto"/>
              <w:jc w:val="center"/>
            </w:pPr>
            <w:r>
              <w:t>1</w:t>
            </w:r>
          </w:p>
        </w:tc>
        <w:tc>
          <w:tcPr>
            <w:tcW w:w="991" w:type="dxa"/>
            <w:tcBorders>
              <w:left w:val="single" w:sz="4" w:space="0" w:color="auto"/>
            </w:tcBorders>
          </w:tcPr>
          <w:p w14:paraId="77FA16D5" w14:textId="77777777" w:rsidR="00BF3919" w:rsidRDefault="00BF3919" w:rsidP="00B568CF">
            <w:pPr>
              <w:pStyle w:val="NoSpacing"/>
              <w:spacing w:line="360" w:lineRule="auto"/>
              <w:jc w:val="center"/>
            </w:pPr>
            <w:r>
              <w:t>1</w:t>
            </w:r>
          </w:p>
        </w:tc>
        <w:tc>
          <w:tcPr>
            <w:tcW w:w="1079" w:type="dxa"/>
          </w:tcPr>
          <w:p w14:paraId="504AE72F" w14:textId="77777777" w:rsidR="00BF3919" w:rsidRDefault="00BF3919" w:rsidP="00B568CF">
            <w:pPr>
              <w:pStyle w:val="NoSpacing"/>
              <w:spacing w:line="360" w:lineRule="auto"/>
              <w:jc w:val="center"/>
            </w:pPr>
            <w:r>
              <w:t>1</w:t>
            </w:r>
          </w:p>
        </w:tc>
      </w:tr>
      <w:tr w:rsidR="00BF3919" w14:paraId="63B98137" w14:textId="77777777" w:rsidTr="00EF7185">
        <w:tc>
          <w:tcPr>
            <w:tcW w:w="2689" w:type="dxa"/>
            <w:tcBorders>
              <w:bottom w:val="single" w:sz="4" w:space="0" w:color="auto"/>
              <w:right w:val="single" w:sz="4" w:space="0" w:color="auto"/>
            </w:tcBorders>
          </w:tcPr>
          <w:p w14:paraId="1579973C" w14:textId="77777777" w:rsidR="00BF3919" w:rsidRPr="00D5005B" w:rsidRDefault="00BF3919" w:rsidP="00AC411C">
            <w:pPr>
              <w:pStyle w:val="NoSpacing"/>
              <w:spacing w:line="360" w:lineRule="auto"/>
              <w:jc w:val="center"/>
            </w:pPr>
            <w:r w:rsidRPr="00D5005B">
              <w:t>NPK fertiliser</w:t>
            </w:r>
          </w:p>
        </w:tc>
        <w:tc>
          <w:tcPr>
            <w:tcW w:w="850" w:type="dxa"/>
            <w:tcBorders>
              <w:left w:val="single" w:sz="4" w:space="0" w:color="auto"/>
              <w:bottom w:val="single" w:sz="4" w:space="0" w:color="auto"/>
            </w:tcBorders>
          </w:tcPr>
          <w:p w14:paraId="74AB96E9" w14:textId="77777777" w:rsidR="00BF3919" w:rsidRDefault="00BF3919" w:rsidP="00B568CF">
            <w:pPr>
              <w:pStyle w:val="NoSpacing"/>
              <w:spacing w:line="360" w:lineRule="auto"/>
              <w:jc w:val="center"/>
            </w:pPr>
            <w:r>
              <w:t>0</w:t>
            </w:r>
          </w:p>
        </w:tc>
        <w:tc>
          <w:tcPr>
            <w:tcW w:w="987" w:type="dxa"/>
            <w:tcBorders>
              <w:bottom w:val="single" w:sz="4" w:space="0" w:color="auto"/>
              <w:right w:val="single" w:sz="4" w:space="0" w:color="auto"/>
            </w:tcBorders>
          </w:tcPr>
          <w:p w14:paraId="75C958BC" w14:textId="77777777" w:rsidR="00BF3919" w:rsidRDefault="00BF3919" w:rsidP="00B568CF">
            <w:pPr>
              <w:pStyle w:val="NoSpacing"/>
              <w:spacing w:line="360" w:lineRule="auto"/>
              <w:jc w:val="center"/>
            </w:pPr>
            <w:r>
              <w:t>0</w:t>
            </w:r>
          </w:p>
        </w:tc>
        <w:tc>
          <w:tcPr>
            <w:tcW w:w="1154" w:type="dxa"/>
            <w:tcBorders>
              <w:left w:val="single" w:sz="4" w:space="0" w:color="auto"/>
              <w:bottom w:val="single" w:sz="4" w:space="0" w:color="auto"/>
            </w:tcBorders>
          </w:tcPr>
          <w:p w14:paraId="485E1A4F" w14:textId="77777777" w:rsidR="00BF3919" w:rsidRDefault="00BF3919" w:rsidP="00B568CF">
            <w:pPr>
              <w:pStyle w:val="NoSpacing"/>
              <w:spacing w:line="360" w:lineRule="auto"/>
              <w:jc w:val="center"/>
            </w:pPr>
            <w:r>
              <w:t>0</w:t>
            </w:r>
          </w:p>
        </w:tc>
        <w:tc>
          <w:tcPr>
            <w:tcW w:w="1266" w:type="dxa"/>
            <w:tcBorders>
              <w:bottom w:val="single" w:sz="4" w:space="0" w:color="auto"/>
              <w:right w:val="single" w:sz="4" w:space="0" w:color="auto"/>
            </w:tcBorders>
          </w:tcPr>
          <w:p w14:paraId="5D2425D5" w14:textId="77777777" w:rsidR="00BF3919" w:rsidRDefault="00BF3919" w:rsidP="00B568CF">
            <w:pPr>
              <w:pStyle w:val="NoSpacing"/>
              <w:spacing w:line="360" w:lineRule="auto"/>
              <w:jc w:val="center"/>
            </w:pPr>
            <w:r>
              <w:t>0</w:t>
            </w:r>
          </w:p>
        </w:tc>
        <w:tc>
          <w:tcPr>
            <w:tcW w:w="991" w:type="dxa"/>
            <w:tcBorders>
              <w:left w:val="single" w:sz="4" w:space="0" w:color="auto"/>
              <w:bottom w:val="single" w:sz="4" w:space="0" w:color="auto"/>
            </w:tcBorders>
          </w:tcPr>
          <w:p w14:paraId="4ECC541D" w14:textId="77777777" w:rsidR="00BF3919" w:rsidRDefault="00BF3919" w:rsidP="00B568CF">
            <w:pPr>
              <w:pStyle w:val="NoSpacing"/>
              <w:spacing w:line="360" w:lineRule="auto"/>
              <w:jc w:val="center"/>
            </w:pPr>
            <w:r>
              <w:t>0</w:t>
            </w:r>
          </w:p>
        </w:tc>
        <w:tc>
          <w:tcPr>
            <w:tcW w:w="1079" w:type="dxa"/>
            <w:tcBorders>
              <w:bottom w:val="single" w:sz="4" w:space="0" w:color="auto"/>
            </w:tcBorders>
          </w:tcPr>
          <w:p w14:paraId="0FC3C06B" w14:textId="77777777" w:rsidR="00BF3919" w:rsidRDefault="00BF3919" w:rsidP="00B568CF">
            <w:pPr>
              <w:pStyle w:val="NoSpacing"/>
              <w:spacing w:line="360" w:lineRule="auto"/>
              <w:jc w:val="center"/>
            </w:pPr>
            <w:r>
              <w:t>1</w:t>
            </w:r>
          </w:p>
        </w:tc>
      </w:tr>
      <w:tr w:rsidR="00BF3919" w14:paraId="168CC6A6" w14:textId="77777777" w:rsidTr="00EF7185">
        <w:tc>
          <w:tcPr>
            <w:tcW w:w="9016" w:type="dxa"/>
            <w:gridSpan w:val="7"/>
            <w:tcBorders>
              <w:top w:val="single" w:sz="4" w:space="0" w:color="auto"/>
              <w:bottom w:val="single" w:sz="4" w:space="0" w:color="auto"/>
            </w:tcBorders>
            <w:shd w:val="clear" w:color="auto" w:fill="auto"/>
          </w:tcPr>
          <w:p w14:paraId="5E9F0B99" w14:textId="452021FD" w:rsidR="00BF3919" w:rsidRPr="00B568CF" w:rsidRDefault="000A5B10" w:rsidP="00AC411C">
            <w:pPr>
              <w:pStyle w:val="NoSpacing"/>
              <w:spacing w:line="360" w:lineRule="auto"/>
              <w:jc w:val="center"/>
              <w:rPr>
                <w:i/>
              </w:rPr>
            </w:pPr>
            <w:r>
              <w:rPr>
                <w:i/>
              </w:rPr>
              <w:t>Un</w:t>
            </w:r>
            <w:r w:rsidR="00BF3919" w:rsidRPr="00B568CF">
              <w:rPr>
                <w:i/>
              </w:rPr>
              <w:t xml:space="preserve">researched </w:t>
            </w:r>
            <w:r w:rsidR="00114C4D">
              <w:rPr>
                <w:i/>
              </w:rPr>
              <w:t xml:space="preserve">farming </w:t>
            </w:r>
            <w:r w:rsidR="001B3D96" w:rsidRPr="001B3D96">
              <w:rPr>
                <w:i/>
                <w:iCs/>
              </w:rPr>
              <w:t>practices</w:t>
            </w:r>
          </w:p>
        </w:tc>
      </w:tr>
      <w:tr w:rsidR="00BF3919" w14:paraId="3CA15FBD" w14:textId="77777777" w:rsidTr="009862E7">
        <w:tc>
          <w:tcPr>
            <w:tcW w:w="2689" w:type="dxa"/>
            <w:tcBorders>
              <w:top w:val="single" w:sz="4" w:space="0" w:color="auto"/>
              <w:right w:val="single" w:sz="4" w:space="0" w:color="auto"/>
            </w:tcBorders>
          </w:tcPr>
          <w:p w14:paraId="31AD8E85" w14:textId="77777777" w:rsidR="00BF3919" w:rsidRPr="00D5005B" w:rsidRDefault="00BF3919" w:rsidP="00AC411C">
            <w:pPr>
              <w:pStyle w:val="NoSpacing"/>
              <w:spacing w:line="360" w:lineRule="auto"/>
              <w:jc w:val="center"/>
            </w:pPr>
            <w:r w:rsidRPr="00D5005B">
              <w:t>Mulching</w:t>
            </w:r>
          </w:p>
        </w:tc>
        <w:tc>
          <w:tcPr>
            <w:tcW w:w="850" w:type="dxa"/>
            <w:tcBorders>
              <w:top w:val="single" w:sz="4" w:space="0" w:color="auto"/>
              <w:left w:val="single" w:sz="4" w:space="0" w:color="auto"/>
            </w:tcBorders>
          </w:tcPr>
          <w:p w14:paraId="6A415157" w14:textId="77777777" w:rsidR="00BF3919" w:rsidRDefault="00BF3919" w:rsidP="00B568CF">
            <w:pPr>
              <w:pStyle w:val="NoSpacing"/>
              <w:spacing w:line="360" w:lineRule="auto"/>
              <w:jc w:val="center"/>
            </w:pPr>
            <w:r>
              <w:t>21</w:t>
            </w:r>
          </w:p>
        </w:tc>
        <w:tc>
          <w:tcPr>
            <w:tcW w:w="987" w:type="dxa"/>
            <w:tcBorders>
              <w:top w:val="single" w:sz="4" w:space="0" w:color="auto"/>
              <w:right w:val="single" w:sz="4" w:space="0" w:color="auto"/>
            </w:tcBorders>
          </w:tcPr>
          <w:p w14:paraId="66DA6C51" w14:textId="77777777" w:rsidR="00BF3919" w:rsidRDefault="00BF3919" w:rsidP="00B568CF">
            <w:pPr>
              <w:pStyle w:val="NoSpacing"/>
              <w:spacing w:line="360" w:lineRule="auto"/>
              <w:jc w:val="center"/>
            </w:pPr>
            <w:r>
              <w:t>28</w:t>
            </w:r>
          </w:p>
        </w:tc>
        <w:tc>
          <w:tcPr>
            <w:tcW w:w="1154" w:type="dxa"/>
            <w:tcBorders>
              <w:top w:val="single" w:sz="4" w:space="0" w:color="auto"/>
              <w:left w:val="single" w:sz="4" w:space="0" w:color="auto"/>
            </w:tcBorders>
          </w:tcPr>
          <w:p w14:paraId="647A46FA" w14:textId="77777777" w:rsidR="00BF3919" w:rsidRDefault="00BF3919" w:rsidP="00B568CF">
            <w:pPr>
              <w:pStyle w:val="NoSpacing"/>
              <w:spacing w:line="360" w:lineRule="auto"/>
              <w:jc w:val="center"/>
            </w:pPr>
            <w:r>
              <w:t>9</w:t>
            </w:r>
          </w:p>
        </w:tc>
        <w:tc>
          <w:tcPr>
            <w:tcW w:w="1266" w:type="dxa"/>
            <w:tcBorders>
              <w:top w:val="single" w:sz="4" w:space="0" w:color="auto"/>
              <w:right w:val="single" w:sz="4" w:space="0" w:color="auto"/>
            </w:tcBorders>
          </w:tcPr>
          <w:p w14:paraId="4201BFB5" w14:textId="77777777" w:rsidR="00BF3919" w:rsidRDefault="00BF3919" w:rsidP="00B568CF">
            <w:pPr>
              <w:pStyle w:val="NoSpacing"/>
              <w:spacing w:line="360" w:lineRule="auto"/>
              <w:jc w:val="center"/>
            </w:pPr>
            <w:r>
              <w:t>8</w:t>
            </w:r>
          </w:p>
        </w:tc>
        <w:tc>
          <w:tcPr>
            <w:tcW w:w="991" w:type="dxa"/>
            <w:tcBorders>
              <w:top w:val="single" w:sz="4" w:space="0" w:color="auto"/>
              <w:left w:val="single" w:sz="4" w:space="0" w:color="auto"/>
            </w:tcBorders>
          </w:tcPr>
          <w:p w14:paraId="58246941" w14:textId="77777777" w:rsidR="00BF3919" w:rsidRDefault="00BF3919" w:rsidP="00B568CF">
            <w:pPr>
              <w:pStyle w:val="NoSpacing"/>
              <w:spacing w:line="360" w:lineRule="auto"/>
              <w:jc w:val="center"/>
            </w:pPr>
            <w:r>
              <w:t>11</w:t>
            </w:r>
          </w:p>
        </w:tc>
        <w:tc>
          <w:tcPr>
            <w:tcW w:w="1079" w:type="dxa"/>
            <w:tcBorders>
              <w:top w:val="single" w:sz="4" w:space="0" w:color="auto"/>
            </w:tcBorders>
          </w:tcPr>
          <w:p w14:paraId="07E6CF0A" w14:textId="77777777" w:rsidR="00BF3919" w:rsidRDefault="00BF3919" w:rsidP="00B568CF">
            <w:pPr>
              <w:pStyle w:val="NoSpacing"/>
              <w:spacing w:line="360" w:lineRule="auto"/>
              <w:jc w:val="center"/>
            </w:pPr>
            <w:r>
              <w:t>13</w:t>
            </w:r>
          </w:p>
        </w:tc>
      </w:tr>
      <w:tr w:rsidR="00BF3919" w14:paraId="1135AF5E" w14:textId="77777777" w:rsidTr="00EF7185">
        <w:tc>
          <w:tcPr>
            <w:tcW w:w="2689" w:type="dxa"/>
            <w:tcBorders>
              <w:bottom w:val="single" w:sz="4" w:space="0" w:color="auto"/>
              <w:right w:val="single" w:sz="4" w:space="0" w:color="auto"/>
            </w:tcBorders>
          </w:tcPr>
          <w:p w14:paraId="15E2BCD7" w14:textId="77777777" w:rsidR="00BF3919" w:rsidRPr="00D5005B" w:rsidRDefault="00BF3919" w:rsidP="00AC411C">
            <w:pPr>
              <w:pStyle w:val="NoSpacing"/>
              <w:spacing w:line="360" w:lineRule="auto"/>
              <w:jc w:val="center"/>
            </w:pPr>
            <w:r w:rsidRPr="00D5005B">
              <w:t>Variety</w:t>
            </w:r>
          </w:p>
        </w:tc>
        <w:tc>
          <w:tcPr>
            <w:tcW w:w="850" w:type="dxa"/>
            <w:tcBorders>
              <w:left w:val="single" w:sz="4" w:space="0" w:color="auto"/>
              <w:bottom w:val="single" w:sz="4" w:space="0" w:color="auto"/>
            </w:tcBorders>
          </w:tcPr>
          <w:p w14:paraId="36733C27" w14:textId="30A36779" w:rsidR="00BF3919" w:rsidRDefault="00BF3919" w:rsidP="00B568CF">
            <w:pPr>
              <w:pStyle w:val="NoSpacing"/>
              <w:spacing w:line="360" w:lineRule="auto"/>
              <w:jc w:val="center"/>
            </w:pPr>
          </w:p>
        </w:tc>
        <w:tc>
          <w:tcPr>
            <w:tcW w:w="987" w:type="dxa"/>
            <w:tcBorders>
              <w:bottom w:val="single" w:sz="4" w:space="0" w:color="auto"/>
              <w:right w:val="single" w:sz="4" w:space="0" w:color="auto"/>
            </w:tcBorders>
          </w:tcPr>
          <w:p w14:paraId="7DD778E9" w14:textId="77777777" w:rsidR="00BF3919" w:rsidRDefault="00BF3919" w:rsidP="00B568CF">
            <w:pPr>
              <w:pStyle w:val="NoSpacing"/>
              <w:spacing w:line="360" w:lineRule="auto"/>
              <w:jc w:val="center"/>
            </w:pPr>
            <w:r>
              <w:t>2</w:t>
            </w:r>
          </w:p>
        </w:tc>
        <w:tc>
          <w:tcPr>
            <w:tcW w:w="1154" w:type="dxa"/>
            <w:tcBorders>
              <w:left w:val="single" w:sz="4" w:space="0" w:color="auto"/>
              <w:bottom w:val="single" w:sz="4" w:space="0" w:color="auto"/>
            </w:tcBorders>
          </w:tcPr>
          <w:p w14:paraId="4E466D31" w14:textId="23DF1D12" w:rsidR="00BF3919" w:rsidRDefault="00BF3919" w:rsidP="00B568CF">
            <w:pPr>
              <w:pStyle w:val="NoSpacing"/>
              <w:spacing w:line="360" w:lineRule="auto"/>
              <w:jc w:val="center"/>
            </w:pPr>
          </w:p>
        </w:tc>
        <w:tc>
          <w:tcPr>
            <w:tcW w:w="1266" w:type="dxa"/>
            <w:tcBorders>
              <w:bottom w:val="single" w:sz="4" w:space="0" w:color="auto"/>
              <w:right w:val="single" w:sz="4" w:space="0" w:color="auto"/>
            </w:tcBorders>
          </w:tcPr>
          <w:p w14:paraId="7ED7D607" w14:textId="77777777" w:rsidR="00BF3919" w:rsidRDefault="00BF3919" w:rsidP="00B568CF">
            <w:pPr>
              <w:pStyle w:val="NoSpacing"/>
              <w:spacing w:line="360" w:lineRule="auto"/>
              <w:jc w:val="center"/>
            </w:pPr>
            <w:r>
              <w:t>1</w:t>
            </w:r>
          </w:p>
        </w:tc>
        <w:tc>
          <w:tcPr>
            <w:tcW w:w="991" w:type="dxa"/>
            <w:tcBorders>
              <w:left w:val="single" w:sz="4" w:space="0" w:color="auto"/>
              <w:bottom w:val="single" w:sz="4" w:space="0" w:color="auto"/>
            </w:tcBorders>
          </w:tcPr>
          <w:p w14:paraId="393AB398" w14:textId="350A7DCB" w:rsidR="00BF3919" w:rsidRDefault="00BF3919" w:rsidP="00B568CF">
            <w:pPr>
              <w:pStyle w:val="NoSpacing"/>
              <w:spacing w:line="360" w:lineRule="auto"/>
              <w:jc w:val="center"/>
            </w:pPr>
          </w:p>
        </w:tc>
        <w:tc>
          <w:tcPr>
            <w:tcW w:w="1079" w:type="dxa"/>
            <w:tcBorders>
              <w:bottom w:val="single" w:sz="4" w:space="0" w:color="auto"/>
            </w:tcBorders>
          </w:tcPr>
          <w:p w14:paraId="1C089B2C" w14:textId="77777777" w:rsidR="00BF3919" w:rsidRDefault="00BF3919" w:rsidP="00B568CF">
            <w:pPr>
              <w:pStyle w:val="NoSpacing"/>
              <w:spacing w:line="360" w:lineRule="auto"/>
              <w:jc w:val="center"/>
            </w:pPr>
            <w:r>
              <w:t>5</w:t>
            </w:r>
          </w:p>
        </w:tc>
      </w:tr>
      <w:tr w:rsidR="00BF3919" w14:paraId="26BB5905" w14:textId="77777777" w:rsidTr="00EF7185">
        <w:tc>
          <w:tcPr>
            <w:tcW w:w="9016" w:type="dxa"/>
            <w:gridSpan w:val="7"/>
            <w:tcBorders>
              <w:top w:val="single" w:sz="4" w:space="0" w:color="auto"/>
              <w:bottom w:val="single" w:sz="4" w:space="0" w:color="auto"/>
            </w:tcBorders>
            <w:shd w:val="clear" w:color="auto" w:fill="auto"/>
          </w:tcPr>
          <w:p w14:paraId="53956E75" w14:textId="77777777" w:rsidR="00BF3919" w:rsidRPr="00B568CF" w:rsidRDefault="00BF3919" w:rsidP="00AC411C">
            <w:pPr>
              <w:pStyle w:val="NoSpacing"/>
              <w:spacing w:line="360" w:lineRule="auto"/>
              <w:jc w:val="center"/>
              <w:rPr>
                <w:i/>
              </w:rPr>
            </w:pPr>
            <w:r w:rsidRPr="00B568CF">
              <w:rPr>
                <w:i/>
              </w:rPr>
              <w:t>Information dissemination</w:t>
            </w:r>
          </w:p>
        </w:tc>
      </w:tr>
      <w:tr w:rsidR="00BF3919" w14:paraId="65812A31" w14:textId="77777777" w:rsidTr="009862E7">
        <w:tc>
          <w:tcPr>
            <w:tcW w:w="2689" w:type="dxa"/>
            <w:tcBorders>
              <w:top w:val="single" w:sz="4" w:space="0" w:color="auto"/>
              <w:right w:val="single" w:sz="4" w:space="0" w:color="auto"/>
            </w:tcBorders>
          </w:tcPr>
          <w:p w14:paraId="7C52D879" w14:textId="77777777" w:rsidR="00BF3919" w:rsidRPr="00D5005B" w:rsidRDefault="00BF3919" w:rsidP="00AC411C">
            <w:pPr>
              <w:pStyle w:val="NoSpacing"/>
              <w:spacing w:line="360" w:lineRule="auto"/>
              <w:jc w:val="center"/>
            </w:pPr>
            <w:r w:rsidRPr="00D5005B">
              <w:t>Learned</w:t>
            </w:r>
          </w:p>
        </w:tc>
        <w:tc>
          <w:tcPr>
            <w:tcW w:w="850" w:type="dxa"/>
            <w:tcBorders>
              <w:top w:val="single" w:sz="4" w:space="0" w:color="auto"/>
              <w:left w:val="single" w:sz="4" w:space="0" w:color="auto"/>
            </w:tcBorders>
          </w:tcPr>
          <w:p w14:paraId="11479AFD" w14:textId="5DF1E8CC" w:rsidR="00BF3919" w:rsidRDefault="00BF3919" w:rsidP="00B568CF">
            <w:pPr>
              <w:pStyle w:val="NoSpacing"/>
              <w:spacing w:line="360" w:lineRule="auto"/>
              <w:jc w:val="center"/>
            </w:pPr>
          </w:p>
        </w:tc>
        <w:tc>
          <w:tcPr>
            <w:tcW w:w="987" w:type="dxa"/>
            <w:tcBorders>
              <w:top w:val="single" w:sz="4" w:space="0" w:color="auto"/>
              <w:right w:val="single" w:sz="4" w:space="0" w:color="auto"/>
            </w:tcBorders>
          </w:tcPr>
          <w:p w14:paraId="0311874C" w14:textId="77777777" w:rsidR="00BF3919" w:rsidRDefault="00BF3919" w:rsidP="00B568CF">
            <w:pPr>
              <w:pStyle w:val="NoSpacing"/>
              <w:spacing w:line="360" w:lineRule="auto"/>
              <w:jc w:val="center"/>
            </w:pPr>
            <w:r>
              <w:t>7</w:t>
            </w:r>
          </w:p>
        </w:tc>
        <w:tc>
          <w:tcPr>
            <w:tcW w:w="1154" w:type="dxa"/>
            <w:tcBorders>
              <w:top w:val="single" w:sz="4" w:space="0" w:color="auto"/>
              <w:left w:val="single" w:sz="4" w:space="0" w:color="auto"/>
            </w:tcBorders>
          </w:tcPr>
          <w:p w14:paraId="5280289A" w14:textId="390C23E3" w:rsidR="00BF3919" w:rsidRDefault="00BF3919" w:rsidP="00B568CF">
            <w:pPr>
              <w:pStyle w:val="NoSpacing"/>
              <w:spacing w:line="360" w:lineRule="auto"/>
              <w:jc w:val="center"/>
            </w:pPr>
          </w:p>
        </w:tc>
        <w:tc>
          <w:tcPr>
            <w:tcW w:w="1266" w:type="dxa"/>
            <w:tcBorders>
              <w:top w:val="single" w:sz="4" w:space="0" w:color="auto"/>
              <w:right w:val="single" w:sz="4" w:space="0" w:color="auto"/>
            </w:tcBorders>
          </w:tcPr>
          <w:p w14:paraId="19A28C6B" w14:textId="77777777" w:rsidR="00BF3919" w:rsidRDefault="00BF3919" w:rsidP="00B568CF">
            <w:pPr>
              <w:pStyle w:val="NoSpacing"/>
              <w:spacing w:line="360" w:lineRule="auto"/>
              <w:jc w:val="center"/>
            </w:pPr>
            <w:r>
              <w:t>10</w:t>
            </w:r>
          </w:p>
        </w:tc>
        <w:tc>
          <w:tcPr>
            <w:tcW w:w="991" w:type="dxa"/>
            <w:tcBorders>
              <w:top w:val="single" w:sz="4" w:space="0" w:color="auto"/>
              <w:left w:val="single" w:sz="4" w:space="0" w:color="auto"/>
            </w:tcBorders>
          </w:tcPr>
          <w:p w14:paraId="0BF1A1A4" w14:textId="46119263" w:rsidR="00BF3919" w:rsidRDefault="00BF3919" w:rsidP="00B568CF">
            <w:pPr>
              <w:pStyle w:val="NoSpacing"/>
              <w:spacing w:line="360" w:lineRule="auto"/>
              <w:jc w:val="center"/>
            </w:pPr>
          </w:p>
        </w:tc>
        <w:tc>
          <w:tcPr>
            <w:tcW w:w="1079" w:type="dxa"/>
            <w:tcBorders>
              <w:top w:val="single" w:sz="4" w:space="0" w:color="auto"/>
            </w:tcBorders>
          </w:tcPr>
          <w:p w14:paraId="4FD2CFF8" w14:textId="77777777" w:rsidR="00BF3919" w:rsidRDefault="00BF3919" w:rsidP="00B568CF">
            <w:pPr>
              <w:pStyle w:val="NoSpacing"/>
              <w:spacing w:line="360" w:lineRule="auto"/>
              <w:jc w:val="center"/>
            </w:pPr>
            <w:r>
              <w:t>13</w:t>
            </w:r>
          </w:p>
        </w:tc>
      </w:tr>
    </w:tbl>
    <w:p w14:paraId="273C967C" w14:textId="77777777" w:rsidR="00BF3919" w:rsidRDefault="00BF3919" w:rsidP="00BF3919">
      <w:pPr>
        <w:pStyle w:val="NoSpacing"/>
        <w:spacing w:line="360" w:lineRule="auto"/>
        <w:rPr>
          <w:i/>
        </w:rPr>
      </w:pPr>
    </w:p>
    <w:p w14:paraId="0EEDC3CD" w14:textId="691F7130" w:rsidR="00BF3919" w:rsidRPr="009F1D74" w:rsidRDefault="00D22035" w:rsidP="00A05EA7">
      <w:r>
        <w:rPr>
          <w:b/>
        </w:rPr>
        <w:t>Table 4</w:t>
      </w:r>
      <w:r w:rsidR="007A4D47">
        <w:rPr>
          <w:b/>
        </w:rPr>
        <w:t xml:space="preserve"> |</w:t>
      </w:r>
      <w:r w:rsidR="00BF3919">
        <w:t xml:space="preserve"> Dynamics of farming behaviour and information dissemination</w:t>
      </w:r>
      <w:r w:rsidR="00ED7209">
        <w:t xml:space="preserve"> from </w:t>
      </w:r>
      <w:r w:rsidR="00992E64">
        <w:t>t</w:t>
      </w:r>
      <w:r w:rsidR="00ED7209">
        <w:t xml:space="preserve">ime 1 to </w:t>
      </w:r>
      <w:r w:rsidR="00992E64">
        <w:t>t</w:t>
      </w:r>
      <w:r w:rsidR="00FA0445">
        <w:t>ime 2</w:t>
      </w:r>
      <w:r w:rsidR="00BF3919">
        <w:t xml:space="preserve">. </w:t>
      </w:r>
      <w:r w:rsidR="001376BE">
        <w:t xml:space="preserve">ns = non-significant, </w:t>
      </w:r>
      <w:r w:rsidR="00BF3919">
        <w:t>(+)/(-) = p &lt; 0.1, +/- = p</w:t>
      </w:r>
      <w:r w:rsidR="00BF3919" w:rsidRPr="001130EB">
        <w:t xml:space="preserve"> &lt;</w:t>
      </w:r>
      <w:r w:rsidR="001376BE">
        <w:t xml:space="preserve"> 0.05,</w:t>
      </w:r>
      <w:r w:rsidR="00BF3919">
        <w:t xml:space="preserve"> ++/-- = p</w:t>
      </w:r>
      <w:r w:rsidR="00BF3919" w:rsidRPr="001130EB">
        <w:t xml:space="preserve"> &lt;</w:t>
      </w:r>
      <w:r w:rsidR="001376BE">
        <w:t xml:space="preserve"> 0.01,</w:t>
      </w:r>
      <w:r w:rsidR="00BF3919">
        <w:t xml:space="preserve"> +++/--- = p</w:t>
      </w:r>
      <w:r w:rsidR="00BF3919" w:rsidRPr="001130EB">
        <w:t xml:space="preserve"> &lt;</w:t>
      </w:r>
      <w:r w:rsidR="00BF3919">
        <w:t xml:space="preserve"> </w:t>
      </w:r>
      <w:r w:rsidR="00BF3919" w:rsidRPr="001130EB">
        <w:t>0.001</w:t>
      </w:r>
      <w:r w:rsidR="001376BE">
        <w:t xml:space="preserve">, with </w:t>
      </w:r>
      <w:r w:rsidR="00BF3919">
        <w:t>+ in</w:t>
      </w:r>
      <w:r w:rsidR="001376BE">
        <w:t xml:space="preserve">dicating a positive effect and </w:t>
      </w:r>
      <w:r w:rsidR="00BF3919">
        <w:t xml:space="preserve">- a negative effect. </w:t>
      </w:r>
      <w:r w:rsidR="002D28E8">
        <w:t xml:space="preserve">Reference levels are given in grey shading for each variable. </w:t>
      </w:r>
      <w:r w:rsidR="00BF3919">
        <w:t xml:space="preserve">For full results, see </w:t>
      </w:r>
      <w:r w:rsidR="00D84467">
        <w:t>Appendix</w:t>
      </w:r>
      <w:r w:rsidR="00BF3919">
        <w:t xml:space="preserve">, Table </w:t>
      </w:r>
      <w:r w:rsidR="00960EAA">
        <w:t>6</w:t>
      </w:r>
      <w:r w:rsidR="00BF3919">
        <w:t>.</w:t>
      </w: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2635"/>
        <w:gridCol w:w="144"/>
        <w:gridCol w:w="892"/>
        <w:gridCol w:w="1188"/>
        <w:gridCol w:w="1540"/>
        <w:gridCol w:w="1094"/>
      </w:tblGrid>
      <w:tr w:rsidR="00BF3919" w:rsidRPr="00FF0B44" w14:paraId="149974B2" w14:textId="77777777" w:rsidTr="004566BC">
        <w:trPr>
          <w:trHeight w:val="773"/>
        </w:trPr>
        <w:tc>
          <w:tcPr>
            <w:tcW w:w="1521" w:type="dxa"/>
            <w:tcBorders>
              <w:bottom w:val="single" w:sz="4" w:space="0" w:color="auto"/>
            </w:tcBorders>
            <w:shd w:val="clear" w:color="auto" w:fill="A6A6A6" w:themeFill="background1" w:themeFillShade="A6"/>
          </w:tcPr>
          <w:p w14:paraId="527D4C17" w14:textId="77777777" w:rsidR="00BF3919" w:rsidRPr="00FF0B44" w:rsidRDefault="00BF3919" w:rsidP="003B01B4">
            <w:pPr>
              <w:pStyle w:val="NoSpacing"/>
              <w:spacing w:line="360" w:lineRule="auto"/>
              <w:jc w:val="center"/>
              <w:rPr>
                <w:b/>
                <w:i/>
              </w:rPr>
            </w:pPr>
          </w:p>
        </w:tc>
        <w:tc>
          <w:tcPr>
            <w:tcW w:w="2635" w:type="dxa"/>
            <w:tcBorders>
              <w:bottom w:val="single" w:sz="4" w:space="0" w:color="auto"/>
            </w:tcBorders>
            <w:shd w:val="clear" w:color="auto" w:fill="A6A6A6" w:themeFill="background1" w:themeFillShade="A6"/>
          </w:tcPr>
          <w:p w14:paraId="2BDCE62C" w14:textId="77777777" w:rsidR="00BF3919" w:rsidRPr="00FF0B44" w:rsidRDefault="00BF3919" w:rsidP="003B01B4">
            <w:pPr>
              <w:pStyle w:val="NoSpacing"/>
              <w:spacing w:line="360" w:lineRule="auto"/>
              <w:jc w:val="center"/>
              <w:rPr>
                <w:b/>
                <w:i/>
              </w:rPr>
            </w:pPr>
          </w:p>
        </w:tc>
        <w:tc>
          <w:tcPr>
            <w:tcW w:w="1036" w:type="dxa"/>
            <w:gridSpan w:val="2"/>
            <w:tcBorders>
              <w:bottom w:val="single" w:sz="4" w:space="0" w:color="auto"/>
            </w:tcBorders>
            <w:shd w:val="clear" w:color="auto" w:fill="A6A6A6" w:themeFill="background1" w:themeFillShade="A6"/>
          </w:tcPr>
          <w:p w14:paraId="5476FB54" w14:textId="7A8E5337" w:rsidR="00BF3919" w:rsidRPr="005714B3" w:rsidRDefault="00D8551F" w:rsidP="003B01B4">
            <w:pPr>
              <w:pStyle w:val="NoSpacing"/>
              <w:spacing w:line="360" w:lineRule="auto"/>
              <w:jc w:val="center"/>
              <w:rPr>
                <w:b/>
              </w:rPr>
            </w:pPr>
            <w:r>
              <w:rPr>
                <w:b/>
              </w:rPr>
              <w:t>Food waste</w:t>
            </w:r>
          </w:p>
        </w:tc>
        <w:tc>
          <w:tcPr>
            <w:tcW w:w="1188" w:type="dxa"/>
            <w:tcBorders>
              <w:bottom w:val="single" w:sz="4" w:space="0" w:color="auto"/>
            </w:tcBorders>
            <w:shd w:val="clear" w:color="auto" w:fill="A6A6A6" w:themeFill="background1" w:themeFillShade="A6"/>
          </w:tcPr>
          <w:p w14:paraId="73949B15" w14:textId="77777777" w:rsidR="00BF3919" w:rsidRPr="007E01F7" w:rsidRDefault="00BF3919" w:rsidP="003B01B4">
            <w:pPr>
              <w:pStyle w:val="NoSpacing"/>
              <w:spacing w:line="360" w:lineRule="auto"/>
              <w:jc w:val="center"/>
              <w:rPr>
                <w:b/>
              </w:rPr>
            </w:pPr>
            <w:r>
              <w:rPr>
                <w:b/>
              </w:rPr>
              <w:t>Mulching</w:t>
            </w:r>
          </w:p>
        </w:tc>
        <w:tc>
          <w:tcPr>
            <w:tcW w:w="1540" w:type="dxa"/>
            <w:tcBorders>
              <w:bottom w:val="single" w:sz="4" w:space="0" w:color="auto"/>
            </w:tcBorders>
            <w:shd w:val="clear" w:color="auto" w:fill="A6A6A6" w:themeFill="background1" w:themeFillShade="A6"/>
          </w:tcPr>
          <w:p w14:paraId="270E5F1B" w14:textId="77777777" w:rsidR="00BF3919" w:rsidRDefault="00BF3919" w:rsidP="003B01B4">
            <w:pPr>
              <w:pStyle w:val="NoSpacing"/>
              <w:spacing w:line="360" w:lineRule="auto"/>
              <w:jc w:val="center"/>
              <w:rPr>
                <w:b/>
              </w:rPr>
            </w:pPr>
            <w:r>
              <w:rPr>
                <w:b/>
              </w:rPr>
              <w:t>Sweet potato variety</w:t>
            </w:r>
          </w:p>
        </w:tc>
        <w:tc>
          <w:tcPr>
            <w:tcW w:w="1094" w:type="dxa"/>
            <w:tcBorders>
              <w:bottom w:val="single" w:sz="4" w:space="0" w:color="auto"/>
            </w:tcBorders>
            <w:shd w:val="clear" w:color="auto" w:fill="A6A6A6" w:themeFill="background1" w:themeFillShade="A6"/>
          </w:tcPr>
          <w:p w14:paraId="6D6346A1" w14:textId="77777777" w:rsidR="00BF3919" w:rsidRDefault="00BF3919" w:rsidP="003B01B4">
            <w:pPr>
              <w:pStyle w:val="NoSpacing"/>
              <w:spacing w:line="360" w:lineRule="auto"/>
              <w:jc w:val="center"/>
              <w:rPr>
                <w:b/>
              </w:rPr>
            </w:pPr>
            <w:r>
              <w:rPr>
                <w:b/>
              </w:rPr>
              <w:t>Learned</w:t>
            </w:r>
          </w:p>
        </w:tc>
      </w:tr>
      <w:tr w:rsidR="00BF3919" w14:paraId="60D21CC2" w14:textId="77777777" w:rsidTr="006B7D22">
        <w:trPr>
          <w:trHeight w:val="386"/>
        </w:trPr>
        <w:tc>
          <w:tcPr>
            <w:tcW w:w="1521" w:type="dxa"/>
            <w:vMerge w:val="restart"/>
            <w:tcBorders>
              <w:top w:val="single" w:sz="4" w:space="0" w:color="auto"/>
            </w:tcBorders>
            <w:shd w:val="clear" w:color="auto" w:fill="auto"/>
          </w:tcPr>
          <w:p w14:paraId="5E1E7AD9" w14:textId="77777777" w:rsidR="00BF3919" w:rsidRPr="00957906" w:rsidRDefault="00BF3919" w:rsidP="003B01B4">
            <w:pPr>
              <w:pStyle w:val="NoSpacing"/>
              <w:spacing w:line="360" w:lineRule="auto"/>
              <w:jc w:val="center"/>
            </w:pPr>
            <w:r w:rsidRPr="00957906">
              <w:t>Project</w:t>
            </w:r>
          </w:p>
        </w:tc>
        <w:tc>
          <w:tcPr>
            <w:tcW w:w="2779" w:type="dxa"/>
            <w:gridSpan w:val="2"/>
            <w:tcBorders>
              <w:top w:val="single" w:sz="4" w:space="0" w:color="auto"/>
            </w:tcBorders>
            <w:shd w:val="clear" w:color="auto" w:fill="F2F2F2" w:themeFill="background1" w:themeFillShade="F2"/>
          </w:tcPr>
          <w:p w14:paraId="525BBAC9" w14:textId="77777777" w:rsidR="00BF3919" w:rsidRPr="00957906" w:rsidRDefault="00BF3919" w:rsidP="003B01B4">
            <w:pPr>
              <w:pStyle w:val="NoSpacing"/>
              <w:spacing w:line="360" w:lineRule="auto"/>
              <w:jc w:val="center"/>
            </w:pPr>
            <w:r w:rsidRPr="00957906">
              <w:t>Non-participant</w:t>
            </w:r>
          </w:p>
        </w:tc>
        <w:tc>
          <w:tcPr>
            <w:tcW w:w="892" w:type="dxa"/>
            <w:tcBorders>
              <w:top w:val="single" w:sz="4" w:space="0" w:color="auto"/>
            </w:tcBorders>
            <w:shd w:val="clear" w:color="auto" w:fill="F2F2F2" w:themeFill="background1" w:themeFillShade="F2"/>
          </w:tcPr>
          <w:p w14:paraId="241996B3" w14:textId="77777777" w:rsidR="00BF3919" w:rsidRDefault="00BF3919" w:rsidP="003B01B4">
            <w:pPr>
              <w:pStyle w:val="NoSpacing"/>
              <w:spacing w:line="360" w:lineRule="auto"/>
              <w:jc w:val="center"/>
            </w:pPr>
          </w:p>
        </w:tc>
        <w:tc>
          <w:tcPr>
            <w:tcW w:w="1188" w:type="dxa"/>
            <w:tcBorders>
              <w:top w:val="single" w:sz="4" w:space="0" w:color="auto"/>
            </w:tcBorders>
            <w:shd w:val="clear" w:color="auto" w:fill="F2F2F2" w:themeFill="background1" w:themeFillShade="F2"/>
          </w:tcPr>
          <w:p w14:paraId="04B7172A" w14:textId="77777777" w:rsidR="00BF3919" w:rsidRDefault="00BF3919" w:rsidP="003B01B4">
            <w:pPr>
              <w:pStyle w:val="NoSpacing"/>
              <w:spacing w:line="360" w:lineRule="auto"/>
              <w:jc w:val="center"/>
            </w:pPr>
          </w:p>
        </w:tc>
        <w:tc>
          <w:tcPr>
            <w:tcW w:w="1540" w:type="dxa"/>
            <w:tcBorders>
              <w:top w:val="single" w:sz="4" w:space="0" w:color="auto"/>
            </w:tcBorders>
            <w:shd w:val="clear" w:color="auto" w:fill="F2F2F2" w:themeFill="background1" w:themeFillShade="F2"/>
          </w:tcPr>
          <w:p w14:paraId="7F005A54" w14:textId="77777777" w:rsidR="00BF3919" w:rsidRDefault="00BF3919" w:rsidP="003B01B4">
            <w:pPr>
              <w:pStyle w:val="NoSpacing"/>
              <w:spacing w:line="360" w:lineRule="auto"/>
              <w:jc w:val="center"/>
            </w:pPr>
          </w:p>
        </w:tc>
        <w:tc>
          <w:tcPr>
            <w:tcW w:w="1094" w:type="dxa"/>
            <w:tcBorders>
              <w:top w:val="single" w:sz="4" w:space="0" w:color="auto"/>
            </w:tcBorders>
            <w:shd w:val="clear" w:color="auto" w:fill="F2F2F2" w:themeFill="background1" w:themeFillShade="F2"/>
          </w:tcPr>
          <w:p w14:paraId="4B9651EF" w14:textId="77777777" w:rsidR="00BF3919" w:rsidRDefault="00BF3919" w:rsidP="003B01B4">
            <w:pPr>
              <w:pStyle w:val="NoSpacing"/>
              <w:spacing w:line="360" w:lineRule="auto"/>
              <w:jc w:val="center"/>
            </w:pPr>
          </w:p>
        </w:tc>
      </w:tr>
      <w:tr w:rsidR="00BF3919" w14:paraId="26445A7E" w14:textId="77777777" w:rsidTr="006B7D22">
        <w:trPr>
          <w:trHeight w:val="386"/>
        </w:trPr>
        <w:tc>
          <w:tcPr>
            <w:tcW w:w="1521" w:type="dxa"/>
            <w:vMerge/>
            <w:shd w:val="clear" w:color="auto" w:fill="auto"/>
          </w:tcPr>
          <w:p w14:paraId="77A61DA2" w14:textId="77777777" w:rsidR="00BF3919" w:rsidRPr="00957906" w:rsidRDefault="00BF3919" w:rsidP="003B01B4">
            <w:pPr>
              <w:pStyle w:val="NoSpacing"/>
              <w:spacing w:line="360" w:lineRule="auto"/>
              <w:jc w:val="center"/>
            </w:pPr>
          </w:p>
        </w:tc>
        <w:tc>
          <w:tcPr>
            <w:tcW w:w="2779" w:type="dxa"/>
            <w:gridSpan w:val="2"/>
          </w:tcPr>
          <w:p w14:paraId="3ACBC3EB" w14:textId="3DB9E438" w:rsidR="00BF3919" w:rsidRPr="00957906" w:rsidRDefault="00384B92" w:rsidP="003B01B4">
            <w:pPr>
              <w:pStyle w:val="NoSpacing"/>
              <w:spacing w:line="360" w:lineRule="auto"/>
              <w:jc w:val="center"/>
            </w:pPr>
            <w:r w:rsidRPr="00957906">
              <w:t>Project g</w:t>
            </w:r>
            <w:r w:rsidR="00BF3919" w:rsidRPr="00957906">
              <w:t>arden owner</w:t>
            </w:r>
          </w:p>
        </w:tc>
        <w:tc>
          <w:tcPr>
            <w:tcW w:w="892" w:type="dxa"/>
          </w:tcPr>
          <w:p w14:paraId="3627CFC9" w14:textId="77777777" w:rsidR="00BF3919" w:rsidRDefault="00BF3919" w:rsidP="003B01B4">
            <w:pPr>
              <w:pStyle w:val="NoSpacing"/>
              <w:spacing w:line="360" w:lineRule="auto"/>
              <w:jc w:val="center"/>
            </w:pPr>
            <w:r>
              <w:t>(+)</w:t>
            </w:r>
          </w:p>
        </w:tc>
        <w:tc>
          <w:tcPr>
            <w:tcW w:w="1188" w:type="dxa"/>
          </w:tcPr>
          <w:p w14:paraId="305B1B73" w14:textId="77777777" w:rsidR="00BF3919" w:rsidRDefault="00BF3919" w:rsidP="003B01B4">
            <w:pPr>
              <w:pStyle w:val="NoSpacing"/>
              <w:spacing w:line="360" w:lineRule="auto"/>
              <w:jc w:val="center"/>
            </w:pPr>
            <w:r>
              <w:rPr>
                <w:rFonts w:cstheme="minorHAnsi"/>
              </w:rPr>
              <w:t>ns</w:t>
            </w:r>
          </w:p>
        </w:tc>
        <w:tc>
          <w:tcPr>
            <w:tcW w:w="1540" w:type="dxa"/>
          </w:tcPr>
          <w:p w14:paraId="3238E4EB" w14:textId="77777777" w:rsidR="00BF3919" w:rsidRDefault="00BF3919" w:rsidP="003B01B4">
            <w:pPr>
              <w:pStyle w:val="NoSpacing"/>
              <w:spacing w:line="360" w:lineRule="auto"/>
              <w:jc w:val="center"/>
            </w:pPr>
            <w:r>
              <w:rPr>
                <w:rFonts w:cstheme="minorHAnsi"/>
              </w:rPr>
              <w:t>ns</w:t>
            </w:r>
          </w:p>
        </w:tc>
        <w:tc>
          <w:tcPr>
            <w:tcW w:w="1094" w:type="dxa"/>
          </w:tcPr>
          <w:p w14:paraId="4BB2D28D" w14:textId="77777777" w:rsidR="00BF3919" w:rsidRDefault="00BF3919" w:rsidP="003B01B4">
            <w:pPr>
              <w:pStyle w:val="NoSpacing"/>
              <w:spacing w:line="360" w:lineRule="auto"/>
              <w:jc w:val="center"/>
            </w:pPr>
            <w:r>
              <w:t>+++</w:t>
            </w:r>
          </w:p>
        </w:tc>
      </w:tr>
      <w:tr w:rsidR="00BF3919" w14:paraId="025CF7BB" w14:textId="77777777" w:rsidTr="006B7D22">
        <w:trPr>
          <w:trHeight w:val="386"/>
        </w:trPr>
        <w:tc>
          <w:tcPr>
            <w:tcW w:w="1521" w:type="dxa"/>
            <w:vMerge/>
            <w:shd w:val="clear" w:color="auto" w:fill="auto"/>
          </w:tcPr>
          <w:p w14:paraId="27506380" w14:textId="77777777" w:rsidR="00BF3919" w:rsidRPr="00957906" w:rsidRDefault="00BF3919" w:rsidP="003B01B4">
            <w:pPr>
              <w:pStyle w:val="NoSpacing"/>
              <w:spacing w:line="360" w:lineRule="auto"/>
              <w:jc w:val="center"/>
            </w:pPr>
          </w:p>
        </w:tc>
        <w:tc>
          <w:tcPr>
            <w:tcW w:w="2779" w:type="dxa"/>
            <w:gridSpan w:val="2"/>
          </w:tcPr>
          <w:p w14:paraId="5205E32A" w14:textId="77777777" w:rsidR="00BF3919" w:rsidRPr="00957906" w:rsidRDefault="00BF3919" w:rsidP="003B01B4">
            <w:pPr>
              <w:pStyle w:val="NoSpacing"/>
              <w:spacing w:line="360" w:lineRule="auto"/>
              <w:jc w:val="center"/>
            </w:pPr>
            <w:r w:rsidRPr="00957906">
              <w:t>Research assistant</w:t>
            </w:r>
          </w:p>
        </w:tc>
        <w:tc>
          <w:tcPr>
            <w:tcW w:w="892" w:type="dxa"/>
          </w:tcPr>
          <w:p w14:paraId="46E8AEE7" w14:textId="77777777" w:rsidR="00BF3919" w:rsidRDefault="00BF3919" w:rsidP="003B01B4">
            <w:pPr>
              <w:pStyle w:val="NoSpacing"/>
              <w:spacing w:line="360" w:lineRule="auto"/>
              <w:jc w:val="center"/>
            </w:pPr>
            <w:r>
              <w:rPr>
                <w:rFonts w:cstheme="minorHAnsi"/>
              </w:rPr>
              <w:t>ns</w:t>
            </w:r>
          </w:p>
        </w:tc>
        <w:tc>
          <w:tcPr>
            <w:tcW w:w="1188" w:type="dxa"/>
          </w:tcPr>
          <w:p w14:paraId="678ABC4A" w14:textId="77777777" w:rsidR="00BF3919" w:rsidRDefault="00BF3919" w:rsidP="003B01B4">
            <w:pPr>
              <w:pStyle w:val="NoSpacing"/>
              <w:spacing w:line="360" w:lineRule="auto"/>
              <w:jc w:val="center"/>
            </w:pPr>
            <w:r>
              <w:t>(+)</w:t>
            </w:r>
          </w:p>
        </w:tc>
        <w:tc>
          <w:tcPr>
            <w:tcW w:w="1540" w:type="dxa"/>
          </w:tcPr>
          <w:p w14:paraId="5066640F" w14:textId="77777777" w:rsidR="00BF3919" w:rsidRDefault="00BF3919" w:rsidP="003B01B4">
            <w:pPr>
              <w:pStyle w:val="NoSpacing"/>
              <w:spacing w:line="360" w:lineRule="auto"/>
              <w:jc w:val="center"/>
            </w:pPr>
            <w:r>
              <w:rPr>
                <w:rFonts w:cstheme="minorHAnsi"/>
              </w:rPr>
              <w:t>++</w:t>
            </w:r>
          </w:p>
        </w:tc>
        <w:tc>
          <w:tcPr>
            <w:tcW w:w="1094" w:type="dxa"/>
          </w:tcPr>
          <w:p w14:paraId="031972FD" w14:textId="77777777" w:rsidR="00BF3919" w:rsidRDefault="00BF3919" w:rsidP="003B01B4">
            <w:pPr>
              <w:pStyle w:val="NoSpacing"/>
              <w:spacing w:line="360" w:lineRule="auto"/>
              <w:jc w:val="center"/>
            </w:pPr>
            <w:r>
              <w:rPr>
                <w:rFonts w:cstheme="minorHAnsi"/>
              </w:rPr>
              <w:t>+++</w:t>
            </w:r>
          </w:p>
        </w:tc>
      </w:tr>
      <w:tr w:rsidR="00BF3919" w14:paraId="726AD84F" w14:textId="77777777" w:rsidTr="006B7D22">
        <w:trPr>
          <w:trHeight w:val="400"/>
        </w:trPr>
        <w:tc>
          <w:tcPr>
            <w:tcW w:w="1521" w:type="dxa"/>
            <w:vMerge w:val="restart"/>
            <w:shd w:val="clear" w:color="auto" w:fill="auto"/>
          </w:tcPr>
          <w:p w14:paraId="43986DAB" w14:textId="77777777" w:rsidR="00BF3919" w:rsidRPr="00957906" w:rsidRDefault="00BF3919" w:rsidP="003B01B4">
            <w:pPr>
              <w:pStyle w:val="NoSpacing"/>
              <w:spacing w:line="360" w:lineRule="auto"/>
              <w:jc w:val="center"/>
            </w:pPr>
            <w:r w:rsidRPr="00957906">
              <w:t>Time</w:t>
            </w:r>
          </w:p>
        </w:tc>
        <w:tc>
          <w:tcPr>
            <w:tcW w:w="2779" w:type="dxa"/>
            <w:gridSpan w:val="2"/>
            <w:shd w:val="clear" w:color="auto" w:fill="F2F2F2" w:themeFill="background1" w:themeFillShade="F2"/>
          </w:tcPr>
          <w:p w14:paraId="49B41474" w14:textId="77777777" w:rsidR="00BF3919" w:rsidRPr="00957906" w:rsidRDefault="00BF3919" w:rsidP="003B01B4">
            <w:pPr>
              <w:pStyle w:val="NoSpacing"/>
              <w:spacing w:line="360" w:lineRule="auto"/>
              <w:jc w:val="center"/>
            </w:pPr>
            <w:r w:rsidRPr="00957906">
              <w:t>Time 1</w:t>
            </w:r>
          </w:p>
        </w:tc>
        <w:tc>
          <w:tcPr>
            <w:tcW w:w="892" w:type="dxa"/>
            <w:shd w:val="clear" w:color="auto" w:fill="F2F2F2" w:themeFill="background1" w:themeFillShade="F2"/>
          </w:tcPr>
          <w:p w14:paraId="1C818873" w14:textId="77777777" w:rsidR="00BF3919" w:rsidRDefault="00BF3919" w:rsidP="003B01B4">
            <w:pPr>
              <w:pStyle w:val="NoSpacing"/>
              <w:spacing w:line="360" w:lineRule="auto"/>
              <w:jc w:val="center"/>
            </w:pPr>
          </w:p>
        </w:tc>
        <w:tc>
          <w:tcPr>
            <w:tcW w:w="1188" w:type="dxa"/>
            <w:shd w:val="clear" w:color="auto" w:fill="F2F2F2" w:themeFill="background1" w:themeFillShade="F2"/>
          </w:tcPr>
          <w:p w14:paraId="305C633E" w14:textId="77777777" w:rsidR="00BF3919" w:rsidRDefault="00BF3919" w:rsidP="003B01B4">
            <w:pPr>
              <w:pStyle w:val="NoSpacing"/>
              <w:spacing w:line="360" w:lineRule="auto"/>
              <w:jc w:val="center"/>
            </w:pPr>
          </w:p>
        </w:tc>
        <w:tc>
          <w:tcPr>
            <w:tcW w:w="1540" w:type="dxa"/>
            <w:shd w:val="clear" w:color="auto" w:fill="F2F2F2" w:themeFill="background1" w:themeFillShade="F2"/>
          </w:tcPr>
          <w:p w14:paraId="63581597" w14:textId="77777777" w:rsidR="00BF3919" w:rsidRDefault="00BF3919" w:rsidP="003B01B4">
            <w:pPr>
              <w:pStyle w:val="NoSpacing"/>
              <w:spacing w:line="360" w:lineRule="auto"/>
              <w:jc w:val="center"/>
            </w:pPr>
          </w:p>
        </w:tc>
        <w:tc>
          <w:tcPr>
            <w:tcW w:w="1094" w:type="dxa"/>
            <w:shd w:val="clear" w:color="auto" w:fill="F2F2F2" w:themeFill="background1" w:themeFillShade="F2"/>
          </w:tcPr>
          <w:p w14:paraId="45413A6A" w14:textId="77777777" w:rsidR="00BF3919" w:rsidRDefault="00BF3919" w:rsidP="003B01B4">
            <w:pPr>
              <w:pStyle w:val="NoSpacing"/>
              <w:spacing w:line="360" w:lineRule="auto"/>
              <w:jc w:val="center"/>
            </w:pPr>
          </w:p>
        </w:tc>
      </w:tr>
      <w:tr w:rsidR="00BF3919" w14:paraId="25DCA7D2" w14:textId="77777777" w:rsidTr="006B7D22">
        <w:trPr>
          <w:trHeight w:val="386"/>
        </w:trPr>
        <w:tc>
          <w:tcPr>
            <w:tcW w:w="1521" w:type="dxa"/>
            <w:vMerge/>
            <w:shd w:val="clear" w:color="auto" w:fill="auto"/>
          </w:tcPr>
          <w:p w14:paraId="07F94CCF" w14:textId="77777777" w:rsidR="00BF3919" w:rsidRPr="00957906" w:rsidRDefault="00BF3919" w:rsidP="003B01B4">
            <w:pPr>
              <w:pStyle w:val="NoSpacing"/>
              <w:spacing w:line="360" w:lineRule="auto"/>
              <w:jc w:val="center"/>
            </w:pPr>
          </w:p>
        </w:tc>
        <w:tc>
          <w:tcPr>
            <w:tcW w:w="2779" w:type="dxa"/>
            <w:gridSpan w:val="2"/>
            <w:shd w:val="clear" w:color="auto" w:fill="auto"/>
          </w:tcPr>
          <w:p w14:paraId="0204494A" w14:textId="77777777" w:rsidR="00BF3919" w:rsidRPr="00957906" w:rsidRDefault="00BF3919" w:rsidP="003B01B4">
            <w:pPr>
              <w:pStyle w:val="NoSpacing"/>
              <w:spacing w:line="360" w:lineRule="auto"/>
              <w:jc w:val="center"/>
            </w:pPr>
            <w:r w:rsidRPr="00957906">
              <w:t>Time 2</w:t>
            </w:r>
          </w:p>
        </w:tc>
        <w:tc>
          <w:tcPr>
            <w:tcW w:w="892" w:type="dxa"/>
            <w:shd w:val="clear" w:color="auto" w:fill="auto"/>
          </w:tcPr>
          <w:p w14:paraId="797C562D" w14:textId="77777777" w:rsidR="00BF3919" w:rsidRDefault="00BF3919" w:rsidP="003B01B4">
            <w:pPr>
              <w:pStyle w:val="NoSpacing"/>
              <w:spacing w:line="360" w:lineRule="auto"/>
              <w:jc w:val="center"/>
            </w:pPr>
            <w:r>
              <w:rPr>
                <w:rFonts w:cstheme="minorHAnsi"/>
              </w:rPr>
              <w:t>++</w:t>
            </w:r>
          </w:p>
        </w:tc>
        <w:tc>
          <w:tcPr>
            <w:tcW w:w="1188" w:type="dxa"/>
            <w:shd w:val="clear" w:color="auto" w:fill="auto"/>
          </w:tcPr>
          <w:p w14:paraId="3202E254" w14:textId="77777777" w:rsidR="00BF3919" w:rsidRDefault="00BF3919" w:rsidP="003B01B4">
            <w:pPr>
              <w:pStyle w:val="NoSpacing"/>
              <w:spacing w:line="360" w:lineRule="auto"/>
              <w:jc w:val="center"/>
            </w:pPr>
            <w:r>
              <w:rPr>
                <w:rFonts w:cstheme="minorHAnsi"/>
              </w:rPr>
              <w:t>+</w:t>
            </w:r>
          </w:p>
        </w:tc>
        <w:tc>
          <w:tcPr>
            <w:tcW w:w="1540" w:type="dxa"/>
            <w:shd w:val="clear" w:color="auto" w:fill="auto"/>
          </w:tcPr>
          <w:p w14:paraId="33B1832A" w14:textId="2E35B391" w:rsidR="00BF3919" w:rsidRDefault="00BF3919" w:rsidP="003B01B4">
            <w:pPr>
              <w:pStyle w:val="NoSpacing"/>
              <w:spacing w:line="360" w:lineRule="auto"/>
              <w:jc w:val="center"/>
            </w:pPr>
          </w:p>
        </w:tc>
        <w:tc>
          <w:tcPr>
            <w:tcW w:w="1094" w:type="dxa"/>
            <w:shd w:val="clear" w:color="auto" w:fill="auto"/>
          </w:tcPr>
          <w:p w14:paraId="3C01A325" w14:textId="7F77B3B2" w:rsidR="00BF3919" w:rsidRDefault="00BF3919" w:rsidP="003B01B4">
            <w:pPr>
              <w:pStyle w:val="NoSpacing"/>
              <w:spacing w:line="360" w:lineRule="auto"/>
              <w:jc w:val="center"/>
            </w:pPr>
          </w:p>
        </w:tc>
      </w:tr>
      <w:tr w:rsidR="00BF3919" w14:paraId="5CB13D8B" w14:textId="77777777" w:rsidTr="006B7D22">
        <w:trPr>
          <w:trHeight w:val="386"/>
        </w:trPr>
        <w:tc>
          <w:tcPr>
            <w:tcW w:w="1521" w:type="dxa"/>
            <w:vMerge w:val="restart"/>
            <w:shd w:val="clear" w:color="auto" w:fill="auto"/>
          </w:tcPr>
          <w:p w14:paraId="1D1EF3EA" w14:textId="77777777" w:rsidR="00BF3919" w:rsidRPr="00957906" w:rsidRDefault="00BF3919" w:rsidP="003B01B4">
            <w:pPr>
              <w:pStyle w:val="NoSpacing"/>
              <w:spacing w:line="360" w:lineRule="auto"/>
              <w:jc w:val="center"/>
            </w:pPr>
            <w:r w:rsidRPr="00957906">
              <w:t>Gender</w:t>
            </w:r>
          </w:p>
        </w:tc>
        <w:tc>
          <w:tcPr>
            <w:tcW w:w="2779" w:type="dxa"/>
            <w:gridSpan w:val="2"/>
            <w:shd w:val="clear" w:color="auto" w:fill="F2F2F2" w:themeFill="background1" w:themeFillShade="F2"/>
          </w:tcPr>
          <w:p w14:paraId="47801C91" w14:textId="166E9839" w:rsidR="00BF3919" w:rsidRPr="00957906" w:rsidRDefault="005E7EA4" w:rsidP="003B01B4">
            <w:pPr>
              <w:pStyle w:val="NoSpacing"/>
              <w:spacing w:line="360" w:lineRule="auto"/>
              <w:jc w:val="center"/>
            </w:pPr>
            <w:r w:rsidRPr="00957906">
              <w:t>Man</w:t>
            </w:r>
          </w:p>
        </w:tc>
        <w:tc>
          <w:tcPr>
            <w:tcW w:w="892" w:type="dxa"/>
            <w:shd w:val="clear" w:color="auto" w:fill="F2F2F2" w:themeFill="background1" w:themeFillShade="F2"/>
          </w:tcPr>
          <w:p w14:paraId="18D4C83C" w14:textId="77777777" w:rsidR="00BF3919" w:rsidRDefault="00BF3919" w:rsidP="003B01B4">
            <w:pPr>
              <w:pStyle w:val="NoSpacing"/>
              <w:spacing w:line="360" w:lineRule="auto"/>
              <w:jc w:val="center"/>
            </w:pPr>
          </w:p>
        </w:tc>
        <w:tc>
          <w:tcPr>
            <w:tcW w:w="1188" w:type="dxa"/>
            <w:shd w:val="clear" w:color="auto" w:fill="F2F2F2" w:themeFill="background1" w:themeFillShade="F2"/>
          </w:tcPr>
          <w:p w14:paraId="36126C4E" w14:textId="77777777" w:rsidR="00BF3919" w:rsidRDefault="00BF3919" w:rsidP="003B01B4">
            <w:pPr>
              <w:pStyle w:val="NoSpacing"/>
              <w:spacing w:line="360" w:lineRule="auto"/>
              <w:jc w:val="center"/>
            </w:pPr>
          </w:p>
        </w:tc>
        <w:tc>
          <w:tcPr>
            <w:tcW w:w="1540" w:type="dxa"/>
            <w:shd w:val="clear" w:color="auto" w:fill="F2F2F2" w:themeFill="background1" w:themeFillShade="F2"/>
          </w:tcPr>
          <w:p w14:paraId="7BD1C340" w14:textId="77777777" w:rsidR="00BF3919" w:rsidRDefault="00BF3919" w:rsidP="003B01B4">
            <w:pPr>
              <w:pStyle w:val="NoSpacing"/>
              <w:spacing w:line="360" w:lineRule="auto"/>
              <w:jc w:val="center"/>
            </w:pPr>
          </w:p>
        </w:tc>
        <w:tc>
          <w:tcPr>
            <w:tcW w:w="1094" w:type="dxa"/>
            <w:shd w:val="clear" w:color="auto" w:fill="F2F2F2" w:themeFill="background1" w:themeFillShade="F2"/>
          </w:tcPr>
          <w:p w14:paraId="393C6310" w14:textId="77777777" w:rsidR="00BF3919" w:rsidRDefault="00BF3919" w:rsidP="003B01B4">
            <w:pPr>
              <w:pStyle w:val="NoSpacing"/>
              <w:spacing w:line="360" w:lineRule="auto"/>
              <w:jc w:val="center"/>
            </w:pPr>
          </w:p>
        </w:tc>
      </w:tr>
      <w:tr w:rsidR="00BF3919" w14:paraId="30795708" w14:textId="77777777" w:rsidTr="006B7D22">
        <w:trPr>
          <w:trHeight w:val="386"/>
        </w:trPr>
        <w:tc>
          <w:tcPr>
            <w:tcW w:w="1521" w:type="dxa"/>
            <w:vMerge/>
            <w:shd w:val="clear" w:color="auto" w:fill="auto"/>
          </w:tcPr>
          <w:p w14:paraId="1692EA72" w14:textId="77777777" w:rsidR="00BF3919" w:rsidRPr="00957906" w:rsidRDefault="00BF3919" w:rsidP="003B01B4">
            <w:pPr>
              <w:pStyle w:val="NoSpacing"/>
              <w:spacing w:line="360" w:lineRule="auto"/>
              <w:jc w:val="center"/>
            </w:pPr>
          </w:p>
        </w:tc>
        <w:tc>
          <w:tcPr>
            <w:tcW w:w="2779" w:type="dxa"/>
            <w:gridSpan w:val="2"/>
          </w:tcPr>
          <w:p w14:paraId="1D38CEF0" w14:textId="72885968" w:rsidR="00BF3919" w:rsidRPr="00957906" w:rsidRDefault="005E7EA4" w:rsidP="003B01B4">
            <w:pPr>
              <w:pStyle w:val="NoSpacing"/>
              <w:spacing w:line="360" w:lineRule="auto"/>
              <w:jc w:val="center"/>
            </w:pPr>
            <w:r w:rsidRPr="00957906">
              <w:t>Woman</w:t>
            </w:r>
          </w:p>
        </w:tc>
        <w:tc>
          <w:tcPr>
            <w:tcW w:w="892" w:type="dxa"/>
          </w:tcPr>
          <w:p w14:paraId="27679785" w14:textId="77777777" w:rsidR="00BF3919" w:rsidRDefault="00BF3919" w:rsidP="003B01B4">
            <w:pPr>
              <w:pStyle w:val="NoSpacing"/>
              <w:spacing w:line="360" w:lineRule="auto"/>
              <w:jc w:val="center"/>
            </w:pPr>
            <w:r>
              <w:rPr>
                <w:rFonts w:cstheme="minorHAnsi"/>
              </w:rPr>
              <w:t>ns</w:t>
            </w:r>
          </w:p>
        </w:tc>
        <w:tc>
          <w:tcPr>
            <w:tcW w:w="1188" w:type="dxa"/>
          </w:tcPr>
          <w:p w14:paraId="4C2C83FC" w14:textId="77777777" w:rsidR="00BF3919" w:rsidRDefault="00BF3919" w:rsidP="003B01B4">
            <w:pPr>
              <w:pStyle w:val="NoSpacing"/>
              <w:spacing w:line="360" w:lineRule="auto"/>
              <w:jc w:val="center"/>
            </w:pPr>
            <w:r>
              <w:rPr>
                <w:rFonts w:cstheme="minorHAnsi"/>
              </w:rPr>
              <w:t>+++</w:t>
            </w:r>
          </w:p>
        </w:tc>
        <w:tc>
          <w:tcPr>
            <w:tcW w:w="1540" w:type="dxa"/>
          </w:tcPr>
          <w:p w14:paraId="62D03D00" w14:textId="77777777" w:rsidR="00BF3919" w:rsidRDefault="00BF3919" w:rsidP="003B01B4">
            <w:pPr>
              <w:pStyle w:val="NoSpacing"/>
              <w:spacing w:line="360" w:lineRule="auto"/>
              <w:jc w:val="center"/>
              <w:rPr>
                <w:rFonts w:cstheme="minorHAnsi"/>
              </w:rPr>
            </w:pPr>
            <w:r>
              <w:rPr>
                <w:rFonts w:cstheme="minorHAnsi"/>
              </w:rPr>
              <w:t>+</w:t>
            </w:r>
          </w:p>
        </w:tc>
        <w:tc>
          <w:tcPr>
            <w:tcW w:w="1094" w:type="dxa"/>
          </w:tcPr>
          <w:p w14:paraId="69C11CC3" w14:textId="77777777" w:rsidR="00BF3919" w:rsidRDefault="00BF3919" w:rsidP="003B01B4">
            <w:pPr>
              <w:pStyle w:val="NoSpacing"/>
              <w:spacing w:line="360" w:lineRule="auto"/>
              <w:jc w:val="center"/>
              <w:rPr>
                <w:rFonts w:cstheme="minorHAnsi"/>
              </w:rPr>
            </w:pPr>
            <w:r>
              <w:rPr>
                <w:rFonts w:cstheme="minorHAnsi"/>
              </w:rPr>
              <w:t>ns</w:t>
            </w:r>
          </w:p>
        </w:tc>
      </w:tr>
      <w:tr w:rsidR="00BF3919" w14:paraId="4193040F" w14:textId="77777777" w:rsidTr="006B7D22">
        <w:trPr>
          <w:trHeight w:val="386"/>
        </w:trPr>
        <w:tc>
          <w:tcPr>
            <w:tcW w:w="1521" w:type="dxa"/>
            <w:vMerge w:val="restart"/>
            <w:shd w:val="clear" w:color="auto" w:fill="auto"/>
          </w:tcPr>
          <w:p w14:paraId="3A0CA0DA" w14:textId="77777777" w:rsidR="00BF3919" w:rsidRPr="00957906" w:rsidRDefault="00BF3919" w:rsidP="003B01B4">
            <w:pPr>
              <w:pStyle w:val="NoSpacing"/>
              <w:spacing w:line="360" w:lineRule="auto"/>
              <w:jc w:val="center"/>
            </w:pPr>
            <w:r w:rsidRPr="00957906">
              <w:t>Project * Time</w:t>
            </w:r>
          </w:p>
        </w:tc>
        <w:tc>
          <w:tcPr>
            <w:tcW w:w="2779" w:type="dxa"/>
            <w:gridSpan w:val="2"/>
            <w:shd w:val="clear" w:color="auto" w:fill="F2F2F2" w:themeFill="background1" w:themeFillShade="F2"/>
          </w:tcPr>
          <w:p w14:paraId="1183A7F6" w14:textId="77777777" w:rsidR="00BF3919" w:rsidRPr="00957906" w:rsidRDefault="00BF3919" w:rsidP="003B01B4">
            <w:pPr>
              <w:pStyle w:val="NoSpacing"/>
              <w:spacing w:line="360" w:lineRule="auto"/>
              <w:jc w:val="center"/>
            </w:pPr>
            <w:r w:rsidRPr="00957906">
              <w:t>Non-participant : Time 1</w:t>
            </w:r>
          </w:p>
        </w:tc>
        <w:tc>
          <w:tcPr>
            <w:tcW w:w="892" w:type="dxa"/>
            <w:shd w:val="clear" w:color="auto" w:fill="F2F2F2" w:themeFill="background1" w:themeFillShade="F2"/>
          </w:tcPr>
          <w:p w14:paraId="02CF36E7" w14:textId="77777777" w:rsidR="00BF3919" w:rsidRDefault="00BF3919" w:rsidP="003B01B4">
            <w:pPr>
              <w:pStyle w:val="NoSpacing"/>
              <w:spacing w:line="360" w:lineRule="auto"/>
              <w:jc w:val="center"/>
            </w:pPr>
          </w:p>
        </w:tc>
        <w:tc>
          <w:tcPr>
            <w:tcW w:w="1188" w:type="dxa"/>
            <w:shd w:val="clear" w:color="auto" w:fill="F2F2F2" w:themeFill="background1" w:themeFillShade="F2"/>
          </w:tcPr>
          <w:p w14:paraId="6279E7AD" w14:textId="77777777" w:rsidR="00BF3919" w:rsidRDefault="00BF3919" w:rsidP="003B01B4">
            <w:pPr>
              <w:pStyle w:val="NoSpacing"/>
              <w:spacing w:line="360" w:lineRule="auto"/>
              <w:jc w:val="center"/>
            </w:pPr>
          </w:p>
        </w:tc>
        <w:tc>
          <w:tcPr>
            <w:tcW w:w="1540" w:type="dxa"/>
            <w:shd w:val="clear" w:color="auto" w:fill="F2F2F2" w:themeFill="background1" w:themeFillShade="F2"/>
          </w:tcPr>
          <w:p w14:paraId="79B9B4AF" w14:textId="77777777" w:rsidR="00BF3919" w:rsidRDefault="00BF3919" w:rsidP="003B01B4">
            <w:pPr>
              <w:pStyle w:val="NoSpacing"/>
              <w:spacing w:line="360" w:lineRule="auto"/>
              <w:jc w:val="center"/>
              <w:rPr>
                <w:rFonts w:cstheme="minorHAnsi"/>
              </w:rPr>
            </w:pPr>
          </w:p>
        </w:tc>
        <w:tc>
          <w:tcPr>
            <w:tcW w:w="1094" w:type="dxa"/>
            <w:shd w:val="clear" w:color="auto" w:fill="F2F2F2" w:themeFill="background1" w:themeFillShade="F2"/>
          </w:tcPr>
          <w:p w14:paraId="64559070" w14:textId="77777777" w:rsidR="00BF3919" w:rsidRDefault="00BF3919" w:rsidP="003B01B4">
            <w:pPr>
              <w:pStyle w:val="NoSpacing"/>
              <w:spacing w:line="360" w:lineRule="auto"/>
              <w:jc w:val="center"/>
              <w:rPr>
                <w:rFonts w:cstheme="minorHAnsi"/>
              </w:rPr>
            </w:pPr>
          </w:p>
        </w:tc>
      </w:tr>
      <w:tr w:rsidR="00BF3919" w14:paraId="12A9CB7D" w14:textId="77777777" w:rsidTr="006B7D22">
        <w:trPr>
          <w:trHeight w:val="386"/>
        </w:trPr>
        <w:tc>
          <w:tcPr>
            <w:tcW w:w="1521" w:type="dxa"/>
            <w:vMerge/>
            <w:shd w:val="clear" w:color="auto" w:fill="auto"/>
          </w:tcPr>
          <w:p w14:paraId="400F9874" w14:textId="77777777" w:rsidR="00BF3919" w:rsidRPr="00957906" w:rsidRDefault="00BF3919" w:rsidP="003B01B4">
            <w:pPr>
              <w:pStyle w:val="NoSpacing"/>
              <w:spacing w:line="360" w:lineRule="auto"/>
              <w:jc w:val="center"/>
            </w:pPr>
          </w:p>
        </w:tc>
        <w:tc>
          <w:tcPr>
            <w:tcW w:w="2779" w:type="dxa"/>
            <w:gridSpan w:val="2"/>
          </w:tcPr>
          <w:p w14:paraId="31586E49" w14:textId="4170B6C0" w:rsidR="00BF3919" w:rsidRPr="00957906" w:rsidRDefault="00F80FF2" w:rsidP="003B01B4">
            <w:pPr>
              <w:pStyle w:val="NoSpacing"/>
              <w:spacing w:line="360" w:lineRule="auto"/>
              <w:jc w:val="center"/>
            </w:pPr>
            <w:r w:rsidRPr="00957906">
              <w:t>G</w:t>
            </w:r>
            <w:r w:rsidR="00BF3919" w:rsidRPr="00957906">
              <w:t>arden owner : Time 2</w:t>
            </w:r>
          </w:p>
        </w:tc>
        <w:tc>
          <w:tcPr>
            <w:tcW w:w="892" w:type="dxa"/>
          </w:tcPr>
          <w:p w14:paraId="288BBFB0" w14:textId="77777777" w:rsidR="00BF3919" w:rsidRDefault="00BF3919" w:rsidP="003B01B4">
            <w:pPr>
              <w:pStyle w:val="NoSpacing"/>
              <w:spacing w:line="360" w:lineRule="auto"/>
              <w:jc w:val="center"/>
            </w:pPr>
            <w:r>
              <w:rPr>
                <w:rFonts w:cstheme="minorHAnsi"/>
              </w:rPr>
              <w:t>ns</w:t>
            </w:r>
          </w:p>
        </w:tc>
        <w:tc>
          <w:tcPr>
            <w:tcW w:w="1188" w:type="dxa"/>
          </w:tcPr>
          <w:p w14:paraId="14457C43" w14:textId="77777777" w:rsidR="00BF3919" w:rsidRDefault="00BF3919" w:rsidP="003B01B4">
            <w:pPr>
              <w:pStyle w:val="NoSpacing"/>
              <w:spacing w:line="360" w:lineRule="auto"/>
              <w:jc w:val="center"/>
            </w:pPr>
            <w:r>
              <w:rPr>
                <w:rFonts w:cstheme="minorHAnsi"/>
              </w:rPr>
              <w:t>ns</w:t>
            </w:r>
          </w:p>
        </w:tc>
        <w:tc>
          <w:tcPr>
            <w:tcW w:w="1540" w:type="dxa"/>
          </w:tcPr>
          <w:p w14:paraId="48BCC818" w14:textId="1017A528" w:rsidR="00BF3919" w:rsidRDefault="00BF3919" w:rsidP="003B01B4">
            <w:pPr>
              <w:pStyle w:val="NoSpacing"/>
              <w:spacing w:line="360" w:lineRule="auto"/>
              <w:jc w:val="center"/>
              <w:rPr>
                <w:rFonts w:cstheme="minorHAnsi"/>
              </w:rPr>
            </w:pPr>
          </w:p>
        </w:tc>
        <w:tc>
          <w:tcPr>
            <w:tcW w:w="1094" w:type="dxa"/>
          </w:tcPr>
          <w:p w14:paraId="0D550B93" w14:textId="2FA60B98" w:rsidR="00BF3919" w:rsidRDefault="00BF3919" w:rsidP="003B01B4">
            <w:pPr>
              <w:pStyle w:val="NoSpacing"/>
              <w:spacing w:line="360" w:lineRule="auto"/>
              <w:jc w:val="center"/>
              <w:rPr>
                <w:rFonts w:cstheme="minorHAnsi"/>
              </w:rPr>
            </w:pPr>
          </w:p>
        </w:tc>
      </w:tr>
      <w:tr w:rsidR="00BF3919" w14:paraId="231CA442" w14:textId="77777777" w:rsidTr="006B7D22">
        <w:trPr>
          <w:trHeight w:val="386"/>
        </w:trPr>
        <w:tc>
          <w:tcPr>
            <w:tcW w:w="1521" w:type="dxa"/>
            <w:vMerge/>
            <w:shd w:val="clear" w:color="auto" w:fill="auto"/>
          </w:tcPr>
          <w:p w14:paraId="16F04005" w14:textId="77777777" w:rsidR="00BF3919" w:rsidRPr="00957906" w:rsidRDefault="00BF3919" w:rsidP="003B01B4">
            <w:pPr>
              <w:pStyle w:val="NoSpacing"/>
              <w:spacing w:line="360" w:lineRule="auto"/>
              <w:jc w:val="center"/>
            </w:pPr>
          </w:p>
        </w:tc>
        <w:tc>
          <w:tcPr>
            <w:tcW w:w="2779" w:type="dxa"/>
            <w:gridSpan w:val="2"/>
          </w:tcPr>
          <w:p w14:paraId="19D4CFD8" w14:textId="77777777" w:rsidR="00BF3919" w:rsidRPr="00957906" w:rsidRDefault="00BF3919" w:rsidP="003B01B4">
            <w:pPr>
              <w:pStyle w:val="NoSpacing"/>
              <w:spacing w:line="360" w:lineRule="auto"/>
              <w:jc w:val="center"/>
            </w:pPr>
            <w:r w:rsidRPr="00957906">
              <w:t>Research assistant : Time 2</w:t>
            </w:r>
          </w:p>
        </w:tc>
        <w:tc>
          <w:tcPr>
            <w:tcW w:w="892" w:type="dxa"/>
          </w:tcPr>
          <w:p w14:paraId="143644A6" w14:textId="77777777" w:rsidR="00BF3919" w:rsidRDefault="00BF3919" w:rsidP="003B01B4">
            <w:pPr>
              <w:pStyle w:val="NoSpacing"/>
              <w:spacing w:line="360" w:lineRule="auto"/>
              <w:jc w:val="center"/>
            </w:pPr>
            <w:r>
              <w:rPr>
                <w:rFonts w:cstheme="minorHAnsi"/>
              </w:rPr>
              <w:t>ns</w:t>
            </w:r>
          </w:p>
        </w:tc>
        <w:tc>
          <w:tcPr>
            <w:tcW w:w="1188" w:type="dxa"/>
          </w:tcPr>
          <w:p w14:paraId="00F44A1B" w14:textId="77777777" w:rsidR="00BF3919" w:rsidRDefault="00BF3919" w:rsidP="003B01B4">
            <w:pPr>
              <w:pStyle w:val="NoSpacing"/>
              <w:spacing w:line="360" w:lineRule="auto"/>
              <w:jc w:val="center"/>
            </w:pPr>
            <w:r>
              <w:rPr>
                <w:rFonts w:cstheme="minorHAnsi"/>
              </w:rPr>
              <w:t>ns</w:t>
            </w:r>
          </w:p>
        </w:tc>
        <w:tc>
          <w:tcPr>
            <w:tcW w:w="1540" w:type="dxa"/>
          </w:tcPr>
          <w:p w14:paraId="36CBB152" w14:textId="6A716C37" w:rsidR="00BF3919" w:rsidRDefault="00BF3919" w:rsidP="003B01B4">
            <w:pPr>
              <w:pStyle w:val="NoSpacing"/>
              <w:spacing w:line="360" w:lineRule="auto"/>
              <w:jc w:val="center"/>
              <w:rPr>
                <w:rFonts w:cstheme="minorHAnsi"/>
              </w:rPr>
            </w:pPr>
          </w:p>
        </w:tc>
        <w:tc>
          <w:tcPr>
            <w:tcW w:w="1094" w:type="dxa"/>
          </w:tcPr>
          <w:p w14:paraId="3F5E6384" w14:textId="7627A853" w:rsidR="00BF3919" w:rsidRDefault="00BF3919" w:rsidP="003B01B4">
            <w:pPr>
              <w:pStyle w:val="NoSpacing"/>
              <w:spacing w:line="360" w:lineRule="auto"/>
              <w:jc w:val="center"/>
              <w:rPr>
                <w:rFonts w:cstheme="minorHAnsi"/>
              </w:rPr>
            </w:pPr>
          </w:p>
        </w:tc>
      </w:tr>
    </w:tbl>
    <w:p w14:paraId="6B74A13B" w14:textId="09997BC8" w:rsidR="00EB173A" w:rsidRDefault="00EB173A" w:rsidP="00BF3919">
      <w:pPr>
        <w:pStyle w:val="NoSpacing"/>
        <w:ind w:left="720"/>
        <w:rPr>
          <w:i/>
        </w:rPr>
      </w:pPr>
    </w:p>
    <w:p w14:paraId="29E5D565" w14:textId="14757642" w:rsidR="00CB6191" w:rsidRDefault="00AF1EE4" w:rsidP="00AA6F40">
      <w:pPr>
        <w:pStyle w:val="Heading3"/>
        <w:numPr>
          <w:ilvl w:val="2"/>
          <w:numId w:val="22"/>
        </w:numPr>
      </w:pPr>
      <w:r>
        <w:lastRenderedPageBreak/>
        <w:t>Changes in the social network</w:t>
      </w:r>
    </w:p>
    <w:p w14:paraId="195AC83D" w14:textId="77777777" w:rsidR="00CB6191" w:rsidRDefault="00CB6191" w:rsidP="00CB6191">
      <w:pPr>
        <w:pStyle w:val="NoSpacing"/>
        <w:rPr>
          <w:i/>
        </w:rPr>
      </w:pPr>
    </w:p>
    <w:p w14:paraId="5EC9513C" w14:textId="299F5B6C" w:rsidR="00AF7B0D" w:rsidRDefault="00AF7B0D" w:rsidP="001D4C5B">
      <w:pPr>
        <w:pStyle w:val="NoSpacing"/>
      </w:pPr>
      <w:r>
        <w:t>The structure of the socia</w:t>
      </w:r>
      <w:r w:rsidR="003D0BE3">
        <w:t xml:space="preserve">l network among farmers in </w:t>
      </w:r>
      <w:proofErr w:type="spellStart"/>
      <w:r w:rsidR="003D0BE3">
        <w:t>Ohu</w:t>
      </w:r>
      <w:proofErr w:type="spellEnd"/>
      <w:r w:rsidR="003D0BE3">
        <w:t xml:space="preserve"> wa</w:t>
      </w:r>
      <w:r w:rsidR="002E5243">
        <w:t>s sparse and</w:t>
      </w:r>
      <w:r>
        <w:t xml:space="preserve"> clustered</w:t>
      </w:r>
      <w:r w:rsidR="002E5243">
        <w:t>,</w:t>
      </w:r>
      <w:r>
        <w:t xml:space="preserve"> and dynamic</w:t>
      </w:r>
      <w:r w:rsidR="00730619">
        <w:t xml:space="preserve"> between the two time points</w:t>
      </w:r>
      <w:r>
        <w:t xml:space="preserve"> (</w:t>
      </w:r>
      <w:r w:rsidR="00D34FFB">
        <w:t xml:space="preserve">Table </w:t>
      </w:r>
      <w:r w:rsidR="005126CC">
        <w:t>5</w:t>
      </w:r>
      <w:r w:rsidR="00C2008A">
        <w:t xml:space="preserve"> and Fig. 1</w:t>
      </w:r>
      <w:r>
        <w:t>). Both during the first and second survey people consider</w:t>
      </w:r>
      <w:r w:rsidR="00F55113">
        <w:t>ed</w:t>
      </w:r>
      <w:r>
        <w:t xml:space="preserve">, on average, one to two other people as important sources of information when it comes to farming </w:t>
      </w:r>
      <w:r w:rsidR="00D22035">
        <w:t>(</w:t>
      </w:r>
      <w:r w:rsidR="00D34FFB">
        <w:t>Table 5</w:t>
      </w:r>
      <w:r>
        <w:t>). However, some d</w:t>
      </w:r>
      <w:r w:rsidR="00270F42">
        <w:t>id</w:t>
      </w:r>
      <w:r>
        <w:t xml:space="preserve"> not find anyone in the group to be </w:t>
      </w:r>
      <w:r w:rsidR="00D324C4">
        <w:t>an important</w:t>
      </w:r>
      <w:r>
        <w:t xml:space="preserve"> source, while one person nominated five people. Similarly, the typical person was considered </w:t>
      </w:r>
      <w:r w:rsidR="00D324C4">
        <w:t>an important</w:t>
      </w:r>
      <w:r>
        <w:t xml:space="preserve"> source of information on far</w:t>
      </w:r>
      <w:r w:rsidR="00A03847">
        <w:t>ming by one to two other group members</w:t>
      </w:r>
      <w:r>
        <w:t xml:space="preserve">. </w:t>
      </w:r>
      <w:r w:rsidR="00F416A3">
        <w:t>A</w:t>
      </w:r>
      <w:r>
        <w:t>gain, som</w:t>
      </w:r>
      <w:r w:rsidR="004610A1">
        <w:t xml:space="preserve">e people were not nominated </w:t>
      </w:r>
      <w:r>
        <w:t>while one person was nominated by seven other people. The network also was highly dynamic. Out of the 88 bonds mentioned during the first survey only 54 were still present during the second survey, and 5</w:t>
      </w:r>
      <w:r w:rsidR="00D22035">
        <w:t>6 new bonds were formed (</w:t>
      </w:r>
      <w:r w:rsidR="00D34FFB">
        <w:t>Table 5</w:t>
      </w:r>
      <w:r>
        <w:t>).</w:t>
      </w:r>
    </w:p>
    <w:p w14:paraId="64DBCF4D" w14:textId="5FACA7E5" w:rsidR="00BB7792" w:rsidRDefault="00BB7792" w:rsidP="001D4C5B">
      <w:pPr>
        <w:pStyle w:val="NoSpacing"/>
      </w:pPr>
    </w:p>
    <w:tbl>
      <w:tblPr>
        <w:tblStyle w:val="TableGrid"/>
        <w:tblpPr w:leftFromText="180" w:rightFromText="180" w:vertAnchor="text" w:horzAnchor="margin" w:tblpY="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1931"/>
        <w:gridCol w:w="2055"/>
      </w:tblGrid>
      <w:tr w:rsidR="00556D62" w14:paraId="2ADF7B88" w14:textId="77777777" w:rsidTr="00114871">
        <w:trPr>
          <w:trHeight w:val="388"/>
        </w:trPr>
        <w:tc>
          <w:tcPr>
            <w:tcW w:w="5025" w:type="dxa"/>
            <w:tcBorders>
              <w:bottom w:val="single" w:sz="4" w:space="0" w:color="auto"/>
            </w:tcBorders>
            <w:shd w:val="clear" w:color="auto" w:fill="A6A6A6" w:themeFill="background1" w:themeFillShade="A6"/>
          </w:tcPr>
          <w:p w14:paraId="3BAA7AA0" w14:textId="77777777" w:rsidR="00556D62" w:rsidRPr="00A850C9" w:rsidRDefault="00556D62" w:rsidP="00556D62">
            <w:pPr>
              <w:pStyle w:val="NoSpacing"/>
              <w:spacing w:line="360" w:lineRule="auto"/>
              <w:jc w:val="center"/>
              <w:rPr>
                <w:b/>
              </w:rPr>
            </w:pPr>
          </w:p>
        </w:tc>
        <w:tc>
          <w:tcPr>
            <w:tcW w:w="1931" w:type="dxa"/>
            <w:tcBorders>
              <w:bottom w:val="single" w:sz="4" w:space="0" w:color="auto"/>
            </w:tcBorders>
            <w:shd w:val="clear" w:color="auto" w:fill="A6A6A6" w:themeFill="background1" w:themeFillShade="A6"/>
          </w:tcPr>
          <w:p w14:paraId="162F10E9" w14:textId="77777777" w:rsidR="00556D62" w:rsidRPr="00A850C9" w:rsidRDefault="00556D62" w:rsidP="00556D62">
            <w:pPr>
              <w:pStyle w:val="NoSpacing"/>
              <w:spacing w:line="360" w:lineRule="auto"/>
              <w:jc w:val="center"/>
              <w:rPr>
                <w:b/>
              </w:rPr>
            </w:pPr>
            <w:r w:rsidRPr="00A850C9">
              <w:rPr>
                <w:b/>
              </w:rPr>
              <w:t>Time 1</w:t>
            </w:r>
          </w:p>
        </w:tc>
        <w:tc>
          <w:tcPr>
            <w:tcW w:w="2055" w:type="dxa"/>
            <w:tcBorders>
              <w:bottom w:val="single" w:sz="4" w:space="0" w:color="auto"/>
            </w:tcBorders>
            <w:shd w:val="clear" w:color="auto" w:fill="A6A6A6" w:themeFill="background1" w:themeFillShade="A6"/>
          </w:tcPr>
          <w:p w14:paraId="26A88ABF" w14:textId="77777777" w:rsidR="00556D62" w:rsidRPr="00A850C9" w:rsidRDefault="00556D62" w:rsidP="00556D62">
            <w:pPr>
              <w:pStyle w:val="NoSpacing"/>
              <w:spacing w:line="360" w:lineRule="auto"/>
              <w:jc w:val="center"/>
              <w:rPr>
                <w:b/>
              </w:rPr>
            </w:pPr>
            <w:r w:rsidRPr="00A850C9">
              <w:rPr>
                <w:b/>
              </w:rPr>
              <w:t>Time 2</w:t>
            </w:r>
          </w:p>
        </w:tc>
      </w:tr>
      <w:tr w:rsidR="00556D62" w14:paraId="18D281F8" w14:textId="77777777" w:rsidTr="00114871">
        <w:trPr>
          <w:trHeight w:val="388"/>
        </w:trPr>
        <w:tc>
          <w:tcPr>
            <w:tcW w:w="5025" w:type="dxa"/>
            <w:tcBorders>
              <w:top w:val="single" w:sz="4" w:space="0" w:color="auto"/>
            </w:tcBorders>
          </w:tcPr>
          <w:p w14:paraId="5A92E872" w14:textId="77777777" w:rsidR="00556D62" w:rsidRPr="00352243" w:rsidRDefault="00556D62" w:rsidP="00AC411C">
            <w:pPr>
              <w:pStyle w:val="NoSpacing"/>
              <w:spacing w:line="360" w:lineRule="auto"/>
              <w:jc w:val="center"/>
            </w:pPr>
            <w:r w:rsidRPr="00352243">
              <w:t>Total number of ties in the network</w:t>
            </w:r>
          </w:p>
        </w:tc>
        <w:tc>
          <w:tcPr>
            <w:tcW w:w="1931" w:type="dxa"/>
            <w:tcBorders>
              <w:top w:val="single" w:sz="4" w:space="0" w:color="auto"/>
            </w:tcBorders>
          </w:tcPr>
          <w:p w14:paraId="50EC47A9" w14:textId="77777777" w:rsidR="00556D62" w:rsidRDefault="00556D62" w:rsidP="00556D62">
            <w:pPr>
              <w:pStyle w:val="NoSpacing"/>
              <w:spacing w:line="360" w:lineRule="auto"/>
              <w:jc w:val="center"/>
            </w:pPr>
            <w:r>
              <w:t>88</w:t>
            </w:r>
          </w:p>
        </w:tc>
        <w:tc>
          <w:tcPr>
            <w:tcW w:w="2055" w:type="dxa"/>
            <w:tcBorders>
              <w:top w:val="single" w:sz="4" w:space="0" w:color="auto"/>
            </w:tcBorders>
          </w:tcPr>
          <w:p w14:paraId="13860DF7" w14:textId="77777777" w:rsidR="00556D62" w:rsidRDefault="00556D62" w:rsidP="00556D62">
            <w:pPr>
              <w:pStyle w:val="NoSpacing"/>
              <w:spacing w:line="360" w:lineRule="auto"/>
              <w:jc w:val="center"/>
            </w:pPr>
            <w:r>
              <w:t>110</w:t>
            </w:r>
          </w:p>
        </w:tc>
      </w:tr>
      <w:tr w:rsidR="00556D62" w14:paraId="4B4E9F6B" w14:textId="77777777" w:rsidTr="00114871">
        <w:trPr>
          <w:trHeight w:val="388"/>
        </w:trPr>
        <w:tc>
          <w:tcPr>
            <w:tcW w:w="5025" w:type="dxa"/>
          </w:tcPr>
          <w:p w14:paraId="5ED0B446" w14:textId="77777777" w:rsidR="00556D62" w:rsidRPr="00352243" w:rsidRDefault="00556D62" w:rsidP="00AC411C">
            <w:pPr>
              <w:pStyle w:val="NoSpacing"/>
              <w:spacing w:line="360" w:lineRule="auto"/>
              <w:jc w:val="center"/>
            </w:pPr>
            <w:r w:rsidRPr="00352243">
              <w:t>Network density</w:t>
            </w:r>
          </w:p>
        </w:tc>
        <w:tc>
          <w:tcPr>
            <w:tcW w:w="1931" w:type="dxa"/>
          </w:tcPr>
          <w:p w14:paraId="07A0CF94" w14:textId="77777777" w:rsidR="00556D62" w:rsidRDefault="00556D62" w:rsidP="00556D62">
            <w:pPr>
              <w:pStyle w:val="NoSpacing"/>
              <w:spacing w:line="360" w:lineRule="auto"/>
              <w:jc w:val="center"/>
            </w:pPr>
            <w:r>
              <w:t>0.028</w:t>
            </w:r>
          </w:p>
        </w:tc>
        <w:tc>
          <w:tcPr>
            <w:tcW w:w="2055" w:type="dxa"/>
          </w:tcPr>
          <w:p w14:paraId="3F4814B1" w14:textId="77777777" w:rsidR="00556D62" w:rsidRDefault="00556D62" w:rsidP="00556D62">
            <w:pPr>
              <w:pStyle w:val="NoSpacing"/>
              <w:spacing w:line="360" w:lineRule="auto"/>
              <w:jc w:val="center"/>
            </w:pPr>
            <w:r>
              <w:t>0.034</w:t>
            </w:r>
          </w:p>
        </w:tc>
      </w:tr>
      <w:tr w:rsidR="00556D62" w14:paraId="147DCBD8" w14:textId="77777777" w:rsidTr="00114871">
        <w:trPr>
          <w:trHeight w:val="388"/>
        </w:trPr>
        <w:tc>
          <w:tcPr>
            <w:tcW w:w="5025" w:type="dxa"/>
          </w:tcPr>
          <w:p w14:paraId="2246B2E6" w14:textId="61C23E2D" w:rsidR="00556D62" w:rsidRPr="00352243" w:rsidRDefault="00556D62" w:rsidP="00765639">
            <w:pPr>
              <w:pStyle w:val="NoSpacing"/>
              <w:spacing w:line="360" w:lineRule="auto"/>
              <w:jc w:val="center"/>
            </w:pPr>
            <w:r w:rsidRPr="00352243">
              <w:t xml:space="preserve">Mean </w:t>
            </w:r>
            <w:r w:rsidR="0020329F">
              <w:t>in/</w:t>
            </w:r>
            <w:r w:rsidR="00765639">
              <w:t>out-degree</w:t>
            </w:r>
          </w:p>
        </w:tc>
        <w:tc>
          <w:tcPr>
            <w:tcW w:w="1931" w:type="dxa"/>
          </w:tcPr>
          <w:p w14:paraId="0D49F208" w14:textId="0E4F1506" w:rsidR="00556D62" w:rsidRDefault="00765639" w:rsidP="00765639">
            <w:pPr>
              <w:pStyle w:val="NoSpacing"/>
              <w:spacing w:line="360" w:lineRule="auto"/>
              <w:jc w:val="center"/>
            </w:pPr>
            <w:r>
              <w:t>1.5</w:t>
            </w:r>
          </w:p>
        </w:tc>
        <w:tc>
          <w:tcPr>
            <w:tcW w:w="2055" w:type="dxa"/>
          </w:tcPr>
          <w:p w14:paraId="68D6D387" w14:textId="614A9145" w:rsidR="00556D62" w:rsidRDefault="00556D62" w:rsidP="00765639">
            <w:pPr>
              <w:pStyle w:val="NoSpacing"/>
              <w:spacing w:line="360" w:lineRule="auto"/>
              <w:jc w:val="center"/>
            </w:pPr>
            <w:r>
              <w:t>1</w:t>
            </w:r>
            <w:r w:rsidR="00F432DA">
              <w:t>.9</w:t>
            </w:r>
          </w:p>
        </w:tc>
      </w:tr>
    </w:tbl>
    <w:p w14:paraId="07C61BF9" w14:textId="7CF785CE" w:rsidR="00BB7792" w:rsidRPr="006743B4" w:rsidRDefault="00D22035" w:rsidP="00556D62">
      <w:r>
        <w:rPr>
          <w:b/>
        </w:rPr>
        <w:t>Table 5</w:t>
      </w:r>
      <w:r w:rsidR="007A4D47">
        <w:rPr>
          <w:b/>
        </w:rPr>
        <w:t xml:space="preserve"> |</w:t>
      </w:r>
      <w:r w:rsidR="00BB7792">
        <w:rPr>
          <w:b/>
        </w:rPr>
        <w:t xml:space="preserve"> </w:t>
      </w:r>
      <w:r w:rsidR="00847066">
        <w:t xml:space="preserve">Properties </w:t>
      </w:r>
      <w:r w:rsidR="003E26E7">
        <w:t>of the network</w:t>
      </w:r>
      <w:r w:rsidR="008B4FF8">
        <w:t>.</w:t>
      </w:r>
    </w:p>
    <w:p w14:paraId="428B16BE" w14:textId="49313695" w:rsidR="000565C9" w:rsidRDefault="000565C9" w:rsidP="00BB7792">
      <w:pPr>
        <w:pStyle w:val="NoSpacing"/>
        <w:spacing w:line="360" w:lineRule="auto"/>
      </w:pPr>
    </w:p>
    <w:p w14:paraId="0653F8BD" w14:textId="39CBCD87" w:rsidR="0018553C" w:rsidRDefault="0018553C" w:rsidP="0018553C">
      <w:pPr>
        <w:pStyle w:val="NoSpacing"/>
        <w:ind w:firstLine="720"/>
      </w:pPr>
      <w:r>
        <w:t>The network was characterised by a flat structure in which there were no clear opinion leaders. The strong negative outdegree effect indicates that farmers were not inclined to form bonds with others. Farmers were primarily keen to engage in</w:t>
      </w:r>
      <w:r w:rsidR="00270F42">
        <w:t xml:space="preserve"> </w:t>
      </w:r>
      <w:r>
        <w:t>bi-directional exchange</w:t>
      </w:r>
      <w:r w:rsidR="00270F42">
        <w:t>s</w:t>
      </w:r>
      <w:r>
        <w:t xml:space="preserve"> and to share information within closed clusters, as indicated by the positive reciprocity and transitive ties effects (</w:t>
      </w:r>
      <w:r w:rsidR="00D34FFB">
        <w:t>Table 6</w:t>
      </w:r>
      <w:r>
        <w:t xml:space="preserve">). </w:t>
      </w:r>
      <w:r w:rsidR="006538B5">
        <w:t>People were more like to fo</w:t>
      </w:r>
      <w:r w:rsidR="00232233">
        <w:t>rm a bo</w:t>
      </w:r>
      <w:r w:rsidR="005C6BB4">
        <w:t>nd with someone who lived</w:t>
      </w:r>
      <w:r w:rsidR="00232233">
        <w:t xml:space="preserve"> close to them or who </w:t>
      </w:r>
      <w:r w:rsidR="005C6BB4">
        <w:t>wa</w:t>
      </w:r>
      <w:r w:rsidR="00232233">
        <w:t>s</w:t>
      </w:r>
      <w:r w:rsidR="006538B5">
        <w:t xml:space="preserve"> from the same clan (</w:t>
      </w:r>
      <w:r w:rsidR="00D34FFB">
        <w:t>Table 6</w:t>
      </w:r>
      <w:r w:rsidR="006538B5">
        <w:t xml:space="preserve">). </w:t>
      </w:r>
      <w:r w:rsidR="002B7901">
        <w:t>There was a tendency, significant at the p &lt; 0.1 level, for men to form bonds with other men and women with women (</w:t>
      </w:r>
      <w:r w:rsidR="00D34FFB">
        <w:t>Table 6</w:t>
      </w:r>
      <w:r w:rsidR="002B7901">
        <w:t>).</w:t>
      </w:r>
    </w:p>
    <w:p w14:paraId="5CD56CA7" w14:textId="27B91D99" w:rsidR="0018553C" w:rsidRDefault="000F6B86" w:rsidP="00565AC7">
      <w:pPr>
        <w:pStyle w:val="NoSpacing"/>
        <w:ind w:firstLine="720"/>
      </w:pPr>
      <w:r>
        <w:t>The main change in the network from the first to the second survey was related to p</w:t>
      </w:r>
      <w:r w:rsidR="00047DE4" w:rsidRPr="008B643A">
        <w:t xml:space="preserve">articipation in the research </w:t>
      </w:r>
      <w:r w:rsidR="0036204D" w:rsidRPr="008B643A">
        <w:t>project</w:t>
      </w:r>
      <w:r w:rsidR="00047DE4" w:rsidRPr="008B643A">
        <w:t>. Those farmers who were selected as resea</w:t>
      </w:r>
      <w:r w:rsidR="00DB7104" w:rsidRPr="008B643A">
        <w:t>rch assistants were more sought-</w:t>
      </w:r>
      <w:r w:rsidR="00047DE4" w:rsidRPr="008B643A">
        <w:t xml:space="preserve">after by others for farming advice compared to non-participants </w:t>
      </w:r>
      <w:r w:rsidR="00A52301" w:rsidRPr="008B643A">
        <w:t xml:space="preserve">at the time of </w:t>
      </w:r>
      <w:r w:rsidR="00A52301" w:rsidRPr="008B643A">
        <w:lastRenderedPageBreak/>
        <w:t>the second survey</w:t>
      </w:r>
      <w:r w:rsidR="004F6459" w:rsidRPr="008B643A">
        <w:t xml:space="preserve"> compared to </w:t>
      </w:r>
      <w:r w:rsidR="00426C0C" w:rsidRPr="008B643A">
        <w:t>the first survey</w:t>
      </w:r>
      <w:r w:rsidR="00C744A1" w:rsidRPr="008B643A">
        <w:t xml:space="preserve"> </w:t>
      </w:r>
      <w:r w:rsidR="00047DE4" w:rsidRPr="008B643A">
        <w:t>(</w:t>
      </w:r>
      <w:r w:rsidR="00D34FFB">
        <w:t>Table 6</w:t>
      </w:r>
      <w:r w:rsidR="00047DE4" w:rsidRPr="008B643A">
        <w:t xml:space="preserve">). Project garden owners, </w:t>
      </w:r>
      <w:r w:rsidR="00FA4CD6" w:rsidRPr="008B643A">
        <w:t>however</w:t>
      </w:r>
      <w:r w:rsidR="00701B34" w:rsidRPr="008B643A">
        <w:t xml:space="preserve">, did </w:t>
      </w:r>
      <w:r w:rsidR="00047DE4" w:rsidRPr="008B643A">
        <w:t xml:space="preserve">not </w:t>
      </w:r>
      <w:r w:rsidR="001D79F3" w:rsidRPr="008B643A">
        <w:t xml:space="preserve">get </w:t>
      </w:r>
      <w:r w:rsidR="009F71DE" w:rsidRPr="008B643A">
        <w:t>nominated more often</w:t>
      </w:r>
      <w:r w:rsidR="00AA4425" w:rsidRPr="008B643A">
        <w:t xml:space="preserve"> during the second survey compared to the first</w:t>
      </w:r>
      <w:r w:rsidR="00845F4B" w:rsidRPr="008B643A">
        <w:t>.</w:t>
      </w:r>
      <w:r w:rsidR="00565AC7">
        <w:t xml:space="preserve"> </w:t>
      </w:r>
    </w:p>
    <w:p w14:paraId="35A0FE28" w14:textId="507D383F" w:rsidR="003058E3" w:rsidRDefault="003058E3" w:rsidP="006A381B">
      <w:pPr>
        <w:pStyle w:val="NoSpacing"/>
      </w:pPr>
    </w:p>
    <w:p w14:paraId="4674A21F" w14:textId="2E90F30B" w:rsidR="006A381B" w:rsidRDefault="006A381B" w:rsidP="006A381B">
      <w:r w:rsidRPr="008B643A">
        <w:rPr>
          <w:b/>
        </w:rPr>
        <w:t>Table 6</w:t>
      </w:r>
      <w:r w:rsidR="007A4D47">
        <w:rPr>
          <w:b/>
        </w:rPr>
        <w:t xml:space="preserve"> |</w:t>
      </w:r>
      <w:r w:rsidRPr="008B643A">
        <w:t xml:space="preserve"> Dynamics of</w:t>
      </w:r>
      <w:r w:rsidR="004B463C">
        <w:t xml:space="preserve"> the network. (+)/(-) = p &lt; 0.1,</w:t>
      </w:r>
      <w:r w:rsidRPr="008B643A">
        <w:t xml:space="preserve"> +/- = p &lt; 0</w:t>
      </w:r>
      <w:r w:rsidR="004B463C">
        <w:t>.05, ++/-- = p &lt; 0.01, +++/--- = p &lt; 0.001, with +</w:t>
      </w:r>
      <w:r w:rsidRPr="008B643A">
        <w:t xml:space="preserve"> indi</w:t>
      </w:r>
      <w:r w:rsidR="004B463C">
        <w:t xml:space="preserve">cating a positive effect and </w:t>
      </w:r>
      <w:r w:rsidR="00B00AD1">
        <w:t>-</w:t>
      </w:r>
      <w:r w:rsidRPr="008B643A">
        <w:t xml:space="preserve"> a negative effect. The estimate shows the change between the two surveys in the effect of the variable. Here</w:t>
      </w:r>
      <w:r w:rsidR="00551017">
        <w:t xml:space="preserve"> we </w:t>
      </w:r>
      <w:r w:rsidRPr="008B643A">
        <w:t xml:space="preserve">display only the effects of interest. For a table of the full model and the model’s goodness of fit, see </w:t>
      </w:r>
      <w:r>
        <w:t>Appendix</w:t>
      </w:r>
      <w:r w:rsidRPr="008B643A">
        <w:t>, Table 7.</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4140"/>
        <w:gridCol w:w="1260"/>
        <w:gridCol w:w="1260"/>
        <w:gridCol w:w="720"/>
      </w:tblGrid>
      <w:tr w:rsidR="006A381B" w:rsidRPr="00BF1994" w14:paraId="0744F252" w14:textId="77777777" w:rsidTr="00772EAD">
        <w:tc>
          <w:tcPr>
            <w:tcW w:w="1620" w:type="dxa"/>
            <w:tcBorders>
              <w:bottom w:val="single" w:sz="4" w:space="0" w:color="auto"/>
            </w:tcBorders>
            <w:shd w:val="clear" w:color="auto" w:fill="A6A6A6" w:themeFill="background1" w:themeFillShade="A6"/>
          </w:tcPr>
          <w:p w14:paraId="037C68FD" w14:textId="77777777" w:rsidR="006A381B" w:rsidRPr="00BF1994" w:rsidRDefault="006A381B" w:rsidP="006A381B">
            <w:pPr>
              <w:pStyle w:val="NoSpacing"/>
              <w:spacing w:line="360" w:lineRule="auto"/>
            </w:pPr>
          </w:p>
        </w:tc>
        <w:tc>
          <w:tcPr>
            <w:tcW w:w="4140" w:type="dxa"/>
            <w:tcBorders>
              <w:bottom w:val="single" w:sz="4" w:space="0" w:color="auto"/>
            </w:tcBorders>
            <w:shd w:val="clear" w:color="auto" w:fill="A6A6A6" w:themeFill="background1" w:themeFillShade="A6"/>
          </w:tcPr>
          <w:p w14:paraId="56D470B3" w14:textId="77777777" w:rsidR="006A381B" w:rsidRPr="00BF1994" w:rsidRDefault="006A381B" w:rsidP="006A381B">
            <w:pPr>
              <w:pStyle w:val="NoSpacing"/>
              <w:spacing w:line="360" w:lineRule="auto"/>
              <w:jc w:val="center"/>
              <w:rPr>
                <w:b/>
              </w:rPr>
            </w:pPr>
            <w:r w:rsidRPr="00BF1994">
              <w:rPr>
                <w:b/>
              </w:rPr>
              <w:t>Description</w:t>
            </w:r>
          </w:p>
        </w:tc>
        <w:tc>
          <w:tcPr>
            <w:tcW w:w="1260" w:type="dxa"/>
            <w:tcBorders>
              <w:bottom w:val="single" w:sz="4" w:space="0" w:color="auto"/>
            </w:tcBorders>
            <w:shd w:val="clear" w:color="auto" w:fill="A6A6A6" w:themeFill="background1" w:themeFillShade="A6"/>
          </w:tcPr>
          <w:p w14:paraId="2EF4651C" w14:textId="77777777" w:rsidR="006A381B" w:rsidRPr="00BF1994" w:rsidRDefault="006A381B" w:rsidP="006A381B">
            <w:pPr>
              <w:pStyle w:val="NoSpacing"/>
              <w:spacing w:line="360" w:lineRule="auto"/>
              <w:jc w:val="center"/>
              <w:rPr>
                <w:b/>
              </w:rPr>
            </w:pPr>
            <w:r>
              <w:rPr>
                <w:b/>
              </w:rPr>
              <w:t>Estimate</w:t>
            </w:r>
          </w:p>
        </w:tc>
        <w:tc>
          <w:tcPr>
            <w:tcW w:w="1260" w:type="dxa"/>
            <w:tcBorders>
              <w:bottom w:val="single" w:sz="4" w:space="0" w:color="auto"/>
            </w:tcBorders>
            <w:shd w:val="clear" w:color="auto" w:fill="A6A6A6" w:themeFill="background1" w:themeFillShade="A6"/>
          </w:tcPr>
          <w:p w14:paraId="70D7B417" w14:textId="77777777" w:rsidR="006A381B" w:rsidRPr="00BF1994" w:rsidRDefault="006A381B" w:rsidP="006A381B">
            <w:pPr>
              <w:pStyle w:val="NoSpacing"/>
              <w:spacing w:line="360" w:lineRule="auto"/>
              <w:jc w:val="center"/>
              <w:rPr>
                <w:b/>
              </w:rPr>
            </w:pPr>
            <w:r w:rsidRPr="00BF1994">
              <w:rPr>
                <w:b/>
              </w:rPr>
              <w:t>Standard error</w:t>
            </w:r>
          </w:p>
        </w:tc>
        <w:tc>
          <w:tcPr>
            <w:tcW w:w="720" w:type="dxa"/>
            <w:tcBorders>
              <w:bottom w:val="single" w:sz="4" w:space="0" w:color="auto"/>
            </w:tcBorders>
            <w:shd w:val="clear" w:color="auto" w:fill="A6A6A6" w:themeFill="background1" w:themeFillShade="A6"/>
          </w:tcPr>
          <w:p w14:paraId="1E24DD27" w14:textId="77777777" w:rsidR="006A381B" w:rsidRPr="00BF1994" w:rsidRDefault="006A381B" w:rsidP="006A381B">
            <w:pPr>
              <w:pStyle w:val="NoSpacing"/>
              <w:spacing w:line="360" w:lineRule="auto"/>
              <w:jc w:val="center"/>
              <w:rPr>
                <w:b/>
              </w:rPr>
            </w:pPr>
            <w:r w:rsidRPr="00BF1994">
              <w:rPr>
                <w:b/>
              </w:rPr>
              <w:t>p-level</w:t>
            </w:r>
          </w:p>
        </w:tc>
      </w:tr>
      <w:tr w:rsidR="006A381B" w:rsidRPr="00BF1994" w14:paraId="50E42020" w14:textId="77777777" w:rsidTr="00772EAD">
        <w:tc>
          <w:tcPr>
            <w:tcW w:w="9000" w:type="dxa"/>
            <w:gridSpan w:val="5"/>
            <w:tcBorders>
              <w:top w:val="single" w:sz="4" w:space="0" w:color="auto"/>
              <w:bottom w:val="single" w:sz="4" w:space="0" w:color="auto"/>
            </w:tcBorders>
            <w:shd w:val="clear" w:color="auto" w:fill="auto"/>
          </w:tcPr>
          <w:p w14:paraId="7B10DC66" w14:textId="77777777" w:rsidR="006A381B" w:rsidRPr="00BF1994" w:rsidRDefault="006A381B" w:rsidP="006A381B">
            <w:pPr>
              <w:pStyle w:val="NoSpacing"/>
              <w:spacing w:line="360" w:lineRule="auto"/>
              <w:jc w:val="center"/>
              <w:rPr>
                <w:i/>
              </w:rPr>
            </w:pPr>
            <w:r w:rsidRPr="00BF1994">
              <w:rPr>
                <w:i/>
              </w:rPr>
              <w:t>Structural network effects</w:t>
            </w:r>
          </w:p>
        </w:tc>
      </w:tr>
      <w:tr w:rsidR="006A381B" w:rsidRPr="00BF1994" w14:paraId="743C32C7" w14:textId="77777777" w:rsidTr="00772EAD">
        <w:tc>
          <w:tcPr>
            <w:tcW w:w="1620" w:type="dxa"/>
            <w:tcBorders>
              <w:top w:val="single" w:sz="4" w:space="0" w:color="auto"/>
            </w:tcBorders>
          </w:tcPr>
          <w:p w14:paraId="5AB15B31" w14:textId="77777777" w:rsidR="006A381B" w:rsidRPr="003A3B19" w:rsidRDefault="006A381B" w:rsidP="006A381B">
            <w:pPr>
              <w:pStyle w:val="NoSpacing"/>
              <w:spacing w:line="360" w:lineRule="auto"/>
            </w:pPr>
            <w:r w:rsidRPr="003A3B19">
              <w:t xml:space="preserve">Outdegree </w:t>
            </w:r>
          </w:p>
        </w:tc>
        <w:tc>
          <w:tcPr>
            <w:tcW w:w="4140" w:type="dxa"/>
            <w:tcBorders>
              <w:top w:val="single" w:sz="4" w:space="0" w:color="auto"/>
            </w:tcBorders>
          </w:tcPr>
          <w:p w14:paraId="61045265" w14:textId="77777777" w:rsidR="006A381B" w:rsidRPr="00BF1994" w:rsidRDefault="006A381B" w:rsidP="006A381B">
            <w:pPr>
              <w:pStyle w:val="NoSpacing"/>
              <w:spacing w:line="360" w:lineRule="auto"/>
            </w:pPr>
            <w:r w:rsidRPr="00BF1994">
              <w:t>Overall information-seeking activity</w:t>
            </w:r>
          </w:p>
        </w:tc>
        <w:tc>
          <w:tcPr>
            <w:tcW w:w="1260" w:type="dxa"/>
            <w:tcBorders>
              <w:top w:val="single" w:sz="4" w:space="0" w:color="auto"/>
            </w:tcBorders>
            <w:vAlign w:val="center"/>
          </w:tcPr>
          <w:p w14:paraId="7DD9E699"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-2.3746</w:t>
            </w:r>
          </w:p>
        </w:tc>
        <w:tc>
          <w:tcPr>
            <w:tcW w:w="1260" w:type="dxa"/>
            <w:tcBorders>
              <w:top w:val="single" w:sz="4" w:space="0" w:color="auto"/>
            </w:tcBorders>
          </w:tcPr>
          <w:p w14:paraId="2B7069BA"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0.7073</w:t>
            </w:r>
          </w:p>
        </w:tc>
        <w:tc>
          <w:tcPr>
            <w:tcW w:w="720" w:type="dxa"/>
            <w:tcBorders>
              <w:top w:val="single" w:sz="4" w:space="0" w:color="auto"/>
            </w:tcBorders>
          </w:tcPr>
          <w:p w14:paraId="1294DF03" w14:textId="77777777" w:rsidR="006A381B" w:rsidRPr="001D38B3" w:rsidRDefault="006A381B" w:rsidP="006A381B">
            <w:pPr>
              <w:pStyle w:val="NoSpacing"/>
              <w:spacing w:line="360" w:lineRule="auto"/>
              <w:jc w:val="center"/>
            </w:pPr>
            <w:r>
              <w:rPr>
                <w:color w:val="000000"/>
              </w:rPr>
              <w:t>---</w:t>
            </w:r>
          </w:p>
        </w:tc>
      </w:tr>
      <w:tr w:rsidR="006A381B" w:rsidRPr="00BF1994" w14:paraId="356711C6" w14:textId="77777777" w:rsidTr="00772EAD">
        <w:tc>
          <w:tcPr>
            <w:tcW w:w="1620" w:type="dxa"/>
          </w:tcPr>
          <w:p w14:paraId="44750171" w14:textId="77777777" w:rsidR="006A381B" w:rsidRPr="003A3B19" w:rsidRDefault="006A381B" w:rsidP="006A381B">
            <w:pPr>
              <w:pStyle w:val="NoSpacing"/>
              <w:spacing w:line="360" w:lineRule="auto"/>
            </w:pPr>
            <w:r w:rsidRPr="003A3B19">
              <w:t>Reciprocity</w:t>
            </w:r>
          </w:p>
        </w:tc>
        <w:tc>
          <w:tcPr>
            <w:tcW w:w="4140" w:type="dxa"/>
          </w:tcPr>
          <w:p w14:paraId="57C51D59" w14:textId="77777777" w:rsidR="006A381B" w:rsidRPr="00BF1994" w:rsidRDefault="006A381B" w:rsidP="006A381B">
            <w:pPr>
              <w:pStyle w:val="NoSpacing"/>
              <w:spacing w:line="360" w:lineRule="auto"/>
            </w:pPr>
            <w:r>
              <w:t>Mutual information exchange</w:t>
            </w:r>
          </w:p>
        </w:tc>
        <w:tc>
          <w:tcPr>
            <w:tcW w:w="1260" w:type="dxa"/>
            <w:vAlign w:val="center"/>
          </w:tcPr>
          <w:p w14:paraId="4003BC3E"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1.7578</w:t>
            </w:r>
          </w:p>
        </w:tc>
        <w:tc>
          <w:tcPr>
            <w:tcW w:w="1260" w:type="dxa"/>
          </w:tcPr>
          <w:p w14:paraId="6A59795A"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0.3358</w:t>
            </w:r>
          </w:p>
        </w:tc>
        <w:tc>
          <w:tcPr>
            <w:tcW w:w="720" w:type="dxa"/>
          </w:tcPr>
          <w:p w14:paraId="059161F1" w14:textId="77777777" w:rsidR="006A381B" w:rsidRPr="00BF1994" w:rsidRDefault="006A381B" w:rsidP="006A381B">
            <w:pPr>
              <w:pStyle w:val="NoSpacing"/>
              <w:spacing w:line="360" w:lineRule="auto"/>
              <w:jc w:val="center"/>
            </w:pPr>
            <w:r>
              <w:rPr>
                <w:color w:val="000000"/>
              </w:rPr>
              <w:t>+++</w:t>
            </w:r>
          </w:p>
        </w:tc>
      </w:tr>
      <w:tr w:rsidR="006A381B" w:rsidRPr="00BF1994" w14:paraId="6289524D" w14:textId="77777777" w:rsidTr="00772EAD">
        <w:tc>
          <w:tcPr>
            <w:tcW w:w="1620" w:type="dxa"/>
          </w:tcPr>
          <w:p w14:paraId="4E21ADBF" w14:textId="77777777" w:rsidR="006A381B" w:rsidRPr="003A3B19" w:rsidRDefault="006A381B" w:rsidP="006A381B">
            <w:pPr>
              <w:pStyle w:val="NoSpacing"/>
              <w:spacing w:line="360" w:lineRule="auto"/>
            </w:pPr>
            <w:r w:rsidRPr="003A3B19">
              <w:t>Transitive ties</w:t>
            </w:r>
          </w:p>
        </w:tc>
        <w:tc>
          <w:tcPr>
            <w:tcW w:w="4140" w:type="dxa"/>
          </w:tcPr>
          <w:p w14:paraId="7D1369E6" w14:textId="77777777" w:rsidR="006A381B" w:rsidRPr="00BF1994" w:rsidRDefault="006A381B" w:rsidP="006A381B">
            <w:pPr>
              <w:pStyle w:val="NoSpacing"/>
              <w:spacing w:line="360" w:lineRule="auto"/>
            </w:pPr>
            <w:r w:rsidRPr="00BF1994">
              <w:t>Clustering of information network</w:t>
            </w:r>
          </w:p>
        </w:tc>
        <w:tc>
          <w:tcPr>
            <w:tcW w:w="1260" w:type="dxa"/>
            <w:vAlign w:val="center"/>
          </w:tcPr>
          <w:p w14:paraId="6CD2A3DF"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0.6821</w:t>
            </w:r>
          </w:p>
        </w:tc>
        <w:tc>
          <w:tcPr>
            <w:tcW w:w="1260" w:type="dxa"/>
          </w:tcPr>
          <w:p w14:paraId="67E5A403"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0.2078</w:t>
            </w:r>
          </w:p>
        </w:tc>
        <w:tc>
          <w:tcPr>
            <w:tcW w:w="720" w:type="dxa"/>
          </w:tcPr>
          <w:p w14:paraId="6FD1E69F" w14:textId="77777777" w:rsidR="006A381B" w:rsidRPr="00BF1994" w:rsidRDefault="006A381B" w:rsidP="006A381B">
            <w:pPr>
              <w:pStyle w:val="NoSpacing"/>
              <w:spacing w:line="360" w:lineRule="auto"/>
              <w:jc w:val="center"/>
            </w:pPr>
            <w:r>
              <w:rPr>
                <w:color w:val="000000"/>
              </w:rPr>
              <w:t>++</w:t>
            </w:r>
          </w:p>
        </w:tc>
      </w:tr>
      <w:tr w:rsidR="006A381B" w:rsidRPr="00BF1994" w14:paraId="3904EEE6" w14:textId="77777777" w:rsidTr="00772EAD">
        <w:tc>
          <w:tcPr>
            <w:tcW w:w="1620" w:type="dxa"/>
          </w:tcPr>
          <w:p w14:paraId="49274D95" w14:textId="77777777" w:rsidR="006A381B" w:rsidRPr="003A3B19" w:rsidRDefault="006A381B" w:rsidP="006A381B">
            <w:pPr>
              <w:pStyle w:val="NoSpacing"/>
              <w:spacing w:line="360" w:lineRule="auto"/>
            </w:pPr>
            <w:r w:rsidRPr="003A3B19">
              <w:t>Distance</w:t>
            </w:r>
          </w:p>
        </w:tc>
        <w:tc>
          <w:tcPr>
            <w:tcW w:w="4140" w:type="dxa"/>
          </w:tcPr>
          <w:p w14:paraId="03D81F67" w14:textId="77777777" w:rsidR="006A381B" w:rsidRPr="00BF1994" w:rsidRDefault="006A381B" w:rsidP="006A381B">
            <w:pPr>
              <w:pStyle w:val="NoSpacing"/>
              <w:spacing w:line="360" w:lineRule="auto"/>
            </w:pPr>
            <w:r w:rsidRPr="00BF1994">
              <w:t>Geographical proximity influences tie formation</w:t>
            </w:r>
          </w:p>
        </w:tc>
        <w:tc>
          <w:tcPr>
            <w:tcW w:w="1260" w:type="dxa"/>
          </w:tcPr>
          <w:p w14:paraId="153976D5" w14:textId="77777777" w:rsidR="006A381B" w:rsidRPr="00650E45" w:rsidRDefault="006A381B" w:rsidP="006A381B">
            <w:pPr>
              <w:pStyle w:val="NoSpacing"/>
              <w:spacing w:line="360" w:lineRule="auto"/>
              <w:jc w:val="center"/>
            </w:pPr>
            <w:r w:rsidRPr="00650E45">
              <w:rPr>
                <w:rStyle w:val="gd15mcfceub"/>
              </w:rPr>
              <w:t>-0.0020</w:t>
            </w:r>
          </w:p>
        </w:tc>
        <w:tc>
          <w:tcPr>
            <w:tcW w:w="1260" w:type="dxa"/>
          </w:tcPr>
          <w:p w14:paraId="589076A2" w14:textId="77777777" w:rsidR="006A381B" w:rsidRPr="00650E45" w:rsidRDefault="006A381B" w:rsidP="006A381B">
            <w:pPr>
              <w:pStyle w:val="NoSpacing"/>
              <w:spacing w:line="360" w:lineRule="auto"/>
              <w:jc w:val="center"/>
            </w:pPr>
            <w:r w:rsidRPr="00650E45">
              <w:rPr>
                <w:rStyle w:val="gd15mcfceub"/>
              </w:rPr>
              <w:t>0.0005</w:t>
            </w:r>
          </w:p>
        </w:tc>
        <w:tc>
          <w:tcPr>
            <w:tcW w:w="720" w:type="dxa"/>
          </w:tcPr>
          <w:p w14:paraId="392419F7" w14:textId="77777777" w:rsidR="006A381B" w:rsidRPr="00BF1994" w:rsidRDefault="006A381B" w:rsidP="006A381B">
            <w:pPr>
              <w:pStyle w:val="NoSpacing"/>
              <w:spacing w:line="360" w:lineRule="auto"/>
              <w:jc w:val="center"/>
            </w:pPr>
            <w:r>
              <w:rPr>
                <w:color w:val="000000"/>
              </w:rPr>
              <w:t>---</w:t>
            </w:r>
          </w:p>
        </w:tc>
      </w:tr>
      <w:tr w:rsidR="006A381B" w:rsidRPr="00BF1994" w14:paraId="7F8FDAB1" w14:textId="77777777" w:rsidTr="00772EAD">
        <w:tc>
          <w:tcPr>
            <w:tcW w:w="1620" w:type="dxa"/>
          </w:tcPr>
          <w:p w14:paraId="0D4DC30D" w14:textId="77777777" w:rsidR="006A381B" w:rsidRPr="003A3B19" w:rsidRDefault="006A381B" w:rsidP="006A381B">
            <w:pPr>
              <w:pStyle w:val="NoSpacing"/>
              <w:spacing w:line="360" w:lineRule="auto"/>
            </w:pPr>
            <w:r w:rsidRPr="003A3B19">
              <w:t>Same clan</w:t>
            </w:r>
          </w:p>
        </w:tc>
        <w:tc>
          <w:tcPr>
            <w:tcW w:w="4140" w:type="dxa"/>
          </w:tcPr>
          <w:p w14:paraId="7B4086DC" w14:textId="470C893C" w:rsidR="006A381B" w:rsidRPr="00BF1994" w:rsidRDefault="006A381B" w:rsidP="006A381B">
            <w:pPr>
              <w:pStyle w:val="NoSpacing"/>
              <w:spacing w:line="360" w:lineRule="auto"/>
            </w:pPr>
            <w:r w:rsidRPr="00BF1994">
              <w:t xml:space="preserve">Preference for </w:t>
            </w:r>
            <w:r w:rsidR="00772EAD">
              <w:t xml:space="preserve">advisors from </w:t>
            </w:r>
            <w:r w:rsidRPr="00BF1994">
              <w:t>same clan</w:t>
            </w:r>
          </w:p>
        </w:tc>
        <w:tc>
          <w:tcPr>
            <w:tcW w:w="1260" w:type="dxa"/>
          </w:tcPr>
          <w:p w14:paraId="7582AE83" w14:textId="77777777" w:rsidR="006A381B" w:rsidRPr="00650E45" w:rsidRDefault="006A381B" w:rsidP="006A381B">
            <w:pPr>
              <w:pStyle w:val="NoSpacing"/>
              <w:spacing w:line="360" w:lineRule="auto"/>
              <w:jc w:val="center"/>
            </w:pPr>
            <w:r w:rsidRPr="00650E45">
              <w:rPr>
                <w:rStyle w:val="gd15mcfceub"/>
              </w:rPr>
              <w:t>0.8106</w:t>
            </w:r>
          </w:p>
        </w:tc>
        <w:tc>
          <w:tcPr>
            <w:tcW w:w="1260" w:type="dxa"/>
          </w:tcPr>
          <w:p w14:paraId="316DDCE3" w14:textId="77777777" w:rsidR="006A381B" w:rsidRPr="00650E45" w:rsidRDefault="006A381B" w:rsidP="006A381B">
            <w:pPr>
              <w:pStyle w:val="NoSpacing"/>
              <w:spacing w:line="360" w:lineRule="auto"/>
              <w:jc w:val="center"/>
            </w:pPr>
            <w:r w:rsidRPr="00650E45">
              <w:rPr>
                <w:rStyle w:val="gd15mcfceub"/>
              </w:rPr>
              <w:t>0.3290</w:t>
            </w:r>
          </w:p>
        </w:tc>
        <w:tc>
          <w:tcPr>
            <w:tcW w:w="720" w:type="dxa"/>
          </w:tcPr>
          <w:p w14:paraId="5EBFCFB2" w14:textId="77777777" w:rsidR="006A381B" w:rsidRPr="00BF1994" w:rsidRDefault="006A381B" w:rsidP="006A381B">
            <w:pPr>
              <w:pStyle w:val="NoSpacing"/>
              <w:spacing w:line="360" w:lineRule="auto"/>
              <w:jc w:val="center"/>
            </w:pPr>
            <w:r>
              <w:t>+</w:t>
            </w:r>
          </w:p>
        </w:tc>
      </w:tr>
      <w:tr w:rsidR="006A381B" w:rsidRPr="00BF1994" w14:paraId="59B9ADCC" w14:textId="77777777" w:rsidTr="00772EAD">
        <w:tc>
          <w:tcPr>
            <w:tcW w:w="9000" w:type="dxa"/>
            <w:gridSpan w:val="5"/>
          </w:tcPr>
          <w:p w14:paraId="4CC5C23E" w14:textId="77777777" w:rsidR="006A381B" w:rsidRPr="003A3B19" w:rsidRDefault="006A381B" w:rsidP="006A381B">
            <w:pPr>
              <w:pStyle w:val="NoSpacing"/>
              <w:spacing w:line="360" w:lineRule="auto"/>
            </w:pPr>
            <w:r w:rsidRPr="003A3B19">
              <w:t xml:space="preserve">Gender </w:t>
            </w:r>
            <w:r w:rsidRPr="003A3B19">
              <w:rPr>
                <w:rFonts w:cstheme="minorHAnsi"/>
              </w:rPr>
              <w:t xml:space="preserve">with </w:t>
            </w:r>
            <w:r w:rsidRPr="003A3B19">
              <w:rPr>
                <w:rFonts w:ascii="Segoe UI Symbol" w:hAnsi="Segoe UI Symbol" w:cs="Segoe UI Symbol"/>
              </w:rPr>
              <w:t>♀</w:t>
            </w:r>
            <w:r w:rsidRPr="003A3B19">
              <w:rPr>
                <w:rFonts w:cstheme="minorHAnsi"/>
              </w:rPr>
              <w:t xml:space="preserve"> = 1</w:t>
            </w:r>
          </w:p>
        </w:tc>
      </w:tr>
      <w:tr w:rsidR="006A381B" w:rsidRPr="00BF1994" w14:paraId="2CA2AF26" w14:textId="77777777" w:rsidTr="00772EAD">
        <w:tc>
          <w:tcPr>
            <w:tcW w:w="1620" w:type="dxa"/>
          </w:tcPr>
          <w:p w14:paraId="434D4CD1" w14:textId="77777777" w:rsidR="006A381B" w:rsidRPr="003A3B19" w:rsidRDefault="006A381B" w:rsidP="006A381B">
            <w:pPr>
              <w:pStyle w:val="NoSpacing"/>
              <w:numPr>
                <w:ilvl w:val="0"/>
                <w:numId w:val="9"/>
              </w:numPr>
              <w:spacing w:line="360" w:lineRule="auto"/>
            </w:pPr>
            <w:r w:rsidRPr="003A3B19">
              <w:t>Ego</w:t>
            </w:r>
          </w:p>
        </w:tc>
        <w:tc>
          <w:tcPr>
            <w:tcW w:w="4140" w:type="dxa"/>
          </w:tcPr>
          <w:p w14:paraId="0788C260" w14:textId="77777777" w:rsidR="006A381B" w:rsidRPr="00BF1994" w:rsidRDefault="006A381B" w:rsidP="006A381B">
            <w:pPr>
              <w:pStyle w:val="NoSpacing"/>
              <w:spacing w:line="360" w:lineRule="auto"/>
            </w:pPr>
            <w:r w:rsidRPr="00BF1994">
              <w:t xml:space="preserve">Tendency for </w:t>
            </w:r>
            <w:r>
              <w:t>women</w:t>
            </w:r>
            <w:r w:rsidRPr="00BF1994">
              <w:t xml:space="preserve"> to seek more information</w:t>
            </w:r>
          </w:p>
        </w:tc>
        <w:tc>
          <w:tcPr>
            <w:tcW w:w="1260" w:type="dxa"/>
          </w:tcPr>
          <w:p w14:paraId="24958530"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0.2510</w:t>
            </w:r>
          </w:p>
        </w:tc>
        <w:tc>
          <w:tcPr>
            <w:tcW w:w="1260" w:type="dxa"/>
          </w:tcPr>
          <w:p w14:paraId="172351A4"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0.3154</w:t>
            </w:r>
          </w:p>
        </w:tc>
        <w:tc>
          <w:tcPr>
            <w:tcW w:w="720" w:type="dxa"/>
          </w:tcPr>
          <w:p w14:paraId="40FFB3D4" w14:textId="77777777" w:rsidR="006A381B" w:rsidRPr="00BF1994" w:rsidRDefault="006A381B" w:rsidP="006A381B">
            <w:pPr>
              <w:pStyle w:val="NoSpacing"/>
              <w:spacing w:line="360" w:lineRule="auto"/>
            </w:pPr>
          </w:p>
        </w:tc>
      </w:tr>
      <w:tr w:rsidR="006A381B" w:rsidRPr="00BF1994" w14:paraId="7E978DFC" w14:textId="77777777" w:rsidTr="00772EAD">
        <w:tc>
          <w:tcPr>
            <w:tcW w:w="1620" w:type="dxa"/>
          </w:tcPr>
          <w:p w14:paraId="78260431" w14:textId="77777777" w:rsidR="006A381B" w:rsidRPr="003A3B19" w:rsidRDefault="006A381B" w:rsidP="006A381B">
            <w:pPr>
              <w:pStyle w:val="NoSpacing"/>
              <w:numPr>
                <w:ilvl w:val="0"/>
                <w:numId w:val="9"/>
              </w:numPr>
              <w:spacing w:line="360" w:lineRule="auto"/>
            </w:pPr>
            <w:r w:rsidRPr="003A3B19">
              <w:t>Alter</w:t>
            </w:r>
          </w:p>
        </w:tc>
        <w:tc>
          <w:tcPr>
            <w:tcW w:w="4140" w:type="dxa"/>
          </w:tcPr>
          <w:p w14:paraId="657BBF43" w14:textId="77777777" w:rsidR="006A381B" w:rsidRPr="00BF1994" w:rsidRDefault="006A381B" w:rsidP="006A381B">
            <w:pPr>
              <w:pStyle w:val="NoSpacing"/>
              <w:spacing w:line="360" w:lineRule="auto"/>
            </w:pPr>
            <w:r w:rsidRPr="00BF1994">
              <w:t>Preference for female advisors</w:t>
            </w:r>
          </w:p>
        </w:tc>
        <w:tc>
          <w:tcPr>
            <w:tcW w:w="1260" w:type="dxa"/>
          </w:tcPr>
          <w:p w14:paraId="57656A18"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-0.5416</w:t>
            </w:r>
          </w:p>
        </w:tc>
        <w:tc>
          <w:tcPr>
            <w:tcW w:w="1260" w:type="dxa"/>
          </w:tcPr>
          <w:p w14:paraId="68A4051D"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0.2746</w:t>
            </w:r>
          </w:p>
        </w:tc>
        <w:tc>
          <w:tcPr>
            <w:tcW w:w="720" w:type="dxa"/>
          </w:tcPr>
          <w:p w14:paraId="77652709" w14:textId="77777777" w:rsidR="006A381B" w:rsidRPr="00BF1994" w:rsidRDefault="006A381B" w:rsidP="006A381B">
            <w:pPr>
              <w:pStyle w:val="NoSpacing"/>
              <w:spacing w:line="360" w:lineRule="auto"/>
              <w:jc w:val="center"/>
            </w:pPr>
            <w:r>
              <w:t>-</w:t>
            </w:r>
          </w:p>
        </w:tc>
      </w:tr>
      <w:tr w:rsidR="006A381B" w:rsidRPr="00BF1994" w14:paraId="6663CCA4" w14:textId="77777777" w:rsidTr="00772EAD">
        <w:tc>
          <w:tcPr>
            <w:tcW w:w="1620" w:type="dxa"/>
          </w:tcPr>
          <w:p w14:paraId="172EF75B" w14:textId="77777777" w:rsidR="006A381B" w:rsidRPr="003A3B19" w:rsidRDefault="006A381B" w:rsidP="006A381B">
            <w:pPr>
              <w:pStyle w:val="NoSpacing"/>
              <w:numPr>
                <w:ilvl w:val="0"/>
                <w:numId w:val="9"/>
              </w:numPr>
              <w:spacing w:line="360" w:lineRule="auto"/>
            </w:pPr>
            <w:r w:rsidRPr="003A3B19">
              <w:t>Same</w:t>
            </w:r>
          </w:p>
        </w:tc>
        <w:tc>
          <w:tcPr>
            <w:tcW w:w="4140" w:type="dxa"/>
          </w:tcPr>
          <w:p w14:paraId="7FD42CCE" w14:textId="379215A5" w:rsidR="006A381B" w:rsidRPr="00BF1994" w:rsidRDefault="006A381B" w:rsidP="006A381B">
            <w:pPr>
              <w:pStyle w:val="NoSpacing"/>
              <w:spacing w:line="360" w:lineRule="auto"/>
            </w:pPr>
            <w:r w:rsidRPr="00BF1994">
              <w:t>Preferenc</w:t>
            </w:r>
            <w:r w:rsidR="00772EAD">
              <w:t xml:space="preserve">e for advisors from </w:t>
            </w:r>
            <w:r>
              <w:t>same gender</w:t>
            </w:r>
          </w:p>
        </w:tc>
        <w:tc>
          <w:tcPr>
            <w:tcW w:w="1260" w:type="dxa"/>
          </w:tcPr>
          <w:p w14:paraId="09C7D75F"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0.4663</w:t>
            </w:r>
          </w:p>
        </w:tc>
        <w:tc>
          <w:tcPr>
            <w:tcW w:w="1260" w:type="dxa"/>
          </w:tcPr>
          <w:p w14:paraId="529E06CA"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0.2501</w:t>
            </w:r>
          </w:p>
        </w:tc>
        <w:tc>
          <w:tcPr>
            <w:tcW w:w="720" w:type="dxa"/>
          </w:tcPr>
          <w:p w14:paraId="137764D4" w14:textId="77777777" w:rsidR="006A381B" w:rsidRPr="00BF1994" w:rsidRDefault="006A381B" w:rsidP="006A381B">
            <w:pPr>
              <w:pStyle w:val="NoSpacing"/>
              <w:spacing w:line="360" w:lineRule="auto"/>
              <w:jc w:val="center"/>
            </w:pPr>
            <w:r>
              <w:t>(+)</w:t>
            </w:r>
          </w:p>
        </w:tc>
      </w:tr>
      <w:tr w:rsidR="006A381B" w:rsidRPr="00BF1994" w14:paraId="4CB7F596" w14:textId="77777777" w:rsidTr="00772EAD">
        <w:tc>
          <w:tcPr>
            <w:tcW w:w="9000" w:type="dxa"/>
            <w:gridSpan w:val="5"/>
          </w:tcPr>
          <w:p w14:paraId="1DAE8F30" w14:textId="77777777" w:rsidR="006A381B" w:rsidRPr="003A3B19" w:rsidRDefault="006A381B" w:rsidP="006A381B">
            <w:pPr>
              <w:pStyle w:val="NoSpacing"/>
              <w:spacing w:line="360" w:lineRule="auto"/>
            </w:pPr>
            <w:r w:rsidRPr="003A3B19">
              <w:t>Project garden owner</w:t>
            </w:r>
          </w:p>
        </w:tc>
      </w:tr>
      <w:tr w:rsidR="006A381B" w:rsidRPr="00BF1994" w14:paraId="11E35B23" w14:textId="77777777" w:rsidTr="00772EAD">
        <w:tc>
          <w:tcPr>
            <w:tcW w:w="1620" w:type="dxa"/>
          </w:tcPr>
          <w:p w14:paraId="48554A77" w14:textId="77777777" w:rsidR="006A381B" w:rsidRPr="003A3B19" w:rsidRDefault="006A381B" w:rsidP="006A381B">
            <w:pPr>
              <w:pStyle w:val="NoSpacing"/>
              <w:numPr>
                <w:ilvl w:val="0"/>
                <w:numId w:val="9"/>
              </w:numPr>
              <w:spacing w:line="360" w:lineRule="auto"/>
            </w:pPr>
            <w:r w:rsidRPr="003A3B19">
              <w:t>Ego</w:t>
            </w:r>
          </w:p>
        </w:tc>
        <w:tc>
          <w:tcPr>
            <w:tcW w:w="4140" w:type="dxa"/>
          </w:tcPr>
          <w:p w14:paraId="0B16A24E" w14:textId="77777777" w:rsidR="006A381B" w:rsidRPr="00BF1994" w:rsidRDefault="006A381B" w:rsidP="006A381B">
            <w:pPr>
              <w:pStyle w:val="NoSpacing"/>
              <w:spacing w:line="360" w:lineRule="auto"/>
            </w:pPr>
            <w:r w:rsidRPr="00BF1994">
              <w:t xml:space="preserve">Tendency for </w:t>
            </w:r>
            <w:r>
              <w:t>project garden owners</w:t>
            </w:r>
            <w:r w:rsidRPr="00BF1994">
              <w:t xml:space="preserve"> to seek more information</w:t>
            </w:r>
          </w:p>
        </w:tc>
        <w:tc>
          <w:tcPr>
            <w:tcW w:w="1260" w:type="dxa"/>
          </w:tcPr>
          <w:p w14:paraId="7E5D5376"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-0.1309</w:t>
            </w:r>
          </w:p>
        </w:tc>
        <w:tc>
          <w:tcPr>
            <w:tcW w:w="1260" w:type="dxa"/>
          </w:tcPr>
          <w:p w14:paraId="5D57E0DC"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0.4287</w:t>
            </w:r>
          </w:p>
        </w:tc>
        <w:tc>
          <w:tcPr>
            <w:tcW w:w="720" w:type="dxa"/>
          </w:tcPr>
          <w:p w14:paraId="0F5A2FAB" w14:textId="77777777" w:rsidR="006A381B" w:rsidRPr="00BF1994" w:rsidRDefault="006A381B" w:rsidP="006A381B">
            <w:pPr>
              <w:pStyle w:val="NoSpacing"/>
              <w:spacing w:line="360" w:lineRule="auto"/>
              <w:jc w:val="center"/>
            </w:pPr>
          </w:p>
        </w:tc>
      </w:tr>
      <w:tr w:rsidR="006A381B" w:rsidRPr="00BF1994" w14:paraId="587A858E" w14:textId="77777777" w:rsidTr="00772EAD">
        <w:tc>
          <w:tcPr>
            <w:tcW w:w="1620" w:type="dxa"/>
          </w:tcPr>
          <w:p w14:paraId="5A2C010A" w14:textId="77777777" w:rsidR="006A381B" w:rsidRPr="003A3B19" w:rsidRDefault="006A381B" w:rsidP="006A381B">
            <w:pPr>
              <w:pStyle w:val="NoSpacing"/>
              <w:numPr>
                <w:ilvl w:val="0"/>
                <w:numId w:val="9"/>
              </w:numPr>
              <w:spacing w:line="360" w:lineRule="auto"/>
            </w:pPr>
            <w:r w:rsidRPr="003A3B19">
              <w:t>Alter</w:t>
            </w:r>
          </w:p>
        </w:tc>
        <w:tc>
          <w:tcPr>
            <w:tcW w:w="4140" w:type="dxa"/>
          </w:tcPr>
          <w:p w14:paraId="6530C6BB" w14:textId="77777777" w:rsidR="006A381B" w:rsidRPr="00BF1994" w:rsidRDefault="006A381B" w:rsidP="006A381B">
            <w:pPr>
              <w:pStyle w:val="NoSpacing"/>
              <w:spacing w:line="360" w:lineRule="auto"/>
            </w:pPr>
            <w:r w:rsidRPr="00BF1994">
              <w:t xml:space="preserve">Preference for advisors who </w:t>
            </w:r>
            <w:r>
              <w:t>are project garden owners</w:t>
            </w:r>
          </w:p>
        </w:tc>
        <w:tc>
          <w:tcPr>
            <w:tcW w:w="1260" w:type="dxa"/>
          </w:tcPr>
          <w:p w14:paraId="1B44D591"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0.2593</w:t>
            </w:r>
          </w:p>
        </w:tc>
        <w:tc>
          <w:tcPr>
            <w:tcW w:w="1260" w:type="dxa"/>
          </w:tcPr>
          <w:p w14:paraId="3AC1E927"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0.4260</w:t>
            </w:r>
          </w:p>
        </w:tc>
        <w:tc>
          <w:tcPr>
            <w:tcW w:w="720" w:type="dxa"/>
          </w:tcPr>
          <w:p w14:paraId="3C1A4FF7" w14:textId="77777777" w:rsidR="006A381B" w:rsidRPr="00BF1994" w:rsidRDefault="006A381B" w:rsidP="006A381B">
            <w:pPr>
              <w:pStyle w:val="NoSpacing"/>
              <w:spacing w:line="360" w:lineRule="auto"/>
              <w:jc w:val="center"/>
            </w:pPr>
          </w:p>
        </w:tc>
      </w:tr>
      <w:tr w:rsidR="006A381B" w:rsidRPr="00BF1994" w14:paraId="32CFCFF2" w14:textId="77777777" w:rsidTr="00772EAD">
        <w:tc>
          <w:tcPr>
            <w:tcW w:w="1620" w:type="dxa"/>
          </w:tcPr>
          <w:p w14:paraId="6F6275B8" w14:textId="77777777" w:rsidR="006A381B" w:rsidRPr="003A3B19" w:rsidRDefault="006A381B" w:rsidP="006A381B">
            <w:pPr>
              <w:pStyle w:val="NoSpacing"/>
              <w:numPr>
                <w:ilvl w:val="0"/>
                <w:numId w:val="9"/>
              </w:numPr>
              <w:spacing w:line="360" w:lineRule="auto"/>
            </w:pPr>
            <w:r w:rsidRPr="003A3B19">
              <w:t>Same</w:t>
            </w:r>
          </w:p>
        </w:tc>
        <w:tc>
          <w:tcPr>
            <w:tcW w:w="4140" w:type="dxa"/>
          </w:tcPr>
          <w:p w14:paraId="2F4B0B95" w14:textId="77777777" w:rsidR="006A381B" w:rsidRPr="00BF1994" w:rsidRDefault="006A381B" w:rsidP="006A381B">
            <w:pPr>
              <w:pStyle w:val="NoSpacing"/>
              <w:spacing w:line="360" w:lineRule="auto"/>
            </w:pPr>
            <w:r w:rsidRPr="00BF1994">
              <w:t>Preference of</w:t>
            </w:r>
            <w:r>
              <w:t xml:space="preserve"> project garden owners toward project garden owners</w:t>
            </w:r>
          </w:p>
        </w:tc>
        <w:tc>
          <w:tcPr>
            <w:tcW w:w="1260" w:type="dxa"/>
          </w:tcPr>
          <w:p w14:paraId="6D0810CB"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-0.0936</w:t>
            </w:r>
          </w:p>
        </w:tc>
        <w:tc>
          <w:tcPr>
            <w:tcW w:w="1260" w:type="dxa"/>
          </w:tcPr>
          <w:p w14:paraId="69792864"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0.4159</w:t>
            </w:r>
          </w:p>
        </w:tc>
        <w:tc>
          <w:tcPr>
            <w:tcW w:w="720" w:type="dxa"/>
          </w:tcPr>
          <w:p w14:paraId="680F6CDA" w14:textId="77777777" w:rsidR="006A381B" w:rsidRPr="00BF1994" w:rsidRDefault="006A381B" w:rsidP="006A381B">
            <w:pPr>
              <w:pStyle w:val="NoSpacing"/>
              <w:spacing w:line="360" w:lineRule="auto"/>
              <w:jc w:val="center"/>
            </w:pPr>
          </w:p>
        </w:tc>
      </w:tr>
      <w:tr w:rsidR="006A381B" w:rsidRPr="00BF1994" w14:paraId="07EA1230" w14:textId="77777777" w:rsidTr="00772EAD">
        <w:tc>
          <w:tcPr>
            <w:tcW w:w="9000" w:type="dxa"/>
            <w:gridSpan w:val="5"/>
          </w:tcPr>
          <w:p w14:paraId="69694E34" w14:textId="77777777" w:rsidR="006A381B" w:rsidRPr="003A3B19" w:rsidRDefault="006A381B" w:rsidP="006A381B">
            <w:pPr>
              <w:pStyle w:val="NoSpacing"/>
              <w:spacing w:line="360" w:lineRule="auto"/>
            </w:pPr>
            <w:r w:rsidRPr="003A3B19">
              <w:t>Project research assistant</w:t>
            </w:r>
          </w:p>
        </w:tc>
      </w:tr>
      <w:tr w:rsidR="006A381B" w:rsidRPr="00BF1994" w14:paraId="50EA64DA" w14:textId="77777777" w:rsidTr="00772EAD">
        <w:tc>
          <w:tcPr>
            <w:tcW w:w="1620" w:type="dxa"/>
          </w:tcPr>
          <w:p w14:paraId="39C86121" w14:textId="77777777" w:rsidR="006A381B" w:rsidRPr="003A3B19" w:rsidRDefault="006A381B" w:rsidP="006A381B">
            <w:pPr>
              <w:pStyle w:val="NoSpacing"/>
              <w:numPr>
                <w:ilvl w:val="0"/>
                <w:numId w:val="9"/>
              </w:numPr>
              <w:spacing w:line="360" w:lineRule="auto"/>
            </w:pPr>
            <w:r w:rsidRPr="003A3B19">
              <w:t>Ego</w:t>
            </w:r>
          </w:p>
        </w:tc>
        <w:tc>
          <w:tcPr>
            <w:tcW w:w="4140" w:type="dxa"/>
          </w:tcPr>
          <w:p w14:paraId="5742F079" w14:textId="77777777" w:rsidR="006A381B" w:rsidRPr="00BF1994" w:rsidRDefault="006A381B" w:rsidP="006A381B">
            <w:pPr>
              <w:pStyle w:val="NoSpacing"/>
              <w:spacing w:line="360" w:lineRule="auto"/>
            </w:pPr>
            <w:r w:rsidRPr="00BF1994">
              <w:t xml:space="preserve">Tendency for </w:t>
            </w:r>
            <w:r>
              <w:t>research assistants</w:t>
            </w:r>
            <w:r w:rsidRPr="00BF1994">
              <w:t xml:space="preserve"> to seek more information</w:t>
            </w:r>
          </w:p>
        </w:tc>
        <w:tc>
          <w:tcPr>
            <w:tcW w:w="1260" w:type="dxa"/>
          </w:tcPr>
          <w:p w14:paraId="3E1048B8"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0.4926</w:t>
            </w:r>
          </w:p>
        </w:tc>
        <w:tc>
          <w:tcPr>
            <w:tcW w:w="1260" w:type="dxa"/>
          </w:tcPr>
          <w:p w14:paraId="11C290DD"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0.3689</w:t>
            </w:r>
          </w:p>
        </w:tc>
        <w:tc>
          <w:tcPr>
            <w:tcW w:w="720" w:type="dxa"/>
          </w:tcPr>
          <w:p w14:paraId="703C35D7" w14:textId="77777777" w:rsidR="006A381B" w:rsidRPr="00BF1994" w:rsidRDefault="006A381B" w:rsidP="006A381B">
            <w:pPr>
              <w:pStyle w:val="NoSpacing"/>
              <w:spacing w:line="360" w:lineRule="auto"/>
              <w:jc w:val="center"/>
            </w:pPr>
          </w:p>
        </w:tc>
      </w:tr>
      <w:tr w:rsidR="006A381B" w:rsidRPr="00BF1994" w14:paraId="4D46167F" w14:textId="77777777" w:rsidTr="00772EAD">
        <w:tc>
          <w:tcPr>
            <w:tcW w:w="1620" w:type="dxa"/>
          </w:tcPr>
          <w:p w14:paraId="4B2BE0D4" w14:textId="77777777" w:rsidR="006A381B" w:rsidRPr="003A3B19" w:rsidRDefault="006A381B" w:rsidP="006A381B">
            <w:pPr>
              <w:pStyle w:val="NoSpacing"/>
              <w:numPr>
                <w:ilvl w:val="0"/>
                <w:numId w:val="9"/>
              </w:numPr>
              <w:spacing w:line="360" w:lineRule="auto"/>
            </w:pPr>
            <w:r w:rsidRPr="003A3B19">
              <w:t>Alter</w:t>
            </w:r>
          </w:p>
        </w:tc>
        <w:tc>
          <w:tcPr>
            <w:tcW w:w="4140" w:type="dxa"/>
          </w:tcPr>
          <w:p w14:paraId="6D5CF27D" w14:textId="77777777" w:rsidR="006A381B" w:rsidRPr="00BF1994" w:rsidRDefault="006A381B" w:rsidP="006A381B">
            <w:pPr>
              <w:pStyle w:val="NoSpacing"/>
              <w:spacing w:line="360" w:lineRule="auto"/>
            </w:pPr>
            <w:r w:rsidRPr="00BF1994">
              <w:t xml:space="preserve">Preference for advisors who </w:t>
            </w:r>
            <w:r>
              <w:t>are research assistants</w:t>
            </w:r>
          </w:p>
        </w:tc>
        <w:tc>
          <w:tcPr>
            <w:tcW w:w="1260" w:type="dxa"/>
          </w:tcPr>
          <w:p w14:paraId="21CF9E92"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0.8816</w:t>
            </w:r>
          </w:p>
        </w:tc>
        <w:tc>
          <w:tcPr>
            <w:tcW w:w="1260" w:type="dxa"/>
          </w:tcPr>
          <w:p w14:paraId="350315F1"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0.3349</w:t>
            </w:r>
          </w:p>
        </w:tc>
        <w:tc>
          <w:tcPr>
            <w:tcW w:w="720" w:type="dxa"/>
          </w:tcPr>
          <w:p w14:paraId="526D7C4A" w14:textId="77777777" w:rsidR="006A381B" w:rsidRPr="00BF1994" w:rsidRDefault="006A381B" w:rsidP="006A381B">
            <w:pPr>
              <w:pStyle w:val="NoSpacing"/>
              <w:spacing w:line="360" w:lineRule="auto"/>
              <w:jc w:val="center"/>
            </w:pPr>
            <w:r>
              <w:t>++</w:t>
            </w:r>
          </w:p>
        </w:tc>
      </w:tr>
      <w:tr w:rsidR="006A381B" w:rsidRPr="00BF1994" w14:paraId="31011B51" w14:textId="77777777" w:rsidTr="00772EAD">
        <w:tc>
          <w:tcPr>
            <w:tcW w:w="1620" w:type="dxa"/>
          </w:tcPr>
          <w:p w14:paraId="14D9EA65" w14:textId="77777777" w:rsidR="006A381B" w:rsidRPr="003A3B19" w:rsidRDefault="006A381B" w:rsidP="006A381B">
            <w:pPr>
              <w:pStyle w:val="NoSpacing"/>
              <w:numPr>
                <w:ilvl w:val="0"/>
                <w:numId w:val="9"/>
              </w:numPr>
              <w:spacing w:line="360" w:lineRule="auto"/>
            </w:pPr>
            <w:r w:rsidRPr="003A3B19">
              <w:t>Same</w:t>
            </w:r>
          </w:p>
        </w:tc>
        <w:tc>
          <w:tcPr>
            <w:tcW w:w="4140" w:type="dxa"/>
          </w:tcPr>
          <w:p w14:paraId="0701D985" w14:textId="77777777" w:rsidR="006A381B" w:rsidRPr="00BF1994" w:rsidRDefault="006A381B" w:rsidP="006A381B">
            <w:pPr>
              <w:pStyle w:val="NoSpacing"/>
              <w:spacing w:line="360" w:lineRule="auto"/>
            </w:pPr>
            <w:r w:rsidRPr="00BF1994">
              <w:t xml:space="preserve">Preference of </w:t>
            </w:r>
            <w:r>
              <w:t>research assistants toward research assistants</w:t>
            </w:r>
          </w:p>
        </w:tc>
        <w:tc>
          <w:tcPr>
            <w:tcW w:w="1260" w:type="dxa"/>
          </w:tcPr>
          <w:p w14:paraId="6D0278F6"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-0.2459</w:t>
            </w:r>
          </w:p>
        </w:tc>
        <w:tc>
          <w:tcPr>
            <w:tcW w:w="1260" w:type="dxa"/>
          </w:tcPr>
          <w:p w14:paraId="12E777AC" w14:textId="77777777" w:rsidR="006A381B" w:rsidRPr="003C10DD" w:rsidRDefault="006A381B" w:rsidP="006A381B">
            <w:pPr>
              <w:pStyle w:val="NoSpacing"/>
              <w:spacing w:line="360" w:lineRule="auto"/>
              <w:jc w:val="center"/>
              <w:rPr>
                <w:rFonts w:cstheme="minorHAnsi"/>
              </w:rPr>
            </w:pPr>
            <w:r w:rsidRPr="003C10DD">
              <w:rPr>
                <w:rStyle w:val="gd15mcfceub"/>
                <w:rFonts w:cstheme="minorHAnsi"/>
                <w:color w:val="000000"/>
                <w:bdr w:val="none" w:sz="0" w:space="0" w:color="auto" w:frame="1"/>
              </w:rPr>
              <w:t>0.2491</w:t>
            </w:r>
          </w:p>
        </w:tc>
        <w:tc>
          <w:tcPr>
            <w:tcW w:w="720" w:type="dxa"/>
          </w:tcPr>
          <w:p w14:paraId="54E6B02A" w14:textId="77777777" w:rsidR="006A381B" w:rsidRPr="00BF1994" w:rsidRDefault="006A381B" w:rsidP="006A381B">
            <w:pPr>
              <w:pStyle w:val="NoSpacing"/>
              <w:spacing w:line="360" w:lineRule="auto"/>
              <w:jc w:val="center"/>
            </w:pPr>
          </w:p>
        </w:tc>
      </w:tr>
    </w:tbl>
    <w:p w14:paraId="50D264E8" w14:textId="7AE4BD21" w:rsidR="006A381B" w:rsidRDefault="006A381B" w:rsidP="006A381B">
      <w:pPr>
        <w:pStyle w:val="NoSpacing"/>
        <w:sectPr w:rsidR="006A381B" w:rsidSect="00157282">
          <w:footerReference w:type="default" r:id="rId10"/>
          <w:pgSz w:w="11906" w:h="16838"/>
          <w:pgMar w:top="1440" w:right="1440" w:bottom="1440" w:left="1440" w:header="708" w:footer="708" w:gutter="0"/>
          <w:lnNumType w:countBy="1" w:restart="continuous"/>
          <w:cols w:space="708"/>
          <w:docGrid w:linePitch="360"/>
        </w:sectPr>
      </w:pPr>
    </w:p>
    <w:p w14:paraId="15DD30B1" w14:textId="0E15334C" w:rsidR="00E846D5" w:rsidRPr="00796E44" w:rsidRDefault="00C12B97" w:rsidP="00F458FB">
      <w:pPr>
        <w:sectPr w:rsidR="00E846D5" w:rsidRPr="00796E44" w:rsidSect="00157282">
          <w:pgSz w:w="16838" w:h="11906" w:orient="landscape"/>
          <w:pgMar w:top="1440" w:right="1440" w:bottom="1440" w:left="1440" w:header="709" w:footer="709" w:gutter="0"/>
          <w:lnNumType w:countBy="1" w:restart="continuous"/>
          <w:cols w:space="708"/>
          <w:docGrid w:linePitch="360"/>
        </w:sectPr>
      </w:pPr>
      <w:r w:rsidRPr="003E6052">
        <w:rPr>
          <w:noProof/>
          <w:lang w:eastAsia="en-GB"/>
        </w:rPr>
        <w:lastRenderedPageBreak/>
        <mc:AlternateContent>
          <mc:Choice Requires="wps">
            <w:drawing>
              <wp:anchor distT="45720" distB="45720" distL="114300" distR="114300" simplePos="0" relativeHeight="251784192" behindDoc="0" locked="0" layoutInCell="1" allowOverlap="1" wp14:anchorId="6C91B348" wp14:editId="57BCF910">
                <wp:simplePos x="0" y="0"/>
                <wp:positionH relativeFrom="margin">
                  <wp:posOffset>6627376</wp:posOffset>
                </wp:positionH>
                <wp:positionV relativeFrom="margin">
                  <wp:posOffset>-420546</wp:posOffset>
                </wp:positionV>
                <wp:extent cx="739140" cy="277495"/>
                <wp:effectExtent l="0" t="0" r="381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77495"/>
                        </a:xfrm>
                        <a:prstGeom prst="rect">
                          <a:avLst/>
                        </a:prstGeom>
                        <a:solidFill>
                          <a:srgbClr val="FFFFFF"/>
                        </a:solidFill>
                        <a:ln w="9525">
                          <a:noFill/>
                          <a:miter lim="800000"/>
                          <a:headEnd/>
                          <a:tailEnd/>
                        </a:ln>
                      </wps:spPr>
                      <wps:txbx>
                        <w:txbxContent>
                          <w:p w14:paraId="2FDAACF3" w14:textId="77777777" w:rsidR="006A381B" w:rsidRPr="00DB7A70" w:rsidRDefault="006A381B" w:rsidP="003E6052">
                            <w:pPr>
                              <w:rPr>
                                <w:b/>
                              </w:rPr>
                            </w:pPr>
                            <w:r>
                              <w:rPr>
                                <w:b/>
                              </w:rPr>
                              <w:t>Time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1B348" id="_x0000_t202" coordsize="21600,21600" o:spt="202" path="m,l,21600r21600,l21600,xe">
                <v:stroke joinstyle="miter"/>
                <v:path gradientshapeok="t" o:connecttype="rect"/>
              </v:shapetype>
              <v:shape id="Text Box 2" o:spid="_x0000_s1026" type="#_x0000_t202" style="position:absolute;left:0;text-align:left;margin-left:521.85pt;margin-top:-33.1pt;width:58.2pt;height:21.8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" stroked="f">
                <v:textbox>
                  <w:txbxContent>
                    <w:p w14:paraId="2FDAACF3" w14:textId="77777777" w:rsidR="006A381B" w:rsidRPr="00DB7A70" w:rsidRDefault="006A381B" w:rsidP="003E6052">
                      <w:pPr>
                        <w:rPr>
                          <w:b/>
                        </w:rPr>
                      </w:pPr>
                      <w:r>
                        <w:rPr>
                          <w:b/>
                        </w:rPr>
                        <w:t>Time 2</w:t>
                      </w:r>
                    </w:p>
                  </w:txbxContent>
                </v:textbox>
                <w10:wrap type="square" anchorx="margin" anchory="margin"/>
              </v:shape>
            </w:pict>
          </mc:Fallback>
        </mc:AlternateContent>
      </w:r>
      <w:r w:rsidRPr="003E6052">
        <w:rPr>
          <w:noProof/>
          <w:lang w:eastAsia="en-GB"/>
        </w:rPr>
        <mc:AlternateContent>
          <mc:Choice Requires="wps">
            <w:drawing>
              <wp:anchor distT="45720" distB="45720" distL="114300" distR="114300" simplePos="0" relativeHeight="251783168" behindDoc="0" locked="0" layoutInCell="1" allowOverlap="1" wp14:anchorId="674129EC" wp14:editId="58B97181">
                <wp:simplePos x="0" y="0"/>
                <wp:positionH relativeFrom="margin">
                  <wp:posOffset>1717235</wp:posOffset>
                </wp:positionH>
                <wp:positionV relativeFrom="margin">
                  <wp:posOffset>-417817</wp:posOffset>
                </wp:positionV>
                <wp:extent cx="715010" cy="261620"/>
                <wp:effectExtent l="0" t="0" r="889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1620"/>
                        </a:xfrm>
                        <a:prstGeom prst="rect">
                          <a:avLst/>
                        </a:prstGeom>
                        <a:solidFill>
                          <a:srgbClr val="FFFFFF"/>
                        </a:solidFill>
                        <a:ln w="9525">
                          <a:noFill/>
                          <a:miter lim="800000"/>
                          <a:headEnd/>
                          <a:tailEnd/>
                        </a:ln>
                      </wps:spPr>
                      <wps:txbx>
                        <w:txbxContent>
                          <w:p w14:paraId="7A4942B2" w14:textId="77777777" w:rsidR="006A381B" w:rsidRPr="00DB7A70" w:rsidRDefault="006A381B" w:rsidP="003E6052">
                            <w:pPr>
                              <w:rPr>
                                <w:b/>
                              </w:rPr>
                            </w:pPr>
                            <w:r w:rsidRPr="00DB7A70">
                              <w:rPr>
                                <w:b/>
                              </w:rPr>
                              <w:t>Time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29EC" id="_x0000_s1027" type="#_x0000_t202" style="position:absolute;left:0;text-align:left;margin-left:135.2pt;margin-top:-32.9pt;width:56.3pt;height:20.6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" stroked="f">
                <v:textbox>
                  <w:txbxContent>
                    <w:p w14:paraId="7A4942B2" w14:textId="77777777" w:rsidR="006A381B" w:rsidRPr="00DB7A70" w:rsidRDefault="006A381B" w:rsidP="003E6052">
                      <w:pPr>
                        <w:rPr>
                          <w:b/>
                        </w:rPr>
                      </w:pPr>
                      <w:r w:rsidRPr="00DB7A70">
                        <w:rPr>
                          <w:b/>
                        </w:rPr>
                        <w:t>Time 1</w:t>
                      </w:r>
                    </w:p>
                  </w:txbxContent>
                </v:textbox>
                <w10:wrap type="square" anchorx="margin" anchory="margin"/>
              </v:shape>
            </w:pict>
          </mc:Fallback>
        </mc:AlternateContent>
      </w:r>
      <w:r w:rsidR="00F172B4" w:rsidRPr="00D459AF">
        <w:rPr>
          <w:noProof/>
          <w:lang w:eastAsia="en-GB"/>
        </w:rPr>
        <w:drawing>
          <wp:anchor distT="0" distB="0" distL="114300" distR="114300" simplePos="0" relativeHeight="251786240" behindDoc="0" locked="0" layoutInCell="1" allowOverlap="1" wp14:anchorId="766A26FC" wp14:editId="326F0093">
            <wp:simplePos x="0" y="0"/>
            <wp:positionH relativeFrom="margin">
              <wp:posOffset>4683641</wp:posOffset>
            </wp:positionH>
            <wp:positionV relativeFrom="margin">
              <wp:posOffset>0</wp:posOffset>
            </wp:positionV>
            <wp:extent cx="4675505" cy="4686300"/>
            <wp:effectExtent l="0" t="0" r="0" b="0"/>
            <wp:wrapSquare wrapText="bothSides"/>
            <wp:docPr id="1" name="Picture 1" descr="C:\Users\Mirjam Hazenbosch\Documents\Oxford\PhD Project\Chapter 5\Chapter 5 - Figures\Plot_Min_Unknow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jam Hazenbosch\Documents\Oxford\PhD Project\Chapter 5\Chapter 5 - Figures\Plot_Min_Unknown_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4546" t="12520" r="3625" b="14960"/>
                    <a:stretch/>
                  </pic:blipFill>
                  <pic:spPr bwMode="auto">
                    <a:xfrm>
                      <a:off x="0" y="0"/>
                      <a:ext cx="4675505" cy="468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72B4" w:rsidRPr="00D459AF">
        <w:rPr>
          <w:noProof/>
          <w:lang w:eastAsia="en-GB"/>
        </w:rPr>
        <w:drawing>
          <wp:anchor distT="0" distB="0" distL="114300" distR="114300" simplePos="0" relativeHeight="251781120" behindDoc="0" locked="0" layoutInCell="1" allowOverlap="1" wp14:anchorId="264CD8C6" wp14:editId="5E97ED53">
            <wp:simplePos x="0" y="0"/>
            <wp:positionH relativeFrom="margin">
              <wp:align>left</wp:align>
            </wp:positionH>
            <wp:positionV relativeFrom="margin">
              <wp:align>top</wp:align>
            </wp:positionV>
            <wp:extent cx="4687570" cy="4686300"/>
            <wp:effectExtent l="0" t="0" r="0" b="0"/>
            <wp:wrapSquare wrapText="bothSides"/>
            <wp:docPr id="7" name="Picture 7" descr="C:\Users\Mirjam Hazenbosch\Documents\Oxford\PhD Project\Chapter 5\Chapter 5 - Figures\Plot_Min_Unknow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jam Hazenbosch\Documents\Oxford\PhD Project\Chapter 5\Chapter 5 - Figures\Plot_Min_Unknown_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303" t="12520" r="52759" b="14960"/>
                    <a:stretch/>
                  </pic:blipFill>
                  <pic:spPr bwMode="auto">
                    <a:xfrm>
                      <a:off x="0" y="0"/>
                      <a:ext cx="4687570" cy="468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E44">
        <w:rPr>
          <w:b/>
        </w:rPr>
        <w:t>F</w:t>
      </w:r>
      <w:r w:rsidR="00796E44" w:rsidRPr="005C11A7">
        <w:rPr>
          <w:b/>
        </w:rPr>
        <w:t>igure 1</w:t>
      </w:r>
      <w:r w:rsidR="007A4D47">
        <w:rPr>
          <w:b/>
        </w:rPr>
        <w:t xml:space="preserve"> |</w:t>
      </w:r>
      <w:r w:rsidR="00796E44" w:rsidRPr="00AE03E2">
        <w:t xml:space="preserve"> Visualisation of the social network at time 1 (left) and time 2 </w:t>
      </w:r>
      <w:r w:rsidR="00796E44">
        <w:t>(</w:t>
      </w:r>
      <w:r w:rsidR="00796E44" w:rsidRPr="00AE03E2">
        <w:t xml:space="preserve">right). </w:t>
      </w:r>
      <w:r w:rsidR="00796E44">
        <w:t>Each node represents an actor in the network with the size of the node</w:t>
      </w:r>
      <w:r w:rsidR="00796E44" w:rsidRPr="00AE03E2">
        <w:t xml:space="preserve"> </w:t>
      </w:r>
      <w:r w:rsidR="00796E44">
        <w:t xml:space="preserve">representing </w:t>
      </w:r>
      <w:r w:rsidR="00796E44" w:rsidRPr="00AE03E2">
        <w:t xml:space="preserve">the importance </w:t>
      </w:r>
      <w:r w:rsidR="00796E44">
        <w:t xml:space="preserve">of the actor based on </w:t>
      </w:r>
      <w:r w:rsidR="00D324C4">
        <w:t>their</w:t>
      </w:r>
      <w:r w:rsidR="00D324C4" w:rsidRPr="00AE03E2">
        <w:t xml:space="preserve"> </w:t>
      </w:r>
      <w:r w:rsidR="00796E44" w:rsidRPr="00AE03E2">
        <w:t>avera</w:t>
      </w:r>
      <w:r w:rsidR="00796E44">
        <w:t>ge in/out-degree.</w:t>
      </w:r>
      <w:r w:rsidR="00796E44" w:rsidRPr="00AE03E2">
        <w:t xml:space="preserve"> </w:t>
      </w:r>
      <w:r w:rsidR="00796E44">
        <w:t xml:space="preserve">Each arrow represents a link and points from a respondent to an </w:t>
      </w:r>
      <w:r w:rsidR="00D324C4">
        <w:t>important source of information</w:t>
      </w:r>
      <w:r w:rsidR="00796E44">
        <w:t xml:space="preserve">. </w:t>
      </w:r>
      <w:r w:rsidR="00796E44" w:rsidRPr="00AE03E2">
        <w:t>The colours indicate different clans</w:t>
      </w:r>
      <w:r w:rsidR="00EC6EE3">
        <w:t xml:space="preserve"> with clan 1 being purple</w:t>
      </w:r>
      <w:r w:rsidR="00796E44">
        <w:t>, clan 2 green, clan 3 blue and clan 4 yellow.</w:t>
      </w:r>
      <w:r w:rsidR="00796E44" w:rsidRPr="00AE03E2">
        <w:t xml:space="preserve"> </w:t>
      </w:r>
      <w:r w:rsidR="007111E9">
        <w:t>Circles indicate non-participants, whereas squares</w:t>
      </w:r>
      <w:r w:rsidR="00E57DDF">
        <w:t xml:space="preserve"> represent</w:t>
      </w:r>
      <w:r w:rsidR="007111E9">
        <w:t xml:space="preserve"> </w:t>
      </w:r>
      <w:r w:rsidR="00E7374E">
        <w:t>nodes</w:t>
      </w:r>
      <w:r w:rsidR="007111E9">
        <w:t xml:space="preserve"> who were involved in the research project</w:t>
      </w:r>
      <w:r w:rsidR="00E57DDF">
        <w:t>,</w:t>
      </w:r>
      <w:r w:rsidR="007111E9">
        <w:t xml:space="preserve"> with squ</w:t>
      </w:r>
      <w:r w:rsidR="00E57DDF">
        <w:t>ares with black borders</w:t>
      </w:r>
      <w:r w:rsidR="007111E9">
        <w:t xml:space="preserve"> indicating </w:t>
      </w:r>
      <w:r w:rsidR="006303E9">
        <w:t xml:space="preserve">project </w:t>
      </w:r>
      <w:r w:rsidR="007111E9">
        <w:t>g</w:t>
      </w:r>
      <w:r w:rsidR="003A5717">
        <w:t xml:space="preserve">arden owners and </w:t>
      </w:r>
      <w:r w:rsidR="00AB6C3D">
        <w:t xml:space="preserve">squares </w:t>
      </w:r>
      <w:r w:rsidR="003A5717">
        <w:t>with red borders</w:t>
      </w:r>
      <w:r w:rsidR="007111E9">
        <w:t xml:space="preserve"> </w:t>
      </w:r>
      <w:r w:rsidR="008779E1">
        <w:t xml:space="preserve">indicating </w:t>
      </w:r>
      <w:r w:rsidR="007111E9">
        <w:t>research assistants.</w:t>
      </w:r>
    </w:p>
    <w:p w14:paraId="3008739C" w14:textId="33995902" w:rsidR="00C4577C" w:rsidRDefault="004C7F08" w:rsidP="00AA6F40">
      <w:pPr>
        <w:pStyle w:val="Heading2"/>
        <w:numPr>
          <w:ilvl w:val="1"/>
          <w:numId w:val="22"/>
        </w:numPr>
      </w:pPr>
      <w:r>
        <w:lastRenderedPageBreak/>
        <w:t>Discussion</w:t>
      </w:r>
    </w:p>
    <w:p w14:paraId="3AFD159E" w14:textId="655037E4" w:rsidR="00C4577C" w:rsidRPr="00CF6A10" w:rsidRDefault="00C4577C" w:rsidP="00CF6A10">
      <w:pPr>
        <w:pStyle w:val="CommentText"/>
        <w:rPr>
          <w:b/>
        </w:rPr>
      </w:pPr>
    </w:p>
    <w:p w14:paraId="0AA4795B" w14:textId="5B89BC4D" w:rsidR="00EF2B3B" w:rsidRDefault="00F41188" w:rsidP="00330517">
      <w:pPr>
        <w:pStyle w:val="NoSpacing"/>
      </w:pPr>
      <w:r>
        <w:t>Whil</w:t>
      </w:r>
      <w:r w:rsidR="009C05C5">
        <w:t>e</w:t>
      </w:r>
      <w:r w:rsidR="00347B73">
        <w:t xml:space="preserve"> the</w:t>
      </w:r>
      <w:r w:rsidR="00844844">
        <w:t xml:space="preserve"> </w:t>
      </w:r>
      <w:r w:rsidR="00D72A9F">
        <w:t>agro</w:t>
      </w:r>
      <w:r w:rsidR="00844844">
        <w:t>ecological research</w:t>
      </w:r>
      <w:r w:rsidR="00DA08E1">
        <w:t xml:space="preserve"> project</w:t>
      </w:r>
      <w:r w:rsidR="00D6698E">
        <w:t xml:space="preserve"> was ongoing,</w:t>
      </w:r>
      <w:r w:rsidR="00DA08E1">
        <w:t xml:space="preserve"> </w:t>
      </w:r>
      <w:r w:rsidR="00844844">
        <w:t>lo</w:t>
      </w:r>
      <w:r w:rsidR="00DA08E1">
        <w:t xml:space="preserve">cal </w:t>
      </w:r>
      <w:r w:rsidR="00CC7E10">
        <w:t xml:space="preserve">farming practices </w:t>
      </w:r>
      <w:r w:rsidR="0000725E">
        <w:t>and the</w:t>
      </w:r>
      <w:r w:rsidR="00DA08E1">
        <w:t xml:space="preserve"> community’s</w:t>
      </w:r>
      <w:r w:rsidR="00CD3EC2">
        <w:t xml:space="preserve"> social network</w:t>
      </w:r>
      <w:r w:rsidR="00D6698E">
        <w:t xml:space="preserve"> change</w:t>
      </w:r>
      <w:r w:rsidR="00B00EDF">
        <w:t>d</w:t>
      </w:r>
      <w:r w:rsidR="00C20BD2">
        <w:t xml:space="preserve">, and not in ways that </w:t>
      </w:r>
      <w:r w:rsidR="00392F78">
        <w:t xml:space="preserve">were </w:t>
      </w:r>
      <w:r w:rsidR="00C20BD2">
        <w:t>predicted based on the aims and activities of the project</w:t>
      </w:r>
      <w:r w:rsidR="00294883">
        <w:t>.</w:t>
      </w:r>
      <w:r w:rsidR="00E41AF3">
        <w:t xml:space="preserve"> With no obvious other reasons why these practices and the network changed,</w:t>
      </w:r>
      <w:r w:rsidR="00551017">
        <w:t xml:space="preserve"> we </w:t>
      </w:r>
      <w:r w:rsidR="00231243">
        <w:t xml:space="preserve">infer that the </w:t>
      </w:r>
      <w:r w:rsidR="00E41AF3">
        <w:t xml:space="preserve">presence </w:t>
      </w:r>
      <w:r w:rsidR="00231243">
        <w:t xml:space="preserve">of the research team </w:t>
      </w:r>
      <w:r w:rsidR="00E41AF3">
        <w:t xml:space="preserve">was a causative influence. </w:t>
      </w:r>
      <w:r w:rsidR="00294883">
        <w:t>The</w:t>
      </w:r>
      <w:r w:rsidR="00C20BD2">
        <w:t>se</w:t>
      </w:r>
      <w:r w:rsidR="00294883">
        <w:t xml:space="preserve"> results </w:t>
      </w:r>
      <w:r w:rsidR="002D4323">
        <w:t xml:space="preserve">challenge </w:t>
      </w:r>
      <w:r w:rsidR="006A430C">
        <w:t>often-</w:t>
      </w:r>
      <w:r w:rsidR="00EE1967">
        <w:t xml:space="preserve">held assumptions </w:t>
      </w:r>
      <w:r w:rsidR="00744185">
        <w:t>about social impact and dissemination of agricultural practices</w:t>
      </w:r>
      <w:r w:rsidR="00EF2B3B">
        <w:t xml:space="preserve"> by </w:t>
      </w:r>
      <w:r w:rsidR="00D72A9F">
        <w:t>agro</w:t>
      </w:r>
      <w:r w:rsidR="00641A03">
        <w:t>ecologi</w:t>
      </w:r>
      <w:r w:rsidR="00D16DB1">
        <w:t>cal</w:t>
      </w:r>
      <w:r w:rsidR="007812E9">
        <w:t xml:space="preserve"> researchers and advocates</w:t>
      </w:r>
      <w:r w:rsidR="004C77A9">
        <w:t>.</w:t>
      </w:r>
      <w:r w:rsidR="00641A03">
        <w:t xml:space="preserve"> </w:t>
      </w:r>
      <w:r w:rsidR="005144A7">
        <w:t xml:space="preserve">They </w:t>
      </w:r>
      <w:r w:rsidR="00EF2B3B">
        <w:t>provide insights into what type of agricultural innovations are</w:t>
      </w:r>
      <w:r w:rsidR="00C20BD2">
        <w:t xml:space="preserve"> more</w:t>
      </w:r>
      <w:r w:rsidR="00EF2B3B">
        <w:t xml:space="preserve"> likely to</w:t>
      </w:r>
      <w:r w:rsidR="009A3E37">
        <w:t xml:space="preserve"> be accepted among farmers, and</w:t>
      </w:r>
      <w:r w:rsidR="00C20BD2">
        <w:t xml:space="preserve">, to some extent, </w:t>
      </w:r>
      <w:r w:rsidR="00EF2B3B">
        <w:t>how practices may most effectively be promoted within a community.</w:t>
      </w:r>
    </w:p>
    <w:p w14:paraId="5A67EDE8" w14:textId="77777777" w:rsidR="00F87D85" w:rsidRDefault="00F87D85" w:rsidP="000B6005">
      <w:pPr>
        <w:pStyle w:val="NoSpacing"/>
      </w:pPr>
    </w:p>
    <w:p w14:paraId="3679176C" w14:textId="04533CE5" w:rsidR="00E44314" w:rsidRDefault="00F62684" w:rsidP="00AA6F40">
      <w:pPr>
        <w:pStyle w:val="Heading3"/>
        <w:numPr>
          <w:ilvl w:val="2"/>
          <w:numId w:val="22"/>
        </w:numPr>
        <w:rPr>
          <w:b/>
        </w:rPr>
      </w:pPr>
      <w:r>
        <w:t>Changing</w:t>
      </w:r>
      <w:r w:rsidR="00983E6D">
        <w:t xml:space="preserve"> farming practices</w:t>
      </w:r>
    </w:p>
    <w:p w14:paraId="0585A620" w14:textId="0E0355E3" w:rsidR="00F62684" w:rsidRDefault="00F62684" w:rsidP="000B6005">
      <w:pPr>
        <w:pStyle w:val="NoSpacing"/>
        <w:rPr>
          <w:b/>
          <w:i/>
        </w:rPr>
      </w:pPr>
    </w:p>
    <w:p w14:paraId="2468714C" w14:textId="4E9BD6CD" w:rsidR="002A76DD" w:rsidRDefault="00176E97" w:rsidP="000B6005">
      <w:pPr>
        <w:pStyle w:val="NoSpacing"/>
      </w:pPr>
      <w:r>
        <w:t>O</w:t>
      </w:r>
      <w:r w:rsidR="00175B95">
        <w:t>v</w:t>
      </w:r>
      <w:r w:rsidR="008E3B50">
        <w:t>er the course of the project</w:t>
      </w:r>
      <w:r w:rsidR="002425C6">
        <w:t>,</w:t>
      </w:r>
      <w:r w:rsidR="00175B95">
        <w:t xml:space="preserve"> farmers changed their </w:t>
      </w:r>
      <w:r w:rsidR="002C1139">
        <w:t xml:space="preserve">farming </w:t>
      </w:r>
      <w:r w:rsidR="00175B95">
        <w:t xml:space="preserve">practices. More people started to use </w:t>
      </w:r>
      <w:r w:rsidR="00D8551F">
        <w:t>food waste</w:t>
      </w:r>
      <w:r w:rsidR="00301BF8">
        <w:t>,</w:t>
      </w:r>
      <w:r w:rsidR="00D76725">
        <w:t xml:space="preserve"> which</w:t>
      </w:r>
      <w:r w:rsidR="00175B95">
        <w:t xml:space="preserve"> </w:t>
      </w:r>
      <w:r w:rsidR="00B464E4">
        <w:t>corresponded</w:t>
      </w:r>
      <w:r w:rsidR="00B9444A">
        <w:t xml:space="preserve"> </w:t>
      </w:r>
      <w:r w:rsidR="00BE4BCE">
        <w:t xml:space="preserve">to </w:t>
      </w:r>
      <w:r w:rsidR="00175B95">
        <w:t>the</w:t>
      </w:r>
      <w:r w:rsidR="00BE4BCE">
        <w:t xml:space="preserve"> banana peel composed</w:t>
      </w:r>
      <w:r w:rsidR="00583414">
        <w:t xml:space="preserve"> treatment which was</w:t>
      </w:r>
      <w:r w:rsidR="00175B95">
        <w:t xml:space="preserve"> researched in the experimental gardens</w:t>
      </w:r>
      <w:r w:rsidR="001A4364">
        <w:t xml:space="preserve">. </w:t>
      </w:r>
      <w:r w:rsidR="00486F18">
        <w:t>P</w:t>
      </w:r>
      <w:r w:rsidR="00FF1196">
        <w:t xml:space="preserve">eople also took up </w:t>
      </w:r>
      <w:r w:rsidR="008765DF">
        <w:t>farming practices</w:t>
      </w:r>
      <w:r w:rsidR="00FF1196">
        <w:t xml:space="preserve"> that were not directly researched, such as mulching</w:t>
      </w:r>
      <w:r w:rsidR="007615A9">
        <w:t>,</w:t>
      </w:r>
      <w:r w:rsidR="00FF1196">
        <w:t xml:space="preserve"> and </w:t>
      </w:r>
      <w:r w:rsidR="002202B1">
        <w:t>started</w:t>
      </w:r>
      <w:r w:rsidR="00D54A56">
        <w:t xml:space="preserve"> to plant</w:t>
      </w:r>
      <w:r w:rsidR="00FF1196">
        <w:t xml:space="preserve"> the specific variety of sweet potato that was </w:t>
      </w:r>
      <w:r w:rsidR="00D11759">
        <w:t>used</w:t>
      </w:r>
      <w:r w:rsidR="00FF1196">
        <w:t xml:space="preserve"> in the experimental gardens. These </w:t>
      </w:r>
      <w:r w:rsidR="00E90F8B">
        <w:t>farming practices</w:t>
      </w:r>
      <w:r w:rsidR="00FF1196">
        <w:t xml:space="preserve"> were especially popular among women.</w:t>
      </w:r>
      <w:r w:rsidR="00A96104" w:rsidRPr="00A96104">
        <w:t xml:space="preserve"> </w:t>
      </w:r>
      <w:r w:rsidR="00A96104">
        <w:t>A</w:t>
      </w:r>
      <w:r w:rsidR="00015494">
        <w:t>pplying a</w:t>
      </w:r>
      <w:r w:rsidR="00A96104">
        <w:t xml:space="preserve">nimal manure and NPK fertiliser, on the other hand, were not </w:t>
      </w:r>
      <w:r>
        <w:t xml:space="preserve">widely </w:t>
      </w:r>
      <w:r w:rsidR="00A96104">
        <w:t>taken</w:t>
      </w:r>
      <w:r>
        <w:t xml:space="preserve"> </w:t>
      </w:r>
      <w:r w:rsidR="00A96104">
        <w:t>up.</w:t>
      </w:r>
    </w:p>
    <w:p w14:paraId="3EA56D17" w14:textId="27B44927" w:rsidR="001256B9" w:rsidRDefault="00CD2AED" w:rsidP="008524DC">
      <w:pPr>
        <w:pStyle w:val="NoSpacing"/>
        <w:ind w:firstLine="720"/>
      </w:pPr>
      <w:r>
        <w:t>Whi</w:t>
      </w:r>
      <w:r w:rsidR="0061665F">
        <w:t>le the experiment was running</w:t>
      </w:r>
      <w:r w:rsidR="00641A03">
        <w:t>,</w:t>
      </w:r>
      <w:r w:rsidR="0061665F">
        <w:t xml:space="preserve"> the research team</w:t>
      </w:r>
      <w:r>
        <w:t xml:space="preserve"> did not know whether </w:t>
      </w:r>
      <w:r w:rsidR="00767845">
        <w:t xml:space="preserve">the tested fertilisers </w:t>
      </w:r>
      <w:r>
        <w:t>would indeed increase yield</w:t>
      </w:r>
      <w:r w:rsidR="000219A1">
        <w:t>s. T</w:t>
      </w:r>
      <w:r>
        <w:t xml:space="preserve">hus </w:t>
      </w:r>
      <w:r w:rsidR="00960264">
        <w:t xml:space="preserve">none of the fertilisers were </w:t>
      </w:r>
      <w:r w:rsidR="00393090">
        <w:t>actively promote</w:t>
      </w:r>
      <w:r w:rsidR="00960264">
        <w:t>d</w:t>
      </w:r>
      <w:r w:rsidR="00393090">
        <w:t xml:space="preserve"> </w:t>
      </w:r>
      <w:r>
        <w:t xml:space="preserve">during this time. </w:t>
      </w:r>
      <w:r w:rsidR="00D114AF">
        <w:t>Despite this,</w:t>
      </w:r>
      <w:r w:rsidR="000D4669">
        <w:t xml:space="preserve"> some</w:t>
      </w:r>
      <w:r w:rsidR="00D114AF">
        <w:t xml:space="preserve"> </w:t>
      </w:r>
      <w:r w:rsidR="00124250">
        <w:t>farmers</w:t>
      </w:r>
      <w:r w:rsidR="00176E97" w:rsidRPr="00176E97">
        <w:t xml:space="preserve"> </w:t>
      </w:r>
      <w:r w:rsidR="002425C6">
        <w:t>created meaning from the researchers’</w:t>
      </w:r>
      <w:r w:rsidR="00176E97">
        <w:t xml:space="preserve"> presence in the community</w:t>
      </w:r>
      <w:r w:rsidR="00124250">
        <w:t xml:space="preserve">, similar to participants in the study described by </w:t>
      </w:r>
      <w:proofErr w:type="spellStart"/>
      <w:r w:rsidR="00591992">
        <w:t>Hakkarainen</w:t>
      </w:r>
      <w:proofErr w:type="spellEnd"/>
      <w:r w:rsidR="00591992">
        <w:t xml:space="preserve"> </w:t>
      </w:r>
      <w:r w:rsidR="00591992" w:rsidRPr="00877426">
        <w:rPr>
          <w:i/>
        </w:rPr>
        <w:t>et al.</w:t>
      </w:r>
      <w:r w:rsidR="00591992">
        <w:t xml:space="preserve"> </w:t>
      </w:r>
      <w:r w:rsidR="00591992">
        <w:fldChar w:fldCharType="begin" w:fldLock="1"/>
      </w:r>
      <w:r w:rsidR="001C3948">
        <w:instrText>ADDIN CSL_CITATION {"citationItems":[{"id":"ITEM-1","itemData":{"DOI":"10.1007/s11625-019-00750-4","ISBN":"0123456789","ISSN":"18624057","abstract":"Sustainability science has increasingly adopted more action-oriented approaches in an attempt to mobilise and implement a broad knowledge base to sustain human wellbeing and promote sustainable development. There is an increasing recognition of the importance of knowledge exchange (KE) between scientists and end users of research for enhancing social, environmental and economic impacts of research. Here, we explore the process of KE through close observation of two cases of KE between external PhD researchers and local actors in small-scale fisheries at the community level in Zanzibar, Tanzania. First, we address context by examining perceptions of research held by actors at community level and patterns of interactions and flows of benefits between external researchers and local actors including fisheries managers, local research institute as well as fishers and traders. Second, we unpack experiences of actors engaged in the cases of KE. The study draws attention to KE processes in the Global South and actors outside decision-making processes in fisheries management. The study concludes that as KE is a complex and dynamic process and that (i) history and relationships between actors shape the outcomes of KE, (ii) KE includes more than knowledge-based processes and outcomes because multiple incentives of different actors shape KE and how it is experiences and (iii) knowledge-based outcomes of KE are complex and unpredictable as different actors create their own meaning from shared information. The results exemplify the inevitably complex and unpredictable nature of KE processes and their outcomes, and provide insight into how KE can contribute to science–society relationships.","author":[{"dropping-particle":"","family":"Hakkarainen","given":"Viola","non-dropping-particle":"","parse-names":false,"suffix":""},{"dropping-particle":"","family":"Daw","given":"Tim M.","non-dropping-particle":"","parse-names":false,"suffix":""},{"dropping-particle":"","family":"Tengö","given":"Maria","non-dropping-particle":"","parse-names":false,"suffix":""}],"container-title":"Sustainability Science","id":"ITEM-1","issued":{"date-parts":[["2019"]]},"page":"281-295","title":"On the other end of research: exploring community-level knowledge exchanges in small-scale fisheries in Zanzibar","type":"article-journal","volume":"15"},"suppress-author":1,"uris":["http://www.mendeley.com/documents/?uuid=5711d623-65ba-45b2-9b3f-93dbd7c52810"]}],"mendeley":{"formattedCitation":"(2019)","plainTextFormattedCitation":"(2019)","previouslyFormattedCitation":"(2019)"},"properties":{"noteIndex":0},"schema":"https://github.com/citation-style-language/schema/raw/master/csl-citation.json"}</w:instrText>
      </w:r>
      <w:r w:rsidR="00591992">
        <w:fldChar w:fldCharType="separate"/>
      </w:r>
      <w:r w:rsidR="00636F5B" w:rsidRPr="00636F5B">
        <w:rPr>
          <w:noProof/>
        </w:rPr>
        <w:t>(2019)</w:t>
      </w:r>
      <w:r w:rsidR="00591992">
        <w:fldChar w:fldCharType="end"/>
      </w:r>
      <w:r w:rsidR="00995F8D">
        <w:t xml:space="preserve">. </w:t>
      </w:r>
      <w:r w:rsidR="00646D91">
        <w:t>This may in part be caused by</w:t>
      </w:r>
      <w:r w:rsidR="00A37A05">
        <w:t xml:space="preserve"> the fact that</w:t>
      </w:r>
      <w:r w:rsidR="00646D91">
        <w:t xml:space="preserve"> </w:t>
      </w:r>
      <w:r w:rsidR="002C1139">
        <w:t xml:space="preserve">some members </w:t>
      </w:r>
      <w:r w:rsidR="00AA6C78">
        <w:t xml:space="preserve">of </w:t>
      </w:r>
      <w:r w:rsidR="00646D91">
        <w:t xml:space="preserve">the research team </w:t>
      </w:r>
      <w:r w:rsidR="00A37A05">
        <w:t>were</w:t>
      </w:r>
      <w:r w:rsidR="00176E97">
        <w:t xml:space="preserve"> </w:t>
      </w:r>
      <w:r w:rsidR="003B3D61">
        <w:t xml:space="preserve">expatriates </w:t>
      </w:r>
      <w:r w:rsidR="00302B74">
        <w:t>who w</w:t>
      </w:r>
      <w:r w:rsidR="0088564B">
        <w:t xml:space="preserve">ere perceived as </w:t>
      </w:r>
      <w:r w:rsidR="009D302E">
        <w:t>‘experts’</w:t>
      </w:r>
      <w:r w:rsidR="00274080">
        <w:t xml:space="preserve"> </w:t>
      </w:r>
      <w:r w:rsidR="00176E97">
        <w:t xml:space="preserve">with </w:t>
      </w:r>
      <w:r w:rsidR="00D8791C">
        <w:t xml:space="preserve">access to </w:t>
      </w:r>
      <w:r w:rsidR="003A1105">
        <w:t>knowledge</w:t>
      </w:r>
      <w:r w:rsidR="004001B0">
        <w:t xml:space="preserve">, which </w:t>
      </w:r>
      <w:r w:rsidR="00A34468">
        <w:t>i</w:t>
      </w:r>
      <w:r w:rsidR="00021BC5">
        <w:t xml:space="preserve">s </w:t>
      </w:r>
      <w:r w:rsidR="00A34468">
        <w:t>regarded</w:t>
      </w:r>
      <w:r w:rsidR="00021BC5">
        <w:t xml:space="preserve"> highly</w:t>
      </w:r>
      <w:r w:rsidR="00176E97">
        <w:t>,</w:t>
      </w:r>
      <w:r w:rsidR="00A34468">
        <w:t xml:space="preserve"> </w:t>
      </w:r>
      <w:r w:rsidR="00176E97">
        <w:t xml:space="preserve">especially in PNG </w:t>
      </w:r>
      <w:r w:rsidR="00A34468">
        <w:fldChar w:fldCharType="begin" w:fldLock="1"/>
      </w:r>
      <w:r w:rsidR="001C3948">
        <w:instrText>ADDIN CSL_CITATION {"citationItems":[{"id":"ITEM-1","itemData":{"author":[{"dropping-particle":"","family":"West","given":"Paige","non-dropping-particle":"","parse-names":false,"suffix":""}],"id":"ITEM-1","issued":{"date-parts":[["2006"]]},"publisher":"Duke University Press","publisher-place":"Durham and London","title":"Conservation is our government now: the politics of ecology in Papua New Guinea.","type":"book"},"uris":["http://www.mendeley.com/documents/?uuid=c65eae81-bb36-4d49-9905-a55d21da8326"]}],"mendeley":{"formattedCitation":"(West, 2006)","plainTextFormattedCitation":"(West, 2006)","previouslyFormattedCitation":"(West, 2006)"},"properties":{"noteIndex":0},"schema":"https://github.com/citation-style-language/schema/raw/master/csl-citation.json"}</w:instrText>
      </w:r>
      <w:r w:rsidR="00A34468">
        <w:fldChar w:fldCharType="separate"/>
      </w:r>
      <w:r w:rsidR="00636F5B" w:rsidRPr="00636F5B">
        <w:rPr>
          <w:noProof/>
        </w:rPr>
        <w:t>(West, 2006)</w:t>
      </w:r>
      <w:r w:rsidR="00A34468">
        <w:fldChar w:fldCharType="end"/>
      </w:r>
      <w:r w:rsidR="009E0F0E">
        <w:t>.</w:t>
      </w:r>
      <w:r w:rsidR="00021BC5">
        <w:t xml:space="preserve"> </w:t>
      </w:r>
      <w:r w:rsidR="00145431">
        <w:t xml:space="preserve">The fact that the research team was working under the banner of a well-established </w:t>
      </w:r>
      <w:r w:rsidR="00145431">
        <w:lastRenderedPageBreak/>
        <w:t xml:space="preserve">NGO in </w:t>
      </w:r>
      <w:proofErr w:type="spellStart"/>
      <w:r w:rsidR="00145431">
        <w:t>Ohu</w:t>
      </w:r>
      <w:proofErr w:type="spellEnd"/>
      <w:r w:rsidR="00145431">
        <w:t xml:space="preserve">, may also have contributed to the quick uptake of new practices by farmers. </w:t>
      </w:r>
      <w:r w:rsidR="005A3FC4">
        <w:t>Usmani</w:t>
      </w:r>
      <w:r w:rsidR="00145431">
        <w:t xml:space="preserve">, </w:t>
      </w:r>
      <w:proofErr w:type="spellStart"/>
      <w:r w:rsidR="00145431">
        <w:t>Jeuland</w:t>
      </w:r>
      <w:proofErr w:type="spellEnd"/>
      <w:r w:rsidR="00145431">
        <w:t xml:space="preserve"> and </w:t>
      </w:r>
      <w:proofErr w:type="spellStart"/>
      <w:r w:rsidR="00145431">
        <w:t>Pattanayak</w:t>
      </w:r>
      <w:proofErr w:type="spellEnd"/>
      <w:r w:rsidR="00145431">
        <w:t xml:space="preserve"> (2021) uncovered a large and positive ‘NGO effect’ in which a local NGO’s prior engagement with a community increases the effectiveness of a technology intervention implemented by it by at least 30%. </w:t>
      </w:r>
      <w:r>
        <w:t>As it turns out,</w:t>
      </w:r>
      <w:r w:rsidR="005A0532">
        <w:t xml:space="preserve"> applying</w:t>
      </w:r>
      <w:r>
        <w:t xml:space="preserve"> </w:t>
      </w:r>
      <w:r w:rsidR="00D8551F">
        <w:t xml:space="preserve">banana peel </w:t>
      </w:r>
      <w:r>
        <w:t xml:space="preserve">compost </w:t>
      </w:r>
      <w:r w:rsidR="00D7682D">
        <w:t>did not have a positive</w:t>
      </w:r>
      <w:r>
        <w:t xml:space="preserve"> effect on sweet potato yields </w:t>
      </w:r>
      <w:r>
        <w:fldChar w:fldCharType="begin" w:fldLock="1"/>
      </w:r>
      <w:r w:rsidR="001C3948">
        <w:instrText>ADDIN CSL_CITATION {"citationItems":[{"id":"ITEM-1","itemData":{"DOI":"10.1016/j.agsy.2021.103089","author":[{"dropping-particle":"","family":"Hazenbosch","given":"Mirjam","non-dropping-particle":"","parse-names":false,"suffix":""},{"dropping-particle":"","family":"Sui","given":"Shen","non-dropping-particle":"","parse-names":false,"suffix":""},{"dropping-particle":"","family":"Isua","given":"Brus","non-dropping-particle":"","parse-names":false,"suffix":""},{"dropping-particle":"","family":"Beauchamp","given":"Emilie","non-dropping-particle":"","parse-names":false,"suffix":""},{"dropping-particle":"","family":"Frouz","given":"Jan","non-dropping-particle":"","parse-names":false,"suffix":""},{"dropping-particle":"","family":"Imale","given":"Kiole","non-dropping-particle":"","parse-names":false,"suffix":""},{"dropping-particle":"","family":"Jimbudo","given":"Mavis","non-dropping-particle":"","parse-names":false,"suffix":""},{"dropping-particle":"","family":"Milner-Gulland","given":"E.J.","non-dropping-particle":"","parse-names":false,"suffix":""},{"dropping-particle":"","family":"Novotný","given":"Vojtěch","non-dropping-particle":"","parse-names":false,"suffix":""},{"dropping-particle":"","family":"Veselá","given":"Hana","non-dropping-particle":"","parse-names":false,"suffix":""},{"dropping-particle":"","family":"Morris","given":"Rebecca J.","non-dropping-particle":"","parse-names":false,"suffix":""}],"container-title":"Agricultural Systems","id":"ITEM-1","issued":{"date-parts":[["2021"]]},"title":"Using locally available fertilisers to enhance the yields of swidden farmers in Papua New Guinea","type":"article-journal","volume":"192"},"uris":["http://www.mendeley.com/documents/?uuid=19e20fb5-b1f8-4462-9206-74f9fab3c31c"]}],"mendeley":{"formattedCitation":"(Hazenbosch &lt;i&gt;et al.&lt;/i&gt;, 2021)","plainTextFormattedCitation":"(Hazenbosch et al., 2021)","previouslyFormattedCitation":"(Hazenbosch &lt;i&gt;et al.&lt;/i&gt;, 2021)"},"properties":{"noteIndex":0},"schema":"https://github.com/citation-style-language/schema/raw/master/csl-citation.json"}</w:instrText>
      </w:r>
      <w:r>
        <w:fldChar w:fldCharType="separate"/>
      </w:r>
      <w:r w:rsidR="00636F5B" w:rsidRPr="00636F5B">
        <w:rPr>
          <w:noProof/>
        </w:rPr>
        <w:t xml:space="preserve">(Hazenbosch </w:t>
      </w:r>
      <w:r w:rsidR="00636F5B" w:rsidRPr="00636F5B">
        <w:rPr>
          <w:i/>
          <w:noProof/>
        </w:rPr>
        <w:t>et al.</w:t>
      </w:r>
      <w:r w:rsidR="00636F5B" w:rsidRPr="00636F5B">
        <w:rPr>
          <w:noProof/>
        </w:rPr>
        <w:t>, 2021)</w:t>
      </w:r>
      <w:r>
        <w:fldChar w:fldCharType="end"/>
      </w:r>
      <w:r w:rsidR="00337D1B">
        <w:t>, and</w:t>
      </w:r>
      <w:r w:rsidR="00551017">
        <w:t xml:space="preserve"> we </w:t>
      </w:r>
      <w:r w:rsidR="00D02C07">
        <w:t>did not investigate</w:t>
      </w:r>
      <w:r w:rsidR="00317DA7">
        <w:t xml:space="preserve"> the effect of mulching or the impact</w:t>
      </w:r>
      <w:r w:rsidR="00337D1B">
        <w:t xml:space="preserve"> of the variety of sweet potato planted</w:t>
      </w:r>
      <w:r>
        <w:t>.</w:t>
      </w:r>
      <w:r w:rsidR="00337D1B">
        <w:t xml:space="preserve"> </w:t>
      </w:r>
      <w:r w:rsidR="008524DC">
        <w:t>So c</w:t>
      </w:r>
      <w:r w:rsidR="00A27370">
        <w:t>reated meanings can be unexpected and have unintended effec</w:t>
      </w:r>
      <w:r w:rsidR="00815537">
        <w:t>ts</w:t>
      </w:r>
      <w:r w:rsidR="009317F0">
        <w:t xml:space="preserve"> on the community. </w:t>
      </w:r>
    </w:p>
    <w:p w14:paraId="33DE3002" w14:textId="44E4A5ED" w:rsidR="009317F0" w:rsidRDefault="00D85A4E" w:rsidP="00897797">
      <w:pPr>
        <w:pStyle w:val="NoSpacing"/>
        <w:ind w:firstLine="720"/>
      </w:pPr>
      <w:r>
        <w:t>Created meaning</w:t>
      </w:r>
      <w:r w:rsidR="00937D91">
        <w:t>s</w:t>
      </w:r>
      <w:r>
        <w:t xml:space="preserve"> </w:t>
      </w:r>
      <w:r w:rsidR="009317F0">
        <w:t>may not only influence the society</w:t>
      </w:r>
      <w:r w:rsidR="002C3BFA">
        <w:t>, bu</w:t>
      </w:r>
      <w:r w:rsidR="001149A3">
        <w:t>t</w:t>
      </w:r>
      <w:r w:rsidR="00950D0B">
        <w:t xml:space="preserve"> also the research itself. </w:t>
      </w:r>
      <w:r w:rsidR="003431AF">
        <w:t>I</w:t>
      </w:r>
      <w:r w:rsidR="00FB2DA5">
        <w:t>n the experimental gardens</w:t>
      </w:r>
      <w:r w:rsidR="00551017">
        <w:t xml:space="preserve"> we </w:t>
      </w:r>
      <w:r w:rsidR="00EB4C93">
        <w:t>plant</w:t>
      </w:r>
      <w:r w:rsidR="00AA4023">
        <w:t>ed</w:t>
      </w:r>
      <w:r w:rsidR="009A3E37">
        <w:t xml:space="preserve"> </w:t>
      </w:r>
      <w:r w:rsidR="00E41AF3">
        <w:t xml:space="preserve">the </w:t>
      </w:r>
      <w:r w:rsidR="00EB4C93">
        <w:t xml:space="preserve">‘wan </w:t>
      </w:r>
      <w:proofErr w:type="spellStart"/>
      <w:r w:rsidR="00EB4C93">
        <w:t>mun</w:t>
      </w:r>
      <w:proofErr w:type="spellEnd"/>
      <w:r w:rsidR="00EB4C93">
        <w:t xml:space="preserve"> </w:t>
      </w:r>
      <w:proofErr w:type="spellStart"/>
      <w:r w:rsidR="00EB4C93">
        <w:t>kaukau</w:t>
      </w:r>
      <w:proofErr w:type="spellEnd"/>
      <w:r w:rsidR="00EB4C93">
        <w:t>’</w:t>
      </w:r>
      <w:r w:rsidR="00E41AF3">
        <w:t xml:space="preserve"> sweet potato variety</w:t>
      </w:r>
      <w:r w:rsidR="00AA4023">
        <w:t>, following the advice of a local farmer</w:t>
      </w:r>
      <w:r w:rsidR="00EB4C93">
        <w:t>. Only after the project had finished</w:t>
      </w:r>
      <w:r w:rsidR="008651C9">
        <w:t>,</w:t>
      </w:r>
      <w:r w:rsidR="002857D0">
        <w:t xml:space="preserve"> did the farmer tell </w:t>
      </w:r>
      <w:r w:rsidR="00A43304">
        <w:t>us</w:t>
      </w:r>
      <w:r w:rsidR="00EB4C93">
        <w:t xml:space="preserve"> that she </w:t>
      </w:r>
      <w:r w:rsidR="0097322D">
        <w:t>had not been sure that the variety would grow well. However, she had thought that one of the contribution</w:t>
      </w:r>
      <w:r w:rsidR="00DE5DBD">
        <w:t>s</w:t>
      </w:r>
      <w:r w:rsidR="00A56D38">
        <w:t xml:space="preserve"> the</w:t>
      </w:r>
      <w:r w:rsidR="0097322D">
        <w:t xml:space="preserve"> research could make was establishing whether ‘wan </w:t>
      </w:r>
      <w:proofErr w:type="spellStart"/>
      <w:r w:rsidR="0097322D">
        <w:t>mun</w:t>
      </w:r>
      <w:proofErr w:type="spellEnd"/>
      <w:r w:rsidR="0097322D">
        <w:t xml:space="preserve"> </w:t>
      </w:r>
      <w:proofErr w:type="spellStart"/>
      <w:r w:rsidR="0097322D">
        <w:t>kaukau</w:t>
      </w:r>
      <w:proofErr w:type="spellEnd"/>
      <w:r w:rsidR="0097322D">
        <w:t>’ w</w:t>
      </w:r>
      <w:r w:rsidR="00DE5DBD">
        <w:t>ould be a good variety to grow, something that the research tea</w:t>
      </w:r>
      <w:r w:rsidR="00950D0B">
        <w:t xml:space="preserve">m had not intended to investigate. </w:t>
      </w:r>
      <w:r w:rsidR="009317F0">
        <w:t xml:space="preserve">It is not often that natural scientists reflect upon how their </w:t>
      </w:r>
      <w:r w:rsidR="00CE7A65">
        <w:t>research ‘subjects’</w:t>
      </w:r>
      <w:r w:rsidR="009E6584">
        <w:t xml:space="preserve"> may turn the tables on </w:t>
      </w:r>
      <w:r w:rsidR="00DB0B90">
        <w:t>them</w:t>
      </w:r>
      <w:r w:rsidR="00232B53">
        <w:t>,</w:t>
      </w:r>
      <w:r w:rsidR="009E6584">
        <w:t xml:space="preserve"> and </w:t>
      </w:r>
      <w:r w:rsidR="00AC5A39">
        <w:t>influence researchers</w:t>
      </w:r>
      <w:r w:rsidR="00C05B37">
        <w:t xml:space="preserve"> unintentionally</w:t>
      </w:r>
      <w:r w:rsidR="009E6584">
        <w:t xml:space="preserve"> to carry out research that they are interested in</w:t>
      </w:r>
      <w:r w:rsidR="009A3E37">
        <w:t xml:space="preserve">. </w:t>
      </w:r>
      <w:r w:rsidR="007C6123">
        <w:t>Reflecting on this may</w:t>
      </w:r>
      <w:r w:rsidR="002804FC">
        <w:t xml:space="preserve"> allow</w:t>
      </w:r>
      <w:r w:rsidR="00D72A9F">
        <w:t xml:space="preserve"> agro</w:t>
      </w:r>
      <w:r w:rsidR="003431AF">
        <w:t>ecologists</w:t>
      </w:r>
      <w:r w:rsidR="009317F0">
        <w:t xml:space="preserve"> to develop a sharper sense of reality</w:t>
      </w:r>
      <w:r w:rsidR="000A6BED">
        <w:t>, and perhaps help</w:t>
      </w:r>
      <w:r w:rsidR="002D4071">
        <w:t xml:space="preserve"> </w:t>
      </w:r>
      <w:r w:rsidR="005B0886">
        <w:t xml:space="preserve">tailor their research to answer </w:t>
      </w:r>
      <w:r w:rsidR="002D4071">
        <w:t>q</w:t>
      </w:r>
      <w:r w:rsidR="00675D3B">
        <w:t>uestions that local people are</w:t>
      </w:r>
      <w:r w:rsidR="002D4071">
        <w:t xml:space="preserve"> interested in</w:t>
      </w:r>
      <w:r w:rsidR="00897797">
        <w:t>.</w:t>
      </w:r>
    </w:p>
    <w:p w14:paraId="7693A98A" w14:textId="564F2D00" w:rsidR="003857D9" w:rsidRDefault="00425E8A" w:rsidP="000B6005">
      <w:pPr>
        <w:pStyle w:val="NoSpacing"/>
      </w:pPr>
      <w:r>
        <w:tab/>
      </w:r>
      <w:r w:rsidR="0033268A">
        <w:t xml:space="preserve">Looking at which </w:t>
      </w:r>
      <w:r w:rsidR="000F2C32">
        <w:t>farming practices</w:t>
      </w:r>
      <w:r w:rsidR="0033268A">
        <w:t xml:space="preserve"> were taken up provide</w:t>
      </w:r>
      <w:r w:rsidR="008D58F6">
        <w:t>s</w:t>
      </w:r>
      <w:r w:rsidR="0033268A">
        <w:t xml:space="preserve"> insights into what type of </w:t>
      </w:r>
      <w:r w:rsidR="00801B4A">
        <w:t xml:space="preserve">agricultural innovations are likely to </w:t>
      </w:r>
      <w:r w:rsidR="00AB11CD">
        <w:t xml:space="preserve">be accepted among farmers </w:t>
      </w:r>
      <w:r w:rsidR="00AB11CD">
        <w:fldChar w:fldCharType="begin" w:fldLock="1"/>
      </w:r>
      <w:r w:rsidR="001C3948">
        <w:instrText>ADDIN CSL_CITATION {"citationItems":[{"id":"ITEM-1","itemData":{"DOI":"10.1111/j.1744-7429.2009.00558.x","ISSN":"00063606","abstract":"Environmental research is often conducted independently of the community in which the environment is situated, with transfer of results into policy and on-ground action occurring independently of the community's interests or aspirations. Increasingly the need for greater community involvement in the research process has been recognized. For community members, however, such engagement usually involves trade-offs. While it is often assumed that community members should participate voluntarily because they will gain from the research, any benefits from knowledge, understanding and a capacity to influence the research have to be offset against time and potential loss of unremunerated intellectual property. We argue, using case studies from tropical Australia and Africa, that a more effective means of engagement and knowledge transfer is training and remuneration of community members as coresearchers. This engagement is much more than payment for labor - it is investment in local intellectual property and requires researcher humility, power-sharing and recognition that access to research funding provides no moral or intellectual authority. Further, we argue that, for effective adoption of research results, community members need to be part of negotiated agreements on the initial nature of the research to ensure it answers questions of genuine local relevance and that local researchers have the capacity to place locally conducted research into a wider context. We argue that immediate rewards for involvement not only secure engagement but, where appropriate, are likely to lead to effective implementation of research results, enhanced local capacity and greater equity in intellectual power-sharing.","author":[{"dropping-particle":"","family":"Garnett","given":"Stephen T.","non-dropping-particle":"","parse-names":false,"suffix":""},{"dropping-particle":"","family":"Crowley","given":"Gabriel M.","non-dropping-particle":"","parse-names":false,"suffix":""},{"dropping-particle":"","family":"Hunter-Xenie","given":"Hmalan","non-dropping-particle":"","parse-names":false,"suffix":""},{"dropping-particle":"","family":"Kozanayi","given":"Witness","non-dropping-particle":"","parse-names":false,"suffix":""},{"dropping-particle":"","family":"Sithole","given":"Bevlyne","non-dropping-particle":"","parse-names":false,"suffix":""},{"dropping-particle":"","family":"Palmer","given":"Carol","non-dropping-particle":"","parse-names":false,"suffix":""},{"dropping-particle":"","family":"Southgate","given":"Richard","non-dropping-particle":"","parse-names":false,"suffix":""},{"dropping-particle":"","family":"Zander","given":"Kerstin K.","non-dropping-particle":"","parse-names":false,"suffix":""}],"container-title":"Biotropica","id":"ITEM-1","issue":"5","issued":{"date-parts":[["2009"]]},"page":"571-577","title":"Transformative knowledge transfer through empowering and paying community researchers","type":"article-journal","volume":"41"},"uris":["http://www.mendeley.com/documents/?uuid=9317b31c-debf-4c70-aab8-cd3fefcd5e53"]}],"mendeley":{"formattedCitation":"(Garnett &lt;i&gt;et al.&lt;/i&gt;, 2009)","plainTextFormattedCitation":"(Garnett et al., 2009)","previouslyFormattedCitation":"(Garnett &lt;i&gt;et al.&lt;/i&gt;, 2009)"},"properties":{"noteIndex":0},"schema":"https://github.com/citation-style-language/schema/raw/master/csl-citation.json"}</w:instrText>
      </w:r>
      <w:r w:rsidR="00AB11CD">
        <w:fldChar w:fldCharType="separate"/>
      </w:r>
      <w:r w:rsidR="00636F5B" w:rsidRPr="00636F5B">
        <w:rPr>
          <w:noProof/>
        </w:rPr>
        <w:t xml:space="preserve">(Garnett </w:t>
      </w:r>
      <w:r w:rsidR="00636F5B" w:rsidRPr="00636F5B">
        <w:rPr>
          <w:i/>
          <w:noProof/>
        </w:rPr>
        <w:t>et al.</w:t>
      </w:r>
      <w:r w:rsidR="00636F5B" w:rsidRPr="00636F5B">
        <w:rPr>
          <w:noProof/>
        </w:rPr>
        <w:t>, 2009)</w:t>
      </w:r>
      <w:r w:rsidR="00AB11CD">
        <w:fldChar w:fldCharType="end"/>
      </w:r>
      <w:r w:rsidR="00801B4A">
        <w:t xml:space="preserve">. </w:t>
      </w:r>
      <w:r w:rsidR="007125CB">
        <w:t>I</w:t>
      </w:r>
      <w:r w:rsidR="0090502C">
        <w:t xml:space="preserve">nnovations that do not require fundamental changes in people’s behaviour are </w:t>
      </w:r>
      <w:r w:rsidR="00523B87">
        <w:t xml:space="preserve">usually </w:t>
      </w:r>
      <w:r w:rsidR="0090502C">
        <w:t xml:space="preserve">much more readily accepted </w:t>
      </w:r>
      <w:r w:rsidR="0090502C">
        <w:fldChar w:fldCharType="begin" w:fldLock="1"/>
      </w:r>
      <w:r w:rsidR="001C3948">
        <w:instrText>ADDIN CSL_CITATION {"citationItems":[{"id":"ITEM-1","itemData":{"author":[{"dropping-particle":"","family":"Rogers","given":"E. M.","non-dropping-particle":"","parse-names":false,"suffix":""}],"edition":"5th","id":"ITEM-1","issued":{"date-parts":[["2003"]]},"publisher":"Free Press","publisher-place":"New York","title":"Diffusion of innovations","type":"book"},"uris":["http://www.mendeley.com/documents/?uuid=f76b961b-7a25-4aae-8e41-376253f0db6e"]}],"mendeley":{"formattedCitation":"(Rogers, 2003)","plainTextFormattedCitation":"(Rogers, 2003)","previouslyFormattedCitation":"(Rogers, 2003)"},"properties":{"noteIndex":0},"schema":"https://github.com/citation-style-language/schema/raw/master/csl-citation.json"}</w:instrText>
      </w:r>
      <w:r w:rsidR="0090502C">
        <w:fldChar w:fldCharType="separate"/>
      </w:r>
      <w:r w:rsidR="00636F5B" w:rsidRPr="00636F5B">
        <w:rPr>
          <w:noProof/>
        </w:rPr>
        <w:t>(Rogers, 2003)</w:t>
      </w:r>
      <w:r w:rsidR="0090502C">
        <w:fldChar w:fldCharType="end"/>
      </w:r>
      <w:r w:rsidR="0090502C">
        <w:t>. Mulching is t</w:t>
      </w:r>
      <w:r w:rsidR="00246A0E">
        <w:t xml:space="preserve">raditionally practised in this </w:t>
      </w:r>
      <w:r w:rsidR="0090502C">
        <w:t>community. Replacing grass</w:t>
      </w:r>
      <w:r w:rsidR="00585C0C">
        <w:t>, leaves or plant residue</w:t>
      </w:r>
      <w:r w:rsidR="006851B5">
        <w:t xml:space="preserve"> mulches</w:t>
      </w:r>
      <w:r w:rsidR="00AA6E60">
        <w:t xml:space="preserve"> with food waste was </w:t>
      </w:r>
      <w:r w:rsidR="009368C6">
        <w:t>relatively easy</w:t>
      </w:r>
      <w:r w:rsidR="0090502C">
        <w:t xml:space="preserve">, and this may explain why more farmers started </w:t>
      </w:r>
      <w:r w:rsidR="0023470A">
        <w:t>to apply</w:t>
      </w:r>
      <w:r w:rsidR="005747C0">
        <w:t xml:space="preserve"> food waste</w:t>
      </w:r>
      <w:r w:rsidR="006851B5">
        <w:t xml:space="preserve"> (expanding the researched banana peels to include a range of other </w:t>
      </w:r>
      <w:r w:rsidR="009B18C6">
        <w:t xml:space="preserve">food waste </w:t>
      </w:r>
      <w:r w:rsidR="006851B5">
        <w:t>products)</w:t>
      </w:r>
      <w:r w:rsidR="0090502C">
        <w:t xml:space="preserve">. </w:t>
      </w:r>
      <w:r w:rsidR="00DB0646">
        <w:t>Likewise</w:t>
      </w:r>
      <w:r w:rsidR="0090502C">
        <w:t xml:space="preserve">, farmers in PNG already plant a great variety of crops </w:t>
      </w:r>
      <w:r w:rsidR="0090502C">
        <w:fldChar w:fldCharType="begin" w:fldLock="1"/>
      </w:r>
      <w:r w:rsidR="001C3948">
        <w:instrText>ADDIN CSL_CITATION {"citationItems":[{"id":"ITEM-1","itemData":{"ISBN":"1921536616","abstract":"Agriculture dominates the rural economy of Papua New Guinea (PNG). More than five million rural dwellers (80% of the population) earn a living from subsistence agriculture and selling crops in domestic and international markets. Many aspects of agriculture in PNG are described in this data-rich book. Topics include agricultural environments in which crops are grown; production of food crops, cash crops and animals; land use; soils; demography; migration; the macro-economic environment; gender issues; governance of agricultural institutions; and transport. The history of agriculture over the 50 000 years that PNG has been occupied by humans is summarised. Much of the information presented is not readily available within PNG. The book contains results of many new analyses, including a food budget for the entire nation. The text is supported by 165 tables and 215 maps and figures.","editor":[{"dropping-particle":"","family":"Bourke","given":"R. M.","non-dropping-particle":"","parse-names":false,"suffix":""},{"dropping-particle":"","family":"Harwood","given":"T. A.","non-dropping-particle":"","parse-names":false,"suffix":""}],"id":"ITEM-1","issued":{"date-parts":[["2009"]]},"publisher":"ANU E Press","publisher-place":"Canberra","title":"Food and agriculture in Papua New Guinea","type":"book"},"uris":["http://www.mendeley.com/documents/?uuid=0c6c348f-3fed-4183-955d-348d6a14db09"]}],"mendeley":{"formattedCitation":"(Bourke and Harwood, 2009)","plainTextFormattedCitation":"(Bourke and Harwood, 2009)","previouslyFormattedCitation":"(Bourke and Harwood, 2009)"},"properties":{"noteIndex":0},"schema":"https://github.com/citation-style-language/schema/raw/master/csl-citation.json"}</w:instrText>
      </w:r>
      <w:r w:rsidR="0090502C">
        <w:fldChar w:fldCharType="separate"/>
      </w:r>
      <w:r w:rsidR="00636F5B" w:rsidRPr="00636F5B">
        <w:rPr>
          <w:noProof/>
        </w:rPr>
        <w:t>(Bourke and Harwood, 2009)</w:t>
      </w:r>
      <w:r w:rsidR="0090502C">
        <w:fldChar w:fldCharType="end"/>
      </w:r>
      <w:r w:rsidR="009368C6">
        <w:t xml:space="preserve">, so switching </w:t>
      </w:r>
      <w:r w:rsidR="007615A9">
        <w:t xml:space="preserve">the </w:t>
      </w:r>
      <w:r w:rsidR="009368C6">
        <w:t>var</w:t>
      </w:r>
      <w:r w:rsidR="0090502C">
        <w:t>iety of sweet</w:t>
      </w:r>
      <w:r w:rsidR="004C2A27">
        <w:t xml:space="preserve"> </w:t>
      </w:r>
      <w:r w:rsidR="0090502C">
        <w:t xml:space="preserve">potato </w:t>
      </w:r>
      <w:r w:rsidR="004C2A27">
        <w:t>was also relatively easy</w:t>
      </w:r>
      <w:r w:rsidR="0090502C">
        <w:t xml:space="preserve">. </w:t>
      </w:r>
      <w:r w:rsidR="006851B5">
        <w:t xml:space="preserve">In a similar way, </w:t>
      </w:r>
      <w:r w:rsidR="009C0D02">
        <w:t>white yam (</w:t>
      </w:r>
      <w:proofErr w:type="spellStart"/>
      <w:r w:rsidR="009C0D02">
        <w:rPr>
          <w:i/>
        </w:rPr>
        <w:t>Dioscorea</w:t>
      </w:r>
      <w:proofErr w:type="spellEnd"/>
      <w:r w:rsidR="009C0D02">
        <w:rPr>
          <w:i/>
        </w:rPr>
        <w:t xml:space="preserve"> </w:t>
      </w:r>
      <w:proofErr w:type="spellStart"/>
      <w:r w:rsidR="009C0D02">
        <w:rPr>
          <w:i/>
        </w:rPr>
        <w:t>rotundata</w:t>
      </w:r>
      <w:proofErr w:type="spellEnd"/>
      <w:r w:rsidR="00971865">
        <w:t xml:space="preserve">) </w:t>
      </w:r>
      <w:r w:rsidR="009C0D02">
        <w:t xml:space="preserve">was introduced </w:t>
      </w:r>
      <w:r w:rsidR="006851B5">
        <w:t xml:space="preserve">to PNG </w:t>
      </w:r>
      <w:r w:rsidR="009C0D02">
        <w:t xml:space="preserve">in 1986 </w:t>
      </w:r>
      <w:r w:rsidR="00B903DE">
        <w:t>and has been steadily adopted by farm</w:t>
      </w:r>
      <w:r w:rsidR="00C15D77">
        <w:t>ers</w:t>
      </w:r>
      <w:r w:rsidR="00B903DE">
        <w:t xml:space="preserve">, </w:t>
      </w:r>
      <w:r w:rsidR="00B67489">
        <w:t>which is often explained by the fact that</w:t>
      </w:r>
      <w:r w:rsidR="00FF4ECC">
        <w:t xml:space="preserve"> white </w:t>
      </w:r>
      <w:r w:rsidR="00FF4ECC">
        <w:lastRenderedPageBreak/>
        <w:t>yam</w:t>
      </w:r>
      <w:r w:rsidR="00B903DE">
        <w:t xml:space="preserve"> has many similarities to the </w:t>
      </w:r>
      <w:r w:rsidR="00D503FE">
        <w:t xml:space="preserve">traditionally-grown </w:t>
      </w:r>
      <w:r w:rsidR="00B903DE">
        <w:t>greater yam (</w:t>
      </w:r>
      <w:proofErr w:type="spellStart"/>
      <w:r w:rsidR="00B903DE">
        <w:rPr>
          <w:i/>
        </w:rPr>
        <w:t>Dioscorea</w:t>
      </w:r>
      <w:proofErr w:type="spellEnd"/>
      <w:r w:rsidR="00B903DE">
        <w:rPr>
          <w:i/>
        </w:rPr>
        <w:t xml:space="preserve"> </w:t>
      </w:r>
      <w:proofErr w:type="spellStart"/>
      <w:r w:rsidR="00B903DE">
        <w:rPr>
          <w:i/>
        </w:rPr>
        <w:t>alata</w:t>
      </w:r>
      <w:proofErr w:type="spellEnd"/>
      <w:r w:rsidR="00B903DE">
        <w:t xml:space="preserve">) </w:t>
      </w:r>
      <w:r w:rsidR="00DF5681">
        <w:fldChar w:fldCharType="begin" w:fldLock="1"/>
      </w:r>
      <w:r w:rsidR="001C3948">
        <w:instrText>ADDIN CSL_CITATION {"citationItems":[{"id":"ITEM-1","itemData":{"author":[{"dropping-particle":"","family":"Risimeri","given":"J.B.","non-dropping-particle":"","parse-names":false,"suffix":""},{"dropping-particle":"","family":"Gendua","given":"P.A.","non-dropping-particle":"","parse-names":false,"suffix":""},{"dropping-particle":"","family":"Maima","given":"J.B.","non-dropping-particle":"","parse-names":false,"suffix":""}],"container-title":"Food security in Papua New Guinea","editor":[{"dropping-particle":"","family":"Bourke","given":"R.M.","non-dropping-particle":"","parse-names":false,"suffix":""},{"dropping-particle":"","family":"Allen","given":"M.G.","non-dropping-particle":"","parse-names":false,"suffix":""},{"dropping-particle":"","family":"Salisbury","given":"J.G.","non-dropping-particle":"","parse-names":false,"suffix":""}],"id":"ITEM-1","issued":{"date-parts":[["2001"]]},"note":"file:///C:/Users/Mirjam Hazenbosch/Downloads/PR099.pdf","publisher":"Australian Centre for International Agricultural Research","publisher-place":"Canberra","title":"The status of the introduced white yam in Papua New Guinea","type":"chapter"},"uris":["http://www.mendeley.com/documents/?uuid=1b860286-6ba2-499a-b78f-e9879b4db0f7"]}],"mendeley":{"formattedCitation":"(Risimeri, Gendua and Maima, 2001)","plainTextFormattedCitation":"(Risimeri, Gendua and Maima, 2001)","previouslyFormattedCitation":"(Risimeri, Gendua and Maima, 2001)"},"properties":{"noteIndex":0},"schema":"https://github.com/citation-style-language/schema/raw/master/csl-citation.json"}</w:instrText>
      </w:r>
      <w:r w:rsidR="00DF5681">
        <w:fldChar w:fldCharType="separate"/>
      </w:r>
      <w:r w:rsidR="00636F5B" w:rsidRPr="00636F5B">
        <w:rPr>
          <w:noProof/>
        </w:rPr>
        <w:t>(Risimeri, Gendua and Maima, 2001)</w:t>
      </w:r>
      <w:r w:rsidR="00DF5681">
        <w:fldChar w:fldCharType="end"/>
      </w:r>
      <w:r w:rsidR="00DF5681">
        <w:t xml:space="preserve">. </w:t>
      </w:r>
    </w:p>
    <w:p w14:paraId="561566C4" w14:textId="2F32F5F2" w:rsidR="0090502C" w:rsidRDefault="0090502C" w:rsidP="003857D9">
      <w:pPr>
        <w:pStyle w:val="NoSpacing"/>
        <w:ind w:firstLine="720"/>
      </w:pPr>
      <w:r>
        <w:t>Applying animal manure and NPK</w:t>
      </w:r>
      <w:r w:rsidR="00C15D77">
        <w:t xml:space="preserve"> fertiliser</w:t>
      </w:r>
      <w:r w:rsidR="00B01F5A">
        <w:t xml:space="preserve"> </w:t>
      </w:r>
      <w:r w:rsidR="00C15D77">
        <w:t xml:space="preserve">required </w:t>
      </w:r>
      <w:r w:rsidR="006A6EEE">
        <w:t xml:space="preserve">new knowledge and </w:t>
      </w:r>
      <w:r>
        <w:t xml:space="preserve">inputs. Farmers indicated that despite the </w:t>
      </w:r>
      <w:r w:rsidR="00195CE9">
        <w:t xml:space="preserve">research </w:t>
      </w:r>
      <w:r>
        <w:t xml:space="preserve">intervention they did not think they had enough knowledge </w:t>
      </w:r>
      <w:r w:rsidR="001B00FB">
        <w:t xml:space="preserve">and practical experience </w:t>
      </w:r>
      <w:r>
        <w:t>yet</w:t>
      </w:r>
      <w:r w:rsidR="00F713D1">
        <w:t xml:space="preserve"> to start using these fertilisers</w:t>
      </w:r>
      <w:r w:rsidR="007A5235">
        <w:t>.</w:t>
      </w:r>
      <w:r w:rsidR="001A5D68">
        <w:t xml:space="preserve"> T</w:t>
      </w:r>
      <w:r w:rsidR="00C15D77">
        <w:t xml:space="preserve">hey also </w:t>
      </w:r>
      <w:r w:rsidR="00D87E5D">
        <w:t>thought it too difficult to ac</w:t>
      </w:r>
      <w:r>
        <w:t>quire the necessary materials</w:t>
      </w:r>
      <w:r w:rsidR="009111E9">
        <w:t>;</w:t>
      </w:r>
      <w:r w:rsidR="00234966">
        <w:t xml:space="preserve"> c</w:t>
      </w:r>
      <w:r>
        <w:t>ollecting animal manure requires farmers to</w:t>
      </w:r>
      <w:r w:rsidR="0060239B">
        <w:t xml:space="preserve"> buy and</w:t>
      </w:r>
      <w:r>
        <w:t xml:space="preserve"> f</w:t>
      </w:r>
      <w:r w:rsidR="007A0692">
        <w:t xml:space="preserve">ence </w:t>
      </w:r>
      <w:r w:rsidR="001F3F8F">
        <w:t xml:space="preserve">animals </w:t>
      </w:r>
      <w:r w:rsidR="002C5E7B">
        <w:t>and g</w:t>
      </w:r>
      <w:r>
        <w:t xml:space="preserve">etting NPK fertiliser </w:t>
      </w:r>
      <w:r w:rsidR="00704962">
        <w:t xml:space="preserve">involves </w:t>
      </w:r>
      <w:r w:rsidR="00B10BA9">
        <w:t>going</w:t>
      </w:r>
      <w:r w:rsidR="007A0692">
        <w:t xml:space="preserve"> to</w:t>
      </w:r>
      <w:r>
        <w:t xml:space="preserve"> t</w:t>
      </w:r>
      <w:r w:rsidR="0040559D">
        <w:t>own</w:t>
      </w:r>
      <w:r w:rsidR="00C57CBB">
        <w:t xml:space="preserve">, </w:t>
      </w:r>
      <w:r w:rsidR="00225899">
        <w:t xml:space="preserve">both </w:t>
      </w:r>
      <w:r w:rsidR="0079695A">
        <w:t xml:space="preserve">of which </w:t>
      </w:r>
      <w:r w:rsidR="00003F74">
        <w:t>demand</w:t>
      </w:r>
      <w:r>
        <w:t xml:space="preserve"> time and money. </w:t>
      </w:r>
      <w:r w:rsidR="00A969ED">
        <w:t>N</w:t>
      </w:r>
      <w:r>
        <w:t xml:space="preserve">ot having enough knowledge </w:t>
      </w:r>
      <w:r w:rsidR="00D9400D">
        <w:t xml:space="preserve">and initial costs </w:t>
      </w:r>
      <w:r>
        <w:t xml:space="preserve">are </w:t>
      </w:r>
      <w:r w:rsidR="00470D30">
        <w:t>often</w:t>
      </w:r>
      <w:r>
        <w:t xml:space="preserve"> barriers to innovation among</w:t>
      </w:r>
      <w:r w:rsidR="0070679F">
        <w:t xml:space="preserve"> </w:t>
      </w:r>
      <w:r>
        <w:t>farmers</w:t>
      </w:r>
      <w:r w:rsidR="0070679F">
        <w:t xml:space="preserve"> </w:t>
      </w:r>
      <w:r w:rsidR="0070679F">
        <w:fldChar w:fldCharType="begin" w:fldLock="1"/>
      </w:r>
      <w:r w:rsidR="001C3948">
        <w:instrText>ADDIN CSL_CITATION {"citationItems":[{"id":"ITEM-1","itemData":{"DOI":"10.1038/s41893-020-00617-y","ISSN":"23989629","abstract":"The increasing pressure on agricultural production systems to achieve global food security and prevent environmental degradation necessitates a transition towards more sustainable practices. The purpose of this scoping review is to understand how the incentives offered to farmers motivate the adoption of sustainable agricultural practices and, ultimately, how and whether they result in measurable outcomes. To this end, this scoping review examines the evidence of nearly 18,000 papers on whether incentive-based programmes lead to the adoption of sustainable practices and their effect on environmental, economic and productivity outcomes. We find that independent of the incentive type, programmes linked to short-term economic benefit have a higher adoption rate than those aimed solely at providing an ecological service. In the long run, one of the strongest motivations for farmers to adopt sustainable practices is perceived benefits for either their farms, the environment or both. Beyond this, the importance of technical assistance and extension services in promoting sustainable practices emerges strongly from this scoping review. Finally, we find that policy instruments are more effective if their design considers the characteristics of the target population, and the associated trade-offs between economic, environmental and social outcomes.","author":[{"dropping-particle":"","family":"Piñeiro","given":"Valeria","non-dropping-particle":"","parse-names":false,"suffix":""},{"dropping-particle":"","family":"Arias","given":"Joaquín","non-dropping-particle":"","parse-names":false,"suffix":""},{"dropping-particle":"","family":"Dürr","given":"Jochen","non-dropping-particle":"","parse-names":false,"suffix":""},{"dropping-particle":"","family":"Elverdin","given":"Pablo","non-dropping-particle":"","parse-names":false,"suffix":""},{"dropping-particle":"","family":"Ibáñez","given":"Ana María","non-dropping-particle":"","parse-names":false,"suffix":""},{"dropping-particle":"","family":"Kinengyere","given":"Alison","non-dropping-particle":"","parse-names":false,"suffix":""},{"dropping-particle":"","family":"Opazo","given":"Cristian Morales","non-dropping-particle":"","parse-names":false,"suffix":""},{"dropping-particle":"","family":"Owoo","given":"Nkechi","non-dropping-particle":"","parse-names":false,"suffix":""},{"dropping-particle":"","family":"Page","given":"Jessica R.","non-dropping-particle":"","parse-names":false,"suffix":""},{"dropping-particle":"","family":"Prager","given":"Steven D.","non-dropping-particle":"","parse-names":false,"suffix":""},{"dropping-particle":"","family":"Torero","given":"Maximo","non-dropping-particle":"","parse-names":false,"suffix":""}],"container-title":"Nature Sustainability","id":"ITEM-1","issue":"10","issued":{"date-parts":[["2020"]]},"page":"809-820","title":"A scoping review on incentives for adoption of sustainable agricultural practices and their outcomes","type":"article-journal","volume":"3"},"uris":["http://www.mendeley.com/documents/?uuid=19520659-617c-4aa9-8735-54089d64fbb4"]}],"mendeley":{"formattedCitation":"(Piñeiro &lt;i&gt;et al.&lt;/i&gt;, 2020)","plainTextFormattedCitation":"(Piñeiro et al., 2020)","previouslyFormattedCitation":"(Piñeiro &lt;i&gt;et al.&lt;/i&gt;, 2020)"},"properties":{"noteIndex":0},"schema":"https://github.com/citation-style-language/schema/raw/master/csl-citation.json"}</w:instrText>
      </w:r>
      <w:r w:rsidR="0070679F">
        <w:fldChar w:fldCharType="separate"/>
      </w:r>
      <w:r w:rsidR="00636F5B" w:rsidRPr="00636F5B">
        <w:rPr>
          <w:noProof/>
        </w:rPr>
        <w:t xml:space="preserve">(Piñeiro </w:t>
      </w:r>
      <w:r w:rsidR="00636F5B" w:rsidRPr="00636F5B">
        <w:rPr>
          <w:i/>
          <w:noProof/>
        </w:rPr>
        <w:t>et al.</w:t>
      </w:r>
      <w:r w:rsidR="00636F5B" w:rsidRPr="00636F5B">
        <w:rPr>
          <w:noProof/>
        </w:rPr>
        <w:t>, 2020)</w:t>
      </w:r>
      <w:r w:rsidR="0070679F">
        <w:fldChar w:fldCharType="end"/>
      </w:r>
      <w:r>
        <w:t xml:space="preserve">. Future research that aims to develop and promote </w:t>
      </w:r>
      <w:r w:rsidR="001507FB">
        <w:t>agricultural</w:t>
      </w:r>
      <w:r>
        <w:t xml:space="preserve"> techniques would benefit from harnessing existing practices and optimising them, rather than introducing completely new practices</w:t>
      </w:r>
      <w:r w:rsidR="002567DA">
        <w:t xml:space="preserve"> </w:t>
      </w:r>
      <w:r w:rsidR="002567DA">
        <w:fldChar w:fldCharType="begin" w:fldLock="1"/>
      </w:r>
      <w:r w:rsidR="001C3948">
        <w:instrText>ADDIN CSL_CITATION {"citationItems":[{"id":"ITEM-1","itemData":{"author":[{"dropping-particle":"","family":"Rogers","given":"E. M.","non-dropping-particle":"","parse-names":false,"suffix":""}],"edition":"5th","id":"ITEM-1","issued":{"date-parts":[["2003"]]},"publisher":"Free Press","publisher-place":"New York","title":"Diffusion of innovations","type":"book"},"uris":["http://www.mendeley.com/documents/?uuid=f76b961b-7a25-4aae-8e41-376253f0db6e"]}],"mendeley":{"formattedCitation":"(Rogers, 2003)","plainTextFormattedCitation":"(Rogers, 2003)","previouslyFormattedCitation":"(Rogers, 2003)"},"properties":{"noteIndex":0},"schema":"https://github.com/citation-style-language/schema/raw/master/csl-citation.json"}</w:instrText>
      </w:r>
      <w:r w:rsidR="002567DA">
        <w:fldChar w:fldCharType="separate"/>
      </w:r>
      <w:r w:rsidR="00636F5B" w:rsidRPr="00636F5B">
        <w:rPr>
          <w:noProof/>
        </w:rPr>
        <w:t>(Rogers, 2003)</w:t>
      </w:r>
      <w:r w:rsidR="002567DA">
        <w:fldChar w:fldCharType="end"/>
      </w:r>
      <w:r>
        <w:t>.</w:t>
      </w:r>
    </w:p>
    <w:p w14:paraId="14F0D5C8" w14:textId="5FB2A22D" w:rsidR="00C571D8" w:rsidRDefault="002A76DD" w:rsidP="00847F96">
      <w:pPr>
        <w:pStyle w:val="NoSpacing"/>
        <w:spacing w:line="360" w:lineRule="auto"/>
      </w:pPr>
      <w:r>
        <w:tab/>
      </w:r>
    </w:p>
    <w:p w14:paraId="30FA8D35" w14:textId="1FCEC46D" w:rsidR="0066248F" w:rsidRPr="00F75F65" w:rsidRDefault="00F87D85" w:rsidP="005954FF">
      <w:pPr>
        <w:pStyle w:val="Heading3"/>
        <w:numPr>
          <w:ilvl w:val="2"/>
          <w:numId w:val="22"/>
        </w:numPr>
        <w:rPr>
          <w:b/>
        </w:rPr>
      </w:pPr>
      <w:r>
        <w:t>Rewiring i</w:t>
      </w:r>
      <w:r w:rsidR="0066248F" w:rsidRPr="00F75F65">
        <w:t xml:space="preserve">nformation-sharing networks in a smallholder farming community </w:t>
      </w:r>
    </w:p>
    <w:p w14:paraId="53214499" w14:textId="380FE7BE" w:rsidR="00BB6363" w:rsidRDefault="00BB6363" w:rsidP="00141A3F">
      <w:pPr>
        <w:pStyle w:val="NoSpacing"/>
        <w:rPr>
          <w:b/>
          <w:i/>
        </w:rPr>
      </w:pPr>
    </w:p>
    <w:p w14:paraId="29BBCFE9" w14:textId="1C1BFDBB" w:rsidR="00EA4102" w:rsidRDefault="00DA4895" w:rsidP="004A77EF">
      <w:pPr>
        <w:pStyle w:val="NoSpacing"/>
      </w:pPr>
      <w:r>
        <w:t>We</w:t>
      </w:r>
      <w:r w:rsidR="00193DAE">
        <w:t xml:space="preserve"> </w:t>
      </w:r>
      <w:r w:rsidR="00687B86">
        <w:t xml:space="preserve">found </w:t>
      </w:r>
      <w:r w:rsidR="00BA696A">
        <w:t xml:space="preserve">that the research project, at least temporarily, affected the social network in the community. </w:t>
      </w:r>
      <w:r w:rsidR="007E740B">
        <w:t xml:space="preserve">Local community members who were directly involved in the </w:t>
      </w:r>
      <w:r w:rsidR="00302ECC">
        <w:t>project</w:t>
      </w:r>
      <w:r w:rsidR="007E740B">
        <w:t xml:space="preserve"> </w:t>
      </w:r>
      <w:r w:rsidR="00BB67FD">
        <w:t>as</w:t>
      </w:r>
      <w:r w:rsidR="00302ECC">
        <w:t xml:space="preserve"> research</w:t>
      </w:r>
      <w:r w:rsidR="00BB67FD">
        <w:t xml:space="preserve"> assistants </w:t>
      </w:r>
      <w:r w:rsidR="007E740B">
        <w:t>became more</w:t>
      </w:r>
      <w:r w:rsidR="00DB7104">
        <w:t xml:space="preserve"> sought-</w:t>
      </w:r>
      <w:r w:rsidR="00983361">
        <w:t>after for advice</w:t>
      </w:r>
      <w:r w:rsidR="00F84CDB">
        <w:t>.</w:t>
      </w:r>
      <w:r w:rsidR="00F92EDF">
        <w:t xml:space="preserve"> </w:t>
      </w:r>
      <w:r w:rsidR="00EA4102">
        <w:t>The intervention provided research assistants with</w:t>
      </w:r>
      <w:r w:rsidR="00412E46">
        <w:t xml:space="preserve"> </w:t>
      </w:r>
      <w:r w:rsidR="00EA4102">
        <w:t>external information</w:t>
      </w:r>
      <w:r w:rsidR="00C450A6">
        <w:t>,</w:t>
      </w:r>
      <w:r w:rsidR="00801DE5">
        <w:t xml:space="preserve"> </w:t>
      </w:r>
      <w:r w:rsidR="000374C1">
        <w:t xml:space="preserve">which </w:t>
      </w:r>
      <w:r w:rsidR="0078228C">
        <w:t>may have helped</w:t>
      </w:r>
      <w:r w:rsidR="00390B23">
        <w:t xml:space="preserve"> </w:t>
      </w:r>
      <w:r w:rsidR="0078228C">
        <w:t>them</w:t>
      </w:r>
      <w:r w:rsidR="00390B23">
        <w:t xml:space="preserve"> </w:t>
      </w:r>
      <w:r w:rsidR="00EA4102">
        <w:t xml:space="preserve">to increase their prominence. </w:t>
      </w:r>
      <w:r w:rsidR="00F47ED7">
        <w:t xml:space="preserve">This phenomenon is </w:t>
      </w:r>
      <w:r w:rsidR="000A5E8F">
        <w:t xml:space="preserve">not unique to PNG. </w:t>
      </w:r>
      <w:r w:rsidR="00EA4102">
        <w:t xml:space="preserve">Beaman </w:t>
      </w:r>
      <w:r w:rsidR="00EA4102" w:rsidRPr="000F31EA">
        <w:rPr>
          <w:i/>
        </w:rPr>
        <w:t>et al.</w:t>
      </w:r>
      <w:r w:rsidR="00EA4102">
        <w:t xml:space="preserve"> </w:t>
      </w:r>
      <w:r w:rsidR="00EA4102">
        <w:fldChar w:fldCharType="begin" w:fldLock="1"/>
      </w:r>
      <w:r w:rsidR="001C3948">
        <w:instrText>ADDIN CSL_CITATION {"citationItems":[{"id":"ITEM-1","itemData":{"DOI":"10.2139/ssrn.3225815","ISSN":"1556-5068","abstract":"In order to induce farmers to adopt a new agricultural technology, we use predictions from the threshold model of diffusion to target information to key individuals within villages in Malawi. We combine social network data and model simulations to ex ante determine who is treated in our field experiment. We observe adoption decisions in 200 villages over 3 years. Our results are consistent with a model in which many farmers need to learn from multiple people before they adopt themselves. This means that without proper targeting of information, the diffusion process can stall and technology adoption remains perpetually low.","author":[{"dropping-particle":"","family":"Beaman","given":"Lori A.","non-dropping-particle":"","parse-names":false,"suffix":""},{"dropping-particle":"","family":"BenYishay","given":"Ariel","non-dropping-particle":"","parse-names":false,"suffix":""},{"dropping-particle":"","family":"Magruder","given":"Jeremy","non-dropping-particle":"","parse-names":false,"suffix":""},{"dropping-particle":"","family":"Mobarak","given":"Ahmed Mushfiq","non-dropping-particle":"","parse-names":false,"suffix":""}],"container-title":"National Bureau of Economic Research Working Paper Series","id":"ITEM-1","issue":"w24912","issued":{"date-parts":[["2020"]]},"title":"Can network theory-based targeting increase technology adoption?","type":"article-journal"},"suppress-author":1,"uris":["http://www.mendeley.com/documents/?uuid=cc60c1bc-4792-4b4c-a23c-05c687288f55"]}],"mendeley":{"formattedCitation":"(2020)","plainTextFormattedCitation":"(2020)","previouslyFormattedCitation":"(2020)"},"properties":{"noteIndex":0},"schema":"https://github.com/citation-style-language/schema/raw/master/csl-citation.json"}</w:instrText>
      </w:r>
      <w:r w:rsidR="00EA4102">
        <w:fldChar w:fldCharType="separate"/>
      </w:r>
      <w:r w:rsidR="00636F5B" w:rsidRPr="00636F5B">
        <w:rPr>
          <w:noProof/>
        </w:rPr>
        <w:t>(2020)</w:t>
      </w:r>
      <w:r w:rsidR="00EA4102">
        <w:fldChar w:fldCharType="end"/>
      </w:r>
      <w:r w:rsidR="00EA4102">
        <w:t xml:space="preserve"> </w:t>
      </w:r>
      <w:r w:rsidR="00345658">
        <w:t>found</w:t>
      </w:r>
      <w:r w:rsidR="00EA4102">
        <w:t xml:space="preserve"> that farmers</w:t>
      </w:r>
      <w:r w:rsidR="00345658">
        <w:t xml:space="preserve"> in Malawi</w:t>
      </w:r>
      <w:r w:rsidR="00EA4102">
        <w:t xml:space="preserve"> who </w:t>
      </w:r>
      <w:r w:rsidR="009111E9">
        <w:t xml:space="preserve">had </w:t>
      </w:r>
      <w:r w:rsidR="00EA4102">
        <w:t xml:space="preserve">received training had on average more conversations </w:t>
      </w:r>
      <w:r w:rsidR="0079695A">
        <w:t>than</w:t>
      </w:r>
      <w:r w:rsidR="00EA4102">
        <w:t xml:space="preserve"> control</w:t>
      </w:r>
      <w:r w:rsidR="001C6C21">
        <w:t xml:space="preserve"> farmers</w:t>
      </w:r>
      <w:r w:rsidR="00EA4102">
        <w:t>, and</w:t>
      </w:r>
      <w:r w:rsidR="00A82958">
        <w:t xml:space="preserve"> similarly</w:t>
      </w:r>
      <w:r w:rsidR="00EA4102">
        <w:t xml:space="preserve"> </w:t>
      </w:r>
      <w:proofErr w:type="spellStart"/>
      <w:r w:rsidR="00EA4102">
        <w:t>Matous</w:t>
      </w:r>
      <w:proofErr w:type="spellEnd"/>
      <w:r w:rsidR="00EA4102">
        <w:t xml:space="preserve"> and Wang </w:t>
      </w:r>
      <w:r w:rsidR="00EA4102">
        <w:fldChar w:fldCharType="begin" w:fldLock="1"/>
      </w:r>
      <w:r w:rsidR="001C3948">
        <w:instrText>ADDIN CSL_CITATION {"citationItems":[{"id":"ITEM-1","itemData":{"DOI":"10.1016/j.socnet.2018.08.002","ISSN":"03788733","abstract":"Are boundary spanners opinion leaders in ethnically segregated remote low-income communities or are they shunned? Can external exposure create opinion leaders in such peripheral communities? To answer these questions, we invited randomly selected farmers from 16 randomly selected communities in Sumatra to three-day networking and training events outside of their villages. The substantive purpose of these events was for the farmers to learn new practices from their peers in the visited locations. Eighteen months later, we conducted a sociocentric survey of information-sharing networks in the 16 communities. These 16 networks included 380 members, of which 117 participated in our randomized intervention and 263 were in the control group. We found that participants of our randomized intervention had an average indegree that was double that of the control group (2.8 vs 1.4). We applied Exponential Random Graph Models to the 16 networks to account for endogenous network tendencies. We treated participation in the intervention and the number of boundary-spanning links of each actor as node covariates. Results from our models show that actors who participated in the intervention had higher levels of influence in their communities than the control group, and actors with more boundary spanning links were more popular sources of advice. The results suggest that network interventions do not always need to rely on opinion leaders. Under certain conditions, interventions can create opinion leaders by changing local social networks. We conclude with methodological implications for using interventions in social network research.","author":[{"dropping-particle":"","family":"Matous","given":"Petr","non-dropping-particle":"","parse-names":false,"suffix":""},{"dropping-particle":"","family":"Wang","given":"Peng","non-dropping-particle":"","parse-names":false,"suffix":""}],"container-title":"Social Networks","id":"ITEM-1","issued":{"date-parts":[["2019"]]},"page":"10-22","title":"External exposure, boundary-spanning, and opinion leadership in remote communities: a network experiment","type":"article-journal","volume":"56"},"suppress-author":1,"uris":["http://www.mendeley.com/documents/?uuid=0caf2dac-caea-4507-a336-946c0fa4890c"]}],"mendeley":{"formattedCitation":"(2019)","plainTextFormattedCitation":"(2019)","previouslyFormattedCitation":"(2019)"},"properties":{"noteIndex":0},"schema":"https://github.com/citation-style-language/schema/raw/master/csl-citation.json"}</w:instrText>
      </w:r>
      <w:r w:rsidR="00EA4102">
        <w:fldChar w:fldCharType="separate"/>
      </w:r>
      <w:r w:rsidR="00636F5B" w:rsidRPr="00636F5B">
        <w:rPr>
          <w:noProof/>
        </w:rPr>
        <w:t>(2019)</w:t>
      </w:r>
      <w:r w:rsidR="00EA4102">
        <w:fldChar w:fldCharType="end"/>
      </w:r>
      <w:r w:rsidR="00EA4102">
        <w:t xml:space="preserve"> </w:t>
      </w:r>
      <w:r w:rsidR="009D2793">
        <w:t>reported</w:t>
      </w:r>
      <w:r w:rsidR="00EA4102">
        <w:t xml:space="preserve"> that farmers in Sumatra gained higher levels of influence in their communities</w:t>
      </w:r>
      <w:r w:rsidR="00244538">
        <w:t xml:space="preserve"> after attending training events</w:t>
      </w:r>
      <w:r w:rsidR="00EA4102">
        <w:t>.</w:t>
      </w:r>
      <w:r w:rsidR="00890980">
        <w:t xml:space="preserve"> </w:t>
      </w:r>
      <w:r w:rsidR="009111E9">
        <w:t xml:space="preserve">In </w:t>
      </w:r>
      <w:r w:rsidR="006C1C08">
        <w:t>our</w:t>
      </w:r>
      <w:r w:rsidR="00075F2B">
        <w:t xml:space="preserve"> </w:t>
      </w:r>
      <w:r w:rsidR="009111E9">
        <w:t xml:space="preserve">project, however, </w:t>
      </w:r>
      <w:r w:rsidR="00CA4B4D">
        <w:t>p</w:t>
      </w:r>
      <w:r w:rsidR="00890980">
        <w:t>roject g</w:t>
      </w:r>
      <w:r w:rsidR="00EA4102">
        <w:t>arden owners</w:t>
      </w:r>
      <w:r w:rsidR="009111E9" w:rsidDel="009111E9">
        <w:t xml:space="preserve"> </w:t>
      </w:r>
      <w:r w:rsidR="00261168">
        <w:t xml:space="preserve">did not get nominated more often </w:t>
      </w:r>
      <w:r w:rsidR="00EA4102">
        <w:t xml:space="preserve">despite </w:t>
      </w:r>
      <w:r w:rsidR="009111E9">
        <w:t>also</w:t>
      </w:r>
      <w:r w:rsidR="00EA4102">
        <w:t xml:space="preserve"> </w:t>
      </w:r>
      <w:r w:rsidR="009111E9">
        <w:t xml:space="preserve">being </w:t>
      </w:r>
      <w:r w:rsidR="00EA4102">
        <w:t>giv</w:t>
      </w:r>
      <w:r w:rsidR="009A4DAE">
        <w:t>en information about the research</w:t>
      </w:r>
      <w:r w:rsidR="00AB0D2D">
        <w:t xml:space="preserve"> and</w:t>
      </w:r>
      <w:r w:rsidR="00654E04">
        <w:t xml:space="preserve"> garden owners</w:t>
      </w:r>
      <w:r w:rsidR="009D1A38">
        <w:t xml:space="preserve"> themselves</w:t>
      </w:r>
      <w:r w:rsidR="00AB0D2D">
        <w:t xml:space="preserve"> indicat</w:t>
      </w:r>
      <w:r w:rsidR="009111E9">
        <w:t>ing that</w:t>
      </w:r>
      <w:r w:rsidR="00AB0D2D">
        <w:t xml:space="preserve"> </w:t>
      </w:r>
      <w:r w:rsidR="009111E9">
        <w:t xml:space="preserve">they had </w:t>
      </w:r>
      <w:r w:rsidR="00AB0D2D">
        <w:t xml:space="preserve">learned from </w:t>
      </w:r>
      <w:r w:rsidR="00874502">
        <w:t>the project</w:t>
      </w:r>
      <w:r w:rsidR="00575085">
        <w:t>. However, they received little</w:t>
      </w:r>
      <w:r w:rsidR="00EA4102">
        <w:t xml:space="preserve"> hands-on experience and played a less prominent role in the</w:t>
      </w:r>
      <w:r w:rsidR="0003593B">
        <w:t xml:space="preserve"> research project</w:t>
      </w:r>
      <w:r w:rsidR="00EA4102">
        <w:t xml:space="preserve"> overall</w:t>
      </w:r>
      <w:r w:rsidR="0079695A">
        <w:t>,</w:t>
      </w:r>
      <w:r w:rsidR="00EA4102">
        <w:t xml:space="preserve"> which may have</w:t>
      </w:r>
      <w:r w:rsidR="00B24C05">
        <w:t xml:space="preserve"> made them less attractive advisors</w:t>
      </w:r>
      <w:r w:rsidR="00EA4102">
        <w:t>.</w:t>
      </w:r>
    </w:p>
    <w:p w14:paraId="3B90DB6F" w14:textId="05810484" w:rsidR="0031157A" w:rsidRDefault="00BB74D7" w:rsidP="004A77EF">
      <w:pPr>
        <w:pStyle w:val="NoSpacing"/>
      </w:pPr>
      <w:r>
        <w:lastRenderedPageBreak/>
        <w:tab/>
      </w:r>
      <w:r w:rsidR="002F5E69">
        <w:t>Our</w:t>
      </w:r>
      <w:r w:rsidR="00075F2B">
        <w:t xml:space="preserve"> </w:t>
      </w:r>
      <w:r w:rsidR="00016435">
        <w:t>results</w:t>
      </w:r>
      <w:r w:rsidR="009111E9">
        <w:t xml:space="preserve"> demonstrate</w:t>
      </w:r>
      <w:r w:rsidR="000062A7">
        <w:t xml:space="preserve"> the importance of</w:t>
      </w:r>
      <w:r w:rsidR="005113EC">
        <w:t xml:space="preserve"> be</w:t>
      </w:r>
      <w:r w:rsidR="000062A7">
        <w:t>ing</w:t>
      </w:r>
      <w:r w:rsidR="005113EC">
        <w:t xml:space="preserve"> mindful about who gets involved in </w:t>
      </w:r>
      <w:r w:rsidR="002A152F">
        <w:t>a</w:t>
      </w:r>
      <w:r w:rsidR="005113EC">
        <w:t xml:space="preserve"> project. </w:t>
      </w:r>
      <w:r w:rsidR="00DB54EB">
        <w:t>The choice of who to involve has implications for who will benefit</w:t>
      </w:r>
      <w:r w:rsidR="00D5164A">
        <w:t>, as also argued by Beaman and Dillon</w:t>
      </w:r>
      <w:r w:rsidR="00397DA5">
        <w:t xml:space="preserve"> </w:t>
      </w:r>
      <w:r w:rsidR="00397DA5">
        <w:fldChar w:fldCharType="begin" w:fldLock="1"/>
      </w:r>
      <w:r w:rsidR="001C3948">
        <w:instrText>ADDIN CSL_CITATION {"citationItems":[{"id":"ITEM-1","itemData":{"DOI":"10.1016/j.jdeveco.2018.01.009","ISSN":"03043878","abstract":"Social networks are an important mechanism for diffusing information when institutions are missing, but there may be distributional consequences from targeting only central nodes in a network. After implementing a social network census, one of three village-level treatments determined which treated nodes in the village received information about composting: random assignment, nodes with the highest degree, or nodes with high betweenness. We then look at how information diffuses through the network. We find information diffusion declines with social distance, suggesting frictions in the diffusion of information. Aggregate knowledge about the technology did not differ across targeting strategies, but targeting nodes using betweenness measures in village-level networks excludes less-connected nodes from new information. Women farmers are less likely to receive information when betweenness centrality is used in targeting, suggesting there are important gender differences, not only in the relationship between social distance and diffusion, but also in the social learning process.","author":[{"dropping-particle":"","family":"Beaman","given":"Lori A.","non-dropping-particle":"","parse-names":false,"suffix":""},{"dropping-particle":"","family":"Dillon","given":"Andrew","non-dropping-particle":"","parse-names":false,"suffix":""}],"container-title":"Journal of Development Economics","id":"ITEM-1","issued":{"date-parts":[["2018"]]},"page":"147-161","title":"Diffusion of agricultural information within social networks: evidence on gender inequalities from Mali","type":"article-journal","volume":"133"},"suppress-author":1,"uris":["http://www.mendeley.com/documents/?uuid=2b1f04a2-9203-449a-8e0b-ba7d2bc9a3c6"]}],"mendeley":{"formattedCitation":"(2018)","plainTextFormattedCitation":"(2018)","previouslyFormattedCitation":"(2018)"},"properties":{"noteIndex":0},"schema":"https://github.com/citation-style-language/schema/raw/master/csl-citation.json"}</w:instrText>
      </w:r>
      <w:r w:rsidR="00397DA5">
        <w:fldChar w:fldCharType="separate"/>
      </w:r>
      <w:r w:rsidR="00636F5B" w:rsidRPr="00636F5B">
        <w:rPr>
          <w:noProof/>
        </w:rPr>
        <w:t>(2018)</w:t>
      </w:r>
      <w:r w:rsidR="00397DA5">
        <w:fldChar w:fldCharType="end"/>
      </w:r>
      <w:r w:rsidR="00DB54EB">
        <w:t xml:space="preserve">. </w:t>
      </w:r>
      <w:r w:rsidR="0031157A">
        <w:t>R</w:t>
      </w:r>
      <w:r w:rsidR="00A72FAD">
        <w:t>esearchers</w:t>
      </w:r>
      <w:r w:rsidR="0090198E">
        <w:t xml:space="preserve"> </w:t>
      </w:r>
      <w:r w:rsidR="00B712DF">
        <w:t xml:space="preserve">and </w:t>
      </w:r>
      <w:r w:rsidR="00706F87">
        <w:t>advocates</w:t>
      </w:r>
      <w:r w:rsidR="00B712DF">
        <w:t xml:space="preserve"> </w:t>
      </w:r>
      <w:r w:rsidR="00A72FAD">
        <w:t xml:space="preserve">often collaborate with </w:t>
      </w:r>
      <w:r w:rsidR="009E6B53">
        <w:t>local leaders or elites</w:t>
      </w:r>
      <w:r w:rsidR="00CF51EB">
        <w:t xml:space="preserve"> as they are seen as gatekeepers to the resources nee</w:t>
      </w:r>
      <w:r w:rsidR="00792008">
        <w:t>ded to successfully complete th</w:t>
      </w:r>
      <w:r w:rsidR="00CF51EB">
        <w:t>e</w:t>
      </w:r>
      <w:r w:rsidR="00792008">
        <w:t xml:space="preserve"> </w:t>
      </w:r>
      <w:r w:rsidR="00CF51EB">
        <w:t>project</w:t>
      </w:r>
      <w:r w:rsidR="005B4A3B">
        <w:t xml:space="preserve"> </w:t>
      </w:r>
      <w:r w:rsidR="00A07442">
        <w:fldChar w:fldCharType="begin" w:fldLock="1"/>
      </w:r>
      <w:r w:rsidR="001C3948">
        <w:instrText>ADDIN CSL_CITATION {"citationItems":[{"id":"ITEM-1","itemData":{"DOI":"10.5751/ES-08409-210228","ISSN":"17083087","abstract":"Researchers studying processes of global environmental change are increasingly interested in their work having impacts that go beyond academia to influence policy and management. Recent scholarship in the conservation sciences has pointed to the existence of a research-action gap and has proposed various solutions for overcoming it. However, most of these studies have been limited to the spaces of dissemination, where the science has already been done and is then to be passed over to users of the information. Much less attention has been paid to encounters that occur between scientists and nonscientists during the practice of doing scientific research, especially in situations that include everyday roles of labor and styles of communication (i.e., fieldwork). This paper builds on theories of contact that have examined encounters and relations between different groups and cultures in diverse settings. I use quantitative and qualitative evidence from Madidi National Park, Bolivia, including an analysis of past research in the protected area, as well as interviews (N = 137) and workshops and focus groups (N = 12) with local inhabitants, scientists, and park guards. The study demonstrates the significance of currently unacknowledged or undervalued components of the research-action gap, such as power, respect, and recognition, to develop a relational and reciprocal notion of impact. I explain why, within such spaces of encounter or misencounter between scientists and local people, knowledge can be exchanged or hidden away, worldviews can be expanded or further entrenched, and scientific research can be welcomed or rejected.","author":[{"dropping-particle":"","family":"Toomey","given":"Anne H.","non-dropping-particle":"","parse-names":false,"suffix":""}],"container-title":"Ecology and Society","id":"ITEM-1","issue":"2","issued":{"date-parts":[["2016"]]},"note":"* Definitions:\n- Contact zone = the space of imperial encounters in which peoples on different sides of the colonial equation come into contact with each other and establish ongoing relations, usually involving conditions of coercian, radical inequality and intractable conflict.\n\n* Research question:\nWhat kind of spaces exist when scientists carry out research? \n\n* Main points:\n- Recent trends in academia incentivise science to have greater relevance to society. Recent scholarship on the question of why not more science is taken up in policy making focuses on there being a &amp;quot;research-implementation&amp;quot; gap as a result of lack in communication, dissemination and implementation.\n- Some researchers have begun to question the language of the gap, as it implies that there is a void needing to be filles or a divide to be bridges and it does not adequately recognise the capacities, value conflicts and complex relations that already exist in the various spaces and places in which scientists and the public interact.\n- Spaces of local involvement in research\n(1) Spaces of arriving and getting permission: scientists may not consider themselves among the powerful, but locals may fear being exploited by scientists. Scientists may also not be aware of the long history that locals have with other researchers who may have neglected to keep their promises.\n(2) Spaces in the field - local labour: many scientists take shortcuts and limit their interactions with local people or those in the community who have less of a voice. This may lead to a re-inforcing cycle in which those who have more power may interact with researchers and get chosen again. Locals may also not understand what doing research means.\n(3) Spaces of knowledge exchange: many scientists regard their knowledge as superior to that held by those who live or work in a given region. Sometimes locals may refuse to collaborate with scientists. \n(4) Spaces of relevance: there are questions for whom scientific information is relevant.\n(5) Spaces of friendship: relations of friendship between researchers and locals could be seen as representing spaces of hope, based on the idea that it is in such interpersonal (although complex) interactions where ethical relationships can find their feet.\n(6) Spaces of analysis and acknowledgement: among locals there is a lot of resentment about who gets credit in the process of research.\n- We need to shift our focus away from the the dissemination stage and toward forms of scientific impact that are often not anticipated or intended because of the complex relations that occur in the field.\n- Researchers need to think about their impact in the field before they even enter. They also need to read about the social, cultural and political context of the region.","page":"1-19","title":"What happens at the gap between knowledge and practice? Spaces of encounter and misencounter between environmental scientists and local people","type":"article-journal","volume":"21"},"uris":["http://www.mendeley.com/documents/?uuid=97cded43-72f9-450f-8158-90d4eb8da3b9"]}],"mendeley":{"formattedCitation":"(Toomey, 2016)","plainTextFormattedCitation":"(Toomey, 2016)","previouslyFormattedCitation":"(Toomey, 2016)"},"properties":{"noteIndex":0},"schema":"https://github.com/citation-style-language/schema/raw/master/csl-citation.json"}</w:instrText>
      </w:r>
      <w:r w:rsidR="00A07442">
        <w:fldChar w:fldCharType="separate"/>
      </w:r>
      <w:r w:rsidR="00636F5B" w:rsidRPr="00636F5B">
        <w:rPr>
          <w:noProof/>
        </w:rPr>
        <w:t>(Toomey, 2016)</w:t>
      </w:r>
      <w:r w:rsidR="00A07442">
        <w:fldChar w:fldCharType="end"/>
      </w:r>
      <w:r w:rsidR="00561BDA">
        <w:t xml:space="preserve">. </w:t>
      </w:r>
      <w:r w:rsidR="006429E3">
        <w:t xml:space="preserve">This can be appropriate, but there may be a risk of </w:t>
      </w:r>
      <w:r w:rsidR="00561BDA">
        <w:t>reinforc</w:t>
      </w:r>
      <w:r w:rsidR="006429E3">
        <w:t>ing</w:t>
      </w:r>
      <w:r w:rsidR="00561BDA">
        <w:t xml:space="preserve"> existing </w:t>
      </w:r>
      <w:r w:rsidR="006428C9">
        <w:t>social structures and further mar</w:t>
      </w:r>
      <w:r w:rsidR="00911EC1">
        <w:t>ginalis</w:t>
      </w:r>
      <w:r w:rsidR="006429E3">
        <w:t>ing</w:t>
      </w:r>
      <w:r w:rsidR="00911EC1">
        <w:t xml:space="preserve"> people on the periphery </w:t>
      </w:r>
      <w:r w:rsidR="00EC4B94">
        <w:fldChar w:fldCharType="begin" w:fldLock="1"/>
      </w:r>
      <w:r w:rsidR="001C3948">
        <w:instrText>ADDIN CSL_CITATION {"citationItems":[{"id":"ITEM-1","itemData":{"DOI":"10.1016/j.jdeveco.2018.01.009","ISSN":"03043878","abstract":"Social networks are an important mechanism for diffusing information when institutions are missing, but there may be distributional consequences from targeting only central nodes in a network. After implementing a social network census, one of three village-level treatments determined which treated nodes in the village received information about composting: random assignment, nodes with the highest degree, or nodes with high betweenness. We then look at how information diffuses through the network. We find information diffusion declines with social distance, suggesting frictions in the diffusion of information. Aggregate knowledge about the technology did not differ across targeting strategies, but targeting nodes using betweenness measures in village-level networks excludes less-connected nodes from new information. Women farmers are less likely to receive information when betweenness centrality is used in targeting, suggesting there are important gender differences, not only in the relationship between social distance and diffusion, but also in the social learning process.","author":[{"dropping-particle":"","family":"Beaman","given":"Lori A.","non-dropping-particle":"","parse-names":false,"suffix":""},{"dropping-particle":"","family":"Dillon","given":"Andrew","non-dropping-particle":"","parse-names":false,"suffix":""}],"container-title":"Journal of Development Economics","id":"ITEM-1","issued":{"date-parts":[["2018"]]},"page":"147-161","title":"Diffusion of agricultural information within social networks: evidence on gender inequalities from Mali","type":"article-journal","volume":"133"},"uris":["http://www.mendeley.com/documents/?uuid=2b1f04a2-9203-449a-8e0b-ba7d2bc9a3c6"]},{"id":"ITEM-2","itemData":{"DOI":"10.1016/j.socnet.2018.08.002","ISSN":"03788733","abstract":"Are boundary spanners opinion leaders in ethnically segregated remote low-income communities or are they shunned? Can external exposure create opinion leaders in such peripheral communities? To answer these questions, we invited randomly selected farmers from 16 randomly selected communities in Sumatra to three-day networking and training events outside of their villages. The substantive purpose of these events was for the farmers to learn new practices from their peers in the visited locations. Eighteen months later, we conducted a sociocentric survey of information-sharing networks in the 16 communities. These 16 networks included 380 members, of which 117 participated in our randomized intervention and 263 were in the control group. We found that participants of our randomized intervention had an average indegree that was double that of the control group (2.8 vs 1.4). We applied Exponential Random Graph Models to the 16 networks to account for endogenous network tendencies. We treated participation in the intervention and the number of boundary-spanning links of each actor as node covariates. Results from our models show that actors who participated in the intervention had higher levels of influence in their communities than the control group, and actors with more boundary spanning links were more popular sources of advice. The results suggest that network interventions do not always need to rely on opinion leaders. Under certain conditions, interventions can create opinion leaders by changing local social networks. We conclude with methodological implications for using interventions in social network research.","author":[{"dropping-particle":"","family":"Matous","given":"Petr","non-dropping-particle":"","parse-names":false,"suffix":""},{"dropping-particle":"","family":"Wang","given":"Peng","non-dropping-particle":"","parse-names":false,"suffix":""}],"container-title":"Social Networks","id":"ITEM-2","issued":{"date-parts":[["2019"]]},"page":"10-22","title":"External exposure, boundary-spanning, and opinion leadership in remote communities: a network experiment","type":"article-journal","volume":"56"},"uris":["http://www.mendeley.com/documents/?uuid=0caf2dac-caea-4507-a336-946c0fa4890c"]}],"mendeley":{"formattedCitation":"(Beaman and Dillon, 2018; Matous and Wang, 2019)","plainTextFormattedCitation":"(Beaman and Dillon, 2018; Matous and Wang, 2019)","previouslyFormattedCitation":"(Beaman and Dillon, 2018; Matous and Wang, 2019)"},"properties":{"noteIndex":0},"schema":"https://github.com/citation-style-language/schema/raw/master/csl-citation.json"}</w:instrText>
      </w:r>
      <w:r w:rsidR="00EC4B94">
        <w:fldChar w:fldCharType="separate"/>
      </w:r>
      <w:r w:rsidR="00636F5B" w:rsidRPr="00636F5B">
        <w:rPr>
          <w:noProof/>
        </w:rPr>
        <w:t>(Beaman and Dillon, 2018; Matous and Wang, 2019)</w:t>
      </w:r>
      <w:r w:rsidR="00EC4B94">
        <w:fldChar w:fldCharType="end"/>
      </w:r>
      <w:r w:rsidR="00BE3C47">
        <w:t>, which</w:t>
      </w:r>
      <w:r w:rsidR="00197FD1">
        <w:t xml:space="preserve"> could </w:t>
      </w:r>
      <w:r w:rsidR="00EC4B94">
        <w:t>ultimately lead to tensions within the community</w:t>
      </w:r>
      <w:r w:rsidR="00C450A6">
        <w:t>,</w:t>
      </w:r>
      <w:r w:rsidR="00EC4B94">
        <w:t xml:space="preserve"> </w:t>
      </w:r>
      <w:r w:rsidR="003D49C4">
        <w:t>and between external actors a</w:t>
      </w:r>
      <w:r w:rsidR="009B0F1A">
        <w:t xml:space="preserve">nd local community members </w:t>
      </w:r>
      <w:r w:rsidR="00EC4B94">
        <w:fldChar w:fldCharType="begin" w:fldLock="1"/>
      </w:r>
      <w:r w:rsidR="001C3948">
        <w:instrText>ADDIN CSL_CITATION {"citationItems":[{"id":"ITEM-1","itemData":{"author":[{"dropping-particle":"","family":"West","given":"Paige","non-dropping-particle":"","parse-names":false,"suffix":""}],"id":"ITEM-1","issued":{"date-parts":[["2006"]]},"publisher":"Duke University Press","publisher-place":"Durham and London","title":"Conservation is our government now: the politics of ecology in Papua New Guinea.","type":"book"},"uris":["http://www.mendeley.com/documents/?uuid=c65eae81-bb36-4d49-9905-a55d21da8326"]}],"mendeley":{"formattedCitation":"(West, 2006)","plainTextFormattedCitation":"(West, 2006)","previouslyFormattedCitation":"(West, 2006)"},"properties":{"noteIndex":0},"schema":"https://github.com/citation-style-language/schema/raw/master/csl-citation.json"}</w:instrText>
      </w:r>
      <w:r w:rsidR="00EC4B94">
        <w:fldChar w:fldCharType="separate"/>
      </w:r>
      <w:r w:rsidR="00636F5B" w:rsidRPr="00636F5B">
        <w:rPr>
          <w:noProof/>
        </w:rPr>
        <w:t>(West, 2006)</w:t>
      </w:r>
      <w:r w:rsidR="00EC4B94">
        <w:fldChar w:fldCharType="end"/>
      </w:r>
      <w:r w:rsidR="0076138C">
        <w:t>.</w:t>
      </w:r>
      <w:r w:rsidR="00BE7F9F">
        <w:t xml:space="preserve"> </w:t>
      </w:r>
      <w:r w:rsidR="005A4A3A">
        <w:t xml:space="preserve">Conversely, many donors require a focus on involving marginalised groups (e.g. women or youth). This too could lead to tensions through perceived threats to the established order. </w:t>
      </w:r>
      <w:r w:rsidR="00BE7F9F">
        <w:t>Project lead</w:t>
      </w:r>
      <w:r w:rsidR="00467C27">
        <w:t xml:space="preserve">s should thus </w:t>
      </w:r>
      <w:r w:rsidR="00477B29">
        <w:t>think carefully</w:t>
      </w:r>
      <w:r w:rsidR="00467C27">
        <w:t xml:space="preserve"> about who gets involved, and </w:t>
      </w:r>
      <w:r w:rsidR="00251D7C">
        <w:t>aim to</w:t>
      </w:r>
      <w:r w:rsidR="004377AC">
        <w:t xml:space="preserve"> increase </w:t>
      </w:r>
      <w:r w:rsidR="00C606AD">
        <w:t xml:space="preserve">inclusivity in a </w:t>
      </w:r>
      <w:r w:rsidR="00467C27">
        <w:t>culturally appropriate</w:t>
      </w:r>
      <w:r w:rsidR="00C606AD">
        <w:t xml:space="preserve"> manner</w:t>
      </w:r>
      <w:r w:rsidR="00467C27">
        <w:t xml:space="preserve">. </w:t>
      </w:r>
    </w:p>
    <w:p w14:paraId="780F3890" w14:textId="33B41A05" w:rsidR="00937241" w:rsidRDefault="00852338">
      <w:pPr>
        <w:pStyle w:val="NoSpacing"/>
        <w:ind w:firstLine="720"/>
      </w:pPr>
      <w:r>
        <w:t>Examining the dynamics of social networks</w:t>
      </w:r>
      <w:r w:rsidR="006844EE">
        <w:t xml:space="preserve"> </w:t>
      </w:r>
      <w:r w:rsidR="0079695A">
        <w:t xml:space="preserve">with respect to </w:t>
      </w:r>
      <w:r w:rsidR="006844EE">
        <w:t>dissemination</w:t>
      </w:r>
      <w:r>
        <w:t xml:space="preserve"> can</w:t>
      </w:r>
      <w:r w:rsidR="0079695A">
        <w:t xml:space="preserve"> also</w:t>
      </w:r>
      <w:r w:rsidR="00A822CE">
        <w:t xml:space="preserve"> provide valuable information.</w:t>
      </w:r>
      <w:r w:rsidR="00F71BB7">
        <w:t xml:space="preserve"> Based on </w:t>
      </w:r>
      <w:r w:rsidR="001F5A87">
        <w:t>our</w:t>
      </w:r>
      <w:r w:rsidR="00075F2B">
        <w:t xml:space="preserve"> </w:t>
      </w:r>
      <w:r w:rsidR="00F71BB7">
        <w:t>findings it seems unlikely that relying on social networks to spread informa</w:t>
      </w:r>
      <w:r w:rsidR="00176782">
        <w:t xml:space="preserve">tion </w:t>
      </w:r>
      <w:r w:rsidR="00760027">
        <w:t xml:space="preserve">and </w:t>
      </w:r>
      <w:r w:rsidR="00F74B34">
        <w:t>farming practices</w:t>
      </w:r>
      <w:r w:rsidR="00760027">
        <w:t xml:space="preserve"> </w:t>
      </w:r>
      <w:r w:rsidR="00176782">
        <w:t xml:space="preserve">will </w:t>
      </w:r>
      <w:r w:rsidR="004E1E46">
        <w:t xml:space="preserve">always </w:t>
      </w:r>
      <w:r w:rsidR="00176782">
        <w:t>be successful</w:t>
      </w:r>
      <w:r w:rsidR="001C6C21">
        <w:t xml:space="preserve"> in PNG</w:t>
      </w:r>
      <w:r w:rsidR="00176782">
        <w:t>.</w:t>
      </w:r>
      <w:r w:rsidR="00F86010">
        <w:t xml:space="preserve"> </w:t>
      </w:r>
      <w:r w:rsidR="00DE4A66">
        <w:t xml:space="preserve">In </w:t>
      </w:r>
      <w:proofErr w:type="spellStart"/>
      <w:r w:rsidR="00DE4A66">
        <w:t>Ohu</w:t>
      </w:r>
      <w:proofErr w:type="spellEnd"/>
      <w:r w:rsidR="00935007">
        <w:t>,</w:t>
      </w:r>
      <w:r w:rsidR="00DE4A66">
        <w:t xml:space="preserve"> the le</w:t>
      </w:r>
      <w:r w:rsidR="00F60FB7">
        <w:t>arning network between farmers wa</w:t>
      </w:r>
      <w:r w:rsidR="00DE4A66">
        <w:t>s decentralised and clustered</w:t>
      </w:r>
      <w:r w:rsidR="006A7209">
        <w:t xml:space="preserve"> based on geograph</w:t>
      </w:r>
      <w:r w:rsidR="009F22D7">
        <w:t xml:space="preserve">ical location and clan identity. </w:t>
      </w:r>
      <w:r w:rsidR="00385D09">
        <w:t>People in PNG strongly identify with their clan</w:t>
      </w:r>
      <w:r w:rsidR="0079695A">
        <w:t>,</w:t>
      </w:r>
      <w:r w:rsidR="00385D09">
        <w:t xml:space="preserve"> as clan membership allows people access to clan-owned land and gives people protection from</w:t>
      </w:r>
      <w:r w:rsidR="00994BCB">
        <w:t xml:space="preserve"> external threats. C</w:t>
      </w:r>
      <w:r w:rsidR="007D2D3F">
        <w:t>lan membership</w:t>
      </w:r>
      <w:r w:rsidR="00F97534">
        <w:t xml:space="preserve"> ties</w:t>
      </w:r>
      <w:r w:rsidR="00385D09">
        <w:t xml:space="preserve"> people to geographical</w:t>
      </w:r>
      <w:r w:rsidR="00106C0F">
        <w:t xml:space="preserve"> locations, and limits </w:t>
      </w:r>
      <w:r w:rsidR="00385D09">
        <w:t>movement as you need permission to access other people’s land</w:t>
      </w:r>
      <w:r w:rsidR="005C5494">
        <w:t xml:space="preserve"> </w:t>
      </w:r>
      <w:r w:rsidR="005C5494">
        <w:fldChar w:fldCharType="begin" w:fldLock="1"/>
      </w:r>
      <w:r w:rsidR="001C3948">
        <w:instrText>ADDIN CSL_CITATION {"citationItems":[{"id":"ITEM-1","itemData":{"ISBN":"1921536616","abstract":"Agriculture dominates the rural economy of Papua New Guinea (PNG). More than five million rural dwellers (80% of the population) earn a living from subsistence agriculture and selling crops in domestic and international markets. Many aspects of agriculture in PNG are described in this data-rich book. Topics include agricultural environments in which crops are grown; production of food crops, cash crops and animals; land use; soils; demography; migration; the macro-economic environment; gender issues; governance of agricultural institutions; and transport. The history of agriculture over the 50 000 years that PNG has been occupied by humans is summarised. Much of the information presented is not readily available within PNG. The book contains results of many new analyses, including a food budget for the entire nation. The text is supported by 165 tables and 215 maps and figures.","editor":[{"dropping-particle":"","family":"Bourke","given":"R. M.","non-dropping-particle":"","parse-names":false,"suffix":""},{"dropping-particle":"","family":"Harwood","given":"T. A.","non-dropping-particle":"","parse-names":false,"suffix":""}],"id":"ITEM-1","issued":{"date-parts":[["2009"]]},"publisher":"ANU E Press","publisher-place":"Canberra","title":"Food and agriculture in Papua New Guinea","type":"book"},"uris":["http://www.mendeley.com/documents/?uuid=0c6c348f-3fed-4183-955d-348d6a14db09"]}],"mendeley":{"formattedCitation":"(Bourke and Harwood, 2009)","plainTextFormattedCitation":"(Bourke and Harwood, 2009)","previouslyFormattedCitation":"(Bourke and Harwood, 2009)"},"properties":{"noteIndex":0},"schema":"https://github.com/citation-style-language/schema/raw/master/csl-citation.json"}</w:instrText>
      </w:r>
      <w:r w:rsidR="005C5494">
        <w:fldChar w:fldCharType="separate"/>
      </w:r>
      <w:r w:rsidR="00636F5B" w:rsidRPr="00636F5B">
        <w:rPr>
          <w:noProof/>
        </w:rPr>
        <w:t>(Bourke and Harwood, 2009)</w:t>
      </w:r>
      <w:r w:rsidR="005C5494">
        <w:fldChar w:fldCharType="end"/>
      </w:r>
      <w:r w:rsidR="00385D09">
        <w:t>. This</w:t>
      </w:r>
      <w:r w:rsidR="0079695A">
        <w:t>,</w:t>
      </w:r>
      <w:r w:rsidR="00385D09">
        <w:t xml:space="preserve"> combined with limited access to transportation facilities</w:t>
      </w:r>
      <w:r w:rsidR="0079695A">
        <w:t>,</w:t>
      </w:r>
      <w:r w:rsidR="00385D09">
        <w:t xml:space="preserve"> may cause social ties to decrease when geographic distance between people increases, similar to </w:t>
      </w:r>
      <w:r w:rsidR="0079695A">
        <w:t xml:space="preserve">findings from </w:t>
      </w:r>
      <w:r w:rsidR="00ED7DEB">
        <w:t>Ethiopia</w:t>
      </w:r>
      <w:r w:rsidR="00385D09">
        <w:t xml:space="preserve"> </w:t>
      </w:r>
      <w:r w:rsidR="00385D09">
        <w:fldChar w:fldCharType="begin" w:fldLock="1"/>
      </w:r>
      <w:r w:rsidR="001C3948">
        <w:instrText>ADDIN CSL_CITATION {"citationItems":[{"id":"ITEM-1","itemData":{"DOI":"10.1016/j.jtrangeo.2013.04.001","ISSN":"09666923","abstract":"While detailed data are available on people's travel behavior in industrialized countries, little is known about the spatial characteristics of activities of those living in vast infrastructure-poor areas in the developing world where walking is still the dominant form of transport. We have interviewed 297 randomly selected inhabitants of Tiyo District, Ethiopia, and by random name cues identified 4158 individuals who are a representative cross-section of everyone the informants knew and met. Consequently, we inquired about the distance to these individuals, frequency of contacting them, and the mode of contact. Half of the respondents' social contacts lived within 15-min walking distance and the interviewed inhabitants contacted 98% of all people that they knew only by walking and meeting face-to-face. After examining the determinants of the size, density, and geographical extent of the inhabitants' personal networks, we employed multilevel analysis to explore the relevance of physical and social distance as well as personal characteristics for frequency of interaction. We found that in addition to the strong impact of walking time (-), common organization membership (-), the same religious affiliation (+), kinship (+), and patience (-) also predict the frequency of meetings. From this we present comparisons of the variables' relative effects and conclude with practical implications. © 2013 Elsevier Ltd.","author":[{"dropping-particle":"","family":"Matous","given":"Petr","non-dropping-particle":"","parse-names":false,"suffix":""},{"dropping-particle":"","family":"Todo","given":"Yasuyuki","non-dropping-particle":"","parse-names":false,"suffix":""},{"dropping-particle":"","family":"Mojo","given":"Dagne","non-dropping-particle":"","parse-names":false,"suffix":""}],"container-title":"Journal of Transport Geography","id":"ITEM-1","issued":{"date-parts":[["2013"]]},"page":"226-235","title":"Boots are made for walking: interactions across physical and social space in infrastructure-poor regions","type":"article-journal","volume":"31"},"uris":["http://www.mendeley.com/documents/?uuid=fa47036e-f00b-4e83-9324-9da8586144fc"]}],"mendeley":{"formattedCitation":"(Matous, Todo and Mojo, 2013)","plainTextFormattedCitation":"(Matous, Todo and Mojo, 2013)","previouslyFormattedCitation":"(Matous, Todo and Mojo, 2013)"},"properties":{"noteIndex":0},"schema":"https://github.com/citation-style-language/schema/raw/master/csl-citation.json"}</w:instrText>
      </w:r>
      <w:r w:rsidR="00385D09">
        <w:fldChar w:fldCharType="separate"/>
      </w:r>
      <w:r w:rsidR="00636F5B" w:rsidRPr="00636F5B">
        <w:rPr>
          <w:noProof/>
        </w:rPr>
        <w:t>(Matous, Todo and Mojo, 2013</w:t>
      </w:r>
      <w:r w:rsidR="006A461E">
        <w:rPr>
          <w:noProof/>
        </w:rPr>
        <w:t>b</w:t>
      </w:r>
      <w:r w:rsidR="00636F5B" w:rsidRPr="00636F5B">
        <w:rPr>
          <w:noProof/>
        </w:rPr>
        <w:t>)</w:t>
      </w:r>
      <w:r w:rsidR="00385D09">
        <w:fldChar w:fldCharType="end"/>
      </w:r>
      <w:r w:rsidR="00385D09">
        <w:t xml:space="preserve">. </w:t>
      </w:r>
      <w:r w:rsidR="0079695A">
        <w:t>T</w:t>
      </w:r>
      <w:r w:rsidR="00994BCB">
        <w:t xml:space="preserve">here </w:t>
      </w:r>
      <w:r w:rsidR="0079695A">
        <w:t xml:space="preserve">is </w:t>
      </w:r>
      <w:r w:rsidR="00994BCB">
        <w:t>often competition for land-use rights and other resources</w:t>
      </w:r>
      <w:r w:rsidR="0079695A" w:rsidRPr="0079695A">
        <w:t xml:space="preserve"> </w:t>
      </w:r>
      <w:r w:rsidR="0079695A">
        <w:t>among neighbouring clans</w:t>
      </w:r>
      <w:r w:rsidR="000F5B93">
        <w:t>, and e</w:t>
      </w:r>
      <w:r w:rsidR="00994BCB">
        <w:t xml:space="preserve">ven within a clan there may be competition amongst nuclear families </w:t>
      </w:r>
      <w:r w:rsidR="00994BCB">
        <w:fldChar w:fldCharType="begin" w:fldLock="1"/>
      </w:r>
      <w:r w:rsidR="001C3948">
        <w:instrText>ADDIN CSL_CITATION {"citationItems":[{"id":"ITEM-1","itemData":{"DOI":"10.1016/j.jrurstud.2017.09.012","ISSN":"07430167","abstract":"The complexities of Melanesian customary land tenure greatly influence the adoption of community-based reforestation (CBR) in Papua New Guinea (PNG). CBR has recently become a focus for the PNG government due to declining yield from native forests which has renewed attention on developing timber plantations to augment villagers' livelihoods. In this paper, we investigate the factors which affect adoption of timber tree-growing by farmers and communities. We assess the efficacy of a policy frequently employed by non-government organisations (NGOs) in which single or multi-clan based seedling nurseries are used to encourage tree growing. A key finding is that people's need for technical assistance is subordinate to social and cultural factors, principally the need for community harmony. Farmers' motivation to plant trees is adversely influenced by uncertainties inherent in PNG's system of customary land tenure. Interventions – in this case extension assistance to grow trees – may create or exacerbate intra- and inter-clan conflict by bringing long term uncertainties into short term focus. For villagers in PNG, as in other cultures, we conclude that key enabling conditions for collective action revolve around strengthening villagers' bridging social capital in a manner which is sensitive to their longstanding social traditions. Targeted, do-it-yourself, family assistance may be as effective as attempts to encourage collective action. The implications of our findings for Forest Landscape Restoration (FLR) which envisages a participatory approach to community engagement, are that cross-community initiatives may not be feasible without extensive investment in building social capital. Initiatives targeted at families or family-groups may be most successful.","author":[{"dropping-particle":"","family":"Baynes","given":"Jack","non-dropping-particle":"","parse-names":false,"suffix":""},{"dropping-particle":"","family":"Herbohn","given":"John","non-dropping-particle":"","parse-names":false,"suffix":""},{"dropping-particle":"","family":"Unsworth","given":"William","non-dropping-particle":"","parse-names":false,"suffix":""}],"container-title":"Journal of Rural Studies","id":"ITEM-1","issued":{"date-parts":[["2017"]]},"page":"124-131","title":"Reforesting the grasslands of Papua New Guinea: the importance of a family-based approach","type":"article-journal","volume":"56"},"uris":["http://www.mendeley.com/documents/?uuid=3036738e-0515-4b73-83f5-e0f0f4627bd8"]}],"mendeley":{"formattedCitation":"(Baynes, Herbohn and Unsworth, 2017)","plainTextFormattedCitation":"(Baynes, Herbohn and Unsworth, 2017)","previouslyFormattedCitation":"(Baynes, Herbohn and Unsworth, 2017)"},"properties":{"noteIndex":0},"schema":"https://github.com/citation-style-language/schema/raw/master/csl-citation.json"}</w:instrText>
      </w:r>
      <w:r w:rsidR="00994BCB">
        <w:fldChar w:fldCharType="separate"/>
      </w:r>
      <w:r w:rsidR="00636F5B" w:rsidRPr="00636F5B">
        <w:rPr>
          <w:noProof/>
        </w:rPr>
        <w:t>(Baynes, Herbohn and Unsworth, 2017)</w:t>
      </w:r>
      <w:r w:rsidR="00994BCB">
        <w:fldChar w:fldCharType="end"/>
      </w:r>
      <w:r w:rsidR="00994BCB">
        <w:t xml:space="preserve">. </w:t>
      </w:r>
      <w:r w:rsidR="00682864">
        <w:t>Hence</w:t>
      </w:r>
      <w:r w:rsidR="001168D0">
        <w:t>,</w:t>
      </w:r>
      <w:r w:rsidR="00682864">
        <w:t xml:space="preserve"> people may be</w:t>
      </w:r>
      <w:r w:rsidR="00994BCB">
        <w:t xml:space="preserve"> reluctant to share information</w:t>
      </w:r>
      <w:r w:rsidR="00D91656">
        <w:t>, including information about farming practices or a research project,</w:t>
      </w:r>
      <w:r w:rsidR="00994BCB">
        <w:t xml:space="preserve"> outside their close family. </w:t>
      </w:r>
      <w:r w:rsidR="00D50332">
        <w:t>Therefore</w:t>
      </w:r>
      <w:r w:rsidR="007443D0">
        <w:t>,</w:t>
      </w:r>
      <w:r w:rsidR="00937241">
        <w:t xml:space="preserve"> </w:t>
      </w:r>
      <w:r w:rsidR="0041025A">
        <w:t>it cannot be assumed</w:t>
      </w:r>
      <w:r w:rsidR="00937241">
        <w:t xml:space="preserve"> </w:t>
      </w:r>
      <w:r w:rsidR="0079695A">
        <w:t xml:space="preserve">that </w:t>
      </w:r>
      <w:r w:rsidR="009A152E">
        <w:t xml:space="preserve">in PNG </w:t>
      </w:r>
      <w:r w:rsidR="0001070C">
        <w:t xml:space="preserve">trained farmers will influence </w:t>
      </w:r>
      <w:r w:rsidR="002E2724">
        <w:t>others</w:t>
      </w:r>
      <w:r w:rsidR="0001070C">
        <w:t xml:space="preserve">. </w:t>
      </w:r>
      <w:r w:rsidR="00293027">
        <w:t xml:space="preserve">Instead, </w:t>
      </w:r>
      <w:r w:rsidR="00680534">
        <w:t xml:space="preserve">agroecological </w:t>
      </w:r>
      <w:r w:rsidR="00293027">
        <w:t xml:space="preserve">extension officers would </w:t>
      </w:r>
      <w:r w:rsidR="002E1AD6">
        <w:t>benefit from identifying and</w:t>
      </w:r>
      <w:r w:rsidR="00812F59">
        <w:t xml:space="preserve"> target</w:t>
      </w:r>
      <w:r w:rsidR="002E1AD6">
        <w:t>ing</w:t>
      </w:r>
      <w:r w:rsidR="00812F59">
        <w:t xml:space="preserve"> </w:t>
      </w:r>
      <w:r w:rsidR="00976DD0">
        <w:t>connected clusters of individuals</w:t>
      </w:r>
      <w:r w:rsidR="00812F59">
        <w:t xml:space="preserve"> at the start </w:t>
      </w:r>
      <w:r w:rsidR="00812F59">
        <w:lastRenderedPageBreak/>
        <w:t>of an intervention</w:t>
      </w:r>
      <w:r w:rsidR="0079695A">
        <w:t>,</w:t>
      </w:r>
      <w:r w:rsidR="00CA6D7D">
        <w:t xml:space="preserve"> as this has been shown to be a highly effective strategy for diffusing </w:t>
      </w:r>
      <w:r w:rsidR="00D07A97">
        <w:t xml:space="preserve">behaviours </w:t>
      </w:r>
      <w:r w:rsidR="005913B4">
        <w:fldChar w:fldCharType="begin" w:fldLock="1"/>
      </w:r>
      <w:r w:rsidR="001C3948">
        <w:instrText>ADDIN CSL_CITATION {"citationItems":[{"id":"ITEM-1","itemData":{"author":[{"dropping-particle":"","family":"Centola","given":"Damon","non-dropping-particle":"","parse-names":false,"suffix":""}],"id":"ITEM-1","issued":{"date-parts":[["2018"]]},"publisher":"Princeton University Press","title":"How behavior spreads: the science of complex contagions.","type":"book"},"uris":["http://www.mendeley.com/documents/?uuid=7eb480f4-d5de-432f-8ecf-cd0f23db018a"]}],"mendeley":{"formattedCitation":"(Centola, 2018)","plainTextFormattedCitation":"(Centola, 2018)","previouslyFormattedCitation":"(Centola, 2018)"},"properties":{"noteIndex":0},"schema":"https://github.com/citation-style-language/schema/raw/master/csl-citation.json"}</w:instrText>
      </w:r>
      <w:r w:rsidR="005913B4">
        <w:fldChar w:fldCharType="separate"/>
      </w:r>
      <w:r w:rsidR="00636F5B" w:rsidRPr="00636F5B">
        <w:rPr>
          <w:noProof/>
        </w:rPr>
        <w:t>(Centola, 2018)</w:t>
      </w:r>
      <w:r w:rsidR="005913B4">
        <w:fldChar w:fldCharType="end"/>
      </w:r>
      <w:r w:rsidR="005913B4">
        <w:t>.</w:t>
      </w:r>
      <w:r w:rsidR="00CA6D7D">
        <w:t xml:space="preserve"> I</w:t>
      </w:r>
      <w:r w:rsidR="007F4696">
        <w:t xml:space="preserve">f resources are not sufficient </w:t>
      </w:r>
      <w:r w:rsidR="001732E6">
        <w:t>to collect social network data</w:t>
      </w:r>
      <w:r w:rsidR="00F60FB7">
        <w:t xml:space="preserve"> to identify clusters</w:t>
      </w:r>
      <w:r w:rsidR="001732E6">
        <w:t xml:space="preserve">, </w:t>
      </w:r>
      <w:r w:rsidR="007F4696">
        <w:t>invest</w:t>
      </w:r>
      <w:r w:rsidR="00C05CFA">
        <w:t>ing</w:t>
      </w:r>
      <w:r w:rsidR="007F4696">
        <w:t xml:space="preserve"> in reaching o</w:t>
      </w:r>
      <w:r w:rsidR="006352AF">
        <w:t>u</w:t>
      </w:r>
      <w:r w:rsidR="00C11DBC">
        <w:t>t to more farmers individually</w:t>
      </w:r>
      <w:r w:rsidR="00AD62A6">
        <w:t xml:space="preserve"> </w:t>
      </w:r>
      <w:r w:rsidR="0079695A">
        <w:t>c</w:t>
      </w:r>
      <w:r w:rsidR="00AD62A6">
        <w:t>ould be the next best strategy</w:t>
      </w:r>
      <w:r w:rsidR="00C11DBC">
        <w:t xml:space="preserve"> </w:t>
      </w:r>
      <w:r w:rsidR="00C11DBC">
        <w:fldChar w:fldCharType="begin" w:fldLock="1"/>
      </w:r>
      <w:r w:rsidR="001C3948">
        <w:instrText>ADDIN CSL_CITATION {"citationItems":[{"id":"ITEM-1","itemData":{"author":[{"dropping-particle":"","family":"Lange","given":"Emiel","non-dropping-particle":"de","parse-names":false,"suffix":""},{"dropping-particle":"","family":"Dobson","given":"Andy","non-dropping-particle":"","parse-names":false,"suffix":""},{"dropping-particle":"","family":"Milner-Gulland","given":"E.J.","non-dropping-particle":"","parse-names":false,"suffix":""},{"dropping-particle":"","family":"Keane","given":"Aidan","non-dropping-particle":"","parse-names":false,"suffix":""}],"container-title":"Biological Conservation","id":"ITEM-1","issued":{"date-parts":[["0"]]},"title":"Combining simulation and empirical data to explore the scope for social network interventions in conservation","type":"article-journal"},"uris":["http://www.mendeley.com/documents/?uuid=da3abc1e-ab59-4c8c-8fe5-f7ed001178be"]}],"mendeley":{"formattedCitation":"(de Lange &lt;i&gt;et al.&lt;/i&gt;, no date)","manualFormatting":"(de Lange, Milner-Gulland and Keane, 2021)","plainTextFormattedCitation":"(de Lange et al., no date)","previouslyFormattedCitation":"(de Lange &lt;i&gt;et al.&lt;/i&gt;, no date)"},"properties":{"noteIndex":0},"schema":"https://github.com/citation-style-language/schema/raw/master/csl-citation.json"}</w:instrText>
      </w:r>
      <w:r w:rsidR="00C11DBC">
        <w:fldChar w:fldCharType="separate"/>
      </w:r>
      <w:r w:rsidR="000F31EA" w:rsidRPr="000F31EA">
        <w:rPr>
          <w:noProof/>
        </w:rPr>
        <w:t xml:space="preserve">(de Lange, Milner-Gulland and Keane, </w:t>
      </w:r>
      <w:r w:rsidR="00E7086B">
        <w:rPr>
          <w:noProof/>
        </w:rPr>
        <w:t>2021</w:t>
      </w:r>
      <w:r w:rsidR="000F31EA" w:rsidRPr="000F31EA">
        <w:rPr>
          <w:noProof/>
        </w:rPr>
        <w:t>)</w:t>
      </w:r>
      <w:r w:rsidR="00C11DBC">
        <w:fldChar w:fldCharType="end"/>
      </w:r>
      <w:r w:rsidR="00C11DBC">
        <w:t xml:space="preserve">. </w:t>
      </w:r>
    </w:p>
    <w:p w14:paraId="6E6CE78A" w14:textId="5C9AEB37" w:rsidR="007E740B" w:rsidRPr="00823A80" w:rsidRDefault="00033228" w:rsidP="0073063F">
      <w:pPr>
        <w:pStyle w:val="NoSpacing"/>
        <w:rPr>
          <w:b/>
          <w:i/>
        </w:rPr>
      </w:pPr>
      <w:r>
        <w:tab/>
      </w:r>
    </w:p>
    <w:p w14:paraId="57342BD2" w14:textId="012496DB" w:rsidR="00823A80" w:rsidRPr="00F75F65" w:rsidRDefault="00E11A7F" w:rsidP="005954FF">
      <w:pPr>
        <w:pStyle w:val="Heading2"/>
        <w:numPr>
          <w:ilvl w:val="1"/>
          <w:numId w:val="22"/>
        </w:numPr>
      </w:pPr>
      <w:r>
        <w:t>Conclusion</w:t>
      </w:r>
    </w:p>
    <w:p w14:paraId="4C8C9A74" w14:textId="77777777" w:rsidR="00140BD0" w:rsidRDefault="00140BD0" w:rsidP="00140BD0">
      <w:pPr>
        <w:pStyle w:val="NoSpacing"/>
        <w:rPr>
          <w:b/>
          <w:i/>
        </w:rPr>
      </w:pPr>
    </w:p>
    <w:p w14:paraId="2D29F225" w14:textId="5A02C9BC" w:rsidR="00702C5D" w:rsidRDefault="00AD2858" w:rsidP="00DF206D">
      <w:pPr>
        <w:pStyle w:val="NoSpacing"/>
      </w:pPr>
      <w:r>
        <w:t>We</w:t>
      </w:r>
      <w:r w:rsidR="00193DAE">
        <w:t xml:space="preserve"> </w:t>
      </w:r>
      <w:r w:rsidR="00BC678A">
        <w:t xml:space="preserve">show that </w:t>
      </w:r>
      <w:r w:rsidR="00163BE9" w:rsidRPr="008B643A">
        <w:t xml:space="preserve">agroecological research can actively shape individuals’ behaviours and a community’s social network. </w:t>
      </w:r>
      <w:r w:rsidR="00D72A9F" w:rsidRPr="008B643A">
        <w:t>Agro</w:t>
      </w:r>
      <w:r w:rsidR="00CC2DB3" w:rsidRPr="008B643A">
        <w:t>ecological researchers</w:t>
      </w:r>
      <w:r w:rsidR="002E03CF" w:rsidRPr="008B643A">
        <w:t xml:space="preserve"> </w:t>
      </w:r>
      <w:r w:rsidR="00D50332" w:rsidRPr="008B643A">
        <w:t xml:space="preserve">therefore </w:t>
      </w:r>
      <w:r w:rsidR="007D2D2E" w:rsidRPr="008B643A">
        <w:t>need to</w:t>
      </w:r>
      <w:r w:rsidR="002E03CF" w:rsidRPr="008B643A">
        <w:t xml:space="preserve"> move away from the idea that they are neutral parties shielded by the objectivity of science </w:t>
      </w:r>
      <w:r w:rsidR="002E03CF" w:rsidRPr="008B643A">
        <w:fldChar w:fldCharType="begin" w:fldLock="1"/>
      </w:r>
      <w:r w:rsidR="001C3948">
        <w:instrText>ADDIN CSL_CITATION {"citationItems":[{"id":"ITEM-1","itemData":{"DOI":"10.1111/cobi.13464","ISSN":"15231739","PMID":"31953971","abstract":"Social science is becoming increasingly important in conservation, with more studies involving methodologies that collect data from and about people. Conservation science is a normative and applied discipline designed to support and inform management and practice. Poor research practice risks harming participants and, researchers, and can leave negative legacies. Often, those at the forefront of field-based research are early-career researchers, many of whom enter their first research experience ill-prepared for the ethical conundrums they may face. We draw on our own experiences as early-career researchers to illuminate how ethical challenges arise during conservation research that involves human participants. Specifically, we considered ethical review procedures, conflicts of values, and power relations, and devised broad recommendations on how to navigate ethical challenges when they arise during research. In particular, we recommend researchers apply reflexivity (i.e., thinking that allows researchers to recognize the effect researchers have on the research) to help navigate ethical challenges and encourage greater engagement with ethical review processes and the development of ethical guidelines for conservation research that involves human participants. Such guidelines must be accompanied by the integration of rigorous ethical training into conservation education. We believe our experiences are not uncommon and can be avoided and hope to spark discussion to contribute to a more socially just conservation.","author":[{"dropping-particle":"","family":"Brittain","given":"Stephanie","non-dropping-particle":"","parse-names":false,"suffix":""},{"dropping-particle":"","family":"Ibbett","given":"Harriet","non-dropping-particle":"","parse-names":false,"suffix":""},{"dropping-particle":"","family":"Lange","given":"Emiel","non-dropping-particle":"de","parse-names":false,"suffix":""},{"dropping-particle":"","family":"Dorward","given":"Leejiah","non-dropping-particle":"","parse-names":false,"suffix":""},{"dropping-particle":"","family":"Hoyte","given":"Simon","non-dropping-particle":"","parse-names":false,"suffix":""},{"dropping-particle":"","family":"Marino","given":"Agnese","non-dropping-particle":"","parse-names":false,"suffix":""},{"dropping-particle":"","family":"Milner-Gulland","given":"E. J.","non-dropping-particle":"","parse-names":false,"suffix":""},{"dropping-particle":"","family":"Newth","given":"Julia","non-dropping-particle":"","parse-names":false,"suffix":""},{"dropping-particle":"","family":"Rakotonarivo","given":"Sarobidy","non-dropping-particle":"","parse-names":false,"suffix":""},{"dropping-particle":"","family":"Veríssimo","given":"Diogo","non-dropping-particle":"","parse-names":false,"suffix":""},{"dropping-particle":"","family":"Lewis","given":"Jerome","non-dropping-particle":"","parse-names":false,"suffix":""}],"container-title":"Conservation Biology","id":"ITEM-1","issue":"4","issued":{"date-parts":[["2020"]]},"page":"925-933","title":"Ethical considerations when conservation research involves people","type":"article-journal","volume":"34"},"uris":["http://www.mendeley.com/documents/?uuid=0e777662-d73e-42cd-8839-bba104416d9d"]}],"mendeley":{"formattedCitation":"(Brittain &lt;i&gt;et al.&lt;/i&gt;, 2020)","plainTextFormattedCitation":"(Brittain et al., 2020)","previouslyFormattedCitation":"(Brittain &lt;i&gt;et al.&lt;/i&gt;, 2020)"},"properties":{"noteIndex":0},"schema":"https://github.com/citation-style-language/schema/raw/master/csl-citation.json"}</w:instrText>
      </w:r>
      <w:r w:rsidR="002E03CF" w:rsidRPr="008B643A">
        <w:fldChar w:fldCharType="separate"/>
      </w:r>
      <w:r w:rsidR="00636F5B" w:rsidRPr="00636F5B">
        <w:rPr>
          <w:noProof/>
        </w:rPr>
        <w:t xml:space="preserve">(Brittain </w:t>
      </w:r>
      <w:r w:rsidR="00636F5B" w:rsidRPr="00636F5B">
        <w:rPr>
          <w:i/>
          <w:noProof/>
        </w:rPr>
        <w:t>et al.</w:t>
      </w:r>
      <w:r w:rsidR="00636F5B" w:rsidRPr="00636F5B">
        <w:rPr>
          <w:noProof/>
        </w:rPr>
        <w:t>, 2020)</w:t>
      </w:r>
      <w:r w:rsidR="002E03CF" w:rsidRPr="008B643A">
        <w:fldChar w:fldCharType="end"/>
      </w:r>
      <w:r w:rsidR="002E03CF" w:rsidRPr="008B643A">
        <w:t xml:space="preserve">. </w:t>
      </w:r>
      <w:r w:rsidR="00AF0D15" w:rsidRPr="008B643A">
        <w:t xml:space="preserve">Instead, researchers should </w:t>
      </w:r>
      <w:r w:rsidR="007D2D2E" w:rsidRPr="008B643A">
        <w:t>envision impact a</w:t>
      </w:r>
      <w:r w:rsidR="003B4A8F" w:rsidRPr="008B643A">
        <w:t xml:space="preserve">s an ongoing emergent property </w:t>
      </w:r>
      <w:r w:rsidR="001C6C21" w:rsidRPr="008B643A">
        <w:t>throughout the</w:t>
      </w:r>
      <w:r w:rsidR="004039E7">
        <w:t>ir</w:t>
      </w:r>
      <w:r w:rsidR="001C6C21" w:rsidRPr="008B643A">
        <w:t xml:space="preserve"> project</w:t>
      </w:r>
      <w:r w:rsidR="007D2D2E" w:rsidRPr="008B643A">
        <w:t xml:space="preserve"> </w:t>
      </w:r>
      <w:r w:rsidR="00C55413">
        <w:fldChar w:fldCharType="begin" w:fldLock="1"/>
      </w:r>
      <w:r w:rsidR="001C3948">
        <w:instrText>ADDIN CSL_CITATION {"citationItems":[{"id":"ITEM-1","itemData":{"DOI":"10.1111/conl.12315","ISSN":"1755263X","abstract":"Recent scholarship in conservation biology has pointed to the existence of a “research-implementation” gap and has proposed various solutions for overcoming it. Some of these solutions, such as evidence-based conservation, are based on the assumption that the gap exists primarily because of a communication problem in getting reliable and needed technical information to decision makers. First, we identify conceptual weaknesses with this framing, supporting our arguments with decades of research in other fields of study. We then reconceptualize the gap as a series of crucial, productive spaces in which shared interests, value conflicts, and complex relations between scientists and publics can interact. Whereas synonyms for “gap” include words such as “chasm,” “rift,” or “breach,” the word “space” is connected with words such as “arena,” “capacity,” and “place” and points to who and what already exists in a specific context. Finally, we offer ways forward for applying this new understanding in practice.","author":[{"dropping-particle":"","family":"Toomey","given":"Anne H.","non-dropping-particle":"","parse-names":false,"suffix":""},{"dropping-particle":"","family":"Knight","given":"Andrew T.","non-dropping-particle":"","parse-names":false,"suffix":""},{"dropping-particle":"","family":"Barlow","given":"Jos","non-dropping-particle":"","parse-names":false,"suffix":""}],"container-title":"Conservation Letters","id":"ITEM-1","issue":"5","issued":{"date-parts":[["2017"]]},"note":"* Research question\nIs viewing the reearch-implementation gap as linear helpful at all?\n\n* Main points\n- Within conservation there is often a belief that the world faces environmental problems which are best addressed by a group of experts providing evidence-based solutions to decision makers. This conceptualisation frames the relationship between research and practice as linear.\n- Decades of science studies scholarship has demonstrated that facts are not perceived in the same way by different publics but are filtered through existing beliefs, mental models, experiences and concerns. Effective decision-makng is based upon clear understandings of values, knowledge, rules, behaviours and actions, and the complex interactions between them.\n- We need to envision impact as an ongoing emergent property of human-managed systems, one that manifests not only upon the completion of research but also throughout the social and policy process within which useful research is engaged and embedded.\n- It would be more useful to describe the research information action as a &amp;quot;space&amp;quot; than a &amp;quot;gap&amp;quot; because it points to whom and what already exist in a specific context.\n- The extent to which local values, knowledge, and behaviours are acknowledged, understood and given due recognition during the process of conducting research can have great bearing on whether or not the results of such research are accepted or rejected in a given political or cultural context.\n- Research scientists can broaden their role by identifying conservation challenges with stakeholders and collaboratively developing research plans, departments can train students to seek out, understand, integrate and apply different types of knowledge, universities can partner with community-based organisations, NGOs and other stakeholder groups, and there is a need for deep self-reflection.","page":"619-625","title":"Navigating the space between research and implementation in conservation","type":"article-journal","volume":"10"},"uris":["http://www.mendeley.com/documents/?uuid=b5e1104e-f2ad-48d9-84f5-1e01a0bbcbc1"]}],"mendeley":{"formattedCitation":"(Toomey, Knight and Barlow, 2017)","plainTextFormattedCitation":"(Toomey, Knight and Barlow, 2017)","previouslyFormattedCitation":"(Toomey, Knight and Barlow, 2017)"},"properties":{"noteIndex":0},"schema":"https://github.com/citation-style-language/schema/raw/master/csl-citation.json"}</w:instrText>
      </w:r>
      <w:r w:rsidR="00C55413">
        <w:fldChar w:fldCharType="separate"/>
      </w:r>
      <w:r w:rsidR="00636F5B" w:rsidRPr="00636F5B">
        <w:rPr>
          <w:noProof/>
        </w:rPr>
        <w:t>(Toomey, Knight and Barlow, 2017)</w:t>
      </w:r>
      <w:r w:rsidR="00C55413">
        <w:fldChar w:fldCharType="end"/>
      </w:r>
      <w:r w:rsidR="007D2D2E" w:rsidRPr="008B643A">
        <w:t>.</w:t>
      </w:r>
      <w:r w:rsidR="00EA68EF" w:rsidRPr="008B643A">
        <w:t xml:space="preserve"> </w:t>
      </w:r>
      <w:r w:rsidR="00403881" w:rsidRPr="008B643A">
        <w:t>A</w:t>
      </w:r>
      <w:r w:rsidR="00D72A9F" w:rsidRPr="008B643A">
        <w:t>gro</w:t>
      </w:r>
      <w:r w:rsidR="00403881" w:rsidRPr="008B643A">
        <w:t>ecological ad</w:t>
      </w:r>
      <w:r w:rsidR="00A91F76" w:rsidRPr="008B643A">
        <w:t xml:space="preserve">vocates, on the other hand, </w:t>
      </w:r>
      <w:r w:rsidR="00E5219B" w:rsidRPr="008B643A">
        <w:t>require</w:t>
      </w:r>
      <w:r w:rsidR="00A91F76" w:rsidRPr="008B643A">
        <w:t xml:space="preserve"> </w:t>
      </w:r>
      <w:r w:rsidR="004D3E3A" w:rsidRPr="008B643A">
        <w:t>a solid</w:t>
      </w:r>
      <w:r w:rsidR="00A91F76" w:rsidRPr="008B643A">
        <w:t xml:space="preserve"> understanding </w:t>
      </w:r>
      <w:r w:rsidR="00731514" w:rsidRPr="008B643A">
        <w:t xml:space="preserve">of </w:t>
      </w:r>
      <w:r w:rsidR="00A91F76" w:rsidRPr="008B643A">
        <w:t xml:space="preserve">how social networks spread </w:t>
      </w:r>
      <w:r w:rsidR="0079695A" w:rsidRPr="008B643A">
        <w:t>the desired</w:t>
      </w:r>
      <w:r w:rsidR="0073369A" w:rsidRPr="008B643A">
        <w:t xml:space="preserve"> information and farming practices</w:t>
      </w:r>
      <w:r w:rsidR="00A91F76" w:rsidRPr="008B643A">
        <w:t xml:space="preserve"> so that they can use them effectively</w:t>
      </w:r>
      <w:r w:rsidR="00E5219B" w:rsidRPr="008B643A">
        <w:t>;</w:t>
      </w:r>
      <w:r w:rsidR="000D78E4" w:rsidRPr="008B643A">
        <w:t xml:space="preserve"> in </w:t>
      </w:r>
      <w:r w:rsidR="001E7369">
        <w:t>our</w:t>
      </w:r>
      <w:r w:rsidR="00075F2B">
        <w:t xml:space="preserve"> </w:t>
      </w:r>
      <w:r w:rsidR="000D78E4" w:rsidRPr="008B643A">
        <w:t>case</w:t>
      </w:r>
      <w:r w:rsidR="00E5219B" w:rsidRPr="008B643A">
        <w:t>,</w:t>
      </w:r>
      <w:r w:rsidR="000D78E4" w:rsidRPr="008B643A">
        <w:t xml:space="preserve"> informatio</w:t>
      </w:r>
      <w:r w:rsidR="00863CEE" w:rsidRPr="008B643A">
        <w:t>n did not spread much beyond</w:t>
      </w:r>
      <w:r w:rsidR="000D78E4" w:rsidRPr="008B643A">
        <w:t xml:space="preserve"> targeted farmers</w:t>
      </w:r>
      <w:r w:rsidR="0073369A" w:rsidRPr="008B643A">
        <w:t xml:space="preserve">. </w:t>
      </w:r>
      <w:r w:rsidR="002018DC" w:rsidRPr="008B643A">
        <w:t xml:space="preserve">Care should </w:t>
      </w:r>
      <w:r w:rsidR="00DF6B35" w:rsidRPr="008B643A">
        <w:t xml:space="preserve">also </w:t>
      </w:r>
      <w:r w:rsidR="002018DC" w:rsidRPr="008B643A">
        <w:t>be taken</w:t>
      </w:r>
      <w:r w:rsidR="000352D4" w:rsidRPr="008B643A">
        <w:t>, by both</w:t>
      </w:r>
      <w:r w:rsidR="002B0945" w:rsidRPr="008B643A">
        <w:t xml:space="preserve"> agroecological</w:t>
      </w:r>
      <w:r w:rsidR="000352D4" w:rsidRPr="008B643A">
        <w:t xml:space="preserve"> researchers and advocates</w:t>
      </w:r>
      <w:r w:rsidR="00AA0146" w:rsidRPr="008B643A">
        <w:t>,</w:t>
      </w:r>
      <w:r w:rsidR="00B90945" w:rsidRPr="008B643A">
        <w:t xml:space="preserve"> about who to</w:t>
      </w:r>
      <w:r w:rsidR="009926F0" w:rsidRPr="008B643A">
        <w:t xml:space="preserve"> involve in a project, because </w:t>
      </w:r>
      <w:r w:rsidR="00A87319" w:rsidRPr="008B643A">
        <w:t>this</w:t>
      </w:r>
      <w:r w:rsidR="00B90945" w:rsidRPr="008B643A">
        <w:t xml:space="preserve"> has consequences for who gains. </w:t>
      </w:r>
      <w:r w:rsidR="00EC2CB6" w:rsidRPr="008B643A">
        <w:t>Although these lessons may be well understood</w:t>
      </w:r>
      <w:r w:rsidR="004908B0" w:rsidRPr="008B643A">
        <w:t xml:space="preserve"> by some</w:t>
      </w:r>
      <w:r w:rsidR="00EC2CB6" w:rsidRPr="008B643A">
        <w:t xml:space="preserve">, there are few detailed empirical case studies </w:t>
      </w:r>
      <w:r w:rsidR="00FD3B4D" w:rsidRPr="008B643A">
        <w:t xml:space="preserve">that </w:t>
      </w:r>
      <w:r w:rsidR="00EC2CB6" w:rsidRPr="008B643A">
        <w:t xml:space="preserve">demonstrate them. </w:t>
      </w:r>
      <w:r w:rsidR="0070206C" w:rsidRPr="002968B4">
        <w:t>Future work might usefully explore these dynamics in an experimental setting, for example through comparing villages in which information sharing was or was not actively promoted.</w:t>
      </w:r>
      <w:r w:rsidR="0070206C">
        <w:t xml:space="preserve"> It may also be of interest to include neighbouring villages in the study to better understand how far the effects of knowledge transfer reach. </w:t>
      </w:r>
      <w:r w:rsidR="00EC2CB6" w:rsidRPr="008B643A">
        <w:t xml:space="preserve">Overall, </w:t>
      </w:r>
      <w:r w:rsidR="008B62D6">
        <w:t>our</w:t>
      </w:r>
      <w:r w:rsidR="00075F2B">
        <w:t xml:space="preserve"> </w:t>
      </w:r>
      <w:r w:rsidR="00EC2CB6" w:rsidRPr="008B643A">
        <w:t>case study illustrates the need for a</w:t>
      </w:r>
      <w:r w:rsidR="00D72A9F" w:rsidRPr="008B643A">
        <w:t>gro</w:t>
      </w:r>
      <w:r w:rsidR="00445111" w:rsidRPr="008B643A">
        <w:t xml:space="preserve">ecological researchers </w:t>
      </w:r>
      <w:r w:rsidR="000E3676" w:rsidRPr="008B643A">
        <w:t>and advoc</w:t>
      </w:r>
      <w:r w:rsidR="001A6930" w:rsidRPr="008B643A">
        <w:t>at</w:t>
      </w:r>
      <w:r w:rsidR="000E3676" w:rsidRPr="008B643A">
        <w:t xml:space="preserve">es </w:t>
      </w:r>
      <w:r w:rsidR="00EC2CB6" w:rsidRPr="008B643A">
        <w:t xml:space="preserve">to </w:t>
      </w:r>
      <w:r w:rsidR="00D15F88" w:rsidRPr="008B643A">
        <w:t xml:space="preserve">think carefully about </w:t>
      </w:r>
      <w:r w:rsidR="003B4899" w:rsidRPr="008B643A">
        <w:t xml:space="preserve">whether </w:t>
      </w:r>
      <w:r w:rsidR="00D15F88" w:rsidRPr="008B643A">
        <w:t>the</w:t>
      </w:r>
      <w:r w:rsidR="00EC2CB6" w:rsidRPr="008B643A">
        <w:t>ir</w:t>
      </w:r>
      <w:r w:rsidR="00D15F88" w:rsidRPr="008B643A">
        <w:t xml:space="preserve"> ass</w:t>
      </w:r>
      <w:r w:rsidR="00AD3BFE" w:rsidRPr="008B643A">
        <w:t>umption</w:t>
      </w:r>
      <w:r w:rsidR="003B4899" w:rsidRPr="008B643A">
        <w:t xml:space="preserve">s </w:t>
      </w:r>
      <w:r w:rsidR="00D50332" w:rsidRPr="008B643A">
        <w:t xml:space="preserve">are valid </w:t>
      </w:r>
      <w:r w:rsidR="00EC2CB6" w:rsidRPr="008B643A">
        <w:t>about how,</w:t>
      </w:r>
      <w:r w:rsidR="003D0FF3" w:rsidRPr="008B643A">
        <w:t xml:space="preserve"> when, and what parts of, their </w:t>
      </w:r>
      <w:r w:rsidR="00EC2CB6" w:rsidRPr="008B643A">
        <w:t>activities will translate into practice</w:t>
      </w:r>
      <w:r w:rsidR="00846BE1" w:rsidRPr="008B643A">
        <w:t>. This can help</w:t>
      </w:r>
      <w:r w:rsidR="002A1CC7" w:rsidRPr="008B643A">
        <w:t xml:space="preserve"> them to</w:t>
      </w:r>
      <w:r w:rsidR="00481DBD" w:rsidRPr="008B643A">
        <w:t xml:space="preserve"> </w:t>
      </w:r>
      <w:r w:rsidR="00E5219B" w:rsidRPr="008B643A">
        <w:t xml:space="preserve">work </w:t>
      </w:r>
      <w:r w:rsidR="00481DBD" w:rsidRPr="008B643A">
        <w:t xml:space="preserve">more effectively towards their goal </w:t>
      </w:r>
      <w:r w:rsidR="001B1157" w:rsidRPr="008B643A">
        <w:t>of solving challenges in agricultural production</w:t>
      </w:r>
      <w:r w:rsidR="00AB28A6" w:rsidRPr="008B643A">
        <w:t>.</w:t>
      </w:r>
      <w:r w:rsidR="00AB28A6">
        <w:t xml:space="preserve"> </w:t>
      </w:r>
    </w:p>
    <w:p w14:paraId="19872409" w14:textId="707E22FE" w:rsidR="00DF2A46" w:rsidRDefault="00DF2A46" w:rsidP="00DF206D">
      <w:pPr>
        <w:pStyle w:val="NoSpacing"/>
      </w:pPr>
    </w:p>
    <w:p w14:paraId="5CCAAE8F" w14:textId="77777777" w:rsidR="00DF2A46" w:rsidRDefault="00DF2A46" w:rsidP="00DF2A46">
      <w:pPr>
        <w:pStyle w:val="Heading2"/>
      </w:pPr>
      <w:r>
        <w:lastRenderedPageBreak/>
        <w:t>Acknowledgements</w:t>
      </w:r>
    </w:p>
    <w:p w14:paraId="66977D69" w14:textId="77777777" w:rsidR="00DF2A46" w:rsidRDefault="00DF2A46" w:rsidP="00DF2A46">
      <w:pPr>
        <w:pStyle w:val="NoSpacing"/>
        <w:rPr>
          <w:b/>
          <w:i/>
        </w:rPr>
      </w:pPr>
    </w:p>
    <w:p w14:paraId="5CB320B3" w14:textId="77777777" w:rsidR="00DF2A46" w:rsidRDefault="00DF2A46" w:rsidP="00DF2A46">
      <w:pPr>
        <w:pStyle w:val="NoSpacing"/>
        <w:rPr>
          <w:rFonts w:cstheme="minorHAnsi"/>
          <w:shd w:val="clear" w:color="auto" w:fill="FFFFFF"/>
        </w:rPr>
      </w:pPr>
      <w:r>
        <w:t xml:space="preserve">We are in great debt to farmers in </w:t>
      </w:r>
      <w:proofErr w:type="spellStart"/>
      <w:r>
        <w:t>Ohu</w:t>
      </w:r>
      <w:proofErr w:type="spellEnd"/>
      <w:r>
        <w:t xml:space="preserve"> who gave up their time for our interviews, and to landowners who allowed us to set up experimental gardens. We are also very grateful for the support from staff of The New Guinea </w:t>
      </w:r>
      <w:proofErr w:type="spellStart"/>
      <w:r>
        <w:t>Binatang</w:t>
      </w:r>
      <w:proofErr w:type="spellEnd"/>
      <w:r>
        <w:t xml:space="preserve"> Research Centre, Dr Francesca Dem and Professor </w:t>
      </w:r>
      <w:r w:rsidRPr="003814E4">
        <w:t>Vojtěch Novotný</w:t>
      </w:r>
      <w:r>
        <w:t>. Thank you to Emiel de Lange for our insightful discussions. This project was financially supported by the Biotechnology and Biological Sciences Research Council (BBSRC) [grant number BB/M011224/1].</w:t>
      </w:r>
    </w:p>
    <w:p w14:paraId="5EFA6105" w14:textId="77777777" w:rsidR="00DF2A46" w:rsidRPr="00E26447" w:rsidRDefault="00DF2A46" w:rsidP="00DF2A46">
      <w:pPr>
        <w:pStyle w:val="NoSpacing"/>
        <w:rPr>
          <w:lang w:eastAsia="en-GB"/>
        </w:rPr>
      </w:pPr>
    </w:p>
    <w:p w14:paraId="0F1BE3BC" w14:textId="77777777" w:rsidR="00DF2A46" w:rsidRDefault="00DF2A46" w:rsidP="00DF2A46">
      <w:pPr>
        <w:pStyle w:val="NoSpacing"/>
      </w:pPr>
    </w:p>
    <w:p w14:paraId="3BFC68D5" w14:textId="39958731" w:rsidR="00DF2A46" w:rsidRDefault="00116B65" w:rsidP="00DF2A46">
      <w:pPr>
        <w:pStyle w:val="Heading2"/>
      </w:pPr>
      <w:r>
        <w:t>Authors’ c</w:t>
      </w:r>
      <w:r w:rsidR="00DF2A46">
        <w:t>ontributions</w:t>
      </w:r>
    </w:p>
    <w:p w14:paraId="5D4E7C6F" w14:textId="77777777" w:rsidR="00DF2A46" w:rsidRDefault="00DF2A46" w:rsidP="00DF2A46"/>
    <w:p w14:paraId="32114D2E" w14:textId="492D2193" w:rsidR="00DF2A46" w:rsidRDefault="00DF2A46" w:rsidP="00DF2A46">
      <w:pPr>
        <w:pStyle w:val="NoSpacing"/>
        <w:rPr>
          <w:rFonts w:cstheme="minorHAnsi"/>
        </w:rPr>
      </w:pPr>
      <w:r>
        <w:rPr>
          <w:rFonts w:cstheme="minorHAnsi"/>
        </w:rPr>
        <w:t>M.H., E.J.M.G., S.S., B.I., E.B. and R.J.M. conceived the project and designed the study. M.H., S.S., B.I., A.K., G.L. and J.P. collected the data. M.H. and P.M. conducted data analysis, and all authors contributed to interpretations of the results. M.H. wrote the manuscript with input from all authors.</w:t>
      </w:r>
    </w:p>
    <w:p w14:paraId="636DF22C" w14:textId="1FADC185" w:rsidR="005362FE" w:rsidRDefault="005362FE" w:rsidP="00DF2A46">
      <w:pPr>
        <w:pStyle w:val="NoSpacing"/>
        <w:rPr>
          <w:rFonts w:cstheme="minorHAnsi"/>
        </w:rPr>
      </w:pPr>
    </w:p>
    <w:p w14:paraId="4F921498" w14:textId="77777777" w:rsidR="005362FE" w:rsidRPr="007A7C99" w:rsidRDefault="005362FE" w:rsidP="005362FE">
      <w:pPr>
        <w:pStyle w:val="Heading2"/>
        <w:rPr>
          <w:lang w:eastAsia="en-GB"/>
        </w:rPr>
      </w:pPr>
      <w:r w:rsidRPr="007A7C99">
        <w:rPr>
          <w:lang w:eastAsia="en-GB"/>
        </w:rPr>
        <w:t xml:space="preserve">Data </w:t>
      </w:r>
      <w:r>
        <w:rPr>
          <w:lang w:eastAsia="en-GB"/>
        </w:rPr>
        <w:t xml:space="preserve">and code </w:t>
      </w:r>
      <w:r w:rsidRPr="007A7C99">
        <w:rPr>
          <w:lang w:eastAsia="en-GB"/>
        </w:rPr>
        <w:t>a</w:t>
      </w:r>
      <w:r>
        <w:rPr>
          <w:lang w:eastAsia="en-GB"/>
        </w:rPr>
        <w:t>vailability</w:t>
      </w:r>
    </w:p>
    <w:p w14:paraId="322CF7F1" w14:textId="77777777" w:rsidR="005362FE" w:rsidRDefault="005362FE" w:rsidP="005362FE">
      <w:pPr>
        <w:pStyle w:val="NoSpacing"/>
        <w:rPr>
          <w:b/>
          <w:lang w:eastAsia="en-GB"/>
        </w:rPr>
      </w:pPr>
    </w:p>
    <w:p w14:paraId="0230A189" w14:textId="77777777" w:rsidR="005362FE" w:rsidRPr="00973704" w:rsidRDefault="005362FE" w:rsidP="005362FE">
      <w:pPr>
        <w:pStyle w:val="NoSpacing"/>
        <w:rPr>
          <w:rFonts w:cstheme="minorHAnsi"/>
          <w:b/>
        </w:rPr>
      </w:pPr>
      <w:r w:rsidRPr="00973704">
        <w:rPr>
          <w:rFonts w:cstheme="minorHAnsi"/>
          <w:color w:val="212529"/>
          <w:shd w:val="clear" w:color="auto" w:fill="FFFFFF"/>
        </w:rPr>
        <w:t xml:space="preserve">The data that support the findings of this study are available on request from the </w:t>
      </w:r>
      <w:r>
        <w:rPr>
          <w:rFonts w:cstheme="minorHAnsi"/>
          <w:color w:val="212529"/>
          <w:shd w:val="clear" w:color="auto" w:fill="FFFFFF"/>
        </w:rPr>
        <w:t>corresponding author</w:t>
      </w:r>
      <w:r w:rsidRPr="00973704">
        <w:rPr>
          <w:rFonts w:cstheme="minorHAnsi"/>
          <w:color w:val="212529"/>
          <w:shd w:val="clear" w:color="auto" w:fill="FFFFFF"/>
        </w:rPr>
        <w:t xml:space="preserve">. The data are not publicly available due to </w:t>
      </w:r>
      <w:r>
        <w:rPr>
          <w:rFonts w:cstheme="minorHAnsi"/>
          <w:color w:val="212529"/>
          <w:shd w:val="clear" w:color="auto" w:fill="FFFFFF"/>
        </w:rPr>
        <w:t xml:space="preserve">ethical restrictions. </w:t>
      </w:r>
    </w:p>
    <w:p w14:paraId="1EB1B51A" w14:textId="77777777" w:rsidR="005362FE" w:rsidRDefault="005362FE" w:rsidP="005362FE">
      <w:pPr>
        <w:pStyle w:val="NoSpacing"/>
      </w:pPr>
    </w:p>
    <w:p w14:paraId="227D5FFF" w14:textId="77777777" w:rsidR="005362FE" w:rsidRPr="009F7FD2" w:rsidRDefault="005362FE" w:rsidP="005362FE">
      <w:pPr>
        <w:pStyle w:val="NoSpacing"/>
      </w:pPr>
      <w:r w:rsidRPr="009F7FD2">
        <w:t xml:space="preserve">The computer code that support the findings of this study is available from </w:t>
      </w:r>
      <w:hyperlink r:id="rId12" w:history="1">
        <w:r w:rsidRPr="003C4954">
          <w:rPr>
            <w:rStyle w:val="Hyperlink"/>
          </w:rPr>
          <w:t>http://dx.doi.org/10.17632/ft8gb8cn5b.1</w:t>
        </w:r>
      </w:hyperlink>
      <w:r>
        <w:t xml:space="preserve">. </w:t>
      </w:r>
    </w:p>
    <w:p w14:paraId="67E5C562" w14:textId="372C3C44" w:rsidR="005362FE" w:rsidRDefault="005362FE" w:rsidP="00DF2A46">
      <w:pPr>
        <w:pStyle w:val="NoSpacing"/>
      </w:pPr>
    </w:p>
    <w:p w14:paraId="3710D9B1" w14:textId="4FECDF1A" w:rsidR="00827560" w:rsidRDefault="00827560" w:rsidP="00827560">
      <w:pPr>
        <w:pStyle w:val="Heading2"/>
      </w:pPr>
      <w:r>
        <w:t>References</w:t>
      </w:r>
    </w:p>
    <w:p w14:paraId="5F2B99CE" w14:textId="5A650CDA" w:rsidR="00F651A0" w:rsidRPr="00F651A0" w:rsidRDefault="00636F5B" w:rsidP="00F651A0">
      <w:pPr>
        <w:widowControl w:val="0"/>
        <w:autoSpaceDE w:val="0"/>
        <w:autoSpaceDN w:val="0"/>
        <w:adjustRightInd w:val="0"/>
        <w:rPr>
          <w:rFonts w:cs="Times New Roman"/>
          <w:noProof/>
          <w:szCs w:val="24"/>
        </w:rPr>
      </w:pPr>
      <w:r>
        <w:fldChar w:fldCharType="begin" w:fldLock="1"/>
      </w:r>
      <w:r>
        <w:instrText xml:space="preserve">ADDIN Mendeley Bibliography CSL_BIBLIOGRAPHY </w:instrText>
      </w:r>
      <w:r>
        <w:fldChar w:fldCharType="separate"/>
      </w:r>
      <w:r w:rsidR="00F651A0" w:rsidRPr="00F651A0">
        <w:rPr>
          <w:rFonts w:cs="Times New Roman"/>
          <w:noProof/>
          <w:szCs w:val="24"/>
        </w:rPr>
        <w:t xml:space="preserve">Baynes, J., Herbohn, J. and Unsworth, W. (2017) ‘Reforesting the grasslands of Papua New Guinea: the importance of a family-based approach’, </w:t>
      </w:r>
      <w:r w:rsidR="00F651A0" w:rsidRPr="00F651A0">
        <w:rPr>
          <w:rFonts w:cs="Times New Roman"/>
          <w:i/>
          <w:iCs/>
          <w:noProof/>
          <w:szCs w:val="24"/>
        </w:rPr>
        <w:t>Journal of Rural Studies</w:t>
      </w:r>
      <w:r w:rsidR="00F651A0" w:rsidRPr="00F651A0">
        <w:rPr>
          <w:rFonts w:cs="Times New Roman"/>
          <w:noProof/>
          <w:szCs w:val="24"/>
        </w:rPr>
        <w:t xml:space="preserve">, 56, pp. 124–131. doi: </w:t>
      </w:r>
      <w:r w:rsidR="00F651A0" w:rsidRPr="00F651A0">
        <w:rPr>
          <w:rFonts w:cs="Times New Roman"/>
          <w:noProof/>
          <w:szCs w:val="24"/>
        </w:rPr>
        <w:lastRenderedPageBreak/>
        <w:t>10.1016/j.jrurstud.2017.09.012.</w:t>
      </w:r>
    </w:p>
    <w:p w14:paraId="26B85E16" w14:textId="77777777" w:rsidR="00F651A0" w:rsidRPr="00F651A0" w:rsidRDefault="00F651A0" w:rsidP="00F651A0">
      <w:pPr>
        <w:widowControl w:val="0"/>
        <w:autoSpaceDE w:val="0"/>
        <w:autoSpaceDN w:val="0"/>
        <w:adjustRightInd w:val="0"/>
        <w:rPr>
          <w:rFonts w:cs="Times New Roman"/>
          <w:noProof/>
          <w:szCs w:val="24"/>
        </w:rPr>
      </w:pPr>
      <w:r w:rsidRPr="002C6180">
        <w:rPr>
          <w:rFonts w:cs="Times New Roman"/>
          <w:noProof/>
          <w:szCs w:val="24"/>
          <w:lang w:val="fr-FR"/>
        </w:rPr>
        <w:t xml:space="preserve">Beaman, L. A. </w:t>
      </w:r>
      <w:r w:rsidRPr="002C6180">
        <w:rPr>
          <w:rFonts w:cs="Times New Roman"/>
          <w:i/>
          <w:iCs/>
          <w:noProof/>
          <w:szCs w:val="24"/>
          <w:lang w:val="fr-FR"/>
        </w:rPr>
        <w:t>et al.</w:t>
      </w:r>
      <w:r w:rsidRPr="002C6180">
        <w:rPr>
          <w:rFonts w:cs="Times New Roman"/>
          <w:noProof/>
          <w:szCs w:val="24"/>
          <w:lang w:val="fr-FR"/>
        </w:rPr>
        <w:t xml:space="preserve"> </w:t>
      </w:r>
      <w:r w:rsidRPr="00F651A0">
        <w:rPr>
          <w:rFonts w:cs="Times New Roman"/>
          <w:noProof/>
          <w:szCs w:val="24"/>
        </w:rPr>
        <w:t xml:space="preserve">(2020) ‘Can network theory-based targeting increase technology adoption?’, </w:t>
      </w:r>
      <w:r w:rsidRPr="00F651A0">
        <w:rPr>
          <w:rFonts w:cs="Times New Roman"/>
          <w:i/>
          <w:iCs/>
          <w:noProof/>
          <w:szCs w:val="24"/>
        </w:rPr>
        <w:t>National Bureau of Economic Research Working Paper Series</w:t>
      </w:r>
      <w:r w:rsidRPr="00F651A0">
        <w:rPr>
          <w:rFonts w:cs="Times New Roman"/>
          <w:noProof/>
          <w:szCs w:val="24"/>
        </w:rPr>
        <w:t>, (w24912). doi: 10.2139/ssrn.3225815.</w:t>
      </w:r>
    </w:p>
    <w:p w14:paraId="09FE3B33"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Beaman, L. A. and Dillon, A. (2018) ‘Diffusion of agricultural information within social networks: evidence on gender inequalities from Mali’, </w:t>
      </w:r>
      <w:r w:rsidRPr="00F651A0">
        <w:rPr>
          <w:rFonts w:cs="Times New Roman"/>
          <w:i/>
          <w:iCs/>
          <w:noProof/>
          <w:szCs w:val="24"/>
        </w:rPr>
        <w:t>Journal of Development Economics</w:t>
      </w:r>
      <w:r w:rsidRPr="00F651A0">
        <w:rPr>
          <w:rFonts w:cs="Times New Roman"/>
          <w:noProof/>
          <w:szCs w:val="24"/>
        </w:rPr>
        <w:t>, 133, pp. 147–161. doi: 10.1016/j.jdeveco.2018.01.009.</w:t>
      </w:r>
    </w:p>
    <w:p w14:paraId="7931D8C2" w14:textId="77777777" w:rsidR="00F651A0" w:rsidRPr="00F651A0" w:rsidRDefault="00F651A0" w:rsidP="00F651A0">
      <w:pPr>
        <w:widowControl w:val="0"/>
        <w:autoSpaceDE w:val="0"/>
        <w:autoSpaceDN w:val="0"/>
        <w:adjustRightInd w:val="0"/>
        <w:rPr>
          <w:rFonts w:cs="Times New Roman"/>
          <w:noProof/>
          <w:szCs w:val="24"/>
        </w:rPr>
      </w:pPr>
      <w:r w:rsidRPr="002C6180">
        <w:rPr>
          <w:rFonts w:cs="Times New Roman"/>
          <w:noProof/>
          <w:szCs w:val="24"/>
          <w:lang w:val="it-IT"/>
        </w:rPr>
        <w:t xml:space="preserve">Bertuol-Garcia, D. </w:t>
      </w:r>
      <w:r w:rsidRPr="002C6180">
        <w:rPr>
          <w:rFonts w:cs="Times New Roman"/>
          <w:i/>
          <w:iCs/>
          <w:noProof/>
          <w:szCs w:val="24"/>
          <w:lang w:val="it-IT"/>
        </w:rPr>
        <w:t>et al.</w:t>
      </w:r>
      <w:r w:rsidRPr="002C6180">
        <w:rPr>
          <w:rFonts w:cs="Times New Roman"/>
          <w:noProof/>
          <w:szCs w:val="24"/>
          <w:lang w:val="it-IT"/>
        </w:rPr>
        <w:t xml:space="preserve"> </w:t>
      </w:r>
      <w:r w:rsidRPr="00F651A0">
        <w:rPr>
          <w:rFonts w:cs="Times New Roman"/>
          <w:noProof/>
          <w:szCs w:val="24"/>
        </w:rPr>
        <w:t xml:space="preserve">(2018) ‘A conceptual framework for understanding the perspectives on the causes of the science–practice gap in ecology and conservation’, </w:t>
      </w:r>
      <w:r w:rsidRPr="00F651A0">
        <w:rPr>
          <w:rFonts w:cs="Times New Roman"/>
          <w:i/>
          <w:iCs/>
          <w:noProof/>
          <w:szCs w:val="24"/>
        </w:rPr>
        <w:t>Biological Reviews</w:t>
      </w:r>
      <w:r w:rsidRPr="00F651A0">
        <w:rPr>
          <w:rFonts w:cs="Times New Roman"/>
          <w:noProof/>
          <w:szCs w:val="24"/>
        </w:rPr>
        <w:t>, 93(2), pp. 1032–1055. doi: 10.1111/brv.12385.</w:t>
      </w:r>
    </w:p>
    <w:p w14:paraId="08558463"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Bourke, R. M. and Harwood, T. A. (eds) (2009) </w:t>
      </w:r>
      <w:r w:rsidRPr="00F651A0">
        <w:rPr>
          <w:rFonts w:cs="Times New Roman"/>
          <w:i/>
          <w:iCs/>
          <w:noProof/>
          <w:szCs w:val="24"/>
        </w:rPr>
        <w:t>Food and agriculture in Papua New Guinea</w:t>
      </w:r>
      <w:r w:rsidRPr="00F651A0">
        <w:rPr>
          <w:rFonts w:cs="Times New Roman"/>
          <w:noProof/>
          <w:szCs w:val="24"/>
        </w:rPr>
        <w:t>. Canberra: ANU E Press.</w:t>
      </w:r>
    </w:p>
    <w:p w14:paraId="53C491D2"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Brittain, S. </w:t>
      </w:r>
      <w:r w:rsidRPr="00F651A0">
        <w:rPr>
          <w:rFonts w:cs="Times New Roman"/>
          <w:i/>
          <w:iCs/>
          <w:noProof/>
          <w:szCs w:val="24"/>
        </w:rPr>
        <w:t>et al.</w:t>
      </w:r>
      <w:r w:rsidRPr="00F651A0">
        <w:rPr>
          <w:rFonts w:cs="Times New Roman"/>
          <w:noProof/>
          <w:szCs w:val="24"/>
        </w:rPr>
        <w:t xml:space="preserve"> (2020) ‘Ethical considerations when conservation research involves people’, </w:t>
      </w:r>
      <w:r w:rsidRPr="00F651A0">
        <w:rPr>
          <w:rFonts w:cs="Times New Roman"/>
          <w:i/>
          <w:iCs/>
          <w:noProof/>
          <w:szCs w:val="24"/>
        </w:rPr>
        <w:t>Conservation Biology</w:t>
      </w:r>
      <w:r w:rsidRPr="00F651A0">
        <w:rPr>
          <w:rFonts w:cs="Times New Roman"/>
          <w:noProof/>
          <w:szCs w:val="24"/>
        </w:rPr>
        <w:t>, 34(4), pp. 925–933. doi: 10.1111/cobi.13464.</w:t>
      </w:r>
    </w:p>
    <w:p w14:paraId="371B068C"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Centola, D. (2018) </w:t>
      </w:r>
      <w:r w:rsidRPr="00F651A0">
        <w:rPr>
          <w:rFonts w:cs="Times New Roman"/>
          <w:i/>
          <w:iCs/>
          <w:noProof/>
          <w:szCs w:val="24"/>
        </w:rPr>
        <w:t>How behavior spreads: the science of complex contagions.</w:t>
      </w:r>
      <w:r w:rsidRPr="00F651A0">
        <w:rPr>
          <w:rFonts w:cs="Times New Roman"/>
          <w:noProof/>
          <w:szCs w:val="24"/>
        </w:rPr>
        <w:t xml:space="preserve"> Princeton University Press.</w:t>
      </w:r>
    </w:p>
    <w:p w14:paraId="22D6F9DC"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Farnworth, C. R. </w:t>
      </w:r>
      <w:r w:rsidRPr="00F651A0">
        <w:rPr>
          <w:rFonts w:cs="Times New Roman"/>
          <w:i/>
          <w:iCs/>
          <w:noProof/>
          <w:szCs w:val="24"/>
        </w:rPr>
        <w:t>et al.</w:t>
      </w:r>
      <w:r w:rsidRPr="00F651A0">
        <w:rPr>
          <w:rFonts w:cs="Times New Roman"/>
          <w:noProof/>
          <w:szCs w:val="24"/>
        </w:rPr>
        <w:t xml:space="preserve"> (2016) ‘Gender and conservation agriculture in East and Southern Africa: towards a research agenda’, </w:t>
      </w:r>
      <w:r w:rsidRPr="00F651A0">
        <w:rPr>
          <w:rFonts w:cs="Times New Roman"/>
          <w:i/>
          <w:iCs/>
          <w:noProof/>
          <w:szCs w:val="24"/>
        </w:rPr>
        <w:t>International Journal of Agricultural Sustainability</w:t>
      </w:r>
      <w:r w:rsidRPr="00F651A0">
        <w:rPr>
          <w:rFonts w:cs="Times New Roman"/>
          <w:noProof/>
          <w:szCs w:val="24"/>
        </w:rPr>
        <w:t>, 14(2), pp. 142–165. doi: 10.1080/14735903.2015.1065602.</w:t>
      </w:r>
    </w:p>
    <w:p w14:paraId="2C3C2DF6" w14:textId="77777777" w:rsidR="00F651A0" w:rsidRPr="00F651A0" w:rsidRDefault="00F651A0" w:rsidP="00F651A0">
      <w:pPr>
        <w:widowControl w:val="0"/>
        <w:autoSpaceDE w:val="0"/>
        <w:autoSpaceDN w:val="0"/>
        <w:adjustRightInd w:val="0"/>
        <w:rPr>
          <w:rFonts w:cs="Times New Roman"/>
          <w:noProof/>
          <w:szCs w:val="24"/>
        </w:rPr>
      </w:pPr>
      <w:r w:rsidRPr="002C6180">
        <w:rPr>
          <w:rFonts w:cs="Times New Roman"/>
          <w:noProof/>
          <w:szCs w:val="24"/>
          <w:lang w:val="fr-FR"/>
        </w:rPr>
        <w:t xml:space="preserve">Garnett, S. T. </w:t>
      </w:r>
      <w:r w:rsidRPr="002C6180">
        <w:rPr>
          <w:rFonts w:cs="Times New Roman"/>
          <w:i/>
          <w:iCs/>
          <w:noProof/>
          <w:szCs w:val="24"/>
          <w:lang w:val="fr-FR"/>
        </w:rPr>
        <w:t>et al.</w:t>
      </w:r>
      <w:r w:rsidRPr="002C6180">
        <w:rPr>
          <w:rFonts w:cs="Times New Roman"/>
          <w:noProof/>
          <w:szCs w:val="24"/>
          <w:lang w:val="fr-FR"/>
        </w:rPr>
        <w:t xml:space="preserve"> </w:t>
      </w:r>
      <w:r w:rsidRPr="00F651A0">
        <w:rPr>
          <w:rFonts w:cs="Times New Roman"/>
          <w:noProof/>
          <w:szCs w:val="24"/>
        </w:rPr>
        <w:t xml:space="preserve">(2009) ‘Transformative knowledge transfer through empowering and paying community researchers’, </w:t>
      </w:r>
      <w:r w:rsidRPr="00F651A0">
        <w:rPr>
          <w:rFonts w:cs="Times New Roman"/>
          <w:i/>
          <w:iCs/>
          <w:noProof/>
          <w:szCs w:val="24"/>
        </w:rPr>
        <w:t>Biotropica</w:t>
      </w:r>
      <w:r w:rsidRPr="00F651A0">
        <w:rPr>
          <w:rFonts w:cs="Times New Roman"/>
          <w:noProof/>
          <w:szCs w:val="24"/>
        </w:rPr>
        <w:t>, 41(5), pp. 571–577. doi: 10.1111/j.1744-7429.2009.00558.x.</w:t>
      </w:r>
    </w:p>
    <w:p w14:paraId="1BBC0352"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Genius, M. </w:t>
      </w:r>
      <w:r w:rsidRPr="00F651A0">
        <w:rPr>
          <w:rFonts w:cs="Times New Roman"/>
          <w:i/>
          <w:iCs/>
          <w:noProof/>
          <w:szCs w:val="24"/>
        </w:rPr>
        <w:t>et al.</w:t>
      </w:r>
      <w:r w:rsidRPr="00F651A0">
        <w:rPr>
          <w:rFonts w:cs="Times New Roman"/>
          <w:noProof/>
          <w:szCs w:val="24"/>
        </w:rPr>
        <w:t xml:space="preserve"> (2014) ‘Information transmission in irrigation technology adoption and diffusion: social learning, extension services, and spatial effects’, </w:t>
      </w:r>
      <w:r w:rsidRPr="00F651A0">
        <w:rPr>
          <w:rFonts w:cs="Times New Roman"/>
          <w:i/>
          <w:iCs/>
          <w:noProof/>
          <w:szCs w:val="24"/>
        </w:rPr>
        <w:t>American Journal of Agricultural Economics</w:t>
      </w:r>
      <w:r w:rsidRPr="00F651A0">
        <w:rPr>
          <w:rFonts w:cs="Times New Roman"/>
          <w:noProof/>
          <w:szCs w:val="24"/>
        </w:rPr>
        <w:t>, 96(1), pp. 328–344. doi: 10.1093/ajae/aat054.</w:t>
      </w:r>
    </w:p>
    <w:p w14:paraId="16D8292C" w14:textId="77777777" w:rsidR="00F651A0" w:rsidRPr="00F651A0" w:rsidRDefault="00F651A0" w:rsidP="00F651A0">
      <w:pPr>
        <w:widowControl w:val="0"/>
        <w:autoSpaceDE w:val="0"/>
        <w:autoSpaceDN w:val="0"/>
        <w:adjustRightInd w:val="0"/>
        <w:rPr>
          <w:rFonts w:cs="Times New Roman"/>
          <w:noProof/>
          <w:szCs w:val="24"/>
        </w:rPr>
      </w:pPr>
      <w:r w:rsidRPr="002C6180">
        <w:rPr>
          <w:rFonts w:cs="Times New Roman"/>
          <w:noProof/>
          <w:szCs w:val="24"/>
          <w:lang w:val="fr-FR"/>
        </w:rPr>
        <w:t xml:space="preserve">Groce, J. E. </w:t>
      </w:r>
      <w:r w:rsidRPr="002C6180">
        <w:rPr>
          <w:rFonts w:cs="Times New Roman"/>
          <w:i/>
          <w:iCs/>
          <w:noProof/>
          <w:szCs w:val="24"/>
          <w:lang w:val="fr-FR"/>
        </w:rPr>
        <w:t>et al.</w:t>
      </w:r>
      <w:r w:rsidRPr="002C6180">
        <w:rPr>
          <w:rFonts w:cs="Times New Roman"/>
          <w:noProof/>
          <w:szCs w:val="24"/>
          <w:lang w:val="fr-FR"/>
        </w:rPr>
        <w:t xml:space="preserve"> </w:t>
      </w:r>
      <w:r w:rsidRPr="00F651A0">
        <w:rPr>
          <w:rFonts w:cs="Times New Roman"/>
          <w:noProof/>
          <w:szCs w:val="24"/>
        </w:rPr>
        <w:t xml:space="preserve">(2018) ‘Using social-network research to improve outcomes in natural resource management’, </w:t>
      </w:r>
      <w:r w:rsidRPr="00F651A0">
        <w:rPr>
          <w:rFonts w:cs="Times New Roman"/>
          <w:i/>
          <w:iCs/>
          <w:noProof/>
          <w:szCs w:val="24"/>
        </w:rPr>
        <w:t>Conservation Biology</w:t>
      </w:r>
      <w:r w:rsidRPr="00F651A0">
        <w:rPr>
          <w:rFonts w:cs="Times New Roman"/>
          <w:noProof/>
          <w:szCs w:val="24"/>
        </w:rPr>
        <w:t>, 33(1), pp. 53–65. doi: 10.1111/cobi.13127.</w:t>
      </w:r>
    </w:p>
    <w:p w14:paraId="7DB0424A"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Hakkarainen, V., Daw, T. M. and Tengö, M. (2019) ‘On the other end of research: exploring community-level knowledge exchanges in small-scale fisheries in Zanzibar’, </w:t>
      </w:r>
      <w:r w:rsidRPr="00F651A0">
        <w:rPr>
          <w:rFonts w:cs="Times New Roman"/>
          <w:i/>
          <w:iCs/>
          <w:noProof/>
          <w:szCs w:val="24"/>
        </w:rPr>
        <w:t>Sustainability Science</w:t>
      </w:r>
      <w:r w:rsidRPr="00F651A0">
        <w:rPr>
          <w:rFonts w:cs="Times New Roman"/>
          <w:noProof/>
          <w:szCs w:val="24"/>
        </w:rPr>
        <w:t>, 15, pp. 281–295. doi: 10.1007/s11625-019-00750-4.</w:t>
      </w:r>
    </w:p>
    <w:p w14:paraId="6DEC11C2"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Hazenbosch, M. </w:t>
      </w:r>
      <w:r w:rsidRPr="00F651A0">
        <w:rPr>
          <w:rFonts w:cs="Times New Roman"/>
          <w:i/>
          <w:iCs/>
          <w:noProof/>
          <w:szCs w:val="24"/>
        </w:rPr>
        <w:t>et al.</w:t>
      </w:r>
      <w:r w:rsidRPr="00F651A0">
        <w:rPr>
          <w:rFonts w:cs="Times New Roman"/>
          <w:noProof/>
          <w:szCs w:val="24"/>
        </w:rPr>
        <w:t xml:space="preserve"> (2021) ‘Using locally available fertilisers to enhance the yields of swidden farmers in Papua New Guinea’, </w:t>
      </w:r>
      <w:r w:rsidRPr="00F651A0">
        <w:rPr>
          <w:rFonts w:cs="Times New Roman"/>
          <w:i/>
          <w:iCs/>
          <w:noProof/>
          <w:szCs w:val="24"/>
        </w:rPr>
        <w:t>Agricultural Systems</w:t>
      </w:r>
      <w:r w:rsidRPr="00F651A0">
        <w:rPr>
          <w:rFonts w:cs="Times New Roman"/>
          <w:noProof/>
          <w:szCs w:val="24"/>
        </w:rPr>
        <w:t>, 192. doi: 10.1016/j.agsy.2021.103089.</w:t>
      </w:r>
    </w:p>
    <w:p w14:paraId="14722981" w14:textId="77777777" w:rsidR="00F651A0" w:rsidRPr="00F651A0" w:rsidRDefault="00F651A0" w:rsidP="00F651A0">
      <w:pPr>
        <w:widowControl w:val="0"/>
        <w:autoSpaceDE w:val="0"/>
        <w:autoSpaceDN w:val="0"/>
        <w:adjustRightInd w:val="0"/>
        <w:rPr>
          <w:rFonts w:cs="Times New Roman"/>
          <w:noProof/>
          <w:szCs w:val="24"/>
        </w:rPr>
      </w:pPr>
      <w:r w:rsidRPr="002C6180">
        <w:rPr>
          <w:rFonts w:cs="Times New Roman"/>
          <w:noProof/>
          <w:szCs w:val="24"/>
          <w:lang w:val="fr-FR"/>
        </w:rPr>
        <w:t xml:space="preserve">Isaac, M. E. </w:t>
      </w:r>
      <w:r w:rsidRPr="002C6180">
        <w:rPr>
          <w:rFonts w:cs="Times New Roman"/>
          <w:i/>
          <w:iCs/>
          <w:noProof/>
          <w:szCs w:val="24"/>
          <w:lang w:val="fr-FR"/>
        </w:rPr>
        <w:t>et al.</w:t>
      </w:r>
      <w:r w:rsidRPr="002C6180">
        <w:rPr>
          <w:rFonts w:cs="Times New Roman"/>
          <w:noProof/>
          <w:szCs w:val="24"/>
          <w:lang w:val="fr-FR"/>
        </w:rPr>
        <w:t xml:space="preserve"> </w:t>
      </w:r>
      <w:r w:rsidRPr="00F651A0">
        <w:rPr>
          <w:rFonts w:cs="Times New Roman"/>
          <w:noProof/>
          <w:szCs w:val="24"/>
        </w:rPr>
        <w:t xml:space="preserve">(2021) ‘Farmer networks and agrobiodiversity interventions: The unintended outcomes of intended change’, </w:t>
      </w:r>
      <w:r w:rsidRPr="00F651A0">
        <w:rPr>
          <w:rFonts w:cs="Times New Roman"/>
          <w:i/>
          <w:iCs/>
          <w:noProof/>
          <w:szCs w:val="24"/>
        </w:rPr>
        <w:t>Ecology and Society</w:t>
      </w:r>
      <w:r w:rsidRPr="00F651A0">
        <w:rPr>
          <w:rFonts w:cs="Times New Roman"/>
          <w:noProof/>
          <w:szCs w:val="24"/>
        </w:rPr>
        <w:t>, 26(4). doi: 10.5751/ES-12734-260412.</w:t>
      </w:r>
    </w:p>
    <w:p w14:paraId="7AAEEE3C"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van Kerkhoff, L. E. and Lebel, L. (2015) ‘Coproductive capacities: rethinking science-governance relations in a diverse world’, </w:t>
      </w:r>
      <w:r w:rsidRPr="00F651A0">
        <w:rPr>
          <w:rFonts w:cs="Times New Roman"/>
          <w:i/>
          <w:iCs/>
          <w:noProof/>
          <w:szCs w:val="24"/>
        </w:rPr>
        <w:t>Ecology and Society</w:t>
      </w:r>
      <w:r w:rsidRPr="00F651A0">
        <w:rPr>
          <w:rFonts w:cs="Times New Roman"/>
          <w:noProof/>
          <w:szCs w:val="24"/>
        </w:rPr>
        <w:t>, 20(1), pp. 1–6. doi: 10.5751/ES-07188-200114.</w:t>
      </w:r>
    </w:p>
    <w:p w14:paraId="23F672BA" w14:textId="77777777" w:rsidR="00F651A0" w:rsidRPr="00F651A0" w:rsidRDefault="00F651A0" w:rsidP="00F651A0">
      <w:pPr>
        <w:widowControl w:val="0"/>
        <w:autoSpaceDE w:val="0"/>
        <w:autoSpaceDN w:val="0"/>
        <w:adjustRightInd w:val="0"/>
        <w:rPr>
          <w:rFonts w:cs="Times New Roman"/>
          <w:noProof/>
          <w:szCs w:val="24"/>
        </w:rPr>
      </w:pPr>
      <w:r w:rsidRPr="002C6180">
        <w:rPr>
          <w:rFonts w:cs="Times New Roman"/>
          <w:noProof/>
          <w:szCs w:val="24"/>
          <w:lang w:val="nl-NL"/>
        </w:rPr>
        <w:t xml:space="preserve">de Lange, E. </w:t>
      </w:r>
      <w:r w:rsidRPr="002C6180">
        <w:rPr>
          <w:rFonts w:cs="Times New Roman"/>
          <w:i/>
          <w:iCs/>
          <w:noProof/>
          <w:szCs w:val="24"/>
          <w:lang w:val="nl-NL"/>
        </w:rPr>
        <w:t>et al.</w:t>
      </w:r>
      <w:r w:rsidRPr="002C6180">
        <w:rPr>
          <w:rFonts w:cs="Times New Roman"/>
          <w:noProof/>
          <w:szCs w:val="24"/>
          <w:lang w:val="nl-NL"/>
        </w:rPr>
        <w:t xml:space="preserve"> </w:t>
      </w:r>
      <w:r w:rsidRPr="00F651A0">
        <w:rPr>
          <w:rFonts w:cs="Times New Roman"/>
          <w:noProof/>
          <w:szCs w:val="24"/>
        </w:rPr>
        <w:t xml:space="preserve">(no date) ‘Combining simulation and empirical data to explore the scope for social network interventions in conservation’, </w:t>
      </w:r>
      <w:r w:rsidRPr="00F651A0">
        <w:rPr>
          <w:rFonts w:cs="Times New Roman"/>
          <w:i/>
          <w:iCs/>
          <w:noProof/>
          <w:szCs w:val="24"/>
        </w:rPr>
        <w:t>Biological Conservation</w:t>
      </w:r>
      <w:r w:rsidRPr="00F651A0">
        <w:rPr>
          <w:rFonts w:cs="Times New Roman"/>
          <w:noProof/>
          <w:szCs w:val="24"/>
        </w:rPr>
        <w:t>.</w:t>
      </w:r>
    </w:p>
    <w:p w14:paraId="409C1805"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de Lange, E., Milner-Gulland, E. J. and Keane, A. (2019) ‘Improving environmental interventions by understanding information flows’, </w:t>
      </w:r>
      <w:r w:rsidRPr="00F651A0">
        <w:rPr>
          <w:rFonts w:cs="Times New Roman"/>
          <w:i/>
          <w:iCs/>
          <w:noProof/>
          <w:szCs w:val="24"/>
        </w:rPr>
        <w:t>Trends in Ecology and Evolution</w:t>
      </w:r>
      <w:r w:rsidRPr="00F651A0">
        <w:rPr>
          <w:rFonts w:cs="Times New Roman"/>
          <w:noProof/>
          <w:szCs w:val="24"/>
        </w:rPr>
        <w:t>, 34(11), pp. 1034–1047. doi: 10.1016/j.tree.2019.06.007.</w:t>
      </w:r>
    </w:p>
    <w:p w14:paraId="3F525879"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Matous, P. and Todo, Y. (2015) ‘Exploring dynamic mechanisms of learning networks for resource conservation’, </w:t>
      </w:r>
      <w:r w:rsidRPr="00F651A0">
        <w:rPr>
          <w:rFonts w:cs="Times New Roman"/>
          <w:i/>
          <w:iCs/>
          <w:noProof/>
          <w:szCs w:val="24"/>
        </w:rPr>
        <w:t>Ecology and Society</w:t>
      </w:r>
      <w:r w:rsidRPr="00F651A0">
        <w:rPr>
          <w:rFonts w:cs="Times New Roman"/>
          <w:noProof/>
          <w:szCs w:val="24"/>
        </w:rPr>
        <w:t>, 20(2). doi: 10.5751/ES-07602-200236.</w:t>
      </w:r>
    </w:p>
    <w:p w14:paraId="5DC2D96D" w14:textId="78ADF470" w:rsidR="002D604A" w:rsidRPr="002D604A" w:rsidRDefault="002D604A" w:rsidP="00F651A0">
      <w:pPr>
        <w:widowControl w:val="0"/>
        <w:autoSpaceDE w:val="0"/>
        <w:autoSpaceDN w:val="0"/>
        <w:adjustRightInd w:val="0"/>
        <w:rPr>
          <w:rFonts w:cs="Times New Roman"/>
          <w:noProof/>
          <w:szCs w:val="24"/>
        </w:rPr>
      </w:pPr>
      <w:r w:rsidRPr="00F651A0">
        <w:rPr>
          <w:rFonts w:cs="Times New Roman"/>
          <w:noProof/>
          <w:szCs w:val="24"/>
        </w:rPr>
        <w:lastRenderedPageBreak/>
        <w:t>Matous, P., Todo, Y. and Mojo, D. (2013</w:t>
      </w:r>
      <w:r w:rsidR="006A461E">
        <w:rPr>
          <w:rFonts w:cs="Times New Roman"/>
          <w:noProof/>
          <w:szCs w:val="24"/>
        </w:rPr>
        <w:t>a</w:t>
      </w:r>
      <w:r w:rsidRPr="00F651A0">
        <w:rPr>
          <w:rFonts w:cs="Times New Roman"/>
          <w:noProof/>
          <w:szCs w:val="24"/>
        </w:rPr>
        <w:t>)</w:t>
      </w:r>
      <w:r>
        <w:rPr>
          <w:rFonts w:cs="Times New Roman"/>
          <w:noProof/>
          <w:szCs w:val="24"/>
        </w:rPr>
        <w:t xml:space="preserve"> 'Roles of extension and ethno-religious networks in acceptance of resource-conserving agriculture among Ethiopian farmers', </w:t>
      </w:r>
      <w:r>
        <w:rPr>
          <w:rFonts w:cs="Times New Roman"/>
          <w:i/>
          <w:iCs/>
          <w:noProof/>
          <w:szCs w:val="24"/>
        </w:rPr>
        <w:t xml:space="preserve">International Journal of Agricultural Sustainability, </w:t>
      </w:r>
      <w:r>
        <w:rPr>
          <w:rFonts w:cs="Times New Roman"/>
          <w:noProof/>
          <w:szCs w:val="24"/>
        </w:rPr>
        <w:t xml:space="preserve">11(4), pp. 301-316. doi: </w:t>
      </w:r>
      <w:r w:rsidRPr="002D604A">
        <w:rPr>
          <w:rFonts w:cs="Times New Roman"/>
          <w:noProof/>
          <w:szCs w:val="24"/>
        </w:rPr>
        <w:t>10.1080/14735903.2012.751701</w:t>
      </w:r>
    </w:p>
    <w:p w14:paraId="5518FFEF" w14:textId="215ECF8B"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Matous, P., Todo, Y. and Mojo, D. (2013</w:t>
      </w:r>
      <w:r w:rsidR="006A461E">
        <w:rPr>
          <w:rFonts w:cs="Times New Roman"/>
          <w:noProof/>
          <w:szCs w:val="24"/>
        </w:rPr>
        <w:t>b</w:t>
      </w:r>
      <w:r w:rsidRPr="00F651A0">
        <w:rPr>
          <w:rFonts w:cs="Times New Roman"/>
          <w:noProof/>
          <w:szCs w:val="24"/>
        </w:rPr>
        <w:t xml:space="preserve">) ‘Boots are made for walking: interactions across physical and social space in infrastructure-poor regions’, </w:t>
      </w:r>
      <w:r w:rsidRPr="00F651A0">
        <w:rPr>
          <w:rFonts w:cs="Times New Roman"/>
          <w:i/>
          <w:iCs/>
          <w:noProof/>
          <w:szCs w:val="24"/>
        </w:rPr>
        <w:t>Journal of Transport Geography</w:t>
      </w:r>
      <w:r w:rsidRPr="00F651A0">
        <w:rPr>
          <w:rFonts w:cs="Times New Roman"/>
          <w:noProof/>
          <w:szCs w:val="24"/>
        </w:rPr>
        <w:t>, 31, pp. 226–235. doi: 10.1016/j.jtrangeo.2013.04.001.</w:t>
      </w:r>
    </w:p>
    <w:p w14:paraId="3B1F55D5"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Matous, P. and Wang, P. (2019) ‘External exposure, boundary-spanning, and opinion leadership in remote communities: a network experiment’, </w:t>
      </w:r>
      <w:r w:rsidRPr="00F651A0">
        <w:rPr>
          <w:rFonts w:cs="Times New Roman"/>
          <w:i/>
          <w:iCs/>
          <w:noProof/>
          <w:szCs w:val="24"/>
        </w:rPr>
        <w:t>Social Networks</w:t>
      </w:r>
      <w:r w:rsidRPr="00F651A0">
        <w:rPr>
          <w:rFonts w:cs="Times New Roman"/>
          <w:noProof/>
          <w:szCs w:val="24"/>
        </w:rPr>
        <w:t>, 56, pp. 10–22. doi: 10.1016/j.socnet.2018.08.002.</w:t>
      </w:r>
    </w:p>
    <w:p w14:paraId="3C2C9655"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Pamphilon, B. and Mikhailovich, K. (2017) ‘Bringing together learning from two worlds: lessons from a gender-inclusive community education approach with smallholder farmers in Papua New Guinea’, </w:t>
      </w:r>
      <w:r w:rsidRPr="00F651A0">
        <w:rPr>
          <w:rFonts w:cs="Times New Roman"/>
          <w:i/>
          <w:iCs/>
          <w:noProof/>
          <w:szCs w:val="24"/>
        </w:rPr>
        <w:t>Australian Journal of Adult Learning</w:t>
      </w:r>
      <w:r w:rsidRPr="00F651A0">
        <w:rPr>
          <w:rFonts w:cs="Times New Roman"/>
          <w:noProof/>
          <w:szCs w:val="24"/>
        </w:rPr>
        <w:t>, 57(2), pp. 172–196.</w:t>
      </w:r>
    </w:p>
    <w:p w14:paraId="15901F70"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Piñeiro, V. </w:t>
      </w:r>
      <w:r w:rsidRPr="00F651A0">
        <w:rPr>
          <w:rFonts w:cs="Times New Roman"/>
          <w:i/>
          <w:iCs/>
          <w:noProof/>
          <w:szCs w:val="24"/>
        </w:rPr>
        <w:t>et al.</w:t>
      </w:r>
      <w:r w:rsidRPr="00F651A0">
        <w:rPr>
          <w:rFonts w:cs="Times New Roman"/>
          <w:noProof/>
          <w:szCs w:val="24"/>
        </w:rPr>
        <w:t xml:space="preserve"> (2020) ‘A scoping review on incentives for adoption of sustainable agricultural practices and their outcomes’, </w:t>
      </w:r>
      <w:r w:rsidRPr="00F651A0">
        <w:rPr>
          <w:rFonts w:cs="Times New Roman"/>
          <w:i/>
          <w:iCs/>
          <w:noProof/>
          <w:szCs w:val="24"/>
        </w:rPr>
        <w:t>Nature Sustainability</w:t>
      </w:r>
      <w:r w:rsidRPr="00F651A0">
        <w:rPr>
          <w:rFonts w:cs="Times New Roman"/>
          <w:noProof/>
          <w:szCs w:val="24"/>
        </w:rPr>
        <w:t>, 3(10), pp. 809–820. doi: 10.1038/s41893-020-00617-y.</w:t>
      </w:r>
    </w:p>
    <w:p w14:paraId="5512B605"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R Core Team (2020) ‘R: a language and environment for statistical computing.’ Vienna, Austria: R Foundation for Statistical Computing. Available at: http://www.r-project.org/.</w:t>
      </w:r>
    </w:p>
    <w:p w14:paraId="49DDCFB5" w14:textId="77777777" w:rsidR="00F651A0" w:rsidRPr="00F651A0" w:rsidRDefault="00F651A0" w:rsidP="00F651A0">
      <w:pPr>
        <w:widowControl w:val="0"/>
        <w:autoSpaceDE w:val="0"/>
        <w:autoSpaceDN w:val="0"/>
        <w:adjustRightInd w:val="0"/>
        <w:rPr>
          <w:rFonts w:cs="Times New Roman"/>
          <w:noProof/>
          <w:szCs w:val="24"/>
        </w:rPr>
      </w:pPr>
      <w:r w:rsidRPr="002C6180">
        <w:rPr>
          <w:rFonts w:cs="Times New Roman"/>
          <w:noProof/>
          <w:szCs w:val="24"/>
          <w:lang w:val="fr-FR"/>
        </w:rPr>
        <w:t xml:space="preserve">Ripley, R. M. </w:t>
      </w:r>
      <w:r w:rsidRPr="002C6180">
        <w:rPr>
          <w:rFonts w:cs="Times New Roman"/>
          <w:i/>
          <w:iCs/>
          <w:noProof/>
          <w:szCs w:val="24"/>
          <w:lang w:val="fr-FR"/>
        </w:rPr>
        <w:t>et al.</w:t>
      </w:r>
      <w:r w:rsidRPr="002C6180">
        <w:rPr>
          <w:rFonts w:cs="Times New Roman"/>
          <w:noProof/>
          <w:szCs w:val="24"/>
          <w:lang w:val="fr-FR"/>
        </w:rPr>
        <w:t xml:space="preserve"> </w:t>
      </w:r>
      <w:r w:rsidRPr="00F651A0">
        <w:rPr>
          <w:rFonts w:cs="Times New Roman"/>
          <w:noProof/>
          <w:szCs w:val="24"/>
        </w:rPr>
        <w:t xml:space="preserve">(2019) </w:t>
      </w:r>
      <w:r w:rsidRPr="00F651A0">
        <w:rPr>
          <w:rFonts w:cs="Times New Roman"/>
          <w:i/>
          <w:iCs/>
          <w:noProof/>
          <w:szCs w:val="24"/>
        </w:rPr>
        <w:t>Manual for RSIENA version 4.0</w:t>
      </w:r>
      <w:r w:rsidRPr="00F651A0">
        <w:rPr>
          <w:rFonts w:cs="Times New Roman"/>
          <w:noProof/>
          <w:szCs w:val="24"/>
        </w:rPr>
        <w:t xml:space="preserve">, </w:t>
      </w:r>
      <w:r w:rsidRPr="00F651A0">
        <w:rPr>
          <w:rFonts w:cs="Times New Roman"/>
          <w:i/>
          <w:iCs/>
          <w:noProof/>
          <w:szCs w:val="24"/>
        </w:rPr>
        <w:t>University of Oxford, Department of Statistics, Nuffield College</w:t>
      </w:r>
      <w:r w:rsidRPr="00F651A0">
        <w:rPr>
          <w:rFonts w:cs="Times New Roman"/>
          <w:noProof/>
          <w:szCs w:val="24"/>
        </w:rPr>
        <w:t>.</w:t>
      </w:r>
    </w:p>
    <w:p w14:paraId="5D763030"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Risimeri, J. B., Gendua, P. A. and Maima, J. B. (2001) ‘The status of the introduced white yam in Papua New Guinea’, in Bourke, R. M., Allen, M. G., and Salisbury, J. G. (eds) </w:t>
      </w:r>
      <w:r w:rsidRPr="00F651A0">
        <w:rPr>
          <w:rFonts w:cs="Times New Roman"/>
          <w:i/>
          <w:iCs/>
          <w:noProof/>
          <w:szCs w:val="24"/>
        </w:rPr>
        <w:t>Food security in Papua New Guinea</w:t>
      </w:r>
      <w:r w:rsidRPr="00F651A0">
        <w:rPr>
          <w:rFonts w:cs="Times New Roman"/>
          <w:noProof/>
          <w:szCs w:val="24"/>
        </w:rPr>
        <w:t>. Canberra: Australian Centre for International Agricultural Research.</w:t>
      </w:r>
    </w:p>
    <w:p w14:paraId="1A238EB0"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Rogers, E. M. (2003) </w:t>
      </w:r>
      <w:r w:rsidRPr="00F651A0">
        <w:rPr>
          <w:rFonts w:cs="Times New Roman"/>
          <w:i/>
          <w:iCs/>
          <w:noProof/>
          <w:szCs w:val="24"/>
        </w:rPr>
        <w:t>Diffusion of innovations</w:t>
      </w:r>
      <w:r w:rsidRPr="00F651A0">
        <w:rPr>
          <w:rFonts w:cs="Times New Roman"/>
          <w:noProof/>
          <w:szCs w:val="24"/>
        </w:rPr>
        <w:t>. 5th edn. New York: Free Press.</w:t>
      </w:r>
    </w:p>
    <w:p w14:paraId="6125A2F8"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Shackleton, C. M., Cundill, G. and Knight, A. T. (2009) ‘Beyond just research: experiences from Southern Africa in developing social learning partnerships for resource conservation initiatives’, </w:t>
      </w:r>
      <w:r w:rsidRPr="00F651A0">
        <w:rPr>
          <w:rFonts w:cs="Times New Roman"/>
          <w:i/>
          <w:iCs/>
          <w:noProof/>
          <w:szCs w:val="24"/>
        </w:rPr>
        <w:t>Biotropica</w:t>
      </w:r>
      <w:r w:rsidRPr="00F651A0">
        <w:rPr>
          <w:rFonts w:cs="Times New Roman"/>
          <w:noProof/>
          <w:szCs w:val="24"/>
        </w:rPr>
        <w:t>, 41(5), pp. 563–570. doi: 10.1111/j.1744-7429.2009.00559.x.</w:t>
      </w:r>
    </w:p>
    <w:p w14:paraId="7BE9E44C"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Simpson, C. R. (2020) ‘Farm size shapes friend choice amongst rice producers in China: some evidence for the theory of network ecology’, </w:t>
      </w:r>
      <w:r w:rsidRPr="00F651A0">
        <w:rPr>
          <w:rFonts w:cs="Times New Roman"/>
          <w:i/>
          <w:iCs/>
          <w:noProof/>
          <w:szCs w:val="24"/>
        </w:rPr>
        <w:t>Social Networks</w:t>
      </w:r>
      <w:r w:rsidRPr="00F651A0">
        <w:rPr>
          <w:rFonts w:cs="Times New Roman"/>
          <w:noProof/>
          <w:szCs w:val="24"/>
        </w:rPr>
        <w:t>, 61, pp. 107–127. doi: 10.1016/j.socnet.2019.10.001.</w:t>
      </w:r>
    </w:p>
    <w:p w14:paraId="56E84081"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Snijders, T. A. B., van de Bunt, G. G. and Steglich, C. E. G. (2010) ‘Introduction to stochastic actor-based models for network dynamics’, </w:t>
      </w:r>
      <w:r w:rsidRPr="00F651A0">
        <w:rPr>
          <w:rFonts w:cs="Times New Roman"/>
          <w:i/>
          <w:iCs/>
          <w:noProof/>
          <w:szCs w:val="24"/>
        </w:rPr>
        <w:t>Social Networks</w:t>
      </w:r>
      <w:r w:rsidRPr="00F651A0">
        <w:rPr>
          <w:rFonts w:cs="Times New Roman"/>
          <w:noProof/>
          <w:szCs w:val="24"/>
        </w:rPr>
        <w:t>, 32(1), pp. 44–60. doi: 10.1016/j.socnet.2009.02.004.</w:t>
      </w:r>
    </w:p>
    <w:p w14:paraId="26FF694F"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Toomey, A. H. (2016) ‘What happens at the gap between knowledge and practice? Spaces of encounter and misencounter between environmental scientists and local people’, </w:t>
      </w:r>
      <w:r w:rsidRPr="00F651A0">
        <w:rPr>
          <w:rFonts w:cs="Times New Roman"/>
          <w:i/>
          <w:iCs/>
          <w:noProof/>
          <w:szCs w:val="24"/>
        </w:rPr>
        <w:t>Ecology and Society</w:t>
      </w:r>
      <w:r w:rsidRPr="00F651A0">
        <w:rPr>
          <w:rFonts w:cs="Times New Roman"/>
          <w:noProof/>
          <w:szCs w:val="24"/>
        </w:rPr>
        <w:t>, 21(2), pp. 1–19. doi: 10.5751/ES-08409-210228.</w:t>
      </w:r>
    </w:p>
    <w:p w14:paraId="2F77CA60" w14:textId="3743FBF0" w:rsid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Toomey, A. H., Knight, A. T. and Barlow, J. (2017) ‘Navigating the space between research and implementation in conservation’, </w:t>
      </w:r>
      <w:r w:rsidRPr="00F651A0">
        <w:rPr>
          <w:rFonts w:cs="Times New Roman"/>
          <w:i/>
          <w:iCs/>
          <w:noProof/>
          <w:szCs w:val="24"/>
        </w:rPr>
        <w:t>Conservation Letters</w:t>
      </w:r>
      <w:r w:rsidRPr="00F651A0">
        <w:rPr>
          <w:rFonts w:cs="Times New Roman"/>
          <w:noProof/>
          <w:szCs w:val="24"/>
        </w:rPr>
        <w:t>, 10(5), pp. 619–625. doi: 10.1111/conl.12315.</w:t>
      </w:r>
    </w:p>
    <w:p w14:paraId="4624EA72" w14:textId="64BD3458" w:rsidR="00312512" w:rsidRDefault="00312512" w:rsidP="00F651A0">
      <w:pPr>
        <w:widowControl w:val="0"/>
        <w:autoSpaceDE w:val="0"/>
        <w:autoSpaceDN w:val="0"/>
        <w:adjustRightInd w:val="0"/>
        <w:rPr>
          <w:rFonts w:cs="Times New Roman"/>
          <w:noProof/>
          <w:szCs w:val="24"/>
        </w:rPr>
      </w:pPr>
      <w:r w:rsidRPr="00312512">
        <w:rPr>
          <w:rFonts w:cs="Times New Roman"/>
          <w:noProof/>
          <w:szCs w:val="24"/>
        </w:rPr>
        <w:t xml:space="preserve">Usmani, F., Jeuland, M. and Pattanayak, S. K. (2018). ‘NGOs and the effectiveness of interventions’, </w:t>
      </w:r>
      <w:r w:rsidRPr="00A150EF">
        <w:rPr>
          <w:rFonts w:cs="Times New Roman"/>
          <w:i/>
          <w:iCs/>
          <w:noProof/>
          <w:szCs w:val="24"/>
        </w:rPr>
        <w:t>Ruhr Economic Papers</w:t>
      </w:r>
      <w:r w:rsidRPr="00312512">
        <w:rPr>
          <w:rFonts w:cs="Times New Roman"/>
          <w:noProof/>
          <w:szCs w:val="24"/>
        </w:rPr>
        <w:t>, 902, doi: 10419/233068</w:t>
      </w:r>
    </w:p>
    <w:p w14:paraId="0F1C6D4B" w14:textId="6C0FB492" w:rsidR="005F0FDF" w:rsidRPr="00F651A0" w:rsidRDefault="005F0FDF" w:rsidP="00F651A0">
      <w:pPr>
        <w:widowControl w:val="0"/>
        <w:autoSpaceDE w:val="0"/>
        <w:autoSpaceDN w:val="0"/>
        <w:adjustRightInd w:val="0"/>
        <w:rPr>
          <w:rFonts w:cs="Times New Roman"/>
          <w:noProof/>
          <w:szCs w:val="24"/>
        </w:rPr>
      </w:pPr>
      <w:r>
        <w:t>Weiblen, G. D. and Moe, A. (2016) WIAD Conservation - A handbook of traditional knowledge and biodiversity. Minneapolis: University of Minnesota Printing Services.</w:t>
      </w:r>
    </w:p>
    <w:p w14:paraId="219B9414" w14:textId="77777777" w:rsidR="00F651A0" w:rsidRPr="00F651A0" w:rsidRDefault="00F651A0" w:rsidP="00F651A0">
      <w:pPr>
        <w:widowControl w:val="0"/>
        <w:autoSpaceDE w:val="0"/>
        <w:autoSpaceDN w:val="0"/>
        <w:adjustRightInd w:val="0"/>
        <w:rPr>
          <w:rFonts w:cs="Times New Roman"/>
          <w:noProof/>
          <w:szCs w:val="24"/>
        </w:rPr>
      </w:pPr>
      <w:r w:rsidRPr="00F651A0">
        <w:rPr>
          <w:rFonts w:cs="Times New Roman"/>
          <w:noProof/>
          <w:szCs w:val="24"/>
        </w:rPr>
        <w:t xml:space="preserve">West, P. (2006) </w:t>
      </w:r>
      <w:r w:rsidRPr="00F651A0">
        <w:rPr>
          <w:rFonts w:cs="Times New Roman"/>
          <w:i/>
          <w:iCs/>
          <w:noProof/>
          <w:szCs w:val="24"/>
        </w:rPr>
        <w:t>Conservation is our government now: the politics of ecology in Papua New Guinea.</w:t>
      </w:r>
      <w:r w:rsidRPr="00F651A0">
        <w:rPr>
          <w:rFonts w:cs="Times New Roman"/>
          <w:noProof/>
          <w:szCs w:val="24"/>
        </w:rPr>
        <w:t xml:space="preserve"> Durham and London: Duke University Press.</w:t>
      </w:r>
    </w:p>
    <w:p w14:paraId="688C7684" w14:textId="77777777" w:rsidR="00F651A0" w:rsidRPr="00F651A0" w:rsidRDefault="00F651A0" w:rsidP="00F651A0">
      <w:pPr>
        <w:widowControl w:val="0"/>
        <w:autoSpaceDE w:val="0"/>
        <w:autoSpaceDN w:val="0"/>
        <w:adjustRightInd w:val="0"/>
        <w:rPr>
          <w:noProof/>
        </w:rPr>
      </w:pPr>
      <w:r w:rsidRPr="00F651A0">
        <w:rPr>
          <w:rFonts w:cs="Times New Roman"/>
          <w:noProof/>
          <w:szCs w:val="24"/>
        </w:rPr>
        <w:lastRenderedPageBreak/>
        <w:t xml:space="preserve">Wezel, A. </w:t>
      </w:r>
      <w:r w:rsidRPr="00F651A0">
        <w:rPr>
          <w:rFonts w:cs="Times New Roman"/>
          <w:i/>
          <w:iCs/>
          <w:noProof/>
          <w:szCs w:val="24"/>
        </w:rPr>
        <w:t>et al.</w:t>
      </w:r>
      <w:r w:rsidRPr="00F651A0">
        <w:rPr>
          <w:rFonts w:cs="Times New Roman"/>
          <w:noProof/>
          <w:szCs w:val="24"/>
        </w:rPr>
        <w:t xml:space="preserve"> (2009) ‘Agroecology as a science, a movement and a practice’, </w:t>
      </w:r>
      <w:r w:rsidRPr="00F651A0">
        <w:rPr>
          <w:rFonts w:cs="Times New Roman"/>
          <w:i/>
          <w:iCs/>
          <w:noProof/>
          <w:szCs w:val="24"/>
        </w:rPr>
        <w:t>Sustainable Agriculture</w:t>
      </w:r>
      <w:r w:rsidRPr="00F651A0">
        <w:rPr>
          <w:rFonts w:cs="Times New Roman"/>
          <w:noProof/>
          <w:szCs w:val="24"/>
        </w:rPr>
        <w:t>, 2, pp. 27–43. doi: 10.1007/978-94-007-0394-0_3.</w:t>
      </w:r>
    </w:p>
    <w:p w14:paraId="4D37BC97" w14:textId="377495F2" w:rsidR="00827560" w:rsidRPr="00827560" w:rsidRDefault="00636F5B" w:rsidP="00827560">
      <w:r>
        <w:fldChar w:fldCharType="end"/>
      </w:r>
    </w:p>
    <w:sectPr w:rsidR="00827560" w:rsidRPr="00827560" w:rsidSect="0015728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9660" w14:textId="77777777" w:rsidR="002A63FD" w:rsidRDefault="002A63FD">
      <w:pPr>
        <w:spacing w:after="0"/>
      </w:pPr>
      <w:r>
        <w:separator/>
      </w:r>
    </w:p>
  </w:endnote>
  <w:endnote w:type="continuationSeparator" w:id="0">
    <w:p w14:paraId="3156F48D" w14:textId="77777777" w:rsidR="002A63FD" w:rsidRDefault="002A6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SIL">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341429"/>
      <w:docPartObj>
        <w:docPartGallery w:val="Page Numbers (Bottom of Page)"/>
        <w:docPartUnique/>
      </w:docPartObj>
    </w:sdtPr>
    <w:sdtEndPr>
      <w:rPr>
        <w:noProof/>
      </w:rPr>
    </w:sdtEndPr>
    <w:sdtContent>
      <w:p w14:paraId="6CF4543B" w14:textId="75DFFF45" w:rsidR="006A381B" w:rsidRPr="00095924" w:rsidRDefault="006A381B">
        <w:pPr>
          <w:pStyle w:val="Footer"/>
          <w:jc w:val="right"/>
        </w:pPr>
        <w:r w:rsidRPr="00095924">
          <w:fldChar w:fldCharType="begin"/>
        </w:r>
        <w:r w:rsidRPr="00095924">
          <w:instrText xml:space="preserve"> PAGE   \* MERGEFORMAT </w:instrText>
        </w:r>
        <w:r w:rsidRPr="00095924">
          <w:fldChar w:fldCharType="separate"/>
        </w:r>
        <w:r w:rsidR="001376BE">
          <w:rPr>
            <w:noProof/>
          </w:rPr>
          <w:t>15</w:t>
        </w:r>
        <w:r w:rsidRPr="00095924">
          <w:rPr>
            <w:noProof/>
          </w:rPr>
          <w:fldChar w:fldCharType="end"/>
        </w:r>
      </w:p>
    </w:sdtContent>
  </w:sdt>
  <w:p w14:paraId="74505A22" w14:textId="77777777" w:rsidR="006A381B" w:rsidRDefault="006A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8AE3" w14:textId="77777777" w:rsidR="002A63FD" w:rsidRDefault="002A63FD">
      <w:pPr>
        <w:spacing w:after="0"/>
      </w:pPr>
      <w:r>
        <w:separator/>
      </w:r>
    </w:p>
  </w:footnote>
  <w:footnote w:type="continuationSeparator" w:id="0">
    <w:p w14:paraId="392864ED" w14:textId="77777777" w:rsidR="002A63FD" w:rsidRDefault="002A63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AB"/>
    <w:multiLevelType w:val="multilevel"/>
    <w:tmpl w:val="E9224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C094A"/>
    <w:multiLevelType w:val="hybridMultilevel"/>
    <w:tmpl w:val="F3C20BEA"/>
    <w:lvl w:ilvl="0" w:tplc="5DD4F0C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264BC"/>
    <w:multiLevelType w:val="multilevel"/>
    <w:tmpl w:val="14F6A9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741BC7"/>
    <w:multiLevelType w:val="hybridMultilevel"/>
    <w:tmpl w:val="D7FA3CF6"/>
    <w:lvl w:ilvl="0" w:tplc="FA4CBB30">
      <w:numFmt w:val="decimalZero"/>
      <w:lvlText w:val="%1&gt;"/>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0C7FCD"/>
    <w:multiLevelType w:val="hybridMultilevel"/>
    <w:tmpl w:val="2244FBD2"/>
    <w:lvl w:ilvl="0" w:tplc="DDBE80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1173"/>
    <w:multiLevelType w:val="hybridMultilevel"/>
    <w:tmpl w:val="565683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AA4AA9"/>
    <w:multiLevelType w:val="multilevel"/>
    <w:tmpl w:val="096CB55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B5CC0"/>
    <w:multiLevelType w:val="hybridMultilevel"/>
    <w:tmpl w:val="177C48C0"/>
    <w:lvl w:ilvl="0" w:tplc="6AB62E5E">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FC6A30"/>
    <w:multiLevelType w:val="hybridMultilevel"/>
    <w:tmpl w:val="CC649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D1F13"/>
    <w:multiLevelType w:val="hybridMultilevel"/>
    <w:tmpl w:val="85CE9472"/>
    <w:lvl w:ilvl="0" w:tplc="BDF2A33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55E03"/>
    <w:multiLevelType w:val="hybridMultilevel"/>
    <w:tmpl w:val="5C44F2EA"/>
    <w:lvl w:ilvl="0" w:tplc="ACA0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15789"/>
    <w:multiLevelType w:val="hybridMultilevel"/>
    <w:tmpl w:val="9EC0C852"/>
    <w:lvl w:ilvl="0" w:tplc="40FED29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431CF"/>
    <w:multiLevelType w:val="hybridMultilevel"/>
    <w:tmpl w:val="C7164CDE"/>
    <w:lvl w:ilvl="0" w:tplc="FAD43BE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E93137"/>
    <w:multiLevelType w:val="hybridMultilevel"/>
    <w:tmpl w:val="3112C9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23DDF"/>
    <w:multiLevelType w:val="hybridMultilevel"/>
    <w:tmpl w:val="07A4801E"/>
    <w:lvl w:ilvl="0" w:tplc="26C840C4">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9391A"/>
    <w:multiLevelType w:val="hybridMultilevel"/>
    <w:tmpl w:val="2D94E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E03773"/>
    <w:multiLevelType w:val="multilevel"/>
    <w:tmpl w:val="521ECA26"/>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743A70"/>
    <w:multiLevelType w:val="multilevel"/>
    <w:tmpl w:val="3B9C1BEA"/>
    <w:lvl w:ilvl="0">
      <w:start w:val="1"/>
      <w:numFmt w:val="decimal"/>
      <w:lvlText w:val="%1."/>
      <w:lvlJc w:val="left"/>
      <w:pPr>
        <w:ind w:left="720" w:hanging="360"/>
      </w:pPr>
      <w:rPr>
        <w:rFonts w:hint="default"/>
      </w:rPr>
    </w:lvl>
    <w:lvl w:ilv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7E502C0"/>
    <w:multiLevelType w:val="hybridMultilevel"/>
    <w:tmpl w:val="C1ECFB02"/>
    <w:lvl w:ilvl="0" w:tplc="744293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94590"/>
    <w:multiLevelType w:val="hybridMultilevel"/>
    <w:tmpl w:val="1B7499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39446A"/>
    <w:multiLevelType w:val="hybridMultilevel"/>
    <w:tmpl w:val="3E9AE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56816"/>
    <w:multiLevelType w:val="hybridMultilevel"/>
    <w:tmpl w:val="A0E88F04"/>
    <w:lvl w:ilvl="0" w:tplc="E4648FD0">
      <w:start w:val="6"/>
      <w:numFmt w:val="bullet"/>
      <w:lvlText w:val=""/>
      <w:lvlJc w:val="left"/>
      <w:pPr>
        <w:ind w:left="720" w:hanging="360"/>
      </w:pPr>
      <w:rPr>
        <w:rFonts w:ascii="Symbol" w:eastAsiaTheme="minorHAnsi"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26082"/>
    <w:multiLevelType w:val="hybridMultilevel"/>
    <w:tmpl w:val="BE928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410772">
    <w:abstractNumId w:val="13"/>
  </w:num>
  <w:num w:numId="2" w16cid:durableId="2063403402">
    <w:abstractNumId w:val="2"/>
  </w:num>
  <w:num w:numId="3" w16cid:durableId="1890844828">
    <w:abstractNumId w:val="20"/>
  </w:num>
  <w:num w:numId="4" w16cid:durableId="847450251">
    <w:abstractNumId w:val="4"/>
  </w:num>
  <w:num w:numId="5" w16cid:durableId="998843513">
    <w:abstractNumId w:val="18"/>
  </w:num>
  <w:num w:numId="6" w16cid:durableId="1494449449">
    <w:abstractNumId w:val="8"/>
  </w:num>
  <w:num w:numId="7" w16cid:durableId="719015585">
    <w:abstractNumId w:val="1"/>
  </w:num>
  <w:num w:numId="8" w16cid:durableId="2105178928">
    <w:abstractNumId w:val="15"/>
  </w:num>
  <w:num w:numId="9" w16cid:durableId="1057777787">
    <w:abstractNumId w:val="11"/>
  </w:num>
  <w:num w:numId="10" w16cid:durableId="311258338">
    <w:abstractNumId w:val="22"/>
  </w:num>
  <w:num w:numId="11" w16cid:durableId="1713116245">
    <w:abstractNumId w:val="14"/>
  </w:num>
  <w:num w:numId="12" w16cid:durableId="604655719">
    <w:abstractNumId w:val="3"/>
  </w:num>
  <w:num w:numId="13" w16cid:durableId="84153386">
    <w:abstractNumId w:val="7"/>
  </w:num>
  <w:num w:numId="14" w16cid:durableId="1844781973">
    <w:abstractNumId w:val="10"/>
  </w:num>
  <w:num w:numId="15" w16cid:durableId="1068529937">
    <w:abstractNumId w:val="12"/>
  </w:num>
  <w:num w:numId="16" w16cid:durableId="1009912000">
    <w:abstractNumId w:val="17"/>
  </w:num>
  <w:num w:numId="17" w16cid:durableId="895356441">
    <w:abstractNumId w:val="6"/>
  </w:num>
  <w:num w:numId="18" w16cid:durableId="937445821">
    <w:abstractNumId w:val="9"/>
  </w:num>
  <w:num w:numId="19" w16cid:durableId="532763998">
    <w:abstractNumId w:val="19"/>
  </w:num>
  <w:num w:numId="20" w16cid:durableId="850415517">
    <w:abstractNumId w:val="5"/>
  </w:num>
  <w:num w:numId="21" w16cid:durableId="1581480198">
    <w:abstractNumId w:val="0"/>
  </w:num>
  <w:num w:numId="22" w16cid:durableId="1421484891">
    <w:abstractNumId w:val="16"/>
  </w:num>
  <w:num w:numId="23" w16cid:durableId="2389530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A7"/>
    <w:rsid w:val="00000034"/>
    <w:rsid w:val="00000746"/>
    <w:rsid w:val="00000F07"/>
    <w:rsid w:val="0000174C"/>
    <w:rsid w:val="00002910"/>
    <w:rsid w:val="00003F74"/>
    <w:rsid w:val="00004B11"/>
    <w:rsid w:val="00005077"/>
    <w:rsid w:val="00005C16"/>
    <w:rsid w:val="000062A7"/>
    <w:rsid w:val="000070D2"/>
    <w:rsid w:val="0000725E"/>
    <w:rsid w:val="0000799E"/>
    <w:rsid w:val="000100AA"/>
    <w:rsid w:val="00010606"/>
    <w:rsid w:val="0001070C"/>
    <w:rsid w:val="00011692"/>
    <w:rsid w:val="00011F83"/>
    <w:rsid w:val="00012DD3"/>
    <w:rsid w:val="00012F33"/>
    <w:rsid w:val="00013847"/>
    <w:rsid w:val="00013BB2"/>
    <w:rsid w:val="00013C3D"/>
    <w:rsid w:val="000141F9"/>
    <w:rsid w:val="00014E58"/>
    <w:rsid w:val="00014ED5"/>
    <w:rsid w:val="00015474"/>
    <w:rsid w:val="00015494"/>
    <w:rsid w:val="00016350"/>
    <w:rsid w:val="00016435"/>
    <w:rsid w:val="0001719E"/>
    <w:rsid w:val="00017514"/>
    <w:rsid w:val="00017572"/>
    <w:rsid w:val="000179A8"/>
    <w:rsid w:val="000179A9"/>
    <w:rsid w:val="00017F0F"/>
    <w:rsid w:val="00020B66"/>
    <w:rsid w:val="00021528"/>
    <w:rsid w:val="0002180D"/>
    <w:rsid w:val="000219A1"/>
    <w:rsid w:val="00021BC5"/>
    <w:rsid w:val="00021C1F"/>
    <w:rsid w:val="0002200B"/>
    <w:rsid w:val="00022460"/>
    <w:rsid w:val="000224FE"/>
    <w:rsid w:val="00022C6E"/>
    <w:rsid w:val="00023100"/>
    <w:rsid w:val="000243AF"/>
    <w:rsid w:val="000260CD"/>
    <w:rsid w:val="000265EE"/>
    <w:rsid w:val="00027169"/>
    <w:rsid w:val="00027E77"/>
    <w:rsid w:val="00030036"/>
    <w:rsid w:val="00033228"/>
    <w:rsid w:val="00033514"/>
    <w:rsid w:val="000348FC"/>
    <w:rsid w:val="00035219"/>
    <w:rsid w:val="000352D4"/>
    <w:rsid w:val="000354DC"/>
    <w:rsid w:val="0003593B"/>
    <w:rsid w:val="00035C4F"/>
    <w:rsid w:val="000361C9"/>
    <w:rsid w:val="000374C1"/>
    <w:rsid w:val="00037E4E"/>
    <w:rsid w:val="0004044B"/>
    <w:rsid w:val="0004313F"/>
    <w:rsid w:val="000438B9"/>
    <w:rsid w:val="00043A5D"/>
    <w:rsid w:val="00045729"/>
    <w:rsid w:val="00045D02"/>
    <w:rsid w:val="00045D1A"/>
    <w:rsid w:val="00045F06"/>
    <w:rsid w:val="00047991"/>
    <w:rsid w:val="00047C7B"/>
    <w:rsid w:val="00047DE4"/>
    <w:rsid w:val="00050D6C"/>
    <w:rsid w:val="00050DC3"/>
    <w:rsid w:val="0005148E"/>
    <w:rsid w:val="00051829"/>
    <w:rsid w:val="00051A48"/>
    <w:rsid w:val="00052EA9"/>
    <w:rsid w:val="00053170"/>
    <w:rsid w:val="00053991"/>
    <w:rsid w:val="00053993"/>
    <w:rsid w:val="00053E4C"/>
    <w:rsid w:val="00054C3E"/>
    <w:rsid w:val="000565C9"/>
    <w:rsid w:val="00056BE2"/>
    <w:rsid w:val="00057FB7"/>
    <w:rsid w:val="000602F0"/>
    <w:rsid w:val="000608B5"/>
    <w:rsid w:val="00060F67"/>
    <w:rsid w:val="000619AE"/>
    <w:rsid w:val="00061E12"/>
    <w:rsid w:val="00062787"/>
    <w:rsid w:val="00062F17"/>
    <w:rsid w:val="0006330A"/>
    <w:rsid w:val="00064586"/>
    <w:rsid w:val="00064B9A"/>
    <w:rsid w:val="00064DD7"/>
    <w:rsid w:val="00065C5A"/>
    <w:rsid w:val="00065F7D"/>
    <w:rsid w:val="00066ED3"/>
    <w:rsid w:val="00067360"/>
    <w:rsid w:val="000679EB"/>
    <w:rsid w:val="00071C93"/>
    <w:rsid w:val="00071F4D"/>
    <w:rsid w:val="00072232"/>
    <w:rsid w:val="00073045"/>
    <w:rsid w:val="00073256"/>
    <w:rsid w:val="0007358E"/>
    <w:rsid w:val="000735CA"/>
    <w:rsid w:val="00074E09"/>
    <w:rsid w:val="0007554B"/>
    <w:rsid w:val="000757B4"/>
    <w:rsid w:val="00075A4E"/>
    <w:rsid w:val="00075F2B"/>
    <w:rsid w:val="00076136"/>
    <w:rsid w:val="0007679F"/>
    <w:rsid w:val="0007685C"/>
    <w:rsid w:val="0007769F"/>
    <w:rsid w:val="00077A2E"/>
    <w:rsid w:val="000816D2"/>
    <w:rsid w:val="00081862"/>
    <w:rsid w:val="0008274F"/>
    <w:rsid w:val="000828AC"/>
    <w:rsid w:val="0008295C"/>
    <w:rsid w:val="00083FE6"/>
    <w:rsid w:val="00084DC7"/>
    <w:rsid w:val="000850F7"/>
    <w:rsid w:val="000872CF"/>
    <w:rsid w:val="00087DA9"/>
    <w:rsid w:val="00087E8C"/>
    <w:rsid w:val="000903E8"/>
    <w:rsid w:val="0009092E"/>
    <w:rsid w:val="000926BB"/>
    <w:rsid w:val="00092994"/>
    <w:rsid w:val="00095072"/>
    <w:rsid w:val="00095252"/>
    <w:rsid w:val="000954FA"/>
    <w:rsid w:val="000955BB"/>
    <w:rsid w:val="00095924"/>
    <w:rsid w:val="00096351"/>
    <w:rsid w:val="00096EEA"/>
    <w:rsid w:val="00097267"/>
    <w:rsid w:val="000A0E4C"/>
    <w:rsid w:val="000A1B16"/>
    <w:rsid w:val="000A26DE"/>
    <w:rsid w:val="000A2D6E"/>
    <w:rsid w:val="000A368E"/>
    <w:rsid w:val="000A3BFD"/>
    <w:rsid w:val="000A42D9"/>
    <w:rsid w:val="000A45FF"/>
    <w:rsid w:val="000A4AD1"/>
    <w:rsid w:val="000A4B68"/>
    <w:rsid w:val="000A52B4"/>
    <w:rsid w:val="000A5B10"/>
    <w:rsid w:val="000A5E8F"/>
    <w:rsid w:val="000A62FE"/>
    <w:rsid w:val="000A6BED"/>
    <w:rsid w:val="000A6E7C"/>
    <w:rsid w:val="000B03EC"/>
    <w:rsid w:val="000B045E"/>
    <w:rsid w:val="000B1AD3"/>
    <w:rsid w:val="000B3DAB"/>
    <w:rsid w:val="000B4B24"/>
    <w:rsid w:val="000B4B74"/>
    <w:rsid w:val="000B5587"/>
    <w:rsid w:val="000B6005"/>
    <w:rsid w:val="000B70E6"/>
    <w:rsid w:val="000C18AC"/>
    <w:rsid w:val="000C2168"/>
    <w:rsid w:val="000C242A"/>
    <w:rsid w:val="000C278D"/>
    <w:rsid w:val="000C2CE0"/>
    <w:rsid w:val="000C33D3"/>
    <w:rsid w:val="000C3A11"/>
    <w:rsid w:val="000C4DF9"/>
    <w:rsid w:val="000C5F70"/>
    <w:rsid w:val="000C6AF1"/>
    <w:rsid w:val="000C7723"/>
    <w:rsid w:val="000C7F24"/>
    <w:rsid w:val="000C7F4B"/>
    <w:rsid w:val="000D0635"/>
    <w:rsid w:val="000D15FF"/>
    <w:rsid w:val="000D16BF"/>
    <w:rsid w:val="000D1EFE"/>
    <w:rsid w:val="000D3715"/>
    <w:rsid w:val="000D372C"/>
    <w:rsid w:val="000D3EEB"/>
    <w:rsid w:val="000D4422"/>
    <w:rsid w:val="000D4669"/>
    <w:rsid w:val="000D5359"/>
    <w:rsid w:val="000D57F0"/>
    <w:rsid w:val="000D6A83"/>
    <w:rsid w:val="000D6A9F"/>
    <w:rsid w:val="000D7115"/>
    <w:rsid w:val="000D78E4"/>
    <w:rsid w:val="000E0658"/>
    <w:rsid w:val="000E106B"/>
    <w:rsid w:val="000E24BB"/>
    <w:rsid w:val="000E28F0"/>
    <w:rsid w:val="000E2E85"/>
    <w:rsid w:val="000E3270"/>
    <w:rsid w:val="000E3676"/>
    <w:rsid w:val="000E4102"/>
    <w:rsid w:val="000E447C"/>
    <w:rsid w:val="000E57D5"/>
    <w:rsid w:val="000E59DA"/>
    <w:rsid w:val="000E6566"/>
    <w:rsid w:val="000E704E"/>
    <w:rsid w:val="000E77E2"/>
    <w:rsid w:val="000E7CDC"/>
    <w:rsid w:val="000F2C32"/>
    <w:rsid w:val="000F31EA"/>
    <w:rsid w:val="000F4B2E"/>
    <w:rsid w:val="000F4BA6"/>
    <w:rsid w:val="000F5658"/>
    <w:rsid w:val="000F56C8"/>
    <w:rsid w:val="000F5896"/>
    <w:rsid w:val="000F5B93"/>
    <w:rsid w:val="000F6B86"/>
    <w:rsid w:val="000F6E6B"/>
    <w:rsid w:val="000F7B26"/>
    <w:rsid w:val="001006B7"/>
    <w:rsid w:val="0010083C"/>
    <w:rsid w:val="00100AAF"/>
    <w:rsid w:val="001014CF"/>
    <w:rsid w:val="00102ACF"/>
    <w:rsid w:val="00102FA0"/>
    <w:rsid w:val="001043B0"/>
    <w:rsid w:val="00104470"/>
    <w:rsid w:val="00105368"/>
    <w:rsid w:val="00106C0F"/>
    <w:rsid w:val="00106CEA"/>
    <w:rsid w:val="00107C97"/>
    <w:rsid w:val="0011111C"/>
    <w:rsid w:val="001119E7"/>
    <w:rsid w:val="0011217B"/>
    <w:rsid w:val="00112EC9"/>
    <w:rsid w:val="00113C03"/>
    <w:rsid w:val="00113D61"/>
    <w:rsid w:val="00114721"/>
    <w:rsid w:val="00114835"/>
    <w:rsid w:val="00114871"/>
    <w:rsid w:val="001149A3"/>
    <w:rsid w:val="00114C4D"/>
    <w:rsid w:val="001156D7"/>
    <w:rsid w:val="001166FF"/>
    <w:rsid w:val="001168D0"/>
    <w:rsid w:val="00116B65"/>
    <w:rsid w:val="00117F17"/>
    <w:rsid w:val="00120064"/>
    <w:rsid w:val="00120AB0"/>
    <w:rsid w:val="00121FBA"/>
    <w:rsid w:val="00122198"/>
    <w:rsid w:val="0012272A"/>
    <w:rsid w:val="0012369A"/>
    <w:rsid w:val="001236C5"/>
    <w:rsid w:val="00123734"/>
    <w:rsid w:val="00123F85"/>
    <w:rsid w:val="00124250"/>
    <w:rsid w:val="00124E5E"/>
    <w:rsid w:val="00125243"/>
    <w:rsid w:val="001256B9"/>
    <w:rsid w:val="00125CCD"/>
    <w:rsid w:val="00126E23"/>
    <w:rsid w:val="00126F3A"/>
    <w:rsid w:val="00127AD5"/>
    <w:rsid w:val="00127EAC"/>
    <w:rsid w:val="00127FFC"/>
    <w:rsid w:val="00130E99"/>
    <w:rsid w:val="00130F9C"/>
    <w:rsid w:val="001312A7"/>
    <w:rsid w:val="001319EF"/>
    <w:rsid w:val="00132BCF"/>
    <w:rsid w:val="00132DF2"/>
    <w:rsid w:val="00133099"/>
    <w:rsid w:val="001331CE"/>
    <w:rsid w:val="0013423C"/>
    <w:rsid w:val="001349FF"/>
    <w:rsid w:val="001359A0"/>
    <w:rsid w:val="00136436"/>
    <w:rsid w:val="001376BE"/>
    <w:rsid w:val="00140089"/>
    <w:rsid w:val="00140539"/>
    <w:rsid w:val="00140BD0"/>
    <w:rsid w:val="00140E11"/>
    <w:rsid w:val="00141A3F"/>
    <w:rsid w:val="001426C2"/>
    <w:rsid w:val="00142897"/>
    <w:rsid w:val="00142CF4"/>
    <w:rsid w:val="001432D5"/>
    <w:rsid w:val="00143973"/>
    <w:rsid w:val="001440DA"/>
    <w:rsid w:val="00144416"/>
    <w:rsid w:val="00144D5C"/>
    <w:rsid w:val="00145431"/>
    <w:rsid w:val="001470A1"/>
    <w:rsid w:val="001478CE"/>
    <w:rsid w:val="00150297"/>
    <w:rsid w:val="001507FB"/>
    <w:rsid w:val="00150A30"/>
    <w:rsid w:val="00151CC2"/>
    <w:rsid w:val="00152F8F"/>
    <w:rsid w:val="00154344"/>
    <w:rsid w:val="00154568"/>
    <w:rsid w:val="001558F8"/>
    <w:rsid w:val="001566AD"/>
    <w:rsid w:val="001566E5"/>
    <w:rsid w:val="0015685D"/>
    <w:rsid w:val="00156E89"/>
    <w:rsid w:val="00157282"/>
    <w:rsid w:val="00157305"/>
    <w:rsid w:val="00160BC4"/>
    <w:rsid w:val="00160CCD"/>
    <w:rsid w:val="00161250"/>
    <w:rsid w:val="001614F4"/>
    <w:rsid w:val="001624F1"/>
    <w:rsid w:val="00162D8C"/>
    <w:rsid w:val="00163BE9"/>
    <w:rsid w:val="00164457"/>
    <w:rsid w:val="00164790"/>
    <w:rsid w:val="00164813"/>
    <w:rsid w:val="001671F6"/>
    <w:rsid w:val="00167D0C"/>
    <w:rsid w:val="001706AF"/>
    <w:rsid w:val="00171FCA"/>
    <w:rsid w:val="001726E6"/>
    <w:rsid w:val="00172B3C"/>
    <w:rsid w:val="00172B5F"/>
    <w:rsid w:val="001732E6"/>
    <w:rsid w:val="0017371B"/>
    <w:rsid w:val="00175497"/>
    <w:rsid w:val="00175B95"/>
    <w:rsid w:val="00176782"/>
    <w:rsid w:val="00176E97"/>
    <w:rsid w:val="00177686"/>
    <w:rsid w:val="001812E3"/>
    <w:rsid w:val="00181DEC"/>
    <w:rsid w:val="0018212E"/>
    <w:rsid w:val="00183CCC"/>
    <w:rsid w:val="00183D54"/>
    <w:rsid w:val="0018553C"/>
    <w:rsid w:val="001858C6"/>
    <w:rsid w:val="00185F70"/>
    <w:rsid w:val="0018624C"/>
    <w:rsid w:val="00187893"/>
    <w:rsid w:val="00190DDE"/>
    <w:rsid w:val="00191C3C"/>
    <w:rsid w:val="001931B4"/>
    <w:rsid w:val="0019363B"/>
    <w:rsid w:val="00193A40"/>
    <w:rsid w:val="00193DAE"/>
    <w:rsid w:val="00194601"/>
    <w:rsid w:val="00194739"/>
    <w:rsid w:val="0019507B"/>
    <w:rsid w:val="0019527A"/>
    <w:rsid w:val="0019551B"/>
    <w:rsid w:val="00195CE9"/>
    <w:rsid w:val="00196934"/>
    <w:rsid w:val="00196B47"/>
    <w:rsid w:val="00196F23"/>
    <w:rsid w:val="0019740C"/>
    <w:rsid w:val="00197507"/>
    <w:rsid w:val="00197B23"/>
    <w:rsid w:val="00197FD1"/>
    <w:rsid w:val="001A0318"/>
    <w:rsid w:val="001A03FF"/>
    <w:rsid w:val="001A0841"/>
    <w:rsid w:val="001A10F7"/>
    <w:rsid w:val="001A20D1"/>
    <w:rsid w:val="001A36F8"/>
    <w:rsid w:val="001A3E66"/>
    <w:rsid w:val="001A4364"/>
    <w:rsid w:val="001A4EC7"/>
    <w:rsid w:val="001A5861"/>
    <w:rsid w:val="001A5D68"/>
    <w:rsid w:val="001A5DE4"/>
    <w:rsid w:val="001A6088"/>
    <w:rsid w:val="001A609A"/>
    <w:rsid w:val="001A62C4"/>
    <w:rsid w:val="001A6930"/>
    <w:rsid w:val="001A6A61"/>
    <w:rsid w:val="001A7708"/>
    <w:rsid w:val="001A7894"/>
    <w:rsid w:val="001B00FB"/>
    <w:rsid w:val="001B0B72"/>
    <w:rsid w:val="001B1157"/>
    <w:rsid w:val="001B172B"/>
    <w:rsid w:val="001B1747"/>
    <w:rsid w:val="001B191E"/>
    <w:rsid w:val="001B39AB"/>
    <w:rsid w:val="001B3D96"/>
    <w:rsid w:val="001B3F34"/>
    <w:rsid w:val="001B4AC3"/>
    <w:rsid w:val="001B4B06"/>
    <w:rsid w:val="001B4F5F"/>
    <w:rsid w:val="001B5291"/>
    <w:rsid w:val="001B5CCD"/>
    <w:rsid w:val="001B6F4C"/>
    <w:rsid w:val="001B7366"/>
    <w:rsid w:val="001C198A"/>
    <w:rsid w:val="001C21BF"/>
    <w:rsid w:val="001C2251"/>
    <w:rsid w:val="001C26D0"/>
    <w:rsid w:val="001C2E44"/>
    <w:rsid w:val="001C34FD"/>
    <w:rsid w:val="001C37A3"/>
    <w:rsid w:val="001C38AE"/>
    <w:rsid w:val="001C3948"/>
    <w:rsid w:val="001C3C9F"/>
    <w:rsid w:val="001C4023"/>
    <w:rsid w:val="001C4FCB"/>
    <w:rsid w:val="001C6C21"/>
    <w:rsid w:val="001C6CB9"/>
    <w:rsid w:val="001D06FD"/>
    <w:rsid w:val="001D0AE6"/>
    <w:rsid w:val="001D0CEF"/>
    <w:rsid w:val="001D1F01"/>
    <w:rsid w:val="001D2097"/>
    <w:rsid w:val="001D2E23"/>
    <w:rsid w:val="001D4B0F"/>
    <w:rsid w:val="001D4C50"/>
    <w:rsid w:val="001D4C5B"/>
    <w:rsid w:val="001D4DE7"/>
    <w:rsid w:val="001D57E3"/>
    <w:rsid w:val="001D5D3E"/>
    <w:rsid w:val="001D6900"/>
    <w:rsid w:val="001D6D93"/>
    <w:rsid w:val="001D7901"/>
    <w:rsid w:val="001D79F3"/>
    <w:rsid w:val="001E0A66"/>
    <w:rsid w:val="001E0FE3"/>
    <w:rsid w:val="001E1305"/>
    <w:rsid w:val="001E180B"/>
    <w:rsid w:val="001E1FA7"/>
    <w:rsid w:val="001E2090"/>
    <w:rsid w:val="001E2859"/>
    <w:rsid w:val="001E367E"/>
    <w:rsid w:val="001E38A0"/>
    <w:rsid w:val="001E7369"/>
    <w:rsid w:val="001E7AE3"/>
    <w:rsid w:val="001F0774"/>
    <w:rsid w:val="001F0CE0"/>
    <w:rsid w:val="001F160F"/>
    <w:rsid w:val="001F19A3"/>
    <w:rsid w:val="001F29FF"/>
    <w:rsid w:val="001F2C5A"/>
    <w:rsid w:val="001F33DD"/>
    <w:rsid w:val="001F34B8"/>
    <w:rsid w:val="001F393F"/>
    <w:rsid w:val="001F3F8F"/>
    <w:rsid w:val="001F4610"/>
    <w:rsid w:val="001F4E54"/>
    <w:rsid w:val="001F5292"/>
    <w:rsid w:val="001F5868"/>
    <w:rsid w:val="001F59BA"/>
    <w:rsid w:val="001F5A87"/>
    <w:rsid w:val="001F5DA3"/>
    <w:rsid w:val="001F5EE6"/>
    <w:rsid w:val="001F64F8"/>
    <w:rsid w:val="001F6CDC"/>
    <w:rsid w:val="001F72EA"/>
    <w:rsid w:val="002018DC"/>
    <w:rsid w:val="002018FA"/>
    <w:rsid w:val="00201927"/>
    <w:rsid w:val="00201D38"/>
    <w:rsid w:val="00202FDC"/>
    <w:rsid w:val="0020329F"/>
    <w:rsid w:val="00203678"/>
    <w:rsid w:val="00204003"/>
    <w:rsid w:val="00204F60"/>
    <w:rsid w:val="00205111"/>
    <w:rsid w:val="00205950"/>
    <w:rsid w:val="002071D0"/>
    <w:rsid w:val="00210469"/>
    <w:rsid w:val="0021050D"/>
    <w:rsid w:val="00210FB9"/>
    <w:rsid w:val="00213A29"/>
    <w:rsid w:val="00213B16"/>
    <w:rsid w:val="00213D21"/>
    <w:rsid w:val="00214A29"/>
    <w:rsid w:val="002160AB"/>
    <w:rsid w:val="00216153"/>
    <w:rsid w:val="002162DC"/>
    <w:rsid w:val="0021655A"/>
    <w:rsid w:val="002171B2"/>
    <w:rsid w:val="00220160"/>
    <w:rsid w:val="002202B1"/>
    <w:rsid w:val="002211A8"/>
    <w:rsid w:val="0022217E"/>
    <w:rsid w:val="00223327"/>
    <w:rsid w:val="002247C6"/>
    <w:rsid w:val="002255F0"/>
    <w:rsid w:val="00225899"/>
    <w:rsid w:val="00225FBE"/>
    <w:rsid w:val="00227AE7"/>
    <w:rsid w:val="00227FA7"/>
    <w:rsid w:val="002304E6"/>
    <w:rsid w:val="00231243"/>
    <w:rsid w:val="00231270"/>
    <w:rsid w:val="0023169E"/>
    <w:rsid w:val="00231E5E"/>
    <w:rsid w:val="00232166"/>
    <w:rsid w:val="00232233"/>
    <w:rsid w:val="00232354"/>
    <w:rsid w:val="00232B53"/>
    <w:rsid w:val="002345E4"/>
    <w:rsid w:val="0023470A"/>
    <w:rsid w:val="00234966"/>
    <w:rsid w:val="00234B6C"/>
    <w:rsid w:val="0023626F"/>
    <w:rsid w:val="00237EBC"/>
    <w:rsid w:val="002412DA"/>
    <w:rsid w:val="00241B5D"/>
    <w:rsid w:val="002425C6"/>
    <w:rsid w:val="002437D9"/>
    <w:rsid w:val="00243C4E"/>
    <w:rsid w:val="0024411B"/>
    <w:rsid w:val="00244538"/>
    <w:rsid w:val="002449E7"/>
    <w:rsid w:val="00245859"/>
    <w:rsid w:val="00245B5B"/>
    <w:rsid w:val="00246A0E"/>
    <w:rsid w:val="0024747A"/>
    <w:rsid w:val="00247718"/>
    <w:rsid w:val="00250351"/>
    <w:rsid w:val="0025069B"/>
    <w:rsid w:val="00250FB1"/>
    <w:rsid w:val="00251D7C"/>
    <w:rsid w:val="00252267"/>
    <w:rsid w:val="0025273D"/>
    <w:rsid w:val="00253109"/>
    <w:rsid w:val="002532AA"/>
    <w:rsid w:val="00253722"/>
    <w:rsid w:val="00253AA9"/>
    <w:rsid w:val="0025440E"/>
    <w:rsid w:val="002555BE"/>
    <w:rsid w:val="002567DA"/>
    <w:rsid w:val="0025704B"/>
    <w:rsid w:val="00257860"/>
    <w:rsid w:val="00257A28"/>
    <w:rsid w:val="00260A23"/>
    <w:rsid w:val="00261168"/>
    <w:rsid w:val="0026296C"/>
    <w:rsid w:val="00262CB8"/>
    <w:rsid w:val="00264CA9"/>
    <w:rsid w:val="00265641"/>
    <w:rsid w:val="00265943"/>
    <w:rsid w:val="00267EBE"/>
    <w:rsid w:val="00267F35"/>
    <w:rsid w:val="002701F8"/>
    <w:rsid w:val="0027036F"/>
    <w:rsid w:val="0027042A"/>
    <w:rsid w:val="00270F42"/>
    <w:rsid w:val="002719ED"/>
    <w:rsid w:val="00273134"/>
    <w:rsid w:val="00273A55"/>
    <w:rsid w:val="00274080"/>
    <w:rsid w:val="00275313"/>
    <w:rsid w:val="002764F1"/>
    <w:rsid w:val="002768D8"/>
    <w:rsid w:val="00277306"/>
    <w:rsid w:val="002774AE"/>
    <w:rsid w:val="00277719"/>
    <w:rsid w:val="00277A05"/>
    <w:rsid w:val="002804FC"/>
    <w:rsid w:val="00281332"/>
    <w:rsid w:val="0028210B"/>
    <w:rsid w:val="002824A5"/>
    <w:rsid w:val="00282A7C"/>
    <w:rsid w:val="002857D0"/>
    <w:rsid w:val="00285F1D"/>
    <w:rsid w:val="00286DF8"/>
    <w:rsid w:val="002906B9"/>
    <w:rsid w:val="00291E9C"/>
    <w:rsid w:val="00293027"/>
    <w:rsid w:val="002938AC"/>
    <w:rsid w:val="00294883"/>
    <w:rsid w:val="002948A5"/>
    <w:rsid w:val="002954D5"/>
    <w:rsid w:val="0029583D"/>
    <w:rsid w:val="00296B4F"/>
    <w:rsid w:val="0029736B"/>
    <w:rsid w:val="002A0372"/>
    <w:rsid w:val="002A05DD"/>
    <w:rsid w:val="002A12DA"/>
    <w:rsid w:val="002A152F"/>
    <w:rsid w:val="002A1CC7"/>
    <w:rsid w:val="002A39B1"/>
    <w:rsid w:val="002A3AB4"/>
    <w:rsid w:val="002A574A"/>
    <w:rsid w:val="002A584C"/>
    <w:rsid w:val="002A5C6D"/>
    <w:rsid w:val="002A63FD"/>
    <w:rsid w:val="002A7060"/>
    <w:rsid w:val="002A716E"/>
    <w:rsid w:val="002A76DD"/>
    <w:rsid w:val="002A783A"/>
    <w:rsid w:val="002A7A84"/>
    <w:rsid w:val="002B0028"/>
    <w:rsid w:val="002B0550"/>
    <w:rsid w:val="002B0945"/>
    <w:rsid w:val="002B0DEC"/>
    <w:rsid w:val="002B2530"/>
    <w:rsid w:val="002B28F9"/>
    <w:rsid w:val="002B2935"/>
    <w:rsid w:val="002B2AE3"/>
    <w:rsid w:val="002B3EC2"/>
    <w:rsid w:val="002B759C"/>
    <w:rsid w:val="002B7901"/>
    <w:rsid w:val="002B79E9"/>
    <w:rsid w:val="002C0381"/>
    <w:rsid w:val="002C04C8"/>
    <w:rsid w:val="002C109B"/>
    <w:rsid w:val="002C1139"/>
    <w:rsid w:val="002C3402"/>
    <w:rsid w:val="002C3BFA"/>
    <w:rsid w:val="002C3E9E"/>
    <w:rsid w:val="002C40E0"/>
    <w:rsid w:val="002C5E7B"/>
    <w:rsid w:val="002C6180"/>
    <w:rsid w:val="002C7EFF"/>
    <w:rsid w:val="002D0D42"/>
    <w:rsid w:val="002D1456"/>
    <w:rsid w:val="002D1A54"/>
    <w:rsid w:val="002D28E8"/>
    <w:rsid w:val="002D2FF5"/>
    <w:rsid w:val="002D3598"/>
    <w:rsid w:val="002D4071"/>
    <w:rsid w:val="002D4323"/>
    <w:rsid w:val="002D5B3E"/>
    <w:rsid w:val="002D604A"/>
    <w:rsid w:val="002D6411"/>
    <w:rsid w:val="002D7DBD"/>
    <w:rsid w:val="002E0120"/>
    <w:rsid w:val="002E03CF"/>
    <w:rsid w:val="002E04E4"/>
    <w:rsid w:val="002E1AD6"/>
    <w:rsid w:val="002E1C4C"/>
    <w:rsid w:val="002E25B0"/>
    <w:rsid w:val="002E2724"/>
    <w:rsid w:val="002E301B"/>
    <w:rsid w:val="002E308F"/>
    <w:rsid w:val="002E3464"/>
    <w:rsid w:val="002E369E"/>
    <w:rsid w:val="002E41AF"/>
    <w:rsid w:val="002E5231"/>
    <w:rsid w:val="002E5243"/>
    <w:rsid w:val="002E6C19"/>
    <w:rsid w:val="002E71FF"/>
    <w:rsid w:val="002E756D"/>
    <w:rsid w:val="002E777F"/>
    <w:rsid w:val="002F1A67"/>
    <w:rsid w:val="002F3774"/>
    <w:rsid w:val="002F5C8C"/>
    <w:rsid w:val="002F5E69"/>
    <w:rsid w:val="0030001D"/>
    <w:rsid w:val="003001D2"/>
    <w:rsid w:val="003006C1"/>
    <w:rsid w:val="00300BD8"/>
    <w:rsid w:val="003011E4"/>
    <w:rsid w:val="0030132F"/>
    <w:rsid w:val="0030142A"/>
    <w:rsid w:val="00301BF8"/>
    <w:rsid w:val="00302B74"/>
    <w:rsid w:val="00302ECC"/>
    <w:rsid w:val="003045F6"/>
    <w:rsid w:val="003058E3"/>
    <w:rsid w:val="00306DFA"/>
    <w:rsid w:val="00310C93"/>
    <w:rsid w:val="0031157A"/>
    <w:rsid w:val="00311C4E"/>
    <w:rsid w:val="00312512"/>
    <w:rsid w:val="00312F55"/>
    <w:rsid w:val="0031384B"/>
    <w:rsid w:val="003140A5"/>
    <w:rsid w:val="003145D9"/>
    <w:rsid w:val="00315105"/>
    <w:rsid w:val="003154A7"/>
    <w:rsid w:val="00316BF0"/>
    <w:rsid w:val="003179A3"/>
    <w:rsid w:val="003179D9"/>
    <w:rsid w:val="00317A70"/>
    <w:rsid w:val="00317DA7"/>
    <w:rsid w:val="00321577"/>
    <w:rsid w:val="00322877"/>
    <w:rsid w:val="00322AA6"/>
    <w:rsid w:val="00322B44"/>
    <w:rsid w:val="00323144"/>
    <w:rsid w:val="00323FB2"/>
    <w:rsid w:val="00326A66"/>
    <w:rsid w:val="00327778"/>
    <w:rsid w:val="00327E13"/>
    <w:rsid w:val="0033023B"/>
    <w:rsid w:val="00330517"/>
    <w:rsid w:val="003324AC"/>
    <w:rsid w:val="0033268A"/>
    <w:rsid w:val="00332BA0"/>
    <w:rsid w:val="00332E4B"/>
    <w:rsid w:val="00333532"/>
    <w:rsid w:val="00333CC4"/>
    <w:rsid w:val="003345DB"/>
    <w:rsid w:val="00334CB7"/>
    <w:rsid w:val="00336064"/>
    <w:rsid w:val="0033612A"/>
    <w:rsid w:val="00336D81"/>
    <w:rsid w:val="00337A70"/>
    <w:rsid w:val="00337D1B"/>
    <w:rsid w:val="003431AF"/>
    <w:rsid w:val="00343E19"/>
    <w:rsid w:val="0034525A"/>
    <w:rsid w:val="00345658"/>
    <w:rsid w:val="003476FC"/>
    <w:rsid w:val="00347B73"/>
    <w:rsid w:val="003505AF"/>
    <w:rsid w:val="00350F37"/>
    <w:rsid w:val="00352243"/>
    <w:rsid w:val="00352D06"/>
    <w:rsid w:val="00353065"/>
    <w:rsid w:val="00353309"/>
    <w:rsid w:val="003544D3"/>
    <w:rsid w:val="00354C01"/>
    <w:rsid w:val="00354D79"/>
    <w:rsid w:val="00355338"/>
    <w:rsid w:val="00356258"/>
    <w:rsid w:val="003566EB"/>
    <w:rsid w:val="00357BD3"/>
    <w:rsid w:val="00360C7A"/>
    <w:rsid w:val="00361803"/>
    <w:rsid w:val="0036204B"/>
    <w:rsid w:val="0036204D"/>
    <w:rsid w:val="0036235C"/>
    <w:rsid w:val="00363222"/>
    <w:rsid w:val="00363977"/>
    <w:rsid w:val="003647DA"/>
    <w:rsid w:val="0036489E"/>
    <w:rsid w:val="003648F5"/>
    <w:rsid w:val="00365D19"/>
    <w:rsid w:val="00366138"/>
    <w:rsid w:val="00366C6E"/>
    <w:rsid w:val="003721C8"/>
    <w:rsid w:val="00372781"/>
    <w:rsid w:val="0037515F"/>
    <w:rsid w:val="00376101"/>
    <w:rsid w:val="00376515"/>
    <w:rsid w:val="0037676E"/>
    <w:rsid w:val="00381AB9"/>
    <w:rsid w:val="00381B06"/>
    <w:rsid w:val="00381B81"/>
    <w:rsid w:val="00382030"/>
    <w:rsid w:val="003820D4"/>
    <w:rsid w:val="00382E39"/>
    <w:rsid w:val="00383C02"/>
    <w:rsid w:val="00384B92"/>
    <w:rsid w:val="003854FA"/>
    <w:rsid w:val="003857D9"/>
    <w:rsid w:val="00385D09"/>
    <w:rsid w:val="00386061"/>
    <w:rsid w:val="00386761"/>
    <w:rsid w:val="00390526"/>
    <w:rsid w:val="00390741"/>
    <w:rsid w:val="00390B23"/>
    <w:rsid w:val="0039143F"/>
    <w:rsid w:val="00391FC0"/>
    <w:rsid w:val="00392F78"/>
    <w:rsid w:val="00393090"/>
    <w:rsid w:val="0039355A"/>
    <w:rsid w:val="00393632"/>
    <w:rsid w:val="003948DF"/>
    <w:rsid w:val="003952AE"/>
    <w:rsid w:val="003954D2"/>
    <w:rsid w:val="00395F90"/>
    <w:rsid w:val="0039651D"/>
    <w:rsid w:val="003970CC"/>
    <w:rsid w:val="00397AB5"/>
    <w:rsid w:val="00397DA5"/>
    <w:rsid w:val="003A0489"/>
    <w:rsid w:val="003A0681"/>
    <w:rsid w:val="003A1105"/>
    <w:rsid w:val="003A2E48"/>
    <w:rsid w:val="003A3B19"/>
    <w:rsid w:val="003A3F38"/>
    <w:rsid w:val="003A3FC2"/>
    <w:rsid w:val="003A5717"/>
    <w:rsid w:val="003A61E4"/>
    <w:rsid w:val="003A621E"/>
    <w:rsid w:val="003A7217"/>
    <w:rsid w:val="003A7AAF"/>
    <w:rsid w:val="003B01B4"/>
    <w:rsid w:val="003B0252"/>
    <w:rsid w:val="003B0CA1"/>
    <w:rsid w:val="003B1E2B"/>
    <w:rsid w:val="003B28D1"/>
    <w:rsid w:val="003B335E"/>
    <w:rsid w:val="003B382C"/>
    <w:rsid w:val="003B3D61"/>
    <w:rsid w:val="003B3ECF"/>
    <w:rsid w:val="003B4899"/>
    <w:rsid w:val="003B4A8F"/>
    <w:rsid w:val="003B50C1"/>
    <w:rsid w:val="003B5163"/>
    <w:rsid w:val="003B64C2"/>
    <w:rsid w:val="003C0637"/>
    <w:rsid w:val="003C1324"/>
    <w:rsid w:val="003C1B30"/>
    <w:rsid w:val="003C1E8C"/>
    <w:rsid w:val="003C254B"/>
    <w:rsid w:val="003C363D"/>
    <w:rsid w:val="003C37AA"/>
    <w:rsid w:val="003C57AF"/>
    <w:rsid w:val="003C5885"/>
    <w:rsid w:val="003C5D99"/>
    <w:rsid w:val="003C6540"/>
    <w:rsid w:val="003D02A0"/>
    <w:rsid w:val="003D0B17"/>
    <w:rsid w:val="003D0BE3"/>
    <w:rsid w:val="003D0FF3"/>
    <w:rsid w:val="003D1BE5"/>
    <w:rsid w:val="003D26FE"/>
    <w:rsid w:val="003D45F6"/>
    <w:rsid w:val="003D49C4"/>
    <w:rsid w:val="003D52D5"/>
    <w:rsid w:val="003D5BB0"/>
    <w:rsid w:val="003D663E"/>
    <w:rsid w:val="003D737B"/>
    <w:rsid w:val="003D778C"/>
    <w:rsid w:val="003D7C90"/>
    <w:rsid w:val="003E0317"/>
    <w:rsid w:val="003E068F"/>
    <w:rsid w:val="003E26E7"/>
    <w:rsid w:val="003E3DBD"/>
    <w:rsid w:val="003E47A5"/>
    <w:rsid w:val="003E556F"/>
    <w:rsid w:val="003E6052"/>
    <w:rsid w:val="003E6634"/>
    <w:rsid w:val="003E6C8C"/>
    <w:rsid w:val="003E6EFC"/>
    <w:rsid w:val="003F033A"/>
    <w:rsid w:val="003F0A95"/>
    <w:rsid w:val="003F13C6"/>
    <w:rsid w:val="003F1933"/>
    <w:rsid w:val="003F1CF1"/>
    <w:rsid w:val="003F2E11"/>
    <w:rsid w:val="003F54ED"/>
    <w:rsid w:val="003F5B3E"/>
    <w:rsid w:val="003F6D3B"/>
    <w:rsid w:val="003F71B8"/>
    <w:rsid w:val="004001B0"/>
    <w:rsid w:val="00401667"/>
    <w:rsid w:val="004016FA"/>
    <w:rsid w:val="00401965"/>
    <w:rsid w:val="00401D89"/>
    <w:rsid w:val="00401EBC"/>
    <w:rsid w:val="004026D0"/>
    <w:rsid w:val="0040293B"/>
    <w:rsid w:val="00402C01"/>
    <w:rsid w:val="00403881"/>
    <w:rsid w:val="004039E7"/>
    <w:rsid w:val="00403FC2"/>
    <w:rsid w:val="00404CA4"/>
    <w:rsid w:val="0040559D"/>
    <w:rsid w:val="004055D3"/>
    <w:rsid w:val="004061B2"/>
    <w:rsid w:val="00406310"/>
    <w:rsid w:val="00407067"/>
    <w:rsid w:val="00407F93"/>
    <w:rsid w:val="0041025A"/>
    <w:rsid w:val="004105DA"/>
    <w:rsid w:val="00410788"/>
    <w:rsid w:val="00410ACB"/>
    <w:rsid w:val="00411CB1"/>
    <w:rsid w:val="00412E46"/>
    <w:rsid w:val="004130FC"/>
    <w:rsid w:val="004137D6"/>
    <w:rsid w:val="0041482A"/>
    <w:rsid w:val="00414AF2"/>
    <w:rsid w:val="004163AC"/>
    <w:rsid w:val="00416A1F"/>
    <w:rsid w:val="004173CB"/>
    <w:rsid w:val="0041796B"/>
    <w:rsid w:val="00420047"/>
    <w:rsid w:val="00420CA1"/>
    <w:rsid w:val="00420F8E"/>
    <w:rsid w:val="004229DB"/>
    <w:rsid w:val="0042340E"/>
    <w:rsid w:val="00423861"/>
    <w:rsid w:val="00425B81"/>
    <w:rsid w:val="00425E8A"/>
    <w:rsid w:val="0042687F"/>
    <w:rsid w:val="00426AE0"/>
    <w:rsid w:val="00426C0C"/>
    <w:rsid w:val="0042714A"/>
    <w:rsid w:val="004276BC"/>
    <w:rsid w:val="0043111F"/>
    <w:rsid w:val="00432634"/>
    <w:rsid w:val="00432EBB"/>
    <w:rsid w:val="0043383D"/>
    <w:rsid w:val="00434356"/>
    <w:rsid w:val="004348CC"/>
    <w:rsid w:val="0043561B"/>
    <w:rsid w:val="004377AC"/>
    <w:rsid w:val="004378CB"/>
    <w:rsid w:val="004379E5"/>
    <w:rsid w:val="00437C1E"/>
    <w:rsid w:val="00440AF7"/>
    <w:rsid w:val="00441875"/>
    <w:rsid w:val="00441B3B"/>
    <w:rsid w:val="00441E77"/>
    <w:rsid w:val="0044265F"/>
    <w:rsid w:val="00443273"/>
    <w:rsid w:val="00444947"/>
    <w:rsid w:val="00445111"/>
    <w:rsid w:val="00445B8E"/>
    <w:rsid w:val="004473AA"/>
    <w:rsid w:val="00447665"/>
    <w:rsid w:val="0045062F"/>
    <w:rsid w:val="0045242A"/>
    <w:rsid w:val="004534B6"/>
    <w:rsid w:val="00454218"/>
    <w:rsid w:val="00455BE0"/>
    <w:rsid w:val="004566BC"/>
    <w:rsid w:val="00456AD1"/>
    <w:rsid w:val="00457A77"/>
    <w:rsid w:val="0046066C"/>
    <w:rsid w:val="0046081D"/>
    <w:rsid w:val="0046097F"/>
    <w:rsid w:val="004610A1"/>
    <w:rsid w:val="00462C8D"/>
    <w:rsid w:val="004637B5"/>
    <w:rsid w:val="00464016"/>
    <w:rsid w:val="004643A6"/>
    <w:rsid w:val="00466ABB"/>
    <w:rsid w:val="0046784D"/>
    <w:rsid w:val="00467C27"/>
    <w:rsid w:val="0047016D"/>
    <w:rsid w:val="0047085E"/>
    <w:rsid w:val="00470D30"/>
    <w:rsid w:val="00470D59"/>
    <w:rsid w:val="004712DF"/>
    <w:rsid w:val="00471B37"/>
    <w:rsid w:val="00471C85"/>
    <w:rsid w:val="00472CA7"/>
    <w:rsid w:val="00475A80"/>
    <w:rsid w:val="00476FB5"/>
    <w:rsid w:val="00477B29"/>
    <w:rsid w:val="0048036B"/>
    <w:rsid w:val="00481D7C"/>
    <w:rsid w:val="00481DBD"/>
    <w:rsid w:val="00483067"/>
    <w:rsid w:val="00483884"/>
    <w:rsid w:val="00484821"/>
    <w:rsid w:val="004853BF"/>
    <w:rsid w:val="004855D7"/>
    <w:rsid w:val="004856D5"/>
    <w:rsid w:val="00485982"/>
    <w:rsid w:val="00486914"/>
    <w:rsid w:val="00486F18"/>
    <w:rsid w:val="00487637"/>
    <w:rsid w:val="004908B0"/>
    <w:rsid w:val="004910E8"/>
    <w:rsid w:val="00491D52"/>
    <w:rsid w:val="0049556D"/>
    <w:rsid w:val="0049609C"/>
    <w:rsid w:val="004962E1"/>
    <w:rsid w:val="00496B81"/>
    <w:rsid w:val="004A03F2"/>
    <w:rsid w:val="004A0639"/>
    <w:rsid w:val="004A16E1"/>
    <w:rsid w:val="004A1B0E"/>
    <w:rsid w:val="004A27D3"/>
    <w:rsid w:val="004A2F56"/>
    <w:rsid w:val="004A3ADC"/>
    <w:rsid w:val="004A3D4F"/>
    <w:rsid w:val="004A43F7"/>
    <w:rsid w:val="004A4E74"/>
    <w:rsid w:val="004A4FBD"/>
    <w:rsid w:val="004A6091"/>
    <w:rsid w:val="004A77EF"/>
    <w:rsid w:val="004A7856"/>
    <w:rsid w:val="004A79C4"/>
    <w:rsid w:val="004A7AAC"/>
    <w:rsid w:val="004B0790"/>
    <w:rsid w:val="004B15C4"/>
    <w:rsid w:val="004B267A"/>
    <w:rsid w:val="004B2E15"/>
    <w:rsid w:val="004B4350"/>
    <w:rsid w:val="004B463C"/>
    <w:rsid w:val="004C0AE2"/>
    <w:rsid w:val="004C0F18"/>
    <w:rsid w:val="004C1593"/>
    <w:rsid w:val="004C2A27"/>
    <w:rsid w:val="004C32CE"/>
    <w:rsid w:val="004C3603"/>
    <w:rsid w:val="004C5FD8"/>
    <w:rsid w:val="004C600A"/>
    <w:rsid w:val="004C6379"/>
    <w:rsid w:val="004C73C9"/>
    <w:rsid w:val="004C77A9"/>
    <w:rsid w:val="004C7F08"/>
    <w:rsid w:val="004D06C3"/>
    <w:rsid w:val="004D15EC"/>
    <w:rsid w:val="004D218A"/>
    <w:rsid w:val="004D246C"/>
    <w:rsid w:val="004D2E90"/>
    <w:rsid w:val="004D33E5"/>
    <w:rsid w:val="004D3E3A"/>
    <w:rsid w:val="004D490F"/>
    <w:rsid w:val="004D4BD2"/>
    <w:rsid w:val="004D59F9"/>
    <w:rsid w:val="004D5F4C"/>
    <w:rsid w:val="004D74C6"/>
    <w:rsid w:val="004E0102"/>
    <w:rsid w:val="004E0292"/>
    <w:rsid w:val="004E03E5"/>
    <w:rsid w:val="004E0B2A"/>
    <w:rsid w:val="004E194E"/>
    <w:rsid w:val="004E1BED"/>
    <w:rsid w:val="004E1E46"/>
    <w:rsid w:val="004E2420"/>
    <w:rsid w:val="004E491B"/>
    <w:rsid w:val="004E5AFE"/>
    <w:rsid w:val="004E5B28"/>
    <w:rsid w:val="004E62B9"/>
    <w:rsid w:val="004E6969"/>
    <w:rsid w:val="004E6DAD"/>
    <w:rsid w:val="004E6E67"/>
    <w:rsid w:val="004E7FE2"/>
    <w:rsid w:val="004F117B"/>
    <w:rsid w:val="004F2E5E"/>
    <w:rsid w:val="004F446C"/>
    <w:rsid w:val="004F49BD"/>
    <w:rsid w:val="004F4CB8"/>
    <w:rsid w:val="004F558A"/>
    <w:rsid w:val="004F5B54"/>
    <w:rsid w:val="004F6459"/>
    <w:rsid w:val="004F6B53"/>
    <w:rsid w:val="004F6C3A"/>
    <w:rsid w:val="004F75B1"/>
    <w:rsid w:val="005004B0"/>
    <w:rsid w:val="00500549"/>
    <w:rsid w:val="005005EB"/>
    <w:rsid w:val="005009BE"/>
    <w:rsid w:val="00501AA0"/>
    <w:rsid w:val="00501F34"/>
    <w:rsid w:val="005021FB"/>
    <w:rsid w:val="0050229A"/>
    <w:rsid w:val="0050267A"/>
    <w:rsid w:val="005027D1"/>
    <w:rsid w:val="005047C1"/>
    <w:rsid w:val="00504BC6"/>
    <w:rsid w:val="00505423"/>
    <w:rsid w:val="00505DB9"/>
    <w:rsid w:val="00506AD3"/>
    <w:rsid w:val="00506B13"/>
    <w:rsid w:val="00507BB2"/>
    <w:rsid w:val="00507E94"/>
    <w:rsid w:val="00510536"/>
    <w:rsid w:val="00510590"/>
    <w:rsid w:val="0051072C"/>
    <w:rsid w:val="00510931"/>
    <w:rsid w:val="005113EC"/>
    <w:rsid w:val="005121E0"/>
    <w:rsid w:val="005126CC"/>
    <w:rsid w:val="005126D6"/>
    <w:rsid w:val="0051286C"/>
    <w:rsid w:val="00513B39"/>
    <w:rsid w:val="005144A7"/>
    <w:rsid w:val="00514815"/>
    <w:rsid w:val="00514DA2"/>
    <w:rsid w:val="00515037"/>
    <w:rsid w:val="0051575C"/>
    <w:rsid w:val="00516A42"/>
    <w:rsid w:val="00517660"/>
    <w:rsid w:val="0051780E"/>
    <w:rsid w:val="00517AB9"/>
    <w:rsid w:val="00517B4F"/>
    <w:rsid w:val="0052174A"/>
    <w:rsid w:val="00521C8D"/>
    <w:rsid w:val="00522352"/>
    <w:rsid w:val="00523B87"/>
    <w:rsid w:val="0052433A"/>
    <w:rsid w:val="00524782"/>
    <w:rsid w:val="0052485C"/>
    <w:rsid w:val="00524F4B"/>
    <w:rsid w:val="00525272"/>
    <w:rsid w:val="0052566F"/>
    <w:rsid w:val="005265DC"/>
    <w:rsid w:val="00527975"/>
    <w:rsid w:val="00530131"/>
    <w:rsid w:val="00531386"/>
    <w:rsid w:val="00531487"/>
    <w:rsid w:val="005316BF"/>
    <w:rsid w:val="005318AC"/>
    <w:rsid w:val="005320B9"/>
    <w:rsid w:val="005322CD"/>
    <w:rsid w:val="00533965"/>
    <w:rsid w:val="0053581B"/>
    <w:rsid w:val="00535B45"/>
    <w:rsid w:val="005362FE"/>
    <w:rsid w:val="00536BCD"/>
    <w:rsid w:val="005379E5"/>
    <w:rsid w:val="00540545"/>
    <w:rsid w:val="00540B16"/>
    <w:rsid w:val="005412A2"/>
    <w:rsid w:val="00541458"/>
    <w:rsid w:val="00542941"/>
    <w:rsid w:val="00542B48"/>
    <w:rsid w:val="00544216"/>
    <w:rsid w:val="00544391"/>
    <w:rsid w:val="00544A35"/>
    <w:rsid w:val="005465D9"/>
    <w:rsid w:val="00547123"/>
    <w:rsid w:val="005476B2"/>
    <w:rsid w:val="0054781B"/>
    <w:rsid w:val="00551017"/>
    <w:rsid w:val="00552262"/>
    <w:rsid w:val="005535CB"/>
    <w:rsid w:val="00554041"/>
    <w:rsid w:val="005540C3"/>
    <w:rsid w:val="00554ABA"/>
    <w:rsid w:val="00554CDD"/>
    <w:rsid w:val="005554F8"/>
    <w:rsid w:val="00556D62"/>
    <w:rsid w:val="005579C0"/>
    <w:rsid w:val="00557FA7"/>
    <w:rsid w:val="0056062F"/>
    <w:rsid w:val="005610FF"/>
    <w:rsid w:val="00561790"/>
    <w:rsid w:val="00561BDA"/>
    <w:rsid w:val="00562B2B"/>
    <w:rsid w:val="00564688"/>
    <w:rsid w:val="00564AB2"/>
    <w:rsid w:val="00564CB1"/>
    <w:rsid w:val="00564F5F"/>
    <w:rsid w:val="00565AC7"/>
    <w:rsid w:val="005666D1"/>
    <w:rsid w:val="005671B1"/>
    <w:rsid w:val="005707C7"/>
    <w:rsid w:val="00570907"/>
    <w:rsid w:val="005728AA"/>
    <w:rsid w:val="005736B4"/>
    <w:rsid w:val="00573E11"/>
    <w:rsid w:val="0057431E"/>
    <w:rsid w:val="005747C0"/>
    <w:rsid w:val="00575085"/>
    <w:rsid w:val="00575777"/>
    <w:rsid w:val="00575A66"/>
    <w:rsid w:val="00577701"/>
    <w:rsid w:val="00577B6E"/>
    <w:rsid w:val="00577EC2"/>
    <w:rsid w:val="00580789"/>
    <w:rsid w:val="0058159F"/>
    <w:rsid w:val="00581834"/>
    <w:rsid w:val="00581F06"/>
    <w:rsid w:val="00583216"/>
    <w:rsid w:val="00583414"/>
    <w:rsid w:val="005847FA"/>
    <w:rsid w:val="00584932"/>
    <w:rsid w:val="005857C2"/>
    <w:rsid w:val="00585C0C"/>
    <w:rsid w:val="005865E1"/>
    <w:rsid w:val="0058674B"/>
    <w:rsid w:val="00587C60"/>
    <w:rsid w:val="00587E2F"/>
    <w:rsid w:val="005913B4"/>
    <w:rsid w:val="00591559"/>
    <w:rsid w:val="005915BB"/>
    <w:rsid w:val="005918EE"/>
    <w:rsid w:val="00591992"/>
    <w:rsid w:val="00591A9E"/>
    <w:rsid w:val="005923D6"/>
    <w:rsid w:val="005923DF"/>
    <w:rsid w:val="00594C7C"/>
    <w:rsid w:val="005954FF"/>
    <w:rsid w:val="0059556D"/>
    <w:rsid w:val="00595655"/>
    <w:rsid w:val="005959C5"/>
    <w:rsid w:val="005959EC"/>
    <w:rsid w:val="005969DF"/>
    <w:rsid w:val="005975B7"/>
    <w:rsid w:val="00597629"/>
    <w:rsid w:val="005A0532"/>
    <w:rsid w:val="005A2263"/>
    <w:rsid w:val="005A227B"/>
    <w:rsid w:val="005A3FC4"/>
    <w:rsid w:val="005A4A3A"/>
    <w:rsid w:val="005A4A91"/>
    <w:rsid w:val="005A528C"/>
    <w:rsid w:val="005A56B7"/>
    <w:rsid w:val="005A5A18"/>
    <w:rsid w:val="005A5E54"/>
    <w:rsid w:val="005A70CB"/>
    <w:rsid w:val="005B0098"/>
    <w:rsid w:val="005B0886"/>
    <w:rsid w:val="005B1368"/>
    <w:rsid w:val="005B16E0"/>
    <w:rsid w:val="005B19EA"/>
    <w:rsid w:val="005B224E"/>
    <w:rsid w:val="005B258F"/>
    <w:rsid w:val="005B2AAA"/>
    <w:rsid w:val="005B2B4B"/>
    <w:rsid w:val="005B38DC"/>
    <w:rsid w:val="005B4718"/>
    <w:rsid w:val="005B4A3B"/>
    <w:rsid w:val="005B55C5"/>
    <w:rsid w:val="005B56B7"/>
    <w:rsid w:val="005B5A1B"/>
    <w:rsid w:val="005B7053"/>
    <w:rsid w:val="005B7998"/>
    <w:rsid w:val="005C0AC6"/>
    <w:rsid w:val="005C20F5"/>
    <w:rsid w:val="005C29AE"/>
    <w:rsid w:val="005C3525"/>
    <w:rsid w:val="005C430A"/>
    <w:rsid w:val="005C4A62"/>
    <w:rsid w:val="005C5494"/>
    <w:rsid w:val="005C5D5D"/>
    <w:rsid w:val="005C5DFD"/>
    <w:rsid w:val="005C601A"/>
    <w:rsid w:val="005C6BB4"/>
    <w:rsid w:val="005C6BCC"/>
    <w:rsid w:val="005C78AB"/>
    <w:rsid w:val="005C7A3A"/>
    <w:rsid w:val="005D0B20"/>
    <w:rsid w:val="005D1A89"/>
    <w:rsid w:val="005D204C"/>
    <w:rsid w:val="005D2946"/>
    <w:rsid w:val="005D3D66"/>
    <w:rsid w:val="005D4412"/>
    <w:rsid w:val="005D558C"/>
    <w:rsid w:val="005D6129"/>
    <w:rsid w:val="005E01E0"/>
    <w:rsid w:val="005E0653"/>
    <w:rsid w:val="005E18D3"/>
    <w:rsid w:val="005E1BBC"/>
    <w:rsid w:val="005E31EB"/>
    <w:rsid w:val="005E50EC"/>
    <w:rsid w:val="005E5EC0"/>
    <w:rsid w:val="005E5F82"/>
    <w:rsid w:val="005E73D7"/>
    <w:rsid w:val="005E79D0"/>
    <w:rsid w:val="005E7E2F"/>
    <w:rsid w:val="005E7EA4"/>
    <w:rsid w:val="005E7EFF"/>
    <w:rsid w:val="005F0321"/>
    <w:rsid w:val="005F09DD"/>
    <w:rsid w:val="005F0CC1"/>
    <w:rsid w:val="005F0FDF"/>
    <w:rsid w:val="005F1402"/>
    <w:rsid w:val="005F1C46"/>
    <w:rsid w:val="005F1E73"/>
    <w:rsid w:val="005F20B4"/>
    <w:rsid w:val="005F280C"/>
    <w:rsid w:val="005F3921"/>
    <w:rsid w:val="005F3E20"/>
    <w:rsid w:val="005F4360"/>
    <w:rsid w:val="005F501F"/>
    <w:rsid w:val="005F5F44"/>
    <w:rsid w:val="00600C6C"/>
    <w:rsid w:val="006013BB"/>
    <w:rsid w:val="00601CF4"/>
    <w:rsid w:val="0060239B"/>
    <w:rsid w:val="00602FF5"/>
    <w:rsid w:val="00604362"/>
    <w:rsid w:val="00604B5B"/>
    <w:rsid w:val="00605DA8"/>
    <w:rsid w:val="00606153"/>
    <w:rsid w:val="0060717C"/>
    <w:rsid w:val="006074C3"/>
    <w:rsid w:val="00610808"/>
    <w:rsid w:val="006118DD"/>
    <w:rsid w:val="00613A8A"/>
    <w:rsid w:val="00614C91"/>
    <w:rsid w:val="00615DD0"/>
    <w:rsid w:val="006165D5"/>
    <w:rsid w:val="0061665F"/>
    <w:rsid w:val="006167DC"/>
    <w:rsid w:val="00616B4D"/>
    <w:rsid w:val="0061714C"/>
    <w:rsid w:val="006174E6"/>
    <w:rsid w:val="006177E9"/>
    <w:rsid w:val="006201D4"/>
    <w:rsid w:val="0062053E"/>
    <w:rsid w:val="006208C4"/>
    <w:rsid w:val="00620C7E"/>
    <w:rsid w:val="00621B39"/>
    <w:rsid w:val="00623340"/>
    <w:rsid w:val="00623570"/>
    <w:rsid w:val="00623C0D"/>
    <w:rsid w:val="00624391"/>
    <w:rsid w:val="0062497C"/>
    <w:rsid w:val="00625925"/>
    <w:rsid w:val="00625ABD"/>
    <w:rsid w:val="0062780B"/>
    <w:rsid w:val="006303E9"/>
    <w:rsid w:val="006306F2"/>
    <w:rsid w:val="006309CF"/>
    <w:rsid w:val="0063266B"/>
    <w:rsid w:val="00632EA7"/>
    <w:rsid w:val="00633551"/>
    <w:rsid w:val="006338C8"/>
    <w:rsid w:val="006339C1"/>
    <w:rsid w:val="006352AF"/>
    <w:rsid w:val="00635FEC"/>
    <w:rsid w:val="006367D7"/>
    <w:rsid w:val="00636F5B"/>
    <w:rsid w:val="00640C1C"/>
    <w:rsid w:val="006413A4"/>
    <w:rsid w:val="006418A3"/>
    <w:rsid w:val="00641A03"/>
    <w:rsid w:val="006428C9"/>
    <w:rsid w:val="006429E3"/>
    <w:rsid w:val="00643E46"/>
    <w:rsid w:val="00644747"/>
    <w:rsid w:val="00644B36"/>
    <w:rsid w:val="00645CAC"/>
    <w:rsid w:val="00645EF5"/>
    <w:rsid w:val="0064641A"/>
    <w:rsid w:val="006468C4"/>
    <w:rsid w:val="00646D91"/>
    <w:rsid w:val="00647822"/>
    <w:rsid w:val="00647CA7"/>
    <w:rsid w:val="00647DA9"/>
    <w:rsid w:val="00650E45"/>
    <w:rsid w:val="006515D2"/>
    <w:rsid w:val="00651A85"/>
    <w:rsid w:val="00652018"/>
    <w:rsid w:val="00652128"/>
    <w:rsid w:val="006527CE"/>
    <w:rsid w:val="006538B5"/>
    <w:rsid w:val="00653C55"/>
    <w:rsid w:val="00654611"/>
    <w:rsid w:val="00654B9D"/>
    <w:rsid w:val="00654DCA"/>
    <w:rsid w:val="00654E04"/>
    <w:rsid w:val="006552F2"/>
    <w:rsid w:val="00655E1F"/>
    <w:rsid w:val="006560AE"/>
    <w:rsid w:val="0065643C"/>
    <w:rsid w:val="00656EA8"/>
    <w:rsid w:val="00657ED3"/>
    <w:rsid w:val="006604CB"/>
    <w:rsid w:val="0066248F"/>
    <w:rsid w:val="006628B1"/>
    <w:rsid w:val="00663E1A"/>
    <w:rsid w:val="0066425D"/>
    <w:rsid w:val="00664FB9"/>
    <w:rsid w:val="00666A7C"/>
    <w:rsid w:val="0066704F"/>
    <w:rsid w:val="0066723F"/>
    <w:rsid w:val="00667ADD"/>
    <w:rsid w:val="006712D3"/>
    <w:rsid w:val="00671A17"/>
    <w:rsid w:val="00673932"/>
    <w:rsid w:val="00673A37"/>
    <w:rsid w:val="00674905"/>
    <w:rsid w:val="00675D3B"/>
    <w:rsid w:val="00675F90"/>
    <w:rsid w:val="00676197"/>
    <w:rsid w:val="006769FC"/>
    <w:rsid w:val="00680229"/>
    <w:rsid w:val="00680435"/>
    <w:rsid w:val="00680534"/>
    <w:rsid w:val="00680A64"/>
    <w:rsid w:val="00680E87"/>
    <w:rsid w:val="00682864"/>
    <w:rsid w:val="00682878"/>
    <w:rsid w:val="00682975"/>
    <w:rsid w:val="006833FA"/>
    <w:rsid w:val="00683AE1"/>
    <w:rsid w:val="00683BAF"/>
    <w:rsid w:val="006844EE"/>
    <w:rsid w:val="0068475A"/>
    <w:rsid w:val="00684F6B"/>
    <w:rsid w:val="006851B5"/>
    <w:rsid w:val="00685308"/>
    <w:rsid w:val="00687B86"/>
    <w:rsid w:val="0069136C"/>
    <w:rsid w:val="00692543"/>
    <w:rsid w:val="00693050"/>
    <w:rsid w:val="00693BD6"/>
    <w:rsid w:val="00693EE9"/>
    <w:rsid w:val="00695176"/>
    <w:rsid w:val="00697191"/>
    <w:rsid w:val="0069748E"/>
    <w:rsid w:val="0069750B"/>
    <w:rsid w:val="006976B5"/>
    <w:rsid w:val="00697811"/>
    <w:rsid w:val="006A0376"/>
    <w:rsid w:val="006A1CAF"/>
    <w:rsid w:val="006A254E"/>
    <w:rsid w:val="006A2E26"/>
    <w:rsid w:val="006A361F"/>
    <w:rsid w:val="006A381B"/>
    <w:rsid w:val="006A430C"/>
    <w:rsid w:val="006A461E"/>
    <w:rsid w:val="006A4A22"/>
    <w:rsid w:val="006A4D08"/>
    <w:rsid w:val="006A4E09"/>
    <w:rsid w:val="006A6EEE"/>
    <w:rsid w:val="006A7209"/>
    <w:rsid w:val="006B0C7D"/>
    <w:rsid w:val="006B251C"/>
    <w:rsid w:val="006B27C2"/>
    <w:rsid w:val="006B28DA"/>
    <w:rsid w:val="006B51C6"/>
    <w:rsid w:val="006B533E"/>
    <w:rsid w:val="006B5B96"/>
    <w:rsid w:val="006B7D22"/>
    <w:rsid w:val="006C062D"/>
    <w:rsid w:val="006C1C08"/>
    <w:rsid w:val="006C2011"/>
    <w:rsid w:val="006C34E9"/>
    <w:rsid w:val="006C37F4"/>
    <w:rsid w:val="006C3DD0"/>
    <w:rsid w:val="006C4397"/>
    <w:rsid w:val="006C512C"/>
    <w:rsid w:val="006C529B"/>
    <w:rsid w:val="006C6028"/>
    <w:rsid w:val="006C748A"/>
    <w:rsid w:val="006D0654"/>
    <w:rsid w:val="006D0BFF"/>
    <w:rsid w:val="006D31CC"/>
    <w:rsid w:val="006D34BE"/>
    <w:rsid w:val="006D44BD"/>
    <w:rsid w:val="006D49B9"/>
    <w:rsid w:val="006D5AC5"/>
    <w:rsid w:val="006D5DBE"/>
    <w:rsid w:val="006D6888"/>
    <w:rsid w:val="006D74B0"/>
    <w:rsid w:val="006E0B01"/>
    <w:rsid w:val="006E2D87"/>
    <w:rsid w:val="006E303B"/>
    <w:rsid w:val="006E38C5"/>
    <w:rsid w:val="006E4606"/>
    <w:rsid w:val="006E4C78"/>
    <w:rsid w:val="006E6AC5"/>
    <w:rsid w:val="006E7343"/>
    <w:rsid w:val="006F16E6"/>
    <w:rsid w:val="006F2263"/>
    <w:rsid w:val="006F4CD7"/>
    <w:rsid w:val="006F5FAA"/>
    <w:rsid w:val="00700026"/>
    <w:rsid w:val="00700365"/>
    <w:rsid w:val="0070097F"/>
    <w:rsid w:val="00701B34"/>
    <w:rsid w:val="0070206C"/>
    <w:rsid w:val="00702416"/>
    <w:rsid w:val="00702575"/>
    <w:rsid w:val="00702C5D"/>
    <w:rsid w:val="0070361B"/>
    <w:rsid w:val="00703C04"/>
    <w:rsid w:val="007045AA"/>
    <w:rsid w:val="00704962"/>
    <w:rsid w:val="00704F05"/>
    <w:rsid w:val="00704F74"/>
    <w:rsid w:val="0070679F"/>
    <w:rsid w:val="00706BD7"/>
    <w:rsid w:val="00706F87"/>
    <w:rsid w:val="0071049C"/>
    <w:rsid w:val="007110E5"/>
    <w:rsid w:val="007111E9"/>
    <w:rsid w:val="00711981"/>
    <w:rsid w:val="00711F97"/>
    <w:rsid w:val="007125CB"/>
    <w:rsid w:val="00712905"/>
    <w:rsid w:val="00712A40"/>
    <w:rsid w:val="00713B64"/>
    <w:rsid w:val="00713DF7"/>
    <w:rsid w:val="00716760"/>
    <w:rsid w:val="007172DD"/>
    <w:rsid w:val="007210A2"/>
    <w:rsid w:val="00721FB8"/>
    <w:rsid w:val="00722A9D"/>
    <w:rsid w:val="00722B78"/>
    <w:rsid w:val="00723865"/>
    <w:rsid w:val="00724A4D"/>
    <w:rsid w:val="00725CDB"/>
    <w:rsid w:val="007263AC"/>
    <w:rsid w:val="00726436"/>
    <w:rsid w:val="00726FF5"/>
    <w:rsid w:val="0072799A"/>
    <w:rsid w:val="00730619"/>
    <w:rsid w:val="0073063F"/>
    <w:rsid w:val="00731170"/>
    <w:rsid w:val="00731514"/>
    <w:rsid w:val="00731ACF"/>
    <w:rsid w:val="00731E89"/>
    <w:rsid w:val="00732B0E"/>
    <w:rsid w:val="007335C2"/>
    <w:rsid w:val="0073369A"/>
    <w:rsid w:val="00736C6E"/>
    <w:rsid w:val="00736F4F"/>
    <w:rsid w:val="007378D9"/>
    <w:rsid w:val="00740F34"/>
    <w:rsid w:val="00741314"/>
    <w:rsid w:val="007416D2"/>
    <w:rsid w:val="0074293B"/>
    <w:rsid w:val="00743950"/>
    <w:rsid w:val="00744185"/>
    <w:rsid w:val="007443D0"/>
    <w:rsid w:val="0074536E"/>
    <w:rsid w:val="00747276"/>
    <w:rsid w:val="00747751"/>
    <w:rsid w:val="00750C7E"/>
    <w:rsid w:val="0075289A"/>
    <w:rsid w:val="00754C52"/>
    <w:rsid w:val="00754F39"/>
    <w:rsid w:val="00755470"/>
    <w:rsid w:val="00755D95"/>
    <w:rsid w:val="007562A3"/>
    <w:rsid w:val="00760027"/>
    <w:rsid w:val="007602D7"/>
    <w:rsid w:val="00760D71"/>
    <w:rsid w:val="00761072"/>
    <w:rsid w:val="0076138C"/>
    <w:rsid w:val="007615A9"/>
    <w:rsid w:val="00761750"/>
    <w:rsid w:val="007628E2"/>
    <w:rsid w:val="00762910"/>
    <w:rsid w:val="00762FA1"/>
    <w:rsid w:val="007633C9"/>
    <w:rsid w:val="00763412"/>
    <w:rsid w:val="007639DD"/>
    <w:rsid w:val="007645A5"/>
    <w:rsid w:val="00765527"/>
    <w:rsid w:val="0076554B"/>
    <w:rsid w:val="00765639"/>
    <w:rsid w:val="00765715"/>
    <w:rsid w:val="00765E4F"/>
    <w:rsid w:val="007671E9"/>
    <w:rsid w:val="00767845"/>
    <w:rsid w:val="007679F3"/>
    <w:rsid w:val="00770F31"/>
    <w:rsid w:val="00770F90"/>
    <w:rsid w:val="00772367"/>
    <w:rsid w:val="00772EAD"/>
    <w:rsid w:val="00773343"/>
    <w:rsid w:val="0077443B"/>
    <w:rsid w:val="007744F5"/>
    <w:rsid w:val="00774CAA"/>
    <w:rsid w:val="0077592A"/>
    <w:rsid w:val="0077669E"/>
    <w:rsid w:val="00776D58"/>
    <w:rsid w:val="00777B98"/>
    <w:rsid w:val="00780006"/>
    <w:rsid w:val="007812E9"/>
    <w:rsid w:val="0078220E"/>
    <w:rsid w:val="0078228C"/>
    <w:rsid w:val="007838F4"/>
    <w:rsid w:val="007841D1"/>
    <w:rsid w:val="00784C7C"/>
    <w:rsid w:val="00785E29"/>
    <w:rsid w:val="00785FDC"/>
    <w:rsid w:val="00787408"/>
    <w:rsid w:val="0079110E"/>
    <w:rsid w:val="00791724"/>
    <w:rsid w:val="00791D98"/>
    <w:rsid w:val="00792008"/>
    <w:rsid w:val="007926C6"/>
    <w:rsid w:val="00793353"/>
    <w:rsid w:val="00793801"/>
    <w:rsid w:val="00794298"/>
    <w:rsid w:val="00794E34"/>
    <w:rsid w:val="0079695A"/>
    <w:rsid w:val="00796C8A"/>
    <w:rsid w:val="00796E44"/>
    <w:rsid w:val="00796EB4"/>
    <w:rsid w:val="00797CA7"/>
    <w:rsid w:val="007A0692"/>
    <w:rsid w:val="007A0C45"/>
    <w:rsid w:val="007A150D"/>
    <w:rsid w:val="007A198A"/>
    <w:rsid w:val="007A4BA0"/>
    <w:rsid w:val="007A4D47"/>
    <w:rsid w:val="007A5235"/>
    <w:rsid w:val="007A645F"/>
    <w:rsid w:val="007A64EA"/>
    <w:rsid w:val="007A7C99"/>
    <w:rsid w:val="007A7DCE"/>
    <w:rsid w:val="007B1BE5"/>
    <w:rsid w:val="007B1C03"/>
    <w:rsid w:val="007B1F53"/>
    <w:rsid w:val="007B314A"/>
    <w:rsid w:val="007B4BC8"/>
    <w:rsid w:val="007B5130"/>
    <w:rsid w:val="007B548B"/>
    <w:rsid w:val="007B60BB"/>
    <w:rsid w:val="007B7DCF"/>
    <w:rsid w:val="007C20E8"/>
    <w:rsid w:val="007C2EA9"/>
    <w:rsid w:val="007C440E"/>
    <w:rsid w:val="007C50CB"/>
    <w:rsid w:val="007C52BD"/>
    <w:rsid w:val="007C6123"/>
    <w:rsid w:val="007C6860"/>
    <w:rsid w:val="007C7BDC"/>
    <w:rsid w:val="007D0CA9"/>
    <w:rsid w:val="007D2539"/>
    <w:rsid w:val="007D2D2E"/>
    <w:rsid w:val="007D2D3F"/>
    <w:rsid w:val="007D51EE"/>
    <w:rsid w:val="007D5EC2"/>
    <w:rsid w:val="007E08E0"/>
    <w:rsid w:val="007E16DD"/>
    <w:rsid w:val="007E1BBB"/>
    <w:rsid w:val="007E27EB"/>
    <w:rsid w:val="007E28A4"/>
    <w:rsid w:val="007E2962"/>
    <w:rsid w:val="007E386A"/>
    <w:rsid w:val="007E448C"/>
    <w:rsid w:val="007E62BE"/>
    <w:rsid w:val="007E6BA7"/>
    <w:rsid w:val="007E740B"/>
    <w:rsid w:val="007E7638"/>
    <w:rsid w:val="007E7CE5"/>
    <w:rsid w:val="007E7FF0"/>
    <w:rsid w:val="007F2284"/>
    <w:rsid w:val="007F2CB3"/>
    <w:rsid w:val="007F3670"/>
    <w:rsid w:val="007F3AAF"/>
    <w:rsid w:val="007F4696"/>
    <w:rsid w:val="007F4CDC"/>
    <w:rsid w:val="007F5F34"/>
    <w:rsid w:val="007F69CD"/>
    <w:rsid w:val="007F7240"/>
    <w:rsid w:val="007F77B0"/>
    <w:rsid w:val="00800704"/>
    <w:rsid w:val="00801A50"/>
    <w:rsid w:val="00801B4A"/>
    <w:rsid w:val="00801DE5"/>
    <w:rsid w:val="008022B9"/>
    <w:rsid w:val="00803C79"/>
    <w:rsid w:val="00803EC0"/>
    <w:rsid w:val="008047E0"/>
    <w:rsid w:val="00804DEF"/>
    <w:rsid w:val="00805C3E"/>
    <w:rsid w:val="00807583"/>
    <w:rsid w:val="0080787D"/>
    <w:rsid w:val="00807EFD"/>
    <w:rsid w:val="0081056B"/>
    <w:rsid w:val="0081130E"/>
    <w:rsid w:val="00811B56"/>
    <w:rsid w:val="00811F5E"/>
    <w:rsid w:val="008123F9"/>
    <w:rsid w:val="00812704"/>
    <w:rsid w:val="00812F59"/>
    <w:rsid w:val="0081367C"/>
    <w:rsid w:val="0081492D"/>
    <w:rsid w:val="00815537"/>
    <w:rsid w:val="008156AC"/>
    <w:rsid w:val="00815D75"/>
    <w:rsid w:val="0081777B"/>
    <w:rsid w:val="00820966"/>
    <w:rsid w:val="00821BB3"/>
    <w:rsid w:val="008220B8"/>
    <w:rsid w:val="008221EA"/>
    <w:rsid w:val="0082250F"/>
    <w:rsid w:val="00822B22"/>
    <w:rsid w:val="00822D64"/>
    <w:rsid w:val="00823A36"/>
    <w:rsid w:val="00823A80"/>
    <w:rsid w:val="008258A7"/>
    <w:rsid w:val="00826255"/>
    <w:rsid w:val="00826941"/>
    <w:rsid w:val="00827194"/>
    <w:rsid w:val="00827560"/>
    <w:rsid w:val="008278D8"/>
    <w:rsid w:val="00827EEF"/>
    <w:rsid w:val="00830B97"/>
    <w:rsid w:val="00830DA8"/>
    <w:rsid w:val="008311CF"/>
    <w:rsid w:val="00833901"/>
    <w:rsid w:val="00834686"/>
    <w:rsid w:val="008349A4"/>
    <w:rsid w:val="008356B1"/>
    <w:rsid w:val="008363E9"/>
    <w:rsid w:val="008377FA"/>
    <w:rsid w:val="00837F26"/>
    <w:rsid w:val="00841418"/>
    <w:rsid w:val="00841C35"/>
    <w:rsid w:val="008420BC"/>
    <w:rsid w:val="008439B0"/>
    <w:rsid w:val="00844844"/>
    <w:rsid w:val="00845F4B"/>
    <w:rsid w:val="00846BE1"/>
    <w:rsid w:val="00847066"/>
    <w:rsid w:val="0084725A"/>
    <w:rsid w:val="008475AC"/>
    <w:rsid w:val="00847AA7"/>
    <w:rsid w:val="00847F96"/>
    <w:rsid w:val="00850089"/>
    <w:rsid w:val="00850663"/>
    <w:rsid w:val="008506E7"/>
    <w:rsid w:val="00852338"/>
    <w:rsid w:val="008524DC"/>
    <w:rsid w:val="008535F6"/>
    <w:rsid w:val="00854B74"/>
    <w:rsid w:val="00855119"/>
    <w:rsid w:val="00855C38"/>
    <w:rsid w:val="008566C5"/>
    <w:rsid w:val="00856B4C"/>
    <w:rsid w:val="00857345"/>
    <w:rsid w:val="0085798E"/>
    <w:rsid w:val="00857A55"/>
    <w:rsid w:val="00857B5A"/>
    <w:rsid w:val="00860389"/>
    <w:rsid w:val="0086169C"/>
    <w:rsid w:val="00861A4D"/>
    <w:rsid w:val="008627CB"/>
    <w:rsid w:val="00863CEE"/>
    <w:rsid w:val="008641E8"/>
    <w:rsid w:val="00864390"/>
    <w:rsid w:val="00864C21"/>
    <w:rsid w:val="008651C9"/>
    <w:rsid w:val="008655A3"/>
    <w:rsid w:val="00865A75"/>
    <w:rsid w:val="008661DC"/>
    <w:rsid w:val="008662E2"/>
    <w:rsid w:val="0086644E"/>
    <w:rsid w:val="008703A4"/>
    <w:rsid w:val="00870738"/>
    <w:rsid w:val="008708CA"/>
    <w:rsid w:val="0087097A"/>
    <w:rsid w:val="00871284"/>
    <w:rsid w:val="00872BB5"/>
    <w:rsid w:val="00872E93"/>
    <w:rsid w:val="00873259"/>
    <w:rsid w:val="00874322"/>
    <w:rsid w:val="00874502"/>
    <w:rsid w:val="008765DF"/>
    <w:rsid w:val="00877426"/>
    <w:rsid w:val="008779E1"/>
    <w:rsid w:val="00877E2B"/>
    <w:rsid w:val="008805A1"/>
    <w:rsid w:val="008806B9"/>
    <w:rsid w:val="00881496"/>
    <w:rsid w:val="008837C9"/>
    <w:rsid w:val="00883A3C"/>
    <w:rsid w:val="0088564B"/>
    <w:rsid w:val="00885984"/>
    <w:rsid w:val="008864A7"/>
    <w:rsid w:val="008867BF"/>
    <w:rsid w:val="008869B1"/>
    <w:rsid w:val="00886C09"/>
    <w:rsid w:val="008870AC"/>
    <w:rsid w:val="00887543"/>
    <w:rsid w:val="00887C37"/>
    <w:rsid w:val="00890913"/>
    <w:rsid w:val="00890980"/>
    <w:rsid w:val="00890AA0"/>
    <w:rsid w:val="00891D99"/>
    <w:rsid w:val="008935CE"/>
    <w:rsid w:val="008943A4"/>
    <w:rsid w:val="00894F31"/>
    <w:rsid w:val="00895516"/>
    <w:rsid w:val="00895CBF"/>
    <w:rsid w:val="00897797"/>
    <w:rsid w:val="00897F1C"/>
    <w:rsid w:val="008A0B18"/>
    <w:rsid w:val="008A1A5D"/>
    <w:rsid w:val="008A2C60"/>
    <w:rsid w:val="008A35C1"/>
    <w:rsid w:val="008A3937"/>
    <w:rsid w:val="008A4FE9"/>
    <w:rsid w:val="008A62B2"/>
    <w:rsid w:val="008A674C"/>
    <w:rsid w:val="008A676B"/>
    <w:rsid w:val="008A6B80"/>
    <w:rsid w:val="008A7069"/>
    <w:rsid w:val="008B03B3"/>
    <w:rsid w:val="008B151C"/>
    <w:rsid w:val="008B349C"/>
    <w:rsid w:val="008B3622"/>
    <w:rsid w:val="008B444D"/>
    <w:rsid w:val="008B4FF8"/>
    <w:rsid w:val="008B574F"/>
    <w:rsid w:val="008B62CD"/>
    <w:rsid w:val="008B62D6"/>
    <w:rsid w:val="008B62FB"/>
    <w:rsid w:val="008B643A"/>
    <w:rsid w:val="008B645C"/>
    <w:rsid w:val="008B6D99"/>
    <w:rsid w:val="008B7323"/>
    <w:rsid w:val="008C027E"/>
    <w:rsid w:val="008C049F"/>
    <w:rsid w:val="008C0ACF"/>
    <w:rsid w:val="008C0D5B"/>
    <w:rsid w:val="008C1812"/>
    <w:rsid w:val="008C243D"/>
    <w:rsid w:val="008C5152"/>
    <w:rsid w:val="008C57AC"/>
    <w:rsid w:val="008C7277"/>
    <w:rsid w:val="008C79EA"/>
    <w:rsid w:val="008C7BDB"/>
    <w:rsid w:val="008D03DF"/>
    <w:rsid w:val="008D0ED7"/>
    <w:rsid w:val="008D14D5"/>
    <w:rsid w:val="008D1B54"/>
    <w:rsid w:val="008D1DCC"/>
    <w:rsid w:val="008D2677"/>
    <w:rsid w:val="008D3E2B"/>
    <w:rsid w:val="008D4AF2"/>
    <w:rsid w:val="008D51D9"/>
    <w:rsid w:val="008D5403"/>
    <w:rsid w:val="008D54E4"/>
    <w:rsid w:val="008D58F6"/>
    <w:rsid w:val="008D5A2B"/>
    <w:rsid w:val="008D7579"/>
    <w:rsid w:val="008D75BE"/>
    <w:rsid w:val="008E00F7"/>
    <w:rsid w:val="008E086F"/>
    <w:rsid w:val="008E2F59"/>
    <w:rsid w:val="008E3A79"/>
    <w:rsid w:val="008E3B50"/>
    <w:rsid w:val="008E3D66"/>
    <w:rsid w:val="008E3D6A"/>
    <w:rsid w:val="008E44C1"/>
    <w:rsid w:val="008E477E"/>
    <w:rsid w:val="008E50AC"/>
    <w:rsid w:val="008E55A9"/>
    <w:rsid w:val="008E5E47"/>
    <w:rsid w:val="008E6E52"/>
    <w:rsid w:val="008F0271"/>
    <w:rsid w:val="008F0E92"/>
    <w:rsid w:val="008F141C"/>
    <w:rsid w:val="008F1CD3"/>
    <w:rsid w:val="008F1F09"/>
    <w:rsid w:val="008F4502"/>
    <w:rsid w:val="008F471E"/>
    <w:rsid w:val="008F6111"/>
    <w:rsid w:val="00900EE7"/>
    <w:rsid w:val="00901273"/>
    <w:rsid w:val="00901697"/>
    <w:rsid w:val="0090198E"/>
    <w:rsid w:val="00901DE3"/>
    <w:rsid w:val="00902CB4"/>
    <w:rsid w:val="00903E76"/>
    <w:rsid w:val="00904EF2"/>
    <w:rsid w:val="0090502C"/>
    <w:rsid w:val="0090693B"/>
    <w:rsid w:val="00910208"/>
    <w:rsid w:val="0091047E"/>
    <w:rsid w:val="009111E9"/>
    <w:rsid w:val="00911EC1"/>
    <w:rsid w:val="009137D5"/>
    <w:rsid w:val="00914939"/>
    <w:rsid w:val="00915027"/>
    <w:rsid w:val="00915984"/>
    <w:rsid w:val="00915DB3"/>
    <w:rsid w:val="009163DA"/>
    <w:rsid w:val="0091654E"/>
    <w:rsid w:val="00916708"/>
    <w:rsid w:val="009179A9"/>
    <w:rsid w:val="00917A8E"/>
    <w:rsid w:val="00917DE7"/>
    <w:rsid w:val="009211DB"/>
    <w:rsid w:val="0092165B"/>
    <w:rsid w:val="00922ED7"/>
    <w:rsid w:val="00923C56"/>
    <w:rsid w:val="00923E44"/>
    <w:rsid w:val="00923E65"/>
    <w:rsid w:val="00924673"/>
    <w:rsid w:val="00926E20"/>
    <w:rsid w:val="00926E9A"/>
    <w:rsid w:val="0092737A"/>
    <w:rsid w:val="0092762E"/>
    <w:rsid w:val="009276BC"/>
    <w:rsid w:val="009276D8"/>
    <w:rsid w:val="0092797D"/>
    <w:rsid w:val="009317F0"/>
    <w:rsid w:val="0093210D"/>
    <w:rsid w:val="00932C4C"/>
    <w:rsid w:val="009336F3"/>
    <w:rsid w:val="009337DA"/>
    <w:rsid w:val="00934613"/>
    <w:rsid w:val="00935007"/>
    <w:rsid w:val="00935C77"/>
    <w:rsid w:val="00935F86"/>
    <w:rsid w:val="009368C6"/>
    <w:rsid w:val="00937241"/>
    <w:rsid w:val="009374C3"/>
    <w:rsid w:val="00937B8A"/>
    <w:rsid w:val="00937B9E"/>
    <w:rsid w:val="00937D91"/>
    <w:rsid w:val="00940655"/>
    <w:rsid w:val="00940E97"/>
    <w:rsid w:val="009410C3"/>
    <w:rsid w:val="009410F7"/>
    <w:rsid w:val="0094184D"/>
    <w:rsid w:val="00943658"/>
    <w:rsid w:val="009442E8"/>
    <w:rsid w:val="009451E1"/>
    <w:rsid w:val="0094523B"/>
    <w:rsid w:val="00945FBF"/>
    <w:rsid w:val="00947374"/>
    <w:rsid w:val="00947583"/>
    <w:rsid w:val="00947CEC"/>
    <w:rsid w:val="00947F20"/>
    <w:rsid w:val="009503AF"/>
    <w:rsid w:val="00950D0B"/>
    <w:rsid w:val="00951323"/>
    <w:rsid w:val="00953FA7"/>
    <w:rsid w:val="0095531F"/>
    <w:rsid w:val="00955957"/>
    <w:rsid w:val="00956400"/>
    <w:rsid w:val="0095661E"/>
    <w:rsid w:val="00957678"/>
    <w:rsid w:val="00957906"/>
    <w:rsid w:val="00957B20"/>
    <w:rsid w:val="00960264"/>
    <w:rsid w:val="009604B5"/>
    <w:rsid w:val="009606E9"/>
    <w:rsid w:val="00960916"/>
    <w:rsid w:val="009609C9"/>
    <w:rsid w:val="00960D40"/>
    <w:rsid w:val="00960EAA"/>
    <w:rsid w:val="00961E3B"/>
    <w:rsid w:val="009624C0"/>
    <w:rsid w:val="009625B7"/>
    <w:rsid w:val="00963405"/>
    <w:rsid w:val="009647AE"/>
    <w:rsid w:val="0096488F"/>
    <w:rsid w:val="00964907"/>
    <w:rsid w:val="00964975"/>
    <w:rsid w:val="00964E7A"/>
    <w:rsid w:val="009654A3"/>
    <w:rsid w:val="00966181"/>
    <w:rsid w:val="00966CCE"/>
    <w:rsid w:val="0096780D"/>
    <w:rsid w:val="00971865"/>
    <w:rsid w:val="00971E27"/>
    <w:rsid w:val="009723B7"/>
    <w:rsid w:val="009724B4"/>
    <w:rsid w:val="0097322D"/>
    <w:rsid w:val="00975A1F"/>
    <w:rsid w:val="00976CEE"/>
    <w:rsid w:val="00976DD0"/>
    <w:rsid w:val="00977053"/>
    <w:rsid w:val="00981D73"/>
    <w:rsid w:val="00982C21"/>
    <w:rsid w:val="0098308D"/>
    <w:rsid w:val="00983361"/>
    <w:rsid w:val="00983B88"/>
    <w:rsid w:val="00983E6D"/>
    <w:rsid w:val="00984B8C"/>
    <w:rsid w:val="009862E7"/>
    <w:rsid w:val="009900AC"/>
    <w:rsid w:val="009926F0"/>
    <w:rsid w:val="00992E64"/>
    <w:rsid w:val="00992EB2"/>
    <w:rsid w:val="0099395D"/>
    <w:rsid w:val="00994019"/>
    <w:rsid w:val="009942C9"/>
    <w:rsid w:val="0099489E"/>
    <w:rsid w:val="00994BCB"/>
    <w:rsid w:val="00995F8D"/>
    <w:rsid w:val="009961BA"/>
    <w:rsid w:val="00996336"/>
    <w:rsid w:val="00996B6E"/>
    <w:rsid w:val="00996C61"/>
    <w:rsid w:val="00996DA8"/>
    <w:rsid w:val="0099707D"/>
    <w:rsid w:val="0099721F"/>
    <w:rsid w:val="00997D75"/>
    <w:rsid w:val="009A0DAE"/>
    <w:rsid w:val="009A152E"/>
    <w:rsid w:val="009A1898"/>
    <w:rsid w:val="009A20B2"/>
    <w:rsid w:val="009A21ED"/>
    <w:rsid w:val="009A31B8"/>
    <w:rsid w:val="009A3E37"/>
    <w:rsid w:val="009A4177"/>
    <w:rsid w:val="009A4DAE"/>
    <w:rsid w:val="009A5262"/>
    <w:rsid w:val="009A55A4"/>
    <w:rsid w:val="009A6C74"/>
    <w:rsid w:val="009A6DEB"/>
    <w:rsid w:val="009A77F6"/>
    <w:rsid w:val="009A7983"/>
    <w:rsid w:val="009A7E34"/>
    <w:rsid w:val="009A7E8E"/>
    <w:rsid w:val="009B0AE7"/>
    <w:rsid w:val="009B0DFD"/>
    <w:rsid w:val="009B0F1A"/>
    <w:rsid w:val="009B18C6"/>
    <w:rsid w:val="009B202F"/>
    <w:rsid w:val="009B2155"/>
    <w:rsid w:val="009B26B6"/>
    <w:rsid w:val="009B2D16"/>
    <w:rsid w:val="009B3384"/>
    <w:rsid w:val="009B3741"/>
    <w:rsid w:val="009B3D02"/>
    <w:rsid w:val="009B3E08"/>
    <w:rsid w:val="009B3E6C"/>
    <w:rsid w:val="009B4E82"/>
    <w:rsid w:val="009B642F"/>
    <w:rsid w:val="009B6B82"/>
    <w:rsid w:val="009B7D0B"/>
    <w:rsid w:val="009B7E85"/>
    <w:rsid w:val="009C05C5"/>
    <w:rsid w:val="009C07E7"/>
    <w:rsid w:val="009C0869"/>
    <w:rsid w:val="009C0D02"/>
    <w:rsid w:val="009C1CE3"/>
    <w:rsid w:val="009C2157"/>
    <w:rsid w:val="009C27B8"/>
    <w:rsid w:val="009C3484"/>
    <w:rsid w:val="009C484E"/>
    <w:rsid w:val="009C5A3B"/>
    <w:rsid w:val="009C6B24"/>
    <w:rsid w:val="009C6D64"/>
    <w:rsid w:val="009D001E"/>
    <w:rsid w:val="009D1A38"/>
    <w:rsid w:val="009D1DBF"/>
    <w:rsid w:val="009D2793"/>
    <w:rsid w:val="009D302E"/>
    <w:rsid w:val="009D31DF"/>
    <w:rsid w:val="009D34A3"/>
    <w:rsid w:val="009D3D3C"/>
    <w:rsid w:val="009D4C32"/>
    <w:rsid w:val="009D5C3A"/>
    <w:rsid w:val="009D5EFB"/>
    <w:rsid w:val="009D7C00"/>
    <w:rsid w:val="009D7CFD"/>
    <w:rsid w:val="009E01F6"/>
    <w:rsid w:val="009E0305"/>
    <w:rsid w:val="009E095E"/>
    <w:rsid w:val="009E0C92"/>
    <w:rsid w:val="009E0F0E"/>
    <w:rsid w:val="009E0F97"/>
    <w:rsid w:val="009E1ECE"/>
    <w:rsid w:val="009E20CF"/>
    <w:rsid w:val="009E229D"/>
    <w:rsid w:val="009E339F"/>
    <w:rsid w:val="009E390F"/>
    <w:rsid w:val="009E40E3"/>
    <w:rsid w:val="009E4F51"/>
    <w:rsid w:val="009E504E"/>
    <w:rsid w:val="009E5277"/>
    <w:rsid w:val="009E5589"/>
    <w:rsid w:val="009E6454"/>
    <w:rsid w:val="009E6584"/>
    <w:rsid w:val="009E6B53"/>
    <w:rsid w:val="009E78C5"/>
    <w:rsid w:val="009F1266"/>
    <w:rsid w:val="009F219E"/>
    <w:rsid w:val="009F22D7"/>
    <w:rsid w:val="009F2EC9"/>
    <w:rsid w:val="009F3327"/>
    <w:rsid w:val="009F34C2"/>
    <w:rsid w:val="009F3C97"/>
    <w:rsid w:val="009F3DD6"/>
    <w:rsid w:val="009F4B2A"/>
    <w:rsid w:val="009F635E"/>
    <w:rsid w:val="009F64D5"/>
    <w:rsid w:val="009F71DE"/>
    <w:rsid w:val="009F7877"/>
    <w:rsid w:val="009F7D8D"/>
    <w:rsid w:val="00A0065F"/>
    <w:rsid w:val="00A0196B"/>
    <w:rsid w:val="00A03329"/>
    <w:rsid w:val="00A036D5"/>
    <w:rsid w:val="00A03847"/>
    <w:rsid w:val="00A03CFF"/>
    <w:rsid w:val="00A04D35"/>
    <w:rsid w:val="00A04E34"/>
    <w:rsid w:val="00A053B0"/>
    <w:rsid w:val="00A05EA7"/>
    <w:rsid w:val="00A05ECA"/>
    <w:rsid w:val="00A061BC"/>
    <w:rsid w:val="00A06272"/>
    <w:rsid w:val="00A07442"/>
    <w:rsid w:val="00A10783"/>
    <w:rsid w:val="00A11A49"/>
    <w:rsid w:val="00A11EFE"/>
    <w:rsid w:val="00A124CE"/>
    <w:rsid w:val="00A1308E"/>
    <w:rsid w:val="00A13550"/>
    <w:rsid w:val="00A13BCB"/>
    <w:rsid w:val="00A14252"/>
    <w:rsid w:val="00A150EF"/>
    <w:rsid w:val="00A1520C"/>
    <w:rsid w:val="00A152BA"/>
    <w:rsid w:val="00A15339"/>
    <w:rsid w:val="00A15AE6"/>
    <w:rsid w:val="00A15C9F"/>
    <w:rsid w:val="00A20833"/>
    <w:rsid w:val="00A20FC6"/>
    <w:rsid w:val="00A228C7"/>
    <w:rsid w:val="00A22D88"/>
    <w:rsid w:val="00A2417E"/>
    <w:rsid w:val="00A247DA"/>
    <w:rsid w:val="00A25DD7"/>
    <w:rsid w:val="00A25FDC"/>
    <w:rsid w:val="00A26ACB"/>
    <w:rsid w:val="00A26EEC"/>
    <w:rsid w:val="00A27370"/>
    <w:rsid w:val="00A277B6"/>
    <w:rsid w:val="00A301D3"/>
    <w:rsid w:val="00A3072F"/>
    <w:rsid w:val="00A30DE8"/>
    <w:rsid w:val="00A32237"/>
    <w:rsid w:val="00A3243A"/>
    <w:rsid w:val="00A3283F"/>
    <w:rsid w:val="00A3439D"/>
    <w:rsid w:val="00A34468"/>
    <w:rsid w:val="00A34F14"/>
    <w:rsid w:val="00A35BF8"/>
    <w:rsid w:val="00A36D44"/>
    <w:rsid w:val="00A37A05"/>
    <w:rsid w:val="00A40D21"/>
    <w:rsid w:val="00A43085"/>
    <w:rsid w:val="00A43304"/>
    <w:rsid w:val="00A43CBA"/>
    <w:rsid w:val="00A452F5"/>
    <w:rsid w:val="00A467E2"/>
    <w:rsid w:val="00A46BF6"/>
    <w:rsid w:val="00A52301"/>
    <w:rsid w:val="00A524BB"/>
    <w:rsid w:val="00A52E33"/>
    <w:rsid w:val="00A530E1"/>
    <w:rsid w:val="00A531F9"/>
    <w:rsid w:val="00A537BB"/>
    <w:rsid w:val="00A5380B"/>
    <w:rsid w:val="00A53E31"/>
    <w:rsid w:val="00A5409F"/>
    <w:rsid w:val="00A54AAB"/>
    <w:rsid w:val="00A54AC8"/>
    <w:rsid w:val="00A550B0"/>
    <w:rsid w:val="00A555D6"/>
    <w:rsid w:val="00A56D38"/>
    <w:rsid w:val="00A57A3B"/>
    <w:rsid w:val="00A61555"/>
    <w:rsid w:val="00A61C63"/>
    <w:rsid w:val="00A63DA8"/>
    <w:rsid w:val="00A65823"/>
    <w:rsid w:val="00A66EED"/>
    <w:rsid w:val="00A675D3"/>
    <w:rsid w:val="00A71635"/>
    <w:rsid w:val="00A71C5F"/>
    <w:rsid w:val="00A725BB"/>
    <w:rsid w:val="00A72669"/>
    <w:rsid w:val="00A727B2"/>
    <w:rsid w:val="00A728F6"/>
    <w:rsid w:val="00A729D3"/>
    <w:rsid w:val="00A72FAD"/>
    <w:rsid w:val="00A7438F"/>
    <w:rsid w:val="00A752A1"/>
    <w:rsid w:val="00A75371"/>
    <w:rsid w:val="00A75E7B"/>
    <w:rsid w:val="00A7691D"/>
    <w:rsid w:val="00A76EFC"/>
    <w:rsid w:val="00A774EE"/>
    <w:rsid w:val="00A80F3D"/>
    <w:rsid w:val="00A81470"/>
    <w:rsid w:val="00A822CE"/>
    <w:rsid w:val="00A82804"/>
    <w:rsid w:val="00A82958"/>
    <w:rsid w:val="00A82D19"/>
    <w:rsid w:val="00A82D98"/>
    <w:rsid w:val="00A837D8"/>
    <w:rsid w:val="00A87319"/>
    <w:rsid w:val="00A8755D"/>
    <w:rsid w:val="00A87785"/>
    <w:rsid w:val="00A87C94"/>
    <w:rsid w:val="00A9025E"/>
    <w:rsid w:val="00A9062F"/>
    <w:rsid w:val="00A90C56"/>
    <w:rsid w:val="00A91F76"/>
    <w:rsid w:val="00A92014"/>
    <w:rsid w:val="00A92D7C"/>
    <w:rsid w:val="00A92F6C"/>
    <w:rsid w:val="00A9576D"/>
    <w:rsid w:val="00A95DE0"/>
    <w:rsid w:val="00A96104"/>
    <w:rsid w:val="00A96239"/>
    <w:rsid w:val="00A969ED"/>
    <w:rsid w:val="00A96AE4"/>
    <w:rsid w:val="00A96DCD"/>
    <w:rsid w:val="00A97527"/>
    <w:rsid w:val="00AA0146"/>
    <w:rsid w:val="00AA1D03"/>
    <w:rsid w:val="00AA303F"/>
    <w:rsid w:val="00AA331E"/>
    <w:rsid w:val="00AA3FBC"/>
    <w:rsid w:val="00AA4023"/>
    <w:rsid w:val="00AA4425"/>
    <w:rsid w:val="00AA4D5C"/>
    <w:rsid w:val="00AA5268"/>
    <w:rsid w:val="00AA5480"/>
    <w:rsid w:val="00AA5736"/>
    <w:rsid w:val="00AA5F24"/>
    <w:rsid w:val="00AA6C78"/>
    <w:rsid w:val="00AA6E60"/>
    <w:rsid w:val="00AA6F40"/>
    <w:rsid w:val="00AA7262"/>
    <w:rsid w:val="00AB073B"/>
    <w:rsid w:val="00AB0D2D"/>
    <w:rsid w:val="00AB11CD"/>
    <w:rsid w:val="00AB1B62"/>
    <w:rsid w:val="00AB1ECE"/>
    <w:rsid w:val="00AB262F"/>
    <w:rsid w:val="00AB28A6"/>
    <w:rsid w:val="00AB2EA6"/>
    <w:rsid w:val="00AB37EB"/>
    <w:rsid w:val="00AB4544"/>
    <w:rsid w:val="00AB4C07"/>
    <w:rsid w:val="00AB6C3D"/>
    <w:rsid w:val="00AC0415"/>
    <w:rsid w:val="00AC05E9"/>
    <w:rsid w:val="00AC1B56"/>
    <w:rsid w:val="00AC1F98"/>
    <w:rsid w:val="00AC2A1F"/>
    <w:rsid w:val="00AC3CCB"/>
    <w:rsid w:val="00AC3FCA"/>
    <w:rsid w:val="00AC411C"/>
    <w:rsid w:val="00AC4F20"/>
    <w:rsid w:val="00AC4FB0"/>
    <w:rsid w:val="00AC4FFB"/>
    <w:rsid w:val="00AC5A39"/>
    <w:rsid w:val="00AC5AA7"/>
    <w:rsid w:val="00AC5EB4"/>
    <w:rsid w:val="00AC6141"/>
    <w:rsid w:val="00AC7FCC"/>
    <w:rsid w:val="00AD0AA9"/>
    <w:rsid w:val="00AD2858"/>
    <w:rsid w:val="00AD3BFE"/>
    <w:rsid w:val="00AD6066"/>
    <w:rsid w:val="00AD62A6"/>
    <w:rsid w:val="00AD6A6D"/>
    <w:rsid w:val="00AD6D5F"/>
    <w:rsid w:val="00AD6F92"/>
    <w:rsid w:val="00AD7BD8"/>
    <w:rsid w:val="00AD7F65"/>
    <w:rsid w:val="00AE00CB"/>
    <w:rsid w:val="00AE323F"/>
    <w:rsid w:val="00AE4C02"/>
    <w:rsid w:val="00AE512C"/>
    <w:rsid w:val="00AE6168"/>
    <w:rsid w:val="00AE6201"/>
    <w:rsid w:val="00AE6218"/>
    <w:rsid w:val="00AE714C"/>
    <w:rsid w:val="00AE7ADF"/>
    <w:rsid w:val="00AF0D15"/>
    <w:rsid w:val="00AF105D"/>
    <w:rsid w:val="00AF1BCF"/>
    <w:rsid w:val="00AF1EE4"/>
    <w:rsid w:val="00AF2E35"/>
    <w:rsid w:val="00AF3928"/>
    <w:rsid w:val="00AF4489"/>
    <w:rsid w:val="00AF4998"/>
    <w:rsid w:val="00AF49DE"/>
    <w:rsid w:val="00AF4DE0"/>
    <w:rsid w:val="00AF5144"/>
    <w:rsid w:val="00AF5762"/>
    <w:rsid w:val="00AF7B0D"/>
    <w:rsid w:val="00B00517"/>
    <w:rsid w:val="00B006EA"/>
    <w:rsid w:val="00B00AD1"/>
    <w:rsid w:val="00B00EDF"/>
    <w:rsid w:val="00B00FA8"/>
    <w:rsid w:val="00B01F5A"/>
    <w:rsid w:val="00B02A82"/>
    <w:rsid w:val="00B031E4"/>
    <w:rsid w:val="00B03B63"/>
    <w:rsid w:val="00B046B7"/>
    <w:rsid w:val="00B05233"/>
    <w:rsid w:val="00B05BD1"/>
    <w:rsid w:val="00B05BDF"/>
    <w:rsid w:val="00B06F79"/>
    <w:rsid w:val="00B07B1D"/>
    <w:rsid w:val="00B10BA9"/>
    <w:rsid w:val="00B11092"/>
    <w:rsid w:val="00B11731"/>
    <w:rsid w:val="00B11FE5"/>
    <w:rsid w:val="00B13043"/>
    <w:rsid w:val="00B1324A"/>
    <w:rsid w:val="00B13B6A"/>
    <w:rsid w:val="00B13B71"/>
    <w:rsid w:val="00B13B8C"/>
    <w:rsid w:val="00B156B3"/>
    <w:rsid w:val="00B15C3F"/>
    <w:rsid w:val="00B17F00"/>
    <w:rsid w:val="00B17F87"/>
    <w:rsid w:val="00B201E8"/>
    <w:rsid w:val="00B21D86"/>
    <w:rsid w:val="00B2243A"/>
    <w:rsid w:val="00B224F8"/>
    <w:rsid w:val="00B22F70"/>
    <w:rsid w:val="00B2408A"/>
    <w:rsid w:val="00B24C05"/>
    <w:rsid w:val="00B25613"/>
    <w:rsid w:val="00B25619"/>
    <w:rsid w:val="00B25706"/>
    <w:rsid w:val="00B2734D"/>
    <w:rsid w:val="00B31238"/>
    <w:rsid w:val="00B31427"/>
    <w:rsid w:val="00B323D1"/>
    <w:rsid w:val="00B325E6"/>
    <w:rsid w:val="00B32823"/>
    <w:rsid w:val="00B32C7C"/>
    <w:rsid w:val="00B33042"/>
    <w:rsid w:val="00B3323D"/>
    <w:rsid w:val="00B33638"/>
    <w:rsid w:val="00B349A2"/>
    <w:rsid w:val="00B34AC0"/>
    <w:rsid w:val="00B34E5E"/>
    <w:rsid w:val="00B3563B"/>
    <w:rsid w:val="00B362A7"/>
    <w:rsid w:val="00B36AED"/>
    <w:rsid w:val="00B3729A"/>
    <w:rsid w:val="00B37726"/>
    <w:rsid w:val="00B37D1D"/>
    <w:rsid w:val="00B4288A"/>
    <w:rsid w:val="00B42A20"/>
    <w:rsid w:val="00B42FEC"/>
    <w:rsid w:val="00B43E21"/>
    <w:rsid w:val="00B44BC3"/>
    <w:rsid w:val="00B45C1F"/>
    <w:rsid w:val="00B45DE7"/>
    <w:rsid w:val="00B464BE"/>
    <w:rsid w:val="00B464E4"/>
    <w:rsid w:val="00B46CB4"/>
    <w:rsid w:val="00B476A7"/>
    <w:rsid w:val="00B47794"/>
    <w:rsid w:val="00B47D4E"/>
    <w:rsid w:val="00B50587"/>
    <w:rsid w:val="00B50C49"/>
    <w:rsid w:val="00B520B7"/>
    <w:rsid w:val="00B54287"/>
    <w:rsid w:val="00B54A32"/>
    <w:rsid w:val="00B54B43"/>
    <w:rsid w:val="00B567BA"/>
    <w:rsid w:val="00B568CF"/>
    <w:rsid w:val="00B570FA"/>
    <w:rsid w:val="00B576C5"/>
    <w:rsid w:val="00B57AA2"/>
    <w:rsid w:val="00B60F4A"/>
    <w:rsid w:val="00B6217B"/>
    <w:rsid w:val="00B62EED"/>
    <w:rsid w:val="00B6373E"/>
    <w:rsid w:val="00B64BA1"/>
    <w:rsid w:val="00B6588A"/>
    <w:rsid w:val="00B65995"/>
    <w:rsid w:val="00B66545"/>
    <w:rsid w:val="00B67489"/>
    <w:rsid w:val="00B712DF"/>
    <w:rsid w:val="00B716FC"/>
    <w:rsid w:val="00B71869"/>
    <w:rsid w:val="00B71936"/>
    <w:rsid w:val="00B72276"/>
    <w:rsid w:val="00B7440B"/>
    <w:rsid w:val="00B74F35"/>
    <w:rsid w:val="00B75267"/>
    <w:rsid w:val="00B75C36"/>
    <w:rsid w:val="00B760F1"/>
    <w:rsid w:val="00B76975"/>
    <w:rsid w:val="00B77323"/>
    <w:rsid w:val="00B77FA2"/>
    <w:rsid w:val="00B80AE1"/>
    <w:rsid w:val="00B80B70"/>
    <w:rsid w:val="00B8100A"/>
    <w:rsid w:val="00B82477"/>
    <w:rsid w:val="00B83646"/>
    <w:rsid w:val="00B84757"/>
    <w:rsid w:val="00B8545E"/>
    <w:rsid w:val="00B87746"/>
    <w:rsid w:val="00B903DE"/>
    <w:rsid w:val="00B90945"/>
    <w:rsid w:val="00B91396"/>
    <w:rsid w:val="00B91BC8"/>
    <w:rsid w:val="00B92E7D"/>
    <w:rsid w:val="00B93AD4"/>
    <w:rsid w:val="00B93C08"/>
    <w:rsid w:val="00B9444A"/>
    <w:rsid w:val="00B9528E"/>
    <w:rsid w:val="00B9636D"/>
    <w:rsid w:val="00B9683D"/>
    <w:rsid w:val="00B96A52"/>
    <w:rsid w:val="00B975EB"/>
    <w:rsid w:val="00B9779A"/>
    <w:rsid w:val="00BA0265"/>
    <w:rsid w:val="00BA0421"/>
    <w:rsid w:val="00BA04B1"/>
    <w:rsid w:val="00BA1F45"/>
    <w:rsid w:val="00BA2C7D"/>
    <w:rsid w:val="00BA3184"/>
    <w:rsid w:val="00BA31FE"/>
    <w:rsid w:val="00BA4988"/>
    <w:rsid w:val="00BA5175"/>
    <w:rsid w:val="00BA54E5"/>
    <w:rsid w:val="00BA696A"/>
    <w:rsid w:val="00BA6987"/>
    <w:rsid w:val="00BB56AE"/>
    <w:rsid w:val="00BB5F4C"/>
    <w:rsid w:val="00BB5F8F"/>
    <w:rsid w:val="00BB6048"/>
    <w:rsid w:val="00BB6363"/>
    <w:rsid w:val="00BB65B0"/>
    <w:rsid w:val="00BB6625"/>
    <w:rsid w:val="00BB671B"/>
    <w:rsid w:val="00BB67FD"/>
    <w:rsid w:val="00BB6840"/>
    <w:rsid w:val="00BB6B1B"/>
    <w:rsid w:val="00BB74D7"/>
    <w:rsid w:val="00BB7792"/>
    <w:rsid w:val="00BC0243"/>
    <w:rsid w:val="00BC1337"/>
    <w:rsid w:val="00BC13C5"/>
    <w:rsid w:val="00BC182F"/>
    <w:rsid w:val="00BC1F2A"/>
    <w:rsid w:val="00BC1FB8"/>
    <w:rsid w:val="00BC3288"/>
    <w:rsid w:val="00BC3592"/>
    <w:rsid w:val="00BC3CB3"/>
    <w:rsid w:val="00BC432D"/>
    <w:rsid w:val="00BC4612"/>
    <w:rsid w:val="00BC4772"/>
    <w:rsid w:val="00BC5842"/>
    <w:rsid w:val="00BC678A"/>
    <w:rsid w:val="00BC724F"/>
    <w:rsid w:val="00BC78DC"/>
    <w:rsid w:val="00BC7DC0"/>
    <w:rsid w:val="00BD0CCE"/>
    <w:rsid w:val="00BD187E"/>
    <w:rsid w:val="00BD1C9D"/>
    <w:rsid w:val="00BD2128"/>
    <w:rsid w:val="00BD2561"/>
    <w:rsid w:val="00BD2832"/>
    <w:rsid w:val="00BD285F"/>
    <w:rsid w:val="00BD29D8"/>
    <w:rsid w:val="00BD2FD9"/>
    <w:rsid w:val="00BD3C5C"/>
    <w:rsid w:val="00BD3FA5"/>
    <w:rsid w:val="00BD4160"/>
    <w:rsid w:val="00BD4257"/>
    <w:rsid w:val="00BD4E64"/>
    <w:rsid w:val="00BD61AA"/>
    <w:rsid w:val="00BD666E"/>
    <w:rsid w:val="00BD6C81"/>
    <w:rsid w:val="00BD713B"/>
    <w:rsid w:val="00BD75FE"/>
    <w:rsid w:val="00BD7687"/>
    <w:rsid w:val="00BD7837"/>
    <w:rsid w:val="00BD7FDF"/>
    <w:rsid w:val="00BE0644"/>
    <w:rsid w:val="00BE2082"/>
    <w:rsid w:val="00BE3C47"/>
    <w:rsid w:val="00BE4BCE"/>
    <w:rsid w:val="00BE4EAD"/>
    <w:rsid w:val="00BE561C"/>
    <w:rsid w:val="00BE5D49"/>
    <w:rsid w:val="00BE6A4F"/>
    <w:rsid w:val="00BE7F9F"/>
    <w:rsid w:val="00BF0BFF"/>
    <w:rsid w:val="00BF0D45"/>
    <w:rsid w:val="00BF114A"/>
    <w:rsid w:val="00BF195A"/>
    <w:rsid w:val="00BF19C3"/>
    <w:rsid w:val="00BF1BC2"/>
    <w:rsid w:val="00BF27B0"/>
    <w:rsid w:val="00BF308D"/>
    <w:rsid w:val="00BF3919"/>
    <w:rsid w:val="00BF3B04"/>
    <w:rsid w:val="00BF4396"/>
    <w:rsid w:val="00BF4767"/>
    <w:rsid w:val="00BF579B"/>
    <w:rsid w:val="00BF7AE5"/>
    <w:rsid w:val="00C02AA7"/>
    <w:rsid w:val="00C03469"/>
    <w:rsid w:val="00C0364E"/>
    <w:rsid w:val="00C03F37"/>
    <w:rsid w:val="00C05208"/>
    <w:rsid w:val="00C0573E"/>
    <w:rsid w:val="00C05B37"/>
    <w:rsid w:val="00C05CFA"/>
    <w:rsid w:val="00C06004"/>
    <w:rsid w:val="00C0672C"/>
    <w:rsid w:val="00C068AE"/>
    <w:rsid w:val="00C10AB4"/>
    <w:rsid w:val="00C10B07"/>
    <w:rsid w:val="00C10EA7"/>
    <w:rsid w:val="00C115CA"/>
    <w:rsid w:val="00C11745"/>
    <w:rsid w:val="00C11DBC"/>
    <w:rsid w:val="00C12226"/>
    <w:rsid w:val="00C1291E"/>
    <w:rsid w:val="00C12B39"/>
    <w:rsid w:val="00C12B97"/>
    <w:rsid w:val="00C13DB7"/>
    <w:rsid w:val="00C1439D"/>
    <w:rsid w:val="00C1535A"/>
    <w:rsid w:val="00C1535B"/>
    <w:rsid w:val="00C15974"/>
    <w:rsid w:val="00C15B62"/>
    <w:rsid w:val="00C15D77"/>
    <w:rsid w:val="00C16467"/>
    <w:rsid w:val="00C16D68"/>
    <w:rsid w:val="00C17177"/>
    <w:rsid w:val="00C17622"/>
    <w:rsid w:val="00C17C06"/>
    <w:rsid w:val="00C2008A"/>
    <w:rsid w:val="00C203AE"/>
    <w:rsid w:val="00C20BC0"/>
    <w:rsid w:val="00C20BD2"/>
    <w:rsid w:val="00C2111F"/>
    <w:rsid w:val="00C2142A"/>
    <w:rsid w:val="00C2218D"/>
    <w:rsid w:val="00C22888"/>
    <w:rsid w:val="00C23242"/>
    <w:rsid w:val="00C23445"/>
    <w:rsid w:val="00C23BAB"/>
    <w:rsid w:val="00C24247"/>
    <w:rsid w:val="00C25B1A"/>
    <w:rsid w:val="00C2671F"/>
    <w:rsid w:val="00C26748"/>
    <w:rsid w:val="00C26A52"/>
    <w:rsid w:val="00C313BF"/>
    <w:rsid w:val="00C313F2"/>
    <w:rsid w:val="00C31DE8"/>
    <w:rsid w:val="00C3211B"/>
    <w:rsid w:val="00C3479A"/>
    <w:rsid w:val="00C35514"/>
    <w:rsid w:val="00C35841"/>
    <w:rsid w:val="00C374D7"/>
    <w:rsid w:val="00C40DD9"/>
    <w:rsid w:val="00C41521"/>
    <w:rsid w:val="00C41932"/>
    <w:rsid w:val="00C4245B"/>
    <w:rsid w:val="00C42605"/>
    <w:rsid w:val="00C4296F"/>
    <w:rsid w:val="00C4358D"/>
    <w:rsid w:val="00C43697"/>
    <w:rsid w:val="00C450A6"/>
    <w:rsid w:val="00C45209"/>
    <w:rsid w:val="00C4577C"/>
    <w:rsid w:val="00C46754"/>
    <w:rsid w:val="00C46908"/>
    <w:rsid w:val="00C47FBB"/>
    <w:rsid w:val="00C50989"/>
    <w:rsid w:val="00C514A0"/>
    <w:rsid w:val="00C51A89"/>
    <w:rsid w:val="00C537C5"/>
    <w:rsid w:val="00C54805"/>
    <w:rsid w:val="00C551B4"/>
    <w:rsid w:val="00C55413"/>
    <w:rsid w:val="00C5557B"/>
    <w:rsid w:val="00C571D8"/>
    <w:rsid w:val="00C57CBB"/>
    <w:rsid w:val="00C57FCA"/>
    <w:rsid w:val="00C60138"/>
    <w:rsid w:val="00C602AC"/>
    <w:rsid w:val="00C6057E"/>
    <w:rsid w:val="00C606AD"/>
    <w:rsid w:val="00C6072C"/>
    <w:rsid w:val="00C60EB8"/>
    <w:rsid w:val="00C61652"/>
    <w:rsid w:val="00C62242"/>
    <w:rsid w:val="00C62882"/>
    <w:rsid w:val="00C638FF"/>
    <w:rsid w:val="00C63F53"/>
    <w:rsid w:val="00C64A1E"/>
    <w:rsid w:val="00C64F61"/>
    <w:rsid w:val="00C65EF2"/>
    <w:rsid w:val="00C66EDC"/>
    <w:rsid w:val="00C6703C"/>
    <w:rsid w:val="00C7005C"/>
    <w:rsid w:val="00C707D9"/>
    <w:rsid w:val="00C723DD"/>
    <w:rsid w:val="00C72822"/>
    <w:rsid w:val="00C728BF"/>
    <w:rsid w:val="00C72C3E"/>
    <w:rsid w:val="00C73242"/>
    <w:rsid w:val="00C73A45"/>
    <w:rsid w:val="00C73D76"/>
    <w:rsid w:val="00C744A1"/>
    <w:rsid w:val="00C747B7"/>
    <w:rsid w:val="00C75AD1"/>
    <w:rsid w:val="00C75AE0"/>
    <w:rsid w:val="00C76C1A"/>
    <w:rsid w:val="00C77432"/>
    <w:rsid w:val="00C77A7F"/>
    <w:rsid w:val="00C80F99"/>
    <w:rsid w:val="00C813CC"/>
    <w:rsid w:val="00C81420"/>
    <w:rsid w:val="00C81609"/>
    <w:rsid w:val="00C81DC1"/>
    <w:rsid w:val="00C8215C"/>
    <w:rsid w:val="00C82A57"/>
    <w:rsid w:val="00C832B4"/>
    <w:rsid w:val="00C83491"/>
    <w:rsid w:val="00C8407A"/>
    <w:rsid w:val="00C86833"/>
    <w:rsid w:val="00C868C5"/>
    <w:rsid w:val="00C87889"/>
    <w:rsid w:val="00C9022E"/>
    <w:rsid w:val="00C909F6"/>
    <w:rsid w:val="00C910BF"/>
    <w:rsid w:val="00C911C6"/>
    <w:rsid w:val="00C94E19"/>
    <w:rsid w:val="00C9592E"/>
    <w:rsid w:val="00C97B6D"/>
    <w:rsid w:val="00CA0960"/>
    <w:rsid w:val="00CA1040"/>
    <w:rsid w:val="00CA23DC"/>
    <w:rsid w:val="00CA3951"/>
    <w:rsid w:val="00CA3ADD"/>
    <w:rsid w:val="00CA4B4D"/>
    <w:rsid w:val="00CA4E95"/>
    <w:rsid w:val="00CA5300"/>
    <w:rsid w:val="00CA5B4A"/>
    <w:rsid w:val="00CA6838"/>
    <w:rsid w:val="00CA6D7D"/>
    <w:rsid w:val="00CA6FFB"/>
    <w:rsid w:val="00CA77FA"/>
    <w:rsid w:val="00CA78F4"/>
    <w:rsid w:val="00CA7B58"/>
    <w:rsid w:val="00CB02F1"/>
    <w:rsid w:val="00CB05BC"/>
    <w:rsid w:val="00CB1384"/>
    <w:rsid w:val="00CB1AA8"/>
    <w:rsid w:val="00CB3457"/>
    <w:rsid w:val="00CB36BA"/>
    <w:rsid w:val="00CB3D04"/>
    <w:rsid w:val="00CB3F71"/>
    <w:rsid w:val="00CB6191"/>
    <w:rsid w:val="00CB6F4A"/>
    <w:rsid w:val="00CB7F45"/>
    <w:rsid w:val="00CC01CD"/>
    <w:rsid w:val="00CC023E"/>
    <w:rsid w:val="00CC03B1"/>
    <w:rsid w:val="00CC15C9"/>
    <w:rsid w:val="00CC16AB"/>
    <w:rsid w:val="00CC1746"/>
    <w:rsid w:val="00CC2DB3"/>
    <w:rsid w:val="00CC3013"/>
    <w:rsid w:val="00CC32B6"/>
    <w:rsid w:val="00CC37FB"/>
    <w:rsid w:val="00CC438D"/>
    <w:rsid w:val="00CC6009"/>
    <w:rsid w:val="00CC6628"/>
    <w:rsid w:val="00CC6AF2"/>
    <w:rsid w:val="00CC7E10"/>
    <w:rsid w:val="00CD0382"/>
    <w:rsid w:val="00CD0C93"/>
    <w:rsid w:val="00CD14A6"/>
    <w:rsid w:val="00CD1A29"/>
    <w:rsid w:val="00CD2349"/>
    <w:rsid w:val="00CD2AED"/>
    <w:rsid w:val="00CD34D2"/>
    <w:rsid w:val="00CD34F8"/>
    <w:rsid w:val="00CD3EC2"/>
    <w:rsid w:val="00CD43C9"/>
    <w:rsid w:val="00CD5CCE"/>
    <w:rsid w:val="00CD6BBB"/>
    <w:rsid w:val="00CD7511"/>
    <w:rsid w:val="00CE0768"/>
    <w:rsid w:val="00CE1123"/>
    <w:rsid w:val="00CE2492"/>
    <w:rsid w:val="00CE2752"/>
    <w:rsid w:val="00CE35DE"/>
    <w:rsid w:val="00CE4079"/>
    <w:rsid w:val="00CE41C9"/>
    <w:rsid w:val="00CE7476"/>
    <w:rsid w:val="00CE7A65"/>
    <w:rsid w:val="00CE7E83"/>
    <w:rsid w:val="00CF16EF"/>
    <w:rsid w:val="00CF2D7A"/>
    <w:rsid w:val="00CF3FB2"/>
    <w:rsid w:val="00CF51EB"/>
    <w:rsid w:val="00CF57BF"/>
    <w:rsid w:val="00CF5909"/>
    <w:rsid w:val="00CF5E4A"/>
    <w:rsid w:val="00CF679F"/>
    <w:rsid w:val="00CF6A10"/>
    <w:rsid w:val="00D003B4"/>
    <w:rsid w:val="00D01EA0"/>
    <w:rsid w:val="00D02C07"/>
    <w:rsid w:val="00D04EA3"/>
    <w:rsid w:val="00D05802"/>
    <w:rsid w:val="00D066CF"/>
    <w:rsid w:val="00D06742"/>
    <w:rsid w:val="00D06BBF"/>
    <w:rsid w:val="00D06E9E"/>
    <w:rsid w:val="00D07787"/>
    <w:rsid w:val="00D07A97"/>
    <w:rsid w:val="00D1027E"/>
    <w:rsid w:val="00D1047F"/>
    <w:rsid w:val="00D10F5C"/>
    <w:rsid w:val="00D11375"/>
    <w:rsid w:val="00D114AF"/>
    <w:rsid w:val="00D114F7"/>
    <w:rsid w:val="00D11759"/>
    <w:rsid w:val="00D11891"/>
    <w:rsid w:val="00D1486E"/>
    <w:rsid w:val="00D14DEF"/>
    <w:rsid w:val="00D1584A"/>
    <w:rsid w:val="00D15F88"/>
    <w:rsid w:val="00D16DB1"/>
    <w:rsid w:val="00D16EF2"/>
    <w:rsid w:val="00D1718C"/>
    <w:rsid w:val="00D1783A"/>
    <w:rsid w:val="00D17A14"/>
    <w:rsid w:val="00D20235"/>
    <w:rsid w:val="00D218D8"/>
    <w:rsid w:val="00D21EFC"/>
    <w:rsid w:val="00D21F37"/>
    <w:rsid w:val="00D22035"/>
    <w:rsid w:val="00D225E5"/>
    <w:rsid w:val="00D23FD8"/>
    <w:rsid w:val="00D2471A"/>
    <w:rsid w:val="00D24C4A"/>
    <w:rsid w:val="00D306AB"/>
    <w:rsid w:val="00D324C4"/>
    <w:rsid w:val="00D3298F"/>
    <w:rsid w:val="00D3365A"/>
    <w:rsid w:val="00D3371B"/>
    <w:rsid w:val="00D34BF4"/>
    <w:rsid w:val="00D34FFB"/>
    <w:rsid w:val="00D35550"/>
    <w:rsid w:val="00D361AC"/>
    <w:rsid w:val="00D371A9"/>
    <w:rsid w:val="00D43436"/>
    <w:rsid w:val="00D43B4B"/>
    <w:rsid w:val="00D43DA2"/>
    <w:rsid w:val="00D4419A"/>
    <w:rsid w:val="00D4506E"/>
    <w:rsid w:val="00D45463"/>
    <w:rsid w:val="00D45646"/>
    <w:rsid w:val="00D459AF"/>
    <w:rsid w:val="00D46FDD"/>
    <w:rsid w:val="00D47982"/>
    <w:rsid w:val="00D5005B"/>
    <w:rsid w:val="00D50332"/>
    <w:rsid w:val="00D503FE"/>
    <w:rsid w:val="00D5164A"/>
    <w:rsid w:val="00D52808"/>
    <w:rsid w:val="00D52A8F"/>
    <w:rsid w:val="00D52F2F"/>
    <w:rsid w:val="00D53C71"/>
    <w:rsid w:val="00D54A56"/>
    <w:rsid w:val="00D56110"/>
    <w:rsid w:val="00D56A9D"/>
    <w:rsid w:val="00D5715E"/>
    <w:rsid w:val="00D603C7"/>
    <w:rsid w:val="00D60712"/>
    <w:rsid w:val="00D62615"/>
    <w:rsid w:val="00D632D6"/>
    <w:rsid w:val="00D64B01"/>
    <w:rsid w:val="00D6698E"/>
    <w:rsid w:val="00D66FD9"/>
    <w:rsid w:val="00D703DD"/>
    <w:rsid w:val="00D72A9F"/>
    <w:rsid w:val="00D7329B"/>
    <w:rsid w:val="00D73470"/>
    <w:rsid w:val="00D73B1B"/>
    <w:rsid w:val="00D74036"/>
    <w:rsid w:val="00D74281"/>
    <w:rsid w:val="00D748E6"/>
    <w:rsid w:val="00D74B29"/>
    <w:rsid w:val="00D7576D"/>
    <w:rsid w:val="00D75A1C"/>
    <w:rsid w:val="00D75AC7"/>
    <w:rsid w:val="00D75F6B"/>
    <w:rsid w:val="00D76625"/>
    <w:rsid w:val="00D76725"/>
    <w:rsid w:val="00D7682D"/>
    <w:rsid w:val="00D77779"/>
    <w:rsid w:val="00D816F2"/>
    <w:rsid w:val="00D8170F"/>
    <w:rsid w:val="00D8227D"/>
    <w:rsid w:val="00D82602"/>
    <w:rsid w:val="00D83C1B"/>
    <w:rsid w:val="00D84061"/>
    <w:rsid w:val="00D84219"/>
    <w:rsid w:val="00D84467"/>
    <w:rsid w:val="00D8551F"/>
    <w:rsid w:val="00D85A4E"/>
    <w:rsid w:val="00D861F2"/>
    <w:rsid w:val="00D875B4"/>
    <w:rsid w:val="00D8791C"/>
    <w:rsid w:val="00D87E5D"/>
    <w:rsid w:val="00D9005A"/>
    <w:rsid w:val="00D902A5"/>
    <w:rsid w:val="00D9044A"/>
    <w:rsid w:val="00D90EBD"/>
    <w:rsid w:val="00D90EF3"/>
    <w:rsid w:val="00D91656"/>
    <w:rsid w:val="00D929D6"/>
    <w:rsid w:val="00D9400D"/>
    <w:rsid w:val="00D95FE3"/>
    <w:rsid w:val="00D963F6"/>
    <w:rsid w:val="00D965EF"/>
    <w:rsid w:val="00D96717"/>
    <w:rsid w:val="00D96AF9"/>
    <w:rsid w:val="00D975E2"/>
    <w:rsid w:val="00D977B5"/>
    <w:rsid w:val="00D9792A"/>
    <w:rsid w:val="00DA0008"/>
    <w:rsid w:val="00DA08E1"/>
    <w:rsid w:val="00DA0907"/>
    <w:rsid w:val="00DA1AB9"/>
    <w:rsid w:val="00DA20F8"/>
    <w:rsid w:val="00DA2740"/>
    <w:rsid w:val="00DA4549"/>
    <w:rsid w:val="00DA4895"/>
    <w:rsid w:val="00DA4A93"/>
    <w:rsid w:val="00DA5249"/>
    <w:rsid w:val="00DA68D4"/>
    <w:rsid w:val="00DA7802"/>
    <w:rsid w:val="00DB0015"/>
    <w:rsid w:val="00DB01E1"/>
    <w:rsid w:val="00DB05D1"/>
    <w:rsid w:val="00DB0646"/>
    <w:rsid w:val="00DB0AD3"/>
    <w:rsid w:val="00DB0B90"/>
    <w:rsid w:val="00DB0E7A"/>
    <w:rsid w:val="00DB141D"/>
    <w:rsid w:val="00DB2C19"/>
    <w:rsid w:val="00DB3470"/>
    <w:rsid w:val="00DB468A"/>
    <w:rsid w:val="00DB54EB"/>
    <w:rsid w:val="00DB573F"/>
    <w:rsid w:val="00DB635D"/>
    <w:rsid w:val="00DB678F"/>
    <w:rsid w:val="00DB6961"/>
    <w:rsid w:val="00DB7104"/>
    <w:rsid w:val="00DB74D4"/>
    <w:rsid w:val="00DC0EB9"/>
    <w:rsid w:val="00DC2EB3"/>
    <w:rsid w:val="00DC33D0"/>
    <w:rsid w:val="00DC3E68"/>
    <w:rsid w:val="00DC481E"/>
    <w:rsid w:val="00DC4D22"/>
    <w:rsid w:val="00DC56ED"/>
    <w:rsid w:val="00DC59E6"/>
    <w:rsid w:val="00DC5B09"/>
    <w:rsid w:val="00DD0082"/>
    <w:rsid w:val="00DD0C7D"/>
    <w:rsid w:val="00DD0D0A"/>
    <w:rsid w:val="00DD2730"/>
    <w:rsid w:val="00DD2BF5"/>
    <w:rsid w:val="00DD2DE0"/>
    <w:rsid w:val="00DD3A7C"/>
    <w:rsid w:val="00DD3D54"/>
    <w:rsid w:val="00DD48EF"/>
    <w:rsid w:val="00DD5C23"/>
    <w:rsid w:val="00DD5EEF"/>
    <w:rsid w:val="00DD7D24"/>
    <w:rsid w:val="00DE0134"/>
    <w:rsid w:val="00DE0EBF"/>
    <w:rsid w:val="00DE1004"/>
    <w:rsid w:val="00DE1194"/>
    <w:rsid w:val="00DE205B"/>
    <w:rsid w:val="00DE2B66"/>
    <w:rsid w:val="00DE4879"/>
    <w:rsid w:val="00DE493D"/>
    <w:rsid w:val="00DE4A66"/>
    <w:rsid w:val="00DE4EB1"/>
    <w:rsid w:val="00DE50E6"/>
    <w:rsid w:val="00DE5DBD"/>
    <w:rsid w:val="00DE618B"/>
    <w:rsid w:val="00DE67EF"/>
    <w:rsid w:val="00DE6AFE"/>
    <w:rsid w:val="00DE6E1A"/>
    <w:rsid w:val="00DF011C"/>
    <w:rsid w:val="00DF09A6"/>
    <w:rsid w:val="00DF0A5C"/>
    <w:rsid w:val="00DF206D"/>
    <w:rsid w:val="00DF2A46"/>
    <w:rsid w:val="00DF2B76"/>
    <w:rsid w:val="00DF34AD"/>
    <w:rsid w:val="00DF35EE"/>
    <w:rsid w:val="00DF4CDC"/>
    <w:rsid w:val="00DF4DBB"/>
    <w:rsid w:val="00DF4F9C"/>
    <w:rsid w:val="00DF5681"/>
    <w:rsid w:val="00DF6B35"/>
    <w:rsid w:val="00DF6DC8"/>
    <w:rsid w:val="00DF755B"/>
    <w:rsid w:val="00E00110"/>
    <w:rsid w:val="00E00A04"/>
    <w:rsid w:val="00E00F8E"/>
    <w:rsid w:val="00E0102B"/>
    <w:rsid w:val="00E01565"/>
    <w:rsid w:val="00E01F73"/>
    <w:rsid w:val="00E033C8"/>
    <w:rsid w:val="00E035B1"/>
    <w:rsid w:val="00E04266"/>
    <w:rsid w:val="00E047BB"/>
    <w:rsid w:val="00E04CEF"/>
    <w:rsid w:val="00E0521E"/>
    <w:rsid w:val="00E060CB"/>
    <w:rsid w:val="00E06798"/>
    <w:rsid w:val="00E06A2E"/>
    <w:rsid w:val="00E077EE"/>
    <w:rsid w:val="00E0782E"/>
    <w:rsid w:val="00E104A9"/>
    <w:rsid w:val="00E10E9A"/>
    <w:rsid w:val="00E11797"/>
    <w:rsid w:val="00E11A7F"/>
    <w:rsid w:val="00E12B27"/>
    <w:rsid w:val="00E13C91"/>
    <w:rsid w:val="00E14CF5"/>
    <w:rsid w:val="00E16A4A"/>
    <w:rsid w:val="00E1754E"/>
    <w:rsid w:val="00E17756"/>
    <w:rsid w:val="00E2127F"/>
    <w:rsid w:val="00E21C9E"/>
    <w:rsid w:val="00E221F3"/>
    <w:rsid w:val="00E22854"/>
    <w:rsid w:val="00E22FC4"/>
    <w:rsid w:val="00E2319C"/>
    <w:rsid w:val="00E24766"/>
    <w:rsid w:val="00E24CB5"/>
    <w:rsid w:val="00E24E57"/>
    <w:rsid w:val="00E259C2"/>
    <w:rsid w:val="00E2669D"/>
    <w:rsid w:val="00E278E1"/>
    <w:rsid w:val="00E2791C"/>
    <w:rsid w:val="00E27E5E"/>
    <w:rsid w:val="00E305C2"/>
    <w:rsid w:val="00E30E66"/>
    <w:rsid w:val="00E31057"/>
    <w:rsid w:val="00E31BBA"/>
    <w:rsid w:val="00E322D2"/>
    <w:rsid w:val="00E324B4"/>
    <w:rsid w:val="00E32F5C"/>
    <w:rsid w:val="00E35244"/>
    <w:rsid w:val="00E360FE"/>
    <w:rsid w:val="00E37156"/>
    <w:rsid w:val="00E411C1"/>
    <w:rsid w:val="00E41AF3"/>
    <w:rsid w:val="00E43335"/>
    <w:rsid w:val="00E43C92"/>
    <w:rsid w:val="00E44314"/>
    <w:rsid w:val="00E458C3"/>
    <w:rsid w:val="00E47364"/>
    <w:rsid w:val="00E50145"/>
    <w:rsid w:val="00E503D9"/>
    <w:rsid w:val="00E50BD0"/>
    <w:rsid w:val="00E519C9"/>
    <w:rsid w:val="00E51ECF"/>
    <w:rsid w:val="00E52137"/>
    <w:rsid w:val="00E5219B"/>
    <w:rsid w:val="00E521C9"/>
    <w:rsid w:val="00E52246"/>
    <w:rsid w:val="00E5230C"/>
    <w:rsid w:val="00E560EF"/>
    <w:rsid w:val="00E56368"/>
    <w:rsid w:val="00E566E9"/>
    <w:rsid w:val="00E5725B"/>
    <w:rsid w:val="00E5786A"/>
    <w:rsid w:val="00E57DDF"/>
    <w:rsid w:val="00E57EBD"/>
    <w:rsid w:val="00E60DEA"/>
    <w:rsid w:val="00E614DF"/>
    <w:rsid w:val="00E61674"/>
    <w:rsid w:val="00E62EE5"/>
    <w:rsid w:val="00E657D1"/>
    <w:rsid w:val="00E65BEE"/>
    <w:rsid w:val="00E65CD4"/>
    <w:rsid w:val="00E6688B"/>
    <w:rsid w:val="00E66E2A"/>
    <w:rsid w:val="00E7086B"/>
    <w:rsid w:val="00E714C4"/>
    <w:rsid w:val="00E71895"/>
    <w:rsid w:val="00E72768"/>
    <w:rsid w:val="00E7374E"/>
    <w:rsid w:val="00E7379E"/>
    <w:rsid w:val="00E73B58"/>
    <w:rsid w:val="00E73D4B"/>
    <w:rsid w:val="00E74CA6"/>
    <w:rsid w:val="00E74EE7"/>
    <w:rsid w:val="00E7503E"/>
    <w:rsid w:val="00E75754"/>
    <w:rsid w:val="00E75D41"/>
    <w:rsid w:val="00E76C2D"/>
    <w:rsid w:val="00E804B0"/>
    <w:rsid w:val="00E805D7"/>
    <w:rsid w:val="00E806E6"/>
    <w:rsid w:val="00E81809"/>
    <w:rsid w:val="00E81A62"/>
    <w:rsid w:val="00E81FFD"/>
    <w:rsid w:val="00E82315"/>
    <w:rsid w:val="00E82946"/>
    <w:rsid w:val="00E829EB"/>
    <w:rsid w:val="00E8354E"/>
    <w:rsid w:val="00E83A81"/>
    <w:rsid w:val="00E83C1E"/>
    <w:rsid w:val="00E83C76"/>
    <w:rsid w:val="00E846D5"/>
    <w:rsid w:val="00E84BF1"/>
    <w:rsid w:val="00E854D0"/>
    <w:rsid w:val="00E86A13"/>
    <w:rsid w:val="00E902AD"/>
    <w:rsid w:val="00E90997"/>
    <w:rsid w:val="00E90DBE"/>
    <w:rsid w:val="00E90F8B"/>
    <w:rsid w:val="00E9129C"/>
    <w:rsid w:val="00E91983"/>
    <w:rsid w:val="00E91DF2"/>
    <w:rsid w:val="00E942D2"/>
    <w:rsid w:val="00E94964"/>
    <w:rsid w:val="00E94CDB"/>
    <w:rsid w:val="00E94EF2"/>
    <w:rsid w:val="00E95230"/>
    <w:rsid w:val="00E95926"/>
    <w:rsid w:val="00E96ED4"/>
    <w:rsid w:val="00E97039"/>
    <w:rsid w:val="00E97372"/>
    <w:rsid w:val="00E9749F"/>
    <w:rsid w:val="00EA0B80"/>
    <w:rsid w:val="00EA0D26"/>
    <w:rsid w:val="00EA1BE6"/>
    <w:rsid w:val="00EA351B"/>
    <w:rsid w:val="00EA3B63"/>
    <w:rsid w:val="00EA4102"/>
    <w:rsid w:val="00EA5A89"/>
    <w:rsid w:val="00EA68EF"/>
    <w:rsid w:val="00EA6A98"/>
    <w:rsid w:val="00EA73EF"/>
    <w:rsid w:val="00EB173A"/>
    <w:rsid w:val="00EB2DC4"/>
    <w:rsid w:val="00EB377E"/>
    <w:rsid w:val="00EB37DE"/>
    <w:rsid w:val="00EB3F8F"/>
    <w:rsid w:val="00EB479B"/>
    <w:rsid w:val="00EB4C93"/>
    <w:rsid w:val="00EB4EF8"/>
    <w:rsid w:val="00EB5266"/>
    <w:rsid w:val="00EB5345"/>
    <w:rsid w:val="00EB6A21"/>
    <w:rsid w:val="00EB7385"/>
    <w:rsid w:val="00EB7532"/>
    <w:rsid w:val="00EB77AF"/>
    <w:rsid w:val="00EC032D"/>
    <w:rsid w:val="00EC2815"/>
    <w:rsid w:val="00EC2BB0"/>
    <w:rsid w:val="00EC2BBD"/>
    <w:rsid w:val="00EC2CB6"/>
    <w:rsid w:val="00EC3B8D"/>
    <w:rsid w:val="00EC3F7C"/>
    <w:rsid w:val="00EC46B9"/>
    <w:rsid w:val="00EC4B94"/>
    <w:rsid w:val="00EC525E"/>
    <w:rsid w:val="00EC62B9"/>
    <w:rsid w:val="00EC694C"/>
    <w:rsid w:val="00EC6EE3"/>
    <w:rsid w:val="00ED05E3"/>
    <w:rsid w:val="00ED098B"/>
    <w:rsid w:val="00ED2073"/>
    <w:rsid w:val="00ED21E8"/>
    <w:rsid w:val="00ED335C"/>
    <w:rsid w:val="00ED37B3"/>
    <w:rsid w:val="00ED4C6F"/>
    <w:rsid w:val="00ED532C"/>
    <w:rsid w:val="00ED629F"/>
    <w:rsid w:val="00ED6AB4"/>
    <w:rsid w:val="00ED7092"/>
    <w:rsid w:val="00ED7209"/>
    <w:rsid w:val="00ED74A7"/>
    <w:rsid w:val="00ED7DEB"/>
    <w:rsid w:val="00EE008D"/>
    <w:rsid w:val="00EE0120"/>
    <w:rsid w:val="00EE0A25"/>
    <w:rsid w:val="00EE11D3"/>
    <w:rsid w:val="00EE1967"/>
    <w:rsid w:val="00EE1EA6"/>
    <w:rsid w:val="00EE2187"/>
    <w:rsid w:val="00EE2757"/>
    <w:rsid w:val="00EE2824"/>
    <w:rsid w:val="00EE376D"/>
    <w:rsid w:val="00EE4573"/>
    <w:rsid w:val="00EE580A"/>
    <w:rsid w:val="00EE60DE"/>
    <w:rsid w:val="00EE6C12"/>
    <w:rsid w:val="00EF0456"/>
    <w:rsid w:val="00EF0670"/>
    <w:rsid w:val="00EF0E0D"/>
    <w:rsid w:val="00EF1682"/>
    <w:rsid w:val="00EF17EC"/>
    <w:rsid w:val="00EF1F86"/>
    <w:rsid w:val="00EF2483"/>
    <w:rsid w:val="00EF2B3B"/>
    <w:rsid w:val="00EF3C33"/>
    <w:rsid w:val="00EF3E70"/>
    <w:rsid w:val="00EF4C40"/>
    <w:rsid w:val="00EF5734"/>
    <w:rsid w:val="00EF589A"/>
    <w:rsid w:val="00EF5907"/>
    <w:rsid w:val="00EF5AE5"/>
    <w:rsid w:val="00EF6231"/>
    <w:rsid w:val="00EF65F3"/>
    <w:rsid w:val="00EF6C1F"/>
    <w:rsid w:val="00EF6C8F"/>
    <w:rsid w:val="00EF7185"/>
    <w:rsid w:val="00EF73FF"/>
    <w:rsid w:val="00EF7C79"/>
    <w:rsid w:val="00F01AB3"/>
    <w:rsid w:val="00F02A18"/>
    <w:rsid w:val="00F02CCD"/>
    <w:rsid w:val="00F02DAD"/>
    <w:rsid w:val="00F04295"/>
    <w:rsid w:val="00F045E9"/>
    <w:rsid w:val="00F06993"/>
    <w:rsid w:val="00F07318"/>
    <w:rsid w:val="00F076DE"/>
    <w:rsid w:val="00F11F45"/>
    <w:rsid w:val="00F12913"/>
    <w:rsid w:val="00F129FC"/>
    <w:rsid w:val="00F135AF"/>
    <w:rsid w:val="00F14AD3"/>
    <w:rsid w:val="00F16FB5"/>
    <w:rsid w:val="00F172B4"/>
    <w:rsid w:val="00F178B5"/>
    <w:rsid w:val="00F20289"/>
    <w:rsid w:val="00F20589"/>
    <w:rsid w:val="00F20707"/>
    <w:rsid w:val="00F21585"/>
    <w:rsid w:val="00F2308E"/>
    <w:rsid w:val="00F233CA"/>
    <w:rsid w:val="00F23B78"/>
    <w:rsid w:val="00F2509E"/>
    <w:rsid w:val="00F25CA1"/>
    <w:rsid w:val="00F268FF"/>
    <w:rsid w:val="00F26CBA"/>
    <w:rsid w:val="00F27188"/>
    <w:rsid w:val="00F27391"/>
    <w:rsid w:val="00F314F4"/>
    <w:rsid w:val="00F32074"/>
    <w:rsid w:val="00F33312"/>
    <w:rsid w:val="00F33718"/>
    <w:rsid w:val="00F33D6B"/>
    <w:rsid w:val="00F34F68"/>
    <w:rsid w:val="00F35347"/>
    <w:rsid w:val="00F36402"/>
    <w:rsid w:val="00F3642C"/>
    <w:rsid w:val="00F36D1F"/>
    <w:rsid w:val="00F37389"/>
    <w:rsid w:val="00F375C4"/>
    <w:rsid w:val="00F37EF2"/>
    <w:rsid w:val="00F40219"/>
    <w:rsid w:val="00F40813"/>
    <w:rsid w:val="00F41188"/>
    <w:rsid w:val="00F416A3"/>
    <w:rsid w:val="00F432DA"/>
    <w:rsid w:val="00F43673"/>
    <w:rsid w:val="00F44DFF"/>
    <w:rsid w:val="00F458FB"/>
    <w:rsid w:val="00F45978"/>
    <w:rsid w:val="00F46A4A"/>
    <w:rsid w:val="00F46FC7"/>
    <w:rsid w:val="00F46FE1"/>
    <w:rsid w:val="00F47ED7"/>
    <w:rsid w:val="00F47FA2"/>
    <w:rsid w:val="00F5016D"/>
    <w:rsid w:val="00F509F7"/>
    <w:rsid w:val="00F50CBD"/>
    <w:rsid w:val="00F510AF"/>
    <w:rsid w:val="00F5176D"/>
    <w:rsid w:val="00F52317"/>
    <w:rsid w:val="00F52917"/>
    <w:rsid w:val="00F52D60"/>
    <w:rsid w:val="00F53411"/>
    <w:rsid w:val="00F54D78"/>
    <w:rsid w:val="00F54E3F"/>
    <w:rsid w:val="00F55113"/>
    <w:rsid w:val="00F56106"/>
    <w:rsid w:val="00F5770A"/>
    <w:rsid w:val="00F578E0"/>
    <w:rsid w:val="00F60383"/>
    <w:rsid w:val="00F603D9"/>
    <w:rsid w:val="00F60786"/>
    <w:rsid w:val="00F60FB7"/>
    <w:rsid w:val="00F623F4"/>
    <w:rsid w:val="00F62684"/>
    <w:rsid w:val="00F62D25"/>
    <w:rsid w:val="00F638FE"/>
    <w:rsid w:val="00F64E71"/>
    <w:rsid w:val="00F651A0"/>
    <w:rsid w:val="00F65EE1"/>
    <w:rsid w:val="00F67885"/>
    <w:rsid w:val="00F67A9F"/>
    <w:rsid w:val="00F67EB7"/>
    <w:rsid w:val="00F67FA6"/>
    <w:rsid w:val="00F70E13"/>
    <w:rsid w:val="00F71091"/>
    <w:rsid w:val="00F713D1"/>
    <w:rsid w:val="00F71BB7"/>
    <w:rsid w:val="00F71DB9"/>
    <w:rsid w:val="00F7320D"/>
    <w:rsid w:val="00F73ADB"/>
    <w:rsid w:val="00F73F74"/>
    <w:rsid w:val="00F7474F"/>
    <w:rsid w:val="00F74B34"/>
    <w:rsid w:val="00F76114"/>
    <w:rsid w:val="00F76EF1"/>
    <w:rsid w:val="00F8050F"/>
    <w:rsid w:val="00F80FF2"/>
    <w:rsid w:val="00F82B93"/>
    <w:rsid w:val="00F83883"/>
    <w:rsid w:val="00F83FC8"/>
    <w:rsid w:val="00F83FCD"/>
    <w:rsid w:val="00F84361"/>
    <w:rsid w:val="00F84CDB"/>
    <w:rsid w:val="00F858EB"/>
    <w:rsid w:val="00F85EF7"/>
    <w:rsid w:val="00F86010"/>
    <w:rsid w:val="00F86B18"/>
    <w:rsid w:val="00F87D85"/>
    <w:rsid w:val="00F90C5E"/>
    <w:rsid w:val="00F90FE0"/>
    <w:rsid w:val="00F9168A"/>
    <w:rsid w:val="00F92EDF"/>
    <w:rsid w:val="00F93CFE"/>
    <w:rsid w:val="00F9411F"/>
    <w:rsid w:val="00F94E96"/>
    <w:rsid w:val="00F95BA7"/>
    <w:rsid w:val="00F96DB0"/>
    <w:rsid w:val="00F97534"/>
    <w:rsid w:val="00FA0445"/>
    <w:rsid w:val="00FA0C8A"/>
    <w:rsid w:val="00FA1EFC"/>
    <w:rsid w:val="00FA34C8"/>
    <w:rsid w:val="00FA42AE"/>
    <w:rsid w:val="00FA4CD6"/>
    <w:rsid w:val="00FA4FBA"/>
    <w:rsid w:val="00FA651E"/>
    <w:rsid w:val="00FA7AC7"/>
    <w:rsid w:val="00FA7B78"/>
    <w:rsid w:val="00FA7D3F"/>
    <w:rsid w:val="00FB055D"/>
    <w:rsid w:val="00FB1C68"/>
    <w:rsid w:val="00FB2DA5"/>
    <w:rsid w:val="00FB3448"/>
    <w:rsid w:val="00FB36F5"/>
    <w:rsid w:val="00FB3C78"/>
    <w:rsid w:val="00FB4059"/>
    <w:rsid w:val="00FB44EB"/>
    <w:rsid w:val="00FB71C9"/>
    <w:rsid w:val="00FB722E"/>
    <w:rsid w:val="00FB76A8"/>
    <w:rsid w:val="00FC08C7"/>
    <w:rsid w:val="00FC0CF2"/>
    <w:rsid w:val="00FC118C"/>
    <w:rsid w:val="00FC13F3"/>
    <w:rsid w:val="00FC25F1"/>
    <w:rsid w:val="00FC3779"/>
    <w:rsid w:val="00FC45A5"/>
    <w:rsid w:val="00FC4DDF"/>
    <w:rsid w:val="00FC5832"/>
    <w:rsid w:val="00FC6116"/>
    <w:rsid w:val="00FC6E46"/>
    <w:rsid w:val="00FC7908"/>
    <w:rsid w:val="00FC7BB3"/>
    <w:rsid w:val="00FC7C1E"/>
    <w:rsid w:val="00FD06A8"/>
    <w:rsid w:val="00FD1701"/>
    <w:rsid w:val="00FD2004"/>
    <w:rsid w:val="00FD22FD"/>
    <w:rsid w:val="00FD3952"/>
    <w:rsid w:val="00FD396A"/>
    <w:rsid w:val="00FD3B4D"/>
    <w:rsid w:val="00FD498A"/>
    <w:rsid w:val="00FD4DF1"/>
    <w:rsid w:val="00FD5001"/>
    <w:rsid w:val="00FD55F3"/>
    <w:rsid w:val="00FD5A3B"/>
    <w:rsid w:val="00FD5B71"/>
    <w:rsid w:val="00FD7638"/>
    <w:rsid w:val="00FD7B7A"/>
    <w:rsid w:val="00FE1C12"/>
    <w:rsid w:val="00FE294A"/>
    <w:rsid w:val="00FE340E"/>
    <w:rsid w:val="00FE4832"/>
    <w:rsid w:val="00FE6A84"/>
    <w:rsid w:val="00FE7957"/>
    <w:rsid w:val="00FF07A3"/>
    <w:rsid w:val="00FF1196"/>
    <w:rsid w:val="00FF124E"/>
    <w:rsid w:val="00FF1EBB"/>
    <w:rsid w:val="00FF2B2B"/>
    <w:rsid w:val="00FF4442"/>
    <w:rsid w:val="00FF4833"/>
    <w:rsid w:val="00FF4919"/>
    <w:rsid w:val="00FF4ECC"/>
    <w:rsid w:val="00FF6561"/>
    <w:rsid w:val="00FF7032"/>
    <w:rsid w:val="00FF7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EB311"/>
  <w15:chartTrackingRefBased/>
  <w15:docId w15:val="{750351D6-2A13-4A17-9F8B-4EDD530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CA"/>
    <w:pPr>
      <w:spacing w:line="240" w:lineRule="auto"/>
      <w:jc w:val="both"/>
    </w:pPr>
    <w:rPr>
      <w:rFonts w:ascii="Cambria" w:hAnsi="Cambria"/>
    </w:rPr>
  </w:style>
  <w:style w:type="paragraph" w:styleId="Heading1">
    <w:name w:val="heading 1"/>
    <w:basedOn w:val="Normal"/>
    <w:next w:val="Normal"/>
    <w:link w:val="Heading1Char"/>
    <w:uiPriority w:val="9"/>
    <w:qFormat/>
    <w:rsid w:val="000C4DF9"/>
    <w:pPr>
      <w:keepNext/>
      <w:keepLines/>
      <w:spacing w:before="240" w:after="0" w:line="480" w:lineRule="auto"/>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976B5"/>
    <w:pPr>
      <w:keepNext/>
      <w:keepLines/>
      <w:spacing w:before="40"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81834"/>
    <w:pPr>
      <w:keepNext/>
      <w:keepLines/>
      <w:spacing w:before="40" w:after="0" w:line="480" w:lineRule="auto"/>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E0D"/>
    <w:pPr>
      <w:spacing w:after="0" w:line="480" w:lineRule="auto"/>
      <w:jc w:val="both"/>
    </w:pPr>
    <w:rPr>
      <w:rFonts w:ascii="Cambria" w:hAnsi="Cambria"/>
    </w:rPr>
  </w:style>
  <w:style w:type="character" w:styleId="CommentReference">
    <w:name w:val="annotation reference"/>
    <w:basedOn w:val="DefaultParagraphFont"/>
    <w:uiPriority w:val="99"/>
    <w:semiHidden/>
    <w:unhideWhenUsed/>
    <w:rsid w:val="002018FA"/>
    <w:rPr>
      <w:sz w:val="16"/>
      <w:szCs w:val="16"/>
    </w:rPr>
  </w:style>
  <w:style w:type="paragraph" w:styleId="CommentText">
    <w:name w:val="annotation text"/>
    <w:basedOn w:val="Normal"/>
    <w:link w:val="CommentTextChar"/>
    <w:uiPriority w:val="99"/>
    <w:unhideWhenUsed/>
    <w:rsid w:val="002018FA"/>
    <w:rPr>
      <w:sz w:val="20"/>
      <w:szCs w:val="20"/>
    </w:rPr>
  </w:style>
  <w:style w:type="character" w:customStyle="1" w:styleId="CommentTextChar">
    <w:name w:val="Comment Text Char"/>
    <w:basedOn w:val="DefaultParagraphFont"/>
    <w:link w:val="CommentText"/>
    <w:uiPriority w:val="99"/>
    <w:rsid w:val="002018FA"/>
    <w:rPr>
      <w:sz w:val="20"/>
      <w:szCs w:val="20"/>
    </w:rPr>
  </w:style>
  <w:style w:type="paragraph" w:styleId="BalloonText">
    <w:name w:val="Balloon Text"/>
    <w:basedOn w:val="Normal"/>
    <w:link w:val="BalloonTextChar"/>
    <w:uiPriority w:val="99"/>
    <w:semiHidden/>
    <w:unhideWhenUsed/>
    <w:rsid w:val="002018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FA"/>
    <w:rPr>
      <w:rFonts w:ascii="Segoe UI" w:hAnsi="Segoe UI" w:cs="Segoe UI"/>
      <w:sz w:val="18"/>
      <w:szCs w:val="18"/>
    </w:rPr>
  </w:style>
  <w:style w:type="table" w:styleId="TableGrid">
    <w:name w:val="Table Grid"/>
    <w:basedOn w:val="TableNormal"/>
    <w:uiPriority w:val="39"/>
    <w:rsid w:val="0002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A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497C"/>
    <w:pPr>
      <w:ind w:left="720"/>
      <w:contextualSpacing/>
    </w:pPr>
  </w:style>
  <w:style w:type="paragraph" w:styleId="Footer">
    <w:name w:val="footer"/>
    <w:basedOn w:val="Normal"/>
    <w:link w:val="FooterChar"/>
    <w:uiPriority w:val="99"/>
    <w:unhideWhenUsed/>
    <w:rsid w:val="00BB7792"/>
    <w:pPr>
      <w:tabs>
        <w:tab w:val="center" w:pos="4513"/>
        <w:tab w:val="right" w:pos="9026"/>
      </w:tabs>
      <w:spacing w:after="0"/>
    </w:pPr>
  </w:style>
  <w:style w:type="character" w:customStyle="1" w:styleId="FooterChar">
    <w:name w:val="Footer Char"/>
    <w:basedOn w:val="DefaultParagraphFont"/>
    <w:link w:val="Footer"/>
    <w:uiPriority w:val="99"/>
    <w:rsid w:val="00BB7792"/>
  </w:style>
  <w:style w:type="character" w:customStyle="1" w:styleId="gd15mcfceub">
    <w:name w:val="gd15mcfceub"/>
    <w:basedOn w:val="DefaultParagraphFont"/>
    <w:rsid w:val="00680229"/>
  </w:style>
  <w:style w:type="paragraph" w:styleId="CommentSubject">
    <w:name w:val="annotation subject"/>
    <w:basedOn w:val="CommentText"/>
    <w:next w:val="CommentText"/>
    <w:link w:val="CommentSubjectChar"/>
    <w:uiPriority w:val="99"/>
    <w:semiHidden/>
    <w:unhideWhenUsed/>
    <w:rsid w:val="0033612A"/>
    <w:rPr>
      <w:b/>
      <w:bCs/>
    </w:rPr>
  </w:style>
  <w:style w:type="character" w:customStyle="1" w:styleId="CommentSubjectChar">
    <w:name w:val="Comment Subject Char"/>
    <w:basedOn w:val="CommentTextChar"/>
    <w:link w:val="CommentSubject"/>
    <w:uiPriority w:val="99"/>
    <w:semiHidden/>
    <w:rsid w:val="0033612A"/>
    <w:rPr>
      <w:b/>
      <w:bCs/>
      <w:sz w:val="20"/>
      <w:szCs w:val="20"/>
    </w:rPr>
  </w:style>
  <w:style w:type="character" w:styleId="Hyperlink">
    <w:name w:val="Hyperlink"/>
    <w:basedOn w:val="DefaultParagraphFont"/>
    <w:uiPriority w:val="99"/>
    <w:unhideWhenUsed/>
    <w:rsid w:val="00285F1D"/>
    <w:rPr>
      <w:color w:val="0563C1" w:themeColor="hyperlink"/>
      <w:u w:val="single"/>
    </w:rPr>
  </w:style>
  <w:style w:type="character" w:customStyle="1" w:styleId="UnresolvedMention1">
    <w:name w:val="Unresolved Mention1"/>
    <w:basedOn w:val="DefaultParagraphFont"/>
    <w:uiPriority w:val="99"/>
    <w:semiHidden/>
    <w:unhideWhenUsed/>
    <w:rsid w:val="00285F1D"/>
    <w:rPr>
      <w:color w:val="605E5C"/>
      <w:shd w:val="clear" w:color="auto" w:fill="E1DFDD"/>
    </w:rPr>
  </w:style>
  <w:style w:type="paragraph" w:styleId="NormalWeb">
    <w:name w:val="Normal (Web)"/>
    <w:basedOn w:val="Normal"/>
    <w:uiPriority w:val="99"/>
    <w:semiHidden/>
    <w:unhideWhenUsed/>
    <w:rsid w:val="00C86833"/>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3FC8"/>
    <w:rPr>
      <w:i/>
      <w:iCs/>
    </w:rPr>
  </w:style>
  <w:style w:type="character" w:styleId="LineNumber">
    <w:name w:val="line number"/>
    <w:basedOn w:val="DefaultParagraphFont"/>
    <w:uiPriority w:val="99"/>
    <w:semiHidden/>
    <w:unhideWhenUsed/>
    <w:rsid w:val="00FA651E"/>
  </w:style>
  <w:style w:type="paragraph" w:styleId="Header">
    <w:name w:val="header"/>
    <w:basedOn w:val="Normal"/>
    <w:link w:val="HeaderChar"/>
    <w:uiPriority w:val="99"/>
    <w:unhideWhenUsed/>
    <w:rsid w:val="00D50332"/>
    <w:pPr>
      <w:tabs>
        <w:tab w:val="center" w:pos="4680"/>
        <w:tab w:val="right" w:pos="9360"/>
      </w:tabs>
      <w:spacing w:after="0"/>
    </w:pPr>
  </w:style>
  <w:style w:type="character" w:customStyle="1" w:styleId="HeaderChar">
    <w:name w:val="Header Char"/>
    <w:basedOn w:val="DefaultParagraphFont"/>
    <w:link w:val="Header"/>
    <w:uiPriority w:val="99"/>
    <w:rsid w:val="00D50332"/>
  </w:style>
  <w:style w:type="character" w:customStyle="1" w:styleId="Heading1Char">
    <w:name w:val="Heading 1 Char"/>
    <w:basedOn w:val="DefaultParagraphFont"/>
    <w:link w:val="Heading1"/>
    <w:uiPriority w:val="9"/>
    <w:rsid w:val="000C4DF9"/>
    <w:rPr>
      <w:rFonts w:eastAsiaTheme="majorEastAsia" w:cstheme="majorBidi"/>
      <w:b/>
      <w:sz w:val="40"/>
      <w:szCs w:val="32"/>
    </w:rPr>
  </w:style>
  <w:style w:type="character" w:customStyle="1" w:styleId="Heading2Char">
    <w:name w:val="Heading 2 Char"/>
    <w:basedOn w:val="DefaultParagraphFont"/>
    <w:link w:val="Heading2"/>
    <w:uiPriority w:val="9"/>
    <w:rsid w:val="006976B5"/>
    <w:rPr>
      <w:rFonts w:eastAsiaTheme="majorEastAsia" w:cstheme="majorBidi"/>
      <w:b/>
      <w:szCs w:val="26"/>
    </w:rPr>
  </w:style>
  <w:style w:type="character" w:customStyle="1" w:styleId="Heading3Char">
    <w:name w:val="Heading 3 Char"/>
    <w:basedOn w:val="DefaultParagraphFont"/>
    <w:link w:val="Heading3"/>
    <w:uiPriority w:val="9"/>
    <w:rsid w:val="00581834"/>
    <w:rPr>
      <w:rFonts w:eastAsiaTheme="majorEastAsia" w:cstheme="majorBidi"/>
      <w:i/>
      <w:szCs w:val="24"/>
    </w:rPr>
  </w:style>
  <w:style w:type="paragraph" w:styleId="TOCHeading">
    <w:name w:val="TOC Heading"/>
    <w:basedOn w:val="Heading1"/>
    <w:next w:val="Normal"/>
    <w:uiPriority w:val="39"/>
    <w:unhideWhenUsed/>
    <w:qFormat/>
    <w:rsid w:val="005B258F"/>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B258F"/>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5B258F"/>
    <w:pPr>
      <w:spacing w:before="240" w:after="0"/>
    </w:pPr>
    <w:rPr>
      <w:b/>
      <w:bCs/>
      <w:sz w:val="20"/>
      <w:szCs w:val="20"/>
    </w:rPr>
  </w:style>
  <w:style w:type="paragraph" w:styleId="TOC3">
    <w:name w:val="toc 3"/>
    <w:basedOn w:val="Normal"/>
    <w:next w:val="Normal"/>
    <w:autoRedefine/>
    <w:uiPriority w:val="39"/>
    <w:unhideWhenUsed/>
    <w:rsid w:val="005B258F"/>
    <w:pPr>
      <w:spacing w:after="0"/>
      <w:ind w:left="220"/>
    </w:pPr>
    <w:rPr>
      <w:sz w:val="20"/>
      <w:szCs w:val="20"/>
    </w:rPr>
  </w:style>
  <w:style w:type="paragraph" w:styleId="TOC4">
    <w:name w:val="toc 4"/>
    <w:basedOn w:val="Normal"/>
    <w:next w:val="Normal"/>
    <w:autoRedefine/>
    <w:uiPriority w:val="39"/>
    <w:unhideWhenUsed/>
    <w:rsid w:val="005B258F"/>
    <w:pPr>
      <w:spacing w:after="0"/>
      <w:ind w:left="440"/>
    </w:pPr>
    <w:rPr>
      <w:sz w:val="20"/>
      <w:szCs w:val="20"/>
    </w:rPr>
  </w:style>
  <w:style w:type="paragraph" w:styleId="TOC5">
    <w:name w:val="toc 5"/>
    <w:basedOn w:val="Normal"/>
    <w:next w:val="Normal"/>
    <w:autoRedefine/>
    <w:uiPriority w:val="39"/>
    <w:unhideWhenUsed/>
    <w:rsid w:val="005B258F"/>
    <w:pPr>
      <w:spacing w:after="0"/>
      <w:ind w:left="660"/>
    </w:pPr>
    <w:rPr>
      <w:sz w:val="20"/>
      <w:szCs w:val="20"/>
    </w:rPr>
  </w:style>
  <w:style w:type="paragraph" w:styleId="TOC6">
    <w:name w:val="toc 6"/>
    <w:basedOn w:val="Normal"/>
    <w:next w:val="Normal"/>
    <w:autoRedefine/>
    <w:uiPriority w:val="39"/>
    <w:unhideWhenUsed/>
    <w:rsid w:val="005B258F"/>
    <w:pPr>
      <w:spacing w:after="0"/>
      <w:ind w:left="880"/>
    </w:pPr>
    <w:rPr>
      <w:sz w:val="20"/>
      <w:szCs w:val="20"/>
    </w:rPr>
  </w:style>
  <w:style w:type="paragraph" w:styleId="TOC7">
    <w:name w:val="toc 7"/>
    <w:basedOn w:val="Normal"/>
    <w:next w:val="Normal"/>
    <w:autoRedefine/>
    <w:uiPriority w:val="39"/>
    <w:unhideWhenUsed/>
    <w:rsid w:val="005B258F"/>
    <w:pPr>
      <w:spacing w:after="0"/>
      <w:ind w:left="1100"/>
    </w:pPr>
    <w:rPr>
      <w:sz w:val="20"/>
      <w:szCs w:val="20"/>
    </w:rPr>
  </w:style>
  <w:style w:type="paragraph" w:styleId="TOC8">
    <w:name w:val="toc 8"/>
    <w:basedOn w:val="Normal"/>
    <w:next w:val="Normal"/>
    <w:autoRedefine/>
    <w:uiPriority w:val="39"/>
    <w:unhideWhenUsed/>
    <w:rsid w:val="005B258F"/>
    <w:pPr>
      <w:spacing w:after="0"/>
      <w:ind w:left="1320"/>
    </w:pPr>
    <w:rPr>
      <w:sz w:val="20"/>
      <w:szCs w:val="20"/>
    </w:rPr>
  </w:style>
  <w:style w:type="paragraph" w:styleId="TOC9">
    <w:name w:val="toc 9"/>
    <w:basedOn w:val="Normal"/>
    <w:next w:val="Normal"/>
    <w:autoRedefine/>
    <w:uiPriority w:val="39"/>
    <w:unhideWhenUsed/>
    <w:rsid w:val="005B258F"/>
    <w:pPr>
      <w:spacing w:after="0"/>
      <w:ind w:left="1540"/>
    </w:pPr>
    <w:rPr>
      <w:sz w:val="20"/>
      <w:szCs w:val="20"/>
    </w:rPr>
  </w:style>
  <w:style w:type="character" w:styleId="UnresolvedMention">
    <w:name w:val="Unresolved Mention"/>
    <w:basedOn w:val="DefaultParagraphFont"/>
    <w:uiPriority w:val="99"/>
    <w:semiHidden/>
    <w:unhideWhenUsed/>
    <w:rsid w:val="008B444D"/>
    <w:rPr>
      <w:color w:val="605E5C"/>
      <w:shd w:val="clear" w:color="auto" w:fill="E1DFDD"/>
    </w:rPr>
  </w:style>
  <w:style w:type="character" w:styleId="FollowedHyperlink">
    <w:name w:val="FollowedHyperlink"/>
    <w:basedOn w:val="DefaultParagraphFont"/>
    <w:uiPriority w:val="99"/>
    <w:semiHidden/>
    <w:unhideWhenUsed/>
    <w:rsid w:val="00105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j.milner-gulland@zoo.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7632/ft8gb8cn5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mendeley.com/datasets/ft8gb8cn5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67DD-6713-45F2-8A6F-DF0892D8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31844</Words>
  <Characters>181514</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Department of Zoology, University of Oxford</Company>
  <LinksUpToDate>false</LinksUpToDate>
  <CharactersWithSpaces>212933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Hazenbosch</dc:creator>
  <cp:keywords/>
  <dc:description/>
  <cp:lastModifiedBy>Becky Morris</cp:lastModifiedBy>
  <cp:revision>2</cp:revision>
  <cp:lastPrinted>2021-02-24T13:27:00Z</cp:lastPrinted>
  <dcterms:created xsi:type="dcterms:W3CDTF">2022-09-16T11:49:00Z</dcterms:created>
  <dcterms:modified xsi:type="dcterms:W3CDTF">2022-09-16T11:49:00Z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1c39271c-4fa7-3fc4-ae4d-86247bdb448a</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http://www.zotero.org/styles/pesticides-people-and-nature</vt:lpwstr>
  </property>
  <property fmtid="{D5CDD505-2E9C-101B-9397-08002B2CF9AE}" pid="22" name="Mendeley Recent Style Name 8_1">
    <vt:lpwstr>Pesticides, People and Nature</vt:lpwstr>
  </property>
  <property fmtid="{D5CDD505-2E9C-101B-9397-08002B2CF9AE}" pid="23" name="Mendeley Recent Style Id 9_1">
    <vt:lpwstr>http://www.zotero.org/styles/world-development</vt:lpwstr>
  </property>
  <property fmtid="{D5CDD505-2E9C-101B-9397-08002B2CF9AE}" pid="24" name="Mendeley Recent Style Name 9_1">
    <vt:lpwstr>World Development</vt:lpwstr>
  </property>
</Properties>
</file>