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7438B" w14:textId="0559D4DB" w:rsidR="007713AF" w:rsidRPr="00D729B8" w:rsidRDefault="006D42BA" w:rsidP="00D61851">
      <w:pPr>
        <w:pStyle w:val="MDPI11articletype"/>
      </w:pPr>
      <w:r w:rsidRPr="00D729B8">
        <w:t>Article</w:t>
      </w:r>
    </w:p>
    <w:p w14:paraId="1DB717FF" w14:textId="50CB3945" w:rsidR="007713AF" w:rsidRPr="00D729B8" w:rsidRDefault="00344AD3" w:rsidP="00D61851">
      <w:pPr>
        <w:pStyle w:val="MDPI12title"/>
      </w:pPr>
      <w:r w:rsidRPr="00D729B8">
        <w:t>Anti-</w:t>
      </w:r>
      <w:r w:rsidR="00D729B8" w:rsidRPr="00D729B8">
        <w:t xml:space="preserve">Tuberculosis Activity </w:t>
      </w:r>
      <w:r w:rsidRPr="00D729B8">
        <w:t xml:space="preserve">of </w:t>
      </w:r>
      <w:r w:rsidR="00D729B8" w:rsidRPr="00D729B8">
        <w:t>Three Carbapenems</w:t>
      </w:r>
      <w:r w:rsidRPr="00D729B8">
        <w:t xml:space="preserve">, </w:t>
      </w:r>
      <w:r w:rsidR="00D729B8" w:rsidRPr="00D729B8">
        <w:t xml:space="preserve">Clofazimine </w:t>
      </w:r>
      <w:r w:rsidRPr="00D729B8">
        <w:t xml:space="preserve">and </w:t>
      </w:r>
      <w:r w:rsidR="00F75264" w:rsidRPr="00D729B8">
        <w:t>Nitazoxanide U</w:t>
      </w:r>
      <w:r w:rsidRPr="00D729B8">
        <w:t xml:space="preserve">sing a </w:t>
      </w:r>
      <w:r w:rsidR="00F75264" w:rsidRPr="00D729B8">
        <w:t>Novel</w:t>
      </w:r>
      <w:r w:rsidR="00F75264" w:rsidRPr="00F75264">
        <w:t xml:space="preserve"> </w:t>
      </w:r>
      <w:r w:rsidR="00F75264" w:rsidRPr="00F75264">
        <w:rPr>
          <w:iCs/>
        </w:rPr>
        <w:t>Ex Vivo</w:t>
      </w:r>
      <w:r w:rsidR="00F75264" w:rsidRPr="00F75264">
        <w:t xml:space="preserve"> </w:t>
      </w:r>
      <w:r w:rsidR="00D729B8" w:rsidRPr="00D729B8">
        <w:t xml:space="preserve">Phenotypic Drug </w:t>
      </w:r>
      <w:r w:rsidR="00F75264">
        <w:br/>
      </w:r>
      <w:r w:rsidR="00D729B8" w:rsidRPr="00D729B8">
        <w:t xml:space="preserve">Susceptibility Model </w:t>
      </w:r>
      <w:r w:rsidRPr="00D729B8">
        <w:t xml:space="preserve">of </w:t>
      </w:r>
      <w:r w:rsidR="00D729B8" w:rsidRPr="00D729B8">
        <w:t>Human Tuberculosis</w:t>
      </w:r>
    </w:p>
    <w:p w14:paraId="2FC2512D" w14:textId="77777777" w:rsidR="00D61851" w:rsidRPr="00F75264" w:rsidRDefault="00344AD3" w:rsidP="00D61851">
      <w:pPr>
        <w:pStyle w:val="MDPI13authornames"/>
      </w:pPr>
      <w:r w:rsidRPr="00F258C9">
        <w:t>Ximena Gonzalo</w:t>
      </w:r>
      <w:r w:rsidR="007713AF" w:rsidRPr="00F258C9">
        <w:t xml:space="preserve"> </w:t>
      </w:r>
      <w:r w:rsidR="007713AF" w:rsidRPr="00F258C9">
        <w:rPr>
          <w:vertAlign w:val="superscript"/>
        </w:rPr>
        <w:t>1</w:t>
      </w:r>
      <w:r w:rsidR="007713AF" w:rsidRPr="00F258C9">
        <w:t>,</w:t>
      </w:r>
      <w:r w:rsidR="007713AF" w:rsidRPr="00F75264">
        <w:t xml:space="preserve"> </w:t>
      </w:r>
      <w:r w:rsidRPr="00F75264">
        <w:t xml:space="preserve">Magdalena </w:t>
      </w:r>
      <w:r w:rsidRPr="006206C5">
        <w:t>K.</w:t>
      </w:r>
      <w:r w:rsidRPr="00F75264">
        <w:t xml:space="preserve"> Bielecka</w:t>
      </w:r>
      <w:r w:rsidR="007713AF" w:rsidRPr="00F75264">
        <w:t xml:space="preserve"> </w:t>
      </w:r>
      <w:r w:rsidR="007713AF" w:rsidRPr="00F75264">
        <w:rPr>
          <w:vertAlign w:val="superscript"/>
        </w:rPr>
        <w:t>2</w:t>
      </w:r>
      <w:r w:rsidR="00D729B8" w:rsidRPr="00F75264">
        <w:t>,</w:t>
      </w:r>
      <w:r w:rsidR="007713AF" w:rsidRPr="00F75264">
        <w:t xml:space="preserve"> </w:t>
      </w:r>
      <w:r w:rsidR="003D06F7" w:rsidRPr="00F75264">
        <w:t xml:space="preserve">Liku Tezera </w:t>
      </w:r>
      <w:r w:rsidR="003D06F7" w:rsidRPr="00F75264">
        <w:rPr>
          <w:vertAlign w:val="superscript"/>
        </w:rPr>
        <w:t>2</w:t>
      </w:r>
      <w:r w:rsidR="003D06F7" w:rsidRPr="00F75264">
        <w:t>, Paul Elkington</w:t>
      </w:r>
      <w:r w:rsidR="006A178E">
        <w:t xml:space="preserve"> </w:t>
      </w:r>
      <w:r w:rsidR="003D06F7" w:rsidRPr="00F75264">
        <w:rPr>
          <w:vertAlign w:val="superscript"/>
        </w:rPr>
        <w:t>2</w:t>
      </w:r>
      <w:r w:rsidR="003D06F7" w:rsidRPr="00F75264">
        <w:t xml:space="preserve"> </w:t>
      </w:r>
      <w:r w:rsidR="007713AF" w:rsidRPr="00F75264">
        <w:t>and F</w:t>
      </w:r>
      <w:r w:rsidR="003D06F7" w:rsidRPr="00F75264">
        <w:t>rancis Drobniewski</w:t>
      </w:r>
      <w:r w:rsidR="007713AF" w:rsidRPr="00F75264">
        <w:t xml:space="preserve"> </w:t>
      </w:r>
      <w:proofErr w:type="gramStart"/>
      <w:r w:rsidR="003D06F7" w:rsidRPr="00F75264">
        <w:rPr>
          <w:vertAlign w:val="superscript"/>
        </w:rPr>
        <w:t>1</w:t>
      </w:r>
      <w:r w:rsidR="007713AF" w:rsidRPr="00F75264">
        <w:rPr>
          <w:vertAlign w:val="superscript"/>
        </w:rPr>
        <w:t>,</w:t>
      </w:r>
      <w:r w:rsidR="007713AF" w:rsidRPr="00F75264">
        <w:t>*</w:t>
      </w:r>
      <w:proofErr w:type="gramEnd"/>
    </w:p>
    <w:tbl>
      <w:tblPr>
        <w:tblStyle w:val="MDPITable"/>
        <w:tblpPr w:leftFromText="198" w:rightFromText="198" w:vertAnchor="page" w:horzAnchor="margin" w:tblpY="8504"/>
        <w:tblW w:w="2409" w:type="dxa"/>
        <w:tblLayout w:type="fixed"/>
        <w:tblLook w:val="04A0" w:firstRow="1" w:lastRow="0" w:firstColumn="1" w:lastColumn="0" w:noHBand="0" w:noVBand="1"/>
      </w:tblPr>
      <w:tblGrid>
        <w:gridCol w:w="2409"/>
      </w:tblGrid>
      <w:tr w:rsidR="00D61851" w14:paraId="57C5C1A9" w14:textId="77777777" w:rsidTr="00D61851">
        <w:trPr>
          <w:cantSplit/>
        </w:trPr>
        <w:tc>
          <w:tcPr>
            <w:tcW w:w="2409" w:type="dxa"/>
          </w:tcPr>
          <w:p w14:paraId="291140C0" w14:textId="28249DF1" w:rsidR="00D61851" w:rsidRPr="00D61851" w:rsidRDefault="00D61851" w:rsidP="00D61851">
            <w:pPr>
              <w:pStyle w:val="MDPI61Citation"/>
            </w:pPr>
            <w:r w:rsidRPr="00D61851">
              <w:rPr>
                <w:b/>
                <w:highlight w:val="yellow"/>
              </w:rPr>
              <w:t>Citation:</w:t>
            </w:r>
            <w:r>
              <w:t xml:space="preserve"> Gonzalo, X.; Bielecka, M.K.; Tezera, L.; Elkington, P.; </w:t>
            </w:r>
            <w:r>
              <w:br/>
              <w:t xml:space="preserve">Drobniewski, F. </w:t>
            </w:r>
            <w:r w:rsidRPr="00D729B8">
              <w:t xml:space="preserve">Anti-Tuberculosis Activity of Three Carbapenems, </w:t>
            </w:r>
            <w:r>
              <w:br/>
            </w:r>
            <w:r w:rsidRPr="00D729B8">
              <w:t xml:space="preserve">Clofazimine and Nitazoxanide </w:t>
            </w:r>
            <w:r>
              <w:br/>
            </w:r>
            <w:r w:rsidRPr="00D729B8">
              <w:t>Using a Novel</w:t>
            </w:r>
            <w:r w:rsidRPr="00F75264">
              <w:t xml:space="preserve"> </w:t>
            </w:r>
            <w:r w:rsidRPr="00F75264">
              <w:rPr>
                <w:iCs/>
              </w:rPr>
              <w:t>Ex Vivo</w:t>
            </w:r>
            <w:r w:rsidRPr="00F75264">
              <w:t xml:space="preserve"> </w:t>
            </w:r>
            <w:r w:rsidRPr="00D729B8">
              <w:t xml:space="preserve">Phenotypic Drug Susceptibility Model of </w:t>
            </w:r>
            <w:r>
              <w:br/>
            </w:r>
            <w:r w:rsidRPr="00D729B8">
              <w:t>Human Tuberculosis</w:t>
            </w:r>
            <w:r>
              <w:t xml:space="preserve">. </w:t>
            </w:r>
            <w:r>
              <w:rPr>
                <w:i/>
              </w:rPr>
              <w:t xml:space="preserve">Antibiotics </w:t>
            </w:r>
            <w:r>
              <w:rPr>
                <w:b/>
              </w:rPr>
              <w:t>2022</w:t>
            </w:r>
            <w:r>
              <w:t xml:space="preserve">, </w:t>
            </w:r>
            <w:r>
              <w:rPr>
                <w:i/>
              </w:rPr>
              <w:t>11</w:t>
            </w:r>
            <w:r>
              <w:t>, x. https://doi.org/10.3390/xxxxx</w:t>
            </w:r>
          </w:p>
          <w:p w14:paraId="42DAB514" w14:textId="35668D4B" w:rsidR="00D61851" w:rsidRPr="006206C5" w:rsidRDefault="00D61851" w:rsidP="00D61851">
            <w:pPr>
              <w:pStyle w:val="MDPI15academiceditor"/>
              <w:spacing w:before="120" w:after="120"/>
            </w:pPr>
            <w:r w:rsidRPr="006206C5">
              <w:t xml:space="preserve">Academic Editor(s): </w:t>
            </w:r>
            <w:r w:rsidR="000E7E52" w:rsidRPr="000E7E52">
              <w:t>Matt D. Johansen</w:t>
            </w:r>
          </w:p>
          <w:p w14:paraId="06D913ED" w14:textId="0556F192" w:rsidR="00D61851" w:rsidRPr="00F54413" w:rsidRDefault="00D61851" w:rsidP="000E7E52">
            <w:pPr>
              <w:pStyle w:val="MDPI14history"/>
              <w:spacing w:before="120"/>
            </w:pPr>
            <w:r w:rsidRPr="00F54413">
              <w:t xml:space="preserve">Received: </w:t>
            </w:r>
            <w:r w:rsidR="000E7E52">
              <w:t>19 August 2022</w:t>
            </w:r>
          </w:p>
          <w:p w14:paraId="7475BD01" w14:textId="0B11D368" w:rsidR="00D61851" w:rsidRPr="00F54413" w:rsidRDefault="00D61851" w:rsidP="00D61851">
            <w:pPr>
              <w:pStyle w:val="MDPI14history"/>
            </w:pPr>
            <w:r w:rsidRPr="00F54413">
              <w:t>Accepted:</w:t>
            </w:r>
            <w:r w:rsidR="000E7E52">
              <w:t xml:space="preserve"> 19 September 2022</w:t>
            </w:r>
          </w:p>
          <w:p w14:paraId="3E54AFCA" w14:textId="77777777" w:rsidR="00D61851" w:rsidRPr="00D61851" w:rsidRDefault="00D61851" w:rsidP="00D61851">
            <w:pPr>
              <w:pStyle w:val="MDPI14history"/>
              <w:spacing w:after="120"/>
            </w:pPr>
            <w:r w:rsidRPr="00D61851">
              <w:t>Published: date</w:t>
            </w:r>
          </w:p>
          <w:p w14:paraId="045FD258" w14:textId="77777777" w:rsidR="00D61851" w:rsidRDefault="00D61851" w:rsidP="00D61851">
            <w:pPr>
              <w:pStyle w:val="MDPI63Notes"/>
              <w:jc w:val="both"/>
            </w:pPr>
            <w:r w:rsidRPr="00D61851">
              <w:rPr>
                <w:b/>
              </w:rPr>
              <w:t>Publisher’s Note:</w:t>
            </w:r>
            <w:r w:rsidRPr="00D61851">
              <w:t xml:space="preserve"> MDPI stays neutral </w:t>
            </w:r>
            <w:proofErr w:type="gramStart"/>
            <w:r w:rsidRPr="00D61851">
              <w:t>with regard to</w:t>
            </w:r>
            <w:proofErr w:type="gramEnd"/>
            <w:r w:rsidRPr="00D61851">
              <w:t xml:space="preserve"> jurisdictional claims in published maps and institutional affiliations.</w:t>
            </w:r>
          </w:p>
          <w:p w14:paraId="478AB58E" w14:textId="77777777" w:rsidR="00D61851" w:rsidRDefault="00D61851" w:rsidP="00D61851">
            <w:pPr>
              <w:pStyle w:val="MDPI63Notes"/>
              <w:spacing w:before="120" w:after="0"/>
              <w:jc w:val="both"/>
            </w:pPr>
            <w:r>
              <w:rPr>
                <w:noProof/>
                <w:snapToGrid/>
              </w:rPr>
              <w:drawing>
                <wp:inline distT="0" distB="0" distL="0" distR="0" wp14:anchorId="0839E0AD" wp14:editId="5A45501F">
                  <wp:extent cx="694800" cy="2484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4800" cy="248400"/>
                          </a:xfrm>
                          <a:prstGeom prst="rect">
                            <a:avLst/>
                          </a:prstGeom>
                        </pic:spPr>
                      </pic:pic>
                    </a:graphicData>
                  </a:graphic>
                </wp:inline>
              </w:drawing>
            </w:r>
          </w:p>
          <w:p w14:paraId="3B3E1559" w14:textId="2F63DEE8" w:rsidR="00D61851" w:rsidRPr="00D61851" w:rsidRDefault="00D61851" w:rsidP="00D61851">
            <w:pPr>
              <w:pStyle w:val="MDPI63Notes"/>
              <w:spacing w:before="60" w:after="0"/>
              <w:jc w:val="both"/>
            </w:pPr>
            <w:r w:rsidRPr="00D61851">
              <w:rPr>
                <w:b/>
              </w:rPr>
              <w:t>Copyright:</w:t>
            </w:r>
            <w:r w:rsidRPr="00D61851">
              <w:t xml:space="preserve"> © 2022 by the authors. Submitted for possible open access publication under the terms and conditions of the Creative Commons Attribution (CC BY) license (https://creativecommons.org/licenses/by/4.0/).</w:t>
            </w:r>
          </w:p>
        </w:tc>
      </w:tr>
    </w:tbl>
    <w:p w14:paraId="3D4D09C9" w14:textId="7B21DE7F" w:rsidR="007713AF" w:rsidRPr="00603388" w:rsidRDefault="00851BEB" w:rsidP="00D61851">
      <w:pPr>
        <w:pStyle w:val="MDPI16affiliation"/>
      </w:pPr>
      <w:r w:rsidRPr="00D61851">
        <w:rPr>
          <w:vertAlign w:val="superscript"/>
        </w:rPr>
        <w:t>1</w:t>
      </w:r>
      <w:r w:rsidR="007713AF" w:rsidRPr="00D61851">
        <w:tab/>
      </w:r>
      <w:r w:rsidR="003A7743">
        <w:t xml:space="preserve">Department of Infectious Diseases, Faculty of Medicine, </w:t>
      </w:r>
      <w:r w:rsidR="00344AD3" w:rsidRPr="00D729B8">
        <w:t xml:space="preserve">Imperial </w:t>
      </w:r>
      <w:r w:rsidR="00344AD3" w:rsidRPr="00F258C9">
        <w:t>College, London</w:t>
      </w:r>
      <w:r w:rsidR="00603388" w:rsidRPr="00F258C9">
        <w:t xml:space="preserve"> W12 0</w:t>
      </w:r>
      <w:r w:rsidR="00603388" w:rsidRPr="007B53F9">
        <w:t>NN</w:t>
      </w:r>
      <w:r w:rsidR="00D729B8" w:rsidRPr="007B53F9">
        <w:t>,</w:t>
      </w:r>
      <w:r w:rsidR="00D729B8" w:rsidRPr="00603388">
        <w:t xml:space="preserve"> UK</w:t>
      </w:r>
      <w:r w:rsidR="007713AF" w:rsidRPr="00603388">
        <w:t xml:space="preserve">; </w:t>
      </w:r>
      <w:r w:rsidR="00344AD3" w:rsidRPr="00603388">
        <w:rPr>
          <w:szCs w:val="16"/>
        </w:rPr>
        <w:t>x.gonzalo@imperial.ac.uk</w:t>
      </w:r>
    </w:p>
    <w:p w14:paraId="4F7D2A60" w14:textId="381BC2FE" w:rsidR="007713AF" w:rsidRPr="00D729B8" w:rsidRDefault="007713AF" w:rsidP="00D61851">
      <w:pPr>
        <w:pStyle w:val="MDPI16affiliation"/>
      </w:pPr>
      <w:r w:rsidRPr="00603388">
        <w:rPr>
          <w:vertAlign w:val="superscript"/>
        </w:rPr>
        <w:t>2</w:t>
      </w:r>
      <w:r w:rsidRPr="00603388">
        <w:tab/>
      </w:r>
      <w:r w:rsidR="00983211">
        <w:t xml:space="preserve">NIHR Respiratory Biomedical Research Unit, Clinical and Experimental Sciences Academic Unit, Faculty of Medicine, </w:t>
      </w:r>
      <w:r w:rsidR="00344AD3" w:rsidRPr="00603388">
        <w:t xml:space="preserve">University of Southampton, </w:t>
      </w:r>
      <w:r w:rsidR="00344AD3" w:rsidRPr="007B53F9">
        <w:t>Southampton</w:t>
      </w:r>
      <w:r w:rsidR="00603388" w:rsidRPr="007B53F9">
        <w:t xml:space="preserve"> SO16 6YD</w:t>
      </w:r>
      <w:r w:rsidR="00D729B8" w:rsidRPr="00603388">
        <w:t>, UK</w:t>
      </w:r>
      <w:r w:rsidRPr="00603388">
        <w:t>;</w:t>
      </w:r>
      <w:r w:rsidR="00D729B8" w:rsidRPr="00603388">
        <w:t xml:space="preserve"> </w:t>
      </w:r>
      <w:r w:rsidR="00D61851" w:rsidRPr="00603388">
        <w:t>magdalena.bielecka@lshtm.ac.uk (M.K.B.); (l.tezera@soton.ac.uk (L.T.); p.elkington</w:t>
      </w:r>
      <w:r w:rsidR="00D61851" w:rsidRPr="006206C5">
        <w:t>@soton.ac.uk (P.E.)</w:t>
      </w:r>
    </w:p>
    <w:p w14:paraId="6F213F6D" w14:textId="4259047F" w:rsidR="004F2487" w:rsidRPr="00D729B8" w:rsidRDefault="00D61851" w:rsidP="00D61851">
      <w:pPr>
        <w:pStyle w:val="MDPI16affiliation"/>
      </w:pPr>
      <w:r w:rsidRPr="00D61851">
        <w:rPr>
          <w:b/>
        </w:rPr>
        <w:t>*</w:t>
      </w:r>
      <w:r w:rsidRPr="00D61851">
        <w:tab/>
        <w:t xml:space="preserve">Correspondence: </w:t>
      </w:r>
      <w:r w:rsidR="006609A8" w:rsidRPr="00D61851">
        <w:t>f.drobniewski@imperial.ac.uk</w:t>
      </w:r>
    </w:p>
    <w:p w14:paraId="2975FF0A" w14:textId="05AF6546" w:rsidR="007713AF" w:rsidRPr="00CD0886" w:rsidRDefault="007713AF" w:rsidP="00627512">
      <w:pPr>
        <w:pStyle w:val="MDPI17abstract"/>
        <w:rPr>
          <w:rFonts w:cstheme="minorHAnsi"/>
          <w:szCs w:val="18"/>
          <w:lang w:val="en-GB"/>
        </w:rPr>
      </w:pPr>
      <w:r w:rsidRPr="00CD0886">
        <w:rPr>
          <w:b/>
          <w:lang w:val="en-GB"/>
        </w:rPr>
        <w:t>Abstract:</w:t>
      </w:r>
      <w:r w:rsidR="00F07D2A" w:rsidRPr="00CD0886">
        <w:rPr>
          <w:b/>
          <w:lang w:val="en-GB"/>
        </w:rPr>
        <w:t xml:space="preserve"> </w:t>
      </w:r>
      <w:r w:rsidR="006A03E6" w:rsidRPr="00CD0886">
        <w:rPr>
          <w:lang w:val="en-GB"/>
        </w:rPr>
        <w:t xml:space="preserve">We evaluated a novel physiological 3-D </w:t>
      </w:r>
      <w:proofErr w:type="spellStart"/>
      <w:r w:rsidR="006A03E6" w:rsidRPr="00CD0886">
        <w:rPr>
          <w:lang w:val="en-GB"/>
        </w:rPr>
        <w:t>bioelectrospray</w:t>
      </w:r>
      <w:proofErr w:type="spellEnd"/>
      <w:r w:rsidR="006A03E6" w:rsidRPr="00CD0886">
        <w:rPr>
          <w:lang w:val="en-GB"/>
        </w:rPr>
        <w:t xml:space="preserve"> model of the tuberculosis (TB) granuloma to test the activity of a known anti-TB drug, clofazimine</w:t>
      </w:r>
      <w:r w:rsidR="00A92C29" w:rsidRPr="00CD0886">
        <w:rPr>
          <w:lang w:val="en-GB"/>
        </w:rPr>
        <w:t xml:space="preserve">; </w:t>
      </w:r>
      <w:r w:rsidR="006A03E6" w:rsidRPr="00CD0886">
        <w:rPr>
          <w:lang w:val="en-GB"/>
        </w:rPr>
        <w:t>three carbapenems with potential activity</w:t>
      </w:r>
      <w:r w:rsidR="00A92C29" w:rsidRPr="00CD0886">
        <w:rPr>
          <w:lang w:val="en-GB"/>
        </w:rPr>
        <w:t>,</w:t>
      </w:r>
      <w:r w:rsidR="006A03E6" w:rsidRPr="00CD0886">
        <w:rPr>
          <w:lang w:val="en-GB"/>
        </w:rPr>
        <w:t xml:space="preserve"> including one currently used in therapy</w:t>
      </w:r>
      <w:r w:rsidR="00A92C29" w:rsidRPr="00CD0886">
        <w:rPr>
          <w:lang w:val="en-GB"/>
        </w:rPr>
        <w:t>;</w:t>
      </w:r>
      <w:r w:rsidR="006A03E6" w:rsidRPr="00CD0886">
        <w:rPr>
          <w:lang w:val="en-GB"/>
        </w:rPr>
        <w:t xml:space="preserve"> and nitazoxanide, an anti-parasitic compound with possible TB activity (all chosen as conventional drug susceptibility was problematical).</w:t>
      </w:r>
      <w:r w:rsidR="00F07D2A" w:rsidRPr="00CD0886">
        <w:rPr>
          <w:lang w:val="en-GB"/>
        </w:rPr>
        <w:t xml:space="preserve"> </w:t>
      </w:r>
      <w:r w:rsidR="006A03E6" w:rsidRPr="00CD0886">
        <w:rPr>
          <w:rFonts w:cstheme="minorHAnsi"/>
          <w:szCs w:val="18"/>
          <w:lang w:val="en-GB"/>
        </w:rPr>
        <w:t xml:space="preserve">PBMCs collected from healthy donors were isolated and infected with </w:t>
      </w:r>
      <w:r w:rsidR="006A03E6" w:rsidRPr="00CD0886">
        <w:rPr>
          <w:rFonts w:cstheme="minorHAnsi"/>
          <w:i/>
          <w:iCs/>
          <w:szCs w:val="18"/>
          <w:lang w:val="en-GB"/>
        </w:rPr>
        <w:t>M. tuberculosis</w:t>
      </w:r>
      <w:r w:rsidR="006A03E6" w:rsidRPr="00CD0886">
        <w:rPr>
          <w:rFonts w:cstheme="minorHAnsi"/>
          <w:szCs w:val="18"/>
          <w:lang w:val="en-GB"/>
        </w:rPr>
        <w:t xml:space="preserve"> H37Rv lux (i</w:t>
      </w:r>
      <w:r w:rsidR="00627512" w:rsidRPr="00CD0886">
        <w:rPr>
          <w:rFonts w:cstheme="minorHAnsi"/>
          <w:szCs w:val="18"/>
          <w:lang w:val="en-GB"/>
        </w:rPr>
        <w:t>.</w:t>
      </w:r>
      <w:r w:rsidR="006A03E6" w:rsidRPr="00CD0886">
        <w:rPr>
          <w:rFonts w:cstheme="minorHAnsi"/>
          <w:szCs w:val="18"/>
          <w:lang w:val="en-GB"/>
        </w:rPr>
        <w:t>e</w:t>
      </w:r>
      <w:r w:rsidR="00627512" w:rsidRPr="00CD0886">
        <w:rPr>
          <w:rFonts w:cstheme="minorHAnsi"/>
          <w:szCs w:val="18"/>
          <w:lang w:val="en-GB"/>
        </w:rPr>
        <w:t>.</w:t>
      </w:r>
      <w:r w:rsidR="007720D8" w:rsidRPr="00CD0886">
        <w:rPr>
          <w:rFonts w:cstheme="minorHAnsi"/>
          <w:szCs w:val="18"/>
          <w:lang w:val="en-GB"/>
        </w:rPr>
        <w:t>,</w:t>
      </w:r>
      <w:r w:rsidR="006A03E6" w:rsidRPr="00CD0886">
        <w:rPr>
          <w:rFonts w:cstheme="minorHAnsi"/>
          <w:szCs w:val="18"/>
          <w:lang w:val="en-GB"/>
        </w:rPr>
        <w:t xml:space="preserve"> luciferase). Microspheres were generated with the infected cells; the anti</w:t>
      </w:r>
      <w:r w:rsidR="006A3432">
        <w:rPr>
          <w:rFonts w:cstheme="minorHAnsi"/>
          <w:szCs w:val="18"/>
          <w:lang w:val="en-GB"/>
        </w:rPr>
        <w:t>-</w:t>
      </w:r>
      <w:r w:rsidR="006A03E6" w:rsidRPr="00CD0886">
        <w:rPr>
          <w:rFonts w:cstheme="minorHAnsi"/>
          <w:szCs w:val="18"/>
          <w:lang w:val="en-GB"/>
        </w:rPr>
        <w:t xml:space="preserve">microbial compounds were </w:t>
      </w:r>
      <w:proofErr w:type="gramStart"/>
      <w:r w:rsidR="006A03E6" w:rsidRPr="00CD0886">
        <w:rPr>
          <w:rFonts w:cstheme="minorHAnsi"/>
          <w:szCs w:val="18"/>
          <w:lang w:val="en-GB"/>
        </w:rPr>
        <w:t>added</w:t>
      </w:r>
      <w:proofErr w:type="gramEnd"/>
      <w:r w:rsidR="006A03E6" w:rsidRPr="00CD0886">
        <w:rPr>
          <w:rFonts w:cstheme="minorHAnsi"/>
          <w:szCs w:val="18"/>
          <w:lang w:val="en-GB"/>
        </w:rPr>
        <w:t xml:space="preserve"> and bacterial luminescence was monitored for </w:t>
      </w:r>
      <w:r w:rsidR="00562ECD" w:rsidRPr="00CD0886">
        <w:rPr>
          <w:rFonts w:cstheme="minorHAnsi"/>
          <w:szCs w:val="18"/>
          <w:lang w:val="en-GB"/>
        </w:rPr>
        <w:t>at least</w:t>
      </w:r>
      <w:r w:rsidR="006A03E6" w:rsidRPr="00CD0886">
        <w:rPr>
          <w:rFonts w:cstheme="minorHAnsi"/>
          <w:szCs w:val="18"/>
          <w:lang w:val="en-GB"/>
        </w:rPr>
        <w:t xml:space="preserve"> 21 days. Clavulanate was added to each carbapenem to inhibit beta-lactamases.</w:t>
      </w:r>
      <w:r w:rsidR="00F07D2A" w:rsidRPr="00CD0886">
        <w:rPr>
          <w:rFonts w:cstheme="minorHAnsi"/>
          <w:szCs w:val="18"/>
          <w:lang w:val="en-GB"/>
        </w:rPr>
        <w:t xml:space="preserve"> </w:t>
      </w:r>
      <w:r w:rsidR="006A03E6" w:rsidRPr="00CD0886">
        <w:rPr>
          <w:rFonts w:cstheme="minorHAnsi"/>
          <w:i/>
          <w:szCs w:val="18"/>
          <w:lang w:val="en-GB"/>
        </w:rPr>
        <w:t>M. tuberculosis</w:t>
      </w:r>
      <w:r w:rsidR="006A03E6" w:rsidRPr="00CD0886">
        <w:rPr>
          <w:rFonts w:cstheme="minorHAnsi"/>
          <w:szCs w:val="18"/>
          <w:lang w:val="en-GB"/>
        </w:rPr>
        <w:t xml:space="preserve"> (MTB) killing efficacy was dose</w:t>
      </w:r>
      <w:r w:rsidR="003A7743">
        <w:rPr>
          <w:rFonts w:cstheme="minorHAnsi"/>
          <w:szCs w:val="18"/>
          <w:lang w:val="en-GB"/>
        </w:rPr>
        <w:t xml:space="preserve"> </w:t>
      </w:r>
      <w:r w:rsidR="006A03E6" w:rsidRPr="00CD0886">
        <w:rPr>
          <w:rFonts w:cstheme="minorHAnsi"/>
          <w:szCs w:val="18"/>
          <w:lang w:val="en-GB"/>
        </w:rPr>
        <w:t xml:space="preserve">dependent. Clofazimine was the most effective drug inhibiting MTB growth at 2 mg/L with good killing activity at both concentrations tested. It was the only drug that killed bacteria at the lowest concentration tested. Carbapenems showed modest initial activity </w:t>
      </w:r>
      <w:r w:rsidR="006A03E6" w:rsidRPr="00CD0886">
        <w:rPr>
          <w:rFonts w:cstheme="minorHAnsi"/>
          <w:color w:val="333566"/>
          <w:szCs w:val="18"/>
          <w:lang w:val="en-GB"/>
        </w:rPr>
        <w:t xml:space="preserve">that was lost at around day 10 of incubation </w:t>
      </w:r>
      <w:r w:rsidR="006A03E6" w:rsidRPr="00CD0886">
        <w:rPr>
          <w:rFonts w:cstheme="minorHAnsi"/>
          <w:szCs w:val="18"/>
          <w:lang w:val="en-GB"/>
        </w:rPr>
        <w:t>and clavulanate did not increase killing activity. Of the carbapenems tested, tebipenem was the most efficient in killing MTB, albeit at a high concentration. Nitazoxanide was effective only at concentrations not achievable with current dosing (although this might partly have been an artefact related to extensive protein binding).</w:t>
      </w:r>
    </w:p>
    <w:p w14:paraId="7367442F" w14:textId="4321FA0D" w:rsidR="007713AF" w:rsidRPr="00CD0886" w:rsidRDefault="00627512" w:rsidP="00627512">
      <w:pPr>
        <w:pStyle w:val="MDPI18keywords"/>
        <w:rPr>
          <w:lang w:val="en-GB"/>
        </w:rPr>
      </w:pPr>
      <w:r w:rsidRPr="00CD0886">
        <w:rPr>
          <w:b/>
          <w:lang w:val="en-GB"/>
        </w:rPr>
        <w:t>Keywords:</w:t>
      </w:r>
      <w:r w:rsidR="007713AF" w:rsidRPr="00CD0886">
        <w:rPr>
          <w:b/>
          <w:lang w:val="en-GB"/>
        </w:rPr>
        <w:t xml:space="preserve"> </w:t>
      </w:r>
      <w:r w:rsidR="00D5593D" w:rsidRPr="00CD0886">
        <w:rPr>
          <w:lang w:val="en-GB"/>
        </w:rPr>
        <w:t xml:space="preserve">three-dimensional </w:t>
      </w:r>
      <w:proofErr w:type="spellStart"/>
      <w:r w:rsidR="00D5593D" w:rsidRPr="00CD0886">
        <w:rPr>
          <w:lang w:val="en-GB"/>
        </w:rPr>
        <w:t>bioelectrospray</w:t>
      </w:r>
      <w:proofErr w:type="spellEnd"/>
      <w:r w:rsidR="00D5593D" w:rsidRPr="00CD0886">
        <w:rPr>
          <w:lang w:val="en-GB"/>
        </w:rPr>
        <w:t>; tuberculosis; anti</w:t>
      </w:r>
      <w:r w:rsidR="00EB3357">
        <w:rPr>
          <w:lang w:val="en-GB"/>
        </w:rPr>
        <w:t>-</w:t>
      </w:r>
      <w:r w:rsidR="00D5593D" w:rsidRPr="00CD0886">
        <w:rPr>
          <w:lang w:val="en-GB"/>
        </w:rPr>
        <w:t>microbial drug resistance; drug susceptibility testing</w:t>
      </w:r>
    </w:p>
    <w:p w14:paraId="31CC2A08" w14:textId="77777777" w:rsidR="00F07D2A" w:rsidRPr="00CD0886" w:rsidRDefault="00F07D2A" w:rsidP="00627512">
      <w:pPr>
        <w:pStyle w:val="MDPI19line"/>
        <w:pBdr>
          <w:bottom w:val="single" w:sz="4" w:space="1" w:color="000000"/>
        </w:pBdr>
        <w:rPr>
          <w:lang w:val="en-GB"/>
        </w:rPr>
      </w:pPr>
    </w:p>
    <w:p w14:paraId="5BAFBC21" w14:textId="60D6B8C1" w:rsidR="007713AF" w:rsidRPr="00CD0886" w:rsidRDefault="00D729B8" w:rsidP="00D729B8">
      <w:pPr>
        <w:pStyle w:val="MDPI21heading1"/>
        <w:rPr>
          <w:lang w:val="en-GB"/>
        </w:rPr>
      </w:pPr>
      <w:r w:rsidRPr="00CD0886">
        <w:rPr>
          <w:lang w:val="en-GB"/>
        </w:rPr>
        <w:t xml:space="preserve">1. </w:t>
      </w:r>
      <w:r w:rsidR="007713AF" w:rsidRPr="00CD0886">
        <w:rPr>
          <w:lang w:val="en-GB"/>
        </w:rPr>
        <w:t>Introduction</w:t>
      </w:r>
    </w:p>
    <w:p w14:paraId="1B2B38FE" w14:textId="226A86FA" w:rsidR="00186B48" w:rsidRPr="00CD0886" w:rsidRDefault="00186B48" w:rsidP="00D729B8">
      <w:pPr>
        <w:pStyle w:val="MDPI31text"/>
        <w:rPr>
          <w:lang w:val="en-GB"/>
        </w:rPr>
      </w:pPr>
      <w:r w:rsidRPr="00CD0886">
        <w:rPr>
          <w:lang w:val="en-GB"/>
        </w:rPr>
        <w:t>Tuberculosis (TB) is a major killer, representing the main infectious cause of mortality in the world until 2020. There are over 10 million new cases every year with approximately 1.5 million deaths in 2019</w:t>
      </w:r>
      <w:r w:rsidR="00562ECD" w:rsidRPr="00CD0886">
        <w:rPr>
          <w:lang w:val="en-GB"/>
        </w:rPr>
        <w:t xml:space="preserve"> [1].</w:t>
      </w:r>
    </w:p>
    <w:p w14:paraId="643639A5" w14:textId="59CFCADA" w:rsidR="00186B48" w:rsidRPr="00CD0886" w:rsidRDefault="00186B48" w:rsidP="00D729B8">
      <w:pPr>
        <w:pStyle w:val="MDPI31text"/>
        <w:rPr>
          <w:lang w:val="en-GB"/>
        </w:rPr>
      </w:pPr>
      <w:r w:rsidRPr="00CD0886">
        <w:rPr>
          <w:lang w:val="en-GB"/>
        </w:rPr>
        <w:t>Repurposing drugs to use against multi-</w:t>
      </w:r>
      <w:r w:rsidR="007720D8" w:rsidRPr="00CD0886">
        <w:rPr>
          <w:lang w:val="en-GB"/>
        </w:rPr>
        <w:t>drug-</w:t>
      </w:r>
      <w:r w:rsidRPr="00CD0886">
        <w:rPr>
          <w:lang w:val="en-GB"/>
        </w:rPr>
        <w:t>resistant (MDR-TB) and extensively-</w:t>
      </w:r>
      <w:r w:rsidR="007720D8" w:rsidRPr="00CD0886">
        <w:rPr>
          <w:lang w:val="en-GB"/>
        </w:rPr>
        <w:t>drug-</w:t>
      </w:r>
      <w:r w:rsidRPr="00CD0886">
        <w:rPr>
          <w:lang w:val="en-GB"/>
        </w:rPr>
        <w:t xml:space="preserve">resistant tuberculosis (XDR-TB) has become a strategy in the search </w:t>
      </w:r>
      <w:r w:rsidR="007720D8" w:rsidRPr="00CD0886">
        <w:rPr>
          <w:lang w:val="en-GB"/>
        </w:rPr>
        <w:t xml:space="preserve">for </w:t>
      </w:r>
      <w:r w:rsidRPr="00CD0886">
        <w:rPr>
          <w:lang w:val="en-GB"/>
        </w:rPr>
        <w:t>active compounds against the most resistant forms of the disease. Several families of drugs have been investigated, including anti</w:t>
      </w:r>
      <w:r w:rsidR="00EB3357">
        <w:rPr>
          <w:lang w:val="en-GB"/>
        </w:rPr>
        <w:t>-</w:t>
      </w:r>
      <w:r w:rsidRPr="00CD0886">
        <w:rPr>
          <w:lang w:val="en-GB"/>
        </w:rPr>
        <w:t>microbials and non-anti-infective drugs</w:t>
      </w:r>
      <w:r w:rsidR="00562ECD" w:rsidRPr="00CD0886">
        <w:rPr>
          <w:lang w:val="en-GB"/>
        </w:rPr>
        <w:t xml:space="preserve"> [2].</w:t>
      </w:r>
    </w:p>
    <w:p w14:paraId="0F4E52D3" w14:textId="707E6A2D" w:rsidR="00186B48" w:rsidRPr="00CD0886" w:rsidRDefault="00186B48" w:rsidP="00D729B8">
      <w:pPr>
        <w:pStyle w:val="MDPI31text"/>
        <w:rPr>
          <w:lang w:val="en-GB"/>
        </w:rPr>
      </w:pPr>
      <w:r w:rsidRPr="00CD0886">
        <w:rPr>
          <w:lang w:val="en-GB"/>
        </w:rPr>
        <w:t>Most of the information about these compounds comes from in vitro studies that are devoid of host cells, or animal models that do not replicate the role of human cells in both the pathogenicity and the response to anti</w:t>
      </w:r>
      <w:r w:rsidR="00EB3357">
        <w:rPr>
          <w:lang w:val="en-GB"/>
        </w:rPr>
        <w:t>-</w:t>
      </w:r>
      <w:r w:rsidRPr="00CD0886">
        <w:rPr>
          <w:lang w:val="en-GB"/>
        </w:rPr>
        <w:t xml:space="preserve">microbial therapy. The aim of this work was to test the activity of several drugs against </w:t>
      </w:r>
      <w:r w:rsidRPr="00CD0886">
        <w:rPr>
          <w:i/>
          <w:lang w:val="en-GB"/>
        </w:rPr>
        <w:t>M. tuberculosis</w:t>
      </w:r>
      <w:r w:rsidRPr="00CD0886">
        <w:rPr>
          <w:lang w:val="en-GB"/>
        </w:rPr>
        <w:t xml:space="preserve"> (MTB) H37Rv in a 3-D </w:t>
      </w:r>
      <w:proofErr w:type="spellStart"/>
      <w:r w:rsidRPr="00CD0886">
        <w:rPr>
          <w:lang w:val="en-GB"/>
        </w:rPr>
        <w:t>bioelectrospray</w:t>
      </w:r>
      <w:proofErr w:type="spellEnd"/>
      <w:r w:rsidRPr="00CD0886">
        <w:rPr>
          <w:lang w:val="en-GB"/>
        </w:rPr>
        <w:t xml:space="preserve"> system containing cells from human donors and </w:t>
      </w:r>
      <w:r w:rsidR="007720D8" w:rsidRPr="00CD0886">
        <w:rPr>
          <w:lang w:val="en-GB"/>
        </w:rPr>
        <w:t xml:space="preserve">an </w:t>
      </w:r>
      <w:r w:rsidRPr="00CD0886">
        <w:rPr>
          <w:lang w:val="en-GB"/>
        </w:rPr>
        <w:t>extracellular matrix component, a more physiological model of the granuloma</w:t>
      </w:r>
      <w:r w:rsidR="00562ECD" w:rsidRPr="00CD0886">
        <w:rPr>
          <w:lang w:val="en-GB"/>
        </w:rPr>
        <w:t xml:space="preserve"> </w:t>
      </w:r>
      <w:r w:rsidR="00F75264" w:rsidRPr="00CD0886">
        <w:rPr>
          <w:lang w:val="en-GB"/>
        </w:rPr>
        <w:t>[3–5</w:t>
      </w:r>
      <w:r w:rsidR="00562ECD" w:rsidRPr="00CD0886">
        <w:rPr>
          <w:lang w:val="en-GB"/>
        </w:rPr>
        <w:t>]</w:t>
      </w:r>
      <w:r w:rsidR="00E723BB" w:rsidRPr="00CD0886">
        <w:rPr>
          <w:lang w:val="en-GB"/>
        </w:rPr>
        <w:t>.</w:t>
      </w:r>
      <w:r w:rsidR="00F75264" w:rsidRPr="00CD0886">
        <w:rPr>
          <w:lang w:val="en-GB"/>
        </w:rPr>
        <w:t xml:space="preserve"> </w:t>
      </w:r>
      <w:r w:rsidR="00E723BB" w:rsidRPr="00CD0886">
        <w:rPr>
          <w:lang w:val="en-GB"/>
        </w:rPr>
        <w:t xml:space="preserve">For example, pyrazinamide susceptibility is difficult to assay accurately using conventional laboratory microbiology </w:t>
      </w:r>
      <w:proofErr w:type="gramStart"/>
      <w:r w:rsidR="00E723BB" w:rsidRPr="00CD0886">
        <w:rPr>
          <w:lang w:val="en-GB"/>
        </w:rPr>
        <w:lastRenderedPageBreak/>
        <w:t>cultures</w:t>
      </w:r>
      <w:proofErr w:type="gramEnd"/>
      <w:r w:rsidR="00E723BB" w:rsidRPr="00CD0886">
        <w:rPr>
          <w:lang w:val="en-GB"/>
        </w:rPr>
        <w:t xml:space="preserve"> but we have previously demonstrated pyrazinamide susceptibility correctly i</w:t>
      </w:r>
      <w:r w:rsidRPr="00CD0886">
        <w:rPr>
          <w:lang w:val="en-GB"/>
        </w:rPr>
        <w:t xml:space="preserve">n this system, </w:t>
      </w:r>
      <w:r w:rsidR="00E723BB" w:rsidRPr="00CD0886">
        <w:rPr>
          <w:lang w:val="en-GB"/>
        </w:rPr>
        <w:t>showing</w:t>
      </w:r>
      <w:r w:rsidRPr="00CD0886">
        <w:rPr>
          <w:lang w:val="en-GB"/>
        </w:rPr>
        <w:t xml:space="preserve"> that it replicates the correct physiological environment seen in patients</w:t>
      </w:r>
      <w:r w:rsidR="000F78F9" w:rsidRPr="00CD0886">
        <w:rPr>
          <w:lang w:val="en-GB"/>
        </w:rPr>
        <w:t xml:space="preserve"> </w:t>
      </w:r>
      <w:r w:rsidR="00562ECD" w:rsidRPr="00CD0886">
        <w:rPr>
          <w:lang w:val="en-GB"/>
        </w:rPr>
        <w:t>[4]</w:t>
      </w:r>
      <w:r w:rsidRPr="00CD0886">
        <w:rPr>
          <w:lang w:val="en-GB"/>
        </w:rPr>
        <w:t>.</w:t>
      </w:r>
    </w:p>
    <w:p w14:paraId="48CD1DAB" w14:textId="58D51152" w:rsidR="005C344D" w:rsidRPr="00CD0886" w:rsidRDefault="00186B48" w:rsidP="00D729B8">
      <w:pPr>
        <w:pStyle w:val="MDPI31text"/>
        <w:rPr>
          <w:lang w:val="en-GB"/>
        </w:rPr>
      </w:pPr>
      <w:r w:rsidRPr="00CD0886">
        <w:rPr>
          <w:lang w:val="en-GB"/>
        </w:rPr>
        <w:t xml:space="preserve">The drugs chosen were </w:t>
      </w:r>
      <w:r w:rsidR="00FC65EB" w:rsidRPr="00CD0886">
        <w:rPr>
          <w:lang w:val="en-GB"/>
        </w:rPr>
        <w:t xml:space="preserve">(1) </w:t>
      </w:r>
      <w:r w:rsidRPr="00CD0886">
        <w:rPr>
          <w:lang w:val="en-GB"/>
        </w:rPr>
        <w:t xml:space="preserve">clofazimine, a compound in use for many decades against </w:t>
      </w:r>
      <w:r w:rsidRPr="00CD0886">
        <w:rPr>
          <w:i/>
          <w:lang w:val="en-GB"/>
        </w:rPr>
        <w:t>M. leprae</w:t>
      </w:r>
      <w:r w:rsidRPr="00CD0886">
        <w:rPr>
          <w:lang w:val="en-GB"/>
        </w:rPr>
        <w:t xml:space="preserve"> and now in use against MTB and whose relevance has been highlighted by the development of the short MDR-TB treatment course and the </w:t>
      </w:r>
      <w:r w:rsidR="00FC65EB" w:rsidRPr="00CD0886">
        <w:rPr>
          <w:lang w:val="en-GB"/>
        </w:rPr>
        <w:t xml:space="preserve">new </w:t>
      </w:r>
      <w:r w:rsidRPr="00CD0886">
        <w:rPr>
          <w:lang w:val="en-GB"/>
        </w:rPr>
        <w:t xml:space="preserve">all-oral </w:t>
      </w:r>
      <w:r w:rsidR="00FC65EB" w:rsidRPr="00CD0886">
        <w:rPr>
          <w:lang w:val="en-GB"/>
        </w:rPr>
        <w:t>regimen</w:t>
      </w:r>
      <w:r w:rsidR="00755C84" w:rsidRPr="00CD0886">
        <w:rPr>
          <w:lang w:val="en-GB"/>
        </w:rPr>
        <w:t xml:space="preserve"> </w:t>
      </w:r>
      <w:r w:rsidR="00E62006" w:rsidRPr="00CD0886">
        <w:rPr>
          <w:lang w:val="en-GB"/>
        </w:rPr>
        <w:t>[6</w:t>
      </w:r>
      <w:r w:rsidR="00F75264" w:rsidRPr="00CD0886">
        <w:rPr>
          <w:lang w:val="en-GB"/>
        </w:rPr>
        <w:t>,</w:t>
      </w:r>
      <w:r w:rsidR="00E62006" w:rsidRPr="00CD0886">
        <w:rPr>
          <w:lang w:val="en-GB"/>
        </w:rPr>
        <w:t>7]</w:t>
      </w:r>
      <w:r w:rsidRPr="00CD0886">
        <w:rPr>
          <w:lang w:val="en-GB"/>
        </w:rPr>
        <w:fldChar w:fldCharType="begin"/>
      </w:r>
      <w:r w:rsidR="0087153D" w:rsidRPr="00CD0886">
        <w:rPr>
          <w:lang w:val="en-GB"/>
        </w:rPr>
        <w:instrText xml:space="preserve"> ADDIN EN.CITE &lt;EndNote&gt;&lt;Cite&gt;&lt;Author&gt;Moodley&lt;/Author&gt;&lt;Year&gt;2016&lt;/Year&gt;&lt;RecNum&gt;95&lt;/RecNum&gt;&lt;DisplayText&gt;(Moodley and Godec, 2016, World Health Organization, 2018)&lt;/DisplayText&gt;&lt;record&gt;&lt;rec-number&gt;95&lt;/rec-number&gt;&lt;foreign-keys&gt;&lt;key app="EN" db-id="9pazfrsrmvfxshew00s5epa4xzxx0farsasd" timestamp="1645116519" guid="ca8f4fef-8c6d-4334-94e4-8e21e2eb8466"&gt;95&lt;/key&gt;&lt;/foreign-keys&gt;&lt;ref-type name="Journal Article"&gt;17&lt;/ref-type&gt;&lt;contributors&gt;&lt;authors&gt;&lt;author&gt;Moodley, Riya&lt;/author&gt;&lt;author&gt;Godec, Thomas R.&lt;/author&gt;&lt;/authors&gt;&lt;/contributors&gt;&lt;titles&gt;&lt;title&gt;Short-course treatment for multidrug-resistant tuberculosis: the STREAM trials&lt;/title&gt;&lt;secondary-title&gt;European Respiratory Review&lt;/secondary-title&gt;&lt;/titles&gt;&lt;periodical&gt;&lt;full-title&gt;European Respiratory Review&lt;/full-title&gt;&lt;/periodical&gt;&lt;pages&gt;29-35&lt;/pages&gt;&lt;volume&gt;25&lt;/volume&gt;&lt;number&gt;139&lt;/number&gt;&lt;dates&gt;&lt;year&gt;2016&lt;/year&gt;&lt;/dates&gt;&lt;urls&gt;&lt;related-urls&gt;&lt;url&gt;https://err.ersjournals.com/content/errev/25/139/29.full.pdf&lt;/url&gt;&lt;/related-urls&gt;&lt;/urls&gt;&lt;electronic-resource-num&gt;10.1183/16000617.0080-2015&lt;/electronic-resource-num&gt;&lt;/record&gt;&lt;/Cite&gt;&lt;Cite&gt;&lt;Author&gt;Organization&lt;/Author&gt;&lt;Year&gt;2018&lt;/Year&gt;&lt;RecNum&gt;102&lt;/RecNum&gt;&lt;record&gt;&lt;rec-number&gt;102&lt;/rec-number&gt;&lt;foreign-keys&gt;&lt;key app="EN" db-id="tre5r2xekxwtf1eewwwp2pre590avzrwewtp" timestamp="1599130657"&gt;102&lt;/key&gt;&lt;/foreign-keys&gt;&lt;ref-type name="Government Document"&gt;46&lt;/ref-type&gt;&lt;contributors&gt;&lt;authors&gt;&lt;author&gt;World Health Organization, &lt;/author&gt;&lt;/authors&gt;&lt;/contributors&gt;&lt;titles&gt;&lt;title&gt;Rapid communication: key changes to treatment of multidrug- and rifampicin-resistant tuberculosis&amp;#xD;(MDR/RR-TB).&lt;/title&gt;&lt;/titles&gt;&lt;dates&gt;&lt;year&gt;2018&lt;/year&gt;&lt;/dates&gt;&lt;publisher&gt; Licence: CC BY-NC-SA 3.0 IGO.&lt;/publisher&gt;&lt;urls&gt;&lt;/urls&gt;&lt;/record&gt;&lt;/Cite&gt;&lt;/EndNote&gt;</w:instrText>
      </w:r>
      <w:r w:rsidRPr="00CD0886">
        <w:rPr>
          <w:lang w:val="en-GB"/>
        </w:rPr>
        <w:fldChar w:fldCharType="end"/>
      </w:r>
      <w:r w:rsidR="00FC65EB" w:rsidRPr="00CD0886">
        <w:rPr>
          <w:lang w:val="en-GB"/>
        </w:rPr>
        <w:t xml:space="preserve">; (2) </w:t>
      </w:r>
      <w:r w:rsidRPr="00CD0886">
        <w:rPr>
          <w:lang w:val="en-GB"/>
        </w:rPr>
        <w:t>carbapenems, beta-lactam broad spectrum anti</w:t>
      </w:r>
      <w:r w:rsidR="00EB3357">
        <w:rPr>
          <w:lang w:val="en-GB"/>
        </w:rPr>
        <w:t>-</w:t>
      </w:r>
      <w:proofErr w:type="spellStart"/>
      <w:r w:rsidRPr="00CD0886">
        <w:rPr>
          <w:lang w:val="en-GB"/>
        </w:rPr>
        <w:t>bacterials</w:t>
      </w:r>
      <w:proofErr w:type="spellEnd"/>
      <w:r w:rsidRPr="00CD0886">
        <w:rPr>
          <w:lang w:val="en-GB"/>
        </w:rPr>
        <w:t xml:space="preserve"> active against a wide range of </w:t>
      </w:r>
      <w:r w:rsidR="007720D8" w:rsidRPr="00CD0886">
        <w:rPr>
          <w:lang w:val="en-GB"/>
        </w:rPr>
        <w:t>Gram-</w:t>
      </w:r>
      <w:r w:rsidRPr="00CD0886">
        <w:rPr>
          <w:lang w:val="en-GB"/>
        </w:rPr>
        <w:t xml:space="preserve">positive and </w:t>
      </w:r>
      <w:r w:rsidR="007720D8" w:rsidRPr="00CD0886">
        <w:rPr>
          <w:lang w:val="en-GB"/>
        </w:rPr>
        <w:t>Gram-</w:t>
      </w:r>
      <w:r w:rsidRPr="00CD0886">
        <w:rPr>
          <w:lang w:val="en-GB"/>
        </w:rPr>
        <w:t xml:space="preserve">negative microorganisms that have been used against mycobacteria and MTB for over a decade </w:t>
      </w:r>
      <w:r w:rsidR="00E62006" w:rsidRPr="00CD0886">
        <w:rPr>
          <w:lang w:val="en-GB"/>
        </w:rPr>
        <w:t>[8]</w:t>
      </w:r>
      <w:r w:rsidR="007720D8" w:rsidRPr="00CD0886">
        <w:rPr>
          <w:lang w:val="en-GB"/>
        </w:rPr>
        <w:t>;</w:t>
      </w:r>
      <w:r w:rsidRPr="00CD0886">
        <w:rPr>
          <w:lang w:val="en-GB"/>
        </w:rPr>
        <w:t xml:space="preserve"> and </w:t>
      </w:r>
      <w:r w:rsidR="00FC65EB" w:rsidRPr="00CD0886">
        <w:rPr>
          <w:lang w:val="en-GB"/>
        </w:rPr>
        <w:t xml:space="preserve">(3) </w:t>
      </w:r>
      <w:r w:rsidRPr="00CD0886">
        <w:rPr>
          <w:lang w:val="en-GB"/>
        </w:rPr>
        <w:t>nitazoxanide, an anti</w:t>
      </w:r>
      <w:r w:rsidR="00EB3357">
        <w:rPr>
          <w:lang w:val="en-GB"/>
        </w:rPr>
        <w:t>-</w:t>
      </w:r>
      <w:r w:rsidRPr="00CD0886">
        <w:rPr>
          <w:lang w:val="en-GB"/>
        </w:rPr>
        <w:t>parasitic drug that has been found to have anti-MTB activity in vitro</w:t>
      </w:r>
      <w:r w:rsidR="00E62006" w:rsidRPr="00CD0886">
        <w:rPr>
          <w:lang w:val="en-GB"/>
        </w:rPr>
        <w:t xml:space="preserve"> [9</w:t>
      </w:r>
      <w:r w:rsidR="00F75264" w:rsidRPr="00CD0886">
        <w:rPr>
          <w:lang w:val="en-GB"/>
        </w:rPr>
        <w:t>,</w:t>
      </w:r>
      <w:r w:rsidR="00E62006" w:rsidRPr="00CD0886">
        <w:rPr>
          <w:lang w:val="en-GB"/>
        </w:rPr>
        <w:t>10]</w:t>
      </w:r>
      <w:r w:rsidR="00FC65EB" w:rsidRPr="00CD0886">
        <w:rPr>
          <w:lang w:val="en-GB"/>
        </w:rPr>
        <w:t>.</w:t>
      </w:r>
      <w:r w:rsidR="00F75264" w:rsidRPr="00CD0886">
        <w:rPr>
          <w:lang w:val="en-GB"/>
        </w:rPr>
        <w:t xml:space="preserve"> </w:t>
      </w:r>
      <w:r w:rsidR="00D76BFD" w:rsidRPr="00CD0886">
        <w:rPr>
          <w:lang w:val="en-GB"/>
        </w:rPr>
        <w:t xml:space="preserve">In addition to the extensive track record of use in humans with good tolerance, </w:t>
      </w:r>
      <w:r w:rsidR="005C344D" w:rsidRPr="00CD0886">
        <w:rPr>
          <w:lang w:val="en-GB"/>
        </w:rPr>
        <w:t>the antibiotics used in the study are not toxic to human cells at the concentrations studied</w:t>
      </w:r>
      <w:r w:rsidR="00813519" w:rsidRPr="00CD0886">
        <w:rPr>
          <w:lang w:val="en-GB"/>
        </w:rPr>
        <w:t xml:space="preserve"> </w:t>
      </w:r>
      <w:r w:rsidR="00F75264" w:rsidRPr="00CD0886">
        <w:rPr>
          <w:lang w:val="en-GB"/>
        </w:rPr>
        <w:t>[11–14</w:t>
      </w:r>
      <w:r w:rsidR="00C43ED3" w:rsidRPr="00CD0886">
        <w:rPr>
          <w:lang w:val="en-GB"/>
        </w:rPr>
        <w:t>]</w:t>
      </w:r>
      <w:r w:rsidR="00813519" w:rsidRPr="00CD0886">
        <w:rPr>
          <w:lang w:val="en-GB"/>
        </w:rPr>
        <w:t xml:space="preserve">. </w:t>
      </w:r>
      <w:r w:rsidR="005C344D" w:rsidRPr="00CD0886">
        <w:rPr>
          <w:lang w:val="en-GB"/>
        </w:rPr>
        <w:t xml:space="preserve">Furthermore, in previous studies, where we formally checked toxicity, no </w:t>
      </w:r>
      <w:r w:rsidR="008C4AEB" w:rsidRPr="00CD0886">
        <w:rPr>
          <w:lang w:val="en-GB"/>
        </w:rPr>
        <w:t xml:space="preserve">toxic </w:t>
      </w:r>
      <w:r w:rsidR="005C344D" w:rsidRPr="00CD0886">
        <w:rPr>
          <w:lang w:val="en-GB"/>
        </w:rPr>
        <w:t>antibiotic</w:t>
      </w:r>
      <w:r w:rsidR="008C4AEB" w:rsidRPr="00CD0886">
        <w:rPr>
          <w:lang w:val="en-GB"/>
        </w:rPr>
        <w:t xml:space="preserve"> effect on PBMCs</w:t>
      </w:r>
      <w:r w:rsidR="005C344D" w:rsidRPr="00CD0886">
        <w:rPr>
          <w:lang w:val="en-GB"/>
        </w:rPr>
        <w:t xml:space="preserve"> </w:t>
      </w:r>
      <w:r w:rsidR="007720D8" w:rsidRPr="00CD0886">
        <w:rPr>
          <w:lang w:val="en-GB"/>
        </w:rPr>
        <w:t>was</w:t>
      </w:r>
      <w:r w:rsidR="005C344D" w:rsidRPr="00CD0886">
        <w:rPr>
          <w:lang w:val="en-GB"/>
        </w:rPr>
        <w:t xml:space="preserve"> seen </w:t>
      </w:r>
      <w:r w:rsidR="00C43ED3" w:rsidRPr="00CD0886">
        <w:rPr>
          <w:lang w:val="en-GB"/>
        </w:rPr>
        <w:t>([4]</w:t>
      </w:r>
      <w:r w:rsidR="005C344D" w:rsidRPr="00CD0886">
        <w:rPr>
          <w:lang w:val="en-GB"/>
        </w:rPr>
        <w:t xml:space="preserve"> Figure S5).</w:t>
      </w:r>
    </w:p>
    <w:p w14:paraId="1477A716" w14:textId="539EE5D1" w:rsidR="007713AF" w:rsidRPr="00CD0886" w:rsidRDefault="00D729B8" w:rsidP="00D729B8">
      <w:pPr>
        <w:pStyle w:val="MDPI21heading1"/>
        <w:rPr>
          <w:lang w:val="en-GB"/>
        </w:rPr>
      </w:pPr>
      <w:r w:rsidRPr="00CD0886">
        <w:rPr>
          <w:lang w:val="en-GB"/>
        </w:rPr>
        <w:t xml:space="preserve">2. </w:t>
      </w:r>
      <w:r w:rsidR="007713AF" w:rsidRPr="00CD0886">
        <w:rPr>
          <w:lang w:val="en-GB"/>
        </w:rPr>
        <w:t>Results</w:t>
      </w:r>
    </w:p>
    <w:p w14:paraId="3CC0FEAB" w14:textId="0900B85F" w:rsidR="00C825BA" w:rsidRPr="00CD0886" w:rsidRDefault="00C825BA" w:rsidP="00D729B8">
      <w:pPr>
        <w:pStyle w:val="MDPI31text"/>
        <w:rPr>
          <w:lang w:val="en-GB"/>
        </w:rPr>
      </w:pPr>
      <w:r w:rsidRPr="00CD0886">
        <w:rPr>
          <w:lang w:val="en-GB"/>
        </w:rPr>
        <w:t xml:space="preserve">A full set of luminescence results is available in Supplementary </w:t>
      </w:r>
      <w:r w:rsidR="00F07D2A" w:rsidRPr="00CD0886">
        <w:rPr>
          <w:lang w:val="en-GB"/>
        </w:rPr>
        <w:t>T</w:t>
      </w:r>
      <w:r w:rsidRPr="00CD0886">
        <w:rPr>
          <w:lang w:val="en-GB"/>
        </w:rPr>
        <w:t xml:space="preserve">able </w:t>
      </w:r>
      <w:r w:rsidR="000C1FDE" w:rsidRPr="00CD0886">
        <w:rPr>
          <w:lang w:val="en-GB"/>
        </w:rPr>
        <w:t>S</w:t>
      </w:r>
      <w:r w:rsidRPr="00CD0886">
        <w:rPr>
          <w:lang w:val="en-GB"/>
        </w:rPr>
        <w:t>1.</w:t>
      </w:r>
      <w:r w:rsidR="00143811" w:rsidRPr="00CD0886">
        <w:rPr>
          <w:lang w:val="en-GB"/>
        </w:rPr>
        <w:t xml:space="preserve"> We did not perform matching CFU studies as we have previously shown excellent correlation between luminescence and CFU </w:t>
      </w:r>
      <w:r w:rsidR="003C720B" w:rsidRPr="00CD0886">
        <w:rPr>
          <w:lang w:val="en-GB"/>
        </w:rPr>
        <w:t>[4].</w:t>
      </w:r>
    </w:p>
    <w:p w14:paraId="52F6AFB3" w14:textId="52AE0D5C" w:rsidR="00C825BA" w:rsidRPr="00CD0886" w:rsidRDefault="00C825BA" w:rsidP="00D729B8">
      <w:pPr>
        <w:pStyle w:val="MDPI31text"/>
        <w:rPr>
          <w:lang w:val="en-GB"/>
        </w:rPr>
      </w:pPr>
      <w:r w:rsidRPr="00CD0886">
        <w:rPr>
          <w:lang w:val="en-GB"/>
        </w:rPr>
        <w:t>Clofazimine showed good killing activity at both concentrations tested and was the only drug of the panel that killed bacteria at the lowest concentration tested</w:t>
      </w:r>
      <w:r w:rsidR="00BA70FC" w:rsidRPr="00CD0886">
        <w:rPr>
          <w:lang w:val="en-GB"/>
        </w:rPr>
        <w:t xml:space="preserve"> (which is within that obtainable with standard dosing)</w:t>
      </w:r>
      <w:r w:rsidRPr="00CD0886">
        <w:rPr>
          <w:lang w:val="en-GB"/>
        </w:rPr>
        <w:t xml:space="preserve">. At 2 mg/L, in both experiments, it showed good activity from the beginning, achieving </w:t>
      </w:r>
      <w:r w:rsidR="0024121C" w:rsidRPr="00CD0886">
        <w:rPr>
          <w:lang w:val="en-GB"/>
        </w:rPr>
        <w:t xml:space="preserve">a </w:t>
      </w:r>
      <w:r w:rsidRPr="00CD0886">
        <w:rPr>
          <w:lang w:val="en-GB"/>
        </w:rPr>
        <w:t xml:space="preserve">1 log reduction in luminescence by day 20, with no change after that time point (only experiment 2) </w:t>
      </w:r>
      <w:r w:rsidRPr="006206C5">
        <w:rPr>
          <w:lang w:val="en-GB"/>
        </w:rPr>
        <w:t xml:space="preserve">Figure 1 and </w:t>
      </w:r>
      <w:r w:rsidR="006206C5" w:rsidRPr="006206C5">
        <w:t xml:space="preserve">Supplementary Figure </w:t>
      </w:r>
      <w:r w:rsidR="00D95A71" w:rsidRPr="006206C5">
        <w:rPr>
          <w:lang w:val="en-GB"/>
        </w:rPr>
        <w:t>S</w:t>
      </w:r>
      <w:r w:rsidRPr="006206C5">
        <w:rPr>
          <w:lang w:val="en-GB"/>
        </w:rPr>
        <w:t>1</w:t>
      </w:r>
      <w:r w:rsidRPr="00CD0886">
        <w:rPr>
          <w:lang w:val="en-GB"/>
        </w:rPr>
        <w:t>.</w:t>
      </w:r>
    </w:p>
    <w:p w14:paraId="5CBF4E1A" w14:textId="0AE519BB" w:rsidR="00C825BA" w:rsidRPr="00CD0886" w:rsidRDefault="00C825BA" w:rsidP="00D729B8">
      <w:pPr>
        <w:pStyle w:val="MDPI31text"/>
        <w:rPr>
          <w:lang w:val="en-GB"/>
        </w:rPr>
      </w:pPr>
      <w:r w:rsidRPr="00CD0886">
        <w:rPr>
          <w:lang w:val="en-GB"/>
        </w:rPr>
        <w:t xml:space="preserve">Nitazoxanide was effective only at the highest concentration tested, showing no activity at 8 mg/L </w:t>
      </w:r>
      <w:r w:rsidR="00BA70FC" w:rsidRPr="00CD0886">
        <w:rPr>
          <w:lang w:val="en-GB"/>
        </w:rPr>
        <w:t>(</w:t>
      </w:r>
      <w:r w:rsidRPr="00CD0886">
        <w:rPr>
          <w:lang w:val="en-GB"/>
        </w:rPr>
        <w:t xml:space="preserve">Figure 2 and </w:t>
      </w:r>
      <w:r w:rsidR="006206C5" w:rsidRPr="006206C5">
        <w:t xml:space="preserve">Supplementary Figure </w:t>
      </w:r>
      <w:r w:rsidR="00D95A71" w:rsidRPr="00CD0886">
        <w:rPr>
          <w:lang w:val="en-GB"/>
        </w:rPr>
        <w:t>S</w:t>
      </w:r>
      <w:r w:rsidRPr="00CD0886">
        <w:rPr>
          <w:lang w:val="en-GB"/>
        </w:rPr>
        <w:t>2</w:t>
      </w:r>
      <w:r w:rsidR="00BA70FC" w:rsidRPr="00CD0886">
        <w:rPr>
          <w:lang w:val="en-GB"/>
        </w:rPr>
        <w:t>)</w:t>
      </w:r>
      <w:r w:rsidRPr="00CD0886">
        <w:rPr>
          <w:lang w:val="en-GB"/>
        </w:rPr>
        <w:t>.</w:t>
      </w:r>
    </w:p>
    <w:p w14:paraId="2F092F68" w14:textId="6AF95735" w:rsidR="00C825BA" w:rsidRPr="00CD0886" w:rsidRDefault="00C825BA" w:rsidP="00D729B8">
      <w:pPr>
        <w:pStyle w:val="MDPI31text"/>
        <w:rPr>
          <w:lang w:val="en-GB"/>
        </w:rPr>
      </w:pPr>
      <w:r w:rsidRPr="00CD0886">
        <w:rPr>
          <w:lang w:val="en-GB"/>
        </w:rPr>
        <w:t>Carbapenems showed some modest initial activity that was lost at around day 10 of incubation. Meropenem, the model drug for the carbapenem group, showed good inhibition at a concentration of 32 mg/L up to the tenth day of incubation. Bacterial growth increased after day 10</w:t>
      </w:r>
      <w:r w:rsidR="0024121C" w:rsidRPr="00CD0886">
        <w:rPr>
          <w:lang w:val="en-GB"/>
        </w:rPr>
        <w:t>,</w:t>
      </w:r>
      <w:r w:rsidRPr="00CD0886">
        <w:rPr>
          <w:lang w:val="en-GB"/>
        </w:rPr>
        <w:t xml:space="preserve"> suggesting the meropenem </w:t>
      </w:r>
      <w:r w:rsidR="00BA70FC" w:rsidRPr="00CD0886">
        <w:rPr>
          <w:lang w:val="en-GB"/>
        </w:rPr>
        <w:t xml:space="preserve">either </w:t>
      </w:r>
      <w:r w:rsidRPr="00CD0886">
        <w:rPr>
          <w:lang w:val="en-GB"/>
        </w:rPr>
        <w:t>only exerted a bacteriostatic effect and/or degradation of the drug occurred in the medium</w:t>
      </w:r>
      <w:r w:rsidR="00BA70FC" w:rsidRPr="00CD0886">
        <w:rPr>
          <w:lang w:val="en-GB"/>
        </w:rPr>
        <w:t xml:space="preserve"> after a few days</w:t>
      </w:r>
      <w:r w:rsidRPr="00CD0886">
        <w:rPr>
          <w:lang w:val="en-GB"/>
        </w:rPr>
        <w:t xml:space="preserve">. The addition of clavulanic acid exerted a modest effect on meropenem activity but did not produce any differences in luminescence for the remaining carbapenems </w:t>
      </w:r>
      <w:r w:rsidR="00BA70FC" w:rsidRPr="00CD0886">
        <w:rPr>
          <w:lang w:val="en-GB"/>
        </w:rPr>
        <w:t>(</w:t>
      </w:r>
      <w:r w:rsidRPr="00CD0886">
        <w:rPr>
          <w:lang w:val="en-GB"/>
        </w:rPr>
        <w:t xml:space="preserve">Figure 3 and </w:t>
      </w:r>
      <w:r w:rsidR="006206C5" w:rsidRPr="006206C5">
        <w:t xml:space="preserve">Supplementary Figure </w:t>
      </w:r>
      <w:r w:rsidR="006206C5" w:rsidRPr="006206C5">
        <w:rPr>
          <w:lang w:val="en-GB"/>
        </w:rPr>
        <w:t>S</w:t>
      </w:r>
      <w:r w:rsidRPr="00CD0886">
        <w:rPr>
          <w:lang w:val="en-GB"/>
        </w:rPr>
        <w:t>3</w:t>
      </w:r>
      <w:r w:rsidR="00BA70FC" w:rsidRPr="00CD0886">
        <w:rPr>
          <w:lang w:val="en-GB"/>
        </w:rPr>
        <w:t>)</w:t>
      </w:r>
      <w:r w:rsidRPr="00CD0886">
        <w:rPr>
          <w:lang w:val="en-GB"/>
        </w:rPr>
        <w:t>.</w:t>
      </w:r>
    </w:p>
    <w:p w14:paraId="0E6C7177" w14:textId="1906C217" w:rsidR="00C825BA" w:rsidRPr="00CD0886" w:rsidRDefault="00C825BA" w:rsidP="00D729B8">
      <w:pPr>
        <w:pStyle w:val="MDPI31text"/>
        <w:rPr>
          <w:lang w:val="en-GB"/>
        </w:rPr>
      </w:pPr>
      <w:proofErr w:type="spellStart"/>
      <w:r w:rsidRPr="00CD0886">
        <w:rPr>
          <w:lang w:val="en-GB"/>
        </w:rPr>
        <w:t>Faropenem</w:t>
      </w:r>
      <w:proofErr w:type="spellEnd"/>
      <w:r w:rsidRPr="00CD0886">
        <w:rPr>
          <w:lang w:val="en-GB"/>
        </w:rPr>
        <w:t xml:space="preserve"> showed a similar result except that luminescence only started to increase later, </w:t>
      </w:r>
      <w:r w:rsidR="00BA70FC" w:rsidRPr="00CD0886">
        <w:rPr>
          <w:lang w:val="en-GB"/>
        </w:rPr>
        <w:t xml:space="preserve">at </w:t>
      </w:r>
      <w:r w:rsidRPr="00CD0886">
        <w:rPr>
          <w:lang w:val="en-GB"/>
        </w:rPr>
        <w:t xml:space="preserve">around day 15. Addition of clavulanate did not improve </w:t>
      </w:r>
      <w:r w:rsidR="00BA70FC" w:rsidRPr="00CD0886">
        <w:rPr>
          <w:lang w:val="en-GB"/>
        </w:rPr>
        <w:t xml:space="preserve">the </w:t>
      </w:r>
      <w:r w:rsidRPr="00CD0886">
        <w:rPr>
          <w:lang w:val="en-GB"/>
        </w:rPr>
        <w:t xml:space="preserve">killing effect </w:t>
      </w:r>
      <w:r w:rsidR="00BA70FC" w:rsidRPr="00CD0886">
        <w:rPr>
          <w:lang w:val="en-GB"/>
        </w:rPr>
        <w:t>(</w:t>
      </w:r>
      <w:r w:rsidRPr="00CD0886">
        <w:rPr>
          <w:lang w:val="en-GB"/>
        </w:rPr>
        <w:t xml:space="preserve">Figure 4 and </w:t>
      </w:r>
      <w:r w:rsidR="006206C5" w:rsidRPr="006206C5">
        <w:t xml:space="preserve">Supplementary Figure </w:t>
      </w:r>
      <w:r w:rsidR="006206C5" w:rsidRPr="006206C5">
        <w:rPr>
          <w:lang w:val="en-GB"/>
        </w:rPr>
        <w:t>S</w:t>
      </w:r>
      <w:r w:rsidRPr="00CD0886">
        <w:rPr>
          <w:lang w:val="en-GB"/>
        </w:rPr>
        <w:t>4</w:t>
      </w:r>
      <w:r w:rsidR="00BA70FC" w:rsidRPr="00CD0886">
        <w:rPr>
          <w:lang w:val="en-GB"/>
        </w:rPr>
        <w:t>)</w:t>
      </w:r>
      <w:r w:rsidRPr="00CD0886">
        <w:rPr>
          <w:lang w:val="en-GB"/>
        </w:rPr>
        <w:t>.</w:t>
      </w:r>
    </w:p>
    <w:p w14:paraId="68383B2F" w14:textId="7E9E87CD" w:rsidR="00C94E5F" w:rsidRPr="00CD0886" w:rsidRDefault="00C825BA" w:rsidP="00D729B8">
      <w:pPr>
        <w:pStyle w:val="MDPI31text"/>
        <w:rPr>
          <w:lang w:val="en-GB"/>
        </w:rPr>
      </w:pPr>
      <w:r w:rsidRPr="00CD0886">
        <w:rPr>
          <w:lang w:val="en-GB"/>
        </w:rPr>
        <w:t xml:space="preserve">Tebipenem was active at 64 mg/L. The luminescence curve remained stable after 10 days, suggesting it is more stable or active than the other </w:t>
      </w:r>
      <w:r w:rsidR="00BA70FC" w:rsidRPr="00CD0886">
        <w:rPr>
          <w:lang w:val="en-GB"/>
        </w:rPr>
        <w:t>two</w:t>
      </w:r>
      <w:r w:rsidRPr="00CD0886">
        <w:rPr>
          <w:lang w:val="en-GB"/>
        </w:rPr>
        <w:t xml:space="preserve"> carbapenems in this model. Addition of clavulanate did not increase killing activity </w:t>
      </w:r>
      <w:r w:rsidR="00BA70FC" w:rsidRPr="00CD0886">
        <w:rPr>
          <w:lang w:val="en-GB"/>
        </w:rPr>
        <w:t>(</w:t>
      </w:r>
      <w:r w:rsidRPr="00CD0886">
        <w:rPr>
          <w:lang w:val="en-GB"/>
        </w:rPr>
        <w:t xml:space="preserve">Figure 5 and </w:t>
      </w:r>
      <w:r w:rsidR="006206C5" w:rsidRPr="006206C5">
        <w:t xml:space="preserve">Supplementary Figure </w:t>
      </w:r>
      <w:r w:rsidR="00D95A71" w:rsidRPr="00CD0886">
        <w:rPr>
          <w:lang w:val="en-GB"/>
        </w:rPr>
        <w:t>S</w:t>
      </w:r>
      <w:r w:rsidRPr="00CD0886">
        <w:rPr>
          <w:lang w:val="en-GB"/>
        </w:rPr>
        <w:t>5</w:t>
      </w:r>
      <w:r w:rsidR="00BA70FC" w:rsidRPr="00CD0886">
        <w:rPr>
          <w:lang w:val="en-GB"/>
        </w:rPr>
        <w:t>)</w:t>
      </w:r>
      <w:r w:rsidR="00C94E5F" w:rsidRPr="00CD0886">
        <w:rPr>
          <w:lang w:val="en-GB"/>
        </w:rPr>
        <w:t>.</w:t>
      </w:r>
    </w:p>
    <w:p w14:paraId="26BE449E" w14:textId="707DF824" w:rsidR="00F07D2A" w:rsidRPr="00CD0886" w:rsidRDefault="00F07D2A" w:rsidP="00D95A71">
      <w:pPr>
        <w:pStyle w:val="MDPI52figure"/>
        <w:ind w:left="2608"/>
        <w:jc w:val="left"/>
        <w:rPr>
          <w:lang w:val="en-GB"/>
        </w:rPr>
      </w:pPr>
      <w:r w:rsidRPr="00CD0886">
        <w:rPr>
          <w:noProof/>
          <w:lang w:val="en-GB"/>
        </w:rPr>
        <w:lastRenderedPageBreak/>
        <w:drawing>
          <wp:inline distT="0" distB="0" distL="0" distR="0" wp14:anchorId="2BA56621" wp14:editId="1907D3BE">
            <wp:extent cx="3708400" cy="3005455"/>
            <wp:effectExtent l="0" t="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153" t="7611" r="3311"/>
                    <a:stretch/>
                  </pic:blipFill>
                  <pic:spPr bwMode="auto">
                    <a:xfrm>
                      <a:off x="0" y="0"/>
                      <a:ext cx="3719535" cy="3014479"/>
                    </a:xfrm>
                    <a:prstGeom prst="rect">
                      <a:avLst/>
                    </a:prstGeom>
                    <a:ln>
                      <a:noFill/>
                    </a:ln>
                    <a:extLst>
                      <a:ext uri="{53640926-AAD7-44D8-BBD7-CCE9431645EC}">
                        <a14:shadowObscured xmlns:a14="http://schemas.microsoft.com/office/drawing/2010/main"/>
                      </a:ext>
                    </a:extLst>
                  </pic:spPr>
                </pic:pic>
              </a:graphicData>
            </a:graphic>
          </wp:inline>
        </w:drawing>
      </w:r>
    </w:p>
    <w:p w14:paraId="2F07BF11" w14:textId="69810B78" w:rsidR="00F07D2A" w:rsidRPr="00CD0886" w:rsidRDefault="00D95A71" w:rsidP="00D95A71">
      <w:pPr>
        <w:pStyle w:val="MDPI51figurecaption"/>
        <w:jc w:val="both"/>
        <w:rPr>
          <w:lang w:val="en-GB"/>
        </w:rPr>
      </w:pPr>
      <w:r w:rsidRPr="00CD0886">
        <w:rPr>
          <w:b/>
          <w:lang w:val="en-GB"/>
        </w:rPr>
        <w:t xml:space="preserve">Figure 1. </w:t>
      </w:r>
      <w:r w:rsidR="00F07D2A" w:rsidRPr="00CD0886">
        <w:rPr>
          <w:lang w:val="en-GB"/>
        </w:rPr>
        <w:t xml:space="preserve">Luminescence detection at different time points for clofazimine in </w:t>
      </w:r>
      <w:r w:rsidR="0024121C" w:rsidRPr="00CD0886">
        <w:rPr>
          <w:lang w:val="en-GB"/>
        </w:rPr>
        <w:t>TB-</w:t>
      </w:r>
      <w:r w:rsidR="00F07D2A" w:rsidRPr="00CD0886">
        <w:rPr>
          <w:lang w:val="en-GB"/>
        </w:rPr>
        <w:t xml:space="preserve">infected PMBCs obtained from donor 1. AC: alginate collagen; PMBCs: peripheral blood mononuclear cells; Mtb: Mycobacterium tuberculosis; DMSO: dimethyl sulfoxide; </w:t>
      </w:r>
      <w:proofErr w:type="spellStart"/>
      <w:r w:rsidR="00F07D2A" w:rsidRPr="00CD0886">
        <w:rPr>
          <w:lang w:val="en-GB"/>
        </w:rPr>
        <w:t>Clof</w:t>
      </w:r>
      <w:proofErr w:type="spellEnd"/>
      <w:r w:rsidR="00F07D2A" w:rsidRPr="00CD0886">
        <w:rPr>
          <w:lang w:val="en-GB"/>
        </w:rPr>
        <w:t xml:space="preserve"> 2: Clofazimine 2</w:t>
      </w:r>
      <w:r w:rsidRPr="00CD0886">
        <w:rPr>
          <w:lang w:val="en-GB"/>
        </w:rPr>
        <w:t xml:space="preserve"> </w:t>
      </w:r>
      <w:r w:rsidR="00F07D2A" w:rsidRPr="00CD0886">
        <w:rPr>
          <w:lang w:val="en-GB"/>
        </w:rPr>
        <w:t xml:space="preserve">mg/L; </w:t>
      </w:r>
      <w:proofErr w:type="spellStart"/>
      <w:r w:rsidR="00F07D2A" w:rsidRPr="00CD0886">
        <w:rPr>
          <w:lang w:val="en-GB"/>
        </w:rPr>
        <w:t>Clof</w:t>
      </w:r>
      <w:proofErr w:type="spellEnd"/>
      <w:r w:rsidR="00F07D2A" w:rsidRPr="00CD0886">
        <w:rPr>
          <w:lang w:val="en-GB"/>
        </w:rPr>
        <w:t xml:space="preserve"> 32: Clofazimine 32</w:t>
      </w:r>
      <w:r w:rsidRPr="00CD0886">
        <w:rPr>
          <w:lang w:val="en-GB"/>
        </w:rPr>
        <w:t xml:space="preserve"> </w:t>
      </w:r>
      <w:r w:rsidR="00F07D2A" w:rsidRPr="00CD0886">
        <w:rPr>
          <w:lang w:val="en-GB"/>
        </w:rPr>
        <w:t>mg/L.</w:t>
      </w:r>
    </w:p>
    <w:p w14:paraId="06469B58" w14:textId="032E874F" w:rsidR="00F07D2A" w:rsidRPr="00CD0886" w:rsidRDefault="00F07D2A" w:rsidP="00D95A71">
      <w:pPr>
        <w:pStyle w:val="MDPI52figure"/>
        <w:ind w:left="2608"/>
        <w:jc w:val="left"/>
        <w:rPr>
          <w:lang w:val="en-GB"/>
        </w:rPr>
      </w:pPr>
      <w:r w:rsidRPr="00CD0886">
        <w:rPr>
          <w:noProof/>
          <w:lang w:val="en-GB"/>
        </w:rPr>
        <w:drawing>
          <wp:inline distT="0" distB="0" distL="0" distR="0" wp14:anchorId="2B09A044" wp14:editId="2984FC71">
            <wp:extent cx="3795120" cy="3044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968" t="5973" r="-1"/>
                    <a:stretch/>
                  </pic:blipFill>
                  <pic:spPr bwMode="auto">
                    <a:xfrm>
                      <a:off x="0" y="0"/>
                      <a:ext cx="3812124" cy="3058467"/>
                    </a:xfrm>
                    <a:prstGeom prst="rect">
                      <a:avLst/>
                    </a:prstGeom>
                    <a:ln>
                      <a:noFill/>
                    </a:ln>
                    <a:extLst>
                      <a:ext uri="{53640926-AAD7-44D8-BBD7-CCE9431645EC}">
                        <a14:shadowObscured xmlns:a14="http://schemas.microsoft.com/office/drawing/2010/main"/>
                      </a:ext>
                    </a:extLst>
                  </pic:spPr>
                </pic:pic>
              </a:graphicData>
            </a:graphic>
          </wp:inline>
        </w:drawing>
      </w:r>
    </w:p>
    <w:p w14:paraId="3BEC5CD7" w14:textId="16A1F029" w:rsidR="00F07D2A" w:rsidRPr="00CD0886" w:rsidRDefault="00D95A71" w:rsidP="00D95A71">
      <w:pPr>
        <w:pStyle w:val="MDPI51figurecaption"/>
        <w:jc w:val="both"/>
        <w:rPr>
          <w:lang w:val="en-GB"/>
        </w:rPr>
      </w:pPr>
      <w:r w:rsidRPr="00CD0886">
        <w:rPr>
          <w:b/>
          <w:lang w:val="en-GB"/>
        </w:rPr>
        <w:t xml:space="preserve">Figure 2. </w:t>
      </w:r>
      <w:r w:rsidR="00F07D2A" w:rsidRPr="00CD0886">
        <w:rPr>
          <w:lang w:val="en-GB"/>
        </w:rPr>
        <w:t xml:space="preserve">Luminescence detection at different time points for nitazoxanide in </w:t>
      </w:r>
      <w:r w:rsidR="0024121C" w:rsidRPr="00CD0886">
        <w:rPr>
          <w:lang w:val="en-GB"/>
        </w:rPr>
        <w:t>TB-</w:t>
      </w:r>
      <w:r w:rsidR="00F07D2A" w:rsidRPr="00CD0886">
        <w:rPr>
          <w:lang w:val="en-GB"/>
        </w:rPr>
        <w:t>infected PMBCs obtained from donor 1. AC: alginate collagen; PMBCs: peripheral blood mononuclear cells; Mtb: Mycobacterium tuberculosis; DMSO: dimethyl sulfoxide; Nita8: Nitazoxanide 8</w:t>
      </w:r>
      <w:r w:rsidRPr="00CD0886">
        <w:rPr>
          <w:lang w:val="en-GB"/>
        </w:rPr>
        <w:t xml:space="preserve"> </w:t>
      </w:r>
      <w:r w:rsidR="00F07D2A" w:rsidRPr="00CD0886">
        <w:rPr>
          <w:lang w:val="en-GB"/>
        </w:rPr>
        <w:t>mg/L; Nita 64: Nitazoxanide 64</w:t>
      </w:r>
      <w:r w:rsidRPr="00CD0886">
        <w:rPr>
          <w:lang w:val="en-GB"/>
        </w:rPr>
        <w:t xml:space="preserve"> </w:t>
      </w:r>
      <w:r w:rsidR="00F07D2A" w:rsidRPr="00CD0886">
        <w:rPr>
          <w:lang w:val="en-GB"/>
        </w:rPr>
        <w:t>mg/L.</w:t>
      </w:r>
    </w:p>
    <w:p w14:paraId="149D56C2" w14:textId="51F54B58" w:rsidR="004E27A7" w:rsidRPr="00CD0886" w:rsidRDefault="004E27A7" w:rsidP="00D95A71">
      <w:pPr>
        <w:pStyle w:val="MDPI52figure"/>
        <w:ind w:left="2608"/>
        <w:jc w:val="left"/>
        <w:rPr>
          <w:lang w:val="en-GB"/>
        </w:rPr>
      </w:pPr>
      <w:r w:rsidRPr="00CD0886">
        <w:rPr>
          <w:noProof/>
          <w:lang w:val="en-GB"/>
        </w:rPr>
        <w:lastRenderedPageBreak/>
        <w:drawing>
          <wp:inline distT="0" distB="0" distL="0" distR="0" wp14:anchorId="4A584882" wp14:editId="29DA5F0A">
            <wp:extent cx="4161693" cy="3303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4892" r="5647"/>
                    <a:stretch/>
                  </pic:blipFill>
                  <pic:spPr bwMode="auto">
                    <a:xfrm>
                      <a:off x="0" y="0"/>
                      <a:ext cx="4169674" cy="3310241"/>
                    </a:xfrm>
                    <a:prstGeom prst="rect">
                      <a:avLst/>
                    </a:prstGeom>
                    <a:ln>
                      <a:noFill/>
                    </a:ln>
                    <a:extLst>
                      <a:ext uri="{53640926-AAD7-44D8-BBD7-CCE9431645EC}">
                        <a14:shadowObscured xmlns:a14="http://schemas.microsoft.com/office/drawing/2010/main"/>
                      </a:ext>
                    </a:extLst>
                  </pic:spPr>
                </pic:pic>
              </a:graphicData>
            </a:graphic>
          </wp:inline>
        </w:drawing>
      </w:r>
    </w:p>
    <w:p w14:paraId="62604014" w14:textId="5D87139C" w:rsidR="004E27A7" w:rsidRPr="00CD0886" w:rsidRDefault="00D95A71" w:rsidP="00D95A71">
      <w:pPr>
        <w:pStyle w:val="MDPI51figurecaption"/>
        <w:jc w:val="both"/>
        <w:rPr>
          <w:lang w:val="en-GB"/>
        </w:rPr>
      </w:pPr>
      <w:r w:rsidRPr="00CD0886">
        <w:rPr>
          <w:b/>
          <w:lang w:val="en-GB"/>
        </w:rPr>
        <w:t xml:space="preserve">Figure 3. </w:t>
      </w:r>
      <w:r w:rsidR="004E27A7" w:rsidRPr="00CD0886">
        <w:rPr>
          <w:lang w:val="en-GB"/>
        </w:rPr>
        <w:t xml:space="preserve">Luminescence detection at different time points for meropenem in </w:t>
      </w:r>
      <w:r w:rsidR="0024121C" w:rsidRPr="00CD0886">
        <w:rPr>
          <w:lang w:val="en-GB"/>
        </w:rPr>
        <w:t>TB-</w:t>
      </w:r>
      <w:r w:rsidR="004E27A7" w:rsidRPr="00CD0886">
        <w:rPr>
          <w:lang w:val="en-GB"/>
        </w:rPr>
        <w:t>infected PMBCs obtained from donor 1. AC: alginate collagen; PMBCs: peripheral blood mononuclear cells; Mtb: Mycobacterium tuberculosis; DMSO: dimethyl sulfoxide; Mero 2: Meropenem 2</w:t>
      </w:r>
      <w:r w:rsidRPr="00CD0886">
        <w:rPr>
          <w:lang w:val="en-GB"/>
        </w:rPr>
        <w:t xml:space="preserve"> </w:t>
      </w:r>
      <w:r w:rsidR="004E27A7" w:rsidRPr="00CD0886">
        <w:rPr>
          <w:lang w:val="en-GB"/>
        </w:rPr>
        <w:t>mg/L; Mero 32: Meropenem 32</w:t>
      </w:r>
      <w:r w:rsidRPr="00CD0886">
        <w:rPr>
          <w:lang w:val="en-GB"/>
        </w:rPr>
        <w:t xml:space="preserve"> </w:t>
      </w:r>
      <w:r w:rsidR="004E27A7" w:rsidRPr="00CD0886">
        <w:rPr>
          <w:lang w:val="en-GB"/>
        </w:rPr>
        <w:t xml:space="preserve">mg/L; </w:t>
      </w:r>
      <w:proofErr w:type="spellStart"/>
      <w:r w:rsidR="004E27A7" w:rsidRPr="00CD0886">
        <w:rPr>
          <w:lang w:val="en-GB"/>
        </w:rPr>
        <w:t>Clav</w:t>
      </w:r>
      <w:proofErr w:type="spellEnd"/>
      <w:r w:rsidR="004E27A7" w:rsidRPr="00CD0886">
        <w:rPr>
          <w:lang w:val="en-GB"/>
        </w:rPr>
        <w:t xml:space="preserve"> 2.5: clavulanic acid 2.5 mg/L.</w:t>
      </w:r>
    </w:p>
    <w:p w14:paraId="7334C014" w14:textId="621FBE6D" w:rsidR="004E27A7" w:rsidRPr="00CD0886" w:rsidRDefault="004E27A7" w:rsidP="00D95A71">
      <w:pPr>
        <w:pStyle w:val="MDPI52figure"/>
        <w:ind w:left="2608"/>
        <w:jc w:val="left"/>
        <w:rPr>
          <w:lang w:val="en-GB"/>
        </w:rPr>
      </w:pPr>
      <w:r w:rsidRPr="00CD0886">
        <w:rPr>
          <w:noProof/>
          <w:lang w:val="en-GB"/>
        </w:rPr>
        <w:drawing>
          <wp:inline distT="0" distB="0" distL="0" distR="0" wp14:anchorId="76D94ED6" wp14:editId="1DF2E5E9">
            <wp:extent cx="4333944" cy="34486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762"/>
                    <a:stretch/>
                  </pic:blipFill>
                  <pic:spPr bwMode="auto">
                    <a:xfrm>
                      <a:off x="0" y="0"/>
                      <a:ext cx="4343683" cy="3456435"/>
                    </a:xfrm>
                    <a:prstGeom prst="rect">
                      <a:avLst/>
                    </a:prstGeom>
                    <a:ln>
                      <a:noFill/>
                    </a:ln>
                    <a:extLst>
                      <a:ext uri="{53640926-AAD7-44D8-BBD7-CCE9431645EC}">
                        <a14:shadowObscured xmlns:a14="http://schemas.microsoft.com/office/drawing/2010/main"/>
                      </a:ext>
                    </a:extLst>
                  </pic:spPr>
                </pic:pic>
              </a:graphicData>
            </a:graphic>
          </wp:inline>
        </w:drawing>
      </w:r>
    </w:p>
    <w:p w14:paraId="13727DAC" w14:textId="220822C9" w:rsidR="004E27A7" w:rsidRPr="00CD0886" w:rsidRDefault="00D95A71" w:rsidP="00D95A71">
      <w:pPr>
        <w:pStyle w:val="MDPI51figurecaption"/>
        <w:jc w:val="both"/>
        <w:rPr>
          <w:lang w:val="en-GB"/>
        </w:rPr>
      </w:pPr>
      <w:r w:rsidRPr="00CD0886">
        <w:rPr>
          <w:b/>
          <w:lang w:val="en-GB"/>
        </w:rPr>
        <w:t xml:space="preserve">Figure 4. </w:t>
      </w:r>
      <w:r w:rsidR="004E27A7" w:rsidRPr="00CD0886">
        <w:rPr>
          <w:lang w:val="en-GB"/>
        </w:rPr>
        <w:t xml:space="preserve">Luminescence detection at different time points for </w:t>
      </w:r>
      <w:proofErr w:type="spellStart"/>
      <w:r w:rsidR="004E27A7" w:rsidRPr="00CD0886">
        <w:rPr>
          <w:lang w:val="en-GB"/>
        </w:rPr>
        <w:t>faropenem</w:t>
      </w:r>
      <w:proofErr w:type="spellEnd"/>
      <w:r w:rsidR="004E27A7" w:rsidRPr="00CD0886">
        <w:rPr>
          <w:lang w:val="en-GB"/>
        </w:rPr>
        <w:t xml:space="preserve"> in </w:t>
      </w:r>
      <w:r w:rsidR="0024121C" w:rsidRPr="00CD0886">
        <w:rPr>
          <w:lang w:val="en-GB"/>
        </w:rPr>
        <w:t>TB-</w:t>
      </w:r>
      <w:r w:rsidR="004E27A7" w:rsidRPr="00CD0886">
        <w:rPr>
          <w:lang w:val="en-GB"/>
        </w:rPr>
        <w:t xml:space="preserve">infected PMBCs obtained from donor 1. AC: alginate collagen; PMBCs: peripheral blood mononuclear cells; Mtb: Mycobacterium tuberculosis; DMSO: dimethyl sulfoxide; Faro 2: </w:t>
      </w:r>
      <w:proofErr w:type="spellStart"/>
      <w:r w:rsidR="004E27A7" w:rsidRPr="00CD0886">
        <w:rPr>
          <w:lang w:val="en-GB"/>
        </w:rPr>
        <w:t>Faropenem</w:t>
      </w:r>
      <w:proofErr w:type="spellEnd"/>
      <w:r w:rsidR="004E27A7" w:rsidRPr="00CD0886">
        <w:rPr>
          <w:lang w:val="en-GB"/>
        </w:rPr>
        <w:t xml:space="preserve"> 2</w:t>
      </w:r>
      <w:r w:rsidR="0084298D" w:rsidRPr="00CD0886">
        <w:rPr>
          <w:lang w:val="en-GB"/>
        </w:rPr>
        <w:t xml:space="preserve"> </w:t>
      </w:r>
      <w:r w:rsidR="004E27A7" w:rsidRPr="00CD0886">
        <w:rPr>
          <w:lang w:val="en-GB"/>
        </w:rPr>
        <w:t xml:space="preserve">mg/L; Faro 32: </w:t>
      </w:r>
      <w:proofErr w:type="spellStart"/>
      <w:r w:rsidR="004E27A7" w:rsidRPr="00CD0886">
        <w:rPr>
          <w:lang w:val="en-GB"/>
        </w:rPr>
        <w:t>Faropenem</w:t>
      </w:r>
      <w:proofErr w:type="spellEnd"/>
      <w:r w:rsidR="004E27A7" w:rsidRPr="00CD0886">
        <w:rPr>
          <w:lang w:val="en-GB"/>
        </w:rPr>
        <w:t xml:space="preserve"> 32</w:t>
      </w:r>
      <w:r w:rsidR="0084298D" w:rsidRPr="00CD0886">
        <w:rPr>
          <w:lang w:val="en-GB"/>
        </w:rPr>
        <w:t xml:space="preserve"> </w:t>
      </w:r>
      <w:r w:rsidR="004E27A7" w:rsidRPr="00CD0886">
        <w:rPr>
          <w:lang w:val="en-GB"/>
        </w:rPr>
        <w:t xml:space="preserve">mg/L; </w:t>
      </w:r>
      <w:proofErr w:type="spellStart"/>
      <w:r w:rsidR="004E27A7" w:rsidRPr="00CD0886">
        <w:rPr>
          <w:lang w:val="en-GB"/>
        </w:rPr>
        <w:t>Clav</w:t>
      </w:r>
      <w:proofErr w:type="spellEnd"/>
      <w:r w:rsidR="004E27A7" w:rsidRPr="00CD0886">
        <w:rPr>
          <w:lang w:val="en-GB"/>
        </w:rPr>
        <w:t xml:space="preserve"> 2.5: clavulanic acid 2.5 mg/L.</w:t>
      </w:r>
      <w:r w:rsidR="008B470B" w:rsidRPr="00CD0886">
        <w:rPr>
          <w:lang w:val="en-GB"/>
        </w:rPr>
        <w:t xml:space="preserve"> Standard deviation included but are very small</w:t>
      </w:r>
      <w:r w:rsidR="0024121C" w:rsidRPr="00CD0886">
        <w:rPr>
          <w:lang w:val="en-GB"/>
        </w:rPr>
        <w:t>,</w:t>
      </w:r>
      <w:r w:rsidR="008B470B" w:rsidRPr="00CD0886">
        <w:rPr>
          <w:lang w:val="en-GB"/>
        </w:rPr>
        <w:t xml:space="preserve"> i</w:t>
      </w:r>
      <w:r w:rsidR="0024121C" w:rsidRPr="00CD0886">
        <w:rPr>
          <w:lang w:val="en-GB"/>
        </w:rPr>
        <w:t>.</w:t>
      </w:r>
      <w:r w:rsidR="008B470B" w:rsidRPr="00CD0886">
        <w:rPr>
          <w:lang w:val="en-GB"/>
        </w:rPr>
        <w:t>e</w:t>
      </w:r>
      <w:r w:rsidR="0024121C" w:rsidRPr="00CD0886">
        <w:rPr>
          <w:lang w:val="en-GB"/>
        </w:rPr>
        <w:t>.,</w:t>
      </w:r>
      <w:r w:rsidR="008B470B" w:rsidRPr="00CD0886">
        <w:rPr>
          <w:lang w:val="en-GB"/>
        </w:rPr>
        <w:t xml:space="preserve"> within the size of the points on the curve</w:t>
      </w:r>
      <w:r w:rsidR="00752895" w:rsidRPr="00CD0886">
        <w:rPr>
          <w:lang w:val="en-GB"/>
        </w:rPr>
        <w:t>.</w:t>
      </w:r>
    </w:p>
    <w:p w14:paraId="5A5E1F92" w14:textId="0CE0AAB7" w:rsidR="004E27A7" w:rsidRPr="00CD0886" w:rsidRDefault="004E27A7" w:rsidP="0084298D">
      <w:pPr>
        <w:pStyle w:val="MDPI52figure"/>
        <w:ind w:left="2608"/>
        <w:jc w:val="left"/>
        <w:rPr>
          <w:lang w:val="en-GB"/>
        </w:rPr>
      </w:pPr>
      <w:r w:rsidRPr="00CD0886">
        <w:rPr>
          <w:noProof/>
          <w:lang w:val="en-GB"/>
        </w:rPr>
        <w:lastRenderedPageBreak/>
        <w:drawing>
          <wp:inline distT="0" distB="0" distL="0" distR="0" wp14:anchorId="2201DC0A" wp14:editId="252F3B6F">
            <wp:extent cx="4586788" cy="356855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3216" t="2248"/>
                    <a:stretch/>
                  </pic:blipFill>
                  <pic:spPr bwMode="auto">
                    <a:xfrm>
                      <a:off x="0" y="0"/>
                      <a:ext cx="4596489" cy="3576101"/>
                    </a:xfrm>
                    <a:prstGeom prst="rect">
                      <a:avLst/>
                    </a:prstGeom>
                    <a:ln>
                      <a:noFill/>
                    </a:ln>
                    <a:extLst>
                      <a:ext uri="{53640926-AAD7-44D8-BBD7-CCE9431645EC}">
                        <a14:shadowObscured xmlns:a14="http://schemas.microsoft.com/office/drawing/2010/main"/>
                      </a:ext>
                    </a:extLst>
                  </pic:spPr>
                </pic:pic>
              </a:graphicData>
            </a:graphic>
          </wp:inline>
        </w:drawing>
      </w:r>
    </w:p>
    <w:p w14:paraId="105B2C29" w14:textId="2D2B4E11" w:rsidR="004E27A7" w:rsidRPr="00CD0886" w:rsidRDefault="0084298D" w:rsidP="0084298D">
      <w:pPr>
        <w:pStyle w:val="MDPI51figurecaption"/>
        <w:jc w:val="both"/>
        <w:rPr>
          <w:lang w:val="en-GB"/>
        </w:rPr>
      </w:pPr>
      <w:r w:rsidRPr="00CD0886">
        <w:rPr>
          <w:b/>
          <w:lang w:val="en-GB"/>
        </w:rPr>
        <w:t xml:space="preserve">Figure 5. </w:t>
      </w:r>
      <w:r w:rsidR="004E27A7" w:rsidRPr="00CD0886">
        <w:rPr>
          <w:lang w:val="en-GB"/>
        </w:rPr>
        <w:t xml:space="preserve">Luminescence detection at different time points for tebipenem in </w:t>
      </w:r>
      <w:r w:rsidR="0024121C" w:rsidRPr="00CD0886">
        <w:rPr>
          <w:lang w:val="en-GB"/>
        </w:rPr>
        <w:t>TB-</w:t>
      </w:r>
      <w:r w:rsidR="004E27A7" w:rsidRPr="00CD0886">
        <w:rPr>
          <w:lang w:val="en-GB"/>
        </w:rPr>
        <w:t xml:space="preserve">infected PMBCs obtained from donor 1. AC: alginate collagen; PMBCs: peripheral blood mononuclear cells; Mtb: Mycobacterium tuberculosis; DMSO: dimethyl sulfoxide; </w:t>
      </w:r>
      <w:proofErr w:type="spellStart"/>
      <w:r w:rsidR="004E27A7" w:rsidRPr="00CD0886">
        <w:rPr>
          <w:lang w:val="en-GB"/>
        </w:rPr>
        <w:t>Tebi</w:t>
      </w:r>
      <w:proofErr w:type="spellEnd"/>
      <w:r w:rsidR="004E27A7" w:rsidRPr="00CD0886">
        <w:rPr>
          <w:lang w:val="en-GB"/>
        </w:rPr>
        <w:t xml:space="preserve"> 2: Tebipenem 2</w:t>
      </w:r>
      <w:r w:rsidRPr="00CD0886">
        <w:rPr>
          <w:lang w:val="en-GB"/>
        </w:rPr>
        <w:t xml:space="preserve"> </w:t>
      </w:r>
      <w:r w:rsidR="004E27A7" w:rsidRPr="00CD0886">
        <w:rPr>
          <w:lang w:val="en-GB"/>
        </w:rPr>
        <w:t xml:space="preserve">mg/L; </w:t>
      </w:r>
      <w:proofErr w:type="spellStart"/>
      <w:r w:rsidR="004E27A7" w:rsidRPr="00CD0886">
        <w:rPr>
          <w:lang w:val="en-GB"/>
        </w:rPr>
        <w:t>Tebi</w:t>
      </w:r>
      <w:proofErr w:type="spellEnd"/>
      <w:r w:rsidR="004E27A7" w:rsidRPr="00CD0886">
        <w:rPr>
          <w:lang w:val="en-GB"/>
        </w:rPr>
        <w:t xml:space="preserve"> 64: Tebipenem 64</w:t>
      </w:r>
      <w:r w:rsidRPr="00CD0886">
        <w:rPr>
          <w:lang w:val="en-GB"/>
        </w:rPr>
        <w:t xml:space="preserve"> </w:t>
      </w:r>
      <w:r w:rsidR="004E27A7" w:rsidRPr="00CD0886">
        <w:rPr>
          <w:lang w:val="en-GB"/>
        </w:rPr>
        <w:t xml:space="preserve">mg/L; </w:t>
      </w:r>
      <w:proofErr w:type="spellStart"/>
      <w:r w:rsidR="004E27A7" w:rsidRPr="00CD0886">
        <w:rPr>
          <w:lang w:val="en-GB"/>
        </w:rPr>
        <w:t>Clav</w:t>
      </w:r>
      <w:proofErr w:type="spellEnd"/>
      <w:r w:rsidR="004E27A7" w:rsidRPr="00CD0886">
        <w:rPr>
          <w:lang w:val="en-GB"/>
        </w:rPr>
        <w:t xml:space="preserve"> 2.5: clavulanic acid 2.5 mg/L.</w:t>
      </w:r>
    </w:p>
    <w:p w14:paraId="76970B9E" w14:textId="125BAE3E" w:rsidR="007713AF" w:rsidRPr="00CD0886" w:rsidRDefault="00D729B8" w:rsidP="00D729B8">
      <w:pPr>
        <w:pStyle w:val="MDPI21heading1"/>
        <w:rPr>
          <w:lang w:val="en-GB"/>
        </w:rPr>
      </w:pPr>
      <w:bookmarkStart w:id="0" w:name="page2"/>
      <w:bookmarkEnd w:id="0"/>
      <w:r w:rsidRPr="00CD0886">
        <w:rPr>
          <w:lang w:val="en-GB"/>
        </w:rPr>
        <w:t xml:space="preserve">3. </w:t>
      </w:r>
      <w:r w:rsidR="007713AF" w:rsidRPr="00CD0886">
        <w:rPr>
          <w:lang w:val="en-GB"/>
        </w:rPr>
        <w:t>Discussion</w:t>
      </w:r>
    </w:p>
    <w:p w14:paraId="3BDF47BA" w14:textId="715E9BDE" w:rsidR="00F71F3F" w:rsidRPr="00CD0886" w:rsidRDefault="00C044A3" w:rsidP="00D729B8">
      <w:pPr>
        <w:pStyle w:val="MDPI31text"/>
        <w:rPr>
          <w:lang w:val="en-GB"/>
        </w:rPr>
      </w:pPr>
      <w:r w:rsidRPr="00CD0886">
        <w:rPr>
          <w:lang w:val="en-GB"/>
        </w:rPr>
        <w:t>Here, we study different anti</w:t>
      </w:r>
      <w:r w:rsidR="00EB3357">
        <w:rPr>
          <w:lang w:val="en-GB"/>
        </w:rPr>
        <w:t>-</w:t>
      </w:r>
      <w:r w:rsidRPr="00CD0886">
        <w:rPr>
          <w:lang w:val="en-GB"/>
        </w:rPr>
        <w:t>microbials in a 3-D granuloma model of human TB that has previously been shown to replicate pyrazinamide efficacy</w:t>
      </w:r>
      <w:r w:rsidR="002127D1" w:rsidRPr="00CD0886">
        <w:rPr>
          <w:lang w:val="en-GB"/>
        </w:rPr>
        <w:t xml:space="preserve"> against TB </w:t>
      </w:r>
      <w:r w:rsidR="003C720B" w:rsidRPr="00CD0886">
        <w:rPr>
          <w:lang w:val="en-GB"/>
        </w:rPr>
        <w:t>[4]</w:t>
      </w:r>
      <w:r w:rsidRPr="00CD0886">
        <w:rPr>
          <w:lang w:val="en-GB"/>
        </w:rPr>
        <w:t>. Clofazimine, an anti-leprosy drug, has been known to be active against TB for several decades</w:t>
      </w:r>
      <w:r w:rsidR="002305F1" w:rsidRPr="00CD0886">
        <w:rPr>
          <w:lang w:val="en-GB"/>
        </w:rPr>
        <w:t xml:space="preserve"> [15]</w:t>
      </w:r>
      <w:r w:rsidRPr="00CD0886">
        <w:rPr>
          <w:lang w:val="en-GB"/>
        </w:rPr>
        <w:t xml:space="preserve"> and has been in use against TB (especially </w:t>
      </w:r>
      <w:r w:rsidR="00A21E8D" w:rsidRPr="00CD0886">
        <w:rPr>
          <w:lang w:val="en-GB"/>
        </w:rPr>
        <w:t>multi-drug-</w:t>
      </w:r>
      <w:r w:rsidRPr="00CD0886">
        <w:rPr>
          <w:lang w:val="en-GB"/>
        </w:rPr>
        <w:t xml:space="preserve">resistant TB </w:t>
      </w:r>
      <w:r w:rsidR="0022536F" w:rsidRPr="00CD0886">
        <w:rPr>
          <w:lang w:val="en-GB"/>
        </w:rPr>
        <w:t>(</w:t>
      </w:r>
      <w:r w:rsidRPr="00CD0886">
        <w:rPr>
          <w:lang w:val="en-GB"/>
        </w:rPr>
        <w:t>MDR-TB</w:t>
      </w:r>
      <w:r w:rsidR="0022536F" w:rsidRPr="00CD0886">
        <w:rPr>
          <w:lang w:val="en-GB"/>
        </w:rPr>
        <w:t>)</w:t>
      </w:r>
      <w:r w:rsidRPr="00CD0886">
        <w:rPr>
          <w:lang w:val="en-GB"/>
        </w:rPr>
        <w:t>) for many years now with mounting evidence about its effectiveness and safety profile</w:t>
      </w:r>
      <w:r w:rsidR="002305F1" w:rsidRPr="00CD0886">
        <w:rPr>
          <w:lang w:val="en-GB"/>
        </w:rPr>
        <w:t xml:space="preserve"> </w:t>
      </w:r>
      <w:r w:rsidR="00F75264" w:rsidRPr="00CD0886">
        <w:rPr>
          <w:lang w:val="en-GB"/>
        </w:rPr>
        <w:t>[6,16–18</w:t>
      </w:r>
      <w:r w:rsidR="002305F1" w:rsidRPr="00CD0886">
        <w:rPr>
          <w:lang w:val="en-GB"/>
        </w:rPr>
        <w:t>].</w:t>
      </w:r>
      <w:r w:rsidR="00F71F3F" w:rsidRPr="00CD0886">
        <w:rPr>
          <w:lang w:val="en-GB"/>
        </w:rPr>
        <w:t xml:space="preserve"> It is now one of the standard core drugs for MDRTB therapy</w:t>
      </w:r>
      <w:r w:rsidR="00D729B8" w:rsidRPr="00CD0886">
        <w:rPr>
          <w:lang w:val="en-GB"/>
        </w:rPr>
        <w:t xml:space="preserve"> </w:t>
      </w:r>
      <w:r w:rsidR="00C632A1" w:rsidRPr="00CD0886">
        <w:rPr>
          <w:lang w:val="en-GB"/>
        </w:rPr>
        <w:t>[7].</w:t>
      </w:r>
    </w:p>
    <w:p w14:paraId="1ABA62E6" w14:textId="207E62F0" w:rsidR="00C044A3" w:rsidRPr="00CD0886" w:rsidRDefault="00C044A3" w:rsidP="00D729B8">
      <w:pPr>
        <w:pStyle w:val="MDPI31text"/>
        <w:rPr>
          <w:lang w:val="en-GB"/>
        </w:rPr>
      </w:pPr>
      <w:r w:rsidRPr="00CD0886">
        <w:rPr>
          <w:lang w:val="en-GB"/>
        </w:rPr>
        <w:t xml:space="preserve">However, in vitro </w:t>
      </w:r>
      <w:r w:rsidR="0022536F" w:rsidRPr="00CD0886">
        <w:rPr>
          <w:lang w:val="en-GB"/>
        </w:rPr>
        <w:t>tests are</w:t>
      </w:r>
      <w:r w:rsidRPr="00CD0886">
        <w:rPr>
          <w:lang w:val="en-GB"/>
        </w:rPr>
        <w:t xml:space="preserve"> challenging and reliable methods for testing</w:t>
      </w:r>
      <w:r w:rsidR="003A7743">
        <w:rPr>
          <w:lang w:val="en-GB"/>
        </w:rPr>
        <w:t xml:space="preserve"> of key drugs</w:t>
      </w:r>
      <w:r w:rsidR="0022536F" w:rsidRPr="00CD0886">
        <w:rPr>
          <w:lang w:val="en-GB"/>
        </w:rPr>
        <w:t xml:space="preserve">, </w:t>
      </w:r>
      <w:r w:rsidR="003A7743">
        <w:rPr>
          <w:lang w:val="en-GB"/>
        </w:rPr>
        <w:t xml:space="preserve">(some of </w:t>
      </w:r>
      <w:r w:rsidR="0022536F" w:rsidRPr="00CD0886">
        <w:rPr>
          <w:lang w:val="en-GB"/>
        </w:rPr>
        <w:t>which</w:t>
      </w:r>
      <w:r w:rsidRPr="00CD0886">
        <w:rPr>
          <w:lang w:val="en-GB"/>
        </w:rPr>
        <w:t xml:space="preserve"> have only recently </w:t>
      </w:r>
      <w:r w:rsidR="003A7743">
        <w:rPr>
          <w:lang w:val="en-GB"/>
        </w:rPr>
        <w:t>been developed)</w:t>
      </w:r>
      <w:r w:rsidR="002F0906" w:rsidRPr="00CD0886">
        <w:rPr>
          <w:lang w:val="en-GB"/>
        </w:rPr>
        <w:t xml:space="preserve"> </w:t>
      </w:r>
      <w:r w:rsidR="00C632A1" w:rsidRPr="00CD0886">
        <w:rPr>
          <w:lang w:val="en-GB"/>
        </w:rPr>
        <w:t>[19]</w:t>
      </w:r>
      <w:r w:rsidR="0022536F" w:rsidRPr="00CD0886">
        <w:rPr>
          <w:lang w:val="en-GB"/>
        </w:rPr>
        <w:t>,</w:t>
      </w:r>
      <w:r w:rsidRPr="00CD0886">
        <w:rPr>
          <w:lang w:val="en-GB"/>
        </w:rPr>
        <w:t xml:space="preserve"> are not easily reproducible in resource-limited settings or are difficult to implement outside reference centres</w:t>
      </w:r>
      <w:r w:rsidR="00C632A1" w:rsidRPr="00CD0886">
        <w:rPr>
          <w:lang w:val="en-GB"/>
        </w:rPr>
        <w:t xml:space="preserve"> [20]</w:t>
      </w:r>
      <w:r w:rsidR="00F71F3F" w:rsidRPr="00CD0886">
        <w:rPr>
          <w:lang w:val="en-GB"/>
        </w:rPr>
        <w:t xml:space="preserve">. Reliable testing challenges even national reference laboratories </w:t>
      </w:r>
      <w:r w:rsidR="00C632A1" w:rsidRPr="00CD0886">
        <w:rPr>
          <w:lang w:val="en-GB"/>
        </w:rPr>
        <w:t>[21].</w:t>
      </w:r>
      <w:r w:rsidRPr="00CD0886">
        <w:rPr>
          <w:lang w:val="en-GB"/>
        </w:rPr>
        <w:t xml:space="preserve"> The results obtained in these experiments offer additional evidence of the activity of this compound against TB</w:t>
      </w:r>
      <w:r w:rsidR="000971C6" w:rsidRPr="00CD0886">
        <w:rPr>
          <w:lang w:val="en-GB"/>
        </w:rPr>
        <w:t xml:space="preserve"> and further evidence of the value of the 3-D system as a reliable alternative drug susceptibility assay that mimics human physiology </w:t>
      </w:r>
      <w:r w:rsidR="0022536F" w:rsidRPr="00CD0886">
        <w:rPr>
          <w:lang w:val="en-GB"/>
        </w:rPr>
        <w:t xml:space="preserve">better </w:t>
      </w:r>
      <w:r w:rsidR="000971C6" w:rsidRPr="00CD0886">
        <w:rPr>
          <w:lang w:val="en-GB"/>
        </w:rPr>
        <w:t>than conventional microbiological culture assays</w:t>
      </w:r>
      <w:r w:rsidRPr="00CD0886">
        <w:rPr>
          <w:lang w:val="en-GB"/>
        </w:rPr>
        <w:t>.</w:t>
      </w:r>
      <w:r w:rsidR="00143811" w:rsidRPr="00CD0886">
        <w:rPr>
          <w:lang w:val="en-GB"/>
        </w:rPr>
        <w:t xml:space="preserve"> </w:t>
      </w:r>
      <w:r w:rsidRPr="00CD0886">
        <w:rPr>
          <w:lang w:val="en-GB"/>
        </w:rPr>
        <w:t>The 3-D system</w:t>
      </w:r>
      <w:r w:rsidR="00143811" w:rsidRPr="00CD0886">
        <w:rPr>
          <w:lang w:val="en-GB"/>
        </w:rPr>
        <w:t>, therefore,</w:t>
      </w:r>
      <w:r w:rsidRPr="00CD0886">
        <w:rPr>
          <w:lang w:val="en-GB"/>
        </w:rPr>
        <w:t xml:space="preserve"> could present a gold standard for testing sensitivity, </w:t>
      </w:r>
      <w:r w:rsidR="00143811" w:rsidRPr="00CD0886">
        <w:rPr>
          <w:lang w:val="en-GB"/>
        </w:rPr>
        <w:t xml:space="preserve">compared to </w:t>
      </w:r>
      <w:r w:rsidRPr="00CD0886">
        <w:rPr>
          <w:lang w:val="en-GB"/>
        </w:rPr>
        <w:t xml:space="preserve">other </w:t>
      </w:r>
      <w:r w:rsidR="00143811" w:rsidRPr="00CD0886">
        <w:rPr>
          <w:lang w:val="en-GB"/>
        </w:rPr>
        <w:t xml:space="preserve">standard microbiological solid or broth culture </w:t>
      </w:r>
      <w:r w:rsidRPr="00CD0886">
        <w:rPr>
          <w:lang w:val="en-GB"/>
        </w:rPr>
        <w:t>methods</w:t>
      </w:r>
      <w:r w:rsidR="00EF7AA0" w:rsidRPr="00CD0886">
        <w:rPr>
          <w:lang w:val="en-GB"/>
        </w:rPr>
        <w:t xml:space="preserve"> </w:t>
      </w:r>
      <w:r w:rsidR="00C632A1" w:rsidRPr="00CD0886">
        <w:rPr>
          <w:lang w:val="en-GB"/>
        </w:rPr>
        <w:t>[21].</w:t>
      </w:r>
    </w:p>
    <w:p w14:paraId="7B70C1CE" w14:textId="59C579BE" w:rsidR="00C044A3" w:rsidRPr="00CD0886" w:rsidRDefault="00C044A3" w:rsidP="00D729B8">
      <w:pPr>
        <w:pStyle w:val="MDPI31text"/>
        <w:rPr>
          <w:lang w:val="en-GB"/>
        </w:rPr>
      </w:pPr>
      <w:r w:rsidRPr="00CD0886">
        <w:rPr>
          <w:lang w:val="en-GB"/>
        </w:rPr>
        <w:t>Nitazoxanide has been tested in vitro against TB before with good results, with MICs around 16 mg/L</w:t>
      </w:r>
      <w:r w:rsidR="00C632A1" w:rsidRPr="00CD0886">
        <w:rPr>
          <w:lang w:val="en-GB"/>
        </w:rPr>
        <w:t xml:space="preserve"> [9]</w:t>
      </w:r>
      <w:r w:rsidR="00BF4ECA" w:rsidRPr="00CD0886">
        <w:rPr>
          <w:lang w:val="en-GB"/>
        </w:rPr>
        <w:t>.</w:t>
      </w:r>
      <w:r w:rsidRPr="00CD0886">
        <w:rPr>
          <w:lang w:val="en-GB"/>
        </w:rPr>
        <w:t xml:space="preserve"> However, </w:t>
      </w:r>
      <w:r w:rsidR="00BF4ECA" w:rsidRPr="00CD0886">
        <w:rPr>
          <w:lang w:val="en-GB"/>
        </w:rPr>
        <w:t>i</w:t>
      </w:r>
      <w:r w:rsidRPr="00CD0886">
        <w:rPr>
          <w:lang w:val="en-GB"/>
        </w:rPr>
        <w:t>n the 3-D model, it showed some activity but at concentrations not achievable in vivo with the current dosing regimen</w:t>
      </w:r>
      <w:r w:rsidR="000356BC" w:rsidRPr="00CD0886">
        <w:rPr>
          <w:lang w:val="en-GB"/>
        </w:rPr>
        <w:t xml:space="preserve"> </w:t>
      </w:r>
      <w:r w:rsidR="00C632A1" w:rsidRPr="00CD0886">
        <w:rPr>
          <w:lang w:val="en-GB"/>
        </w:rPr>
        <w:t>[22]</w:t>
      </w:r>
      <w:r w:rsidR="000356BC" w:rsidRPr="00CD0886">
        <w:rPr>
          <w:lang w:val="en-GB"/>
        </w:rPr>
        <w:t>.</w:t>
      </w:r>
      <w:r w:rsidRPr="00CD0886">
        <w:rPr>
          <w:lang w:val="en-GB"/>
        </w:rPr>
        <w:t xml:space="preserve"> This drug binds extensively</w:t>
      </w:r>
      <w:r w:rsidR="00C632A1" w:rsidRPr="00CD0886">
        <w:rPr>
          <w:lang w:val="en-GB"/>
        </w:rPr>
        <w:t xml:space="preserve"> [9] </w:t>
      </w:r>
      <w:r w:rsidRPr="00CD0886">
        <w:rPr>
          <w:lang w:val="en-GB"/>
        </w:rPr>
        <w:t>to protein</w:t>
      </w:r>
      <w:r w:rsidR="0022536F" w:rsidRPr="00CD0886">
        <w:rPr>
          <w:lang w:val="en-GB"/>
        </w:rPr>
        <w:t xml:space="preserve">; </w:t>
      </w:r>
      <w:r w:rsidRPr="00CD0886">
        <w:rPr>
          <w:lang w:val="en-GB"/>
        </w:rPr>
        <w:t>hence</w:t>
      </w:r>
      <w:r w:rsidR="0022536F" w:rsidRPr="00CD0886">
        <w:rPr>
          <w:lang w:val="en-GB"/>
        </w:rPr>
        <w:t>,</w:t>
      </w:r>
      <w:r w:rsidRPr="00CD0886">
        <w:rPr>
          <w:lang w:val="en-GB"/>
        </w:rPr>
        <w:t xml:space="preserve"> it is challenging to test and interpret in vitro or ex vivo experimental results as it is not clear whether the drug has limited activity or </w:t>
      </w:r>
      <w:r w:rsidR="0022536F" w:rsidRPr="00CD0886">
        <w:rPr>
          <w:lang w:val="en-GB"/>
        </w:rPr>
        <w:t xml:space="preserve">if </w:t>
      </w:r>
      <w:r w:rsidRPr="00CD0886">
        <w:rPr>
          <w:lang w:val="en-GB"/>
        </w:rPr>
        <w:t xml:space="preserve">it is attached to protein in the medium, and unable to reach the bacterial target. Further work should include testing the actual active metabolite in a model requiring </w:t>
      </w:r>
      <w:r w:rsidR="0022536F" w:rsidRPr="00CD0886">
        <w:rPr>
          <w:lang w:val="en-GB"/>
        </w:rPr>
        <w:t>low-</w:t>
      </w:r>
      <w:r w:rsidRPr="00CD0886">
        <w:rPr>
          <w:lang w:val="en-GB"/>
        </w:rPr>
        <w:t>protein media.</w:t>
      </w:r>
    </w:p>
    <w:p w14:paraId="2FC7FB24" w14:textId="07DC5C19" w:rsidR="00C044A3" w:rsidRPr="00CD0886" w:rsidRDefault="00C044A3" w:rsidP="00D729B8">
      <w:pPr>
        <w:pStyle w:val="MDPI31text"/>
        <w:rPr>
          <w:lang w:val="en-GB"/>
        </w:rPr>
      </w:pPr>
      <w:r w:rsidRPr="00CD0886">
        <w:rPr>
          <w:lang w:val="en-GB"/>
        </w:rPr>
        <w:t xml:space="preserve">Carbapenems’ activity against mycobacteria has been reported extensively in the last </w:t>
      </w:r>
      <w:r w:rsidR="000356BC" w:rsidRPr="00CD0886">
        <w:rPr>
          <w:lang w:val="en-GB"/>
        </w:rPr>
        <w:t xml:space="preserve">two </w:t>
      </w:r>
      <w:r w:rsidRPr="00CD0886">
        <w:rPr>
          <w:lang w:val="en-GB"/>
        </w:rPr>
        <w:t>decades</w:t>
      </w:r>
      <w:r w:rsidR="000356BC" w:rsidRPr="00CD0886">
        <w:rPr>
          <w:lang w:val="en-GB"/>
        </w:rPr>
        <w:t xml:space="preserve"> </w:t>
      </w:r>
      <w:r w:rsidR="00F75264" w:rsidRPr="00CD0886">
        <w:rPr>
          <w:lang w:val="en-GB"/>
        </w:rPr>
        <w:t>[23–25</w:t>
      </w:r>
      <w:r w:rsidR="00956BF2" w:rsidRPr="00CD0886">
        <w:rPr>
          <w:lang w:val="en-GB"/>
        </w:rPr>
        <w:t>].</w:t>
      </w:r>
      <w:r w:rsidRPr="00CD0886">
        <w:rPr>
          <w:lang w:val="en-GB"/>
        </w:rPr>
        <w:t xml:space="preserve"> However, conflicting in vitro results, different methodologies and different drug choice have contributed to the lack of clarity regarding which carbapenem </w:t>
      </w:r>
      <w:r w:rsidRPr="00CD0886">
        <w:rPr>
          <w:lang w:val="en-GB"/>
        </w:rPr>
        <w:lastRenderedPageBreak/>
        <w:t>is the best for use in human disease and what method, if any, is the best for testing</w:t>
      </w:r>
      <w:r w:rsidR="00071B43" w:rsidRPr="00CD0886">
        <w:rPr>
          <w:lang w:val="en-GB"/>
        </w:rPr>
        <w:t xml:space="preserve"> </w:t>
      </w:r>
      <w:r w:rsidR="00F75264" w:rsidRPr="00CD0886">
        <w:rPr>
          <w:lang w:val="en-GB"/>
        </w:rPr>
        <w:t>[24–27</w:t>
      </w:r>
      <w:r w:rsidR="00956BF2" w:rsidRPr="00CD0886">
        <w:rPr>
          <w:lang w:val="en-GB"/>
        </w:rPr>
        <w:t>].</w:t>
      </w:r>
      <w:r w:rsidRPr="00CD0886">
        <w:rPr>
          <w:lang w:val="en-GB"/>
        </w:rPr>
        <w:t xml:space="preserve"> Clinical outcome evidence is limited and difficult to interpret as TB therapy of MDR and XDR-TB involves </w:t>
      </w:r>
      <w:r w:rsidR="0022536F" w:rsidRPr="00CD0886">
        <w:rPr>
          <w:lang w:val="en-GB"/>
        </w:rPr>
        <w:t xml:space="preserve">the </w:t>
      </w:r>
      <w:r w:rsidRPr="00CD0886">
        <w:rPr>
          <w:lang w:val="en-GB"/>
        </w:rPr>
        <w:t>combination of several drugs. Currently, no well-powered control trial exists</w:t>
      </w:r>
      <w:r w:rsidR="00071B43" w:rsidRPr="00CD0886">
        <w:rPr>
          <w:lang w:val="en-GB"/>
        </w:rPr>
        <w:t xml:space="preserve"> </w:t>
      </w:r>
      <w:r w:rsidR="00956BF2" w:rsidRPr="00CD0886">
        <w:rPr>
          <w:lang w:val="en-GB"/>
        </w:rPr>
        <w:t>[23]</w:t>
      </w:r>
      <w:r w:rsidR="00071B43" w:rsidRPr="00CD0886">
        <w:rPr>
          <w:lang w:val="en-GB"/>
        </w:rPr>
        <w:t>.</w:t>
      </w:r>
      <w:r w:rsidRPr="00CD0886">
        <w:rPr>
          <w:lang w:val="en-GB"/>
        </w:rPr>
        <w:t xml:space="preserve"> Our experiments in a more physiological granuloma model show that tebipenem is more effective than the other carbapenems tested, but none of them showed activity at concentrations achievable in vivo with current recommended doses.</w:t>
      </w:r>
    </w:p>
    <w:p w14:paraId="25FA5EEF" w14:textId="52AC4613" w:rsidR="00C044A3" w:rsidRPr="00CD0886" w:rsidRDefault="00C044A3" w:rsidP="00D729B8">
      <w:pPr>
        <w:pStyle w:val="MDPI31text"/>
        <w:rPr>
          <w:lang w:val="en-GB"/>
        </w:rPr>
      </w:pPr>
      <w:r w:rsidRPr="00CD0886">
        <w:rPr>
          <w:lang w:val="en-GB"/>
        </w:rPr>
        <w:t>Analysis of antibiotic efficacy in a 3-D granuloma model complements findings in more standard systems</w:t>
      </w:r>
      <w:r w:rsidR="00071B43" w:rsidRPr="00CD0886">
        <w:rPr>
          <w:lang w:val="en-GB"/>
        </w:rPr>
        <w:t xml:space="preserve"> by analysing drug efficacy in an environment with greater physiological similarity to the human host</w:t>
      </w:r>
      <w:r w:rsidRPr="00CD0886">
        <w:rPr>
          <w:lang w:val="en-GB"/>
        </w:rPr>
        <w:t xml:space="preserve">. </w:t>
      </w:r>
      <w:r w:rsidR="003E2ECF" w:rsidRPr="00CD0886">
        <w:rPr>
          <w:rFonts w:cs="Arial"/>
          <w:color w:val="0A0A0A"/>
          <w:szCs w:val="20"/>
          <w:lang w:val="en-GB"/>
        </w:rPr>
        <w:t>For example, host gene expression more closely reflects that in patients compared to 2</w:t>
      </w:r>
      <w:r w:rsidR="00CD0886">
        <w:rPr>
          <w:rFonts w:cs="Arial"/>
          <w:color w:val="0A0A0A"/>
          <w:szCs w:val="20"/>
          <w:lang w:val="en-GB"/>
        </w:rPr>
        <w:t>-</w:t>
      </w:r>
      <w:r w:rsidR="003E2ECF" w:rsidRPr="00CD0886">
        <w:rPr>
          <w:rFonts w:cs="Arial"/>
          <w:color w:val="0A0A0A"/>
          <w:szCs w:val="20"/>
          <w:lang w:val="en-GB"/>
        </w:rPr>
        <w:t xml:space="preserve">D models </w:t>
      </w:r>
      <w:r w:rsidR="00956BF2" w:rsidRPr="00CD0886">
        <w:rPr>
          <w:rFonts w:cs="Arial"/>
          <w:color w:val="0A0A0A"/>
          <w:szCs w:val="20"/>
          <w:lang w:val="en-GB"/>
        </w:rPr>
        <w:t>[28]</w:t>
      </w:r>
      <w:r w:rsidR="003E2ECF" w:rsidRPr="00CD0886">
        <w:rPr>
          <w:rFonts w:cs="Arial"/>
          <w:color w:val="0A0A0A"/>
          <w:szCs w:val="20"/>
          <w:lang w:val="en-GB"/>
        </w:rPr>
        <w:t xml:space="preserve">, multinucleate giant cells </w:t>
      </w:r>
      <w:proofErr w:type="gramStart"/>
      <w:r w:rsidR="003E2ECF" w:rsidRPr="00CD0886">
        <w:rPr>
          <w:rFonts w:cs="Arial"/>
          <w:color w:val="0A0A0A"/>
          <w:szCs w:val="20"/>
          <w:lang w:val="en-GB"/>
        </w:rPr>
        <w:t>form</w:t>
      </w:r>
      <w:proofErr w:type="gramEnd"/>
      <w:r w:rsidR="003E2ECF" w:rsidRPr="00CD0886">
        <w:rPr>
          <w:rFonts w:cs="Arial"/>
          <w:color w:val="0A0A0A"/>
          <w:szCs w:val="20"/>
          <w:lang w:val="en-GB"/>
        </w:rPr>
        <w:t xml:space="preserve"> and T cells proliferate </w:t>
      </w:r>
      <w:r w:rsidR="00956BF2" w:rsidRPr="00CD0886">
        <w:rPr>
          <w:rFonts w:cs="Arial"/>
          <w:color w:val="0A0A0A"/>
          <w:szCs w:val="20"/>
          <w:lang w:val="en-GB"/>
        </w:rPr>
        <w:t>[3]</w:t>
      </w:r>
      <w:r w:rsidR="003E2ECF" w:rsidRPr="00CD0886">
        <w:rPr>
          <w:rFonts w:cs="Arial"/>
          <w:color w:val="0A0A0A"/>
          <w:szCs w:val="20"/>
          <w:lang w:val="en-GB"/>
        </w:rPr>
        <w:t xml:space="preserve"> and cells migrate to form granulomas </w:t>
      </w:r>
      <w:r w:rsidR="00491F83" w:rsidRPr="00CD0886">
        <w:rPr>
          <w:rFonts w:cs="Arial"/>
          <w:color w:val="0A0A0A"/>
          <w:szCs w:val="20"/>
          <w:lang w:val="en-GB"/>
        </w:rPr>
        <w:t>[29]</w:t>
      </w:r>
      <w:r w:rsidR="003E2ECF" w:rsidRPr="00CD0886">
        <w:rPr>
          <w:rFonts w:cs="Arial"/>
          <w:color w:val="0A0A0A"/>
          <w:szCs w:val="20"/>
          <w:lang w:val="en-GB"/>
        </w:rPr>
        <w:t xml:space="preserve">. </w:t>
      </w:r>
      <w:r w:rsidR="00071B43" w:rsidRPr="00CD0886">
        <w:rPr>
          <w:lang w:val="en-GB"/>
        </w:rPr>
        <w:t xml:space="preserve">Within this 3-D model, the </w:t>
      </w:r>
      <w:r w:rsidR="00071B43" w:rsidRPr="00CD0886">
        <w:rPr>
          <w:i/>
          <w:lang w:val="en-GB"/>
        </w:rPr>
        <w:t>M. tuberculosis</w:t>
      </w:r>
      <w:r w:rsidR="00071B43" w:rsidRPr="00CD0886">
        <w:rPr>
          <w:lang w:val="en-GB"/>
        </w:rPr>
        <w:t xml:space="preserve"> killing efficacy of the compounds tested was shown to be dose-dependent.</w:t>
      </w:r>
    </w:p>
    <w:p w14:paraId="1118BBE9" w14:textId="77777777" w:rsidR="00C044A3" w:rsidRPr="00CD0886" w:rsidRDefault="00C044A3" w:rsidP="00D729B8">
      <w:pPr>
        <w:pStyle w:val="MDPI31text"/>
        <w:rPr>
          <w:lang w:val="en-GB"/>
        </w:rPr>
      </w:pPr>
      <w:r w:rsidRPr="00CD0886">
        <w:rPr>
          <w:lang w:val="en-GB"/>
        </w:rPr>
        <w:t xml:space="preserve">Clofazimine was the most effective antibiotic tested. It inhibited the growth of </w:t>
      </w:r>
      <w:r w:rsidRPr="00CD0886">
        <w:rPr>
          <w:i/>
          <w:lang w:val="en-GB"/>
        </w:rPr>
        <w:t>Mycobacterium tuberculosis</w:t>
      </w:r>
      <w:r w:rsidRPr="00CD0886">
        <w:rPr>
          <w:lang w:val="en-GB"/>
        </w:rPr>
        <w:t xml:space="preserve"> at as low as 2 mg/L in the 3-D </w:t>
      </w:r>
      <w:proofErr w:type="spellStart"/>
      <w:r w:rsidRPr="00CD0886">
        <w:rPr>
          <w:lang w:val="en-GB"/>
        </w:rPr>
        <w:t>bioelectrospray</w:t>
      </w:r>
      <w:proofErr w:type="spellEnd"/>
      <w:r w:rsidRPr="00CD0886">
        <w:rPr>
          <w:lang w:val="en-GB"/>
        </w:rPr>
        <w:t xml:space="preserve"> model.</w:t>
      </w:r>
    </w:p>
    <w:p w14:paraId="7CED9F40" w14:textId="476561D1" w:rsidR="00C044A3" w:rsidRPr="00CD0886" w:rsidRDefault="00C044A3" w:rsidP="00D729B8">
      <w:pPr>
        <w:pStyle w:val="MDPI31text"/>
        <w:rPr>
          <w:lang w:val="en-GB"/>
        </w:rPr>
      </w:pPr>
      <w:r w:rsidRPr="00CD0886">
        <w:rPr>
          <w:lang w:val="en-GB"/>
        </w:rPr>
        <w:t xml:space="preserve">Nitazoxanide requires further work to establish whether the lack of activity is a true drug-related phenomenon or </w:t>
      </w:r>
      <w:r w:rsidR="00CD0886">
        <w:rPr>
          <w:lang w:val="en-GB"/>
        </w:rPr>
        <w:t xml:space="preserve">if </w:t>
      </w:r>
      <w:r w:rsidRPr="00CD0886">
        <w:rPr>
          <w:lang w:val="en-GB"/>
        </w:rPr>
        <w:t xml:space="preserve">it is an artefact related to extensive protein binding. Additionally, the active compound, nitazoxanide metabolite </w:t>
      </w:r>
      <w:proofErr w:type="spellStart"/>
      <w:r w:rsidRPr="00CD0886">
        <w:rPr>
          <w:lang w:val="en-GB"/>
        </w:rPr>
        <w:t>tizoxanide</w:t>
      </w:r>
      <w:proofErr w:type="spellEnd"/>
      <w:r w:rsidRPr="00CD0886">
        <w:rPr>
          <w:lang w:val="en-GB"/>
        </w:rPr>
        <w:t>, would be a better drug to test.</w:t>
      </w:r>
    </w:p>
    <w:p w14:paraId="430350A3" w14:textId="17DB3295" w:rsidR="00C044A3" w:rsidRPr="00CD0886" w:rsidRDefault="00C044A3" w:rsidP="00D729B8">
      <w:pPr>
        <w:pStyle w:val="MDPI31text"/>
        <w:rPr>
          <w:lang w:val="en-GB"/>
        </w:rPr>
      </w:pPr>
      <w:r w:rsidRPr="00CD0886">
        <w:rPr>
          <w:lang w:val="en-GB"/>
        </w:rPr>
        <w:t xml:space="preserve">The role of carbapenems remains unclear and this work can offer limited clarification. Of the ones tested here, tebipenem was the most efficient in killing MTB, albeit at a high concentration of 64 mg/L. The addition of clavulanate did not increase their killing </w:t>
      </w:r>
      <w:r w:rsidR="002A4C7E" w:rsidRPr="00CD0886">
        <w:rPr>
          <w:lang w:val="en-GB"/>
        </w:rPr>
        <w:t xml:space="preserve">activity </w:t>
      </w:r>
      <w:r w:rsidRPr="00CD0886">
        <w:rPr>
          <w:lang w:val="en-GB"/>
        </w:rPr>
        <w:t>significantly.</w:t>
      </w:r>
    </w:p>
    <w:p w14:paraId="4F303B6B" w14:textId="04229E66" w:rsidR="00EF7AA0" w:rsidRPr="00CD0886" w:rsidRDefault="00EF7AA0" w:rsidP="00D729B8">
      <w:pPr>
        <w:pStyle w:val="MDPI31text"/>
        <w:rPr>
          <w:lang w:val="en-GB"/>
        </w:rPr>
      </w:pPr>
      <w:r w:rsidRPr="00CD0886">
        <w:rPr>
          <w:lang w:val="en-GB"/>
        </w:rPr>
        <w:t>A potential limitation of the 3-D biomimetic model is that it requires extensive infrastructure and expertise, and so steps to minimise the equipment and training needed are needed to increase accessibility and widespread uptake.</w:t>
      </w:r>
    </w:p>
    <w:p w14:paraId="51C1F639" w14:textId="1C1A6C4E" w:rsidR="00A17545" w:rsidRPr="00CD0886" w:rsidRDefault="00D729B8" w:rsidP="00D729B8">
      <w:pPr>
        <w:pStyle w:val="MDPI21heading1"/>
        <w:rPr>
          <w:lang w:val="en-GB"/>
        </w:rPr>
      </w:pPr>
      <w:r w:rsidRPr="00CD0886">
        <w:rPr>
          <w:lang w:val="en-GB" w:eastAsia="zh-CN"/>
        </w:rPr>
        <w:t xml:space="preserve">4. </w:t>
      </w:r>
      <w:r w:rsidR="003C4625" w:rsidRPr="00CD0886">
        <w:rPr>
          <w:lang w:val="en-GB"/>
        </w:rPr>
        <w:t>Materials and Methods</w:t>
      </w:r>
    </w:p>
    <w:p w14:paraId="472ADCCE" w14:textId="56E5BA5E" w:rsidR="00514D8B" w:rsidRPr="007F302E" w:rsidRDefault="007F302E" w:rsidP="009E27BA">
      <w:pPr>
        <w:adjustRightInd w:val="0"/>
        <w:snapToGrid w:val="0"/>
        <w:spacing w:line="240" w:lineRule="auto"/>
        <w:ind w:left="2550" w:firstLine="483"/>
        <w:jc w:val="left"/>
        <w:rPr>
          <w:rFonts w:eastAsia="Times New Roman"/>
          <w:color w:val="000000" w:themeColor="text1"/>
          <w:lang w:val="en-GB" w:eastAsia="en-GB"/>
        </w:rPr>
      </w:pPr>
      <w:r w:rsidRPr="009D5AE6">
        <w:rPr>
          <w:i/>
          <w:lang w:val="en-GB"/>
        </w:rPr>
        <w:t>4.1</w:t>
      </w:r>
      <w:r w:rsidR="00BC3953">
        <w:rPr>
          <w:i/>
          <w:lang w:val="en-GB"/>
        </w:rPr>
        <w:t xml:space="preserve"> </w:t>
      </w:r>
      <w:r w:rsidR="00A17545" w:rsidRPr="009D5AE6">
        <w:rPr>
          <w:i/>
          <w:lang w:val="en-GB"/>
        </w:rPr>
        <w:t>Peripheral blood mononuclear cells (PBMCs</w:t>
      </w:r>
      <w:r w:rsidR="00A17545" w:rsidRPr="009D5AE6">
        <w:rPr>
          <w:lang w:val="en-GB"/>
        </w:rPr>
        <w:t>) w</w:t>
      </w:r>
      <w:r w:rsidR="00A17545" w:rsidRPr="00CD0886">
        <w:rPr>
          <w:lang w:val="en-GB"/>
        </w:rPr>
        <w:t xml:space="preserve">ere isolated from single-donor buffy coats from the UK National Health Service Blood and Transplant Service, Southampton, United Kingdom. Leukocytes were isolated by density gradient centrifugation over </w:t>
      </w:r>
      <w:proofErr w:type="spellStart"/>
      <w:r w:rsidR="00A17545" w:rsidRPr="00CD0886">
        <w:rPr>
          <w:lang w:val="en-GB"/>
        </w:rPr>
        <w:t>Ficoll-Paque</w:t>
      </w:r>
      <w:proofErr w:type="spellEnd"/>
      <w:r w:rsidR="00A17545" w:rsidRPr="00CD0886">
        <w:rPr>
          <w:lang w:val="en-GB"/>
        </w:rPr>
        <w:t xml:space="preserve"> (GE Healthcare Life Sciences,</w:t>
      </w:r>
      <w:r w:rsidR="003C0622">
        <w:rPr>
          <w:lang w:val="en-GB"/>
        </w:rPr>
        <w:t xml:space="preserve"> </w:t>
      </w:r>
      <w:r w:rsidRPr="007F302E">
        <w:rPr>
          <w:rFonts w:eastAsia="Times New Roman" w:cs="Arial"/>
          <w:color w:val="000000" w:themeColor="text1"/>
          <w:shd w:val="clear" w:color="auto" w:fill="FFFFFF"/>
          <w:lang w:val="en-GB" w:eastAsia="en-GB"/>
        </w:rPr>
        <w:t>Chalfont St Giles,</w:t>
      </w:r>
      <w:r w:rsidR="00A17545" w:rsidRPr="00CD0886">
        <w:rPr>
          <w:lang w:val="en-GB"/>
        </w:rPr>
        <w:t xml:space="preserve"> </w:t>
      </w:r>
      <w:r w:rsidR="00A17545" w:rsidRPr="00F258C9">
        <w:rPr>
          <w:lang w:val="en-GB"/>
        </w:rPr>
        <w:t>UK)</w:t>
      </w:r>
      <w:r w:rsidR="00A17545" w:rsidRPr="00CD0886">
        <w:rPr>
          <w:lang w:val="en-GB"/>
        </w:rPr>
        <w:t>.</w:t>
      </w:r>
      <w:r w:rsidR="00514D8B" w:rsidRPr="00CD0886">
        <w:rPr>
          <w:lang w:val="en-GB"/>
        </w:rPr>
        <w:t xml:space="preserve"> The blood donors were from a region of the country with very low TB </w:t>
      </w:r>
      <w:proofErr w:type="gramStart"/>
      <w:r w:rsidR="00514D8B" w:rsidRPr="00CD0886">
        <w:rPr>
          <w:lang w:val="en-GB"/>
        </w:rPr>
        <w:t>incidence, and</w:t>
      </w:r>
      <w:proofErr w:type="gramEnd"/>
      <w:r w:rsidR="00514D8B" w:rsidRPr="00CD0886">
        <w:rPr>
          <w:lang w:val="en-GB"/>
        </w:rPr>
        <w:t xml:space="preserve"> were HIV and viral hepatitis </w:t>
      </w:r>
      <w:r w:rsidR="00514D8B" w:rsidRPr="00CD0886">
        <w:rPr>
          <w:color w:val="000000" w:themeColor="text1"/>
          <w:lang w:val="en-GB"/>
        </w:rPr>
        <w:t>B and C negative.</w:t>
      </w:r>
      <w:r w:rsidR="002B47F2" w:rsidRPr="00CD0886">
        <w:rPr>
          <w:color w:val="000000" w:themeColor="text1"/>
          <w:lang w:val="en-GB"/>
        </w:rPr>
        <w:t xml:space="preserve"> </w:t>
      </w:r>
      <w:r w:rsidR="002B47F2" w:rsidRPr="00CD0886">
        <w:rPr>
          <w:rFonts w:cs="Segoe UI"/>
          <w:color w:val="000000" w:themeColor="text1"/>
          <w:shd w:val="clear" w:color="auto" w:fill="FFFFFF"/>
          <w:lang w:val="en-GB"/>
        </w:rPr>
        <w:t xml:space="preserve">Each experiment </w:t>
      </w:r>
      <w:r w:rsidR="00CD0886" w:rsidRPr="00CD0886">
        <w:rPr>
          <w:rFonts w:cs="Segoe UI"/>
          <w:color w:val="000000" w:themeColor="text1"/>
          <w:shd w:val="clear" w:color="auto" w:fill="FFFFFF"/>
          <w:lang w:val="en-GB"/>
        </w:rPr>
        <w:t>involve</w:t>
      </w:r>
      <w:r w:rsidR="00CD0886">
        <w:rPr>
          <w:rFonts w:cs="Segoe UI"/>
          <w:color w:val="000000" w:themeColor="text1"/>
          <w:shd w:val="clear" w:color="auto" w:fill="FFFFFF"/>
          <w:lang w:val="en-GB"/>
        </w:rPr>
        <w:t>d</w:t>
      </w:r>
      <w:r w:rsidR="00CD0886" w:rsidRPr="00CD0886">
        <w:rPr>
          <w:rFonts w:cs="Segoe UI"/>
          <w:color w:val="000000" w:themeColor="text1"/>
          <w:shd w:val="clear" w:color="auto" w:fill="FFFFFF"/>
          <w:lang w:val="en-GB"/>
        </w:rPr>
        <w:t xml:space="preserve"> </w:t>
      </w:r>
      <w:r w:rsidR="002B47F2" w:rsidRPr="00CD0886">
        <w:rPr>
          <w:rFonts w:cs="Segoe UI"/>
          <w:color w:val="000000" w:themeColor="text1"/>
          <w:shd w:val="clear" w:color="auto" w:fill="FFFFFF"/>
          <w:lang w:val="en-GB"/>
        </w:rPr>
        <w:t>the use of PBMC</w:t>
      </w:r>
      <w:r w:rsidR="002B47F2" w:rsidRPr="00CD0886">
        <w:rPr>
          <w:rFonts w:cs="Segoe UI"/>
          <w:color w:val="000000" w:themeColor="text1"/>
          <w:lang w:val="en-GB"/>
        </w:rPr>
        <w:t xml:space="preserve"> taken </w:t>
      </w:r>
      <w:r w:rsidR="002B47F2" w:rsidRPr="00CD0886">
        <w:rPr>
          <w:rFonts w:cs="Segoe UI"/>
          <w:color w:val="000000" w:themeColor="text1"/>
          <w:shd w:val="clear" w:color="auto" w:fill="FFFFFF"/>
          <w:lang w:val="en-GB"/>
        </w:rPr>
        <w:t xml:space="preserve">from one donor and the experiment </w:t>
      </w:r>
      <w:r w:rsidR="00CD0886">
        <w:rPr>
          <w:rFonts w:cs="Segoe UI"/>
          <w:color w:val="000000" w:themeColor="text1"/>
          <w:shd w:val="clear" w:color="auto" w:fill="FFFFFF"/>
          <w:lang w:val="en-GB"/>
        </w:rPr>
        <w:t>was</w:t>
      </w:r>
      <w:r w:rsidR="00CD0886" w:rsidRPr="00CD0886">
        <w:rPr>
          <w:rFonts w:cs="Segoe UI"/>
          <w:color w:val="000000" w:themeColor="text1"/>
          <w:shd w:val="clear" w:color="auto" w:fill="FFFFFF"/>
          <w:lang w:val="en-GB"/>
        </w:rPr>
        <w:t xml:space="preserve"> </w:t>
      </w:r>
      <w:r w:rsidR="002B47F2" w:rsidRPr="00CD0886">
        <w:rPr>
          <w:rFonts w:cs="Segoe UI"/>
          <w:color w:val="000000" w:themeColor="text1"/>
          <w:shd w:val="clear" w:color="auto" w:fill="FFFFFF"/>
          <w:lang w:val="en-GB"/>
        </w:rPr>
        <w:t>performed in triplicate. A</w:t>
      </w:r>
      <w:r w:rsidR="002B47F2" w:rsidRPr="00CD0886">
        <w:rPr>
          <w:rFonts w:cs="Segoe UI"/>
          <w:color w:val="000000" w:themeColor="text1"/>
          <w:lang w:val="en-GB"/>
        </w:rPr>
        <w:t xml:space="preserve"> </w:t>
      </w:r>
      <w:r w:rsidR="002B47F2" w:rsidRPr="00CD0886">
        <w:rPr>
          <w:rFonts w:cs="Segoe UI"/>
          <w:color w:val="000000" w:themeColor="text1"/>
          <w:shd w:val="clear" w:color="auto" w:fill="FFFFFF"/>
          <w:lang w:val="en-GB"/>
        </w:rPr>
        <w:t xml:space="preserve">second donor then </w:t>
      </w:r>
      <w:r w:rsidR="00CD0886" w:rsidRPr="00CD0886">
        <w:rPr>
          <w:rFonts w:cs="Segoe UI"/>
          <w:color w:val="000000" w:themeColor="text1"/>
          <w:shd w:val="clear" w:color="auto" w:fill="FFFFFF"/>
          <w:lang w:val="en-GB"/>
        </w:rPr>
        <w:t>provide</w:t>
      </w:r>
      <w:r w:rsidR="00CD0886">
        <w:rPr>
          <w:rFonts w:cs="Segoe UI"/>
          <w:color w:val="000000" w:themeColor="text1"/>
          <w:shd w:val="clear" w:color="auto" w:fill="FFFFFF"/>
          <w:lang w:val="en-GB"/>
        </w:rPr>
        <w:t>d</w:t>
      </w:r>
      <w:r w:rsidR="00CD0886" w:rsidRPr="00CD0886">
        <w:rPr>
          <w:rFonts w:cs="Segoe UI"/>
          <w:color w:val="000000" w:themeColor="text1"/>
          <w:shd w:val="clear" w:color="auto" w:fill="FFFFFF"/>
          <w:lang w:val="en-GB"/>
        </w:rPr>
        <w:t xml:space="preserve"> </w:t>
      </w:r>
      <w:r w:rsidR="002B47F2" w:rsidRPr="00CD0886">
        <w:rPr>
          <w:rFonts w:cs="Segoe UI"/>
          <w:color w:val="000000" w:themeColor="text1"/>
          <w:shd w:val="clear" w:color="auto" w:fill="FFFFFF"/>
          <w:lang w:val="en-GB"/>
        </w:rPr>
        <w:t>PBMC for the same experiment</w:t>
      </w:r>
      <w:r w:rsidR="00CD0886">
        <w:rPr>
          <w:rFonts w:cs="Segoe UI"/>
          <w:color w:val="000000" w:themeColor="text1"/>
          <w:shd w:val="clear" w:color="auto" w:fill="FFFFFF"/>
          <w:lang w:val="en-GB"/>
        </w:rPr>
        <w:t>,</w:t>
      </w:r>
      <w:r w:rsidR="002B47F2" w:rsidRPr="00CD0886">
        <w:rPr>
          <w:rFonts w:cs="Segoe UI"/>
          <w:color w:val="000000" w:themeColor="text1"/>
          <w:shd w:val="clear" w:color="auto" w:fill="FFFFFF"/>
          <w:lang w:val="en-GB"/>
        </w:rPr>
        <w:t xml:space="preserve"> which </w:t>
      </w:r>
      <w:r w:rsidR="00CD0886">
        <w:rPr>
          <w:rFonts w:cs="Segoe UI"/>
          <w:color w:val="000000" w:themeColor="text1"/>
          <w:shd w:val="clear" w:color="auto" w:fill="FFFFFF"/>
          <w:lang w:val="en-GB"/>
        </w:rPr>
        <w:t>was</w:t>
      </w:r>
      <w:r w:rsidR="00CD0886" w:rsidRPr="00CD0886">
        <w:rPr>
          <w:rFonts w:cs="Segoe UI"/>
          <w:color w:val="000000" w:themeColor="text1"/>
          <w:lang w:val="en-GB"/>
        </w:rPr>
        <w:t xml:space="preserve"> </w:t>
      </w:r>
      <w:r w:rsidR="002B47F2" w:rsidRPr="00CD0886">
        <w:rPr>
          <w:rFonts w:cs="Segoe UI"/>
          <w:color w:val="000000" w:themeColor="text1"/>
          <w:lang w:val="en-GB"/>
        </w:rPr>
        <w:t xml:space="preserve">again </w:t>
      </w:r>
      <w:r w:rsidR="002B47F2" w:rsidRPr="00CD0886">
        <w:rPr>
          <w:rFonts w:cs="Segoe UI"/>
          <w:color w:val="000000" w:themeColor="text1"/>
          <w:shd w:val="clear" w:color="auto" w:fill="FFFFFF"/>
          <w:lang w:val="en-GB"/>
        </w:rPr>
        <w:t xml:space="preserve">performed in triplicate </w:t>
      </w:r>
    </w:p>
    <w:p w14:paraId="642AC5BD" w14:textId="462B8CB4" w:rsidR="00A17545" w:rsidRPr="00CD0886" w:rsidRDefault="007F302E" w:rsidP="007F302E">
      <w:pPr>
        <w:pStyle w:val="MDPI31text"/>
        <w:spacing w:line="240" w:lineRule="auto"/>
        <w:rPr>
          <w:lang w:val="en-GB"/>
        </w:rPr>
      </w:pPr>
      <w:r w:rsidRPr="00BC3953">
        <w:rPr>
          <w:i/>
          <w:iCs/>
          <w:lang w:val="en-GB"/>
        </w:rPr>
        <w:t>4.2</w:t>
      </w:r>
      <w:r w:rsidR="00BC3953">
        <w:rPr>
          <w:i/>
          <w:iCs/>
          <w:lang w:val="en-GB"/>
        </w:rPr>
        <w:t xml:space="preserve"> </w:t>
      </w:r>
      <w:r w:rsidR="00A17545" w:rsidRPr="00BC3953">
        <w:rPr>
          <w:i/>
          <w:iCs/>
          <w:lang w:val="en-GB"/>
        </w:rPr>
        <w:t>Bacterial culture</w:t>
      </w:r>
      <w:r w:rsidR="00A17545" w:rsidRPr="00BC3953">
        <w:rPr>
          <w:lang w:val="en-GB"/>
        </w:rPr>
        <w:t>:</w:t>
      </w:r>
      <w:r w:rsidR="00A17545" w:rsidRPr="00CD0886">
        <w:rPr>
          <w:lang w:val="en-GB"/>
        </w:rPr>
        <w:t xml:space="preserve"> </w:t>
      </w:r>
      <w:r w:rsidR="00A17545" w:rsidRPr="00CD0886">
        <w:rPr>
          <w:i/>
          <w:iCs/>
          <w:lang w:val="en-GB"/>
        </w:rPr>
        <w:t>M. tuberculosi</w:t>
      </w:r>
      <w:r w:rsidR="00A17545" w:rsidRPr="00CD0886">
        <w:rPr>
          <w:lang w:val="en-GB"/>
        </w:rPr>
        <w:t>s H37Rv (Mtb) was cultured in Middlebrook 7 H9 medium (supplemented with 10% ADC, 0.2% glycerol and 0.02% Tween 80) (BD Biosciences, Oxford</w:t>
      </w:r>
      <w:r w:rsidR="005645B1" w:rsidRPr="00CD0886">
        <w:rPr>
          <w:lang w:val="en-GB"/>
        </w:rPr>
        <w:t>, UK</w:t>
      </w:r>
      <w:r w:rsidR="00A17545" w:rsidRPr="00CD0886">
        <w:rPr>
          <w:lang w:val="en-GB"/>
        </w:rPr>
        <w:t>). Bioluminescent M. tuberculosis H37Rv lux</w:t>
      </w:r>
      <w:r w:rsidR="00514D8B" w:rsidRPr="00CD0886">
        <w:rPr>
          <w:lang w:val="en-GB"/>
        </w:rPr>
        <w:t xml:space="preserve"> </w:t>
      </w:r>
      <w:r w:rsidR="00491F83" w:rsidRPr="00CD0886">
        <w:rPr>
          <w:lang w:val="en-GB"/>
        </w:rPr>
        <w:t>[30]</w:t>
      </w:r>
      <w:r w:rsidR="00A17545" w:rsidRPr="00CD0886">
        <w:rPr>
          <w:lang w:val="en-GB"/>
        </w:rPr>
        <w:t xml:space="preserve"> was cultured in 7H9 containing kanamycin (25 </w:t>
      </w:r>
      <w:proofErr w:type="spellStart"/>
      <w:r w:rsidR="00A17545" w:rsidRPr="00CD0886">
        <w:rPr>
          <w:lang w:val="en-GB"/>
        </w:rPr>
        <w:t>μg</w:t>
      </w:r>
      <w:proofErr w:type="spellEnd"/>
      <w:r w:rsidR="00F75264" w:rsidRPr="00CD0886">
        <w:rPr>
          <w:lang w:val="en-GB"/>
        </w:rPr>
        <w:t>/mL)</w:t>
      </w:r>
      <w:r w:rsidR="00A17545" w:rsidRPr="00CD0886">
        <w:rPr>
          <w:lang w:val="en-GB"/>
        </w:rPr>
        <w:t xml:space="preserve"> for all experiments. Cultures at </w:t>
      </w:r>
      <w:r w:rsidR="00A17545" w:rsidRPr="003C0622">
        <w:rPr>
          <w:lang w:val="en-GB"/>
        </w:rPr>
        <w:t>1 × 10</w:t>
      </w:r>
      <w:r w:rsidR="00A17545" w:rsidRPr="003C0622">
        <w:rPr>
          <w:vertAlign w:val="superscript"/>
          <w:lang w:val="en-GB"/>
        </w:rPr>
        <w:t xml:space="preserve">8 </w:t>
      </w:r>
      <w:r w:rsidR="00A17545" w:rsidRPr="00CD0886">
        <w:rPr>
          <w:lang w:val="en-GB"/>
        </w:rPr>
        <w:t>CFU</w:t>
      </w:r>
      <w:r w:rsidR="00F75264" w:rsidRPr="00CD0886">
        <w:rPr>
          <w:lang w:val="en-GB"/>
        </w:rPr>
        <w:t xml:space="preserve">/mL </w:t>
      </w:r>
      <w:r w:rsidR="00A17545" w:rsidRPr="00CD0886">
        <w:rPr>
          <w:lang w:val="en-GB"/>
        </w:rPr>
        <w:t>Mtb (OD = 0.6) were used for all experiments at a multiplicity of infection (M.O.I) of 0.1.</w:t>
      </w:r>
    </w:p>
    <w:p w14:paraId="4E965023" w14:textId="1F8C00F7" w:rsidR="00A17545" w:rsidRPr="003C0622" w:rsidRDefault="009E27BA" w:rsidP="00D729B8">
      <w:pPr>
        <w:pStyle w:val="MDPI31text"/>
        <w:rPr>
          <w:b/>
          <w:bCs/>
          <w:lang w:val="en-GB"/>
        </w:rPr>
      </w:pPr>
      <w:r w:rsidRPr="00BC3953">
        <w:rPr>
          <w:i/>
          <w:iCs/>
          <w:lang w:val="en-GB"/>
        </w:rPr>
        <w:t xml:space="preserve">4.3 </w:t>
      </w:r>
      <w:r w:rsidR="00A17545" w:rsidRPr="00BC3953">
        <w:rPr>
          <w:i/>
          <w:iCs/>
          <w:lang w:val="en-GB"/>
        </w:rPr>
        <w:t>PBMCs encapsulation</w:t>
      </w:r>
      <w:r w:rsidR="00A17545" w:rsidRPr="00CD0886">
        <w:rPr>
          <w:lang w:val="en-GB"/>
        </w:rPr>
        <w:t xml:space="preserve">: Isolated PBMCs were infected with </w:t>
      </w:r>
      <w:r w:rsidR="00A17545" w:rsidRPr="00CD0886">
        <w:rPr>
          <w:i/>
          <w:iCs/>
          <w:lang w:val="en-GB"/>
        </w:rPr>
        <w:t>M. tuberculosis</w:t>
      </w:r>
      <w:r w:rsidR="00A17545" w:rsidRPr="00CD0886">
        <w:rPr>
          <w:lang w:val="en-GB"/>
        </w:rPr>
        <w:t xml:space="preserve"> </w:t>
      </w:r>
      <w:r w:rsidR="00752895" w:rsidRPr="00CD0886">
        <w:rPr>
          <w:lang w:val="en-GB"/>
        </w:rPr>
        <w:t>l</w:t>
      </w:r>
      <w:r w:rsidR="00A17545" w:rsidRPr="00CD0886">
        <w:rPr>
          <w:lang w:val="en-GB"/>
        </w:rPr>
        <w:t>ux at a multiplicity of infection of 0.1</w:t>
      </w:r>
      <w:r w:rsidR="00752895" w:rsidRPr="00CD0886">
        <w:rPr>
          <w:lang w:val="en-GB"/>
        </w:rPr>
        <w:t xml:space="preserve"> </w:t>
      </w:r>
      <w:r w:rsidR="00491F83" w:rsidRPr="00CD0886">
        <w:rPr>
          <w:lang w:val="en-GB"/>
        </w:rPr>
        <w:t>[4]</w:t>
      </w:r>
      <w:r w:rsidR="00A17545" w:rsidRPr="00CD0886">
        <w:rPr>
          <w:lang w:val="en-GB"/>
        </w:rPr>
        <w:t>. After overnight infection, infected cells were transferred from vented flasks to 5</w:t>
      </w:r>
      <w:r w:rsidR="00F75264" w:rsidRPr="00CD0886">
        <w:rPr>
          <w:lang w:val="en-GB"/>
        </w:rPr>
        <w:t>0</w:t>
      </w:r>
      <w:r w:rsidR="00CD0886">
        <w:rPr>
          <w:lang w:val="en-GB"/>
        </w:rPr>
        <w:t xml:space="preserve"> </w:t>
      </w:r>
      <w:r w:rsidR="00F75264" w:rsidRPr="00CD0886">
        <w:rPr>
          <w:lang w:val="en-GB"/>
        </w:rPr>
        <w:t xml:space="preserve">mL </w:t>
      </w:r>
      <w:r w:rsidR="00A17545" w:rsidRPr="00CD0886">
        <w:rPr>
          <w:lang w:val="en-GB"/>
        </w:rPr>
        <w:t xml:space="preserve">Falcon tubes after detachment with </w:t>
      </w:r>
      <w:proofErr w:type="spellStart"/>
      <w:r w:rsidR="00A17545" w:rsidRPr="00CD0886">
        <w:rPr>
          <w:lang w:val="en-GB"/>
        </w:rPr>
        <w:t>Versene</w:t>
      </w:r>
      <w:proofErr w:type="spellEnd"/>
      <w:r w:rsidR="00A17545" w:rsidRPr="00CD0886">
        <w:rPr>
          <w:lang w:val="en-GB"/>
        </w:rPr>
        <w:t xml:space="preserve"> solution (Sigma Aldrich, Saint Louis, MO, USA) for 10 min and soft scraping, and then rinsed with Hanks</w:t>
      </w:r>
      <w:r w:rsidR="00032398">
        <w:rPr>
          <w:lang w:val="en-GB"/>
        </w:rPr>
        <w:t>’</w:t>
      </w:r>
      <w:r w:rsidR="00A17545" w:rsidRPr="00CD0886">
        <w:rPr>
          <w:lang w:val="en-GB"/>
        </w:rPr>
        <w:t xml:space="preserve"> balanced salt solution (HBSS) without Ca/Mg (Gibco</w:t>
      </w:r>
      <w:r w:rsidR="00350352">
        <w:rPr>
          <w:lang w:val="en-GB"/>
        </w:rPr>
        <w:t xml:space="preserve">, </w:t>
      </w:r>
      <w:r>
        <w:rPr>
          <w:lang w:val="en-GB"/>
        </w:rPr>
        <w:t>Jenks, OK, USA</w:t>
      </w:r>
      <w:r w:rsidR="00A17545" w:rsidRPr="00CD0886">
        <w:rPr>
          <w:lang w:val="en-GB"/>
        </w:rPr>
        <w:t>). The cells were centrifuged at 320</w:t>
      </w:r>
      <w:r w:rsidR="005645B1" w:rsidRPr="00CD0886">
        <w:rPr>
          <w:lang w:val="en-GB"/>
        </w:rPr>
        <w:t>×</w:t>
      </w:r>
      <w:r w:rsidR="00A17545" w:rsidRPr="00CD0886">
        <w:rPr>
          <w:lang w:val="en-GB"/>
        </w:rPr>
        <w:t xml:space="preserve"> </w:t>
      </w:r>
      <w:r w:rsidR="00A17545" w:rsidRPr="00CD0886">
        <w:rPr>
          <w:i/>
          <w:iCs/>
          <w:lang w:val="en-GB"/>
        </w:rPr>
        <w:t>g</w:t>
      </w:r>
      <w:r w:rsidR="00A17545" w:rsidRPr="00CD0886">
        <w:rPr>
          <w:lang w:val="en-GB"/>
        </w:rPr>
        <w:t xml:space="preserve"> for 8 min at 4</w:t>
      </w:r>
      <w:r w:rsidR="005645B1" w:rsidRPr="00CD0886">
        <w:rPr>
          <w:lang w:val="en-GB"/>
        </w:rPr>
        <w:t xml:space="preserve"> </w:t>
      </w:r>
      <w:r w:rsidR="00A17545" w:rsidRPr="00CD0886">
        <w:rPr>
          <w:lang w:val="en-GB"/>
        </w:rPr>
        <w:t xml:space="preserve">°C, and the supernatant was decanted. The pelleted cells were then resuspended in an appropriate volume of a matrix composed of alginate (1.5%, </w:t>
      </w:r>
      <w:proofErr w:type="spellStart"/>
      <w:r w:rsidR="00A17545" w:rsidRPr="00CD0886">
        <w:rPr>
          <w:lang w:val="en-GB"/>
        </w:rPr>
        <w:t>Pronova</w:t>
      </w:r>
      <w:proofErr w:type="spellEnd"/>
      <w:r w:rsidR="00A17545" w:rsidRPr="00CD0886">
        <w:rPr>
          <w:lang w:val="en-GB"/>
        </w:rPr>
        <w:t xml:space="preserve"> UP MVG alginate, Nova Matrix</w:t>
      </w:r>
      <w:r w:rsidR="00A17545" w:rsidRPr="009D5AE6">
        <w:rPr>
          <w:lang w:val="en-GB"/>
        </w:rPr>
        <w:t>,</w:t>
      </w:r>
      <w:r w:rsidR="00350352" w:rsidRPr="009D5AE6">
        <w:rPr>
          <w:lang w:val="en-GB"/>
        </w:rPr>
        <w:t xml:space="preserve"> </w:t>
      </w:r>
      <w:proofErr w:type="spellStart"/>
      <w:r w:rsidR="009D5AE6" w:rsidRPr="009D5AE6">
        <w:rPr>
          <w:lang w:val="en-GB"/>
        </w:rPr>
        <w:t>Sandvika</w:t>
      </w:r>
      <w:proofErr w:type="spellEnd"/>
      <w:r w:rsidR="00350352" w:rsidRPr="009D5AE6">
        <w:rPr>
          <w:lang w:val="en-GB"/>
        </w:rPr>
        <w:t>,</w:t>
      </w:r>
      <w:r w:rsidR="00A17545" w:rsidRPr="00CD0886">
        <w:rPr>
          <w:lang w:val="en-GB"/>
        </w:rPr>
        <w:t xml:space="preserve"> </w:t>
      </w:r>
      <w:r w:rsidR="00A17545" w:rsidRPr="00350352">
        <w:rPr>
          <w:lang w:val="en-GB"/>
        </w:rPr>
        <w:t>Norway</w:t>
      </w:r>
      <w:r w:rsidR="00A17545" w:rsidRPr="00CD0886">
        <w:rPr>
          <w:lang w:val="en-GB"/>
        </w:rPr>
        <w:t>) with human collagen (1</w:t>
      </w:r>
      <w:r w:rsidR="004E778E" w:rsidRPr="00CD0886">
        <w:rPr>
          <w:lang w:val="en-GB"/>
        </w:rPr>
        <w:t xml:space="preserve"> </w:t>
      </w:r>
      <w:r w:rsidR="00A17545" w:rsidRPr="00CD0886">
        <w:rPr>
          <w:lang w:val="en-GB"/>
        </w:rPr>
        <w:t>mg</w:t>
      </w:r>
      <w:r w:rsidR="00F75264" w:rsidRPr="00CD0886">
        <w:rPr>
          <w:lang w:val="en-GB"/>
        </w:rPr>
        <w:t>/mL,</w:t>
      </w:r>
      <w:r w:rsidR="00A17545" w:rsidRPr="00CD0886">
        <w:rPr>
          <w:lang w:val="en-GB"/>
        </w:rPr>
        <w:t xml:space="preserve"> </w:t>
      </w:r>
      <w:r w:rsidR="00A17545" w:rsidRPr="00350352">
        <w:rPr>
          <w:lang w:val="en-GB"/>
        </w:rPr>
        <w:t xml:space="preserve">Advanced </w:t>
      </w:r>
      <w:proofErr w:type="spellStart"/>
      <w:r w:rsidR="00A17545" w:rsidRPr="00350352">
        <w:rPr>
          <w:lang w:val="en-GB"/>
        </w:rPr>
        <w:t>BioMatrix</w:t>
      </w:r>
      <w:proofErr w:type="spellEnd"/>
      <w:r w:rsidR="00350352">
        <w:rPr>
          <w:lang w:val="en-GB"/>
        </w:rPr>
        <w:t xml:space="preserve">, </w:t>
      </w:r>
      <w:r w:rsidR="009D5AE6">
        <w:rPr>
          <w:lang w:val="en-GB"/>
        </w:rPr>
        <w:t>Carlsbad, USA</w:t>
      </w:r>
      <w:r w:rsidR="00A17545" w:rsidRPr="00350352">
        <w:rPr>
          <w:lang w:val="en-GB"/>
        </w:rPr>
        <w:t xml:space="preserve">) </w:t>
      </w:r>
      <w:r w:rsidR="00A17545" w:rsidRPr="00CD0886">
        <w:rPr>
          <w:lang w:val="en-GB"/>
        </w:rPr>
        <w:t xml:space="preserve">at a final concentration </w:t>
      </w:r>
      <w:r w:rsidR="00A17545" w:rsidRPr="003C0622">
        <w:rPr>
          <w:lang w:val="en-GB"/>
        </w:rPr>
        <w:t>of 5 × 10</w:t>
      </w:r>
      <w:r w:rsidR="00A17545" w:rsidRPr="003C0622">
        <w:rPr>
          <w:vertAlign w:val="superscript"/>
          <w:lang w:val="en-GB"/>
        </w:rPr>
        <w:t>6</w:t>
      </w:r>
      <w:r w:rsidR="00A17545" w:rsidRPr="003C0622">
        <w:rPr>
          <w:lang w:val="en-GB"/>
        </w:rPr>
        <w:t xml:space="preserve"> cells</w:t>
      </w:r>
      <w:r w:rsidR="00F75264" w:rsidRPr="003C0622">
        <w:rPr>
          <w:lang w:val="en-GB"/>
        </w:rPr>
        <w:t>/</w:t>
      </w:r>
      <w:proofErr w:type="spellStart"/>
      <w:r w:rsidR="00F75264" w:rsidRPr="003C0622">
        <w:rPr>
          <w:lang w:val="en-GB"/>
        </w:rPr>
        <w:t>mL.</w:t>
      </w:r>
      <w:proofErr w:type="spellEnd"/>
    </w:p>
    <w:p w14:paraId="778D4027" w14:textId="670861F3" w:rsidR="00A17545" w:rsidRPr="00CD0886" w:rsidRDefault="00A17545" w:rsidP="00D729B8">
      <w:pPr>
        <w:pStyle w:val="MDPI31text"/>
        <w:rPr>
          <w:color w:val="auto"/>
          <w:lang w:val="en-GB"/>
        </w:rPr>
      </w:pPr>
      <w:r w:rsidRPr="00CD0886">
        <w:rPr>
          <w:lang w:val="en-GB"/>
        </w:rPr>
        <w:t>The cell matrix was then encapsulated using an Electrostatic bead generator (</w:t>
      </w:r>
      <w:proofErr w:type="spellStart"/>
      <w:r w:rsidRPr="00CD0886">
        <w:rPr>
          <w:lang w:val="en-GB"/>
        </w:rPr>
        <w:t>Nisco</w:t>
      </w:r>
      <w:proofErr w:type="spellEnd"/>
      <w:r w:rsidRPr="00CD0886">
        <w:rPr>
          <w:lang w:val="en-GB"/>
        </w:rPr>
        <w:t xml:space="preserve"> Engineering,</w:t>
      </w:r>
      <w:r w:rsidR="009D5AE6">
        <w:rPr>
          <w:lang w:val="en-GB"/>
        </w:rPr>
        <w:t xml:space="preserve"> </w:t>
      </w:r>
      <w:r w:rsidR="009D5AE6" w:rsidRPr="009D5AE6">
        <w:rPr>
          <w:lang w:val="en-GB"/>
        </w:rPr>
        <w:t>Zurich</w:t>
      </w:r>
      <w:r w:rsidR="00350352" w:rsidRPr="009D5AE6">
        <w:rPr>
          <w:color w:val="auto"/>
          <w:lang w:val="en-GB"/>
        </w:rPr>
        <w:t>,</w:t>
      </w:r>
      <w:r w:rsidRPr="009D5AE6">
        <w:rPr>
          <w:color w:val="auto"/>
          <w:lang w:val="en-GB"/>
        </w:rPr>
        <w:t xml:space="preserve"> </w:t>
      </w:r>
      <w:r w:rsidRPr="009D5AE6">
        <w:rPr>
          <w:lang w:val="en-GB"/>
        </w:rPr>
        <w:t>Switzerland</w:t>
      </w:r>
      <w:r w:rsidRPr="00CD0886">
        <w:rPr>
          <w:lang w:val="en-GB"/>
        </w:rPr>
        <w:t xml:space="preserve">), following the protocol described in detail </w:t>
      </w:r>
      <w:r w:rsidR="00491F83" w:rsidRPr="00CD0886">
        <w:rPr>
          <w:lang w:val="en-GB"/>
        </w:rPr>
        <w:t>in</w:t>
      </w:r>
      <w:r w:rsidRPr="00CD0886">
        <w:rPr>
          <w:lang w:val="en-GB"/>
        </w:rPr>
        <w:t xml:space="preserve"> Bio-protocol </w:t>
      </w:r>
      <w:r w:rsidR="00491F83" w:rsidRPr="00CD0886">
        <w:rPr>
          <w:lang w:val="en-GB"/>
        </w:rPr>
        <w:t>[5]</w:t>
      </w:r>
      <w:r w:rsidRPr="00CD0886">
        <w:rPr>
          <w:lang w:val="en-GB"/>
        </w:rPr>
        <w:t xml:space="preserve">. In brief, the cell-matrix mixture was transferred to a sterile syringe and injected </w:t>
      </w:r>
      <w:r w:rsidRPr="00CD0886">
        <w:rPr>
          <w:lang w:val="en-GB"/>
        </w:rPr>
        <w:lastRenderedPageBreak/>
        <w:t xml:space="preserve">into the bead generator at 10 mL/h via a Harvard syringe driver. Microspheres of 600 </w:t>
      </w:r>
      <w:proofErr w:type="spellStart"/>
      <w:r w:rsidRPr="00CD0886">
        <w:rPr>
          <w:lang w:val="en-GB"/>
        </w:rPr>
        <w:t>μm</w:t>
      </w:r>
      <w:proofErr w:type="spellEnd"/>
      <w:r w:rsidRPr="00CD0886">
        <w:rPr>
          <w:lang w:val="en-GB"/>
        </w:rPr>
        <w:t xml:space="preserve"> diameter form</w:t>
      </w:r>
      <w:r w:rsidR="00032398">
        <w:rPr>
          <w:lang w:val="en-GB"/>
        </w:rPr>
        <w:t>ed</w:t>
      </w:r>
      <w:r w:rsidRPr="00CD0886">
        <w:rPr>
          <w:lang w:val="en-GB"/>
        </w:rPr>
        <w:t xml:space="preserve"> when the matrix </w:t>
      </w:r>
      <w:r w:rsidR="00032398" w:rsidRPr="00CD0886">
        <w:rPr>
          <w:lang w:val="en-GB"/>
        </w:rPr>
        <w:t>passe</w:t>
      </w:r>
      <w:r w:rsidR="00032398">
        <w:rPr>
          <w:lang w:val="en-GB"/>
        </w:rPr>
        <w:t>d</w:t>
      </w:r>
      <w:r w:rsidR="00032398" w:rsidRPr="00CD0886">
        <w:rPr>
          <w:lang w:val="en-GB"/>
        </w:rPr>
        <w:t xml:space="preserve"> </w:t>
      </w:r>
      <w:r w:rsidRPr="00CD0886">
        <w:rPr>
          <w:lang w:val="en-GB"/>
        </w:rPr>
        <w:t>through a 0.7 mm external diameter nozzle, landing in a gelling bath of 100 mM CaCl</w:t>
      </w:r>
      <w:r w:rsidRPr="00CD0886">
        <w:rPr>
          <w:vertAlign w:val="subscript"/>
          <w:lang w:val="en-GB"/>
        </w:rPr>
        <w:t>2</w:t>
      </w:r>
      <w:r w:rsidRPr="00CD0886">
        <w:rPr>
          <w:lang w:val="en-GB"/>
        </w:rPr>
        <w:t xml:space="preserve"> in HBSS placed below the highly charged electrostatic ring that </w:t>
      </w:r>
      <w:r w:rsidR="00032398" w:rsidRPr="00CD0886">
        <w:rPr>
          <w:lang w:val="en-GB"/>
        </w:rPr>
        <w:t>accelerate</w:t>
      </w:r>
      <w:r w:rsidR="00032398">
        <w:rPr>
          <w:lang w:val="en-GB"/>
        </w:rPr>
        <w:t>d</w:t>
      </w:r>
      <w:r w:rsidR="00032398" w:rsidRPr="00CD0886">
        <w:rPr>
          <w:lang w:val="en-GB"/>
        </w:rPr>
        <w:t xml:space="preserve"> </w:t>
      </w:r>
      <w:r w:rsidRPr="00CD0886">
        <w:rPr>
          <w:lang w:val="en-GB"/>
        </w:rPr>
        <w:t>the microspheres from the needle head. Microspheres were collected from every 5</w:t>
      </w:r>
      <w:r w:rsidR="004E778E" w:rsidRPr="00CD0886">
        <w:rPr>
          <w:lang w:val="en-GB"/>
        </w:rPr>
        <w:t xml:space="preserve"> </w:t>
      </w:r>
      <w:r w:rsidRPr="00CD0886">
        <w:rPr>
          <w:lang w:val="en-GB"/>
        </w:rPr>
        <w:t>m</w:t>
      </w:r>
      <w:r w:rsidR="004E778E" w:rsidRPr="00CD0886">
        <w:rPr>
          <w:lang w:val="en-GB"/>
        </w:rPr>
        <w:t>L</w:t>
      </w:r>
      <w:r w:rsidRPr="00CD0886">
        <w:rPr>
          <w:lang w:val="en-GB"/>
        </w:rPr>
        <w:t xml:space="preserve"> of matrix to 5</w:t>
      </w:r>
      <w:r w:rsidR="00F75264" w:rsidRPr="00CD0886">
        <w:rPr>
          <w:lang w:val="en-GB"/>
        </w:rPr>
        <w:t xml:space="preserve">0 mL </w:t>
      </w:r>
      <w:r w:rsidRPr="00CD0886">
        <w:rPr>
          <w:lang w:val="en-GB"/>
        </w:rPr>
        <w:t>tubes and washed twice with HBSS with Ca/Mg and were transferred in RPMI 1640 medium containing 10% human AB serum and incubated at 37</w:t>
      </w:r>
      <w:r w:rsidR="004E778E" w:rsidRPr="00CD0886">
        <w:rPr>
          <w:lang w:val="en-GB"/>
        </w:rPr>
        <w:t xml:space="preserve"> </w:t>
      </w:r>
      <w:r w:rsidRPr="00CD0886">
        <w:rPr>
          <w:lang w:val="en-GB"/>
        </w:rPr>
        <w:t>°C, 21% O</w:t>
      </w:r>
      <w:r w:rsidRPr="00CD0886">
        <w:rPr>
          <w:vertAlign w:val="subscript"/>
          <w:lang w:val="en-GB"/>
        </w:rPr>
        <w:t>2</w:t>
      </w:r>
      <w:r w:rsidRPr="00CD0886">
        <w:rPr>
          <w:lang w:val="en-GB"/>
        </w:rPr>
        <w:t xml:space="preserve"> and 5% CO</w:t>
      </w:r>
      <w:r w:rsidRPr="00CD0886">
        <w:rPr>
          <w:vertAlign w:val="subscript"/>
          <w:lang w:val="en-GB"/>
        </w:rPr>
        <w:t>2</w:t>
      </w:r>
      <w:r w:rsidRPr="00CD0886">
        <w:rPr>
          <w:lang w:val="en-GB"/>
        </w:rPr>
        <w:t>. No media changes were performed, and the supernatant was harvested at defined time points for analysis. The specific drugs were added the next day as outlined below. Mtb growth within microspheres was monitored longitudinally by luminescence (</w:t>
      </w:r>
      <w:proofErr w:type="spellStart"/>
      <w:r w:rsidRPr="00CD0886">
        <w:rPr>
          <w:lang w:val="en-GB"/>
        </w:rPr>
        <w:t>GloMax</w:t>
      </w:r>
      <w:proofErr w:type="spellEnd"/>
      <w:r w:rsidRPr="00CD0886">
        <w:rPr>
          <w:lang w:val="en-GB"/>
        </w:rPr>
        <w:t xml:space="preserve"> 20/20 Luminometer, </w:t>
      </w:r>
      <w:r w:rsidRPr="00350352">
        <w:rPr>
          <w:lang w:val="en-GB"/>
        </w:rPr>
        <w:t>Promega</w:t>
      </w:r>
      <w:r w:rsidR="00350352">
        <w:rPr>
          <w:lang w:val="en-GB"/>
        </w:rPr>
        <w:t xml:space="preserve">, </w:t>
      </w:r>
      <w:r w:rsidR="00BC3953">
        <w:rPr>
          <w:lang w:val="en-GB"/>
        </w:rPr>
        <w:t>Southampton, UK</w:t>
      </w:r>
      <w:r w:rsidRPr="00CD0886">
        <w:rPr>
          <w:lang w:val="en-GB"/>
        </w:rPr>
        <w:t xml:space="preserve">) for </w:t>
      </w:r>
      <w:r w:rsidR="00BF0F20" w:rsidRPr="00CD0886">
        <w:rPr>
          <w:lang w:val="en-GB"/>
        </w:rPr>
        <w:t xml:space="preserve">at least </w:t>
      </w:r>
      <w:r w:rsidRPr="00CD0886">
        <w:rPr>
          <w:lang w:val="en-GB"/>
        </w:rPr>
        <w:t>21 days.</w:t>
      </w:r>
    </w:p>
    <w:p w14:paraId="1BA3A9D0" w14:textId="5A881DCB" w:rsidR="00995955" w:rsidRPr="00CD0886" w:rsidRDefault="00BC3953" w:rsidP="00D729B8">
      <w:pPr>
        <w:pStyle w:val="MDPI31text"/>
        <w:rPr>
          <w:lang w:val="en-GB"/>
        </w:rPr>
      </w:pPr>
      <w:r w:rsidRPr="00BC3953">
        <w:rPr>
          <w:rFonts w:cs="Calibri"/>
          <w:i/>
          <w:iCs/>
          <w:color w:val="201F1E"/>
          <w:lang w:val="en-GB"/>
        </w:rPr>
        <w:t xml:space="preserve">4.4 </w:t>
      </w:r>
      <w:r w:rsidR="00A17545" w:rsidRPr="00BC3953">
        <w:rPr>
          <w:rFonts w:cs="Calibri"/>
          <w:i/>
          <w:iCs/>
          <w:color w:val="201F1E"/>
          <w:lang w:val="en-GB"/>
        </w:rPr>
        <w:t>Drugs and concentration tested are listed below</w:t>
      </w:r>
      <w:r w:rsidR="00A17545" w:rsidRPr="00BC3953">
        <w:rPr>
          <w:rFonts w:cs="Calibri"/>
          <w:color w:val="201F1E"/>
          <w:lang w:val="en-GB"/>
        </w:rPr>
        <w:t>:</w:t>
      </w:r>
      <w:r w:rsidR="00D729B8" w:rsidRPr="00CD0886">
        <w:rPr>
          <w:rFonts w:cs="Calibri"/>
          <w:color w:val="201F1E"/>
          <w:lang w:val="en-GB"/>
        </w:rPr>
        <w:t xml:space="preserve"> </w:t>
      </w:r>
      <w:r w:rsidR="00A17545" w:rsidRPr="00CD0886">
        <w:rPr>
          <w:lang w:val="en-GB"/>
        </w:rPr>
        <w:t xml:space="preserve">Drugs and concentrations tested are listed below: Meropenem (Sigma Aldrich, Saint Louis, MO USA): 2, 8 and 32 mg/L; </w:t>
      </w:r>
      <w:proofErr w:type="spellStart"/>
      <w:r w:rsidR="00A17545" w:rsidRPr="00CD0886">
        <w:rPr>
          <w:lang w:val="en-GB"/>
        </w:rPr>
        <w:t>Faropenem</w:t>
      </w:r>
      <w:proofErr w:type="spellEnd"/>
      <w:r w:rsidR="00A17545" w:rsidRPr="00CD0886">
        <w:rPr>
          <w:lang w:val="en-GB"/>
        </w:rPr>
        <w:t xml:space="preserve"> (Sigma Aldrich, Saint Louis, MO</w:t>
      </w:r>
      <w:r w:rsidR="002527D1" w:rsidRPr="00CD0886">
        <w:rPr>
          <w:lang w:val="en-GB"/>
        </w:rPr>
        <w:t>,</w:t>
      </w:r>
      <w:r w:rsidR="00A17545" w:rsidRPr="00CD0886">
        <w:rPr>
          <w:lang w:val="en-GB"/>
        </w:rPr>
        <w:t xml:space="preserve"> USA): 2, 8 and 32 mg/L; Tebipenem (</w:t>
      </w:r>
      <w:proofErr w:type="spellStart"/>
      <w:r w:rsidR="00A17545" w:rsidRPr="00CD0886">
        <w:rPr>
          <w:lang w:val="en-GB"/>
        </w:rPr>
        <w:t>MedChem</w:t>
      </w:r>
      <w:proofErr w:type="spellEnd"/>
      <w:r w:rsidR="00A17545" w:rsidRPr="00CD0886">
        <w:rPr>
          <w:lang w:val="en-GB"/>
        </w:rPr>
        <w:t xml:space="preserve"> Express</w:t>
      </w:r>
      <w:r w:rsidR="002527D1" w:rsidRPr="00CD0886">
        <w:rPr>
          <w:lang w:val="en-GB"/>
        </w:rPr>
        <w:t>,</w:t>
      </w:r>
      <w:r w:rsidR="00A17545" w:rsidRPr="00CD0886">
        <w:rPr>
          <w:lang w:val="en-GB"/>
        </w:rPr>
        <w:t xml:space="preserve"> Princeton, NJ, USA): 2, 8 and 64 mg/L; </w:t>
      </w:r>
      <w:proofErr w:type="spellStart"/>
      <w:r w:rsidR="00A17545" w:rsidRPr="00CD0886">
        <w:rPr>
          <w:lang w:val="en-GB"/>
        </w:rPr>
        <w:t>Nitaxozanide</w:t>
      </w:r>
      <w:proofErr w:type="spellEnd"/>
      <w:r w:rsidR="00A17545" w:rsidRPr="00CD0886">
        <w:rPr>
          <w:lang w:val="en-GB"/>
        </w:rPr>
        <w:t xml:space="preserve"> (Sigma Aldrich</w:t>
      </w:r>
      <w:r w:rsidR="002527D1" w:rsidRPr="00CD0886">
        <w:rPr>
          <w:lang w:val="en-GB"/>
        </w:rPr>
        <w:t>,</w:t>
      </w:r>
      <w:r w:rsidR="00A17545" w:rsidRPr="00CD0886">
        <w:rPr>
          <w:lang w:val="en-GB"/>
        </w:rPr>
        <w:t xml:space="preserve"> Saint Louis, MO</w:t>
      </w:r>
      <w:r w:rsidR="002527D1" w:rsidRPr="00CD0886">
        <w:rPr>
          <w:lang w:val="en-GB"/>
        </w:rPr>
        <w:t>,</w:t>
      </w:r>
      <w:r w:rsidR="00A17545" w:rsidRPr="00CD0886">
        <w:rPr>
          <w:lang w:val="en-GB"/>
        </w:rPr>
        <w:t xml:space="preserve"> USA): 8 and 64 mg/L; Clofazimine (Sigma Aldrich</w:t>
      </w:r>
      <w:r w:rsidR="002527D1" w:rsidRPr="00CD0886">
        <w:rPr>
          <w:lang w:val="en-GB"/>
        </w:rPr>
        <w:t>,</w:t>
      </w:r>
      <w:r w:rsidR="00A17545" w:rsidRPr="00CD0886">
        <w:rPr>
          <w:lang w:val="en-GB"/>
        </w:rPr>
        <w:t xml:space="preserve"> Saint Louis, MO</w:t>
      </w:r>
      <w:r w:rsidR="002527D1" w:rsidRPr="00CD0886">
        <w:rPr>
          <w:lang w:val="en-GB"/>
        </w:rPr>
        <w:t>,</w:t>
      </w:r>
      <w:r w:rsidR="00A17545" w:rsidRPr="00CD0886">
        <w:rPr>
          <w:lang w:val="en-GB"/>
        </w:rPr>
        <w:t xml:space="preserve"> USA): 2 and 32 mg/L; Clavulanic acid (Sigma Aldrich</w:t>
      </w:r>
      <w:r w:rsidR="002527D1" w:rsidRPr="00CD0886">
        <w:rPr>
          <w:lang w:val="en-GB"/>
        </w:rPr>
        <w:t>,</w:t>
      </w:r>
      <w:r w:rsidR="00A17545" w:rsidRPr="00CD0886">
        <w:rPr>
          <w:lang w:val="en-GB"/>
        </w:rPr>
        <w:t xml:space="preserve"> Saint Louis, MO</w:t>
      </w:r>
      <w:r w:rsidR="002527D1" w:rsidRPr="00CD0886">
        <w:rPr>
          <w:lang w:val="en-GB"/>
        </w:rPr>
        <w:t>,</w:t>
      </w:r>
      <w:r w:rsidR="00A17545" w:rsidRPr="00CD0886">
        <w:rPr>
          <w:lang w:val="en-GB"/>
        </w:rPr>
        <w:t xml:space="preserve"> USA): 2.5 mg/L.</w:t>
      </w:r>
    </w:p>
    <w:p w14:paraId="4BB594F0" w14:textId="6D0C7E5C" w:rsidR="00995955" w:rsidRPr="003C0622" w:rsidRDefault="00995955" w:rsidP="00D729B8">
      <w:pPr>
        <w:pStyle w:val="MDPI31text"/>
        <w:rPr>
          <w:lang w:val="en-GB"/>
        </w:rPr>
      </w:pPr>
      <w:r w:rsidRPr="00CD0886">
        <w:rPr>
          <w:lang w:val="en-GB"/>
        </w:rPr>
        <w:t>The concentrations were chosen as they contain the concentrations achievable</w:t>
      </w:r>
      <w:r w:rsidR="00D729B8" w:rsidRPr="00CD0886">
        <w:rPr>
          <w:lang w:val="en-GB"/>
        </w:rPr>
        <w:t xml:space="preserve"> </w:t>
      </w:r>
      <w:r w:rsidRPr="00CD0886">
        <w:rPr>
          <w:lang w:val="en-GB"/>
        </w:rPr>
        <w:t>in vivo</w:t>
      </w:r>
      <w:r w:rsidR="00D729B8" w:rsidRPr="00CD0886">
        <w:rPr>
          <w:lang w:val="en-GB"/>
        </w:rPr>
        <w:t xml:space="preserve"> </w:t>
      </w:r>
      <w:r w:rsidRPr="00CD0886">
        <w:rPr>
          <w:lang w:val="en-GB"/>
        </w:rPr>
        <w:t xml:space="preserve">with current </w:t>
      </w:r>
      <w:r w:rsidRPr="00CD0886">
        <w:rPr>
          <w:rFonts w:eastAsiaTheme="minorHAnsi"/>
          <w:lang w:val="en-GB" w:eastAsia="en-US"/>
        </w:rPr>
        <w:t>dosing regimens</w:t>
      </w:r>
      <w:r w:rsidRPr="00CD0886">
        <w:rPr>
          <w:lang w:val="en-GB"/>
        </w:rPr>
        <w:t>, i.e.,</w:t>
      </w:r>
      <w:r w:rsidR="00D729B8" w:rsidRPr="00CD0886">
        <w:rPr>
          <w:lang w:val="en-GB"/>
        </w:rPr>
        <w:t xml:space="preserve"> </w:t>
      </w:r>
      <w:r w:rsidRPr="00CD0886">
        <w:rPr>
          <w:lang w:val="en-GB"/>
        </w:rPr>
        <w:t xml:space="preserve">MEM 1 g, </w:t>
      </w:r>
      <w:proofErr w:type="spellStart"/>
      <w:r w:rsidRPr="00CD0886">
        <w:rPr>
          <w:lang w:val="en-GB"/>
        </w:rPr>
        <w:t>Cmax</w:t>
      </w:r>
      <w:proofErr w:type="spellEnd"/>
      <w:r w:rsidR="00D729B8" w:rsidRPr="00CD0886">
        <w:rPr>
          <w:lang w:val="en-GB"/>
        </w:rPr>
        <w:t xml:space="preserve"> </w:t>
      </w:r>
      <w:r w:rsidRPr="00CD0886">
        <w:rPr>
          <w:lang w:val="en-GB"/>
        </w:rPr>
        <w:t xml:space="preserve">steady state: 14.14 ± 2.02 mg/L </w:t>
      </w:r>
      <w:r w:rsidR="00EB3E92" w:rsidRPr="00CD0886">
        <w:rPr>
          <w:lang w:val="en-GB"/>
        </w:rPr>
        <w:t>[31</w:t>
      </w:r>
      <w:r w:rsidR="00BC3953">
        <w:rPr>
          <w:lang w:val="en-GB"/>
        </w:rPr>
        <w:t>]</w:t>
      </w:r>
      <w:r w:rsidRPr="00CD0886">
        <w:rPr>
          <w:lang w:val="en-GB"/>
        </w:rPr>
        <w:t xml:space="preserve">, TEB 400 mg </w:t>
      </w:r>
      <w:proofErr w:type="spellStart"/>
      <w:r w:rsidRPr="00CD0886">
        <w:rPr>
          <w:lang w:val="en-GB"/>
        </w:rPr>
        <w:t>Cmax</w:t>
      </w:r>
      <w:proofErr w:type="spellEnd"/>
      <w:r w:rsidR="00D729B8" w:rsidRPr="00CD0886">
        <w:rPr>
          <w:lang w:val="en-GB"/>
        </w:rPr>
        <w:t xml:space="preserve"> </w:t>
      </w:r>
      <w:r w:rsidRPr="00CD0886">
        <w:rPr>
          <w:lang w:val="en-GB"/>
        </w:rPr>
        <w:t>17825</w:t>
      </w:r>
      <w:r w:rsidR="00350352">
        <w:rPr>
          <w:lang w:val="en-GB"/>
        </w:rPr>
        <w:t xml:space="preserve"> ± </w:t>
      </w:r>
      <w:r w:rsidRPr="00CD0886">
        <w:rPr>
          <w:lang w:val="en-GB"/>
        </w:rPr>
        <w:t xml:space="preserve">5753 ng/mL </w:t>
      </w:r>
      <w:r w:rsidR="00286C41" w:rsidRPr="00CD0886">
        <w:rPr>
          <w:lang w:val="en-GB"/>
        </w:rPr>
        <w:t>[</w:t>
      </w:r>
      <w:r w:rsidR="00EB3E92" w:rsidRPr="00CD0886">
        <w:rPr>
          <w:lang w:val="en-GB"/>
        </w:rPr>
        <w:t>32</w:t>
      </w:r>
      <w:r w:rsidR="00286C41" w:rsidRPr="00CD0886">
        <w:rPr>
          <w:lang w:val="en-GB"/>
        </w:rPr>
        <w:t>]</w:t>
      </w:r>
      <w:r w:rsidRPr="00CD0886">
        <w:rPr>
          <w:lang w:val="en-GB"/>
        </w:rPr>
        <w:t xml:space="preserve">, FAR 300 mg </w:t>
      </w:r>
      <w:proofErr w:type="spellStart"/>
      <w:r w:rsidRPr="00CD0886">
        <w:rPr>
          <w:lang w:val="en-GB"/>
        </w:rPr>
        <w:t>Cmax</w:t>
      </w:r>
      <w:proofErr w:type="spellEnd"/>
      <w:r w:rsidR="00D729B8" w:rsidRPr="00CD0886">
        <w:rPr>
          <w:lang w:val="en-GB"/>
        </w:rPr>
        <w:t xml:space="preserve"> </w:t>
      </w:r>
      <w:r w:rsidRPr="00CD0886">
        <w:rPr>
          <w:lang w:val="en-GB"/>
        </w:rPr>
        <w:t xml:space="preserve">14 mg/L </w:t>
      </w:r>
      <w:r w:rsidR="00286C41" w:rsidRPr="00CD0886">
        <w:rPr>
          <w:lang w:val="en-GB"/>
        </w:rPr>
        <w:t>[33]</w:t>
      </w:r>
      <w:r w:rsidRPr="00CD0886">
        <w:rPr>
          <w:lang w:val="en-GB"/>
        </w:rPr>
        <w:t xml:space="preserve">, Clofazimine AUC day 14 4.2 mg/L and Clofazimine AUC 2 months 7.3 mg/L </w:t>
      </w:r>
      <w:r w:rsidR="00286C41" w:rsidRPr="00CD0886">
        <w:rPr>
          <w:lang w:val="en-GB"/>
        </w:rPr>
        <w:t>[34]</w:t>
      </w:r>
      <w:r w:rsidRPr="00CD0886">
        <w:rPr>
          <w:lang w:val="en-GB"/>
        </w:rPr>
        <w:t>. For MEM,</w:t>
      </w:r>
      <w:r w:rsidR="00D729B8" w:rsidRPr="00CD0886">
        <w:rPr>
          <w:lang w:val="en-GB"/>
        </w:rPr>
        <w:t xml:space="preserve"> </w:t>
      </w:r>
      <w:r w:rsidRPr="00CD0886">
        <w:rPr>
          <w:lang w:val="en-GB"/>
        </w:rPr>
        <w:t>trough concentrations (</w:t>
      </w:r>
      <w:proofErr w:type="spellStart"/>
      <w:r w:rsidRPr="00CD0886">
        <w:rPr>
          <w:lang w:val="en-GB"/>
        </w:rPr>
        <w:t>Cmin</w:t>
      </w:r>
      <w:proofErr w:type="spellEnd"/>
      <w:r w:rsidRPr="00CD0886">
        <w:rPr>
          <w:lang w:val="en-GB"/>
        </w:rPr>
        <w:t xml:space="preserve">) of &gt;64.2 mg/L and &gt;44.5 mg/L were associated with neurotoxicity or nephrotoxicity, </w:t>
      </w:r>
      <w:r w:rsidRPr="003C0622">
        <w:rPr>
          <w:lang w:val="en-GB"/>
        </w:rPr>
        <w:t xml:space="preserve">respectively </w:t>
      </w:r>
      <w:r w:rsidR="00286C41" w:rsidRPr="003C0622">
        <w:rPr>
          <w:lang w:val="en-GB"/>
        </w:rPr>
        <w:t>[35]</w:t>
      </w:r>
      <w:r w:rsidRPr="003C0622">
        <w:rPr>
          <w:lang w:val="en-GB"/>
        </w:rPr>
        <w:t>.</w:t>
      </w:r>
      <w:r w:rsidR="00E17907" w:rsidRPr="003C0622">
        <w:rPr>
          <w:lang w:val="en-GB"/>
        </w:rPr>
        <w:t xml:space="preserve"> For </w:t>
      </w:r>
      <w:proofErr w:type="spellStart"/>
      <w:r w:rsidR="00E17907" w:rsidRPr="003C0622">
        <w:rPr>
          <w:lang w:val="en-GB"/>
        </w:rPr>
        <w:t>nitaxozanide</w:t>
      </w:r>
      <w:proofErr w:type="spellEnd"/>
      <w:r w:rsidR="00E17907" w:rsidRPr="003C0622">
        <w:rPr>
          <w:lang w:val="en-GB"/>
        </w:rPr>
        <w:t>,</w:t>
      </w:r>
      <w:r w:rsidR="00D729B8" w:rsidRPr="003C0622">
        <w:rPr>
          <w:lang w:val="en-GB"/>
        </w:rPr>
        <w:t xml:space="preserve"> </w:t>
      </w:r>
      <w:proofErr w:type="spellStart"/>
      <w:r w:rsidR="00E17907" w:rsidRPr="003C0622">
        <w:rPr>
          <w:lang w:val="en-GB"/>
        </w:rPr>
        <w:t>Cmax</w:t>
      </w:r>
      <w:proofErr w:type="spellEnd"/>
      <w:r w:rsidR="00E17907" w:rsidRPr="003C0622">
        <w:rPr>
          <w:lang w:val="en-GB"/>
        </w:rPr>
        <w:t xml:space="preserve"> is 1.9 mg/</w:t>
      </w:r>
      <w:r w:rsidR="002527D1" w:rsidRPr="003C0622">
        <w:rPr>
          <w:lang w:val="en-GB"/>
        </w:rPr>
        <w:t>L</w:t>
      </w:r>
      <w:r w:rsidR="00E17907" w:rsidRPr="003C0622">
        <w:rPr>
          <w:lang w:val="en-GB"/>
        </w:rPr>
        <w:t xml:space="preserve"> (range 1.1</w:t>
      </w:r>
      <w:r w:rsidR="002527D1" w:rsidRPr="003C0622">
        <w:rPr>
          <w:lang w:val="en-GB"/>
        </w:rPr>
        <w:t>–</w:t>
      </w:r>
      <w:r w:rsidR="00E17907" w:rsidRPr="003C0622">
        <w:rPr>
          <w:lang w:val="en-GB"/>
        </w:rPr>
        <w:t>2.5) 2</w:t>
      </w:r>
      <w:r w:rsidR="002527D1" w:rsidRPr="003C0622">
        <w:rPr>
          <w:lang w:val="en-GB"/>
        </w:rPr>
        <w:t>–</w:t>
      </w:r>
      <w:r w:rsidR="00E17907" w:rsidRPr="003C0622">
        <w:rPr>
          <w:lang w:val="en-GB"/>
        </w:rPr>
        <w:t>6 h after dosing, and an AUC is 3.9</w:t>
      </w:r>
      <w:r w:rsidR="002527D1" w:rsidRPr="003C0622">
        <w:rPr>
          <w:lang w:val="en-GB"/>
        </w:rPr>
        <w:t>–</w:t>
      </w:r>
      <w:r w:rsidR="00E17907" w:rsidRPr="003C0622">
        <w:rPr>
          <w:lang w:val="en-GB"/>
        </w:rPr>
        <w:t xml:space="preserve">11.3 </w:t>
      </w:r>
      <w:proofErr w:type="spellStart"/>
      <w:r w:rsidR="00E17907" w:rsidRPr="003C0622">
        <w:rPr>
          <w:lang w:val="en-GB"/>
        </w:rPr>
        <w:t>mg</w:t>
      </w:r>
      <w:r w:rsidR="003C0622" w:rsidRPr="003C0622">
        <w:rPr>
          <w:lang w:val="en-GB"/>
        </w:rPr>
        <w:t>∙</w:t>
      </w:r>
      <w:r w:rsidR="00E17907" w:rsidRPr="003C0622">
        <w:rPr>
          <w:lang w:val="en-GB"/>
        </w:rPr>
        <w:t>h</w:t>
      </w:r>
      <w:proofErr w:type="spellEnd"/>
      <w:r w:rsidR="00E17907" w:rsidRPr="003C0622">
        <w:rPr>
          <w:lang w:val="en-GB"/>
        </w:rPr>
        <w:t>/</w:t>
      </w:r>
      <w:r w:rsidR="002527D1" w:rsidRPr="003C0622">
        <w:rPr>
          <w:lang w:val="en-GB"/>
        </w:rPr>
        <w:t>L</w:t>
      </w:r>
      <w:r w:rsidR="00E17907" w:rsidRPr="003C0622">
        <w:rPr>
          <w:lang w:val="en-GB"/>
        </w:rPr>
        <w:t xml:space="preserve"> [36].</w:t>
      </w:r>
    </w:p>
    <w:p w14:paraId="6299C1DA" w14:textId="52694C05" w:rsidR="0006004C" w:rsidRPr="00CD0886" w:rsidRDefault="00A17545" w:rsidP="00D729B8">
      <w:pPr>
        <w:pStyle w:val="MDPI31text"/>
        <w:rPr>
          <w:lang w:val="en-GB"/>
        </w:rPr>
      </w:pPr>
      <w:r w:rsidRPr="003C0622">
        <w:rPr>
          <w:lang w:val="en-GB"/>
        </w:rPr>
        <w:t xml:space="preserve">All drugs were dissolved in DMSO (except clavulanate, which was dissolved in distilled water). Stock solutions were filter-sterilised and frozen at </w:t>
      </w:r>
      <w:r w:rsidR="00524044" w:rsidRPr="003C0622">
        <w:rPr>
          <w:lang w:val="en-GB"/>
        </w:rPr>
        <w:t>−</w:t>
      </w:r>
      <w:r w:rsidRPr="003C0622">
        <w:rPr>
          <w:lang w:val="en-GB"/>
        </w:rPr>
        <w:t>80</w:t>
      </w:r>
      <w:r w:rsidR="00524044" w:rsidRPr="003C0622">
        <w:rPr>
          <w:lang w:val="en-GB"/>
        </w:rPr>
        <w:t xml:space="preserve"> °</w:t>
      </w:r>
      <w:r w:rsidRPr="003C0622">
        <w:rPr>
          <w:lang w:val="en-GB"/>
        </w:rPr>
        <w:t xml:space="preserve">C in 500 µL aliquots. Experiments were carried out in triplicate and performed on </w:t>
      </w:r>
      <w:r w:rsidR="0031262B" w:rsidRPr="003C0622">
        <w:rPr>
          <w:lang w:val="en-GB"/>
        </w:rPr>
        <w:t>PBMCs from at</w:t>
      </w:r>
      <w:r w:rsidRPr="003C0622">
        <w:rPr>
          <w:lang w:val="en-GB"/>
        </w:rPr>
        <w:t xml:space="preserve"> least two</w:t>
      </w:r>
      <w:r w:rsidRPr="00CD0886">
        <w:rPr>
          <w:lang w:val="en-GB"/>
        </w:rPr>
        <w:t xml:space="preserve"> separate donors on separate occasions.</w:t>
      </w:r>
      <w:r w:rsidR="00D729B8" w:rsidRPr="00CD0886">
        <w:rPr>
          <w:rFonts w:cs="Calibri"/>
          <w:color w:val="201F1E"/>
          <w:lang w:val="en-GB"/>
        </w:rPr>
        <w:t xml:space="preserve"> </w:t>
      </w:r>
      <w:r w:rsidRPr="00CD0886">
        <w:rPr>
          <w:lang w:val="en-GB"/>
        </w:rPr>
        <w:t>All drugs were dissolved in DMSO (except clavulanate</w:t>
      </w:r>
      <w:r w:rsidR="00032398">
        <w:rPr>
          <w:lang w:val="en-GB"/>
        </w:rPr>
        <w:t>,</w:t>
      </w:r>
      <w:r w:rsidRPr="00CD0886">
        <w:rPr>
          <w:lang w:val="en-GB"/>
        </w:rPr>
        <w:t xml:space="preserve"> which was dissolved in distilled water). Stock solutions were filter-sterilised and frozen at </w:t>
      </w:r>
      <w:r w:rsidR="00524044" w:rsidRPr="00CD0886">
        <w:rPr>
          <w:lang w:val="en-GB"/>
        </w:rPr>
        <w:t xml:space="preserve">−80 °C </w:t>
      </w:r>
      <w:r w:rsidRPr="00CD0886">
        <w:rPr>
          <w:lang w:val="en-GB"/>
        </w:rPr>
        <w:t xml:space="preserve">in 500 µL aliquots. </w:t>
      </w:r>
      <w:r w:rsidR="00ED6BA3" w:rsidRPr="00CD0886">
        <w:rPr>
          <w:lang w:val="en-GB"/>
        </w:rPr>
        <w:t xml:space="preserve">Bacterial luminescence was monitored for </w:t>
      </w:r>
      <w:r w:rsidR="00143811" w:rsidRPr="00CD0886">
        <w:rPr>
          <w:lang w:val="en-GB"/>
        </w:rPr>
        <w:t>at least</w:t>
      </w:r>
      <w:r w:rsidR="00ED6BA3" w:rsidRPr="00CD0886">
        <w:rPr>
          <w:lang w:val="en-GB"/>
        </w:rPr>
        <w:t xml:space="preserve"> 21</w:t>
      </w:r>
      <w:r w:rsidR="00524044" w:rsidRPr="00CD0886">
        <w:rPr>
          <w:lang w:val="en-GB"/>
        </w:rPr>
        <w:t xml:space="preserve"> </w:t>
      </w:r>
      <w:r w:rsidR="00ED6BA3" w:rsidRPr="00CD0886">
        <w:rPr>
          <w:lang w:val="en-GB"/>
        </w:rPr>
        <w:t>days.</w:t>
      </w:r>
      <w:r w:rsidR="008B470B" w:rsidRPr="00CD0886">
        <w:rPr>
          <w:lang w:val="en-GB"/>
        </w:rPr>
        <w:t xml:space="preserve"> Standard deviations are included in Figures but were very small</w:t>
      </w:r>
      <w:r w:rsidR="00032398">
        <w:rPr>
          <w:lang w:val="en-GB"/>
        </w:rPr>
        <w:t>,</w:t>
      </w:r>
      <w:r w:rsidR="008B470B" w:rsidRPr="00CD0886">
        <w:rPr>
          <w:lang w:val="en-GB"/>
        </w:rPr>
        <w:t xml:space="preserve"> i</w:t>
      </w:r>
      <w:r w:rsidR="00524044" w:rsidRPr="00CD0886">
        <w:rPr>
          <w:lang w:val="en-GB"/>
        </w:rPr>
        <w:t>.</w:t>
      </w:r>
      <w:r w:rsidR="008B470B" w:rsidRPr="00CD0886">
        <w:rPr>
          <w:lang w:val="en-GB"/>
        </w:rPr>
        <w:t>e</w:t>
      </w:r>
      <w:r w:rsidR="00524044" w:rsidRPr="00CD0886">
        <w:rPr>
          <w:lang w:val="en-GB"/>
        </w:rPr>
        <w:t>.</w:t>
      </w:r>
      <w:r w:rsidR="00032398">
        <w:rPr>
          <w:lang w:val="en-GB"/>
        </w:rPr>
        <w:t>,</w:t>
      </w:r>
      <w:r w:rsidR="008B470B" w:rsidRPr="00CD0886">
        <w:rPr>
          <w:lang w:val="en-GB"/>
        </w:rPr>
        <w:t xml:space="preserve"> within the size of the points on the curves.</w:t>
      </w:r>
    </w:p>
    <w:p w14:paraId="105E033C" w14:textId="46850FEB" w:rsidR="007713AF" w:rsidRPr="00CD0886" w:rsidRDefault="00D729B8" w:rsidP="00D729B8">
      <w:pPr>
        <w:pStyle w:val="MDPI21heading1"/>
        <w:rPr>
          <w:lang w:val="en-GB"/>
        </w:rPr>
      </w:pPr>
      <w:r w:rsidRPr="00CD0886">
        <w:rPr>
          <w:lang w:val="en-GB"/>
        </w:rPr>
        <w:t xml:space="preserve">5. </w:t>
      </w:r>
      <w:r w:rsidR="007713AF" w:rsidRPr="00CD0886">
        <w:rPr>
          <w:lang w:val="en-GB"/>
        </w:rPr>
        <w:t>Conclusions</w:t>
      </w:r>
    </w:p>
    <w:p w14:paraId="2E744E8C" w14:textId="2C964B03" w:rsidR="00BF1CAE" w:rsidRPr="00CD0886" w:rsidRDefault="00ED6BA3" w:rsidP="00D729B8">
      <w:pPr>
        <w:pStyle w:val="MDPI31text"/>
        <w:rPr>
          <w:lang w:val="en-GB"/>
        </w:rPr>
      </w:pPr>
      <w:r w:rsidRPr="00CD0886">
        <w:rPr>
          <w:lang w:val="en-GB"/>
        </w:rPr>
        <w:t>Overall, analysis in a 3-D biomimetic model may help prioritise promising antibiotics</w:t>
      </w:r>
      <w:r w:rsidR="000356BC" w:rsidRPr="00CD0886">
        <w:rPr>
          <w:lang w:val="en-GB"/>
        </w:rPr>
        <w:t>,</w:t>
      </w:r>
      <w:r w:rsidRPr="00CD0886">
        <w:rPr>
          <w:lang w:val="en-GB"/>
        </w:rPr>
        <w:t xml:space="preserve"> before they move forward to clinical trials, facilitating the development of new TB drug </w:t>
      </w:r>
      <w:proofErr w:type="spellStart"/>
      <w:r w:rsidRPr="00CD0886">
        <w:rPr>
          <w:lang w:val="en-GB"/>
        </w:rPr>
        <w:t>regimes</w:t>
      </w:r>
      <w:proofErr w:type="spellEnd"/>
      <w:r w:rsidRPr="00CD0886">
        <w:rPr>
          <w:lang w:val="en-GB"/>
        </w:rPr>
        <w:t xml:space="preserve"> (e</w:t>
      </w:r>
      <w:r w:rsidR="00524044" w:rsidRPr="00CD0886">
        <w:rPr>
          <w:lang w:val="en-GB"/>
        </w:rPr>
        <w:t>.</w:t>
      </w:r>
      <w:r w:rsidRPr="00CD0886">
        <w:rPr>
          <w:lang w:val="en-GB"/>
        </w:rPr>
        <w:t>g</w:t>
      </w:r>
      <w:r w:rsidR="00524044" w:rsidRPr="00CD0886">
        <w:rPr>
          <w:lang w:val="en-GB"/>
        </w:rPr>
        <w:t>.</w:t>
      </w:r>
      <w:r w:rsidR="00032398">
        <w:rPr>
          <w:lang w:val="en-GB"/>
        </w:rPr>
        <w:t>,</w:t>
      </w:r>
      <w:r w:rsidRPr="00CD0886">
        <w:rPr>
          <w:lang w:val="en-GB"/>
        </w:rPr>
        <w:t xml:space="preserve"> for MDRTB or simply to shorten those used for </w:t>
      </w:r>
      <w:r w:rsidR="00032398" w:rsidRPr="00CD0886">
        <w:rPr>
          <w:lang w:val="en-GB"/>
        </w:rPr>
        <w:t>drug</w:t>
      </w:r>
      <w:r w:rsidR="00032398">
        <w:rPr>
          <w:lang w:val="en-GB"/>
        </w:rPr>
        <w:t>-</w:t>
      </w:r>
      <w:r w:rsidRPr="00CD0886">
        <w:rPr>
          <w:lang w:val="en-GB"/>
        </w:rPr>
        <w:t>sensitive TB) at modest cost</w:t>
      </w:r>
      <w:r w:rsidR="007713AF" w:rsidRPr="00CD0886">
        <w:rPr>
          <w:lang w:val="en-GB"/>
        </w:rPr>
        <w:t>.</w:t>
      </w:r>
    </w:p>
    <w:p w14:paraId="49185041" w14:textId="2DDB7DDF" w:rsidR="0066351E" w:rsidRPr="00CD0886" w:rsidRDefault="00524044" w:rsidP="0010107C">
      <w:pPr>
        <w:pStyle w:val="MDPI62BackMatter"/>
        <w:spacing w:before="240"/>
        <w:rPr>
          <w:lang w:val="en-GB"/>
        </w:rPr>
      </w:pPr>
      <w:r w:rsidRPr="00CD0886">
        <w:rPr>
          <w:b/>
          <w:lang w:val="en-GB"/>
        </w:rPr>
        <w:t>Supplementary Material</w:t>
      </w:r>
      <w:r w:rsidR="007713AF" w:rsidRPr="00CD0886">
        <w:rPr>
          <w:b/>
          <w:lang w:val="en-GB"/>
        </w:rPr>
        <w:t>s:</w:t>
      </w:r>
      <w:r w:rsidR="000F6793" w:rsidRPr="00CD0886">
        <w:rPr>
          <w:b/>
          <w:lang w:val="en-GB"/>
        </w:rPr>
        <w:t xml:space="preserve"> </w:t>
      </w:r>
      <w:r w:rsidR="00280151" w:rsidRPr="00CD0886">
        <w:rPr>
          <w:lang w:val="en-GB"/>
        </w:rPr>
        <w:t>S</w:t>
      </w:r>
      <w:r w:rsidR="00EA50E1" w:rsidRPr="00CD0886">
        <w:rPr>
          <w:lang w:val="en-GB"/>
        </w:rPr>
        <w:t>upporting</w:t>
      </w:r>
      <w:r w:rsidR="00280151" w:rsidRPr="00CD0886">
        <w:rPr>
          <w:lang w:val="en-GB"/>
        </w:rPr>
        <w:t xml:space="preserve"> </w:t>
      </w:r>
      <w:r w:rsidR="00EA50E1" w:rsidRPr="00CD0886">
        <w:rPr>
          <w:lang w:val="en-GB"/>
        </w:rPr>
        <w:t xml:space="preserve">information </w:t>
      </w:r>
      <w:r w:rsidR="00280151" w:rsidRPr="00CD0886">
        <w:rPr>
          <w:lang w:val="en-GB"/>
        </w:rPr>
        <w:t xml:space="preserve">as described </w:t>
      </w:r>
      <w:r w:rsidR="00EA50E1" w:rsidRPr="00CD0886">
        <w:rPr>
          <w:lang w:val="en-GB"/>
        </w:rPr>
        <w:t xml:space="preserve">can be downloaded at: </w:t>
      </w:r>
      <w:hyperlink r:id="rId14" w:history="1">
        <w:r w:rsidR="000C1FDE" w:rsidRPr="00CD0886">
          <w:rPr>
            <w:lang w:val="en-GB"/>
          </w:rPr>
          <w:t>www.mdpi.com/xxx/s1</w:t>
        </w:r>
      </w:hyperlink>
      <w:r w:rsidR="000C1FDE" w:rsidRPr="00CD0886">
        <w:rPr>
          <w:lang w:val="en-GB"/>
        </w:rPr>
        <w:t xml:space="preserve">. </w:t>
      </w:r>
      <w:r w:rsidR="000C1FDE" w:rsidRPr="003C0622">
        <w:rPr>
          <w:lang w:val="en-GB"/>
        </w:rPr>
        <w:t xml:space="preserve">Figure </w:t>
      </w:r>
      <w:r w:rsidRPr="003C0622">
        <w:rPr>
          <w:lang w:val="en-GB"/>
        </w:rPr>
        <w:t>S</w:t>
      </w:r>
      <w:r w:rsidR="000C1FDE" w:rsidRPr="003C0622">
        <w:rPr>
          <w:lang w:val="en-GB"/>
        </w:rPr>
        <w:t>1</w:t>
      </w:r>
      <w:r w:rsidR="000C1FDE" w:rsidRPr="00CD0886">
        <w:rPr>
          <w:lang w:val="en-GB"/>
        </w:rPr>
        <w:t xml:space="preserve">: Luminescence detection at different time points for clofazimine in </w:t>
      </w:r>
      <w:r w:rsidR="00032398" w:rsidRPr="00CD0886">
        <w:rPr>
          <w:lang w:val="en-GB"/>
        </w:rPr>
        <w:t>TB</w:t>
      </w:r>
      <w:r w:rsidR="00032398">
        <w:rPr>
          <w:lang w:val="en-GB"/>
        </w:rPr>
        <w:t>-</w:t>
      </w:r>
      <w:r w:rsidR="000C1FDE" w:rsidRPr="00CD0886">
        <w:rPr>
          <w:lang w:val="en-GB"/>
        </w:rPr>
        <w:t xml:space="preserve">infected PMBCs obtained from donor 2. Figure </w:t>
      </w:r>
      <w:r w:rsidRPr="00CD0886">
        <w:rPr>
          <w:lang w:val="en-GB"/>
        </w:rPr>
        <w:t>S</w:t>
      </w:r>
      <w:r w:rsidR="000C1FDE" w:rsidRPr="00CD0886">
        <w:rPr>
          <w:lang w:val="en-GB"/>
        </w:rPr>
        <w:t xml:space="preserve">2: Luminescence detection at different time points for nitazoxanide in </w:t>
      </w:r>
      <w:r w:rsidR="00032398" w:rsidRPr="00CD0886">
        <w:rPr>
          <w:lang w:val="en-GB"/>
        </w:rPr>
        <w:t>TB</w:t>
      </w:r>
      <w:r w:rsidR="00032398">
        <w:rPr>
          <w:lang w:val="en-GB"/>
        </w:rPr>
        <w:t>-</w:t>
      </w:r>
      <w:r w:rsidR="000C1FDE" w:rsidRPr="00CD0886">
        <w:rPr>
          <w:lang w:val="en-GB"/>
        </w:rPr>
        <w:t xml:space="preserve">infected PMBCs obtained from donor 2. Figure </w:t>
      </w:r>
      <w:r w:rsidRPr="00CD0886">
        <w:rPr>
          <w:lang w:val="en-GB"/>
        </w:rPr>
        <w:t>S</w:t>
      </w:r>
      <w:r w:rsidR="000C1FDE" w:rsidRPr="00CD0886">
        <w:rPr>
          <w:lang w:val="en-GB"/>
        </w:rPr>
        <w:t xml:space="preserve">3: Luminescence detection at different time points for meropenem in </w:t>
      </w:r>
      <w:r w:rsidR="00032398" w:rsidRPr="00CD0886">
        <w:rPr>
          <w:lang w:val="en-GB"/>
        </w:rPr>
        <w:t>TB</w:t>
      </w:r>
      <w:r w:rsidR="00032398">
        <w:rPr>
          <w:lang w:val="en-GB"/>
        </w:rPr>
        <w:t>-</w:t>
      </w:r>
      <w:r w:rsidR="000C1FDE" w:rsidRPr="00CD0886">
        <w:rPr>
          <w:lang w:val="en-GB"/>
        </w:rPr>
        <w:t xml:space="preserve">infected PMBCs obtained from donor 2. Figure </w:t>
      </w:r>
      <w:r w:rsidRPr="00CD0886">
        <w:rPr>
          <w:lang w:val="en-GB"/>
        </w:rPr>
        <w:t>S</w:t>
      </w:r>
      <w:r w:rsidR="000C1FDE" w:rsidRPr="00CD0886">
        <w:rPr>
          <w:lang w:val="en-GB"/>
        </w:rPr>
        <w:t xml:space="preserve">4: Luminescence detection at different time points for </w:t>
      </w:r>
      <w:proofErr w:type="spellStart"/>
      <w:r w:rsidR="000C1FDE" w:rsidRPr="00CD0886">
        <w:rPr>
          <w:lang w:val="en-GB"/>
        </w:rPr>
        <w:t>faropenem</w:t>
      </w:r>
      <w:proofErr w:type="spellEnd"/>
      <w:r w:rsidR="000C1FDE" w:rsidRPr="00CD0886">
        <w:rPr>
          <w:lang w:val="en-GB"/>
        </w:rPr>
        <w:t xml:space="preserve"> in </w:t>
      </w:r>
      <w:r w:rsidR="00032398" w:rsidRPr="00CD0886">
        <w:rPr>
          <w:lang w:val="en-GB"/>
        </w:rPr>
        <w:t>TB</w:t>
      </w:r>
      <w:r w:rsidR="00032398">
        <w:rPr>
          <w:lang w:val="en-GB"/>
        </w:rPr>
        <w:t>-</w:t>
      </w:r>
      <w:r w:rsidR="000C1FDE" w:rsidRPr="00CD0886">
        <w:rPr>
          <w:lang w:val="en-GB"/>
        </w:rPr>
        <w:t xml:space="preserve">infected PMBCs obtained from donor 2. Figure </w:t>
      </w:r>
      <w:r w:rsidRPr="00CD0886">
        <w:rPr>
          <w:lang w:val="en-GB"/>
        </w:rPr>
        <w:t>S</w:t>
      </w:r>
      <w:r w:rsidR="000C1FDE" w:rsidRPr="00CD0886">
        <w:rPr>
          <w:lang w:val="en-GB"/>
        </w:rPr>
        <w:t xml:space="preserve">5: Luminescence detection at different time points for tebipenem in </w:t>
      </w:r>
      <w:r w:rsidR="00032398" w:rsidRPr="00CD0886">
        <w:rPr>
          <w:lang w:val="en-GB"/>
        </w:rPr>
        <w:t>TB</w:t>
      </w:r>
      <w:r w:rsidR="00032398">
        <w:rPr>
          <w:lang w:val="en-GB"/>
        </w:rPr>
        <w:t>-</w:t>
      </w:r>
      <w:r w:rsidR="000C1FDE" w:rsidRPr="00CD0886">
        <w:rPr>
          <w:lang w:val="en-GB"/>
        </w:rPr>
        <w:t>infected PMBCs obtained from donor 2.</w:t>
      </w:r>
    </w:p>
    <w:p w14:paraId="659C5C82" w14:textId="2944EF46" w:rsidR="00C55BAB" w:rsidRPr="00CD0886" w:rsidRDefault="00524044" w:rsidP="00524044">
      <w:pPr>
        <w:pStyle w:val="MDPI62BackMatter"/>
        <w:rPr>
          <w:szCs w:val="18"/>
          <w:lang w:val="en-GB"/>
        </w:rPr>
      </w:pPr>
      <w:r w:rsidRPr="00CD0886">
        <w:rPr>
          <w:b/>
          <w:lang w:val="en-GB"/>
        </w:rPr>
        <w:t>Author Contribution</w:t>
      </w:r>
      <w:r w:rsidR="007713AF" w:rsidRPr="00CD0886">
        <w:rPr>
          <w:b/>
          <w:lang w:val="en-GB"/>
        </w:rPr>
        <w:t xml:space="preserve">s: </w:t>
      </w:r>
      <w:r w:rsidR="00433C57" w:rsidRPr="00CD0886">
        <w:rPr>
          <w:lang w:val="en-GB"/>
        </w:rPr>
        <w:t>Conceptuali</w:t>
      </w:r>
      <w:r w:rsidR="00433C57">
        <w:rPr>
          <w:lang w:val="en-GB"/>
        </w:rPr>
        <w:t>s</w:t>
      </w:r>
      <w:r w:rsidR="00433C57" w:rsidRPr="00CD0886">
        <w:rPr>
          <w:lang w:val="en-GB"/>
        </w:rPr>
        <w:t>ation</w:t>
      </w:r>
      <w:r w:rsidR="007713AF" w:rsidRPr="00CD0886">
        <w:rPr>
          <w:lang w:val="en-GB"/>
        </w:rPr>
        <w:t xml:space="preserve">, </w:t>
      </w:r>
      <w:r w:rsidR="00C55BAB" w:rsidRPr="00CD0886">
        <w:rPr>
          <w:lang w:val="en-GB"/>
        </w:rPr>
        <w:t>X</w:t>
      </w:r>
      <w:r w:rsidRPr="00CD0886">
        <w:rPr>
          <w:lang w:val="en-GB"/>
        </w:rPr>
        <w:t>.</w:t>
      </w:r>
      <w:r w:rsidR="00C55BAB" w:rsidRPr="00CD0886">
        <w:rPr>
          <w:lang w:val="en-GB"/>
        </w:rPr>
        <w:t>G</w:t>
      </w:r>
      <w:r w:rsidRPr="00CD0886">
        <w:rPr>
          <w:lang w:val="en-GB"/>
        </w:rPr>
        <w:t>.</w:t>
      </w:r>
      <w:r w:rsidR="00C55BAB" w:rsidRPr="00CD0886">
        <w:rPr>
          <w:lang w:val="en-GB"/>
        </w:rPr>
        <w:t>,</w:t>
      </w:r>
      <w:r w:rsidRPr="00CD0886">
        <w:rPr>
          <w:lang w:val="en-GB"/>
        </w:rPr>
        <w:t xml:space="preserve"> </w:t>
      </w:r>
      <w:r w:rsidR="00C55BAB" w:rsidRPr="00CD0886">
        <w:rPr>
          <w:lang w:val="en-GB"/>
        </w:rPr>
        <w:t>M</w:t>
      </w:r>
      <w:r w:rsidRPr="00CD0886">
        <w:rPr>
          <w:lang w:val="en-GB"/>
        </w:rPr>
        <w:t>.</w:t>
      </w:r>
      <w:r w:rsidR="00170A57" w:rsidRPr="00CD0886">
        <w:rPr>
          <w:lang w:val="en-GB"/>
        </w:rPr>
        <w:t>K.</w:t>
      </w:r>
      <w:r w:rsidR="00C55BAB" w:rsidRPr="00CD0886">
        <w:rPr>
          <w:lang w:val="en-GB"/>
        </w:rPr>
        <w:t>B</w:t>
      </w:r>
      <w:r w:rsidRPr="00CD0886">
        <w:rPr>
          <w:lang w:val="en-GB"/>
        </w:rPr>
        <w:t>.</w:t>
      </w:r>
      <w:r w:rsidR="00C55BAB" w:rsidRPr="00CD0886">
        <w:rPr>
          <w:lang w:val="en-GB"/>
        </w:rPr>
        <w:t>,</w:t>
      </w:r>
      <w:r w:rsidRPr="00CD0886">
        <w:rPr>
          <w:lang w:val="en-GB"/>
        </w:rPr>
        <w:t xml:space="preserve"> </w:t>
      </w:r>
      <w:r w:rsidR="00C55BAB" w:rsidRPr="00CD0886">
        <w:rPr>
          <w:lang w:val="en-GB"/>
        </w:rPr>
        <w:t>P</w:t>
      </w:r>
      <w:r w:rsidRPr="00CD0886">
        <w:rPr>
          <w:lang w:val="en-GB"/>
        </w:rPr>
        <w:t>.</w:t>
      </w:r>
      <w:r w:rsidR="00C55BAB" w:rsidRPr="00CD0886">
        <w:rPr>
          <w:lang w:val="en-GB"/>
        </w:rPr>
        <w:t>E</w:t>
      </w:r>
      <w:r w:rsidRPr="00CD0886">
        <w:rPr>
          <w:lang w:val="en-GB"/>
        </w:rPr>
        <w:t>.</w:t>
      </w:r>
      <w:r w:rsidR="005722FE" w:rsidRPr="00CD0886">
        <w:rPr>
          <w:lang w:val="en-GB"/>
        </w:rPr>
        <w:t xml:space="preserve"> and</w:t>
      </w:r>
      <w:r w:rsidRPr="00CD0886">
        <w:rPr>
          <w:lang w:val="en-GB"/>
        </w:rPr>
        <w:t xml:space="preserve"> </w:t>
      </w:r>
      <w:r w:rsidR="00C55BAB" w:rsidRPr="00CD0886">
        <w:rPr>
          <w:lang w:val="en-GB"/>
        </w:rPr>
        <w:t>F</w:t>
      </w:r>
      <w:r w:rsidRPr="00CD0886">
        <w:rPr>
          <w:lang w:val="en-GB"/>
        </w:rPr>
        <w:t>.</w:t>
      </w:r>
      <w:r w:rsidR="00C55BAB" w:rsidRPr="00CD0886">
        <w:rPr>
          <w:lang w:val="en-GB"/>
        </w:rPr>
        <w:t>D</w:t>
      </w:r>
      <w:r w:rsidR="005722FE" w:rsidRPr="00CD0886">
        <w:rPr>
          <w:lang w:val="en-GB"/>
        </w:rPr>
        <w:t>.</w:t>
      </w:r>
      <w:r w:rsidR="007713AF" w:rsidRPr="00CD0886">
        <w:rPr>
          <w:lang w:val="en-GB"/>
        </w:rPr>
        <w:t xml:space="preserve">; methodology, </w:t>
      </w:r>
      <w:r w:rsidR="00EE5BDC" w:rsidRPr="00CD0886">
        <w:rPr>
          <w:lang w:val="en-GB"/>
        </w:rPr>
        <w:t>X</w:t>
      </w:r>
      <w:r w:rsidR="005722FE" w:rsidRPr="00CD0886">
        <w:rPr>
          <w:lang w:val="en-GB"/>
        </w:rPr>
        <w:t>.</w:t>
      </w:r>
      <w:r w:rsidR="00EE5BDC" w:rsidRPr="00CD0886">
        <w:rPr>
          <w:lang w:val="en-GB"/>
        </w:rPr>
        <w:t>G</w:t>
      </w:r>
      <w:r w:rsidR="005722FE" w:rsidRPr="00CD0886">
        <w:rPr>
          <w:lang w:val="en-GB"/>
        </w:rPr>
        <w:t>.</w:t>
      </w:r>
      <w:r w:rsidR="00EE5BDC" w:rsidRPr="00CD0886">
        <w:rPr>
          <w:lang w:val="en-GB"/>
        </w:rPr>
        <w:t>,</w:t>
      </w:r>
      <w:r w:rsidR="005722FE" w:rsidRPr="00CD0886">
        <w:rPr>
          <w:lang w:val="en-GB"/>
        </w:rPr>
        <w:t xml:space="preserve"> </w:t>
      </w:r>
      <w:r w:rsidR="00170A57" w:rsidRPr="00CD0886">
        <w:rPr>
          <w:lang w:val="en-GB"/>
        </w:rPr>
        <w:t>M.K.B.</w:t>
      </w:r>
      <w:r w:rsidR="00EE5BDC" w:rsidRPr="00CD0886">
        <w:rPr>
          <w:lang w:val="en-GB"/>
        </w:rPr>
        <w:t>,</w:t>
      </w:r>
      <w:r w:rsidR="005722FE" w:rsidRPr="00CD0886">
        <w:rPr>
          <w:lang w:val="en-GB"/>
        </w:rPr>
        <w:t xml:space="preserve"> </w:t>
      </w:r>
      <w:r w:rsidR="00EE5BDC" w:rsidRPr="00CD0886">
        <w:rPr>
          <w:lang w:val="en-GB"/>
        </w:rPr>
        <w:t>L</w:t>
      </w:r>
      <w:r w:rsidR="005722FE" w:rsidRPr="00CD0886">
        <w:rPr>
          <w:lang w:val="en-GB"/>
        </w:rPr>
        <w:t>.</w:t>
      </w:r>
      <w:r w:rsidR="00EE5BDC" w:rsidRPr="00CD0886">
        <w:rPr>
          <w:lang w:val="en-GB"/>
        </w:rPr>
        <w:t>T</w:t>
      </w:r>
      <w:r w:rsidR="005722FE" w:rsidRPr="00CD0886">
        <w:rPr>
          <w:lang w:val="en-GB"/>
        </w:rPr>
        <w:t>.</w:t>
      </w:r>
      <w:r w:rsidR="00EE5BDC" w:rsidRPr="00CD0886">
        <w:rPr>
          <w:lang w:val="en-GB"/>
        </w:rPr>
        <w:t>,</w:t>
      </w:r>
      <w:r w:rsidR="005722FE" w:rsidRPr="00CD0886">
        <w:rPr>
          <w:lang w:val="en-GB"/>
        </w:rPr>
        <w:t xml:space="preserve"> </w:t>
      </w:r>
      <w:r w:rsidR="00EE5BDC" w:rsidRPr="00CD0886">
        <w:rPr>
          <w:lang w:val="en-GB"/>
        </w:rPr>
        <w:t>P</w:t>
      </w:r>
      <w:r w:rsidR="005722FE" w:rsidRPr="00CD0886">
        <w:rPr>
          <w:lang w:val="en-GB"/>
        </w:rPr>
        <w:t>.</w:t>
      </w:r>
      <w:r w:rsidR="00EE5BDC" w:rsidRPr="00CD0886">
        <w:rPr>
          <w:lang w:val="en-GB"/>
        </w:rPr>
        <w:t>E</w:t>
      </w:r>
      <w:r w:rsidR="005722FE" w:rsidRPr="00CD0886">
        <w:rPr>
          <w:lang w:val="en-GB"/>
        </w:rPr>
        <w:t xml:space="preserve">. and </w:t>
      </w:r>
      <w:r w:rsidR="00EE5BDC" w:rsidRPr="00CD0886">
        <w:rPr>
          <w:lang w:val="en-GB"/>
        </w:rPr>
        <w:t>F</w:t>
      </w:r>
      <w:r w:rsidR="005722FE" w:rsidRPr="00CD0886">
        <w:rPr>
          <w:lang w:val="en-GB"/>
        </w:rPr>
        <w:t>.</w:t>
      </w:r>
      <w:r w:rsidR="00EE5BDC" w:rsidRPr="00CD0886">
        <w:rPr>
          <w:lang w:val="en-GB"/>
        </w:rPr>
        <w:t>D</w:t>
      </w:r>
      <w:r w:rsidR="005722FE" w:rsidRPr="00CD0886">
        <w:rPr>
          <w:lang w:val="en-GB"/>
        </w:rPr>
        <w:t>.</w:t>
      </w:r>
      <w:r w:rsidR="007713AF" w:rsidRPr="00CD0886">
        <w:rPr>
          <w:lang w:val="en-GB"/>
        </w:rPr>
        <w:t xml:space="preserve">; validation, </w:t>
      </w:r>
      <w:r w:rsidR="00EE5BDC" w:rsidRPr="00CD0886">
        <w:rPr>
          <w:lang w:val="en-GB"/>
        </w:rPr>
        <w:t>X</w:t>
      </w:r>
      <w:r w:rsidR="005722FE" w:rsidRPr="00CD0886">
        <w:rPr>
          <w:lang w:val="en-GB"/>
        </w:rPr>
        <w:t>.</w:t>
      </w:r>
      <w:r w:rsidR="00EE5BDC" w:rsidRPr="00CD0886">
        <w:rPr>
          <w:lang w:val="en-GB"/>
        </w:rPr>
        <w:t>G</w:t>
      </w:r>
      <w:r w:rsidR="005722FE" w:rsidRPr="00CD0886">
        <w:rPr>
          <w:lang w:val="en-GB"/>
        </w:rPr>
        <w:t>.</w:t>
      </w:r>
      <w:r w:rsidR="00EE5BDC" w:rsidRPr="00CD0886">
        <w:rPr>
          <w:lang w:val="en-GB"/>
        </w:rPr>
        <w:t>,</w:t>
      </w:r>
      <w:r w:rsidR="005722FE" w:rsidRPr="00CD0886">
        <w:rPr>
          <w:lang w:val="en-GB"/>
        </w:rPr>
        <w:t xml:space="preserve"> </w:t>
      </w:r>
      <w:r w:rsidR="00170A57" w:rsidRPr="00CD0886">
        <w:rPr>
          <w:lang w:val="en-GB"/>
        </w:rPr>
        <w:t>M.K.B.</w:t>
      </w:r>
      <w:r w:rsidR="005722FE" w:rsidRPr="00CD0886">
        <w:rPr>
          <w:lang w:val="en-GB"/>
        </w:rPr>
        <w:t xml:space="preserve"> and </w:t>
      </w:r>
      <w:r w:rsidR="00EE5BDC" w:rsidRPr="00CD0886">
        <w:rPr>
          <w:lang w:val="en-GB"/>
        </w:rPr>
        <w:t>L</w:t>
      </w:r>
      <w:r w:rsidR="005722FE" w:rsidRPr="00CD0886">
        <w:rPr>
          <w:lang w:val="en-GB"/>
        </w:rPr>
        <w:t>.</w:t>
      </w:r>
      <w:r w:rsidR="00EE5BDC" w:rsidRPr="00CD0886">
        <w:rPr>
          <w:lang w:val="en-GB"/>
        </w:rPr>
        <w:t>T</w:t>
      </w:r>
      <w:r w:rsidR="005722FE" w:rsidRPr="00CD0886">
        <w:rPr>
          <w:lang w:val="en-GB"/>
        </w:rPr>
        <w:t>.</w:t>
      </w:r>
      <w:r w:rsidR="007713AF" w:rsidRPr="00CD0886">
        <w:rPr>
          <w:lang w:val="en-GB"/>
        </w:rPr>
        <w:t xml:space="preserve">; formal analysis, </w:t>
      </w:r>
      <w:r w:rsidR="00F7093D" w:rsidRPr="00CD0886">
        <w:rPr>
          <w:lang w:val="en-GB"/>
        </w:rPr>
        <w:t>X</w:t>
      </w:r>
      <w:r w:rsidR="005722FE" w:rsidRPr="00CD0886">
        <w:rPr>
          <w:lang w:val="en-GB"/>
        </w:rPr>
        <w:t>.</w:t>
      </w:r>
      <w:r w:rsidR="00F7093D" w:rsidRPr="00CD0886">
        <w:rPr>
          <w:lang w:val="en-GB"/>
        </w:rPr>
        <w:t>G</w:t>
      </w:r>
      <w:r w:rsidR="005722FE" w:rsidRPr="00CD0886">
        <w:rPr>
          <w:lang w:val="en-GB"/>
        </w:rPr>
        <w:t>.</w:t>
      </w:r>
      <w:r w:rsidR="00F7093D" w:rsidRPr="00CD0886">
        <w:rPr>
          <w:lang w:val="en-GB"/>
        </w:rPr>
        <w:t>,</w:t>
      </w:r>
      <w:r w:rsidR="005722FE" w:rsidRPr="00CD0886">
        <w:rPr>
          <w:lang w:val="en-GB"/>
        </w:rPr>
        <w:t xml:space="preserve"> </w:t>
      </w:r>
      <w:r w:rsidR="00170A57" w:rsidRPr="00CD0886">
        <w:rPr>
          <w:lang w:val="en-GB"/>
        </w:rPr>
        <w:t>M.K.B.</w:t>
      </w:r>
      <w:r w:rsidR="00F7093D" w:rsidRPr="00CD0886">
        <w:rPr>
          <w:lang w:val="en-GB"/>
        </w:rPr>
        <w:t>,</w:t>
      </w:r>
      <w:r w:rsidR="005722FE" w:rsidRPr="00CD0886">
        <w:rPr>
          <w:lang w:val="en-GB"/>
        </w:rPr>
        <w:t xml:space="preserve"> </w:t>
      </w:r>
      <w:r w:rsidR="00F7093D" w:rsidRPr="00CD0886">
        <w:rPr>
          <w:lang w:val="en-GB"/>
        </w:rPr>
        <w:t>L</w:t>
      </w:r>
      <w:r w:rsidR="005722FE" w:rsidRPr="00CD0886">
        <w:rPr>
          <w:lang w:val="en-GB"/>
        </w:rPr>
        <w:t>.</w:t>
      </w:r>
      <w:r w:rsidR="00F7093D" w:rsidRPr="00CD0886">
        <w:rPr>
          <w:lang w:val="en-GB"/>
        </w:rPr>
        <w:t>T</w:t>
      </w:r>
      <w:r w:rsidR="005722FE" w:rsidRPr="00CD0886">
        <w:rPr>
          <w:lang w:val="en-GB"/>
        </w:rPr>
        <w:t>.</w:t>
      </w:r>
      <w:r w:rsidR="00F7093D" w:rsidRPr="00CD0886">
        <w:rPr>
          <w:lang w:val="en-GB"/>
        </w:rPr>
        <w:t>,</w:t>
      </w:r>
      <w:r w:rsidR="005722FE" w:rsidRPr="00CD0886">
        <w:rPr>
          <w:lang w:val="en-GB"/>
        </w:rPr>
        <w:t xml:space="preserve"> </w:t>
      </w:r>
      <w:r w:rsidR="00F7093D" w:rsidRPr="00CD0886">
        <w:rPr>
          <w:lang w:val="en-GB"/>
        </w:rPr>
        <w:t>P</w:t>
      </w:r>
      <w:r w:rsidR="005722FE" w:rsidRPr="00CD0886">
        <w:rPr>
          <w:lang w:val="en-GB"/>
        </w:rPr>
        <w:t>.</w:t>
      </w:r>
      <w:r w:rsidR="00F7093D" w:rsidRPr="00CD0886">
        <w:rPr>
          <w:lang w:val="en-GB"/>
        </w:rPr>
        <w:t>E</w:t>
      </w:r>
      <w:r w:rsidR="005722FE" w:rsidRPr="00CD0886">
        <w:rPr>
          <w:lang w:val="en-GB"/>
        </w:rPr>
        <w:t xml:space="preserve">. and </w:t>
      </w:r>
      <w:r w:rsidR="00F7093D" w:rsidRPr="00CD0886">
        <w:rPr>
          <w:lang w:val="en-GB"/>
        </w:rPr>
        <w:t>F</w:t>
      </w:r>
      <w:r w:rsidR="005722FE" w:rsidRPr="00CD0886">
        <w:rPr>
          <w:lang w:val="en-GB"/>
        </w:rPr>
        <w:t>.</w:t>
      </w:r>
      <w:r w:rsidR="00F7093D" w:rsidRPr="00CD0886">
        <w:rPr>
          <w:lang w:val="en-GB"/>
        </w:rPr>
        <w:t>D</w:t>
      </w:r>
      <w:r w:rsidR="005722FE" w:rsidRPr="00CD0886">
        <w:rPr>
          <w:lang w:val="en-GB"/>
        </w:rPr>
        <w:t>.</w:t>
      </w:r>
      <w:r w:rsidR="007713AF" w:rsidRPr="00CD0886">
        <w:rPr>
          <w:lang w:val="en-GB"/>
        </w:rPr>
        <w:t xml:space="preserve">; investigation, </w:t>
      </w:r>
      <w:r w:rsidR="00F7093D" w:rsidRPr="00CD0886">
        <w:rPr>
          <w:lang w:val="en-GB"/>
        </w:rPr>
        <w:t>X</w:t>
      </w:r>
      <w:r w:rsidR="005722FE" w:rsidRPr="00CD0886">
        <w:rPr>
          <w:lang w:val="en-GB"/>
        </w:rPr>
        <w:t>.</w:t>
      </w:r>
      <w:r w:rsidR="00F7093D" w:rsidRPr="00CD0886">
        <w:rPr>
          <w:lang w:val="en-GB"/>
        </w:rPr>
        <w:t>G</w:t>
      </w:r>
      <w:r w:rsidR="005722FE" w:rsidRPr="00CD0886">
        <w:rPr>
          <w:lang w:val="en-GB"/>
        </w:rPr>
        <w:t>.</w:t>
      </w:r>
      <w:r w:rsidR="00F7093D" w:rsidRPr="00CD0886">
        <w:rPr>
          <w:lang w:val="en-GB"/>
        </w:rPr>
        <w:t>,</w:t>
      </w:r>
      <w:r w:rsidR="005722FE" w:rsidRPr="00CD0886">
        <w:rPr>
          <w:lang w:val="en-GB"/>
        </w:rPr>
        <w:t xml:space="preserve"> </w:t>
      </w:r>
      <w:r w:rsidR="00170A57" w:rsidRPr="00CD0886">
        <w:rPr>
          <w:lang w:val="en-GB"/>
        </w:rPr>
        <w:t>M.K.B.</w:t>
      </w:r>
      <w:r w:rsidR="005722FE" w:rsidRPr="00CD0886">
        <w:rPr>
          <w:lang w:val="en-GB"/>
        </w:rPr>
        <w:t xml:space="preserve"> and </w:t>
      </w:r>
      <w:r w:rsidR="00F7093D" w:rsidRPr="00CD0886">
        <w:rPr>
          <w:lang w:val="en-GB"/>
        </w:rPr>
        <w:t>L</w:t>
      </w:r>
      <w:r w:rsidR="005722FE" w:rsidRPr="00CD0886">
        <w:rPr>
          <w:lang w:val="en-GB"/>
        </w:rPr>
        <w:t>.</w:t>
      </w:r>
      <w:r w:rsidR="00F7093D" w:rsidRPr="00CD0886">
        <w:rPr>
          <w:lang w:val="en-GB"/>
        </w:rPr>
        <w:t>T</w:t>
      </w:r>
      <w:r w:rsidR="005722FE" w:rsidRPr="00CD0886">
        <w:rPr>
          <w:lang w:val="en-GB"/>
        </w:rPr>
        <w:t>.</w:t>
      </w:r>
      <w:r w:rsidR="007713AF" w:rsidRPr="00CD0886">
        <w:rPr>
          <w:lang w:val="en-GB"/>
        </w:rPr>
        <w:t xml:space="preserve">; resources, </w:t>
      </w:r>
      <w:r w:rsidR="00F7093D" w:rsidRPr="00CD0886">
        <w:rPr>
          <w:lang w:val="en-GB"/>
        </w:rPr>
        <w:t>P</w:t>
      </w:r>
      <w:r w:rsidR="005722FE" w:rsidRPr="00CD0886">
        <w:rPr>
          <w:lang w:val="en-GB"/>
        </w:rPr>
        <w:t>.</w:t>
      </w:r>
      <w:r w:rsidR="00F7093D" w:rsidRPr="00CD0886">
        <w:rPr>
          <w:lang w:val="en-GB"/>
        </w:rPr>
        <w:t>E</w:t>
      </w:r>
      <w:r w:rsidR="005722FE" w:rsidRPr="00CD0886">
        <w:rPr>
          <w:lang w:val="en-GB"/>
        </w:rPr>
        <w:t xml:space="preserve">. and </w:t>
      </w:r>
      <w:r w:rsidR="00F7093D" w:rsidRPr="00CD0886">
        <w:rPr>
          <w:lang w:val="en-GB"/>
        </w:rPr>
        <w:t>F</w:t>
      </w:r>
      <w:r w:rsidR="005722FE" w:rsidRPr="00CD0886">
        <w:rPr>
          <w:lang w:val="en-GB"/>
        </w:rPr>
        <w:t>.</w:t>
      </w:r>
      <w:r w:rsidR="00F7093D" w:rsidRPr="00CD0886">
        <w:rPr>
          <w:lang w:val="en-GB"/>
        </w:rPr>
        <w:t>D</w:t>
      </w:r>
      <w:r w:rsidR="005722FE" w:rsidRPr="00CD0886">
        <w:rPr>
          <w:lang w:val="en-GB"/>
        </w:rPr>
        <w:t>.</w:t>
      </w:r>
      <w:r w:rsidR="007713AF" w:rsidRPr="00CD0886">
        <w:rPr>
          <w:lang w:val="en-GB"/>
        </w:rPr>
        <w:t xml:space="preserve">; data curation, </w:t>
      </w:r>
      <w:r w:rsidR="00F7093D" w:rsidRPr="00CD0886">
        <w:rPr>
          <w:lang w:val="en-GB"/>
        </w:rPr>
        <w:t>P</w:t>
      </w:r>
      <w:r w:rsidR="005722FE" w:rsidRPr="00CD0886">
        <w:rPr>
          <w:lang w:val="en-GB"/>
        </w:rPr>
        <w:t>.</w:t>
      </w:r>
      <w:r w:rsidR="00F7093D" w:rsidRPr="00CD0886">
        <w:rPr>
          <w:lang w:val="en-GB"/>
        </w:rPr>
        <w:t>E</w:t>
      </w:r>
      <w:r w:rsidR="005722FE" w:rsidRPr="00CD0886">
        <w:rPr>
          <w:lang w:val="en-GB"/>
        </w:rPr>
        <w:t xml:space="preserve">. and </w:t>
      </w:r>
      <w:r w:rsidR="00F7093D" w:rsidRPr="00CD0886">
        <w:rPr>
          <w:lang w:val="en-GB"/>
        </w:rPr>
        <w:t>F</w:t>
      </w:r>
      <w:r w:rsidR="005722FE" w:rsidRPr="00CD0886">
        <w:rPr>
          <w:lang w:val="en-GB"/>
        </w:rPr>
        <w:t>.</w:t>
      </w:r>
      <w:r w:rsidR="00F7093D" w:rsidRPr="00CD0886">
        <w:rPr>
          <w:lang w:val="en-GB"/>
        </w:rPr>
        <w:t>D</w:t>
      </w:r>
      <w:r w:rsidR="005722FE" w:rsidRPr="00CD0886">
        <w:rPr>
          <w:lang w:val="en-GB"/>
        </w:rPr>
        <w:t>.</w:t>
      </w:r>
      <w:r w:rsidR="007713AF" w:rsidRPr="00CD0886">
        <w:rPr>
          <w:lang w:val="en-GB"/>
        </w:rPr>
        <w:t xml:space="preserve">; writing—original draft preparation, </w:t>
      </w:r>
      <w:r w:rsidR="00F7093D" w:rsidRPr="00CD0886">
        <w:rPr>
          <w:lang w:val="en-GB"/>
        </w:rPr>
        <w:t>X</w:t>
      </w:r>
      <w:r w:rsidR="005722FE" w:rsidRPr="00CD0886">
        <w:rPr>
          <w:lang w:val="en-GB"/>
        </w:rPr>
        <w:t>.</w:t>
      </w:r>
      <w:r w:rsidR="00F7093D" w:rsidRPr="00CD0886">
        <w:rPr>
          <w:lang w:val="en-GB"/>
        </w:rPr>
        <w:t>G</w:t>
      </w:r>
      <w:r w:rsidR="007713AF" w:rsidRPr="00CD0886">
        <w:rPr>
          <w:lang w:val="en-GB"/>
        </w:rPr>
        <w:t xml:space="preserve">.; writing—review and editing, </w:t>
      </w:r>
      <w:r w:rsidR="00F7093D" w:rsidRPr="00CD0886">
        <w:rPr>
          <w:lang w:val="en-GB"/>
        </w:rPr>
        <w:t>X</w:t>
      </w:r>
      <w:r w:rsidR="005722FE" w:rsidRPr="00CD0886">
        <w:rPr>
          <w:lang w:val="en-GB"/>
        </w:rPr>
        <w:t>.</w:t>
      </w:r>
      <w:r w:rsidR="00F7093D" w:rsidRPr="00CD0886">
        <w:rPr>
          <w:lang w:val="en-GB"/>
        </w:rPr>
        <w:t>G</w:t>
      </w:r>
      <w:r w:rsidR="005722FE" w:rsidRPr="00CD0886">
        <w:rPr>
          <w:lang w:val="en-GB"/>
        </w:rPr>
        <w:t>.</w:t>
      </w:r>
      <w:r w:rsidR="00F7093D" w:rsidRPr="00CD0886">
        <w:rPr>
          <w:lang w:val="en-GB"/>
        </w:rPr>
        <w:t>,</w:t>
      </w:r>
      <w:r w:rsidR="005722FE" w:rsidRPr="00CD0886">
        <w:rPr>
          <w:lang w:val="en-GB"/>
        </w:rPr>
        <w:t xml:space="preserve"> </w:t>
      </w:r>
      <w:r w:rsidR="00170A57" w:rsidRPr="00CD0886">
        <w:rPr>
          <w:lang w:val="en-GB"/>
        </w:rPr>
        <w:t>M.K.B.</w:t>
      </w:r>
      <w:r w:rsidR="00F7093D" w:rsidRPr="00CD0886">
        <w:rPr>
          <w:lang w:val="en-GB"/>
        </w:rPr>
        <w:t>,</w:t>
      </w:r>
      <w:r w:rsidR="005722FE" w:rsidRPr="00CD0886">
        <w:rPr>
          <w:lang w:val="en-GB"/>
        </w:rPr>
        <w:t xml:space="preserve"> </w:t>
      </w:r>
      <w:r w:rsidR="00F7093D" w:rsidRPr="00CD0886">
        <w:rPr>
          <w:lang w:val="en-GB"/>
        </w:rPr>
        <w:t>L</w:t>
      </w:r>
      <w:r w:rsidR="005722FE" w:rsidRPr="00CD0886">
        <w:rPr>
          <w:lang w:val="en-GB"/>
        </w:rPr>
        <w:t>.</w:t>
      </w:r>
      <w:r w:rsidR="00F7093D" w:rsidRPr="00CD0886">
        <w:rPr>
          <w:lang w:val="en-GB"/>
        </w:rPr>
        <w:t>T</w:t>
      </w:r>
      <w:r w:rsidR="005722FE" w:rsidRPr="00CD0886">
        <w:rPr>
          <w:lang w:val="en-GB"/>
        </w:rPr>
        <w:t>.</w:t>
      </w:r>
      <w:r w:rsidR="00F7093D" w:rsidRPr="00CD0886">
        <w:rPr>
          <w:lang w:val="en-GB"/>
        </w:rPr>
        <w:t>,</w:t>
      </w:r>
      <w:r w:rsidR="005722FE" w:rsidRPr="00CD0886">
        <w:rPr>
          <w:lang w:val="en-GB"/>
        </w:rPr>
        <w:t xml:space="preserve"> </w:t>
      </w:r>
      <w:r w:rsidR="00F7093D" w:rsidRPr="00CD0886">
        <w:rPr>
          <w:lang w:val="en-GB"/>
        </w:rPr>
        <w:t>P</w:t>
      </w:r>
      <w:r w:rsidR="005722FE" w:rsidRPr="00CD0886">
        <w:rPr>
          <w:lang w:val="en-GB"/>
        </w:rPr>
        <w:t>.</w:t>
      </w:r>
      <w:r w:rsidR="00F7093D" w:rsidRPr="00CD0886">
        <w:rPr>
          <w:lang w:val="en-GB"/>
        </w:rPr>
        <w:t>E</w:t>
      </w:r>
      <w:r w:rsidR="005722FE" w:rsidRPr="00CD0886">
        <w:rPr>
          <w:lang w:val="en-GB"/>
        </w:rPr>
        <w:t xml:space="preserve">. and </w:t>
      </w:r>
      <w:r w:rsidR="00F7093D" w:rsidRPr="00CD0886">
        <w:rPr>
          <w:lang w:val="en-GB"/>
        </w:rPr>
        <w:t>F</w:t>
      </w:r>
      <w:r w:rsidR="005722FE" w:rsidRPr="00CD0886">
        <w:rPr>
          <w:lang w:val="en-GB"/>
        </w:rPr>
        <w:t>.</w:t>
      </w:r>
      <w:r w:rsidR="00F7093D" w:rsidRPr="00CD0886">
        <w:rPr>
          <w:lang w:val="en-GB"/>
        </w:rPr>
        <w:t>D</w:t>
      </w:r>
      <w:r w:rsidR="005722FE" w:rsidRPr="00CD0886">
        <w:rPr>
          <w:lang w:val="en-GB"/>
        </w:rPr>
        <w:t>.</w:t>
      </w:r>
      <w:r w:rsidR="007713AF" w:rsidRPr="00CD0886">
        <w:rPr>
          <w:lang w:val="en-GB"/>
        </w:rPr>
        <w:t xml:space="preserve">; </w:t>
      </w:r>
      <w:r w:rsidR="00433C57" w:rsidRPr="00CD0886">
        <w:rPr>
          <w:lang w:val="en-GB"/>
        </w:rPr>
        <w:t>visuali</w:t>
      </w:r>
      <w:r w:rsidR="00433C57">
        <w:rPr>
          <w:lang w:val="en-GB"/>
        </w:rPr>
        <w:t>s</w:t>
      </w:r>
      <w:r w:rsidR="00433C57" w:rsidRPr="00CD0886">
        <w:rPr>
          <w:lang w:val="en-GB"/>
        </w:rPr>
        <w:t>ation</w:t>
      </w:r>
      <w:r w:rsidR="007713AF" w:rsidRPr="00CD0886">
        <w:rPr>
          <w:lang w:val="en-GB"/>
        </w:rPr>
        <w:t xml:space="preserve">, </w:t>
      </w:r>
      <w:r w:rsidR="00F7093D" w:rsidRPr="00CD0886">
        <w:rPr>
          <w:lang w:val="en-GB"/>
        </w:rPr>
        <w:t>X</w:t>
      </w:r>
      <w:r w:rsidR="005722FE" w:rsidRPr="00CD0886">
        <w:rPr>
          <w:lang w:val="en-GB"/>
        </w:rPr>
        <w:t>.</w:t>
      </w:r>
      <w:r w:rsidR="00F7093D" w:rsidRPr="00CD0886">
        <w:rPr>
          <w:lang w:val="en-GB"/>
        </w:rPr>
        <w:t>G</w:t>
      </w:r>
      <w:r w:rsidR="005722FE" w:rsidRPr="00CD0886">
        <w:rPr>
          <w:lang w:val="en-GB"/>
        </w:rPr>
        <w:t xml:space="preserve">. and </w:t>
      </w:r>
      <w:r w:rsidR="00170A57" w:rsidRPr="00CD0886">
        <w:rPr>
          <w:lang w:val="en-GB"/>
        </w:rPr>
        <w:t>M.K.B.</w:t>
      </w:r>
      <w:r w:rsidR="007713AF" w:rsidRPr="00CD0886">
        <w:rPr>
          <w:lang w:val="en-GB"/>
        </w:rPr>
        <w:t xml:space="preserve">; supervision, </w:t>
      </w:r>
      <w:r w:rsidR="00170A57" w:rsidRPr="00CD0886">
        <w:rPr>
          <w:lang w:val="en-GB"/>
        </w:rPr>
        <w:t>M.K.B.</w:t>
      </w:r>
      <w:r w:rsidR="00F7093D" w:rsidRPr="00CD0886">
        <w:rPr>
          <w:lang w:val="en-GB"/>
        </w:rPr>
        <w:t>,</w:t>
      </w:r>
      <w:r w:rsidR="005722FE" w:rsidRPr="00CD0886">
        <w:rPr>
          <w:lang w:val="en-GB"/>
        </w:rPr>
        <w:t xml:space="preserve"> </w:t>
      </w:r>
      <w:r w:rsidR="00F7093D" w:rsidRPr="00CD0886">
        <w:rPr>
          <w:lang w:val="en-GB"/>
        </w:rPr>
        <w:t>P</w:t>
      </w:r>
      <w:r w:rsidR="005722FE" w:rsidRPr="00CD0886">
        <w:rPr>
          <w:lang w:val="en-GB"/>
        </w:rPr>
        <w:t>.</w:t>
      </w:r>
      <w:r w:rsidR="00F7093D" w:rsidRPr="00CD0886">
        <w:rPr>
          <w:lang w:val="en-GB"/>
        </w:rPr>
        <w:t>E</w:t>
      </w:r>
      <w:r w:rsidR="005722FE" w:rsidRPr="00CD0886">
        <w:rPr>
          <w:lang w:val="en-GB"/>
        </w:rPr>
        <w:t>.</w:t>
      </w:r>
      <w:r w:rsidR="00DD1673" w:rsidRPr="00CD0886">
        <w:rPr>
          <w:lang w:val="en-GB"/>
        </w:rPr>
        <w:t xml:space="preserve"> and</w:t>
      </w:r>
      <w:r w:rsidR="005722FE" w:rsidRPr="00CD0886">
        <w:rPr>
          <w:lang w:val="en-GB"/>
        </w:rPr>
        <w:t xml:space="preserve"> </w:t>
      </w:r>
      <w:r w:rsidR="00F7093D" w:rsidRPr="00CD0886">
        <w:rPr>
          <w:lang w:val="en-GB"/>
        </w:rPr>
        <w:t>F</w:t>
      </w:r>
      <w:r w:rsidR="005722FE" w:rsidRPr="00CD0886">
        <w:rPr>
          <w:lang w:val="en-GB"/>
        </w:rPr>
        <w:t>.</w:t>
      </w:r>
      <w:r w:rsidR="00F7093D" w:rsidRPr="00CD0886">
        <w:rPr>
          <w:lang w:val="en-GB"/>
        </w:rPr>
        <w:t>D.</w:t>
      </w:r>
      <w:r w:rsidR="007713AF" w:rsidRPr="00CD0886">
        <w:rPr>
          <w:lang w:val="en-GB"/>
        </w:rPr>
        <w:t xml:space="preserve">; project administration, </w:t>
      </w:r>
      <w:r w:rsidR="00F7093D" w:rsidRPr="00CD0886">
        <w:rPr>
          <w:lang w:val="en-GB"/>
        </w:rPr>
        <w:t>P</w:t>
      </w:r>
      <w:r w:rsidR="005722FE" w:rsidRPr="00CD0886">
        <w:rPr>
          <w:lang w:val="en-GB"/>
        </w:rPr>
        <w:t>.</w:t>
      </w:r>
      <w:r w:rsidR="00F7093D" w:rsidRPr="00CD0886">
        <w:rPr>
          <w:lang w:val="en-GB"/>
        </w:rPr>
        <w:t>E</w:t>
      </w:r>
      <w:r w:rsidR="005722FE" w:rsidRPr="00CD0886">
        <w:rPr>
          <w:lang w:val="en-GB"/>
        </w:rPr>
        <w:t>.</w:t>
      </w:r>
      <w:r w:rsidR="00DD1673" w:rsidRPr="00CD0886">
        <w:rPr>
          <w:lang w:val="en-GB"/>
        </w:rPr>
        <w:t xml:space="preserve"> and</w:t>
      </w:r>
      <w:r w:rsidR="005722FE" w:rsidRPr="00CD0886">
        <w:rPr>
          <w:lang w:val="en-GB"/>
        </w:rPr>
        <w:t xml:space="preserve"> </w:t>
      </w:r>
      <w:r w:rsidR="00F7093D" w:rsidRPr="00CD0886">
        <w:rPr>
          <w:lang w:val="en-GB"/>
        </w:rPr>
        <w:t>F</w:t>
      </w:r>
      <w:r w:rsidR="005722FE" w:rsidRPr="00CD0886">
        <w:rPr>
          <w:lang w:val="en-GB"/>
        </w:rPr>
        <w:t>.</w:t>
      </w:r>
      <w:r w:rsidR="00F7093D" w:rsidRPr="00CD0886">
        <w:rPr>
          <w:lang w:val="en-GB"/>
        </w:rPr>
        <w:t>D</w:t>
      </w:r>
      <w:r w:rsidR="007713AF" w:rsidRPr="00CD0886">
        <w:rPr>
          <w:lang w:val="en-GB"/>
        </w:rPr>
        <w:t xml:space="preserve">.; funding </w:t>
      </w:r>
      <w:r w:rsidR="007713AF" w:rsidRPr="00CD0886">
        <w:rPr>
          <w:szCs w:val="18"/>
          <w:lang w:val="en-GB"/>
        </w:rPr>
        <w:t xml:space="preserve">acquisition, </w:t>
      </w:r>
      <w:r w:rsidR="00F7093D" w:rsidRPr="00CD0886">
        <w:rPr>
          <w:szCs w:val="18"/>
          <w:lang w:val="en-GB"/>
        </w:rPr>
        <w:t>P</w:t>
      </w:r>
      <w:r w:rsidR="005722FE" w:rsidRPr="00CD0886">
        <w:rPr>
          <w:szCs w:val="18"/>
          <w:lang w:val="en-GB"/>
        </w:rPr>
        <w:t>.</w:t>
      </w:r>
      <w:r w:rsidR="00F7093D" w:rsidRPr="00CD0886">
        <w:rPr>
          <w:szCs w:val="18"/>
          <w:lang w:val="en-GB"/>
        </w:rPr>
        <w:t>E</w:t>
      </w:r>
      <w:r w:rsidR="005722FE" w:rsidRPr="00CD0886">
        <w:rPr>
          <w:szCs w:val="18"/>
          <w:lang w:val="en-GB"/>
        </w:rPr>
        <w:t>.</w:t>
      </w:r>
      <w:r w:rsidR="00DD1673" w:rsidRPr="00CD0886">
        <w:rPr>
          <w:szCs w:val="18"/>
          <w:lang w:val="en-GB"/>
        </w:rPr>
        <w:t xml:space="preserve"> and</w:t>
      </w:r>
      <w:r w:rsidR="005722FE" w:rsidRPr="00CD0886">
        <w:rPr>
          <w:szCs w:val="18"/>
          <w:lang w:val="en-GB"/>
        </w:rPr>
        <w:t xml:space="preserve"> </w:t>
      </w:r>
      <w:r w:rsidR="00F7093D" w:rsidRPr="00CD0886">
        <w:rPr>
          <w:szCs w:val="18"/>
          <w:lang w:val="en-GB"/>
        </w:rPr>
        <w:t>F</w:t>
      </w:r>
      <w:r w:rsidR="005722FE" w:rsidRPr="00CD0886">
        <w:rPr>
          <w:szCs w:val="18"/>
          <w:lang w:val="en-GB"/>
        </w:rPr>
        <w:t>.</w:t>
      </w:r>
      <w:r w:rsidR="00F7093D" w:rsidRPr="00CD0886">
        <w:rPr>
          <w:szCs w:val="18"/>
          <w:lang w:val="en-GB"/>
        </w:rPr>
        <w:t>D</w:t>
      </w:r>
      <w:r w:rsidR="007713AF" w:rsidRPr="00CD0886">
        <w:rPr>
          <w:szCs w:val="18"/>
          <w:lang w:val="en-GB"/>
        </w:rPr>
        <w:t>. All authors have read and agreed to the published version of the manuscript.</w:t>
      </w:r>
    </w:p>
    <w:p w14:paraId="26EBAD16" w14:textId="549C1776" w:rsidR="009F5ACF" w:rsidRPr="00CD0886" w:rsidRDefault="007713AF" w:rsidP="00524044">
      <w:pPr>
        <w:pStyle w:val="MDPI62BackMatter"/>
        <w:rPr>
          <w:color w:val="auto"/>
          <w:lang w:val="en-GB" w:eastAsia="en-GB"/>
        </w:rPr>
      </w:pPr>
      <w:r w:rsidRPr="00CD0886">
        <w:rPr>
          <w:b/>
          <w:lang w:val="en-GB"/>
        </w:rPr>
        <w:lastRenderedPageBreak/>
        <w:t>Funding:</w:t>
      </w:r>
      <w:r w:rsidR="00D36545" w:rsidRPr="00CD0886">
        <w:rPr>
          <w:b/>
          <w:lang w:val="en-GB"/>
        </w:rPr>
        <w:t xml:space="preserve"> </w:t>
      </w:r>
      <w:r w:rsidR="00D36545" w:rsidRPr="00CD0886">
        <w:rPr>
          <w:rFonts w:cstheme="minorHAnsi"/>
          <w:lang w:val="en-GB"/>
        </w:rPr>
        <w:t>F</w:t>
      </w:r>
      <w:r w:rsidR="006524B9" w:rsidRPr="00CD0886">
        <w:rPr>
          <w:rFonts w:cstheme="minorHAnsi"/>
          <w:lang w:val="en-GB"/>
        </w:rPr>
        <w:t>.</w:t>
      </w:r>
      <w:r w:rsidR="00D36545" w:rsidRPr="00CD0886">
        <w:rPr>
          <w:rFonts w:cstheme="minorHAnsi"/>
          <w:lang w:val="en-GB"/>
        </w:rPr>
        <w:t>D</w:t>
      </w:r>
      <w:r w:rsidR="006524B9" w:rsidRPr="00CD0886">
        <w:rPr>
          <w:rFonts w:cstheme="minorHAnsi"/>
          <w:lang w:val="en-GB"/>
        </w:rPr>
        <w:t>.</w:t>
      </w:r>
      <w:r w:rsidR="00D36545" w:rsidRPr="00CD0886">
        <w:rPr>
          <w:rFonts w:cstheme="minorHAnsi"/>
          <w:lang w:val="en-GB"/>
        </w:rPr>
        <w:t xml:space="preserve"> was partly supported by the Imperial Biomedical Research </w:t>
      </w:r>
      <w:proofErr w:type="spellStart"/>
      <w:r w:rsidR="00D36545" w:rsidRPr="00CD0886">
        <w:rPr>
          <w:rFonts w:cstheme="minorHAnsi"/>
          <w:lang w:val="en-GB"/>
        </w:rPr>
        <w:t>Center</w:t>
      </w:r>
      <w:proofErr w:type="spellEnd"/>
      <w:r w:rsidR="00D36545" w:rsidRPr="00CD0886">
        <w:rPr>
          <w:rFonts w:cstheme="minorHAnsi"/>
          <w:lang w:val="en-GB"/>
        </w:rPr>
        <w:t xml:space="preserve"> and EU Grant CARE (Project Grant 825673)</w:t>
      </w:r>
      <w:r w:rsidR="00465B2A" w:rsidRPr="00CD0886">
        <w:rPr>
          <w:rFonts w:eastAsia="Arial"/>
          <w:spacing w:val="1"/>
          <w:w w:val="109"/>
          <w:lang w:val="en-GB"/>
        </w:rPr>
        <w:t>.</w:t>
      </w:r>
      <w:r w:rsidR="006512A3" w:rsidRPr="00CD0886">
        <w:rPr>
          <w:lang w:val="en-GB"/>
        </w:rPr>
        <w:t xml:space="preserve"> </w:t>
      </w:r>
      <w:r w:rsidR="00D36545" w:rsidRPr="00CD0886">
        <w:rPr>
          <w:lang w:val="en-GB"/>
        </w:rPr>
        <w:t>The funders had no role in study design, data collection and analysis, decision to publish or preparation of the manuscript.</w:t>
      </w:r>
      <w:r w:rsidR="00AF3D57" w:rsidRPr="00CD0886">
        <w:rPr>
          <w:lang w:val="en-GB"/>
        </w:rPr>
        <w:t xml:space="preserve"> P</w:t>
      </w:r>
      <w:r w:rsidR="006524B9" w:rsidRPr="00CD0886">
        <w:rPr>
          <w:lang w:val="en-GB"/>
        </w:rPr>
        <w:t>.</w:t>
      </w:r>
      <w:r w:rsidR="00AF3D57" w:rsidRPr="00CD0886">
        <w:rPr>
          <w:lang w:val="en-GB"/>
        </w:rPr>
        <w:t>E</w:t>
      </w:r>
      <w:r w:rsidR="006524B9" w:rsidRPr="00CD0886">
        <w:rPr>
          <w:lang w:val="en-GB"/>
        </w:rPr>
        <w:t>.</w:t>
      </w:r>
      <w:r w:rsidR="0006004C" w:rsidRPr="00CD0886">
        <w:rPr>
          <w:lang w:val="en-GB"/>
        </w:rPr>
        <w:t xml:space="preserve">, </w:t>
      </w:r>
      <w:r w:rsidR="00170A57" w:rsidRPr="00CD0886">
        <w:rPr>
          <w:lang w:val="en-GB"/>
        </w:rPr>
        <w:t>M.K.B.</w:t>
      </w:r>
      <w:r w:rsidR="0006004C" w:rsidRPr="00CD0886">
        <w:rPr>
          <w:lang w:val="en-GB"/>
        </w:rPr>
        <w:t>, L</w:t>
      </w:r>
      <w:r w:rsidR="006524B9" w:rsidRPr="00CD0886">
        <w:rPr>
          <w:lang w:val="en-GB"/>
        </w:rPr>
        <w:t>.</w:t>
      </w:r>
      <w:r w:rsidR="0006004C" w:rsidRPr="00CD0886">
        <w:rPr>
          <w:lang w:val="en-GB"/>
        </w:rPr>
        <w:t>T</w:t>
      </w:r>
      <w:r w:rsidR="006524B9" w:rsidRPr="00CD0886">
        <w:rPr>
          <w:lang w:val="en-GB"/>
        </w:rPr>
        <w:t>.</w:t>
      </w:r>
      <w:r w:rsidR="00AF3D57" w:rsidRPr="00CD0886">
        <w:rPr>
          <w:lang w:val="en-GB"/>
        </w:rPr>
        <w:t xml:space="preserve"> and F</w:t>
      </w:r>
      <w:r w:rsidR="006524B9" w:rsidRPr="00CD0886">
        <w:rPr>
          <w:lang w:val="en-GB"/>
        </w:rPr>
        <w:t>.</w:t>
      </w:r>
      <w:r w:rsidR="00AF3D57" w:rsidRPr="00CD0886">
        <w:rPr>
          <w:lang w:val="en-GB"/>
        </w:rPr>
        <w:t>D</w:t>
      </w:r>
      <w:r w:rsidR="006524B9" w:rsidRPr="00CD0886">
        <w:rPr>
          <w:lang w:val="en-GB"/>
        </w:rPr>
        <w:t>.</w:t>
      </w:r>
      <w:r w:rsidR="00AF3D57" w:rsidRPr="00CD0886">
        <w:rPr>
          <w:lang w:val="en-GB"/>
        </w:rPr>
        <w:t xml:space="preserve"> were supported by MRC grant </w:t>
      </w:r>
      <w:r w:rsidR="009F5ACF" w:rsidRPr="00CD0886">
        <w:rPr>
          <w:shd w:val="clear" w:color="auto" w:fill="FFFFFF"/>
          <w:lang w:val="en-GB" w:eastAsia="en-GB"/>
        </w:rPr>
        <w:t>MR/N006631/1</w:t>
      </w:r>
      <w:r w:rsidR="006524B9" w:rsidRPr="00CD0886">
        <w:rPr>
          <w:shd w:val="clear" w:color="auto" w:fill="FFFFFF"/>
          <w:lang w:val="en-GB" w:eastAsia="en-GB"/>
        </w:rPr>
        <w:t>—</w:t>
      </w:r>
      <w:r w:rsidR="009F5ACF" w:rsidRPr="00CD0886">
        <w:rPr>
          <w:shd w:val="clear" w:color="auto" w:fill="FFFFFF"/>
          <w:lang w:val="en-GB" w:eastAsia="en-GB"/>
        </w:rPr>
        <w:t xml:space="preserve">Investigating multi-drug resistant tuberculosis in the 3-dimensional </w:t>
      </w:r>
      <w:proofErr w:type="spellStart"/>
      <w:r w:rsidR="009F5ACF" w:rsidRPr="00CD0886">
        <w:rPr>
          <w:shd w:val="clear" w:color="auto" w:fill="FFFFFF"/>
          <w:lang w:val="en-GB" w:eastAsia="en-GB"/>
        </w:rPr>
        <w:t>bioelectrospray</w:t>
      </w:r>
      <w:proofErr w:type="spellEnd"/>
      <w:r w:rsidR="009F5ACF" w:rsidRPr="00CD0886">
        <w:rPr>
          <w:shd w:val="clear" w:color="auto" w:fill="FFFFFF"/>
          <w:lang w:val="en-GB" w:eastAsia="en-GB"/>
        </w:rPr>
        <w:t xml:space="preserve"> cell culture model</w:t>
      </w:r>
      <w:r w:rsidR="002D77EC" w:rsidRPr="00CD0886">
        <w:rPr>
          <w:shd w:val="clear" w:color="auto" w:fill="FFFFFF"/>
          <w:lang w:val="en-GB" w:eastAsia="en-GB"/>
        </w:rPr>
        <w:t>.</w:t>
      </w:r>
    </w:p>
    <w:p w14:paraId="3260E077" w14:textId="5317DB7E" w:rsidR="00F912E8" w:rsidRPr="00CD0886" w:rsidRDefault="0025009E" w:rsidP="00524044">
      <w:pPr>
        <w:pStyle w:val="MDPI62BackMatter"/>
        <w:rPr>
          <w:lang w:val="en-GB"/>
        </w:rPr>
      </w:pPr>
      <w:bookmarkStart w:id="1" w:name="_Hlk89945590"/>
      <w:bookmarkStart w:id="2" w:name="_Hlk60054323"/>
      <w:r w:rsidRPr="00CD0886">
        <w:rPr>
          <w:b/>
          <w:lang w:val="en-GB"/>
        </w:rPr>
        <w:t xml:space="preserve">Institutional Review Board Statement: </w:t>
      </w:r>
      <w:r w:rsidR="00F912E8" w:rsidRPr="00CD0886">
        <w:rPr>
          <w:lang w:val="en-GB"/>
        </w:rPr>
        <w:t xml:space="preserve">Peripheral blood mononuclear cells (PBMCs) were isolated from anonymised single-donor buffy coats from the UK National Health Service Blood and Transplant, Southampton, United Kingdom. </w:t>
      </w:r>
      <w:r w:rsidR="00F912E8" w:rsidRPr="00980FF6">
        <w:rPr>
          <w:bCs/>
          <w:lang w:val="en-GB"/>
        </w:rPr>
        <w:t>T</w:t>
      </w:r>
      <w:r w:rsidR="00F912E8" w:rsidRPr="00CD0886">
        <w:rPr>
          <w:lang w:val="en-GB"/>
        </w:rPr>
        <w:t xml:space="preserve">he work with human blood cells </w:t>
      </w:r>
      <w:r w:rsidR="00046E3E">
        <w:rPr>
          <w:lang w:val="en-GB"/>
        </w:rPr>
        <w:t>was</w:t>
      </w:r>
      <w:r w:rsidR="00046E3E" w:rsidRPr="00CD0886">
        <w:rPr>
          <w:lang w:val="en-GB"/>
        </w:rPr>
        <w:t xml:space="preserve"> </w:t>
      </w:r>
      <w:r w:rsidR="00F912E8" w:rsidRPr="00CD0886">
        <w:rPr>
          <w:lang w:val="en-GB"/>
        </w:rPr>
        <w:t>approved by the NRES Committee South Central</w:t>
      </w:r>
      <w:r w:rsidR="006524B9" w:rsidRPr="00CD0886">
        <w:rPr>
          <w:lang w:val="en-GB"/>
        </w:rPr>
        <w:t>—</w:t>
      </w:r>
      <w:r w:rsidR="00F912E8" w:rsidRPr="00CD0886">
        <w:rPr>
          <w:lang w:val="en-GB"/>
        </w:rPr>
        <w:t>Southampton A (REC reference 13/SC/0043; IRAS project ID 109038) and the University of Southampton research ethics office (ERGO 14291).</w:t>
      </w:r>
      <w:r w:rsidR="00F07D2A" w:rsidRPr="00CD0886">
        <w:rPr>
          <w:lang w:val="en-GB"/>
        </w:rPr>
        <w:t xml:space="preserve"> </w:t>
      </w:r>
      <w:r w:rsidR="00F912E8" w:rsidRPr="00CD0886">
        <w:rPr>
          <w:lang w:val="en-GB"/>
        </w:rPr>
        <w:t xml:space="preserve">Approval for infection of human cells with </w:t>
      </w:r>
      <w:r w:rsidR="00F912E8" w:rsidRPr="00CD0886">
        <w:rPr>
          <w:i/>
          <w:iCs/>
          <w:lang w:val="en-GB"/>
        </w:rPr>
        <w:t>Mycobacterium tuberculosis</w:t>
      </w:r>
      <w:r w:rsidR="00F912E8" w:rsidRPr="00CD0886">
        <w:rPr>
          <w:lang w:val="en-GB"/>
        </w:rPr>
        <w:t xml:space="preserve"> </w:t>
      </w:r>
      <w:r w:rsidR="00046E3E">
        <w:rPr>
          <w:lang w:val="en-GB"/>
        </w:rPr>
        <w:t>was</w:t>
      </w:r>
      <w:r w:rsidR="00F912E8" w:rsidRPr="00CD0886">
        <w:rPr>
          <w:lang w:val="en-GB"/>
        </w:rPr>
        <w:t xml:space="preserve"> approved by the UK Health and Safety Executive and the University of Southampton Biological Safety Committee (GMBSC-41).</w:t>
      </w:r>
    </w:p>
    <w:bookmarkEnd w:id="1"/>
    <w:p w14:paraId="34289ECA" w14:textId="230C2158" w:rsidR="00533CBF" w:rsidRPr="00CD0886" w:rsidRDefault="00533CBF" w:rsidP="00524044">
      <w:pPr>
        <w:pStyle w:val="MDPI62BackMatter"/>
        <w:rPr>
          <w:lang w:val="en-GB"/>
        </w:rPr>
      </w:pPr>
      <w:r w:rsidRPr="00CD0886">
        <w:rPr>
          <w:b/>
          <w:lang w:val="en-GB"/>
        </w:rPr>
        <w:t xml:space="preserve">Informed Consent Statement: </w:t>
      </w:r>
      <w:r w:rsidR="00A13A33" w:rsidRPr="00CD0886">
        <w:rPr>
          <w:lang w:val="en-GB"/>
        </w:rPr>
        <w:t>Not applicable</w:t>
      </w:r>
      <w:r w:rsidR="00F912E8" w:rsidRPr="00CD0886">
        <w:rPr>
          <w:lang w:val="en-GB"/>
        </w:rPr>
        <w:t>.</w:t>
      </w:r>
    </w:p>
    <w:p w14:paraId="335F47D2" w14:textId="554C540E" w:rsidR="00533CBF" w:rsidRPr="00CD0886" w:rsidRDefault="00533CBF" w:rsidP="00524044">
      <w:pPr>
        <w:pStyle w:val="MDPI62BackMatter"/>
        <w:rPr>
          <w:lang w:val="en-GB"/>
        </w:rPr>
      </w:pPr>
      <w:r w:rsidRPr="00CD0886">
        <w:rPr>
          <w:b/>
          <w:lang w:val="en-GB"/>
        </w:rPr>
        <w:t xml:space="preserve">Data Availability Statement: </w:t>
      </w:r>
      <w:r w:rsidR="006A2A43" w:rsidRPr="00CD0886">
        <w:rPr>
          <w:lang w:val="en-GB"/>
        </w:rPr>
        <w:t xml:space="preserve">All data </w:t>
      </w:r>
      <w:r w:rsidR="00046E3E">
        <w:rPr>
          <w:lang w:val="en-GB"/>
        </w:rPr>
        <w:t>are</w:t>
      </w:r>
      <w:r w:rsidR="00046E3E" w:rsidRPr="00CD0886">
        <w:rPr>
          <w:lang w:val="en-GB"/>
        </w:rPr>
        <w:t xml:space="preserve"> </w:t>
      </w:r>
      <w:r w:rsidR="006A2A43" w:rsidRPr="00CD0886">
        <w:rPr>
          <w:lang w:val="en-GB"/>
        </w:rPr>
        <w:t>reported in the paper or in Supplementary material</w:t>
      </w:r>
      <w:r w:rsidRPr="00CD0886">
        <w:rPr>
          <w:lang w:val="en-GB"/>
        </w:rPr>
        <w:t>.</w:t>
      </w:r>
    </w:p>
    <w:bookmarkEnd w:id="2"/>
    <w:p w14:paraId="30F0D66F" w14:textId="61425CA0" w:rsidR="007713AF" w:rsidRPr="00CD0886" w:rsidRDefault="007713AF" w:rsidP="00524044">
      <w:pPr>
        <w:pStyle w:val="MDPI62BackMatter"/>
        <w:rPr>
          <w:lang w:val="en-GB"/>
        </w:rPr>
      </w:pPr>
      <w:r w:rsidRPr="00CD0886">
        <w:rPr>
          <w:b/>
          <w:lang w:val="en-GB"/>
        </w:rPr>
        <w:t xml:space="preserve">Conflicts of Interest: </w:t>
      </w:r>
      <w:r w:rsidRPr="00CD0886">
        <w:rPr>
          <w:lang w:val="en-GB"/>
        </w:rPr>
        <w:t>The authors declare no conflict</w:t>
      </w:r>
      <w:r w:rsidR="00046E3E">
        <w:rPr>
          <w:lang w:val="en-GB"/>
        </w:rPr>
        <w:t>s</w:t>
      </w:r>
      <w:r w:rsidRPr="00CD0886">
        <w:rPr>
          <w:lang w:val="en-GB"/>
        </w:rPr>
        <w:t xml:space="preserve"> of interest. </w:t>
      </w:r>
      <w:r w:rsidR="00F1718E" w:rsidRPr="00CD0886">
        <w:rPr>
          <w:lang w:val="en-GB"/>
        </w:rPr>
        <w:t xml:space="preserve">The funders had no role in the design of the study; in the collection, </w:t>
      </w:r>
      <w:proofErr w:type="gramStart"/>
      <w:r w:rsidR="00F1718E" w:rsidRPr="00CD0886">
        <w:rPr>
          <w:lang w:val="en-GB"/>
        </w:rPr>
        <w:t>analyses</w:t>
      </w:r>
      <w:proofErr w:type="gramEnd"/>
      <w:r w:rsidR="00F1718E" w:rsidRPr="00CD0886">
        <w:rPr>
          <w:lang w:val="en-GB"/>
        </w:rPr>
        <w:t xml:space="preserve"> or interpretation of data; in the writing of the manuscript; or in the decision to publish the results</w:t>
      </w:r>
      <w:r w:rsidRPr="00CD0886">
        <w:rPr>
          <w:lang w:val="en-GB"/>
        </w:rPr>
        <w:t>.</w:t>
      </w:r>
    </w:p>
    <w:p w14:paraId="4BA256D2" w14:textId="77777777" w:rsidR="006206C5" w:rsidRPr="00D729B8" w:rsidRDefault="006206C5" w:rsidP="006206C5">
      <w:pPr>
        <w:pStyle w:val="MDPI21heading1"/>
        <w:ind w:left="0"/>
      </w:pPr>
      <w:r w:rsidRPr="00D729B8">
        <w:t>References</w:t>
      </w:r>
    </w:p>
    <w:p w14:paraId="2DE98830" w14:textId="77777777" w:rsidR="006206C5" w:rsidRPr="0040035D" w:rsidRDefault="006206C5" w:rsidP="006206C5">
      <w:pPr>
        <w:pStyle w:val="MDPI21heading1"/>
        <w:numPr>
          <w:ilvl w:val="0"/>
          <w:numId w:val="42"/>
        </w:numPr>
        <w:spacing w:before="0" w:after="0"/>
        <w:ind w:left="425" w:hanging="425"/>
        <w:jc w:val="both"/>
        <w:outlineLvl w:val="9"/>
        <w:rPr>
          <w:b w:val="0"/>
          <w:bCs/>
          <w:color w:val="auto"/>
          <w:sz w:val="18"/>
        </w:rPr>
      </w:pPr>
      <w:r w:rsidRPr="0040035D">
        <w:rPr>
          <w:b w:val="0"/>
          <w:bCs/>
          <w:color w:val="auto"/>
          <w:sz w:val="18"/>
        </w:rPr>
        <w:t xml:space="preserve">World Health Organization. </w:t>
      </w:r>
      <w:r w:rsidRPr="0040035D">
        <w:rPr>
          <w:b w:val="0"/>
          <w:bCs/>
          <w:i/>
          <w:iCs/>
          <w:color w:val="auto"/>
          <w:sz w:val="18"/>
        </w:rPr>
        <w:t>Global Tuberculosis Report 2019</w:t>
      </w:r>
      <w:r w:rsidRPr="0040035D">
        <w:rPr>
          <w:b w:val="0"/>
          <w:bCs/>
          <w:color w:val="auto"/>
          <w:sz w:val="18"/>
        </w:rPr>
        <w:t>; World Health Organization: Geneva, Switzerland, 2019.</w:t>
      </w:r>
    </w:p>
    <w:p w14:paraId="731A615E" w14:textId="77777777" w:rsidR="006206C5" w:rsidRPr="0040035D" w:rsidRDefault="006206C5" w:rsidP="006206C5">
      <w:pPr>
        <w:pStyle w:val="MDPI21heading1"/>
        <w:numPr>
          <w:ilvl w:val="0"/>
          <w:numId w:val="42"/>
        </w:numPr>
        <w:spacing w:before="0" w:after="0"/>
        <w:ind w:left="425" w:hanging="425"/>
        <w:jc w:val="both"/>
        <w:outlineLvl w:val="9"/>
        <w:rPr>
          <w:b w:val="0"/>
          <w:bCs/>
          <w:color w:val="auto"/>
          <w:sz w:val="18"/>
        </w:rPr>
      </w:pPr>
      <w:r w:rsidRPr="0040035D">
        <w:rPr>
          <w:b w:val="0"/>
          <w:bCs/>
          <w:color w:val="auto"/>
          <w:sz w:val="18"/>
        </w:rPr>
        <w:t xml:space="preserve">Sharma, D.; </w:t>
      </w:r>
      <w:proofErr w:type="spellStart"/>
      <w:r w:rsidRPr="0040035D">
        <w:rPr>
          <w:b w:val="0"/>
          <w:bCs/>
          <w:color w:val="auto"/>
          <w:sz w:val="18"/>
        </w:rPr>
        <w:t>Dhuriya</w:t>
      </w:r>
      <w:proofErr w:type="spellEnd"/>
      <w:r w:rsidRPr="0040035D">
        <w:rPr>
          <w:b w:val="0"/>
          <w:bCs/>
          <w:color w:val="auto"/>
          <w:sz w:val="18"/>
        </w:rPr>
        <w:t xml:space="preserve">, Y.K.; Deo, N.; Bisht, D. Repurposing and Revival of the Drugs: A New Approach to Combat the Drug Resistant Tuberculosis. </w:t>
      </w:r>
      <w:r w:rsidRPr="0040035D">
        <w:rPr>
          <w:b w:val="0"/>
          <w:bCs/>
          <w:i/>
          <w:color w:val="auto"/>
          <w:sz w:val="18"/>
        </w:rPr>
        <w:t xml:space="preserve">Front. Microbiol. </w:t>
      </w:r>
      <w:r>
        <w:rPr>
          <w:bCs/>
          <w:color w:val="auto"/>
          <w:sz w:val="18"/>
        </w:rPr>
        <w:t>2017</w:t>
      </w:r>
      <w:r>
        <w:rPr>
          <w:b w:val="0"/>
          <w:bCs/>
          <w:color w:val="auto"/>
          <w:sz w:val="18"/>
        </w:rPr>
        <w:t xml:space="preserve">, </w:t>
      </w:r>
      <w:r>
        <w:rPr>
          <w:b w:val="0"/>
          <w:bCs/>
          <w:i/>
          <w:color w:val="auto"/>
          <w:sz w:val="18"/>
        </w:rPr>
        <w:t>8</w:t>
      </w:r>
      <w:r>
        <w:rPr>
          <w:b w:val="0"/>
          <w:bCs/>
          <w:color w:val="auto"/>
          <w:sz w:val="18"/>
        </w:rPr>
        <w:t>, 2452–2452</w:t>
      </w:r>
      <w:r w:rsidRPr="0040035D">
        <w:rPr>
          <w:b w:val="0"/>
          <w:bCs/>
          <w:color w:val="auto"/>
          <w:sz w:val="18"/>
        </w:rPr>
        <w:t>.</w:t>
      </w:r>
    </w:p>
    <w:p w14:paraId="56163B5F" w14:textId="77777777" w:rsidR="006206C5" w:rsidRPr="0040035D" w:rsidRDefault="006206C5" w:rsidP="006206C5">
      <w:pPr>
        <w:pStyle w:val="ListParagraph"/>
        <w:numPr>
          <w:ilvl w:val="0"/>
          <w:numId w:val="42"/>
        </w:numPr>
        <w:shd w:val="clear" w:color="auto" w:fill="FFFFFF"/>
        <w:adjustRightInd w:val="0"/>
        <w:snapToGrid w:val="0"/>
        <w:spacing w:line="228" w:lineRule="auto"/>
        <w:ind w:left="425" w:hanging="425"/>
        <w:rPr>
          <w:rFonts w:eastAsia="Times New Roman" w:cs="Arial"/>
          <w:bCs/>
          <w:color w:val="auto"/>
          <w:sz w:val="18"/>
          <w:u w:val="single"/>
          <w:shd w:val="clear" w:color="auto" w:fill="FFFFFF"/>
          <w:lang w:eastAsia="en-GB"/>
        </w:rPr>
      </w:pPr>
      <w:r w:rsidRPr="0040035D">
        <w:rPr>
          <w:rFonts w:eastAsia="Times New Roman" w:cs="Arial"/>
          <w:bCs/>
          <w:color w:val="auto"/>
          <w:sz w:val="18"/>
          <w:lang w:eastAsia="en-GB"/>
        </w:rPr>
        <w:t>Tezera,</w:t>
      </w:r>
      <w:r>
        <w:rPr>
          <w:rFonts w:eastAsia="Times New Roman" w:cs="Arial"/>
          <w:bCs/>
          <w:color w:val="auto"/>
          <w:sz w:val="18"/>
          <w:lang w:eastAsia="en-GB"/>
        </w:rPr>
        <w:t xml:space="preserve"> </w:t>
      </w:r>
      <w:r w:rsidRPr="0040035D">
        <w:rPr>
          <w:rFonts w:eastAsia="Times New Roman" w:cs="Arial"/>
          <w:bCs/>
          <w:color w:val="auto"/>
          <w:sz w:val="18"/>
          <w:lang w:eastAsia="en-GB"/>
        </w:rPr>
        <w:t>L</w:t>
      </w:r>
      <w:r>
        <w:rPr>
          <w:rFonts w:eastAsia="Times New Roman" w:cs="Arial"/>
          <w:bCs/>
          <w:color w:val="auto"/>
          <w:sz w:val="18"/>
          <w:lang w:eastAsia="en-GB"/>
        </w:rPr>
        <w:t>.</w:t>
      </w:r>
      <w:r w:rsidRPr="0040035D">
        <w:rPr>
          <w:rFonts w:eastAsia="Times New Roman" w:cs="Arial"/>
          <w:bCs/>
          <w:color w:val="auto"/>
          <w:sz w:val="18"/>
          <w:lang w:eastAsia="en-GB"/>
        </w:rPr>
        <w:t>T</w:t>
      </w:r>
      <w:r>
        <w:rPr>
          <w:rFonts w:eastAsia="Times New Roman" w:cs="Arial"/>
          <w:bCs/>
          <w:color w:val="auto"/>
          <w:sz w:val="18"/>
          <w:lang w:eastAsia="en-GB"/>
        </w:rPr>
        <w:t>.;</w:t>
      </w:r>
      <w:r w:rsidRPr="0040035D">
        <w:rPr>
          <w:rFonts w:eastAsia="Times New Roman" w:cs="Arial"/>
          <w:bCs/>
          <w:color w:val="auto"/>
          <w:sz w:val="18"/>
          <w:lang w:eastAsia="en-GB"/>
        </w:rPr>
        <w:t xml:space="preserve"> Bielecka,</w:t>
      </w:r>
      <w:r>
        <w:rPr>
          <w:rFonts w:eastAsia="Times New Roman" w:cs="Arial"/>
          <w:bCs/>
          <w:color w:val="auto"/>
          <w:sz w:val="18"/>
          <w:lang w:eastAsia="en-GB"/>
        </w:rPr>
        <w:t xml:space="preserve"> </w:t>
      </w:r>
      <w:r w:rsidRPr="0040035D">
        <w:rPr>
          <w:rFonts w:eastAsia="Times New Roman" w:cs="Arial"/>
          <w:bCs/>
          <w:color w:val="auto"/>
          <w:sz w:val="18"/>
          <w:lang w:eastAsia="en-GB"/>
        </w:rPr>
        <w:t>M</w:t>
      </w:r>
      <w:r>
        <w:rPr>
          <w:rFonts w:eastAsia="Times New Roman" w:cs="Arial"/>
          <w:bCs/>
          <w:color w:val="auto"/>
          <w:sz w:val="18"/>
          <w:lang w:eastAsia="en-GB"/>
        </w:rPr>
        <w:t>.</w:t>
      </w:r>
      <w:r w:rsidRPr="0040035D">
        <w:rPr>
          <w:rFonts w:eastAsia="Times New Roman" w:cs="Arial"/>
          <w:bCs/>
          <w:color w:val="auto"/>
          <w:sz w:val="18"/>
          <w:lang w:eastAsia="en-GB"/>
        </w:rPr>
        <w:t>K</w:t>
      </w:r>
      <w:r>
        <w:rPr>
          <w:rFonts w:eastAsia="Times New Roman" w:cs="Arial"/>
          <w:bCs/>
          <w:color w:val="auto"/>
          <w:sz w:val="18"/>
          <w:lang w:eastAsia="en-GB"/>
        </w:rPr>
        <w:t>.;</w:t>
      </w:r>
      <w:r w:rsidRPr="0040035D">
        <w:rPr>
          <w:rFonts w:eastAsia="Times New Roman" w:cs="Arial"/>
          <w:bCs/>
          <w:color w:val="auto"/>
          <w:sz w:val="18"/>
          <w:lang w:eastAsia="en-GB"/>
        </w:rPr>
        <w:t xml:space="preserve"> Chancellor, A</w:t>
      </w:r>
      <w:r>
        <w:rPr>
          <w:rFonts w:eastAsia="Times New Roman" w:cs="Arial"/>
          <w:bCs/>
          <w:color w:val="auto"/>
          <w:sz w:val="18"/>
          <w:lang w:eastAsia="en-GB"/>
        </w:rPr>
        <w:t>.;</w:t>
      </w:r>
      <w:r w:rsidRPr="0040035D">
        <w:rPr>
          <w:rFonts w:eastAsia="Times New Roman" w:cs="Arial"/>
          <w:bCs/>
          <w:color w:val="auto"/>
          <w:sz w:val="18"/>
          <w:lang w:eastAsia="en-GB"/>
        </w:rPr>
        <w:t xml:space="preserve"> Reichmann, M</w:t>
      </w:r>
      <w:r>
        <w:rPr>
          <w:rFonts w:eastAsia="Times New Roman" w:cs="Arial"/>
          <w:bCs/>
          <w:color w:val="auto"/>
          <w:sz w:val="18"/>
          <w:lang w:eastAsia="en-GB"/>
        </w:rPr>
        <w:t>.</w:t>
      </w:r>
      <w:r w:rsidRPr="0040035D">
        <w:rPr>
          <w:rFonts w:eastAsia="Times New Roman" w:cs="Arial"/>
          <w:bCs/>
          <w:color w:val="auto"/>
          <w:sz w:val="18"/>
          <w:lang w:eastAsia="en-GB"/>
        </w:rPr>
        <w:t>T</w:t>
      </w:r>
      <w:r>
        <w:rPr>
          <w:rFonts w:eastAsia="Times New Roman" w:cs="Arial"/>
          <w:bCs/>
          <w:color w:val="auto"/>
          <w:sz w:val="18"/>
          <w:lang w:eastAsia="en-GB"/>
        </w:rPr>
        <w:t>.;</w:t>
      </w:r>
      <w:r w:rsidRPr="0040035D">
        <w:rPr>
          <w:rFonts w:eastAsia="Times New Roman" w:cs="Arial"/>
          <w:bCs/>
          <w:color w:val="auto"/>
          <w:sz w:val="18"/>
          <w:lang w:eastAsia="en-GB"/>
        </w:rPr>
        <w:t xml:space="preserve"> Basim</w:t>
      </w:r>
      <w:r>
        <w:rPr>
          <w:rFonts w:eastAsia="Times New Roman" w:cs="Arial"/>
          <w:bCs/>
          <w:color w:val="auto"/>
          <w:sz w:val="18"/>
          <w:lang w:eastAsia="en-GB"/>
        </w:rPr>
        <w:t>,</w:t>
      </w:r>
      <w:r w:rsidRPr="0040035D">
        <w:rPr>
          <w:rFonts w:eastAsia="Times New Roman" w:cs="Arial"/>
          <w:bCs/>
          <w:color w:val="auto"/>
          <w:sz w:val="18"/>
          <w:lang w:eastAsia="en-GB"/>
        </w:rPr>
        <w:t xml:space="preserve"> </w:t>
      </w:r>
      <w:proofErr w:type="spellStart"/>
      <w:r w:rsidRPr="0040035D">
        <w:rPr>
          <w:rFonts w:eastAsia="Times New Roman" w:cs="Arial"/>
          <w:bCs/>
          <w:color w:val="auto"/>
          <w:sz w:val="18"/>
          <w:lang w:eastAsia="en-GB"/>
        </w:rPr>
        <w:t>A</w:t>
      </w:r>
      <w:r>
        <w:rPr>
          <w:rFonts w:eastAsia="Times New Roman" w:cs="Arial"/>
          <w:bCs/>
          <w:color w:val="auto"/>
          <w:sz w:val="18"/>
          <w:lang w:eastAsia="en-GB"/>
        </w:rPr>
        <w:t>.</w:t>
      </w:r>
      <w:r w:rsidRPr="0040035D">
        <w:rPr>
          <w:rFonts w:eastAsia="Times New Roman" w:cs="Arial"/>
          <w:bCs/>
          <w:color w:val="auto"/>
          <w:sz w:val="18"/>
          <w:lang w:eastAsia="en-GB"/>
        </w:rPr>
        <w:t>l</w:t>
      </w:r>
      <w:r>
        <w:rPr>
          <w:rFonts w:eastAsia="Times New Roman" w:cs="Arial"/>
          <w:bCs/>
          <w:color w:val="auto"/>
          <w:sz w:val="18"/>
          <w:lang w:eastAsia="en-GB"/>
        </w:rPr>
        <w:t>.</w:t>
      </w:r>
      <w:proofErr w:type="spellEnd"/>
      <w:r>
        <w:rPr>
          <w:rFonts w:eastAsia="Times New Roman" w:cs="Arial"/>
          <w:bCs/>
          <w:color w:val="auto"/>
          <w:sz w:val="18"/>
          <w:lang w:eastAsia="en-GB"/>
        </w:rPr>
        <w:t>;</w:t>
      </w:r>
      <w:r w:rsidRPr="0040035D">
        <w:rPr>
          <w:rFonts w:eastAsia="Times New Roman" w:cs="Arial"/>
          <w:bCs/>
          <w:color w:val="auto"/>
          <w:sz w:val="18"/>
          <w:lang w:eastAsia="en-GB"/>
        </w:rPr>
        <w:t xml:space="preserve"> Shammari, B</w:t>
      </w:r>
      <w:r>
        <w:rPr>
          <w:rFonts w:eastAsia="Times New Roman" w:cs="Arial"/>
          <w:bCs/>
          <w:color w:val="auto"/>
          <w:sz w:val="18"/>
          <w:lang w:eastAsia="en-GB"/>
        </w:rPr>
        <w:t>.</w:t>
      </w:r>
      <w:r w:rsidRPr="0040035D">
        <w:rPr>
          <w:rFonts w:eastAsia="Times New Roman" w:cs="Arial"/>
          <w:bCs/>
          <w:color w:val="auto"/>
          <w:sz w:val="18"/>
          <w:lang w:eastAsia="en-GB"/>
        </w:rPr>
        <w:t>A</w:t>
      </w:r>
      <w:r>
        <w:rPr>
          <w:rFonts w:eastAsia="Times New Roman" w:cs="Arial"/>
          <w:bCs/>
          <w:color w:val="auto"/>
          <w:sz w:val="18"/>
          <w:lang w:eastAsia="en-GB"/>
        </w:rPr>
        <w:t>.;</w:t>
      </w:r>
      <w:r w:rsidRPr="0040035D">
        <w:rPr>
          <w:rFonts w:eastAsia="Times New Roman" w:cs="Arial"/>
          <w:bCs/>
          <w:color w:val="auto"/>
          <w:sz w:val="18"/>
          <w:lang w:eastAsia="en-GB"/>
        </w:rPr>
        <w:t xml:space="preserve"> Brace, P</w:t>
      </w:r>
      <w:r>
        <w:rPr>
          <w:rFonts w:eastAsia="Times New Roman" w:cs="Arial"/>
          <w:bCs/>
          <w:color w:val="auto"/>
          <w:sz w:val="18"/>
          <w:lang w:eastAsia="en-GB"/>
        </w:rPr>
        <w:t>.;</w:t>
      </w:r>
      <w:r w:rsidRPr="0040035D">
        <w:rPr>
          <w:rFonts w:eastAsia="Times New Roman" w:cs="Arial"/>
          <w:bCs/>
          <w:color w:val="auto"/>
          <w:sz w:val="18"/>
          <w:lang w:eastAsia="en-GB"/>
        </w:rPr>
        <w:t xml:space="preserve"> Batty,</w:t>
      </w:r>
      <w:r>
        <w:rPr>
          <w:rFonts w:eastAsia="Times New Roman" w:cs="Arial"/>
          <w:bCs/>
          <w:color w:val="auto"/>
          <w:sz w:val="18"/>
          <w:lang w:eastAsia="en-GB"/>
        </w:rPr>
        <w:t xml:space="preserve"> </w:t>
      </w:r>
      <w:r w:rsidRPr="0040035D">
        <w:rPr>
          <w:rFonts w:eastAsia="Times New Roman" w:cs="Arial"/>
          <w:bCs/>
          <w:color w:val="auto"/>
          <w:sz w:val="18"/>
          <w:lang w:eastAsia="en-GB"/>
        </w:rPr>
        <w:t>A</w:t>
      </w:r>
      <w:r>
        <w:rPr>
          <w:rFonts w:eastAsia="Times New Roman" w:cs="Arial"/>
          <w:bCs/>
          <w:color w:val="auto"/>
          <w:sz w:val="18"/>
          <w:lang w:eastAsia="en-GB"/>
        </w:rPr>
        <w:t>.;</w:t>
      </w:r>
      <w:r w:rsidRPr="0040035D">
        <w:rPr>
          <w:rFonts w:eastAsia="Times New Roman" w:cs="Arial"/>
          <w:bCs/>
          <w:color w:val="auto"/>
          <w:sz w:val="18"/>
          <w:lang w:eastAsia="en-GB"/>
        </w:rPr>
        <w:t xml:space="preserve"> Tocheva, A</w:t>
      </w:r>
      <w:r>
        <w:rPr>
          <w:rFonts w:eastAsia="Times New Roman" w:cs="Arial"/>
          <w:bCs/>
          <w:color w:val="auto"/>
          <w:sz w:val="18"/>
          <w:lang w:eastAsia="en-GB"/>
        </w:rPr>
        <w:t>.;</w:t>
      </w:r>
      <w:r w:rsidRPr="0040035D">
        <w:rPr>
          <w:rFonts w:eastAsia="Times New Roman" w:cs="Arial"/>
          <w:bCs/>
          <w:color w:val="auto"/>
          <w:sz w:val="18"/>
          <w:lang w:eastAsia="en-GB"/>
        </w:rPr>
        <w:t xml:space="preserve"> Jogai,</w:t>
      </w:r>
      <w:r>
        <w:rPr>
          <w:rFonts w:eastAsia="Times New Roman" w:cs="Arial"/>
          <w:bCs/>
          <w:color w:val="auto"/>
          <w:sz w:val="18"/>
          <w:lang w:eastAsia="en-GB"/>
        </w:rPr>
        <w:t xml:space="preserve"> </w:t>
      </w:r>
      <w:r w:rsidRPr="0040035D">
        <w:rPr>
          <w:rFonts w:eastAsia="Times New Roman" w:cs="Arial"/>
          <w:bCs/>
          <w:color w:val="auto"/>
          <w:sz w:val="18"/>
          <w:lang w:eastAsia="en-GB"/>
        </w:rPr>
        <w:t>S</w:t>
      </w:r>
      <w:r>
        <w:rPr>
          <w:rFonts w:eastAsia="Times New Roman" w:cs="Arial"/>
          <w:bCs/>
          <w:color w:val="auto"/>
          <w:sz w:val="18"/>
          <w:lang w:eastAsia="en-GB"/>
        </w:rPr>
        <w:t>.; et al.</w:t>
      </w:r>
      <w:r w:rsidRPr="0040035D">
        <w:rPr>
          <w:rFonts w:eastAsia="Times New Roman" w:cs="Arial"/>
          <w:bCs/>
          <w:color w:val="auto"/>
          <w:sz w:val="18"/>
          <w:lang w:eastAsia="en-GB"/>
        </w:rPr>
        <w:t xml:space="preserve"> </w:t>
      </w:r>
      <w:hyperlink r:id="rId15" w:history="1">
        <w:r w:rsidRPr="0040035D">
          <w:rPr>
            <w:rFonts w:eastAsia="Times New Roman" w:cs="Arial"/>
            <w:bCs/>
            <w:color w:val="auto"/>
            <w:sz w:val="18"/>
            <w:lang w:eastAsia="en-GB"/>
          </w:rPr>
          <w:t>Dissection of the host-pathogen interaction in human tuberculosis using a bioengineered 3-dimensional model</w:t>
        </w:r>
      </w:hyperlink>
      <w:r w:rsidRPr="0040035D">
        <w:rPr>
          <w:rFonts w:eastAsia="Times New Roman" w:cs="Arial"/>
          <w:bCs/>
          <w:color w:val="auto"/>
          <w:sz w:val="18"/>
          <w:lang w:eastAsia="en-GB"/>
        </w:rPr>
        <w:t xml:space="preserve">. </w:t>
      </w:r>
      <w:r w:rsidRPr="001B4C21">
        <w:rPr>
          <w:rFonts w:eastAsia="Times New Roman" w:cs="Arial"/>
          <w:bCs/>
          <w:i/>
          <w:iCs/>
          <w:color w:val="auto"/>
          <w:sz w:val="18"/>
          <w:shd w:val="clear" w:color="auto" w:fill="FFFFFF"/>
          <w:lang w:eastAsia="en-GB"/>
        </w:rPr>
        <w:t>eLife</w:t>
      </w:r>
      <w:r w:rsidRPr="0040035D">
        <w:rPr>
          <w:rFonts w:eastAsia="Times New Roman" w:cs="Arial"/>
          <w:bCs/>
          <w:color w:val="auto"/>
          <w:sz w:val="18"/>
          <w:shd w:val="clear" w:color="auto" w:fill="FFFFFF"/>
          <w:lang w:eastAsia="en-GB"/>
        </w:rPr>
        <w:t xml:space="preserve"> </w:t>
      </w:r>
      <w:r>
        <w:rPr>
          <w:rFonts w:eastAsia="Times New Roman" w:cs="Arial"/>
          <w:b/>
          <w:bCs/>
          <w:color w:val="auto"/>
          <w:sz w:val="18"/>
          <w:shd w:val="clear" w:color="auto" w:fill="FFFFFF"/>
          <w:lang w:eastAsia="en-GB"/>
        </w:rPr>
        <w:t>2017</w:t>
      </w:r>
      <w:r>
        <w:rPr>
          <w:rFonts w:eastAsia="Times New Roman" w:cs="Arial"/>
          <w:bCs/>
          <w:color w:val="auto"/>
          <w:sz w:val="18"/>
          <w:shd w:val="clear" w:color="auto" w:fill="FFFFFF"/>
          <w:lang w:eastAsia="en-GB"/>
        </w:rPr>
        <w:t xml:space="preserve">, </w:t>
      </w:r>
      <w:r>
        <w:rPr>
          <w:rFonts w:eastAsia="Times New Roman" w:cs="Arial"/>
          <w:bCs/>
          <w:i/>
          <w:color w:val="auto"/>
          <w:sz w:val="18"/>
          <w:shd w:val="clear" w:color="auto" w:fill="FFFFFF"/>
          <w:lang w:eastAsia="en-GB"/>
        </w:rPr>
        <w:t>6</w:t>
      </w:r>
      <w:r>
        <w:rPr>
          <w:rFonts w:eastAsia="Times New Roman" w:cs="Arial"/>
          <w:bCs/>
          <w:color w:val="auto"/>
          <w:sz w:val="18"/>
          <w:shd w:val="clear" w:color="auto" w:fill="FFFFFF"/>
          <w:lang w:eastAsia="en-GB"/>
        </w:rPr>
        <w:t>, e21283</w:t>
      </w:r>
      <w:r w:rsidRPr="0040035D">
        <w:rPr>
          <w:rFonts w:eastAsia="Times New Roman" w:cs="Arial"/>
          <w:bCs/>
          <w:color w:val="auto"/>
          <w:sz w:val="18"/>
          <w:shd w:val="clear" w:color="auto" w:fill="FFFFFF"/>
          <w:lang w:eastAsia="en-GB"/>
        </w:rPr>
        <w:t>.</w:t>
      </w:r>
    </w:p>
    <w:p w14:paraId="2DF09ED4"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Bielecka, M.K.; Tezera, L.B.; Zmijan, R.; Drobniewski, F.; Zhang, X.; Jayasinghe, S.; Elkington, P. A Bioengineered </w:t>
      </w:r>
      <w:proofErr w:type="gramStart"/>
      <w:r w:rsidRPr="0040035D">
        <w:rPr>
          <w:rFonts w:ascii="Palatino Linotype" w:hAnsi="Palatino Linotype"/>
          <w:bCs/>
          <w:sz w:val="18"/>
        </w:rPr>
        <w:t>Three Dimensional</w:t>
      </w:r>
      <w:proofErr w:type="gramEnd"/>
      <w:r w:rsidRPr="0040035D">
        <w:rPr>
          <w:rFonts w:ascii="Palatino Linotype" w:hAnsi="Palatino Linotype"/>
          <w:bCs/>
          <w:sz w:val="18"/>
        </w:rPr>
        <w:t xml:space="preserve"> Cell Culture Platform Integrated with Microfluidics To Address Antimicrobial Resistance in Tuberculosis. </w:t>
      </w:r>
      <w:r w:rsidRPr="0040035D">
        <w:rPr>
          <w:rFonts w:ascii="Palatino Linotype" w:hAnsi="Palatino Linotype"/>
          <w:bCs/>
          <w:i/>
          <w:sz w:val="18"/>
        </w:rPr>
        <w:t>mBio</w:t>
      </w:r>
      <w:r w:rsidRPr="0040035D">
        <w:rPr>
          <w:rFonts w:ascii="Palatino Linotype" w:hAnsi="Palatino Linotype"/>
          <w:bCs/>
          <w:sz w:val="18"/>
        </w:rPr>
        <w:t xml:space="preserve"> </w:t>
      </w:r>
      <w:r>
        <w:rPr>
          <w:rFonts w:ascii="Palatino Linotype" w:hAnsi="Palatino Linotype"/>
          <w:b/>
          <w:bCs/>
          <w:sz w:val="18"/>
        </w:rPr>
        <w:t>2017</w:t>
      </w:r>
      <w:r>
        <w:rPr>
          <w:rFonts w:ascii="Palatino Linotype" w:hAnsi="Palatino Linotype"/>
          <w:bCs/>
          <w:sz w:val="18"/>
        </w:rPr>
        <w:t xml:space="preserve">, </w:t>
      </w:r>
      <w:r>
        <w:rPr>
          <w:rFonts w:ascii="Palatino Linotype" w:hAnsi="Palatino Linotype"/>
          <w:bCs/>
          <w:i/>
          <w:sz w:val="18"/>
        </w:rPr>
        <w:t>8</w:t>
      </w:r>
      <w:r>
        <w:rPr>
          <w:rFonts w:ascii="Palatino Linotype" w:hAnsi="Palatino Linotype"/>
          <w:bCs/>
          <w:sz w:val="18"/>
        </w:rPr>
        <w:t>, e02073-16</w:t>
      </w:r>
      <w:r w:rsidRPr="0040035D">
        <w:rPr>
          <w:rFonts w:ascii="Palatino Linotype" w:hAnsi="Palatino Linotype"/>
          <w:bCs/>
          <w:sz w:val="18"/>
        </w:rPr>
        <w:t>.</w:t>
      </w:r>
    </w:p>
    <w:p w14:paraId="0309F367"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Tezera, L.B.; Bielecka, M.K.; Elkington, P.T. </w:t>
      </w:r>
      <w:proofErr w:type="spellStart"/>
      <w:r w:rsidRPr="0040035D">
        <w:rPr>
          <w:rFonts w:ascii="Palatino Linotype" w:hAnsi="Palatino Linotype"/>
          <w:bCs/>
          <w:sz w:val="18"/>
        </w:rPr>
        <w:t>Bioelectrospray</w:t>
      </w:r>
      <w:proofErr w:type="spellEnd"/>
      <w:r w:rsidRPr="0040035D">
        <w:rPr>
          <w:rFonts w:ascii="Palatino Linotype" w:hAnsi="Palatino Linotype"/>
          <w:bCs/>
          <w:sz w:val="18"/>
        </w:rPr>
        <w:t xml:space="preserve"> Methodology for Dissection of the Host-pathogen Interaction in Human Tuberculosis. </w:t>
      </w:r>
      <w:r w:rsidRPr="0040035D">
        <w:rPr>
          <w:rFonts w:ascii="Palatino Linotype" w:hAnsi="Palatino Linotype"/>
          <w:bCs/>
          <w:i/>
          <w:sz w:val="18"/>
        </w:rPr>
        <w:t>Bio-Protocol</w:t>
      </w:r>
      <w:r w:rsidRPr="0040035D">
        <w:rPr>
          <w:rFonts w:ascii="Palatino Linotype" w:hAnsi="Palatino Linotype"/>
          <w:bCs/>
          <w:sz w:val="18"/>
        </w:rPr>
        <w:t xml:space="preserve"> </w:t>
      </w:r>
      <w:r>
        <w:rPr>
          <w:rFonts w:ascii="Palatino Linotype" w:hAnsi="Palatino Linotype"/>
          <w:b/>
          <w:bCs/>
          <w:sz w:val="18"/>
        </w:rPr>
        <w:t>2017</w:t>
      </w:r>
      <w:r>
        <w:rPr>
          <w:rFonts w:ascii="Palatino Linotype" w:hAnsi="Palatino Linotype"/>
          <w:bCs/>
          <w:sz w:val="18"/>
        </w:rPr>
        <w:t xml:space="preserve">, </w:t>
      </w:r>
      <w:r>
        <w:rPr>
          <w:rFonts w:ascii="Palatino Linotype" w:hAnsi="Palatino Linotype"/>
          <w:bCs/>
          <w:i/>
          <w:sz w:val="18"/>
        </w:rPr>
        <w:t>7</w:t>
      </w:r>
      <w:r>
        <w:rPr>
          <w:rFonts w:ascii="Palatino Linotype" w:hAnsi="Palatino Linotype"/>
          <w:bCs/>
          <w:sz w:val="18"/>
        </w:rPr>
        <w:t>, e2418</w:t>
      </w:r>
      <w:r w:rsidRPr="0040035D">
        <w:rPr>
          <w:rFonts w:ascii="Palatino Linotype" w:hAnsi="Palatino Linotype"/>
          <w:bCs/>
          <w:sz w:val="18"/>
        </w:rPr>
        <w:t>.</w:t>
      </w:r>
    </w:p>
    <w:p w14:paraId="2FCB555D"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Moodley, R.; </w:t>
      </w:r>
      <w:proofErr w:type="spellStart"/>
      <w:r w:rsidRPr="0040035D">
        <w:rPr>
          <w:rFonts w:ascii="Palatino Linotype" w:hAnsi="Palatino Linotype"/>
          <w:bCs/>
          <w:sz w:val="18"/>
        </w:rPr>
        <w:t>Godec</w:t>
      </w:r>
      <w:proofErr w:type="spellEnd"/>
      <w:r w:rsidRPr="0040035D">
        <w:rPr>
          <w:rFonts w:ascii="Palatino Linotype" w:hAnsi="Palatino Linotype"/>
          <w:bCs/>
          <w:sz w:val="18"/>
        </w:rPr>
        <w:t xml:space="preserve">, T.R. Short-course treatment for multidrug-resistant </w:t>
      </w:r>
      <w:r w:rsidRPr="00E00154">
        <w:rPr>
          <w:rFonts w:ascii="Palatino Linotype" w:hAnsi="Palatino Linotype"/>
          <w:bCs/>
          <w:sz w:val="18"/>
        </w:rPr>
        <w:t>tuberculosis: The STR</w:t>
      </w:r>
      <w:r w:rsidRPr="0040035D">
        <w:rPr>
          <w:rFonts w:ascii="Palatino Linotype" w:hAnsi="Palatino Linotype"/>
          <w:bCs/>
          <w:sz w:val="18"/>
        </w:rPr>
        <w:t xml:space="preserve">EAM trials. </w:t>
      </w:r>
      <w:r>
        <w:rPr>
          <w:rFonts w:ascii="Palatino Linotype" w:hAnsi="Palatino Linotype"/>
          <w:bCs/>
          <w:i/>
          <w:sz w:val="18"/>
        </w:rPr>
        <w:t>Eur. Respir. Rev.</w:t>
      </w:r>
      <w:r w:rsidRPr="0040035D">
        <w:rPr>
          <w:rFonts w:ascii="Palatino Linotype" w:hAnsi="Palatino Linotype"/>
          <w:bCs/>
          <w:sz w:val="18"/>
        </w:rPr>
        <w:t xml:space="preserve"> </w:t>
      </w:r>
      <w:r>
        <w:rPr>
          <w:rFonts w:ascii="Palatino Linotype" w:hAnsi="Palatino Linotype"/>
          <w:b/>
          <w:bCs/>
          <w:sz w:val="18"/>
        </w:rPr>
        <w:t>2016</w:t>
      </w:r>
      <w:r>
        <w:rPr>
          <w:rFonts w:ascii="Palatino Linotype" w:hAnsi="Palatino Linotype"/>
          <w:bCs/>
          <w:sz w:val="18"/>
        </w:rPr>
        <w:t xml:space="preserve">, </w:t>
      </w:r>
      <w:r>
        <w:rPr>
          <w:rFonts w:ascii="Palatino Linotype" w:hAnsi="Palatino Linotype"/>
          <w:bCs/>
          <w:i/>
          <w:sz w:val="18"/>
        </w:rPr>
        <w:t>25</w:t>
      </w:r>
      <w:r>
        <w:rPr>
          <w:rFonts w:ascii="Palatino Linotype" w:hAnsi="Palatino Linotype"/>
          <w:bCs/>
          <w:sz w:val="18"/>
        </w:rPr>
        <w:t>, 29–35</w:t>
      </w:r>
      <w:r w:rsidRPr="0040035D">
        <w:rPr>
          <w:rFonts w:ascii="Palatino Linotype" w:hAnsi="Palatino Linotype"/>
          <w:bCs/>
          <w:sz w:val="18"/>
        </w:rPr>
        <w:t>.</w:t>
      </w:r>
    </w:p>
    <w:p w14:paraId="2696AB4E"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World Health Organization</w:t>
      </w:r>
      <w:r>
        <w:rPr>
          <w:rFonts w:ascii="Palatino Linotype" w:hAnsi="Palatino Linotype"/>
          <w:bCs/>
          <w:sz w:val="18"/>
        </w:rPr>
        <w:t>.</w:t>
      </w:r>
      <w:r w:rsidRPr="0040035D">
        <w:rPr>
          <w:rFonts w:ascii="Palatino Linotype" w:hAnsi="Palatino Linotype"/>
          <w:bCs/>
          <w:sz w:val="18"/>
        </w:rPr>
        <w:t xml:space="preserve"> </w:t>
      </w:r>
      <w:r w:rsidRPr="006D0CA3">
        <w:rPr>
          <w:rFonts w:ascii="Palatino Linotype" w:hAnsi="Palatino Linotype"/>
          <w:bCs/>
          <w:i/>
          <w:iCs/>
          <w:sz w:val="18"/>
        </w:rPr>
        <w:t>Rapid Communication: Key Changes to Treatment of Multidrug- and Rifampicin-Resistant Tuberculosis (</w:t>
      </w:r>
      <w:proofErr w:type="spellStart"/>
      <w:r w:rsidRPr="006D0CA3">
        <w:rPr>
          <w:rFonts w:ascii="Palatino Linotype" w:hAnsi="Palatino Linotype"/>
          <w:bCs/>
          <w:i/>
          <w:iCs/>
          <w:sz w:val="18"/>
        </w:rPr>
        <w:t>Mdr</w:t>
      </w:r>
      <w:proofErr w:type="spellEnd"/>
      <w:r w:rsidRPr="006D0CA3">
        <w:rPr>
          <w:rFonts w:ascii="Palatino Linotype" w:hAnsi="Palatino Linotype"/>
          <w:bCs/>
          <w:i/>
          <w:iCs/>
          <w:sz w:val="18"/>
        </w:rPr>
        <w:t>/Rr-Tb)</w:t>
      </w:r>
      <w:r>
        <w:rPr>
          <w:rFonts w:ascii="Palatino Linotype" w:hAnsi="Palatino Linotype"/>
          <w:bCs/>
          <w:sz w:val="18"/>
        </w:rPr>
        <w:t>;</w:t>
      </w:r>
      <w:r w:rsidRPr="0040035D">
        <w:rPr>
          <w:rFonts w:ascii="Palatino Linotype" w:hAnsi="Palatino Linotype"/>
          <w:bCs/>
          <w:sz w:val="18"/>
        </w:rPr>
        <w:t xml:space="preserve"> </w:t>
      </w:r>
      <w:r w:rsidRPr="006206C5">
        <w:rPr>
          <w:rFonts w:ascii="Palatino Linotype" w:hAnsi="Palatino Linotype"/>
          <w:bCs/>
          <w:sz w:val="18"/>
        </w:rPr>
        <w:t xml:space="preserve">World </w:t>
      </w:r>
      <w:r w:rsidRPr="003B1721">
        <w:rPr>
          <w:rFonts w:ascii="Palatino Linotype" w:hAnsi="Palatino Linotype"/>
          <w:bCs/>
          <w:sz w:val="18"/>
        </w:rPr>
        <w:t>Health Organization</w:t>
      </w:r>
      <w:r>
        <w:rPr>
          <w:rFonts w:ascii="Palatino Linotype" w:hAnsi="Palatino Linotype"/>
          <w:bCs/>
          <w:sz w:val="18"/>
        </w:rPr>
        <w:t>: Geneva, Switzerland, 2018.</w:t>
      </w:r>
    </w:p>
    <w:p w14:paraId="7D3683A2"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Chambers, H.F.; Turner, J.; </w:t>
      </w:r>
      <w:proofErr w:type="spellStart"/>
      <w:r w:rsidRPr="0040035D">
        <w:rPr>
          <w:rFonts w:ascii="Palatino Linotype" w:hAnsi="Palatino Linotype"/>
          <w:bCs/>
          <w:sz w:val="18"/>
        </w:rPr>
        <w:t>Schecter</w:t>
      </w:r>
      <w:proofErr w:type="spellEnd"/>
      <w:r w:rsidRPr="0040035D">
        <w:rPr>
          <w:rFonts w:ascii="Palatino Linotype" w:hAnsi="Palatino Linotype"/>
          <w:bCs/>
          <w:sz w:val="18"/>
        </w:rPr>
        <w:t xml:space="preserve">, G.F.; Kawamura, M.; Hopewell, P.C. Imipenem for treatment of tuberculosis in mice and humans. </w:t>
      </w:r>
      <w:proofErr w:type="spellStart"/>
      <w:r w:rsidRPr="009A3744">
        <w:rPr>
          <w:rFonts w:ascii="Palatino Linotype" w:hAnsi="Palatino Linotype"/>
          <w:bCs/>
          <w:i/>
          <w:sz w:val="18"/>
        </w:rPr>
        <w:t>Antimicrob</w:t>
      </w:r>
      <w:proofErr w:type="spellEnd"/>
      <w:r>
        <w:rPr>
          <w:rFonts w:ascii="Palatino Linotype" w:hAnsi="Palatino Linotype"/>
          <w:bCs/>
          <w:i/>
          <w:sz w:val="18"/>
        </w:rPr>
        <w:t>.</w:t>
      </w:r>
      <w:r w:rsidRPr="009A3744">
        <w:rPr>
          <w:rFonts w:ascii="Palatino Linotype" w:hAnsi="Palatino Linotype"/>
          <w:bCs/>
          <w:i/>
          <w:sz w:val="18"/>
        </w:rPr>
        <w:t xml:space="preserve"> Agents Chemother</w:t>
      </w:r>
      <w:r>
        <w:rPr>
          <w:rFonts w:ascii="Palatino Linotype" w:hAnsi="Palatino Linotype"/>
          <w:bCs/>
          <w:i/>
          <w:sz w:val="18"/>
        </w:rPr>
        <w:t>.</w:t>
      </w:r>
      <w:r w:rsidRPr="0040035D">
        <w:rPr>
          <w:rFonts w:ascii="Palatino Linotype" w:hAnsi="Palatino Linotype"/>
          <w:bCs/>
          <w:sz w:val="18"/>
        </w:rPr>
        <w:t xml:space="preserve"> </w:t>
      </w:r>
      <w:r>
        <w:rPr>
          <w:rFonts w:ascii="Palatino Linotype" w:hAnsi="Palatino Linotype"/>
          <w:b/>
          <w:bCs/>
          <w:sz w:val="18"/>
        </w:rPr>
        <w:t>2005</w:t>
      </w:r>
      <w:r>
        <w:rPr>
          <w:rFonts w:ascii="Palatino Linotype" w:hAnsi="Palatino Linotype"/>
          <w:bCs/>
          <w:sz w:val="18"/>
        </w:rPr>
        <w:t xml:space="preserve">, </w:t>
      </w:r>
      <w:r>
        <w:rPr>
          <w:rFonts w:ascii="Palatino Linotype" w:hAnsi="Palatino Linotype"/>
          <w:bCs/>
          <w:i/>
          <w:sz w:val="18"/>
        </w:rPr>
        <w:t>49</w:t>
      </w:r>
      <w:r>
        <w:rPr>
          <w:rFonts w:ascii="Palatino Linotype" w:hAnsi="Palatino Linotype"/>
          <w:bCs/>
          <w:sz w:val="18"/>
        </w:rPr>
        <w:t>, 2816–2821</w:t>
      </w:r>
      <w:r w:rsidRPr="0040035D">
        <w:rPr>
          <w:rFonts w:ascii="Palatino Linotype" w:hAnsi="Palatino Linotype"/>
          <w:bCs/>
          <w:sz w:val="18"/>
        </w:rPr>
        <w:t>.</w:t>
      </w:r>
    </w:p>
    <w:p w14:paraId="2F64D5D0"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De Carvalho, L.P.S.; Lin, G.; Jiang, X.; Nathan, C. Nitazoxanide Kills Replicating and Nonreplicating </w:t>
      </w:r>
      <w:r w:rsidRPr="0040035D">
        <w:rPr>
          <w:rFonts w:ascii="Palatino Linotype" w:hAnsi="Palatino Linotype"/>
          <w:bCs/>
          <w:i/>
          <w:sz w:val="18"/>
        </w:rPr>
        <w:t>Mycobacterium tuberculosis</w:t>
      </w:r>
      <w:r w:rsidRPr="0040035D">
        <w:rPr>
          <w:rFonts w:ascii="Palatino Linotype" w:hAnsi="Palatino Linotype"/>
          <w:bCs/>
          <w:sz w:val="18"/>
        </w:rPr>
        <w:t xml:space="preserve"> and Evades Resistance. </w:t>
      </w:r>
      <w:r>
        <w:rPr>
          <w:rFonts w:ascii="Palatino Linotype" w:hAnsi="Palatino Linotype"/>
          <w:bCs/>
          <w:i/>
          <w:sz w:val="18"/>
        </w:rPr>
        <w:t xml:space="preserve">J. Med. Chem. </w:t>
      </w:r>
      <w:r>
        <w:rPr>
          <w:rFonts w:ascii="Palatino Linotype" w:hAnsi="Palatino Linotype"/>
          <w:b/>
          <w:bCs/>
          <w:sz w:val="18"/>
        </w:rPr>
        <w:t>2009</w:t>
      </w:r>
      <w:r>
        <w:rPr>
          <w:rFonts w:ascii="Palatino Linotype" w:hAnsi="Palatino Linotype"/>
          <w:bCs/>
          <w:sz w:val="18"/>
        </w:rPr>
        <w:t xml:space="preserve">, </w:t>
      </w:r>
      <w:r>
        <w:rPr>
          <w:rFonts w:ascii="Palatino Linotype" w:hAnsi="Palatino Linotype"/>
          <w:bCs/>
          <w:i/>
          <w:sz w:val="18"/>
        </w:rPr>
        <w:t>52</w:t>
      </w:r>
      <w:r>
        <w:rPr>
          <w:rFonts w:ascii="Palatino Linotype" w:hAnsi="Palatino Linotype"/>
          <w:bCs/>
          <w:sz w:val="18"/>
        </w:rPr>
        <w:t>, 5789–5792</w:t>
      </w:r>
      <w:r w:rsidRPr="0040035D">
        <w:rPr>
          <w:rFonts w:ascii="Palatino Linotype" w:hAnsi="Palatino Linotype"/>
          <w:bCs/>
          <w:sz w:val="18"/>
        </w:rPr>
        <w:t>.</w:t>
      </w:r>
    </w:p>
    <w:p w14:paraId="4A6B5F0F"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proofErr w:type="spellStart"/>
      <w:r w:rsidRPr="0040035D">
        <w:rPr>
          <w:rFonts w:ascii="Palatino Linotype" w:hAnsi="Palatino Linotype"/>
          <w:bCs/>
          <w:sz w:val="18"/>
        </w:rPr>
        <w:t>Shigyo</w:t>
      </w:r>
      <w:proofErr w:type="spellEnd"/>
      <w:r w:rsidRPr="0040035D">
        <w:rPr>
          <w:rFonts w:ascii="Palatino Linotype" w:hAnsi="Palatino Linotype"/>
          <w:bCs/>
          <w:sz w:val="18"/>
        </w:rPr>
        <w:t xml:space="preserve">, K.; </w:t>
      </w:r>
      <w:proofErr w:type="spellStart"/>
      <w:r w:rsidRPr="0040035D">
        <w:rPr>
          <w:rFonts w:ascii="Palatino Linotype" w:hAnsi="Palatino Linotype"/>
          <w:bCs/>
          <w:sz w:val="18"/>
        </w:rPr>
        <w:t>Ocheretina</w:t>
      </w:r>
      <w:proofErr w:type="spellEnd"/>
      <w:r w:rsidRPr="0040035D">
        <w:rPr>
          <w:rFonts w:ascii="Palatino Linotype" w:hAnsi="Palatino Linotype"/>
          <w:bCs/>
          <w:sz w:val="18"/>
        </w:rPr>
        <w:t xml:space="preserve">, O.; </w:t>
      </w:r>
      <w:proofErr w:type="spellStart"/>
      <w:r w:rsidRPr="0040035D">
        <w:rPr>
          <w:rFonts w:ascii="Palatino Linotype" w:hAnsi="Palatino Linotype"/>
          <w:bCs/>
          <w:sz w:val="18"/>
        </w:rPr>
        <w:t>Merveille</w:t>
      </w:r>
      <w:proofErr w:type="spellEnd"/>
      <w:r w:rsidRPr="0040035D">
        <w:rPr>
          <w:rFonts w:ascii="Palatino Linotype" w:hAnsi="Palatino Linotype"/>
          <w:bCs/>
          <w:sz w:val="18"/>
        </w:rPr>
        <w:t xml:space="preserve">, Y.M.; Johnson, W.D.; Pape, J.W.; Nathan, C.F.; Fitzgerald, D.W. Efficacy of nitazoxanide against clinical isolates of </w:t>
      </w:r>
      <w:r w:rsidRPr="0040035D">
        <w:rPr>
          <w:rFonts w:ascii="Palatino Linotype" w:hAnsi="Palatino Linotype"/>
          <w:bCs/>
          <w:i/>
          <w:sz w:val="18"/>
        </w:rPr>
        <w:t>Mycobacterium tuberculosis</w:t>
      </w:r>
      <w:r w:rsidRPr="0040035D">
        <w:rPr>
          <w:rFonts w:ascii="Palatino Linotype" w:hAnsi="Palatino Linotype"/>
          <w:bCs/>
          <w:sz w:val="18"/>
        </w:rPr>
        <w:t xml:space="preserve">. </w:t>
      </w:r>
      <w:proofErr w:type="spellStart"/>
      <w:r>
        <w:rPr>
          <w:rFonts w:ascii="Palatino Linotype" w:hAnsi="Palatino Linotype"/>
          <w:bCs/>
          <w:i/>
          <w:sz w:val="18"/>
        </w:rPr>
        <w:t>Antimicrob</w:t>
      </w:r>
      <w:proofErr w:type="spellEnd"/>
      <w:r>
        <w:rPr>
          <w:rFonts w:ascii="Palatino Linotype" w:hAnsi="Palatino Linotype"/>
          <w:bCs/>
          <w:i/>
          <w:sz w:val="18"/>
        </w:rPr>
        <w:t xml:space="preserve">. Agents Chemother. </w:t>
      </w:r>
      <w:r>
        <w:rPr>
          <w:rFonts w:ascii="Palatino Linotype" w:hAnsi="Palatino Linotype"/>
          <w:b/>
          <w:bCs/>
          <w:sz w:val="18"/>
        </w:rPr>
        <w:t>2013</w:t>
      </w:r>
      <w:r>
        <w:rPr>
          <w:rFonts w:ascii="Palatino Linotype" w:hAnsi="Palatino Linotype"/>
          <w:bCs/>
          <w:sz w:val="18"/>
        </w:rPr>
        <w:t xml:space="preserve">, </w:t>
      </w:r>
      <w:r>
        <w:rPr>
          <w:rFonts w:ascii="Palatino Linotype" w:hAnsi="Palatino Linotype"/>
          <w:bCs/>
          <w:i/>
          <w:sz w:val="18"/>
        </w:rPr>
        <w:t>57</w:t>
      </w:r>
      <w:r>
        <w:rPr>
          <w:rFonts w:ascii="Palatino Linotype" w:hAnsi="Palatino Linotype"/>
          <w:bCs/>
          <w:sz w:val="18"/>
        </w:rPr>
        <w:t>, 2834–2837</w:t>
      </w:r>
      <w:r w:rsidRPr="0040035D">
        <w:rPr>
          <w:rFonts w:ascii="Palatino Linotype" w:hAnsi="Palatino Linotype"/>
          <w:bCs/>
          <w:sz w:val="18"/>
        </w:rPr>
        <w:t>.</w:t>
      </w:r>
    </w:p>
    <w:p w14:paraId="142A9BC4" w14:textId="77777777" w:rsidR="006206C5" w:rsidRPr="0040035D" w:rsidRDefault="006206C5" w:rsidP="006206C5">
      <w:pPr>
        <w:pStyle w:val="ListParagraph"/>
        <w:numPr>
          <w:ilvl w:val="0"/>
          <w:numId w:val="42"/>
        </w:numPr>
        <w:adjustRightInd w:val="0"/>
        <w:snapToGrid w:val="0"/>
        <w:spacing w:line="228" w:lineRule="auto"/>
        <w:ind w:left="425" w:hanging="425"/>
        <w:rPr>
          <w:rFonts w:ascii="Times New Roman" w:eastAsia="Times New Roman" w:hAnsi="Times New Roman"/>
          <w:bCs/>
          <w:color w:val="auto"/>
          <w:sz w:val="18"/>
          <w:szCs w:val="24"/>
          <w:lang w:eastAsia="en-GB"/>
        </w:rPr>
      </w:pPr>
      <w:r w:rsidRPr="0040035D">
        <w:rPr>
          <w:bCs/>
          <w:color w:val="auto"/>
          <w:sz w:val="18"/>
        </w:rPr>
        <w:t>Castillo-Salazar, M.; Sánchez-Muñoz, F.; Springall Del Villar, R.; Navarrete-Vázquez, G.; Hernández-</w:t>
      </w:r>
      <w:proofErr w:type="spellStart"/>
      <w:r w:rsidRPr="0040035D">
        <w:rPr>
          <w:bCs/>
          <w:color w:val="auto"/>
          <w:sz w:val="18"/>
        </w:rPr>
        <w:t>Diazcouder</w:t>
      </w:r>
      <w:proofErr w:type="spellEnd"/>
      <w:r w:rsidRPr="0040035D">
        <w:rPr>
          <w:bCs/>
          <w:color w:val="auto"/>
          <w:sz w:val="18"/>
        </w:rPr>
        <w:t>, A.; Mojica-Cardoso, C.; García-Jiménez, S.; Toledano-</w:t>
      </w:r>
      <w:proofErr w:type="spellStart"/>
      <w:r w:rsidRPr="0040035D">
        <w:rPr>
          <w:bCs/>
          <w:color w:val="auto"/>
          <w:sz w:val="18"/>
        </w:rPr>
        <w:t>Jaimes</w:t>
      </w:r>
      <w:proofErr w:type="spellEnd"/>
      <w:r w:rsidRPr="0040035D">
        <w:rPr>
          <w:bCs/>
          <w:color w:val="auto"/>
          <w:sz w:val="18"/>
        </w:rPr>
        <w:t xml:space="preserve">, C.; Bernal-Fernández, G. Nitazoxanide Exerts Immunomodulatory Effects on Peripheral Blood Mononuclear Cells from Type 2 Diabetes Patients. </w:t>
      </w:r>
      <w:r w:rsidRPr="0040035D">
        <w:rPr>
          <w:bCs/>
          <w:i/>
          <w:color w:val="auto"/>
          <w:sz w:val="18"/>
        </w:rPr>
        <w:t>Biomolecules</w:t>
      </w:r>
      <w:r w:rsidRPr="0040035D">
        <w:rPr>
          <w:bCs/>
          <w:color w:val="auto"/>
          <w:sz w:val="18"/>
        </w:rPr>
        <w:t xml:space="preserve"> </w:t>
      </w:r>
      <w:r w:rsidRPr="00DF093B">
        <w:rPr>
          <w:b/>
          <w:color w:val="auto"/>
          <w:sz w:val="18"/>
        </w:rPr>
        <w:t>2021</w:t>
      </w:r>
      <w:r w:rsidRPr="0040035D">
        <w:rPr>
          <w:bCs/>
          <w:color w:val="auto"/>
          <w:sz w:val="18"/>
        </w:rPr>
        <w:t xml:space="preserve">, </w:t>
      </w:r>
      <w:r w:rsidRPr="0040035D">
        <w:rPr>
          <w:rFonts w:eastAsia="Times New Roman" w:cs="Arial"/>
          <w:bCs/>
          <w:i/>
          <w:iCs/>
          <w:color w:val="auto"/>
          <w:sz w:val="18"/>
          <w:szCs w:val="18"/>
          <w:shd w:val="clear" w:color="auto" w:fill="FFFFFF"/>
          <w:lang w:eastAsia="en-GB"/>
        </w:rPr>
        <w:t>11</w:t>
      </w:r>
      <w:r w:rsidRPr="0040035D">
        <w:rPr>
          <w:rFonts w:eastAsia="Times New Roman" w:cs="Arial"/>
          <w:bCs/>
          <w:color w:val="auto"/>
          <w:sz w:val="18"/>
          <w:szCs w:val="18"/>
          <w:shd w:val="clear" w:color="auto" w:fill="FFFFFF"/>
          <w:lang w:eastAsia="en-GB"/>
        </w:rPr>
        <w:t>, 1817.</w:t>
      </w:r>
    </w:p>
    <w:p w14:paraId="41A67576"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Yuan, S.; Yin, X.; Meng, X.; Chan, J.F.-W.; Ye, Z.-W.; Riva, L.; </w:t>
      </w:r>
      <w:proofErr w:type="spellStart"/>
      <w:r w:rsidRPr="0040035D">
        <w:rPr>
          <w:rFonts w:ascii="Palatino Linotype" w:hAnsi="Palatino Linotype"/>
          <w:bCs/>
          <w:sz w:val="18"/>
        </w:rPr>
        <w:t>Pache</w:t>
      </w:r>
      <w:proofErr w:type="spellEnd"/>
      <w:r w:rsidRPr="0040035D">
        <w:rPr>
          <w:rFonts w:ascii="Palatino Linotype" w:hAnsi="Palatino Linotype"/>
          <w:bCs/>
          <w:sz w:val="18"/>
        </w:rPr>
        <w:t>, L.; Chan, C.C.-Y.; Lai, P.-M.; Chan, C.C.-S</w:t>
      </w:r>
      <w:r w:rsidRPr="005370D6">
        <w:rPr>
          <w:rFonts w:ascii="Palatino Linotype" w:hAnsi="Palatino Linotype"/>
          <w:bCs/>
          <w:sz w:val="18"/>
        </w:rPr>
        <w:t xml:space="preserve">.; </w:t>
      </w:r>
      <w:r>
        <w:rPr>
          <w:rFonts w:ascii="Palatino Linotype" w:hAnsi="Palatino Linotype"/>
          <w:bCs/>
          <w:sz w:val="18"/>
        </w:rPr>
        <w:t>et al.</w:t>
      </w:r>
      <w:r w:rsidRPr="0040035D">
        <w:rPr>
          <w:rFonts w:ascii="Palatino Linotype" w:hAnsi="Palatino Linotype"/>
          <w:bCs/>
          <w:sz w:val="18"/>
        </w:rPr>
        <w:t xml:space="preserve"> Clofazimine broadly inhibits coronaviruses including SARS-CoV-2. </w:t>
      </w:r>
      <w:r w:rsidRPr="0040035D">
        <w:rPr>
          <w:rFonts w:ascii="Palatino Linotype" w:hAnsi="Palatino Linotype"/>
          <w:bCs/>
          <w:i/>
          <w:sz w:val="18"/>
        </w:rPr>
        <w:t>Nature</w:t>
      </w:r>
      <w:r w:rsidRPr="0040035D">
        <w:rPr>
          <w:rFonts w:ascii="Palatino Linotype" w:hAnsi="Palatino Linotype"/>
          <w:bCs/>
          <w:sz w:val="18"/>
        </w:rPr>
        <w:t xml:space="preserve"> </w:t>
      </w:r>
      <w:r>
        <w:rPr>
          <w:rFonts w:ascii="Palatino Linotype" w:hAnsi="Palatino Linotype"/>
          <w:b/>
          <w:bCs/>
          <w:sz w:val="18"/>
        </w:rPr>
        <w:t>2021</w:t>
      </w:r>
      <w:r>
        <w:rPr>
          <w:rFonts w:ascii="Palatino Linotype" w:hAnsi="Palatino Linotype"/>
          <w:bCs/>
          <w:sz w:val="18"/>
        </w:rPr>
        <w:t xml:space="preserve">, </w:t>
      </w:r>
      <w:r>
        <w:rPr>
          <w:rFonts w:ascii="Palatino Linotype" w:hAnsi="Palatino Linotype"/>
          <w:bCs/>
          <w:i/>
          <w:sz w:val="18"/>
        </w:rPr>
        <w:t>593</w:t>
      </w:r>
      <w:r>
        <w:rPr>
          <w:rFonts w:ascii="Palatino Linotype" w:hAnsi="Palatino Linotype"/>
          <w:bCs/>
          <w:sz w:val="18"/>
        </w:rPr>
        <w:t>, 418–423</w:t>
      </w:r>
      <w:r w:rsidRPr="0040035D">
        <w:rPr>
          <w:rFonts w:ascii="Palatino Linotype" w:hAnsi="Palatino Linotype"/>
          <w:bCs/>
          <w:sz w:val="18"/>
        </w:rPr>
        <w:t>.</w:t>
      </w:r>
    </w:p>
    <w:p w14:paraId="29F4FFBE"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Saravanan, P.; </w:t>
      </w:r>
      <w:proofErr w:type="spellStart"/>
      <w:r w:rsidRPr="0040035D">
        <w:rPr>
          <w:rFonts w:ascii="Palatino Linotype" w:hAnsi="Palatino Linotype"/>
          <w:bCs/>
          <w:sz w:val="18"/>
        </w:rPr>
        <w:t>Dusthackeer</w:t>
      </w:r>
      <w:proofErr w:type="spellEnd"/>
      <w:r w:rsidRPr="0040035D">
        <w:rPr>
          <w:rFonts w:ascii="Palatino Linotype" w:hAnsi="Palatino Linotype"/>
          <w:bCs/>
          <w:sz w:val="18"/>
        </w:rPr>
        <w:t xml:space="preserve">, V.N.A.; </w:t>
      </w:r>
      <w:proofErr w:type="spellStart"/>
      <w:r w:rsidRPr="0040035D">
        <w:rPr>
          <w:rFonts w:ascii="Palatino Linotype" w:hAnsi="Palatino Linotype"/>
          <w:bCs/>
          <w:sz w:val="18"/>
        </w:rPr>
        <w:t>Rajmani</w:t>
      </w:r>
      <w:proofErr w:type="spellEnd"/>
      <w:r w:rsidRPr="0040035D">
        <w:rPr>
          <w:rFonts w:ascii="Palatino Linotype" w:hAnsi="Palatino Linotype"/>
          <w:bCs/>
          <w:sz w:val="18"/>
        </w:rPr>
        <w:t xml:space="preserve">, R.S.; </w:t>
      </w:r>
      <w:proofErr w:type="spellStart"/>
      <w:r w:rsidRPr="0040035D">
        <w:rPr>
          <w:rFonts w:ascii="Palatino Linotype" w:hAnsi="Palatino Linotype"/>
          <w:bCs/>
          <w:sz w:val="18"/>
        </w:rPr>
        <w:t>Mahizhaveni</w:t>
      </w:r>
      <w:proofErr w:type="spellEnd"/>
      <w:r w:rsidRPr="0040035D">
        <w:rPr>
          <w:rFonts w:ascii="Palatino Linotype" w:hAnsi="Palatino Linotype"/>
          <w:bCs/>
          <w:sz w:val="18"/>
        </w:rPr>
        <w:t xml:space="preserve">, B.; Nirmal, C.R.; </w:t>
      </w:r>
      <w:proofErr w:type="spellStart"/>
      <w:r w:rsidRPr="0040035D">
        <w:rPr>
          <w:rFonts w:ascii="Palatino Linotype" w:hAnsi="Palatino Linotype"/>
          <w:bCs/>
          <w:sz w:val="18"/>
        </w:rPr>
        <w:t>Rajadas</w:t>
      </w:r>
      <w:proofErr w:type="spellEnd"/>
      <w:r w:rsidRPr="0040035D">
        <w:rPr>
          <w:rFonts w:ascii="Palatino Linotype" w:hAnsi="Palatino Linotype"/>
          <w:bCs/>
          <w:sz w:val="18"/>
        </w:rPr>
        <w:t xml:space="preserve">, S.E.; Bhardwaj, N.; </w:t>
      </w:r>
      <w:proofErr w:type="spellStart"/>
      <w:r w:rsidRPr="0040035D">
        <w:rPr>
          <w:rFonts w:ascii="Palatino Linotype" w:hAnsi="Palatino Linotype"/>
          <w:bCs/>
          <w:sz w:val="18"/>
        </w:rPr>
        <w:t>Ponnuraja</w:t>
      </w:r>
      <w:proofErr w:type="spellEnd"/>
      <w:r w:rsidRPr="0040035D">
        <w:rPr>
          <w:rFonts w:ascii="Palatino Linotype" w:hAnsi="Palatino Linotype"/>
          <w:bCs/>
          <w:sz w:val="18"/>
        </w:rPr>
        <w:t xml:space="preserve">, C.; Bhaskar, A.; </w:t>
      </w:r>
      <w:proofErr w:type="spellStart"/>
      <w:r w:rsidRPr="0040035D">
        <w:rPr>
          <w:rFonts w:ascii="Palatino Linotype" w:hAnsi="Palatino Linotype"/>
          <w:bCs/>
          <w:sz w:val="18"/>
        </w:rPr>
        <w:t>Hemanthkumar</w:t>
      </w:r>
      <w:proofErr w:type="spellEnd"/>
      <w:r w:rsidRPr="0040035D">
        <w:rPr>
          <w:rFonts w:ascii="Palatino Linotype" w:hAnsi="Palatino Linotype"/>
          <w:bCs/>
          <w:sz w:val="18"/>
        </w:rPr>
        <w:t xml:space="preserve">, A.K.; </w:t>
      </w:r>
      <w:r>
        <w:rPr>
          <w:rFonts w:ascii="Palatino Linotype" w:hAnsi="Palatino Linotype"/>
          <w:bCs/>
          <w:sz w:val="18"/>
        </w:rPr>
        <w:t>et al.</w:t>
      </w:r>
      <w:r w:rsidRPr="0040035D">
        <w:rPr>
          <w:rFonts w:ascii="Palatino Linotype" w:hAnsi="Palatino Linotype"/>
          <w:bCs/>
          <w:sz w:val="18"/>
        </w:rPr>
        <w:t xml:space="preserve"> Discovery of a highly potent novel rifampicin analog by preparing a hybrid of the precursors of the antibiotic drugs rifampicin and clofazimine. </w:t>
      </w:r>
      <w:r>
        <w:rPr>
          <w:rFonts w:ascii="Palatino Linotype" w:hAnsi="Palatino Linotype"/>
          <w:bCs/>
          <w:i/>
          <w:sz w:val="18"/>
        </w:rPr>
        <w:t xml:space="preserve">Sci. Rep. </w:t>
      </w:r>
      <w:r>
        <w:rPr>
          <w:rFonts w:ascii="Palatino Linotype" w:hAnsi="Palatino Linotype"/>
          <w:b/>
          <w:bCs/>
          <w:sz w:val="18"/>
        </w:rPr>
        <w:t>2021</w:t>
      </w:r>
      <w:r>
        <w:rPr>
          <w:rFonts w:ascii="Palatino Linotype" w:hAnsi="Palatino Linotype"/>
          <w:bCs/>
          <w:sz w:val="18"/>
        </w:rPr>
        <w:t xml:space="preserve">, </w:t>
      </w:r>
      <w:r>
        <w:rPr>
          <w:rFonts w:ascii="Palatino Linotype" w:hAnsi="Palatino Linotype"/>
          <w:bCs/>
          <w:i/>
          <w:sz w:val="18"/>
        </w:rPr>
        <w:t>11</w:t>
      </w:r>
      <w:r>
        <w:rPr>
          <w:rFonts w:ascii="Palatino Linotype" w:hAnsi="Palatino Linotype"/>
          <w:bCs/>
          <w:sz w:val="18"/>
        </w:rPr>
        <w:t>, 1029</w:t>
      </w:r>
      <w:r w:rsidRPr="0040035D">
        <w:rPr>
          <w:rFonts w:ascii="Palatino Linotype" w:hAnsi="Palatino Linotype"/>
          <w:bCs/>
          <w:sz w:val="18"/>
        </w:rPr>
        <w:t>.</w:t>
      </w:r>
    </w:p>
    <w:p w14:paraId="3703E7A1"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proofErr w:type="spellStart"/>
      <w:r w:rsidRPr="0040035D">
        <w:rPr>
          <w:rFonts w:ascii="Palatino Linotype" w:hAnsi="Palatino Linotype"/>
          <w:bCs/>
          <w:sz w:val="18"/>
        </w:rPr>
        <w:t>Memar</w:t>
      </w:r>
      <w:proofErr w:type="spellEnd"/>
      <w:r w:rsidRPr="0040035D">
        <w:rPr>
          <w:rFonts w:ascii="Palatino Linotype" w:hAnsi="Palatino Linotype"/>
          <w:bCs/>
          <w:sz w:val="18"/>
        </w:rPr>
        <w:t xml:space="preserve">, M.Y.; </w:t>
      </w:r>
      <w:proofErr w:type="spellStart"/>
      <w:r w:rsidRPr="0040035D">
        <w:rPr>
          <w:rFonts w:ascii="Palatino Linotype" w:hAnsi="Palatino Linotype"/>
          <w:bCs/>
          <w:sz w:val="18"/>
        </w:rPr>
        <w:t>Yekani</w:t>
      </w:r>
      <w:proofErr w:type="spellEnd"/>
      <w:r w:rsidRPr="0040035D">
        <w:rPr>
          <w:rFonts w:ascii="Palatino Linotype" w:hAnsi="Palatino Linotype"/>
          <w:bCs/>
          <w:sz w:val="18"/>
        </w:rPr>
        <w:t xml:space="preserve">, M.; </w:t>
      </w:r>
      <w:proofErr w:type="spellStart"/>
      <w:r w:rsidRPr="0040035D">
        <w:rPr>
          <w:rFonts w:ascii="Palatino Linotype" w:hAnsi="Palatino Linotype"/>
          <w:bCs/>
          <w:sz w:val="18"/>
        </w:rPr>
        <w:t>Ghanbari</w:t>
      </w:r>
      <w:proofErr w:type="spellEnd"/>
      <w:r w:rsidRPr="0040035D">
        <w:rPr>
          <w:rFonts w:ascii="Palatino Linotype" w:hAnsi="Palatino Linotype"/>
          <w:bCs/>
          <w:sz w:val="18"/>
        </w:rPr>
        <w:t xml:space="preserve">, H.; Shahi, S.; Sharifi, S.; </w:t>
      </w:r>
      <w:proofErr w:type="spellStart"/>
      <w:r w:rsidRPr="0040035D">
        <w:rPr>
          <w:rFonts w:ascii="Palatino Linotype" w:hAnsi="Palatino Linotype"/>
          <w:bCs/>
          <w:sz w:val="18"/>
        </w:rPr>
        <w:t>Maleki</w:t>
      </w:r>
      <w:proofErr w:type="spellEnd"/>
      <w:r w:rsidRPr="0040035D">
        <w:rPr>
          <w:rFonts w:ascii="Palatino Linotype" w:hAnsi="Palatino Linotype"/>
          <w:bCs/>
          <w:sz w:val="18"/>
        </w:rPr>
        <w:t xml:space="preserve"> </w:t>
      </w:r>
      <w:proofErr w:type="spellStart"/>
      <w:r w:rsidRPr="0040035D">
        <w:rPr>
          <w:rFonts w:ascii="Palatino Linotype" w:hAnsi="Palatino Linotype"/>
          <w:bCs/>
          <w:sz w:val="18"/>
        </w:rPr>
        <w:t>Dizaj</w:t>
      </w:r>
      <w:proofErr w:type="spellEnd"/>
      <w:r w:rsidRPr="0040035D">
        <w:rPr>
          <w:rFonts w:ascii="Palatino Linotype" w:hAnsi="Palatino Linotype"/>
          <w:bCs/>
          <w:sz w:val="18"/>
        </w:rPr>
        <w:t xml:space="preserve">, S. Biocompatibility, </w:t>
      </w:r>
      <w:proofErr w:type="gramStart"/>
      <w:r w:rsidRPr="0040035D">
        <w:rPr>
          <w:rFonts w:ascii="Palatino Linotype" w:hAnsi="Palatino Linotype"/>
          <w:bCs/>
          <w:sz w:val="18"/>
        </w:rPr>
        <w:t>cytotoxicity</w:t>
      </w:r>
      <w:proofErr w:type="gramEnd"/>
      <w:r w:rsidRPr="0040035D">
        <w:rPr>
          <w:rFonts w:ascii="Palatino Linotype" w:hAnsi="Palatino Linotype"/>
          <w:bCs/>
          <w:sz w:val="18"/>
        </w:rPr>
        <w:t xml:space="preserve"> and antibacterial effects of meropenem-loaded mesoporous silica nanoparticles against carbapenem-resistant Enterobacteriaceae. </w:t>
      </w:r>
      <w:proofErr w:type="spellStart"/>
      <w:r>
        <w:rPr>
          <w:rFonts w:ascii="Palatino Linotype" w:hAnsi="Palatino Linotype"/>
          <w:bCs/>
          <w:i/>
          <w:sz w:val="18"/>
        </w:rPr>
        <w:t>Artif</w:t>
      </w:r>
      <w:proofErr w:type="spellEnd"/>
      <w:r>
        <w:rPr>
          <w:rFonts w:ascii="Palatino Linotype" w:hAnsi="Palatino Linotype"/>
          <w:bCs/>
          <w:i/>
          <w:sz w:val="18"/>
        </w:rPr>
        <w:t xml:space="preserve">. </w:t>
      </w:r>
      <w:r w:rsidRPr="00874E1E">
        <w:rPr>
          <w:rFonts w:ascii="Palatino Linotype" w:hAnsi="Palatino Linotype"/>
          <w:bCs/>
          <w:i/>
          <w:sz w:val="18"/>
        </w:rPr>
        <w:t>Cells</w:t>
      </w:r>
      <w:r>
        <w:rPr>
          <w:rFonts w:ascii="Palatino Linotype" w:hAnsi="Palatino Linotype"/>
          <w:bCs/>
          <w:i/>
          <w:sz w:val="18"/>
        </w:rPr>
        <w:t xml:space="preserve"> </w:t>
      </w:r>
      <w:proofErr w:type="spellStart"/>
      <w:r>
        <w:rPr>
          <w:rFonts w:ascii="Palatino Linotype" w:hAnsi="Palatino Linotype"/>
          <w:bCs/>
          <w:i/>
          <w:sz w:val="18"/>
        </w:rPr>
        <w:t>Nanomed</w:t>
      </w:r>
      <w:proofErr w:type="spellEnd"/>
      <w:r>
        <w:rPr>
          <w:rFonts w:ascii="Palatino Linotype" w:hAnsi="Palatino Linotype"/>
          <w:bCs/>
          <w:i/>
          <w:sz w:val="18"/>
        </w:rPr>
        <w:t xml:space="preserve">. </w:t>
      </w:r>
      <w:proofErr w:type="spellStart"/>
      <w:r>
        <w:rPr>
          <w:rFonts w:ascii="Palatino Linotype" w:hAnsi="Palatino Linotype"/>
          <w:bCs/>
          <w:i/>
          <w:sz w:val="18"/>
        </w:rPr>
        <w:t>Biotechnol</w:t>
      </w:r>
      <w:proofErr w:type="spellEnd"/>
      <w:r>
        <w:rPr>
          <w:rFonts w:ascii="Palatino Linotype" w:hAnsi="Palatino Linotype"/>
          <w:bCs/>
          <w:i/>
          <w:sz w:val="18"/>
        </w:rPr>
        <w:t xml:space="preserve">. </w:t>
      </w:r>
      <w:r>
        <w:rPr>
          <w:rFonts w:ascii="Palatino Linotype" w:hAnsi="Palatino Linotype"/>
          <w:b/>
          <w:bCs/>
          <w:sz w:val="18"/>
        </w:rPr>
        <w:t>2020</w:t>
      </w:r>
      <w:r>
        <w:rPr>
          <w:rFonts w:ascii="Palatino Linotype" w:hAnsi="Palatino Linotype"/>
          <w:bCs/>
          <w:sz w:val="18"/>
        </w:rPr>
        <w:t xml:space="preserve">, </w:t>
      </w:r>
      <w:r>
        <w:rPr>
          <w:rFonts w:ascii="Palatino Linotype" w:hAnsi="Palatino Linotype"/>
          <w:bCs/>
          <w:i/>
          <w:sz w:val="18"/>
        </w:rPr>
        <w:t>48</w:t>
      </w:r>
      <w:r>
        <w:rPr>
          <w:rFonts w:ascii="Palatino Linotype" w:hAnsi="Palatino Linotype"/>
          <w:bCs/>
          <w:sz w:val="18"/>
        </w:rPr>
        <w:t>, 1354–1361</w:t>
      </w:r>
      <w:r w:rsidRPr="0040035D">
        <w:rPr>
          <w:rFonts w:ascii="Palatino Linotype" w:hAnsi="Palatino Linotype"/>
          <w:bCs/>
          <w:sz w:val="18"/>
        </w:rPr>
        <w:t>.</w:t>
      </w:r>
    </w:p>
    <w:p w14:paraId="2BD9C988"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bCs/>
          <w:sz w:val="18"/>
        </w:rPr>
      </w:pPr>
      <w:proofErr w:type="spellStart"/>
      <w:r w:rsidRPr="0040035D">
        <w:rPr>
          <w:rFonts w:ascii="Palatino Linotype" w:hAnsi="Palatino Linotype"/>
          <w:bCs/>
          <w:sz w:val="18"/>
        </w:rPr>
        <w:t>Noufflard</w:t>
      </w:r>
      <w:proofErr w:type="spellEnd"/>
      <w:r w:rsidRPr="0040035D">
        <w:rPr>
          <w:rFonts w:ascii="Palatino Linotype" w:hAnsi="Palatino Linotype"/>
          <w:bCs/>
          <w:sz w:val="18"/>
        </w:rPr>
        <w:t xml:space="preserve">, H.; </w:t>
      </w:r>
      <w:proofErr w:type="spellStart"/>
      <w:r w:rsidRPr="0040035D">
        <w:rPr>
          <w:rFonts w:ascii="Palatino Linotype" w:hAnsi="Palatino Linotype"/>
          <w:bCs/>
          <w:sz w:val="18"/>
        </w:rPr>
        <w:t>Berteaux</w:t>
      </w:r>
      <w:proofErr w:type="spellEnd"/>
      <w:r w:rsidRPr="0040035D">
        <w:rPr>
          <w:rFonts w:ascii="Palatino Linotype" w:hAnsi="Palatino Linotype"/>
          <w:bCs/>
          <w:sz w:val="18"/>
        </w:rPr>
        <w:t xml:space="preserve">, S. </w:t>
      </w:r>
      <w:proofErr w:type="spellStart"/>
      <w:r w:rsidRPr="0040035D">
        <w:rPr>
          <w:rFonts w:ascii="Palatino Linotype" w:hAnsi="Palatino Linotype"/>
          <w:bCs/>
          <w:sz w:val="18"/>
        </w:rPr>
        <w:t>Antituberculous</w:t>
      </w:r>
      <w:proofErr w:type="spellEnd"/>
      <w:r w:rsidRPr="0040035D">
        <w:rPr>
          <w:rFonts w:ascii="Palatino Linotype" w:hAnsi="Palatino Linotype"/>
          <w:bCs/>
          <w:sz w:val="18"/>
        </w:rPr>
        <w:t xml:space="preserve"> activity of compound B-663. </w:t>
      </w:r>
      <w:r w:rsidRPr="0040035D">
        <w:rPr>
          <w:rFonts w:ascii="Palatino Linotype" w:hAnsi="Palatino Linotype"/>
          <w:bCs/>
          <w:i/>
          <w:sz w:val="18"/>
        </w:rPr>
        <w:t>Ann</w:t>
      </w:r>
      <w:r>
        <w:rPr>
          <w:rFonts w:ascii="Palatino Linotype" w:hAnsi="Palatino Linotype"/>
          <w:bCs/>
          <w:i/>
          <w:sz w:val="18"/>
        </w:rPr>
        <w:t>.</w:t>
      </w:r>
      <w:r w:rsidRPr="0040035D">
        <w:rPr>
          <w:rFonts w:ascii="Palatino Linotype" w:hAnsi="Palatino Linotype"/>
          <w:bCs/>
          <w:i/>
          <w:sz w:val="18"/>
        </w:rPr>
        <w:t xml:space="preserve"> Inst</w:t>
      </w:r>
      <w:r>
        <w:rPr>
          <w:rFonts w:ascii="Palatino Linotype" w:hAnsi="Palatino Linotype"/>
          <w:bCs/>
          <w:i/>
          <w:sz w:val="18"/>
        </w:rPr>
        <w:t>.</w:t>
      </w:r>
      <w:r w:rsidRPr="0040035D">
        <w:rPr>
          <w:rFonts w:ascii="Palatino Linotype" w:hAnsi="Palatino Linotype"/>
          <w:bCs/>
          <w:i/>
          <w:sz w:val="18"/>
        </w:rPr>
        <w:t xml:space="preserve"> Pasteur</w:t>
      </w:r>
      <w:r>
        <w:rPr>
          <w:rFonts w:ascii="Palatino Linotype" w:hAnsi="Palatino Linotype"/>
          <w:bCs/>
          <w:i/>
          <w:sz w:val="18"/>
        </w:rPr>
        <w:t xml:space="preserve">. </w:t>
      </w:r>
      <w:r>
        <w:rPr>
          <w:rFonts w:ascii="Palatino Linotype" w:hAnsi="Palatino Linotype"/>
          <w:b/>
          <w:bCs/>
          <w:sz w:val="18"/>
        </w:rPr>
        <w:t>1958</w:t>
      </w:r>
      <w:r>
        <w:rPr>
          <w:rFonts w:ascii="Palatino Linotype" w:hAnsi="Palatino Linotype"/>
          <w:bCs/>
          <w:sz w:val="18"/>
        </w:rPr>
        <w:t xml:space="preserve">, </w:t>
      </w:r>
      <w:r>
        <w:rPr>
          <w:rFonts w:ascii="Palatino Linotype" w:hAnsi="Palatino Linotype"/>
          <w:bCs/>
          <w:i/>
          <w:sz w:val="18"/>
        </w:rPr>
        <w:t>95</w:t>
      </w:r>
      <w:r>
        <w:rPr>
          <w:rFonts w:ascii="Palatino Linotype" w:hAnsi="Palatino Linotype"/>
          <w:bCs/>
          <w:sz w:val="18"/>
        </w:rPr>
        <w:t>, 449–455</w:t>
      </w:r>
      <w:r w:rsidRPr="0040035D">
        <w:rPr>
          <w:rFonts w:ascii="Palatino Linotype" w:hAnsi="Palatino Linotype"/>
          <w:bCs/>
          <w:sz w:val="18"/>
        </w:rPr>
        <w:t>.</w:t>
      </w:r>
    </w:p>
    <w:p w14:paraId="5D15292A"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Dey, T.; </w:t>
      </w:r>
      <w:proofErr w:type="spellStart"/>
      <w:r w:rsidRPr="0040035D">
        <w:rPr>
          <w:rFonts w:ascii="Palatino Linotype" w:hAnsi="Palatino Linotype"/>
          <w:bCs/>
          <w:sz w:val="18"/>
        </w:rPr>
        <w:t>Brigden</w:t>
      </w:r>
      <w:proofErr w:type="spellEnd"/>
      <w:r w:rsidRPr="0040035D">
        <w:rPr>
          <w:rFonts w:ascii="Palatino Linotype" w:hAnsi="Palatino Linotype"/>
          <w:bCs/>
          <w:sz w:val="18"/>
        </w:rPr>
        <w:t xml:space="preserve">, G.; Cox, H.; </w:t>
      </w:r>
      <w:proofErr w:type="spellStart"/>
      <w:r w:rsidRPr="0040035D">
        <w:rPr>
          <w:rFonts w:ascii="Palatino Linotype" w:hAnsi="Palatino Linotype"/>
          <w:bCs/>
          <w:sz w:val="18"/>
        </w:rPr>
        <w:t>Shubber</w:t>
      </w:r>
      <w:proofErr w:type="spellEnd"/>
      <w:r w:rsidRPr="0040035D">
        <w:rPr>
          <w:rFonts w:ascii="Palatino Linotype" w:hAnsi="Palatino Linotype"/>
          <w:bCs/>
          <w:sz w:val="18"/>
        </w:rPr>
        <w:t xml:space="preserve">, Z.; Cooke, G.; Ford, N. Outcomes of clofazimine for the treatment of drug-resistant </w:t>
      </w:r>
      <w:r w:rsidRPr="00773E21">
        <w:rPr>
          <w:rFonts w:ascii="Palatino Linotype" w:hAnsi="Palatino Linotype"/>
          <w:bCs/>
          <w:sz w:val="18"/>
        </w:rPr>
        <w:t>tuberculosis: A systematic</w:t>
      </w:r>
      <w:r w:rsidRPr="0040035D">
        <w:rPr>
          <w:rFonts w:ascii="Palatino Linotype" w:hAnsi="Palatino Linotype"/>
          <w:bCs/>
          <w:sz w:val="18"/>
        </w:rPr>
        <w:t xml:space="preserve"> review and meta-analysis. </w:t>
      </w:r>
      <w:r>
        <w:rPr>
          <w:rFonts w:ascii="Palatino Linotype" w:hAnsi="Palatino Linotype"/>
          <w:bCs/>
          <w:i/>
          <w:sz w:val="18"/>
        </w:rPr>
        <w:t xml:space="preserve">J. </w:t>
      </w:r>
      <w:proofErr w:type="spellStart"/>
      <w:r>
        <w:rPr>
          <w:rFonts w:ascii="Palatino Linotype" w:hAnsi="Palatino Linotype"/>
          <w:bCs/>
          <w:i/>
          <w:sz w:val="18"/>
        </w:rPr>
        <w:t>Antimicrob</w:t>
      </w:r>
      <w:proofErr w:type="spellEnd"/>
      <w:r>
        <w:rPr>
          <w:rFonts w:ascii="Palatino Linotype" w:hAnsi="Palatino Linotype"/>
          <w:bCs/>
          <w:i/>
          <w:sz w:val="18"/>
        </w:rPr>
        <w:t xml:space="preserve">. Chemother. </w:t>
      </w:r>
      <w:r>
        <w:rPr>
          <w:rFonts w:ascii="Palatino Linotype" w:hAnsi="Palatino Linotype"/>
          <w:b/>
          <w:bCs/>
          <w:sz w:val="18"/>
        </w:rPr>
        <w:t>2012</w:t>
      </w:r>
      <w:r>
        <w:rPr>
          <w:rFonts w:ascii="Palatino Linotype" w:hAnsi="Palatino Linotype"/>
          <w:bCs/>
          <w:sz w:val="18"/>
        </w:rPr>
        <w:t xml:space="preserve">, </w:t>
      </w:r>
      <w:r>
        <w:rPr>
          <w:rFonts w:ascii="Palatino Linotype" w:hAnsi="Palatino Linotype"/>
          <w:bCs/>
          <w:i/>
          <w:sz w:val="18"/>
        </w:rPr>
        <w:t>68</w:t>
      </w:r>
      <w:r>
        <w:rPr>
          <w:rFonts w:ascii="Palatino Linotype" w:hAnsi="Palatino Linotype"/>
          <w:bCs/>
          <w:sz w:val="18"/>
        </w:rPr>
        <w:t>, 284–293</w:t>
      </w:r>
      <w:r w:rsidRPr="0040035D">
        <w:rPr>
          <w:rFonts w:ascii="Palatino Linotype" w:hAnsi="Palatino Linotype"/>
          <w:bCs/>
          <w:sz w:val="18"/>
        </w:rPr>
        <w:t>.</w:t>
      </w:r>
    </w:p>
    <w:p w14:paraId="0FD92A65" w14:textId="77777777" w:rsidR="006206C5" w:rsidRPr="00405609" w:rsidRDefault="006206C5" w:rsidP="006206C5">
      <w:pPr>
        <w:pStyle w:val="EndNoteBibliography"/>
        <w:numPr>
          <w:ilvl w:val="0"/>
          <w:numId w:val="42"/>
        </w:numPr>
        <w:adjustRightInd w:val="0"/>
        <w:snapToGrid w:val="0"/>
        <w:spacing w:after="0" w:line="228" w:lineRule="auto"/>
        <w:ind w:left="425" w:hanging="425"/>
        <w:jc w:val="both"/>
        <w:rPr>
          <w:bCs/>
          <w:sz w:val="18"/>
        </w:rPr>
      </w:pPr>
      <w:r w:rsidRPr="0040035D">
        <w:rPr>
          <w:rFonts w:ascii="Palatino Linotype" w:hAnsi="Palatino Linotype"/>
          <w:bCs/>
          <w:sz w:val="18"/>
        </w:rPr>
        <w:t xml:space="preserve">Nunn, A.J.; Phillips, P.P.J.; Meredith, S.K.; Chiang, C.-Y.; Conradie, F.; Dalai, D.; Van </w:t>
      </w:r>
      <w:proofErr w:type="spellStart"/>
      <w:r w:rsidRPr="0040035D">
        <w:rPr>
          <w:rFonts w:ascii="Palatino Linotype" w:hAnsi="Palatino Linotype"/>
          <w:bCs/>
          <w:sz w:val="18"/>
        </w:rPr>
        <w:t>Deun</w:t>
      </w:r>
      <w:proofErr w:type="spellEnd"/>
      <w:r w:rsidRPr="0040035D">
        <w:rPr>
          <w:rFonts w:ascii="Palatino Linotype" w:hAnsi="Palatino Linotype"/>
          <w:bCs/>
          <w:sz w:val="18"/>
        </w:rPr>
        <w:t xml:space="preserve">, A.; </w:t>
      </w:r>
      <w:proofErr w:type="spellStart"/>
      <w:r w:rsidRPr="0040035D">
        <w:rPr>
          <w:rFonts w:ascii="Palatino Linotype" w:hAnsi="Palatino Linotype"/>
          <w:bCs/>
          <w:sz w:val="18"/>
        </w:rPr>
        <w:t>Dat</w:t>
      </w:r>
      <w:proofErr w:type="spellEnd"/>
      <w:r w:rsidRPr="0040035D">
        <w:rPr>
          <w:rFonts w:ascii="Palatino Linotype" w:hAnsi="Palatino Linotype"/>
          <w:bCs/>
          <w:sz w:val="18"/>
        </w:rPr>
        <w:t xml:space="preserve">, P.-T.; Lan, N.; Master, I.; </w:t>
      </w:r>
      <w:r>
        <w:rPr>
          <w:rFonts w:ascii="Palatino Linotype" w:hAnsi="Palatino Linotype"/>
          <w:bCs/>
          <w:sz w:val="18"/>
        </w:rPr>
        <w:t xml:space="preserve">et al. </w:t>
      </w:r>
      <w:r w:rsidRPr="0040035D">
        <w:rPr>
          <w:rFonts w:ascii="Palatino Linotype" w:hAnsi="Palatino Linotype"/>
          <w:bCs/>
          <w:sz w:val="18"/>
        </w:rPr>
        <w:t>A Trial of a Shorter Regimen for Rifampin-Resistant Tuberculosis</w:t>
      </w:r>
      <w:r w:rsidRPr="00405609">
        <w:rPr>
          <w:rFonts w:ascii="Palatino Linotype" w:hAnsi="Palatino Linotype"/>
          <w:bCs/>
          <w:sz w:val="18"/>
        </w:rPr>
        <w:t xml:space="preserve">. </w:t>
      </w:r>
      <w:r w:rsidRPr="00405609">
        <w:rPr>
          <w:rFonts w:ascii="Palatino Linotype" w:hAnsi="Palatino Linotype"/>
          <w:bCs/>
          <w:i/>
          <w:sz w:val="18"/>
        </w:rPr>
        <w:t xml:space="preserve">N. Engl. J. Med. </w:t>
      </w:r>
      <w:r w:rsidRPr="00405609">
        <w:rPr>
          <w:rFonts w:ascii="Palatino Linotype" w:hAnsi="Palatino Linotype"/>
          <w:b/>
          <w:bCs/>
          <w:sz w:val="18"/>
        </w:rPr>
        <w:t>2019</w:t>
      </w:r>
      <w:r w:rsidRPr="00405609">
        <w:rPr>
          <w:rFonts w:ascii="Palatino Linotype" w:hAnsi="Palatino Linotype"/>
          <w:bCs/>
          <w:sz w:val="18"/>
        </w:rPr>
        <w:t xml:space="preserve">, </w:t>
      </w:r>
      <w:r w:rsidRPr="00405609">
        <w:rPr>
          <w:rFonts w:ascii="Palatino Linotype" w:hAnsi="Palatino Linotype"/>
          <w:bCs/>
          <w:i/>
          <w:sz w:val="18"/>
        </w:rPr>
        <w:t>380</w:t>
      </w:r>
      <w:r w:rsidRPr="00405609">
        <w:rPr>
          <w:rFonts w:ascii="Palatino Linotype" w:hAnsi="Palatino Linotype"/>
          <w:bCs/>
          <w:sz w:val="18"/>
        </w:rPr>
        <w:t>, 1201–1213.</w:t>
      </w:r>
    </w:p>
    <w:p w14:paraId="193C1B04"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5609">
        <w:rPr>
          <w:rFonts w:ascii="Palatino Linotype" w:hAnsi="Palatino Linotype"/>
          <w:bCs/>
          <w:sz w:val="18"/>
        </w:rPr>
        <w:lastRenderedPageBreak/>
        <w:t xml:space="preserve">Aung, K.J.; Van </w:t>
      </w:r>
      <w:proofErr w:type="spellStart"/>
      <w:r w:rsidRPr="00405609">
        <w:rPr>
          <w:rFonts w:ascii="Palatino Linotype" w:hAnsi="Palatino Linotype"/>
          <w:bCs/>
          <w:sz w:val="18"/>
        </w:rPr>
        <w:t>Deun</w:t>
      </w:r>
      <w:proofErr w:type="spellEnd"/>
      <w:r w:rsidRPr="00405609">
        <w:rPr>
          <w:rFonts w:ascii="Palatino Linotype" w:hAnsi="Palatino Linotype"/>
          <w:bCs/>
          <w:sz w:val="18"/>
        </w:rPr>
        <w:t xml:space="preserve">, A.; </w:t>
      </w:r>
      <w:proofErr w:type="spellStart"/>
      <w:r w:rsidRPr="00405609">
        <w:rPr>
          <w:rFonts w:ascii="Palatino Linotype" w:hAnsi="Palatino Linotype"/>
          <w:bCs/>
          <w:sz w:val="18"/>
        </w:rPr>
        <w:t>Declercq</w:t>
      </w:r>
      <w:proofErr w:type="spellEnd"/>
      <w:r w:rsidRPr="00405609">
        <w:rPr>
          <w:rFonts w:ascii="Palatino Linotype" w:hAnsi="Palatino Linotype"/>
          <w:bCs/>
          <w:sz w:val="18"/>
        </w:rPr>
        <w:t xml:space="preserve">, E.; </w:t>
      </w:r>
      <w:proofErr w:type="spellStart"/>
      <w:r w:rsidRPr="00405609">
        <w:rPr>
          <w:rFonts w:ascii="Palatino Linotype" w:hAnsi="Palatino Linotype"/>
          <w:bCs/>
          <w:sz w:val="18"/>
        </w:rPr>
        <w:t>Sarker</w:t>
      </w:r>
      <w:proofErr w:type="spellEnd"/>
      <w:r w:rsidRPr="00405609">
        <w:rPr>
          <w:rFonts w:ascii="Palatino Linotype" w:hAnsi="Palatino Linotype"/>
          <w:bCs/>
          <w:sz w:val="18"/>
        </w:rPr>
        <w:t xml:space="preserve">, M.R.; Das, P.K.; Hossain, M.A.; Rieder, H.L. Successful ‘9-month Bangladesh regimen’ for multidrug-resistant tuberculosis among over 500 consecutive patients. </w:t>
      </w:r>
      <w:r w:rsidRPr="00405609">
        <w:rPr>
          <w:rFonts w:ascii="Palatino Linotype" w:hAnsi="Palatino Linotype"/>
          <w:bCs/>
          <w:i/>
          <w:sz w:val="18"/>
        </w:rPr>
        <w:t xml:space="preserve">Int. J. </w:t>
      </w:r>
      <w:proofErr w:type="spellStart"/>
      <w:r w:rsidRPr="00405609">
        <w:rPr>
          <w:rFonts w:ascii="Palatino Linotype" w:hAnsi="Palatino Linotype"/>
          <w:bCs/>
          <w:i/>
          <w:sz w:val="18"/>
        </w:rPr>
        <w:t>Tuberc</w:t>
      </w:r>
      <w:proofErr w:type="spellEnd"/>
      <w:r w:rsidRPr="00405609">
        <w:rPr>
          <w:rFonts w:ascii="Palatino Linotype" w:hAnsi="Palatino Linotype"/>
          <w:bCs/>
          <w:i/>
          <w:sz w:val="18"/>
        </w:rPr>
        <w:t>. Lung. Dis</w:t>
      </w:r>
      <w:r>
        <w:rPr>
          <w:rFonts w:ascii="Palatino Linotype" w:hAnsi="Palatino Linotype"/>
          <w:bCs/>
          <w:i/>
          <w:sz w:val="18"/>
        </w:rPr>
        <w:t>.</w:t>
      </w:r>
      <w:r w:rsidRPr="0040035D">
        <w:rPr>
          <w:rFonts w:ascii="Palatino Linotype" w:hAnsi="Palatino Linotype"/>
          <w:bCs/>
          <w:sz w:val="18"/>
        </w:rPr>
        <w:t xml:space="preserve"> </w:t>
      </w:r>
      <w:r>
        <w:rPr>
          <w:rFonts w:ascii="Palatino Linotype" w:hAnsi="Palatino Linotype"/>
          <w:b/>
          <w:bCs/>
          <w:sz w:val="18"/>
        </w:rPr>
        <w:t>2014</w:t>
      </w:r>
      <w:r>
        <w:rPr>
          <w:rFonts w:ascii="Palatino Linotype" w:hAnsi="Palatino Linotype"/>
          <w:bCs/>
          <w:sz w:val="18"/>
        </w:rPr>
        <w:t xml:space="preserve">, </w:t>
      </w:r>
      <w:r>
        <w:rPr>
          <w:rFonts w:ascii="Palatino Linotype" w:hAnsi="Palatino Linotype"/>
          <w:bCs/>
          <w:i/>
          <w:sz w:val="18"/>
        </w:rPr>
        <w:t>18</w:t>
      </w:r>
      <w:r>
        <w:rPr>
          <w:rFonts w:ascii="Palatino Linotype" w:hAnsi="Palatino Linotype"/>
          <w:bCs/>
          <w:sz w:val="18"/>
        </w:rPr>
        <w:t>, 1180–1187</w:t>
      </w:r>
      <w:r w:rsidRPr="0040035D">
        <w:rPr>
          <w:rFonts w:ascii="Palatino Linotype" w:hAnsi="Palatino Linotype"/>
          <w:bCs/>
          <w:sz w:val="18"/>
        </w:rPr>
        <w:t>.</w:t>
      </w:r>
    </w:p>
    <w:p w14:paraId="31E53661"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proofErr w:type="spellStart"/>
      <w:r w:rsidRPr="0040035D">
        <w:rPr>
          <w:rFonts w:ascii="Palatino Linotype" w:hAnsi="Palatino Linotype"/>
          <w:bCs/>
          <w:sz w:val="18"/>
        </w:rPr>
        <w:t>Kaniga</w:t>
      </w:r>
      <w:proofErr w:type="spellEnd"/>
      <w:r w:rsidRPr="0040035D">
        <w:rPr>
          <w:rFonts w:ascii="Palatino Linotype" w:hAnsi="Palatino Linotype"/>
          <w:bCs/>
          <w:sz w:val="18"/>
        </w:rPr>
        <w:t xml:space="preserve">, K.; Cirillo, D.M.; </w:t>
      </w:r>
      <w:proofErr w:type="spellStart"/>
      <w:r w:rsidRPr="0040035D">
        <w:rPr>
          <w:rFonts w:ascii="Palatino Linotype" w:hAnsi="Palatino Linotype"/>
          <w:bCs/>
          <w:sz w:val="18"/>
        </w:rPr>
        <w:t>Hoffner</w:t>
      </w:r>
      <w:proofErr w:type="spellEnd"/>
      <w:r w:rsidRPr="0040035D">
        <w:rPr>
          <w:rFonts w:ascii="Palatino Linotype" w:hAnsi="Palatino Linotype"/>
          <w:bCs/>
          <w:sz w:val="18"/>
        </w:rPr>
        <w:t xml:space="preserve">, S.; Ismail, N.A.; Kaur, D.; </w:t>
      </w:r>
      <w:proofErr w:type="spellStart"/>
      <w:r w:rsidRPr="0040035D">
        <w:rPr>
          <w:rFonts w:ascii="Palatino Linotype" w:hAnsi="Palatino Linotype"/>
          <w:bCs/>
          <w:sz w:val="18"/>
        </w:rPr>
        <w:t>Lounis</w:t>
      </w:r>
      <w:proofErr w:type="spellEnd"/>
      <w:r w:rsidRPr="0040035D">
        <w:rPr>
          <w:rFonts w:ascii="Palatino Linotype" w:hAnsi="Palatino Linotype"/>
          <w:bCs/>
          <w:sz w:val="18"/>
        </w:rPr>
        <w:t xml:space="preserve">, N.; </w:t>
      </w:r>
      <w:proofErr w:type="spellStart"/>
      <w:r w:rsidRPr="0040035D">
        <w:rPr>
          <w:rFonts w:ascii="Palatino Linotype" w:hAnsi="Palatino Linotype"/>
          <w:bCs/>
          <w:sz w:val="18"/>
        </w:rPr>
        <w:t>Metchock</w:t>
      </w:r>
      <w:proofErr w:type="spellEnd"/>
      <w:r w:rsidRPr="0040035D">
        <w:rPr>
          <w:rFonts w:ascii="Palatino Linotype" w:hAnsi="Palatino Linotype"/>
          <w:bCs/>
          <w:sz w:val="18"/>
        </w:rPr>
        <w:t xml:space="preserve">, B.; </w:t>
      </w:r>
      <w:proofErr w:type="spellStart"/>
      <w:r w:rsidRPr="0040035D">
        <w:rPr>
          <w:rFonts w:ascii="Palatino Linotype" w:hAnsi="Palatino Linotype"/>
          <w:bCs/>
          <w:sz w:val="18"/>
        </w:rPr>
        <w:t>Pfyffer</w:t>
      </w:r>
      <w:proofErr w:type="spellEnd"/>
      <w:r w:rsidRPr="0040035D">
        <w:rPr>
          <w:rFonts w:ascii="Palatino Linotype" w:hAnsi="Palatino Linotype"/>
          <w:bCs/>
          <w:sz w:val="18"/>
        </w:rPr>
        <w:t xml:space="preserve">, G.E.; Venter, A. A </w:t>
      </w:r>
      <w:proofErr w:type="spellStart"/>
      <w:r w:rsidRPr="0040035D">
        <w:rPr>
          <w:rFonts w:ascii="Palatino Linotype" w:hAnsi="Palatino Linotype"/>
          <w:bCs/>
          <w:sz w:val="18"/>
        </w:rPr>
        <w:t>Multilaboratory</w:t>
      </w:r>
      <w:proofErr w:type="spellEnd"/>
      <w:r w:rsidRPr="0040035D">
        <w:rPr>
          <w:rFonts w:ascii="Palatino Linotype" w:hAnsi="Palatino Linotype"/>
          <w:bCs/>
          <w:sz w:val="18"/>
        </w:rPr>
        <w:t xml:space="preserve">, </w:t>
      </w:r>
      <w:proofErr w:type="spellStart"/>
      <w:r w:rsidRPr="0040035D">
        <w:rPr>
          <w:rFonts w:ascii="Palatino Linotype" w:hAnsi="Palatino Linotype"/>
          <w:bCs/>
          <w:sz w:val="18"/>
        </w:rPr>
        <w:t>Multicountry</w:t>
      </w:r>
      <w:proofErr w:type="spellEnd"/>
      <w:r w:rsidRPr="0040035D">
        <w:rPr>
          <w:rFonts w:ascii="Palatino Linotype" w:hAnsi="Palatino Linotype"/>
          <w:bCs/>
          <w:sz w:val="18"/>
        </w:rPr>
        <w:t xml:space="preserve"> Study </w:t>
      </w:r>
      <w:proofErr w:type="gramStart"/>
      <w:r w:rsidRPr="0040035D">
        <w:rPr>
          <w:rFonts w:ascii="Palatino Linotype" w:hAnsi="Palatino Linotype"/>
          <w:bCs/>
          <w:sz w:val="18"/>
        </w:rPr>
        <w:t>To</w:t>
      </w:r>
      <w:proofErr w:type="gramEnd"/>
      <w:r w:rsidRPr="0040035D">
        <w:rPr>
          <w:rFonts w:ascii="Palatino Linotype" w:hAnsi="Palatino Linotype"/>
          <w:bCs/>
          <w:sz w:val="18"/>
        </w:rPr>
        <w:t xml:space="preserve"> Determine MIC Quality Control Ranges for Phenotypic Drug Susceptibility Testing of Selected First-Line Antituberculosis Drugs, Second-Line Injectables, Fluoroquinolones, Clofazimine, and Linezolid. </w:t>
      </w:r>
      <w:r>
        <w:rPr>
          <w:rFonts w:ascii="Palatino Linotype" w:hAnsi="Palatino Linotype"/>
          <w:bCs/>
          <w:i/>
          <w:sz w:val="18"/>
        </w:rPr>
        <w:t xml:space="preserve">J. Clin. Microbiol. </w:t>
      </w:r>
      <w:r>
        <w:rPr>
          <w:rFonts w:ascii="Palatino Linotype" w:hAnsi="Palatino Linotype"/>
          <w:b/>
          <w:bCs/>
          <w:sz w:val="18"/>
        </w:rPr>
        <w:t>2016</w:t>
      </w:r>
      <w:r>
        <w:rPr>
          <w:rFonts w:ascii="Palatino Linotype" w:hAnsi="Palatino Linotype"/>
          <w:bCs/>
          <w:sz w:val="18"/>
        </w:rPr>
        <w:t xml:space="preserve">, </w:t>
      </w:r>
      <w:r>
        <w:rPr>
          <w:rFonts w:ascii="Palatino Linotype" w:hAnsi="Palatino Linotype"/>
          <w:bCs/>
          <w:i/>
          <w:sz w:val="18"/>
        </w:rPr>
        <w:t>54</w:t>
      </w:r>
      <w:r>
        <w:rPr>
          <w:rFonts w:ascii="Palatino Linotype" w:hAnsi="Palatino Linotype"/>
          <w:bCs/>
          <w:sz w:val="18"/>
        </w:rPr>
        <w:t>, 2963–2968</w:t>
      </w:r>
      <w:r w:rsidRPr="0040035D">
        <w:rPr>
          <w:rFonts w:ascii="Palatino Linotype" w:hAnsi="Palatino Linotype"/>
          <w:bCs/>
          <w:sz w:val="18"/>
        </w:rPr>
        <w:t>.</w:t>
      </w:r>
    </w:p>
    <w:p w14:paraId="4163FD7B"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r w:rsidRPr="0040035D">
        <w:rPr>
          <w:rFonts w:ascii="Palatino Linotype" w:hAnsi="Palatino Linotype"/>
          <w:bCs/>
          <w:sz w:val="18"/>
        </w:rPr>
        <w:t xml:space="preserve">Pang, Y.; </w:t>
      </w:r>
      <w:proofErr w:type="spellStart"/>
      <w:r w:rsidRPr="0040035D">
        <w:rPr>
          <w:rFonts w:ascii="Palatino Linotype" w:hAnsi="Palatino Linotype"/>
          <w:bCs/>
          <w:sz w:val="18"/>
        </w:rPr>
        <w:t>Zong</w:t>
      </w:r>
      <w:proofErr w:type="spellEnd"/>
      <w:r w:rsidRPr="0040035D">
        <w:rPr>
          <w:rFonts w:ascii="Palatino Linotype" w:hAnsi="Palatino Linotype"/>
          <w:bCs/>
          <w:sz w:val="18"/>
        </w:rPr>
        <w:t xml:space="preserve">, Z.; </w:t>
      </w:r>
      <w:proofErr w:type="spellStart"/>
      <w:r w:rsidRPr="0040035D">
        <w:rPr>
          <w:rFonts w:ascii="Palatino Linotype" w:hAnsi="Palatino Linotype"/>
          <w:bCs/>
          <w:sz w:val="18"/>
        </w:rPr>
        <w:t>Huo</w:t>
      </w:r>
      <w:proofErr w:type="spellEnd"/>
      <w:r w:rsidRPr="0040035D">
        <w:rPr>
          <w:rFonts w:ascii="Palatino Linotype" w:hAnsi="Palatino Linotype"/>
          <w:bCs/>
          <w:sz w:val="18"/>
        </w:rPr>
        <w:t xml:space="preserve">, F.; Jing, W.; Ma, Y.; Dong, L.; Li, Y.; Zhao, L.; Fu, Y.; Huang, H. Drug Susceptibility of </w:t>
      </w:r>
      <w:proofErr w:type="spellStart"/>
      <w:r w:rsidRPr="0040035D">
        <w:rPr>
          <w:rFonts w:ascii="Palatino Linotype" w:hAnsi="Palatino Linotype"/>
          <w:bCs/>
          <w:sz w:val="18"/>
        </w:rPr>
        <w:t>Bedaquiline</w:t>
      </w:r>
      <w:proofErr w:type="spellEnd"/>
      <w:r w:rsidRPr="0040035D">
        <w:rPr>
          <w:rFonts w:ascii="Palatino Linotype" w:hAnsi="Palatino Linotype"/>
          <w:bCs/>
          <w:sz w:val="18"/>
        </w:rPr>
        <w:t xml:space="preserve">, </w:t>
      </w:r>
      <w:proofErr w:type="spellStart"/>
      <w:r w:rsidRPr="0040035D">
        <w:rPr>
          <w:rFonts w:ascii="Palatino Linotype" w:hAnsi="Palatino Linotype"/>
          <w:bCs/>
          <w:sz w:val="18"/>
        </w:rPr>
        <w:t>Delamanid</w:t>
      </w:r>
      <w:proofErr w:type="spellEnd"/>
      <w:r w:rsidRPr="0040035D">
        <w:rPr>
          <w:rFonts w:ascii="Palatino Linotype" w:hAnsi="Palatino Linotype"/>
          <w:bCs/>
          <w:sz w:val="18"/>
        </w:rPr>
        <w:t xml:space="preserve">, Linezolid, Clofazimine, Moxifloxacin, and </w:t>
      </w:r>
      <w:proofErr w:type="spellStart"/>
      <w:r w:rsidRPr="0040035D">
        <w:rPr>
          <w:rFonts w:ascii="Palatino Linotype" w:hAnsi="Palatino Linotype"/>
          <w:bCs/>
          <w:sz w:val="18"/>
        </w:rPr>
        <w:t>Gatifloxacin</w:t>
      </w:r>
      <w:proofErr w:type="spellEnd"/>
      <w:r w:rsidRPr="0040035D">
        <w:rPr>
          <w:rFonts w:ascii="Palatino Linotype" w:hAnsi="Palatino Linotype"/>
          <w:bCs/>
          <w:sz w:val="18"/>
        </w:rPr>
        <w:t xml:space="preserve"> against Extensively Drug-Resistant Tuberculosis in Beijing, China. </w:t>
      </w:r>
      <w:proofErr w:type="spellStart"/>
      <w:r>
        <w:rPr>
          <w:rFonts w:ascii="Palatino Linotype" w:hAnsi="Palatino Linotype"/>
          <w:bCs/>
          <w:i/>
          <w:sz w:val="18"/>
        </w:rPr>
        <w:t>Antimicrob</w:t>
      </w:r>
      <w:proofErr w:type="spellEnd"/>
      <w:r>
        <w:rPr>
          <w:rFonts w:ascii="Palatino Linotype" w:hAnsi="Palatino Linotype"/>
          <w:bCs/>
          <w:i/>
          <w:sz w:val="18"/>
        </w:rPr>
        <w:t xml:space="preserve">. </w:t>
      </w:r>
      <w:r w:rsidRPr="00644F0E">
        <w:rPr>
          <w:rFonts w:ascii="Palatino Linotype" w:hAnsi="Palatino Linotype"/>
          <w:bCs/>
          <w:i/>
          <w:sz w:val="18"/>
        </w:rPr>
        <w:t xml:space="preserve">Agents </w:t>
      </w:r>
      <w:r>
        <w:rPr>
          <w:rFonts w:ascii="Palatino Linotype" w:hAnsi="Palatino Linotype"/>
          <w:bCs/>
          <w:i/>
          <w:sz w:val="18"/>
        </w:rPr>
        <w:t xml:space="preserve">Chemother. </w:t>
      </w:r>
      <w:r>
        <w:rPr>
          <w:rFonts w:ascii="Palatino Linotype" w:hAnsi="Palatino Linotype"/>
          <w:b/>
          <w:bCs/>
          <w:sz w:val="18"/>
        </w:rPr>
        <w:t>2017</w:t>
      </w:r>
      <w:r>
        <w:rPr>
          <w:rFonts w:ascii="Palatino Linotype" w:hAnsi="Palatino Linotype"/>
          <w:bCs/>
          <w:sz w:val="18"/>
        </w:rPr>
        <w:t xml:space="preserve">, </w:t>
      </w:r>
      <w:r>
        <w:rPr>
          <w:rFonts w:ascii="Palatino Linotype" w:hAnsi="Palatino Linotype"/>
          <w:bCs/>
          <w:i/>
          <w:sz w:val="18"/>
        </w:rPr>
        <w:t>61</w:t>
      </w:r>
      <w:r>
        <w:rPr>
          <w:rFonts w:ascii="Palatino Linotype" w:hAnsi="Palatino Linotype"/>
          <w:bCs/>
          <w:sz w:val="18"/>
        </w:rPr>
        <w:t>, e00900-17</w:t>
      </w:r>
      <w:r w:rsidRPr="0040035D">
        <w:rPr>
          <w:rFonts w:ascii="Palatino Linotype" w:hAnsi="Palatino Linotype"/>
          <w:bCs/>
          <w:sz w:val="18"/>
        </w:rPr>
        <w:t>.</w:t>
      </w:r>
    </w:p>
    <w:p w14:paraId="34003425" w14:textId="5BEA9DDC" w:rsidR="006206C5" w:rsidRPr="0040035D" w:rsidRDefault="006206C5" w:rsidP="006206C5">
      <w:pPr>
        <w:pStyle w:val="ListParagraph"/>
        <w:numPr>
          <w:ilvl w:val="0"/>
          <w:numId w:val="42"/>
        </w:numPr>
        <w:shd w:val="clear" w:color="auto" w:fill="FFFFFF"/>
        <w:adjustRightInd w:val="0"/>
        <w:snapToGrid w:val="0"/>
        <w:spacing w:line="228" w:lineRule="auto"/>
        <w:ind w:left="425" w:hanging="425"/>
        <w:rPr>
          <w:rFonts w:eastAsia="Times New Roman" w:cs="Segoe UI"/>
          <w:bCs/>
          <w:color w:val="auto"/>
          <w:sz w:val="18"/>
          <w:lang w:eastAsia="en-GB"/>
        </w:rPr>
      </w:pPr>
      <w:r w:rsidRPr="0040035D">
        <w:rPr>
          <w:rFonts w:eastAsia="Times New Roman"/>
          <w:bCs/>
          <w:color w:val="auto"/>
          <w:kern w:val="36"/>
          <w:sz w:val="18"/>
          <w:lang w:eastAsia="en-GB"/>
        </w:rPr>
        <w:t>Maurer, F</w:t>
      </w:r>
      <w:r>
        <w:rPr>
          <w:rFonts w:eastAsia="Times New Roman"/>
          <w:bCs/>
          <w:color w:val="auto"/>
          <w:kern w:val="36"/>
          <w:sz w:val="18"/>
          <w:lang w:eastAsia="en-GB"/>
        </w:rPr>
        <w:t>.</w:t>
      </w:r>
      <w:r w:rsidRPr="0040035D">
        <w:rPr>
          <w:rFonts w:eastAsia="Times New Roman"/>
          <w:bCs/>
          <w:color w:val="auto"/>
          <w:kern w:val="36"/>
          <w:sz w:val="18"/>
          <w:lang w:eastAsia="en-GB"/>
        </w:rPr>
        <w:t>P</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Shubladze</w:t>
      </w:r>
      <w:proofErr w:type="spellEnd"/>
      <w:r w:rsidRPr="0040035D">
        <w:rPr>
          <w:rFonts w:eastAsia="Times New Roman"/>
          <w:bCs/>
          <w:color w:val="auto"/>
          <w:kern w:val="36"/>
          <w:sz w:val="18"/>
          <w:lang w:eastAsia="en-GB"/>
        </w:rPr>
        <w:t>, N</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Kalmambetova</w:t>
      </w:r>
      <w:proofErr w:type="spellEnd"/>
      <w:r w:rsidRPr="0040035D">
        <w:rPr>
          <w:rFonts w:eastAsia="Times New Roman"/>
          <w:bCs/>
          <w:color w:val="auto"/>
          <w:kern w:val="36"/>
          <w:sz w:val="18"/>
          <w:lang w:eastAsia="en-GB"/>
        </w:rPr>
        <w:t>, G</w:t>
      </w:r>
      <w:r>
        <w:rPr>
          <w:rFonts w:eastAsia="Times New Roman"/>
          <w:bCs/>
          <w:color w:val="auto"/>
          <w:kern w:val="36"/>
          <w:sz w:val="18"/>
          <w:lang w:eastAsia="en-GB"/>
        </w:rPr>
        <w:t>.;</w:t>
      </w:r>
      <w:r w:rsidRPr="0040035D">
        <w:rPr>
          <w:rFonts w:eastAsia="Times New Roman"/>
          <w:bCs/>
          <w:color w:val="auto"/>
          <w:kern w:val="36"/>
          <w:sz w:val="18"/>
          <w:lang w:eastAsia="en-GB"/>
        </w:rPr>
        <w:t xml:space="preserve"> Felker, I</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Kuchukhidze</w:t>
      </w:r>
      <w:proofErr w:type="spellEnd"/>
      <w:r w:rsidRPr="0040035D">
        <w:rPr>
          <w:rFonts w:eastAsia="Times New Roman"/>
          <w:bCs/>
          <w:color w:val="auto"/>
          <w:kern w:val="36"/>
          <w:sz w:val="18"/>
          <w:lang w:eastAsia="en-GB"/>
        </w:rPr>
        <w:t>, G</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Koser</w:t>
      </w:r>
      <w:proofErr w:type="spellEnd"/>
      <w:r w:rsidRPr="0040035D">
        <w:rPr>
          <w:rFonts w:eastAsia="Times New Roman"/>
          <w:bCs/>
          <w:color w:val="auto"/>
          <w:kern w:val="36"/>
          <w:sz w:val="18"/>
          <w:lang w:eastAsia="en-GB"/>
        </w:rPr>
        <w:t>, C</w:t>
      </w:r>
      <w:r>
        <w:rPr>
          <w:rFonts w:eastAsia="Times New Roman"/>
          <w:bCs/>
          <w:color w:val="auto"/>
          <w:kern w:val="36"/>
          <w:sz w:val="18"/>
          <w:lang w:eastAsia="en-GB"/>
        </w:rPr>
        <w:t>.</w:t>
      </w:r>
      <w:r w:rsidRPr="0040035D">
        <w:rPr>
          <w:rFonts w:eastAsia="Times New Roman"/>
          <w:bCs/>
          <w:color w:val="auto"/>
          <w:kern w:val="36"/>
          <w:sz w:val="18"/>
          <w:lang w:eastAsia="en-GB"/>
        </w:rPr>
        <w:t>U</w:t>
      </w:r>
      <w:r>
        <w:rPr>
          <w:rFonts w:eastAsia="Times New Roman"/>
          <w:bCs/>
          <w:color w:val="auto"/>
          <w:kern w:val="36"/>
          <w:sz w:val="18"/>
          <w:lang w:eastAsia="en-GB"/>
        </w:rPr>
        <w:t>.;</w:t>
      </w:r>
      <w:r w:rsidRPr="0040035D">
        <w:rPr>
          <w:rFonts w:eastAsia="Times New Roman"/>
          <w:bCs/>
          <w:color w:val="auto"/>
          <w:kern w:val="36"/>
          <w:sz w:val="18"/>
          <w:lang w:eastAsia="en-GB"/>
        </w:rPr>
        <w:t xml:space="preserve"> Cirillo, D</w:t>
      </w:r>
      <w:r>
        <w:rPr>
          <w:rFonts w:eastAsia="Times New Roman"/>
          <w:bCs/>
          <w:color w:val="auto"/>
          <w:kern w:val="36"/>
          <w:sz w:val="18"/>
          <w:lang w:eastAsia="en-GB"/>
        </w:rPr>
        <w:t>.</w:t>
      </w:r>
      <w:r w:rsidRPr="0040035D">
        <w:rPr>
          <w:rFonts w:eastAsia="Times New Roman"/>
          <w:bCs/>
          <w:color w:val="auto"/>
          <w:kern w:val="36"/>
          <w:sz w:val="18"/>
          <w:lang w:eastAsia="en-GB"/>
        </w:rPr>
        <w:t>M</w:t>
      </w:r>
      <w:r>
        <w:rPr>
          <w:rFonts w:eastAsia="Times New Roman"/>
          <w:bCs/>
          <w:color w:val="auto"/>
          <w:kern w:val="36"/>
          <w:sz w:val="18"/>
          <w:lang w:eastAsia="en-GB"/>
        </w:rPr>
        <w:t>.;</w:t>
      </w:r>
      <w:r w:rsidRPr="0040035D">
        <w:rPr>
          <w:rFonts w:eastAsia="Times New Roman"/>
          <w:bCs/>
          <w:color w:val="auto"/>
          <w:kern w:val="36"/>
          <w:sz w:val="18"/>
          <w:lang w:eastAsia="en-GB"/>
        </w:rPr>
        <w:t xml:space="preserve"> Drobniewski, F</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Yedilbayev</w:t>
      </w:r>
      <w:proofErr w:type="spellEnd"/>
      <w:r w:rsidRPr="0040035D">
        <w:rPr>
          <w:rFonts w:eastAsia="Times New Roman"/>
          <w:bCs/>
          <w:color w:val="auto"/>
          <w:kern w:val="36"/>
          <w:sz w:val="18"/>
          <w:lang w:eastAsia="en-GB"/>
        </w:rPr>
        <w:t>, A</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proofErr w:type="spellStart"/>
      <w:r w:rsidRPr="0040035D">
        <w:rPr>
          <w:rFonts w:eastAsia="Times New Roman"/>
          <w:bCs/>
          <w:color w:val="auto"/>
          <w:kern w:val="36"/>
          <w:sz w:val="18"/>
          <w:lang w:eastAsia="en-GB"/>
        </w:rPr>
        <w:t>Ehsani</w:t>
      </w:r>
      <w:proofErr w:type="spellEnd"/>
      <w:r w:rsidRPr="0040035D">
        <w:rPr>
          <w:rFonts w:eastAsia="Times New Roman"/>
          <w:bCs/>
          <w:color w:val="auto"/>
          <w:kern w:val="36"/>
          <w:sz w:val="18"/>
          <w:lang w:eastAsia="en-GB"/>
        </w:rPr>
        <w:t>, S</w:t>
      </w:r>
      <w:r>
        <w:rPr>
          <w:rFonts w:eastAsia="Times New Roman"/>
          <w:bCs/>
          <w:color w:val="auto"/>
          <w:kern w:val="36"/>
          <w:sz w:val="18"/>
          <w:lang w:eastAsia="en-GB"/>
        </w:rPr>
        <w:t>.;</w:t>
      </w:r>
      <w:r w:rsidRPr="0040035D">
        <w:rPr>
          <w:rFonts w:eastAsia="Times New Roman"/>
          <w:bCs/>
          <w:color w:val="auto"/>
          <w:kern w:val="36"/>
          <w:sz w:val="18"/>
          <w:lang w:eastAsia="en-GB"/>
        </w:rPr>
        <w:t xml:space="preserve"> </w:t>
      </w:r>
      <w:r>
        <w:rPr>
          <w:rFonts w:eastAsia="Times New Roman"/>
          <w:bCs/>
          <w:color w:val="auto"/>
          <w:kern w:val="36"/>
          <w:sz w:val="18"/>
          <w:lang w:eastAsia="en-GB"/>
        </w:rPr>
        <w:t xml:space="preserve">et al. </w:t>
      </w:r>
      <w:r w:rsidRPr="0040035D">
        <w:rPr>
          <w:rFonts w:eastAsia="Times New Roman"/>
          <w:bCs/>
          <w:color w:val="auto"/>
          <w:kern w:val="36"/>
          <w:sz w:val="18"/>
          <w:lang w:eastAsia="en-GB"/>
        </w:rPr>
        <w:t xml:space="preserve">Diagnostic Capacities for Multidrug-Resistant Tuberculosis in the World Health Organization European Region: Action is Needed by all Member States. </w:t>
      </w:r>
      <w:r>
        <w:rPr>
          <w:rFonts w:eastAsia="Times New Roman"/>
          <w:bCs/>
          <w:i/>
          <w:color w:val="auto"/>
          <w:kern w:val="36"/>
          <w:sz w:val="18"/>
          <w:lang w:eastAsia="en-GB"/>
        </w:rPr>
        <w:t xml:space="preserve">J. Mol. </w:t>
      </w:r>
      <w:r w:rsidRPr="006206C5">
        <w:rPr>
          <w:rFonts w:eastAsia="Times New Roman"/>
          <w:bCs/>
          <w:i/>
          <w:color w:val="auto"/>
          <w:kern w:val="36"/>
          <w:sz w:val="18"/>
          <w:lang w:eastAsia="en-GB"/>
        </w:rPr>
        <w:t xml:space="preserve">Diagn. </w:t>
      </w:r>
      <w:r w:rsidRPr="006206C5">
        <w:rPr>
          <w:rFonts w:eastAsia="Times New Roman" w:cs="Segoe UI"/>
          <w:b/>
          <w:color w:val="auto"/>
          <w:sz w:val="18"/>
          <w:lang w:eastAsia="en-GB"/>
        </w:rPr>
        <w:t>2022</w:t>
      </w:r>
      <w:r w:rsidRPr="006206C5">
        <w:rPr>
          <w:rFonts w:eastAsia="Times New Roman" w:cs="Segoe UI"/>
          <w:bCs/>
          <w:color w:val="auto"/>
          <w:sz w:val="18"/>
          <w:lang w:eastAsia="en-GB"/>
        </w:rPr>
        <w:t xml:space="preserve">, S1525-1578(22)00219-7, </w:t>
      </w:r>
      <w:proofErr w:type="gramStart"/>
      <w:r w:rsidRPr="006206C5">
        <w:rPr>
          <w:rFonts w:eastAsia="Times New Roman" w:cs="Segoe UI"/>
          <w:bCs/>
          <w:color w:val="auto"/>
          <w:sz w:val="18"/>
          <w:lang w:eastAsia="en-GB"/>
        </w:rPr>
        <w:t>doi:10.1016/j.jmoldx</w:t>
      </w:r>
      <w:proofErr w:type="gramEnd"/>
      <w:r w:rsidRPr="006206C5">
        <w:rPr>
          <w:rFonts w:eastAsia="Times New Roman" w:cs="Segoe UI"/>
          <w:bCs/>
          <w:color w:val="auto"/>
          <w:sz w:val="18"/>
          <w:lang w:eastAsia="en-GB"/>
        </w:rPr>
        <w:t>.2022.07.005.</w:t>
      </w:r>
    </w:p>
    <w:p w14:paraId="06DD4ED4" w14:textId="77777777" w:rsidR="006206C5" w:rsidRPr="0040035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bCs/>
          <w:sz w:val="18"/>
        </w:rPr>
      </w:pPr>
      <w:proofErr w:type="spellStart"/>
      <w:r w:rsidRPr="0040035D">
        <w:rPr>
          <w:rFonts w:ascii="Palatino Linotype" w:hAnsi="Palatino Linotype"/>
          <w:bCs/>
          <w:sz w:val="18"/>
        </w:rPr>
        <w:t>Broekhuysen</w:t>
      </w:r>
      <w:proofErr w:type="spellEnd"/>
      <w:r w:rsidRPr="0040035D">
        <w:rPr>
          <w:rFonts w:ascii="Palatino Linotype" w:hAnsi="Palatino Linotype"/>
          <w:bCs/>
          <w:sz w:val="18"/>
        </w:rPr>
        <w:t xml:space="preserve">, J.; </w:t>
      </w:r>
      <w:proofErr w:type="spellStart"/>
      <w:r w:rsidRPr="0040035D">
        <w:rPr>
          <w:rFonts w:ascii="Palatino Linotype" w:hAnsi="Palatino Linotype"/>
          <w:bCs/>
          <w:sz w:val="18"/>
        </w:rPr>
        <w:t>Stockis</w:t>
      </w:r>
      <w:proofErr w:type="spellEnd"/>
      <w:r w:rsidRPr="0040035D">
        <w:rPr>
          <w:rFonts w:ascii="Palatino Linotype" w:hAnsi="Palatino Linotype"/>
          <w:bCs/>
          <w:sz w:val="18"/>
        </w:rPr>
        <w:t xml:space="preserve">, A.; </w:t>
      </w:r>
      <w:proofErr w:type="spellStart"/>
      <w:r w:rsidRPr="0040035D">
        <w:rPr>
          <w:rFonts w:ascii="Palatino Linotype" w:hAnsi="Palatino Linotype"/>
          <w:bCs/>
          <w:sz w:val="18"/>
        </w:rPr>
        <w:t>Lins</w:t>
      </w:r>
      <w:proofErr w:type="spellEnd"/>
      <w:r w:rsidRPr="0040035D">
        <w:rPr>
          <w:rFonts w:ascii="Palatino Linotype" w:hAnsi="Palatino Linotype"/>
          <w:bCs/>
          <w:sz w:val="18"/>
        </w:rPr>
        <w:t xml:space="preserve">, R.L.; De </w:t>
      </w:r>
      <w:proofErr w:type="spellStart"/>
      <w:r w:rsidRPr="0040035D">
        <w:rPr>
          <w:rFonts w:ascii="Palatino Linotype" w:hAnsi="Palatino Linotype"/>
          <w:bCs/>
          <w:sz w:val="18"/>
        </w:rPr>
        <w:t>Graeve</w:t>
      </w:r>
      <w:proofErr w:type="spellEnd"/>
      <w:r w:rsidRPr="0040035D">
        <w:rPr>
          <w:rFonts w:ascii="Palatino Linotype" w:hAnsi="Palatino Linotype"/>
          <w:bCs/>
          <w:sz w:val="18"/>
        </w:rPr>
        <w:t xml:space="preserve">, J.; Rossignol, J.F. </w:t>
      </w:r>
      <w:r w:rsidRPr="005C7AFD">
        <w:rPr>
          <w:rFonts w:ascii="Palatino Linotype" w:hAnsi="Palatino Linotype"/>
          <w:bCs/>
          <w:sz w:val="18"/>
        </w:rPr>
        <w:t>Nitazoxanide: Pharmacokinetics and</w:t>
      </w:r>
      <w:r w:rsidRPr="0040035D">
        <w:rPr>
          <w:rFonts w:ascii="Palatino Linotype" w:hAnsi="Palatino Linotype"/>
          <w:bCs/>
          <w:sz w:val="18"/>
        </w:rPr>
        <w:t xml:space="preserve"> metabolism in man. </w:t>
      </w:r>
      <w:r w:rsidRPr="0040035D">
        <w:rPr>
          <w:rFonts w:ascii="Palatino Linotype" w:hAnsi="Palatino Linotype"/>
          <w:bCs/>
          <w:i/>
          <w:sz w:val="18"/>
        </w:rPr>
        <w:t>Int</w:t>
      </w:r>
      <w:r>
        <w:rPr>
          <w:rFonts w:ascii="Palatino Linotype" w:hAnsi="Palatino Linotype"/>
          <w:bCs/>
          <w:i/>
          <w:sz w:val="18"/>
        </w:rPr>
        <w:t>.</w:t>
      </w:r>
      <w:r w:rsidRPr="0040035D">
        <w:rPr>
          <w:rFonts w:ascii="Palatino Linotype" w:hAnsi="Palatino Linotype"/>
          <w:bCs/>
          <w:i/>
          <w:sz w:val="18"/>
        </w:rPr>
        <w:t xml:space="preserve"> J</w:t>
      </w:r>
      <w:r>
        <w:rPr>
          <w:rFonts w:ascii="Palatino Linotype" w:hAnsi="Palatino Linotype"/>
          <w:bCs/>
          <w:i/>
          <w:sz w:val="18"/>
        </w:rPr>
        <w:t>.</w:t>
      </w:r>
      <w:r w:rsidRPr="0040035D">
        <w:rPr>
          <w:rFonts w:ascii="Palatino Linotype" w:hAnsi="Palatino Linotype"/>
          <w:bCs/>
          <w:i/>
          <w:sz w:val="18"/>
        </w:rPr>
        <w:t xml:space="preserve"> Clin</w:t>
      </w:r>
      <w:r>
        <w:rPr>
          <w:rFonts w:ascii="Palatino Linotype" w:hAnsi="Palatino Linotype"/>
          <w:bCs/>
          <w:i/>
          <w:sz w:val="18"/>
        </w:rPr>
        <w:t>.</w:t>
      </w:r>
      <w:r w:rsidRPr="0040035D">
        <w:rPr>
          <w:rFonts w:ascii="Palatino Linotype" w:hAnsi="Palatino Linotype"/>
          <w:bCs/>
          <w:i/>
          <w:sz w:val="18"/>
        </w:rPr>
        <w:t xml:space="preserve"> </w:t>
      </w:r>
      <w:proofErr w:type="spellStart"/>
      <w:r w:rsidRPr="0040035D">
        <w:rPr>
          <w:rFonts w:ascii="Palatino Linotype" w:hAnsi="Palatino Linotype"/>
          <w:bCs/>
          <w:i/>
          <w:sz w:val="18"/>
        </w:rPr>
        <w:t>Pharmacol</w:t>
      </w:r>
      <w:proofErr w:type="spellEnd"/>
      <w:r>
        <w:rPr>
          <w:rFonts w:ascii="Palatino Linotype" w:hAnsi="Palatino Linotype"/>
          <w:bCs/>
          <w:i/>
          <w:sz w:val="18"/>
        </w:rPr>
        <w:t>.</w:t>
      </w:r>
      <w:r w:rsidRPr="0040035D">
        <w:rPr>
          <w:rFonts w:ascii="Palatino Linotype" w:hAnsi="Palatino Linotype"/>
          <w:bCs/>
          <w:i/>
          <w:sz w:val="18"/>
        </w:rPr>
        <w:t xml:space="preserve"> </w:t>
      </w:r>
      <w:proofErr w:type="spellStart"/>
      <w:r w:rsidRPr="0040035D">
        <w:rPr>
          <w:rFonts w:ascii="Palatino Linotype" w:hAnsi="Palatino Linotype"/>
          <w:bCs/>
          <w:i/>
          <w:sz w:val="18"/>
        </w:rPr>
        <w:t>Ther</w:t>
      </w:r>
      <w:proofErr w:type="spellEnd"/>
      <w:r>
        <w:rPr>
          <w:rFonts w:ascii="Palatino Linotype" w:hAnsi="Palatino Linotype"/>
          <w:bCs/>
          <w:i/>
          <w:sz w:val="18"/>
        </w:rPr>
        <w:t>.</w:t>
      </w:r>
      <w:r w:rsidRPr="0040035D">
        <w:rPr>
          <w:rFonts w:ascii="Palatino Linotype" w:hAnsi="Palatino Linotype"/>
          <w:bCs/>
          <w:sz w:val="18"/>
        </w:rPr>
        <w:t xml:space="preserve"> </w:t>
      </w:r>
      <w:r>
        <w:rPr>
          <w:rFonts w:ascii="Palatino Linotype" w:hAnsi="Palatino Linotype"/>
          <w:b/>
          <w:bCs/>
          <w:sz w:val="18"/>
        </w:rPr>
        <w:t>2000</w:t>
      </w:r>
      <w:r>
        <w:rPr>
          <w:rFonts w:ascii="Palatino Linotype" w:hAnsi="Palatino Linotype"/>
          <w:bCs/>
          <w:sz w:val="18"/>
        </w:rPr>
        <w:t xml:space="preserve">, </w:t>
      </w:r>
      <w:r>
        <w:rPr>
          <w:rFonts w:ascii="Palatino Linotype" w:hAnsi="Palatino Linotype"/>
          <w:bCs/>
          <w:i/>
          <w:sz w:val="18"/>
        </w:rPr>
        <w:t>38</w:t>
      </w:r>
      <w:r>
        <w:rPr>
          <w:rFonts w:ascii="Palatino Linotype" w:hAnsi="Palatino Linotype"/>
          <w:bCs/>
          <w:sz w:val="18"/>
        </w:rPr>
        <w:t>, 387–394</w:t>
      </w:r>
      <w:r w:rsidRPr="0040035D">
        <w:rPr>
          <w:rFonts w:ascii="Palatino Linotype" w:hAnsi="Palatino Linotype"/>
          <w:bCs/>
          <w:sz w:val="18"/>
        </w:rPr>
        <w:t>.</w:t>
      </w:r>
    </w:p>
    <w:p w14:paraId="7325D741"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sz w:val="18"/>
        </w:rPr>
      </w:pPr>
      <w:proofErr w:type="spellStart"/>
      <w:r w:rsidRPr="005163CD">
        <w:rPr>
          <w:rFonts w:ascii="Palatino Linotype" w:hAnsi="Palatino Linotype"/>
          <w:sz w:val="18"/>
        </w:rPr>
        <w:t>Sotgiu</w:t>
      </w:r>
      <w:proofErr w:type="spellEnd"/>
      <w:r w:rsidRPr="005163CD">
        <w:rPr>
          <w:rFonts w:ascii="Palatino Linotype" w:hAnsi="Palatino Linotype"/>
          <w:sz w:val="18"/>
        </w:rPr>
        <w:t xml:space="preserve">, G.; </w:t>
      </w:r>
      <w:proofErr w:type="spellStart"/>
      <w:r w:rsidRPr="005163CD">
        <w:rPr>
          <w:rFonts w:ascii="Palatino Linotype" w:hAnsi="Palatino Linotype"/>
          <w:sz w:val="18"/>
        </w:rPr>
        <w:t>D</w:t>
      </w:r>
      <w:r>
        <w:rPr>
          <w:rFonts w:ascii="Palatino Linotype" w:hAnsi="Palatino Linotype"/>
          <w:sz w:val="18"/>
        </w:rPr>
        <w:t>′</w:t>
      </w:r>
      <w:r w:rsidRPr="005163CD">
        <w:rPr>
          <w:rFonts w:ascii="Palatino Linotype" w:hAnsi="Palatino Linotype"/>
          <w:sz w:val="18"/>
        </w:rPr>
        <w:t>ambrosio</w:t>
      </w:r>
      <w:proofErr w:type="spellEnd"/>
      <w:r w:rsidRPr="005163CD">
        <w:rPr>
          <w:rFonts w:ascii="Palatino Linotype" w:hAnsi="Palatino Linotype"/>
          <w:sz w:val="18"/>
        </w:rPr>
        <w:t xml:space="preserve">, L.; </w:t>
      </w:r>
      <w:proofErr w:type="spellStart"/>
      <w:r w:rsidRPr="005163CD">
        <w:rPr>
          <w:rFonts w:ascii="Palatino Linotype" w:hAnsi="Palatino Linotype"/>
          <w:sz w:val="18"/>
        </w:rPr>
        <w:t>Centis</w:t>
      </w:r>
      <w:proofErr w:type="spellEnd"/>
      <w:r w:rsidRPr="005163CD">
        <w:rPr>
          <w:rFonts w:ascii="Palatino Linotype" w:hAnsi="Palatino Linotype"/>
          <w:sz w:val="18"/>
        </w:rPr>
        <w:t xml:space="preserve">, R.; </w:t>
      </w:r>
      <w:proofErr w:type="spellStart"/>
      <w:r w:rsidRPr="005163CD">
        <w:rPr>
          <w:rFonts w:ascii="Palatino Linotype" w:hAnsi="Palatino Linotype"/>
          <w:sz w:val="18"/>
        </w:rPr>
        <w:t>Tiberi</w:t>
      </w:r>
      <w:proofErr w:type="spellEnd"/>
      <w:r w:rsidRPr="005163CD">
        <w:rPr>
          <w:rFonts w:ascii="Palatino Linotype" w:hAnsi="Palatino Linotype"/>
          <w:sz w:val="18"/>
        </w:rPr>
        <w:t xml:space="preserve">, S.; Esposito, S.; Dore, S.; </w:t>
      </w:r>
      <w:proofErr w:type="spellStart"/>
      <w:r w:rsidRPr="005163CD">
        <w:rPr>
          <w:rFonts w:ascii="Palatino Linotype" w:hAnsi="Palatino Linotype"/>
          <w:sz w:val="18"/>
        </w:rPr>
        <w:t>Spanevello</w:t>
      </w:r>
      <w:proofErr w:type="spellEnd"/>
      <w:r w:rsidRPr="005163CD">
        <w:rPr>
          <w:rFonts w:ascii="Palatino Linotype" w:hAnsi="Palatino Linotype"/>
          <w:sz w:val="18"/>
        </w:rPr>
        <w:t xml:space="preserve">, A.; </w:t>
      </w:r>
      <w:proofErr w:type="spellStart"/>
      <w:r w:rsidRPr="005163CD">
        <w:rPr>
          <w:rFonts w:ascii="Palatino Linotype" w:hAnsi="Palatino Linotype"/>
          <w:sz w:val="18"/>
        </w:rPr>
        <w:t>MigliorI</w:t>
      </w:r>
      <w:proofErr w:type="spellEnd"/>
      <w:r w:rsidRPr="005163CD">
        <w:rPr>
          <w:rFonts w:ascii="Palatino Linotype" w:hAnsi="Palatino Linotype"/>
          <w:sz w:val="18"/>
        </w:rPr>
        <w:t xml:space="preserve">, G.B. Carbapenems to Treat Multidrug and Extensively Drug-Resistant Tuberculosis: A Systematic Review. </w:t>
      </w:r>
      <w:r w:rsidRPr="005163CD">
        <w:rPr>
          <w:rFonts w:ascii="Palatino Linotype" w:hAnsi="Palatino Linotype"/>
          <w:i/>
          <w:sz w:val="18"/>
        </w:rPr>
        <w:t>Int</w:t>
      </w:r>
      <w:r>
        <w:rPr>
          <w:rFonts w:ascii="Palatino Linotype" w:hAnsi="Palatino Linotype"/>
          <w:i/>
          <w:sz w:val="18"/>
        </w:rPr>
        <w:t>.</w:t>
      </w:r>
      <w:r w:rsidRPr="005163CD">
        <w:rPr>
          <w:rFonts w:ascii="Palatino Linotype" w:hAnsi="Palatino Linotype"/>
          <w:i/>
          <w:sz w:val="18"/>
        </w:rPr>
        <w:t xml:space="preserve"> J</w:t>
      </w:r>
      <w:r>
        <w:rPr>
          <w:rFonts w:ascii="Palatino Linotype" w:hAnsi="Palatino Linotype"/>
          <w:i/>
          <w:sz w:val="18"/>
        </w:rPr>
        <w:t>.</w:t>
      </w:r>
      <w:r w:rsidRPr="005163CD">
        <w:rPr>
          <w:rFonts w:ascii="Palatino Linotype" w:hAnsi="Palatino Linotype"/>
          <w:i/>
          <w:sz w:val="18"/>
        </w:rPr>
        <w:t xml:space="preserve"> Mol</w:t>
      </w:r>
      <w:r>
        <w:rPr>
          <w:rFonts w:ascii="Palatino Linotype" w:hAnsi="Palatino Linotype"/>
          <w:i/>
          <w:sz w:val="18"/>
        </w:rPr>
        <w:t>.</w:t>
      </w:r>
      <w:r w:rsidRPr="005163CD">
        <w:rPr>
          <w:rFonts w:ascii="Palatino Linotype" w:hAnsi="Palatino Linotype"/>
          <w:i/>
          <w:sz w:val="18"/>
        </w:rPr>
        <w:t xml:space="preserve"> Sci</w:t>
      </w:r>
      <w:r>
        <w:rPr>
          <w:rFonts w:ascii="Palatino Linotype" w:hAnsi="Palatino Linotype"/>
          <w:i/>
          <w:sz w:val="18"/>
        </w:rPr>
        <w:t>.</w:t>
      </w:r>
      <w:r w:rsidRPr="005163CD">
        <w:rPr>
          <w:rFonts w:ascii="Palatino Linotype" w:hAnsi="Palatino Linotype"/>
          <w:sz w:val="18"/>
        </w:rPr>
        <w:t xml:space="preserve"> </w:t>
      </w:r>
      <w:r>
        <w:rPr>
          <w:rFonts w:ascii="Palatino Linotype" w:hAnsi="Palatino Linotype"/>
          <w:b/>
          <w:sz w:val="18"/>
        </w:rPr>
        <w:t>2016</w:t>
      </w:r>
      <w:r>
        <w:rPr>
          <w:rFonts w:ascii="Palatino Linotype" w:hAnsi="Palatino Linotype"/>
          <w:sz w:val="18"/>
        </w:rPr>
        <w:t xml:space="preserve">, </w:t>
      </w:r>
      <w:r>
        <w:rPr>
          <w:rFonts w:ascii="Palatino Linotype" w:hAnsi="Palatino Linotype"/>
          <w:i/>
          <w:sz w:val="18"/>
        </w:rPr>
        <w:t>17</w:t>
      </w:r>
      <w:r>
        <w:rPr>
          <w:rFonts w:ascii="Palatino Linotype" w:hAnsi="Palatino Linotype"/>
          <w:sz w:val="18"/>
        </w:rPr>
        <w:t>, 373</w:t>
      </w:r>
      <w:r w:rsidRPr="005163CD">
        <w:rPr>
          <w:rFonts w:ascii="Palatino Linotype" w:hAnsi="Palatino Linotype"/>
          <w:sz w:val="18"/>
        </w:rPr>
        <w:t>.</w:t>
      </w:r>
    </w:p>
    <w:p w14:paraId="0DBFDA51"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sz w:val="18"/>
        </w:rPr>
      </w:pPr>
      <w:r w:rsidRPr="005163CD">
        <w:rPr>
          <w:rFonts w:ascii="Palatino Linotype" w:hAnsi="Palatino Linotype"/>
          <w:sz w:val="18"/>
        </w:rPr>
        <w:t xml:space="preserve">Gonzalo, X.; </w:t>
      </w:r>
      <w:proofErr w:type="spellStart"/>
      <w:r w:rsidRPr="005163CD">
        <w:rPr>
          <w:rFonts w:ascii="Palatino Linotype" w:hAnsi="Palatino Linotype"/>
          <w:sz w:val="18"/>
        </w:rPr>
        <w:t>Satta</w:t>
      </w:r>
      <w:proofErr w:type="spellEnd"/>
      <w:r w:rsidRPr="005163CD">
        <w:rPr>
          <w:rFonts w:ascii="Palatino Linotype" w:hAnsi="Palatino Linotype"/>
          <w:sz w:val="18"/>
        </w:rPr>
        <w:t xml:space="preserve">, G.; Ortiz Canseco, J.; </w:t>
      </w:r>
      <w:proofErr w:type="spellStart"/>
      <w:r w:rsidRPr="005163CD">
        <w:rPr>
          <w:rFonts w:ascii="Palatino Linotype" w:hAnsi="Palatino Linotype"/>
          <w:sz w:val="18"/>
        </w:rPr>
        <w:t>Mchugh</w:t>
      </w:r>
      <w:proofErr w:type="spellEnd"/>
      <w:r w:rsidRPr="005163CD">
        <w:rPr>
          <w:rFonts w:ascii="Palatino Linotype" w:hAnsi="Palatino Linotype"/>
          <w:sz w:val="18"/>
        </w:rPr>
        <w:t xml:space="preserve">, T.D.; Drobniewski, F. Ertapenem and </w:t>
      </w:r>
      <w:proofErr w:type="spellStart"/>
      <w:r w:rsidRPr="005163CD">
        <w:rPr>
          <w:rFonts w:ascii="Palatino Linotype" w:hAnsi="Palatino Linotype"/>
          <w:sz w:val="18"/>
        </w:rPr>
        <w:t>Faropenem</w:t>
      </w:r>
      <w:proofErr w:type="spellEnd"/>
      <w:r w:rsidRPr="005163CD">
        <w:rPr>
          <w:rFonts w:ascii="Palatino Linotype" w:hAnsi="Palatino Linotype"/>
          <w:sz w:val="18"/>
        </w:rPr>
        <w:t xml:space="preserve"> against </w:t>
      </w:r>
      <w:r w:rsidRPr="005163CD">
        <w:rPr>
          <w:rFonts w:ascii="Palatino Linotype" w:hAnsi="Palatino Linotype"/>
          <w:i/>
          <w:sz w:val="18"/>
        </w:rPr>
        <w:t>Mycobacterium tuberculosis</w:t>
      </w:r>
      <w:r w:rsidRPr="00587174">
        <w:rPr>
          <w:rFonts w:ascii="Palatino Linotype" w:hAnsi="Palatino Linotype"/>
          <w:iCs/>
          <w:sz w:val="18"/>
        </w:rPr>
        <w:t>:</w:t>
      </w:r>
      <w:r w:rsidRPr="00587174">
        <w:rPr>
          <w:rFonts w:ascii="Palatino Linotype" w:hAnsi="Palatino Linotype"/>
          <w:i/>
          <w:sz w:val="18"/>
        </w:rPr>
        <w:t xml:space="preserve"> </w:t>
      </w:r>
      <w:r w:rsidRPr="00587174">
        <w:rPr>
          <w:rFonts w:ascii="Palatino Linotype" w:hAnsi="Palatino Linotype"/>
          <w:iCs/>
          <w:sz w:val="18"/>
        </w:rPr>
        <w:t>In</w:t>
      </w:r>
      <w:r w:rsidRPr="00587174">
        <w:rPr>
          <w:rFonts w:ascii="Palatino Linotype" w:hAnsi="Palatino Linotype"/>
          <w:sz w:val="18"/>
        </w:rPr>
        <w:t xml:space="preserve"> vitro</w:t>
      </w:r>
      <w:r w:rsidRPr="005163CD">
        <w:rPr>
          <w:rFonts w:ascii="Palatino Linotype" w:hAnsi="Palatino Linotype"/>
          <w:sz w:val="18"/>
        </w:rPr>
        <w:t xml:space="preserve"> testing and comparison by macro and microdilution. </w:t>
      </w:r>
      <w:r w:rsidRPr="005163CD">
        <w:rPr>
          <w:rFonts w:ascii="Palatino Linotype" w:hAnsi="Palatino Linotype"/>
          <w:i/>
          <w:sz w:val="18"/>
        </w:rPr>
        <w:t>BMC Microbiol</w:t>
      </w:r>
      <w:r>
        <w:rPr>
          <w:rFonts w:ascii="Palatino Linotype" w:hAnsi="Palatino Linotype"/>
          <w:i/>
          <w:sz w:val="18"/>
        </w:rPr>
        <w:t>.</w:t>
      </w:r>
      <w:r w:rsidRPr="005163CD">
        <w:rPr>
          <w:rFonts w:ascii="Palatino Linotype" w:hAnsi="Palatino Linotype"/>
          <w:sz w:val="18"/>
        </w:rPr>
        <w:t xml:space="preserve"> </w:t>
      </w:r>
      <w:r>
        <w:rPr>
          <w:rFonts w:ascii="Palatino Linotype" w:hAnsi="Palatino Linotype"/>
          <w:b/>
          <w:sz w:val="18"/>
        </w:rPr>
        <w:t>2020</w:t>
      </w:r>
      <w:r>
        <w:rPr>
          <w:rFonts w:ascii="Palatino Linotype" w:hAnsi="Palatino Linotype"/>
          <w:sz w:val="18"/>
        </w:rPr>
        <w:t xml:space="preserve">, </w:t>
      </w:r>
      <w:r>
        <w:rPr>
          <w:rFonts w:ascii="Palatino Linotype" w:hAnsi="Palatino Linotype"/>
          <w:i/>
          <w:sz w:val="18"/>
        </w:rPr>
        <w:t>20</w:t>
      </w:r>
      <w:r>
        <w:rPr>
          <w:rFonts w:ascii="Palatino Linotype" w:hAnsi="Palatino Linotype"/>
          <w:sz w:val="18"/>
        </w:rPr>
        <w:t>, 271</w:t>
      </w:r>
      <w:r w:rsidRPr="005163CD">
        <w:rPr>
          <w:rFonts w:ascii="Palatino Linotype" w:hAnsi="Palatino Linotype"/>
          <w:sz w:val="18"/>
        </w:rPr>
        <w:t>.</w:t>
      </w:r>
    </w:p>
    <w:p w14:paraId="14271917"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sz w:val="18"/>
        </w:rPr>
      </w:pPr>
      <w:r w:rsidRPr="005163CD">
        <w:rPr>
          <w:rFonts w:ascii="Palatino Linotype" w:hAnsi="Palatino Linotype"/>
          <w:sz w:val="18"/>
        </w:rPr>
        <w:t xml:space="preserve">Gonzalo, X.; Drobniewski, F. Is there a place for β-lactams in the treatment of multidrug-resistant/extensively drug-resistant tuberculosis? Synergy between meropenem and amoxicillin/clavulanate. </w:t>
      </w:r>
      <w:r>
        <w:rPr>
          <w:rFonts w:ascii="Palatino Linotype" w:hAnsi="Palatino Linotype"/>
          <w:i/>
          <w:sz w:val="18"/>
        </w:rPr>
        <w:t xml:space="preserve">J. </w:t>
      </w:r>
      <w:proofErr w:type="spellStart"/>
      <w:r>
        <w:rPr>
          <w:rFonts w:ascii="Palatino Linotype" w:hAnsi="Palatino Linotype"/>
          <w:i/>
          <w:sz w:val="18"/>
        </w:rPr>
        <w:t>Antimicrob</w:t>
      </w:r>
      <w:proofErr w:type="spellEnd"/>
      <w:r>
        <w:rPr>
          <w:rFonts w:ascii="Palatino Linotype" w:hAnsi="Palatino Linotype"/>
          <w:i/>
          <w:sz w:val="18"/>
        </w:rPr>
        <w:t xml:space="preserve">. Chemother. </w:t>
      </w:r>
      <w:r>
        <w:rPr>
          <w:rFonts w:ascii="Palatino Linotype" w:hAnsi="Palatino Linotype"/>
          <w:b/>
          <w:sz w:val="18"/>
        </w:rPr>
        <w:t>2012</w:t>
      </w:r>
      <w:r>
        <w:rPr>
          <w:rFonts w:ascii="Palatino Linotype" w:hAnsi="Palatino Linotype"/>
          <w:sz w:val="18"/>
        </w:rPr>
        <w:t xml:space="preserve">, </w:t>
      </w:r>
      <w:r>
        <w:rPr>
          <w:rFonts w:ascii="Palatino Linotype" w:hAnsi="Palatino Linotype"/>
          <w:i/>
          <w:sz w:val="18"/>
        </w:rPr>
        <w:t>68</w:t>
      </w:r>
      <w:r>
        <w:rPr>
          <w:rFonts w:ascii="Palatino Linotype" w:hAnsi="Palatino Linotype"/>
          <w:sz w:val="18"/>
        </w:rPr>
        <w:t>, 366–369</w:t>
      </w:r>
      <w:r w:rsidRPr="005163CD">
        <w:rPr>
          <w:rFonts w:ascii="Palatino Linotype" w:hAnsi="Palatino Linotype"/>
          <w:sz w:val="18"/>
        </w:rPr>
        <w:t>.</w:t>
      </w:r>
    </w:p>
    <w:p w14:paraId="3AFA3BA8"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sz w:val="18"/>
        </w:rPr>
      </w:pPr>
      <w:r w:rsidRPr="005163CD">
        <w:rPr>
          <w:rFonts w:ascii="Palatino Linotype" w:hAnsi="Palatino Linotype"/>
          <w:sz w:val="18"/>
        </w:rPr>
        <w:t xml:space="preserve">Guo, Z.Y.; Zhao, W.J.; Zheng, M.Q.; Liu, S.; Yan, C.X.; Li, P.; Xu, S.F. Activities of Biapenem against </w:t>
      </w:r>
      <w:r w:rsidRPr="005163CD">
        <w:rPr>
          <w:rFonts w:ascii="Palatino Linotype" w:hAnsi="Palatino Linotype"/>
          <w:i/>
          <w:sz w:val="18"/>
        </w:rPr>
        <w:t>Mycobacterium tuberculosis</w:t>
      </w:r>
      <w:r w:rsidRPr="005163CD">
        <w:rPr>
          <w:rFonts w:ascii="Palatino Linotype" w:hAnsi="Palatino Linotype"/>
          <w:sz w:val="18"/>
        </w:rPr>
        <w:t xml:space="preserve"> in Macrophages and Mice. </w:t>
      </w:r>
      <w:r w:rsidRPr="005163CD">
        <w:rPr>
          <w:rFonts w:ascii="Palatino Linotype" w:hAnsi="Palatino Linotype"/>
          <w:i/>
          <w:sz w:val="18"/>
        </w:rPr>
        <w:t>Biomed</w:t>
      </w:r>
      <w:r>
        <w:rPr>
          <w:rFonts w:ascii="Palatino Linotype" w:hAnsi="Palatino Linotype"/>
          <w:i/>
          <w:sz w:val="18"/>
        </w:rPr>
        <w:t>.</w:t>
      </w:r>
      <w:r w:rsidRPr="005163CD">
        <w:rPr>
          <w:rFonts w:ascii="Palatino Linotype" w:hAnsi="Palatino Linotype"/>
          <w:i/>
          <w:sz w:val="18"/>
        </w:rPr>
        <w:t xml:space="preserve"> Environ</w:t>
      </w:r>
      <w:r>
        <w:rPr>
          <w:rFonts w:ascii="Palatino Linotype" w:hAnsi="Palatino Linotype"/>
          <w:i/>
          <w:sz w:val="18"/>
        </w:rPr>
        <w:t>.</w:t>
      </w:r>
      <w:r w:rsidRPr="005163CD">
        <w:rPr>
          <w:rFonts w:ascii="Palatino Linotype" w:hAnsi="Palatino Linotype"/>
          <w:i/>
          <w:sz w:val="18"/>
        </w:rPr>
        <w:t xml:space="preserve"> Sci</w:t>
      </w:r>
      <w:r>
        <w:rPr>
          <w:rFonts w:ascii="Palatino Linotype" w:hAnsi="Palatino Linotype"/>
          <w:i/>
          <w:sz w:val="18"/>
        </w:rPr>
        <w:t xml:space="preserve">. </w:t>
      </w:r>
      <w:r>
        <w:rPr>
          <w:rFonts w:ascii="Palatino Linotype" w:hAnsi="Palatino Linotype"/>
          <w:b/>
          <w:sz w:val="18"/>
        </w:rPr>
        <w:t>2019</w:t>
      </w:r>
      <w:r>
        <w:rPr>
          <w:rFonts w:ascii="Palatino Linotype" w:hAnsi="Palatino Linotype"/>
          <w:sz w:val="18"/>
        </w:rPr>
        <w:t xml:space="preserve">, </w:t>
      </w:r>
      <w:r>
        <w:rPr>
          <w:rFonts w:ascii="Palatino Linotype" w:hAnsi="Palatino Linotype"/>
          <w:i/>
          <w:sz w:val="18"/>
        </w:rPr>
        <w:t>32</w:t>
      </w:r>
      <w:r>
        <w:rPr>
          <w:rFonts w:ascii="Palatino Linotype" w:hAnsi="Palatino Linotype"/>
          <w:sz w:val="18"/>
        </w:rPr>
        <w:t>, 235–241</w:t>
      </w:r>
      <w:r w:rsidRPr="005163CD">
        <w:rPr>
          <w:rFonts w:ascii="Palatino Linotype" w:hAnsi="Palatino Linotype"/>
          <w:sz w:val="18"/>
        </w:rPr>
        <w:t>.</w:t>
      </w:r>
    </w:p>
    <w:p w14:paraId="2CCF6DA1"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hAnsi="Palatino Linotype"/>
          <w:sz w:val="18"/>
        </w:rPr>
      </w:pPr>
      <w:r w:rsidRPr="005163CD">
        <w:rPr>
          <w:rFonts w:ascii="Palatino Linotype" w:hAnsi="Palatino Linotype"/>
          <w:sz w:val="18"/>
        </w:rPr>
        <w:t xml:space="preserve">Van Rijn, S.P.; </w:t>
      </w:r>
      <w:proofErr w:type="spellStart"/>
      <w:r w:rsidRPr="005163CD">
        <w:rPr>
          <w:rFonts w:ascii="Palatino Linotype" w:hAnsi="Palatino Linotype"/>
          <w:sz w:val="18"/>
        </w:rPr>
        <w:t>Zuur</w:t>
      </w:r>
      <w:proofErr w:type="spellEnd"/>
      <w:r w:rsidRPr="005163CD">
        <w:rPr>
          <w:rFonts w:ascii="Palatino Linotype" w:hAnsi="Palatino Linotype"/>
          <w:sz w:val="18"/>
        </w:rPr>
        <w:t xml:space="preserve">, M.A.; Anthony, R.; </w:t>
      </w:r>
      <w:proofErr w:type="spellStart"/>
      <w:r w:rsidRPr="005163CD">
        <w:rPr>
          <w:rFonts w:ascii="Palatino Linotype" w:hAnsi="Palatino Linotype"/>
          <w:sz w:val="18"/>
        </w:rPr>
        <w:t>Wilffert</w:t>
      </w:r>
      <w:proofErr w:type="spellEnd"/>
      <w:r w:rsidRPr="005163CD">
        <w:rPr>
          <w:rFonts w:ascii="Palatino Linotype" w:hAnsi="Palatino Linotype"/>
          <w:sz w:val="18"/>
        </w:rPr>
        <w:t xml:space="preserve">, B.; Van </w:t>
      </w:r>
      <w:proofErr w:type="spellStart"/>
      <w:r w:rsidRPr="005163CD">
        <w:rPr>
          <w:rFonts w:ascii="Palatino Linotype" w:hAnsi="Palatino Linotype"/>
          <w:sz w:val="18"/>
        </w:rPr>
        <w:t>Altena</w:t>
      </w:r>
      <w:proofErr w:type="spellEnd"/>
      <w:r w:rsidRPr="005163CD">
        <w:rPr>
          <w:rFonts w:ascii="Palatino Linotype" w:hAnsi="Palatino Linotype"/>
          <w:sz w:val="18"/>
        </w:rPr>
        <w:t xml:space="preserve">, R.; </w:t>
      </w:r>
      <w:proofErr w:type="spellStart"/>
      <w:r w:rsidRPr="005163CD">
        <w:rPr>
          <w:rFonts w:ascii="Palatino Linotype" w:hAnsi="Palatino Linotype"/>
          <w:sz w:val="18"/>
        </w:rPr>
        <w:t>Akkerman</w:t>
      </w:r>
      <w:proofErr w:type="spellEnd"/>
      <w:r w:rsidRPr="005163CD">
        <w:rPr>
          <w:rFonts w:ascii="Palatino Linotype" w:hAnsi="Palatino Linotype"/>
          <w:sz w:val="18"/>
        </w:rPr>
        <w:t xml:space="preserve">, O.W.; De Lange, W.C.M.; Van Der Werf, T.S.; </w:t>
      </w:r>
      <w:proofErr w:type="spellStart"/>
      <w:r w:rsidRPr="005163CD">
        <w:rPr>
          <w:rFonts w:ascii="Palatino Linotype" w:hAnsi="Palatino Linotype"/>
          <w:sz w:val="18"/>
        </w:rPr>
        <w:t>Kosterink</w:t>
      </w:r>
      <w:proofErr w:type="spellEnd"/>
      <w:r w:rsidRPr="005163CD">
        <w:rPr>
          <w:rFonts w:ascii="Palatino Linotype" w:hAnsi="Palatino Linotype"/>
          <w:sz w:val="18"/>
        </w:rPr>
        <w:t xml:space="preserve">, J.G.W.; </w:t>
      </w:r>
      <w:proofErr w:type="spellStart"/>
      <w:r w:rsidRPr="005163CD">
        <w:rPr>
          <w:rFonts w:ascii="Palatino Linotype" w:hAnsi="Palatino Linotype"/>
          <w:sz w:val="18"/>
        </w:rPr>
        <w:t>AlffenaaR</w:t>
      </w:r>
      <w:proofErr w:type="spellEnd"/>
      <w:r w:rsidRPr="005163CD">
        <w:rPr>
          <w:rFonts w:ascii="Palatino Linotype" w:hAnsi="Palatino Linotype"/>
          <w:sz w:val="18"/>
        </w:rPr>
        <w:t xml:space="preserve">, J.-W. C. Evaluation of Carbapenems for Treatment of Multi- and Extensively Drug-Resistant </w:t>
      </w:r>
      <w:r w:rsidRPr="005163CD">
        <w:rPr>
          <w:rFonts w:ascii="Palatino Linotype" w:hAnsi="Palatino Linotype"/>
          <w:i/>
          <w:sz w:val="18"/>
        </w:rPr>
        <w:t>Mycobacterium tuberculosis</w:t>
      </w:r>
      <w:r w:rsidRPr="005163CD">
        <w:rPr>
          <w:rFonts w:ascii="Palatino Linotype" w:hAnsi="Palatino Linotype"/>
          <w:sz w:val="18"/>
        </w:rPr>
        <w:t xml:space="preserve">. </w:t>
      </w:r>
      <w:proofErr w:type="spellStart"/>
      <w:r>
        <w:rPr>
          <w:rFonts w:ascii="Palatino Linotype" w:hAnsi="Palatino Linotype"/>
          <w:i/>
          <w:sz w:val="18"/>
        </w:rPr>
        <w:t>Antimicrob</w:t>
      </w:r>
      <w:proofErr w:type="spellEnd"/>
      <w:r>
        <w:rPr>
          <w:rFonts w:ascii="Palatino Linotype" w:hAnsi="Palatino Linotype"/>
          <w:i/>
          <w:sz w:val="18"/>
        </w:rPr>
        <w:t xml:space="preserve">. Agents Chemother. </w:t>
      </w:r>
      <w:r>
        <w:rPr>
          <w:rFonts w:ascii="Palatino Linotype" w:hAnsi="Palatino Linotype"/>
          <w:b/>
          <w:sz w:val="18"/>
        </w:rPr>
        <w:t>2019</w:t>
      </w:r>
      <w:r>
        <w:rPr>
          <w:rFonts w:ascii="Palatino Linotype" w:hAnsi="Palatino Linotype"/>
          <w:sz w:val="18"/>
        </w:rPr>
        <w:t xml:space="preserve">, </w:t>
      </w:r>
      <w:r>
        <w:rPr>
          <w:rFonts w:ascii="Palatino Linotype" w:hAnsi="Palatino Linotype"/>
          <w:i/>
          <w:sz w:val="18"/>
        </w:rPr>
        <w:t>63</w:t>
      </w:r>
      <w:r>
        <w:rPr>
          <w:rFonts w:ascii="Palatino Linotype" w:hAnsi="Palatino Linotype"/>
          <w:sz w:val="18"/>
        </w:rPr>
        <w:t>, e01489-18</w:t>
      </w:r>
      <w:r w:rsidRPr="005163CD">
        <w:rPr>
          <w:rFonts w:ascii="Palatino Linotype" w:hAnsi="Palatino Linotype"/>
          <w:sz w:val="18"/>
        </w:rPr>
        <w:t>.</w:t>
      </w:r>
    </w:p>
    <w:p w14:paraId="2CAD8BE9" w14:textId="77777777" w:rsidR="006206C5" w:rsidRPr="005163CD" w:rsidRDefault="006206C5" w:rsidP="006206C5">
      <w:pPr>
        <w:pStyle w:val="EndNoteBibliography"/>
        <w:numPr>
          <w:ilvl w:val="0"/>
          <w:numId w:val="42"/>
        </w:numPr>
        <w:adjustRightInd w:val="0"/>
        <w:snapToGrid w:val="0"/>
        <w:spacing w:after="0" w:line="228" w:lineRule="auto"/>
        <w:ind w:left="425" w:hanging="425"/>
        <w:jc w:val="both"/>
        <w:rPr>
          <w:rFonts w:ascii="Palatino Linotype" w:eastAsia="Times New Roman" w:hAnsi="Palatino Linotype" w:cs="Arial"/>
          <w:sz w:val="18"/>
          <w:szCs w:val="20"/>
          <w:lang w:eastAsia="en-GB"/>
        </w:rPr>
      </w:pPr>
      <w:r w:rsidRPr="005163CD">
        <w:rPr>
          <w:rFonts w:ascii="Palatino Linotype" w:eastAsia="Times New Roman" w:hAnsi="Palatino Linotype" w:cs="Arial"/>
          <w:sz w:val="18"/>
          <w:szCs w:val="20"/>
          <w:lang w:eastAsia="en-GB"/>
        </w:rPr>
        <w:t>Reichmann, M</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T</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Tezera,</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L</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B</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Vallejo,</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A</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F</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Vukmirovic,</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M</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Xiao, R</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Reynolds,</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J</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Jogai,</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S</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Wilson, S</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Marshall,</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B</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Jones,</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M</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G</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w:t>
      </w:r>
      <w:r>
        <w:rPr>
          <w:rFonts w:ascii="Palatino Linotype" w:eastAsia="Times New Roman" w:hAnsi="Palatino Linotype" w:cs="Arial"/>
          <w:sz w:val="18"/>
          <w:szCs w:val="20"/>
          <w:lang w:eastAsia="en-GB"/>
        </w:rPr>
        <w:t>et al</w:t>
      </w:r>
      <w:r w:rsidRPr="005163CD">
        <w:rPr>
          <w:rFonts w:ascii="Palatino Linotype" w:eastAsia="Times New Roman" w:hAnsi="Palatino Linotype" w:cs="Arial"/>
          <w:sz w:val="18"/>
          <w:szCs w:val="20"/>
          <w:lang w:eastAsia="en-GB"/>
        </w:rPr>
        <w:t xml:space="preserve">. Integrated transcriptomic analysis of human tuberculosis granulomas and a biomimetic model identifies therapeutic targets. </w:t>
      </w:r>
      <w:r w:rsidRPr="00BD0A69">
        <w:rPr>
          <w:rFonts w:ascii="Palatino Linotype" w:eastAsia="Times New Roman" w:hAnsi="Palatino Linotype" w:cs="Arial"/>
          <w:i/>
          <w:iCs/>
          <w:sz w:val="18"/>
          <w:szCs w:val="20"/>
          <w:lang w:eastAsia="en-GB"/>
        </w:rPr>
        <w:t>J</w:t>
      </w:r>
      <w:r>
        <w:rPr>
          <w:rFonts w:ascii="Palatino Linotype" w:eastAsia="Times New Roman" w:hAnsi="Palatino Linotype" w:cs="Arial"/>
          <w:i/>
          <w:iCs/>
          <w:sz w:val="18"/>
          <w:szCs w:val="20"/>
          <w:lang w:eastAsia="en-GB"/>
        </w:rPr>
        <w:t>.</w:t>
      </w:r>
      <w:r w:rsidRPr="00BD0A69">
        <w:rPr>
          <w:rFonts w:ascii="Palatino Linotype" w:eastAsia="Times New Roman" w:hAnsi="Palatino Linotype" w:cs="Arial"/>
          <w:i/>
          <w:iCs/>
          <w:sz w:val="18"/>
          <w:szCs w:val="20"/>
          <w:lang w:eastAsia="en-GB"/>
        </w:rPr>
        <w:t xml:space="preserve"> Clin. Invest.</w:t>
      </w:r>
      <w:r w:rsidRPr="00BD0A69">
        <w:rPr>
          <w:rFonts w:ascii="Palatino Linotype" w:eastAsia="Times New Roman" w:hAnsi="Palatino Linotype" w:cs="Arial"/>
          <w:sz w:val="18"/>
          <w:szCs w:val="20"/>
          <w:lang w:eastAsia="en-GB"/>
        </w:rPr>
        <w:t xml:space="preserve"> </w:t>
      </w:r>
      <w:r w:rsidRPr="00BD0A69">
        <w:rPr>
          <w:rFonts w:ascii="Palatino Linotype" w:eastAsia="Times New Roman" w:hAnsi="Palatino Linotype" w:cs="Arial"/>
          <w:b/>
          <w:bCs/>
          <w:sz w:val="18"/>
          <w:szCs w:val="20"/>
          <w:lang w:eastAsia="en-GB"/>
        </w:rPr>
        <w:t>2021</w:t>
      </w:r>
      <w:r>
        <w:rPr>
          <w:rFonts w:ascii="Palatino Linotype" w:eastAsia="Times New Roman" w:hAnsi="Palatino Linotype" w:cs="Arial"/>
          <w:sz w:val="18"/>
          <w:szCs w:val="20"/>
          <w:lang w:eastAsia="en-GB"/>
        </w:rPr>
        <w:t>,</w:t>
      </w:r>
      <w:r w:rsidRPr="005163CD">
        <w:rPr>
          <w:rFonts w:ascii="Palatino Linotype" w:eastAsia="Times New Roman" w:hAnsi="Palatino Linotype" w:cs="Arial"/>
          <w:sz w:val="18"/>
          <w:szCs w:val="20"/>
          <w:lang w:eastAsia="en-GB"/>
        </w:rPr>
        <w:t xml:space="preserve"> </w:t>
      </w:r>
      <w:r w:rsidRPr="00BD0A69">
        <w:rPr>
          <w:rFonts w:ascii="Palatino Linotype" w:eastAsia="Times New Roman" w:hAnsi="Palatino Linotype" w:cs="Arial"/>
          <w:i/>
          <w:iCs/>
          <w:sz w:val="18"/>
          <w:szCs w:val="20"/>
          <w:lang w:eastAsia="en-GB"/>
        </w:rPr>
        <w:t>131</w:t>
      </w:r>
      <w:r>
        <w:rPr>
          <w:rFonts w:ascii="Palatino Linotype" w:eastAsia="Times New Roman" w:hAnsi="Palatino Linotype" w:cs="Arial"/>
          <w:sz w:val="18"/>
          <w:szCs w:val="20"/>
          <w:lang w:eastAsia="en-GB"/>
        </w:rPr>
        <w:t xml:space="preserve">, </w:t>
      </w:r>
      <w:r w:rsidRPr="005163CD">
        <w:rPr>
          <w:rFonts w:ascii="Palatino Linotype" w:eastAsia="Times New Roman" w:hAnsi="Palatino Linotype" w:cs="Arial"/>
          <w:sz w:val="18"/>
          <w:szCs w:val="20"/>
          <w:lang w:eastAsia="en-GB"/>
        </w:rPr>
        <w:t>e148136.</w:t>
      </w:r>
    </w:p>
    <w:p w14:paraId="18DD3BFE"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Fonts w:eastAsia="Times New Roman" w:cs="Arial"/>
          <w:color w:val="auto"/>
          <w:sz w:val="18"/>
          <w:lang w:eastAsia="en-GB"/>
        </w:rPr>
      </w:pPr>
      <w:r w:rsidRPr="005163CD">
        <w:rPr>
          <w:rFonts w:eastAsia="Times New Roman" w:cs="Arial"/>
          <w:color w:val="auto"/>
          <w:sz w:val="18"/>
          <w:lang w:eastAsia="en-GB"/>
        </w:rPr>
        <w:t>Tezera,</w:t>
      </w:r>
      <w:r>
        <w:rPr>
          <w:rFonts w:eastAsia="Times New Roman" w:cs="Arial"/>
          <w:color w:val="auto"/>
          <w:sz w:val="18"/>
          <w:lang w:eastAsia="en-GB"/>
        </w:rPr>
        <w:t xml:space="preserve"> </w:t>
      </w:r>
      <w:r w:rsidRPr="005163CD">
        <w:rPr>
          <w:rFonts w:eastAsia="Times New Roman" w:cs="Arial"/>
          <w:color w:val="auto"/>
          <w:sz w:val="18"/>
          <w:lang w:eastAsia="en-GB"/>
        </w:rPr>
        <w:t>L.B.; Bielecka,</w:t>
      </w:r>
      <w:r>
        <w:rPr>
          <w:rFonts w:eastAsia="Times New Roman" w:cs="Arial"/>
          <w:color w:val="auto"/>
          <w:sz w:val="18"/>
          <w:lang w:eastAsia="en-GB"/>
        </w:rPr>
        <w:t xml:space="preserve"> </w:t>
      </w:r>
      <w:r w:rsidRPr="005163CD">
        <w:rPr>
          <w:rFonts w:eastAsia="Times New Roman" w:cs="Arial"/>
          <w:color w:val="auto"/>
          <w:sz w:val="18"/>
          <w:lang w:eastAsia="en-GB"/>
        </w:rPr>
        <w:t>M</w:t>
      </w:r>
      <w:r>
        <w:rPr>
          <w:rFonts w:eastAsia="Times New Roman" w:cs="Arial"/>
          <w:color w:val="auto"/>
          <w:sz w:val="18"/>
          <w:lang w:eastAsia="en-GB"/>
        </w:rPr>
        <w:t>.</w:t>
      </w:r>
      <w:r w:rsidRPr="005163CD">
        <w:rPr>
          <w:rFonts w:eastAsia="Times New Roman" w:cs="Arial"/>
          <w:color w:val="auto"/>
          <w:sz w:val="18"/>
          <w:lang w:eastAsia="en-GB"/>
        </w:rPr>
        <w:t>K</w:t>
      </w:r>
      <w:r>
        <w:rPr>
          <w:rFonts w:eastAsia="Times New Roman" w:cs="Arial"/>
          <w:color w:val="auto"/>
          <w:sz w:val="18"/>
          <w:lang w:eastAsia="en-GB"/>
        </w:rPr>
        <w:t>.;</w:t>
      </w:r>
      <w:r w:rsidRPr="005163CD">
        <w:rPr>
          <w:rFonts w:eastAsia="Times New Roman" w:cs="Arial"/>
          <w:color w:val="auto"/>
          <w:sz w:val="18"/>
          <w:lang w:eastAsia="en-GB"/>
        </w:rPr>
        <w:t xml:space="preserve"> Ogongo, P</w:t>
      </w:r>
      <w:r>
        <w:rPr>
          <w:rFonts w:eastAsia="Times New Roman" w:cs="Arial"/>
          <w:color w:val="auto"/>
          <w:sz w:val="18"/>
          <w:lang w:eastAsia="en-GB"/>
        </w:rPr>
        <w:t>.;</w:t>
      </w:r>
      <w:r w:rsidRPr="005163CD">
        <w:rPr>
          <w:rFonts w:eastAsia="Times New Roman" w:cs="Arial"/>
          <w:color w:val="auto"/>
          <w:sz w:val="18"/>
          <w:lang w:eastAsia="en-GB"/>
        </w:rPr>
        <w:t xml:space="preserve"> Walker, N</w:t>
      </w:r>
      <w:r>
        <w:rPr>
          <w:rFonts w:eastAsia="Times New Roman" w:cs="Arial"/>
          <w:color w:val="auto"/>
          <w:sz w:val="18"/>
          <w:lang w:eastAsia="en-GB"/>
        </w:rPr>
        <w:t>.</w:t>
      </w:r>
      <w:r w:rsidRPr="005163CD">
        <w:rPr>
          <w:rFonts w:eastAsia="Times New Roman" w:cs="Arial"/>
          <w:color w:val="auto"/>
          <w:sz w:val="18"/>
          <w:lang w:eastAsia="en-GB"/>
        </w:rPr>
        <w:t>F</w:t>
      </w:r>
      <w:r>
        <w:rPr>
          <w:rFonts w:eastAsia="Times New Roman" w:cs="Arial"/>
          <w:color w:val="auto"/>
          <w:sz w:val="18"/>
          <w:lang w:eastAsia="en-GB"/>
        </w:rPr>
        <w:t>.;</w:t>
      </w:r>
      <w:r w:rsidRPr="005163CD">
        <w:rPr>
          <w:rFonts w:eastAsia="Times New Roman" w:cs="Arial"/>
          <w:color w:val="auto"/>
          <w:sz w:val="18"/>
          <w:lang w:eastAsia="en-GB"/>
        </w:rPr>
        <w:t xml:space="preserve"> Ellis, M</w:t>
      </w:r>
      <w:r>
        <w:rPr>
          <w:rFonts w:eastAsia="Times New Roman" w:cs="Arial"/>
          <w:color w:val="auto"/>
          <w:sz w:val="18"/>
          <w:lang w:eastAsia="en-GB"/>
        </w:rPr>
        <w:t>.;</w:t>
      </w:r>
      <w:r w:rsidRPr="005163CD">
        <w:rPr>
          <w:rFonts w:eastAsia="Times New Roman" w:cs="Arial"/>
          <w:color w:val="auto"/>
          <w:sz w:val="18"/>
          <w:lang w:eastAsia="en-GB"/>
        </w:rPr>
        <w:t xml:space="preserve"> Garay-Baquero, D</w:t>
      </w:r>
      <w:r>
        <w:rPr>
          <w:rFonts w:eastAsia="Times New Roman" w:cs="Arial"/>
          <w:color w:val="auto"/>
          <w:sz w:val="18"/>
          <w:lang w:eastAsia="en-GB"/>
        </w:rPr>
        <w:t>.</w:t>
      </w:r>
      <w:r w:rsidRPr="005163CD">
        <w:rPr>
          <w:rFonts w:eastAsia="Times New Roman" w:cs="Arial"/>
          <w:color w:val="auto"/>
          <w:sz w:val="18"/>
          <w:lang w:eastAsia="en-GB"/>
        </w:rPr>
        <w:t>J</w:t>
      </w:r>
      <w:r>
        <w:rPr>
          <w:rFonts w:eastAsia="Times New Roman" w:cs="Arial"/>
          <w:color w:val="auto"/>
          <w:sz w:val="18"/>
          <w:lang w:eastAsia="en-GB"/>
        </w:rPr>
        <w:t>.;</w:t>
      </w:r>
      <w:r w:rsidRPr="005163CD">
        <w:rPr>
          <w:rFonts w:eastAsia="Times New Roman" w:cs="Arial"/>
          <w:color w:val="auto"/>
          <w:sz w:val="18"/>
          <w:lang w:eastAsia="en-GB"/>
        </w:rPr>
        <w:t xml:space="preserve"> Thomas, K</w:t>
      </w:r>
      <w:r>
        <w:rPr>
          <w:rFonts w:eastAsia="Times New Roman" w:cs="Arial"/>
          <w:color w:val="auto"/>
          <w:sz w:val="18"/>
          <w:lang w:eastAsia="en-GB"/>
        </w:rPr>
        <w:t>.;</w:t>
      </w:r>
      <w:r w:rsidRPr="005163CD">
        <w:rPr>
          <w:rFonts w:eastAsia="Times New Roman" w:cs="Arial"/>
          <w:color w:val="auto"/>
          <w:sz w:val="18"/>
          <w:lang w:eastAsia="en-GB"/>
        </w:rPr>
        <w:t xml:space="preserve"> Reichmann, M</w:t>
      </w:r>
      <w:r>
        <w:rPr>
          <w:rFonts w:eastAsia="Times New Roman" w:cs="Arial"/>
          <w:color w:val="auto"/>
          <w:sz w:val="18"/>
          <w:lang w:eastAsia="en-GB"/>
        </w:rPr>
        <w:t>.</w:t>
      </w:r>
      <w:r w:rsidRPr="005163CD">
        <w:rPr>
          <w:rFonts w:eastAsia="Times New Roman" w:cs="Arial"/>
          <w:color w:val="auto"/>
          <w:sz w:val="18"/>
          <w:lang w:eastAsia="en-GB"/>
        </w:rPr>
        <w:t>T</w:t>
      </w:r>
      <w:r>
        <w:rPr>
          <w:rFonts w:eastAsia="Times New Roman" w:cs="Arial"/>
          <w:color w:val="auto"/>
          <w:sz w:val="18"/>
          <w:lang w:eastAsia="en-GB"/>
        </w:rPr>
        <w:t>.;</w:t>
      </w:r>
      <w:r w:rsidRPr="005163CD">
        <w:rPr>
          <w:rFonts w:eastAsia="Times New Roman" w:cs="Arial"/>
          <w:color w:val="auto"/>
          <w:sz w:val="18"/>
          <w:lang w:eastAsia="en-GB"/>
        </w:rPr>
        <w:t xml:space="preserve"> Johnston, D</w:t>
      </w:r>
      <w:r>
        <w:rPr>
          <w:rFonts w:eastAsia="Times New Roman" w:cs="Arial"/>
          <w:color w:val="auto"/>
          <w:sz w:val="18"/>
          <w:lang w:eastAsia="en-GB"/>
        </w:rPr>
        <w:t>.</w:t>
      </w:r>
      <w:r w:rsidRPr="005163CD">
        <w:rPr>
          <w:rFonts w:eastAsia="Times New Roman" w:cs="Arial"/>
          <w:color w:val="auto"/>
          <w:sz w:val="18"/>
          <w:lang w:eastAsia="en-GB"/>
        </w:rPr>
        <w:t>A</w:t>
      </w:r>
      <w:r>
        <w:rPr>
          <w:rFonts w:eastAsia="Times New Roman" w:cs="Arial"/>
          <w:color w:val="auto"/>
          <w:sz w:val="18"/>
          <w:lang w:eastAsia="en-GB"/>
        </w:rPr>
        <w:t>.;</w:t>
      </w:r>
      <w:r w:rsidRPr="005163CD">
        <w:rPr>
          <w:rFonts w:eastAsia="Times New Roman" w:cs="Arial"/>
          <w:color w:val="auto"/>
          <w:sz w:val="18"/>
          <w:lang w:eastAsia="en-GB"/>
        </w:rPr>
        <w:t xml:space="preserve"> Wilkinson, K</w:t>
      </w:r>
      <w:r>
        <w:rPr>
          <w:rFonts w:eastAsia="Times New Roman" w:cs="Arial"/>
          <w:color w:val="auto"/>
          <w:sz w:val="18"/>
          <w:lang w:eastAsia="en-GB"/>
        </w:rPr>
        <w:t>.</w:t>
      </w:r>
      <w:r w:rsidRPr="005163CD">
        <w:rPr>
          <w:rFonts w:eastAsia="Times New Roman" w:cs="Arial"/>
          <w:color w:val="auto"/>
          <w:sz w:val="18"/>
          <w:lang w:eastAsia="en-GB"/>
        </w:rPr>
        <w:t>A</w:t>
      </w:r>
      <w:r>
        <w:rPr>
          <w:rFonts w:eastAsia="Times New Roman" w:cs="Arial"/>
          <w:color w:val="auto"/>
          <w:sz w:val="18"/>
          <w:lang w:eastAsia="en-GB"/>
        </w:rPr>
        <w:t>.;</w:t>
      </w:r>
      <w:r w:rsidRPr="005163CD">
        <w:rPr>
          <w:rFonts w:eastAsia="Times New Roman" w:cs="Arial"/>
          <w:color w:val="auto"/>
          <w:sz w:val="18"/>
          <w:lang w:eastAsia="en-GB"/>
        </w:rPr>
        <w:t xml:space="preserve"> </w:t>
      </w:r>
      <w:r>
        <w:rPr>
          <w:rFonts w:eastAsia="Times New Roman" w:cs="Arial"/>
          <w:color w:val="auto"/>
          <w:sz w:val="18"/>
          <w:lang w:eastAsia="en-GB"/>
        </w:rPr>
        <w:t>et al</w:t>
      </w:r>
      <w:r w:rsidRPr="005163CD">
        <w:rPr>
          <w:rFonts w:eastAsia="Times New Roman" w:cs="Arial"/>
          <w:color w:val="auto"/>
          <w:sz w:val="18"/>
          <w:lang w:eastAsia="en-GB"/>
        </w:rPr>
        <w:t>. Anti-PD-1 immunotherapy leads to tuberculosis reactivation via dysregulation of TNF-α</w:t>
      </w:r>
      <w:r>
        <w:rPr>
          <w:rFonts w:eastAsia="Times New Roman" w:cs="Arial"/>
          <w:color w:val="auto"/>
          <w:sz w:val="18"/>
          <w:lang w:eastAsia="en-GB"/>
        </w:rPr>
        <w:t>.</w:t>
      </w:r>
      <w:r w:rsidRPr="005163CD">
        <w:rPr>
          <w:rFonts w:eastAsia="Times New Roman" w:cs="Arial"/>
          <w:color w:val="auto"/>
          <w:sz w:val="18"/>
          <w:lang w:eastAsia="en-GB"/>
        </w:rPr>
        <w:t xml:space="preserve"> </w:t>
      </w:r>
      <w:r w:rsidRPr="00C60847">
        <w:rPr>
          <w:rFonts w:eastAsia="Times New Roman" w:cs="Arial"/>
          <w:i/>
          <w:iCs/>
          <w:color w:val="auto"/>
          <w:sz w:val="18"/>
          <w:lang w:eastAsia="en-GB"/>
        </w:rPr>
        <w:t>eLife</w:t>
      </w:r>
      <w:r w:rsidRPr="005163CD">
        <w:rPr>
          <w:rFonts w:eastAsia="Times New Roman" w:cs="Arial"/>
          <w:color w:val="auto"/>
          <w:sz w:val="18"/>
          <w:lang w:eastAsia="en-GB"/>
        </w:rPr>
        <w:t xml:space="preserve"> </w:t>
      </w:r>
      <w:r w:rsidRPr="004D746C">
        <w:rPr>
          <w:rFonts w:eastAsia="Times New Roman" w:cs="Arial"/>
          <w:b/>
          <w:bCs/>
          <w:color w:val="auto"/>
          <w:sz w:val="18"/>
          <w:lang w:eastAsia="en-GB"/>
        </w:rPr>
        <w:t>2020</w:t>
      </w:r>
      <w:r w:rsidRPr="005163CD">
        <w:rPr>
          <w:rFonts w:eastAsia="Times New Roman" w:cs="Arial"/>
          <w:color w:val="auto"/>
          <w:sz w:val="18"/>
          <w:lang w:eastAsia="en-GB"/>
        </w:rPr>
        <w:t xml:space="preserve">, </w:t>
      </w:r>
      <w:r w:rsidRPr="004D746C">
        <w:rPr>
          <w:rFonts w:eastAsia="Times New Roman" w:cs="Arial"/>
          <w:i/>
          <w:iCs/>
          <w:color w:val="auto"/>
          <w:sz w:val="18"/>
          <w:lang w:eastAsia="en-GB"/>
        </w:rPr>
        <w:t>9</w:t>
      </w:r>
      <w:r>
        <w:rPr>
          <w:rFonts w:eastAsia="Times New Roman" w:cs="Arial"/>
          <w:color w:val="auto"/>
          <w:sz w:val="18"/>
          <w:lang w:eastAsia="en-GB"/>
        </w:rPr>
        <w:t>,</w:t>
      </w:r>
      <w:r w:rsidRPr="005163CD">
        <w:rPr>
          <w:rFonts w:eastAsia="Times New Roman" w:cs="Arial"/>
          <w:color w:val="auto"/>
          <w:sz w:val="18"/>
          <w:lang w:eastAsia="en-GB"/>
        </w:rPr>
        <w:t xml:space="preserve"> e52668.</w:t>
      </w:r>
    </w:p>
    <w:p w14:paraId="7A534AA6"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Fonts w:cstheme="minorHAnsi"/>
          <w:color w:val="auto"/>
          <w:sz w:val="18"/>
          <w:szCs w:val="18"/>
        </w:rPr>
      </w:pPr>
      <w:r w:rsidRPr="005163CD">
        <w:rPr>
          <w:rFonts w:eastAsia="Times New Roman"/>
          <w:color w:val="auto"/>
          <w:spacing w:val="-2"/>
          <w:kern w:val="36"/>
          <w:sz w:val="18"/>
          <w:lang w:eastAsia="en-GB"/>
        </w:rPr>
        <w:t>Andreu, N</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Zelmer, A</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Fletcher, T.</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Elkington, P</w:t>
      </w:r>
      <w:r>
        <w:rPr>
          <w:rFonts w:eastAsia="Times New Roman"/>
          <w:color w:val="auto"/>
          <w:spacing w:val="-2"/>
          <w:kern w:val="36"/>
          <w:sz w:val="18"/>
          <w:lang w:eastAsia="en-GB"/>
        </w:rPr>
        <w:t>.</w:t>
      </w:r>
      <w:r w:rsidRPr="005163CD">
        <w:rPr>
          <w:rFonts w:eastAsia="Times New Roman"/>
          <w:color w:val="auto"/>
          <w:spacing w:val="-2"/>
          <w:kern w:val="36"/>
          <w:sz w:val="18"/>
          <w:lang w:eastAsia="en-GB"/>
        </w:rPr>
        <w:t>T</w:t>
      </w:r>
      <w:r>
        <w:rPr>
          <w:rFonts w:eastAsia="Times New Roman"/>
          <w:color w:val="auto"/>
          <w:spacing w:val="-2"/>
          <w:kern w:val="36"/>
          <w:sz w:val="18"/>
          <w:lang w:eastAsia="en-GB"/>
        </w:rPr>
        <w:t xml:space="preserve">.; </w:t>
      </w:r>
      <w:r w:rsidRPr="005163CD">
        <w:rPr>
          <w:rFonts w:eastAsia="Times New Roman"/>
          <w:color w:val="auto"/>
          <w:spacing w:val="-2"/>
          <w:kern w:val="36"/>
          <w:sz w:val="18"/>
          <w:lang w:eastAsia="en-GB"/>
        </w:rPr>
        <w:t>Ward, T</w:t>
      </w:r>
      <w:r>
        <w:rPr>
          <w:rFonts w:eastAsia="Times New Roman"/>
          <w:color w:val="auto"/>
          <w:spacing w:val="-2"/>
          <w:kern w:val="36"/>
          <w:sz w:val="18"/>
          <w:lang w:eastAsia="en-GB"/>
        </w:rPr>
        <w:t>.</w:t>
      </w:r>
      <w:r w:rsidRPr="005163CD">
        <w:rPr>
          <w:rFonts w:eastAsia="Times New Roman"/>
          <w:color w:val="auto"/>
          <w:spacing w:val="-2"/>
          <w:kern w:val="36"/>
          <w:sz w:val="18"/>
          <w:lang w:eastAsia="en-GB"/>
        </w:rPr>
        <w:t>H</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w:t>
      </w:r>
      <w:proofErr w:type="spellStart"/>
      <w:r w:rsidRPr="005163CD">
        <w:rPr>
          <w:rFonts w:eastAsia="Times New Roman"/>
          <w:color w:val="auto"/>
          <w:spacing w:val="-2"/>
          <w:kern w:val="36"/>
          <w:sz w:val="18"/>
          <w:lang w:eastAsia="en-GB"/>
        </w:rPr>
        <w:t>Ripoli</w:t>
      </w:r>
      <w:proofErr w:type="spellEnd"/>
      <w:r w:rsidRPr="005163CD">
        <w:rPr>
          <w:rFonts w:eastAsia="Times New Roman"/>
          <w:color w:val="auto"/>
          <w:spacing w:val="-2"/>
          <w:kern w:val="36"/>
          <w:sz w:val="18"/>
          <w:lang w:eastAsia="en-GB"/>
        </w:rPr>
        <w:t>, J</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Parish, T</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Bancroft, G</w:t>
      </w:r>
      <w:r>
        <w:rPr>
          <w:rFonts w:eastAsia="Times New Roman"/>
          <w:color w:val="auto"/>
          <w:spacing w:val="-2"/>
          <w:kern w:val="36"/>
          <w:sz w:val="18"/>
          <w:lang w:eastAsia="en-GB"/>
        </w:rPr>
        <w:t>.</w:t>
      </w:r>
      <w:r w:rsidRPr="005163CD">
        <w:rPr>
          <w:rFonts w:eastAsia="Times New Roman"/>
          <w:color w:val="auto"/>
          <w:spacing w:val="-2"/>
          <w:kern w:val="36"/>
          <w:sz w:val="18"/>
          <w:lang w:eastAsia="en-GB"/>
        </w:rPr>
        <w:t>J</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w:t>
      </w:r>
      <w:proofErr w:type="spellStart"/>
      <w:r w:rsidRPr="005163CD">
        <w:rPr>
          <w:rFonts w:eastAsia="Times New Roman"/>
          <w:color w:val="auto"/>
          <w:spacing w:val="-2"/>
          <w:kern w:val="36"/>
          <w:sz w:val="18"/>
          <w:lang w:eastAsia="en-GB"/>
        </w:rPr>
        <w:t>Schaible</w:t>
      </w:r>
      <w:proofErr w:type="spellEnd"/>
      <w:r w:rsidRPr="005163CD">
        <w:rPr>
          <w:rFonts w:eastAsia="Times New Roman"/>
          <w:color w:val="auto"/>
          <w:spacing w:val="-2"/>
          <w:kern w:val="36"/>
          <w:sz w:val="18"/>
          <w:lang w:eastAsia="en-GB"/>
        </w:rPr>
        <w:t>, U</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Robertson, B</w:t>
      </w:r>
      <w:r>
        <w:rPr>
          <w:rFonts w:eastAsia="Times New Roman"/>
          <w:color w:val="auto"/>
          <w:spacing w:val="-2"/>
          <w:kern w:val="36"/>
          <w:sz w:val="18"/>
          <w:lang w:eastAsia="en-GB"/>
        </w:rPr>
        <w:t>.</w:t>
      </w:r>
      <w:r w:rsidRPr="005163CD">
        <w:rPr>
          <w:rFonts w:eastAsia="Times New Roman"/>
          <w:color w:val="auto"/>
          <w:spacing w:val="-2"/>
          <w:kern w:val="36"/>
          <w:sz w:val="18"/>
          <w:lang w:eastAsia="en-GB"/>
        </w:rPr>
        <w:t>D</w:t>
      </w:r>
      <w:r>
        <w:rPr>
          <w:rFonts w:eastAsia="Times New Roman"/>
          <w:color w:val="auto"/>
          <w:spacing w:val="-2"/>
          <w:kern w:val="36"/>
          <w:sz w:val="18"/>
          <w:lang w:eastAsia="en-GB"/>
        </w:rPr>
        <w:t>.;</w:t>
      </w:r>
      <w:r w:rsidRPr="005163CD">
        <w:rPr>
          <w:rFonts w:eastAsia="Times New Roman"/>
          <w:color w:val="auto"/>
          <w:spacing w:val="-2"/>
          <w:kern w:val="36"/>
          <w:sz w:val="18"/>
          <w:lang w:eastAsia="en-GB"/>
        </w:rPr>
        <w:t xml:space="preserve"> Wiles, S. </w:t>
      </w:r>
      <w:proofErr w:type="spellStart"/>
      <w:r w:rsidRPr="005163CD">
        <w:rPr>
          <w:rFonts w:eastAsia="Times New Roman"/>
          <w:color w:val="auto"/>
          <w:spacing w:val="-2"/>
          <w:kern w:val="36"/>
          <w:sz w:val="18"/>
          <w:lang w:eastAsia="en-GB"/>
        </w:rPr>
        <w:t>Optimisation</w:t>
      </w:r>
      <w:proofErr w:type="spellEnd"/>
      <w:r w:rsidRPr="005163CD">
        <w:rPr>
          <w:rFonts w:eastAsia="Times New Roman"/>
          <w:color w:val="auto"/>
          <w:spacing w:val="-2"/>
          <w:kern w:val="36"/>
          <w:sz w:val="18"/>
          <w:lang w:eastAsia="en-GB"/>
        </w:rPr>
        <w:t xml:space="preserve"> of Bioluminescent Reporters for Use with Mycobacteria. </w:t>
      </w:r>
      <w:proofErr w:type="spellStart"/>
      <w:r w:rsidRPr="009147F1">
        <w:rPr>
          <w:rFonts w:eastAsia="Times New Roman"/>
          <w:i/>
          <w:color w:val="auto"/>
          <w:sz w:val="18"/>
          <w:lang w:eastAsia="en-GB"/>
        </w:rPr>
        <w:t>PLoS</w:t>
      </w:r>
      <w:proofErr w:type="spellEnd"/>
      <w:r w:rsidRPr="009147F1">
        <w:rPr>
          <w:rFonts w:eastAsia="Times New Roman"/>
          <w:i/>
          <w:color w:val="auto"/>
          <w:sz w:val="18"/>
          <w:lang w:eastAsia="en-GB"/>
        </w:rPr>
        <w:t xml:space="preserve"> ONE</w:t>
      </w:r>
      <w:r w:rsidRPr="005163CD">
        <w:rPr>
          <w:rFonts w:eastAsia="Times New Roman"/>
          <w:color w:val="auto"/>
          <w:sz w:val="18"/>
          <w:lang w:eastAsia="en-GB"/>
        </w:rPr>
        <w:t xml:space="preserve"> </w:t>
      </w:r>
      <w:r>
        <w:rPr>
          <w:rFonts w:eastAsia="Times New Roman"/>
          <w:b/>
          <w:color w:val="auto"/>
          <w:sz w:val="18"/>
          <w:lang w:eastAsia="en-GB"/>
        </w:rPr>
        <w:t>2010</w:t>
      </w:r>
      <w:r>
        <w:rPr>
          <w:rFonts w:eastAsia="Times New Roman"/>
          <w:color w:val="auto"/>
          <w:sz w:val="18"/>
          <w:lang w:eastAsia="en-GB"/>
        </w:rPr>
        <w:t xml:space="preserve">, </w:t>
      </w:r>
      <w:r>
        <w:rPr>
          <w:rFonts w:eastAsia="Times New Roman"/>
          <w:i/>
          <w:color w:val="auto"/>
          <w:sz w:val="18"/>
          <w:lang w:eastAsia="en-GB"/>
        </w:rPr>
        <w:t>5</w:t>
      </w:r>
      <w:r>
        <w:rPr>
          <w:rFonts w:eastAsia="Times New Roman"/>
          <w:color w:val="auto"/>
          <w:sz w:val="18"/>
          <w:lang w:eastAsia="en-GB"/>
        </w:rPr>
        <w:t>, e10777</w:t>
      </w:r>
      <w:r w:rsidRPr="005163CD">
        <w:rPr>
          <w:rFonts w:eastAsia="Times New Roman"/>
          <w:color w:val="auto"/>
          <w:sz w:val="18"/>
          <w:lang w:eastAsia="en-GB"/>
        </w:rPr>
        <w:t>.</w:t>
      </w:r>
    </w:p>
    <w:p w14:paraId="6863B82A"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Fonts w:eastAsia="Times New Roman" w:cs="Segoe UI"/>
          <w:color w:val="auto"/>
          <w:sz w:val="18"/>
          <w:szCs w:val="18"/>
          <w:lang w:eastAsia="en-GB"/>
        </w:rPr>
      </w:pPr>
      <w:r w:rsidRPr="005163CD">
        <w:rPr>
          <w:rFonts w:eastAsia="Times New Roman" w:cstheme="minorHAnsi"/>
          <w:color w:val="auto"/>
          <w:sz w:val="18"/>
          <w:szCs w:val="18"/>
          <w:lang w:eastAsia="en-GB"/>
        </w:rPr>
        <w:t xml:space="preserve"> </w:t>
      </w:r>
      <w:proofErr w:type="spellStart"/>
      <w:r w:rsidRPr="005163CD">
        <w:rPr>
          <w:rFonts w:eastAsia="Times New Roman" w:cstheme="minorHAnsi"/>
          <w:color w:val="auto"/>
          <w:sz w:val="18"/>
          <w:szCs w:val="18"/>
          <w:lang w:eastAsia="en-GB"/>
        </w:rPr>
        <w:t>Kothekar</w:t>
      </w:r>
      <w:proofErr w:type="spellEnd"/>
      <w:r w:rsidRPr="005163CD">
        <w:rPr>
          <w:rFonts w:eastAsia="Times New Roman" w:cstheme="minorHAnsi"/>
          <w:color w:val="auto"/>
          <w:sz w:val="18"/>
          <w:szCs w:val="18"/>
          <w:lang w:eastAsia="en-GB"/>
        </w:rPr>
        <w:t>,</w:t>
      </w:r>
      <w:r>
        <w:rPr>
          <w:rFonts w:eastAsia="Times New Roman" w:cstheme="minorHAnsi"/>
          <w:color w:val="auto"/>
          <w:sz w:val="18"/>
          <w:szCs w:val="18"/>
          <w:lang w:eastAsia="en-GB"/>
        </w:rPr>
        <w:t xml:space="preserve"> </w:t>
      </w:r>
      <w:r w:rsidRPr="005163CD">
        <w:rPr>
          <w:rFonts w:eastAsia="Times New Roman" w:cstheme="minorHAnsi"/>
          <w:color w:val="auto"/>
          <w:sz w:val="18"/>
          <w:szCs w:val="18"/>
          <w:lang w:eastAsia="en-GB"/>
        </w:rPr>
        <w:t>A</w:t>
      </w:r>
      <w:r>
        <w:rPr>
          <w:rFonts w:eastAsia="Times New Roman" w:cstheme="minorHAnsi"/>
          <w:color w:val="auto"/>
          <w:sz w:val="18"/>
          <w:szCs w:val="18"/>
          <w:lang w:eastAsia="en-GB"/>
        </w:rPr>
        <w:t>.;</w:t>
      </w:r>
      <w:r w:rsidRPr="005163CD">
        <w:rPr>
          <w:rFonts w:eastAsia="Times New Roman" w:cstheme="minorHAnsi"/>
          <w:color w:val="auto"/>
          <w:sz w:val="18"/>
          <w:szCs w:val="18"/>
          <w:lang w:eastAsia="en-GB"/>
        </w:rPr>
        <w:t xml:space="preserve"> </w:t>
      </w:r>
      <w:proofErr w:type="spellStart"/>
      <w:r w:rsidRPr="005163CD">
        <w:rPr>
          <w:rFonts w:eastAsia="Times New Roman" w:cstheme="minorHAnsi"/>
          <w:color w:val="auto"/>
          <w:sz w:val="18"/>
          <w:szCs w:val="18"/>
          <w:lang w:eastAsia="en-GB"/>
        </w:rPr>
        <w:t>Divatia</w:t>
      </w:r>
      <w:proofErr w:type="spellEnd"/>
      <w:r w:rsidRPr="005163CD">
        <w:rPr>
          <w:rFonts w:eastAsia="Times New Roman" w:cstheme="minorHAnsi"/>
          <w:color w:val="auto"/>
          <w:sz w:val="18"/>
          <w:szCs w:val="18"/>
          <w:lang w:eastAsia="en-GB"/>
        </w:rPr>
        <w:t>, J</w:t>
      </w:r>
      <w:r>
        <w:rPr>
          <w:rFonts w:eastAsia="Times New Roman" w:cstheme="minorHAnsi"/>
          <w:color w:val="auto"/>
          <w:sz w:val="18"/>
          <w:szCs w:val="18"/>
          <w:lang w:eastAsia="en-GB"/>
        </w:rPr>
        <w:t>.</w:t>
      </w:r>
      <w:r w:rsidRPr="005163CD">
        <w:rPr>
          <w:rFonts w:eastAsia="Times New Roman" w:cstheme="minorHAnsi"/>
          <w:color w:val="auto"/>
          <w:sz w:val="18"/>
          <w:szCs w:val="18"/>
          <w:lang w:eastAsia="en-GB"/>
        </w:rPr>
        <w:t>V</w:t>
      </w:r>
      <w:r>
        <w:rPr>
          <w:rFonts w:eastAsia="Times New Roman" w:cstheme="minorHAnsi"/>
          <w:color w:val="auto"/>
          <w:sz w:val="18"/>
          <w:szCs w:val="18"/>
          <w:lang w:eastAsia="en-GB"/>
        </w:rPr>
        <w:t>.;</w:t>
      </w:r>
      <w:r w:rsidRPr="005163CD">
        <w:rPr>
          <w:rFonts w:eastAsia="Times New Roman" w:cstheme="minorHAnsi"/>
          <w:color w:val="auto"/>
          <w:sz w:val="18"/>
          <w:szCs w:val="18"/>
          <w:lang w:eastAsia="en-GB"/>
        </w:rPr>
        <w:t xml:space="preserve"> </w:t>
      </w:r>
      <w:proofErr w:type="spellStart"/>
      <w:r w:rsidRPr="005163CD">
        <w:rPr>
          <w:rFonts w:eastAsia="Times New Roman" w:cstheme="minorHAnsi"/>
          <w:color w:val="auto"/>
          <w:sz w:val="18"/>
          <w:szCs w:val="18"/>
          <w:lang w:eastAsia="en-GB"/>
        </w:rPr>
        <w:t>Myatra</w:t>
      </w:r>
      <w:proofErr w:type="spellEnd"/>
      <w:r w:rsidRPr="005C5C23">
        <w:rPr>
          <w:rFonts w:eastAsia="Times New Roman" w:cstheme="minorHAnsi"/>
          <w:color w:val="auto"/>
          <w:sz w:val="18"/>
          <w:szCs w:val="18"/>
          <w:lang w:eastAsia="en-GB"/>
        </w:rPr>
        <w:t>,</w:t>
      </w:r>
      <w:r w:rsidRPr="005163CD">
        <w:rPr>
          <w:rFonts w:eastAsia="Times New Roman" w:cstheme="minorHAnsi"/>
          <w:color w:val="auto"/>
          <w:sz w:val="18"/>
          <w:szCs w:val="18"/>
          <w:vertAlign w:val="superscript"/>
          <w:lang w:eastAsia="en-GB"/>
        </w:rPr>
        <w:t xml:space="preserve"> </w:t>
      </w:r>
      <w:r w:rsidRPr="005163CD">
        <w:rPr>
          <w:rFonts w:eastAsia="Times New Roman" w:cstheme="minorHAnsi"/>
          <w:color w:val="auto"/>
          <w:sz w:val="18"/>
          <w:szCs w:val="18"/>
          <w:lang w:eastAsia="en-GB"/>
        </w:rPr>
        <w:t>S</w:t>
      </w:r>
      <w:r>
        <w:rPr>
          <w:rFonts w:eastAsia="Times New Roman" w:cstheme="minorHAnsi"/>
          <w:color w:val="auto"/>
          <w:sz w:val="18"/>
          <w:szCs w:val="18"/>
          <w:lang w:eastAsia="en-GB"/>
        </w:rPr>
        <w:t>.</w:t>
      </w:r>
      <w:r w:rsidRPr="005163CD">
        <w:rPr>
          <w:rFonts w:eastAsia="Times New Roman" w:cstheme="minorHAnsi"/>
          <w:color w:val="auto"/>
          <w:sz w:val="18"/>
          <w:szCs w:val="18"/>
          <w:lang w:eastAsia="en-GB"/>
        </w:rPr>
        <w:t>N</w:t>
      </w:r>
      <w:r>
        <w:rPr>
          <w:rFonts w:eastAsia="Times New Roman" w:cstheme="minorHAnsi"/>
          <w:color w:val="auto"/>
          <w:sz w:val="18"/>
          <w:szCs w:val="18"/>
          <w:lang w:eastAsia="en-GB"/>
        </w:rPr>
        <w:t>.;</w:t>
      </w:r>
      <w:r w:rsidRPr="005163CD">
        <w:rPr>
          <w:rFonts w:eastAsia="Times New Roman" w:cstheme="minorHAnsi"/>
          <w:color w:val="auto"/>
          <w:sz w:val="18"/>
          <w:szCs w:val="18"/>
          <w:lang w:eastAsia="en-GB"/>
        </w:rPr>
        <w:t xml:space="preserve"> </w:t>
      </w:r>
      <w:proofErr w:type="spellStart"/>
      <w:r w:rsidRPr="005163CD">
        <w:rPr>
          <w:rFonts w:eastAsia="Times New Roman" w:cstheme="minorHAnsi"/>
          <w:color w:val="auto"/>
          <w:sz w:val="18"/>
          <w:szCs w:val="18"/>
          <w:lang w:eastAsia="en-GB"/>
        </w:rPr>
        <w:t>Gota</w:t>
      </w:r>
      <w:proofErr w:type="spellEnd"/>
      <w:r w:rsidRPr="005163CD">
        <w:rPr>
          <w:rFonts w:eastAsia="Times New Roman" w:cstheme="minorHAnsi"/>
          <w:color w:val="auto"/>
          <w:sz w:val="18"/>
          <w:szCs w:val="18"/>
          <w:lang w:eastAsia="en-GB"/>
        </w:rPr>
        <w:t xml:space="preserve">, V. </w:t>
      </w:r>
      <w:r w:rsidRPr="005163CD">
        <w:rPr>
          <w:rFonts w:eastAsia="Times New Roman" w:cstheme="minorHAnsi"/>
          <w:color w:val="auto"/>
          <w:kern w:val="36"/>
          <w:sz w:val="18"/>
          <w:szCs w:val="18"/>
          <w:lang w:eastAsia="en-GB"/>
        </w:rPr>
        <w:t xml:space="preserve">Response to: 500 mg as bolus followed by an extended infusion of 1500 mg of meropenem every 8 h failed to achieve in one-third of the patients an optimal PK/PD against nonresistant strains of these </w:t>
      </w:r>
      <w:r w:rsidRPr="00060A1C">
        <w:rPr>
          <w:rFonts w:eastAsia="Times New Roman" w:cstheme="minorHAnsi"/>
          <w:color w:val="auto"/>
          <w:kern w:val="36"/>
          <w:sz w:val="18"/>
          <w:szCs w:val="18"/>
          <w:lang w:eastAsia="en-GB"/>
        </w:rPr>
        <w:t>organisms: Is C</w:t>
      </w:r>
      <w:r w:rsidRPr="005163CD">
        <w:rPr>
          <w:rFonts w:eastAsia="Times New Roman" w:cstheme="minorHAnsi"/>
          <w:color w:val="auto"/>
          <w:kern w:val="36"/>
          <w:sz w:val="18"/>
          <w:szCs w:val="18"/>
          <w:lang w:eastAsia="en-GB"/>
        </w:rPr>
        <w:t xml:space="preserve">RRT responsible for this situation? </w:t>
      </w:r>
      <w:r>
        <w:rPr>
          <w:rFonts w:eastAsia="Times New Roman" w:cstheme="minorHAnsi"/>
          <w:i/>
          <w:color w:val="auto"/>
          <w:kern w:val="36"/>
          <w:sz w:val="18"/>
          <w:szCs w:val="18"/>
          <w:lang w:eastAsia="en-GB"/>
        </w:rPr>
        <w:t xml:space="preserve">Ann. </w:t>
      </w:r>
      <w:r w:rsidRPr="00915DBF">
        <w:rPr>
          <w:rFonts w:eastAsia="Times New Roman" w:cstheme="minorHAnsi"/>
          <w:i/>
          <w:iCs/>
          <w:color w:val="auto"/>
          <w:sz w:val="18"/>
          <w:szCs w:val="18"/>
          <w:lang w:eastAsia="en-GB"/>
        </w:rPr>
        <w:t>Intensive Care</w:t>
      </w:r>
      <w:r>
        <w:rPr>
          <w:rFonts w:eastAsia="Times New Roman" w:cstheme="minorHAnsi"/>
          <w:i/>
          <w:iCs/>
          <w:color w:val="auto"/>
          <w:sz w:val="18"/>
          <w:szCs w:val="18"/>
          <w:lang w:eastAsia="en-GB"/>
        </w:rPr>
        <w:t xml:space="preserve"> </w:t>
      </w:r>
      <w:r w:rsidRPr="00C7152B">
        <w:rPr>
          <w:rFonts w:eastAsia="Times New Roman" w:cstheme="minorHAnsi"/>
          <w:b/>
          <w:bCs/>
          <w:color w:val="auto"/>
          <w:sz w:val="18"/>
          <w:szCs w:val="18"/>
          <w:lang w:eastAsia="en-GB"/>
        </w:rPr>
        <w:t>2020</w:t>
      </w:r>
      <w:r w:rsidRPr="00FA6A95">
        <w:rPr>
          <w:rFonts w:eastAsia="Times New Roman" w:cstheme="minorHAnsi"/>
          <w:color w:val="auto"/>
          <w:sz w:val="18"/>
          <w:szCs w:val="18"/>
          <w:lang w:eastAsia="en-GB"/>
        </w:rPr>
        <w:t>,</w:t>
      </w:r>
      <w:r w:rsidRPr="005163CD">
        <w:rPr>
          <w:rFonts w:eastAsia="Times New Roman" w:cstheme="minorHAnsi"/>
          <w:color w:val="auto"/>
          <w:sz w:val="18"/>
          <w:szCs w:val="18"/>
          <w:lang w:eastAsia="en-GB"/>
        </w:rPr>
        <w:t xml:space="preserve"> </w:t>
      </w:r>
      <w:r w:rsidRPr="00C7152B">
        <w:rPr>
          <w:rFonts w:eastAsia="Times New Roman" w:cstheme="minorHAnsi"/>
          <w:i/>
          <w:iCs/>
          <w:color w:val="auto"/>
          <w:sz w:val="18"/>
          <w:szCs w:val="18"/>
          <w:lang w:eastAsia="en-GB"/>
        </w:rPr>
        <w:t>10</w:t>
      </w:r>
      <w:r w:rsidRPr="005163CD">
        <w:rPr>
          <w:rFonts w:eastAsia="Times New Roman" w:cstheme="minorHAnsi"/>
          <w:color w:val="auto"/>
          <w:sz w:val="18"/>
          <w:szCs w:val="18"/>
          <w:lang w:eastAsia="en-GB"/>
        </w:rPr>
        <w:t>, 164</w:t>
      </w:r>
      <w:r w:rsidRPr="005163CD">
        <w:rPr>
          <w:rFonts w:eastAsia="Times New Roman" w:cs="Segoe UI"/>
          <w:color w:val="auto"/>
          <w:sz w:val="18"/>
          <w:szCs w:val="18"/>
          <w:lang w:eastAsia="en-GB"/>
        </w:rPr>
        <w:t>. https://doi.org/10.1186/s13613-020-00781-6.</w:t>
      </w:r>
    </w:p>
    <w:p w14:paraId="549D18D2"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Style w:val="cit"/>
          <w:rFonts w:cstheme="minorHAnsi"/>
          <w:color w:val="auto"/>
          <w:sz w:val="18"/>
          <w:szCs w:val="18"/>
        </w:rPr>
      </w:pPr>
      <w:r w:rsidRPr="005163CD">
        <w:rPr>
          <w:rFonts w:cstheme="minorHAnsi"/>
          <w:color w:val="auto"/>
          <w:sz w:val="18"/>
          <w:szCs w:val="18"/>
        </w:rPr>
        <w:t>Li, Z</w:t>
      </w:r>
      <w:r>
        <w:rPr>
          <w:rFonts w:cstheme="minorHAnsi"/>
          <w:color w:val="auto"/>
          <w:sz w:val="18"/>
          <w:szCs w:val="18"/>
        </w:rPr>
        <w:t>.;</w:t>
      </w:r>
      <w:r w:rsidRPr="005163CD">
        <w:rPr>
          <w:rFonts w:cstheme="minorHAnsi"/>
          <w:color w:val="auto"/>
          <w:sz w:val="18"/>
          <w:szCs w:val="18"/>
        </w:rPr>
        <w:t xml:space="preserve"> </w:t>
      </w:r>
      <w:proofErr w:type="spellStart"/>
      <w:r w:rsidRPr="005163CD">
        <w:rPr>
          <w:rFonts w:cstheme="minorHAnsi"/>
          <w:color w:val="auto"/>
          <w:sz w:val="18"/>
          <w:szCs w:val="18"/>
        </w:rPr>
        <w:t>Su</w:t>
      </w:r>
      <w:proofErr w:type="spellEnd"/>
      <w:r w:rsidRPr="005163CD">
        <w:rPr>
          <w:rFonts w:cstheme="minorHAnsi"/>
          <w:color w:val="auto"/>
          <w:sz w:val="18"/>
          <w:szCs w:val="18"/>
        </w:rPr>
        <w:t>, M</w:t>
      </w:r>
      <w:r>
        <w:rPr>
          <w:rFonts w:cstheme="minorHAnsi"/>
          <w:color w:val="auto"/>
          <w:sz w:val="18"/>
          <w:szCs w:val="18"/>
        </w:rPr>
        <w:t>.;</w:t>
      </w:r>
      <w:r w:rsidRPr="005163CD">
        <w:rPr>
          <w:rFonts w:cstheme="minorHAnsi"/>
          <w:color w:val="auto"/>
          <w:sz w:val="18"/>
          <w:szCs w:val="18"/>
        </w:rPr>
        <w:t xml:space="preserve"> Cheng, W</w:t>
      </w:r>
      <w:r>
        <w:rPr>
          <w:rFonts w:cstheme="minorHAnsi"/>
          <w:color w:val="auto"/>
          <w:sz w:val="18"/>
          <w:szCs w:val="18"/>
        </w:rPr>
        <w:t>.;</w:t>
      </w:r>
      <w:r w:rsidRPr="005163CD">
        <w:rPr>
          <w:rFonts w:cstheme="minorHAnsi"/>
          <w:color w:val="auto"/>
          <w:sz w:val="18"/>
          <w:szCs w:val="18"/>
        </w:rPr>
        <w:t xml:space="preserve"> Xia, J</w:t>
      </w:r>
      <w:r>
        <w:rPr>
          <w:rFonts w:cstheme="minorHAnsi"/>
          <w:color w:val="auto"/>
          <w:sz w:val="18"/>
          <w:szCs w:val="18"/>
        </w:rPr>
        <w:t>.;</w:t>
      </w:r>
      <w:r w:rsidRPr="005163CD">
        <w:rPr>
          <w:rFonts w:cstheme="minorHAnsi"/>
          <w:color w:val="auto"/>
          <w:sz w:val="18"/>
          <w:szCs w:val="18"/>
        </w:rPr>
        <w:t xml:space="preserve"> Liu, S</w:t>
      </w:r>
      <w:r>
        <w:rPr>
          <w:rFonts w:cstheme="minorHAnsi"/>
          <w:color w:val="auto"/>
          <w:sz w:val="18"/>
          <w:szCs w:val="18"/>
        </w:rPr>
        <w:t>.;</w:t>
      </w:r>
      <w:r w:rsidRPr="005163CD">
        <w:rPr>
          <w:rFonts w:cstheme="minorHAnsi"/>
          <w:color w:val="auto"/>
          <w:sz w:val="18"/>
          <w:szCs w:val="18"/>
        </w:rPr>
        <w:t xml:space="preserve"> Liu, R</w:t>
      </w:r>
      <w:r>
        <w:rPr>
          <w:rFonts w:cstheme="minorHAnsi"/>
          <w:color w:val="auto"/>
          <w:sz w:val="18"/>
          <w:szCs w:val="18"/>
        </w:rPr>
        <w:t>.;</w:t>
      </w:r>
      <w:r w:rsidRPr="005163CD">
        <w:rPr>
          <w:rFonts w:cstheme="minorHAnsi"/>
          <w:color w:val="auto"/>
          <w:sz w:val="18"/>
          <w:szCs w:val="18"/>
        </w:rPr>
        <w:t xml:space="preserve"> Sun, S</w:t>
      </w:r>
      <w:r>
        <w:rPr>
          <w:rFonts w:cstheme="minorHAnsi"/>
          <w:color w:val="auto"/>
          <w:sz w:val="18"/>
          <w:szCs w:val="18"/>
        </w:rPr>
        <w:t>.;</w:t>
      </w:r>
      <w:r w:rsidRPr="005163CD">
        <w:rPr>
          <w:rFonts w:cstheme="minorHAnsi"/>
          <w:color w:val="auto"/>
          <w:sz w:val="18"/>
          <w:szCs w:val="18"/>
        </w:rPr>
        <w:t xml:space="preserve"> Feng, L</w:t>
      </w:r>
      <w:r>
        <w:rPr>
          <w:rFonts w:cstheme="minorHAnsi"/>
          <w:color w:val="auto"/>
          <w:sz w:val="18"/>
          <w:szCs w:val="18"/>
        </w:rPr>
        <w:t>.;</w:t>
      </w:r>
      <w:r w:rsidRPr="005163CD">
        <w:rPr>
          <w:rFonts w:cstheme="minorHAnsi"/>
          <w:color w:val="auto"/>
          <w:sz w:val="18"/>
          <w:szCs w:val="18"/>
        </w:rPr>
        <w:t xml:space="preserve"> Zhu, X</w:t>
      </w:r>
      <w:r>
        <w:rPr>
          <w:rFonts w:cstheme="minorHAnsi"/>
          <w:color w:val="auto"/>
          <w:sz w:val="18"/>
          <w:szCs w:val="18"/>
        </w:rPr>
        <w:t>.;</w:t>
      </w:r>
      <w:r w:rsidRPr="005163CD">
        <w:rPr>
          <w:rFonts w:cstheme="minorHAnsi"/>
          <w:color w:val="auto"/>
          <w:sz w:val="18"/>
          <w:szCs w:val="18"/>
        </w:rPr>
        <w:t xml:space="preserve"> Zhang, X.; </w:t>
      </w:r>
      <w:r>
        <w:rPr>
          <w:rFonts w:cstheme="minorHAnsi"/>
          <w:color w:val="auto"/>
          <w:sz w:val="18"/>
          <w:szCs w:val="18"/>
        </w:rPr>
        <w:t>et al</w:t>
      </w:r>
      <w:r w:rsidRPr="005163CD">
        <w:rPr>
          <w:rFonts w:cstheme="minorHAnsi"/>
          <w:color w:val="auto"/>
          <w:sz w:val="18"/>
          <w:szCs w:val="18"/>
        </w:rPr>
        <w:t xml:space="preserve">. Pharmacokinetics, Urinary Excretion, and Pharmaco-Metabolomic Study of Tebipenem </w:t>
      </w:r>
      <w:proofErr w:type="spellStart"/>
      <w:r w:rsidRPr="005163CD">
        <w:rPr>
          <w:rFonts w:cstheme="minorHAnsi"/>
          <w:color w:val="auto"/>
          <w:sz w:val="18"/>
          <w:szCs w:val="18"/>
        </w:rPr>
        <w:t>Pivoxil</w:t>
      </w:r>
      <w:proofErr w:type="spellEnd"/>
      <w:r w:rsidRPr="005163CD">
        <w:rPr>
          <w:rFonts w:cstheme="minorHAnsi"/>
          <w:color w:val="auto"/>
          <w:sz w:val="18"/>
          <w:szCs w:val="18"/>
        </w:rPr>
        <w:t xml:space="preserve"> Granules After Single Escalating Oral Dose in Healthy Chinese Volunteers. </w:t>
      </w:r>
      <w:r>
        <w:rPr>
          <w:rFonts w:cstheme="minorHAnsi"/>
          <w:i/>
          <w:color w:val="auto"/>
          <w:sz w:val="18"/>
          <w:szCs w:val="18"/>
        </w:rPr>
        <w:t xml:space="preserve">Front. </w:t>
      </w:r>
      <w:proofErr w:type="spellStart"/>
      <w:r>
        <w:rPr>
          <w:rFonts w:cstheme="minorHAnsi"/>
          <w:i/>
          <w:color w:val="auto"/>
          <w:sz w:val="18"/>
          <w:szCs w:val="18"/>
        </w:rPr>
        <w:t>Pharmacol</w:t>
      </w:r>
      <w:proofErr w:type="spellEnd"/>
      <w:r>
        <w:rPr>
          <w:rFonts w:cstheme="minorHAnsi"/>
          <w:i/>
          <w:color w:val="auto"/>
          <w:sz w:val="18"/>
          <w:szCs w:val="18"/>
        </w:rPr>
        <w:t xml:space="preserve">. </w:t>
      </w:r>
      <w:r w:rsidRPr="008A0AB8">
        <w:rPr>
          <w:rStyle w:val="cit"/>
          <w:rFonts w:cstheme="minorHAnsi"/>
          <w:b/>
          <w:bCs/>
          <w:color w:val="auto"/>
          <w:sz w:val="18"/>
          <w:szCs w:val="18"/>
        </w:rPr>
        <w:t>2021</w:t>
      </w:r>
      <w:r w:rsidRPr="005163CD">
        <w:rPr>
          <w:rStyle w:val="cit"/>
          <w:rFonts w:cstheme="minorHAnsi"/>
          <w:color w:val="auto"/>
          <w:sz w:val="18"/>
          <w:szCs w:val="18"/>
        </w:rPr>
        <w:t>,</w:t>
      </w:r>
      <w:r>
        <w:rPr>
          <w:rStyle w:val="cit"/>
          <w:rFonts w:cstheme="minorHAnsi"/>
          <w:color w:val="auto"/>
          <w:sz w:val="18"/>
          <w:szCs w:val="18"/>
        </w:rPr>
        <w:t xml:space="preserve"> </w:t>
      </w:r>
      <w:r w:rsidRPr="008A0AB8">
        <w:rPr>
          <w:rStyle w:val="cit"/>
          <w:rFonts w:cstheme="minorHAnsi"/>
          <w:i/>
          <w:iCs/>
          <w:color w:val="auto"/>
          <w:sz w:val="18"/>
          <w:szCs w:val="18"/>
        </w:rPr>
        <w:t>12</w:t>
      </w:r>
      <w:r w:rsidRPr="005163CD">
        <w:rPr>
          <w:rStyle w:val="cit"/>
          <w:rFonts w:cstheme="minorHAnsi"/>
          <w:color w:val="auto"/>
          <w:sz w:val="18"/>
          <w:szCs w:val="18"/>
        </w:rPr>
        <w:t>, 696165.</w:t>
      </w:r>
    </w:p>
    <w:p w14:paraId="29CE09E8"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Style w:val="cit"/>
          <w:rFonts w:cstheme="minorHAnsi"/>
          <w:color w:val="auto"/>
          <w:sz w:val="18"/>
          <w:szCs w:val="18"/>
        </w:rPr>
      </w:pPr>
      <w:proofErr w:type="spellStart"/>
      <w:r w:rsidRPr="005163CD">
        <w:rPr>
          <w:rFonts w:cstheme="minorHAnsi"/>
          <w:color w:val="auto"/>
          <w:sz w:val="18"/>
          <w:szCs w:val="18"/>
        </w:rPr>
        <w:t>Gettig</w:t>
      </w:r>
      <w:proofErr w:type="spellEnd"/>
      <w:r w:rsidRPr="005163CD">
        <w:rPr>
          <w:rFonts w:cstheme="minorHAnsi"/>
          <w:color w:val="auto"/>
          <w:sz w:val="18"/>
          <w:szCs w:val="18"/>
        </w:rPr>
        <w:t>,</w:t>
      </w:r>
      <w:r>
        <w:rPr>
          <w:rFonts w:cstheme="minorHAnsi"/>
          <w:color w:val="auto"/>
          <w:sz w:val="18"/>
          <w:szCs w:val="18"/>
        </w:rPr>
        <w:t xml:space="preserve"> </w:t>
      </w:r>
      <w:r w:rsidRPr="005163CD">
        <w:rPr>
          <w:rFonts w:cstheme="minorHAnsi"/>
          <w:color w:val="auto"/>
          <w:sz w:val="18"/>
          <w:szCs w:val="18"/>
        </w:rPr>
        <w:t>J</w:t>
      </w:r>
      <w:r>
        <w:rPr>
          <w:rFonts w:cstheme="minorHAnsi"/>
          <w:color w:val="auto"/>
          <w:sz w:val="18"/>
          <w:szCs w:val="18"/>
        </w:rPr>
        <w:t>.</w:t>
      </w:r>
      <w:r w:rsidRPr="005163CD">
        <w:rPr>
          <w:rFonts w:cstheme="minorHAnsi"/>
          <w:color w:val="auto"/>
          <w:sz w:val="18"/>
          <w:szCs w:val="18"/>
        </w:rPr>
        <w:t>P</w:t>
      </w:r>
      <w:r>
        <w:rPr>
          <w:rFonts w:cstheme="minorHAnsi"/>
          <w:color w:val="auto"/>
          <w:sz w:val="18"/>
          <w:szCs w:val="18"/>
        </w:rPr>
        <w:t>.;</w:t>
      </w:r>
      <w:r w:rsidRPr="005163CD">
        <w:rPr>
          <w:rFonts w:cstheme="minorHAnsi"/>
          <w:color w:val="auto"/>
          <w:sz w:val="18"/>
          <w:szCs w:val="18"/>
        </w:rPr>
        <w:t xml:space="preserve"> Crank, C</w:t>
      </w:r>
      <w:r>
        <w:rPr>
          <w:rFonts w:cstheme="minorHAnsi"/>
          <w:color w:val="auto"/>
          <w:sz w:val="18"/>
          <w:szCs w:val="18"/>
        </w:rPr>
        <w:t>.</w:t>
      </w:r>
      <w:r w:rsidRPr="005163CD">
        <w:rPr>
          <w:rFonts w:cstheme="minorHAnsi"/>
          <w:color w:val="auto"/>
          <w:sz w:val="18"/>
          <w:szCs w:val="18"/>
        </w:rPr>
        <w:t>W</w:t>
      </w:r>
      <w:r>
        <w:rPr>
          <w:rFonts w:cstheme="minorHAnsi"/>
          <w:color w:val="auto"/>
          <w:sz w:val="18"/>
          <w:szCs w:val="18"/>
        </w:rPr>
        <w:t>.;</w:t>
      </w:r>
      <w:r w:rsidRPr="005163CD">
        <w:rPr>
          <w:rFonts w:cstheme="minorHAnsi"/>
          <w:color w:val="auto"/>
          <w:sz w:val="18"/>
          <w:szCs w:val="18"/>
        </w:rPr>
        <w:t xml:space="preserve"> Philbrick, A</w:t>
      </w:r>
      <w:r>
        <w:rPr>
          <w:rFonts w:cstheme="minorHAnsi"/>
          <w:color w:val="auto"/>
          <w:sz w:val="18"/>
          <w:szCs w:val="18"/>
        </w:rPr>
        <w:t>.</w:t>
      </w:r>
      <w:r w:rsidRPr="005163CD">
        <w:rPr>
          <w:rFonts w:cstheme="minorHAnsi"/>
          <w:color w:val="auto"/>
          <w:sz w:val="18"/>
          <w:szCs w:val="18"/>
        </w:rPr>
        <w:t xml:space="preserve">H. </w:t>
      </w:r>
      <w:proofErr w:type="spellStart"/>
      <w:r w:rsidRPr="005163CD">
        <w:rPr>
          <w:rFonts w:cstheme="minorHAnsi"/>
          <w:color w:val="auto"/>
          <w:sz w:val="18"/>
          <w:szCs w:val="18"/>
        </w:rPr>
        <w:t>Faropenem</w:t>
      </w:r>
      <w:proofErr w:type="spellEnd"/>
      <w:r w:rsidRPr="005163CD">
        <w:rPr>
          <w:rFonts w:cstheme="minorHAnsi"/>
          <w:color w:val="auto"/>
          <w:sz w:val="18"/>
          <w:szCs w:val="18"/>
        </w:rPr>
        <w:t xml:space="preserve"> </w:t>
      </w:r>
      <w:proofErr w:type="spellStart"/>
      <w:r w:rsidRPr="005163CD">
        <w:rPr>
          <w:rFonts w:cstheme="minorHAnsi"/>
          <w:color w:val="auto"/>
          <w:sz w:val="18"/>
          <w:szCs w:val="18"/>
        </w:rPr>
        <w:t>medoxomil</w:t>
      </w:r>
      <w:proofErr w:type="spellEnd"/>
      <w:r w:rsidRPr="005163CD">
        <w:rPr>
          <w:rFonts w:cstheme="minorHAnsi"/>
          <w:color w:val="auto"/>
          <w:sz w:val="18"/>
          <w:szCs w:val="18"/>
        </w:rPr>
        <w:t xml:space="preserve">. </w:t>
      </w:r>
      <w:r>
        <w:rPr>
          <w:rFonts w:cstheme="minorHAnsi"/>
          <w:i/>
          <w:color w:val="auto"/>
          <w:sz w:val="18"/>
          <w:szCs w:val="18"/>
        </w:rPr>
        <w:t xml:space="preserve">Ann. </w:t>
      </w:r>
      <w:proofErr w:type="spellStart"/>
      <w:r>
        <w:rPr>
          <w:rFonts w:cstheme="minorHAnsi"/>
          <w:i/>
          <w:color w:val="auto"/>
          <w:sz w:val="18"/>
          <w:szCs w:val="18"/>
        </w:rPr>
        <w:t>Pharmacother</w:t>
      </w:r>
      <w:proofErr w:type="spellEnd"/>
      <w:r>
        <w:rPr>
          <w:rFonts w:cstheme="minorHAnsi"/>
          <w:i/>
          <w:color w:val="auto"/>
          <w:sz w:val="18"/>
          <w:szCs w:val="18"/>
        </w:rPr>
        <w:t xml:space="preserve">. </w:t>
      </w:r>
      <w:r w:rsidRPr="00825242">
        <w:rPr>
          <w:rStyle w:val="cit"/>
          <w:rFonts w:cstheme="minorHAnsi"/>
          <w:b/>
          <w:bCs/>
          <w:color w:val="auto"/>
          <w:sz w:val="18"/>
          <w:szCs w:val="18"/>
        </w:rPr>
        <w:t>2008</w:t>
      </w:r>
      <w:r w:rsidRPr="00825242">
        <w:rPr>
          <w:rStyle w:val="cit"/>
          <w:rFonts w:cstheme="minorHAnsi"/>
          <w:color w:val="auto"/>
          <w:sz w:val="18"/>
          <w:szCs w:val="18"/>
        </w:rPr>
        <w:t>,</w:t>
      </w:r>
      <w:r w:rsidRPr="005163CD">
        <w:rPr>
          <w:rStyle w:val="cit"/>
          <w:rFonts w:cstheme="minorHAnsi"/>
          <w:color w:val="auto"/>
          <w:sz w:val="18"/>
          <w:szCs w:val="18"/>
        </w:rPr>
        <w:t xml:space="preserve"> </w:t>
      </w:r>
      <w:r w:rsidRPr="00825242">
        <w:rPr>
          <w:rStyle w:val="cit"/>
          <w:rFonts w:cstheme="minorHAnsi"/>
          <w:i/>
          <w:iCs/>
          <w:color w:val="auto"/>
          <w:sz w:val="18"/>
          <w:szCs w:val="18"/>
        </w:rPr>
        <w:t>42</w:t>
      </w:r>
      <w:r w:rsidRPr="005163CD">
        <w:rPr>
          <w:rStyle w:val="cit"/>
          <w:rFonts w:cstheme="minorHAnsi"/>
          <w:color w:val="auto"/>
          <w:sz w:val="18"/>
          <w:szCs w:val="18"/>
        </w:rPr>
        <w:t>, 80–89.</w:t>
      </w:r>
    </w:p>
    <w:p w14:paraId="605EC60C"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Style w:val="citation-doi"/>
          <w:rFonts w:cstheme="minorHAnsi"/>
          <w:color w:val="auto"/>
          <w:sz w:val="18"/>
          <w:szCs w:val="18"/>
        </w:rPr>
      </w:pPr>
      <w:proofErr w:type="spellStart"/>
      <w:r w:rsidRPr="005163CD">
        <w:rPr>
          <w:rFonts w:cstheme="minorHAnsi"/>
          <w:color w:val="auto"/>
          <w:sz w:val="18"/>
          <w:szCs w:val="18"/>
        </w:rPr>
        <w:t>Abdelwahab</w:t>
      </w:r>
      <w:proofErr w:type="spellEnd"/>
      <w:r w:rsidRPr="005163CD">
        <w:rPr>
          <w:rFonts w:cstheme="minorHAnsi"/>
          <w:color w:val="auto"/>
          <w:sz w:val="18"/>
          <w:szCs w:val="18"/>
        </w:rPr>
        <w:t>, M</w:t>
      </w:r>
      <w:r>
        <w:rPr>
          <w:rFonts w:cstheme="minorHAnsi"/>
          <w:color w:val="auto"/>
          <w:sz w:val="18"/>
          <w:szCs w:val="18"/>
        </w:rPr>
        <w:t>.</w:t>
      </w:r>
      <w:r w:rsidRPr="005163CD">
        <w:rPr>
          <w:rFonts w:cstheme="minorHAnsi"/>
          <w:color w:val="auto"/>
          <w:sz w:val="18"/>
          <w:szCs w:val="18"/>
        </w:rPr>
        <w:t>T</w:t>
      </w:r>
      <w:r>
        <w:rPr>
          <w:rFonts w:cstheme="minorHAnsi"/>
          <w:color w:val="auto"/>
          <w:sz w:val="18"/>
          <w:szCs w:val="18"/>
        </w:rPr>
        <w:t>.;</w:t>
      </w:r>
      <w:r w:rsidRPr="005163CD">
        <w:rPr>
          <w:rFonts w:cstheme="minorHAnsi"/>
          <w:color w:val="auto"/>
          <w:sz w:val="18"/>
          <w:szCs w:val="18"/>
        </w:rPr>
        <w:t xml:space="preserve"> Wasserman, S</w:t>
      </w:r>
      <w:r>
        <w:rPr>
          <w:rFonts w:cstheme="minorHAnsi"/>
          <w:color w:val="auto"/>
          <w:sz w:val="18"/>
          <w:szCs w:val="18"/>
        </w:rPr>
        <w:t>.;</w:t>
      </w:r>
      <w:r w:rsidRPr="005163CD">
        <w:rPr>
          <w:rFonts w:cstheme="minorHAnsi"/>
          <w:color w:val="auto"/>
          <w:sz w:val="18"/>
          <w:szCs w:val="18"/>
        </w:rPr>
        <w:t xml:space="preserve"> Brust, J</w:t>
      </w:r>
      <w:r>
        <w:rPr>
          <w:rFonts w:cstheme="minorHAnsi"/>
          <w:color w:val="auto"/>
          <w:sz w:val="18"/>
          <w:szCs w:val="18"/>
        </w:rPr>
        <w:t>.</w:t>
      </w:r>
      <w:r w:rsidRPr="005163CD">
        <w:rPr>
          <w:rFonts w:cstheme="minorHAnsi"/>
          <w:color w:val="auto"/>
          <w:sz w:val="18"/>
          <w:szCs w:val="18"/>
        </w:rPr>
        <w:t>C</w:t>
      </w:r>
      <w:r>
        <w:rPr>
          <w:rFonts w:cstheme="minorHAnsi"/>
          <w:color w:val="auto"/>
          <w:sz w:val="18"/>
          <w:szCs w:val="18"/>
        </w:rPr>
        <w:t>.;</w:t>
      </w:r>
      <w:r w:rsidRPr="005163CD">
        <w:rPr>
          <w:rFonts w:cstheme="minorHAnsi"/>
          <w:color w:val="auto"/>
          <w:sz w:val="18"/>
          <w:szCs w:val="18"/>
        </w:rPr>
        <w:t xml:space="preserve"> </w:t>
      </w:r>
      <w:proofErr w:type="spellStart"/>
      <w:r w:rsidRPr="005163CD">
        <w:rPr>
          <w:rFonts w:cstheme="minorHAnsi"/>
          <w:color w:val="auto"/>
          <w:sz w:val="18"/>
          <w:szCs w:val="18"/>
        </w:rPr>
        <w:t>Gandi</w:t>
      </w:r>
      <w:proofErr w:type="spellEnd"/>
      <w:r w:rsidRPr="005163CD">
        <w:rPr>
          <w:rFonts w:cstheme="minorHAnsi"/>
          <w:color w:val="auto"/>
          <w:sz w:val="18"/>
          <w:szCs w:val="18"/>
        </w:rPr>
        <w:t>, N</w:t>
      </w:r>
      <w:r>
        <w:rPr>
          <w:rFonts w:cstheme="minorHAnsi"/>
          <w:color w:val="auto"/>
          <w:sz w:val="18"/>
          <w:szCs w:val="18"/>
        </w:rPr>
        <w:t>.</w:t>
      </w:r>
      <w:r w:rsidRPr="005163CD">
        <w:rPr>
          <w:rFonts w:cstheme="minorHAnsi"/>
          <w:color w:val="auto"/>
          <w:sz w:val="18"/>
          <w:szCs w:val="18"/>
        </w:rPr>
        <w:t>R</w:t>
      </w:r>
      <w:r>
        <w:rPr>
          <w:rFonts w:cstheme="minorHAnsi"/>
          <w:color w:val="auto"/>
          <w:sz w:val="18"/>
          <w:szCs w:val="18"/>
        </w:rPr>
        <w:t>.;</w:t>
      </w:r>
      <w:r w:rsidRPr="005163CD">
        <w:rPr>
          <w:rFonts w:cstheme="minorHAnsi"/>
          <w:color w:val="auto"/>
          <w:sz w:val="18"/>
          <w:szCs w:val="18"/>
        </w:rPr>
        <w:t xml:space="preserve"> Meintjes, G</w:t>
      </w:r>
      <w:r>
        <w:rPr>
          <w:rFonts w:cstheme="minorHAnsi"/>
          <w:color w:val="auto"/>
          <w:sz w:val="18"/>
          <w:szCs w:val="18"/>
        </w:rPr>
        <w:t>.;</w:t>
      </w:r>
      <w:r w:rsidRPr="005163CD">
        <w:rPr>
          <w:rFonts w:cstheme="minorHAnsi"/>
          <w:color w:val="auto"/>
          <w:sz w:val="18"/>
          <w:szCs w:val="18"/>
        </w:rPr>
        <w:t xml:space="preserve"> Everitt, D</w:t>
      </w:r>
      <w:r>
        <w:rPr>
          <w:rFonts w:cstheme="minorHAnsi"/>
          <w:color w:val="auto"/>
          <w:sz w:val="18"/>
          <w:szCs w:val="18"/>
        </w:rPr>
        <w:t>.;</w:t>
      </w:r>
      <w:r w:rsidRPr="005163CD">
        <w:rPr>
          <w:rFonts w:cstheme="minorHAnsi"/>
          <w:color w:val="auto"/>
          <w:sz w:val="18"/>
          <w:szCs w:val="18"/>
        </w:rPr>
        <w:t xml:space="preserve"> </w:t>
      </w:r>
      <w:proofErr w:type="spellStart"/>
      <w:r w:rsidRPr="005163CD">
        <w:rPr>
          <w:rFonts w:cstheme="minorHAnsi"/>
          <w:color w:val="auto"/>
          <w:sz w:val="18"/>
          <w:szCs w:val="18"/>
        </w:rPr>
        <w:t>Diacon</w:t>
      </w:r>
      <w:proofErr w:type="spellEnd"/>
      <w:r w:rsidRPr="005163CD">
        <w:rPr>
          <w:rFonts w:cstheme="minorHAnsi"/>
          <w:color w:val="auto"/>
          <w:sz w:val="18"/>
          <w:szCs w:val="18"/>
        </w:rPr>
        <w:t>, A</w:t>
      </w:r>
      <w:r>
        <w:rPr>
          <w:rFonts w:cstheme="minorHAnsi"/>
          <w:color w:val="auto"/>
          <w:sz w:val="18"/>
          <w:szCs w:val="18"/>
        </w:rPr>
        <w:t>.;</w:t>
      </w:r>
      <w:r w:rsidRPr="005163CD">
        <w:rPr>
          <w:rFonts w:cstheme="minorHAnsi"/>
          <w:color w:val="auto"/>
          <w:sz w:val="18"/>
          <w:szCs w:val="18"/>
        </w:rPr>
        <w:t xml:space="preserve"> Dawson, R</w:t>
      </w:r>
      <w:r>
        <w:rPr>
          <w:rFonts w:cstheme="minorHAnsi"/>
          <w:color w:val="auto"/>
          <w:sz w:val="18"/>
          <w:szCs w:val="18"/>
        </w:rPr>
        <w:t>.;</w:t>
      </w:r>
      <w:r w:rsidRPr="005163CD">
        <w:rPr>
          <w:rFonts w:cstheme="minorHAnsi"/>
          <w:color w:val="auto"/>
          <w:sz w:val="18"/>
          <w:szCs w:val="18"/>
        </w:rPr>
        <w:t xml:space="preserve"> Wiesner, L</w:t>
      </w:r>
      <w:r>
        <w:rPr>
          <w:rFonts w:cstheme="minorHAnsi"/>
          <w:color w:val="auto"/>
          <w:sz w:val="18"/>
          <w:szCs w:val="18"/>
        </w:rPr>
        <w:t>.;</w:t>
      </w:r>
      <w:r w:rsidRPr="005163CD">
        <w:rPr>
          <w:rFonts w:cstheme="minorHAnsi"/>
          <w:color w:val="auto"/>
          <w:sz w:val="18"/>
          <w:szCs w:val="18"/>
        </w:rPr>
        <w:t xml:space="preserve"> </w:t>
      </w:r>
      <w:proofErr w:type="spellStart"/>
      <w:r w:rsidRPr="005163CD">
        <w:rPr>
          <w:rFonts w:cstheme="minorHAnsi"/>
          <w:color w:val="auto"/>
          <w:sz w:val="18"/>
          <w:szCs w:val="18"/>
        </w:rPr>
        <w:t>Svensson</w:t>
      </w:r>
      <w:proofErr w:type="spellEnd"/>
      <w:r w:rsidRPr="005163CD">
        <w:rPr>
          <w:rFonts w:cstheme="minorHAnsi"/>
          <w:color w:val="auto"/>
          <w:sz w:val="18"/>
          <w:szCs w:val="18"/>
        </w:rPr>
        <w:t>, E</w:t>
      </w:r>
      <w:r>
        <w:rPr>
          <w:rFonts w:cstheme="minorHAnsi"/>
          <w:color w:val="auto"/>
          <w:sz w:val="18"/>
          <w:szCs w:val="18"/>
        </w:rPr>
        <w:t>.</w:t>
      </w:r>
      <w:r w:rsidRPr="005163CD">
        <w:rPr>
          <w:rFonts w:cstheme="minorHAnsi"/>
          <w:color w:val="auto"/>
          <w:sz w:val="18"/>
          <w:szCs w:val="18"/>
        </w:rPr>
        <w:t>M</w:t>
      </w:r>
      <w:r>
        <w:rPr>
          <w:rFonts w:cstheme="minorHAnsi"/>
          <w:color w:val="auto"/>
          <w:sz w:val="18"/>
          <w:szCs w:val="18"/>
        </w:rPr>
        <w:t>.;</w:t>
      </w:r>
      <w:r w:rsidRPr="005163CD">
        <w:rPr>
          <w:rFonts w:cstheme="minorHAnsi"/>
          <w:color w:val="auto"/>
          <w:sz w:val="18"/>
          <w:szCs w:val="18"/>
        </w:rPr>
        <w:t xml:space="preserve"> </w:t>
      </w:r>
      <w:r>
        <w:rPr>
          <w:rFonts w:cstheme="minorHAnsi"/>
          <w:color w:val="auto"/>
          <w:sz w:val="18"/>
          <w:szCs w:val="18"/>
        </w:rPr>
        <w:t>et al</w:t>
      </w:r>
      <w:r w:rsidRPr="005163CD">
        <w:rPr>
          <w:rFonts w:cstheme="minorHAnsi"/>
          <w:color w:val="auto"/>
          <w:sz w:val="18"/>
          <w:szCs w:val="18"/>
        </w:rPr>
        <w:t xml:space="preserve">. Clofazimine pharmacokinetics in patients </w:t>
      </w:r>
      <w:r w:rsidRPr="002C64DC">
        <w:rPr>
          <w:rFonts w:cstheme="minorHAnsi"/>
          <w:color w:val="auto"/>
          <w:sz w:val="18"/>
          <w:szCs w:val="18"/>
        </w:rPr>
        <w:t>with TB: Dosing implications</w:t>
      </w:r>
      <w:r w:rsidRPr="005163CD">
        <w:rPr>
          <w:rFonts w:cstheme="minorHAnsi"/>
          <w:color w:val="auto"/>
          <w:sz w:val="18"/>
          <w:szCs w:val="18"/>
        </w:rPr>
        <w:t xml:space="preserve">. </w:t>
      </w:r>
      <w:r>
        <w:rPr>
          <w:rFonts w:cstheme="minorHAnsi"/>
          <w:i/>
          <w:color w:val="auto"/>
          <w:sz w:val="18"/>
          <w:szCs w:val="18"/>
        </w:rPr>
        <w:t xml:space="preserve">J. </w:t>
      </w:r>
      <w:proofErr w:type="spellStart"/>
      <w:r>
        <w:rPr>
          <w:rFonts w:cstheme="minorHAnsi"/>
          <w:i/>
          <w:color w:val="auto"/>
          <w:sz w:val="18"/>
          <w:szCs w:val="18"/>
        </w:rPr>
        <w:t>Antimicrob</w:t>
      </w:r>
      <w:proofErr w:type="spellEnd"/>
      <w:r>
        <w:rPr>
          <w:rFonts w:cstheme="minorHAnsi"/>
          <w:i/>
          <w:color w:val="auto"/>
          <w:sz w:val="18"/>
          <w:szCs w:val="18"/>
        </w:rPr>
        <w:t xml:space="preserve">. Chemother. </w:t>
      </w:r>
      <w:r w:rsidRPr="00671362">
        <w:rPr>
          <w:rStyle w:val="cit"/>
          <w:rFonts w:cstheme="minorHAnsi"/>
          <w:b/>
          <w:bCs/>
          <w:color w:val="auto"/>
          <w:sz w:val="18"/>
          <w:szCs w:val="18"/>
        </w:rPr>
        <w:t>2020</w:t>
      </w:r>
      <w:r>
        <w:rPr>
          <w:rStyle w:val="cit"/>
          <w:rFonts w:cstheme="minorHAnsi"/>
          <w:color w:val="auto"/>
          <w:sz w:val="18"/>
          <w:szCs w:val="18"/>
        </w:rPr>
        <w:t>,</w:t>
      </w:r>
      <w:r w:rsidRPr="005163CD">
        <w:rPr>
          <w:rStyle w:val="cit"/>
          <w:rFonts w:cstheme="minorHAnsi"/>
          <w:color w:val="auto"/>
          <w:sz w:val="18"/>
          <w:szCs w:val="18"/>
        </w:rPr>
        <w:t xml:space="preserve"> </w:t>
      </w:r>
      <w:r w:rsidRPr="00671362">
        <w:rPr>
          <w:rStyle w:val="cit"/>
          <w:rFonts w:cstheme="minorHAnsi"/>
          <w:i/>
          <w:iCs/>
          <w:color w:val="auto"/>
          <w:sz w:val="18"/>
          <w:szCs w:val="18"/>
        </w:rPr>
        <w:t>75</w:t>
      </w:r>
      <w:r w:rsidRPr="005163CD">
        <w:rPr>
          <w:rStyle w:val="cit"/>
          <w:rFonts w:cstheme="minorHAnsi"/>
          <w:color w:val="auto"/>
          <w:sz w:val="18"/>
          <w:szCs w:val="18"/>
        </w:rPr>
        <w:t>, 3269–3277. https://doi.org/</w:t>
      </w:r>
      <w:r w:rsidRPr="005163CD">
        <w:rPr>
          <w:rStyle w:val="citation-doi"/>
          <w:rFonts w:cstheme="minorHAnsi"/>
          <w:color w:val="auto"/>
          <w:sz w:val="18"/>
          <w:szCs w:val="18"/>
        </w:rPr>
        <w:t>10.1093/jac/dkaa3.</w:t>
      </w:r>
    </w:p>
    <w:p w14:paraId="2EE0A01D" w14:textId="77777777" w:rsidR="006206C5" w:rsidRPr="005163CD" w:rsidRDefault="006206C5" w:rsidP="006206C5">
      <w:pPr>
        <w:pStyle w:val="ListParagraph"/>
        <w:numPr>
          <w:ilvl w:val="0"/>
          <w:numId w:val="42"/>
        </w:numPr>
        <w:shd w:val="clear" w:color="auto" w:fill="FFFFFF"/>
        <w:adjustRightInd w:val="0"/>
        <w:snapToGrid w:val="0"/>
        <w:spacing w:line="228" w:lineRule="auto"/>
        <w:ind w:left="425" w:hanging="425"/>
        <w:rPr>
          <w:rStyle w:val="cit"/>
          <w:rFonts w:cstheme="minorHAnsi"/>
          <w:color w:val="auto"/>
          <w:sz w:val="18"/>
          <w:szCs w:val="18"/>
        </w:rPr>
      </w:pPr>
      <w:r w:rsidRPr="005163CD">
        <w:rPr>
          <w:rFonts w:cstheme="minorHAnsi"/>
          <w:color w:val="auto"/>
          <w:kern w:val="36"/>
          <w:sz w:val="18"/>
          <w:szCs w:val="18"/>
        </w:rPr>
        <w:t>Imani, S</w:t>
      </w:r>
      <w:r>
        <w:rPr>
          <w:rFonts w:cstheme="minorHAnsi"/>
          <w:color w:val="auto"/>
          <w:kern w:val="36"/>
          <w:sz w:val="18"/>
          <w:szCs w:val="18"/>
        </w:rPr>
        <w:t>.;</w:t>
      </w:r>
      <w:r w:rsidRPr="005163CD">
        <w:rPr>
          <w:rFonts w:cstheme="minorHAnsi"/>
          <w:color w:val="auto"/>
          <w:kern w:val="36"/>
          <w:sz w:val="18"/>
          <w:szCs w:val="18"/>
        </w:rPr>
        <w:t xml:space="preserve"> </w:t>
      </w:r>
      <w:proofErr w:type="spellStart"/>
      <w:r w:rsidRPr="005163CD">
        <w:rPr>
          <w:rFonts w:cstheme="minorHAnsi"/>
          <w:color w:val="auto"/>
          <w:kern w:val="36"/>
          <w:sz w:val="18"/>
          <w:szCs w:val="18"/>
        </w:rPr>
        <w:t>Buscher</w:t>
      </w:r>
      <w:proofErr w:type="spellEnd"/>
      <w:r w:rsidRPr="005163CD">
        <w:rPr>
          <w:rFonts w:cstheme="minorHAnsi"/>
          <w:color w:val="auto"/>
          <w:kern w:val="36"/>
          <w:sz w:val="18"/>
          <w:szCs w:val="18"/>
        </w:rPr>
        <w:t>, H</w:t>
      </w:r>
      <w:r>
        <w:rPr>
          <w:rFonts w:cstheme="minorHAnsi"/>
          <w:color w:val="auto"/>
          <w:kern w:val="36"/>
          <w:sz w:val="18"/>
          <w:szCs w:val="18"/>
        </w:rPr>
        <w:t>.;</w:t>
      </w:r>
      <w:r w:rsidRPr="005163CD">
        <w:rPr>
          <w:rFonts w:cstheme="minorHAnsi"/>
          <w:color w:val="auto"/>
          <w:kern w:val="36"/>
          <w:sz w:val="18"/>
          <w:szCs w:val="18"/>
        </w:rPr>
        <w:t xml:space="preserve"> Marriott, D</w:t>
      </w:r>
      <w:r>
        <w:rPr>
          <w:rFonts w:cstheme="minorHAnsi"/>
          <w:color w:val="auto"/>
          <w:kern w:val="36"/>
          <w:sz w:val="18"/>
          <w:szCs w:val="18"/>
        </w:rPr>
        <w:t>.;</w:t>
      </w:r>
      <w:r w:rsidRPr="005163CD">
        <w:rPr>
          <w:rFonts w:cstheme="minorHAnsi"/>
          <w:color w:val="auto"/>
          <w:kern w:val="36"/>
          <w:sz w:val="18"/>
          <w:szCs w:val="18"/>
        </w:rPr>
        <w:t xml:space="preserve"> </w:t>
      </w:r>
      <w:proofErr w:type="spellStart"/>
      <w:r w:rsidRPr="005163CD">
        <w:rPr>
          <w:rFonts w:cstheme="minorHAnsi"/>
          <w:color w:val="auto"/>
          <w:kern w:val="36"/>
          <w:sz w:val="18"/>
          <w:szCs w:val="18"/>
        </w:rPr>
        <w:t>Gentili</w:t>
      </w:r>
      <w:proofErr w:type="spellEnd"/>
      <w:r w:rsidRPr="005163CD">
        <w:rPr>
          <w:rFonts w:cstheme="minorHAnsi"/>
          <w:color w:val="auto"/>
          <w:kern w:val="36"/>
          <w:sz w:val="18"/>
          <w:szCs w:val="18"/>
        </w:rPr>
        <w:t>, S</w:t>
      </w:r>
      <w:r>
        <w:rPr>
          <w:rFonts w:cstheme="minorHAnsi"/>
          <w:color w:val="auto"/>
          <w:kern w:val="36"/>
          <w:sz w:val="18"/>
          <w:szCs w:val="18"/>
        </w:rPr>
        <w:t>.;</w:t>
      </w:r>
      <w:r w:rsidRPr="005163CD">
        <w:rPr>
          <w:rFonts w:cstheme="minorHAnsi"/>
          <w:color w:val="auto"/>
          <w:kern w:val="36"/>
          <w:sz w:val="18"/>
          <w:szCs w:val="18"/>
        </w:rPr>
        <w:t xml:space="preserve"> </w:t>
      </w:r>
      <w:proofErr w:type="spellStart"/>
      <w:r w:rsidRPr="005163CD">
        <w:rPr>
          <w:rFonts w:cstheme="minorHAnsi"/>
          <w:color w:val="auto"/>
          <w:kern w:val="36"/>
          <w:sz w:val="18"/>
          <w:szCs w:val="18"/>
        </w:rPr>
        <w:t>Sandaradura</w:t>
      </w:r>
      <w:proofErr w:type="spellEnd"/>
      <w:r w:rsidRPr="005163CD">
        <w:rPr>
          <w:rFonts w:cstheme="minorHAnsi"/>
          <w:color w:val="auto"/>
          <w:kern w:val="36"/>
          <w:sz w:val="18"/>
          <w:szCs w:val="18"/>
        </w:rPr>
        <w:t xml:space="preserve">, I. </w:t>
      </w:r>
      <w:r w:rsidRPr="005163CD">
        <w:rPr>
          <w:rFonts w:cstheme="minorHAnsi"/>
          <w:color w:val="auto"/>
          <w:sz w:val="18"/>
          <w:szCs w:val="18"/>
        </w:rPr>
        <w:t xml:space="preserve">Too much of a good </w:t>
      </w:r>
      <w:r w:rsidRPr="00BC6312">
        <w:rPr>
          <w:rFonts w:cstheme="minorHAnsi"/>
          <w:color w:val="auto"/>
          <w:sz w:val="18"/>
          <w:szCs w:val="18"/>
        </w:rPr>
        <w:t>thing: A</w:t>
      </w:r>
      <w:r w:rsidRPr="005163CD">
        <w:rPr>
          <w:rFonts w:cstheme="minorHAnsi"/>
          <w:color w:val="auto"/>
          <w:sz w:val="18"/>
          <w:szCs w:val="18"/>
        </w:rPr>
        <w:t xml:space="preserve"> retrospective study of β-lactam concentration-toxicity relationships. </w:t>
      </w:r>
      <w:r w:rsidRPr="00F90F1D">
        <w:rPr>
          <w:rFonts w:cstheme="minorHAnsi"/>
          <w:i/>
          <w:iCs/>
          <w:color w:val="auto"/>
          <w:sz w:val="18"/>
          <w:szCs w:val="18"/>
        </w:rPr>
        <w:t xml:space="preserve">J. </w:t>
      </w:r>
      <w:proofErr w:type="spellStart"/>
      <w:r w:rsidRPr="00F90F1D">
        <w:rPr>
          <w:rFonts w:cstheme="minorHAnsi"/>
          <w:i/>
          <w:iCs/>
          <w:color w:val="auto"/>
          <w:sz w:val="18"/>
          <w:szCs w:val="18"/>
        </w:rPr>
        <w:t>Antimicrob</w:t>
      </w:r>
      <w:proofErr w:type="spellEnd"/>
      <w:r w:rsidRPr="00F90F1D">
        <w:rPr>
          <w:rFonts w:cstheme="minorHAnsi"/>
          <w:i/>
          <w:iCs/>
          <w:color w:val="auto"/>
          <w:sz w:val="18"/>
          <w:szCs w:val="18"/>
        </w:rPr>
        <w:t>. Chemother.</w:t>
      </w:r>
      <w:r w:rsidRPr="005163CD">
        <w:rPr>
          <w:rFonts w:cstheme="minorHAnsi"/>
          <w:color w:val="auto"/>
          <w:sz w:val="18"/>
          <w:szCs w:val="18"/>
        </w:rPr>
        <w:t xml:space="preserve"> </w:t>
      </w:r>
      <w:r w:rsidRPr="00BC6312">
        <w:rPr>
          <w:rStyle w:val="cit"/>
          <w:rFonts w:cstheme="minorHAnsi"/>
          <w:b/>
          <w:bCs/>
          <w:color w:val="auto"/>
          <w:sz w:val="18"/>
          <w:szCs w:val="18"/>
        </w:rPr>
        <w:t>2017</w:t>
      </w:r>
      <w:r w:rsidRPr="00BC6312">
        <w:rPr>
          <w:rStyle w:val="cit"/>
          <w:rFonts w:cstheme="minorHAnsi"/>
          <w:color w:val="auto"/>
          <w:sz w:val="18"/>
          <w:szCs w:val="18"/>
        </w:rPr>
        <w:t>,</w:t>
      </w:r>
      <w:r w:rsidRPr="005163CD">
        <w:rPr>
          <w:rStyle w:val="cit"/>
          <w:rFonts w:cstheme="minorHAnsi"/>
          <w:color w:val="auto"/>
          <w:sz w:val="18"/>
          <w:szCs w:val="18"/>
        </w:rPr>
        <w:t xml:space="preserve"> </w:t>
      </w:r>
      <w:r w:rsidRPr="00BC6312">
        <w:rPr>
          <w:rStyle w:val="cit"/>
          <w:rFonts w:cstheme="minorHAnsi"/>
          <w:i/>
          <w:iCs/>
          <w:color w:val="auto"/>
          <w:sz w:val="18"/>
          <w:szCs w:val="18"/>
        </w:rPr>
        <w:t>72</w:t>
      </w:r>
      <w:r w:rsidRPr="005163CD">
        <w:rPr>
          <w:rStyle w:val="cit"/>
          <w:rFonts w:cstheme="minorHAnsi"/>
          <w:color w:val="auto"/>
          <w:sz w:val="18"/>
          <w:szCs w:val="18"/>
        </w:rPr>
        <w:t>, 2891–2897.</w:t>
      </w:r>
    </w:p>
    <w:p w14:paraId="7A6B45A2" w14:textId="77777777" w:rsidR="006206C5" w:rsidRPr="005163CD" w:rsidRDefault="006206C5" w:rsidP="006206C5">
      <w:pPr>
        <w:pStyle w:val="Heading1"/>
        <w:numPr>
          <w:ilvl w:val="0"/>
          <w:numId w:val="42"/>
        </w:numPr>
        <w:shd w:val="clear" w:color="auto" w:fill="FFFFFF"/>
        <w:adjustRightInd w:val="0"/>
        <w:snapToGrid w:val="0"/>
        <w:spacing w:before="0" w:beforeAutospacing="0" w:after="0" w:afterAutospacing="0" w:line="228" w:lineRule="auto"/>
        <w:ind w:left="425" w:hanging="425"/>
        <w:jc w:val="both"/>
        <w:rPr>
          <w:rFonts w:ascii="Palatino Linotype" w:hAnsi="Palatino Linotype" w:cs="Open Sans"/>
          <w:b w:val="0"/>
          <w:bCs w:val="0"/>
          <w:sz w:val="18"/>
          <w:szCs w:val="42"/>
          <w:lang w:val="en-US"/>
        </w:rPr>
      </w:pPr>
      <w:proofErr w:type="spellStart"/>
      <w:r w:rsidRPr="005163CD">
        <w:rPr>
          <w:rFonts w:ascii="Palatino Linotype" w:hAnsi="Palatino Linotype" w:cs="Open Sans"/>
          <w:b w:val="0"/>
          <w:bCs w:val="0"/>
          <w:sz w:val="18"/>
          <w:szCs w:val="42"/>
          <w:lang w:val="en-US"/>
        </w:rPr>
        <w:t>Stockis</w:t>
      </w:r>
      <w:proofErr w:type="spellEnd"/>
      <w:r w:rsidRPr="005163CD">
        <w:rPr>
          <w:rFonts w:ascii="Palatino Linotype" w:hAnsi="Palatino Linotype" w:cs="Open Sans"/>
          <w:b w:val="0"/>
          <w:bCs w:val="0"/>
          <w:sz w:val="18"/>
          <w:szCs w:val="42"/>
          <w:lang w:val="en-US"/>
        </w:rPr>
        <w:t>, A</w:t>
      </w:r>
      <w:r>
        <w:rPr>
          <w:rFonts w:ascii="Palatino Linotype" w:hAnsi="Palatino Linotype" w:cs="Open Sans"/>
          <w:b w:val="0"/>
          <w:bCs w:val="0"/>
          <w:sz w:val="18"/>
          <w:szCs w:val="42"/>
          <w:lang w:val="en-US"/>
        </w:rPr>
        <w:t>.;</w:t>
      </w:r>
      <w:r w:rsidRPr="005163CD">
        <w:rPr>
          <w:rFonts w:ascii="Palatino Linotype" w:hAnsi="Palatino Linotype" w:cs="Open Sans"/>
          <w:b w:val="0"/>
          <w:bCs w:val="0"/>
          <w:sz w:val="18"/>
          <w:szCs w:val="42"/>
          <w:lang w:val="en-US"/>
        </w:rPr>
        <w:t xml:space="preserve"> </w:t>
      </w:r>
      <w:proofErr w:type="spellStart"/>
      <w:r w:rsidRPr="005163CD">
        <w:rPr>
          <w:rFonts w:ascii="Palatino Linotype" w:hAnsi="Palatino Linotype" w:cs="Open Sans"/>
          <w:b w:val="0"/>
          <w:bCs w:val="0"/>
          <w:sz w:val="18"/>
          <w:szCs w:val="42"/>
          <w:lang w:val="en-US"/>
        </w:rPr>
        <w:t>Deroubaix</w:t>
      </w:r>
      <w:proofErr w:type="spellEnd"/>
      <w:r w:rsidRPr="005163CD">
        <w:rPr>
          <w:rFonts w:ascii="Palatino Linotype" w:hAnsi="Palatino Linotype" w:cs="Open Sans"/>
          <w:b w:val="0"/>
          <w:bCs w:val="0"/>
          <w:sz w:val="18"/>
          <w:szCs w:val="42"/>
          <w:lang w:val="en-US"/>
        </w:rPr>
        <w:t>, X</w:t>
      </w:r>
      <w:r>
        <w:rPr>
          <w:rFonts w:ascii="Palatino Linotype" w:hAnsi="Palatino Linotype" w:cs="Open Sans"/>
          <w:b w:val="0"/>
          <w:bCs w:val="0"/>
          <w:sz w:val="18"/>
          <w:szCs w:val="42"/>
          <w:lang w:val="en-US"/>
        </w:rPr>
        <w:t>.;</w:t>
      </w:r>
      <w:r w:rsidRPr="005163CD">
        <w:rPr>
          <w:rFonts w:ascii="Palatino Linotype" w:hAnsi="Palatino Linotype" w:cs="Open Sans"/>
          <w:b w:val="0"/>
          <w:bCs w:val="0"/>
          <w:sz w:val="18"/>
          <w:szCs w:val="42"/>
          <w:lang w:val="en-US"/>
        </w:rPr>
        <w:t xml:space="preserve"> </w:t>
      </w:r>
      <w:proofErr w:type="spellStart"/>
      <w:r w:rsidRPr="005163CD">
        <w:rPr>
          <w:rFonts w:ascii="Palatino Linotype" w:hAnsi="Palatino Linotype" w:cs="Open Sans"/>
          <w:b w:val="0"/>
          <w:bCs w:val="0"/>
          <w:sz w:val="18"/>
          <w:szCs w:val="42"/>
          <w:lang w:val="en-US"/>
        </w:rPr>
        <w:t>Lins</w:t>
      </w:r>
      <w:proofErr w:type="spellEnd"/>
      <w:r w:rsidRPr="005163CD">
        <w:rPr>
          <w:rFonts w:ascii="Palatino Linotype" w:hAnsi="Palatino Linotype" w:cs="Open Sans"/>
          <w:b w:val="0"/>
          <w:bCs w:val="0"/>
          <w:sz w:val="18"/>
          <w:szCs w:val="42"/>
          <w:lang w:val="en-US"/>
        </w:rPr>
        <w:t>, R</w:t>
      </w:r>
      <w:r>
        <w:rPr>
          <w:rFonts w:ascii="Palatino Linotype" w:hAnsi="Palatino Linotype" w:cs="Open Sans"/>
          <w:b w:val="0"/>
          <w:bCs w:val="0"/>
          <w:sz w:val="18"/>
          <w:szCs w:val="42"/>
          <w:lang w:val="en-US"/>
        </w:rPr>
        <w:t>.;</w:t>
      </w:r>
      <w:r w:rsidRPr="005163CD">
        <w:rPr>
          <w:rFonts w:ascii="Palatino Linotype" w:hAnsi="Palatino Linotype" w:cs="Open Sans"/>
          <w:b w:val="0"/>
          <w:bCs w:val="0"/>
          <w:sz w:val="18"/>
          <w:szCs w:val="42"/>
          <w:lang w:val="en-US"/>
        </w:rPr>
        <w:t xml:space="preserve"> </w:t>
      </w:r>
      <w:proofErr w:type="spellStart"/>
      <w:r w:rsidRPr="005163CD">
        <w:rPr>
          <w:rFonts w:ascii="Palatino Linotype" w:hAnsi="Palatino Linotype" w:cs="Open Sans"/>
          <w:b w:val="0"/>
          <w:bCs w:val="0"/>
          <w:sz w:val="18"/>
          <w:szCs w:val="42"/>
          <w:lang w:val="en-US"/>
        </w:rPr>
        <w:t>Jeanbaptise</w:t>
      </w:r>
      <w:proofErr w:type="spellEnd"/>
      <w:r w:rsidRPr="005163CD">
        <w:rPr>
          <w:rFonts w:ascii="Palatino Linotype" w:hAnsi="Palatino Linotype" w:cs="Open Sans"/>
          <w:b w:val="0"/>
          <w:bCs w:val="0"/>
          <w:sz w:val="18"/>
          <w:szCs w:val="42"/>
          <w:lang w:val="en-US"/>
        </w:rPr>
        <w:t xml:space="preserve">, </w:t>
      </w:r>
      <w:r>
        <w:rPr>
          <w:rFonts w:ascii="Palatino Linotype" w:hAnsi="Palatino Linotype" w:cs="Open Sans"/>
          <w:b w:val="0"/>
          <w:bCs w:val="0"/>
          <w:sz w:val="18"/>
          <w:szCs w:val="42"/>
          <w:lang w:val="en-US"/>
        </w:rPr>
        <w:t xml:space="preserve">B.; </w:t>
      </w:r>
      <w:r w:rsidRPr="00603327">
        <w:rPr>
          <w:rFonts w:ascii="Palatino Linotype" w:hAnsi="Palatino Linotype" w:cs="Open Sans"/>
          <w:b w:val="0"/>
          <w:bCs w:val="0"/>
          <w:sz w:val="18"/>
          <w:szCs w:val="42"/>
          <w:lang w:val="en-US"/>
        </w:rPr>
        <w:t xml:space="preserve">Calderon, P.; Rossignol, J.F. </w:t>
      </w:r>
      <w:r w:rsidRPr="005163CD">
        <w:rPr>
          <w:rFonts w:ascii="Palatino Linotype" w:hAnsi="Palatino Linotype" w:cs="Open Sans"/>
          <w:b w:val="0"/>
          <w:bCs w:val="0"/>
          <w:sz w:val="18"/>
          <w:szCs w:val="42"/>
          <w:lang w:val="en-US"/>
        </w:rPr>
        <w:t xml:space="preserve">Pharmacokinetics of nitazoxanide after single oral dose administration in 6 healthy volunteers. </w:t>
      </w:r>
      <w:r>
        <w:rPr>
          <w:rFonts w:ascii="Palatino Linotype" w:hAnsi="Palatino Linotype" w:cs="Open Sans"/>
          <w:b w:val="0"/>
          <w:bCs w:val="0"/>
          <w:i/>
          <w:sz w:val="18"/>
          <w:szCs w:val="42"/>
          <w:lang w:val="en-US"/>
        </w:rPr>
        <w:t xml:space="preserve">Int. J. Clin. </w:t>
      </w:r>
      <w:proofErr w:type="spellStart"/>
      <w:r>
        <w:rPr>
          <w:rFonts w:ascii="Palatino Linotype" w:hAnsi="Palatino Linotype" w:cs="Open Sans"/>
          <w:b w:val="0"/>
          <w:bCs w:val="0"/>
          <w:i/>
          <w:sz w:val="18"/>
          <w:szCs w:val="42"/>
          <w:lang w:val="en-US"/>
        </w:rPr>
        <w:t>Pharmacol</w:t>
      </w:r>
      <w:proofErr w:type="spellEnd"/>
      <w:r>
        <w:rPr>
          <w:rFonts w:ascii="Palatino Linotype" w:hAnsi="Palatino Linotype" w:cs="Open Sans"/>
          <w:b w:val="0"/>
          <w:bCs w:val="0"/>
          <w:i/>
          <w:sz w:val="18"/>
          <w:szCs w:val="42"/>
          <w:lang w:val="en-US"/>
        </w:rPr>
        <w:t xml:space="preserve">. </w:t>
      </w:r>
      <w:proofErr w:type="spellStart"/>
      <w:r>
        <w:rPr>
          <w:rFonts w:ascii="Palatino Linotype" w:hAnsi="Palatino Linotype" w:cs="Open Sans"/>
          <w:b w:val="0"/>
          <w:bCs w:val="0"/>
          <w:i/>
          <w:sz w:val="18"/>
          <w:szCs w:val="42"/>
          <w:lang w:val="en-US"/>
        </w:rPr>
        <w:t>Ther</w:t>
      </w:r>
      <w:proofErr w:type="spellEnd"/>
      <w:r>
        <w:rPr>
          <w:rFonts w:ascii="Palatino Linotype" w:hAnsi="Palatino Linotype" w:cs="Open Sans"/>
          <w:b w:val="0"/>
          <w:bCs w:val="0"/>
          <w:i/>
          <w:sz w:val="18"/>
          <w:szCs w:val="42"/>
          <w:lang w:val="en-US"/>
        </w:rPr>
        <w:t xml:space="preserve">. </w:t>
      </w:r>
      <w:r>
        <w:rPr>
          <w:rFonts w:ascii="Palatino Linotype" w:hAnsi="Palatino Linotype" w:cs="Open Sans"/>
          <w:bCs w:val="0"/>
          <w:sz w:val="18"/>
          <w:szCs w:val="21"/>
          <w:bdr w:val="none" w:sz="0" w:space="0" w:color="auto" w:frame="1"/>
          <w:lang w:val="en-US"/>
        </w:rPr>
        <w:t>1996</w:t>
      </w:r>
      <w:r>
        <w:rPr>
          <w:rFonts w:ascii="Palatino Linotype" w:hAnsi="Palatino Linotype" w:cs="Open Sans"/>
          <w:b w:val="0"/>
          <w:bCs w:val="0"/>
          <w:sz w:val="18"/>
          <w:szCs w:val="21"/>
          <w:bdr w:val="none" w:sz="0" w:space="0" w:color="auto" w:frame="1"/>
          <w:lang w:val="en-US"/>
        </w:rPr>
        <w:t xml:space="preserve">, </w:t>
      </w:r>
      <w:r>
        <w:rPr>
          <w:rFonts w:ascii="Palatino Linotype" w:hAnsi="Palatino Linotype" w:cs="Open Sans"/>
          <w:b w:val="0"/>
          <w:bCs w:val="0"/>
          <w:i/>
          <w:sz w:val="18"/>
          <w:szCs w:val="21"/>
          <w:bdr w:val="none" w:sz="0" w:space="0" w:color="auto" w:frame="1"/>
          <w:lang w:val="en-US"/>
        </w:rPr>
        <w:t>34</w:t>
      </w:r>
      <w:r>
        <w:rPr>
          <w:rFonts w:ascii="Palatino Linotype" w:hAnsi="Palatino Linotype" w:cs="Open Sans"/>
          <w:b w:val="0"/>
          <w:bCs w:val="0"/>
          <w:sz w:val="18"/>
          <w:szCs w:val="21"/>
          <w:bdr w:val="none" w:sz="0" w:space="0" w:color="auto" w:frame="1"/>
          <w:lang w:val="en-US"/>
        </w:rPr>
        <w:t>, 349–351</w:t>
      </w:r>
      <w:r w:rsidRPr="005163CD">
        <w:rPr>
          <w:rFonts w:ascii="Palatino Linotype" w:hAnsi="Palatino Linotype" w:cs="Open Sans"/>
          <w:b w:val="0"/>
          <w:bCs w:val="0"/>
          <w:sz w:val="18"/>
          <w:szCs w:val="21"/>
          <w:bdr w:val="none" w:sz="0" w:space="0" w:color="auto" w:frame="1"/>
          <w:lang w:val="en-US"/>
        </w:rPr>
        <w:t>.</w:t>
      </w:r>
    </w:p>
    <w:p w14:paraId="7908E094" w14:textId="2F0E1E04" w:rsidR="007C50F8" w:rsidRPr="006206C5" w:rsidRDefault="007C50F8" w:rsidP="00CE61FF">
      <w:pPr>
        <w:adjustRightInd w:val="0"/>
        <w:snapToGrid w:val="0"/>
        <w:spacing w:line="228" w:lineRule="auto"/>
        <w:rPr>
          <w:sz w:val="18"/>
          <w:szCs w:val="18"/>
          <w:lang w:val="en-GB"/>
        </w:rPr>
      </w:pPr>
    </w:p>
    <w:sectPr w:rsidR="007C50F8" w:rsidRPr="006206C5" w:rsidSect="008A1EB8">
      <w:headerReference w:type="even" r:id="rId16"/>
      <w:headerReference w:type="default" r:id="rId17"/>
      <w:headerReference w:type="first" r:id="rId18"/>
      <w:footerReference w:type="first" r:id="rId19"/>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7BD2" w14:textId="77777777" w:rsidR="001A0E3B" w:rsidRDefault="001A0E3B">
      <w:pPr>
        <w:spacing w:line="240" w:lineRule="auto"/>
      </w:pPr>
      <w:r>
        <w:separator/>
      </w:r>
    </w:p>
  </w:endnote>
  <w:endnote w:type="continuationSeparator" w:id="0">
    <w:p w14:paraId="2E980193" w14:textId="77777777" w:rsidR="001A0E3B" w:rsidRDefault="001A0E3B">
      <w:pPr>
        <w:spacing w:line="240" w:lineRule="auto"/>
      </w:pPr>
      <w:r>
        <w:continuationSeparator/>
      </w:r>
    </w:p>
  </w:endnote>
  <w:endnote w:type="continuationNotice" w:id="1">
    <w:p w14:paraId="2FB823B8" w14:textId="77777777" w:rsidR="001A0E3B" w:rsidRDefault="001A0E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75012" w14:textId="77777777" w:rsidR="00356DBC" w:rsidRDefault="00356DBC" w:rsidP="0090652B">
    <w:pPr>
      <w:pBdr>
        <w:top w:val="single" w:sz="4" w:space="0" w:color="000000"/>
      </w:pBdr>
      <w:tabs>
        <w:tab w:val="right" w:pos="8844"/>
      </w:tabs>
      <w:adjustRightInd w:val="0"/>
      <w:snapToGrid w:val="0"/>
      <w:spacing w:before="480" w:line="100" w:lineRule="exact"/>
      <w:jc w:val="left"/>
      <w:rPr>
        <w:i/>
        <w:sz w:val="16"/>
        <w:szCs w:val="16"/>
      </w:rPr>
    </w:pPr>
  </w:p>
  <w:p w14:paraId="25E7C9A3" w14:textId="17504BFE" w:rsidR="00464DCD" w:rsidRPr="00372FCD" w:rsidRDefault="00464DCD" w:rsidP="00F65BDA">
    <w:pPr>
      <w:tabs>
        <w:tab w:val="right" w:pos="10466"/>
      </w:tabs>
      <w:adjustRightInd w:val="0"/>
      <w:snapToGrid w:val="0"/>
      <w:spacing w:line="240" w:lineRule="auto"/>
      <w:rPr>
        <w:sz w:val="16"/>
        <w:szCs w:val="16"/>
        <w:lang w:val="fr-CH"/>
      </w:rPr>
    </w:pPr>
    <w:r w:rsidRPr="00C37D73">
      <w:rPr>
        <w:i/>
        <w:sz w:val="16"/>
        <w:szCs w:val="16"/>
      </w:rPr>
      <w:t>Antibiotics</w:t>
    </w:r>
    <w:r>
      <w:rPr>
        <w:i/>
        <w:sz w:val="16"/>
        <w:szCs w:val="16"/>
      </w:rPr>
      <w:t xml:space="preserve"> </w:t>
    </w:r>
    <w:r w:rsidR="00584CB9">
      <w:rPr>
        <w:b/>
        <w:bCs/>
        <w:iCs/>
        <w:sz w:val="16"/>
        <w:szCs w:val="16"/>
      </w:rPr>
      <w:t>2022</w:t>
    </w:r>
    <w:r w:rsidR="008A3AB2" w:rsidRPr="008A3AB2">
      <w:rPr>
        <w:bCs/>
        <w:iCs/>
        <w:sz w:val="16"/>
        <w:szCs w:val="16"/>
      </w:rPr>
      <w:t>,</w:t>
    </w:r>
    <w:r w:rsidR="00584CB9">
      <w:rPr>
        <w:bCs/>
        <w:i/>
        <w:iCs/>
        <w:sz w:val="16"/>
        <w:szCs w:val="16"/>
      </w:rPr>
      <w:t xml:space="preserve"> 11</w:t>
    </w:r>
    <w:r w:rsidR="008A3AB2" w:rsidRPr="008A3AB2">
      <w:rPr>
        <w:bCs/>
        <w:iCs/>
        <w:sz w:val="16"/>
        <w:szCs w:val="16"/>
      </w:rPr>
      <w:t xml:space="preserve">, </w:t>
    </w:r>
    <w:r w:rsidR="00F80885">
      <w:rPr>
        <w:bCs/>
        <w:iCs/>
        <w:sz w:val="16"/>
        <w:szCs w:val="16"/>
      </w:rPr>
      <w:t>x</w:t>
    </w:r>
    <w:r w:rsidR="00356DBC">
      <w:rPr>
        <w:bCs/>
        <w:iCs/>
        <w:sz w:val="16"/>
        <w:szCs w:val="16"/>
      </w:rPr>
      <w:t>. https://doi.org/10.3390/xxxxx</w:t>
    </w:r>
    <w:r w:rsidR="00F07D2A">
      <w:rPr>
        <w:sz w:val="16"/>
        <w:szCs w:val="16"/>
        <w:lang w:val="fr-CH"/>
      </w:rPr>
      <w:ptab w:relativeTo="margin" w:alignment="right" w:leader="none"/>
    </w:r>
    <w:r w:rsidRPr="00372FCD">
      <w:rPr>
        <w:sz w:val="16"/>
        <w:szCs w:val="16"/>
        <w:lang w:val="fr-CH"/>
      </w:rPr>
      <w:t>www.mdpi.com/journal/</w:t>
    </w:r>
    <w:r w:rsidRPr="00C37D73">
      <w:rPr>
        <w:sz w:val="16"/>
        <w:szCs w:val="16"/>
      </w:rPr>
      <w:t>antibiotics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910C3" w14:textId="77777777" w:rsidR="001A0E3B" w:rsidRDefault="001A0E3B">
      <w:pPr>
        <w:spacing w:line="240" w:lineRule="auto"/>
      </w:pPr>
      <w:r>
        <w:separator/>
      </w:r>
    </w:p>
  </w:footnote>
  <w:footnote w:type="continuationSeparator" w:id="0">
    <w:p w14:paraId="68A7496E" w14:textId="77777777" w:rsidR="001A0E3B" w:rsidRDefault="001A0E3B">
      <w:pPr>
        <w:spacing w:line="240" w:lineRule="auto"/>
      </w:pPr>
      <w:r>
        <w:continuationSeparator/>
      </w:r>
    </w:p>
  </w:footnote>
  <w:footnote w:type="continuationNotice" w:id="1">
    <w:p w14:paraId="74948649" w14:textId="77777777" w:rsidR="001A0E3B" w:rsidRDefault="001A0E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2C616" w14:textId="77777777" w:rsidR="00464DCD" w:rsidRDefault="00464DCD" w:rsidP="00464DCD">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438D" w14:textId="751EB652" w:rsidR="00356DBC" w:rsidRDefault="00464DCD" w:rsidP="00F65BDA">
    <w:pPr>
      <w:tabs>
        <w:tab w:val="right" w:pos="10466"/>
      </w:tabs>
      <w:adjustRightInd w:val="0"/>
      <w:snapToGrid w:val="0"/>
      <w:spacing w:line="240" w:lineRule="auto"/>
      <w:rPr>
        <w:sz w:val="16"/>
      </w:rPr>
    </w:pPr>
    <w:r>
      <w:rPr>
        <w:i/>
        <w:sz w:val="16"/>
      </w:rPr>
      <w:t xml:space="preserve">Antibiotics </w:t>
    </w:r>
    <w:r w:rsidR="00584CB9">
      <w:rPr>
        <w:b/>
        <w:sz w:val="16"/>
      </w:rPr>
      <w:t>2022</w:t>
    </w:r>
    <w:r w:rsidR="008A3AB2" w:rsidRPr="008A3AB2">
      <w:rPr>
        <w:sz w:val="16"/>
      </w:rPr>
      <w:t>,</w:t>
    </w:r>
    <w:r w:rsidR="00584CB9">
      <w:rPr>
        <w:i/>
        <w:sz w:val="16"/>
      </w:rPr>
      <w:t xml:space="preserve"> 11</w:t>
    </w:r>
    <w:r w:rsidR="00F80885">
      <w:rPr>
        <w:sz w:val="16"/>
      </w:rPr>
      <w:t>, x FOR PEER REVIEW</w:t>
    </w:r>
    <w:r w:rsidR="00F07D2A">
      <w:rPr>
        <w:sz w:val="16"/>
      </w:rPr>
      <w:ptab w:relativeTo="margin" w:alignment="right" w:leader="none"/>
    </w:r>
    <w:r w:rsidR="00F80885">
      <w:rPr>
        <w:sz w:val="16"/>
      </w:rPr>
      <w:fldChar w:fldCharType="begin"/>
    </w:r>
    <w:r w:rsidR="00F80885">
      <w:rPr>
        <w:sz w:val="16"/>
      </w:rPr>
      <w:instrText xml:space="preserve"> PAGE   \* MERGEFORMAT </w:instrText>
    </w:r>
    <w:r w:rsidR="00F80885">
      <w:rPr>
        <w:sz w:val="16"/>
      </w:rPr>
      <w:fldChar w:fldCharType="separate"/>
    </w:r>
    <w:r w:rsidR="0069039E">
      <w:rPr>
        <w:sz w:val="16"/>
      </w:rPr>
      <w:t>5</w:t>
    </w:r>
    <w:r w:rsidR="00F80885">
      <w:rPr>
        <w:sz w:val="16"/>
      </w:rPr>
      <w:fldChar w:fldCharType="end"/>
    </w:r>
    <w:r w:rsidR="00F80885">
      <w:rPr>
        <w:sz w:val="16"/>
      </w:rPr>
      <w:t xml:space="preserve"> of </w:t>
    </w:r>
    <w:r w:rsidR="00F80885">
      <w:rPr>
        <w:sz w:val="16"/>
      </w:rPr>
      <w:fldChar w:fldCharType="begin"/>
    </w:r>
    <w:r w:rsidR="00F80885">
      <w:rPr>
        <w:sz w:val="16"/>
      </w:rPr>
      <w:instrText xml:space="preserve"> NUMPAGES   \* MERGEFORMAT </w:instrText>
    </w:r>
    <w:r w:rsidR="00F80885">
      <w:rPr>
        <w:sz w:val="16"/>
      </w:rPr>
      <w:fldChar w:fldCharType="separate"/>
    </w:r>
    <w:r w:rsidR="0069039E">
      <w:rPr>
        <w:sz w:val="16"/>
      </w:rPr>
      <w:t>5</w:t>
    </w:r>
    <w:r w:rsidR="00F80885">
      <w:rPr>
        <w:sz w:val="16"/>
      </w:rPr>
      <w:fldChar w:fldCharType="end"/>
    </w:r>
  </w:p>
  <w:p w14:paraId="597C47CC" w14:textId="77777777" w:rsidR="00464DCD" w:rsidRPr="009F24DC" w:rsidRDefault="00464DCD" w:rsidP="0090652B">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356DBC" w:rsidRPr="00F65BDA" w14:paraId="19DDDFA3" w14:textId="77777777" w:rsidTr="000E5987">
      <w:trPr>
        <w:trHeight w:val="686"/>
      </w:trPr>
      <w:tc>
        <w:tcPr>
          <w:tcW w:w="3679" w:type="dxa"/>
          <w:shd w:val="clear" w:color="auto" w:fill="auto"/>
          <w:vAlign w:val="center"/>
        </w:tcPr>
        <w:p w14:paraId="6748206A" w14:textId="77777777" w:rsidR="00356DBC" w:rsidRPr="001E6690" w:rsidRDefault="00494147" w:rsidP="00F65BDA">
          <w:pPr>
            <w:pStyle w:val="Header"/>
            <w:pBdr>
              <w:bottom w:val="none" w:sz="0" w:space="0" w:color="auto"/>
            </w:pBdr>
            <w:jc w:val="left"/>
            <w:rPr>
              <w:rFonts w:eastAsia="DengXian"/>
              <w:b/>
              <w:bCs/>
            </w:rPr>
          </w:pPr>
          <w:r w:rsidRPr="001E6690">
            <w:rPr>
              <w:rFonts w:eastAsia="DengXian"/>
              <w:b/>
              <w:bCs/>
              <w:noProof/>
            </w:rPr>
            <w:drawing>
              <wp:inline distT="0" distB="0" distL="0" distR="0" wp14:anchorId="2C25B5DC" wp14:editId="3DBE73F7">
                <wp:extent cx="1655445" cy="429260"/>
                <wp:effectExtent l="0" t="0" r="0" b="0"/>
                <wp:docPr id="1" name="Picture 3" descr="C:\Users\home\AppData\Local\Temp\HZ$D.503.4364\antibiotic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AppData\Local\Temp\HZ$D.503.4364\antibiotic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445" cy="429260"/>
                        </a:xfrm>
                        <a:prstGeom prst="rect">
                          <a:avLst/>
                        </a:prstGeom>
                        <a:noFill/>
                        <a:ln>
                          <a:noFill/>
                        </a:ln>
                      </pic:spPr>
                    </pic:pic>
                  </a:graphicData>
                </a:graphic>
              </wp:inline>
            </w:drawing>
          </w:r>
        </w:p>
      </w:tc>
      <w:tc>
        <w:tcPr>
          <w:tcW w:w="4535" w:type="dxa"/>
          <w:shd w:val="clear" w:color="auto" w:fill="auto"/>
          <w:vAlign w:val="center"/>
        </w:tcPr>
        <w:p w14:paraId="55106A22" w14:textId="77777777" w:rsidR="00356DBC" w:rsidRPr="001E6690" w:rsidRDefault="00356DBC" w:rsidP="00F65BDA">
          <w:pPr>
            <w:pStyle w:val="Header"/>
            <w:pBdr>
              <w:bottom w:val="none" w:sz="0" w:space="0" w:color="auto"/>
            </w:pBdr>
            <w:rPr>
              <w:rFonts w:eastAsia="DengXian"/>
              <w:b/>
              <w:bCs/>
            </w:rPr>
          </w:pPr>
        </w:p>
      </w:tc>
      <w:tc>
        <w:tcPr>
          <w:tcW w:w="2273" w:type="dxa"/>
          <w:shd w:val="clear" w:color="auto" w:fill="auto"/>
          <w:vAlign w:val="center"/>
        </w:tcPr>
        <w:p w14:paraId="71C47C35" w14:textId="77777777" w:rsidR="00356DBC" w:rsidRPr="001E6690" w:rsidRDefault="000E5987" w:rsidP="000E5987">
          <w:pPr>
            <w:pStyle w:val="Header"/>
            <w:pBdr>
              <w:bottom w:val="none" w:sz="0" w:space="0" w:color="auto"/>
            </w:pBdr>
            <w:jc w:val="right"/>
            <w:rPr>
              <w:rFonts w:eastAsia="DengXian"/>
              <w:b/>
              <w:bCs/>
            </w:rPr>
          </w:pPr>
          <w:r>
            <w:rPr>
              <w:rFonts w:eastAsia="DengXian"/>
              <w:b/>
              <w:bCs/>
              <w:noProof/>
            </w:rPr>
            <w:drawing>
              <wp:inline distT="0" distB="0" distL="0" distR="0" wp14:anchorId="4E73A9AA" wp14:editId="4640BDEB">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6FD936B8" w14:textId="77777777" w:rsidR="00464DCD" w:rsidRPr="00356DBC" w:rsidRDefault="00464DCD" w:rsidP="0090652B">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BD6"/>
    <w:multiLevelType w:val="hybridMultilevel"/>
    <w:tmpl w:val="CA3032DC"/>
    <w:lvl w:ilvl="0" w:tplc="9F20F98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4144E"/>
    <w:multiLevelType w:val="hybridMultilevel"/>
    <w:tmpl w:val="E92CD182"/>
    <w:lvl w:ilvl="0" w:tplc="1136A2EC">
      <w:start w:val="1"/>
      <w:numFmt w:val="decimal"/>
      <w:lvlText w:val="%1."/>
      <w:lvlJc w:val="left"/>
      <w:pPr>
        <w:ind w:left="880" w:hanging="520"/>
      </w:pPr>
      <w:rPr>
        <w:rFonts w:ascii="Palatino Linotype" w:eastAsia="Times New Roman" w:hAnsi="Palatino Linotyp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B468F5"/>
    <w:multiLevelType w:val="hybridMultilevel"/>
    <w:tmpl w:val="C92AF13A"/>
    <w:lvl w:ilvl="0" w:tplc="1D6892E4">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17D99"/>
    <w:multiLevelType w:val="hybridMultilevel"/>
    <w:tmpl w:val="D21C108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38D7426C"/>
    <w:multiLevelType w:val="hybridMultilevel"/>
    <w:tmpl w:val="C12AE5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34325"/>
    <w:multiLevelType w:val="hybridMultilevel"/>
    <w:tmpl w:val="A46A29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532358"/>
    <w:multiLevelType w:val="hybridMultilevel"/>
    <w:tmpl w:val="F6EEB9FA"/>
    <w:lvl w:ilvl="0" w:tplc="14EA940C">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97BAD"/>
    <w:multiLevelType w:val="hybridMultilevel"/>
    <w:tmpl w:val="226E1C7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8F1CA3"/>
    <w:multiLevelType w:val="hybridMultilevel"/>
    <w:tmpl w:val="BE0A1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CAB7440"/>
    <w:multiLevelType w:val="hybridMultilevel"/>
    <w:tmpl w:val="9E14E096"/>
    <w:lvl w:ilvl="0" w:tplc="E77E4FE0">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5"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7" w15:restartNumberingAfterBreak="0">
    <w:nsid w:val="54FB6586"/>
    <w:multiLevelType w:val="hybridMultilevel"/>
    <w:tmpl w:val="A7168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C8403F"/>
    <w:multiLevelType w:val="hybridMultilevel"/>
    <w:tmpl w:val="3DDA47D6"/>
    <w:lvl w:ilvl="0" w:tplc="748452B4">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B6521A"/>
    <w:multiLevelType w:val="hybridMultilevel"/>
    <w:tmpl w:val="71ECE3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0C116D"/>
    <w:multiLevelType w:val="hybridMultilevel"/>
    <w:tmpl w:val="7840D2D0"/>
    <w:lvl w:ilvl="0" w:tplc="0226B4D8">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E663D"/>
    <w:multiLevelType w:val="hybridMultilevel"/>
    <w:tmpl w:val="DB6AF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A868CD"/>
    <w:multiLevelType w:val="hybridMultilevel"/>
    <w:tmpl w:val="C8F4B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4D85F47"/>
    <w:multiLevelType w:val="hybridMultilevel"/>
    <w:tmpl w:val="DA0EE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5B252D"/>
    <w:multiLevelType w:val="hybridMultilevel"/>
    <w:tmpl w:val="42AAF2F8"/>
    <w:lvl w:ilvl="0" w:tplc="BEA41CB6">
      <w:start w:val="1"/>
      <w:numFmt w:val="decimal"/>
      <w:lvlText w:val="%1."/>
      <w:lvlJc w:val="left"/>
      <w:pPr>
        <w:ind w:left="880" w:hanging="520"/>
      </w:pPr>
      <w:rPr>
        <w:rFonts w:ascii="Palatino Linotype" w:eastAsia="Times New Roman" w:hAnsi="Palatino Linotyp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CB635D"/>
    <w:multiLevelType w:val="hybridMultilevel"/>
    <w:tmpl w:val="51466510"/>
    <w:lvl w:ilvl="0" w:tplc="98AA294A">
      <w:start w:val="1"/>
      <w:numFmt w:val="decimal"/>
      <w:lvlText w:val="%1."/>
      <w:lvlJc w:val="left"/>
      <w:pPr>
        <w:ind w:left="880" w:hanging="520"/>
      </w:pPr>
      <w:rPr>
        <w:rFonts w:ascii="Palatino Linotype" w:eastAsia="Times New Roman" w:hAnsi="Palatino Linotype"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7"/>
  </w:num>
  <w:num w:numId="5">
    <w:abstractNumId w:val="16"/>
  </w:num>
  <w:num w:numId="6">
    <w:abstractNumId w:val="4"/>
  </w:num>
  <w:num w:numId="7">
    <w:abstractNumId w:val="16"/>
  </w:num>
  <w:num w:numId="8">
    <w:abstractNumId w:val="4"/>
  </w:num>
  <w:num w:numId="9">
    <w:abstractNumId w:val="16"/>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6"/>
  </w:num>
  <w:num w:numId="14">
    <w:abstractNumId w:val="4"/>
  </w:num>
  <w:num w:numId="15">
    <w:abstractNumId w:val="2"/>
  </w:num>
  <w:num w:numId="16">
    <w:abstractNumId w:val="15"/>
  </w:num>
  <w:num w:numId="17">
    <w:abstractNumId w:val="2"/>
  </w:num>
  <w:num w:numId="18">
    <w:abstractNumId w:val="16"/>
  </w:num>
  <w:num w:numId="19">
    <w:abstractNumId w:val="4"/>
  </w:num>
  <w:num w:numId="20">
    <w:abstractNumId w:val="2"/>
  </w:num>
  <w:num w:numId="21">
    <w:abstractNumId w:val="11"/>
  </w:num>
  <w:num w:numId="22">
    <w:abstractNumId w:val="14"/>
  </w:num>
  <w:num w:numId="23">
    <w:abstractNumId w:val="18"/>
  </w:num>
  <w:num w:numId="24">
    <w:abstractNumId w:val="16"/>
  </w:num>
  <w:num w:numId="25">
    <w:abstractNumId w:val="4"/>
  </w:num>
  <w:num w:numId="26">
    <w:abstractNumId w:val="10"/>
  </w:num>
  <w:num w:numId="27">
    <w:abstractNumId w:val="9"/>
  </w:num>
  <w:num w:numId="28">
    <w:abstractNumId w:val="13"/>
  </w:num>
  <w:num w:numId="29">
    <w:abstractNumId w:val="23"/>
  </w:num>
  <w:num w:numId="30">
    <w:abstractNumId w:val="24"/>
  </w:num>
  <w:num w:numId="31">
    <w:abstractNumId w:val="25"/>
  </w:num>
  <w:num w:numId="32">
    <w:abstractNumId w:val="12"/>
  </w:num>
  <w:num w:numId="33">
    <w:abstractNumId w:val="26"/>
  </w:num>
  <w:num w:numId="34">
    <w:abstractNumId w:val="1"/>
  </w:num>
  <w:num w:numId="35">
    <w:abstractNumId w:val="17"/>
  </w:num>
  <w:num w:numId="36">
    <w:abstractNumId w:val="19"/>
  </w:num>
  <w:num w:numId="37">
    <w:abstractNumId w:val="3"/>
  </w:num>
  <w:num w:numId="38">
    <w:abstractNumId w:val="16"/>
  </w:num>
  <w:num w:numId="39">
    <w:abstractNumId w:val="4"/>
  </w:num>
  <w:num w:numId="40">
    <w:abstractNumId w:val="21"/>
  </w:num>
  <w:num w:numId="41">
    <w:abstractNumId w:val="0"/>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azfrsrmvfxshew00s5epa4xzxx0farsasd&quot;&gt;My EndNote Library&lt;record-ids&gt;&lt;item&gt;2&lt;/item&gt;&lt;item&gt;65&lt;/item&gt;&lt;item&gt;67&lt;/item&gt;&lt;item&gt;69&lt;/item&gt;&lt;item&gt;70&lt;/item&gt;&lt;item&gt;71&lt;/item&gt;&lt;item&gt;72&lt;/item&gt;&lt;item&gt;94&lt;/item&gt;&lt;item&gt;95&lt;/item&gt;&lt;item&gt;96&lt;/item&gt;&lt;item&gt;100&lt;/item&gt;&lt;item&gt;101&lt;/item&gt;&lt;item&gt;103&lt;/item&gt;&lt;item&gt;104&lt;/item&gt;&lt;item&gt;105&lt;/item&gt;&lt;item&gt;106&lt;/item&gt;&lt;item&gt;107&lt;/item&gt;&lt;item&gt;112&lt;/item&gt;&lt;item&gt;113&lt;/item&gt;&lt;item&gt;350&lt;/item&gt;&lt;item&gt;351&lt;/item&gt;&lt;item&gt;352&lt;/item&gt;&lt;item&gt;353&lt;/item&gt;&lt;/record-ids&gt;&lt;/item&gt;&lt;/Libraries&gt;"/>
  </w:docVars>
  <w:rsids>
    <w:rsidRoot w:val="006D42BA"/>
    <w:rsid w:val="00015B14"/>
    <w:rsid w:val="00026D71"/>
    <w:rsid w:val="00030737"/>
    <w:rsid w:val="00030F74"/>
    <w:rsid w:val="00032398"/>
    <w:rsid w:val="000356BC"/>
    <w:rsid w:val="00037DCB"/>
    <w:rsid w:val="00042FB9"/>
    <w:rsid w:val="00045B43"/>
    <w:rsid w:val="00046E3E"/>
    <w:rsid w:val="000510DC"/>
    <w:rsid w:val="000544AA"/>
    <w:rsid w:val="00054863"/>
    <w:rsid w:val="0006004C"/>
    <w:rsid w:val="00071B43"/>
    <w:rsid w:val="00076ED2"/>
    <w:rsid w:val="00083904"/>
    <w:rsid w:val="00084DD5"/>
    <w:rsid w:val="00087CEF"/>
    <w:rsid w:val="000971C6"/>
    <w:rsid w:val="000C1572"/>
    <w:rsid w:val="000C1FDE"/>
    <w:rsid w:val="000D4C88"/>
    <w:rsid w:val="000E5489"/>
    <w:rsid w:val="000E5987"/>
    <w:rsid w:val="000E6CC8"/>
    <w:rsid w:val="000E7E52"/>
    <w:rsid w:val="000F0C6B"/>
    <w:rsid w:val="000F370D"/>
    <w:rsid w:val="000F65CA"/>
    <w:rsid w:val="000F6793"/>
    <w:rsid w:val="000F78F9"/>
    <w:rsid w:val="0010107C"/>
    <w:rsid w:val="001134A3"/>
    <w:rsid w:val="001157DE"/>
    <w:rsid w:val="00126845"/>
    <w:rsid w:val="00141B67"/>
    <w:rsid w:val="00143811"/>
    <w:rsid w:val="00150B58"/>
    <w:rsid w:val="001551DB"/>
    <w:rsid w:val="001553EA"/>
    <w:rsid w:val="0016398D"/>
    <w:rsid w:val="00165225"/>
    <w:rsid w:val="00170A57"/>
    <w:rsid w:val="00170F31"/>
    <w:rsid w:val="00175113"/>
    <w:rsid w:val="001827D6"/>
    <w:rsid w:val="00185155"/>
    <w:rsid w:val="00185181"/>
    <w:rsid w:val="00186B48"/>
    <w:rsid w:val="001A0638"/>
    <w:rsid w:val="001A0E3B"/>
    <w:rsid w:val="001B6667"/>
    <w:rsid w:val="001C510F"/>
    <w:rsid w:val="001C5C1A"/>
    <w:rsid w:val="001C637B"/>
    <w:rsid w:val="001D3BF9"/>
    <w:rsid w:val="001D4CAB"/>
    <w:rsid w:val="001E06AE"/>
    <w:rsid w:val="001E2AEB"/>
    <w:rsid w:val="001E339C"/>
    <w:rsid w:val="001E6690"/>
    <w:rsid w:val="001E6ADF"/>
    <w:rsid w:val="001F2D4E"/>
    <w:rsid w:val="001F62D3"/>
    <w:rsid w:val="00206A95"/>
    <w:rsid w:val="002121AD"/>
    <w:rsid w:val="002127D1"/>
    <w:rsid w:val="0022536F"/>
    <w:rsid w:val="002305F1"/>
    <w:rsid w:val="00233173"/>
    <w:rsid w:val="0024121C"/>
    <w:rsid w:val="0024547A"/>
    <w:rsid w:val="0025009E"/>
    <w:rsid w:val="002527D1"/>
    <w:rsid w:val="00261349"/>
    <w:rsid w:val="00263716"/>
    <w:rsid w:val="0026517B"/>
    <w:rsid w:val="002679C5"/>
    <w:rsid w:val="00267ADA"/>
    <w:rsid w:val="00280151"/>
    <w:rsid w:val="00286C41"/>
    <w:rsid w:val="00293088"/>
    <w:rsid w:val="002A4C7E"/>
    <w:rsid w:val="002B0524"/>
    <w:rsid w:val="002B0C7E"/>
    <w:rsid w:val="002B47F2"/>
    <w:rsid w:val="002C0F01"/>
    <w:rsid w:val="002C3620"/>
    <w:rsid w:val="002C5065"/>
    <w:rsid w:val="002D3091"/>
    <w:rsid w:val="002D77EC"/>
    <w:rsid w:val="002E1725"/>
    <w:rsid w:val="002F0906"/>
    <w:rsid w:val="00304579"/>
    <w:rsid w:val="0031262B"/>
    <w:rsid w:val="00316944"/>
    <w:rsid w:val="003256B0"/>
    <w:rsid w:val="00326141"/>
    <w:rsid w:val="00333EA0"/>
    <w:rsid w:val="00344AD3"/>
    <w:rsid w:val="00350352"/>
    <w:rsid w:val="00356DBC"/>
    <w:rsid w:val="00360849"/>
    <w:rsid w:val="00364F45"/>
    <w:rsid w:val="00366B67"/>
    <w:rsid w:val="003732A4"/>
    <w:rsid w:val="003A0E06"/>
    <w:rsid w:val="003A70B6"/>
    <w:rsid w:val="003A7743"/>
    <w:rsid w:val="003B2FAB"/>
    <w:rsid w:val="003C0622"/>
    <w:rsid w:val="003C1244"/>
    <w:rsid w:val="003C4625"/>
    <w:rsid w:val="003C720B"/>
    <w:rsid w:val="003D06F7"/>
    <w:rsid w:val="003E2ECF"/>
    <w:rsid w:val="003E3E14"/>
    <w:rsid w:val="003E4653"/>
    <w:rsid w:val="003E46E4"/>
    <w:rsid w:val="00401D30"/>
    <w:rsid w:val="00407437"/>
    <w:rsid w:val="0041747E"/>
    <w:rsid w:val="00433C57"/>
    <w:rsid w:val="0043449B"/>
    <w:rsid w:val="00435D46"/>
    <w:rsid w:val="00441C0E"/>
    <w:rsid w:val="004443CB"/>
    <w:rsid w:val="00464DCD"/>
    <w:rsid w:val="00465B2A"/>
    <w:rsid w:val="00473A1A"/>
    <w:rsid w:val="004857E8"/>
    <w:rsid w:val="00491F83"/>
    <w:rsid w:val="00494147"/>
    <w:rsid w:val="004A25D4"/>
    <w:rsid w:val="004A5E58"/>
    <w:rsid w:val="004B2059"/>
    <w:rsid w:val="004C023E"/>
    <w:rsid w:val="004C3495"/>
    <w:rsid w:val="004C6EB6"/>
    <w:rsid w:val="004E2764"/>
    <w:rsid w:val="004E27A7"/>
    <w:rsid w:val="004E4353"/>
    <w:rsid w:val="004E778E"/>
    <w:rsid w:val="004F1683"/>
    <w:rsid w:val="004F2487"/>
    <w:rsid w:val="004F4F61"/>
    <w:rsid w:val="0050509C"/>
    <w:rsid w:val="00514D8B"/>
    <w:rsid w:val="00520B78"/>
    <w:rsid w:val="00524044"/>
    <w:rsid w:val="00532288"/>
    <w:rsid w:val="00533CBF"/>
    <w:rsid w:val="005366C2"/>
    <w:rsid w:val="005421DC"/>
    <w:rsid w:val="00553DD3"/>
    <w:rsid w:val="00562ECD"/>
    <w:rsid w:val="005645B1"/>
    <w:rsid w:val="00564777"/>
    <w:rsid w:val="00571868"/>
    <w:rsid w:val="00571C88"/>
    <w:rsid w:val="005722FE"/>
    <w:rsid w:val="005748E5"/>
    <w:rsid w:val="00584CB9"/>
    <w:rsid w:val="005943E2"/>
    <w:rsid w:val="005A2B49"/>
    <w:rsid w:val="005B21DC"/>
    <w:rsid w:val="005B6527"/>
    <w:rsid w:val="005C344D"/>
    <w:rsid w:val="005C4875"/>
    <w:rsid w:val="005D0B65"/>
    <w:rsid w:val="005D1841"/>
    <w:rsid w:val="005D754C"/>
    <w:rsid w:val="005E7C00"/>
    <w:rsid w:val="005F78ED"/>
    <w:rsid w:val="0060034B"/>
    <w:rsid w:val="00603388"/>
    <w:rsid w:val="006206C5"/>
    <w:rsid w:val="00627512"/>
    <w:rsid w:val="006316AB"/>
    <w:rsid w:val="00635DCE"/>
    <w:rsid w:val="00645A06"/>
    <w:rsid w:val="006512A3"/>
    <w:rsid w:val="006524B9"/>
    <w:rsid w:val="00652F2E"/>
    <w:rsid w:val="006609A8"/>
    <w:rsid w:val="006614EE"/>
    <w:rsid w:val="0066351E"/>
    <w:rsid w:val="00680103"/>
    <w:rsid w:val="006833C1"/>
    <w:rsid w:val="00685A7A"/>
    <w:rsid w:val="0069039E"/>
    <w:rsid w:val="00691FFC"/>
    <w:rsid w:val="00692393"/>
    <w:rsid w:val="006A03E6"/>
    <w:rsid w:val="006A178E"/>
    <w:rsid w:val="006A1E58"/>
    <w:rsid w:val="006A2870"/>
    <w:rsid w:val="006A2A43"/>
    <w:rsid w:val="006A3432"/>
    <w:rsid w:val="006A7B01"/>
    <w:rsid w:val="006B6BB7"/>
    <w:rsid w:val="006D0EAA"/>
    <w:rsid w:val="006D42BA"/>
    <w:rsid w:val="006F27CB"/>
    <w:rsid w:val="00700800"/>
    <w:rsid w:val="0073340A"/>
    <w:rsid w:val="00740199"/>
    <w:rsid w:val="00741AF8"/>
    <w:rsid w:val="00745384"/>
    <w:rsid w:val="00752895"/>
    <w:rsid w:val="00753B6B"/>
    <w:rsid w:val="00755C84"/>
    <w:rsid w:val="007604CA"/>
    <w:rsid w:val="00764BEB"/>
    <w:rsid w:val="007713AF"/>
    <w:rsid w:val="007720D8"/>
    <w:rsid w:val="0077600A"/>
    <w:rsid w:val="00781CE0"/>
    <w:rsid w:val="00786753"/>
    <w:rsid w:val="0079259C"/>
    <w:rsid w:val="007A56CF"/>
    <w:rsid w:val="007B53F9"/>
    <w:rsid w:val="007B7D8E"/>
    <w:rsid w:val="007C50F8"/>
    <w:rsid w:val="007E52D6"/>
    <w:rsid w:val="007F1448"/>
    <w:rsid w:val="007F302E"/>
    <w:rsid w:val="007F4F7D"/>
    <w:rsid w:val="007F69C3"/>
    <w:rsid w:val="00811D14"/>
    <w:rsid w:val="00813519"/>
    <w:rsid w:val="0082039E"/>
    <w:rsid w:val="00820D78"/>
    <w:rsid w:val="00820F04"/>
    <w:rsid w:val="00821332"/>
    <w:rsid w:val="00834645"/>
    <w:rsid w:val="0084298D"/>
    <w:rsid w:val="00847ECD"/>
    <w:rsid w:val="00851BEB"/>
    <w:rsid w:val="0085667E"/>
    <w:rsid w:val="008601B0"/>
    <w:rsid w:val="008609C7"/>
    <w:rsid w:val="0086270E"/>
    <w:rsid w:val="00867B28"/>
    <w:rsid w:val="008706E5"/>
    <w:rsid w:val="0087153D"/>
    <w:rsid w:val="00875CEC"/>
    <w:rsid w:val="008A1EB8"/>
    <w:rsid w:val="008A3AB2"/>
    <w:rsid w:val="008A51C0"/>
    <w:rsid w:val="008B470B"/>
    <w:rsid w:val="008B47FA"/>
    <w:rsid w:val="008C4AEB"/>
    <w:rsid w:val="008E573B"/>
    <w:rsid w:val="008F1263"/>
    <w:rsid w:val="008F217C"/>
    <w:rsid w:val="008F5EB6"/>
    <w:rsid w:val="0090652B"/>
    <w:rsid w:val="00906DEF"/>
    <w:rsid w:val="009079D5"/>
    <w:rsid w:val="00913B0B"/>
    <w:rsid w:val="009150C5"/>
    <w:rsid w:val="0094113E"/>
    <w:rsid w:val="00945FE8"/>
    <w:rsid w:val="00946ECB"/>
    <w:rsid w:val="00951A63"/>
    <w:rsid w:val="00953172"/>
    <w:rsid w:val="00955C79"/>
    <w:rsid w:val="00956BF2"/>
    <w:rsid w:val="009648DF"/>
    <w:rsid w:val="00972CCA"/>
    <w:rsid w:val="00980FF6"/>
    <w:rsid w:val="00983211"/>
    <w:rsid w:val="00991C7D"/>
    <w:rsid w:val="00995955"/>
    <w:rsid w:val="009A3038"/>
    <w:rsid w:val="009A686A"/>
    <w:rsid w:val="009B13D9"/>
    <w:rsid w:val="009B1F72"/>
    <w:rsid w:val="009B7467"/>
    <w:rsid w:val="009C405C"/>
    <w:rsid w:val="009D5AE6"/>
    <w:rsid w:val="009E1E6C"/>
    <w:rsid w:val="009E27BA"/>
    <w:rsid w:val="009F5ACF"/>
    <w:rsid w:val="009F70E6"/>
    <w:rsid w:val="00A13A33"/>
    <w:rsid w:val="00A17545"/>
    <w:rsid w:val="00A21E8D"/>
    <w:rsid w:val="00A27924"/>
    <w:rsid w:val="00A27F6B"/>
    <w:rsid w:val="00A43A9C"/>
    <w:rsid w:val="00A55A81"/>
    <w:rsid w:val="00A55F4B"/>
    <w:rsid w:val="00A77439"/>
    <w:rsid w:val="00A77E31"/>
    <w:rsid w:val="00A828FF"/>
    <w:rsid w:val="00A86E28"/>
    <w:rsid w:val="00A92C29"/>
    <w:rsid w:val="00AA1508"/>
    <w:rsid w:val="00AA1BA5"/>
    <w:rsid w:val="00AB5ECB"/>
    <w:rsid w:val="00AC315D"/>
    <w:rsid w:val="00AD2380"/>
    <w:rsid w:val="00AD61BD"/>
    <w:rsid w:val="00AF1364"/>
    <w:rsid w:val="00AF3D57"/>
    <w:rsid w:val="00AF5742"/>
    <w:rsid w:val="00B0305B"/>
    <w:rsid w:val="00B214DB"/>
    <w:rsid w:val="00B3676C"/>
    <w:rsid w:val="00B3714E"/>
    <w:rsid w:val="00B45832"/>
    <w:rsid w:val="00B54E5B"/>
    <w:rsid w:val="00B70D2D"/>
    <w:rsid w:val="00B7124D"/>
    <w:rsid w:val="00B7528A"/>
    <w:rsid w:val="00B77A10"/>
    <w:rsid w:val="00B86197"/>
    <w:rsid w:val="00B87C4A"/>
    <w:rsid w:val="00B93304"/>
    <w:rsid w:val="00BA70FC"/>
    <w:rsid w:val="00BB2D15"/>
    <w:rsid w:val="00BC00D5"/>
    <w:rsid w:val="00BC3953"/>
    <w:rsid w:val="00BD0A17"/>
    <w:rsid w:val="00BD13D3"/>
    <w:rsid w:val="00BE1296"/>
    <w:rsid w:val="00BE2625"/>
    <w:rsid w:val="00BF0F20"/>
    <w:rsid w:val="00BF1CAE"/>
    <w:rsid w:val="00BF4ECA"/>
    <w:rsid w:val="00C03671"/>
    <w:rsid w:val="00C044A3"/>
    <w:rsid w:val="00C06941"/>
    <w:rsid w:val="00C2549A"/>
    <w:rsid w:val="00C2657E"/>
    <w:rsid w:val="00C27097"/>
    <w:rsid w:val="00C43ED3"/>
    <w:rsid w:val="00C4690A"/>
    <w:rsid w:val="00C52BE2"/>
    <w:rsid w:val="00C55BAB"/>
    <w:rsid w:val="00C611A1"/>
    <w:rsid w:val="00C632A1"/>
    <w:rsid w:val="00C633C9"/>
    <w:rsid w:val="00C6349B"/>
    <w:rsid w:val="00C71464"/>
    <w:rsid w:val="00C73893"/>
    <w:rsid w:val="00C8064D"/>
    <w:rsid w:val="00C81D6C"/>
    <w:rsid w:val="00C825BA"/>
    <w:rsid w:val="00C90DA1"/>
    <w:rsid w:val="00C94E5F"/>
    <w:rsid w:val="00CA453C"/>
    <w:rsid w:val="00CA5248"/>
    <w:rsid w:val="00CC42A7"/>
    <w:rsid w:val="00CC7FDF"/>
    <w:rsid w:val="00CD0886"/>
    <w:rsid w:val="00CD12A3"/>
    <w:rsid w:val="00CE0B8A"/>
    <w:rsid w:val="00CE25FC"/>
    <w:rsid w:val="00CE61FF"/>
    <w:rsid w:val="00CF14E4"/>
    <w:rsid w:val="00CF483D"/>
    <w:rsid w:val="00D00CEB"/>
    <w:rsid w:val="00D176B8"/>
    <w:rsid w:val="00D217E9"/>
    <w:rsid w:val="00D25585"/>
    <w:rsid w:val="00D36545"/>
    <w:rsid w:val="00D400D8"/>
    <w:rsid w:val="00D46384"/>
    <w:rsid w:val="00D5593D"/>
    <w:rsid w:val="00D61851"/>
    <w:rsid w:val="00D729B8"/>
    <w:rsid w:val="00D74395"/>
    <w:rsid w:val="00D76BFD"/>
    <w:rsid w:val="00D77000"/>
    <w:rsid w:val="00D85BE2"/>
    <w:rsid w:val="00D93229"/>
    <w:rsid w:val="00D95A71"/>
    <w:rsid w:val="00DA2FE8"/>
    <w:rsid w:val="00DA504F"/>
    <w:rsid w:val="00DA65D4"/>
    <w:rsid w:val="00DC34D9"/>
    <w:rsid w:val="00DC5653"/>
    <w:rsid w:val="00DC6B79"/>
    <w:rsid w:val="00DD0932"/>
    <w:rsid w:val="00DD1673"/>
    <w:rsid w:val="00DE202D"/>
    <w:rsid w:val="00DE6198"/>
    <w:rsid w:val="00DE7773"/>
    <w:rsid w:val="00DE7D7D"/>
    <w:rsid w:val="00DF28A0"/>
    <w:rsid w:val="00E02F43"/>
    <w:rsid w:val="00E10E0C"/>
    <w:rsid w:val="00E12E5A"/>
    <w:rsid w:val="00E17907"/>
    <w:rsid w:val="00E220D2"/>
    <w:rsid w:val="00E2561E"/>
    <w:rsid w:val="00E275CB"/>
    <w:rsid w:val="00E4674F"/>
    <w:rsid w:val="00E5039B"/>
    <w:rsid w:val="00E519E9"/>
    <w:rsid w:val="00E549D3"/>
    <w:rsid w:val="00E61CA7"/>
    <w:rsid w:val="00E62006"/>
    <w:rsid w:val="00E723BB"/>
    <w:rsid w:val="00E738FF"/>
    <w:rsid w:val="00E7639D"/>
    <w:rsid w:val="00EA50E1"/>
    <w:rsid w:val="00EA5C5A"/>
    <w:rsid w:val="00EB1BC6"/>
    <w:rsid w:val="00EB3357"/>
    <w:rsid w:val="00EB3C70"/>
    <w:rsid w:val="00EB3E92"/>
    <w:rsid w:val="00EB5BC1"/>
    <w:rsid w:val="00EB756D"/>
    <w:rsid w:val="00EC23A3"/>
    <w:rsid w:val="00EC4F30"/>
    <w:rsid w:val="00ED1EC7"/>
    <w:rsid w:val="00ED6BA3"/>
    <w:rsid w:val="00EE214D"/>
    <w:rsid w:val="00EE5BDC"/>
    <w:rsid w:val="00EF41CF"/>
    <w:rsid w:val="00EF7AA0"/>
    <w:rsid w:val="00F02EA1"/>
    <w:rsid w:val="00F07D2A"/>
    <w:rsid w:val="00F13EE5"/>
    <w:rsid w:val="00F14BCA"/>
    <w:rsid w:val="00F1718E"/>
    <w:rsid w:val="00F20F2B"/>
    <w:rsid w:val="00F224F9"/>
    <w:rsid w:val="00F23B21"/>
    <w:rsid w:val="00F24616"/>
    <w:rsid w:val="00F258C9"/>
    <w:rsid w:val="00F2636C"/>
    <w:rsid w:val="00F471F2"/>
    <w:rsid w:val="00F54413"/>
    <w:rsid w:val="00F55567"/>
    <w:rsid w:val="00F65BDA"/>
    <w:rsid w:val="00F7093D"/>
    <w:rsid w:val="00F716DD"/>
    <w:rsid w:val="00F71F3F"/>
    <w:rsid w:val="00F75264"/>
    <w:rsid w:val="00F754D4"/>
    <w:rsid w:val="00F80885"/>
    <w:rsid w:val="00F856C8"/>
    <w:rsid w:val="00F912E8"/>
    <w:rsid w:val="00F95B7C"/>
    <w:rsid w:val="00FA0FD0"/>
    <w:rsid w:val="00FA507E"/>
    <w:rsid w:val="00FA567E"/>
    <w:rsid w:val="00FA671E"/>
    <w:rsid w:val="00FB328E"/>
    <w:rsid w:val="00FC65EB"/>
    <w:rsid w:val="00FC74B2"/>
    <w:rsid w:val="00FE27C5"/>
    <w:rsid w:val="00FE5759"/>
    <w:rsid w:val="00FF25EE"/>
    <w:rsid w:val="00FF49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CD03E"/>
  <w15:docId w15:val="{A2AD637E-E9F1-4BCF-9F06-70F45E68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3AF"/>
    <w:pPr>
      <w:spacing w:line="260" w:lineRule="atLeast"/>
      <w:jc w:val="both"/>
    </w:pPr>
    <w:rPr>
      <w:rFonts w:ascii="Palatino Linotype" w:hAnsi="Palatino Linotype"/>
      <w:color w:val="000000"/>
    </w:rPr>
  </w:style>
  <w:style w:type="paragraph" w:styleId="Heading1">
    <w:name w:val="heading 1"/>
    <w:basedOn w:val="Normal"/>
    <w:link w:val="Heading1Char"/>
    <w:uiPriority w:val="9"/>
    <w:qFormat/>
    <w:rsid w:val="007C50F8"/>
    <w:pPr>
      <w:spacing w:before="100" w:beforeAutospacing="1" w:after="100" w:afterAutospacing="1" w:line="240" w:lineRule="auto"/>
      <w:jc w:val="left"/>
      <w:outlineLvl w:val="0"/>
    </w:pPr>
    <w:rPr>
      <w:rFonts w:ascii="Times New Roman" w:eastAsia="Times New Roman" w:hAnsi="Times New Roman"/>
      <w:b/>
      <w:bCs/>
      <w:color w:val="auto"/>
      <w:kern w:val="36"/>
      <w:sz w:val="48"/>
      <w:szCs w:val="48"/>
      <w:lang w:val="en-GB" w:eastAsia="en-GB"/>
    </w:rPr>
  </w:style>
  <w:style w:type="paragraph" w:styleId="Heading2">
    <w:name w:val="heading 2"/>
    <w:basedOn w:val="Normal"/>
    <w:next w:val="Normal"/>
    <w:link w:val="Heading2Char"/>
    <w:uiPriority w:val="9"/>
    <w:semiHidden/>
    <w:unhideWhenUsed/>
    <w:qFormat/>
    <w:rsid w:val="0094113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729B8"/>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729B8"/>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729B8"/>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729B8"/>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D729B8"/>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729B8"/>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729B8"/>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627512"/>
    <w:pPr>
      <w:pBdr>
        <w:bottom w:val="single" w:sz="4"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23B21"/>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7713A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713A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7713AF"/>
    <w:rPr>
      <w:rFonts w:ascii="Palatino Linotype" w:hAnsi="Palatino Linotype"/>
      <w:noProof/>
      <w:color w:val="000000"/>
      <w:szCs w:val="18"/>
    </w:rPr>
  </w:style>
  <w:style w:type="paragraph" w:customStyle="1" w:styleId="MDPIheaderjournallogo">
    <w:name w:val="MDPI_header_journal_logo"/>
    <w:qFormat/>
    <w:rsid w:val="00D729B8"/>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729B8"/>
    <w:pPr>
      <w:ind w:firstLine="0"/>
    </w:pPr>
  </w:style>
  <w:style w:type="paragraph" w:customStyle="1" w:styleId="MDPI31text">
    <w:name w:val="MDPI_3.1_text"/>
    <w:link w:val="MDPI31textChar"/>
    <w:qFormat/>
    <w:rsid w:val="00D729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729B8"/>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D729B8"/>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729B8"/>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729B8"/>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729B8"/>
    <w:pPr>
      <w:numPr>
        <w:numId w:val="38"/>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729B8"/>
    <w:pPr>
      <w:numPr>
        <w:numId w:val="39"/>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729B8"/>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729B8"/>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729B8"/>
    <w:pPr>
      <w:adjustRightInd w:val="0"/>
      <w:snapToGrid w:val="0"/>
      <w:spacing w:before="240" w:after="120" w:line="228" w:lineRule="auto"/>
      <w:ind w:left="2608"/>
    </w:pPr>
    <w:rPr>
      <w:rFonts w:ascii="Palatino Linotype" w:eastAsia="Times New Roman" w:hAnsi="Palatino Linotype" w:cstheme="minorBidi"/>
      <w:color w:val="000000"/>
      <w:sz w:val="18"/>
      <w:szCs w:val="22"/>
      <w:lang w:eastAsia="de-DE" w:bidi="en-US"/>
    </w:rPr>
  </w:style>
  <w:style w:type="paragraph" w:customStyle="1" w:styleId="MDPI42tablebody">
    <w:name w:val="MDPI_4.2_table_body"/>
    <w:qFormat/>
    <w:rsid w:val="00D729B8"/>
    <w:pPr>
      <w:adjustRightInd w:val="0"/>
      <w:snapToGrid w:val="0"/>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729B8"/>
    <w:pPr>
      <w:adjustRightInd w:val="0"/>
      <w:snapToGrid w:val="0"/>
      <w:spacing w:after="240"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729B8"/>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729B8"/>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D729B8"/>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729B8"/>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D729B8"/>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729B8"/>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729B8"/>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D729B8"/>
    <w:pPr>
      <w:numPr>
        <w:numId w:val="41"/>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7713AF"/>
    <w:rPr>
      <w:rFonts w:cs="Tahoma"/>
      <w:szCs w:val="18"/>
    </w:rPr>
  </w:style>
  <w:style w:type="character" w:customStyle="1" w:styleId="BalloonTextChar">
    <w:name w:val="Balloon Text Char"/>
    <w:link w:val="BalloonText"/>
    <w:uiPriority w:val="99"/>
    <w:rsid w:val="007713AF"/>
    <w:rPr>
      <w:rFonts w:ascii="Palatino Linotype" w:hAnsi="Palatino Linotype" w:cs="Tahoma"/>
      <w:noProof/>
      <w:color w:val="000000"/>
      <w:szCs w:val="18"/>
    </w:rPr>
  </w:style>
  <w:style w:type="character" w:styleId="LineNumber">
    <w:name w:val="line number"/>
    <w:uiPriority w:val="99"/>
    <w:rsid w:val="007F69C3"/>
    <w:rPr>
      <w:rFonts w:ascii="Palatino Linotype" w:hAnsi="Palatino Linotype"/>
      <w:sz w:val="16"/>
    </w:rPr>
  </w:style>
  <w:style w:type="table" w:customStyle="1" w:styleId="MDPI41threelinetable">
    <w:name w:val="MDPI_4.1_three_line_table"/>
    <w:basedOn w:val="TableNormal"/>
    <w:uiPriority w:val="99"/>
    <w:rsid w:val="00D729B8"/>
    <w:pPr>
      <w:adjustRightInd w:val="0"/>
      <w:snapToGrid w:val="0"/>
      <w:jc w:val="center"/>
    </w:pPr>
    <w:rPr>
      <w:rFonts w:ascii="Palatino Linotype" w:eastAsiaTheme="minorEastAsia"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7713AF"/>
    <w:rPr>
      <w:color w:val="0000FF"/>
      <w:u w:val="single"/>
    </w:rPr>
  </w:style>
  <w:style w:type="character" w:styleId="UnresolvedMention">
    <w:name w:val="Unresolved Mention"/>
    <w:uiPriority w:val="99"/>
    <w:semiHidden/>
    <w:unhideWhenUsed/>
    <w:rsid w:val="002C3620"/>
    <w:rPr>
      <w:color w:val="605E5C"/>
      <w:shd w:val="clear" w:color="auto" w:fill="E1DFDD"/>
    </w:rPr>
  </w:style>
  <w:style w:type="paragraph" w:styleId="Footer">
    <w:name w:val="footer"/>
    <w:basedOn w:val="Normal"/>
    <w:link w:val="FooterChar"/>
    <w:uiPriority w:val="99"/>
    <w:rsid w:val="007713A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7713AF"/>
    <w:rPr>
      <w:rFonts w:ascii="Palatino Linotype" w:hAnsi="Palatino Linotype"/>
      <w:noProof/>
      <w:color w:val="000000"/>
      <w:szCs w:val="18"/>
    </w:rPr>
  </w:style>
  <w:style w:type="table" w:styleId="PlainTable4">
    <w:name w:val="Plain Table 4"/>
    <w:basedOn w:val="TableNormal"/>
    <w:uiPriority w:val="44"/>
    <w:rsid w:val="008A3AB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D729B8"/>
    <w:pPr>
      <w:adjustRightInd w:val="0"/>
      <w:snapToGrid w:val="0"/>
      <w:spacing w:line="240" w:lineRule="atLeast"/>
      <w:ind w:right="113"/>
    </w:pPr>
    <w:rPr>
      <w:rFonts w:ascii="Palatino Linotype" w:eastAsiaTheme="minorEastAsia" w:hAnsi="Palatino Linotype" w:cstheme="minorBidi"/>
      <w:sz w:val="14"/>
      <w:szCs w:val="22"/>
    </w:rPr>
  </w:style>
  <w:style w:type="paragraph" w:customStyle="1" w:styleId="MDPI62BackMatter">
    <w:name w:val="MDPI_6.2_BackMatter"/>
    <w:qFormat/>
    <w:rsid w:val="00D729B8"/>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729B8"/>
    <w:pPr>
      <w:adjustRightInd w:val="0"/>
      <w:snapToGrid w:val="0"/>
      <w:spacing w:after="120" w:line="240" w:lineRule="atLeast"/>
      <w:ind w:right="113"/>
    </w:pPr>
    <w:rPr>
      <w:rFonts w:ascii="Palatino Linotype" w:hAnsi="Palatino Linotype"/>
      <w:snapToGrid w:val="0"/>
      <w:color w:val="000000" w:themeColor="text1"/>
      <w:sz w:val="14"/>
      <w:lang w:eastAsia="en-US" w:bidi="en-US"/>
    </w:rPr>
  </w:style>
  <w:style w:type="paragraph" w:customStyle="1" w:styleId="MDPI15academiceditor">
    <w:name w:val="MDPI_1.5_academic_editor"/>
    <w:qFormat/>
    <w:rsid w:val="00D729B8"/>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729B8"/>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729B8"/>
    <w:pPr>
      <w:adjustRightInd w:val="0"/>
      <w:snapToGrid w:val="0"/>
      <w:spacing w:before="240" w:after="120" w:line="260" w:lineRule="atLeast"/>
      <w:jc w:val="center"/>
    </w:pPr>
    <w:rPr>
      <w:rFonts w:ascii="Palatino Linotype" w:eastAsiaTheme="minorEastAsia" w:hAnsi="Palatino Linotype" w:cstheme="minorBidi"/>
      <w:noProof/>
      <w:color w:val="000000"/>
      <w:sz w:val="18"/>
      <w:szCs w:val="22"/>
      <w:lang w:bidi="en-US"/>
    </w:rPr>
  </w:style>
  <w:style w:type="paragraph" w:customStyle="1" w:styleId="MDPI511onefigurecaption">
    <w:name w:val="MDPI_5.1.1_one_figure_caption"/>
    <w:qFormat/>
    <w:rsid w:val="00D729B8"/>
    <w:pPr>
      <w:adjustRightInd w:val="0"/>
      <w:snapToGrid w:val="0"/>
      <w:spacing w:before="240" w:after="120" w:line="260" w:lineRule="atLeast"/>
      <w:jc w:val="center"/>
    </w:pPr>
    <w:rPr>
      <w:rFonts w:ascii="Palatino Linotype" w:eastAsiaTheme="minorEastAsia" w:hAnsi="Palatino Linotype"/>
      <w:noProof/>
      <w:color w:val="000000"/>
      <w:sz w:val="18"/>
      <w:lang w:bidi="en-US"/>
    </w:rPr>
  </w:style>
  <w:style w:type="paragraph" w:customStyle="1" w:styleId="MDPI72Copyright">
    <w:name w:val="MDPI_7.2_Copyright"/>
    <w:qFormat/>
    <w:rsid w:val="00D729B8"/>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D729B8"/>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729B8"/>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729B8"/>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D729B8"/>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D729B8"/>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729B8"/>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729B8"/>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729B8"/>
    <w:rPr>
      <w:rFonts w:ascii="Palatino Linotype" w:hAnsi="Palatino Linotype"/>
      <w:color w:val="000000" w:themeColor="text1"/>
      <w:lang w:val="en-CA" w:eastAsia="en-US"/>
    </w:rPr>
    <w:tblPr>
      <w:tblCellMar>
        <w:left w:w="0" w:type="dxa"/>
        <w:right w:w="0" w:type="dxa"/>
      </w:tblCellMar>
    </w:tblPr>
  </w:style>
  <w:style w:type="paragraph" w:customStyle="1" w:styleId="MDPItext">
    <w:name w:val="MDPI_text"/>
    <w:qFormat/>
    <w:rsid w:val="00D729B8"/>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729B8"/>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7713AF"/>
  </w:style>
  <w:style w:type="paragraph" w:styleId="Bibliography">
    <w:name w:val="Bibliography"/>
    <w:basedOn w:val="Normal"/>
    <w:next w:val="Normal"/>
    <w:uiPriority w:val="37"/>
    <w:semiHidden/>
    <w:unhideWhenUsed/>
    <w:rsid w:val="007713AF"/>
  </w:style>
  <w:style w:type="paragraph" w:styleId="BodyText">
    <w:name w:val="Body Text"/>
    <w:link w:val="BodyTextChar"/>
    <w:rsid w:val="007713A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7713AF"/>
    <w:rPr>
      <w:rFonts w:ascii="Palatino Linotype" w:hAnsi="Palatino Linotype"/>
      <w:color w:val="000000"/>
      <w:sz w:val="24"/>
      <w:lang w:eastAsia="de-DE"/>
    </w:rPr>
  </w:style>
  <w:style w:type="character" w:styleId="CommentReference">
    <w:name w:val="annotation reference"/>
    <w:rsid w:val="007713AF"/>
    <w:rPr>
      <w:sz w:val="21"/>
      <w:szCs w:val="21"/>
    </w:rPr>
  </w:style>
  <w:style w:type="paragraph" w:styleId="CommentText">
    <w:name w:val="annotation text"/>
    <w:basedOn w:val="Normal"/>
    <w:link w:val="CommentTextChar"/>
    <w:rsid w:val="007713AF"/>
  </w:style>
  <w:style w:type="character" w:customStyle="1" w:styleId="CommentTextChar">
    <w:name w:val="Comment Text Char"/>
    <w:link w:val="CommentText"/>
    <w:rsid w:val="007713AF"/>
    <w:rPr>
      <w:rFonts w:ascii="Palatino Linotype" w:hAnsi="Palatino Linotype"/>
      <w:noProof/>
      <w:color w:val="000000"/>
    </w:rPr>
  </w:style>
  <w:style w:type="paragraph" w:styleId="CommentSubject">
    <w:name w:val="annotation subject"/>
    <w:basedOn w:val="CommentText"/>
    <w:next w:val="CommentText"/>
    <w:link w:val="CommentSubjectChar"/>
    <w:rsid w:val="007713AF"/>
    <w:rPr>
      <w:b/>
      <w:bCs/>
    </w:rPr>
  </w:style>
  <w:style w:type="character" w:customStyle="1" w:styleId="CommentSubjectChar">
    <w:name w:val="Comment Subject Char"/>
    <w:link w:val="CommentSubject"/>
    <w:rsid w:val="007713AF"/>
    <w:rPr>
      <w:rFonts w:ascii="Palatino Linotype" w:hAnsi="Palatino Linotype"/>
      <w:b/>
      <w:bCs/>
      <w:noProof/>
      <w:color w:val="000000"/>
    </w:rPr>
  </w:style>
  <w:style w:type="character" w:styleId="EndnoteReference">
    <w:name w:val="endnote reference"/>
    <w:rsid w:val="007713AF"/>
    <w:rPr>
      <w:vertAlign w:val="superscript"/>
    </w:rPr>
  </w:style>
  <w:style w:type="paragraph" w:styleId="EndnoteText">
    <w:name w:val="endnote text"/>
    <w:basedOn w:val="Normal"/>
    <w:link w:val="EndnoteTextChar"/>
    <w:semiHidden/>
    <w:unhideWhenUsed/>
    <w:rsid w:val="007713AF"/>
    <w:pPr>
      <w:spacing w:line="240" w:lineRule="auto"/>
    </w:pPr>
  </w:style>
  <w:style w:type="character" w:customStyle="1" w:styleId="EndnoteTextChar">
    <w:name w:val="Endnote Text Char"/>
    <w:link w:val="EndnoteText"/>
    <w:semiHidden/>
    <w:rsid w:val="007713AF"/>
    <w:rPr>
      <w:rFonts w:ascii="Palatino Linotype" w:hAnsi="Palatino Linotype"/>
      <w:noProof/>
      <w:color w:val="000000"/>
    </w:rPr>
  </w:style>
  <w:style w:type="character" w:styleId="FollowedHyperlink">
    <w:name w:val="FollowedHyperlink"/>
    <w:rsid w:val="007713AF"/>
    <w:rPr>
      <w:color w:val="954F72"/>
      <w:u w:val="single"/>
    </w:rPr>
  </w:style>
  <w:style w:type="paragraph" w:styleId="FootnoteText">
    <w:name w:val="footnote text"/>
    <w:basedOn w:val="Normal"/>
    <w:link w:val="FootnoteTextChar"/>
    <w:semiHidden/>
    <w:unhideWhenUsed/>
    <w:rsid w:val="007713AF"/>
    <w:pPr>
      <w:spacing w:line="240" w:lineRule="auto"/>
    </w:pPr>
  </w:style>
  <w:style w:type="character" w:customStyle="1" w:styleId="FootnoteTextChar">
    <w:name w:val="Footnote Text Char"/>
    <w:link w:val="FootnoteText"/>
    <w:semiHidden/>
    <w:rsid w:val="007713AF"/>
    <w:rPr>
      <w:rFonts w:ascii="Palatino Linotype" w:hAnsi="Palatino Linotype"/>
      <w:noProof/>
      <w:color w:val="000000"/>
    </w:rPr>
  </w:style>
  <w:style w:type="paragraph" w:styleId="NormalWeb">
    <w:name w:val="Normal (Web)"/>
    <w:basedOn w:val="Normal"/>
    <w:uiPriority w:val="99"/>
    <w:rsid w:val="007713AF"/>
    <w:rPr>
      <w:szCs w:val="24"/>
    </w:rPr>
  </w:style>
  <w:style w:type="paragraph" w:customStyle="1" w:styleId="MsoFootnoteText0">
    <w:name w:val="MsoFootnoteText"/>
    <w:basedOn w:val="NormalWeb"/>
    <w:qFormat/>
    <w:rsid w:val="007713AF"/>
    <w:rPr>
      <w:rFonts w:ascii="Times New Roman" w:hAnsi="Times New Roman"/>
    </w:rPr>
  </w:style>
  <w:style w:type="character" w:styleId="PageNumber">
    <w:name w:val="page number"/>
    <w:rsid w:val="007713AF"/>
  </w:style>
  <w:style w:type="character" w:styleId="PlaceholderText">
    <w:name w:val="Placeholder Text"/>
    <w:uiPriority w:val="99"/>
    <w:semiHidden/>
    <w:rsid w:val="007713AF"/>
    <w:rPr>
      <w:color w:val="808080"/>
    </w:rPr>
  </w:style>
  <w:style w:type="paragraph" w:customStyle="1" w:styleId="MDPI71FootNotes">
    <w:name w:val="MDPI_7.1_FootNotes"/>
    <w:qFormat/>
    <w:rsid w:val="0025009E"/>
    <w:pPr>
      <w:numPr>
        <w:numId w:val="21"/>
      </w:numPr>
      <w:adjustRightInd w:val="0"/>
      <w:snapToGrid w:val="0"/>
      <w:spacing w:line="228" w:lineRule="auto"/>
    </w:pPr>
    <w:rPr>
      <w:rFonts w:ascii="Palatino Linotype" w:eastAsiaTheme="minorEastAsia" w:hAnsi="Palatino Linotype"/>
      <w:noProof/>
      <w:color w:val="000000"/>
      <w:sz w:val="18"/>
    </w:rPr>
  </w:style>
  <w:style w:type="character" w:styleId="Strong">
    <w:name w:val="Strong"/>
    <w:basedOn w:val="DefaultParagraphFont"/>
    <w:uiPriority w:val="22"/>
    <w:qFormat/>
    <w:rsid w:val="00C825BA"/>
    <w:rPr>
      <w:b/>
      <w:bCs/>
    </w:rPr>
  </w:style>
  <w:style w:type="paragraph" w:customStyle="1" w:styleId="EndNoteBibliography">
    <w:name w:val="EndNote Bibliography"/>
    <w:basedOn w:val="Normal"/>
    <w:link w:val="EndNoteBibliographyChar"/>
    <w:rsid w:val="00821332"/>
    <w:pPr>
      <w:spacing w:after="160" w:line="240" w:lineRule="auto"/>
      <w:jc w:val="left"/>
    </w:pPr>
    <w:rPr>
      <w:rFonts w:ascii="Calibri" w:eastAsiaTheme="minorHAnsi" w:hAnsi="Calibri" w:cs="Calibri"/>
      <w:color w:val="auto"/>
      <w:sz w:val="22"/>
      <w:szCs w:val="22"/>
      <w:lang w:eastAsia="en-US"/>
    </w:rPr>
  </w:style>
  <w:style w:type="character" w:customStyle="1" w:styleId="EndNoteBibliographyChar">
    <w:name w:val="EndNote Bibliography Char"/>
    <w:basedOn w:val="DefaultParagraphFont"/>
    <w:link w:val="EndNoteBibliography"/>
    <w:rsid w:val="00821332"/>
    <w:rPr>
      <w:rFonts w:eastAsiaTheme="minorHAnsi" w:cs="Calibri"/>
      <w:noProof/>
      <w:sz w:val="22"/>
      <w:szCs w:val="22"/>
      <w:lang w:eastAsia="en-US"/>
    </w:rPr>
  </w:style>
  <w:style w:type="paragraph" w:customStyle="1" w:styleId="MDPI61Supplementary">
    <w:name w:val="MDPI_6.1_Supplementary"/>
    <w:basedOn w:val="MDPI62Acknowledgments"/>
    <w:qFormat/>
    <w:rsid w:val="00D729B8"/>
    <w:pPr>
      <w:spacing w:before="240"/>
    </w:pPr>
    <w:rPr>
      <w:lang w:eastAsia="en-US"/>
    </w:rPr>
  </w:style>
  <w:style w:type="paragraph" w:customStyle="1" w:styleId="MDPI62Acknowledgments">
    <w:name w:val="MDPI_6.2_Acknowledgments"/>
    <w:qFormat/>
    <w:rsid w:val="00D729B8"/>
    <w:pPr>
      <w:adjustRightInd w:val="0"/>
      <w:snapToGrid w:val="0"/>
      <w:spacing w:before="120" w:line="200" w:lineRule="atLeast"/>
      <w:jc w:val="both"/>
    </w:pPr>
    <w:rPr>
      <w:rFonts w:ascii="Palatino Linotype" w:eastAsia="Times New Roman" w:hAnsi="Palatino Linotype"/>
      <w:snapToGrid w:val="0"/>
      <w:color w:val="000000"/>
      <w:sz w:val="18"/>
      <w:lang w:eastAsia="de-DE" w:bidi="en-US"/>
    </w:rPr>
  </w:style>
  <w:style w:type="paragraph" w:customStyle="1" w:styleId="MDPI63AuthorContributions">
    <w:name w:val="MDPI_6.3_AuthorContributions"/>
    <w:basedOn w:val="MDPI62Acknowledgments"/>
    <w:qFormat/>
    <w:rsid w:val="00D729B8"/>
    <w:rPr>
      <w:rFonts w:eastAsia="SimSun"/>
      <w:color w:val="auto"/>
      <w:lang w:eastAsia="en-US"/>
    </w:rPr>
  </w:style>
  <w:style w:type="paragraph" w:customStyle="1" w:styleId="MDPI64CoI">
    <w:name w:val="MDPI_6.4_CoI"/>
    <w:basedOn w:val="MDPI62Acknowledgments"/>
    <w:qFormat/>
    <w:rsid w:val="00D729B8"/>
  </w:style>
  <w:style w:type="paragraph" w:customStyle="1" w:styleId="MDPI74PublishersNote">
    <w:name w:val="MDPI_7.4_Publisher'sNote"/>
    <w:qFormat/>
    <w:rsid w:val="00D729B8"/>
    <w:pPr>
      <w:adjustRightInd w:val="0"/>
      <w:snapToGrid w:val="0"/>
      <w:spacing w:before="240" w:after="240" w:line="200" w:lineRule="atLeast"/>
    </w:pPr>
    <w:rPr>
      <w:rFonts w:ascii="Palatino Linotype" w:hAnsi="Palatino Linotype"/>
      <w:sz w:val="18"/>
      <w:szCs w:val="22"/>
    </w:rPr>
  </w:style>
  <w:style w:type="paragraph" w:customStyle="1" w:styleId="Default">
    <w:name w:val="Default"/>
    <w:rsid w:val="00F07D2A"/>
    <w:pPr>
      <w:autoSpaceDE w:val="0"/>
      <w:autoSpaceDN w:val="0"/>
      <w:adjustRightInd w:val="0"/>
    </w:pPr>
    <w:rPr>
      <w:rFonts w:cs="Calibri"/>
      <w:color w:val="000000"/>
      <w:sz w:val="24"/>
      <w:szCs w:val="24"/>
    </w:rPr>
  </w:style>
  <w:style w:type="paragraph" w:customStyle="1" w:styleId="EndNoteBibliographyTitle">
    <w:name w:val="EndNote Bibliography Title"/>
    <w:basedOn w:val="Normal"/>
    <w:link w:val="EndNoteBibliographyTitleChar"/>
    <w:rsid w:val="0087153D"/>
    <w:pPr>
      <w:jc w:val="center"/>
    </w:pPr>
    <w:rPr>
      <w:rFonts w:ascii="Calibri" w:hAnsi="Calibri" w:cs="Calibri"/>
      <w:sz w:val="22"/>
    </w:rPr>
  </w:style>
  <w:style w:type="character" w:customStyle="1" w:styleId="MDPI31textChar">
    <w:name w:val="MDPI_3.1_text Char"/>
    <w:basedOn w:val="DefaultParagraphFont"/>
    <w:link w:val="MDPI31text"/>
    <w:rsid w:val="0087153D"/>
    <w:rPr>
      <w:rFonts w:ascii="Palatino Linotype" w:eastAsia="Times New Roman" w:hAnsi="Palatino Linotype"/>
      <w:snapToGrid w:val="0"/>
      <w:color w:val="000000"/>
      <w:szCs w:val="22"/>
      <w:lang w:eastAsia="de-DE" w:bidi="en-US"/>
    </w:rPr>
  </w:style>
  <w:style w:type="character" w:customStyle="1" w:styleId="EndNoteBibliographyTitleChar">
    <w:name w:val="EndNote Bibliography Title Char"/>
    <w:basedOn w:val="MDPI31textChar"/>
    <w:link w:val="EndNoteBibliographyTitle"/>
    <w:rsid w:val="0087153D"/>
    <w:rPr>
      <w:rFonts w:ascii="Palatino Linotype" w:eastAsia="Times New Roman" w:hAnsi="Palatino Linotype" w:cs="Calibri"/>
      <w:noProof/>
      <w:snapToGrid/>
      <w:color w:val="000000"/>
      <w:sz w:val="22"/>
      <w:szCs w:val="22"/>
      <w:lang w:eastAsia="de-DE" w:bidi="en-US"/>
    </w:rPr>
  </w:style>
  <w:style w:type="character" w:customStyle="1" w:styleId="Heading1Char">
    <w:name w:val="Heading 1 Char"/>
    <w:basedOn w:val="DefaultParagraphFont"/>
    <w:link w:val="Heading1"/>
    <w:uiPriority w:val="9"/>
    <w:rsid w:val="007C50F8"/>
    <w:rPr>
      <w:rFonts w:ascii="Times New Roman" w:eastAsia="Times New Roman" w:hAnsi="Times New Roman"/>
      <w:b/>
      <w:bCs/>
      <w:kern w:val="36"/>
      <w:sz w:val="48"/>
      <w:szCs w:val="48"/>
      <w:lang w:val="en-GB" w:eastAsia="en-GB"/>
    </w:rPr>
  </w:style>
  <w:style w:type="character" w:customStyle="1" w:styleId="cit">
    <w:name w:val="cit"/>
    <w:basedOn w:val="DefaultParagraphFont"/>
    <w:rsid w:val="007C50F8"/>
  </w:style>
  <w:style w:type="character" w:customStyle="1" w:styleId="citation-doi">
    <w:name w:val="citation-doi"/>
    <w:basedOn w:val="DefaultParagraphFont"/>
    <w:rsid w:val="007C50F8"/>
  </w:style>
  <w:style w:type="character" w:customStyle="1" w:styleId="Heading2Char">
    <w:name w:val="Heading 2 Char"/>
    <w:basedOn w:val="DefaultParagraphFont"/>
    <w:link w:val="Heading2"/>
    <w:uiPriority w:val="9"/>
    <w:semiHidden/>
    <w:rsid w:val="0094113E"/>
    <w:rPr>
      <w:rFonts w:asciiTheme="majorHAnsi" w:eastAsiaTheme="majorEastAsia" w:hAnsiTheme="majorHAnsi" w:cstheme="majorBidi"/>
      <w:noProof/>
      <w:color w:val="2F5496" w:themeColor="accent1" w:themeShade="BF"/>
      <w:sz w:val="26"/>
      <w:szCs w:val="26"/>
    </w:rPr>
  </w:style>
  <w:style w:type="character" w:customStyle="1" w:styleId="metadata--author">
    <w:name w:val="metadata--author"/>
    <w:basedOn w:val="DefaultParagraphFont"/>
    <w:rsid w:val="0094113E"/>
  </w:style>
  <w:style w:type="character" w:customStyle="1" w:styleId="metadata--author-name">
    <w:name w:val="metadata--author-name"/>
    <w:basedOn w:val="DefaultParagraphFont"/>
    <w:rsid w:val="0094113E"/>
  </w:style>
  <w:style w:type="character" w:customStyle="1" w:styleId="action">
    <w:name w:val="action"/>
    <w:basedOn w:val="DefaultParagraphFont"/>
    <w:rsid w:val="0094113E"/>
  </w:style>
  <w:style w:type="paragraph" w:customStyle="1" w:styleId="metadata--citation">
    <w:name w:val="metadata--citation"/>
    <w:basedOn w:val="Normal"/>
    <w:rsid w:val="0094113E"/>
    <w:pPr>
      <w:spacing w:before="100" w:beforeAutospacing="1" w:after="100" w:afterAutospacing="1" w:line="240" w:lineRule="auto"/>
      <w:jc w:val="left"/>
    </w:pPr>
    <w:rPr>
      <w:rFonts w:ascii="Times New Roman" w:eastAsia="Times New Roman" w:hAnsi="Times New Roman"/>
      <w:color w:val="auto"/>
      <w:sz w:val="24"/>
      <w:szCs w:val="24"/>
      <w:lang w:val="en-GB" w:eastAsia="en-GB"/>
    </w:rPr>
  </w:style>
  <w:style w:type="character" w:customStyle="1" w:styleId="metadata--source-title">
    <w:name w:val="metadata--source-title"/>
    <w:basedOn w:val="DefaultParagraphFont"/>
    <w:rsid w:val="0094113E"/>
  </w:style>
  <w:style w:type="character" w:styleId="Emphasis">
    <w:name w:val="Emphasis"/>
    <w:basedOn w:val="DefaultParagraphFont"/>
    <w:uiPriority w:val="20"/>
    <w:qFormat/>
    <w:rsid w:val="0094113E"/>
    <w:rPr>
      <w:i/>
      <w:iCs/>
    </w:rPr>
  </w:style>
  <w:style w:type="paragraph" w:styleId="ListParagraph">
    <w:name w:val="List Paragraph"/>
    <w:basedOn w:val="Normal"/>
    <w:uiPriority w:val="34"/>
    <w:qFormat/>
    <w:rsid w:val="00DC5653"/>
    <w:pPr>
      <w:ind w:left="720"/>
      <w:contextualSpacing/>
    </w:pPr>
  </w:style>
  <w:style w:type="paragraph" w:styleId="Revision">
    <w:name w:val="Revision"/>
    <w:hidden/>
    <w:uiPriority w:val="99"/>
    <w:semiHidden/>
    <w:rsid w:val="00A92C29"/>
    <w:rPr>
      <w:rFonts w:ascii="Palatino Linotype" w:hAnsi="Palatino Linotyp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28443">
      <w:bodyDiv w:val="1"/>
      <w:marLeft w:val="0"/>
      <w:marRight w:val="0"/>
      <w:marTop w:val="0"/>
      <w:marBottom w:val="0"/>
      <w:divBdr>
        <w:top w:val="none" w:sz="0" w:space="0" w:color="auto"/>
        <w:left w:val="none" w:sz="0" w:space="0" w:color="auto"/>
        <w:bottom w:val="none" w:sz="0" w:space="0" w:color="auto"/>
        <w:right w:val="none" w:sz="0" w:space="0" w:color="auto"/>
      </w:divBdr>
    </w:div>
    <w:div w:id="296109120">
      <w:bodyDiv w:val="1"/>
      <w:marLeft w:val="0"/>
      <w:marRight w:val="0"/>
      <w:marTop w:val="0"/>
      <w:marBottom w:val="0"/>
      <w:divBdr>
        <w:top w:val="none" w:sz="0" w:space="0" w:color="auto"/>
        <w:left w:val="none" w:sz="0" w:space="0" w:color="auto"/>
        <w:bottom w:val="none" w:sz="0" w:space="0" w:color="auto"/>
        <w:right w:val="none" w:sz="0" w:space="0" w:color="auto"/>
      </w:divBdr>
      <w:divsChild>
        <w:div w:id="324937451">
          <w:marLeft w:val="0"/>
          <w:marRight w:val="0"/>
          <w:marTop w:val="0"/>
          <w:marBottom w:val="0"/>
          <w:divBdr>
            <w:top w:val="none" w:sz="0" w:space="0" w:color="auto"/>
            <w:left w:val="none" w:sz="0" w:space="0" w:color="auto"/>
            <w:bottom w:val="none" w:sz="0" w:space="0" w:color="auto"/>
            <w:right w:val="none" w:sz="0" w:space="0" w:color="auto"/>
          </w:divBdr>
          <w:divsChild>
            <w:div w:id="1852866116">
              <w:marLeft w:val="0"/>
              <w:marRight w:val="0"/>
              <w:marTop w:val="0"/>
              <w:marBottom w:val="0"/>
              <w:divBdr>
                <w:top w:val="none" w:sz="0" w:space="0" w:color="auto"/>
                <w:left w:val="none" w:sz="0" w:space="0" w:color="auto"/>
                <w:bottom w:val="none" w:sz="0" w:space="0" w:color="auto"/>
                <w:right w:val="none" w:sz="0" w:space="0" w:color="auto"/>
              </w:divBdr>
              <w:divsChild>
                <w:div w:id="731732721">
                  <w:marLeft w:val="0"/>
                  <w:marRight w:val="0"/>
                  <w:marTop w:val="0"/>
                  <w:marBottom w:val="0"/>
                  <w:divBdr>
                    <w:top w:val="none" w:sz="0" w:space="0" w:color="auto"/>
                    <w:left w:val="none" w:sz="0" w:space="0" w:color="auto"/>
                    <w:bottom w:val="none" w:sz="0" w:space="0" w:color="auto"/>
                    <w:right w:val="none" w:sz="0" w:space="0" w:color="auto"/>
                  </w:divBdr>
                  <w:divsChild>
                    <w:div w:id="5230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79084">
      <w:bodyDiv w:val="1"/>
      <w:marLeft w:val="0"/>
      <w:marRight w:val="0"/>
      <w:marTop w:val="0"/>
      <w:marBottom w:val="0"/>
      <w:divBdr>
        <w:top w:val="none" w:sz="0" w:space="0" w:color="auto"/>
        <w:left w:val="none" w:sz="0" w:space="0" w:color="auto"/>
        <w:bottom w:val="none" w:sz="0" w:space="0" w:color="auto"/>
        <w:right w:val="none" w:sz="0" w:space="0" w:color="auto"/>
      </w:divBdr>
    </w:div>
    <w:div w:id="660501847">
      <w:bodyDiv w:val="1"/>
      <w:marLeft w:val="0"/>
      <w:marRight w:val="0"/>
      <w:marTop w:val="0"/>
      <w:marBottom w:val="0"/>
      <w:divBdr>
        <w:top w:val="none" w:sz="0" w:space="0" w:color="auto"/>
        <w:left w:val="none" w:sz="0" w:space="0" w:color="auto"/>
        <w:bottom w:val="none" w:sz="0" w:space="0" w:color="auto"/>
        <w:right w:val="none" w:sz="0" w:space="0" w:color="auto"/>
      </w:divBdr>
      <w:divsChild>
        <w:div w:id="1721126371">
          <w:marLeft w:val="0"/>
          <w:marRight w:val="0"/>
          <w:marTop w:val="0"/>
          <w:marBottom w:val="0"/>
          <w:divBdr>
            <w:top w:val="none" w:sz="0" w:space="0" w:color="auto"/>
            <w:left w:val="none" w:sz="0" w:space="0" w:color="auto"/>
            <w:bottom w:val="none" w:sz="0" w:space="0" w:color="auto"/>
            <w:right w:val="none" w:sz="0" w:space="0" w:color="auto"/>
          </w:divBdr>
        </w:div>
      </w:divsChild>
    </w:div>
    <w:div w:id="787552278">
      <w:bodyDiv w:val="1"/>
      <w:marLeft w:val="0"/>
      <w:marRight w:val="0"/>
      <w:marTop w:val="0"/>
      <w:marBottom w:val="0"/>
      <w:divBdr>
        <w:top w:val="none" w:sz="0" w:space="0" w:color="auto"/>
        <w:left w:val="none" w:sz="0" w:space="0" w:color="auto"/>
        <w:bottom w:val="none" w:sz="0" w:space="0" w:color="auto"/>
        <w:right w:val="none" w:sz="0" w:space="0" w:color="auto"/>
      </w:divBdr>
      <w:divsChild>
        <w:div w:id="1214930928">
          <w:marLeft w:val="0"/>
          <w:marRight w:val="0"/>
          <w:marTop w:val="300"/>
          <w:marBottom w:val="0"/>
          <w:divBdr>
            <w:top w:val="none" w:sz="0" w:space="0" w:color="auto"/>
            <w:left w:val="none" w:sz="0" w:space="0" w:color="auto"/>
            <w:bottom w:val="none" w:sz="0" w:space="0" w:color="auto"/>
            <w:right w:val="none" w:sz="0" w:space="0" w:color="auto"/>
          </w:divBdr>
          <w:divsChild>
            <w:div w:id="416171252">
              <w:marLeft w:val="0"/>
              <w:marRight w:val="0"/>
              <w:marTop w:val="0"/>
              <w:marBottom w:val="0"/>
              <w:divBdr>
                <w:top w:val="none" w:sz="0" w:space="0" w:color="auto"/>
                <w:left w:val="none" w:sz="0" w:space="0" w:color="auto"/>
                <w:bottom w:val="none" w:sz="0" w:space="0" w:color="auto"/>
                <w:right w:val="none" w:sz="0" w:space="0" w:color="auto"/>
              </w:divBdr>
            </w:div>
            <w:div w:id="656614352">
              <w:marLeft w:val="0"/>
              <w:marRight w:val="0"/>
              <w:marTop w:val="0"/>
              <w:marBottom w:val="0"/>
              <w:divBdr>
                <w:top w:val="none" w:sz="0" w:space="0" w:color="auto"/>
                <w:left w:val="none" w:sz="0" w:space="0" w:color="auto"/>
                <w:bottom w:val="none" w:sz="0" w:space="0" w:color="auto"/>
                <w:right w:val="none" w:sz="0" w:space="0" w:color="auto"/>
              </w:divBdr>
            </w:div>
            <w:div w:id="846791951">
              <w:marLeft w:val="0"/>
              <w:marRight w:val="0"/>
              <w:marTop w:val="0"/>
              <w:marBottom w:val="0"/>
              <w:divBdr>
                <w:top w:val="none" w:sz="0" w:space="0" w:color="auto"/>
                <w:left w:val="none" w:sz="0" w:space="0" w:color="auto"/>
                <w:bottom w:val="none" w:sz="0" w:space="0" w:color="auto"/>
                <w:right w:val="none" w:sz="0" w:space="0" w:color="auto"/>
              </w:divBdr>
            </w:div>
            <w:div w:id="1359938421">
              <w:marLeft w:val="0"/>
              <w:marRight w:val="0"/>
              <w:marTop w:val="0"/>
              <w:marBottom w:val="0"/>
              <w:divBdr>
                <w:top w:val="none" w:sz="0" w:space="0" w:color="auto"/>
                <w:left w:val="none" w:sz="0" w:space="0" w:color="auto"/>
                <w:bottom w:val="none" w:sz="0" w:space="0" w:color="auto"/>
                <w:right w:val="none" w:sz="0" w:space="0" w:color="auto"/>
              </w:divBdr>
            </w:div>
            <w:div w:id="2035836210">
              <w:marLeft w:val="0"/>
              <w:marRight w:val="0"/>
              <w:marTop w:val="0"/>
              <w:marBottom w:val="0"/>
              <w:divBdr>
                <w:top w:val="none" w:sz="0" w:space="0" w:color="auto"/>
                <w:left w:val="none" w:sz="0" w:space="0" w:color="auto"/>
                <w:bottom w:val="none" w:sz="0" w:space="0" w:color="auto"/>
                <w:right w:val="none" w:sz="0" w:space="0" w:color="auto"/>
              </w:divBdr>
            </w:div>
            <w:div w:id="21185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202029">
      <w:bodyDiv w:val="1"/>
      <w:marLeft w:val="0"/>
      <w:marRight w:val="0"/>
      <w:marTop w:val="0"/>
      <w:marBottom w:val="0"/>
      <w:divBdr>
        <w:top w:val="none" w:sz="0" w:space="0" w:color="auto"/>
        <w:left w:val="none" w:sz="0" w:space="0" w:color="auto"/>
        <w:bottom w:val="none" w:sz="0" w:space="0" w:color="auto"/>
        <w:right w:val="none" w:sz="0" w:space="0" w:color="auto"/>
      </w:divBdr>
    </w:div>
    <w:div w:id="1152023881">
      <w:bodyDiv w:val="1"/>
      <w:marLeft w:val="0"/>
      <w:marRight w:val="0"/>
      <w:marTop w:val="0"/>
      <w:marBottom w:val="0"/>
      <w:divBdr>
        <w:top w:val="none" w:sz="0" w:space="0" w:color="auto"/>
        <w:left w:val="none" w:sz="0" w:space="0" w:color="auto"/>
        <w:bottom w:val="none" w:sz="0" w:space="0" w:color="auto"/>
        <w:right w:val="none" w:sz="0" w:space="0" w:color="auto"/>
      </w:divBdr>
      <w:divsChild>
        <w:div w:id="1123620931">
          <w:marLeft w:val="0"/>
          <w:marRight w:val="0"/>
          <w:marTop w:val="0"/>
          <w:marBottom w:val="0"/>
          <w:divBdr>
            <w:top w:val="none" w:sz="0" w:space="0" w:color="auto"/>
            <w:left w:val="none" w:sz="0" w:space="0" w:color="auto"/>
            <w:bottom w:val="none" w:sz="0" w:space="0" w:color="auto"/>
            <w:right w:val="none" w:sz="0" w:space="0" w:color="auto"/>
          </w:divBdr>
          <w:divsChild>
            <w:div w:id="1759210809">
              <w:marLeft w:val="0"/>
              <w:marRight w:val="0"/>
              <w:marTop w:val="0"/>
              <w:marBottom w:val="0"/>
              <w:divBdr>
                <w:top w:val="none" w:sz="0" w:space="0" w:color="auto"/>
                <w:left w:val="none" w:sz="0" w:space="0" w:color="auto"/>
                <w:bottom w:val="none" w:sz="0" w:space="0" w:color="auto"/>
                <w:right w:val="none" w:sz="0" w:space="0" w:color="auto"/>
              </w:divBdr>
              <w:divsChild>
                <w:div w:id="543758997">
                  <w:marLeft w:val="0"/>
                  <w:marRight w:val="0"/>
                  <w:marTop w:val="0"/>
                  <w:marBottom w:val="0"/>
                  <w:divBdr>
                    <w:top w:val="none" w:sz="0" w:space="0" w:color="auto"/>
                    <w:left w:val="none" w:sz="0" w:space="0" w:color="auto"/>
                    <w:bottom w:val="none" w:sz="0" w:space="0" w:color="auto"/>
                    <w:right w:val="none" w:sz="0" w:space="0" w:color="auto"/>
                  </w:divBdr>
                  <w:divsChild>
                    <w:div w:id="171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70642">
      <w:bodyDiv w:val="1"/>
      <w:marLeft w:val="0"/>
      <w:marRight w:val="0"/>
      <w:marTop w:val="0"/>
      <w:marBottom w:val="0"/>
      <w:divBdr>
        <w:top w:val="none" w:sz="0" w:space="0" w:color="auto"/>
        <w:left w:val="none" w:sz="0" w:space="0" w:color="auto"/>
        <w:bottom w:val="none" w:sz="0" w:space="0" w:color="auto"/>
        <w:right w:val="none" w:sz="0" w:space="0" w:color="auto"/>
      </w:divBdr>
    </w:div>
    <w:div w:id="2124226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ncbi.nlm.nih.gov/pmc/articles/PMC5238961/"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mdpi.com/xxx/s1"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D843F-74FB-4206-A49E-C937A016A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4692</Words>
  <Characters>26746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Article_x000d_Anti-tuberculosis activity of three carbapenems</vt:lpstr>
    </vt:vector>
  </TitlesOfParts>
  <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Article_x000d_Anti-tuberculosis activity of three carbapenems</dc:title>
  <dc:subject/>
  <dc:creator>MDPI</dc:creator>
  <cp:keywords/>
  <dc:description/>
  <cp:lastModifiedBy>Paul Elkington</cp:lastModifiedBy>
  <cp:revision>4</cp:revision>
  <cp:lastPrinted>2022-09-18T03:43:00Z</cp:lastPrinted>
  <dcterms:created xsi:type="dcterms:W3CDTF">2022-09-19T15:04:00Z</dcterms:created>
  <dcterms:modified xsi:type="dcterms:W3CDTF">2022-09-19T15:21:00Z</dcterms:modified>
</cp:coreProperties>
</file>