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FF9A1" w14:textId="462B3451" w:rsidR="00955DD7" w:rsidRPr="00764223" w:rsidRDefault="00955DD7">
      <w:pPr>
        <w:rPr>
          <w:rFonts w:ascii="Calibri" w:hAnsi="Calibri" w:cs="Calibri"/>
          <w:b/>
          <w:bCs/>
        </w:rPr>
      </w:pPr>
      <w:bookmarkStart w:id="0" w:name="_GoBack"/>
      <w:bookmarkEnd w:id="0"/>
      <w:r w:rsidRPr="00764223">
        <w:rPr>
          <w:rFonts w:ascii="Calibri" w:hAnsi="Calibri" w:cs="Calibri"/>
          <w:b/>
          <w:bCs/>
        </w:rPr>
        <w:t xml:space="preserve">A novel </w:t>
      </w:r>
      <w:r>
        <w:rPr>
          <w:rFonts w:ascii="Calibri" w:hAnsi="Calibri" w:cs="Calibri"/>
          <w:b/>
          <w:bCs/>
        </w:rPr>
        <w:t>variant</w:t>
      </w:r>
      <w:r w:rsidRPr="00764223">
        <w:rPr>
          <w:rFonts w:ascii="Calibri" w:hAnsi="Calibri" w:cs="Calibri"/>
          <w:b/>
          <w:bCs/>
        </w:rPr>
        <w:t xml:space="preserve"> in </w:t>
      </w:r>
      <w:r w:rsidRPr="00764223">
        <w:rPr>
          <w:rFonts w:ascii="Calibri" w:hAnsi="Calibri" w:cs="Calibri"/>
          <w:b/>
          <w:bCs/>
          <w:i/>
          <w:iCs/>
        </w:rPr>
        <w:t>GATM</w:t>
      </w:r>
      <w:r w:rsidRPr="00764223">
        <w:rPr>
          <w:rFonts w:ascii="Calibri" w:hAnsi="Calibri" w:cs="Calibri"/>
          <w:b/>
          <w:bCs/>
        </w:rPr>
        <w:t xml:space="preserve"> causes idiopathic renal Fanconi syndrome</w:t>
      </w:r>
      <w:r>
        <w:rPr>
          <w:rFonts w:ascii="Calibri" w:hAnsi="Calibri" w:cs="Calibri"/>
          <w:b/>
          <w:bCs/>
        </w:rPr>
        <w:t xml:space="preserve"> and predicts progression to end-stage kidney disease</w:t>
      </w:r>
    </w:p>
    <w:p w14:paraId="1C784CCA" w14:textId="77777777" w:rsidR="00955DD7" w:rsidRPr="00764223" w:rsidRDefault="00955DD7">
      <w:pPr>
        <w:rPr>
          <w:rFonts w:ascii="Calibri" w:hAnsi="Calibri" w:cs="Calibri"/>
          <w:b/>
          <w:bCs/>
        </w:rPr>
      </w:pPr>
    </w:p>
    <w:p w14:paraId="4E2696CE" w14:textId="77777777" w:rsidR="00955DD7" w:rsidRPr="00764223" w:rsidRDefault="00955DD7">
      <w:pPr>
        <w:rPr>
          <w:rFonts w:ascii="Calibri" w:hAnsi="Calibri" w:cs="Calibri"/>
        </w:rPr>
      </w:pPr>
      <w:r w:rsidRPr="00764223">
        <w:rPr>
          <w:rFonts w:ascii="Calibri" w:hAnsi="Calibri" w:cs="Calibri"/>
        </w:rPr>
        <w:t>Eleanor G. Seaby</w:t>
      </w:r>
      <w:r w:rsidRPr="00764223">
        <w:rPr>
          <w:rFonts w:ascii="Calibri" w:hAnsi="Calibri" w:cs="Calibri"/>
          <w:vertAlign w:val="superscript"/>
        </w:rPr>
        <w:t>1,2</w:t>
      </w:r>
      <w:r>
        <w:rPr>
          <w:rFonts w:ascii="Calibri" w:hAnsi="Calibri" w:cs="Calibri"/>
          <w:vertAlign w:val="superscript"/>
        </w:rPr>
        <w:t>*</w:t>
      </w:r>
      <w:r w:rsidRPr="00764223">
        <w:rPr>
          <w:rFonts w:ascii="Calibri" w:hAnsi="Calibri" w:cs="Calibri"/>
        </w:rPr>
        <w:t xml:space="preserve">, </w:t>
      </w:r>
      <w:r>
        <w:rPr>
          <w:rFonts w:ascii="Calibri" w:hAnsi="Calibri" w:cs="Calibri"/>
        </w:rPr>
        <w:t>Steven Turner</w:t>
      </w:r>
      <w:r>
        <w:rPr>
          <w:rFonts w:ascii="Calibri" w:hAnsi="Calibri" w:cs="Calibri"/>
          <w:vertAlign w:val="superscript"/>
        </w:rPr>
        <w:t>1*</w:t>
      </w:r>
      <w:r>
        <w:rPr>
          <w:rFonts w:ascii="Calibri" w:hAnsi="Calibri" w:cs="Calibri"/>
        </w:rPr>
        <w:t>, David J. Bunyan</w:t>
      </w:r>
      <w:r>
        <w:rPr>
          <w:rFonts w:ascii="Calibri" w:hAnsi="Calibri" w:cs="Calibri"/>
          <w:vertAlign w:val="superscript"/>
        </w:rPr>
        <w:t>3</w:t>
      </w:r>
      <w:r>
        <w:rPr>
          <w:rFonts w:ascii="Calibri" w:hAnsi="Calibri" w:cs="Calibri"/>
        </w:rPr>
        <w:t xml:space="preserve">, </w:t>
      </w:r>
      <w:proofErr w:type="spellStart"/>
      <w:r w:rsidRPr="00764223">
        <w:rPr>
          <w:rFonts w:ascii="Calibri" w:hAnsi="Calibri" w:cs="Calibri"/>
        </w:rPr>
        <w:t>Fariba</w:t>
      </w:r>
      <w:proofErr w:type="spellEnd"/>
      <w:r w:rsidRPr="00764223">
        <w:rPr>
          <w:rFonts w:ascii="Calibri" w:hAnsi="Calibri" w:cs="Calibri"/>
        </w:rPr>
        <w:t xml:space="preserve"> Seyed-Rezai</w:t>
      </w:r>
      <w:r w:rsidRPr="00764223">
        <w:rPr>
          <w:rFonts w:ascii="Calibri" w:hAnsi="Calibri" w:cs="Calibri"/>
          <w:vertAlign w:val="superscript"/>
        </w:rPr>
        <w:t>1</w:t>
      </w:r>
      <w:r w:rsidRPr="00764223">
        <w:rPr>
          <w:rFonts w:ascii="Calibri" w:hAnsi="Calibri" w:cs="Calibri"/>
        </w:rPr>
        <w:t xml:space="preserve">, </w:t>
      </w:r>
      <w:r>
        <w:rPr>
          <w:rFonts w:ascii="Calibri" w:hAnsi="Calibri" w:cs="Calibri"/>
        </w:rPr>
        <w:t>Jonathan Essex</w:t>
      </w:r>
      <w:r>
        <w:rPr>
          <w:rFonts w:ascii="Calibri" w:hAnsi="Calibri" w:cs="Calibri"/>
          <w:vertAlign w:val="superscript"/>
        </w:rPr>
        <w:t>4</w:t>
      </w:r>
      <w:r>
        <w:rPr>
          <w:rFonts w:ascii="Calibri" w:hAnsi="Calibri" w:cs="Calibri"/>
        </w:rPr>
        <w:t xml:space="preserve">, </w:t>
      </w:r>
      <w:r w:rsidRPr="00764223">
        <w:rPr>
          <w:rFonts w:ascii="Calibri" w:hAnsi="Calibri" w:cs="Calibri"/>
        </w:rPr>
        <w:t>Rodney D. Gilbert</w:t>
      </w:r>
      <w:r w:rsidRPr="00E06346">
        <w:rPr>
          <w:rFonts w:ascii="Calibri" w:hAnsi="Calibri" w:cs="Calibri"/>
          <w:vertAlign w:val="superscript"/>
        </w:rPr>
        <w:t>1,</w:t>
      </w:r>
      <w:r>
        <w:rPr>
          <w:rFonts w:ascii="Calibri" w:hAnsi="Calibri" w:cs="Calibri"/>
          <w:vertAlign w:val="superscript"/>
        </w:rPr>
        <w:t>5</w:t>
      </w:r>
      <w:r w:rsidRPr="00FD6C00">
        <w:rPr>
          <w:rFonts w:ascii="Calibri" w:hAnsi="Calibri" w:cs="Calibri"/>
          <w:vertAlign w:val="superscript"/>
        </w:rPr>
        <w:t>^</w:t>
      </w:r>
      <w:r w:rsidRPr="00764223">
        <w:rPr>
          <w:rFonts w:ascii="Calibri" w:hAnsi="Calibri" w:cs="Calibri"/>
        </w:rPr>
        <w:t>, Sarah Ennis</w:t>
      </w:r>
      <w:r w:rsidRPr="00764223">
        <w:rPr>
          <w:rFonts w:ascii="Calibri" w:hAnsi="Calibri" w:cs="Calibri"/>
          <w:vertAlign w:val="superscript"/>
        </w:rPr>
        <w:t>1</w:t>
      </w:r>
      <w:r w:rsidRPr="00FD6C00">
        <w:rPr>
          <w:rFonts w:ascii="Calibri" w:hAnsi="Calibri" w:cs="Calibri"/>
          <w:vertAlign w:val="superscript"/>
        </w:rPr>
        <w:t>^</w:t>
      </w:r>
    </w:p>
    <w:p w14:paraId="39744A3B" w14:textId="77777777" w:rsidR="00955DD7" w:rsidRDefault="00955DD7">
      <w:pPr>
        <w:rPr>
          <w:rFonts w:ascii="Calibri" w:hAnsi="Calibri" w:cs="Calibri"/>
          <w:vertAlign w:val="superscript"/>
        </w:rPr>
      </w:pPr>
    </w:p>
    <w:p w14:paraId="3D509AC4" w14:textId="77777777" w:rsidR="00955DD7" w:rsidRPr="00764223" w:rsidRDefault="00955DD7">
      <w:pPr>
        <w:rPr>
          <w:rFonts w:ascii="Calibri" w:hAnsi="Calibri" w:cs="Calibri"/>
          <w:vertAlign w:val="superscript"/>
        </w:rPr>
      </w:pPr>
      <w:proofErr w:type="gramStart"/>
      <w:r w:rsidRPr="00764223">
        <w:rPr>
          <w:rFonts w:ascii="Calibri" w:hAnsi="Calibri" w:cs="Calibri"/>
          <w:vertAlign w:val="superscript"/>
        </w:rPr>
        <w:t>*</w:t>
      </w:r>
      <w:r>
        <w:rPr>
          <w:rFonts w:ascii="Calibri" w:hAnsi="Calibri" w:cs="Calibri"/>
          <w:vertAlign w:val="superscript"/>
        </w:rPr>
        <w:t>,^</w:t>
      </w:r>
      <w:proofErr w:type="gramEnd"/>
      <w:r w:rsidRPr="00764223">
        <w:rPr>
          <w:rFonts w:ascii="Calibri" w:hAnsi="Calibri" w:cs="Calibri"/>
          <w:vertAlign w:val="superscript"/>
        </w:rPr>
        <w:t>authors contributed equally</w:t>
      </w:r>
    </w:p>
    <w:p w14:paraId="584E292B" w14:textId="77777777" w:rsidR="00955DD7" w:rsidRPr="00764223" w:rsidRDefault="00955DD7">
      <w:pPr>
        <w:rPr>
          <w:rFonts w:ascii="Calibri" w:hAnsi="Calibri" w:cs="Calibri"/>
          <w:vertAlign w:val="superscript"/>
        </w:rPr>
      </w:pPr>
    </w:p>
    <w:p w14:paraId="498E39E7" w14:textId="77777777" w:rsidR="00955DD7" w:rsidRPr="00764223" w:rsidRDefault="00955DD7" w:rsidP="00F11E66">
      <w:pPr>
        <w:pStyle w:val="ListParagraph"/>
        <w:numPr>
          <w:ilvl w:val="0"/>
          <w:numId w:val="1"/>
        </w:numPr>
        <w:rPr>
          <w:rFonts w:ascii="Calibri" w:hAnsi="Calibri" w:cs="Calibri"/>
          <w:vertAlign w:val="superscript"/>
        </w:rPr>
      </w:pPr>
      <w:r w:rsidRPr="00764223">
        <w:rPr>
          <w:rFonts w:ascii="Calibri" w:hAnsi="Calibri" w:cs="Calibri"/>
          <w:vertAlign w:val="superscript"/>
        </w:rPr>
        <w:t>Faculty of Medicine, University of Southampton, Southampton, UK</w:t>
      </w:r>
    </w:p>
    <w:p w14:paraId="7050203E" w14:textId="77777777" w:rsidR="00955DD7" w:rsidRDefault="00955DD7" w:rsidP="00F11E66">
      <w:pPr>
        <w:pStyle w:val="ListParagraph"/>
        <w:numPr>
          <w:ilvl w:val="0"/>
          <w:numId w:val="1"/>
        </w:numPr>
        <w:rPr>
          <w:rFonts w:ascii="Calibri" w:hAnsi="Calibri" w:cs="Calibri"/>
          <w:vertAlign w:val="superscript"/>
        </w:rPr>
      </w:pPr>
      <w:r w:rsidRPr="00764223">
        <w:rPr>
          <w:rFonts w:ascii="Calibri" w:hAnsi="Calibri" w:cs="Calibri"/>
          <w:vertAlign w:val="superscript"/>
        </w:rPr>
        <w:t>Broad Institute of MIT and Harvard, Cambridge, Massachusetts, USA</w:t>
      </w:r>
    </w:p>
    <w:p w14:paraId="4CF1D5BF" w14:textId="77777777" w:rsidR="00955DD7" w:rsidRDefault="00955DD7" w:rsidP="00F11E66">
      <w:pPr>
        <w:pStyle w:val="ListParagraph"/>
        <w:numPr>
          <w:ilvl w:val="0"/>
          <w:numId w:val="1"/>
        </w:numPr>
        <w:rPr>
          <w:rFonts w:ascii="Calibri" w:hAnsi="Calibri" w:cs="Calibri"/>
          <w:vertAlign w:val="superscript"/>
        </w:rPr>
      </w:pPr>
      <w:r>
        <w:rPr>
          <w:rFonts w:ascii="Calibri" w:hAnsi="Calibri" w:cs="Calibri"/>
          <w:vertAlign w:val="superscript"/>
        </w:rPr>
        <w:t>Wessex Regional Genetics Laboratory, Salisbury NHS Foundation Trust, Salisbury, UK</w:t>
      </w:r>
    </w:p>
    <w:p w14:paraId="74A1D787" w14:textId="77777777" w:rsidR="00955DD7" w:rsidRPr="00764223" w:rsidRDefault="00955DD7" w:rsidP="00F11E66">
      <w:pPr>
        <w:pStyle w:val="ListParagraph"/>
        <w:numPr>
          <w:ilvl w:val="0"/>
          <w:numId w:val="1"/>
        </w:numPr>
        <w:rPr>
          <w:rFonts w:ascii="Calibri" w:hAnsi="Calibri" w:cs="Calibri"/>
          <w:vertAlign w:val="superscript"/>
        </w:rPr>
      </w:pPr>
      <w:r>
        <w:rPr>
          <w:rFonts w:ascii="Calibri" w:hAnsi="Calibri" w:cs="Calibri"/>
          <w:vertAlign w:val="superscript"/>
        </w:rPr>
        <w:t>School of Chemistry, University of Southampton, Southampton UK</w:t>
      </w:r>
    </w:p>
    <w:p w14:paraId="7FD63965" w14:textId="77777777" w:rsidR="00955DD7" w:rsidRPr="00764223" w:rsidRDefault="00955DD7" w:rsidP="00F11E66">
      <w:pPr>
        <w:pStyle w:val="ListParagraph"/>
        <w:numPr>
          <w:ilvl w:val="0"/>
          <w:numId w:val="1"/>
        </w:numPr>
        <w:rPr>
          <w:rFonts w:ascii="Calibri" w:hAnsi="Calibri" w:cs="Calibri"/>
          <w:vertAlign w:val="superscript"/>
        </w:rPr>
      </w:pPr>
      <w:r w:rsidRPr="00764223">
        <w:rPr>
          <w:rFonts w:ascii="Calibri" w:hAnsi="Calibri" w:cs="Calibri"/>
          <w:vertAlign w:val="superscript"/>
        </w:rPr>
        <w:t>Southampton Children’s Hospital, Southampton, UK</w:t>
      </w:r>
    </w:p>
    <w:p w14:paraId="5864D27F" w14:textId="77777777" w:rsidR="00955DD7" w:rsidRPr="00764223" w:rsidRDefault="00955DD7">
      <w:pPr>
        <w:rPr>
          <w:rFonts w:ascii="Calibri" w:hAnsi="Calibri" w:cs="Calibri"/>
          <w:u w:val="single"/>
        </w:rPr>
      </w:pPr>
    </w:p>
    <w:p w14:paraId="2EEC4740" w14:textId="77777777" w:rsidR="00955DD7" w:rsidRPr="00B36353" w:rsidRDefault="00955DD7">
      <w:pPr>
        <w:rPr>
          <w:rFonts w:ascii="Calibri" w:hAnsi="Calibri" w:cs="Calibri"/>
          <w:b/>
          <w:bCs/>
          <w:sz w:val="20"/>
          <w:szCs w:val="20"/>
        </w:rPr>
      </w:pPr>
      <w:r w:rsidRPr="00B36353">
        <w:rPr>
          <w:rFonts w:ascii="Calibri" w:hAnsi="Calibri" w:cs="Calibri"/>
          <w:b/>
          <w:bCs/>
          <w:sz w:val="20"/>
          <w:szCs w:val="20"/>
        </w:rPr>
        <w:t>Corresponding author:</w:t>
      </w:r>
    </w:p>
    <w:p w14:paraId="3976386B" w14:textId="77777777" w:rsidR="00955DD7" w:rsidRPr="00764223" w:rsidRDefault="00955DD7" w:rsidP="00BC299E">
      <w:pPr>
        <w:rPr>
          <w:rFonts w:ascii="Calibri" w:hAnsi="Calibri" w:cs="Calibri"/>
          <w:bCs/>
          <w:sz w:val="20"/>
          <w:szCs w:val="20"/>
        </w:rPr>
      </w:pPr>
      <w:r w:rsidRPr="00764223">
        <w:rPr>
          <w:rFonts w:ascii="Calibri" w:hAnsi="Calibri" w:cs="Calibri"/>
          <w:bCs/>
          <w:sz w:val="20"/>
          <w:szCs w:val="20"/>
        </w:rPr>
        <w:t>Rodney D Gilbert</w:t>
      </w:r>
    </w:p>
    <w:p w14:paraId="075F365E" w14:textId="77777777" w:rsidR="00955DD7" w:rsidRPr="00764223" w:rsidRDefault="00955DD7" w:rsidP="00BC299E">
      <w:pPr>
        <w:rPr>
          <w:rFonts w:ascii="Calibri" w:hAnsi="Calibri" w:cs="Calibri"/>
          <w:bCs/>
          <w:sz w:val="20"/>
          <w:szCs w:val="20"/>
        </w:rPr>
      </w:pPr>
      <w:r w:rsidRPr="00764223">
        <w:rPr>
          <w:rFonts w:ascii="Calibri" w:hAnsi="Calibri" w:cs="Calibri"/>
          <w:bCs/>
          <w:sz w:val="20"/>
          <w:szCs w:val="20"/>
        </w:rPr>
        <w:t>Southampton Children’s Hospital</w:t>
      </w:r>
    </w:p>
    <w:p w14:paraId="6AB5714A" w14:textId="77777777" w:rsidR="00955DD7" w:rsidRPr="00764223" w:rsidRDefault="00955DD7" w:rsidP="00BC299E">
      <w:pPr>
        <w:rPr>
          <w:rFonts w:ascii="Calibri" w:hAnsi="Calibri" w:cs="Calibri"/>
          <w:bCs/>
          <w:sz w:val="20"/>
          <w:szCs w:val="20"/>
        </w:rPr>
      </w:pPr>
      <w:proofErr w:type="spellStart"/>
      <w:r w:rsidRPr="00764223">
        <w:rPr>
          <w:rFonts w:ascii="Calibri" w:hAnsi="Calibri" w:cs="Calibri"/>
          <w:bCs/>
          <w:sz w:val="20"/>
          <w:szCs w:val="20"/>
        </w:rPr>
        <w:t>Tremona</w:t>
      </w:r>
      <w:proofErr w:type="spellEnd"/>
      <w:r w:rsidRPr="00764223">
        <w:rPr>
          <w:rFonts w:ascii="Calibri" w:hAnsi="Calibri" w:cs="Calibri"/>
          <w:bCs/>
          <w:sz w:val="20"/>
          <w:szCs w:val="20"/>
        </w:rPr>
        <w:t xml:space="preserve"> Road</w:t>
      </w:r>
    </w:p>
    <w:p w14:paraId="4DC8061D" w14:textId="77777777" w:rsidR="00955DD7" w:rsidRPr="00764223" w:rsidRDefault="00955DD7" w:rsidP="00BC299E">
      <w:pPr>
        <w:rPr>
          <w:rFonts w:ascii="Calibri" w:hAnsi="Calibri" w:cs="Calibri"/>
          <w:bCs/>
          <w:sz w:val="20"/>
          <w:szCs w:val="20"/>
        </w:rPr>
      </w:pPr>
      <w:r w:rsidRPr="00764223">
        <w:rPr>
          <w:rFonts w:ascii="Calibri" w:hAnsi="Calibri" w:cs="Calibri"/>
          <w:bCs/>
          <w:sz w:val="20"/>
          <w:szCs w:val="20"/>
        </w:rPr>
        <w:t>Southampton SO16 6YD</w:t>
      </w:r>
    </w:p>
    <w:p w14:paraId="0D9F6566" w14:textId="77777777" w:rsidR="00955DD7" w:rsidRPr="00764223" w:rsidRDefault="00955DD7" w:rsidP="00BC299E">
      <w:pPr>
        <w:rPr>
          <w:rFonts w:ascii="Calibri" w:hAnsi="Calibri" w:cs="Calibri"/>
          <w:bCs/>
          <w:sz w:val="20"/>
          <w:szCs w:val="20"/>
        </w:rPr>
      </w:pPr>
      <w:r w:rsidRPr="00764223">
        <w:rPr>
          <w:rFonts w:ascii="Calibri" w:hAnsi="Calibri" w:cs="Calibri"/>
          <w:bCs/>
          <w:sz w:val="20"/>
          <w:szCs w:val="20"/>
        </w:rPr>
        <w:t>United Kingdom</w:t>
      </w:r>
    </w:p>
    <w:p w14:paraId="3701ABE2" w14:textId="77777777" w:rsidR="00955DD7" w:rsidRPr="00764223" w:rsidRDefault="00955DD7" w:rsidP="00BC299E">
      <w:pPr>
        <w:rPr>
          <w:rFonts w:ascii="Calibri" w:hAnsi="Calibri" w:cs="Calibri"/>
          <w:bCs/>
          <w:sz w:val="20"/>
          <w:szCs w:val="20"/>
        </w:rPr>
      </w:pPr>
      <w:hyperlink r:id="rId5" w:history="1">
        <w:r w:rsidRPr="00764223">
          <w:rPr>
            <w:rStyle w:val="Hyperlink"/>
            <w:rFonts w:ascii="Calibri" w:eastAsiaTheme="majorEastAsia" w:hAnsi="Calibri" w:cs="Calibri"/>
            <w:sz w:val="20"/>
            <w:szCs w:val="20"/>
          </w:rPr>
          <w:t>Rodney.Gilbert@uhs.nhs.uk</w:t>
        </w:r>
      </w:hyperlink>
    </w:p>
    <w:p w14:paraId="562BCEEC" w14:textId="77777777" w:rsidR="00955DD7" w:rsidRPr="00764223" w:rsidRDefault="00955DD7" w:rsidP="00BC299E">
      <w:pPr>
        <w:rPr>
          <w:rFonts w:ascii="Calibri" w:hAnsi="Calibri" w:cs="Calibri"/>
          <w:bCs/>
          <w:sz w:val="20"/>
          <w:szCs w:val="20"/>
        </w:rPr>
      </w:pPr>
      <w:r w:rsidRPr="00764223">
        <w:rPr>
          <w:rFonts w:ascii="Calibri" w:hAnsi="Calibri" w:cs="Calibri"/>
          <w:bCs/>
          <w:sz w:val="20"/>
          <w:szCs w:val="20"/>
        </w:rPr>
        <w:t>Tel: 02381206254</w:t>
      </w:r>
    </w:p>
    <w:p w14:paraId="69AE1B0F" w14:textId="77777777" w:rsidR="00955DD7" w:rsidRDefault="00955DD7" w:rsidP="00BC299E">
      <w:pPr>
        <w:rPr>
          <w:rFonts w:ascii="Calibri" w:hAnsi="Calibri" w:cs="Calibri"/>
          <w:bCs/>
          <w:sz w:val="20"/>
          <w:szCs w:val="20"/>
        </w:rPr>
      </w:pPr>
      <w:proofErr w:type="spellStart"/>
      <w:r w:rsidRPr="00764223">
        <w:rPr>
          <w:rFonts w:ascii="Calibri" w:hAnsi="Calibri" w:cs="Calibri"/>
          <w:bCs/>
          <w:sz w:val="20"/>
          <w:szCs w:val="20"/>
        </w:rPr>
        <w:t>Orcid</w:t>
      </w:r>
      <w:proofErr w:type="spellEnd"/>
      <w:r w:rsidRPr="00764223">
        <w:rPr>
          <w:rFonts w:ascii="Calibri" w:hAnsi="Calibri" w:cs="Calibri"/>
          <w:bCs/>
          <w:sz w:val="20"/>
          <w:szCs w:val="20"/>
        </w:rPr>
        <w:t>: 0000-0001-7426-0188</w:t>
      </w:r>
    </w:p>
    <w:p w14:paraId="5750FACB" w14:textId="77777777" w:rsidR="00955DD7" w:rsidRDefault="00955DD7" w:rsidP="00BC299E">
      <w:pPr>
        <w:rPr>
          <w:rFonts w:ascii="Calibri" w:hAnsi="Calibri" w:cs="Calibri"/>
          <w:bCs/>
          <w:sz w:val="20"/>
          <w:szCs w:val="20"/>
        </w:rPr>
      </w:pPr>
    </w:p>
    <w:p w14:paraId="58B2309C" w14:textId="77777777" w:rsidR="00955DD7" w:rsidRPr="00F61B9E" w:rsidRDefault="00955DD7" w:rsidP="00BC299E">
      <w:pPr>
        <w:rPr>
          <w:rFonts w:ascii="Calibri" w:hAnsi="Calibri" w:cs="Calibri"/>
          <w:b/>
          <w:sz w:val="20"/>
          <w:szCs w:val="20"/>
        </w:rPr>
      </w:pPr>
      <w:r w:rsidRPr="00F61B9E">
        <w:rPr>
          <w:rFonts w:ascii="Calibri" w:hAnsi="Calibri" w:cs="Calibri"/>
          <w:b/>
          <w:sz w:val="20"/>
          <w:szCs w:val="20"/>
        </w:rPr>
        <w:t>Short title</w:t>
      </w:r>
    </w:p>
    <w:p w14:paraId="46FFBBF8" w14:textId="77777777" w:rsidR="00955DD7" w:rsidRPr="00764223" w:rsidRDefault="00955DD7" w:rsidP="00BC299E">
      <w:pPr>
        <w:rPr>
          <w:rFonts w:ascii="Calibri" w:hAnsi="Calibri" w:cs="Calibri"/>
          <w:bCs/>
          <w:sz w:val="20"/>
          <w:szCs w:val="20"/>
        </w:rPr>
      </w:pPr>
      <w:r>
        <w:rPr>
          <w:rFonts w:ascii="Calibri" w:hAnsi="Calibri" w:cs="Calibri"/>
          <w:bCs/>
          <w:sz w:val="20"/>
          <w:szCs w:val="20"/>
        </w:rPr>
        <w:t>A novel GATM variant causes Fanconi syndrome</w:t>
      </w:r>
    </w:p>
    <w:p w14:paraId="5BDAF721" w14:textId="77777777" w:rsidR="00955DD7" w:rsidRPr="00764223" w:rsidRDefault="00955DD7">
      <w:pPr>
        <w:rPr>
          <w:rFonts w:ascii="Calibri" w:hAnsi="Calibri" w:cs="Calibri"/>
        </w:rPr>
      </w:pPr>
    </w:p>
    <w:p w14:paraId="7A478540" w14:textId="77777777" w:rsidR="00955DD7" w:rsidRPr="00CC1FCE" w:rsidRDefault="00955DD7">
      <w:pPr>
        <w:rPr>
          <w:rFonts w:ascii="Calibri" w:hAnsi="Calibri" w:cs="Calibri"/>
          <w:b/>
          <w:bCs/>
          <w:sz w:val="20"/>
          <w:szCs w:val="20"/>
        </w:rPr>
      </w:pPr>
      <w:r w:rsidRPr="00CC1FCE">
        <w:rPr>
          <w:rFonts w:ascii="Calibri" w:hAnsi="Calibri" w:cs="Calibri"/>
          <w:b/>
          <w:bCs/>
          <w:sz w:val="20"/>
          <w:szCs w:val="20"/>
        </w:rPr>
        <w:t>Funding</w:t>
      </w:r>
    </w:p>
    <w:p w14:paraId="24CFE768" w14:textId="77777777" w:rsidR="00955DD7" w:rsidRPr="00CC1FCE" w:rsidRDefault="00955DD7">
      <w:pPr>
        <w:rPr>
          <w:rFonts w:ascii="Calibri" w:hAnsi="Calibri" w:cs="Calibri"/>
          <w:sz w:val="20"/>
          <w:szCs w:val="20"/>
        </w:rPr>
      </w:pPr>
      <w:r w:rsidRPr="00CC1FCE">
        <w:rPr>
          <w:rFonts w:ascii="Calibri" w:hAnsi="Calibri" w:cs="Calibri"/>
          <w:sz w:val="20"/>
          <w:szCs w:val="20"/>
        </w:rPr>
        <w:t xml:space="preserve">EGS is supported by the Gerald Kerkut Charitable Trust and the University of Southampton’s Presidential </w:t>
      </w:r>
      <w:r>
        <w:rPr>
          <w:rFonts w:ascii="Calibri" w:hAnsi="Calibri" w:cs="Calibri"/>
          <w:sz w:val="20"/>
          <w:szCs w:val="20"/>
        </w:rPr>
        <w:t>S</w:t>
      </w:r>
      <w:r w:rsidRPr="00CC1FCE">
        <w:rPr>
          <w:rFonts w:ascii="Calibri" w:hAnsi="Calibri" w:cs="Calibri"/>
          <w:sz w:val="20"/>
          <w:szCs w:val="20"/>
        </w:rPr>
        <w:t>cholarship.</w:t>
      </w:r>
    </w:p>
    <w:p w14:paraId="56ED3DB2" w14:textId="77777777" w:rsidR="00955DD7" w:rsidRPr="00CC1FCE" w:rsidRDefault="00955DD7">
      <w:pPr>
        <w:rPr>
          <w:rFonts w:ascii="Calibri" w:hAnsi="Calibri" w:cs="Calibri"/>
          <w:sz w:val="20"/>
          <w:szCs w:val="20"/>
        </w:rPr>
      </w:pPr>
    </w:p>
    <w:p w14:paraId="6664C95A" w14:textId="77777777" w:rsidR="00955DD7" w:rsidRPr="00CC1FCE" w:rsidRDefault="00955DD7">
      <w:pPr>
        <w:rPr>
          <w:rFonts w:ascii="Calibri" w:hAnsi="Calibri" w:cs="Calibri"/>
          <w:b/>
          <w:bCs/>
          <w:sz w:val="20"/>
          <w:szCs w:val="20"/>
        </w:rPr>
      </w:pPr>
      <w:r w:rsidRPr="00CC1FCE">
        <w:rPr>
          <w:rFonts w:ascii="Calibri" w:hAnsi="Calibri" w:cs="Calibri"/>
          <w:b/>
          <w:bCs/>
          <w:sz w:val="20"/>
          <w:szCs w:val="20"/>
        </w:rPr>
        <w:t>Author contributions</w:t>
      </w:r>
    </w:p>
    <w:p w14:paraId="438D6CEB" w14:textId="77777777" w:rsidR="00955DD7" w:rsidRDefault="00955DD7">
      <w:pPr>
        <w:rPr>
          <w:rFonts w:ascii="Calibri" w:hAnsi="Calibri" w:cs="Calibri"/>
          <w:sz w:val="20"/>
          <w:szCs w:val="20"/>
        </w:rPr>
      </w:pPr>
      <w:r w:rsidRPr="00CC1FCE">
        <w:rPr>
          <w:rFonts w:ascii="Calibri" w:hAnsi="Calibri" w:cs="Calibri"/>
          <w:sz w:val="20"/>
          <w:szCs w:val="20"/>
        </w:rPr>
        <w:t xml:space="preserve">EGS processed data, performed data analysis, and wrote the first draft of the manuscript. </w:t>
      </w:r>
      <w:r>
        <w:rPr>
          <w:rFonts w:ascii="Calibri" w:hAnsi="Calibri" w:cs="Calibri"/>
          <w:sz w:val="20"/>
          <w:szCs w:val="20"/>
        </w:rPr>
        <w:t xml:space="preserve">ST, DJB and JE performed data analysis. </w:t>
      </w:r>
      <w:r w:rsidRPr="00CC1FCE">
        <w:rPr>
          <w:rFonts w:ascii="Calibri" w:hAnsi="Calibri" w:cs="Calibri"/>
          <w:sz w:val="20"/>
          <w:szCs w:val="20"/>
        </w:rPr>
        <w:t>FSR assisted with data processing. SE</w:t>
      </w:r>
      <w:r>
        <w:rPr>
          <w:rFonts w:ascii="Calibri" w:hAnsi="Calibri" w:cs="Calibri"/>
          <w:sz w:val="20"/>
          <w:szCs w:val="20"/>
        </w:rPr>
        <w:t>, JE</w:t>
      </w:r>
      <w:r w:rsidRPr="00CC1FCE">
        <w:rPr>
          <w:rFonts w:ascii="Calibri" w:hAnsi="Calibri" w:cs="Calibri"/>
          <w:sz w:val="20"/>
          <w:szCs w:val="20"/>
        </w:rPr>
        <w:t xml:space="preserve"> and RDG supervised the project. All authors agreed the final manuscript.</w:t>
      </w:r>
    </w:p>
    <w:p w14:paraId="23984A71" w14:textId="77777777" w:rsidR="00955DD7" w:rsidRDefault="00955DD7">
      <w:pPr>
        <w:rPr>
          <w:rFonts w:ascii="Calibri" w:hAnsi="Calibri" w:cs="Calibri"/>
          <w:sz w:val="20"/>
          <w:szCs w:val="20"/>
        </w:rPr>
      </w:pPr>
    </w:p>
    <w:p w14:paraId="246C8713" w14:textId="77777777" w:rsidR="00955DD7" w:rsidRPr="0097513B" w:rsidRDefault="00955DD7">
      <w:pPr>
        <w:rPr>
          <w:rFonts w:ascii="Calibri" w:hAnsi="Calibri" w:cs="Calibri"/>
          <w:b/>
          <w:bCs/>
          <w:sz w:val="20"/>
          <w:szCs w:val="20"/>
        </w:rPr>
      </w:pPr>
      <w:r w:rsidRPr="0097513B">
        <w:rPr>
          <w:rFonts w:ascii="Calibri" w:hAnsi="Calibri" w:cs="Calibri"/>
          <w:b/>
          <w:bCs/>
          <w:sz w:val="20"/>
          <w:szCs w:val="20"/>
        </w:rPr>
        <w:t>Ethics statement</w:t>
      </w:r>
    </w:p>
    <w:p w14:paraId="7286BC51" w14:textId="6A6FF708" w:rsidR="00955DD7" w:rsidRDefault="00955DD7">
      <w:pPr>
        <w:rPr>
          <w:rFonts w:ascii="Calibri" w:hAnsi="Calibri" w:cs="Calibri"/>
          <w:sz w:val="20"/>
          <w:szCs w:val="20"/>
        </w:rPr>
      </w:pPr>
      <w:r>
        <w:rPr>
          <w:rFonts w:ascii="Calibri" w:hAnsi="Calibri" w:cs="Calibri"/>
          <w:sz w:val="20"/>
          <w:szCs w:val="20"/>
        </w:rPr>
        <w:t xml:space="preserve">All participants were recruited to the ‘Use of NGS technologies for resolving clinical phenotypes’ study. This study was approved by Leeds East Research Ethics Committee (REC: 17/YH/0069; Protocol Number: RHM NEU0302; IRAS project ID: 212945) on the 17/05/17. Written consent was obtained from the parents of the index patient for genomic testing and from the mother for publication after she had seen the manuscript. </w:t>
      </w:r>
    </w:p>
    <w:p w14:paraId="35F35627" w14:textId="77777777" w:rsidR="00955DD7" w:rsidRPr="00CC1FCE" w:rsidRDefault="00955DD7">
      <w:pPr>
        <w:rPr>
          <w:rFonts w:ascii="Calibri" w:hAnsi="Calibri" w:cs="Calibri"/>
          <w:sz w:val="20"/>
          <w:szCs w:val="20"/>
        </w:rPr>
      </w:pPr>
    </w:p>
    <w:p w14:paraId="533CF134" w14:textId="77777777" w:rsidR="00955DD7" w:rsidRPr="00CC1FCE" w:rsidRDefault="00955DD7">
      <w:pPr>
        <w:rPr>
          <w:rFonts w:ascii="Calibri" w:hAnsi="Calibri" w:cs="Calibri"/>
          <w:b/>
          <w:bCs/>
          <w:sz w:val="20"/>
          <w:szCs w:val="20"/>
        </w:rPr>
      </w:pPr>
      <w:r w:rsidRPr="00CC1FCE">
        <w:rPr>
          <w:rFonts w:ascii="Calibri" w:hAnsi="Calibri" w:cs="Calibri"/>
          <w:b/>
          <w:bCs/>
          <w:sz w:val="20"/>
          <w:szCs w:val="20"/>
        </w:rPr>
        <w:t>Conflicts of interest</w:t>
      </w:r>
    </w:p>
    <w:p w14:paraId="63FE4C54" w14:textId="77777777" w:rsidR="00955DD7" w:rsidRPr="00CC1FCE" w:rsidRDefault="00955DD7">
      <w:pPr>
        <w:rPr>
          <w:rFonts w:ascii="Calibri" w:hAnsi="Calibri" w:cs="Calibri"/>
          <w:sz w:val="20"/>
          <w:szCs w:val="20"/>
        </w:rPr>
      </w:pPr>
      <w:r>
        <w:rPr>
          <w:rFonts w:ascii="Calibri" w:hAnsi="Calibri" w:cs="Calibri"/>
          <w:sz w:val="20"/>
          <w:szCs w:val="20"/>
        </w:rPr>
        <w:t>The</w:t>
      </w:r>
      <w:r w:rsidRPr="00CC1FCE">
        <w:rPr>
          <w:rFonts w:ascii="Calibri" w:hAnsi="Calibri" w:cs="Calibri"/>
          <w:sz w:val="20"/>
          <w:szCs w:val="20"/>
        </w:rPr>
        <w:t xml:space="preserve"> authors have no conflicts to declare.</w:t>
      </w:r>
    </w:p>
    <w:p w14:paraId="2DC316B2" w14:textId="77777777" w:rsidR="00955DD7" w:rsidRPr="00CC1FCE" w:rsidRDefault="00955DD7">
      <w:pPr>
        <w:rPr>
          <w:rFonts w:ascii="Calibri" w:hAnsi="Calibri" w:cs="Calibri"/>
          <w:b/>
          <w:bCs/>
          <w:sz w:val="20"/>
          <w:szCs w:val="20"/>
        </w:rPr>
      </w:pPr>
    </w:p>
    <w:p w14:paraId="304A7EE2" w14:textId="77777777" w:rsidR="00955DD7" w:rsidRPr="00CC1FCE" w:rsidRDefault="00955DD7">
      <w:pPr>
        <w:rPr>
          <w:rFonts w:ascii="Calibri" w:hAnsi="Calibri" w:cs="Calibri"/>
          <w:b/>
          <w:bCs/>
          <w:sz w:val="20"/>
          <w:szCs w:val="20"/>
        </w:rPr>
      </w:pPr>
      <w:r w:rsidRPr="00CC1FCE">
        <w:rPr>
          <w:rFonts w:ascii="Calibri" w:hAnsi="Calibri" w:cs="Calibri"/>
          <w:b/>
          <w:bCs/>
          <w:sz w:val="20"/>
          <w:szCs w:val="20"/>
        </w:rPr>
        <w:t>Keywords</w:t>
      </w:r>
    </w:p>
    <w:p w14:paraId="34F2843C" w14:textId="77777777" w:rsidR="00955DD7" w:rsidRDefault="00955DD7">
      <w:pPr>
        <w:rPr>
          <w:rFonts w:ascii="Calibri" w:hAnsi="Calibri" w:cs="Calibri"/>
          <w:sz w:val="20"/>
          <w:szCs w:val="20"/>
        </w:rPr>
      </w:pPr>
      <w:r w:rsidRPr="00CC1FCE">
        <w:rPr>
          <w:rFonts w:ascii="Calibri" w:hAnsi="Calibri" w:cs="Calibri"/>
          <w:sz w:val="20"/>
          <w:szCs w:val="20"/>
        </w:rPr>
        <w:t xml:space="preserve">Renal Fanconi syndrome, exome sequencing, genetics, </w:t>
      </w:r>
      <w:r>
        <w:rPr>
          <w:rFonts w:ascii="Calibri" w:hAnsi="Calibri" w:cs="Calibri"/>
          <w:sz w:val="20"/>
          <w:szCs w:val="20"/>
        </w:rPr>
        <w:t>end-stage kidney disease, molecular dynamics</w:t>
      </w:r>
    </w:p>
    <w:p w14:paraId="56C7CD5C" w14:textId="77777777" w:rsidR="00955DD7" w:rsidRDefault="00955DD7">
      <w:pPr>
        <w:rPr>
          <w:rFonts w:ascii="Calibri" w:hAnsi="Calibri" w:cs="Calibri"/>
          <w:sz w:val="20"/>
          <w:szCs w:val="20"/>
        </w:rPr>
      </w:pPr>
    </w:p>
    <w:p w14:paraId="4A1E1AE9" w14:textId="77777777" w:rsidR="00955DD7" w:rsidRPr="00CC1FCE" w:rsidRDefault="00955DD7">
      <w:pPr>
        <w:rPr>
          <w:rFonts w:ascii="Calibri" w:hAnsi="Calibri" w:cs="Calibri"/>
          <w:sz w:val="20"/>
          <w:szCs w:val="20"/>
        </w:rPr>
      </w:pPr>
    </w:p>
    <w:p w14:paraId="7FFB4A56" w14:textId="77777777" w:rsidR="00955DD7" w:rsidRDefault="00955DD7">
      <w:pPr>
        <w:rPr>
          <w:rFonts w:ascii="Calibri" w:hAnsi="Calibri" w:cs="Calibri"/>
          <w:b/>
          <w:bCs/>
        </w:rPr>
      </w:pPr>
    </w:p>
    <w:p w14:paraId="665FC272" w14:textId="77777777" w:rsidR="00955DD7" w:rsidRPr="00764223" w:rsidRDefault="00955DD7">
      <w:pPr>
        <w:rPr>
          <w:rFonts w:ascii="Calibri" w:hAnsi="Calibri" w:cs="Calibri"/>
          <w:b/>
          <w:bCs/>
        </w:rPr>
      </w:pPr>
      <w:r w:rsidRPr="00764223">
        <w:rPr>
          <w:rFonts w:ascii="Calibri" w:hAnsi="Calibri" w:cs="Calibri"/>
          <w:b/>
          <w:bCs/>
        </w:rPr>
        <w:t>Abstract</w:t>
      </w:r>
    </w:p>
    <w:p w14:paraId="02B37D57" w14:textId="77777777" w:rsidR="00955DD7" w:rsidRDefault="00955DD7">
      <w:pPr>
        <w:rPr>
          <w:rFonts w:ascii="Calibri" w:hAnsi="Calibri" w:cs="Calibri"/>
          <w:sz w:val="20"/>
          <w:szCs w:val="20"/>
        </w:rPr>
      </w:pPr>
    </w:p>
    <w:p w14:paraId="3ADC11A0" w14:textId="4846BF0A" w:rsidR="00955DD7" w:rsidRDefault="00955DD7" w:rsidP="00D21604">
      <w:pPr>
        <w:spacing w:line="360" w:lineRule="auto"/>
        <w:rPr>
          <w:rFonts w:ascii="Calibri" w:hAnsi="Calibri" w:cs="Calibri"/>
          <w:sz w:val="20"/>
          <w:szCs w:val="20"/>
        </w:rPr>
      </w:pPr>
      <w:r>
        <w:rPr>
          <w:rFonts w:ascii="Calibri" w:hAnsi="Calibri" w:cs="Calibri"/>
          <w:sz w:val="20"/>
          <w:szCs w:val="20"/>
        </w:rPr>
        <w:t xml:space="preserve">Renal Fanconi syndrome (RFS) is a generalised disorder of the proximal convoluted tubule. Many genes have been associated with RFS including those that cause systemic disorders such as cystinosis, as well as isolated RFS. We discuss the case of a 10-year-old female who presented with leg pain and raised creatinine on a screening blood test. Her mother has RFS and required a kidney transplant in her thirties. Further investigations confirmed RFS in the daughter. Exome sequencing was performed on the affected mother, child, and unaffected father. We identified a novel variant in </w:t>
      </w:r>
      <w:r w:rsidRPr="00D21604">
        <w:rPr>
          <w:rFonts w:ascii="Calibri" w:hAnsi="Calibri" w:cs="Calibri"/>
          <w:i/>
          <w:iCs/>
          <w:sz w:val="20"/>
          <w:szCs w:val="20"/>
        </w:rPr>
        <w:t>GATM</w:t>
      </w:r>
      <w:r>
        <w:rPr>
          <w:rFonts w:ascii="Calibri" w:hAnsi="Calibri" w:cs="Calibri"/>
          <w:sz w:val="20"/>
          <w:szCs w:val="20"/>
        </w:rPr>
        <w:t xml:space="preserve">; c.965G&gt;C </w:t>
      </w:r>
      <w:proofErr w:type="gramStart"/>
      <w:r>
        <w:rPr>
          <w:rFonts w:ascii="Calibri" w:hAnsi="Calibri" w:cs="Calibri"/>
          <w:sz w:val="20"/>
          <w:szCs w:val="20"/>
        </w:rPr>
        <w:t>p.(</w:t>
      </w:r>
      <w:proofErr w:type="gramEnd"/>
      <w:r>
        <w:rPr>
          <w:rFonts w:ascii="Calibri" w:hAnsi="Calibri" w:cs="Calibri"/>
          <w:sz w:val="20"/>
          <w:szCs w:val="20"/>
        </w:rPr>
        <w:t xml:space="preserve">Arg322Pro) segregating dominantly in the mother and daughter. We validated our finding with molecular dynamics simulations and demonstrated a dynamic signature that differentiates our variant and two previously identified pathogenic variants in </w:t>
      </w:r>
      <w:r w:rsidRPr="00911F39">
        <w:rPr>
          <w:rFonts w:ascii="Calibri" w:hAnsi="Calibri" w:cs="Calibri"/>
          <w:i/>
          <w:iCs/>
          <w:sz w:val="20"/>
          <w:szCs w:val="20"/>
        </w:rPr>
        <w:t>GATM</w:t>
      </w:r>
      <w:r>
        <w:rPr>
          <w:rFonts w:ascii="Calibri" w:hAnsi="Calibri" w:cs="Calibri"/>
          <w:sz w:val="20"/>
          <w:szCs w:val="20"/>
        </w:rPr>
        <w:t xml:space="preserve"> from wildtype. Genetic testing has uncovered a novel pathogenic variant that predicts progression to end stage kidney failure and has important implications for family planning and cascade testing. We recommend that </w:t>
      </w:r>
      <w:r w:rsidRPr="00813354">
        <w:rPr>
          <w:rFonts w:ascii="Calibri" w:hAnsi="Calibri" w:cs="Calibri"/>
          <w:i/>
          <w:iCs/>
          <w:sz w:val="20"/>
          <w:szCs w:val="20"/>
        </w:rPr>
        <w:t>GATM</w:t>
      </w:r>
      <w:r>
        <w:rPr>
          <w:rFonts w:ascii="Calibri" w:hAnsi="Calibri" w:cs="Calibri"/>
          <w:sz w:val="20"/>
          <w:szCs w:val="20"/>
        </w:rPr>
        <w:t xml:space="preserve"> is screened for in children presenting with RFS, in addition to adults, particularly with kidney failure, who may have had previous negative gene testing. </w:t>
      </w:r>
    </w:p>
    <w:p w14:paraId="279D089C" w14:textId="77777777" w:rsidR="00955DD7" w:rsidRDefault="00955DD7">
      <w:pPr>
        <w:rPr>
          <w:rFonts w:ascii="Calibri" w:hAnsi="Calibri" w:cs="Calibri"/>
          <w:sz w:val="20"/>
          <w:szCs w:val="20"/>
        </w:rPr>
      </w:pPr>
    </w:p>
    <w:p w14:paraId="4E601F37" w14:textId="77777777" w:rsidR="00955DD7" w:rsidRPr="00764223" w:rsidRDefault="00955DD7">
      <w:pPr>
        <w:rPr>
          <w:rFonts w:ascii="Calibri" w:hAnsi="Calibri" w:cs="Calibri"/>
          <w:b/>
          <w:bCs/>
        </w:rPr>
      </w:pPr>
      <w:r w:rsidRPr="00764223">
        <w:rPr>
          <w:rFonts w:ascii="Calibri" w:hAnsi="Calibri" w:cs="Calibri"/>
          <w:b/>
          <w:bCs/>
        </w:rPr>
        <w:t>Introduction</w:t>
      </w:r>
    </w:p>
    <w:p w14:paraId="589A52F3" w14:textId="77777777" w:rsidR="00955DD7" w:rsidRPr="00764223" w:rsidRDefault="00955DD7">
      <w:pPr>
        <w:rPr>
          <w:rFonts w:ascii="Calibri" w:hAnsi="Calibri" w:cs="Calibri"/>
          <w:b/>
          <w:bCs/>
        </w:rPr>
      </w:pPr>
    </w:p>
    <w:p w14:paraId="336D298B" w14:textId="77777777" w:rsidR="00955DD7" w:rsidRPr="00764223" w:rsidRDefault="00955DD7" w:rsidP="004B29C0">
      <w:pPr>
        <w:spacing w:line="360" w:lineRule="auto"/>
        <w:rPr>
          <w:rFonts w:ascii="Calibri" w:hAnsi="Calibri" w:cs="Calibri"/>
          <w:sz w:val="20"/>
          <w:szCs w:val="20"/>
        </w:rPr>
      </w:pPr>
      <w:r w:rsidRPr="00764223">
        <w:rPr>
          <w:rFonts w:ascii="Calibri" w:hAnsi="Calibri" w:cs="Calibri"/>
          <w:sz w:val="20"/>
          <w:szCs w:val="20"/>
        </w:rPr>
        <w:t xml:space="preserve">Renal Fanconi syndrome </w:t>
      </w:r>
      <w:r>
        <w:rPr>
          <w:rFonts w:ascii="Calibri" w:hAnsi="Calibri" w:cs="Calibri"/>
          <w:sz w:val="20"/>
          <w:szCs w:val="20"/>
        </w:rPr>
        <w:t xml:space="preserve">(RFS) </w:t>
      </w:r>
      <w:r w:rsidRPr="00764223">
        <w:rPr>
          <w:rFonts w:ascii="Calibri" w:hAnsi="Calibri" w:cs="Calibri"/>
          <w:sz w:val="20"/>
          <w:szCs w:val="20"/>
        </w:rPr>
        <w:t>is a disorder of the proximal convoluted tubule, resulting in insufficient reabsorption of solutes</w:t>
      </w:r>
      <w:r>
        <w:rPr>
          <w:rFonts w:ascii="Calibri" w:hAnsi="Calibri" w:cs="Calibri"/>
          <w:sz w:val="20"/>
          <w:szCs w:val="20"/>
        </w:rPr>
        <w:t xml:space="preserve"> in the proximal renal tubule</w:t>
      </w:r>
      <w:r w:rsidRPr="00764223">
        <w:rPr>
          <w:rFonts w:ascii="Calibri" w:hAnsi="Calibri" w:cs="Calibri"/>
          <w:sz w:val="20"/>
          <w:szCs w:val="20"/>
        </w:rPr>
        <w:t xml:space="preserve">, a process that is highly energy dependent. To date, several genes have been associated with RFS, of which some cause systemic disorders with RFS and others cause isolated RFS with or without </w:t>
      </w:r>
      <w:r>
        <w:rPr>
          <w:rFonts w:ascii="Calibri" w:hAnsi="Calibri" w:cs="Calibri"/>
          <w:sz w:val="20"/>
          <w:szCs w:val="20"/>
        </w:rPr>
        <w:t>kidney</w:t>
      </w:r>
      <w:r w:rsidRPr="00764223">
        <w:rPr>
          <w:rFonts w:ascii="Calibri" w:hAnsi="Calibri" w:cs="Calibri"/>
          <w:sz w:val="20"/>
          <w:szCs w:val="20"/>
        </w:rPr>
        <w:t xml:space="preserve"> failure (</w:t>
      </w:r>
      <w:r>
        <w:rPr>
          <w:rFonts w:ascii="Calibri" w:hAnsi="Calibri" w:cs="Calibri"/>
          <w:b/>
          <w:bCs/>
          <w:sz w:val="20"/>
          <w:szCs w:val="20"/>
        </w:rPr>
        <w:t>Supplementary Table 1</w:t>
      </w:r>
      <w:r w:rsidRPr="00764223">
        <w:rPr>
          <w:rFonts w:ascii="Calibri" w:hAnsi="Calibri" w:cs="Calibri"/>
          <w:sz w:val="20"/>
          <w:szCs w:val="20"/>
        </w:rPr>
        <w:t xml:space="preserve">). </w:t>
      </w:r>
    </w:p>
    <w:p w14:paraId="00EE2C6A" w14:textId="77777777" w:rsidR="00955DD7" w:rsidRPr="00764223" w:rsidRDefault="00955DD7" w:rsidP="0044655B">
      <w:pPr>
        <w:spacing w:line="360" w:lineRule="auto"/>
        <w:rPr>
          <w:rFonts w:ascii="Calibri" w:hAnsi="Calibri" w:cs="Calibri"/>
          <w:color w:val="000000" w:themeColor="text1"/>
          <w:sz w:val="20"/>
          <w:szCs w:val="20"/>
        </w:rPr>
      </w:pPr>
    </w:p>
    <w:p w14:paraId="4C2A9C79" w14:textId="12D4B2AD" w:rsidR="00955DD7" w:rsidRPr="00764223" w:rsidRDefault="00955DD7" w:rsidP="00FB0FB2">
      <w:pPr>
        <w:spacing w:line="360" w:lineRule="auto"/>
        <w:rPr>
          <w:rFonts w:ascii="Calibri" w:hAnsi="Calibri" w:cs="Calibri"/>
          <w:b/>
          <w:bCs/>
          <w:sz w:val="20"/>
          <w:szCs w:val="20"/>
        </w:rPr>
      </w:pPr>
      <w:r w:rsidRPr="00764223">
        <w:rPr>
          <w:rFonts w:ascii="Calibri" w:hAnsi="Calibri" w:cs="Calibri"/>
          <w:color w:val="000000" w:themeColor="text1"/>
          <w:sz w:val="20"/>
          <w:szCs w:val="20"/>
        </w:rPr>
        <w:t xml:space="preserve">The genetic aetiology of isolated RFS is still being elucidated. In 2001, </w:t>
      </w:r>
      <w:proofErr w:type="spellStart"/>
      <w:r w:rsidRPr="00764223">
        <w:rPr>
          <w:rFonts w:ascii="Calibri" w:hAnsi="Calibri" w:cs="Calibri"/>
          <w:color w:val="000000" w:themeColor="text1"/>
          <w:sz w:val="20"/>
          <w:szCs w:val="20"/>
        </w:rPr>
        <w:t>Lichter-Konecki</w:t>
      </w:r>
      <w:proofErr w:type="spellEnd"/>
      <w:r w:rsidRPr="00764223">
        <w:rPr>
          <w:rFonts w:ascii="Calibri" w:hAnsi="Calibri" w:cs="Calibri"/>
          <w:color w:val="000000" w:themeColor="text1"/>
          <w:sz w:val="20"/>
          <w:szCs w:val="20"/>
        </w:rPr>
        <w:t xml:space="preserve"> </w:t>
      </w:r>
      <w:r w:rsidRPr="00764223">
        <w:rPr>
          <w:rFonts w:ascii="Calibri" w:hAnsi="Calibri" w:cs="Calibri"/>
          <w:i/>
          <w:iCs/>
          <w:color w:val="000000" w:themeColor="text1"/>
          <w:sz w:val="20"/>
          <w:szCs w:val="20"/>
        </w:rPr>
        <w:t>et al.</w:t>
      </w:r>
      <w:r w:rsidRPr="005764CE">
        <w:rPr>
          <w:rFonts w:ascii="Calibri" w:hAnsi="Calibri" w:cs="Calibri"/>
          <w:noProof/>
          <w:color w:val="000000" w:themeColor="text1"/>
          <w:sz w:val="20"/>
          <w:szCs w:val="20"/>
          <w:vertAlign w:val="superscript"/>
        </w:rPr>
        <w:t>1</w:t>
      </w:r>
      <w:r w:rsidRPr="00764223">
        <w:rPr>
          <w:rFonts w:ascii="Calibri" w:hAnsi="Calibri" w:cs="Calibri"/>
          <w:color w:val="000000" w:themeColor="text1"/>
          <w:sz w:val="20"/>
          <w:szCs w:val="20"/>
        </w:rPr>
        <w:t xml:space="preserve"> used genome-wide linkage analysis to map the locus of autosomal dominant RFS to chromosome 15q15.3; </w:t>
      </w:r>
      <w:r>
        <w:rPr>
          <w:rFonts w:ascii="Calibri" w:hAnsi="Calibri" w:cs="Calibri"/>
          <w:color w:val="000000" w:themeColor="text1"/>
          <w:sz w:val="20"/>
          <w:szCs w:val="20"/>
        </w:rPr>
        <w:t>at the time the pathogenic gene was unknown</w:t>
      </w:r>
      <w:r w:rsidRPr="00764223">
        <w:rPr>
          <w:rFonts w:ascii="Calibri" w:hAnsi="Calibri" w:cs="Calibri"/>
          <w:color w:val="000000" w:themeColor="text1"/>
          <w:sz w:val="20"/>
          <w:szCs w:val="20"/>
        </w:rPr>
        <w:t xml:space="preserve">. With advances in genomic sequencing technologies, further genes have been associated with isolated RFS including </w:t>
      </w:r>
      <w:r w:rsidRPr="00764223">
        <w:rPr>
          <w:rFonts w:ascii="Calibri" w:hAnsi="Calibri" w:cs="Calibri"/>
          <w:i/>
          <w:iCs/>
          <w:color w:val="000000" w:themeColor="text1"/>
          <w:sz w:val="20"/>
          <w:szCs w:val="20"/>
        </w:rPr>
        <w:t>SLC34A1</w:t>
      </w:r>
      <w:r>
        <w:rPr>
          <w:rFonts w:ascii="Calibri" w:hAnsi="Calibri" w:cs="Calibri"/>
          <w:i/>
          <w:iCs/>
          <w:color w:val="000000" w:themeColor="text1"/>
          <w:sz w:val="20"/>
          <w:szCs w:val="20"/>
        </w:rPr>
        <w:t>,</w:t>
      </w:r>
      <w:r w:rsidRPr="005764CE">
        <w:rPr>
          <w:rFonts w:ascii="Calibri" w:hAnsi="Calibri" w:cs="Calibri"/>
          <w:i/>
          <w:iCs/>
          <w:noProof/>
          <w:color w:val="000000" w:themeColor="text1"/>
          <w:sz w:val="20"/>
          <w:szCs w:val="20"/>
          <w:vertAlign w:val="superscript"/>
        </w:rPr>
        <w:t>2</w:t>
      </w:r>
      <w:r w:rsidRPr="00764223">
        <w:rPr>
          <w:rFonts w:ascii="Calibri" w:hAnsi="Calibri" w:cs="Calibri"/>
          <w:i/>
          <w:iCs/>
          <w:color w:val="000000" w:themeColor="text1"/>
          <w:sz w:val="20"/>
          <w:szCs w:val="20"/>
        </w:rPr>
        <w:t xml:space="preserve"> EHHADH,</w:t>
      </w:r>
      <w:r>
        <w:rPr>
          <w:rFonts w:ascii="Calibri" w:hAnsi="Calibri" w:cs="Calibri"/>
          <w:i/>
          <w:iCs/>
          <w:noProof/>
          <w:color w:val="000000" w:themeColor="text1"/>
          <w:sz w:val="20"/>
          <w:szCs w:val="20"/>
          <w:vertAlign w:val="superscript"/>
        </w:rPr>
        <w:t>3</w:t>
      </w:r>
      <w:r w:rsidRPr="00764223">
        <w:rPr>
          <w:rFonts w:ascii="Calibri" w:hAnsi="Calibri" w:cs="Calibri"/>
          <w:i/>
          <w:iCs/>
          <w:color w:val="000000" w:themeColor="text1"/>
          <w:sz w:val="20"/>
          <w:szCs w:val="20"/>
        </w:rPr>
        <w:t xml:space="preserve"> </w:t>
      </w:r>
      <w:r w:rsidRPr="00764223">
        <w:rPr>
          <w:rFonts w:ascii="Calibri" w:hAnsi="Calibri" w:cs="Calibri"/>
          <w:color w:val="000000" w:themeColor="text1"/>
          <w:sz w:val="20"/>
          <w:szCs w:val="20"/>
        </w:rPr>
        <w:t>and</w:t>
      </w:r>
      <w:r w:rsidRPr="00764223">
        <w:rPr>
          <w:rFonts w:ascii="Calibri" w:hAnsi="Calibri" w:cs="Calibri"/>
          <w:i/>
          <w:iCs/>
          <w:color w:val="000000" w:themeColor="text1"/>
          <w:sz w:val="20"/>
          <w:szCs w:val="20"/>
        </w:rPr>
        <w:t xml:space="preserve"> NDUFAF6</w:t>
      </w:r>
      <w:r w:rsidRPr="00764223">
        <w:rPr>
          <w:rFonts w:ascii="Calibri" w:hAnsi="Calibri" w:cs="Calibri"/>
          <w:color w:val="000000" w:themeColor="text1"/>
          <w:sz w:val="20"/>
          <w:szCs w:val="20"/>
        </w:rPr>
        <w:t>.</w:t>
      </w:r>
      <w:r w:rsidRPr="00787AEA">
        <w:rPr>
          <w:rFonts w:ascii="Calibri" w:hAnsi="Calibri" w:cs="Calibri"/>
          <w:noProof/>
          <w:color w:val="000000" w:themeColor="text1"/>
          <w:sz w:val="20"/>
          <w:szCs w:val="20"/>
          <w:vertAlign w:val="superscript"/>
        </w:rPr>
        <w:t>4</w:t>
      </w:r>
      <w:r w:rsidRPr="00764223">
        <w:rPr>
          <w:rFonts w:ascii="Calibri" w:hAnsi="Calibri" w:cs="Calibri"/>
          <w:color w:val="000000" w:themeColor="text1"/>
          <w:sz w:val="20"/>
          <w:szCs w:val="20"/>
        </w:rPr>
        <w:t xml:space="preserve"> </w:t>
      </w:r>
      <w:r>
        <w:rPr>
          <w:rFonts w:ascii="Calibri" w:hAnsi="Calibri" w:cs="Calibri"/>
          <w:color w:val="000000" w:themeColor="text1"/>
          <w:sz w:val="20"/>
          <w:szCs w:val="20"/>
        </w:rPr>
        <w:t>I</w:t>
      </w:r>
      <w:r w:rsidRPr="00764223">
        <w:rPr>
          <w:rFonts w:ascii="Calibri" w:hAnsi="Calibri" w:cs="Calibri"/>
          <w:color w:val="000000" w:themeColor="text1"/>
          <w:sz w:val="20"/>
          <w:szCs w:val="20"/>
        </w:rPr>
        <w:t xml:space="preserve">n 2018, </w:t>
      </w:r>
      <w:r>
        <w:rPr>
          <w:rFonts w:ascii="Calibri" w:hAnsi="Calibri" w:cs="Calibri"/>
          <w:color w:val="000000" w:themeColor="text1"/>
          <w:sz w:val="20"/>
          <w:szCs w:val="20"/>
        </w:rPr>
        <w:t xml:space="preserve">using linkage analysis and contemporary sequencing technologies, </w:t>
      </w:r>
      <w:proofErr w:type="spellStart"/>
      <w:r>
        <w:rPr>
          <w:rFonts w:ascii="Calibri" w:hAnsi="Calibri" w:cs="Calibri"/>
          <w:color w:val="000000" w:themeColor="text1"/>
          <w:sz w:val="20"/>
          <w:szCs w:val="20"/>
        </w:rPr>
        <w:t>Reichold</w:t>
      </w:r>
      <w:proofErr w:type="spellEnd"/>
      <w:r>
        <w:rPr>
          <w:rFonts w:ascii="Calibri" w:hAnsi="Calibri" w:cs="Calibri"/>
          <w:color w:val="000000" w:themeColor="text1"/>
          <w:sz w:val="20"/>
          <w:szCs w:val="20"/>
        </w:rPr>
        <w:t xml:space="preserve"> </w:t>
      </w:r>
      <w:r w:rsidRPr="0057326D">
        <w:rPr>
          <w:rFonts w:ascii="Calibri" w:hAnsi="Calibri" w:cs="Calibri"/>
          <w:i/>
          <w:iCs/>
          <w:color w:val="000000" w:themeColor="text1"/>
          <w:sz w:val="20"/>
          <w:szCs w:val="20"/>
        </w:rPr>
        <w:t>et al.</w:t>
      </w:r>
      <w:r w:rsidRPr="00787AEA">
        <w:rPr>
          <w:rFonts w:ascii="Calibri" w:hAnsi="Calibri" w:cs="Calibri"/>
          <w:i/>
          <w:iCs/>
          <w:noProof/>
          <w:color w:val="000000" w:themeColor="text1"/>
          <w:sz w:val="20"/>
          <w:szCs w:val="20"/>
          <w:vertAlign w:val="superscript"/>
        </w:rPr>
        <w:t>5</w:t>
      </w:r>
      <w:r>
        <w:rPr>
          <w:rFonts w:ascii="Calibri" w:hAnsi="Calibri" w:cs="Calibri"/>
          <w:color w:val="000000" w:themeColor="text1"/>
          <w:sz w:val="20"/>
          <w:szCs w:val="20"/>
        </w:rPr>
        <w:t xml:space="preserve"> identified </w:t>
      </w:r>
      <w:r w:rsidRPr="0057326D">
        <w:rPr>
          <w:rFonts w:ascii="Calibri" w:hAnsi="Calibri" w:cs="Calibri"/>
          <w:i/>
          <w:iCs/>
          <w:color w:val="000000" w:themeColor="text1"/>
          <w:sz w:val="20"/>
          <w:szCs w:val="20"/>
        </w:rPr>
        <w:t>GATM</w:t>
      </w:r>
      <w:r>
        <w:rPr>
          <w:rFonts w:ascii="Calibri" w:hAnsi="Calibri" w:cs="Calibri"/>
          <w:color w:val="000000" w:themeColor="text1"/>
          <w:sz w:val="20"/>
          <w:szCs w:val="20"/>
        </w:rPr>
        <w:t xml:space="preserve"> as the causal gene in the 15q15.3 locus. </w:t>
      </w:r>
      <w:r w:rsidRPr="0057326D">
        <w:rPr>
          <w:rFonts w:ascii="Calibri" w:hAnsi="Calibri" w:cs="Calibri"/>
          <w:i/>
          <w:iCs/>
          <w:color w:val="000000" w:themeColor="text1"/>
          <w:sz w:val="20"/>
          <w:szCs w:val="20"/>
        </w:rPr>
        <w:t xml:space="preserve">GATM </w:t>
      </w:r>
      <w:r>
        <w:rPr>
          <w:rFonts w:ascii="Calibri" w:hAnsi="Calibri" w:cs="Calibri"/>
          <w:color w:val="000000" w:themeColor="text1"/>
          <w:sz w:val="20"/>
          <w:szCs w:val="20"/>
        </w:rPr>
        <w:t xml:space="preserve">was previously missed by </w:t>
      </w:r>
      <w:proofErr w:type="spellStart"/>
      <w:r>
        <w:rPr>
          <w:rFonts w:ascii="Calibri" w:hAnsi="Calibri" w:cs="Calibri"/>
          <w:color w:val="000000" w:themeColor="text1"/>
          <w:sz w:val="20"/>
          <w:szCs w:val="20"/>
        </w:rPr>
        <w:t>Lichter-Konecki</w:t>
      </w:r>
      <w:proofErr w:type="spellEnd"/>
      <w:r>
        <w:rPr>
          <w:rFonts w:ascii="Calibri" w:hAnsi="Calibri" w:cs="Calibri"/>
          <w:color w:val="000000" w:themeColor="text1"/>
          <w:sz w:val="20"/>
          <w:szCs w:val="20"/>
        </w:rPr>
        <w:t xml:space="preserve"> </w:t>
      </w:r>
      <w:r w:rsidRPr="0057326D">
        <w:rPr>
          <w:rFonts w:ascii="Calibri" w:hAnsi="Calibri" w:cs="Calibri"/>
          <w:i/>
          <w:iCs/>
          <w:color w:val="000000" w:themeColor="text1"/>
          <w:sz w:val="20"/>
          <w:szCs w:val="20"/>
        </w:rPr>
        <w:t>et al</w:t>
      </w:r>
      <w:r>
        <w:rPr>
          <w:rFonts w:ascii="Calibri" w:hAnsi="Calibri" w:cs="Calibri"/>
          <w:color w:val="000000" w:themeColor="text1"/>
          <w:sz w:val="20"/>
          <w:szCs w:val="20"/>
        </w:rPr>
        <w:t xml:space="preserve">. as they had erroneously excluded flanking markers which excluded </w:t>
      </w:r>
      <w:r w:rsidRPr="0057326D">
        <w:rPr>
          <w:rFonts w:ascii="Calibri" w:hAnsi="Calibri" w:cs="Calibri"/>
          <w:i/>
          <w:iCs/>
          <w:color w:val="000000" w:themeColor="text1"/>
          <w:sz w:val="20"/>
          <w:szCs w:val="20"/>
        </w:rPr>
        <w:t>GATM</w:t>
      </w:r>
      <w:r>
        <w:rPr>
          <w:rFonts w:ascii="Calibri" w:hAnsi="Calibri" w:cs="Calibri"/>
          <w:color w:val="000000" w:themeColor="text1"/>
          <w:sz w:val="20"/>
          <w:szCs w:val="20"/>
        </w:rPr>
        <w:t>.</w:t>
      </w:r>
    </w:p>
    <w:p w14:paraId="19C1B01E" w14:textId="77777777" w:rsidR="00955DD7" w:rsidRPr="00764223" w:rsidRDefault="00955DD7">
      <w:pPr>
        <w:rPr>
          <w:rFonts w:ascii="Calibri" w:hAnsi="Calibri" w:cs="Calibri"/>
        </w:rPr>
      </w:pPr>
    </w:p>
    <w:p w14:paraId="368E2BE4" w14:textId="77777777" w:rsidR="00955DD7" w:rsidRPr="00764223" w:rsidRDefault="00955DD7">
      <w:pPr>
        <w:rPr>
          <w:rFonts w:ascii="Calibri" w:hAnsi="Calibri" w:cs="Calibri"/>
          <w:b/>
          <w:bCs/>
        </w:rPr>
      </w:pPr>
      <w:r w:rsidRPr="00764223">
        <w:rPr>
          <w:rFonts w:ascii="Calibri" w:hAnsi="Calibri" w:cs="Calibri"/>
          <w:b/>
          <w:bCs/>
        </w:rPr>
        <w:t>Clinical history</w:t>
      </w:r>
    </w:p>
    <w:p w14:paraId="07369E20" w14:textId="77777777" w:rsidR="00955DD7" w:rsidRPr="00764223" w:rsidRDefault="00955DD7">
      <w:pPr>
        <w:rPr>
          <w:rFonts w:ascii="Calibri" w:hAnsi="Calibri" w:cs="Calibri"/>
        </w:rPr>
      </w:pPr>
    </w:p>
    <w:p w14:paraId="555CF25D" w14:textId="23416301" w:rsidR="00955DD7" w:rsidRPr="00764223" w:rsidRDefault="00955DD7" w:rsidP="00B17717">
      <w:pPr>
        <w:spacing w:line="360" w:lineRule="auto"/>
        <w:rPr>
          <w:rFonts w:ascii="Calibri" w:hAnsi="Calibri" w:cs="Calibri"/>
          <w:color w:val="000000"/>
          <w:sz w:val="20"/>
          <w:szCs w:val="20"/>
        </w:rPr>
      </w:pPr>
      <w:r w:rsidRPr="00764223">
        <w:rPr>
          <w:rFonts w:ascii="Calibri" w:hAnsi="Calibri" w:cs="Calibri"/>
          <w:color w:val="000000"/>
          <w:sz w:val="20"/>
          <w:szCs w:val="20"/>
        </w:rPr>
        <w:t>A 10-year</w:t>
      </w:r>
      <w:r>
        <w:rPr>
          <w:rFonts w:ascii="Calibri" w:hAnsi="Calibri" w:cs="Calibri"/>
          <w:color w:val="000000"/>
          <w:sz w:val="20"/>
          <w:szCs w:val="20"/>
        </w:rPr>
        <w:t>-</w:t>
      </w:r>
      <w:r w:rsidRPr="00764223">
        <w:rPr>
          <w:rFonts w:ascii="Calibri" w:hAnsi="Calibri" w:cs="Calibri"/>
          <w:color w:val="000000"/>
          <w:sz w:val="20"/>
          <w:szCs w:val="20"/>
        </w:rPr>
        <w:t xml:space="preserve">old </w:t>
      </w:r>
      <w:r>
        <w:rPr>
          <w:rFonts w:ascii="Calibri" w:hAnsi="Calibri" w:cs="Calibri"/>
          <w:color w:val="000000"/>
          <w:sz w:val="20"/>
          <w:szCs w:val="20"/>
        </w:rPr>
        <w:t>white</w:t>
      </w:r>
      <w:r w:rsidRPr="00764223">
        <w:rPr>
          <w:rFonts w:ascii="Calibri" w:hAnsi="Calibri" w:cs="Calibri"/>
          <w:color w:val="000000"/>
          <w:sz w:val="20"/>
          <w:szCs w:val="20"/>
        </w:rPr>
        <w:t xml:space="preserve"> female</w:t>
      </w:r>
      <w:r>
        <w:rPr>
          <w:rFonts w:ascii="Calibri" w:hAnsi="Calibri" w:cs="Calibri"/>
          <w:color w:val="000000"/>
          <w:sz w:val="20"/>
          <w:szCs w:val="20"/>
        </w:rPr>
        <w:t xml:space="preserve"> presented with bilateral knee pain. Screening blood tests showed a raised plasma creatinine with an eGFR of</w:t>
      </w:r>
      <w:r w:rsidRPr="00764223">
        <w:rPr>
          <w:rFonts w:ascii="Calibri" w:hAnsi="Calibri" w:cs="Calibri"/>
          <w:color w:val="000000"/>
          <w:sz w:val="20"/>
          <w:szCs w:val="20"/>
        </w:rPr>
        <w:t xml:space="preserve"> 65 ml/min/1.73m</w:t>
      </w:r>
      <w:r w:rsidRPr="00764223">
        <w:rPr>
          <w:rFonts w:ascii="Calibri" w:hAnsi="Calibri" w:cs="Calibri"/>
          <w:color w:val="000000"/>
          <w:sz w:val="20"/>
          <w:szCs w:val="20"/>
          <w:vertAlign w:val="superscript"/>
        </w:rPr>
        <w:t>2</w:t>
      </w:r>
      <w:r>
        <w:rPr>
          <w:rFonts w:ascii="Calibri" w:hAnsi="Calibri" w:cs="Calibri"/>
          <w:color w:val="000000"/>
          <w:sz w:val="20"/>
          <w:szCs w:val="20"/>
        </w:rPr>
        <w:t>. She</w:t>
      </w:r>
      <w:r w:rsidRPr="00764223">
        <w:rPr>
          <w:rFonts w:ascii="Calibri" w:hAnsi="Calibri" w:cs="Calibri"/>
          <w:color w:val="000000"/>
          <w:sz w:val="20"/>
          <w:szCs w:val="20"/>
          <w:vertAlign w:val="superscript"/>
        </w:rPr>
        <w:t xml:space="preserve"> </w:t>
      </w:r>
      <w:r w:rsidRPr="00764223">
        <w:rPr>
          <w:rFonts w:ascii="Calibri" w:hAnsi="Calibri" w:cs="Calibri"/>
          <w:color w:val="000000"/>
          <w:sz w:val="20"/>
          <w:szCs w:val="20"/>
        </w:rPr>
        <w:t xml:space="preserve">was referred to Southampton’s paediatric </w:t>
      </w:r>
      <w:r>
        <w:rPr>
          <w:rFonts w:ascii="Calibri" w:hAnsi="Calibri" w:cs="Calibri"/>
          <w:color w:val="000000"/>
          <w:sz w:val="20"/>
          <w:szCs w:val="20"/>
        </w:rPr>
        <w:t>nephrology</w:t>
      </w:r>
      <w:r w:rsidRPr="00764223">
        <w:rPr>
          <w:rFonts w:ascii="Calibri" w:hAnsi="Calibri" w:cs="Calibri"/>
          <w:color w:val="000000"/>
          <w:sz w:val="20"/>
          <w:szCs w:val="20"/>
        </w:rPr>
        <w:t xml:space="preserve"> service</w:t>
      </w:r>
      <w:r>
        <w:rPr>
          <w:rFonts w:ascii="Calibri" w:hAnsi="Calibri" w:cs="Calibri"/>
          <w:color w:val="000000"/>
          <w:sz w:val="20"/>
          <w:szCs w:val="20"/>
        </w:rPr>
        <w:t>.</w:t>
      </w:r>
      <w:r w:rsidRPr="00764223">
        <w:rPr>
          <w:rFonts w:ascii="Calibri" w:hAnsi="Calibri" w:cs="Calibri"/>
          <w:color w:val="000000"/>
          <w:sz w:val="20"/>
          <w:szCs w:val="20"/>
        </w:rPr>
        <w:t xml:space="preserve"> </w:t>
      </w:r>
      <w:r>
        <w:rPr>
          <w:rFonts w:ascii="Calibri" w:hAnsi="Calibri" w:cs="Calibri"/>
          <w:color w:val="000000"/>
          <w:sz w:val="20"/>
          <w:szCs w:val="20"/>
        </w:rPr>
        <w:t>H</w:t>
      </w:r>
      <w:r w:rsidRPr="00764223">
        <w:rPr>
          <w:rFonts w:ascii="Calibri" w:hAnsi="Calibri" w:cs="Calibri"/>
          <w:color w:val="000000"/>
          <w:sz w:val="20"/>
          <w:szCs w:val="20"/>
        </w:rPr>
        <w:t xml:space="preserve">er mother </w:t>
      </w:r>
      <w:r>
        <w:rPr>
          <w:rFonts w:ascii="Calibri" w:hAnsi="Calibri" w:cs="Calibri"/>
          <w:color w:val="000000"/>
          <w:sz w:val="20"/>
          <w:szCs w:val="20"/>
        </w:rPr>
        <w:t xml:space="preserve">presented at a similar age </w:t>
      </w:r>
      <w:r w:rsidRPr="00764223">
        <w:rPr>
          <w:rFonts w:ascii="Calibri" w:hAnsi="Calibri" w:cs="Calibri"/>
          <w:color w:val="000000"/>
          <w:sz w:val="20"/>
          <w:szCs w:val="20"/>
        </w:rPr>
        <w:t>with</w:t>
      </w:r>
      <w:r>
        <w:rPr>
          <w:rFonts w:ascii="Calibri" w:hAnsi="Calibri" w:cs="Calibri"/>
          <w:color w:val="000000"/>
          <w:sz w:val="20"/>
          <w:szCs w:val="20"/>
        </w:rPr>
        <w:t xml:space="preserve"> leg pain,</w:t>
      </w:r>
      <w:r w:rsidRPr="00764223">
        <w:rPr>
          <w:rFonts w:ascii="Calibri" w:hAnsi="Calibri" w:cs="Calibri"/>
          <w:color w:val="000000"/>
          <w:sz w:val="20"/>
          <w:szCs w:val="20"/>
        </w:rPr>
        <w:t xml:space="preserve"> </w:t>
      </w:r>
      <w:proofErr w:type="gramStart"/>
      <w:r w:rsidRPr="00764223">
        <w:rPr>
          <w:rFonts w:ascii="Calibri" w:hAnsi="Calibri" w:cs="Calibri"/>
          <w:color w:val="000000"/>
          <w:sz w:val="20"/>
          <w:szCs w:val="20"/>
        </w:rPr>
        <w:t>polyuria</w:t>
      </w:r>
      <w:proofErr w:type="gramEnd"/>
      <w:r w:rsidRPr="00764223">
        <w:rPr>
          <w:rFonts w:ascii="Calibri" w:hAnsi="Calibri" w:cs="Calibri"/>
          <w:color w:val="000000"/>
          <w:sz w:val="20"/>
          <w:szCs w:val="20"/>
        </w:rPr>
        <w:t xml:space="preserve"> and polydipsia</w:t>
      </w:r>
      <w:r>
        <w:rPr>
          <w:rFonts w:ascii="Calibri" w:hAnsi="Calibri" w:cs="Calibri"/>
          <w:color w:val="000000"/>
          <w:sz w:val="20"/>
          <w:szCs w:val="20"/>
        </w:rPr>
        <w:t>.</w:t>
      </w:r>
      <w:r w:rsidRPr="00764223">
        <w:rPr>
          <w:rFonts w:ascii="Calibri" w:hAnsi="Calibri" w:cs="Calibri"/>
          <w:color w:val="000000"/>
          <w:sz w:val="20"/>
          <w:szCs w:val="20"/>
        </w:rPr>
        <w:t xml:space="preserve"> </w:t>
      </w:r>
      <w:r>
        <w:rPr>
          <w:rFonts w:ascii="Calibri" w:hAnsi="Calibri" w:cs="Calibri"/>
          <w:color w:val="000000"/>
          <w:sz w:val="20"/>
          <w:szCs w:val="20"/>
        </w:rPr>
        <w:t>Aged 14, she was found to have rickets and was referred for further investigation</w:t>
      </w:r>
      <w:r w:rsidRPr="00764223">
        <w:rPr>
          <w:rFonts w:ascii="Calibri" w:hAnsi="Calibri" w:cs="Calibri"/>
          <w:color w:val="000000"/>
          <w:sz w:val="20"/>
          <w:szCs w:val="20"/>
        </w:rPr>
        <w:t>.</w:t>
      </w:r>
      <w:r>
        <w:rPr>
          <w:rFonts w:ascii="Calibri" w:hAnsi="Calibri" w:cs="Calibri"/>
          <w:color w:val="000000"/>
          <w:sz w:val="20"/>
          <w:szCs w:val="20"/>
        </w:rPr>
        <w:t xml:space="preserve"> These confirmed RFS with a plasma creatinine concentration of </w:t>
      </w:r>
      <w:r>
        <w:rPr>
          <w:rFonts w:ascii="Calibri" w:hAnsi="Calibri" w:cs="Calibri"/>
          <w:color w:val="000000"/>
          <w:sz w:val="20"/>
          <w:szCs w:val="20"/>
        </w:rPr>
        <w:lastRenderedPageBreak/>
        <w:t>53 µmol/L. Aged 17 her plasma creatinine concentration had risen to 104 µmol/L and her GFR measured by EDTA plasma disappearance was 57 ml/min/1.</w:t>
      </w:r>
      <w:r w:rsidRPr="00BA4525">
        <w:rPr>
          <w:rFonts w:ascii="Calibri" w:hAnsi="Calibri" w:cs="Calibri"/>
          <w:color w:val="000000"/>
          <w:sz w:val="20"/>
          <w:szCs w:val="20"/>
        </w:rPr>
        <w:t>73m</w:t>
      </w:r>
      <w:r w:rsidRPr="003B3A24">
        <w:rPr>
          <w:rFonts w:ascii="Calibri" w:hAnsi="Calibri" w:cs="Calibri"/>
          <w:color w:val="000000"/>
          <w:sz w:val="20"/>
          <w:szCs w:val="20"/>
          <w:vertAlign w:val="superscript"/>
        </w:rPr>
        <w:t>2</w:t>
      </w:r>
      <w:r>
        <w:rPr>
          <w:rFonts w:ascii="Calibri" w:hAnsi="Calibri" w:cs="Calibri"/>
          <w:color w:val="000000"/>
          <w:sz w:val="20"/>
          <w:szCs w:val="20"/>
        </w:rPr>
        <w:t>. She</w:t>
      </w:r>
      <w:r w:rsidRPr="00764223">
        <w:rPr>
          <w:rFonts w:ascii="Calibri" w:hAnsi="Calibri" w:cs="Calibri"/>
          <w:color w:val="000000"/>
          <w:sz w:val="20"/>
          <w:szCs w:val="20"/>
        </w:rPr>
        <w:t xml:space="preserve"> progressed to end-stage kidney disease </w:t>
      </w:r>
      <w:r>
        <w:rPr>
          <w:rFonts w:ascii="Calibri" w:hAnsi="Calibri" w:cs="Calibri"/>
          <w:color w:val="000000"/>
          <w:sz w:val="20"/>
          <w:szCs w:val="20"/>
        </w:rPr>
        <w:t>and</w:t>
      </w:r>
      <w:r w:rsidRPr="00764223">
        <w:rPr>
          <w:rFonts w:ascii="Calibri" w:hAnsi="Calibri" w:cs="Calibri"/>
          <w:color w:val="000000"/>
          <w:sz w:val="20"/>
          <w:szCs w:val="20"/>
        </w:rPr>
        <w:t xml:space="preserve"> had a live, unrelated kidney transplant in 2020 (aged 3</w:t>
      </w:r>
      <w:r>
        <w:rPr>
          <w:rFonts w:ascii="Calibri" w:hAnsi="Calibri" w:cs="Calibri"/>
          <w:color w:val="000000"/>
          <w:sz w:val="20"/>
          <w:szCs w:val="20"/>
        </w:rPr>
        <w:t>8</w:t>
      </w:r>
      <w:r w:rsidRPr="00764223">
        <w:rPr>
          <w:rFonts w:ascii="Calibri" w:hAnsi="Calibri" w:cs="Calibri"/>
          <w:color w:val="000000"/>
          <w:sz w:val="20"/>
          <w:szCs w:val="20"/>
        </w:rPr>
        <w:t>).</w:t>
      </w:r>
      <w:r>
        <w:rPr>
          <w:rFonts w:ascii="Calibri" w:hAnsi="Calibri" w:cs="Calibri"/>
          <w:color w:val="000000"/>
          <w:sz w:val="20"/>
          <w:szCs w:val="20"/>
        </w:rPr>
        <w:t xml:space="preserve"> Neither of the maternal grandparents had any features to suggest RFS and neither developed chronic kidney disease. A maternal uncle had completely normal kidney function.</w:t>
      </w:r>
    </w:p>
    <w:p w14:paraId="69CAB139" w14:textId="77777777" w:rsidR="00955DD7" w:rsidRDefault="00955DD7" w:rsidP="0044655B">
      <w:pPr>
        <w:spacing w:line="360" w:lineRule="auto"/>
        <w:rPr>
          <w:rFonts w:ascii="Calibri" w:hAnsi="Calibri" w:cs="Calibri"/>
          <w:color w:val="000000"/>
          <w:sz w:val="20"/>
          <w:szCs w:val="20"/>
        </w:rPr>
      </w:pPr>
    </w:p>
    <w:p w14:paraId="1FFDD6F0" w14:textId="55EE549B" w:rsidR="00955DD7" w:rsidRDefault="00955DD7" w:rsidP="0044655B">
      <w:pPr>
        <w:spacing w:line="360" w:lineRule="auto"/>
        <w:rPr>
          <w:rFonts w:ascii="Calibri" w:hAnsi="Calibri" w:cs="Calibri"/>
          <w:color w:val="000000"/>
          <w:sz w:val="20"/>
          <w:szCs w:val="20"/>
        </w:rPr>
      </w:pPr>
      <w:r w:rsidRPr="00764223">
        <w:rPr>
          <w:rFonts w:ascii="Calibri" w:hAnsi="Calibri" w:cs="Calibri"/>
          <w:color w:val="000000"/>
          <w:sz w:val="20"/>
          <w:szCs w:val="20"/>
        </w:rPr>
        <w:t>Biochemical investigations</w:t>
      </w:r>
      <w:r>
        <w:rPr>
          <w:rFonts w:ascii="Calibri" w:hAnsi="Calibri" w:cs="Calibri"/>
          <w:color w:val="000000"/>
          <w:sz w:val="20"/>
          <w:szCs w:val="20"/>
        </w:rPr>
        <w:t xml:space="preserve"> of the presenting daughter</w:t>
      </w:r>
      <w:r w:rsidRPr="00764223">
        <w:rPr>
          <w:rFonts w:ascii="Calibri" w:hAnsi="Calibri" w:cs="Calibri"/>
          <w:color w:val="000000"/>
          <w:sz w:val="20"/>
          <w:szCs w:val="20"/>
        </w:rPr>
        <w:t xml:space="preserve"> </w:t>
      </w:r>
      <w:r>
        <w:rPr>
          <w:rFonts w:ascii="Calibri" w:hAnsi="Calibri" w:cs="Calibri"/>
          <w:color w:val="000000"/>
          <w:sz w:val="20"/>
          <w:szCs w:val="20"/>
        </w:rPr>
        <w:t>revealed</w:t>
      </w:r>
      <w:r w:rsidRPr="00764223">
        <w:rPr>
          <w:rFonts w:ascii="Calibri" w:hAnsi="Calibri" w:cs="Calibri"/>
          <w:color w:val="000000"/>
          <w:sz w:val="20"/>
          <w:szCs w:val="20"/>
        </w:rPr>
        <w:t xml:space="preserve"> low </w:t>
      </w:r>
      <w:r>
        <w:rPr>
          <w:rFonts w:ascii="Calibri" w:hAnsi="Calibri" w:cs="Calibri"/>
          <w:color w:val="000000"/>
          <w:sz w:val="20"/>
          <w:szCs w:val="20"/>
        </w:rPr>
        <w:t>plasma</w:t>
      </w:r>
      <w:r w:rsidRPr="00764223">
        <w:rPr>
          <w:rFonts w:ascii="Calibri" w:hAnsi="Calibri" w:cs="Calibri"/>
          <w:color w:val="000000"/>
          <w:sz w:val="20"/>
          <w:szCs w:val="20"/>
        </w:rPr>
        <w:t xml:space="preserve"> concentrations of bicarbonate (13 mmol/L), </w:t>
      </w:r>
      <w:r>
        <w:rPr>
          <w:rFonts w:ascii="Calibri" w:hAnsi="Calibri" w:cs="Calibri"/>
          <w:color w:val="000000"/>
          <w:sz w:val="20"/>
          <w:szCs w:val="20"/>
        </w:rPr>
        <w:t>potassium</w:t>
      </w:r>
      <w:r w:rsidRPr="00764223">
        <w:rPr>
          <w:rFonts w:ascii="Calibri" w:hAnsi="Calibri" w:cs="Calibri"/>
          <w:color w:val="000000"/>
          <w:sz w:val="20"/>
          <w:szCs w:val="20"/>
        </w:rPr>
        <w:t xml:space="preserve"> (</w:t>
      </w:r>
      <w:r>
        <w:rPr>
          <w:rFonts w:ascii="Calibri" w:hAnsi="Calibri" w:cs="Calibri"/>
          <w:color w:val="000000"/>
          <w:sz w:val="20"/>
          <w:szCs w:val="20"/>
        </w:rPr>
        <w:t>3.3</w:t>
      </w:r>
      <w:r w:rsidRPr="00764223">
        <w:rPr>
          <w:rFonts w:ascii="Calibri" w:hAnsi="Calibri" w:cs="Calibri"/>
          <w:color w:val="000000"/>
          <w:sz w:val="20"/>
          <w:szCs w:val="20"/>
        </w:rPr>
        <w:t xml:space="preserve"> mmol/L), and inorganic phosphate (0.89 mmol/L). </w:t>
      </w:r>
      <w:r>
        <w:rPr>
          <w:rFonts w:ascii="Calibri" w:hAnsi="Calibri" w:cs="Calibri"/>
          <w:color w:val="000000"/>
          <w:sz w:val="20"/>
          <w:szCs w:val="20"/>
        </w:rPr>
        <w:t>Urinary protein/creatinine</w:t>
      </w:r>
      <w:r w:rsidRPr="00764223">
        <w:rPr>
          <w:rFonts w:ascii="Calibri" w:hAnsi="Calibri" w:cs="Calibri"/>
          <w:color w:val="000000"/>
          <w:sz w:val="20"/>
          <w:szCs w:val="20"/>
        </w:rPr>
        <w:t xml:space="preserve"> ratio was elevated (124 mg/mmol) and her lactate was raised at 2.5 mmol/L. Alkaline phosphatase was also raised (540 U/L). Plasma glucose, sodium, magnesium, and parathyroid hormone were within normal ranges. She had heavy generalised aminoaciduria and raised</w:t>
      </w:r>
      <w:r>
        <w:rPr>
          <w:rFonts w:ascii="Calibri" w:hAnsi="Calibri" w:cs="Calibri"/>
          <w:color w:val="000000"/>
          <w:sz w:val="20"/>
          <w:szCs w:val="20"/>
        </w:rPr>
        <w:t xml:space="preserve"> urinary</w:t>
      </w:r>
      <w:r w:rsidRPr="00764223">
        <w:rPr>
          <w:rFonts w:ascii="Calibri" w:hAnsi="Calibri" w:cs="Calibri"/>
          <w:color w:val="000000"/>
          <w:sz w:val="20"/>
          <w:szCs w:val="20"/>
        </w:rPr>
        <w:t xml:space="preserve"> retinol binding protein/creatinine ratio (3850 ug/mmol; normal range 3.9-32 ug/mmol). She </w:t>
      </w:r>
      <w:r>
        <w:rPr>
          <w:rFonts w:ascii="Calibri" w:hAnsi="Calibri" w:cs="Calibri"/>
          <w:color w:val="000000"/>
          <w:sz w:val="20"/>
          <w:szCs w:val="20"/>
        </w:rPr>
        <w:t>had intermittent</w:t>
      </w:r>
      <w:r w:rsidRPr="00764223">
        <w:rPr>
          <w:rFonts w:ascii="Calibri" w:hAnsi="Calibri" w:cs="Calibri"/>
          <w:color w:val="000000"/>
          <w:sz w:val="20"/>
          <w:szCs w:val="20"/>
        </w:rPr>
        <w:t xml:space="preserve"> glucosuria. </w:t>
      </w:r>
      <w:r>
        <w:rPr>
          <w:rFonts w:ascii="Calibri" w:hAnsi="Calibri" w:cs="Calibri"/>
          <w:color w:val="000000"/>
          <w:sz w:val="20"/>
          <w:szCs w:val="20"/>
        </w:rPr>
        <w:t>A lower limb</w:t>
      </w:r>
      <w:r w:rsidRPr="00764223">
        <w:rPr>
          <w:rFonts w:ascii="Calibri" w:hAnsi="Calibri" w:cs="Calibri"/>
          <w:color w:val="000000"/>
          <w:sz w:val="20"/>
          <w:szCs w:val="20"/>
        </w:rPr>
        <w:t xml:space="preserve"> X-ray revealed widening of the distal femoral and proximal tibial growth plates suggestive of rickets</w:t>
      </w:r>
      <w:r>
        <w:rPr>
          <w:rFonts w:ascii="Calibri" w:hAnsi="Calibri" w:cs="Calibri"/>
          <w:color w:val="000000"/>
          <w:sz w:val="20"/>
          <w:szCs w:val="20"/>
        </w:rPr>
        <w:t>. Upper limb</w:t>
      </w:r>
      <w:r w:rsidRPr="00764223">
        <w:rPr>
          <w:rFonts w:ascii="Calibri" w:hAnsi="Calibri" w:cs="Calibri"/>
          <w:color w:val="000000"/>
          <w:sz w:val="20"/>
          <w:szCs w:val="20"/>
        </w:rPr>
        <w:t xml:space="preserve"> X-rays were unremarkable. Abdominal and </w:t>
      </w:r>
      <w:r>
        <w:rPr>
          <w:rFonts w:ascii="Calibri" w:hAnsi="Calibri" w:cs="Calibri"/>
          <w:color w:val="000000"/>
          <w:sz w:val="20"/>
          <w:szCs w:val="20"/>
        </w:rPr>
        <w:t>kidney</w:t>
      </w:r>
      <w:r w:rsidRPr="00764223">
        <w:rPr>
          <w:rFonts w:ascii="Calibri" w:hAnsi="Calibri" w:cs="Calibri"/>
          <w:color w:val="000000"/>
          <w:sz w:val="20"/>
          <w:szCs w:val="20"/>
        </w:rPr>
        <w:t xml:space="preserve"> ultrasound scan revealed bilateral medullary </w:t>
      </w:r>
      <w:proofErr w:type="spellStart"/>
      <w:r w:rsidRPr="00764223">
        <w:rPr>
          <w:rFonts w:ascii="Calibri" w:hAnsi="Calibri" w:cs="Calibri"/>
          <w:color w:val="000000"/>
          <w:sz w:val="20"/>
          <w:szCs w:val="20"/>
        </w:rPr>
        <w:t>nephrocalcinosis</w:t>
      </w:r>
      <w:proofErr w:type="spellEnd"/>
      <w:r w:rsidRPr="00764223">
        <w:rPr>
          <w:rFonts w:ascii="Calibri" w:hAnsi="Calibri" w:cs="Calibri"/>
          <w:color w:val="000000"/>
          <w:sz w:val="20"/>
          <w:szCs w:val="20"/>
        </w:rPr>
        <w:t xml:space="preserve">. There were no other features to suggest a mitochondrial disorder. Normal white blood cell cystine (0.05 </w:t>
      </w:r>
      <w:r>
        <w:rPr>
          <w:rFonts w:ascii="Calibri" w:hAnsi="Calibri" w:cs="Calibri"/>
          <w:color w:val="000000"/>
          <w:sz w:val="20"/>
          <w:szCs w:val="20"/>
        </w:rPr>
        <w:t>nmol ½</w:t>
      </w:r>
      <w:r w:rsidRPr="00764223">
        <w:rPr>
          <w:rFonts w:ascii="Calibri" w:hAnsi="Calibri" w:cs="Calibri"/>
          <w:color w:val="000000"/>
          <w:sz w:val="20"/>
          <w:szCs w:val="20"/>
        </w:rPr>
        <w:t xml:space="preserve">cystine per mg protein) excluded cystinosis. Fructose intolerance was excluded due to absence of jaundice or vomiting. </w:t>
      </w:r>
      <w:proofErr w:type="spellStart"/>
      <w:r w:rsidRPr="00764223">
        <w:rPr>
          <w:rFonts w:ascii="Calibri" w:hAnsi="Calibri" w:cs="Calibri"/>
          <w:color w:val="000000"/>
          <w:sz w:val="20"/>
          <w:szCs w:val="20"/>
        </w:rPr>
        <w:t>Galactosaemia</w:t>
      </w:r>
      <w:proofErr w:type="spellEnd"/>
      <w:r w:rsidRPr="00764223">
        <w:rPr>
          <w:rFonts w:ascii="Calibri" w:hAnsi="Calibri" w:cs="Calibri"/>
          <w:color w:val="000000"/>
          <w:sz w:val="20"/>
          <w:szCs w:val="20"/>
        </w:rPr>
        <w:t xml:space="preserve"> was ruled out due to absence of cataracts and hepatosplenomegaly. Absence of </w:t>
      </w:r>
      <w:r>
        <w:rPr>
          <w:rFonts w:ascii="Calibri" w:hAnsi="Calibri" w:cs="Calibri"/>
          <w:color w:val="000000"/>
          <w:sz w:val="20"/>
          <w:szCs w:val="20"/>
        </w:rPr>
        <w:t xml:space="preserve">persistent </w:t>
      </w:r>
      <w:r w:rsidRPr="00764223">
        <w:rPr>
          <w:rFonts w:ascii="Calibri" w:hAnsi="Calibri" w:cs="Calibri"/>
          <w:color w:val="000000"/>
          <w:sz w:val="20"/>
          <w:szCs w:val="20"/>
        </w:rPr>
        <w:t xml:space="preserve">glycosuria, hypoglycaemia, and hepatomegaly excluded Fanconi-Bickel syndrome. Therefore, the patient was diagnosed with RFS of unknown aetiology. However, with her mother’s progression to end-stage </w:t>
      </w:r>
      <w:r>
        <w:rPr>
          <w:rFonts w:ascii="Calibri" w:hAnsi="Calibri" w:cs="Calibri"/>
          <w:color w:val="000000"/>
          <w:sz w:val="20"/>
          <w:szCs w:val="20"/>
        </w:rPr>
        <w:t>kidney</w:t>
      </w:r>
      <w:r w:rsidRPr="00764223">
        <w:rPr>
          <w:rFonts w:ascii="Calibri" w:hAnsi="Calibri" w:cs="Calibri"/>
          <w:color w:val="000000"/>
          <w:sz w:val="20"/>
          <w:szCs w:val="20"/>
        </w:rPr>
        <w:t xml:space="preserve"> disease and evidence of an impaired eGFR, there </w:t>
      </w:r>
      <w:r>
        <w:rPr>
          <w:rFonts w:ascii="Calibri" w:hAnsi="Calibri" w:cs="Calibri"/>
          <w:color w:val="000000"/>
          <w:sz w:val="20"/>
          <w:szCs w:val="20"/>
        </w:rPr>
        <w:t>was high suspicion for an autosomal dominant genetic cause with a similar disease trajectory.</w:t>
      </w:r>
    </w:p>
    <w:p w14:paraId="682B78FF" w14:textId="77777777" w:rsidR="00955DD7" w:rsidRPr="002E6C54" w:rsidRDefault="00955DD7" w:rsidP="0044655B">
      <w:pPr>
        <w:spacing w:line="360" w:lineRule="auto"/>
        <w:rPr>
          <w:rFonts w:ascii="Calibri" w:hAnsi="Calibri" w:cs="Calibri"/>
          <w:color w:val="000000"/>
          <w:sz w:val="20"/>
          <w:szCs w:val="20"/>
        </w:rPr>
      </w:pPr>
    </w:p>
    <w:p w14:paraId="66CDB73C" w14:textId="0D536A5A" w:rsidR="00955DD7" w:rsidRPr="00764223" w:rsidRDefault="00955DD7" w:rsidP="0044655B">
      <w:pPr>
        <w:spacing w:line="360" w:lineRule="auto"/>
        <w:rPr>
          <w:rFonts w:ascii="Calibri" w:hAnsi="Calibri" w:cs="Calibri"/>
          <w:color w:val="000000" w:themeColor="text1"/>
          <w:sz w:val="20"/>
          <w:szCs w:val="20"/>
        </w:rPr>
      </w:pPr>
      <w:r w:rsidRPr="00764223">
        <w:rPr>
          <w:rFonts w:ascii="Calibri" w:hAnsi="Calibri" w:cs="Calibri"/>
          <w:sz w:val="20"/>
          <w:szCs w:val="20"/>
        </w:rPr>
        <w:t>Trio exome sequencing (affected mother, daughter, and unaffected father) was performed</w:t>
      </w:r>
      <w:r>
        <w:rPr>
          <w:rFonts w:ascii="Calibri" w:hAnsi="Calibri" w:cs="Calibri"/>
          <w:sz w:val="20"/>
          <w:szCs w:val="20"/>
        </w:rPr>
        <w:t xml:space="preserve"> to investigate a molecular cause</w:t>
      </w:r>
      <w:r w:rsidRPr="00764223">
        <w:rPr>
          <w:rFonts w:ascii="Calibri" w:hAnsi="Calibri" w:cs="Calibri"/>
          <w:sz w:val="20"/>
          <w:szCs w:val="20"/>
        </w:rPr>
        <w:t xml:space="preserve">. Library capture was performed using </w:t>
      </w:r>
      <w:r w:rsidRPr="00764223">
        <w:rPr>
          <w:rFonts w:ascii="Calibri" w:hAnsi="Calibri" w:cs="Calibri"/>
          <w:bCs/>
          <w:sz w:val="20"/>
          <w:szCs w:val="20"/>
        </w:rPr>
        <w:t xml:space="preserve">Agilent </w:t>
      </w:r>
      <w:proofErr w:type="spellStart"/>
      <w:r w:rsidRPr="00764223">
        <w:rPr>
          <w:rFonts w:ascii="Calibri" w:hAnsi="Calibri" w:cs="Calibri"/>
          <w:bCs/>
          <w:sz w:val="20"/>
          <w:szCs w:val="20"/>
        </w:rPr>
        <w:t>SureSelect</w:t>
      </w:r>
      <w:proofErr w:type="spellEnd"/>
      <w:r w:rsidRPr="00764223">
        <w:rPr>
          <w:rFonts w:ascii="Calibri" w:hAnsi="Calibri" w:cs="Calibri"/>
          <w:bCs/>
          <w:sz w:val="20"/>
          <w:szCs w:val="20"/>
        </w:rPr>
        <w:t xml:space="preserve"> Human All Exon V6</w:t>
      </w:r>
      <w:r w:rsidRPr="00764223">
        <w:rPr>
          <w:rFonts w:ascii="Calibri" w:hAnsi="Calibri" w:cs="Calibri"/>
          <w:sz w:val="20"/>
          <w:szCs w:val="20"/>
        </w:rPr>
        <w:t xml:space="preserve"> and </w:t>
      </w:r>
      <w:r>
        <w:rPr>
          <w:rFonts w:ascii="Calibri" w:hAnsi="Calibri" w:cs="Calibri"/>
          <w:sz w:val="20"/>
          <w:szCs w:val="20"/>
        </w:rPr>
        <w:t>DNA</w:t>
      </w:r>
      <w:r w:rsidRPr="00764223">
        <w:rPr>
          <w:rFonts w:ascii="Calibri" w:hAnsi="Calibri" w:cs="Calibri"/>
          <w:sz w:val="20"/>
          <w:szCs w:val="20"/>
        </w:rPr>
        <w:t xml:space="preserve"> were sequenced by </w:t>
      </w:r>
      <w:proofErr w:type="spellStart"/>
      <w:r w:rsidRPr="00764223">
        <w:rPr>
          <w:rFonts w:ascii="Calibri" w:hAnsi="Calibri" w:cs="Calibri"/>
          <w:sz w:val="20"/>
          <w:szCs w:val="20"/>
        </w:rPr>
        <w:t>Novogene</w:t>
      </w:r>
      <w:proofErr w:type="spellEnd"/>
      <w:r w:rsidRPr="00764223">
        <w:rPr>
          <w:rFonts w:ascii="Calibri" w:hAnsi="Calibri" w:cs="Calibri"/>
          <w:sz w:val="20"/>
          <w:szCs w:val="20"/>
        </w:rPr>
        <w:t>. Data were processed from</w:t>
      </w:r>
      <w:r w:rsidRPr="00764223">
        <w:rPr>
          <w:rFonts w:ascii="Calibri" w:hAnsi="Calibri" w:cs="Calibri"/>
          <w:i/>
          <w:sz w:val="20"/>
          <w:szCs w:val="20"/>
        </w:rPr>
        <w:t xml:space="preserve"> </w:t>
      </w:r>
      <w:proofErr w:type="spellStart"/>
      <w:r w:rsidRPr="00764223">
        <w:rPr>
          <w:rFonts w:ascii="Calibri" w:hAnsi="Calibri" w:cs="Calibri"/>
          <w:i/>
          <w:sz w:val="20"/>
          <w:szCs w:val="20"/>
        </w:rPr>
        <w:t>fastq</w:t>
      </w:r>
      <w:proofErr w:type="spellEnd"/>
      <w:r w:rsidRPr="00764223">
        <w:rPr>
          <w:rFonts w:ascii="Calibri" w:hAnsi="Calibri" w:cs="Calibri"/>
          <w:sz w:val="20"/>
          <w:szCs w:val="20"/>
        </w:rPr>
        <w:t xml:space="preserve"> to </w:t>
      </w:r>
      <w:proofErr w:type="spellStart"/>
      <w:r w:rsidRPr="00764223">
        <w:rPr>
          <w:rFonts w:ascii="Calibri" w:hAnsi="Calibri" w:cs="Calibri"/>
          <w:i/>
          <w:sz w:val="20"/>
          <w:szCs w:val="20"/>
        </w:rPr>
        <w:t>vcf</w:t>
      </w:r>
      <w:proofErr w:type="spellEnd"/>
      <w:r w:rsidRPr="00764223">
        <w:rPr>
          <w:rFonts w:ascii="Calibri" w:hAnsi="Calibri" w:cs="Calibri"/>
          <w:sz w:val="20"/>
          <w:szCs w:val="20"/>
        </w:rPr>
        <w:t xml:space="preserve"> using an automated joint-calling pipeline</w:t>
      </w:r>
      <w:r>
        <w:rPr>
          <w:rFonts w:ascii="Calibri" w:hAnsi="Calibri" w:cs="Calibri"/>
          <w:sz w:val="20"/>
          <w:szCs w:val="20"/>
        </w:rPr>
        <w:t>, aligned to GRCh38</w:t>
      </w:r>
      <w:r w:rsidRPr="00764223">
        <w:rPr>
          <w:rFonts w:ascii="Calibri" w:hAnsi="Calibri" w:cs="Calibri"/>
          <w:sz w:val="20"/>
          <w:szCs w:val="20"/>
        </w:rPr>
        <w:t xml:space="preserve">. </w:t>
      </w:r>
      <w:r w:rsidRPr="00764223">
        <w:rPr>
          <w:rFonts w:ascii="Calibri" w:hAnsi="Calibri" w:cs="Calibri"/>
          <w:color w:val="000000" w:themeColor="text1"/>
          <w:sz w:val="20"/>
          <w:szCs w:val="20"/>
        </w:rPr>
        <w:t xml:space="preserve">Quality control ensured only high-quality </w:t>
      </w:r>
      <w:r>
        <w:rPr>
          <w:rFonts w:ascii="Calibri" w:hAnsi="Calibri" w:cs="Calibri"/>
          <w:color w:val="000000" w:themeColor="text1"/>
          <w:sz w:val="20"/>
          <w:szCs w:val="20"/>
        </w:rPr>
        <w:t xml:space="preserve">variants </w:t>
      </w:r>
      <w:r w:rsidRPr="00764223">
        <w:rPr>
          <w:rFonts w:ascii="Calibri" w:hAnsi="Calibri" w:cs="Calibri"/>
          <w:color w:val="000000" w:themeColor="text1"/>
          <w:sz w:val="20"/>
          <w:szCs w:val="20"/>
        </w:rPr>
        <w:t xml:space="preserve">remained for downstream analysis. </w:t>
      </w:r>
      <w:r w:rsidRPr="00764223">
        <w:rPr>
          <w:rFonts w:ascii="Calibri" w:hAnsi="Calibri" w:cs="Calibri"/>
          <w:sz w:val="20"/>
          <w:szCs w:val="20"/>
        </w:rPr>
        <w:t xml:space="preserve">Variants were annotated with </w:t>
      </w:r>
      <w:r w:rsidRPr="00764223">
        <w:rPr>
          <w:rFonts w:ascii="Calibri" w:hAnsi="Calibri" w:cs="Calibri"/>
          <w:color w:val="000000" w:themeColor="text1"/>
          <w:sz w:val="20"/>
          <w:szCs w:val="20"/>
        </w:rPr>
        <w:t xml:space="preserve">Ensembl VEP v103 and the resultant joint-called </w:t>
      </w:r>
      <w:proofErr w:type="spellStart"/>
      <w:r w:rsidRPr="00764223">
        <w:rPr>
          <w:rFonts w:ascii="Calibri" w:hAnsi="Calibri" w:cs="Calibri"/>
          <w:i/>
          <w:color w:val="000000" w:themeColor="text1"/>
          <w:sz w:val="20"/>
          <w:szCs w:val="20"/>
        </w:rPr>
        <w:t>vcf</w:t>
      </w:r>
      <w:proofErr w:type="spellEnd"/>
      <w:r w:rsidRPr="00764223">
        <w:rPr>
          <w:rFonts w:ascii="Calibri" w:hAnsi="Calibri" w:cs="Calibri"/>
          <w:color w:val="000000" w:themeColor="text1"/>
          <w:sz w:val="20"/>
          <w:szCs w:val="20"/>
        </w:rPr>
        <w:t xml:space="preserve"> was uploaded to a local installation of </w:t>
      </w:r>
      <w:proofErr w:type="spellStart"/>
      <w:r w:rsidRPr="00764223">
        <w:rPr>
          <w:rFonts w:ascii="Calibri" w:hAnsi="Calibri" w:cs="Calibri"/>
          <w:color w:val="000000" w:themeColor="text1"/>
          <w:sz w:val="20"/>
          <w:szCs w:val="20"/>
        </w:rPr>
        <w:t>seqr</w:t>
      </w:r>
      <w:proofErr w:type="spellEnd"/>
      <w:r w:rsidRPr="00764223">
        <w:rPr>
          <w:rFonts w:ascii="Calibri" w:hAnsi="Calibri" w:cs="Calibri"/>
          <w:color w:val="000000" w:themeColor="text1"/>
          <w:sz w:val="20"/>
          <w:szCs w:val="20"/>
        </w:rPr>
        <w:t xml:space="preserve"> (</w:t>
      </w:r>
      <w:hyperlink r:id="rId6" w:history="1">
        <w:r w:rsidRPr="00764223">
          <w:rPr>
            <w:rStyle w:val="Hyperlink"/>
            <w:rFonts w:ascii="Calibri" w:hAnsi="Calibri" w:cs="Calibri"/>
            <w:sz w:val="20"/>
            <w:szCs w:val="20"/>
          </w:rPr>
          <w:t>https://github.com/broadinstitute/seqr</w:t>
        </w:r>
      </w:hyperlink>
      <w:r w:rsidRPr="00764223">
        <w:rPr>
          <w:rFonts w:ascii="Calibri" w:hAnsi="Calibri" w:cs="Calibri"/>
          <w:color w:val="000000" w:themeColor="text1"/>
          <w:sz w:val="20"/>
          <w:szCs w:val="20"/>
        </w:rPr>
        <w:t xml:space="preserve">) for data visualisation, analysis, filtering, and reporting. </w:t>
      </w:r>
    </w:p>
    <w:p w14:paraId="7CFB6883" w14:textId="77777777" w:rsidR="00955DD7" w:rsidRPr="00764223" w:rsidRDefault="00955DD7" w:rsidP="0044655B">
      <w:pPr>
        <w:spacing w:line="360" w:lineRule="auto"/>
        <w:rPr>
          <w:rFonts w:ascii="Calibri" w:hAnsi="Calibri" w:cs="Calibri"/>
          <w:color w:val="000000" w:themeColor="text1"/>
          <w:sz w:val="20"/>
          <w:szCs w:val="20"/>
        </w:rPr>
      </w:pPr>
    </w:p>
    <w:p w14:paraId="53E5631F" w14:textId="5423C880" w:rsidR="00955DD7" w:rsidRDefault="00955DD7" w:rsidP="00284832">
      <w:pPr>
        <w:spacing w:line="360" w:lineRule="auto"/>
        <w:rPr>
          <w:rFonts w:ascii="Calibri" w:hAnsi="Calibri" w:cs="Calibri"/>
          <w:sz w:val="20"/>
          <w:szCs w:val="20"/>
        </w:rPr>
      </w:pPr>
      <w:r w:rsidRPr="00764223">
        <w:rPr>
          <w:rFonts w:ascii="Calibri" w:hAnsi="Calibri" w:cs="Calibri"/>
          <w:sz w:val="20"/>
          <w:szCs w:val="20"/>
        </w:rPr>
        <w:t xml:space="preserve">To filter our data, we applied the Renal Tubulopathies V 2.30 </w:t>
      </w:r>
      <w:proofErr w:type="spellStart"/>
      <w:r w:rsidRPr="00764223">
        <w:rPr>
          <w:rFonts w:ascii="Calibri" w:hAnsi="Calibri" w:cs="Calibri"/>
          <w:sz w:val="20"/>
          <w:szCs w:val="20"/>
        </w:rPr>
        <w:t>PanelApp</w:t>
      </w:r>
      <w:proofErr w:type="spellEnd"/>
      <w:r w:rsidRPr="00764223">
        <w:rPr>
          <w:rFonts w:ascii="Calibri" w:hAnsi="Calibri" w:cs="Calibri"/>
          <w:sz w:val="20"/>
          <w:szCs w:val="20"/>
        </w:rPr>
        <w:t xml:space="preserve"> gene panel </w:t>
      </w:r>
      <w:r>
        <w:rPr>
          <w:rFonts w:ascii="Calibri" w:hAnsi="Calibri" w:cs="Calibri"/>
          <w:sz w:val="20"/>
          <w:szCs w:val="20"/>
        </w:rPr>
        <w:t>and</w:t>
      </w:r>
      <w:r w:rsidRPr="00764223">
        <w:rPr>
          <w:rFonts w:ascii="Calibri" w:hAnsi="Calibri" w:cs="Calibri"/>
          <w:sz w:val="20"/>
          <w:szCs w:val="20"/>
        </w:rPr>
        <w:t xml:space="preserve"> restricted our analysis to: a dominant inheritance pattern; all exonic variants excluding synonymous; allele frequency &lt;0.001 from gnomAD v2.1.1</w:t>
      </w:r>
      <w:r w:rsidRPr="00787AEA">
        <w:rPr>
          <w:rFonts w:ascii="Calibri" w:hAnsi="Calibri" w:cs="Calibri"/>
          <w:noProof/>
          <w:sz w:val="20"/>
          <w:szCs w:val="20"/>
          <w:vertAlign w:val="superscript"/>
        </w:rPr>
        <w:t>6</w:t>
      </w:r>
      <w:r w:rsidRPr="00764223">
        <w:rPr>
          <w:rFonts w:ascii="Calibri" w:hAnsi="Calibri" w:cs="Calibri"/>
          <w:sz w:val="20"/>
          <w:szCs w:val="20"/>
        </w:rPr>
        <w:t xml:space="preserve">; </w:t>
      </w:r>
      <w:r>
        <w:rPr>
          <w:rFonts w:ascii="Calibri" w:hAnsi="Calibri" w:cs="Calibri"/>
          <w:sz w:val="20"/>
          <w:szCs w:val="20"/>
        </w:rPr>
        <w:t>and variants that passed variant quality score recalibration</w:t>
      </w:r>
      <w:r w:rsidRPr="00764223">
        <w:rPr>
          <w:rFonts w:ascii="Calibri" w:hAnsi="Calibri" w:cs="Calibri"/>
          <w:sz w:val="20"/>
          <w:szCs w:val="20"/>
        </w:rPr>
        <w:t>.</w:t>
      </w:r>
    </w:p>
    <w:p w14:paraId="22188E14" w14:textId="77777777" w:rsidR="00955DD7" w:rsidRPr="00764223" w:rsidRDefault="00955DD7">
      <w:pPr>
        <w:rPr>
          <w:rFonts w:ascii="Calibri" w:hAnsi="Calibri" w:cs="Calibri"/>
        </w:rPr>
      </w:pPr>
    </w:p>
    <w:p w14:paraId="230F6BBC" w14:textId="77777777" w:rsidR="00955DD7" w:rsidRPr="00764223" w:rsidRDefault="00955DD7" w:rsidP="00D71B21">
      <w:pPr>
        <w:spacing w:line="360" w:lineRule="auto"/>
        <w:rPr>
          <w:rFonts w:ascii="Calibri" w:hAnsi="Calibri" w:cs="Calibri"/>
          <w:color w:val="000000" w:themeColor="text1"/>
          <w:sz w:val="20"/>
          <w:szCs w:val="20"/>
        </w:rPr>
      </w:pPr>
      <w:r w:rsidRPr="00764223">
        <w:rPr>
          <w:rFonts w:ascii="Calibri" w:hAnsi="Calibri" w:cs="Calibri"/>
          <w:color w:val="000000" w:themeColor="text1"/>
          <w:sz w:val="20"/>
          <w:szCs w:val="20"/>
        </w:rPr>
        <w:t>A total of 96</w:t>
      </w:r>
      <w:r>
        <w:rPr>
          <w:rFonts w:ascii="Calibri" w:hAnsi="Calibri" w:cs="Calibri"/>
          <w:color w:val="000000" w:themeColor="text1"/>
          <w:sz w:val="20"/>
          <w:szCs w:val="20"/>
        </w:rPr>
        <w:t>,</w:t>
      </w:r>
      <w:r w:rsidRPr="00764223">
        <w:rPr>
          <w:rFonts w:ascii="Calibri" w:hAnsi="Calibri" w:cs="Calibri"/>
          <w:color w:val="000000" w:themeColor="text1"/>
          <w:sz w:val="20"/>
          <w:szCs w:val="20"/>
        </w:rPr>
        <w:t>894, 96</w:t>
      </w:r>
      <w:r>
        <w:rPr>
          <w:rFonts w:ascii="Calibri" w:hAnsi="Calibri" w:cs="Calibri"/>
          <w:color w:val="000000" w:themeColor="text1"/>
          <w:sz w:val="20"/>
          <w:szCs w:val="20"/>
        </w:rPr>
        <w:t>,</w:t>
      </w:r>
      <w:r w:rsidRPr="00764223">
        <w:rPr>
          <w:rFonts w:ascii="Calibri" w:hAnsi="Calibri" w:cs="Calibri"/>
          <w:color w:val="000000" w:themeColor="text1"/>
          <w:sz w:val="20"/>
          <w:szCs w:val="20"/>
        </w:rPr>
        <w:t>370 and 96</w:t>
      </w:r>
      <w:r>
        <w:rPr>
          <w:rFonts w:ascii="Calibri" w:hAnsi="Calibri" w:cs="Calibri"/>
          <w:color w:val="000000" w:themeColor="text1"/>
          <w:sz w:val="20"/>
          <w:szCs w:val="20"/>
        </w:rPr>
        <w:t>,</w:t>
      </w:r>
      <w:r w:rsidRPr="00764223">
        <w:rPr>
          <w:rFonts w:ascii="Calibri" w:hAnsi="Calibri" w:cs="Calibri"/>
          <w:color w:val="000000" w:themeColor="text1"/>
          <w:sz w:val="20"/>
          <w:szCs w:val="20"/>
        </w:rPr>
        <w:t xml:space="preserve">830 variants were called in the daughter, mother, and unaffected father respectively. </w:t>
      </w:r>
      <w:r>
        <w:rPr>
          <w:rFonts w:ascii="Calibri" w:hAnsi="Calibri" w:cs="Calibri"/>
          <w:color w:val="000000" w:themeColor="text1"/>
          <w:sz w:val="20"/>
          <w:szCs w:val="20"/>
        </w:rPr>
        <w:t xml:space="preserve">Average read depth was 53, 49, and 49 respectively. </w:t>
      </w:r>
      <w:r w:rsidRPr="00764223">
        <w:rPr>
          <w:rFonts w:ascii="Calibri" w:hAnsi="Calibri" w:cs="Calibri"/>
          <w:color w:val="000000" w:themeColor="text1"/>
          <w:sz w:val="20"/>
          <w:szCs w:val="20"/>
        </w:rPr>
        <w:t>Post-filtering, two variants remained (</w:t>
      </w:r>
      <w:r w:rsidRPr="00764223">
        <w:rPr>
          <w:rFonts w:ascii="Calibri" w:hAnsi="Calibri" w:cs="Calibri"/>
          <w:b/>
          <w:bCs/>
          <w:color w:val="000000" w:themeColor="text1"/>
          <w:sz w:val="20"/>
          <w:szCs w:val="20"/>
        </w:rPr>
        <w:t xml:space="preserve">Table </w:t>
      </w:r>
      <w:r>
        <w:rPr>
          <w:rFonts w:ascii="Calibri" w:hAnsi="Calibri" w:cs="Calibri"/>
          <w:b/>
          <w:bCs/>
          <w:color w:val="000000" w:themeColor="text1"/>
          <w:sz w:val="20"/>
          <w:szCs w:val="20"/>
        </w:rPr>
        <w:t>1</w:t>
      </w:r>
      <w:r w:rsidRPr="00764223">
        <w:rPr>
          <w:rFonts w:ascii="Calibri" w:hAnsi="Calibri" w:cs="Calibri"/>
          <w:color w:val="000000" w:themeColor="text1"/>
          <w:sz w:val="20"/>
          <w:szCs w:val="20"/>
        </w:rPr>
        <w:t>).</w:t>
      </w:r>
    </w:p>
    <w:p w14:paraId="21A4D64D" w14:textId="77777777" w:rsidR="00955DD7" w:rsidRPr="00764223" w:rsidRDefault="00955DD7">
      <w:pPr>
        <w:rPr>
          <w:rFonts w:ascii="Calibri" w:hAnsi="Calibri" w:cs="Calibri"/>
          <w:sz w:val="20"/>
          <w:szCs w:val="20"/>
        </w:rPr>
      </w:pPr>
    </w:p>
    <w:p w14:paraId="04D82606" w14:textId="77777777" w:rsidR="00955DD7" w:rsidRPr="00764223" w:rsidRDefault="00955DD7">
      <w:pPr>
        <w:rPr>
          <w:rFonts w:ascii="Calibri" w:hAnsi="Calibri" w:cs="Calibri"/>
        </w:rPr>
      </w:pPr>
    </w:p>
    <w:p w14:paraId="73375C7D" w14:textId="77777777" w:rsidR="00955DD7" w:rsidRPr="00764223" w:rsidRDefault="00955DD7" w:rsidP="00CB2814">
      <w:pPr>
        <w:rPr>
          <w:rFonts w:ascii="Calibri" w:hAnsi="Calibri" w:cs="Calibri"/>
          <w:sz w:val="20"/>
        </w:rPr>
      </w:pPr>
    </w:p>
    <w:p w14:paraId="2DE41CF9" w14:textId="6F895267" w:rsidR="00955DD7" w:rsidRDefault="00955DD7" w:rsidP="00D71B21">
      <w:pPr>
        <w:spacing w:line="360" w:lineRule="auto"/>
        <w:rPr>
          <w:rFonts w:ascii="Calibri" w:hAnsi="Calibri" w:cs="Calibri"/>
          <w:bCs/>
          <w:color w:val="000000"/>
          <w:sz w:val="20"/>
          <w:szCs w:val="20"/>
        </w:rPr>
      </w:pPr>
      <w:r w:rsidRPr="00764223">
        <w:rPr>
          <w:rFonts w:ascii="Calibri" w:hAnsi="Calibri" w:cs="Calibri"/>
          <w:color w:val="000000" w:themeColor="text1"/>
          <w:sz w:val="20"/>
          <w:szCs w:val="20"/>
        </w:rPr>
        <w:lastRenderedPageBreak/>
        <w:t xml:space="preserve">The variant in </w:t>
      </w:r>
      <w:r w:rsidRPr="003D7E82">
        <w:rPr>
          <w:rFonts w:ascii="Calibri" w:hAnsi="Calibri" w:cs="Calibri"/>
          <w:i/>
          <w:iCs/>
          <w:color w:val="000000" w:themeColor="text1"/>
          <w:sz w:val="20"/>
          <w:szCs w:val="20"/>
        </w:rPr>
        <w:t>KCNJ1</w:t>
      </w:r>
      <w:r>
        <w:rPr>
          <w:rFonts w:ascii="Calibri" w:hAnsi="Calibri" w:cs="Calibri"/>
          <w:color w:val="000000" w:themeColor="text1"/>
          <w:sz w:val="20"/>
          <w:szCs w:val="20"/>
        </w:rPr>
        <w:t xml:space="preserve"> </w:t>
      </w:r>
      <w:r w:rsidRPr="00764223">
        <w:rPr>
          <w:rFonts w:ascii="Calibri" w:hAnsi="Calibri" w:cs="Calibri"/>
          <w:color w:val="000000" w:themeColor="text1"/>
          <w:sz w:val="20"/>
          <w:szCs w:val="20"/>
        </w:rPr>
        <w:t xml:space="preserve">was considered an incidental finding and not causal for RFS. Pathogenic variants in </w:t>
      </w:r>
      <w:r w:rsidRPr="00764223">
        <w:rPr>
          <w:rFonts w:ascii="Calibri" w:hAnsi="Calibri" w:cs="Calibri"/>
          <w:i/>
          <w:iCs/>
          <w:sz w:val="20"/>
          <w:szCs w:val="20"/>
        </w:rPr>
        <w:t>KCNJ1</w:t>
      </w:r>
      <w:r w:rsidRPr="00764223">
        <w:rPr>
          <w:rFonts w:ascii="Calibri" w:hAnsi="Calibri" w:cs="Calibri"/>
          <w:sz w:val="20"/>
          <w:szCs w:val="20"/>
        </w:rPr>
        <w:t xml:space="preserve"> are autosomal recessive</w:t>
      </w:r>
      <w:r w:rsidRPr="00787AEA">
        <w:rPr>
          <w:rFonts w:ascii="Calibri" w:hAnsi="Calibri" w:cs="Calibri"/>
          <w:noProof/>
          <w:sz w:val="20"/>
          <w:szCs w:val="20"/>
          <w:vertAlign w:val="superscript"/>
        </w:rPr>
        <w:t>7</w:t>
      </w:r>
      <w:r w:rsidRPr="00764223">
        <w:rPr>
          <w:rFonts w:ascii="Calibri" w:hAnsi="Calibri" w:cs="Calibri"/>
          <w:sz w:val="20"/>
          <w:szCs w:val="20"/>
        </w:rPr>
        <w:t xml:space="preserve"> and both affected individuals are heterozygous. The novel missense variant in </w:t>
      </w:r>
      <w:r w:rsidRPr="00131A9B">
        <w:rPr>
          <w:rFonts w:ascii="Calibri" w:hAnsi="Calibri" w:cs="Calibri"/>
          <w:i/>
          <w:iCs/>
          <w:sz w:val="20"/>
          <w:szCs w:val="20"/>
        </w:rPr>
        <w:t>GATM</w:t>
      </w:r>
      <w:r w:rsidRPr="00764223">
        <w:rPr>
          <w:rFonts w:ascii="Calibri" w:hAnsi="Calibri" w:cs="Calibri"/>
          <w:sz w:val="20"/>
          <w:szCs w:val="20"/>
        </w:rPr>
        <w:t xml:space="preserve">: </w:t>
      </w:r>
      <w:r>
        <w:rPr>
          <w:rFonts w:ascii="Calibri" w:hAnsi="Calibri" w:cs="Calibri"/>
          <w:bCs/>
          <w:sz w:val="20"/>
          <w:szCs w:val="20"/>
        </w:rPr>
        <w:t xml:space="preserve">c.965G&gt;C </w:t>
      </w:r>
      <w:proofErr w:type="gramStart"/>
      <w:r>
        <w:rPr>
          <w:rFonts w:ascii="Calibri" w:hAnsi="Calibri" w:cs="Calibri"/>
          <w:bCs/>
          <w:sz w:val="20"/>
          <w:szCs w:val="20"/>
        </w:rPr>
        <w:t>p.(</w:t>
      </w:r>
      <w:proofErr w:type="gramEnd"/>
      <w:r>
        <w:rPr>
          <w:rFonts w:ascii="Calibri" w:hAnsi="Calibri" w:cs="Calibri"/>
          <w:bCs/>
          <w:sz w:val="20"/>
          <w:szCs w:val="20"/>
        </w:rPr>
        <w:t>Arg322Pro)</w:t>
      </w:r>
      <w:r>
        <w:rPr>
          <w:rFonts w:ascii="Calibri" w:hAnsi="Calibri" w:cs="Calibri"/>
          <w:bCs/>
          <w:color w:val="000000"/>
          <w:sz w:val="20"/>
          <w:szCs w:val="20"/>
        </w:rPr>
        <w:t>, had a genotype quality of 99 in all sequenced individuals and a depth of 74 in the proband, 74 in the mother, and 37 in the father.</w:t>
      </w:r>
      <w:r w:rsidRPr="00764223">
        <w:rPr>
          <w:rFonts w:ascii="Calibri" w:hAnsi="Calibri" w:cs="Calibri"/>
          <w:b/>
          <w:color w:val="000000"/>
          <w:sz w:val="20"/>
          <w:szCs w:val="20"/>
        </w:rPr>
        <w:t xml:space="preserve"> </w:t>
      </w:r>
      <w:r>
        <w:rPr>
          <w:rFonts w:ascii="Calibri" w:hAnsi="Calibri" w:cs="Calibri"/>
          <w:bCs/>
          <w:color w:val="000000"/>
          <w:sz w:val="20"/>
          <w:szCs w:val="20"/>
        </w:rPr>
        <w:t>The variant was confirmed in the proband and mother by Sanger sequencing</w:t>
      </w:r>
      <w:r w:rsidRPr="00764223">
        <w:rPr>
          <w:rFonts w:ascii="Calibri" w:hAnsi="Calibri" w:cs="Calibri"/>
          <w:bCs/>
          <w:color w:val="000000"/>
          <w:sz w:val="20"/>
          <w:szCs w:val="20"/>
        </w:rPr>
        <w:t>.</w:t>
      </w:r>
    </w:p>
    <w:p w14:paraId="23385626" w14:textId="77777777" w:rsidR="00955DD7" w:rsidRDefault="00955DD7" w:rsidP="00D71B21">
      <w:pPr>
        <w:spacing w:line="360" w:lineRule="auto"/>
        <w:rPr>
          <w:rFonts w:ascii="Calibri" w:hAnsi="Calibri" w:cs="Calibri"/>
          <w:bCs/>
          <w:color w:val="000000"/>
          <w:sz w:val="20"/>
          <w:szCs w:val="20"/>
        </w:rPr>
      </w:pPr>
    </w:p>
    <w:p w14:paraId="434DB38A" w14:textId="77777777" w:rsidR="00955DD7" w:rsidRPr="00CB2814" w:rsidRDefault="00955DD7" w:rsidP="003D285C">
      <w:pPr>
        <w:spacing w:line="360" w:lineRule="auto"/>
        <w:rPr>
          <w:rFonts w:ascii="Calibri" w:hAnsi="Calibri" w:cs="Calibri"/>
          <w:sz w:val="20"/>
          <w:szCs w:val="20"/>
          <w:u w:val="single"/>
        </w:rPr>
      </w:pPr>
      <w:r w:rsidRPr="008E7C0B">
        <w:rPr>
          <w:rFonts w:ascii="Calibri" w:hAnsi="Calibri" w:cs="Calibri"/>
          <w:sz w:val="20"/>
          <w:szCs w:val="20"/>
          <w:u w:val="single"/>
        </w:rPr>
        <w:t xml:space="preserve">Validation of </w:t>
      </w:r>
      <w:proofErr w:type="gramStart"/>
      <w:r>
        <w:rPr>
          <w:rFonts w:ascii="Calibri" w:hAnsi="Calibri" w:cs="Calibri"/>
          <w:sz w:val="20"/>
          <w:szCs w:val="20"/>
          <w:u w:val="single"/>
        </w:rPr>
        <w:t>p.(</w:t>
      </w:r>
      <w:proofErr w:type="gramEnd"/>
      <w:r>
        <w:rPr>
          <w:rFonts w:ascii="Calibri" w:hAnsi="Calibri" w:cs="Calibri"/>
          <w:sz w:val="20"/>
          <w:szCs w:val="20"/>
          <w:u w:val="single"/>
        </w:rPr>
        <w:t>Arg332Pro)</w:t>
      </w:r>
    </w:p>
    <w:p w14:paraId="68FDA322" w14:textId="6384D40E" w:rsidR="00955DD7" w:rsidRPr="0057326D" w:rsidRDefault="00955DD7" w:rsidP="00D71B21">
      <w:pPr>
        <w:spacing w:line="360" w:lineRule="auto"/>
        <w:rPr>
          <w:rFonts w:ascii="Calibri" w:hAnsi="Calibri" w:cs="Calibri"/>
          <w:sz w:val="20"/>
          <w:szCs w:val="20"/>
        </w:rPr>
      </w:pPr>
      <w:r>
        <w:rPr>
          <w:rFonts w:ascii="Calibri" w:hAnsi="Calibri" w:cs="Calibri"/>
          <w:sz w:val="20"/>
          <w:szCs w:val="20"/>
        </w:rPr>
        <w:t xml:space="preserve">To validate the pathogenic effect of the </w:t>
      </w:r>
      <w:r>
        <w:rPr>
          <w:rFonts w:ascii="Calibri" w:eastAsiaTheme="minorHAnsi" w:hAnsi="Calibri" w:cs="Calibri"/>
          <w:sz w:val="20"/>
          <w:szCs w:val="20"/>
        </w:rPr>
        <w:t>p.(Arg322Pro)</w:t>
      </w:r>
      <w:r>
        <w:rPr>
          <w:rFonts w:ascii="Calibri" w:hAnsi="Calibri" w:cs="Calibri"/>
          <w:sz w:val="20"/>
          <w:szCs w:val="20"/>
        </w:rPr>
        <w:t xml:space="preserve"> variant, we performed conventional molecular dynamics simulations on wildtype (WT), </w:t>
      </w:r>
      <w:r>
        <w:rPr>
          <w:rFonts w:ascii="Calibri" w:eastAsiaTheme="minorHAnsi" w:hAnsi="Calibri" w:cs="Calibri"/>
          <w:sz w:val="20"/>
          <w:szCs w:val="20"/>
        </w:rPr>
        <w:t>p.(Arg322Pro)</w:t>
      </w:r>
      <w:r>
        <w:rPr>
          <w:rFonts w:ascii="Calibri" w:hAnsi="Calibri" w:cs="Calibri"/>
          <w:sz w:val="20"/>
          <w:szCs w:val="20"/>
        </w:rPr>
        <w:t xml:space="preserve"> (our variant), and two pathogenic variants, p.(Thr336Ala) and p.(Pro320Ser), as reported by </w:t>
      </w:r>
      <w:proofErr w:type="spellStart"/>
      <w:r w:rsidRPr="00764223">
        <w:rPr>
          <w:rFonts w:ascii="Calibri" w:hAnsi="Calibri" w:cs="Calibri"/>
          <w:color w:val="000000" w:themeColor="text1"/>
          <w:sz w:val="20"/>
          <w:szCs w:val="20"/>
          <w:shd w:val="clear" w:color="auto" w:fill="FFFFFF"/>
        </w:rPr>
        <w:t>Reichold</w:t>
      </w:r>
      <w:proofErr w:type="spellEnd"/>
      <w:r w:rsidRPr="00764223">
        <w:rPr>
          <w:rFonts w:ascii="Calibri" w:hAnsi="Calibri" w:cs="Calibri"/>
          <w:color w:val="000000" w:themeColor="text1"/>
          <w:sz w:val="20"/>
          <w:szCs w:val="20"/>
          <w:shd w:val="clear" w:color="auto" w:fill="FFFFFF"/>
        </w:rPr>
        <w:t xml:space="preserve"> </w:t>
      </w:r>
      <w:r w:rsidRPr="00C267EF">
        <w:rPr>
          <w:rFonts w:ascii="Calibri" w:hAnsi="Calibri" w:cs="Calibri"/>
          <w:i/>
          <w:iCs/>
          <w:color w:val="000000" w:themeColor="text1"/>
          <w:sz w:val="20"/>
          <w:szCs w:val="20"/>
          <w:shd w:val="clear" w:color="auto" w:fill="FFFFFF"/>
        </w:rPr>
        <w:t>et al</w:t>
      </w:r>
      <w:r>
        <w:rPr>
          <w:rFonts w:ascii="Calibri" w:hAnsi="Calibri" w:cs="Calibri"/>
          <w:sz w:val="20"/>
          <w:szCs w:val="20"/>
          <w:shd w:val="clear" w:color="auto" w:fill="FFFFFF"/>
        </w:rPr>
        <w:t>.</w:t>
      </w:r>
      <w:r w:rsidRPr="00787AEA">
        <w:rPr>
          <w:rFonts w:ascii="Calibri" w:hAnsi="Calibri" w:cs="Calibri"/>
          <w:noProof/>
          <w:sz w:val="20"/>
          <w:szCs w:val="20"/>
          <w:shd w:val="clear" w:color="auto" w:fill="FFFFFF"/>
          <w:vertAlign w:val="superscript"/>
        </w:rPr>
        <w:t>5</w:t>
      </w:r>
      <w:r>
        <w:rPr>
          <w:rFonts w:ascii="Calibri" w:hAnsi="Calibri" w:cs="Calibri"/>
          <w:sz w:val="20"/>
          <w:szCs w:val="20"/>
        </w:rPr>
        <w:t xml:space="preserve"> Simulations were tested on homodimers, dimerized at the multimeric B4-B4 interface as per </w:t>
      </w:r>
      <w:proofErr w:type="spellStart"/>
      <w:r w:rsidRPr="00764223">
        <w:rPr>
          <w:rFonts w:ascii="Calibri" w:hAnsi="Calibri" w:cs="Calibri"/>
          <w:color w:val="000000" w:themeColor="text1"/>
          <w:sz w:val="20"/>
          <w:szCs w:val="20"/>
          <w:shd w:val="clear" w:color="auto" w:fill="FFFFFF"/>
        </w:rPr>
        <w:t>Reichold</w:t>
      </w:r>
      <w:proofErr w:type="spellEnd"/>
      <w:r w:rsidRPr="00764223">
        <w:rPr>
          <w:rFonts w:ascii="Calibri" w:hAnsi="Calibri" w:cs="Calibri"/>
          <w:color w:val="000000" w:themeColor="text1"/>
          <w:sz w:val="20"/>
          <w:szCs w:val="20"/>
          <w:shd w:val="clear" w:color="auto" w:fill="FFFFFF"/>
        </w:rPr>
        <w:t xml:space="preserve"> </w:t>
      </w:r>
      <w:r w:rsidRPr="00C267EF">
        <w:rPr>
          <w:rFonts w:ascii="Calibri" w:hAnsi="Calibri" w:cs="Calibri"/>
          <w:i/>
          <w:iCs/>
          <w:color w:val="000000" w:themeColor="text1"/>
          <w:sz w:val="20"/>
          <w:szCs w:val="20"/>
          <w:shd w:val="clear" w:color="auto" w:fill="FFFFFF"/>
        </w:rPr>
        <w:t>et al</w:t>
      </w:r>
      <w:r>
        <w:rPr>
          <w:rFonts w:ascii="Calibri" w:hAnsi="Calibri" w:cs="Calibri"/>
          <w:sz w:val="20"/>
          <w:szCs w:val="20"/>
          <w:shd w:val="clear" w:color="auto" w:fill="FFFFFF"/>
        </w:rPr>
        <w:t>.</w:t>
      </w:r>
      <w:r w:rsidRPr="00787AEA">
        <w:rPr>
          <w:rFonts w:ascii="Calibri" w:hAnsi="Calibri" w:cs="Calibri"/>
          <w:noProof/>
          <w:sz w:val="20"/>
          <w:szCs w:val="20"/>
          <w:shd w:val="clear" w:color="auto" w:fill="FFFFFF"/>
          <w:vertAlign w:val="superscript"/>
        </w:rPr>
        <w:t>5</w:t>
      </w:r>
      <w:r>
        <w:rPr>
          <w:rFonts w:ascii="Calibri" w:hAnsi="Calibri" w:cs="Calibri"/>
          <w:sz w:val="20"/>
          <w:szCs w:val="20"/>
        </w:rPr>
        <w:t xml:space="preserve"> (</w:t>
      </w:r>
      <w:r w:rsidRPr="00AE5137">
        <w:rPr>
          <w:rFonts w:ascii="Calibri" w:hAnsi="Calibri" w:cs="Calibri"/>
          <w:b/>
          <w:bCs/>
          <w:sz w:val="20"/>
          <w:szCs w:val="20"/>
        </w:rPr>
        <w:t xml:space="preserve">Figure </w:t>
      </w:r>
      <w:r>
        <w:rPr>
          <w:rFonts w:ascii="Calibri" w:hAnsi="Calibri" w:cs="Calibri"/>
          <w:b/>
          <w:bCs/>
          <w:sz w:val="20"/>
          <w:szCs w:val="20"/>
        </w:rPr>
        <w:t>1</w:t>
      </w:r>
      <w:r w:rsidRPr="00AE5137">
        <w:rPr>
          <w:rFonts w:ascii="Calibri" w:hAnsi="Calibri" w:cs="Calibri"/>
          <w:b/>
          <w:bCs/>
          <w:sz w:val="20"/>
          <w:szCs w:val="20"/>
        </w:rPr>
        <w:t>A</w:t>
      </w:r>
      <w:r>
        <w:rPr>
          <w:rFonts w:ascii="Calibri" w:hAnsi="Calibri" w:cs="Calibri"/>
          <w:sz w:val="20"/>
          <w:szCs w:val="20"/>
        </w:rPr>
        <w:t>) and</w:t>
      </w:r>
      <w:r w:rsidRPr="00496299">
        <w:rPr>
          <w:rFonts w:ascii="Calibri" w:hAnsi="Calibri" w:cs="Calibri"/>
          <w:sz w:val="20"/>
          <w:szCs w:val="20"/>
        </w:rPr>
        <w:t xml:space="preserve"> run for 600 ns per replica</w:t>
      </w:r>
      <w:r>
        <w:rPr>
          <w:rFonts w:ascii="Calibri" w:hAnsi="Calibri" w:cs="Calibri"/>
          <w:sz w:val="20"/>
          <w:szCs w:val="20"/>
        </w:rPr>
        <w:t>,</w:t>
      </w:r>
      <w:r w:rsidRPr="00496299">
        <w:rPr>
          <w:rFonts w:ascii="Calibri" w:hAnsi="Calibri" w:cs="Calibri"/>
          <w:sz w:val="20"/>
          <w:szCs w:val="20"/>
        </w:rPr>
        <w:t xml:space="preserve"> with 3 replicas per </w:t>
      </w:r>
      <w:r w:rsidRPr="00AE5137">
        <w:rPr>
          <w:rFonts w:ascii="Calibri" w:hAnsi="Calibri" w:cs="Calibri"/>
          <w:i/>
          <w:iCs/>
          <w:sz w:val="20"/>
          <w:szCs w:val="20"/>
        </w:rPr>
        <w:t>GATM</w:t>
      </w:r>
      <w:r>
        <w:rPr>
          <w:rFonts w:ascii="Calibri" w:hAnsi="Calibri" w:cs="Calibri"/>
          <w:sz w:val="20"/>
          <w:szCs w:val="20"/>
        </w:rPr>
        <w:t xml:space="preserve"> variant. The classical dimer B2-B2 interaction also required for multimerization was not included in simulations as we expect this interaction to be invariant across both pathogenic and non-pathogenic states due to its existence in the native form, and our prior simulations of B2-B2 dimers did not indicate any notable differences between variants. Further simulation details are provided in the supplementary</w:t>
      </w:r>
      <w:r w:rsidRPr="00496299">
        <w:rPr>
          <w:rFonts w:ascii="Calibri" w:hAnsi="Calibri" w:cs="Calibri"/>
          <w:sz w:val="20"/>
          <w:szCs w:val="20"/>
        </w:rPr>
        <w:t xml:space="preserve">. </w:t>
      </w:r>
      <w:r>
        <w:rPr>
          <w:rFonts w:ascii="Calibri" w:hAnsi="Calibri" w:cs="Calibri"/>
          <w:sz w:val="20"/>
          <w:szCs w:val="20"/>
        </w:rPr>
        <w:t xml:space="preserve">Initial principal component analysis showed no discrepancy between </w:t>
      </w:r>
      <w:r w:rsidRPr="00AE5137">
        <w:rPr>
          <w:rFonts w:ascii="Calibri" w:hAnsi="Calibri" w:cs="Calibri"/>
          <w:i/>
          <w:iCs/>
          <w:sz w:val="20"/>
          <w:szCs w:val="20"/>
        </w:rPr>
        <w:t>GATM</w:t>
      </w:r>
      <w:r>
        <w:rPr>
          <w:rFonts w:ascii="Calibri" w:hAnsi="Calibri" w:cs="Calibri"/>
          <w:sz w:val="20"/>
          <w:szCs w:val="20"/>
        </w:rPr>
        <w:t xml:space="preserve"> variants on large scale motions observed in the trajectories (</w:t>
      </w:r>
      <w:r w:rsidRPr="00AA3D84">
        <w:rPr>
          <w:rFonts w:ascii="Calibri" w:hAnsi="Calibri" w:cs="Calibri"/>
          <w:b/>
          <w:bCs/>
          <w:sz w:val="20"/>
          <w:szCs w:val="20"/>
        </w:rPr>
        <w:t>S</w:t>
      </w:r>
      <w:r>
        <w:rPr>
          <w:rFonts w:ascii="Calibri" w:hAnsi="Calibri" w:cs="Calibri"/>
          <w:b/>
          <w:bCs/>
          <w:sz w:val="20"/>
          <w:szCs w:val="20"/>
        </w:rPr>
        <w:t xml:space="preserve">upplementary </w:t>
      </w:r>
      <w:r w:rsidRPr="00AA3D84">
        <w:rPr>
          <w:rFonts w:ascii="Calibri" w:hAnsi="Calibri" w:cs="Calibri"/>
          <w:b/>
          <w:bCs/>
          <w:sz w:val="20"/>
          <w:szCs w:val="20"/>
        </w:rPr>
        <w:t>F</w:t>
      </w:r>
      <w:r>
        <w:rPr>
          <w:rFonts w:ascii="Calibri" w:hAnsi="Calibri" w:cs="Calibri"/>
          <w:b/>
          <w:bCs/>
          <w:sz w:val="20"/>
          <w:szCs w:val="20"/>
        </w:rPr>
        <w:t xml:space="preserve">igure </w:t>
      </w:r>
      <w:r w:rsidRPr="00AA3D84">
        <w:rPr>
          <w:rFonts w:ascii="Calibri" w:hAnsi="Calibri" w:cs="Calibri"/>
          <w:b/>
          <w:bCs/>
          <w:sz w:val="20"/>
          <w:szCs w:val="20"/>
        </w:rPr>
        <w:t>1</w:t>
      </w:r>
      <w:r>
        <w:rPr>
          <w:rFonts w:ascii="Calibri" w:hAnsi="Calibri" w:cs="Calibri"/>
          <w:sz w:val="20"/>
          <w:szCs w:val="20"/>
        </w:rPr>
        <w:t>). On v</w:t>
      </w:r>
      <w:r w:rsidRPr="00496299">
        <w:rPr>
          <w:rFonts w:ascii="Calibri" w:hAnsi="Calibri" w:cs="Calibri"/>
          <w:sz w:val="20"/>
          <w:szCs w:val="20"/>
        </w:rPr>
        <w:t xml:space="preserve">isualization of the </w:t>
      </w:r>
      <w:r>
        <w:rPr>
          <w:rFonts w:ascii="Calibri" w:hAnsi="Calibri" w:cs="Calibri"/>
          <w:sz w:val="20"/>
          <w:szCs w:val="20"/>
        </w:rPr>
        <w:t>local environment around the variant sites,</w:t>
      </w:r>
      <w:r w:rsidRPr="00496299">
        <w:rPr>
          <w:rFonts w:ascii="Calibri" w:hAnsi="Calibri" w:cs="Calibri"/>
          <w:sz w:val="20"/>
          <w:szCs w:val="20"/>
        </w:rPr>
        <w:t xml:space="preserve"> </w:t>
      </w:r>
      <w:proofErr w:type="gramStart"/>
      <w:r>
        <w:rPr>
          <w:rFonts w:ascii="Calibri" w:eastAsiaTheme="minorHAnsi" w:hAnsi="Calibri" w:cs="Calibri"/>
          <w:sz w:val="20"/>
          <w:szCs w:val="20"/>
        </w:rPr>
        <w:t>p.(</w:t>
      </w:r>
      <w:proofErr w:type="gramEnd"/>
      <w:r>
        <w:rPr>
          <w:rFonts w:ascii="Calibri" w:eastAsiaTheme="minorHAnsi" w:hAnsi="Calibri" w:cs="Calibri"/>
          <w:sz w:val="20"/>
          <w:szCs w:val="20"/>
        </w:rPr>
        <w:t>Arg322Pro)</w:t>
      </w:r>
      <w:r w:rsidRPr="00496299">
        <w:rPr>
          <w:rFonts w:ascii="Calibri" w:hAnsi="Calibri" w:cs="Calibri"/>
          <w:sz w:val="20"/>
          <w:szCs w:val="20"/>
        </w:rPr>
        <w:t xml:space="preserve"> </w:t>
      </w:r>
      <w:r>
        <w:rPr>
          <w:rFonts w:ascii="Calibri" w:hAnsi="Calibri" w:cs="Calibri"/>
          <w:sz w:val="20"/>
          <w:szCs w:val="20"/>
        </w:rPr>
        <w:t xml:space="preserve">simulation trajectories </w:t>
      </w:r>
      <w:r w:rsidRPr="00496299">
        <w:rPr>
          <w:rFonts w:ascii="Calibri" w:hAnsi="Calibri" w:cs="Calibri"/>
          <w:sz w:val="20"/>
          <w:szCs w:val="20"/>
        </w:rPr>
        <w:t xml:space="preserve">identified </w:t>
      </w:r>
      <w:r>
        <w:rPr>
          <w:rFonts w:ascii="Calibri" w:hAnsi="Calibri" w:cs="Calibri"/>
          <w:sz w:val="20"/>
          <w:szCs w:val="20"/>
        </w:rPr>
        <w:t xml:space="preserve">unique </w:t>
      </w:r>
      <w:r w:rsidRPr="00496299">
        <w:rPr>
          <w:rFonts w:ascii="Calibri" w:hAnsi="Calibri" w:cs="Calibri"/>
          <w:sz w:val="20"/>
          <w:szCs w:val="20"/>
        </w:rPr>
        <w:t>close contacts between residues 320</w:t>
      </w:r>
      <w:r>
        <w:rPr>
          <w:rFonts w:ascii="Calibri" w:hAnsi="Calibri" w:cs="Calibri"/>
          <w:sz w:val="20"/>
          <w:szCs w:val="20"/>
        </w:rPr>
        <w:t xml:space="preserve"> on each monomer of the homodimer relative to WT (</w:t>
      </w:r>
      <w:r w:rsidRPr="00AE5137">
        <w:rPr>
          <w:rFonts w:ascii="Calibri" w:hAnsi="Calibri" w:cs="Calibri"/>
          <w:b/>
          <w:bCs/>
          <w:sz w:val="20"/>
          <w:szCs w:val="20"/>
        </w:rPr>
        <w:t xml:space="preserve">Figure </w:t>
      </w:r>
      <w:r>
        <w:rPr>
          <w:rFonts w:ascii="Calibri" w:hAnsi="Calibri" w:cs="Calibri"/>
          <w:b/>
          <w:bCs/>
          <w:sz w:val="20"/>
          <w:szCs w:val="20"/>
        </w:rPr>
        <w:t>1</w:t>
      </w:r>
      <w:r w:rsidRPr="00AE5137">
        <w:rPr>
          <w:rFonts w:ascii="Calibri" w:hAnsi="Calibri" w:cs="Calibri"/>
          <w:b/>
          <w:bCs/>
          <w:sz w:val="20"/>
          <w:szCs w:val="20"/>
        </w:rPr>
        <w:t>B</w:t>
      </w:r>
      <w:r>
        <w:rPr>
          <w:rFonts w:ascii="Calibri" w:hAnsi="Calibri" w:cs="Calibri"/>
          <w:sz w:val="20"/>
          <w:szCs w:val="20"/>
        </w:rPr>
        <w:t>)</w:t>
      </w:r>
      <w:r w:rsidRPr="00496299">
        <w:rPr>
          <w:rFonts w:ascii="Calibri" w:hAnsi="Calibri" w:cs="Calibri"/>
          <w:sz w:val="20"/>
          <w:szCs w:val="20"/>
        </w:rPr>
        <w:t>.</w:t>
      </w:r>
      <w:r>
        <w:rPr>
          <w:rFonts w:ascii="Calibri" w:hAnsi="Calibri" w:cs="Calibri"/>
          <w:sz w:val="20"/>
          <w:szCs w:val="20"/>
        </w:rPr>
        <w:t xml:space="preserve"> Relative free energy estimations were performed across the residue 320 distance as described in the supplementary for all variants (</w:t>
      </w:r>
      <w:r w:rsidRPr="00AE5137">
        <w:rPr>
          <w:rFonts w:ascii="Calibri" w:hAnsi="Calibri" w:cs="Calibri"/>
          <w:b/>
          <w:bCs/>
          <w:sz w:val="20"/>
          <w:szCs w:val="20"/>
        </w:rPr>
        <w:t xml:space="preserve">Figure </w:t>
      </w:r>
      <w:r>
        <w:rPr>
          <w:rFonts w:ascii="Calibri" w:hAnsi="Calibri" w:cs="Calibri"/>
          <w:b/>
          <w:bCs/>
          <w:sz w:val="20"/>
          <w:szCs w:val="20"/>
        </w:rPr>
        <w:t>1</w:t>
      </w:r>
      <w:r w:rsidRPr="00AE5137">
        <w:rPr>
          <w:rFonts w:ascii="Calibri" w:hAnsi="Calibri" w:cs="Calibri"/>
          <w:b/>
          <w:bCs/>
          <w:sz w:val="20"/>
          <w:szCs w:val="20"/>
        </w:rPr>
        <w:t>C &amp; SF1</w:t>
      </w:r>
      <w:r>
        <w:rPr>
          <w:rFonts w:ascii="Calibri" w:hAnsi="Calibri" w:cs="Calibri"/>
          <w:sz w:val="20"/>
          <w:szCs w:val="20"/>
        </w:rPr>
        <w:t xml:space="preserve">). </w:t>
      </w:r>
    </w:p>
    <w:p w14:paraId="656831E1" w14:textId="77777777" w:rsidR="00955DD7" w:rsidRPr="00764223" w:rsidRDefault="00955DD7">
      <w:pPr>
        <w:rPr>
          <w:rFonts w:ascii="Calibri" w:hAnsi="Calibri" w:cs="Calibri"/>
          <w:b/>
          <w:bCs/>
        </w:rPr>
      </w:pPr>
    </w:p>
    <w:p w14:paraId="694E7F78" w14:textId="77777777" w:rsidR="00955DD7" w:rsidRPr="00764223" w:rsidRDefault="00955DD7">
      <w:pPr>
        <w:rPr>
          <w:rFonts w:ascii="Calibri" w:hAnsi="Calibri" w:cs="Calibri"/>
          <w:b/>
          <w:bCs/>
        </w:rPr>
      </w:pPr>
      <w:r w:rsidRPr="00764223">
        <w:rPr>
          <w:rFonts w:ascii="Calibri" w:hAnsi="Calibri" w:cs="Calibri"/>
          <w:b/>
          <w:bCs/>
        </w:rPr>
        <w:t>Discussion</w:t>
      </w:r>
    </w:p>
    <w:p w14:paraId="2A723D82" w14:textId="77777777" w:rsidR="00955DD7" w:rsidRPr="00764223" w:rsidRDefault="00955DD7" w:rsidP="002C2299">
      <w:pPr>
        <w:spacing w:line="360" w:lineRule="auto"/>
        <w:rPr>
          <w:rFonts w:ascii="Calibri" w:hAnsi="Calibri" w:cs="Calibri"/>
          <w:sz w:val="20"/>
          <w:szCs w:val="20"/>
        </w:rPr>
      </w:pPr>
    </w:p>
    <w:p w14:paraId="7BAE6496" w14:textId="7A3C782E" w:rsidR="00955DD7" w:rsidRPr="00764223" w:rsidRDefault="00955DD7" w:rsidP="00424277">
      <w:pPr>
        <w:spacing w:line="360" w:lineRule="auto"/>
        <w:rPr>
          <w:rFonts w:ascii="Calibri" w:hAnsi="Calibri" w:cs="Calibri"/>
          <w:color w:val="000000" w:themeColor="text1"/>
          <w:sz w:val="20"/>
          <w:szCs w:val="20"/>
          <w:shd w:val="clear" w:color="auto" w:fill="FFFFFF"/>
        </w:rPr>
      </w:pPr>
      <w:r w:rsidRPr="00764223">
        <w:rPr>
          <w:rStyle w:val="Emphasis"/>
          <w:rFonts w:ascii="Calibri" w:eastAsiaTheme="minorEastAsia" w:hAnsi="Calibri" w:cs="Calibri"/>
          <w:color w:val="000000" w:themeColor="text1"/>
          <w:sz w:val="20"/>
          <w:szCs w:val="20"/>
          <w:bdr w:val="none" w:sz="0" w:space="0" w:color="auto" w:frame="1"/>
          <w:shd w:val="clear" w:color="auto" w:fill="FFFFFF"/>
        </w:rPr>
        <w:t>GATM</w:t>
      </w:r>
      <w:r w:rsidRPr="00764223">
        <w:rPr>
          <w:rFonts w:ascii="Calibri" w:hAnsi="Calibri" w:cs="Calibri"/>
          <w:color w:val="000000" w:themeColor="text1"/>
          <w:sz w:val="20"/>
          <w:szCs w:val="20"/>
          <w:shd w:val="clear" w:color="auto" w:fill="FFFFFF"/>
        </w:rPr>
        <w:t xml:space="preserve"> encodes a proximal tubular nuclear-encoded mitochondrial enzyme, glycine </w:t>
      </w:r>
      <w:proofErr w:type="spellStart"/>
      <w:r w:rsidRPr="00764223">
        <w:rPr>
          <w:rFonts w:ascii="Calibri" w:hAnsi="Calibri" w:cs="Calibri"/>
          <w:color w:val="000000" w:themeColor="text1"/>
          <w:sz w:val="20"/>
          <w:szCs w:val="20"/>
          <w:shd w:val="clear" w:color="auto" w:fill="FFFFFF"/>
        </w:rPr>
        <w:t>amidinotransferase</w:t>
      </w:r>
      <w:proofErr w:type="spellEnd"/>
      <w:r w:rsidRPr="00764223">
        <w:rPr>
          <w:rFonts w:ascii="Calibri" w:hAnsi="Calibri" w:cs="Calibri"/>
          <w:color w:val="000000" w:themeColor="text1"/>
          <w:sz w:val="20"/>
          <w:szCs w:val="20"/>
          <w:shd w:val="clear" w:color="auto" w:fill="FFFFFF"/>
        </w:rPr>
        <w:t>, which catalyses the transfer of a guanidino group from </w:t>
      </w:r>
      <w:r w:rsidRPr="00764223">
        <w:rPr>
          <w:rStyle w:val="sc"/>
          <w:rFonts w:ascii="Calibri" w:hAnsi="Calibri" w:cs="Calibri"/>
          <w:smallCaps/>
          <w:color w:val="000000" w:themeColor="text1"/>
          <w:sz w:val="20"/>
          <w:szCs w:val="20"/>
          <w:bdr w:val="none" w:sz="0" w:space="0" w:color="auto" w:frame="1"/>
          <w:shd w:val="clear" w:color="auto" w:fill="FFFFFF"/>
        </w:rPr>
        <w:t>l</w:t>
      </w:r>
      <w:r w:rsidRPr="00764223">
        <w:rPr>
          <w:rFonts w:ascii="Calibri" w:hAnsi="Calibri" w:cs="Calibri"/>
          <w:color w:val="000000" w:themeColor="text1"/>
          <w:sz w:val="20"/>
          <w:szCs w:val="20"/>
          <w:shd w:val="clear" w:color="auto" w:fill="FFFFFF"/>
        </w:rPr>
        <w:t xml:space="preserve">-arginine to glycine, resulting in </w:t>
      </w:r>
      <w:proofErr w:type="spellStart"/>
      <w:r w:rsidRPr="00764223">
        <w:rPr>
          <w:rFonts w:ascii="Calibri" w:hAnsi="Calibri" w:cs="Calibri"/>
          <w:color w:val="000000" w:themeColor="text1"/>
          <w:sz w:val="20"/>
          <w:szCs w:val="20"/>
          <w:shd w:val="clear" w:color="auto" w:fill="FFFFFF"/>
        </w:rPr>
        <w:t>guanidinoacetic</w:t>
      </w:r>
      <w:proofErr w:type="spellEnd"/>
      <w:r w:rsidRPr="00764223">
        <w:rPr>
          <w:rFonts w:ascii="Calibri" w:hAnsi="Calibri" w:cs="Calibri"/>
          <w:color w:val="000000" w:themeColor="text1"/>
          <w:sz w:val="20"/>
          <w:szCs w:val="20"/>
          <w:shd w:val="clear" w:color="auto" w:fill="FFFFFF"/>
        </w:rPr>
        <w:t xml:space="preserve"> acid, an immediate precursor to creatine.</w:t>
      </w:r>
      <w:r w:rsidRPr="005A3A65">
        <w:rPr>
          <w:rFonts w:ascii="Calibri" w:hAnsi="Calibri" w:cs="Calibri"/>
          <w:noProof/>
          <w:color w:val="000000" w:themeColor="text1"/>
          <w:sz w:val="20"/>
          <w:szCs w:val="20"/>
          <w:shd w:val="clear" w:color="auto" w:fill="FFFFFF"/>
          <w:vertAlign w:val="superscript"/>
        </w:rPr>
        <w:t>8</w:t>
      </w:r>
      <w:r w:rsidRPr="00764223">
        <w:rPr>
          <w:rFonts w:ascii="Calibri" w:hAnsi="Calibri" w:cs="Calibri"/>
          <w:color w:val="000000" w:themeColor="text1"/>
          <w:sz w:val="20"/>
          <w:szCs w:val="20"/>
          <w:shd w:val="clear" w:color="auto" w:fill="FFFFFF"/>
        </w:rPr>
        <w:t xml:space="preserve"> GATM is most prominently expressed in kidney, liver, pancreas, and brain. In the kidney, </w:t>
      </w:r>
      <w:r w:rsidRPr="00764223">
        <w:rPr>
          <w:rFonts w:ascii="Calibri" w:hAnsi="Calibri" w:cs="Calibri"/>
          <w:i/>
          <w:iCs/>
          <w:color w:val="000000" w:themeColor="text1"/>
          <w:sz w:val="20"/>
          <w:szCs w:val="20"/>
          <w:shd w:val="clear" w:color="auto" w:fill="FFFFFF"/>
        </w:rPr>
        <w:t>GATM</w:t>
      </w:r>
      <w:r w:rsidRPr="00764223">
        <w:rPr>
          <w:rFonts w:ascii="Calibri" w:hAnsi="Calibri" w:cs="Calibri"/>
          <w:color w:val="000000" w:themeColor="text1"/>
          <w:sz w:val="20"/>
          <w:szCs w:val="20"/>
          <w:shd w:val="clear" w:color="auto" w:fill="FFFFFF"/>
        </w:rPr>
        <w:t xml:space="preserve"> expression is limited to the highly energy dependent proximal tubular cells, which </w:t>
      </w:r>
      <w:r>
        <w:rPr>
          <w:rFonts w:ascii="Calibri" w:hAnsi="Calibri" w:cs="Calibri"/>
          <w:color w:val="000000" w:themeColor="text1"/>
          <w:sz w:val="20"/>
          <w:szCs w:val="20"/>
          <w:shd w:val="clear" w:color="auto" w:fill="FFFFFF"/>
        </w:rPr>
        <w:t>have</w:t>
      </w:r>
      <w:r w:rsidRPr="00764223">
        <w:rPr>
          <w:rFonts w:ascii="Calibri" w:hAnsi="Calibri" w:cs="Calibri"/>
          <w:color w:val="000000" w:themeColor="text1"/>
          <w:sz w:val="20"/>
          <w:szCs w:val="20"/>
          <w:shd w:val="clear" w:color="auto" w:fill="FFFFFF"/>
        </w:rPr>
        <w:t xml:space="preserve"> abundant mitochondria to support the oxygen-dependent generation of ATP.</w:t>
      </w:r>
      <w:r w:rsidRPr="005A3A65">
        <w:rPr>
          <w:rFonts w:ascii="Calibri" w:hAnsi="Calibri" w:cs="Calibri"/>
          <w:noProof/>
          <w:color w:val="000000" w:themeColor="text1"/>
          <w:sz w:val="20"/>
          <w:szCs w:val="20"/>
          <w:shd w:val="clear" w:color="auto" w:fill="FFFFFF"/>
          <w:vertAlign w:val="superscript"/>
        </w:rPr>
        <w:t>5</w:t>
      </w:r>
      <w:r w:rsidRPr="00764223">
        <w:rPr>
          <w:rFonts w:ascii="Calibri" w:hAnsi="Calibri" w:cs="Calibri"/>
          <w:color w:val="000000" w:themeColor="text1"/>
          <w:sz w:val="20"/>
          <w:szCs w:val="20"/>
          <w:shd w:val="clear" w:color="auto" w:fill="FFFFFF"/>
        </w:rPr>
        <w:t xml:space="preserve"> Biallelic loss</w:t>
      </w:r>
      <w:r>
        <w:rPr>
          <w:rFonts w:ascii="Calibri" w:hAnsi="Calibri" w:cs="Calibri"/>
          <w:color w:val="000000" w:themeColor="text1"/>
          <w:sz w:val="20"/>
          <w:szCs w:val="20"/>
          <w:shd w:val="clear" w:color="auto" w:fill="FFFFFF"/>
        </w:rPr>
        <w:t>-</w:t>
      </w:r>
      <w:r w:rsidRPr="00764223">
        <w:rPr>
          <w:rFonts w:ascii="Calibri" w:hAnsi="Calibri" w:cs="Calibri"/>
          <w:color w:val="000000" w:themeColor="text1"/>
          <w:sz w:val="20"/>
          <w:szCs w:val="20"/>
          <w:shd w:val="clear" w:color="auto" w:fill="FFFFFF"/>
        </w:rPr>
        <w:t>of</w:t>
      </w:r>
      <w:r>
        <w:rPr>
          <w:rFonts w:ascii="Calibri" w:hAnsi="Calibri" w:cs="Calibri"/>
          <w:color w:val="000000" w:themeColor="text1"/>
          <w:sz w:val="20"/>
          <w:szCs w:val="20"/>
          <w:shd w:val="clear" w:color="auto" w:fill="FFFFFF"/>
        </w:rPr>
        <w:t>-</w:t>
      </w:r>
      <w:r w:rsidRPr="00764223">
        <w:rPr>
          <w:rFonts w:ascii="Calibri" w:hAnsi="Calibri" w:cs="Calibri"/>
          <w:color w:val="000000" w:themeColor="text1"/>
          <w:sz w:val="20"/>
          <w:szCs w:val="20"/>
          <w:shd w:val="clear" w:color="auto" w:fill="FFFFFF"/>
        </w:rPr>
        <w:t xml:space="preserve">function </w:t>
      </w:r>
      <w:r>
        <w:rPr>
          <w:rFonts w:ascii="Calibri" w:hAnsi="Calibri" w:cs="Calibri"/>
          <w:color w:val="000000" w:themeColor="text1"/>
          <w:sz w:val="20"/>
          <w:szCs w:val="20"/>
          <w:shd w:val="clear" w:color="auto" w:fill="FFFFFF"/>
        </w:rPr>
        <w:t>variant</w:t>
      </w:r>
      <w:r w:rsidRPr="00764223">
        <w:rPr>
          <w:rFonts w:ascii="Calibri" w:hAnsi="Calibri" w:cs="Calibri"/>
          <w:color w:val="000000" w:themeColor="text1"/>
          <w:sz w:val="20"/>
          <w:szCs w:val="20"/>
          <w:shd w:val="clear" w:color="auto" w:fill="FFFFFF"/>
        </w:rPr>
        <w:t xml:space="preserve">s in </w:t>
      </w:r>
      <w:r w:rsidRPr="00764223">
        <w:rPr>
          <w:rFonts w:ascii="Calibri" w:hAnsi="Calibri" w:cs="Calibri"/>
          <w:i/>
          <w:iCs/>
          <w:color w:val="000000" w:themeColor="text1"/>
          <w:sz w:val="20"/>
          <w:szCs w:val="20"/>
          <w:shd w:val="clear" w:color="auto" w:fill="FFFFFF"/>
        </w:rPr>
        <w:t>GATM</w:t>
      </w:r>
      <w:r w:rsidRPr="00764223">
        <w:rPr>
          <w:rFonts w:ascii="Calibri" w:hAnsi="Calibri" w:cs="Calibri"/>
          <w:color w:val="000000" w:themeColor="text1"/>
          <w:sz w:val="20"/>
          <w:szCs w:val="20"/>
          <w:shd w:val="clear" w:color="auto" w:fill="FFFFFF"/>
        </w:rPr>
        <w:t xml:space="preserve"> cause a rare, congenital neurological disorder without </w:t>
      </w:r>
      <w:r>
        <w:rPr>
          <w:rFonts w:ascii="Calibri" w:hAnsi="Calibri" w:cs="Calibri"/>
          <w:color w:val="000000" w:themeColor="text1"/>
          <w:sz w:val="20"/>
          <w:szCs w:val="20"/>
          <w:shd w:val="clear" w:color="auto" w:fill="FFFFFF"/>
        </w:rPr>
        <w:t xml:space="preserve">kidney </w:t>
      </w:r>
      <w:r w:rsidRPr="00764223">
        <w:rPr>
          <w:rFonts w:ascii="Calibri" w:hAnsi="Calibri" w:cs="Calibri"/>
          <w:color w:val="000000" w:themeColor="text1"/>
          <w:sz w:val="20"/>
          <w:szCs w:val="20"/>
          <w:shd w:val="clear" w:color="auto" w:fill="FFFFFF"/>
        </w:rPr>
        <w:t>dysfunction.</w:t>
      </w:r>
      <w:r w:rsidRPr="005A3A65">
        <w:rPr>
          <w:rFonts w:ascii="Calibri" w:hAnsi="Calibri" w:cs="Calibri"/>
          <w:noProof/>
          <w:color w:val="000000" w:themeColor="text1"/>
          <w:sz w:val="20"/>
          <w:szCs w:val="20"/>
          <w:shd w:val="clear" w:color="auto" w:fill="FFFFFF"/>
          <w:vertAlign w:val="superscript"/>
        </w:rPr>
        <w:t>9</w:t>
      </w:r>
    </w:p>
    <w:p w14:paraId="6C55CFD1" w14:textId="77777777" w:rsidR="00955DD7" w:rsidRPr="00764223" w:rsidRDefault="00955DD7" w:rsidP="00424277">
      <w:pPr>
        <w:spacing w:line="360" w:lineRule="auto"/>
        <w:rPr>
          <w:rFonts w:ascii="Calibri" w:hAnsi="Calibri" w:cs="Calibri"/>
          <w:color w:val="000000" w:themeColor="text1"/>
          <w:sz w:val="20"/>
          <w:szCs w:val="20"/>
          <w:shd w:val="clear" w:color="auto" w:fill="FFFFFF"/>
        </w:rPr>
      </w:pPr>
    </w:p>
    <w:p w14:paraId="3312728C" w14:textId="12D3FE39" w:rsidR="00955DD7" w:rsidRPr="00764223" w:rsidRDefault="00955DD7" w:rsidP="00424277">
      <w:pPr>
        <w:spacing w:line="360" w:lineRule="auto"/>
        <w:rPr>
          <w:rFonts w:ascii="Calibri" w:hAnsi="Calibri" w:cs="Calibri"/>
        </w:rPr>
      </w:pPr>
      <w:r w:rsidRPr="00764223">
        <w:rPr>
          <w:rFonts w:ascii="Calibri" w:hAnsi="Calibri" w:cs="Calibri"/>
          <w:color w:val="000000" w:themeColor="text1"/>
          <w:sz w:val="20"/>
          <w:szCs w:val="20"/>
          <w:shd w:val="clear" w:color="auto" w:fill="FFFFFF"/>
        </w:rPr>
        <w:t xml:space="preserve">In 2018, </w:t>
      </w:r>
      <w:proofErr w:type="spellStart"/>
      <w:r w:rsidRPr="00764223">
        <w:rPr>
          <w:rFonts w:ascii="Calibri" w:hAnsi="Calibri" w:cs="Calibri"/>
          <w:color w:val="000000" w:themeColor="text1"/>
          <w:sz w:val="20"/>
          <w:szCs w:val="20"/>
          <w:shd w:val="clear" w:color="auto" w:fill="FFFFFF"/>
        </w:rPr>
        <w:t>Reichold</w:t>
      </w:r>
      <w:proofErr w:type="spellEnd"/>
      <w:r w:rsidRPr="00764223">
        <w:rPr>
          <w:rFonts w:ascii="Calibri" w:hAnsi="Calibri" w:cs="Calibri"/>
          <w:color w:val="000000" w:themeColor="text1"/>
          <w:sz w:val="20"/>
          <w:szCs w:val="20"/>
          <w:shd w:val="clear" w:color="auto" w:fill="FFFFFF"/>
        </w:rPr>
        <w:t xml:space="preserve"> </w:t>
      </w:r>
      <w:r w:rsidRPr="00C267EF">
        <w:rPr>
          <w:rFonts w:ascii="Calibri" w:hAnsi="Calibri" w:cs="Calibri"/>
          <w:i/>
          <w:iCs/>
          <w:color w:val="000000" w:themeColor="text1"/>
          <w:sz w:val="20"/>
          <w:szCs w:val="20"/>
          <w:shd w:val="clear" w:color="auto" w:fill="FFFFFF"/>
        </w:rPr>
        <w:t>et al.</w:t>
      </w:r>
      <w:r w:rsidRPr="005A3A65">
        <w:rPr>
          <w:rFonts w:ascii="Calibri" w:hAnsi="Calibri" w:cs="Calibri"/>
          <w:i/>
          <w:iCs/>
          <w:noProof/>
          <w:color w:val="000000" w:themeColor="text1"/>
          <w:sz w:val="20"/>
          <w:szCs w:val="20"/>
          <w:shd w:val="clear" w:color="auto" w:fill="FFFFFF"/>
          <w:vertAlign w:val="superscript"/>
        </w:rPr>
        <w:t>5</w:t>
      </w:r>
      <w:r w:rsidRPr="00764223">
        <w:rPr>
          <w:rFonts w:ascii="Calibri" w:hAnsi="Calibri" w:cs="Calibri"/>
          <w:color w:val="000000" w:themeColor="text1"/>
          <w:sz w:val="20"/>
          <w:szCs w:val="20"/>
          <w:shd w:val="clear" w:color="auto" w:fill="FFFFFF"/>
        </w:rPr>
        <w:t xml:space="preserve"> used genome-wide linkage analysis and sequencing studies on 28 patients from five extended families with childhood-onset autosomal dominant without debilitating rickets. </w:t>
      </w:r>
      <w:r>
        <w:rPr>
          <w:rFonts w:ascii="Calibri" w:hAnsi="Calibri" w:cs="Calibri"/>
          <w:color w:val="000000" w:themeColor="text1"/>
          <w:sz w:val="20"/>
          <w:szCs w:val="20"/>
          <w:shd w:val="clear" w:color="auto" w:fill="FFFFFF"/>
        </w:rPr>
        <w:t>The youngest patient exhibited laboratory features of RFS without glomerular compromise at 18 months old. For all patients, p</w:t>
      </w:r>
      <w:r w:rsidRPr="00764223">
        <w:rPr>
          <w:rFonts w:ascii="Calibri" w:hAnsi="Calibri" w:cs="Calibri"/>
          <w:color w:val="000000" w:themeColor="text1"/>
          <w:sz w:val="20"/>
          <w:szCs w:val="20"/>
          <w:shd w:val="clear" w:color="auto" w:fill="FFFFFF"/>
        </w:rPr>
        <w:t>lasma creatinine started to rise during late adolescence or adulthood, with evidence of renal fibrosis and kidney disease. Progression to dialysis or transplant happened in the third to sixth decade</w:t>
      </w:r>
      <w:r>
        <w:rPr>
          <w:rFonts w:ascii="Calibri" w:hAnsi="Calibri" w:cs="Calibri"/>
          <w:color w:val="000000" w:themeColor="text1"/>
          <w:sz w:val="20"/>
          <w:szCs w:val="20"/>
          <w:shd w:val="clear" w:color="auto" w:fill="FFFFFF"/>
        </w:rPr>
        <w:t>s</w:t>
      </w:r>
      <w:r w:rsidRPr="00764223">
        <w:rPr>
          <w:rFonts w:ascii="Calibri" w:hAnsi="Calibri" w:cs="Calibri"/>
          <w:color w:val="000000" w:themeColor="text1"/>
          <w:sz w:val="20"/>
          <w:szCs w:val="20"/>
          <w:shd w:val="clear" w:color="auto" w:fill="FFFFFF"/>
        </w:rPr>
        <w:t xml:space="preserve">. </w:t>
      </w:r>
      <w:r>
        <w:rPr>
          <w:rFonts w:ascii="Calibri" w:hAnsi="Calibri" w:cs="Calibri"/>
          <w:color w:val="000000" w:themeColor="text1"/>
          <w:sz w:val="20"/>
          <w:szCs w:val="20"/>
          <w:shd w:val="clear" w:color="auto" w:fill="FFFFFF"/>
        </w:rPr>
        <w:t xml:space="preserve">There were no extra-renal features. </w:t>
      </w:r>
      <w:r w:rsidRPr="00764223">
        <w:rPr>
          <w:rFonts w:ascii="Calibri" w:hAnsi="Calibri" w:cs="Calibri"/>
          <w:color w:val="000000" w:themeColor="text1"/>
          <w:sz w:val="20"/>
          <w:szCs w:val="20"/>
          <w:shd w:val="clear" w:color="auto" w:fill="FFFFFF"/>
        </w:rPr>
        <w:t xml:space="preserve">All affected patients had a single heterozygous missense </w:t>
      </w:r>
      <w:r>
        <w:rPr>
          <w:rFonts w:ascii="Calibri" w:hAnsi="Calibri" w:cs="Calibri"/>
          <w:color w:val="000000" w:themeColor="text1"/>
          <w:sz w:val="20"/>
          <w:szCs w:val="20"/>
          <w:shd w:val="clear" w:color="auto" w:fill="FFFFFF"/>
        </w:rPr>
        <w:t>variant</w:t>
      </w:r>
      <w:r w:rsidRPr="00764223">
        <w:rPr>
          <w:rFonts w:ascii="Calibri" w:hAnsi="Calibri" w:cs="Calibri"/>
          <w:color w:val="000000" w:themeColor="text1"/>
          <w:sz w:val="20"/>
          <w:szCs w:val="20"/>
          <w:shd w:val="clear" w:color="auto" w:fill="FFFFFF"/>
        </w:rPr>
        <w:t xml:space="preserve"> in </w:t>
      </w:r>
      <w:r w:rsidRPr="00764223">
        <w:rPr>
          <w:rFonts w:ascii="Calibri" w:hAnsi="Calibri" w:cs="Calibri"/>
          <w:i/>
          <w:iCs/>
          <w:color w:val="000000" w:themeColor="text1"/>
          <w:sz w:val="20"/>
          <w:szCs w:val="20"/>
          <w:shd w:val="clear" w:color="auto" w:fill="FFFFFF"/>
        </w:rPr>
        <w:t>GATM</w:t>
      </w:r>
      <w:r>
        <w:rPr>
          <w:rFonts w:ascii="Calibri" w:hAnsi="Calibri" w:cs="Calibri"/>
          <w:i/>
          <w:iCs/>
          <w:color w:val="000000" w:themeColor="text1"/>
          <w:sz w:val="20"/>
          <w:szCs w:val="20"/>
          <w:shd w:val="clear" w:color="auto" w:fill="FFFFFF"/>
        </w:rPr>
        <w:t xml:space="preserve"> </w:t>
      </w:r>
      <w:r>
        <w:rPr>
          <w:rFonts w:ascii="Calibri" w:hAnsi="Calibri" w:cs="Calibri"/>
          <w:color w:val="000000" w:themeColor="text1"/>
          <w:sz w:val="20"/>
          <w:szCs w:val="20"/>
          <w:shd w:val="clear" w:color="auto" w:fill="FFFFFF"/>
        </w:rPr>
        <w:t>affecting highly conserved residues</w:t>
      </w:r>
      <w:r w:rsidRPr="00764223">
        <w:rPr>
          <w:rFonts w:ascii="Calibri" w:hAnsi="Calibri" w:cs="Calibri"/>
          <w:color w:val="000000" w:themeColor="text1"/>
          <w:sz w:val="20"/>
          <w:szCs w:val="20"/>
          <w:shd w:val="clear" w:color="auto" w:fill="FFFFFF"/>
        </w:rPr>
        <w:t xml:space="preserve">, </w:t>
      </w:r>
      <w:r w:rsidRPr="00764223">
        <w:rPr>
          <w:rFonts w:ascii="Calibri" w:hAnsi="Calibri" w:cs="Calibri"/>
          <w:color w:val="000000" w:themeColor="text1"/>
          <w:sz w:val="20"/>
          <w:szCs w:val="20"/>
          <w:shd w:val="clear" w:color="auto" w:fill="FFFFFF"/>
        </w:rPr>
        <w:lastRenderedPageBreak/>
        <w:t>segregating in an autosomal dominant pattern. The four causal variants</w:t>
      </w:r>
      <w:r>
        <w:rPr>
          <w:rFonts w:ascii="Calibri" w:hAnsi="Calibri" w:cs="Calibri"/>
          <w:color w:val="000000" w:themeColor="text1"/>
          <w:sz w:val="20"/>
          <w:szCs w:val="20"/>
          <w:shd w:val="clear" w:color="auto" w:fill="FFFFFF"/>
        </w:rPr>
        <w:t xml:space="preserve">, </w:t>
      </w:r>
      <w:proofErr w:type="gramStart"/>
      <w:r>
        <w:rPr>
          <w:rFonts w:ascii="Calibri" w:hAnsi="Calibri" w:cs="Calibri"/>
          <w:color w:val="000000" w:themeColor="text1"/>
          <w:sz w:val="20"/>
          <w:szCs w:val="20"/>
          <w:shd w:val="clear" w:color="auto" w:fill="FFFFFF"/>
        </w:rPr>
        <w:t>p.(</w:t>
      </w:r>
      <w:proofErr w:type="gramEnd"/>
      <w:r>
        <w:rPr>
          <w:rFonts w:ascii="Calibri" w:hAnsi="Calibri" w:cs="Calibri"/>
          <w:color w:val="000000" w:themeColor="text1"/>
          <w:sz w:val="20"/>
          <w:szCs w:val="20"/>
          <w:shd w:val="clear" w:color="auto" w:fill="FFFFFF"/>
        </w:rPr>
        <w:t>Pro320Ser)</w:t>
      </w:r>
      <w:r w:rsidRPr="00764223">
        <w:rPr>
          <w:rFonts w:ascii="Calibri" w:hAnsi="Calibri" w:cs="Calibri"/>
          <w:color w:val="000000" w:themeColor="text1"/>
          <w:sz w:val="20"/>
          <w:szCs w:val="20"/>
          <w:shd w:val="clear" w:color="auto" w:fill="FFFFFF"/>
        </w:rPr>
        <w:t xml:space="preserve">; </w:t>
      </w:r>
      <w:r>
        <w:rPr>
          <w:rFonts w:ascii="Calibri" w:hAnsi="Calibri" w:cs="Calibri"/>
          <w:color w:val="000000" w:themeColor="text1"/>
          <w:sz w:val="20"/>
          <w:szCs w:val="20"/>
          <w:shd w:val="clear" w:color="auto" w:fill="FFFFFF"/>
        </w:rPr>
        <w:t>p.(Thr336Ala)</w:t>
      </w:r>
      <w:r w:rsidRPr="00764223">
        <w:rPr>
          <w:rFonts w:ascii="Calibri" w:hAnsi="Calibri" w:cs="Calibri"/>
          <w:color w:val="000000" w:themeColor="text1"/>
          <w:sz w:val="20"/>
          <w:szCs w:val="20"/>
          <w:shd w:val="clear" w:color="auto" w:fill="FFFFFF"/>
        </w:rPr>
        <w:t xml:space="preserve">; </w:t>
      </w:r>
      <w:r>
        <w:rPr>
          <w:rFonts w:ascii="Calibri" w:hAnsi="Calibri" w:cs="Calibri"/>
          <w:color w:val="000000" w:themeColor="text1"/>
          <w:sz w:val="20"/>
          <w:szCs w:val="20"/>
          <w:shd w:val="clear" w:color="auto" w:fill="FFFFFF"/>
        </w:rPr>
        <w:t>p.(Thr336Ile)</w:t>
      </w:r>
      <w:r w:rsidRPr="00764223">
        <w:rPr>
          <w:rFonts w:ascii="Calibri" w:hAnsi="Calibri" w:cs="Calibri"/>
          <w:color w:val="000000" w:themeColor="text1"/>
          <w:sz w:val="20"/>
          <w:szCs w:val="20"/>
          <w:shd w:val="clear" w:color="auto" w:fill="FFFFFF"/>
        </w:rPr>
        <w:t xml:space="preserve">; and </w:t>
      </w:r>
      <w:r>
        <w:rPr>
          <w:rFonts w:ascii="Calibri" w:hAnsi="Calibri" w:cs="Calibri"/>
          <w:color w:val="000000" w:themeColor="text1"/>
          <w:sz w:val="20"/>
          <w:szCs w:val="20"/>
          <w:shd w:val="clear" w:color="auto" w:fill="FFFFFF"/>
        </w:rPr>
        <w:t>p.(Pro341Leu),</w:t>
      </w:r>
      <w:r w:rsidRPr="00764223">
        <w:rPr>
          <w:rFonts w:ascii="Calibri" w:hAnsi="Calibri" w:cs="Calibri"/>
          <w:color w:val="000000" w:themeColor="text1"/>
          <w:sz w:val="20"/>
          <w:szCs w:val="20"/>
          <w:shd w:val="clear" w:color="auto" w:fill="FFFFFF"/>
        </w:rPr>
        <w:t xml:space="preserve"> were fully penetrant and clustered on conserved proline and threonine residues representing &lt;5% of the protein. </w:t>
      </w:r>
      <w:r w:rsidRPr="00A17111">
        <w:rPr>
          <w:rFonts w:ascii="Calibri" w:hAnsi="Calibri" w:cs="Calibri"/>
          <w:i/>
          <w:iCs/>
          <w:color w:val="000000" w:themeColor="text1"/>
          <w:sz w:val="20"/>
          <w:szCs w:val="20"/>
          <w:shd w:val="clear" w:color="auto" w:fill="FFFFFF"/>
        </w:rPr>
        <w:t>In silico</w:t>
      </w:r>
      <w:r w:rsidRPr="00764223">
        <w:rPr>
          <w:rFonts w:ascii="Calibri" w:hAnsi="Calibri" w:cs="Calibri"/>
          <w:color w:val="000000" w:themeColor="text1"/>
          <w:sz w:val="20"/>
          <w:szCs w:val="20"/>
          <w:shd w:val="clear" w:color="auto" w:fill="FFFFFF"/>
        </w:rPr>
        <w:t xml:space="preserve"> modelling suggested the </w:t>
      </w:r>
      <w:r>
        <w:rPr>
          <w:rFonts w:ascii="Calibri" w:hAnsi="Calibri" w:cs="Calibri"/>
          <w:color w:val="000000" w:themeColor="text1"/>
          <w:sz w:val="20"/>
          <w:szCs w:val="20"/>
          <w:shd w:val="clear" w:color="auto" w:fill="FFFFFF"/>
        </w:rPr>
        <w:t>variants</w:t>
      </w:r>
      <w:r w:rsidRPr="00764223">
        <w:rPr>
          <w:rFonts w:ascii="Calibri" w:hAnsi="Calibri" w:cs="Calibri"/>
          <w:color w:val="000000" w:themeColor="text1"/>
          <w:sz w:val="20"/>
          <w:szCs w:val="20"/>
          <w:shd w:val="clear" w:color="auto" w:fill="FFFFFF"/>
        </w:rPr>
        <w:t xml:space="preserve"> could adversely affect protein folding and cause GATM to form longitudinal multimers. Biopsy samples from affected patients demonstrated fibrosis and extremely large, filament filled mitochondria within proximal tubule cells. These were confirmed to contain GATM using immunogold staining.</w:t>
      </w:r>
      <w:r w:rsidRPr="005A3A65">
        <w:rPr>
          <w:rFonts w:ascii="Calibri" w:hAnsi="Calibri" w:cs="Calibri"/>
          <w:noProof/>
          <w:color w:val="000000" w:themeColor="text1"/>
          <w:sz w:val="20"/>
          <w:szCs w:val="20"/>
          <w:shd w:val="clear" w:color="auto" w:fill="FFFFFF"/>
          <w:vertAlign w:val="superscript"/>
        </w:rPr>
        <w:t>5</w:t>
      </w:r>
      <w:r w:rsidRPr="00764223">
        <w:rPr>
          <w:rFonts w:ascii="Calibri" w:hAnsi="Calibri" w:cs="Calibri"/>
          <w:color w:val="000000" w:themeColor="text1"/>
          <w:sz w:val="20"/>
          <w:szCs w:val="20"/>
          <w:shd w:val="clear" w:color="auto" w:fill="FFFFFF"/>
        </w:rPr>
        <w:t xml:space="preserve"> Overexpression of wild-type </w:t>
      </w:r>
      <w:r w:rsidRPr="00A17111">
        <w:rPr>
          <w:rFonts w:ascii="Calibri" w:hAnsi="Calibri" w:cs="Calibri"/>
          <w:i/>
          <w:iCs/>
          <w:color w:val="000000" w:themeColor="text1"/>
          <w:sz w:val="20"/>
          <w:szCs w:val="20"/>
          <w:shd w:val="clear" w:color="auto" w:fill="FFFFFF"/>
        </w:rPr>
        <w:t>GATM</w:t>
      </w:r>
      <w:r w:rsidRPr="00764223">
        <w:rPr>
          <w:rFonts w:ascii="Calibri" w:hAnsi="Calibri" w:cs="Calibri"/>
          <w:color w:val="000000" w:themeColor="text1"/>
          <w:sz w:val="20"/>
          <w:szCs w:val="20"/>
          <w:shd w:val="clear" w:color="auto" w:fill="FFFFFF"/>
        </w:rPr>
        <w:t xml:space="preserve"> had no impact on mitochondria, but all mutants caused structural deformity to mitochondria consistent with the findings on patient biopsies. LLC-PK1 cells (porcine proximal tubule cell line) transfected with the </w:t>
      </w:r>
      <w:r>
        <w:rPr>
          <w:rFonts w:ascii="Calibri" w:hAnsi="Calibri" w:cs="Calibri"/>
          <w:color w:val="000000" w:themeColor="text1"/>
          <w:sz w:val="20"/>
          <w:szCs w:val="20"/>
          <w:shd w:val="clear" w:color="auto" w:fill="FFFFFF"/>
        </w:rPr>
        <w:t>p.(Thr336Ala)</w:t>
      </w:r>
      <w:r w:rsidRPr="00764223">
        <w:rPr>
          <w:rFonts w:ascii="Calibri" w:hAnsi="Calibri" w:cs="Calibri"/>
          <w:color w:val="000000" w:themeColor="text1"/>
          <w:sz w:val="20"/>
          <w:szCs w:val="20"/>
          <w:shd w:val="clear" w:color="auto" w:fill="FFFFFF"/>
        </w:rPr>
        <w:t xml:space="preserve"> </w:t>
      </w:r>
      <w:r>
        <w:rPr>
          <w:rFonts w:ascii="Calibri" w:hAnsi="Calibri" w:cs="Calibri"/>
          <w:color w:val="000000" w:themeColor="text1"/>
          <w:sz w:val="20"/>
          <w:szCs w:val="20"/>
          <w:shd w:val="clear" w:color="auto" w:fill="FFFFFF"/>
        </w:rPr>
        <w:t>variant</w:t>
      </w:r>
      <w:r w:rsidRPr="00764223">
        <w:rPr>
          <w:rFonts w:ascii="Calibri" w:hAnsi="Calibri" w:cs="Calibri"/>
          <w:color w:val="000000" w:themeColor="text1"/>
          <w:sz w:val="20"/>
          <w:szCs w:val="20"/>
          <w:shd w:val="clear" w:color="auto" w:fill="FFFFFF"/>
        </w:rPr>
        <w:t xml:space="preserve"> had no effect on enzymatic activity and oxidative phosphorylation, but instead caused dimeric GATM to form multimers, resulting in fibrillary aggregation within the mitochondria consistent </w:t>
      </w:r>
      <w:r w:rsidRPr="00082985">
        <w:rPr>
          <w:rFonts w:ascii="Calibri" w:hAnsi="Calibri" w:cs="Calibri"/>
          <w:color w:val="000000" w:themeColor="text1"/>
          <w:sz w:val="20"/>
          <w:szCs w:val="20"/>
          <w:shd w:val="clear" w:color="auto" w:fill="FFFFFF"/>
        </w:rPr>
        <w:t xml:space="preserve">with the </w:t>
      </w:r>
      <w:r w:rsidRPr="00082985">
        <w:rPr>
          <w:rFonts w:ascii="Calibri" w:hAnsi="Calibri" w:cs="Calibri"/>
          <w:i/>
          <w:iCs/>
          <w:color w:val="000000" w:themeColor="text1"/>
          <w:sz w:val="20"/>
          <w:szCs w:val="20"/>
          <w:shd w:val="clear" w:color="auto" w:fill="FFFFFF"/>
        </w:rPr>
        <w:t>in silico</w:t>
      </w:r>
      <w:r w:rsidRPr="00082985">
        <w:rPr>
          <w:rFonts w:ascii="Calibri" w:hAnsi="Calibri" w:cs="Calibri"/>
          <w:color w:val="000000" w:themeColor="text1"/>
          <w:sz w:val="20"/>
          <w:szCs w:val="20"/>
          <w:shd w:val="clear" w:color="auto" w:fill="FFFFFF"/>
        </w:rPr>
        <w:t xml:space="preserve"> modelling</w:t>
      </w:r>
      <w:r w:rsidRPr="00764223">
        <w:rPr>
          <w:rFonts w:ascii="Calibri" w:hAnsi="Calibri" w:cs="Calibri"/>
          <w:color w:val="000000" w:themeColor="text1"/>
          <w:sz w:val="20"/>
          <w:szCs w:val="20"/>
          <w:shd w:val="clear" w:color="auto" w:fill="FFFFFF"/>
        </w:rPr>
        <w:t>.</w:t>
      </w:r>
      <w:r w:rsidRPr="005A3A65">
        <w:rPr>
          <w:rFonts w:ascii="Calibri" w:hAnsi="Calibri" w:cs="Calibri"/>
          <w:noProof/>
          <w:color w:val="000000" w:themeColor="text1"/>
          <w:sz w:val="20"/>
          <w:szCs w:val="20"/>
          <w:shd w:val="clear" w:color="auto" w:fill="FFFFFF"/>
          <w:vertAlign w:val="superscript"/>
        </w:rPr>
        <w:t>5</w:t>
      </w:r>
      <w:r w:rsidRPr="00764223">
        <w:rPr>
          <w:rFonts w:ascii="Calibri" w:hAnsi="Calibri" w:cs="Calibri"/>
          <w:color w:val="000000" w:themeColor="text1"/>
          <w:sz w:val="20"/>
          <w:szCs w:val="20"/>
          <w:shd w:val="clear" w:color="auto" w:fill="FFFFFF"/>
        </w:rPr>
        <w:t xml:space="preserve"> These protein aggregates led to dysfunctional elongated mitochondria with increased reactive oxygen species, increased transcription of </w:t>
      </w:r>
      <w:r w:rsidRPr="00C7684F">
        <w:rPr>
          <w:rFonts w:ascii="Calibri" w:hAnsi="Calibri" w:cs="Calibri"/>
          <w:i/>
          <w:iCs/>
          <w:color w:val="000000" w:themeColor="text1"/>
          <w:sz w:val="20"/>
          <w:szCs w:val="20"/>
          <w:shd w:val="clear" w:color="auto" w:fill="FFFFFF"/>
        </w:rPr>
        <w:t>NLRP3</w:t>
      </w:r>
      <w:r w:rsidRPr="00764223">
        <w:rPr>
          <w:rFonts w:ascii="Calibri" w:hAnsi="Calibri" w:cs="Calibri"/>
          <w:color w:val="000000" w:themeColor="text1"/>
          <w:sz w:val="20"/>
          <w:szCs w:val="20"/>
          <w:shd w:val="clear" w:color="auto" w:fill="FFFFFF"/>
        </w:rPr>
        <w:t xml:space="preserve">, a component of the inflammasome, elevated </w:t>
      </w:r>
      <w:r>
        <w:rPr>
          <w:rFonts w:ascii="Calibri" w:hAnsi="Calibri" w:cs="Calibri"/>
          <w:color w:val="000000" w:themeColor="text1"/>
          <w:sz w:val="20"/>
          <w:szCs w:val="20"/>
          <w:shd w:val="clear" w:color="auto" w:fill="FFFFFF"/>
        </w:rPr>
        <w:t>pro-</w:t>
      </w:r>
      <w:r w:rsidRPr="00764223">
        <w:rPr>
          <w:rFonts w:ascii="Calibri" w:hAnsi="Calibri" w:cs="Calibri"/>
          <w:color w:val="000000" w:themeColor="text1"/>
          <w:sz w:val="20"/>
          <w:szCs w:val="20"/>
          <w:shd w:val="clear" w:color="auto" w:fill="FFFFFF"/>
        </w:rPr>
        <w:t xml:space="preserve">inflammatory cytokine interleukin-18, increased profibrotic factors and increased cell death. Furthermore, mutant </w:t>
      </w:r>
      <w:r w:rsidRPr="00A17111">
        <w:rPr>
          <w:rFonts w:ascii="Calibri" w:hAnsi="Calibri" w:cs="Calibri"/>
          <w:i/>
          <w:iCs/>
          <w:color w:val="000000" w:themeColor="text1"/>
          <w:sz w:val="20"/>
          <w:szCs w:val="20"/>
          <w:shd w:val="clear" w:color="auto" w:fill="FFFFFF"/>
        </w:rPr>
        <w:t>GATM</w:t>
      </w:r>
      <w:r w:rsidRPr="00764223">
        <w:rPr>
          <w:rFonts w:ascii="Calibri" w:hAnsi="Calibri" w:cs="Calibri"/>
          <w:color w:val="000000" w:themeColor="text1"/>
          <w:sz w:val="20"/>
          <w:szCs w:val="20"/>
          <w:shd w:val="clear" w:color="auto" w:fill="FFFFFF"/>
        </w:rPr>
        <w:t xml:space="preserve"> showed impaired protein degradation with an increased half-life.</w:t>
      </w:r>
      <w:r w:rsidRPr="00764223">
        <w:rPr>
          <w:rFonts w:ascii="Calibri" w:hAnsi="Calibri" w:cs="Calibri"/>
        </w:rPr>
        <w:t xml:space="preserve"> </w:t>
      </w:r>
      <w:r w:rsidRPr="00764223">
        <w:rPr>
          <w:rFonts w:ascii="Calibri" w:hAnsi="Calibri" w:cs="Calibri"/>
          <w:color w:val="000000" w:themeColor="text1"/>
          <w:sz w:val="20"/>
          <w:szCs w:val="20"/>
          <w:shd w:val="clear" w:color="auto" w:fill="FFFFFF"/>
        </w:rPr>
        <w:t xml:space="preserve">Of note, mice haploinsufficient for </w:t>
      </w:r>
      <w:r w:rsidRPr="00A17111">
        <w:rPr>
          <w:rFonts w:ascii="Calibri" w:hAnsi="Calibri" w:cs="Calibri"/>
          <w:i/>
          <w:iCs/>
          <w:color w:val="000000" w:themeColor="text1"/>
          <w:sz w:val="20"/>
          <w:szCs w:val="20"/>
          <w:shd w:val="clear" w:color="auto" w:fill="FFFFFF"/>
        </w:rPr>
        <w:t>GATM</w:t>
      </w:r>
      <w:r w:rsidRPr="00764223">
        <w:rPr>
          <w:rFonts w:ascii="Calibri" w:hAnsi="Calibri" w:cs="Calibri"/>
          <w:color w:val="000000" w:themeColor="text1"/>
          <w:sz w:val="20"/>
          <w:szCs w:val="20"/>
          <w:shd w:val="clear" w:color="auto" w:fill="FFFFFF"/>
        </w:rPr>
        <w:t xml:space="preserve"> had no significant kidney phenotype, suggesting the four variants cause disease through </w:t>
      </w:r>
      <w:r>
        <w:rPr>
          <w:rFonts w:ascii="Calibri" w:hAnsi="Calibri" w:cs="Calibri"/>
          <w:color w:val="000000" w:themeColor="text1"/>
          <w:sz w:val="20"/>
          <w:szCs w:val="20"/>
          <w:shd w:val="clear" w:color="auto" w:fill="FFFFFF"/>
        </w:rPr>
        <w:t>a dominant negative mechanism</w:t>
      </w:r>
      <w:r w:rsidRPr="00764223">
        <w:rPr>
          <w:rFonts w:ascii="Calibri" w:hAnsi="Calibri" w:cs="Calibri"/>
          <w:color w:val="000000" w:themeColor="text1"/>
          <w:sz w:val="20"/>
          <w:szCs w:val="20"/>
          <w:shd w:val="clear" w:color="auto" w:fill="FFFFFF"/>
        </w:rPr>
        <w:t>. These mice did however display neurological phenotypes consistent with biallelic loss</w:t>
      </w:r>
      <w:r>
        <w:rPr>
          <w:rFonts w:ascii="Calibri" w:hAnsi="Calibri" w:cs="Calibri"/>
          <w:color w:val="000000" w:themeColor="text1"/>
          <w:sz w:val="20"/>
          <w:szCs w:val="20"/>
          <w:shd w:val="clear" w:color="auto" w:fill="FFFFFF"/>
        </w:rPr>
        <w:t>-</w:t>
      </w:r>
      <w:r w:rsidRPr="00764223">
        <w:rPr>
          <w:rFonts w:ascii="Calibri" w:hAnsi="Calibri" w:cs="Calibri"/>
          <w:color w:val="000000" w:themeColor="text1"/>
          <w:sz w:val="20"/>
          <w:szCs w:val="20"/>
          <w:shd w:val="clear" w:color="auto" w:fill="FFFFFF"/>
        </w:rPr>
        <w:t>of</w:t>
      </w:r>
      <w:r>
        <w:rPr>
          <w:rFonts w:ascii="Calibri" w:hAnsi="Calibri" w:cs="Calibri"/>
          <w:color w:val="000000" w:themeColor="text1"/>
          <w:sz w:val="20"/>
          <w:szCs w:val="20"/>
          <w:shd w:val="clear" w:color="auto" w:fill="FFFFFF"/>
        </w:rPr>
        <w:t>-</w:t>
      </w:r>
      <w:r w:rsidRPr="00764223">
        <w:rPr>
          <w:rFonts w:ascii="Calibri" w:hAnsi="Calibri" w:cs="Calibri"/>
          <w:color w:val="000000" w:themeColor="text1"/>
          <w:sz w:val="20"/>
          <w:szCs w:val="20"/>
          <w:shd w:val="clear" w:color="auto" w:fill="FFFFFF"/>
        </w:rPr>
        <w:t xml:space="preserve">function </w:t>
      </w:r>
      <w:r>
        <w:rPr>
          <w:rFonts w:ascii="Calibri" w:hAnsi="Calibri" w:cs="Calibri"/>
          <w:color w:val="000000" w:themeColor="text1"/>
          <w:sz w:val="20"/>
          <w:szCs w:val="20"/>
          <w:shd w:val="clear" w:color="auto" w:fill="FFFFFF"/>
        </w:rPr>
        <w:t>variant</w:t>
      </w:r>
      <w:r w:rsidRPr="00764223">
        <w:rPr>
          <w:rFonts w:ascii="Calibri" w:hAnsi="Calibri" w:cs="Calibri"/>
          <w:color w:val="000000" w:themeColor="text1"/>
          <w:sz w:val="20"/>
          <w:szCs w:val="20"/>
          <w:shd w:val="clear" w:color="auto" w:fill="FFFFFF"/>
        </w:rPr>
        <w:t xml:space="preserve">s in </w:t>
      </w:r>
      <w:r w:rsidRPr="00764223">
        <w:rPr>
          <w:rFonts w:ascii="Calibri" w:hAnsi="Calibri" w:cs="Calibri"/>
          <w:i/>
          <w:iCs/>
          <w:color w:val="000000" w:themeColor="text1"/>
          <w:sz w:val="20"/>
          <w:szCs w:val="20"/>
          <w:shd w:val="clear" w:color="auto" w:fill="FFFFFF"/>
        </w:rPr>
        <w:t>GATM</w:t>
      </w:r>
      <w:r>
        <w:rPr>
          <w:rFonts w:ascii="Calibri" w:hAnsi="Calibri" w:cs="Calibri"/>
          <w:color w:val="000000" w:themeColor="text1"/>
          <w:sz w:val="20"/>
          <w:szCs w:val="20"/>
          <w:shd w:val="clear" w:color="auto" w:fill="FFFFFF"/>
        </w:rPr>
        <w:t>.</w:t>
      </w:r>
      <w:r w:rsidRPr="005A3A65">
        <w:rPr>
          <w:rFonts w:ascii="Calibri" w:hAnsi="Calibri" w:cs="Calibri"/>
          <w:noProof/>
          <w:color w:val="000000" w:themeColor="text1"/>
          <w:sz w:val="20"/>
          <w:szCs w:val="20"/>
          <w:shd w:val="clear" w:color="auto" w:fill="FFFFFF"/>
          <w:vertAlign w:val="superscript"/>
        </w:rPr>
        <w:t>8</w:t>
      </w:r>
      <w:r w:rsidRPr="00764223">
        <w:rPr>
          <w:rFonts w:ascii="Calibri" w:hAnsi="Calibri" w:cs="Calibri"/>
          <w:color w:val="000000" w:themeColor="text1"/>
          <w:sz w:val="20"/>
          <w:szCs w:val="20"/>
          <w:shd w:val="clear" w:color="auto" w:fill="FFFFFF"/>
        </w:rPr>
        <w:t xml:space="preserve"> Of interest, rats treated with oral creatine showed 27% reduced </w:t>
      </w:r>
      <w:r>
        <w:rPr>
          <w:rFonts w:ascii="Calibri" w:hAnsi="Calibri" w:cs="Calibri"/>
          <w:color w:val="000000" w:themeColor="text1"/>
          <w:sz w:val="20"/>
          <w:szCs w:val="20"/>
          <w:shd w:val="clear" w:color="auto" w:fill="FFFFFF"/>
        </w:rPr>
        <w:t xml:space="preserve">kidney </w:t>
      </w:r>
      <w:proofErr w:type="spellStart"/>
      <w:r w:rsidRPr="00764223">
        <w:rPr>
          <w:rFonts w:ascii="Calibri" w:hAnsi="Calibri" w:cs="Calibri"/>
          <w:color w:val="000000" w:themeColor="text1"/>
          <w:sz w:val="20"/>
          <w:szCs w:val="20"/>
          <w:shd w:val="clear" w:color="auto" w:fill="FFFFFF"/>
        </w:rPr>
        <w:t>Gatm</w:t>
      </w:r>
      <w:proofErr w:type="spellEnd"/>
      <w:r w:rsidRPr="00764223">
        <w:rPr>
          <w:rFonts w:ascii="Calibri" w:hAnsi="Calibri" w:cs="Calibri"/>
          <w:color w:val="000000" w:themeColor="text1"/>
          <w:sz w:val="20"/>
          <w:szCs w:val="20"/>
          <w:shd w:val="clear" w:color="auto" w:fill="FFFFFF"/>
        </w:rPr>
        <w:t xml:space="preserve"> expression and 58% reduced protein levels. Therefore, exogenous creatine may suppress endogenous production of mutant GATM and reduce production of abnormal protein aggregates.</w:t>
      </w:r>
      <w:r w:rsidRPr="005A3A65">
        <w:rPr>
          <w:rFonts w:ascii="Calibri" w:hAnsi="Calibri" w:cs="Calibri"/>
          <w:noProof/>
          <w:color w:val="000000" w:themeColor="text1"/>
          <w:sz w:val="20"/>
          <w:szCs w:val="20"/>
          <w:shd w:val="clear" w:color="auto" w:fill="FFFFFF"/>
          <w:vertAlign w:val="superscript"/>
        </w:rPr>
        <w:t>5</w:t>
      </w:r>
    </w:p>
    <w:p w14:paraId="65C134CE" w14:textId="77777777" w:rsidR="00955DD7" w:rsidRPr="00764223" w:rsidRDefault="00955DD7" w:rsidP="00424277">
      <w:pPr>
        <w:spacing w:line="360" w:lineRule="auto"/>
        <w:rPr>
          <w:rFonts w:ascii="Calibri" w:hAnsi="Calibri" w:cs="Calibri"/>
          <w:color w:val="000000" w:themeColor="text1"/>
          <w:sz w:val="20"/>
          <w:szCs w:val="20"/>
          <w:shd w:val="clear" w:color="auto" w:fill="FFFFFF"/>
        </w:rPr>
      </w:pPr>
    </w:p>
    <w:p w14:paraId="00437722" w14:textId="16F3DA24" w:rsidR="00955DD7" w:rsidRDefault="00955DD7" w:rsidP="004336A6">
      <w:pPr>
        <w:spacing w:line="360" w:lineRule="auto"/>
        <w:rPr>
          <w:rFonts w:ascii="Calibri" w:hAnsi="Calibri" w:cs="Calibri"/>
          <w:sz w:val="20"/>
          <w:szCs w:val="20"/>
        </w:rPr>
      </w:pPr>
      <w:r w:rsidRPr="00764223">
        <w:rPr>
          <w:rFonts w:ascii="Calibri" w:hAnsi="Calibri" w:cs="Calibri"/>
          <w:sz w:val="20"/>
          <w:szCs w:val="20"/>
        </w:rPr>
        <w:t>We identified a novel (absent from population databases) variant</w:t>
      </w:r>
      <w:r>
        <w:rPr>
          <w:rFonts w:ascii="Calibri" w:hAnsi="Calibri" w:cs="Calibri"/>
          <w:sz w:val="20"/>
          <w:szCs w:val="20"/>
        </w:rPr>
        <w:t xml:space="preserve">, NM_001482.3: c.965G&gt;C </w:t>
      </w:r>
      <w:proofErr w:type="gramStart"/>
      <w:r>
        <w:rPr>
          <w:rFonts w:ascii="Calibri" w:hAnsi="Calibri" w:cs="Calibri"/>
          <w:sz w:val="20"/>
          <w:szCs w:val="20"/>
        </w:rPr>
        <w:t>p.(</w:t>
      </w:r>
      <w:proofErr w:type="gramEnd"/>
      <w:r>
        <w:rPr>
          <w:rFonts w:ascii="Calibri" w:hAnsi="Calibri" w:cs="Calibri"/>
          <w:sz w:val="20"/>
          <w:szCs w:val="20"/>
        </w:rPr>
        <w:t>Arg322Pro)</w:t>
      </w:r>
      <w:r>
        <w:rPr>
          <w:rFonts w:ascii="Calibri" w:hAnsi="Calibri" w:cs="Calibri"/>
          <w:bCs/>
          <w:color w:val="000000"/>
          <w:sz w:val="20"/>
          <w:szCs w:val="20"/>
        </w:rPr>
        <w:t>,</w:t>
      </w:r>
      <w:r w:rsidRPr="00764223">
        <w:rPr>
          <w:rFonts w:ascii="Calibri" w:hAnsi="Calibri" w:cs="Calibri"/>
          <w:bCs/>
          <w:color w:val="000000"/>
          <w:sz w:val="20"/>
          <w:szCs w:val="20"/>
        </w:rPr>
        <w:t xml:space="preserve"> </w:t>
      </w:r>
      <w:r w:rsidRPr="00764223">
        <w:rPr>
          <w:rFonts w:ascii="Calibri" w:hAnsi="Calibri" w:cs="Calibri"/>
          <w:sz w:val="20"/>
          <w:szCs w:val="20"/>
        </w:rPr>
        <w:t xml:space="preserve">in </w:t>
      </w:r>
      <w:r w:rsidRPr="00764223">
        <w:rPr>
          <w:rFonts w:ascii="Calibri" w:hAnsi="Calibri" w:cs="Calibri"/>
          <w:i/>
          <w:iCs/>
          <w:sz w:val="20"/>
          <w:szCs w:val="20"/>
        </w:rPr>
        <w:t>GATM</w:t>
      </w:r>
      <w:r w:rsidRPr="00764223">
        <w:rPr>
          <w:rFonts w:ascii="Calibri" w:hAnsi="Calibri" w:cs="Calibri"/>
          <w:sz w:val="20"/>
          <w:szCs w:val="20"/>
        </w:rPr>
        <w:t xml:space="preserve">, segregating in an affected mother-daughter pair with idiopathic RFS. This variant is </w:t>
      </w:r>
      <w:r>
        <w:rPr>
          <w:rFonts w:ascii="Calibri" w:hAnsi="Calibri" w:cs="Calibri"/>
          <w:sz w:val="20"/>
          <w:szCs w:val="20"/>
        </w:rPr>
        <w:t>two</w:t>
      </w:r>
      <w:r w:rsidRPr="00764223">
        <w:rPr>
          <w:rFonts w:ascii="Calibri" w:hAnsi="Calibri" w:cs="Calibri"/>
          <w:sz w:val="20"/>
          <w:szCs w:val="20"/>
        </w:rPr>
        <w:t xml:space="preserve"> amino acids </w:t>
      </w:r>
      <w:r>
        <w:rPr>
          <w:rFonts w:ascii="Calibri" w:hAnsi="Calibri" w:cs="Calibri"/>
          <w:sz w:val="20"/>
          <w:szCs w:val="20"/>
        </w:rPr>
        <w:t>downstream</w:t>
      </w:r>
      <w:r w:rsidRPr="00764223">
        <w:rPr>
          <w:rFonts w:ascii="Calibri" w:hAnsi="Calibri" w:cs="Calibri"/>
          <w:sz w:val="20"/>
          <w:szCs w:val="20"/>
        </w:rPr>
        <w:t xml:space="preserve"> of </w:t>
      </w:r>
      <w:r>
        <w:rPr>
          <w:rFonts w:ascii="Calibri" w:hAnsi="Calibri" w:cs="Calibri"/>
          <w:sz w:val="20"/>
          <w:szCs w:val="20"/>
        </w:rPr>
        <w:t>a</w:t>
      </w:r>
      <w:r w:rsidRPr="00764223">
        <w:rPr>
          <w:rFonts w:ascii="Calibri" w:hAnsi="Calibri" w:cs="Calibri"/>
          <w:sz w:val="20"/>
          <w:szCs w:val="20"/>
        </w:rPr>
        <w:t xml:space="preserve"> previously described pathogenic variant</w:t>
      </w:r>
      <w:r>
        <w:rPr>
          <w:rFonts w:ascii="Calibri" w:hAnsi="Calibri" w:cs="Calibri"/>
          <w:sz w:val="20"/>
          <w:szCs w:val="20"/>
        </w:rPr>
        <w:t xml:space="preserve">, </w:t>
      </w:r>
      <w:proofErr w:type="gramStart"/>
      <w:r>
        <w:rPr>
          <w:rFonts w:ascii="Calibri" w:hAnsi="Calibri" w:cs="Calibri"/>
          <w:sz w:val="20"/>
          <w:szCs w:val="20"/>
        </w:rPr>
        <w:t>p.(</w:t>
      </w:r>
      <w:proofErr w:type="gramEnd"/>
      <w:r>
        <w:rPr>
          <w:rFonts w:ascii="Calibri" w:hAnsi="Calibri" w:cs="Calibri"/>
          <w:sz w:val="20"/>
          <w:szCs w:val="20"/>
        </w:rPr>
        <w:t xml:space="preserve">Pro320Ser), </w:t>
      </w:r>
      <w:r w:rsidRPr="00764223">
        <w:rPr>
          <w:rFonts w:ascii="Calibri" w:hAnsi="Calibri" w:cs="Calibri"/>
          <w:sz w:val="20"/>
          <w:szCs w:val="20"/>
        </w:rPr>
        <w:t xml:space="preserve">in </w:t>
      </w:r>
      <w:r w:rsidRPr="00764223">
        <w:rPr>
          <w:rFonts w:ascii="Calibri" w:hAnsi="Calibri" w:cs="Calibri"/>
          <w:i/>
          <w:iCs/>
          <w:sz w:val="20"/>
          <w:szCs w:val="20"/>
        </w:rPr>
        <w:t>GATM</w:t>
      </w:r>
      <w:r w:rsidRPr="00764223">
        <w:rPr>
          <w:rFonts w:ascii="Calibri" w:hAnsi="Calibri" w:cs="Calibri"/>
          <w:sz w:val="20"/>
          <w:szCs w:val="20"/>
        </w:rPr>
        <w:t xml:space="preserve"> causing RFS with progression to </w:t>
      </w:r>
      <w:r>
        <w:rPr>
          <w:rFonts w:ascii="Calibri" w:hAnsi="Calibri" w:cs="Calibri"/>
          <w:sz w:val="20"/>
          <w:szCs w:val="20"/>
        </w:rPr>
        <w:t>kidney</w:t>
      </w:r>
      <w:r w:rsidRPr="00764223">
        <w:rPr>
          <w:rFonts w:ascii="Calibri" w:hAnsi="Calibri" w:cs="Calibri"/>
          <w:sz w:val="20"/>
          <w:szCs w:val="20"/>
        </w:rPr>
        <w:t xml:space="preserve"> </w:t>
      </w:r>
      <w:r w:rsidRPr="00764223">
        <w:rPr>
          <w:rFonts w:ascii="Calibri" w:hAnsi="Calibri" w:cs="Calibri"/>
          <w:sz w:val="20"/>
          <w:szCs w:val="20"/>
        </w:rPr>
        <w:t>failure (</w:t>
      </w:r>
      <w:r w:rsidRPr="00C267EF">
        <w:rPr>
          <w:rFonts w:ascii="Calibri" w:hAnsi="Calibri" w:cs="Calibri"/>
          <w:b/>
          <w:bCs/>
          <w:sz w:val="20"/>
          <w:szCs w:val="20"/>
        </w:rPr>
        <w:t xml:space="preserve">Figure </w:t>
      </w:r>
      <w:r>
        <w:rPr>
          <w:rFonts w:ascii="Calibri" w:hAnsi="Calibri" w:cs="Calibri"/>
          <w:b/>
          <w:bCs/>
          <w:sz w:val="20"/>
          <w:szCs w:val="20"/>
        </w:rPr>
        <w:t>2</w:t>
      </w:r>
      <w:r w:rsidRPr="00764223">
        <w:rPr>
          <w:rFonts w:ascii="Calibri" w:hAnsi="Calibri" w:cs="Calibri"/>
          <w:sz w:val="20"/>
          <w:szCs w:val="20"/>
        </w:rPr>
        <w:t xml:space="preserve">). </w:t>
      </w:r>
    </w:p>
    <w:p w14:paraId="5EEF8356" w14:textId="77777777" w:rsidR="00955DD7" w:rsidRDefault="00955DD7" w:rsidP="004336A6">
      <w:pPr>
        <w:spacing w:line="360" w:lineRule="auto"/>
        <w:rPr>
          <w:rFonts w:ascii="Calibri" w:hAnsi="Calibri" w:cs="Calibri"/>
          <w:sz w:val="20"/>
          <w:szCs w:val="20"/>
        </w:rPr>
      </w:pPr>
    </w:p>
    <w:p w14:paraId="1B593214" w14:textId="2C59CF72" w:rsidR="00955DD7" w:rsidRDefault="00955DD7" w:rsidP="004336A6">
      <w:pPr>
        <w:spacing w:line="360" w:lineRule="auto"/>
        <w:rPr>
          <w:rFonts w:ascii="Calibri" w:hAnsi="Calibri" w:cs="Calibri"/>
          <w:sz w:val="20"/>
          <w:szCs w:val="20"/>
        </w:rPr>
      </w:pPr>
      <w:r w:rsidRPr="00764223">
        <w:rPr>
          <w:rFonts w:ascii="Calibri" w:hAnsi="Calibri" w:cs="Calibri"/>
          <w:sz w:val="20"/>
          <w:szCs w:val="20"/>
        </w:rPr>
        <w:t xml:space="preserve">The </w:t>
      </w:r>
      <w:proofErr w:type="gramStart"/>
      <w:r>
        <w:rPr>
          <w:rFonts w:ascii="Calibri" w:hAnsi="Calibri" w:cs="Calibri"/>
          <w:sz w:val="20"/>
          <w:szCs w:val="20"/>
        </w:rPr>
        <w:t>p.Arg</w:t>
      </w:r>
      <w:proofErr w:type="gramEnd"/>
      <w:r>
        <w:rPr>
          <w:rFonts w:ascii="Calibri" w:hAnsi="Calibri" w:cs="Calibri"/>
          <w:sz w:val="20"/>
          <w:szCs w:val="20"/>
        </w:rPr>
        <w:t xml:space="preserve">322 </w:t>
      </w:r>
      <w:r w:rsidRPr="00764223">
        <w:rPr>
          <w:rFonts w:ascii="Calibri" w:hAnsi="Calibri" w:cs="Calibri"/>
          <w:sz w:val="20"/>
          <w:szCs w:val="20"/>
        </w:rPr>
        <w:t xml:space="preserve">amino acid is extremely conserved across species, and </w:t>
      </w:r>
      <w:r w:rsidRPr="00764223">
        <w:rPr>
          <w:rFonts w:ascii="Calibri" w:hAnsi="Calibri" w:cs="Calibri"/>
          <w:i/>
          <w:iCs/>
          <w:sz w:val="20"/>
          <w:szCs w:val="20"/>
        </w:rPr>
        <w:t>in silico</w:t>
      </w:r>
      <w:r w:rsidRPr="00764223">
        <w:rPr>
          <w:rFonts w:ascii="Calibri" w:hAnsi="Calibri" w:cs="Calibri"/>
          <w:sz w:val="20"/>
          <w:szCs w:val="20"/>
        </w:rPr>
        <w:t xml:space="preserve"> predictors suggest high pathogenicity with a CADD score of 32. </w:t>
      </w:r>
      <w:r>
        <w:rPr>
          <w:rFonts w:asciiTheme="minorHAnsi" w:eastAsiaTheme="minorHAnsi" w:hAnsiTheme="minorHAnsi" w:cstheme="minorBidi"/>
          <w:sz w:val="20"/>
          <w:szCs w:val="20"/>
        </w:rPr>
        <w:t xml:space="preserve">To validate pathogenicity of our novel variant we performed conventional molecular dynamics simulations. We tested WT, our variant </w:t>
      </w:r>
      <w:proofErr w:type="gramStart"/>
      <w:r>
        <w:rPr>
          <w:rFonts w:asciiTheme="minorHAnsi" w:eastAsiaTheme="minorHAnsi" w:hAnsiTheme="minorHAnsi" w:cstheme="minorBidi"/>
          <w:sz w:val="20"/>
          <w:szCs w:val="20"/>
        </w:rPr>
        <w:t>p.(</w:t>
      </w:r>
      <w:proofErr w:type="gramEnd"/>
      <w:r>
        <w:rPr>
          <w:rFonts w:asciiTheme="minorHAnsi" w:eastAsiaTheme="minorHAnsi" w:hAnsiTheme="minorHAnsi" w:cstheme="minorBidi"/>
          <w:sz w:val="20"/>
          <w:szCs w:val="20"/>
        </w:rPr>
        <w:t xml:space="preserve">Arg332Pro), and two previously identified pathogenic variants, p.(Thr336Ala) and p.(Pro320Ser). The two previously reported pathogenic variants by </w:t>
      </w:r>
      <w:proofErr w:type="spellStart"/>
      <w:r>
        <w:rPr>
          <w:rFonts w:asciiTheme="minorHAnsi" w:eastAsiaTheme="minorHAnsi" w:hAnsiTheme="minorHAnsi" w:cstheme="minorBidi"/>
          <w:sz w:val="20"/>
          <w:szCs w:val="20"/>
        </w:rPr>
        <w:t>Reichold</w:t>
      </w:r>
      <w:proofErr w:type="spellEnd"/>
      <w:r>
        <w:rPr>
          <w:rFonts w:asciiTheme="minorHAnsi" w:eastAsiaTheme="minorHAnsi" w:hAnsiTheme="minorHAnsi" w:cstheme="minorBidi"/>
          <w:sz w:val="20"/>
          <w:szCs w:val="20"/>
        </w:rPr>
        <w:t xml:space="preserve"> </w:t>
      </w:r>
      <w:r w:rsidRPr="0057326D">
        <w:rPr>
          <w:rFonts w:asciiTheme="minorHAnsi" w:eastAsiaTheme="minorHAnsi" w:hAnsiTheme="minorHAnsi" w:cstheme="minorBidi"/>
          <w:i/>
          <w:iCs/>
          <w:sz w:val="20"/>
          <w:szCs w:val="20"/>
        </w:rPr>
        <w:t>et al.</w:t>
      </w:r>
      <w:r>
        <w:rPr>
          <w:rFonts w:asciiTheme="minorHAnsi" w:eastAsiaTheme="minorHAnsi" w:hAnsiTheme="minorHAnsi" w:cstheme="minorBidi"/>
          <w:sz w:val="20"/>
          <w:szCs w:val="20"/>
        </w:rPr>
        <w:t xml:space="preserve"> and our novel variant behaved differently to wildtype. Disease-associated variants adopted a new “close-contact” global minimum at approximately 3.8 Å, whilst WT uniquely retained a “distant” global minimum at approximately 12.4 Å. </w:t>
      </w:r>
      <w:r>
        <w:rPr>
          <w:rFonts w:ascii="Calibri" w:hAnsi="Calibri" w:cs="Calibri"/>
          <w:sz w:val="20"/>
          <w:szCs w:val="20"/>
        </w:rPr>
        <w:t xml:space="preserve">Close contacts of residues </w:t>
      </w:r>
      <w:r w:rsidRPr="00E461A9">
        <w:rPr>
          <w:rFonts w:ascii="Calibri" w:hAnsi="Calibri" w:cs="Calibri"/>
          <w:sz w:val="20"/>
          <w:szCs w:val="20"/>
        </w:rPr>
        <w:t>320</w:t>
      </w:r>
      <w:r>
        <w:rPr>
          <w:rFonts w:ascii="Calibri" w:hAnsi="Calibri" w:cs="Calibri"/>
          <w:sz w:val="20"/>
          <w:szCs w:val="20"/>
        </w:rPr>
        <w:t xml:space="preserve"> on both homodimers</w:t>
      </w:r>
      <w:r w:rsidRPr="00E461A9">
        <w:rPr>
          <w:rFonts w:ascii="Calibri" w:hAnsi="Calibri" w:cs="Calibri"/>
          <w:sz w:val="20"/>
          <w:szCs w:val="20"/>
        </w:rPr>
        <w:t xml:space="preserve"> may be a direct or precursor event to</w:t>
      </w:r>
      <w:r>
        <w:rPr>
          <w:rFonts w:ascii="Calibri" w:hAnsi="Calibri" w:cs="Calibri"/>
          <w:sz w:val="20"/>
          <w:szCs w:val="20"/>
        </w:rPr>
        <w:t xml:space="preserve"> formation of the B4 interaction surface capable of pathogenic </w:t>
      </w:r>
      <w:r w:rsidRPr="00E461A9">
        <w:rPr>
          <w:rFonts w:ascii="Calibri" w:hAnsi="Calibri" w:cs="Calibri"/>
          <w:i/>
          <w:iCs/>
          <w:sz w:val="20"/>
          <w:szCs w:val="20"/>
        </w:rPr>
        <w:t>GATM</w:t>
      </w:r>
      <w:r w:rsidRPr="00E461A9">
        <w:rPr>
          <w:rFonts w:ascii="Calibri" w:hAnsi="Calibri" w:cs="Calibri"/>
          <w:sz w:val="20"/>
          <w:szCs w:val="20"/>
        </w:rPr>
        <w:t xml:space="preserve"> </w:t>
      </w:r>
      <w:r>
        <w:rPr>
          <w:rFonts w:ascii="Calibri" w:hAnsi="Calibri" w:cs="Calibri"/>
          <w:sz w:val="20"/>
          <w:szCs w:val="20"/>
        </w:rPr>
        <w:t xml:space="preserve">multimerization as hypothesized by </w:t>
      </w:r>
      <w:proofErr w:type="spellStart"/>
      <w:r>
        <w:rPr>
          <w:rFonts w:ascii="Calibri" w:hAnsi="Calibri" w:cs="Calibri"/>
          <w:sz w:val="20"/>
          <w:szCs w:val="20"/>
        </w:rPr>
        <w:t>Reichold</w:t>
      </w:r>
      <w:proofErr w:type="spellEnd"/>
      <w:r>
        <w:rPr>
          <w:rFonts w:ascii="Calibri" w:hAnsi="Calibri" w:cs="Calibri"/>
          <w:sz w:val="20"/>
          <w:szCs w:val="20"/>
        </w:rPr>
        <w:t xml:space="preserve"> </w:t>
      </w:r>
      <w:r w:rsidRPr="00E87845">
        <w:rPr>
          <w:rFonts w:ascii="Calibri" w:hAnsi="Calibri" w:cs="Calibri"/>
          <w:i/>
          <w:iCs/>
          <w:sz w:val="20"/>
          <w:szCs w:val="20"/>
        </w:rPr>
        <w:t>et al</w:t>
      </w:r>
      <w:r w:rsidRPr="00E461A9">
        <w:rPr>
          <w:rFonts w:ascii="Calibri" w:hAnsi="Calibri" w:cs="Calibri"/>
          <w:sz w:val="20"/>
          <w:szCs w:val="20"/>
        </w:rPr>
        <w:t>.</w:t>
      </w:r>
      <w:r w:rsidRPr="005A3A65">
        <w:rPr>
          <w:rFonts w:ascii="Calibri" w:hAnsi="Calibri" w:cs="Calibri"/>
          <w:noProof/>
          <w:sz w:val="20"/>
          <w:szCs w:val="20"/>
          <w:vertAlign w:val="superscript"/>
        </w:rPr>
        <w:t>5</w:t>
      </w:r>
      <w:r w:rsidRPr="00E461A9">
        <w:rPr>
          <w:rFonts w:ascii="Calibri" w:hAnsi="Calibri" w:cs="Calibri"/>
          <w:sz w:val="20"/>
          <w:szCs w:val="20"/>
        </w:rPr>
        <w:t xml:space="preserve"> </w:t>
      </w:r>
      <w:r>
        <w:rPr>
          <w:rFonts w:ascii="Calibri" w:hAnsi="Calibri" w:cs="Calibri"/>
          <w:sz w:val="20"/>
          <w:szCs w:val="20"/>
        </w:rPr>
        <w:t xml:space="preserve">This dynamic signature localised directly at the proposed oligomeric interface, clearly stratifies disease-associated mutants from WT in support of the pathogenicity of the </w:t>
      </w:r>
      <w:r>
        <w:rPr>
          <w:rFonts w:ascii="Calibri" w:eastAsiaTheme="minorHAnsi" w:hAnsi="Calibri" w:cs="Calibri"/>
          <w:sz w:val="20"/>
          <w:szCs w:val="20"/>
        </w:rPr>
        <w:t>p.(Arg322Pro)</w:t>
      </w:r>
      <w:r>
        <w:rPr>
          <w:rFonts w:ascii="Calibri" w:hAnsi="Calibri" w:cs="Calibri"/>
          <w:sz w:val="20"/>
          <w:szCs w:val="20"/>
        </w:rPr>
        <w:t xml:space="preserve"> variant.</w:t>
      </w:r>
    </w:p>
    <w:p w14:paraId="47E2D790" w14:textId="77777777" w:rsidR="00955DD7" w:rsidRDefault="00955DD7" w:rsidP="004336A6">
      <w:pPr>
        <w:spacing w:line="360" w:lineRule="auto"/>
        <w:rPr>
          <w:rFonts w:ascii="Calibri" w:hAnsi="Calibri" w:cs="Calibri"/>
          <w:sz w:val="20"/>
          <w:szCs w:val="20"/>
        </w:rPr>
      </w:pPr>
    </w:p>
    <w:p w14:paraId="647483A4" w14:textId="0C781A3D" w:rsidR="00955DD7" w:rsidRDefault="00955DD7" w:rsidP="006F2C83">
      <w:pPr>
        <w:spacing w:line="360" w:lineRule="auto"/>
        <w:rPr>
          <w:rFonts w:ascii="Calibri" w:hAnsi="Calibri" w:cs="Calibri"/>
          <w:sz w:val="20"/>
          <w:szCs w:val="20"/>
        </w:rPr>
      </w:pPr>
      <w:r w:rsidRPr="00764223">
        <w:rPr>
          <w:rFonts w:ascii="Calibri" w:hAnsi="Calibri" w:cs="Calibri"/>
          <w:sz w:val="20"/>
          <w:szCs w:val="20"/>
        </w:rPr>
        <w:lastRenderedPageBreak/>
        <w:t xml:space="preserve">The phenotype of our </w:t>
      </w:r>
      <w:r>
        <w:rPr>
          <w:rFonts w:ascii="Calibri" w:hAnsi="Calibri" w:cs="Calibri"/>
          <w:sz w:val="20"/>
          <w:szCs w:val="20"/>
        </w:rPr>
        <w:t xml:space="preserve">female </w:t>
      </w:r>
      <w:r w:rsidRPr="00764223">
        <w:rPr>
          <w:rFonts w:ascii="Calibri" w:hAnsi="Calibri" w:cs="Calibri"/>
          <w:sz w:val="20"/>
          <w:szCs w:val="20"/>
        </w:rPr>
        <w:t xml:space="preserve">proband and her affected mother are consistent with the phenotypes reported by </w:t>
      </w:r>
      <w:proofErr w:type="spellStart"/>
      <w:r w:rsidRPr="00764223">
        <w:rPr>
          <w:rFonts w:ascii="Calibri" w:hAnsi="Calibri" w:cs="Calibri"/>
          <w:sz w:val="20"/>
          <w:szCs w:val="20"/>
        </w:rPr>
        <w:t>Reichold</w:t>
      </w:r>
      <w:proofErr w:type="spellEnd"/>
      <w:r w:rsidRPr="00764223">
        <w:rPr>
          <w:rFonts w:ascii="Calibri" w:hAnsi="Calibri" w:cs="Calibri"/>
          <w:sz w:val="20"/>
          <w:szCs w:val="20"/>
        </w:rPr>
        <w:t xml:space="preserve"> </w:t>
      </w:r>
      <w:r w:rsidRPr="0000217D">
        <w:rPr>
          <w:rFonts w:ascii="Calibri" w:hAnsi="Calibri" w:cs="Calibri"/>
          <w:i/>
          <w:iCs/>
          <w:sz w:val="20"/>
          <w:szCs w:val="20"/>
        </w:rPr>
        <w:t>et al.</w:t>
      </w:r>
      <w:r w:rsidRPr="005A3A65">
        <w:rPr>
          <w:rFonts w:ascii="Calibri" w:hAnsi="Calibri" w:cs="Calibri"/>
          <w:i/>
          <w:iCs/>
          <w:noProof/>
          <w:sz w:val="20"/>
          <w:szCs w:val="20"/>
          <w:vertAlign w:val="superscript"/>
        </w:rPr>
        <w:t>5</w:t>
      </w:r>
      <w:r w:rsidRPr="00764223">
        <w:rPr>
          <w:rFonts w:ascii="Calibri" w:hAnsi="Calibri" w:cs="Calibri"/>
          <w:sz w:val="20"/>
          <w:szCs w:val="20"/>
        </w:rPr>
        <w:t xml:space="preserve"> The mother presented in childhood and progressed to end stage </w:t>
      </w:r>
      <w:r>
        <w:rPr>
          <w:rFonts w:ascii="Calibri" w:hAnsi="Calibri" w:cs="Calibri"/>
          <w:sz w:val="20"/>
          <w:szCs w:val="20"/>
        </w:rPr>
        <w:t>kidney</w:t>
      </w:r>
      <w:r w:rsidRPr="00764223">
        <w:rPr>
          <w:rFonts w:ascii="Calibri" w:hAnsi="Calibri" w:cs="Calibri"/>
          <w:sz w:val="20"/>
          <w:szCs w:val="20"/>
        </w:rPr>
        <w:t xml:space="preserve"> disease and received a transplant in her late thirties. </w:t>
      </w:r>
      <w:r>
        <w:rPr>
          <w:rFonts w:ascii="Calibri" w:hAnsi="Calibri" w:cs="Calibri"/>
          <w:sz w:val="20"/>
          <w:szCs w:val="20"/>
        </w:rPr>
        <w:t>The</w:t>
      </w:r>
      <w:r w:rsidRPr="00764223">
        <w:rPr>
          <w:rFonts w:ascii="Calibri" w:hAnsi="Calibri" w:cs="Calibri"/>
          <w:sz w:val="20"/>
          <w:szCs w:val="20"/>
        </w:rPr>
        <w:t xml:space="preserve"> daughter is already showing signs of chronic kidney disease and we expect that she will also develop end stage </w:t>
      </w:r>
      <w:r>
        <w:rPr>
          <w:rFonts w:ascii="Calibri" w:hAnsi="Calibri" w:cs="Calibri"/>
          <w:sz w:val="20"/>
          <w:szCs w:val="20"/>
        </w:rPr>
        <w:t xml:space="preserve">kidney </w:t>
      </w:r>
      <w:r w:rsidRPr="00764223">
        <w:rPr>
          <w:rFonts w:ascii="Calibri" w:hAnsi="Calibri" w:cs="Calibri"/>
          <w:sz w:val="20"/>
          <w:szCs w:val="20"/>
        </w:rPr>
        <w:t>disease</w:t>
      </w:r>
      <w:r>
        <w:rPr>
          <w:rFonts w:ascii="Calibri" w:hAnsi="Calibri" w:cs="Calibri"/>
          <w:sz w:val="20"/>
          <w:szCs w:val="20"/>
        </w:rPr>
        <w:t xml:space="preserve"> and should be counselled accordingly</w:t>
      </w:r>
      <w:r w:rsidRPr="00764223">
        <w:rPr>
          <w:rFonts w:ascii="Calibri" w:hAnsi="Calibri" w:cs="Calibri"/>
          <w:sz w:val="20"/>
          <w:szCs w:val="20"/>
        </w:rPr>
        <w:t>.</w:t>
      </w:r>
      <w:r>
        <w:rPr>
          <w:rFonts w:ascii="Calibri" w:hAnsi="Calibri" w:cs="Calibri"/>
          <w:sz w:val="20"/>
          <w:szCs w:val="20"/>
        </w:rPr>
        <w:t xml:space="preserve"> This has implications for family planning and the daughter may wish to undergo pre-implantation genetic diagnosis in the future.</w:t>
      </w:r>
    </w:p>
    <w:p w14:paraId="64EB284E" w14:textId="77777777" w:rsidR="00955DD7" w:rsidRDefault="00955DD7" w:rsidP="004336A6">
      <w:pPr>
        <w:spacing w:line="360" w:lineRule="auto"/>
        <w:rPr>
          <w:rFonts w:asciiTheme="minorHAnsi" w:eastAsiaTheme="minorHAnsi" w:hAnsiTheme="minorHAnsi" w:cstheme="minorBidi"/>
          <w:sz w:val="20"/>
          <w:szCs w:val="20"/>
        </w:rPr>
      </w:pPr>
    </w:p>
    <w:p w14:paraId="4D332583" w14:textId="79C80442" w:rsidR="00955DD7" w:rsidRPr="00CA70DC" w:rsidRDefault="00955DD7" w:rsidP="004336A6">
      <w:pPr>
        <w:spacing w:line="360"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Currently, </w:t>
      </w:r>
      <w:r w:rsidRPr="0057326D">
        <w:rPr>
          <w:rFonts w:asciiTheme="minorHAnsi" w:eastAsiaTheme="minorHAnsi" w:hAnsiTheme="minorHAnsi" w:cstheme="minorBidi"/>
          <w:i/>
          <w:iCs/>
          <w:sz w:val="20"/>
          <w:szCs w:val="20"/>
        </w:rPr>
        <w:t>GATM</w:t>
      </w:r>
      <w:r>
        <w:rPr>
          <w:rFonts w:asciiTheme="minorHAnsi" w:eastAsiaTheme="minorHAnsi" w:hAnsiTheme="minorHAnsi" w:cstheme="minorBidi"/>
          <w:sz w:val="20"/>
          <w:szCs w:val="20"/>
        </w:rPr>
        <w:t xml:space="preserve"> (when monoallelic) is included on three gene panels in PanelApp</w:t>
      </w:r>
      <w:r w:rsidRPr="005A3A65">
        <w:rPr>
          <w:rFonts w:asciiTheme="minorHAnsi" w:eastAsiaTheme="minorHAnsi" w:hAnsiTheme="minorHAnsi" w:cstheme="minorBidi"/>
          <w:noProof/>
          <w:sz w:val="20"/>
          <w:szCs w:val="20"/>
          <w:vertAlign w:val="superscript"/>
        </w:rPr>
        <w:t>10</w:t>
      </w:r>
      <w:r>
        <w:rPr>
          <w:rFonts w:asciiTheme="minorHAnsi" w:eastAsiaTheme="minorHAnsi" w:hAnsiTheme="minorHAnsi" w:cstheme="minorBidi"/>
          <w:sz w:val="20"/>
          <w:szCs w:val="20"/>
        </w:rPr>
        <w:t xml:space="preserve">: Unexplained paediatric onset end-stage renal disease (R257); Tubulointerstitial kidney disease (R202); and Renal tubulopathies (R198). However, it is absent from additional kidney-related panels in </w:t>
      </w:r>
      <w:proofErr w:type="spellStart"/>
      <w:r>
        <w:rPr>
          <w:rFonts w:asciiTheme="minorHAnsi" w:eastAsiaTheme="minorHAnsi" w:hAnsiTheme="minorHAnsi" w:cstheme="minorBidi"/>
          <w:sz w:val="20"/>
          <w:szCs w:val="20"/>
        </w:rPr>
        <w:t>PanelApp</w:t>
      </w:r>
      <w:proofErr w:type="spellEnd"/>
      <w:r>
        <w:rPr>
          <w:rFonts w:asciiTheme="minorHAnsi" w:eastAsiaTheme="minorHAnsi" w:hAnsiTheme="minorHAnsi" w:cstheme="minorBidi"/>
          <w:sz w:val="20"/>
          <w:szCs w:val="20"/>
        </w:rPr>
        <w:t xml:space="preserve"> including the ‘Renal </w:t>
      </w:r>
      <w:proofErr w:type="spellStart"/>
      <w:r>
        <w:rPr>
          <w:rFonts w:asciiTheme="minorHAnsi" w:eastAsiaTheme="minorHAnsi" w:hAnsiTheme="minorHAnsi" w:cstheme="minorBidi"/>
          <w:sz w:val="20"/>
          <w:szCs w:val="20"/>
        </w:rPr>
        <w:t>superpanel</w:t>
      </w:r>
      <w:proofErr w:type="spellEnd"/>
      <w:r>
        <w:rPr>
          <w:rFonts w:asciiTheme="minorHAnsi" w:eastAsiaTheme="minorHAnsi" w:hAnsiTheme="minorHAnsi" w:cstheme="minorBidi"/>
          <w:sz w:val="20"/>
          <w:szCs w:val="20"/>
        </w:rPr>
        <w:t>-broad’, ‘Unexplained kidney failure in young people’ and ‘</w:t>
      </w:r>
      <w:proofErr w:type="spellStart"/>
      <w:r>
        <w:rPr>
          <w:rFonts w:asciiTheme="minorHAnsi" w:eastAsiaTheme="minorHAnsi" w:hAnsiTheme="minorHAnsi" w:cstheme="minorBidi"/>
          <w:sz w:val="20"/>
          <w:szCs w:val="20"/>
        </w:rPr>
        <w:t>Proteinuric</w:t>
      </w:r>
      <w:proofErr w:type="spellEnd"/>
      <w:r>
        <w:rPr>
          <w:rFonts w:asciiTheme="minorHAnsi" w:eastAsiaTheme="minorHAnsi" w:hAnsiTheme="minorHAnsi" w:cstheme="minorBidi"/>
          <w:sz w:val="20"/>
          <w:szCs w:val="20"/>
        </w:rPr>
        <w:t xml:space="preserve"> renal disease’. As GATM is a relatively new disease gene, we expect that there may be patients with chronic kidney disease, or end-stage kidney failure harbouring variants in </w:t>
      </w:r>
      <w:r w:rsidRPr="0057326D">
        <w:rPr>
          <w:rFonts w:asciiTheme="minorHAnsi" w:eastAsiaTheme="minorHAnsi" w:hAnsiTheme="minorHAnsi" w:cstheme="minorBidi"/>
          <w:i/>
          <w:iCs/>
          <w:sz w:val="20"/>
          <w:szCs w:val="20"/>
        </w:rPr>
        <w:t>GATM</w:t>
      </w:r>
      <w:r>
        <w:rPr>
          <w:rFonts w:asciiTheme="minorHAnsi" w:eastAsiaTheme="minorHAnsi" w:hAnsiTheme="minorHAnsi" w:cstheme="minorBidi"/>
          <w:sz w:val="20"/>
          <w:szCs w:val="20"/>
        </w:rPr>
        <w:t>.</w:t>
      </w:r>
    </w:p>
    <w:p w14:paraId="3E32FAD1" w14:textId="77777777" w:rsidR="00955DD7" w:rsidRPr="00764223" w:rsidRDefault="00955DD7" w:rsidP="004336A6">
      <w:pPr>
        <w:spacing w:line="360" w:lineRule="auto"/>
        <w:rPr>
          <w:rFonts w:ascii="Calibri" w:hAnsi="Calibri" w:cs="Calibri"/>
          <w:sz w:val="20"/>
          <w:szCs w:val="20"/>
        </w:rPr>
      </w:pPr>
    </w:p>
    <w:p w14:paraId="44CCF0CD" w14:textId="77777777" w:rsidR="00955DD7" w:rsidRPr="00764223" w:rsidRDefault="00955DD7" w:rsidP="004336A6">
      <w:pPr>
        <w:spacing w:line="360" w:lineRule="auto"/>
        <w:rPr>
          <w:rFonts w:ascii="Calibri" w:hAnsi="Calibri" w:cs="Calibri"/>
          <w:b/>
          <w:bCs/>
        </w:rPr>
      </w:pPr>
      <w:r w:rsidRPr="00764223">
        <w:rPr>
          <w:rFonts w:ascii="Calibri" w:hAnsi="Calibri" w:cs="Calibri"/>
          <w:b/>
          <w:bCs/>
        </w:rPr>
        <w:t>Conclusion</w:t>
      </w:r>
    </w:p>
    <w:p w14:paraId="72691D59" w14:textId="013D7BB6" w:rsidR="00955DD7" w:rsidRDefault="00955DD7" w:rsidP="00582E4D">
      <w:pPr>
        <w:spacing w:line="360" w:lineRule="auto"/>
        <w:rPr>
          <w:rFonts w:ascii="Calibri" w:hAnsi="Calibri" w:cs="Calibri"/>
          <w:sz w:val="20"/>
          <w:szCs w:val="20"/>
        </w:rPr>
      </w:pPr>
      <w:r>
        <w:rPr>
          <w:rFonts w:ascii="Calibri" w:hAnsi="Calibri" w:cs="Calibri"/>
          <w:sz w:val="20"/>
          <w:szCs w:val="20"/>
        </w:rPr>
        <w:t xml:space="preserve">All patients with known pathogenic variants in </w:t>
      </w:r>
      <w:r w:rsidRPr="00DA386C">
        <w:rPr>
          <w:rFonts w:ascii="Calibri" w:hAnsi="Calibri" w:cs="Calibri"/>
          <w:i/>
          <w:iCs/>
          <w:sz w:val="20"/>
          <w:szCs w:val="20"/>
        </w:rPr>
        <w:t>GATM</w:t>
      </w:r>
      <w:r>
        <w:rPr>
          <w:rFonts w:ascii="Calibri" w:hAnsi="Calibri" w:cs="Calibri"/>
          <w:sz w:val="20"/>
          <w:szCs w:val="20"/>
        </w:rPr>
        <w:t xml:space="preserve"> progress to end stage kidney disease, and therefore we have uncovered a diagnosis that has serious clinical consequences for our patient and will warrant genetic counselling and cascade testing. Early functional work in rats suggests that creatine may be able to significantly reduce expression of the GATM protein and this warrants further investigation. </w:t>
      </w:r>
    </w:p>
    <w:p w14:paraId="4597CCE1" w14:textId="77777777" w:rsidR="00955DD7" w:rsidRDefault="00955DD7" w:rsidP="00582E4D">
      <w:pPr>
        <w:spacing w:line="360" w:lineRule="auto"/>
        <w:rPr>
          <w:rFonts w:ascii="Calibri" w:hAnsi="Calibri" w:cs="Calibri"/>
          <w:sz w:val="20"/>
          <w:szCs w:val="20"/>
        </w:rPr>
      </w:pPr>
    </w:p>
    <w:p w14:paraId="6B9B9CCB" w14:textId="2EBF9304" w:rsidR="00955DD7" w:rsidRPr="00582E4D" w:rsidRDefault="00955DD7" w:rsidP="00582E4D">
      <w:pPr>
        <w:spacing w:line="360" w:lineRule="auto"/>
        <w:rPr>
          <w:rFonts w:ascii="Calibri" w:hAnsi="Calibri" w:cs="Calibri"/>
          <w:sz w:val="20"/>
          <w:szCs w:val="20"/>
        </w:rPr>
      </w:pPr>
      <w:r>
        <w:rPr>
          <w:rFonts w:ascii="Calibri" w:hAnsi="Calibri" w:cs="Calibri"/>
          <w:sz w:val="20"/>
          <w:szCs w:val="20"/>
        </w:rPr>
        <w:t xml:space="preserve">This case highlights how genetic sequencing and complementary molecular dynamics simulations can identify disease pathogenesis and inform patient care and prognosis. </w:t>
      </w:r>
      <w:r w:rsidRPr="00242BB5">
        <w:rPr>
          <w:rFonts w:ascii="Calibri" w:hAnsi="Calibri" w:cs="Calibri"/>
          <w:i/>
          <w:iCs/>
          <w:sz w:val="20"/>
          <w:szCs w:val="20"/>
        </w:rPr>
        <w:t>GATM</w:t>
      </w:r>
      <w:r>
        <w:rPr>
          <w:rFonts w:ascii="Calibri" w:hAnsi="Calibri" w:cs="Calibri"/>
          <w:sz w:val="20"/>
          <w:szCs w:val="20"/>
        </w:rPr>
        <w:t xml:space="preserve"> variants should be routinely tested for in cases of idiopathic RFS even in the absence of renal failure which develops after initial presentation. We further recommend that adult patients showing signs of </w:t>
      </w:r>
      <w:proofErr w:type="gramStart"/>
      <w:r>
        <w:rPr>
          <w:rFonts w:ascii="Calibri" w:hAnsi="Calibri" w:cs="Calibri"/>
          <w:sz w:val="20"/>
          <w:szCs w:val="20"/>
        </w:rPr>
        <w:t>RFS</w:t>
      </w:r>
      <w:proofErr w:type="gramEnd"/>
      <w:r>
        <w:rPr>
          <w:rFonts w:ascii="Calibri" w:hAnsi="Calibri" w:cs="Calibri"/>
          <w:sz w:val="20"/>
          <w:szCs w:val="20"/>
        </w:rPr>
        <w:t xml:space="preserve"> and chronic kidney disease should also be screened for </w:t>
      </w:r>
      <w:r w:rsidRPr="00242BB5">
        <w:rPr>
          <w:rFonts w:ascii="Calibri" w:hAnsi="Calibri" w:cs="Calibri"/>
          <w:i/>
          <w:iCs/>
          <w:sz w:val="20"/>
          <w:szCs w:val="20"/>
        </w:rPr>
        <w:t>GATM</w:t>
      </w:r>
      <w:r>
        <w:rPr>
          <w:rFonts w:ascii="Calibri" w:hAnsi="Calibri" w:cs="Calibri"/>
          <w:sz w:val="20"/>
          <w:szCs w:val="20"/>
        </w:rPr>
        <w:t xml:space="preserve"> variants. </w:t>
      </w:r>
    </w:p>
    <w:p w14:paraId="4BDAF568" w14:textId="77777777" w:rsidR="00955DD7" w:rsidRPr="00764223" w:rsidRDefault="00955DD7">
      <w:pPr>
        <w:rPr>
          <w:rFonts w:ascii="Calibri" w:hAnsi="Calibri" w:cs="Calibri"/>
        </w:rPr>
      </w:pPr>
    </w:p>
    <w:p w14:paraId="2A0572B8" w14:textId="77777777" w:rsidR="00955DD7" w:rsidRPr="00CF2BF2" w:rsidRDefault="00955DD7">
      <w:pPr>
        <w:rPr>
          <w:rFonts w:ascii="Calibri" w:hAnsi="Calibri" w:cs="Calibri"/>
          <w:b/>
          <w:bCs/>
        </w:rPr>
      </w:pPr>
      <w:r w:rsidRPr="00CF2BF2">
        <w:rPr>
          <w:rFonts w:ascii="Calibri" w:hAnsi="Calibri" w:cs="Calibri"/>
          <w:b/>
          <w:bCs/>
        </w:rPr>
        <w:t>References</w:t>
      </w:r>
    </w:p>
    <w:p w14:paraId="2E0ED1D0" w14:textId="77777777" w:rsidR="00955DD7" w:rsidRPr="00242BB5" w:rsidRDefault="00955DD7" w:rsidP="00242BB5">
      <w:pPr>
        <w:rPr>
          <w:rFonts w:ascii="Calibri" w:hAnsi="Calibri" w:cs="Calibri"/>
        </w:rPr>
      </w:pPr>
    </w:p>
    <w:p w14:paraId="0993F1A8" w14:textId="77777777" w:rsidR="00955DD7" w:rsidRPr="0057326D" w:rsidRDefault="00955DD7" w:rsidP="0057326D">
      <w:pPr>
        <w:pStyle w:val="EndNoteBibliography"/>
        <w:spacing w:line="360" w:lineRule="auto"/>
        <w:ind w:left="720" w:hanging="720"/>
        <w:rPr>
          <w:rFonts w:asciiTheme="minorHAnsi" w:hAnsiTheme="minorHAnsi" w:cstheme="minorHAnsi"/>
          <w:noProof/>
          <w:sz w:val="20"/>
          <w:szCs w:val="20"/>
        </w:rPr>
      </w:pPr>
      <w:r w:rsidRPr="0057326D">
        <w:rPr>
          <w:rFonts w:asciiTheme="minorHAnsi" w:hAnsiTheme="minorHAnsi" w:cstheme="minorHAnsi"/>
          <w:noProof/>
          <w:sz w:val="20"/>
          <w:szCs w:val="20"/>
        </w:rPr>
        <w:t>1.</w:t>
      </w:r>
      <w:r w:rsidRPr="0057326D">
        <w:rPr>
          <w:rFonts w:asciiTheme="minorHAnsi" w:hAnsiTheme="minorHAnsi" w:cstheme="minorHAnsi"/>
          <w:noProof/>
          <w:sz w:val="20"/>
          <w:szCs w:val="20"/>
        </w:rPr>
        <w:tab/>
        <w:t>Lichter-Konecki U, Broman K, Blau E, Konecki D. Genetic and physical mapping of the locus for autosomal dominant renal Fanconi syndrome, on chromosome 15q15. 3. The American Journal of Human Genetics</w:t>
      </w:r>
      <w:r w:rsidRPr="0057326D">
        <w:rPr>
          <w:rFonts w:asciiTheme="minorHAnsi" w:hAnsiTheme="minorHAnsi" w:cstheme="minorHAnsi"/>
          <w:i/>
          <w:noProof/>
          <w:sz w:val="20"/>
          <w:szCs w:val="20"/>
        </w:rPr>
        <w:t xml:space="preserve">. </w:t>
      </w:r>
      <w:r w:rsidRPr="0057326D">
        <w:rPr>
          <w:rFonts w:asciiTheme="minorHAnsi" w:hAnsiTheme="minorHAnsi" w:cstheme="minorHAnsi"/>
          <w:noProof/>
          <w:sz w:val="20"/>
          <w:szCs w:val="20"/>
        </w:rPr>
        <w:t>2001;68(1):264-268.</w:t>
      </w:r>
    </w:p>
    <w:p w14:paraId="0BAA6C63" w14:textId="77777777" w:rsidR="00955DD7" w:rsidRPr="0057326D" w:rsidRDefault="00955DD7" w:rsidP="0057326D">
      <w:pPr>
        <w:pStyle w:val="EndNoteBibliography"/>
        <w:spacing w:line="360" w:lineRule="auto"/>
        <w:ind w:left="720" w:hanging="720"/>
        <w:rPr>
          <w:rFonts w:asciiTheme="minorHAnsi" w:hAnsiTheme="minorHAnsi" w:cstheme="minorHAnsi"/>
          <w:noProof/>
          <w:sz w:val="20"/>
          <w:szCs w:val="20"/>
        </w:rPr>
      </w:pPr>
      <w:r w:rsidRPr="0057326D">
        <w:rPr>
          <w:rFonts w:asciiTheme="minorHAnsi" w:hAnsiTheme="minorHAnsi" w:cstheme="minorHAnsi"/>
          <w:noProof/>
          <w:sz w:val="20"/>
          <w:szCs w:val="20"/>
        </w:rPr>
        <w:t>2.</w:t>
      </w:r>
      <w:r w:rsidRPr="0057326D">
        <w:rPr>
          <w:rFonts w:asciiTheme="minorHAnsi" w:hAnsiTheme="minorHAnsi" w:cstheme="minorHAnsi"/>
          <w:noProof/>
          <w:sz w:val="20"/>
          <w:szCs w:val="20"/>
        </w:rPr>
        <w:tab/>
        <w:t>Magen D, Berger L, Coady MJ, et al. A loss-of-function mutation in NaPi-IIa and renal Fanconi's syndrome. New England Journal of Medicine</w:t>
      </w:r>
      <w:r w:rsidRPr="0057326D">
        <w:rPr>
          <w:rFonts w:asciiTheme="minorHAnsi" w:hAnsiTheme="minorHAnsi" w:cstheme="minorHAnsi"/>
          <w:i/>
          <w:noProof/>
          <w:sz w:val="20"/>
          <w:szCs w:val="20"/>
        </w:rPr>
        <w:t xml:space="preserve">. </w:t>
      </w:r>
      <w:r w:rsidRPr="0057326D">
        <w:rPr>
          <w:rFonts w:asciiTheme="minorHAnsi" w:hAnsiTheme="minorHAnsi" w:cstheme="minorHAnsi"/>
          <w:noProof/>
          <w:sz w:val="20"/>
          <w:szCs w:val="20"/>
        </w:rPr>
        <w:t>2010;362(12):1102-1109.</w:t>
      </w:r>
    </w:p>
    <w:p w14:paraId="240CC7D7" w14:textId="77777777" w:rsidR="00955DD7" w:rsidRPr="0057326D" w:rsidRDefault="00955DD7" w:rsidP="0057326D">
      <w:pPr>
        <w:pStyle w:val="EndNoteBibliography"/>
        <w:spacing w:line="360" w:lineRule="auto"/>
        <w:ind w:left="720" w:hanging="720"/>
        <w:rPr>
          <w:rFonts w:asciiTheme="minorHAnsi" w:hAnsiTheme="minorHAnsi" w:cstheme="minorHAnsi"/>
          <w:noProof/>
          <w:sz w:val="20"/>
          <w:szCs w:val="20"/>
        </w:rPr>
      </w:pPr>
      <w:r w:rsidRPr="0057326D">
        <w:rPr>
          <w:rFonts w:asciiTheme="minorHAnsi" w:hAnsiTheme="minorHAnsi" w:cstheme="minorHAnsi"/>
          <w:noProof/>
          <w:sz w:val="20"/>
          <w:szCs w:val="20"/>
        </w:rPr>
        <w:t>3.</w:t>
      </w:r>
      <w:r w:rsidRPr="0057326D">
        <w:rPr>
          <w:rFonts w:asciiTheme="minorHAnsi" w:hAnsiTheme="minorHAnsi" w:cstheme="minorHAnsi"/>
          <w:noProof/>
          <w:sz w:val="20"/>
          <w:szCs w:val="20"/>
        </w:rPr>
        <w:tab/>
        <w:t>Klootwijk ED, Reichold M, Helip-Wooley A, et al. Mistargeting of peroxisomal EHHADH and inherited renal Fanconi's syndrome. New England Journal of Medicine</w:t>
      </w:r>
      <w:r w:rsidRPr="0057326D">
        <w:rPr>
          <w:rFonts w:asciiTheme="minorHAnsi" w:hAnsiTheme="minorHAnsi" w:cstheme="minorHAnsi"/>
          <w:i/>
          <w:noProof/>
          <w:sz w:val="20"/>
          <w:szCs w:val="20"/>
        </w:rPr>
        <w:t xml:space="preserve">. </w:t>
      </w:r>
      <w:r w:rsidRPr="0057326D">
        <w:rPr>
          <w:rFonts w:asciiTheme="minorHAnsi" w:hAnsiTheme="minorHAnsi" w:cstheme="minorHAnsi"/>
          <w:noProof/>
          <w:sz w:val="20"/>
          <w:szCs w:val="20"/>
        </w:rPr>
        <w:t>2014;370(2):129-138.</w:t>
      </w:r>
    </w:p>
    <w:p w14:paraId="195B4D96" w14:textId="77777777" w:rsidR="00955DD7" w:rsidRPr="0057326D" w:rsidRDefault="00955DD7" w:rsidP="0057326D">
      <w:pPr>
        <w:pStyle w:val="EndNoteBibliography"/>
        <w:spacing w:line="360" w:lineRule="auto"/>
        <w:ind w:left="720" w:hanging="720"/>
        <w:rPr>
          <w:rFonts w:asciiTheme="minorHAnsi" w:hAnsiTheme="minorHAnsi" w:cstheme="minorHAnsi"/>
          <w:noProof/>
          <w:sz w:val="20"/>
          <w:szCs w:val="20"/>
        </w:rPr>
      </w:pPr>
      <w:r w:rsidRPr="0057326D">
        <w:rPr>
          <w:rFonts w:asciiTheme="minorHAnsi" w:hAnsiTheme="minorHAnsi" w:cstheme="minorHAnsi"/>
          <w:noProof/>
          <w:sz w:val="20"/>
          <w:szCs w:val="20"/>
        </w:rPr>
        <w:lastRenderedPageBreak/>
        <w:t>4.</w:t>
      </w:r>
      <w:r w:rsidRPr="0057326D">
        <w:rPr>
          <w:rFonts w:asciiTheme="minorHAnsi" w:hAnsiTheme="minorHAnsi" w:cstheme="minorHAnsi"/>
          <w:noProof/>
          <w:sz w:val="20"/>
          <w:szCs w:val="20"/>
        </w:rPr>
        <w:tab/>
        <w:t>Hartmannová H, Piherová L, Tauchmannová K, et al. Acadian variant of Fanconi syndrome is caused by mitochondrial respiratory chain complex I deficiency due to a non-coding mutation in complex I assembly factor NDUFAF6. Human molecular genetics</w:t>
      </w:r>
      <w:r w:rsidRPr="0057326D">
        <w:rPr>
          <w:rFonts w:asciiTheme="minorHAnsi" w:hAnsiTheme="minorHAnsi" w:cstheme="minorHAnsi"/>
          <w:i/>
          <w:noProof/>
          <w:sz w:val="20"/>
          <w:szCs w:val="20"/>
        </w:rPr>
        <w:t xml:space="preserve">. </w:t>
      </w:r>
      <w:r w:rsidRPr="0057326D">
        <w:rPr>
          <w:rFonts w:asciiTheme="minorHAnsi" w:hAnsiTheme="minorHAnsi" w:cstheme="minorHAnsi"/>
          <w:noProof/>
          <w:sz w:val="20"/>
          <w:szCs w:val="20"/>
        </w:rPr>
        <w:t>2016;25(18):4062-4079.</w:t>
      </w:r>
    </w:p>
    <w:p w14:paraId="5EBC3C19" w14:textId="77777777" w:rsidR="00955DD7" w:rsidRPr="0057326D" w:rsidRDefault="00955DD7" w:rsidP="0057326D">
      <w:pPr>
        <w:pStyle w:val="EndNoteBibliography"/>
        <w:spacing w:line="360" w:lineRule="auto"/>
        <w:ind w:left="720" w:hanging="720"/>
        <w:rPr>
          <w:rFonts w:asciiTheme="minorHAnsi" w:hAnsiTheme="minorHAnsi" w:cstheme="minorHAnsi"/>
          <w:noProof/>
          <w:sz w:val="20"/>
          <w:szCs w:val="20"/>
        </w:rPr>
      </w:pPr>
      <w:r w:rsidRPr="0057326D">
        <w:rPr>
          <w:rFonts w:asciiTheme="minorHAnsi" w:hAnsiTheme="minorHAnsi" w:cstheme="minorHAnsi"/>
          <w:noProof/>
          <w:sz w:val="20"/>
          <w:szCs w:val="20"/>
        </w:rPr>
        <w:t>5.</w:t>
      </w:r>
      <w:r w:rsidRPr="0057326D">
        <w:rPr>
          <w:rFonts w:asciiTheme="minorHAnsi" w:hAnsiTheme="minorHAnsi" w:cstheme="minorHAnsi"/>
          <w:noProof/>
          <w:sz w:val="20"/>
          <w:szCs w:val="20"/>
        </w:rPr>
        <w:tab/>
        <w:t>Reichold M, Klootwijk ED, Reinders J, et al. Glycine Amidinotransferase (GATM), renal Fanconi syndrome, and kidney failure. Journal of the American Society of Nephrology</w:t>
      </w:r>
      <w:r w:rsidRPr="0057326D">
        <w:rPr>
          <w:rFonts w:asciiTheme="minorHAnsi" w:hAnsiTheme="minorHAnsi" w:cstheme="minorHAnsi"/>
          <w:i/>
          <w:noProof/>
          <w:sz w:val="20"/>
          <w:szCs w:val="20"/>
        </w:rPr>
        <w:t xml:space="preserve">. </w:t>
      </w:r>
      <w:r w:rsidRPr="0057326D">
        <w:rPr>
          <w:rFonts w:asciiTheme="minorHAnsi" w:hAnsiTheme="minorHAnsi" w:cstheme="minorHAnsi"/>
          <w:noProof/>
          <w:sz w:val="20"/>
          <w:szCs w:val="20"/>
        </w:rPr>
        <w:t>2018;29(7):1849-1858.</w:t>
      </w:r>
    </w:p>
    <w:p w14:paraId="765A654B" w14:textId="77777777" w:rsidR="00955DD7" w:rsidRPr="0057326D" w:rsidRDefault="00955DD7" w:rsidP="0057326D">
      <w:pPr>
        <w:pStyle w:val="EndNoteBibliography"/>
        <w:spacing w:line="360" w:lineRule="auto"/>
        <w:ind w:left="720" w:hanging="720"/>
        <w:rPr>
          <w:rFonts w:asciiTheme="minorHAnsi" w:hAnsiTheme="minorHAnsi" w:cstheme="minorHAnsi"/>
          <w:noProof/>
          <w:sz w:val="20"/>
          <w:szCs w:val="20"/>
        </w:rPr>
      </w:pPr>
      <w:r w:rsidRPr="0057326D">
        <w:rPr>
          <w:rFonts w:asciiTheme="minorHAnsi" w:hAnsiTheme="minorHAnsi" w:cstheme="minorHAnsi"/>
          <w:noProof/>
          <w:sz w:val="20"/>
          <w:szCs w:val="20"/>
        </w:rPr>
        <w:t>6.</w:t>
      </w:r>
      <w:r w:rsidRPr="0057326D">
        <w:rPr>
          <w:rFonts w:asciiTheme="minorHAnsi" w:hAnsiTheme="minorHAnsi" w:cstheme="minorHAnsi"/>
          <w:noProof/>
          <w:sz w:val="20"/>
          <w:szCs w:val="20"/>
        </w:rPr>
        <w:tab/>
        <w:t>Karczewski KJ, Francioli LC, Tiao G, et al. The mutational constraint spectrum quantified from variation in 141,456 humans. Nature</w:t>
      </w:r>
      <w:r w:rsidRPr="0057326D">
        <w:rPr>
          <w:rFonts w:asciiTheme="minorHAnsi" w:hAnsiTheme="minorHAnsi" w:cstheme="minorHAnsi"/>
          <w:i/>
          <w:noProof/>
          <w:sz w:val="20"/>
          <w:szCs w:val="20"/>
        </w:rPr>
        <w:t xml:space="preserve">. </w:t>
      </w:r>
      <w:r w:rsidRPr="0057326D">
        <w:rPr>
          <w:rFonts w:asciiTheme="minorHAnsi" w:hAnsiTheme="minorHAnsi" w:cstheme="minorHAnsi"/>
          <w:noProof/>
          <w:sz w:val="20"/>
          <w:szCs w:val="20"/>
        </w:rPr>
        <w:t>2020;581(7809):434-443.</w:t>
      </w:r>
    </w:p>
    <w:p w14:paraId="04ECE2C3" w14:textId="77777777" w:rsidR="00955DD7" w:rsidRPr="0057326D" w:rsidRDefault="00955DD7" w:rsidP="0057326D">
      <w:pPr>
        <w:pStyle w:val="EndNoteBibliography"/>
        <w:spacing w:line="360" w:lineRule="auto"/>
        <w:ind w:left="720" w:hanging="720"/>
        <w:rPr>
          <w:rFonts w:asciiTheme="minorHAnsi" w:hAnsiTheme="minorHAnsi" w:cstheme="minorHAnsi"/>
          <w:noProof/>
          <w:sz w:val="20"/>
          <w:szCs w:val="20"/>
        </w:rPr>
      </w:pPr>
      <w:r w:rsidRPr="0057326D">
        <w:rPr>
          <w:rFonts w:asciiTheme="minorHAnsi" w:hAnsiTheme="minorHAnsi" w:cstheme="minorHAnsi"/>
          <w:noProof/>
          <w:sz w:val="20"/>
          <w:szCs w:val="20"/>
        </w:rPr>
        <w:t>7.</w:t>
      </w:r>
      <w:r w:rsidRPr="0057326D">
        <w:rPr>
          <w:rFonts w:asciiTheme="minorHAnsi" w:hAnsiTheme="minorHAnsi" w:cstheme="minorHAnsi"/>
          <w:noProof/>
          <w:sz w:val="20"/>
          <w:szCs w:val="20"/>
        </w:rPr>
        <w:tab/>
        <w:t>Derst C, Konrad M, Köckerling A, et al. Mutations in the ROMK gene in antenatal Bartter syndrome are associated with impaired K+ channel function. Biochemical and biophysical research communications</w:t>
      </w:r>
      <w:r w:rsidRPr="0057326D">
        <w:rPr>
          <w:rFonts w:asciiTheme="minorHAnsi" w:hAnsiTheme="minorHAnsi" w:cstheme="minorHAnsi"/>
          <w:i/>
          <w:noProof/>
          <w:sz w:val="20"/>
          <w:szCs w:val="20"/>
        </w:rPr>
        <w:t xml:space="preserve">. </w:t>
      </w:r>
      <w:r w:rsidRPr="0057326D">
        <w:rPr>
          <w:rFonts w:asciiTheme="minorHAnsi" w:hAnsiTheme="minorHAnsi" w:cstheme="minorHAnsi"/>
          <w:noProof/>
          <w:sz w:val="20"/>
          <w:szCs w:val="20"/>
        </w:rPr>
        <w:t>1997;230(3):641-645.</w:t>
      </w:r>
    </w:p>
    <w:p w14:paraId="0EC417B4" w14:textId="77777777" w:rsidR="00955DD7" w:rsidRPr="0057326D" w:rsidRDefault="00955DD7" w:rsidP="0057326D">
      <w:pPr>
        <w:pStyle w:val="EndNoteBibliography"/>
        <w:spacing w:line="360" w:lineRule="auto"/>
        <w:ind w:left="720" w:hanging="720"/>
        <w:rPr>
          <w:rFonts w:asciiTheme="minorHAnsi" w:hAnsiTheme="minorHAnsi" w:cstheme="minorHAnsi"/>
          <w:noProof/>
          <w:sz w:val="20"/>
          <w:szCs w:val="20"/>
        </w:rPr>
      </w:pPr>
      <w:r w:rsidRPr="0057326D">
        <w:rPr>
          <w:rFonts w:asciiTheme="minorHAnsi" w:hAnsiTheme="minorHAnsi" w:cstheme="minorHAnsi"/>
          <w:noProof/>
          <w:sz w:val="20"/>
          <w:szCs w:val="20"/>
        </w:rPr>
        <w:t>8.</w:t>
      </w:r>
      <w:r w:rsidRPr="0057326D">
        <w:rPr>
          <w:rFonts w:asciiTheme="minorHAnsi" w:hAnsiTheme="minorHAnsi" w:cstheme="minorHAnsi"/>
          <w:noProof/>
          <w:sz w:val="20"/>
          <w:szCs w:val="20"/>
        </w:rPr>
        <w:tab/>
        <w:t>Forst A-L, Reichold M, Kleta R, Warth R. Distinct Mitochondrial Pathologies Caused by Mutations of the Proximal Tubular Enzymes EHHADH and GATM. Frontiers in Physiology</w:t>
      </w:r>
      <w:r w:rsidRPr="0057326D">
        <w:rPr>
          <w:rFonts w:asciiTheme="minorHAnsi" w:hAnsiTheme="minorHAnsi" w:cstheme="minorHAnsi"/>
          <w:i/>
          <w:noProof/>
          <w:sz w:val="20"/>
          <w:szCs w:val="20"/>
        </w:rPr>
        <w:t xml:space="preserve">. </w:t>
      </w:r>
      <w:r w:rsidRPr="0057326D">
        <w:rPr>
          <w:rFonts w:asciiTheme="minorHAnsi" w:hAnsiTheme="minorHAnsi" w:cstheme="minorHAnsi"/>
          <w:noProof/>
          <w:sz w:val="20"/>
          <w:szCs w:val="20"/>
        </w:rPr>
        <w:t>2021;12 (Review).</w:t>
      </w:r>
    </w:p>
    <w:p w14:paraId="13CE0519" w14:textId="77777777" w:rsidR="00955DD7" w:rsidRPr="0057326D" w:rsidRDefault="00955DD7" w:rsidP="0057326D">
      <w:pPr>
        <w:pStyle w:val="EndNoteBibliography"/>
        <w:spacing w:line="360" w:lineRule="auto"/>
        <w:ind w:left="720" w:hanging="720"/>
        <w:rPr>
          <w:rFonts w:asciiTheme="minorHAnsi" w:hAnsiTheme="minorHAnsi" w:cstheme="minorHAnsi"/>
          <w:noProof/>
          <w:sz w:val="20"/>
          <w:szCs w:val="20"/>
        </w:rPr>
      </w:pPr>
      <w:r w:rsidRPr="0057326D">
        <w:rPr>
          <w:rFonts w:asciiTheme="minorHAnsi" w:hAnsiTheme="minorHAnsi" w:cstheme="minorHAnsi"/>
          <w:noProof/>
          <w:sz w:val="20"/>
          <w:szCs w:val="20"/>
        </w:rPr>
        <w:t>9.</w:t>
      </w:r>
      <w:r w:rsidRPr="0057326D">
        <w:rPr>
          <w:rFonts w:asciiTheme="minorHAnsi" w:hAnsiTheme="minorHAnsi" w:cstheme="minorHAnsi"/>
          <w:noProof/>
          <w:sz w:val="20"/>
          <w:szCs w:val="20"/>
        </w:rPr>
        <w:tab/>
        <w:t>Clark JF, Cecil KM. Diagnostic methods and recommendations for the cerebral creatine deficiency syndromes. Pediatric research</w:t>
      </w:r>
      <w:r w:rsidRPr="0057326D">
        <w:rPr>
          <w:rFonts w:asciiTheme="minorHAnsi" w:hAnsiTheme="minorHAnsi" w:cstheme="minorHAnsi"/>
          <w:i/>
          <w:noProof/>
          <w:sz w:val="20"/>
          <w:szCs w:val="20"/>
        </w:rPr>
        <w:t xml:space="preserve">. </w:t>
      </w:r>
      <w:r w:rsidRPr="0057326D">
        <w:rPr>
          <w:rFonts w:asciiTheme="minorHAnsi" w:hAnsiTheme="minorHAnsi" w:cstheme="minorHAnsi"/>
          <w:noProof/>
          <w:sz w:val="20"/>
          <w:szCs w:val="20"/>
        </w:rPr>
        <w:t>2015;77(3):398-405.</w:t>
      </w:r>
    </w:p>
    <w:p w14:paraId="61A6461B" w14:textId="77777777" w:rsidR="00955DD7" w:rsidRPr="0057326D" w:rsidRDefault="00955DD7" w:rsidP="0057326D">
      <w:pPr>
        <w:pStyle w:val="EndNoteBibliography"/>
        <w:spacing w:line="360" w:lineRule="auto"/>
        <w:ind w:left="720" w:hanging="720"/>
        <w:rPr>
          <w:rFonts w:asciiTheme="minorHAnsi" w:hAnsiTheme="minorHAnsi" w:cstheme="minorHAnsi"/>
          <w:noProof/>
          <w:sz w:val="20"/>
          <w:szCs w:val="20"/>
        </w:rPr>
      </w:pPr>
      <w:r w:rsidRPr="0057326D">
        <w:rPr>
          <w:rFonts w:asciiTheme="minorHAnsi" w:hAnsiTheme="minorHAnsi" w:cstheme="minorHAnsi"/>
          <w:noProof/>
          <w:sz w:val="20"/>
          <w:szCs w:val="20"/>
        </w:rPr>
        <w:t>10.</w:t>
      </w:r>
      <w:r w:rsidRPr="0057326D">
        <w:rPr>
          <w:rFonts w:asciiTheme="minorHAnsi" w:hAnsiTheme="minorHAnsi" w:cstheme="minorHAnsi"/>
          <w:noProof/>
          <w:sz w:val="20"/>
          <w:szCs w:val="20"/>
        </w:rPr>
        <w:tab/>
        <w:t>Martin AR, Williams E, Foulger RE, et al. PanelApp crowdsources expert knowledge to establish consensus diagnostic gene panels. Nature genetics</w:t>
      </w:r>
      <w:r w:rsidRPr="0057326D">
        <w:rPr>
          <w:rFonts w:asciiTheme="minorHAnsi" w:hAnsiTheme="minorHAnsi" w:cstheme="minorHAnsi"/>
          <w:i/>
          <w:noProof/>
          <w:sz w:val="20"/>
          <w:szCs w:val="20"/>
        </w:rPr>
        <w:t xml:space="preserve">. </w:t>
      </w:r>
      <w:r w:rsidRPr="0057326D">
        <w:rPr>
          <w:rFonts w:asciiTheme="minorHAnsi" w:hAnsiTheme="minorHAnsi" w:cstheme="minorHAnsi"/>
          <w:noProof/>
          <w:sz w:val="20"/>
          <w:szCs w:val="20"/>
        </w:rPr>
        <w:t>2019;51(11):1560-1565.</w:t>
      </w:r>
    </w:p>
    <w:p w14:paraId="4A1C708B" w14:textId="40607C81" w:rsidR="00955DD7" w:rsidRPr="00106FA9" w:rsidRDefault="00955DD7" w:rsidP="0057326D">
      <w:pPr>
        <w:pStyle w:val="EndNoteBibliography"/>
        <w:spacing w:line="360" w:lineRule="auto"/>
        <w:rPr>
          <w:noProof/>
          <w:sz w:val="20"/>
          <w:szCs w:val="20"/>
        </w:rPr>
      </w:pPr>
    </w:p>
    <w:p w14:paraId="40164EFA" w14:textId="77777777" w:rsidR="00955DD7" w:rsidRDefault="00955DD7" w:rsidP="009A1C3B"/>
    <w:p w14:paraId="32E0956D" w14:textId="77777777" w:rsidR="00955DD7" w:rsidRDefault="00955DD7" w:rsidP="009A1C3B"/>
    <w:p w14:paraId="6CD150CF" w14:textId="77777777" w:rsidR="00955DD7" w:rsidRDefault="00955DD7" w:rsidP="009A1C3B">
      <w:pPr>
        <w:rPr>
          <w:rFonts w:ascii="Calibri" w:hAnsi="Calibri" w:cs="Calibri"/>
          <w:b/>
          <w:bCs/>
        </w:rPr>
      </w:pPr>
      <w:r w:rsidRPr="00CB2814">
        <w:rPr>
          <w:rFonts w:ascii="Calibri" w:hAnsi="Calibri" w:cs="Calibri"/>
          <w:b/>
          <w:bCs/>
        </w:rPr>
        <w:t>Legends</w:t>
      </w:r>
    </w:p>
    <w:p w14:paraId="351609B7" w14:textId="77777777" w:rsidR="00955DD7" w:rsidRPr="00CB2814" w:rsidRDefault="00955DD7" w:rsidP="009A1C3B">
      <w:pPr>
        <w:rPr>
          <w:rFonts w:ascii="Calibri" w:hAnsi="Calibri" w:cs="Calibri"/>
          <w:b/>
          <w:bCs/>
        </w:rPr>
      </w:pPr>
    </w:p>
    <w:p w14:paraId="297F7657" w14:textId="77777777" w:rsidR="00955DD7" w:rsidRDefault="00955DD7" w:rsidP="00CB2814">
      <w:pPr>
        <w:rPr>
          <w:rFonts w:ascii="Calibri" w:hAnsi="Calibri" w:cs="Calibri"/>
          <w:sz w:val="20"/>
        </w:rPr>
      </w:pPr>
      <w:r w:rsidRPr="00764223">
        <w:rPr>
          <w:rFonts w:ascii="Calibri" w:hAnsi="Calibri" w:cs="Calibri"/>
          <w:b/>
          <w:bCs/>
          <w:sz w:val="20"/>
        </w:rPr>
        <w:t xml:space="preserve">Table </w:t>
      </w:r>
      <w:r>
        <w:rPr>
          <w:rFonts w:ascii="Calibri" w:hAnsi="Calibri" w:cs="Calibri"/>
          <w:b/>
          <w:bCs/>
          <w:sz w:val="20"/>
        </w:rPr>
        <w:t>1</w:t>
      </w:r>
      <w:r w:rsidRPr="00764223">
        <w:rPr>
          <w:rFonts w:ascii="Calibri" w:hAnsi="Calibri" w:cs="Calibri"/>
          <w:sz w:val="20"/>
        </w:rPr>
        <w:t xml:space="preserve"> | Results </w:t>
      </w:r>
      <w:r>
        <w:rPr>
          <w:rFonts w:ascii="Calibri" w:hAnsi="Calibri" w:cs="Calibri"/>
          <w:sz w:val="20"/>
        </w:rPr>
        <w:t xml:space="preserve">of </w:t>
      </w:r>
      <w:r w:rsidRPr="00764223">
        <w:rPr>
          <w:rFonts w:ascii="Calibri" w:hAnsi="Calibri" w:cs="Calibri"/>
          <w:sz w:val="20"/>
        </w:rPr>
        <w:t>primary analysis</w:t>
      </w:r>
    </w:p>
    <w:p w14:paraId="19EBBEAD" w14:textId="77777777" w:rsidR="00955DD7" w:rsidRPr="00764223" w:rsidRDefault="00955DD7" w:rsidP="00CB2814">
      <w:pPr>
        <w:rPr>
          <w:rFonts w:ascii="Calibri" w:hAnsi="Calibri" w:cs="Calibri"/>
          <w:i/>
          <w:sz w:val="16"/>
        </w:rPr>
      </w:pPr>
      <w:r w:rsidRPr="00764223">
        <w:rPr>
          <w:rFonts w:ascii="Calibri" w:hAnsi="Calibri" w:cs="Calibri"/>
          <w:i/>
          <w:sz w:val="16"/>
        </w:rPr>
        <w:t xml:space="preserve">Abbreviations: chr – chromosome; </w:t>
      </w:r>
      <w:proofErr w:type="spellStart"/>
      <w:r w:rsidRPr="00764223">
        <w:rPr>
          <w:rFonts w:ascii="Calibri" w:hAnsi="Calibri" w:cs="Calibri"/>
          <w:i/>
          <w:sz w:val="16"/>
        </w:rPr>
        <w:t>pos</w:t>
      </w:r>
      <w:proofErr w:type="spellEnd"/>
      <w:r w:rsidRPr="00764223">
        <w:rPr>
          <w:rFonts w:ascii="Calibri" w:hAnsi="Calibri" w:cs="Calibri"/>
          <w:i/>
          <w:sz w:val="16"/>
        </w:rPr>
        <w:t xml:space="preserve"> – position; gnomAD(g) – gnomAD genomes frequency; gnomAD – gnomAD </w:t>
      </w:r>
      <w:r>
        <w:rPr>
          <w:rFonts w:ascii="Calibri" w:hAnsi="Calibri" w:cs="Calibri"/>
          <w:i/>
          <w:sz w:val="16"/>
        </w:rPr>
        <w:t xml:space="preserve">v2.1.1 </w:t>
      </w:r>
      <w:r w:rsidRPr="00764223">
        <w:rPr>
          <w:rFonts w:ascii="Calibri" w:hAnsi="Calibri" w:cs="Calibri"/>
          <w:i/>
          <w:sz w:val="16"/>
        </w:rPr>
        <w:t>exom</w:t>
      </w:r>
      <w:r>
        <w:rPr>
          <w:rFonts w:ascii="Calibri" w:hAnsi="Calibri" w:cs="Calibri"/>
          <w:i/>
          <w:sz w:val="16"/>
        </w:rPr>
        <w:t>es</w:t>
      </w:r>
      <w:r w:rsidRPr="00764223">
        <w:rPr>
          <w:rFonts w:ascii="Calibri" w:hAnsi="Calibri" w:cs="Calibri"/>
          <w:i/>
          <w:sz w:val="16"/>
        </w:rPr>
        <w:t xml:space="preserve"> frequency; H</w:t>
      </w:r>
      <w:r>
        <w:rPr>
          <w:rFonts w:ascii="Calibri" w:hAnsi="Calibri" w:cs="Calibri"/>
          <w:i/>
          <w:sz w:val="16"/>
        </w:rPr>
        <w:t>et</w:t>
      </w:r>
      <w:r w:rsidRPr="00764223">
        <w:rPr>
          <w:rFonts w:ascii="Calibri" w:hAnsi="Calibri" w:cs="Calibri"/>
          <w:i/>
          <w:sz w:val="16"/>
        </w:rPr>
        <w:t xml:space="preserve"> – heterozygous</w:t>
      </w:r>
      <w:r>
        <w:rPr>
          <w:rFonts w:ascii="Calibri" w:hAnsi="Calibri" w:cs="Calibri"/>
          <w:i/>
          <w:sz w:val="16"/>
        </w:rPr>
        <w:t>; WT – wild type.</w:t>
      </w:r>
    </w:p>
    <w:p w14:paraId="03FEA8E0" w14:textId="77777777" w:rsidR="00955DD7" w:rsidRDefault="00955DD7" w:rsidP="009A1C3B"/>
    <w:p w14:paraId="5BA14B6D" w14:textId="509540C5" w:rsidR="00955DD7" w:rsidRDefault="00955DD7" w:rsidP="00243B53">
      <w:pPr>
        <w:spacing w:line="360" w:lineRule="auto"/>
        <w:rPr>
          <w:rFonts w:ascii="Calibri" w:hAnsi="Calibri" w:cs="Calibri"/>
          <w:sz w:val="20"/>
          <w:szCs w:val="20"/>
        </w:rPr>
      </w:pPr>
      <w:r w:rsidRPr="00973E4C">
        <w:rPr>
          <w:rFonts w:ascii="Calibri" w:hAnsi="Calibri" w:cs="Calibri"/>
          <w:b/>
          <w:bCs/>
          <w:sz w:val="20"/>
          <w:szCs w:val="20"/>
        </w:rPr>
        <w:t xml:space="preserve">Figure </w:t>
      </w:r>
      <w:r>
        <w:rPr>
          <w:rFonts w:ascii="Calibri" w:hAnsi="Calibri" w:cs="Calibri"/>
          <w:b/>
          <w:bCs/>
          <w:sz w:val="20"/>
          <w:szCs w:val="20"/>
        </w:rPr>
        <w:t>1</w:t>
      </w:r>
      <w:r>
        <w:rPr>
          <w:rFonts w:ascii="Calibri" w:hAnsi="Calibri" w:cs="Calibri"/>
          <w:sz w:val="20"/>
          <w:szCs w:val="20"/>
        </w:rPr>
        <w:t xml:space="preserve"> | Molecular dynamics results of GATM B4-B4 dimer mutants </w:t>
      </w:r>
    </w:p>
    <w:p w14:paraId="55D77B53" w14:textId="77777777" w:rsidR="00955DD7" w:rsidRDefault="00955DD7" w:rsidP="00243B53">
      <w:pPr>
        <w:spacing w:line="276" w:lineRule="auto"/>
        <w:rPr>
          <w:rFonts w:ascii="Calibri" w:hAnsi="Calibri" w:cs="Calibri"/>
          <w:i/>
          <w:iCs/>
          <w:sz w:val="16"/>
          <w:szCs w:val="16"/>
        </w:rPr>
      </w:pPr>
      <w:r w:rsidRPr="0095730B">
        <w:rPr>
          <w:rFonts w:ascii="Calibri" w:hAnsi="Calibri" w:cs="Calibri"/>
          <w:i/>
          <w:iCs/>
          <w:sz w:val="16"/>
          <w:szCs w:val="16"/>
        </w:rPr>
        <w:t>(a</w:t>
      </w:r>
      <w:r>
        <w:rPr>
          <w:rFonts w:ascii="Calibri" w:hAnsi="Calibri" w:cs="Calibri"/>
          <w:i/>
          <w:iCs/>
          <w:sz w:val="16"/>
          <w:szCs w:val="16"/>
        </w:rPr>
        <w:t xml:space="preserve">) Graphical representation of GATM wild-type (WT) homodimer, each monomer coloured blue and orange, dimerized at the B4-B4 interface (b) Representative cartoon structures of 316-324 loop for WT (blue/orange) and R322P (purple/brown) global minima with respect to residue 320 distances, proline 320 residues are overlaid as a stick representation. (c) Free-energy values for all mutants and WT across residue 320 CB atom distances, averaged across all three repeats. (d/e) Free-energy values for WT and </w:t>
      </w:r>
      <w:proofErr w:type="gramStart"/>
      <w:r w:rsidRPr="00A95C19">
        <w:rPr>
          <w:rFonts w:ascii="Calibri" w:eastAsiaTheme="minorHAnsi" w:hAnsi="Calibri" w:cs="Calibri"/>
          <w:i/>
          <w:iCs/>
          <w:sz w:val="16"/>
          <w:szCs w:val="16"/>
        </w:rPr>
        <w:t>p.(</w:t>
      </w:r>
      <w:proofErr w:type="gramEnd"/>
      <w:r w:rsidRPr="00A95C19">
        <w:rPr>
          <w:rFonts w:ascii="Calibri" w:eastAsiaTheme="minorHAnsi" w:hAnsi="Calibri" w:cs="Calibri"/>
          <w:i/>
          <w:iCs/>
          <w:sz w:val="16"/>
          <w:szCs w:val="16"/>
        </w:rPr>
        <w:t>Arg322Pro)</w:t>
      </w:r>
      <w:r>
        <w:rPr>
          <w:rFonts w:ascii="Calibri" w:hAnsi="Calibri" w:cs="Calibri"/>
          <w:i/>
          <w:iCs/>
          <w:sz w:val="16"/>
          <w:szCs w:val="16"/>
        </w:rPr>
        <w:t xml:space="preserve"> for each simulation replica for WT and </w:t>
      </w:r>
      <w:r w:rsidRPr="00364CC5">
        <w:rPr>
          <w:rFonts w:ascii="Calibri" w:eastAsiaTheme="minorHAnsi" w:hAnsi="Calibri" w:cs="Calibri"/>
          <w:i/>
          <w:iCs/>
          <w:sz w:val="16"/>
          <w:szCs w:val="16"/>
        </w:rPr>
        <w:t>p.(Arg322Pro)</w:t>
      </w:r>
      <w:r>
        <w:rPr>
          <w:rFonts w:ascii="Calibri" w:hAnsi="Calibri" w:cs="Calibri"/>
          <w:i/>
          <w:iCs/>
          <w:sz w:val="16"/>
          <w:szCs w:val="16"/>
        </w:rPr>
        <w:t xml:space="preserve"> simulations across residue 320 CB atom distances. </w:t>
      </w:r>
    </w:p>
    <w:p w14:paraId="46A2FA1D" w14:textId="77777777" w:rsidR="00955DD7" w:rsidRDefault="00955DD7" w:rsidP="009A1C3B"/>
    <w:p w14:paraId="75621801" w14:textId="77777777" w:rsidR="00955DD7" w:rsidRDefault="00955DD7" w:rsidP="009A1C3B"/>
    <w:p w14:paraId="4F3FC6AA" w14:textId="7BEA0958" w:rsidR="00955DD7" w:rsidRDefault="00955DD7" w:rsidP="00CB2814">
      <w:pPr>
        <w:spacing w:line="360" w:lineRule="auto"/>
        <w:rPr>
          <w:rFonts w:ascii="Calibri" w:hAnsi="Calibri" w:cs="Calibri"/>
          <w:sz w:val="20"/>
          <w:szCs w:val="20"/>
        </w:rPr>
      </w:pPr>
      <w:r w:rsidRPr="00973E4C">
        <w:rPr>
          <w:rFonts w:ascii="Calibri" w:hAnsi="Calibri" w:cs="Calibri"/>
          <w:b/>
          <w:bCs/>
          <w:sz w:val="20"/>
          <w:szCs w:val="20"/>
        </w:rPr>
        <w:t xml:space="preserve">Figure </w:t>
      </w:r>
      <w:r>
        <w:rPr>
          <w:rFonts w:ascii="Calibri" w:hAnsi="Calibri" w:cs="Calibri"/>
          <w:b/>
          <w:bCs/>
          <w:sz w:val="20"/>
          <w:szCs w:val="20"/>
        </w:rPr>
        <w:t>2</w:t>
      </w:r>
      <w:r>
        <w:rPr>
          <w:rFonts w:ascii="Calibri" w:hAnsi="Calibri" w:cs="Calibri"/>
          <w:sz w:val="20"/>
          <w:szCs w:val="20"/>
        </w:rPr>
        <w:t xml:space="preserve"> | Heterozygous variants in </w:t>
      </w:r>
      <w:r w:rsidRPr="00911F39">
        <w:rPr>
          <w:rFonts w:ascii="Calibri" w:hAnsi="Calibri" w:cs="Calibri"/>
          <w:i/>
          <w:iCs/>
          <w:sz w:val="20"/>
          <w:szCs w:val="20"/>
        </w:rPr>
        <w:t>GATM</w:t>
      </w:r>
      <w:r>
        <w:rPr>
          <w:rFonts w:ascii="Calibri" w:hAnsi="Calibri" w:cs="Calibri"/>
          <w:sz w:val="20"/>
          <w:szCs w:val="20"/>
        </w:rPr>
        <w:t xml:space="preserve"> causing renal Fanconi syndrome with kidney failure</w:t>
      </w:r>
    </w:p>
    <w:p w14:paraId="78DD7103" w14:textId="09585CC1" w:rsidR="00195220" w:rsidRPr="0057326D" w:rsidRDefault="00955DD7" w:rsidP="0057326D">
      <w:pPr>
        <w:spacing w:line="276" w:lineRule="auto"/>
        <w:rPr>
          <w:rFonts w:ascii="Calibri" w:hAnsi="Calibri" w:cs="Calibri"/>
          <w:i/>
          <w:iCs/>
          <w:sz w:val="16"/>
          <w:szCs w:val="16"/>
        </w:rPr>
      </w:pPr>
      <w:r w:rsidRPr="00973E4C">
        <w:rPr>
          <w:rFonts w:ascii="Calibri" w:hAnsi="Calibri" w:cs="Calibri"/>
          <w:i/>
          <w:iCs/>
          <w:sz w:val="16"/>
          <w:szCs w:val="16"/>
        </w:rPr>
        <w:t xml:space="preserve">All known pathogenic variants in GATM, including our variant </w:t>
      </w:r>
      <w:r>
        <w:rPr>
          <w:rFonts w:ascii="Calibri" w:hAnsi="Calibri" w:cs="Calibri"/>
          <w:i/>
          <w:iCs/>
          <w:sz w:val="16"/>
          <w:szCs w:val="16"/>
        </w:rPr>
        <w:t>Arg322Pro</w:t>
      </w:r>
      <w:r w:rsidRPr="00973E4C">
        <w:rPr>
          <w:rFonts w:ascii="Calibri" w:hAnsi="Calibri" w:cs="Calibri"/>
          <w:i/>
          <w:iCs/>
          <w:sz w:val="16"/>
          <w:szCs w:val="16"/>
        </w:rPr>
        <w:t xml:space="preserve"> (</w:t>
      </w:r>
      <w:r>
        <w:rPr>
          <w:rFonts w:ascii="Calibri" w:hAnsi="Calibri" w:cs="Calibri"/>
          <w:i/>
          <w:iCs/>
          <w:sz w:val="16"/>
          <w:szCs w:val="16"/>
        </w:rPr>
        <w:t xml:space="preserve">bold and </w:t>
      </w:r>
      <w:r w:rsidRPr="00973E4C">
        <w:rPr>
          <w:rFonts w:ascii="Calibri" w:hAnsi="Calibri" w:cs="Calibri"/>
          <w:i/>
          <w:iCs/>
          <w:sz w:val="16"/>
          <w:szCs w:val="16"/>
        </w:rPr>
        <w:t xml:space="preserve">with asterisk). All variants are </w:t>
      </w:r>
      <w:r>
        <w:rPr>
          <w:rFonts w:ascii="Calibri" w:hAnsi="Calibri" w:cs="Calibri"/>
          <w:i/>
          <w:iCs/>
          <w:sz w:val="16"/>
          <w:szCs w:val="16"/>
        </w:rPr>
        <w:t xml:space="preserve">highly </w:t>
      </w:r>
      <w:r w:rsidRPr="00973E4C">
        <w:rPr>
          <w:rFonts w:ascii="Calibri" w:hAnsi="Calibri" w:cs="Calibri"/>
          <w:i/>
          <w:iCs/>
          <w:sz w:val="16"/>
          <w:szCs w:val="16"/>
        </w:rPr>
        <w:t>conserved across species. Amino acids discordant with the human reference are shown in red. All variants span a small region of exon</w:t>
      </w:r>
      <w:r>
        <w:rPr>
          <w:rFonts w:ascii="Calibri" w:hAnsi="Calibri" w:cs="Calibri"/>
          <w:i/>
          <w:iCs/>
          <w:sz w:val="16"/>
          <w:szCs w:val="16"/>
        </w:rPr>
        <w:t>s</w:t>
      </w:r>
      <w:r w:rsidRPr="00973E4C">
        <w:rPr>
          <w:rFonts w:ascii="Calibri" w:hAnsi="Calibri" w:cs="Calibri"/>
          <w:i/>
          <w:iCs/>
          <w:sz w:val="16"/>
          <w:szCs w:val="16"/>
        </w:rPr>
        <w:t xml:space="preserve"> 6 and 7.</w:t>
      </w:r>
    </w:p>
    <w:sectPr w:rsidR="00195220" w:rsidRPr="0057326D" w:rsidSect="004C6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3E5E"/>
    <w:multiLevelType w:val="hybridMultilevel"/>
    <w:tmpl w:val="5BECD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5C02EA"/>
    <w:multiLevelType w:val="hybridMultilevel"/>
    <w:tmpl w:val="1CA2C73C"/>
    <w:lvl w:ilvl="0" w:tplc="56743866">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B039E"/>
    <w:multiLevelType w:val="hybridMultilevel"/>
    <w:tmpl w:val="0AE66196"/>
    <w:lvl w:ilvl="0" w:tplc="664E56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731858"/>
    <w:multiLevelType w:val="hybridMultilevel"/>
    <w:tmpl w:val="EA92664A"/>
    <w:lvl w:ilvl="0" w:tplc="F1563A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F15264"/>
    <w:multiLevelType w:val="hybridMultilevel"/>
    <w:tmpl w:val="5D24926A"/>
    <w:lvl w:ilvl="0" w:tplc="74066E6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386509"/>
    <w:multiLevelType w:val="hybridMultilevel"/>
    <w:tmpl w:val="5C686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8592">
    <w:abstractNumId w:val="5"/>
  </w:num>
  <w:num w:numId="2" w16cid:durableId="898251939">
    <w:abstractNumId w:val="4"/>
  </w:num>
  <w:num w:numId="3" w16cid:durableId="2036541606">
    <w:abstractNumId w:val="1"/>
  </w:num>
  <w:num w:numId="4" w16cid:durableId="607467414">
    <w:abstractNumId w:val="0"/>
  </w:num>
  <w:num w:numId="5" w16cid:durableId="885526941">
    <w:abstractNumId w:val="2"/>
  </w:num>
  <w:num w:numId="6" w16cid:durableId="1416124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955DD7"/>
    <w:rsid w:val="000005D6"/>
    <w:rsid w:val="00020F5F"/>
    <w:rsid w:val="00051AE8"/>
    <w:rsid w:val="00056852"/>
    <w:rsid w:val="00060B01"/>
    <w:rsid w:val="00065880"/>
    <w:rsid w:val="000940AB"/>
    <w:rsid w:val="000E7F29"/>
    <w:rsid w:val="000F7A93"/>
    <w:rsid w:val="00101940"/>
    <w:rsid w:val="00113593"/>
    <w:rsid w:val="00113B9B"/>
    <w:rsid w:val="00116654"/>
    <w:rsid w:val="00176C3A"/>
    <w:rsid w:val="001A1BD9"/>
    <w:rsid w:val="001A7277"/>
    <w:rsid w:val="001B05C2"/>
    <w:rsid w:val="001B2945"/>
    <w:rsid w:val="001B2EE2"/>
    <w:rsid w:val="001B6589"/>
    <w:rsid w:val="00226CF7"/>
    <w:rsid w:val="00244519"/>
    <w:rsid w:val="00250187"/>
    <w:rsid w:val="002842E2"/>
    <w:rsid w:val="00284756"/>
    <w:rsid w:val="002A0661"/>
    <w:rsid w:val="002C62BA"/>
    <w:rsid w:val="002E20B4"/>
    <w:rsid w:val="002E4B7B"/>
    <w:rsid w:val="00325F47"/>
    <w:rsid w:val="00337347"/>
    <w:rsid w:val="003535A6"/>
    <w:rsid w:val="00381954"/>
    <w:rsid w:val="00383BC1"/>
    <w:rsid w:val="003A353B"/>
    <w:rsid w:val="003A5049"/>
    <w:rsid w:val="003C74F2"/>
    <w:rsid w:val="003D3319"/>
    <w:rsid w:val="003E3898"/>
    <w:rsid w:val="003E5AAB"/>
    <w:rsid w:val="003F172C"/>
    <w:rsid w:val="003F7932"/>
    <w:rsid w:val="00413AF4"/>
    <w:rsid w:val="004207A9"/>
    <w:rsid w:val="00421D48"/>
    <w:rsid w:val="00433C64"/>
    <w:rsid w:val="00440131"/>
    <w:rsid w:val="00452A6B"/>
    <w:rsid w:val="00474C1D"/>
    <w:rsid w:val="00493B80"/>
    <w:rsid w:val="004A19AD"/>
    <w:rsid w:val="004C692F"/>
    <w:rsid w:val="004D20A8"/>
    <w:rsid w:val="004D2E3A"/>
    <w:rsid w:val="004E00AF"/>
    <w:rsid w:val="005027D7"/>
    <w:rsid w:val="005161DD"/>
    <w:rsid w:val="005203F4"/>
    <w:rsid w:val="00523D92"/>
    <w:rsid w:val="00547A72"/>
    <w:rsid w:val="00552A87"/>
    <w:rsid w:val="00553210"/>
    <w:rsid w:val="0057326D"/>
    <w:rsid w:val="005807E4"/>
    <w:rsid w:val="00596A6E"/>
    <w:rsid w:val="005A2951"/>
    <w:rsid w:val="005C2329"/>
    <w:rsid w:val="005D038D"/>
    <w:rsid w:val="00600126"/>
    <w:rsid w:val="00625887"/>
    <w:rsid w:val="006303F9"/>
    <w:rsid w:val="006342DA"/>
    <w:rsid w:val="00665530"/>
    <w:rsid w:val="00673C39"/>
    <w:rsid w:val="0068228E"/>
    <w:rsid w:val="00690AAD"/>
    <w:rsid w:val="006B26CE"/>
    <w:rsid w:val="006B4BA9"/>
    <w:rsid w:val="006C3A91"/>
    <w:rsid w:val="006C6639"/>
    <w:rsid w:val="00710EB3"/>
    <w:rsid w:val="00727FCA"/>
    <w:rsid w:val="00745FA0"/>
    <w:rsid w:val="0075520E"/>
    <w:rsid w:val="007701E9"/>
    <w:rsid w:val="00774F36"/>
    <w:rsid w:val="00796C53"/>
    <w:rsid w:val="007C54DE"/>
    <w:rsid w:val="007D2EB4"/>
    <w:rsid w:val="008168CF"/>
    <w:rsid w:val="00826EA7"/>
    <w:rsid w:val="00843B4A"/>
    <w:rsid w:val="00845D79"/>
    <w:rsid w:val="00851617"/>
    <w:rsid w:val="008631FA"/>
    <w:rsid w:val="00863E0F"/>
    <w:rsid w:val="008777F2"/>
    <w:rsid w:val="00892CC3"/>
    <w:rsid w:val="0089553B"/>
    <w:rsid w:val="008A2AC2"/>
    <w:rsid w:val="008A7C29"/>
    <w:rsid w:val="008B1310"/>
    <w:rsid w:val="008B6ED8"/>
    <w:rsid w:val="008C06E2"/>
    <w:rsid w:val="008D5EF1"/>
    <w:rsid w:val="00932C69"/>
    <w:rsid w:val="00937F9E"/>
    <w:rsid w:val="00955DD7"/>
    <w:rsid w:val="00972D24"/>
    <w:rsid w:val="009730C3"/>
    <w:rsid w:val="009978B3"/>
    <w:rsid w:val="009B52E5"/>
    <w:rsid w:val="009F1CEB"/>
    <w:rsid w:val="00A07433"/>
    <w:rsid w:val="00A53053"/>
    <w:rsid w:val="00A666CD"/>
    <w:rsid w:val="00A75EA1"/>
    <w:rsid w:val="00A85EC8"/>
    <w:rsid w:val="00A914E8"/>
    <w:rsid w:val="00AB3303"/>
    <w:rsid w:val="00AB4FDB"/>
    <w:rsid w:val="00AC0176"/>
    <w:rsid w:val="00B26465"/>
    <w:rsid w:val="00B663EF"/>
    <w:rsid w:val="00B83D5F"/>
    <w:rsid w:val="00BC6292"/>
    <w:rsid w:val="00BD6DF7"/>
    <w:rsid w:val="00BE5A15"/>
    <w:rsid w:val="00BF257F"/>
    <w:rsid w:val="00C0089D"/>
    <w:rsid w:val="00C14723"/>
    <w:rsid w:val="00C23373"/>
    <w:rsid w:val="00C34522"/>
    <w:rsid w:val="00C35B1E"/>
    <w:rsid w:val="00C56A06"/>
    <w:rsid w:val="00C65515"/>
    <w:rsid w:val="00C67B34"/>
    <w:rsid w:val="00C81715"/>
    <w:rsid w:val="00CB7983"/>
    <w:rsid w:val="00CC5CE8"/>
    <w:rsid w:val="00CC7F6B"/>
    <w:rsid w:val="00CF77A8"/>
    <w:rsid w:val="00D2573A"/>
    <w:rsid w:val="00D3656E"/>
    <w:rsid w:val="00D6680C"/>
    <w:rsid w:val="00D90BE4"/>
    <w:rsid w:val="00DB6F96"/>
    <w:rsid w:val="00DC47B6"/>
    <w:rsid w:val="00DC6145"/>
    <w:rsid w:val="00DD4DF7"/>
    <w:rsid w:val="00DE0D0D"/>
    <w:rsid w:val="00DF27B2"/>
    <w:rsid w:val="00DF379D"/>
    <w:rsid w:val="00DF37B4"/>
    <w:rsid w:val="00E3430F"/>
    <w:rsid w:val="00E3433F"/>
    <w:rsid w:val="00E52FB4"/>
    <w:rsid w:val="00E60E84"/>
    <w:rsid w:val="00E67D07"/>
    <w:rsid w:val="00E80E80"/>
    <w:rsid w:val="00E97D92"/>
    <w:rsid w:val="00EA2707"/>
    <w:rsid w:val="00EB200C"/>
    <w:rsid w:val="00EF3CCE"/>
    <w:rsid w:val="00F73BD8"/>
    <w:rsid w:val="00F976E6"/>
    <w:rsid w:val="00FC10D9"/>
    <w:rsid w:val="00FD209F"/>
    <w:rsid w:val="00FD44FD"/>
    <w:rsid w:val="00FE45A6"/>
    <w:rsid w:val="00FE4AB5"/>
    <w:rsid w:val="00FF03F9"/>
    <w:rsid w:val="00FF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6A9025"/>
  <w15:chartTrackingRefBased/>
  <w15:docId w15:val="{7A9258E5-0587-5A4B-BC1A-99DDFF0D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5DD7"/>
    <w:rPr>
      <w:rFonts w:ascii="Times New Roman" w:eastAsia="Times New Roman" w:hAnsi="Times New Roman" w:cs="Times New Roman"/>
      <w:lang w:val="en-GB"/>
    </w:rPr>
  </w:style>
  <w:style w:type="character" w:default="1" w:styleId="DefaultParagraphFont">
    <w:name w:val="Default Paragraph Font"/>
    <w:uiPriority w:val="1"/>
    <w:unhideWhenUsed/>
    <w:rsid w:val="00955D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5DD7"/>
  </w:style>
  <w:style w:type="paragraph" w:styleId="BalloonText">
    <w:name w:val="Balloon Text"/>
    <w:basedOn w:val="Normal"/>
    <w:link w:val="BalloonTextChar"/>
    <w:uiPriority w:val="99"/>
    <w:semiHidden/>
    <w:unhideWhenUsed/>
    <w:rsid w:val="00955DD7"/>
    <w:rPr>
      <w:rFonts w:eastAsiaTheme="minorHAnsi"/>
      <w:sz w:val="18"/>
      <w:szCs w:val="18"/>
    </w:rPr>
  </w:style>
  <w:style w:type="character" w:customStyle="1" w:styleId="BalloonTextChar">
    <w:name w:val="Balloon Text Char"/>
    <w:basedOn w:val="DefaultParagraphFont"/>
    <w:link w:val="BalloonText"/>
    <w:uiPriority w:val="99"/>
    <w:semiHidden/>
    <w:rsid w:val="00955DD7"/>
    <w:rPr>
      <w:rFonts w:ascii="Times New Roman" w:hAnsi="Times New Roman" w:cs="Times New Roman"/>
      <w:sz w:val="18"/>
      <w:szCs w:val="18"/>
      <w:lang w:val="en-GB"/>
    </w:rPr>
  </w:style>
  <w:style w:type="character" w:styleId="Hyperlink">
    <w:name w:val="Hyperlink"/>
    <w:basedOn w:val="DefaultParagraphFont"/>
    <w:uiPriority w:val="99"/>
    <w:unhideWhenUsed/>
    <w:rsid w:val="00955DD7"/>
    <w:rPr>
      <w:color w:val="0563C1" w:themeColor="hyperlink"/>
      <w:u w:val="single"/>
    </w:rPr>
  </w:style>
  <w:style w:type="character" w:styleId="UnresolvedMention">
    <w:name w:val="Unresolved Mention"/>
    <w:basedOn w:val="DefaultParagraphFont"/>
    <w:uiPriority w:val="99"/>
    <w:rsid w:val="00955DD7"/>
    <w:rPr>
      <w:color w:val="605E5C"/>
      <w:shd w:val="clear" w:color="auto" w:fill="E1DFDD"/>
    </w:rPr>
  </w:style>
  <w:style w:type="paragraph" w:styleId="ListParagraph">
    <w:name w:val="List Paragraph"/>
    <w:basedOn w:val="Normal"/>
    <w:uiPriority w:val="34"/>
    <w:qFormat/>
    <w:rsid w:val="00955DD7"/>
    <w:pPr>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955DD7"/>
    <w:rPr>
      <w:i/>
      <w:iCs/>
    </w:rPr>
  </w:style>
  <w:style w:type="paragraph" w:styleId="NormalWeb">
    <w:name w:val="Normal (Web)"/>
    <w:basedOn w:val="Normal"/>
    <w:uiPriority w:val="99"/>
    <w:semiHidden/>
    <w:unhideWhenUsed/>
    <w:rsid w:val="00955DD7"/>
    <w:pPr>
      <w:spacing w:before="100" w:beforeAutospacing="1" w:after="100" w:afterAutospacing="1"/>
    </w:pPr>
  </w:style>
  <w:style w:type="table" w:styleId="TableGrid">
    <w:name w:val="Table Grid"/>
    <w:basedOn w:val="TableNormal"/>
    <w:uiPriority w:val="39"/>
    <w:rsid w:val="00955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
    <w:name w:val="sc"/>
    <w:basedOn w:val="DefaultParagraphFont"/>
    <w:rsid w:val="00955DD7"/>
  </w:style>
  <w:style w:type="paragraph" w:customStyle="1" w:styleId="EndNoteBibliographyTitle">
    <w:name w:val="EndNote Bibliography Title"/>
    <w:basedOn w:val="Normal"/>
    <w:link w:val="EndNoteBibliographyTitleChar"/>
    <w:rsid w:val="00955DD7"/>
    <w:pPr>
      <w:jc w:val="center"/>
    </w:pPr>
    <w:rPr>
      <w:rFonts w:eastAsiaTheme="minorHAnsi"/>
    </w:rPr>
  </w:style>
  <w:style w:type="character" w:customStyle="1" w:styleId="EndNoteBibliographyTitleChar">
    <w:name w:val="EndNote Bibliography Title Char"/>
    <w:basedOn w:val="DefaultParagraphFont"/>
    <w:link w:val="EndNoteBibliographyTitle"/>
    <w:rsid w:val="00955DD7"/>
    <w:rPr>
      <w:rFonts w:ascii="Times New Roman" w:hAnsi="Times New Roman" w:cs="Times New Roman"/>
      <w:lang w:val="en-GB"/>
    </w:rPr>
  </w:style>
  <w:style w:type="paragraph" w:customStyle="1" w:styleId="EndNoteBibliography">
    <w:name w:val="EndNote Bibliography"/>
    <w:basedOn w:val="Normal"/>
    <w:link w:val="EndNoteBibliographyChar"/>
    <w:rsid w:val="00955DD7"/>
    <w:rPr>
      <w:rFonts w:eastAsiaTheme="minorHAnsi"/>
    </w:rPr>
  </w:style>
  <w:style w:type="character" w:customStyle="1" w:styleId="EndNoteBibliographyChar">
    <w:name w:val="EndNote Bibliography Char"/>
    <w:basedOn w:val="DefaultParagraphFont"/>
    <w:link w:val="EndNoteBibliography"/>
    <w:rsid w:val="00955DD7"/>
    <w:rPr>
      <w:rFonts w:ascii="Times New Roman" w:hAnsi="Times New Roman" w:cs="Times New Roman"/>
      <w:lang w:val="en-GB"/>
    </w:rPr>
  </w:style>
  <w:style w:type="character" w:styleId="CommentReference">
    <w:name w:val="annotation reference"/>
    <w:basedOn w:val="DefaultParagraphFont"/>
    <w:uiPriority w:val="99"/>
    <w:semiHidden/>
    <w:unhideWhenUsed/>
    <w:rsid w:val="00955DD7"/>
    <w:rPr>
      <w:sz w:val="16"/>
      <w:szCs w:val="16"/>
    </w:rPr>
  </w:style>
  <w:style w:type="paragraph" w:styleId="CommentText">
    <w:name w:val="annotation text"/>
    <w:basedOn w:val="Normal"/>
    <w:link w:val="CommentTextChar"/>
    <w:uiPriority w:val="99"/>
    <w:semiHidden/>
    <w:unhideWhenUsed/>
    <w:rsid w:val="00955DD7"/>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55DD7"/>
    <w:rPr>
      <w:sz w:val="20"/>
      <w:szCs w:val="20"/>
      <w:lang w:val="en-GB"/>
    </w:rPr>
  </w:style>
  <w:style w:type="paragraph" w:styleId="CommentSubject">
    <w:name w:val="annotation subject"/>
    <w:basedOn w:val="CommentText"/>
    <w:next w:val="CommentText"/>
    <w:link w:val="CommentSubjectChar"/>
    <w:uiPriority w:val="99"/>
    <w:semiHidden/>
    <w:unhideWhenUsed/>
    <w:rsid w:val="00955DD7"/>
    <w:rPr>
      <w:b/>
      <w:bCs/>
    </w:rPr>
  </w:style>
  <w:style w:type="character" w:customStyle="1" w:styleId="CommentSubjectChar">
    <w:name w:val="Comment Subject Char"/>
    <w:basedOn w:val="CommentTextChar"/>
    <w:link w:val="CommentSubject"/>
    <w:uiPriority w:val="99"/>
    <w:semiHidden/>
    <w:rsid w:val="00955DD7"/>
    <w:rPr>
      <w:b/>
      <w:bCs/>
      <w:sz w:val="20"/>
      <w:szCs w:val="20"/>
      <w:lang w:val="en-GB"/>
    </w:rPr>
  </w:style>
  <w:style w:type="paragraph" w:styleId="Revision">
    <w:name w:val="Revision"/>
    <w:hidden/>
    <w:uiPriority w:val="99"/>
    <w:semiHidden/>
    <w:rsid w:val="00955DD7"/>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55D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broadinstitute/seqr" TargetMode="External"/><Relationship Id="rId5" Type="http://schemas.openxmlformats.org/officeDocument/2006/relationships/hyperlink" Target="mailto:Rodney.Gilbert@uhs.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2925</Words>
  <Characters>16679</Characters>
  <Application>Microsoft Office Word</Application>
  <DocSecurity>0</DocSecurity>
  <Lines>138</Lines>
  <Paragraphs>39</Paragraphs>
  <ScaleCrop>false</ScaleCrop>
  <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Seaby</dc:creator>
  <cp:keywords/>
  <dc:description/>
  <cp:lastModifiedBy>Eleanor Seaby</cp:lastModifiedBy>
  <cp:revision>2</cp:revision>
  <dcterms:created xsi:type="dcterms:W3CDTF">2022-08-30T13:46:00Z</dcterms:created>
  <dcterms:modified xsi:type="dcterms:W3CDTF">2022-08-30T13:46:00Z</dcterms:modified>
</cp:coreProperties>
</file>