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DA8FA" w14:textId="7D3A58D5" w:rsidR="00E8115C" w:rsidRPr="009A40CF" w:rsidRDefault="00E8115C" w:rsidP="00E8115C">
      <w:pPr>
        <w:rPr>
          <w:rFonts w:eastAsia="Times New Roman"/>
          <w:b/>
          <w:bCs/>
        </w:rPr>
      </w:pPr>
      <w:r w:rsidRPr="009A40CF">
        <w:rPr>
          <w:rFonts w:eastAsia="Times New Roman"/>
          <w:b/>
          <w:bCs/>
        </w:rPr>
        <w:t>Introduction</w:t>
      </w:r>
    </w:p>
    <w:p w14:paraId="0B5C1BEC" w14:textId="4AAB3648" w:rsidR="00E8115C" w:rsidRDefault="00FE78BD" w:rsidP="008F16C2">
      <w:pPr>
        <w:rPr>
          <w:rFonts w:eastAsia="Times New Roman"/>
        </w:rPr>
      </w:pPr>
      <w:r>
        <w:rPr>
          <w:rFonts w:eastAsia="Times New Roman"/>
        </w:rPr>
        <w:t xml:space="preserve">The level of reserves that charities hold </w:t>
      </w:r>
      <w:r w:rsidR="006007BB">
        <w:rPr>
          <w:rFonts w:eastAsia="Times New Roman"/>
        </w:rPr>
        <w:t>is</w:t>
      </w:r>
      <w:r>
        <w:rPr>
          <w:rFonts w:eastAsia="Times New Roman"/>
        </w:rPr>
        <w:t xml:space="preserve"> seen as an important measure of their resilience (Mohan et al, 2022). </w:t>
      </w:r>
      <w:r w:rsidR="00923E01">
        <w:rPr>
          <w:rFonts w:eastAsia="Times New Roman"/>
        </w:rPr>
        <w:t xml:space="preserve">As Kim and Mason (2020) demonstrate, extant research consistently finds that reserves help organisations navigate periods of financial uncertainty or crisis (Kim and Mason, 2022, p.2; </w:t>
      </w:r>
      <w:r w:rsidR="009C30AD">
        <w:rPr>
          <w:rFonts w:eastAsia="Times New Roman"/>
        </w:rPr>
        <w:t xml:space="preserve">Booth et al, 2017; </w:t>
      </w:r>
      <w:proofErr w:type="spellStart"/>
      <w:r w:rsidR="009C30AD">
        <w:rPr>
          <w:rFonts w:eastAsia="Times New Roman"/>
        </w:rPr>
        <w:t>Cortis</w:t>
      </w:r>
      <w:proofErr w:type="spellEnd"/>
      <w:r w:rsidR="009C30AD">
        <w:rPr>
          <w:rFonts w:eastAsia="Times New Roman"/>
        </w:rPr>
        <w:t xml:space="preserve"> and Lee, 2019; Irvin and </w:t>
      </w:r>
      <w:proofErr w:type="spellStart"/>
      <w:r w:rsidR="009C30AD">
        <w:rPr>
          <w:rFonts w:eastAsia="Times New Roman"/>
        </w:rPr>
        <w:t>Furneax</w:t>
      </w:r>
      <w:proofErr w:type="spellEnd"/>
      <w:r w:rsidR="009C30AD">
        <w:rPr>
          <w:rFonts w:eastAsia="Times New Roman"/>
        </w:rPr>
        <w:t>, 2021</w:t>
      </w:r>
      <w:r w:rsidR="00923E01">
        <w:rPr>
          <w:rFonts w:eastAsia="Times New Roman"/>
        </w:rPr>
        <w:t>).</w:t>
      </w:r>
      <w:r w:rsidR="00E17880">
        <w:rPr>
          <w:rFonts w:eastAsia="Times New Roman"/>
        </w:rPr>
        <w:t xml:space="preserve"> Furthermore, Pascoe (2017) suggests that the maintenance of reserves increase</w:t>
      </w:r>
      <w:r w:rsidR="000845AA">
        <w:rPr>
          <w:rFonts w:eastAsia="Times New Roman"/>
        </w:rPr>
        <w:t>s</w:t>
      </w:r>
      <w:r w:rsidR="00E17880">
        <w:rPr>
          <w:rFonts w:eastAsia="Times New Roman"/>
        </w:rPr>
        <w:t xml:space="preserve"> the chan</w:t>
      </w:r>
      <w:r w:rsidR="000845AA">
        <w:rPr>
          <w:rFonts w:eastAsia="Times New Roman"/>
        </w:rPr>
        <w:t>c</w:t>
      </w:r>
      <w:r w:rsidR="00E17880">
        <w:rPr>
          <w:rFonts w:eastAsia="Times New Roman"/>
        </w:rPr>
        <w:t>es that a charity will remain sustainable</w:t>
      </w:r>
      <w:r w:rsidR="00C37635">
        <w:rPr>
          <w:rFonts w:eastAsia="Times New Roman"/>
        </w:rPr>
        <w:t xml:space="preserve"> in the medium- to long-term. Charity reserve levels are therefore widely used as a key measure of financial risk (</w:t>
      </w:r>
      <w:proofErr w:type="spellStart"/>
      <w:r w:rsidR="00C37635">
        <w:rPr>
          <w:rFonts w:eastAsia="Times New Roman"/>
        </w:rPr>
        <w:t>Cortis</w:t>
      </w:r>
      <w:proofErr w:type="spellEnd"/>
      <w:r w:rsidR="00C37635">
        <w:rPr>
          <w:rFonts w:eastAsia="Times New Roman"/>
        </w:rPr>
        <w:t xml:space="preserve"> and Lee, 2018)</w:t>
      </w:r>
      <w:r w:rsidR="00F1324A">
        <w:rPr>
          <w:rFonts w:eastAsia="Times New Roman"/>
        </w:rPr>
        <w:t>.</w:t>
      </w:r>
      <w:r w:rsidR="00386F16">
        <w:rPr>
          <w:rFonts w:eastAsia="Times New Roman"/>
        </w:rPr>
        <w:t xml:space="preserve"> </w:t>
      </w:r>
      <w:r w:rsidR="008F16C2">
        <w:rPr>
          <w:rFonts w:eastAsia="Times New Roman"/>
        </w:rPr>
        <w:t>Given the importance of the voluntary sector for both public</w:t>
      </w:r>
      <w:r w:rsidR="008F16C2" w:rsidRPr="008F16C2">
        <w:rPr>
          <w:rFonts w:eastAsia="Times New Roman"/>
        </w:rPr>
        <w:t xml:space="preserve"> </w:t>
      </w:r>
      <w:r w:rsidR="008F16C2">
        <w:rPr>
          <w:rFonts w:eastAsia="Times New Roman"/>
        </w:rPr>
        <w:t>service delivery and democratic pluralism (Tuckman and Chang, 1991)</w:t>
      </w:r>
      <w:r w:rsidR="00636E0E">
        <w:rPr>
          <w:rFonts w:eastAsia="Times New Roman"/>
        </w:rPr>
        <w:t xml:space="preserve"> </w:t>
      </w:r>
      <w:r w:rsidR="002A7FCD">
        <w:rPr>
          <w:rFonts w:eastAsia="Times New Roman"/>
        </w:rPr>
        <w:t>–</w:t>
      </w:r>
      <w:r w:rsidR="008F16C2">
        <w:rPr>
          <w:rFonts w:eastAsia="Times New Roman"/>
        </w:rPr>
        <w:t xml:space="preserve"> </w:t>
      </w:r>
      <w:r w:rsidR="002A7FCD">
        <w:rPr>
          <w:rFonts w:eastAsia="Times New Roman"/>
        </w:rPr>
        <w:t>as well as</w:t>
      </w:r>
      <w:r w:rsidR="008F16C2">
        <w:rPr>
          <w:rFonts w:eastAsia="Times New Roman"/>
        </w:rPr>
        <w:t xml:space="preserve"> the challenges raised </w:t>
      </w:r>
      <w:r w:rsidR="00D06A5E">
        <w:rPr>
          <w:rFonts w:eastAsia="Times New Roman"/>
        </w:rPr>
        <w:t xml:space="preserve">in the UK </w:t>
      </w:r>
      <w:r w:rsidR="008F16C2">
        <w:rPr>
          <w:rFonts w:eastAsia="Times New Roman"/>
        </w:rPr>
        <w:t xml:space="preserve">as a result of the Covid-19 pandemic, uncertainties after Brexit, and high inflation </w:t>
      </w:r>
      <w:r w:rsidR="00636E0E">
        <w:rPr>
          <w:rFonts w:eastAsia="Times New Roman"/>
        </w:rPr>
        <w:t>-</w:t>
      </w:r>
      <w:r w:rsidR="008F16C2">
        <w:rPr>
          <w:rFonts w:eastAsia="Times New Roman"/>
        </w:rPr>
        <w:t xml:space="preserve"> the </w:t>
      </w:r>
      <w:r w:rsidR="00A910A0">
        <w:rPr>
          <w:rFonts w:eastAsia="Times New Roman"/>
        </w:rPr>
        <w:t xml:space="preserve">financial sustainability of </w:t>
      </w:r>
      <w:r w:rsidR="009970EA">
        <w:rPr>
          <w:rFonts w:eastAsia="Times New Roman"/>
        </w:rPr>
        <w:t xml:space="preserve">UK </w:t>
      </w:r>
      <w:r w:rsidR="00A910A0">
        <w:rPr>
          <w:rFonts w:eastAsia="Times New Roman"/>
        </w:rPr>
        <w:t xml:space="preserve">charities </w:t>
      </w:r>
      <w:r w:rsidR="008F16C2">
        <w:rPr>
          <w:rFonts w:eastAsia="Times New Roman"/>
        </w:rPr>
        <w:t>is</w:t>
      </w:r>
      <w:r w:rsidR="0058530C">
        <w:rPr>
          <w:rFonts w:eastAsia="Times New Roman"/>
        </w:rPr>
        <w:t xml:space="preserve"> of particular concern</w:t>
      </w:r>
      <w:r w:rsidR="008F16C2">
        <w:rPr>
          <w:rFonts w:eastAsia="Times New Roman"/>
        </w:rPr>
        <w:t>.</w:t>
      </w:r>
    </w:p>
    <w:p w14:paraId="7904DFFE" w14:textId="0AC08691" w:rsidR="00D5634E" w:rsidRDefault="00D5634E" w:rsidP="00923E01">
      <w:pPr>
        <w:rPr>
          <w:rFonts w:eastAsia="Times New Roman"/>
          <w:i/>
          <w:iCs/>
        </w:rPr>
      </w:pPr>
      <w:r>
        <w:rPr>
          <w:rFonts w:eastAsia="Times New Roman"/>
          <w:i/>
          <w:iCs/>
        </w:rPr>
        <w:t xml:space="preserve">What are reserves? </w:t>
      </w:r>
    </w:p>
    <w:p w14:paraId="46D48083" w14:textId="7B02652D" w:rsidR="000B736D" w:rsidRDefault="000C1484" w:rsidP="00923E01">
      <w:r>
        <w:rPr>
          <w:rFonts w:eastAsia="Times New Roman"/>
        </w:rPr>
        <w:t>Conceptually, Sloan et al (2015, p.</w:t>
      </w:r>
      <w:r w:rsidR="006B3DCB">
        <w:rPr>
          <w:rFonts w:eastAsia="Times New Roman"/>
        </w:rPr>
        <w:t>417) define reserves as money set aside by charities to “</w:t>
      </w:r>
      <w:proofErr w:type="spellStart"/>
      <w:r w:rsidR="006B3DCB">
        <w:t>stabiliz</w:t>
      </w:r>
      <w:proofErr w:type="spellEnd"/>
      <w:r w:rsidR="006B3DCB">
        <w:t>[e] periods of fiscal stress by providing a cushion against unexpected events, an opportunity to seize a strategic opportunity, or even the ability to smooth cash flow problems”. The precise nature of what counts as ‘reserve’ money is, however,</w:t>
      </w:r>
      <w:r w:rsidR="00D06A5E">
        <w:t xml:space="preserve"> contested and</w:t>
      </w:r>
      <w:r w:rsidR="006B3DCB">
        <w:t xml:space="preserve"> context-dependent. In their study of US </w:t>
      </w:r>
      <w:proofErr w:type="spellStart"/>
      <w:r w:rsidR="006B3DCB">
        <w:t>nonprofits</w:t>
      </w:r>
      <w:proofErr w:type="spellEnd"/>
      <w:r w:rsidR="006B3DCB">
        <w:t xml:space="preserve">, Irvin and </w:t>
      </w:r>
      <w:proofErr w:type="spellStart"/>
      <w:r w:rsidR="006B3DCB">
        <w:t>Furneaux</w:t>
      </w:r>
      <w:proofErr w:type="spellEnd"/>
      <w:r w:rsidR="006B3DCB">
        <w:t xml:space="preserve"> (2021, p.2) suggest a difference in definition between emergency reserves, operational reserves, and cash reserves. However, in the UK, </w:t>
      </w:r>
      <w:r w:rsidR="00F4248C">
        <w:t xml:space="preserve">reserves </w:t>
      </w:r>
      <w:r w:rsidR="00DC1CA8">
        <w:t xml:space="preserve">are </w:t>
      </w:r>
      <w:r w:rsidR="00FD57F6">
        <w:t>generally considered to be</w:t>
      </w:r>
      <w:r w:rsidR="00DC1CA8">
        <w:t xml:space="preserve"> all of</w:t>
      </w:r>
      <w:r w:rsidR="00F4248C">
        <w:t xml:space="preserve"> “that part of a charity’s unrestricted funds</w:t>
      </w:r>
      <w:r w:rsidR="00A72268">
        <w:rPr>
          <w:rStyle w:val="FootnoteReference"/>
        </w:rPr>
        <w:footnoteReference w:id="1"/>
      </w:r>
      <w:r w:rsidR="00F4248C">
        <w:t xml:space="preserve"> that is freely available to spend”</w:t>
      </w:r>
      <w:r w:rsidR="000B736D">
        <w:t xml:space="preserve"> </w:t>
      </w:r>
      <w:r w:rsidR="00F4248C">
        <w:t xml:space="preserve">(Charity Commission for England and Wales (CCEW), 2016). </w:t>
      </w:r>
    </w:p>
    <w:p w14:paraId="7CC73D09" w14:textId="5DAF5B7C" w:rsidR="000B736D" w:rsidRDefault="000B736D" w:rsidP="00D5634E">
      <w:pPr>
        <w:rPr>
          <w:rFonts w:eastAsia="Times New Roman"/>
        </w:rPr>
      </w:pPr>
      <w:r>
        <w:t xml:space="preserve">Reserves do not, however, equal a charities’ total unrestricted funds, as some or all of these monies may not be freely able to spend. The CCEW and the </w:t>
      </w:r>
      <w:r w:rsidR="00D5634E">
        <w:rPr>
          <w:rFonts w:eastAsia="Times New Roman"/>
        </w:rPr>
        <w:t xml:space="preserve">Office of the Scottish Charity Regulatory (OSCR) </w:t>
      </w:r>
      <w:r>
        <w:rPr>
          <w:rFonts w:eastAsia="Times New Roman"/>
        </w:rPr>
        <w:t>therefore define reserves more precisely as</w:t>
      </w:r>
      <w:r w:rsidR="00FD57F6">
        <w:rPr>
          <w:rFonts w:eastAsia="Times New Roman"/>
        </w:rPr>
        <w:t xml:space="preserve"> a charity’s unrestricted funds, excluding: </w:t>
      </w:r>
    </w:p>
    <w:p w14:paraId="55306825" w14:textId="387B8C6F" w:rsidR="00D5634E" w:rsidRPr="00806000" w:rsidRDefault="00DC1CA8" w:rsidP="00D5634E">
      <w:pPr>
        <w:pStyle w:val="ListParagraph"/>
        <w:numPr>
          <w:ilvl w:val="0"/>
          <w:numId w:val="2"/>
        </w:numPr>
        <w:rPr>
          <w:rFonts w:eastAsia="Times New Roman"/>
        </w:rPr>
      </w:pPr>
      <w:r>
        <w:rPr>
          <w:rFonts w:eastAsia="Times New Roman"/>
        </w:rPr>
        <w:t>“</w:t>
      </w:r>
      <w:proofErr w:type="gramStart"/>
      <w:r w:rsidR="00D5634E" w:rsidRPr="00806000">
        <w:rPr>
          <w:rFonts w:eastAsia="Times New Roman"/>
        </w:rPr>
        <w:t>tangible</w:t>
      </w:r>
      <w:proofErr w:type="gramEnd"/>
      <w:r w:rsidR="00D5634E" w:rsidRPr="00806000">
        <w:rPr>
          <w:rFonts w:eastAsia="Times New Roman"/>
        </w:rPr>
        <w:t xml:space="preserve"> fixed assets used to carry out the charity’s activities, such as land and buildings</w:t>
      </w:r>
    </w:p>
    <w:p w14:paraId="3D183A65" w14:textId="77777777" w:rsidR="00D5634E" w:rsidRPr="00806000" w:rsidRDefault="00D5634E" w:rsidP="00D5634E">
      <w:pPr>
        <w:pStyle w:val="ListParagraph"/>
        <w:numPr>
          <w:ilvl w:val="0"/>
          <w:numId w:val="2"/>
        </w:numPr>
        <w:rPr>
          <w:rFonts w:eastAsia="Times New Roman"/>
        </w:rPr>
      </w:pPr>
      <w:r w:rsidRPr="00806000">
        <w:rPr>
          <w:rFonts w:eastAsia="Times New Roman"/>
        </w:rPr>
        <w:t>programme-related investments those held solely to further the charity’s purposes</w:t>
      </w:r>
    </w:p>
    <w:p w14:paraId="6584FE32" w14:textId="77777777" w:rsidR="00D5634E" w:rsidRDefault="00D5634E" w:rsidP="00D5634E">
      <w:pPr>
        <w:pStyle w:val="ListParagraph"/>
        <w:numPr>
          <w:ilvl w:val="0"/>
          <w:numId w:val="2"/>
        </w:numPr>
        <w:rPr>
          <w:rFonts w:eastAsia="Times New Roman"/>
        </w:rPr>
      </w:pPr>
      <w:r w:rsidRPr="00806000">
        <w:rPr>
          <w:rFonts w:eastAsia="Times New Roman"/>
        </w:rPr>
        <w:t>designated funds set aside to meet essential future spending, such as funding a project that could not be met from future income</w:t>
      </w:r>
    </w:p>
    <w:p w14:paraId="3A18A546" w14:textId="77777777" w:rsidR="00D5634E" w:rsidRDefault="00D5634E" w:rsidP="00D5634E">
      <w:pPr>
        <w:pStyle w:val="ListParagraph"/>
        <w:numPr>
          <w:ilvl w:val="0"/>
          <w:numId w:val="2"/>
        </w:numPr>
        <w:spacing w:after="160"/>
        <w:ind w:left="924" w:hanging="357"/>
        <w:rPr>
          <w:rFonts w:eastAsia="Times New Roman"/>
        </w:rPr>
      </w:pPr>
      <w:r w:rsidRPr="00806000">
        <w:rPr>
          <w:rFonts w:eastAsia="Times New Roman"/>
        </w:rPr>
        <w:t>commitments that have not been provided for as a liability in the accounts</w:t>
      </w:r>
      <w:r>
        <w:rPr>
          <w:rFonts w:eastAsia="Times New Roman"/>
        </w:rPr>
        <w:t xml:space="preserve">” (CCEW, 2016, updated 2019). </w:t>
      </w:r>
    </w:p>
    <w:p w14:paraId="5E89317D" w14:textId="77777777" w:rsidR="00D5634E" w:rsidRDefault="00D5634E" w:rsidP="00D5634E">
      <w:pPr>
        <w:rPr>
          <w:rFonts w:eastAsia="Times New Roman"/>
        </w:rPr>
      </w:pPr>
      <w:r>
        <w:rPr>
          <w:rFonts w:eastAsia="Times New Roman"/>
        </w:rPr>
        <w:t xml:space="preserve">The OSCR </w:t>
      </w:r>
      <w:r>
        <w:rPr>
          <w:rFonts w:eastAsia="Times New Roman"/>
          <w:i/>
          <w:iCs/>
        </w:rPr>
        <w:t xml:space="preserve">Charity Reserves Factsheet </w:t>
      </w:r>
      <w:r>
        <w:rPr>
          <w:rFonts w:eastAsia="Times New Roman"/>
        </w:rPr>
        <w:t xml:space="preserve">(OSCR, 2017) provides a simplified diagram for charities to use to calculate reserves, as shown below (figure 1).  </w:t>
      </w:r>
    </w:p>
    <w:p w14:paraId="503C780D" w14:textId="77777777" w:rsidR="00D5634E" w:rsidRDefault="00D5634E" w:rsidP="00D5634E">
      <w:pPr>
        <w:rPr>
          <w:rFonts w:eastAsia="Times New Roman"/>
        </w:rPr>
      </w:pPr>
    </w:p>
    <w:p w14:paraId="3AD67D4A" w14:textId="77777777" w:rsidR="00D5634E" w:rsidRDefault="00D5634E" w:rsidP="00D5634E">
      <w:pPr>
        <w:jc w:val="center"/>
        <w:rPr>
          <w:rFonts w:eastAsia="Times New Roman"/>
        </w:rPr>
      </w:pPr>
      <w:r>
        <w:rPr>
          <w:rFonts w:eastAsia="Times New Roman"/>
        </w:rPr>
        <w:t>Figure 1 about here</w:t>
      </w:r>
    </w:p>
    <w:p w14:paraId="3996BAB0" w14:textId="77777777" w:rsidR="00E91DAA" w:rsidRDefault="00E91DAA" w:rsidP="00923E01">
      <w:pPr>
        <w:rPr>
          <w:rFonts w:eastAsia="Times New Roman"/>
        </w:rPr>
      </w:pPr>
    </w:p>
    <w:p w14:paraId="1361AABF" w14:textId="385BD2BE" w:rsidR="00D5634E" w:rsidRDefault="00FD57F6" w:rsidP="00923E01">
      <w:pPr>
        <w:rPr>
          <w:rFonts w:eastAsia="Times New Roman"/>
        </w:rPr>
      </w:pPr>
      <w:r>
        <w:rPr>
          <w:rFonts w:eastAsia="Times New Roman"/>
        </w:rPr>
        <w:t xml:space="preserve">While </w:t>
      </w:r>
      <w:r w:rsidR="00896E1C">
        <w:rPr>
          <w:rFonts w:eastAsia="Times New Roman"/>
        </w:rPr>
        <w:t>reserves are</w:t>
      </w:r>
      <w:r w:rsidR="00534871">
        <w:rPr>
          <w:rFonts w:eastAsia="Times New Roman"/>
        </w:rPr>
        <w:t xml:space="preserve"> therefore</w:t>
      </w:r>
      <w:r w:rsidR="00896E1C">
        <w:rPr>
          <w:rFonts w:eastAsia="Times New Roman"/>
        </w:rPr>
        <w:t xml:space="preserve"> a contested concept</w:t>
      </w:r>
      <w:r>
        <w:rPr>
          <w:rFonts w:eastAsia="Times New Roman"/>
        </w:rPr>
        <w:t xml:space="preserve">, in this paper we </w:t>
      </w:r>
      <w:r w:rsidR="00896E1C">
        <w:rPr>
          <w:rFonts w:eastAsia="Times New Roman"/>
        </w:rPr>
        <w:t xml:space="preserve">use the above </w:t>
      </w:r>
      <w:r w:rsidR="00534871">
        <w:rPr>
          <w:rFonts w:eastAsia="Times New Roman"/>
        </w:rPr>
        <w:t xml:space="preserve">CCEW/OSCR </w:t>
      </w:r>
      <w:r w:rsidR="00896E1C">
        <w:rPr>
          <w:rFonts w:eastAsia="Times New Roman"/>
        </w:rPr>
        <w:t>definition of reserve</w:t>
      </w:r>
      <w:r w:rsidR="002A7FCD">
        <w:rPr>
          <w:rFonts w:eastAsia="Times New Roman"/>
        </w:rPr>
        <w:t xml:space="preserve">s, as this is the standard against which English, Welsh and Scottish charities should be reporting. </w:t>
      </w:r>
    </w:p>
    <w:p w14:paraId="1F48B2D4" w14:textId="074D5BF1" w:rsidR="00D5634E" w:rsidRPr="005B4A22" w:rsidRDefault="002A7FCD" w:rsidP="00923E01">
      <w:pPr>
        <w:rPr>
          <w:rFonts w:eastAsia="Times New Roman"/>
          <w:i/>
          <w:iCs/>
        </w:rPr>
      </w:pPr>
      <w:r>
        <w:rPr>
          <w:rFonts w:eastAsia="Times New Roman"/>
          <w:i/>
          <w:iCs/>
        </w:rPr>
        <w:lastRenderedPageBreak/>
        <w:t>English, Welsh and Scottish c</w:t>
      </w:r>
      <w:r w:rsidR="00782374">
        <w:rPr>
          <w:rFonts w:eastAsia="Times New Roman"/>
          <w:i/>
          <w:iCs/>
        </w:rPr>
        <w:t>harity</w:t>
      </w:r>
      <w:r w:rsidR="00D5634E">
        <w:rPr>
          <w:rFonts w:eastAsia="Times New Roman"/>
          <w:i/>
          <w:iCs/>
        </w:rPr>
        <w:t xml:space="preserve"> </w:t>
      </w:r>
      <w:r w:rsidR="00782374">
        <w:rPr>
          <w:rFonts w:eastAsia="Times New Roman"/>
          <w:i/>
          <w:iCs/>
        </w:rPr>
        <w:t xml:space="preserve">reporting </w:t>
      </w:r>
      <w:r w:rsidR="00D5634E">
        <w:rPr>
          <w:rFonts w:eastAsia="Times New Roman"/>
          <w:i/>
          <w:iCs/>
        </w:rPr>
        <w:t>of reserves data</w:t>
      </w:r>
    </w:p>
    <w:p w14:paraId="2A0C0187" w14:textId="590C3518" w:rsidR="002116E0" w:rsidRDefault="00782374" w:rsidP="00782374">
      <w:pPr>
        <w:rPr>
          <w:rFonts w:eastAsia="Times New Roman"/>
        </w:rPr>
      </w:pPr>
      <w:r>
        <w:rPr>
          <w:rFonts w:eastAsia="Times New Roman"/>
        </w:rPr>
        <w:t xml:space="preserve">In England and Wales, </w:t>
      </w:r>
      <w:r w:rsidR="00B863A2">
        <w:rPr>
          <w:rFonts w:eastAsia="Times New Roman"/>
        </w:rPr>
        <w:t xml:space="preserve">larger </w:t>
      </w:r>
      <w:r>
        <w:rPr>
          <w:rFonts w:eastAsia="Times New Roman"/>
        </w:rPr>
        <w:t xml:space="preserve">charities </w:t>
      </w:r>
      <w:r w:rsidR="001D7C58">
        <w:rPr>
          <w:rFonts w:eastAsia="Times New Roman"/>
        </w:rPr>
        <w:t xml:space="preserve">(those </w:t>
      </w:r>
      <w:r>
        <w:rPr>
          <w:rFonts w:eastAsia="Times New Roman"/>
        </w:rPr>
        <w:t>with incomes of £500,000 and above</w:t>
      </w:r>
      <w:r w:rsidR="001D7C58">
        <w:rPr>
          <w:rFonts w:eastAsia="Times New Roman"/>
        </w:rPr>
        <w:t>)</w:t>
      </w:r>
      <w:r>
        <w:rPr>
          <w:rFonts w:eastAsia="Times New Roman"/>
        </w:rPr>
        <w:t xml:space="preserve"> must report their reserve levels in two places: in their Annual Returns, and in their Trustees’ Annual Reports. Annual Returns consist of an online form into which charities manually submit certain required information. Trustees’ Annual Reports are narrative report</w:t>
      </w:r>
      <w:r w:rsidR="00534871">
        <w:rPr>
          <w:rFonts w:eastAsia="Times New Roman"/>
        </w:rPr>
        <w:t>s submitted to the CCEW</w:t>
      </w:r>
      <w:r>
        <w:rPr>
          <w:rFonts w:eastAsia="Times New Roman"/>
        </w:rPr>
        <w:t xml:space="preserve"> in concert with </w:t>
      </w:r>
      <w:r w:rsidR="002116E0">
        <w:rPr>
          <w:rFonts w:eastAsia="Times New Roman"/>
        </w:rPr>
        <w:t>the</w:t>
      </w:r>
      <w:r>
        <w:rPr>
          <w:rFonts w:eastAsia="Times New Roman"/>
        </w:rPr>
        <w:t xml:space="preserve"> charit</w:t>
      </w:r>
      <w:r w:rsidR="002116E0">
        <w:rPr>
          <w:rFonts w:eastAsia="Times New Roman"/>
        </w:rPr>
        <w:t>y</w:t>
      </w:r>
      <w:r>
        <w:rPr>
          <w:rFonts w:eastAsia="Times New Roman"/>
        </w:rPr>
        <w:t>’</w:t>
      </w:r>
      <w:r w:rsidR="002116E0">
        <w:rPr>
          <w:rFonts w:eastAsia="Times New Roman"/>
        </w:rPr>
        <w:t>s</w:t>
      </w:r>
      <w:r>
        <w:rPr>
          <w:rFonts w:eastAsia="Times New Roman"/>
        </w:rPr>
        <w:t xml:space="preserve"> Annual Accounts</w:t>
      </w:r>
      <w:r w:rsidR="00534871">
        <w:rPr>
          <w:rFonts w:eastAsia="Times New Roman"/>
        </w:rPr>
        <w:t xml:space="preserve">. </w:t>
      </w:r>
      <w:r w:rsidR="002A7FCD">
        <w:rPr>
          <w:rFonts w:eastAsia="Times New Roman"/>
        </w:rPr>
        <w:t>C</w:t>
      </w:r>
      <w:r w:rsidR="00F925D3">
        <w:rPr>
          <w:rFonts w:eastAsia="Times New Roman"/>
        </w:rPr>
        <w:t>harities</w:t>
      </w:r>
      <w:r w:rsidR="001D7C58">
        <w:rPr>
          <w:rFonts w:eastAsia="Times New Roman"/>
        </w:rPr>
        <w:t xml:space="preserve"> </w:t>
      </w:r>
      <w:r w:rsidR="00C0446D">
        <w:rPr>
          <w:rFonts w:eastAsia="Times New Roman"/>
        </w:rPr>
        <w:t xml:space="preserve">with an annual income of </w:t>
      </w:r>
      <w:r w:rsidR="002A7FCD">
        <w:rPr>
          <w:rFonts w:eastAsia="Times New Roman"/>
        </w:rPr>
        <w:t>less than</w:t>
      </w:r>
      <w:r w:rsidR="00C0446D">
        <w:rPr>
          <w:rFonts w:eastAsia="Times New Roman"/>
        </w:rPr>
        <w:t xml:space="preserve"> £500,000 </w:t>
      </w:r>
      <w:r w:rsidR="00F925D3">
        <w:rPr>
          <w:rFonts w:eastAsia="Times New Roman"/>
        </w:rPr>
        <w:t xml:space="preserve">are required to report their reserves in their Trustees’ Annual Report, but </w:t>
      </w:r>
      <w:r w:rsidR="00F925D3" w:rsidRPr="002A7FCD">
        <w:rPr>
          <w:rFonts w:eastAsia="Times New Roman"/>
        </w:rPr>
        <w:t xml:space="preserve">not </w:t>
      </w:r>
      <w:r w:rsidR="00F925D3">
        <w:rPr>
          <w:rFonts w:eastAsia="Times New Roman"/>
        </w:rPr>
        <w:t>their Annual Returns</w:t>
      </w:r>
      <w:r w:rsidR="002A7FCD">
        <w:rPr>
          <w:rFonts w:eastAsia="Times New Roman"/>
        </w:rPr>
        <w:t>.</w:t>
      </w:r>
      <w:r w:rsidR="00C0446D">
        <w:rPr>
          <w:rFonts w:eastAsia="Times New Roman"/>
        </w:rPr>
        <w:t xml:space="preserve"> </w:t>
      </w:r>
      <w:r w:rsidR="002A7FCD">
        <w:rPr>
          <w:rFonts w:eastAsia="Times New Roman"/>
        </w:rPr>
        <w:t>T</w:t>
      </w:r>
      <w:r w:rsidR="00F925D3">
        <w:rPr>
          <w:rFonts w:eastAsia="Times New Roman"/>
        </w:rPr>
        <w:t>his paper</w:t>
      </w:r>
      <w:r w:rsidR="002A7FCD">
        <w:rPr>
          <w:rFonts w:eastAsia="Times New Roman"/>
        </w:rPr>
        <w:t xml:space="preserve"> therefore</w:t>
      </w:r>
      <w:r w:rsidR="00F925D3">
        <w:rPr>
          <w:rFonts w:eastAsia="Times New Roman"/>
        </w:rPr>
        <w:t xml:space="preserve"> focuses on charities </w:t>
      </w:r>
      <w:r w:rsidR="00D15E63">
        <w:rPr>
          <w:rFonts w:eastAsia="Times New Roman"/>
        </w:rPr>
        <w:t>that reported annual</w:t>
      </w:r>
      <w:r w:rsidR="00F925D3">
        <w:rPr>
          <w:rFonts w:eastAsia="Times New Roman"/>
        </w:rPr>
        <w:t xml:space="preserve"> incomes of £500,000 or above </w:t>
      </w:r>
      <w:r w:rsidR="0011615F">
        <w:rPr>
          <w:rFonts w:eastAsia="Times New Roman"/>
        </w:rPr>
        <w:t>for financial year</w:t>
      </w:r>
      <w:r w:rsidR="00E266F4">
        <w:rPr>
          <w:rFonts w:eastAsia="Times New Roman"/>
        </w:rPr>
        <w:t>s</w:t>
      </w:r>
      <w:r w:rsidR="0011615F">
        <w:rPr>
          <w:rFonts w:eastAsia="Times New Roman"/>
        </w:rPr>
        <w:t xml:space="preserve"> ending in 2019.</w:t>
      </w:r>
      <w:r w:rsidR="00F925D3">
        <w:rPr>
          <w:rFonts w:eastAsia="Times New Roman"/>
        </w:rPr>
        <w:t xml:space="preserve"> </w:t>
      </w:r>
    </w:p>
    <w:p w14:paraId="46133296" w14:textId="2AD7F903" w:rsidR="00782374" w:rsidRDefault="00782374" w:rsidP="00782374">
      <w:pPr>
        <w:rPr>
          <w:rFonts w:eastAsia="Times New Roman"/>
        </w:rPr>
      </w:pPr>
      <w:r>
        <w:rPr>
          <w:rFonts w:eastAsia="Times New Roman"/>
        </w:rPr>
        <w:t xml:space="preserve">Scottish charities are not required to report reserves data in their Annual Returns, but </w:t>
      </w:r>
      <w:r w:rsidR="002116E0">
        <w:rPr>
          <w:rFonts w:eastAsia="Times New Roman"/>
        </w:rPr>
        <w:t>– as for English and Welsh charities -</w:t>
      </w:r>
      <w:r>
        <w:rPr>
          <w:rFonts w:eastAsia="Times New Roman"/>
        </w:rPr>
        <w:t xml:space="preserve"> </w:t>
      </w:r>
      <w:r w:rsidR="002116E0">
        <w:rPr>
          <w:rFonts w:eastAsia="Times New Roman"/>
        </w:rPr>
        <w:t xml:space="preserve">are </w:t>
      </w:r>
      <w:r>
        <w:rPr>
          <w:rFonts w:eastAsia="Times New Roman"/>
        </w:rPr>
        <w:t>required to publish this information in their Trustees’ Annual Report.</w:t>
      </w:r>
      <w:r w:rsidR="002116E0">
        <w:rPr>
          <w:rFonts w:eastAsia="Times New Roman"/>
        </w:rPr>
        <w:t xml:space="preserve"> These Trustees’ Annual Reports are submitted to OSCR along with the charity’s Annual Accounts. </w:t>
      </w:r>
      <w:r>
        <w:rPr>
          <w:rFonts w:eastAsia="Times New Roman"/>
        </w:rPr>
        <w:t xml:space="preserve"> </w:t>
      </w:r>
    </w:p>
    <w:p w14:paraId="40B13410" w14:textId="40421A3C" w:rsidR="00782374" w:rsidRPr="005B4A22" w:rsidRDefault="00782374" w:rsidP="00782374">
      <w:pPr>
        <w:rPr>
          <w:rFonts w:eastAsia="Times New Roman"/>
          <w:i/>
          <w:iCs/>
        </w:rPr>
      </w:pPr>
      <w:r>
        <w:rPr>
          <w:rFonts w:eastAsia="Times New Roman"/>
          <w:i/>
          <w:iCs/>
        </w:rPr>
        <w:t>The reliability of reserves data</w:t>
      </w:r>
    </w:p>
    <w:p w14:paraId="6170DE30" w14:textId="139BE2C0" w:rsidR="00526878" w:rsidRDefault="00896E1C" w:rsidP="00923E01">
      <w:pPr>
        <w:rPr>
          <w:rFonts w:eastAsia="Times New Roman"/>
        </w:rPr>
      </w:pPr>
      <w:r>
        <w:rPr>
          <w:rFonts w:eastAsia="Times New Roman"/>
        </w:rPr>
        <w:t>To understand the health of the charity sector, as well as</w:t>
      </w:r>
      <w:r w:rsidR="004B513D">
        <w:rPr>
          <w:rFonts w:eastAsia="Times New Roman"/>
        </w:rPr>
        <w:t xml:space="preserve"> of</w:t>
      </w:r>
      <w:r>
        <w:rPr>
          <w:rFonts w:eastAsia="Times New Roman"/>
        </w:rPr>
        <w:t xml:space="preserve"> individual charities,</w:t>
      </w:r>
      <w:r w:rsidR="000845AA">
        <w:rPr>
          <w:rFonts w:eastAsia="Times New Roman"/>
        </w:rPr>
        <w:t xml:space="preserve"> it is essential that researchers, policy-makers and practitioners have access to accurate and reliable data on </w:t>
      </w:r>
      <w:r w:rsidR="00721BEF">
        <w:rPr>
          <w:rFonts w:eastAsia="Times New Roman"/>
        </w:rPr>
        <w:t xml:space="preserve">financial vulnerability, such as </w:t>
      </w:r>
      <w:r w:rsidR="00206FC9">
        <w:rPr>
          <w:rFonts w:eastAsia="Times New Roman"/>
        </w:rPr>
        <w:t xml:space="preserve">levels of reserves </w:t>
      </w:r>
      <w:r w:rsidR="00721BEF">
        <w:rPr>
          <w:rFonts w:eastAsia="Times New Roman"/>
        </w:rPr>
        <w:t>(</w:t>
      </w:r>
      <w:proofErr w:type="spellStart"/>
      <w:r w:rsidR="00721BEF">
        <w:rPr>
          <w:rFonts w:eastAsia="Times New Roman"/>
        </w:rPr>
        <w:t>Dayson</w:t>
      </w:r>
      <w:proofErr w:type="spellEnd"/>
      <w:r w:rsidR="00721BEF">
        <w:rPr>
          <w:rFonts w:eastAsia="Times New Roman"/>
        </w:rPr>
        <w:t>, 2013).</w:t>
      </w:r>
      <w:r w:rsidR="0060574A">
        <w:rPr>
          <w:rFonts w:eastAsia="Times New Roman"/>
        </w:rPr>
        <w:t xml:space="preserve"> </w:t>
      </w:r>
      <w:r w:rsidR="00EB5AD2">
        <w:rPr>
          <w:rFonts w:eastAsia="Times New Roman"/>
        </w:rPr>
        <w:t xml:space="preserve">While regulatory </w:t>
      </w:r>
      <w:r w:rsidR="005B2C8A">
        <w:rPr>
          <w:rFonts w:eastAsia="Times New Roman"/>
        </w:rPr>
        <w:t xml:space="preserve">data has the potential to provide such evidence for the voluntary sector </w:t>
      </w:r>
      <w:r w:rsidR="00380634">
        <w:rPr>
          <w:rFonts w:eastAsia="Times New Roman"/>
        </w:rPr>
        <w:t>at a large scale (</w:t>
      </w:r>
      <w:r w:rsidR="00816F80">
        <w:rPr>
          <w:rFonts w:eastAsia="Times New Roman"/>
        </w:rPr>
        <w:t>Author’s own</w:t>
      </w:r>
      <w:r w:rsidR="004718BF">
        <w:rPr>
          <w:rFonts w:eastAsia="Times New Roman"/>
        </w:rPr>
        <w:t xml:space="preserve">, 2017; </w:t>
      </w:r>
      <w:r w:rsidR="00AA2271">
        <w:rPr>
          <w:rFonts w:eastAsia="Times New Roman"/>
        </w:rPr>
        <w:t>McDonnell and Rutherford</w:t>
      </w:r>
      <w:r w:rsidR="00380634">
        <w:rPr>
          <w:rFonts w:eastAsia="Times New Roman"/>
        </w:rPr>
        <w:t>,</w:t>
      </w:r>
      <w:r w:rsidR="00AA2271">
        <w:rPr>
          <w:rFonts w:eastAsia="Times New Roman"/>
        </w:rPr>
        <w:t xml:space="preserve"> 2022, p.134</w:t>
      </w:r>
      <w:r w:rsidR="00380634">
        <w:rPr>
          <w:rFonts w:eastAsia="Times New Roman"/>
        </w:rPr>
        <w:t>)</w:t>
      </w:r>
      <w:r w:rsidR="00EB5AD2">
        <w:rPr>
          <w:rFonts w:eastAsia="Times New Roman"/>
        </w:rPr>
        <w:t>,</w:t>
      </w:r>
      <w:r w:rsidR="00FA0BD5">
        <w:rPr>
          <w:rFonts w:eastAsia="Times New Roman"/>
        </w:rPr>
        <w:t xml:space="preserve"> </w:t>
      </w:r>
      <w:r w:rsidR="000D4807">
        <w:rPr>
          <w:rFonts w:eastAsia="Times New Roman"/>
        </w:rPr>
        <w:t xml:space="preserve">pressures </w:t>
      </w:r>
      <w:r w:rsidR="00EB5AD2">
        <w:rPr>
          <w:rFonts w:eastAsia="Times New Roman"/>
        </w:rPr>
        <w:t xml:space="preserve">exist on charities to inaccurately report financial statements, and reserve levels in particular (Krishnan and </w:t>
      </w:r>
      <w:proofErr w:type="spellStart"/>
      <w:r w:rsidR="00EB5AD2">
        <w:rPr>
          <w:rFonts w:eastAsia="Times New Roman"/>
        </w:rPr>
        <w:t>Yetman</w:t>
      </w:r>
      <w:proofErr w:type="spellEnd"/>
      <w:r w:rsidR="00EB5AD2">
        <w:rPr>
          <w:rFonts w:eastAsia="Times New Roman"/>
        </w:rPr>
        <w:t>, 2011; Mahmood, 2020)</w:t>
      </w:r>
      <w:r w:rsidR="001F19D9">
        <w:rPr>
          <w:rFonts w:eastAsia="Times New Roman"/>
        </w:rPr>
        <w:t xml:space="preserve">. </w:t>
      </w:r>
    </w:p>
    <w:p w14:paraId="47972851" w14:textId="44563022" w:rsidR="00EB5AD2" w:rsidRDefault="00EB5AD2" w:rsidP="00923E01">
      <w:pPr>
        <w:rPr>
          <w:rFonts w:eastAsia="Times New Roman"/>
        </w:rPr>
      </w:pPr>
      <w:r>
        <w:rPr>
          <w:rFonts w:eastAsia="Times New Roman"/>
        </w:rPr>
        <w:t xml:space="preserve">In the UK, </w:t>
      </w:r>
      <w:r w:rsidR="002116E0">
        <w:rPr>
          <w:rFonts w:eastAsia="Times New Roman"/>
        </w:rPr>
        <w:t>prior</w:t>
      </w:r>
      <w:r>
        <w:rPr>
          <w:rFonts w:eastAsia="Times New Roman"/>
        </w:rPr>
        <w:t xml:space="preserve"> small-scale studies (such as by the CCEW </w:t>
      </w:r>
      <w:r w:rsidR="002116E0">
        <w:rPr>
          <w:rFonts w:eastAsia="Times New Roman"/>
        </w:rPr>
        <w:t>(</w:t>
      </w:r>
      <w:r>
        <w:rPr>
          <w:rFonts w:eastAsia="Times New Roman"/>
        </w:rPr>
        <w:t xml:space="preserve">2018) and BDO (2020)) have identified challenges with the reliability of reserves data published </w:t>
      </w:r>
      <w:r w:rsidR="001F19D9">
        <w:rPr>
          <w:rFonts w:eastAsia="Times New Roman"/>
        </w:rPr>
        <w:t>in Trustees’ Annual Reports and Accounts</w:t>
      </w:r>
      <w:r>
        <w:rPr>
          <w:rFonts w:eastAsia="Times New Roman"/>
        </w:rPr>
        <w:t>.</w:t>
      </w:r>
      <w:r w:rsidR="001F19D9">
        <w:rPr>
          <w:rFonts w:eastAsia="Times New Roman"/>
        </w:rPr>
        <w:t xml:space="preserve"> Beyond this, however, there has been limited academic scrutiny of the way in which charities report reserves in their Trustees’ Annual Reports and Accounts, nor of the reserves data </w:t>
      </w:r>
      <w:r w:rsidR="004B513D">
        <w:rPr>
          <w:rFonts w:eastAsia="Times New Roman"/>
        </w:rPr>
        <w:t>published</w:t>
      </w:r>
      <w:r w:rsidR="001F19D9">
        <w:rPr>
          <w:rFonts w:eastAsia="Times New Roman"/>
        </w:rPr>
        <w:t xml:space="preserve"> in charity Annual Returns. </w:t>
      </w:r>
    </w:p>
    <w:p w14:paraId="316035D5" w14:textId="561FEB44" w:rsidR="005B2C8A" w:rsidRDefault="00BC0C97" w:rsidP="005B2C8A">
      <w:pPr>
        <w:rPr>
          <w:rFonts w:eastAsia="Times New Roman"/>
        </w:rPr>
      </w:pPr>
      <w:r>
        <w:rPr>
          <w:rFonts w:eastAsia="Times New Roman"/>
        </w:rPr>
        <w:t>T</w:t>
      </w:r>
      <w:r w:rsidR="000845AA">
        <w:rPr>
          <w:rFonts w:eastAsia="Times New Roman"/>
        </w:rPr>
        <w:t>his</w:t>
      </w:r>
      <w:r w:rsidR="00BB32C7">
        <w:rPr>
          <w:rFonts w:eastAsia="Times New Roman"/>
        </w:rPr>
        <w:t xml:space="preserve"> </w:t>
      </w:r>
      <w:r w:rsidR="00380634">
        <w:rPr>
          <w:rFonts w:eastAsia="Times New Roman"/>
        </w:rPr>
        <w:t xml:space="preserve">policy and practice </w:t>
      </w:r>
      <w:r w:rsidR="00BB32C7">
        <w:rPr>
          <w:rFonts w:eastAsia="Times New Roman"/>
        </w:rPr>
        <w:t xml:space="preserve">paper </w:t>
      </w:r>
      <w:r>
        <w:rPr>
          <w:rFonts w:eastAsia="Times New Roman"/>
        </w:rPr>
        <w:t>draws on a large sample of data from</w:t>
      </w:r>
      <w:r w:rsidR="005B2C8A" w:rsidRPr="005B2C8A">
        <w:rPr>
          <w:rFonts w:eastAsia="Times New Roman"/>
        </w:rPr>
        <w:t xml:space="preserve"> </w:t>
      </w:r>
      <w:r w:rsidR="005B2C8A">
        <w:rPr>
          <w:rFonts w:eastAsia="Times New Roman"/>
        </w:rPr>
        <w:t xml:space="preserve">English and Welsh charity Annual Returns, as well as English, Welsh, and Scottish </w:t>
      </w:r>
      <w:r w:rsidR="002116E0">
        <w:rPr>
          <w:rFonts w:eastAsia="Times New Roman"/>
        </w:rPr>
        <w:t xml:space="preserve">Trustees’ </w:t>
      </w:r>
      <w:r w:rsidR="005B2C8A">
        <w:rPr>
          <w:rFonts w:eastAsia="Times New Roman"/>
        </w:rPr>
        <w:t xml:space="preserve">Annual Reports and Accounts, </w:t>
      </w:r>
      <w:r>
        <w:rPr>
          <w:rFonts w:eastAsia="Times New Roman"/>
        </w:rPr>
        <w:t xml:space="preserve">to present evidence that: </w:t>
      </w:r>
      <w:r w:rsidR="00BB32C7">
        <w:rPr>
          <w:rFonts w:eastAsia="Times New Roman"/>
        </w:rPr>
        <w:t>1) Many</w:t>
      </w:r>
      <w:r w:rsidR="00BB32C7" w:rsidRPr="00BB32C7">
        <w:rPr>
          <w:rFonts w:eastAsia="Times New Roman"/>
        </w:rPr>
        <w:t xml:space="preserve"> charities are reporting </w:t>
      </w:r>
      <w:r w:rsidR="00380634">
        <w:rPr>
          <w:rFonts w:eastAsia="Times New Roman"/>
        </w:rPr>
        <w:t>‘</w:t>
      </w:r>
      <w:r w:rsidR="00BB32C7" w:rsidRPr="00BB32C7">
        <w:rPr>
          <w:rFonts w:eastAsia="Times New Roman"/>
        </w:rPr>
        <w:t>reserves</w:t>
      </w:r>
      <w:r w:rsidR="00380634">
        <w:rPr>
          <w:rFonts w:eastAsia="Times New Roman"/>
        </w:rPr>
        <w:t>’</w:t>
      </w:r>
      <w:r w:rsidR="00BB32C7" w:rsidRPr="00BB32C7">
        <w:rPr>
          <w:rFonts w:eastAsia="Times New Roman"/>
        </w:rPr>
        <w:t xml:space="preserve"> figures that do not match the definition of reserves given by </w:t>
      </w:r>
      <w:r w:rsidR="00DA2CA3">
        <w:rPr>
          <w:rFonts w:eastAsia="Times New Roman"/>
        </w:rPr>
        <w:t>the CCEW/</w:t>
      </w:r>
      <w:r w:rsidR="00BB32C7">
        <w:rPr>
          <w:rFonts w:eastAsia="Times New Roman"/>
        </w:rPr>
        <w:t>OSCR</w:t>
      </w:r>
      <w:r>
        <w:rPr>
          <w:rFonts w:eastAsia="Times New Roman"/>
        </w:rPr>
        <w:t xml:space="preserve">; 2) </w:t>
      </w:r>
      <w:r w:rsidR="002116E0">
        <w:rPr>
          <w:rFonts w:eastAsia="Times New Roman"/>
        </w:rPr>
        <w:t>T</w:t>
      </w:r>
      <w:r>
        <w:rPr>
          <w:rFonts w:eastAsia="Times New Roman"/>
        </w:rPr>
        <w:t xml:space="preserve">here is a substantial </w:t>
      </w:r>
      <w:r w:rsidR="00A0211D">
        <w:rPr>
          <w:rFonts w:eastAsia="Times New Roman"/>
        </w:rPr>
        <w:t xml:space="preserve">within-year and </w:t>
      </w:r>
      <w:r>
        <w:rPr>
          <w:rFonts w:eastAsia="Times New Roman"/>
        </w:rPr>
        <w:t xml:space="preserve">year-on-year inconsistency in the </w:t>
      </w:r>
      <w:r w:rsidR="00DF3A89">
        <w:rPr>
          <w:rFonts w:eastAsia="Times New Roman"/>
        </w:rPr>
        <w:t xml:space="preserve">methods </w:t>
      </w:r>
      <w:r>
        <w:rPr>
          <w:rFonts w:eastAsia="Times New Roman"/>
        </w:rPr>
        <w:t xml:space="preserve">used </w:t>
      </w:r>
      <w:r w:rsidR="00DA2CA3">
        <w:rPr>
          <w:rFonts w:eastAsia="Times New Roman"/>
        </w:rPr>
        <w:t xml:space="preserve">by charities </w:t>
      </w:r>
      <w:r w:rsidR="00DF3A89">
        <w:rPr>
          <w:rFonts w:eastAsia="Times New Roman"/>
        </w:rPr>
        <w:t>to calculate th</w:t>
      </w:r>
      <w:r w:rsidR="006F4CD0">
        <w:rPr>
          <w:rFonts w:eastAsia="Times New Roman"/>
        </w:rPr>
        <w:t>eir reported reserves</w:t>
      </w:r>
      <w:r>
        <w:rPr>
          <w:rFonts w:eastAsia="Times New Roman"/>
        </w:rPr>
        <w:t xml:space="preserve">; and 3) </w:t>
      </w:r>
      <w:r w:rsidRPr="00BC0C97">
        <w:rPr>
          <w:rFonts w:eastAsia="Times New Roman"/>
        </w:rPr>
        <w:t xml:space="preserve">There is substantial variation </w:t>
      </w:r>
      <w:r>
        <w:rPr>
          <w:rFonts w:eastAsia="Times New Roman"/>
        </w:rPr>
        <w:t>between</w:t>
      </w:r>
      <w:r w:rsidRPr="00BC0C97">
        <w:rPr>
          <w:rFonts w:eastAsia="Times New Roman"/>
        </w:rPr>
        <w:t xml:space="preserve"> charities regarding </w:t>
      </w:r>
      <w:r w:rsidR="00A910A0">
        <w:rPr>
          <w:rFonts w:eastAsia="Times New Roman"/>
        </w:rPr>
        <w:t>how they report their reserves</w:t>
      </w:r>
      <w:r w:rsidR="005B2C8A">
        <w:rPr>
          <w:rFonts w:eastAsia="Times New Roman"/>
        </w:rPr>
        <w:t xml:space="preserve">. </w:t>
      </w:r>
    </w:p>
    <w:p w14:paraId="006E5635" w14:textId="3AB87909" w:rsidR="002F7B97" w:rsidRDefault="00DD53D5" w:rsidP="00923E01">
      <w:pPr>
        <w:rPr>
          <w:rFonts w:eastAsia="Times New Roman"/>
        </w:rPr>
      </w:pPr>
      <w:r>
        <w:rPr>
          <w:rFonts w:eastAsia="Times New Roman"/>
        </w:rPr>
        <w:t>The findings of this paper suggest that there is important work needed by the regulators, sector bodies, and charities themselves</w:t>
      </w:r>
      <w:r w:rsidR="002116E0">
        <w:rPr>
          <w:rFonts w:eastAsia="Times New Roman"/>
        </w:rPr>
        <w:t>,</w:t>
      </w:r>
      <w:r>
        <w:rPr>
          <w:rFonts w:eastAsia="Times New Roman"/>
        </w:rPr>
        <w:t xml:space="preserve"> to improve understanding and management of reserve levels</w:t>
      </w:r>
      <w:r w:rsidR="002F7B97">
        <w:rPr>
          <w:rFonts w:eastAsia="Times New Roman"/>
        </w:rPr>
        <w:t>.</w:t>
      </w:r>
      <w:r>
        <w:rPr>
          <w:rFonts w:eastAsia="Times New Roman"/>
        </w:rPr>
        <w:t xml:space="preserve"> </w:t>
      </w:r>
      <w:r w:rsidR="002F7B97">
        <w:rPr>
          <w:rFonts w:eastAsia="Times New Roman"/>
        </w:rPr>
        <w:t>Given that</w:t>
      </w:r>
      <w:r w:rsidR="005172F2">
        <w:rPr>
          <w:rFonts w:eastAsia="Times New Roman"/>
        </w:rPr>
        <w:t xml:space="preserve"> the</w:t>
      </w:r>
      <w:r w:rsidR="002F7B97">
        <w:rPr>
          <w:rFonts w:eastAsia="Times New Roman"/>
        </w:rPr>
        <w:t xml:space="preserve"> </w:t>
      </w:r>
      <w:r w:rsidR="005172F2">
        <w:rPr>
          <w:rFonts w:eastAsia="Times New Roman"/>
        </w:rPr>
        <w:t>English</w:t>
      </w:r>
      <w:r>
        <w:rPr>
          <w:rFonts w:eastAsia="Times New Roman"/>
        </w:rPr>
        <w:t xml:space="preserve"> and </w:t>
      </w:r>
      <w:r w:rsidR="005172F2">
        <w:rPr>
          <w:rFonts w:eastAsia="Times New Roman"/>
        </w:rPr>
        <w:t xml:space="preserve">Welsh context </w:t>
      </w:r>
      <w:r w:rsidR="002F7B97">
        <w:rPr>
          <w:rFonts w:eastAsia="Times New Roman"/>
        </w:rPr>
        <w:t>has</w:t>
      </w:r>
      <w:r w:rsidR="005B2C8A">
        <w:rPr>
          <w:rFonts w:eastAsia="Times New Roman"/>
        </w:rPr>
        <w:t xml:space="preserve"> (</w:t>
      </w:r>
      <w:r>
        <w:rPr>
          <w:rFonts w:eastAsia="Times New Roman"/>
        </w:rPr>
        <w:t>arguably</w:t>
      </w:r>
      <w:r w:rsidR="005B2C8A">
        <w:rPr>
          <w:rFonts w:eastAsia="Times New Roman"/>
        </w:rPr>
        <w:t>)</w:t>
      </w:r>
      <w:r w:rsidR="002F7B97">
        <w:rPr>
          <w:rFonts w:eastAsia="Times New Roman"/>
        </w:rPr>
        <w:t xml:space="preserve"> been</w:t>
      </w:r>
      <w:r w:rsidR="005B2C8A">
        <w:rPr>
          <w:rFonts w:eastAsia="Times New Roman"/>
        </w:rPr>
        <w:t xml:space="preserve"> </w:t>
      </w:r>
      <w:r w:rsidR="002F7B97">
        <w:rPr>
          <w:rFonts w:eastAsia="Times New Roman"/>
        </w:rPr>
        <w:t xml:space="preserve">seen to “set the standard” (Hogg, </w:t>
      </w:r>
      <w:r>
        <w:rPr>
          <w:rFonts w:eastAsia="Times New Roman"/>
        </w:rPr>
        <w:t>201</w:t>
      </w:r>
      <w:r w:rsidR="00EB1300">
        <w:rPr>
          <w:rFonts w:eastAsia="Times New Roman"/>
        </w:rPr>
        <w:t>8</w:t>
      </w:r>
      <w:r>
        <w:rPr>
          <w:rFonts w:eastAsia="Times New Roman"/>
        </w:rPr>
        <w:t>, p.73</w:t>
      </w:r>
      <w:r w:rsidR="002F7B97">
        <w:rPr>
          <w:rFonts w:eastAsia="Times New Roman"/>
        </w:rPr>
        <w:t xml:space="preserve">) in charity regulation, we believe that this also raises interesting questions for international debates on the reliability and effectiveness of </w:t>
      </w:r>
      <w:r>
        <w:rPr>
          <w:rFonts w:eastAsia="Times New Roman"/>
        </w:rPr>
        <w:t>regulatory</w:t>
      </w:r>
      <w:r w:rsidR="002F7B97">
        <w:rPr>
          <w:rFonts w:eastAsia="Times New Roman"/>
        </w:rPr>
        <w:t xml:space="preserve"> reporting requirements. </w:t>
      </w:r>
    </w:p>
    <w:p w14:paraId="6E3E8F00" w14:textId="1BDE0408" w:rsidR="000B6E41" w:rsidRDefault="000B6E41" w:rsidP="00923E01">
      <w:pPr>
        <w:rPr>
          <w:rFonts w:eastAsia="Times New Roman"/>
        </w:rPr>
      </w:pPr>
      <w:r>
        <w:rPr>
          <w:rFonts w:eastAsia="Times New Roman"/>
        </w:rPr>
        <w:t>The rest of the paper is laid out as follows:</w:t>
      </w:r>
      <w:r w:rsidR="0035137F">
        <w:rPr>
          <w:rFonts w:eastAsia="Times New Roman"/>
        </w:rPr>
        <w:t xml:space="preserve"> </w:t>
      </w:r>
      <w:r w:rsidR="002116E0">
        <w:rPr>
          <w:rFonts w:eastAsia="Times New Roman"/>
        </w:rPr>
        <w:t>the next section describes</w:t>
      </w:r>
      <w:r w:rsidR="0035137F">
        <w:rPr>
          <w:rFonts w:eastAsia="Times New Roman"/>
        </w:rPr>
        <w:t xml:space="preserve"> </w:t>
      </w:r>
      <w:r w:rsidR="002116E0">
        <w:rPr>
          <w:rFonts w:eastAsia="Times New Roman"/>
        </w:rPr>
        <w:t xml:space="preserve">the </w:t>
      </w:r>
      <w:r w:rsidR="0035137F">
        <w:rPr>
          <w:rFonts w:eastAsia="Times New Roman"/>
        </w:rPr>
        <w:t xml:space="preserve">methods employed </w:t>
      </w:r>
      <w:r w:rsidR="00DD53D5">
        <w:rPr>
          <w:rFonts w:eastAsia="Times New Roman"/>
        </w:rPr>
        <w:t>in this paper</w:t>
      </w:r>
      <w:r w:rsidR="0035137F">
        <w:rPr>
          <w:rFonts w:eastAsia="Times New Roman"/>
        </w:rPr>
        <w:t>. The key findings of the study are then presented, followed by a discussion of recommendations and implications</w:t>
      </w:r>
      <w:r w:rsidR="00ED572F">
        <w:rPr>
          <w:rFonts w:eastAsia="Times New Roman"/>
        </w:rPr>
        <w:t>, and a conclusion.</w:t>
      </w:r>
    </w:p>
    <w:p w14:paraId="4762A0EF" w14:textId="5DDF3D72" w:rsidR="00FE38F3" w:rsidRDefault="00FE38F3" w:rsidP="00806000">
      <w:pPr>
        <w:rPr>
          <w:rFonts w:eastAsia="Times New Roman"/>
          <w:b/>
          <w:bCs/>
        </w:rPr>
      </w:pPr>
      <w:r>
        <w:rPr>
          <w:rFonts w:eastAsia="Times New Roman"/>
          <w:b/>
          <w:bCs/>
        </w:rPr>
        <w:t>Methods</w:t>
      </w:r>
    </w:p>
    <w:p w14:paraId="18149E2F" w14:textId="4162C001" w:rsidR="00C75474" w:rsidRPr="00C75474" w:rsidRDefault="00C75474" w:rsidP="00806000">
      <w:pPr>
        <w:rPr>
          <w:rFonts w:eastAsia="Times New Roman"/>
          <w:i/>
          <w:iCs/>
        </w:rPr>
      </w:pPr>
      <w:r>
        <w:rPr>
          <w:rFonts w:eastAsia="Times New Roman"/>
          <w:i/>
          <w:iCs/>
        </w:rPr>
        <w:t>Data sources</w:t>
      </w:r>
    </w:p>
    <w:p w14:paraId="0F3D245D" w14:textId="205BE957" w:rsidR="00F925D3" w:rsidRDefault="00F925D3" w:rsidP="00D5634E">
      <w:pPr>
        <w:rPr>
          <w:rFonts w:eastAsia="Times New Roman" w:cstheme="minorHAnsi"/>
        </w:rPr>
      </w:pPr>
      <w:r>
        <w:rPr>
          <w:rFonts w:eastAsia="Times New Roman"/>
        </w:rPr>
        <w:t>As described above, c</w:t>
      </w:r>
      <w:r w:rsidR="00DD3827">
        <w:rPr>
          <w:rFonts w:eastAsia="Times New Roman"/>
        </w:rPr>
        <w:t xml:space="preserve">urrent charity regulation requires </w:t>
      </w:r>
      <w:r w:rsidR="002A7FCD">
        <w:rPr>
          <w:rFonts w:eastAsia="Times New Roman"/>
        </w:rPr>
        <w:t>English, Welsh and Scottish</w:t>
      </w:r>
      <w:r w:rsidR="00DD3827">
        <w:rPr>
          <w:rFonts w:eastAsia="Times New Roman"/>
        </w:rPr>
        <w:t xml:space="preserve"> charities to report their reserves in different places, according to charity size and jurisdiction. </w:t>
      </w:r>
      <w:r>
        <w:rPr>
          <w:rFonts w:eastAsia="Times New Roman"/>
        </w:rPr>
        <w:t>A</w:t>
      </w:r>
      <w:r w:rsidR="00DD3827">
        <w:rPr>
          <w:rFonts w:eastAsia="Times New Roman"/>
        </w:rPr>
        <w:t xml:space="preserve">ll charities in </w:t>
      </w:r>
      <w:r w:rsidR="00DD3827">
        <w:rPr>
          <w:rFonts w:eastAsia="Times New Roman"/>
        </w:rPr>
        <w:lastRenderedPageBreak/>
        <w:t>England, Wales and Scotland are required to report on their reserves in their Trustees’ Annual Report, stating their reserves policy and the size and purpose of their reserves</w:t>
      </w:r>
      <w:r w:rsidR="00DD3827" w:rsidRPr="00DD53D5">
        <w:rPr>
          <w:rFonts w:eastAsia="Times New Roman" w:cstheme="minorHAnsi"/>
        </w:rPr>
        <w:t xml:space="preserve">. </w:t>
      </w:r>
      <w:r>
        <w:rPr>
          <w:rFonts w:eastAsia="Times New Roman" w:cstheme="minorHAnsi"/>
        </w:rPr>
        <w:t xml:space="preserve">Larger English and Welsh charities (those </w:t>
      </w:r>
      <w:r w:rsidRPr="00DD53D5">
        <w:rPr>
          <w:rFonts w:eastAsia="Times New Roman" w:cstheme="minorHAnsi"/>
        </w:rPr>
        <w:t>with income exceeding £500,000 per year</w:t>
      </w:r>
      <w:r>
        <w:rPr>
          <w:rFonts w:eastAsia="Times New Roman" w:cstheme="minorHAnsi"/>
        </w:rPr>
        <w:t xml:space="preserve"> and which are the subject of this paper</w:t>
      </w:r>
      <w:r w:rsidRPr="00DD53D5">
        <w:rPr>
          <w:rFonts w:eastAsia="Times New Roman" w:cstheme="minorHAnsi"/>
        </w:rPr>
        <w:t>)</w:t>
      </w:r>
      <w:r>
        <w:rPr>
          <w:rFonts w:eastAsia="Times New Roman" w:cstheme="minorHAnsi"/>
        </w:rPr>
        <w:t xml:space="preserve"> are also required to report their reserves in their Annual Returns.</w:t>
      </w:r>
    </w:p>
    <w:p w14:paraId="122E5778" w14:textId="5202C6C6" w:rsidR="00D5634E" w:rsidRPr="00DC6E6E" w:rsidRDefault="00DD3827" w:rsidP="00D5634E">
      <w:pPr>
        <w:rPr>
          <w:rFonts w:eastAsia="Times New Roman"/>
        </w:rPr>
      </w:pPr>
      <w:r>
        <w:rPr>
          <w:rFonts w:eastAsia="Times New Roman"/>
        </w:rPr>
        <w:t>The</w:t>
      </w:r>
      <w:r w:rsidR="00F925D3">
        <w:rPr>
          <w:rFonts w:eastAsia="Times New Roman"/>
        </w:rPr>
        <w:t xml:space="preserve"> specific</w:t>
      </w:r>
      <w:r>
        <w:rPr>
          <w:rFonts w:eastAsia="Times New Roman"/>
        </w:rPr>
        <w:t xml:space="preserve"> information required </w:t>
      </w:r>
      <w:r w:rsidR="00F925D3">
        <w:rPr>
          <w:rFonts w:eastAsia="Times New Roman"/>
        </w:rPr>
        <w:t xml:space="preserve">to be reported </w:t>
      </w:r>
      <w:r>
        <w:rPr>
          <w:rFonts w:eastAsia="Times New Roman"/>
        </w:rPr>
        <w:t>in th</w:t>
      </w:r>
      <w:r w:rsidR="00C533A9">
        <w:rPr>
          <w:rFonts w:eastAsia="Times New Roman"/>
        </w:rPr>
        <w:t>e</w:t>
      </w:r>
      <w:r>
        <w:rPr>
          <w:rFonts w:eastAsia="Times New Roman"/>
        </w:rPr>
        <w:t xml:space="preserve"> Trustees’ Annual Report is deli</w:t>
      </w:r>
      <w:r w:rsidR="00C533A9">
        <w:rPr>
          <w:rFonts w:eastAsia="Times New Roman"/>
        </w:rPr>
        <w:t xml:space="preserve">neated within the Charity SORP (Statement of Regulatory Practice). Since the late 1980s, reporting and accounting guidance for UK charities has been outlined in a series of charity SORPS. The current SORP – </w:t>
      </w:r>
      <w:r w:rsidR="00B863A2">
        <w:rPr>
          <w:rFonts w:eastAsia="Times New Roman"/>
        </w:rPr>
        <w:t xml:space="preserve">which is </w:t>
      </w:r>
      <w:r w:rsidR="00C533A9">
        <w:rPr>
          <w:rFonts w:eastAsia="Times New Roman"/>
        </w:rPr>
        <w:t>mandatory for those charities to which it applies – has been in place since 2015,</w:t>
      </w:r>
      <w:r w:rsidR="001D7C58">
        <w:rPr>
          <w:rFonts w:eastAsia="Times New Roman"/>
        </w:rPr>
        <w:t xml:space="preserve"> with an updated edition published in 2019,</w:t>
      </w:r>
      <w:r w:rsidR="00C533A9">
        <w:rPr>
          <w:rFonts w:eastAsia="Times New Roman"/>
        </w:rPr>
        <w:t xml:space="preserve"> and is known as SORP FRS 102 (as </w:t>
      </w:r>
      <w:r>
        <w:rPr>
          <w:rFonts w:eastAsia="Times New Roman"/>
        </w:rPr>
        <w:t>it is</w:t>
      </w:r>
      <w:r w:rsidR="004757FA">
        <w:rPr>
          <w:rFonts w:eastAsia="Times New Roman"/>
        </w:rPr>
        <w:t xml:space="preserve"> </w:t>
      </w:r>
      <w:r>
        <w:rPr>
          <w:rFonts w:eastAsia="Times New Roman"/>
        </w:rPr>
        <w:t>based on the relevant International Accounting Standards Board’s (IASB) relevant Financial Reporting Standard (FRS)</w:t>
      </w:r>
      <w:r w:rsidR="00B863A2">
        <w:rPr>
          <w:rFonts w:eastAsia="Times New Roman"/>
        </w:rPr>
        <w:t>)</w:t>
      </w:r>
      <w:r>
        <w:rPr>
          <w:rFonts w:eastAsia="Times New Roman"/>
        </w:rPr>
        <w:t xml:space="preserve">. </w:t>
      </w:r>
      <w:r w:rsidR="00B863A2">
        <w:rPr>
          <w:rFonts w:eastAsia="Times New Roman"/>
        </w:rPr>
        <w:t>Alongside stipulations as t</w:t>
      </w:r>
      <w:r w:rsidR="008F630E">
        <w:rPr>
          <w:rFonts w:eastAsia="Times New Roman"/>
        </w:rPr>
        <w:t xml:space="preserve">o the format and content of charity Trustees’ Annual Reports and </w:t>
      </w:r>
      <w:r w:rsidR="00B863A2">
        <w:rPr>
          <w:rFonts w:eastAsia="Times New Roman"/>
        </w:rPr>
        <w:t>Accounts, the</w:t>
      </w:r>
      <w:r w:rsidR="00C533A9">
        <w:rPr>
          <w:rFonts w:eastAsia="Times New Roman"/>
        </w:rPr>
        <w:t xml:space="preserve"> SORP also </w:t>
      </w:r>
      <w:r w:rsidR="008F630E">
        <w:rPr>
          <w:rFonts w:eastAsia="Times New Roman"/>
        </w:rPr>
        <w:t xml:space="preserve">outlines which charities must have their accounts audited: in Scotland, an audit is required if the charity has income of £500,000 or more or its gross assets exceed £3.26 million and the charity has prepared accruals accounts. In England and Wales, the updated 2019 </w:t>
      </w:r>
      <w:r w:rsidR="00D06A5E">
        <w:rPr>
          <w:rFonts w:eastAsia="Times New Roman"/>
        </w:rPr>
        <w:t xml:space="preserve">edition of </w:t>
      </w:r>
      <w:r w:rsidR="008F630E">
        <w:rPr>
          <w:rFonts w:eastAsia="Times New Roman"/>
        </w:rPr>
        <w:t xml:space="preserve">SORP FRS 102 states that an audit is required if the charity’s gross annual income exceeds £1 million or its gross assets exceed £3.26 million and its gross income exceeds £250,000. This represents a change from the first (2015) edition of SORP FRS 102, when charities with incomes of £500,000 or more were required to have an audit. </w:t>
      </w:r>
      <w:r w:rsidR="00C533A9">
        <w:rPr>
          <w:rFonts w:eastAsia="Times New Roman"/>
        </w:rPr>
        <w:t xml:space="preserve"> </w:t>
      </w:r>
    </w:p>
    <w:p w14:paraId="5D7D80E3" w14:textId="14571DE7" w:rsidR="00C75474" w:rsidRPr="00C75474" w:rsidRDefault="00BF602B" w:rsidP="00A239DE">
      <w:pPr>
        <w:rPr>
          <w:rFonts w:eastAsia="Times New Roman"/>
          <w:i/>
          <w:iCs/>
        </w:rPr>
      </w:pPr>
      <w:r>
        <w:rPr>
          <w:rFonts w:eastAsia="Times New Roman"/>
          <w:i/>
          <w:iCs/>
        </w:rPr>
        <w:t>Sampling framework</w:t>
      </w:r>
    </w:p>
    <w:p w14:paraId="15E51B94" w14:textId="79D0ED5B" w:rsidR="00DD47DC" w:rsidRDefault="00C356E3" w:rsidP="00A239DE">
      <w:pPr>
        <w:rPr>
          <w:rFonts w:eastAsia="Times New Roman"/>
        </w:rPr>
      </w:pPr>
      <w:r>
        <w:rPr>
          <w:rFonts w:eastAsia="Times New Roman"/>
        </w:rPr>
        <w:t xml:space="preserve">For the English and Welsh charities, a random sample of 400 charities was gathered from those charities that submitted Annual Returns </w:t>
      </w:r>
      <w:r w:rsidR="008F630E">
        <w:rPr>
          <w:rFonts w:eastAsia="Times New Roman"/>
        </w:rPr>
        <w:t>with</w:t>
      </w:r>
      <w:r>
        <w:rPr>
          <w:rFonts w:eastAsia="Times New Roman"/>
        </w:rPr>
        <w:t xml:space="preserve"> non-missing reserves data </w:t>
      </w:r>
      <w:r w:rsidR="00E266F4">
        <w:rPr>
          <w:rFonts w:eastAsia="Times New Roman"/>
        </w:rPr>
        <w:t xml:space="preserve">for financial years ending </w:t>
      </w:r>
      <w:r>
        <w:rPr>
          <w:rFonts w:eastAsia="Times New Roman"/>
        </w:rPr>
        <w:t>in 2019</w:t>
      </w:r>
      <w:r w:rsidR="0048235A">
        <w:rPr>
          <w:rFonts w:eastAsia="Times New Roman"/>
        </w:rPr>
        <w:t xml:space="preserve"> </w:t>
      </w:r>
      <w:r w:rsidR="005F18E7">
        <w:rPr>
          <w:rFonts w:eastAsia="Times New Roman"/>
        </w:rPr>
        <w:t xml:space="preserve">(the </w:t>
      </w:r>
      <w:r w:rsidR="00BF602B">
        <w:rPr>
          <w:rFonts w:eastAsia="Times New Roman"/>
        </w:rPr>
        <w:t>most recent</w:t>
      </w:r>
      <w:r w:rsidR="005F18E7">
        <w:rPr>
          <w:rFonts w:eastAsia="Times New Roman"/>
        </w:rPr>
        <w:t xml:space="preserve"> year for which full reporting data was available</w:t>
      </w:r>
      <w:r w:rsidR="00DD47DC">
        <w:rPr>
          <w:rFonts w:eastAsia="Times New Roman"/>
        </w:rPr>
        <w:t xml:space="preserve"> at that time</w:t>
      </w:r>
      <w:r w:rsidR="005F18E7">
        <w:rPr>
          <w:rFonts w:eastAsia="Times New Roman"/>
        </w:rPr>
        <w:t xml:space="preserve">). </w:t>
      </w:r>
      <w:r w:rsidR="0044389D">
        <w:rPr>
          <w:rFonts w:eastAsia="Times New Roman"/>
        </w:rPr>
        <w:t xml:space="preserve">For each of these 400 English and Welsh charities, available </w:t>
      </w:r>
      <w:r w:rsidR="008F630E">
        <w:rPr>
          <w:rFonts w:eastAsia="Times New Roman"/>
        </w:rPr>
        <w:t xml:space="preserve">Trustees’ </w:t>
      </w:r>
      <w:r w:rsidR="0044389D">
        <w:rPr>
          <w:rFonts w:eastAsia="Times New Roman"/>
        </w:rPr>
        <w:t xml:space="preserve">Annual Reports and Accounts were then collected from the CCEW registry database for each year between 2016 and 2021. </w:t>
      </w:r>
    </w:p>
    <w:p w14:paraId="4CA1C312" w14:textId="594EDABD" w:rsidR="00DD47DC" w:rsidRDefault="00DD47DC" w:rsidP="00A239DE">
      <w:pPr>
        <w:rPr>
          <w:rFonts w:eastAsia="Times New Roman"/>
        </w:rPr>
      </w:pPr>
      <w:r>
        <w:rPr>
          <w:rFonts w:eastAsia="Times New Roman"/>
        </w:rPr>
        <w:t xml:space="preserve">For the Scottish charities, a random sample of 400 charities was gathered from the population of charities with incomes of £500,000 or more and which were active in 2019. While the CCEW publishes </w:t>
      </w:r>
      <w:r w:rsidR="00D06A5E">
        <w:rPr>
          <w:rFonts w:eastAsia="Times New Roman"/>
        </w:rPr>
        <w:t xml:space="preserve">Trustee’s </w:t>
      </w:r>
      <w:r>
        <w:rPr>
          <w:rFonts w:eastAsia="Times New Roman"/>
        </w:rPr>
        <w:t xml:space="preserve">Annual Reports and Accounts for five years, OSCR only publishes the most recent available charity </w:t>
      </w:r>
      <w:r w:rsidR="00D06A5E">
        <w:rPr>
          <w:rFonts w:eastAsia="Times New Roman"/>
        </w:rPr>
        <w:t xml:space="preserve">Trustees’ </w:t>
      </w:r>
      <w:r>
        <w:rPr>
          <w:rFonts w:eastAsia="Times New Roman"/>
        </w:rPr>
        <w:t xml:space="preserve">Annual Report and Accounts. For Scottish charities, therefore, this most-recent </w:t>
      </w:r>
      <w:r w:rsidR="00D06A5E">
        <w:rPr>
          <w:rFonts w:eastAsia="Times New Roman"/>
        </w:rPr>
        <w:t xml:space="preserve">Trustees’ </w:t>
      </w:r>
      <w:r>
        <w:rPr>
          <w:rFonts w:eastAsia="Times New Roman"/>
        </w:rPr>
        <w:t xml:space="preserve">Annual Report and Accounts was collected and, as above, </w:t>
      </w:r>
      <w:r w:rsidRPr="0044389D">
        <w:rPr>
          <w:rFonts w:eastAsia="Times New Roman"/>
        </w:rPr>
        <w:t>analysed to collect the figure given (if any) for reserves</w:t>
      </w:r>
      <w:r>
        <w:rPr>
          <w:rFonts w:eastAsia="Times New Roman"/>
        </w:rPr>
        <w:t xml:space="preserve"> and</w:t>
      </w:r>
      <w:r w:rsidRPr="0044389D">
        <w:rPr>
          <w:rFonts w:eastAsia="Times New Roman"/>
        </w:rPr>
        <w:t xml:space="preserve"> to identify, where possible, whether this figure matched the definition of reserves as stated by CCEW/OSCR.</w:t>
      </w:r>
    </w:p>
    <w:p w14:paraId="604D781C" w14:textId="15AA05B1" w:rsidR="00BF602B" w:rsidRPr="00DC6E6E" w:rsidRDefault="00BF602B" w:rsidP="00BF602B">
      <w:pPr>
        <w:rPr>
          <w:rFonts w:eastAsia="Times New Roman"/>
          <w:i/>
          <w:iCs/>
        </w:rPr>
      </w:pPr>
      <w:r>
        <w:rPr>
          <w:rFonts w:eastAsia="Times New Roman"/>
          <w:i/>
          <w:iCs/>
        </w:rPr>
        <w:t>Data collection</w:t>
      </w:r>
    </w:p>
    <w:p w14:paraId="49824140" w14:textId="6676E9CB" w:rsidR="00BF602B" w:rsidRDefault="00BF602B" w:rsidP="00BF602B">
      <w:pPr>
        <w:rPr>
          <w:rFonts w:eastAsia="Times New Roman"/>
        </w:rPr>
      </w:pPr>
      <w:r>
        <w:rPr>
          <w:rFonts w:eastAsia="Times New Roman"/>
        </w:rPr>
        <w:t xml:space="preserve">For the purposes of this paper, charities’ statement of their level of </w:t>
      </w:r>
      <w:proofErr w:type="gramStart"/>
      <w:r>
        <w:rPr>
          <w:rFonts w:eastAsia="Times New Roman"/>
        </w:rPr>
        <w:t>reserves’</w:t>
      </w:r>
      <w:proofErr w:type="gramEnd"/>
      <w:r>
        <w:rPr>
          <w:rFonts w:eastAsia="Times New Roman"/>
        </w:rPr>
        <w:t xml:space="preserve"> was </w:t>
      </w:r>
      <w:r w:rsidR="00DD47DC">
        <w:rPr>
          <w:rFonts w:eastAsia="Times New Roman"/>
        </w:rPr>
        <w:t>record</w:t>
      </w:r>
      <w:r>
        <w:rPr>
          <w:rFonts w:eastAsia="Times New Roman"/>
        </w:rPr>
        <w:t>ed from</w:t>
      </w:r>
      <w:r w:rsidR="00DD47DC">
        <w:rPr>
          <w:rFonts w:eastAsia="Times New Roman"/>
        </w:rPr>
        <w:t xml:space="preserve"> each</w:t>
      </w:r>
      <w:r>
        <w:rPr>
          <w:rFonts w:eastAsia="Times New Roman"/>
        </w:rPr>
        <w:t xml:space="preserve"> charities’ Trustees’ Annual Report and Accounts</w:t>
      </w:r>
      <w:r w:rsidR="00DD47DC">
        <w:rPr>
          <w:rFonts w:eastAsia="Times New Roman"/>
        </w:rPr>
        <w:t>, and their Annual Return, where available</w:t>
      </w:r>
      <w:r>
        <w:rPr>
          <w:rFonts w:eastAsia="Times New Roman"/>
        </w:rPr>
        <w:t>. While, as noted above, the current SORP states that charities must state their reserves level in their Trustees’ Annual Report, occasionally, this figure is instead stated only in the accompanying Accounts. Therefore, the entirety of charities’</w:t>
      </w:r>
      <w:r w:rsidR="00DD47DC">
        <w:rPr>
          <w:rFonts w:eastAsia="Times New Roman"/>
        </w:rPr>
        <w:t xml:space="preserve"> Trustees’</w:t>
      </w:r>
      <w:r>
        <w:rPr>
          <w:rFonts w:eastAsia="Times New Roman"/>
        </w:rPr>
        <w:t xml:space="preserve"> Annual Report and Accounts was reviewed to gather the figure that charities explicitly stated equalled reserves. </w:t>
      </w:r>
    </w:p>
    <w:p w14:paraId="4388A3E0" w14:textId="100E2903" w:rsidR="00C10885" w:rsidRDefault="00A56B9E" w:rsidP="00806000">
      <w:pPr>
        <w:rPr>
          <w:rFonts w:eastAsia="Times New Roman"/>
        </w:rPr>
      </w:pPr>
      <w:r>
        <w:rPr>
          <w:rFonts w:eastAsia="Times New Roman"/>
        </w:rPr>
        <w:t xml:space="preserve">The authors </w:t>
      </w:r>
      <w:r w:rsidR="00C10885">
        <w:rPr>
          <w:rFonts w:eastAsia="Times New Roman"/>
        </w:rPr>
        <w:t>then assessed th</w:t>
      </w:r>
      <w:r w:rsidR="00DD47DC">
        <w:rPr>
          <w:rFonts w:eastAsia="Times New Roman"/>
        </w:rPr>
        <w:t>ese reported</w:t>
      </w:r>
      <w:r w:rsidR="00C10885">
        <w:rPr>
          <w:rFonts w:eastAsia="Times New Roman"/>
        </w:rPr>
        <w:t xml:space="preserve"> reserves figure</w:t>
      </w:r>
      <w:r w:rsidR="00DF72B6">
        <w:rPr>
          <w:rFonts w:eastAsia="Times New Roman"/>
        </w:rPr>
        <w:t>s</w:t>
      </w:r>
      <w:r w:rsidR="00C10885">
        <w:rPr>
          <w:rFonts w:eastAsia="Times New Roman"/>
        </w:rPr>
        <w:t xml:space="preserve"> in reference to </w:t>
      </w:r>
      <w:r w:rsidR="00DD47DC">
        <w:rPr>
          <w:rFonts w:eastAsia="Times New Roman"/>
        </w:rPr>
        <w:t>other</w:t>
      </w:r>
      <w:r w:rsidR="00C10885">
        <w:rPr>
          <w:rFonts w:eastAsia="Times New Roman"/>
        </w:rPr>
        <w:t xml:space="preserve"> relevant</w:t>
      </w:r>
      <w:r w:rsidR="00DD47DC">
        <w:rPr>
          <w:rFonts w:eastAsia="Times New Roman"/>
        </w:rPr>
        <w:t xml:space="preserve"> financial</w:t>
      </w:r>
      <w:r w:rsidR="00C10885">
        <w:rPr>
          <w:rFonts w:eastAsia="Times New Roman"/>
        </w:rPr>
        <w:t xml:space="preserve"> information given in the Trustees’ Annual Report and Accounts. Each figure was </w:t>
      </w:r>
      <w:r w:rsidR="00DC6E6E">
        <w:rPr>
          <w:rFonts w:eastAsia="Times New Roman"/>
        </w:rPr>
        <w:t>assessed</w:t>
      </w:r>
      <w:r w:rsidR="00C10885">
        <w:rPr>
          <w:rFonts w:eastAsia="Times New Roman"/>
        </w:rPr>
        <w:t xml:space="preserve"> based on the following criteria:</w:t>
      </w:r>
    </w:p>
    <w:p w14:paraId="60925121" w14:textId="65AA6117" w:rsidR="00A56B9E" w:rsidRDefault="00CD1746" w:rsidP="00A56B9E">
      <w:pPr>
        <w:ind w:left="709"/>
        <w:rPr>
          <w:rFonts w:eastAsia="Times New Roman"/>
        </w:rPr>
      </w:pPr>
      <w:r w:rsidRPr="003A1C37">
        <w:rPr>
          <w:rFonts w:eastAsia="Times New Roman"/>
          <w:b/>
          <w:bCs/>
        </w:rPr>
        <w:t>Match</w:t>
      </w:r>
      <w:r w:rsidR="00A56B9E">
        <w:rPr>
          <w:rFonts w:eastAsia="Times New Roman"/>
        </w:rPr>
        <w:t xml:space="preserve">: The figure given </w:t>
      </w:r>
      <w:r w:rsidRPr="00CD1746">
        <w:rPr>
          <w:rFonts w:eastAsia="Times New Roman"/>
          <w:b/>
          <w:bCs/>
        </w:rPr>
        <w:t>matches</w:t>
      </w:r>
      <w:r w:rsidR="00A56B9E">
        <w:rPr>
          <w:rFonts w:eastAsia="Times New Roman"/>
        </w:rPr>
        <w:t xml:space="preserve"> </w:t>
      </w:r>
      <w:r w:rsidR="00DD47DC">
        <w:rPr>
          <w:rFonts w:eastAsia="Times New Roman"/>
        </w:rPr>
        <w:t>-</w:t>
      </w:r>
      <w:r w:rsidR="00710DD2">
        <w:rPr>
          <w:rFonts w:eastAsia="Times New Roman"/>
        </w:rPr>
        <w:t xml:space="preserve"> is equal to - </w:t>
      </w:r>
      <w:r w:rsidR="00A56B9E">
        <w:rPr>
          <w:rFonts w:eastAsia="Times New Roman"/>
        </w:rPr>
        <w:t>the</w:t>
      </w:r>
      <w:r w:rsidR="00A239DE">
        <w:rPr>
          <w:rFonts w:eastAsia="Times New Roman"/>
        </w:rPr>
        <w:t xml:space="preserve"> CCEW/OSCR</w:t>
      </w:r>
      <w:r w:rsidR="00A56B9E">
        <w:rPr>
          <w:rFonts w:eastAsia="Times New Roman"/>
        </w:rPr>
        <w:t xml:space="preserve"> definition of reserves</w:t>
      </w:r>
      <w:r w:rsidR="00A239DE">
        <w:rPr>
          <w:rFonts w:eastAsia="Times New Roman"/>
        </w:rPr>
        <w:t>, as</w:t>
      </w:r>
      <w:r w:rsidR="00A56B9E">
        <w:rPr>
          <w:rFonts w:eastAsia="Times New Roman"/>
        </w:rPr>
        <w:t xml:space="preserve"> given above</w:t>
      </w:r>
      <w:r w:rsidR="00710DD2">
        <w:rPr>
          <w:rFonts w:eastAsia="Times New Roman"/>
        </w:rPr>
        <w:t xml:space="preserve">. </w:t>
      </w:r>
      <w:r w:rsidR="00A56B9E">
        <w:rPr>
          <w:rFonts w:eastAsia="Times New Roman"/>
        </w:rPr>
        <w:t xml:space="preserve"> </w:t>
      </w:r>
    </w:p>
    <w:p w14:paraId="17B37076" w14:textId="73DBBB19" w:rsidR="00A56B9E" w:rsidRDefault="00CD1746" w:rsidP="003A1C37">
      <w:pPr>
        <w:spacing w:after="0"/>
        <w:ind w:left="709"/>
        <w:rPr>
          <w:rFonts w:eastAsia="Times New Roman"/>
        </w:rPr>
      </w:pPr>
      <w:r w:rsidRPr="003A1C37">
        <w:rPr>
          <w:rFonts w:eastAsia="Times New Roman"/>
          <w:b/>
          <w:bCs/>
        </w:rPr>
        <w:lastRenderedPageBreak/>
        <w:t>Overestimate</w:t>
      </w:r>
      <w:r w:rsidR="00A56B9E">
        <w:rPr>
          <w:rFonts w:eastAsia="Times New Roman"/>
        </w:rPr>
        <w:t xml:space="preserve">: The figure given </w:t>
      </w:r>
      <w:r w:rsidR="00A56B9E" w:rsidRPr="00CD1746">
        <w:rPr>
          <w:rFonts w:eastAsia="Times New Roman"/>
          <w:b/>
          <w:bCs/>
        </w:rPr>
        <w:t>overstates</w:t>
      </w:r>
      <w:r w:rsidR="00A56B9E">
        <w:rPr>
          <w:rFonts w:eastAsia="Times New Roman"/>
        </w:rPr>
        <w:t xml:space="preserve"> reserves in comparison to the </w:t>
      </w:r>
      <w:r w:rsidR="00A239DE">
        <w:rPr>
          <w:rFonts w:eastAsia="Times New Roman"/>
        </w:rPr>
        <w:t xml:space="preserve">CCEW/OSCR </w:t>
      </w:r>
      <w:r w:rsidR="00A56B9E">
        <w:rPr>
          <w:rFonts w:eastAsia="Times New Roman"/>
        </w:rPr>
        <w:t>definition of reserves</w:t>
      </w:r>
      <w:r>
        <w:rPr>
          <w:rFonts w:eastAsia="Times New Roman"/>
        </w:rPr>
        <w:t>.</w:t>
      </w:r>
      <w:r w:rsidR="003A1C37">
        <w:rPr>
          <w:rFonts w:eastAsia="Times New Roman"/>
        </w:rPr>
        <w:t xml:space="preserve"> For the longitudinal analysis as detailed under Finding 2, this figure was further differentiated between:</w:t>
      </w:r>
    </w:p>
    <w:p w14:paraId="5957A356" w14:textId="148AF3CF" w:rsidR="003A1C37" w:rsidRDefault="003A1C37" w:rsidP="003A1C37">
      <w:pPr>
        <w:pStyle w:val="ListParagraph"/>
        <w:numPr>
          <w:ilvl w:val="1"/>
          <w:numId w:val="2"/>
        </w:numPr>
        <w:rPr>
          <w:rFonts w:eastAsia="Times New Roman"/>
        </w:rPr>
      </w:pPr>
      <w:r>
        <w:rPr>
          <w:rFonts w:eastAsia="Times New Roman"/>
        </w:rPr>
        <w:t>Those that stated a figure that matches total unrestricted funds.</w:t>
      </w:r>
    </w:p>
    <w:p w14:paraId="31B819B7" w14:textId="101CE9FD" w:rsidR="003A1C37" w:rsidRPr="003A1C37" w:rsidRDefault="003A1C37" w:rsidP="003A1C37">
      <w:pPr>
        <w:pStyle w:val="ListParagraph"/>
        <w:numPr>
          <w:ilvl w:val="1"/>
          <w:numId w:val="2"/>
        </w:numPr>
        <w:spacing w:after="160"/>
        <w:ind w:left="1644" w:hanging="357"/>
        <w:rPr>
          <w:rFonts w:eastAsia="Times New Roman"/>
        </w:rPr>
      </w:pPr>
      <w:r>
        <w:rPr>
          <w:rFonts w:eastAsia="Times New Roman"/>
        </w:rPr>
        <w:t xml:space="preserve">Charities that stated a figure that overstated reserves in comparison to the CCEW/OSCR other than by stating a figure that matches total unrestricted funds. </w:t>
      </w:r>
    </w:p>
    <w:p w14:paraId="4CC8DD03" w14:textId="6960504A" w:rsidR="00A56B9E" w:rsidRDefault="00CD1746" w:rsidP="00A56B9E">
      <w:pPr>
        <w:ind w:left="709"/>
        <w:rPr>
          <w:rFonts w:eastAsia="Times New Roman"/>
        </w:rPr>
      </w:pPr>
      <w:r w:rsidRPr="003A1C37">
        <w:rPr>
          <w:rFonts w:eastAsia="Times New Roman"/>
          <w:b/>
          <w:bCs/>
        </w:rPr>
        <w:t>Underestimate</w:t>
      </w:r>
      <w:r w:rsidR="00A56B9E">
        <w:rPr>
          <w:rFonts w:eastAsia="Times New Roman"/>
        </w:rPr>
        <w:t xml:space="preserve">: The figure given </w:t>
      </w:r>
      <w:r w:rsidR="00A56B9E" w:rsidRPr="00CD1746">
        <w:rPr>
          <w:rFonts w:eastAsia="Times New Roman"/>
          <w:b/>
          <w:bCs/>
        </w:rPr>
        <w:t>understates</w:t>
      </w:r>
      <w:r w:rsidR="00A56B9E">
        <w:rPr>
          <w:rFonts w:eastAsia="Times New Roman"/>
        </w:rPr>
        <w:t xml:space="preserve"> reserves in comparison to the </w:t>
      </w:r>
      <w:r w:rsidR="00A239DE">
        <w:rPr>
          <w:rFonts w:eastAsia="Times New Roman"/>
        </w:rPr>
        <w:t xml:space="preserve">CCEW/OSCR </w:t>
      </w:r>
      <w:r w:rsidR="00A56B9E">
        <w:rPr>
          <w:rFonts w:eastAsia="Times New Roman"/>
        </w:rPr>
        <w:t xml:space="preserve">definition of reserves. </w:t>
      </w:r>
    </w:p>
    <w:p w14:paraId="66AC1264" w14:textId="545B8D3D" w:rsidR="00DD47DC" w:rsidRPr="00C10885" w:rsidRDefault="00DD47DC" w:rsidP="00DC6E6E">
      <w:pPr>
        <w:rPr>
          <w:rFonts w:eastAsia="Times New Roman"/>
        </w:rPr>
      </w:pPr>
      <w:r>
        <w:rPr>
          <w:rFonts w:eastAsia="Times New Roman"/>
        </w:rPr>
        <w:t>S</w:t>
      </w:r>
      <w:r w:rsidR="00C10885">
        <w:rPr>
          <w:rFonts w:eastAsia="Times New Roman"/>
        </w:rPr>
        <w:t xml:space="preserve">ome </w:t>
      </w:r>
      <w:r>
        <w:rPr>
          <w:rFonts w:eastAsia="Times New Roman"/>
        </w:rPr>
        <w:t>reported reserves figures</w:t>
      </w:r>
      <w:r w:rsidR="00C10885">
        <w:rPr>
          <w:rFonts w:eastAsia="Times New Roman"/>
        </w:rPr>
        <w:t xml:space="preserve"> were </w:t>
      </w:r>
      <w:r>
        <w:rPr>
          <w:rFonts w:eastAsia="Times New Roman"/>
        </w:rPr>
        <w:t xml:space="preserve">then </w:t>
      </w:r>
      <w:r w:rsidR="00C10885">
        <w:rPr>
          <w:rFonts w:eastAsia="Times New Roman"/>
        </w:rPr>
        <w:t xml:space="preserve">excluded at this stage as there was insufficient information given in the Trustees’ Annual Report and Accounts to verify the stated reserves figure. </w:t>
      </w:r>
    </w:p>
    <w:p w14:paraId="1F9E8742" w14:textId="6668CD3D" w:rsidR="00E91DAA" w:rsidRDefault="009B1946" w:rsidP="00E8115C">
      <w:pPr>
        <w:rPr>
          <w:rFonts w:eastAsia="Times New Roman"/>
        </w:rPr>
      </w:pPr>
      <w:r>
        <w:rPr>
          <w:rFonts w:eastAsia="Times New Roman"/>
        </w:rPr>
        <w:t xml:space="preserve">Appendix 1 </w:t>
      </w:r>
      <w:r w:rsidR="009605A5">
        <w:rPr>
          <w:rFonts w:eastAsia="Times New Roman"/>
        </w:rPr>
        <w:t xml:space="preserve">provides worked examples </w:t>
      </w:r>
      <w:r w:rsidR="00E32ACB">
        <w:rPr>
          <w:rFonts w:eastAsia="Times New Roman"/>
        </w:rPr>
        <w:t xml:space="preserve">of </w:t>
      </w:r>
      <w:r w:rsidR="000B13B4">
        <w:rPr>
          <w:rFonts w:eastAsia="Times New Roman"/>
        </w:rPr>
        <w:t xml:space="preserve">assessments that were deemed to </w:t>
      </w:r>
      <w:r w:rsidR="000B13B4" w:rsidRPr="00DC6E6E">
        <w:rPr>
          <w:rFonts w:eastAsia="Times New Roman"/>
          <w:i/>
          <w:iCs/>
        </w:rPr>
        <w:t>match</w:t>
      </w:r>
      <w:r w:rsidR="000B13B4">
        <w:rPr>
          <w:rFonts w:eastAsia="Times New Roman"/>
        </w:rPr>
        <w:t xml:space="preserve">, </w:t>
      </w:r>
      <w:r w:rsidR="000B13B4" w:rsidRPr="00DC6E6E">
        <w:rPr>
          <w:rFonts w:eastAsia="Times New Roman"/>
          <w:i/>
          <w:iCs/>
        </w:rPr>
        <w:t>overestimate</w:t>
      </w:r>
      <w:r w:rsidR="000B13B4">
        <w:rPr>
          <w:rFonts w:eastAsia="Times New Roman"/>
        </w:rPr>
        <w:t xml:space="preserve">, or </w:t>
      </w:r>
      <w:r w:rsidR="000B13B4" w:rsidRPr="00DC6E6E">
        <w:rPr>
          <w:rFonts w:eastAsia="Times New Roman"/>
          <w:i/>
          <w:iCs/>
        </w:rPr>
        <w:t>underestimate</w:t>
      </w:r>
      <w:r w:rsidR="000B13B4">
        <w:rPr>
          <w:rFonts w:eastAsia="Times New Roman"/>
        </w:rPr>
        <w:t xml:space="preserve"> reserves in line with the CCEW/OSCR definition of reserves.</w:t>
      </w:r>
    </w:p>
    <w:p w14:paraId="62A47F2F" w14:textId="548C3852" w:rsidR="00F60A2F" w:rsidRPr="00F60A2F" w:rsidRDefault="003D2D86" w:rsidP="00E8115C">
      <w:pPr>
        <w:rPr>
          <w:rFonts w:eastAsia="Times New Roman"/>
          <w:color w:val="FF0000"/>
        </w:rPr>
      </w:pPr>
      <w:r>
        <w:rPr>
          <w:rFonts w:eastAsia="Times New Roman"/>
        </w:rPr>
        <w:t>This data was collected and scored by two of this paper’s authors. Prior to data collection, the two authors worked together to ensure a clear understanding of the coding scheme</w:t>
      </w:r>
      <w:r w:rsidR="00ED58D1">
        <w:rPr>
          <w:rFonts w:eastAsia="Times New Roman"/>
        </w:rPr>
        <w:t xml:space="preserve">. After </w:t>
      </w:r>
      <w:r w:rsidR="00350F0E">
        <w:rPr>
          <w:rFonts w:eastAsia="Times New Roman"/>
        </w:rPr>
        <w:t>initial</w:t>
      </w:r>
      <w:r w:rsidR="00F60A2F">
        <w:rPr>
          <w:rFonts w:eastAsia="Times New Roman"/>
        </w:rPr>
        <w:t xml:space="preserve"> data collection, a random </w:t>
      </w:r>
      <w:r w:rsidR="0040572A">
        <w:rPr>
          <w:rFonts w:eastAsia="Times New Roman"/>
        </w:rPr>
        <w:t xml:space="preserve">of </w:t>
      </w:r>
      <w:r w:rsidR="007C7402">
        <w:rPr>
          <w:rFonts w:eastAsia="Times New Roman"/>
        </w:rPr>
        <w:t xml:space="preserve">sample of </w:t>
      </w:r>
      <w:r w:rsidR="0040572A" w:rsidRPr="00DD47DC">
        <w:rPr>
          <w:rFonts w:eastAsia="Times New Roman"/>
        </w:rPr>
        <w:t>10</w:t>
      </w:r>
      <w:r w:rsidRPr="00DD47DC">
        <w:rPr>
          <w:rFonts w:eastAsia="Times New Roman"/>
        </w:rPr>
        <w:t xml:space="preserve"> reported reserves figures in</w:t>
      </w:r>
      <w:r w:rsidR="0040572A" w:rsidRPr="00DD47DC">
        <w:rPr>
          <w:rFonts w:eastAsia="Times New Roman"/>
        </w:rPr>
        <w:t xml:space="preserve"> </w:t>
      </w:r>
      <w:r w:rsidRPr="00DD47DC">
        <w:rPr>
          <w:rFonts w:eastAsia="Times New Roman"/>
        </w:rPr>
        <w:t xml:space="preserve">Trustees’ </w:t>
      </w:r>
      <w:r w:rsidR="00DD2BB0" w:rsidRPr="00DD47DC">
        <w:rPr>
          <w:rFonts w:eastAsia="Times New Roman"/>
        </w:rPr>
        <w:t>Annual Reports and Accounts</w:t>
      </w:r>
      <w:r w:rsidR="00C672EA" w:rsidRPr="00DD47DC">
        <w:rPr>
          <w:rFonts w:eastAsia="Times New Roman"/>
        </w:rPr>
        <w:t xml:space="preserve"> </w:t>
      </w:r>
      <w:r w:rsidR="0040572A" w:rsidRPr="00DD47DC">
        <w:rPr>
          <w:rFonts w:eastAsia="Times New Roman"/>
        </w:rPr>
        <w:t>w</w:t>
      </w:r>
      <w:r w:rsidR="007C7402" w:rsidRPr="00DD47DC">
        <w:rPr>
          <w:rFonts w:eastAsia="Times New Roman"/>
        </w:rPr>
        <w:t xml:space="preserve">as analysed </w:t>
      </w:r>
      <w:r w:rsidR="00C672EA" w:rsidRPr="00DD47DC">
        <w:rPr>
          <w:rFonts w:eastAsia="Times New Roman"/>
        </w:rPr>
        <w:t xml:space="preserve">independently </w:t>
      </w:r>
      <w:r w:rsidR="007C7402" w:rsidRPr="00DD47DC">
        <w:rPr>
          <w:rFonts w:eastAsia="Times New Roman"/>
        </w:rPr>
        <w:t>by both authors to assess</w:t>
      </w:r>
      <w:r w:rsidR="00832D3E" w:rsidRPr="00DD47DC">
        <w:rPr>
          <w:rFonts w:eastAsia="Times New Roman"/>
        </w:rPr>
        <w:t xml:space="preserve"> </w:t>
      </w:r>
      <w:r w:rsidR="007C7402" w:rsidRPr="00DD47DC">
        <w:rPr>
          <w:rFonts w:eastAsia="Times New Roman"/>
        </w:rPr>
        <w:t>inter-</w:t>
      </w:r>
      <w:r w:rsidR="00192022" w:rsidRPr="00DD47DC">
        <w:rPr>
          <w:rFonts w:eastAsia="Times New Roman"/>
        </w:rPr>
        <w:t xml:space="preserve">rater </w:t>
      </w:r>
      <w:r w:rsidR="00AF272F" w:rsidRPr="00DD47DC">
        <w:rPr>
          <w:rFonts w:eastAsia="Times New Roman"/>
        </w:rPr>
        <w:t>consistency</w:t>
      </w:r>
      <w:r w:rsidRPr="00DC6E6E">
        <w:rPr>
          <w:rFonts w:eastAsia="Times New Roman"/>
        </w:rPr>
        <w:t xml:space="preserve">, which was confirmed with </w:t>
      </w:r>
      <w:r w:rsidR="00B21E7F" w:rsidRPr="00DC6E6E">
        <w:rPr>
          <w:rFonts w:eastAsia="Times New Roman"/>
        </w:rPr>
        <w:t>9</w:t>
      </w:r>
      <w:r w:rsidRPr="00DC6E6E">
        <w:rPr>
          <w:rFonts w:eastAsia="Times New Roman"/>
        </w:rPr>
        <w:t xml:space="preserve">0% consistency between the two </w:t>
      </w:r>
      <w:proofErr w:type="spellStart"/>
      <w:r w:rsidRPr="00DC6E6E">
        <w:rPr>
          <w:rFonts w:eastAsia="Times New Roman"/>
        </w:rPr>
        <w:t>raters</w:t>
      </w:r>
      <w:proofErr w:type="spellEnd"/>
      <w:r w:rsidR="00B21E7F" w:rsidRPr="00DC6E6E">
        <w:rPr>
          <w:rFonts w:eastAsia="Times New Roman"/>
        </w:rPr>
        <w:t xml:space="preserve">. Disagreement occurred as a result of inconsistency in </w:t>
      </w:r>
      <w:r w:rsidR="00DD47DC">
        <w:rPr>
          <w:rFonts w:eastAsia="Times New Roman"/>
        </w:rPr>
        <w:t>analysing</w:t>
      </w:r>
      <w:r w:rsidR="00B21E7F" w:rsidRPr="00DC6E6E">
        <w:rPr>
          <w:rFonts w:eastAsia="Times New Roman"/>
        </w:rPr>
        <w:t xml:space="preserve"> charity </w:t>
      </w:r>
      <w:r w:rsidR="00B21E7F" w:rsidRPr="002A7FCD">
        <w:rPr>
          <w:rFonts w:eastAsia="Times New Roman"/>
        </w:rPr>
        <w:t>or</w:t>
      </w:r>
      <w:r w:rsidR="00B21E7F" w:rsidRPr="00DC6E6E">
        <w:rPr>
          <w:rFonts w:eastAsia="Times New Roman"/>
        </w:rPr>
        <w:t xml:space="preserve"> group accounts</w:t>
      </w:r>
      <w:r w:rsidR="00DD47DC">
        <w:rPr>
          <w:rFonts w:eastAsia="Times New Roman"/>
        </w:rPr>
        <w:t>, where both are reported</w:t>
      </w:r>
      <w:r w:rsidR="00B21E7F" w:rsidRPr="00DC6E6E">
        <w:rPr>
          <w:rFonts w:eastAsia="Times New Roman"/>
        </w:rPr>
        <w:t>; the authors reconfirmed that group accounts would be used, in line with SORP guidance.</w:t>
      </w:r>
      <w:r w:rsidRPr="00DC6E6E">
        <w:rPr>
          <w:rFonts w:eastAsia="Times New Roman"/>
        </w:rPr>
        <w:t xml:space="preserve"> </w:t>
      </w:r>
      <w:r w:rsidR="002364B4" w:rsidRPr="002364B4">
        <w:rPr>
          <w:rFonts w:eastAsia="Times New Roman"/>
          <w:color w:val="000000" w:themeColor="text1"/>
        </w:rPr>
        <w:t>All</w:t>
      </w:r>
      <w:r w:rsidR="00510CDE">
        <w:rPr>
          <w:rFonts w:eastAsia="Times New Roman"/>
          <w:color w:val="000000" w:themeColor="text1"/>
        </w:rPr>
        <w:t xml:space="preserve"> data were collected between January and March 2022.</w:t>
      </w:r>
    </w:p>
    <w:p w14:paraId="67624AF2" w14:textId="2D9B45EC" w:rsidR="00AF34BC" w:rsidRPr="00A56B9E" w:rsidRDefault="00A56B9E" w:rsidP="00E8115C">
      <w:pPr>
        <w:rPr>
          <w:rFonts w:eastAsia="Times New Roman"/>
          <w:b/>
          <w:bCs/>
        </w:rPr>
      </w:pPr>
      <w:r w:rsidRPr="00A56B9E">
        <w:rPr>
          <w:rFonts w:eastAsia="Times New Roman"/>
          <w:b/>
          <w:bCs/>
        </w:rPr>
        <w:t>Findings</w:t>
      </w:r>
    </w:p>
    <w:p w14:paraId="570E4CCA" w14:textId="4BCEA6C4" w:rsidR="00710DD2" w:rsidRDefault="00A239DE" w:rsidP="00A56B9E">
      <w:pPr>
        <w:rPr>
          <w:rFonts w:eastAsia="Times New Roman"/>
        </w:rPr>
      </w:pPr>
      <w:r>
        <w:rPr>
          <w:rFonts w:eastAsia="Times New Roman"/>
        </w:rPr>
        <w:t xml:space="preserve">The findings below present data </w:t>
      </w:r>
      <w:r w:rsidR="00DD53D5">
        <w:rPr>
          <w:rFonts w:eastAsia="Times New Roman"/>
        </w:rPr>
        <w:t>from</w:t>
      </w:r>
      <w:r w:rsidR="006E4FBC">
        <w:rPr>
          <w:rFonts w:eastAsia="Times New Roman"/>
        </w:rPr>
        <w:t xml:space="preserve">: </w:t>
      </w:r>
      <w:r w:rsidR="00AF34BC">
        <w:rPr>
          <w:rFonts w:eastAsia="Times New Roman"/>
        </w:rPr>
        <w:t>1,5</w:t>
      </w:r>
      <w:r w:rsidR="002A4A3B">
        <w:rPr>
          <w:rFonts w:eastAsia="Times New Roman"/>
        </w:rPr>
        <w:t>2</w:t>
      </w:r>
      <w:r w:rsidR="00AF34BC">
        <w:rPr>
          <w:rFonts w:eastAsia="Times New Roman"/>
        </w:rPr>
        <w:t xml:space="preserve">8 </w:t>
      </w:r>
      <w:r w:rsidR="00564C8C">
        <w:rPr>
          <w:rFonts w:eastAsia="Times New Roman"/>
        </w:rPr>
        <w:t>English and Welsh charity Annual Returns</w:t>
      </w:r>
      <w:r w:rsidR="00AF34BC">
        <w:rPr>
          <w:rFonts w:eastAsia="Times New Roman"/>
        </w:rPr>
        <w:t xml:space="preserve"> between 2016 and 2021; 1,322 reported reserves figures given in English and Welsh </w:t>
      </w:r>
      <w:r w:rsidR="00EF4144">
        <w:rPr>
          <w:rFonts w:eastAsia="Times New Roman"/>
        </w:rPr>
        <w:t xml:space="preserve">charities’ </w:t>
      </w:r>
      <w:r w:rsidR="00ED58D1">
        <w:rPr>
          <w:rFonts w:eastAsia="Times New Roman"/>
        </w:rPr>
        <w:t xml:space="preserve">Trustees’ </w:t>
      </w:r>
      <w:r w:rsidR="00AF34BC">
        <w:rPr>
          <w:rFonts w:eastAsia="Times New Roman"/>
        </w:rPr>
        <w:t xml:space="preserve">Annual Reports and Accounts between 2016 and 2021; and </w:t>
      </w:r>
      <w:r w:rsidR="00EF4144">
        <w:rPr>
          <w:rFonts w:eastAsia="Times New Roman"/>
        </w:rPr>
        <w:t xml:space="preserve">355 reported reserves figures given in Scottish charities’ </w:t>
      </w:r>
      <w:r w:rsidR="00ED58D1">
        <w:rPr>
          <w:rFonts w:eastAsia="Times New Roman"/>
        </w:rPr>
        <w:t xml:space="preserve">Trustees’ </w:t>
      </w:r>
      <w:r w:rsidR="00EF4144">
        <w:rPr>
          <w:rFonts w:eastAsia="Times New Roman"/>
        </w:rPr>
        <w:t>Annual Reports and Accounts between 201</w:t>
      </w:r>
      <w:r w:rsidR="00564C8C">
        <w:rPr>
          <w:rFonts w:eastAsia="Times New Roman"/>
        </w:rPr>
        <w:t>9</w:t>
      </w:r>
      <w:r w:rsidR="00EF4144">
        <w:rPr>
          <w:rFonts w:eastAsia="Times New Roman"/>
        </w:rPr>
        <w:t xml:space="preserve"> and 2021. </w:t>
      </w:r>
      <w:r w:rsidR="00A0287A">
        <w:rPr>
          <w:rFonts w:eastAsia="Times New Roman"/>
        </w:rPr>
        <w:t>As described above, in</w:t>
      </w:r>
      <w:r w:rsidR="00D21DEF">
        <w:rPr>
          <w:rFonts w:eastAsia="Times New Roman"/>
        </w:rPr>
        <w:t xml:space="preserve"> each year the </w:t>
      </w:r>
      <w:r w:rsidR="00710DD2">
        <w:rPr>
          <w:rFonts w:eastAsia="Times New Roman"/>
        </w:rPr>
        <w:t xml:space="preserve">data excludes </w:t>
      </w:r>
      <w:r w:rsidR="00D21DEF">
        <w:rPr>
          <w:rFonts w:eastAsia="Times New Roman"/>
        </w:rPr>
        <w:t xml:space="preserve">a small proportion of </w:t>
      </w:r>
      <w:r w:rsidR="00710DD2">
        <w:rPr>
          <w:rFonts w:eastAsia="Times New Roman"/>
        </w:rPr>
        <w:t xml:space="preserve">observations </w:t>
      </w:r>
      <w:r w:rsidR="00D21DEF">
        <w:rPr>
          <w:rFonts w:eastAsia="Times New Roman"/>
        </w:rPr>
        <w:t xml:space="preserve">for which </w:t>
      </w:r>
      <w:r w:rsidR="00710DD2">
        <w:rPr>
          <w:rFonts w:eastAsia="Times New Roman"/>
        </w:rPr>
        <w:t>there was insufficient data in the</w:t>
      </w:r>
      <w:r w:rsidR="00D21DEF">
        <w:rPr>
          <w:rFonts w:eastAsia="Times New Roman"/>
        </w:rPr>
        <w:t xml:space="preserve"> Annual</w:t>
      </w:r>
      <w:r w:rsidR="00710DD2">
        <w:rPr>
          <w:rFonts w:eastAsia="Times New Roman"/>
        </w:rPr>
        <w:t xml:space="preserve"> Accounts to accurately analyse the reserves figure</w:t>
      </w:r>
      <w:r w:rsidR="00D21DEF">
        <w:rPr>
          <w:rFonts w:eastAsia="Times New Roman"/>
        </w:rPr>
        <w:t xml:space="preserve"> reported in the Annual Return or Trustees’ Annual Reports</w:t>
      </w:r>
      <w:r w:rsidR="00A0287A">
        <w:rPr>
          <w:rFonts w:eastAsia="Times New Roman"/>
        </w:rPr>
        <w:t xml:space="preserve"> and Accounts</w:t>
      </w:r>
      <w:r w:rsidR="00710DD2">
        <w:rPr>
          <w:rFonts w:eastAsia="Times New Roman"/>
        </w:rPr>
        <w:t xml:space="preserve">. </w:t>
      </w:r>
    </w:p>
    <w:p w14:paraId="26A84F1C" w14:textId="50E14CE9" w:rsidR="00AF34BC" w:rsidRDefault="00EF4144" w:rsidP="00A56B9E">
      <w:pPr>
        <w:rPr>
          <w:rFonts w:eastAsia="Times New Roman"/>
        </w:rPr>
      </w:pPr>
      <w:r>
        <w:rPr>
          <w:rFonts w:eastAsia="Times New Roman"/>
        </w:rPr>
        <w:t xml:space="preserve">The breakdown of observations </w:t>
      </w:r>
      <w:r w:rsidR="00DD53D5">
        <w:rPr>
          <w:rFonts w:eastAsia="Times New Roman"/>
        </w:rPr>
        <w:t xml:space="preserve">by year </w:t>
      </w:r>
      <w:r>
        <w:rPr>
          <w:rFonts w:eastAsia="Times New Roman"/>
        </w:rPr>
        <w:t xml:space="preserve">is shown in Table 1, below. </w:t>
      </w:r>
    </w:p>
    <w:p w14:paraId="6E506EA4" w14:textId="77777777" w:rsidR="00470C1D" w:rsidRDefault="00470C1D" w:rsidP="00A56B9E">
      <w:pPr>
        <w:rPr>
          <w:rFonts w:eastAsia="Times New Roman"/>
        </w:rPr>
      </w:pPr>
    </w:p>
    <w:p w14:paraId="447B6694" w14:textId="534D2069" w:rsidR="00EF4144" w:rsidRPr="00AF34BC" w:rsidRDefault="00470C1D" w:rsidP="00470C1D">
      <w:pPr>
        <w:jc w:val="center"/>
        <w:rPr>
          <w:rFonts w:eastAsia="Times New Roman"/>
        </w:rPr>
      </w:pPr>
      <w:r>
        <w:rPr>
          <w:rFonts w:eastAsia="Times New Roman"/>
        </w:rPr>
        <w:t>Table 1 about here</w:t>
      </w:r>
    </w:p>
    <w:p w14:paraId="1CAC07A5" w14:textId="77777777" w:rsidR="00470C1D" w:rsidRDefault="00470C1D" w:rsidP="00CD1746">
      <w:pPr>
        <w:rPr>
          <w:rFonts w:eastAsia="Times New Roman"/>
          <w:b/>
          <w:bCs/>
        </w:rPr>
      </w:pPr>
    </w:p>
    <w:p w14:paraId="5D16C260" w14:textId="11622A6E" w:rsidR="000845AA" w:rsidRDefault="00A56B9E" w:rsidP="00CD1746">
      <w:pPr>
        <w:rPr>
          <w:rFonts w:eastAsia="Times New Roman"/>
          <w:b/>
          <w:bCs/>
        </w:rPr>
      </w:pPr>
      <w:r w:rsidRPr="00A56B9E">
        <w:rPr>
          <w:rFonts w:eastAsia="Times New Roman"/>
          <w:b/>
          <w:bCs/>
        </w:rPr>
        <w:t>Key Finding 1:</w:t>
      </w:r>
      <w:r w:rsidR="00E8115C" w:rsidRPr="00A56B9E">
        <w:rPr>
          <w:rFonts w:eastAsia="Times New Roman"/>
        </w:rPr>
        <w:t xml:space="preserve"> </w:t>
      </w:r>
      <w:r w:rsidR="00CD1746" w:rsidRPr="000845AA">
        <w:rPr>
          <w:rFonts w:eastAsia="Times New Roman"/>
          <w:b/>
          <w:bCs/>
        </w:rPr>
        <w:t xml:space="preserve">Analysis of </w:t>
      </w:r>
      <w:r w:rsidR="000845AA">
        <w:rPr>
          <w:rFonts w:eastAsia="Times New Roman"/>
          <w:b/>
          <w:bCs/>
        </w:rPr>
        <w:t xml:space="preserve">both Annual Returns (for England and Wales) and </w:t>
      </w:r>
      <w:r w:rsidR="00A0287A">
        <w:rPr>
          <w:rFonts w:eastAsia="Times New Roman"/>
          <w:b/>
          <w:bCs/>
        </w:rPr>
        <w:t xml:space="preserve">Trustees’ </w:t>
      </w:r>
      <w:r w:rsidR="000845AA">
        <w:rPr>
          <w:rFonts w:eastAsia="Times New Roman"/>
          <w:b/>
          <w:bCs/>
        </w:rPr>
        <w:t>Annual Reports and Accounts (England, Wales and Scotland)</w:t>
      </w:r>
      <w:r w:rsidR="00CD1746" w:rsidRPr="000845AA">
        <w:rPr>
          <w:rFonts w:eastAsia="Times New Roman"/>
          <w:b/>
          <w:bCs/>
        </w:rPr>
        <w:t xml:space="preserve"> reveals a notable proportion of charities are reporting reserves figures that do not match the definition of reserves given by CCEW/OSCR. </w:t>
      </w:r>
      <w:r w:rsidR="00A0727E">
        <w:rPr>
          <w:rFonts w:eastAsia="Times New Roman"/>
          <w:b/>
          <w:bCs/>
        </w:rPr>
        <w:t>A</w:t>
      </w:r>
      <w:r w:rsidR="000845AA">
        <w:rPr>
          <w:rFonts w:eastAsia="Times New Roman"/>
          <w:b/>
          <w:bCs/>
        </w:rPr>
        <w:t xml:space="preserve">nnual Returns submitted by English and Welsh charities are particularly unreliable. </w:t>
      </w:r>
    </w:p>
    <w:p w14:paraId="517DF696" w14:textId="076613A8" w:rsidR="000845AA" w:rsidRDefault="00A239DE" w:rsidP="00CD1746">
      <w:pPr>
        <w:rPr>
          <w:rFonts w:eastAsia="Times New Roman"/>
        </w:rPr>
      </w:pPr>
      <w:r>
        <w:rPr>
          <w:rFonts w:eastAsia="Times New Roman"/>
        </w:rPr>
        <w:t>The findings detailed</w:t>
      </w:r>
      <w:r w:rsidR="00AF2C41">
        <w:rPr>
          <w:rFonts w:eastAsia="Times New Roman"/>
        </w:rPr>
        <w:t xml:space="preserve"> in Table 2</w:t>
      </w:r>
      <w:r>
        <w:rPr>
          <w:rFonts w:eastAsia="Times New Roman"/>
        </w:rPr>
        <w:t xml:space="preserve"> below suggest</w:t>
      </w:r>
      <w:r w:rsidR="00DD53D5">
        <w:rPr>
          <w:rFonts w:eastAsia="Times New Roman"/>
        </w:rPr>
        <w:t xml:space="preserve"> that</w:t>
      </w:r>
      <w:r w:rsidR="000845AA">
        <w:rPr>
          <w:rFonts w:eastAsia="Times New Roman"/>
        </w:rPr>
        <w:t>,</w:t>
      </w:r>
      <w:r>
        <w:rPr>
          <w:rFonts w:eastAsia="Times New Roman"/>
        </w:rPr>
        <w:t xml:space="preserve"> </w:t>
      </w:r>
      <w:r w:rsidR="000845AA">
        <w:rPr>
          <w:rFonts w:eastAsia="Times New Roman"/>
        </w:rPr>
        <w:t>o</w:t>
      </w:r>
      <w:r w:rsidR="00710DD2">
        <w:rPr>
          <w:rFonts w:eastAsia="Times New Roman"/>
        </w:rPr>
        <w:t xml:space="preserve">n average, just 37.0% of </w:t>
      </w:r>
      <w:r w:rsidR="00B23389">
        <w:rPr>
          <w:rFonts w:eastAsia="Times New Roman"/>
        </w:rPr>
        <w:t>all verifiable 1,528 reported reserves figures in</w:t>
      </w:r>
      <w:r w:rsidR="00ED58D1">
        <w:rPr>
          <w:rFonts w:eastAsia="Times New Roman"/>
        </w:rPr>
        <w:t xml:space="preserve"> English and Welsh charities’</w:t>
      </w:r>
      <w:r w:rsidR="00710DD2">
        <w:rPr>
          <w:rFonts w:eastAsia="Times New Roman"/>
        </w:rPr>
        <w:t xml:space="preserve"> Annual Returns match the CCEW/OSCR definition of reserves.</w:t>
      </w:r>
      <w:r w:rsidR="000845AA">
        <w:rPr>
          <w:rFonts w:eastAsia="Times New Roman"/>
        </w:rPr>
        <w:t xml:space="preserve"> </w:t>
      </w:r>
    </w:p>
    <w:p w14:paraId="53F5B889" w14:textId="4313B111" w:rsidR="00710DD2" w:rsidRPr="00CD1746" w:rsidRDefault="000845AA" w:rsidP="00CD1746">
      <w:pPr>
        <w:rPr>
          <w:rFonts w:eastAsia="Times New Roman"/>
        </w:rPr>
      </w:pPr>
      <w:r>
        <w:rPr>
          <w:rFonts w:eastAsia="Times New Roman"/>
        </w:rPr>
        <w:t>T</w:t>
      </w:r>
      <w:r w:rsidR="00710DD2">
        <w:rPr>
          <w:rFonts w:eastAsia="Times New Roman"/>
        </w:rPr>
        <w:t xml:space="preserve">he figure stated in charities’ </w:t>
      </w:r>
      <w:r w:rsidR="00A0287A">
        <w:rPr>
          <w:rFonts w:eastAsia="Times New Roman"/>
        </w:rPr>
        <w:t xml:space="preserve">Trustees’ </w:t>
      </w:r>
      <w:r w:rsidR="00710DD2">
        <w:rPr>
          <w:rFonts w:eastAsia="Times New Roman"/>
        </w:rPr>
        <w:t>Annual Reports and Accounts has a higher degree of consistency with the CCEW/OSCR definition of reserves</w:t>
      </w:r>
      <w:r>
        <w:rPr>
          <w:rFonts w:eastAsia="Times New Roman"/>
        </w:rPr>
        <w:t>, however</w:t>
      </w:r>
      <w:r w:rsidR="00424E2F">
        <w:rPr>
          <w:rFonts w:eastAsia="Times New Roman"/>
        </w:rPr>
        <w:t>,</w:t>
      </w:r>
      <w:r>
        <w:rPr>
          <w:rFonts w:eastAsia="Times New Roman"/>
        </w:rPr>
        <w:t xml:space="preserve"> a notable minority of charities </w:t>
      </w:r>
      <w:r>
        <w:rPr>
          <w:rFonts w:eastAsia="Times New Roman"/>
        </w:rPr>
        <w:lastRenderedPageBreak/>
        <w:t>report a figure that does not match this definition</w:t>
      </w:r>
      <w:r w:rsidR="00710DD2">
        <w:rPr>
          <w:rFonts w:eastAsia="Times New Roman"/>
        </w:rPr>
        <w:t xml:space="preserve">. </w:t>
      </w:r>
      <w:r w:rsidR="00564C8C">
        <w:rPr>
          <w:rFonts w:eastAsia="Times New Roman"/>
        </w:rPr>
        <w:t xml:space="preserve">On average, </w:t>
      </w:r>
      <w:r w:rsidR="00710DD2">
        <w:rPr>
          <w:rFonts w:eastAsia="Times New Roman"/>
        </w:rPr>
        <w:t xml:space="preserve">63.0% of verifiable figures given in English and Welsh charities’ </w:t>
      </w:r>
      <w:r>
        <w:rPr>
          <w:rFonts w:eastAsia="Times New Roman"/>
        </w:rPr>
        <w:t>A</w:t>
      </w:r>
      <w:r w:rsidR="00710DD2">
        <w:rPr>
          <w:rFonts w:eastAsia="Times New Roman"/>
        </w:rPr>
        <w:t xml:space="preserve">nnual </w:t>
      </w:r>
      <w:r>
        <w:rPr>
          <w:rFonts w:eastAsia="Times New Roman"/>
        </w:rPr>
        <w:t>R</w:t>
      </w:r>
      <w:r w:rsidR="00710DD2">
        <w:rPr>
          <w:rFonts w:eastAsia="Times New Roman"/>
        </w:rPr>
        <w:t xml:space="preserve">eports </w:t>
      </w:r>
      <w:r>
        <w:rPr>
          <w:rFonts w:eastAsia="Times New Roman"/>
        </w:rPr>
        <w:t xml:space="preserve">and Accounts </w:t>
      </w:r>
      <w:r w:rsidR="00710DD2">
        <w:rPr>
          <w:rFonts w:eastAsia="Times New Roman"/>
        </w:rPr>
        <w:t xml:space="preserve">match </w:t>
      </w:r>
      <w:r>
        <w:rPr>
          <w:rFonts w:eastAsia="Times New Roman"/>
        </w:rPr>
        <w:t>the CCEW/OSCR definition of reserves</w:t>
      </w:r>
      <w:r w:rsidR="00E31142">
        <w:rPr>
          <w:rFonts w:eastAsia="Times New Roman"/>
        </w:rPr>
        <w:t xml:space="preserve"> (Table 3)</w:t>
      </w:r>
      <w:r w:rsidR="00710DD2">
        <w:rPr>
          <w:rFonts w:eastAsia="Times New Roman"/>
        </w:rPr>
        <w:t xml:space="preserve">, while </w:t>
      </w:r>
      <w:r w:rsidR="00564C8C">
        <w:rPr>
          <w:rFonts w:eastAsia="Times New Roman"/>
        </w:rPr>
        <w:t xml:space="preserve">on average </w:t>
      </w:r>
      <w:r w:rsidR="00710DD2">
        <w:rPr>
          <w:rFonts w:eastAsia="Times New Roman"/>
        </w:rPr>
        <w:t>72.7% of</w:t>
      </w:r>
      <w:r w:rsidR="00564C8C">
        <w:rPr>
          <w:rFonts w:eastAsia="Times New Roman"/>
        </w:rPr>
        <w:t xml:space="preserve"> verifiable</w:t>
      </w:r>
      <w:r w:rsidR="00710DD2">
        <w:rPr>
          <w:rFonts w:eastAsia="Times New Roman"/>
        </w:rPr>
        <w:t xml:space="preserve"> figures given in Scottish charities’ Annual Reports and Accounts match the definition</w:t>
      </w:r>
      <w:r w:rsidR="00E31142">
        <w:rPr>
          <w:rFonts w:eastAsia="Times New Roman"/>
        </w:rPr>
        <w:t xml:space="preserve"> (Table 4)</w:t>
      </w:r>
      <w:r w:rsidR="00710DD2">
        <w:rPr>
          <w:rFonts w:eastAsia="Times New Roman"/>
        </w:rPr>
        <w:t xml:space="preserve">. </w:t>
      </w:r>
    </w:p>
    <w:p w14:paraId="05798AC3" w14:textId="6E544862" w:rsidR="00054742" w:rsidRDefault="00054742" w:rsidP="00A56B9E">
      <w:pPr>
        <w:rPr>
          <w:rFonts w:eastAsia="Times New Roman"/>
          <w:i/>
          <w:iCs/>
        </w:rPr>
      </w:pPr>
      <w:r>
        <w:rPr>
          <w:rFonts w:eastAsia="Times New Roman"/>
          <w:i/>
          <w:iCs/>
        </w:rPr>
        <w:t>Annual Returns</w:t>
      </w:r>
      <w:r w:rsidR="00A0287A">
        <w:rPr>
          <w:rFonts w:eastAsia="Times New Roman"/>
          <w:i/>
          <w:iCs/>
        </w:rPr>
        <w:t>: English and Welsh charities only</w:t>
      </w:r>
    </w:p>
    <w:p w14:paraId="60D301B1" w14:textId="679C167F" w:rsidR="00E8115C" w:rsidRDefault="00054742" w:rsidP="00054742">
      <w:pPr>
        <w:rPr>
          <w:rFonts w:eastAsia="Times New Roman"/>
        </w:rPr>
      </w:pPr>
      <w:r>
        <w:rPr>
          <w:rFonts w:eastAsia="Times New Roman"/>
        </w:rPr>
        <w:t xml:space="preserve">As Table </w:t>
      </w:r>
      <w:r w:rsidR="000845AA">
        <w:rPr>
          <w:rFonts w:eastAsia="Times New Roman"/>
        </w:rPr>
        <w:t>2</w:t>
      </w:r>
      <w:r>
        <w:rPr>
          <w:rFonts w:eastAsia="Times New Roman"/>
        </w:rPr>
        <w:t xml:space="preserve"> below shows, between 2016 and 2021, </w:t>
      </w:r>
      <w:r w:rsidR="00CD1746">
        <w:rPr>
          <w:rFonts w:eastAsia="Times New Roman"/>
        </w:rPr>
        <w:t xml:space="preserve">only </w:t>
      </w:r>
      <w:r w:rsidR="00CC7F14">
        <w:rPr>
          <w:rFonts w:eastAsia="Times New Roman"/>
        </w:rPr>
        <w:t>35.5% - 38.9</w:t>
      </w:r>
      <w:r>
        <w:rPr>
          <w:rFonts w:eastAsia="Times New Roman"/>
        </w:rPr>
        <w:t xml:space="preserve">% of charities reported in their Annual Returns a figure that matches the definition of reserves as given above. A majority of charities </w:t>
      </w:r>
      <w:r w:rsidR="00CC7F14">
        <w:rPr>
          <w:rFonts w:eastAsia="Times New Roman"/>
        </w:rPr>
        <w:t>(</w:t>
      </w:r>
      <w:r w:rsidR="000845AA">
        <w:rPr>
          <w:rFonts w:eastAsia="Times New Roman"/>
        </w:rPr>
        <w:t>between 53.4</w:t>
      </w:r>
      <w:r w:rsidR="00CC7F14">
        <w:rPr>
          <w:rFonts w:eastAsia="Times New Roman"/>
        </w:rPr>
        <w:t xml:space="preserve">% </w:t>
      </w:r>
      <w:r w:rsidR="000845AA">
        <w:rPr>
          <w:rFonts w:eastAsia="Times New Roman"/>
        </w:rPr>
        <w:t>and 57.7%</w:t>
      </w:r>
      <w:r w:rsidR="00CC7F14">
        <w:rPr>
          <w:rFonts w:eastAsia="Times New Roman"/>
        </w:rPr>
        <w:t xml:space="preserve">) </w:t>
      </w:r>
      <w:r>
        <w:rPr>
          <w:rFonts w:eastAsia="Times New Roman"/>
        </w:rPr>
        <w:t>give a figure that overestimates their reserves level</w:t>
      </w:r>
      <w:r w:rsidR="00AF34BC">
        <w:rPr>
          <w:rFonts w:eastAsia="Times New Roman"/>
        </w:rPr>
        <w:t xml:space="preserve">. </w:t>
      </w:r>
    </w:p>
    <w:p w14:paraId="74F87BEF" w14:textId="0BB8156C" w:rsidR="0042546F" w:rsidRDefault="0042546F" w:rsidP="00054742">
      <w:pPr>
        <w:rPr>
          <w:rFonts w:eastAsia="Times New Roman"/>
        </w:rPr>
      </w:pPr>
    </w:p>
    <w:p w14:paraId="301A98EB" w14:textId="30BC4EF8" w:rsidR="00470C1D" w:rsidRDefault="00470C1D" w:rsidP="00470C1D">
      <w:pPr>
        <w:jc w:val="center"/>
        <w:rPr>
          <w:rFonts w:eastAsia="Times New Roman"/>
        </w:rPr>
      </w:pPr>
      <w:r>
        <w:rPr>
          <w:rFonts w:eastAsia="Times New Roman"/>
        </w:rPr>
        <w:t>Table 2 about here</w:t>
      </w:r>
    </w:p>
    <w:p w14:paraId="688463D4" w14:textId="77777777" w:rsidR="00470C1D" w:rsidRPr="00054742" w:rsidRDefault="00470C1D" w:rsidP="00054742">
      <w:pPr>
        <w:rPr>
          <w:rFonts w:eastAsia="Times New Roman"/>
        </w:rPr>
      </w:pPr>
    </w:p>
    <w:p w14:paraId="0E629E01" w14:textId="4643B2FE" w:rsidR="004705A6" w:rsidRDefault="00A0287A">
      <w:pPr>
        <w:rPr>
          <w:i/>
          <w:iCs/>
        </w:rPr>
      </w:pPr>
      <w:r>
        <w:rPr>
          <w:i/>
          <w:iCs/>
        </w:rPr>
        <w:t xml:space="preserve">Trustees’ </w:t>
      </w:r>
      <w:r w:rsidR="0045160D">
        <w:rPr>
          <w:i/>
          <w:iCs/>
        </w:rPr>
        <w:t>Annual Reports and Accounts</w:t>
      </w:r>
      <w:r w:rsidR="00CD1746">
        <w:rPr>
          <w:i/>
          <w:iCs/>
        </w:rPr>
        <w:t>:</w:t>
      </w:r>
      <w:r w:rsidR="0045160D">
        <w:rPr>
          <w:i/>
          <w:iCs/>
        </w:rPr>
        <w:t xml:space="preserve"> English</w:t>
      </w:r>
      <w:r w:rsidR="00CD1746">
        <w:rPr>
          <w:i/>
          <w:iCs/>
        </w:rPr>
        <w:t xml:space="preserve"> and</w:t>
      </w:r>
      <w:r w:rsidR="0045160D">
        <w:rPr>
          <w:i/>
          <w:iCs/>
        </w:rPr>
        <w:t xml:space="preserve"> Welsh charities</w:t>
      </w:r>
    </w:p>
    <w:p w14:paraId="48108146" w14:textId="798F0CFB" w:rsidR="0045160D" w:rsidRDefault="0045160D">
      <w:r>
        <w:t xml:space="preserve">Table </w:t>
      </w:r>
      <w:r w:rsidR="00716AEA">
        <w:t>3</w:t>
      </w:r>
      <w:r>
        <w:t xml:space="preserve"> below provide</w:t>
      </w:r>
      <w:r w:rsidR="00CD1746">
        <w:t>s</w:t>
      </w:r>
      <w:r>
        <w:t xml:space="preserve"> the figures for English</w:t>
      </w:r>
      <w:r w:rsidR="00CD1746">
        <w:t xml:space="preserve"> and</w:t>
      </w:r>
      <w:r>
        <w:t xml:space="preserve"> Welsh charities reporting on reserves figures in their </w:t>
      </w:r>
      <w:r w:rsidR="00A0287A">
        <w:t xml:space="preserve">Trustees’ </w:t>
      </w:r>
      <w:r>
        <w:t xml:space="preserve">Annual </w:t>
      </w:r>
      <w:r w:rsidR="00C75474">
        <w:t>R</w:t>
      </w:r>
      <w:r>
        <w:t xml:space="preserve">eports and Accounts. </w:t>
      </w:r>
      <w:r w:rsidR="00071274">
        <w:t>While the majority of charities (</w:t>
      </w:r>
      <w:r w:rsidR="000845AA">
        <w:t>61.1</w:t>
      </w:r>
      <w:r w:rsidR="00071274">
        <w:t>%</w:t>
      </w:r>
      <w:r w:rsidR="000845AA">
        <w:t xml:space="preserve"> - 63.8%</w:t>
      </w:r>
      <w:r w:rsidR="00071274">
        <w:t xml:space="preserve">) report a figure that matches the CCEW definition of reserves, over a third of charities are reporting a figure that overestimates their reserves figure. </w:t>
      </w:r>
    </w:p>
    <w:p w14:paraId="1BFE348B" w14:textId="77777777" w:rsidR="00470C1D" w:rsidRDefault="00470C1D"/>
    <w:p w14:paraId="6586D9A1" w14:textId="3A4B008C" w:rsidR="00716AEA" w:rsidRDefault="00470C1D" w:rsidP="00470C1D">
      <w:pPr>
        <w:jc w:val="center"/>
      </w:pPr>
      <w:r>
        <w:t>Table 3 about here</w:t>
      </w:r>
    </w:p>
    <w:p w14:paraId="65B8065B" w14:textId="77777777" w:rsidR="00470C1D" w:rsidRDefault="00470C1D" w:rsidP="00A239DE">
      <w:pPr>
        <w:rPr>
          <w:i/>
          <w:iCs/>
        </w:rPr>
      </w:pPr>
    </w:p>
    <w:p w14:paraId="4EB26FAA" w14:textId="6FFEA7E1" w:rsidR="00A239DE" w:rsidRDefault="00A0287A" w:rsidP="00A239DE">
      <w:pPr>
        <w:rPr>
          <w:i/>
          <w:iCs/>
        </w:rPr>
      </w:pPr>
      <w:r>
        <w:rPr>
          <w:i/>
          <w:iCs/>
        </w:rPr>
        <w:t xml:space="preserve">Trustees’ </w:t>
      </w:r>
      <w:r w:rsidR="00A239DE">
        <w:rPr>
          <w:i/>
          <w:iCs/>
        </w:rPr>
        <w:t>Annual Reports and Accounts: Scottish charities</w:t>
      </w:r>
    </w:p>
    <w:p w14:paraId="40414903" w14:textId="720CBD04" w:rsidR="00071274" w:rsidRPr="00EA34FD" w:rsidRDefault="00071274" w:rsidP="00A239DE">
      <w:r>
        <w:t xml:space="preserve">Table 4 below provides the figures for Scottish charities reporting on reserves figures in their </w:t>
      </w:r>
      <w:r w:rsidR="00A0287A">
        <w:t xml:space="preserve">Trustees’ </w:t>
      </w:r>
      <w:r>
        <w:t xml:space="preserve">Annual </w:t>
      </w:r>
      <w:r w:rsidR="00A0287A">
        <w:t xml:space="preserve">Reports </w:t>
      </w:r>
      <w:r>
        <w:t xml:space="preserve">and Accounts. While the majority of charities (72.7%) again report a figure that matches the OSCR definition of reserves, over a quarter of charities are reporting a figure that overestimates their reserves figure. As for England and Wales, only a small minority of charities are reporting a figure that underestimates their reserves level. </w:t>
      </w:r>
    </w:p>
    <w:p w14:paraId="0BA751B5" w14:textId="321EA278" w:rsidR="00042152" w:rsidRDefault="00042152"/>
    <w:p w14:paraId="5C4B961C" w14:textId="79D9499F" w:rsidR="00381C72" w:rsidRDefault="00381C72" w:rsidP="00381C72">
      <w:pPr>
        <w:jc w:val="center"/>
      </w:pPr>
      <w:r>
        <w:t>Table 4 about here</w:t>
      </w:r>
    </w:p>
    <w:p w14:paraId="5C28E5C7" w14:textId="5A53986A" w:rsidR="00E8115C" w:rsidRPr="00DD53D5" w:rsidRDefault="00F60A2F">
      <w:pPr>
        <w:rPr>
          <w:rFonts w:eastAsia="Times New Roman"/>
          <w:b/>
          <w:bCs/>
        </w:rPr>
      </w:pPr>
      <w:r w:rsidRPr="00A56B9E">
        <w:rPr>
          <w:rFonts w:eastAsia="Times New Roman"/>
          <w:b/>
          <w:bCs/>
        </w:rPr>
        <w:t xml:space="preserve">Key Finding </w:t>
      </w:r>
      <w:r>
        <w:rPr>
          <w:rFonts w:eastAsia="Times New Roman"/>
          <w:b/>
          <w:bCs/>
        </w:rPr>
        <w:t xml:space="preserve">2: </w:t>
      </w:r>
      <w:r w:rsidR="00D204D0" w:rsidRPr="00B541FD">
        <w:rPr>
          <w:rFonts w:eastAsia="Times New Roman"/>
          <w:b/>
          <w:bCs/>
        </w:rPr>
        <w:t xml:space="preserve">Within English and Welsh charities there is a substantial </w:t>
      </w:r>
      <w:r w:rsidR="00A0211D">
        <w:rPr>
          <w:rFonts w:eastAsia="Times New Roman"/>
          <w:b/>
          <w:bCs/>
        </w:rPr>
        <w:t xml:space="preserve">within-year and </w:t>
      </w:r>
      <w:r w:rsidR="00D204D0" w:rsidRPr="00B541FD">
        <w:rPr>
          <w:rFonts w:eastAsia="Times New Roman"/>
          <w:b/>
          <w:bCs/>
        </w:rPr>
        <w:t xml:space="preserve">year-on-year inconsistency </w:t>
      </w:r>
      <w:r w:rsidR="003C7EB2">
        <w:rPr>
          <w:rFonts w:eastAsia="Times New Roman"/>
          <w:b/>
          <w:bCs/>
        </w:rPr>
        <w:t>in</w:t>
      </w:r>
      <w:r w:rsidR="00BA79C5">
        <w:rPr>
          <w:rFonts w:eastAsia="Times New Roman"/>
          <w:b/>
          <w:bCs/>
        </w:rPr>
        <w:t xml:space="preserve"> the </w:t>
      </w:r>
      <w:r w:rsidR="003C7EB2">
        <w:rPr>
          <w:rFonts w:eastAsia="Times New Roman"/>
          <w:b/>
          <w:bCs/>
        </w:rPr>
        <w:t xml:space="preserve">methods used to calculate </w:t>
      </w:r>
      <w:r w:rsidR="00E27AF3">
        <w:rPr>
          <w:rFonts w:eastAsia="Times New Roman"/>
          <w:b/>
          <w:bCs/>
        </w:rPr>
        <w:t>report</w:t>
      </w:r>
      <w:r w:rsidR="00BA79C5">
        <w:rPr>
          <w:rFonts w:eastAsia="Times New Roman"/>
          <w:b/>
          <w:bCs/>
        </w:rPr>
        <w:t>ed</w:t>
      </w:r>
      <w:r w:rsidR="00E27AF3">
        <w:rPr>
          <w:rFonts w:eastAsia="Times New Roman"/>
          <w:b/>
          <w:bCs/>
        </w:rPr>
        <w:t xml:space="preserve"> reserves</w:t>
      </w:r>
      <w:r w:rsidR="00DB234D" w:rsidRPr="00B541FD">
        <w:rPr>
          <w:rFonts w:eastAsia="Times New Roman"/>
          <w:b/>
          <w:bCs/>
        </w:rPr>
        <w:t>.</w:t>
      </w:r>
      <w:r w:rsidR="00A7614B">
        <w:rPr>
          <w:rFonts w:eastAsia="Times New Roman"/>
          <w:b/>
          <w:bCs/>
        </w:rPr>
        <w:t xml:space="preserve"> </w:t>
      </w:r>
      <w:r w:rsidR="00A7614B" w:rsidRPr="00DD53D5">
        <w:rPr>
          <w:rFonts w:eastAsia="Times New Roman"/>
          <w:b/>
          <w:bCs/>
        </w:rPr>
        <w:t xml:space="preserve">This is again particularly notable within Annual Returns data. </w:t>
      </w:r>
    </w:p>
    <w:p w14:paraId="3888022C" w14:textId="6749F04B" w:rsidR="00A0211D" w:rsidRPr="00DC6E6E" w:rsidRDefault="00A0211D" w:rsidP="00A0211D">
      <w:pPr>
        <w:rPr>
          <w:i/>
          <w:iCs/>
        </w:rPr>
      </w:pPr>
      <w:r>
        <w:rPr>
          <w:i/>
          <w:iCs/>
        </w:rPr>
        <w:t xml:space="preserve">Within-year inconsistency: </w:t>
      </w:r>
      <w:r>
        <w:rPr>
          <w:i/>
          <w:iCs/>
        </w:rPr>
        <w:t>Comparing reserves figures reported in Annual Returns and Trustees’ Annual Reports and Accounts</w:t>
      </w:r>
    </w:p>
    <w:p w14:paraId="54C82694" w14:textId="77777777" w:rsidR="00A0211D" w:rsidRDefault="00A0211D" w:rsidP="00A0211D">
      <w:r>
        <w:t xml:space="preserve">Table 5 below provides the figures for the proportion of charities reporting the same reserves figures in their Annual Returns and Trustees’ Annual Reports and Accounts. In total, there were 1,218 observations in which charities reported verifiable reserves figures in the Annual Returns and Trustees’ Annual Reports and Accounts in the same year. The same figure was reported in 52.5% of cases. This means in nearly half of cases, different figures were reported for reserves in their Annual Returns and Trustees’ Annual Reports and Accounts by the same charity in the same year. </w:t>
      </w:r>
    </w:p>
    <w:p w14:paraId="1D7CD861" w14:textId="77777777" w:rsidR="00A0211D" w:rsidRDefault="00A0211D" w:rsidP="00A0211D"/>
    <w:p w14:paraId="5985C832" w14:textId="77777777" w:rsidR="00A0211D" w:rsidRPr="0045160D" w:rsidRDefault="00A0211D" w:rsidP="00A0211D">
      <w:pPr>
        <w:jc w:val="center"/>
      </w:pPr>
      <w:r>
        <w:t>Table 5 about here</w:t>
      </w:r>
    </w:p>
    <w:p w14:paraId="0124316A" w14:textId="27D26CD7" w:rsidR="00A7614B" w:rsidRPr="00A7614B" w:rsidRDefault="00A0211D">
      <w:pPr>
        <w:rPr>
          <w:rFonts w:eastAsia="Times New Roman"/>
          <w:i/>
          <w:iCs/>
        </w:rPr>
      </w:pPr>
      <w:r>
        <w:rPr>
          <w:rFonts w:eastAsia="Times New Roman"/>
          <w:i/>
          <w:iCs/>
        </w:rPr>
        <w:t xml:space="preserve">Year-on-year inconsistency: </w:t>
      </w:r>
      <w:r w:rsidR="00A7614B">
        <w:rPr>
          <w:rFonts w:eastAsia="Times New Roman"/>
          <w:i/>
          <w:iCs/>
        </w:rPr>
        <w:t>Annual Returns</w:t>
      </w:r>
    </w:p>
    <w:p w14:paraId="26D1D56B" w14:textId="6DBC2A00" w:rsidR="00C60C19" w:rsidRDefault="005862C1" w:rsidP="00C60C19">
      <w:pPr>
        <w:rPr>
          <w:rFonts w:eastAsia="Times New Roman"/>
          <w:b/>
          <w:bCs/>
          <w:i/>
          <w:iCs/>
        </w:rPr>
      </w:pPr>
      <w:r>
        <w:rPr>
          <w:rFonts w:eastAsia="Times New Roman"/>
        </w:rPr>
        <w:t xml:space="preserve">As shown in Table 6, below, of </w:t>
      </w:r>
      <w:r w:rsidR="003A1C37">
        <w:rPr>
          <w:rFonts w:eastAsia="Times New Roman"/>
        </w:rPr>
        <w:t>those charities for which we have verifiable reserves figures from Annual Returns for two or more years (n=3</w:t>
      </w:r>
      <w:r w:rsidR="00B46951">
        <w:rPr>
          <w:rFonts w:eastAsia="Times New Roman"/>
        </w:rPr>
        <w:t>57</w:t>
      </w:r>
      <w:r w:rsidR="003A1C37">
        <w:rPr>
          <w:rFonts w:eastAsia="Times New Roman"/>
        </w:rPr>
        <w:t xml:space="preserve">), </w:t>
      </w:r>
      <w:r w:rsidR="00B541FD">
        <w:rPr>
          <w:rFonts w:eastAsia="Times New Roman"/>
        </w:rPr>
        <w:t xml:space="preserve">just </w:t>
      </w:r>
      <w:r w:rsidR="003A1C37">
        <w:rPr>
          <w:rFonts w:eastAsia="Times New Roman"/>
        </w:rPr>
        <w:t>3</w:t>
      </w:r>
      <w:r w:rsidR="00B46951">
        <w:rPr>
          <w:rFonts w:eastAsia="Times New Roman"/>
        </w:rPr>
        <w:t>8</w:t>
      </w:r>
      <w:r w:rsidR="003A1C37">
        <w:rPr>
          <w:rFonts w:eastAsia="Times New Roman"/>
        </w:rPr>
        <w:t>.</w:t>
      </w:r>
      <w:r w:rsidR="00B46951">
        <w:rPr>
          <w:rFonts w:eastAsia="Times New Roman"/>
        </w:rPr>
        <w:t>4</w:t>
      </w:r>
      <w:r w:rsidR="00B541FD">
        <w:rPr>
          <w:rFonts w:eastAsia="Times New Roman"/>
        </w:rPr>
        <w:t xml:space="preserve">% report </w:t>
      </w:r>
      <w:r w:rsidR="003A1C37">
        <w:rPr>
          <w:rFonts w:eastAsia="Times New Roman"/>
        </w:rPr>
        <w:t>a</w:t>
      </w:r>
      <w:r w:rsidR="00B541FD">
        <w:rPr>
          <w:rFonts w:eastAsia="Times New Roman"/>
        </w:rPr>
        <w:t xml:space="preserve"> figure </w:t>
      </w:r>
      <w:r w:rsidR="003A1C37">
        <w:rPr>
          <w:rFonts w:eastAsia="Times New Roman"/>
        </w:rPr>
        <w:t>that corresponds with a consistent definition</w:t>
      </w:r>
      <w:r w:rsidR="00B541FD">
        <w:rPr>
          <w:rFonts w:eastAsia="Times New Roman"/>
        </w:rPr>
        <w:t>.</w:t>
      </w:r>
      <w:r w:rsidR="003A1C37">
        <w:rPr>
          <w:rFonts w:eastAsia="Times New Roman"/>
        </w:rPr>
        <w:t xml:space="preserve"> Therefore 6</w:t>
      </w:r>
      <w:r w:rsidR="00B46951">
        <w:rPr>
          <w:rFonts w:eastAsia="Times New Roman"/>
        </w:rPr>
        <w:t>1</w:t>
      </w:r>
      <w:r w:rsidR="003A1C37">
        <w:rPr>
          <w:rFonts w:eastAsia="Times New Roman"/>
        </w:rPr>
        <w:t>.</w:t>
      </w:r>
      <w:r w:rsidR="00B46951">
        <w:rPr>
          <w:rFonts w:eastAsia="Times New Roman"/>
        </w:rPr>
        <w:t>6</w:t>
      </w:r>
      <w:r w:rsidR="003A1C37">
        <w:rPr>
          <w:rFonts w:eastAsia="Times New Roman"/>
        </w:rPr>
        <w:t xml:space="preserve">% of charities change </w:t>
      </w:r>
      <w:r w:rsidR="00B12ED6">
        <w:rPr>
          <w:rFonts w:eastAsia="Times New Roman"/>
        </w:rPr>
        <w:t>the</w:t>
      </w:r>
      <w:r w:rsidR="003A1C37">
        <w:rPr>
          <w:rFonts w:eastAsia="Times New Roman"/>
        </w:rPr>
        <w:t xml:space="preserve"> definition </w:t>
      </w:r>
      <w:r w:rsidR="00B12ED6">
        <w:rPr>
          <w:rFonts w:eastAsia="Times New Roman"/>
        </w:rPr>
        <w:t>used to report</w:t>
      </w:r>
      <w:r w:rsidR="003A1C37">
        <w:rPr>
          <w:rFonts w:eastAsia="Times New Roman"/>
        </w:rPr>
        <w:t xml:space="preserve"> </w:t>
      </w:r>
      <w:r w:rsidR="004A3321">
        <w:rPr>
          <w:rFonts w:eastAsia="Times New Roman"/>
        </w:rPr>
        <w:t xml:space="preserve">their </w:t>
      </w:r>
      <w:r w:rsidR="003A1C37">
        <w:rPr>
          <w:rFonts w:eastAsia="Times New Roman"/>
        </w:rPr>
        <w:t xml:space="preserve">reserves between 2016 and 2021. </w:t>
      </w:r>
      <w:bookmarkStart w:id="0" w:name="_Hlk99435070"/>
    </w:p>
    <w:bookmarkEnd w:id="0"/>
    <w:p w14:paraId="433F60C2" w14:textId="79D46633" w:rsidR="00EC410A" w:rsidRDefault="00972F92">
      <w:pPr>
        <w:rPr>
          <w:rFonts w:eastAsia="Times New Roman"/>
        </w:rPr>
      </w:pPr>
      <w:r>
        <w:rPr>
          <w:rFonts w:eastAsia="Times New Roman"/>
        </w:rPr>
        <w:t>O</w:t>
      </w:r>
      <w:r w:rsidR="003A1C37">
        <w:rPr>
          <w:rFonts w:eastAsia="Times New Roman"/>
        </w:rPr>
        <w:t xml:space="preserve">f </w:t>
      </w:r>
      <w:r w:rsidR="00552ADE">
        <w:rPr>
          <w:rFonts w:eastAsia="Times New Roman"/>
        </w:rPr>
        <w:t xml:space="preserve">those charities that </w:t>
      </w:r>
      <w:r w:rsidR="004D1508">
        <w:rPr>
          <w:rFonts w:eastAsia="Times New Roman"/>
        </w:rPr>
        <w:t>do report</w:t>
      </w:r>
      <w:r w:rsidR="00C60C19">
        <w:rPr>
          <w:rFonts w:eastAsia="Times New Roman"/>
        </w:rPr>
        <w:t xml:space="preserve"> against a consistent definition</w:t>
      </w:r>
      <w:r w:rsidR="00552ADE">
        <w:rPr>
          <w:rFonts w:eastAsia="Times New Roman"/>
        </w:rPr>
        <w:t xml:space="preserve">, </w:t>
      </w:r>
      <w:r>
        <w:rPr>
          <w:rFonts w:eastAsia="Times New Roman"/>
        </w:rPr>
        <w:t>45.3</w:t>
      </w:r>
      <w:r w:rsidR="00552ADE">
        <w:rPr>
          <w:rFonts w:eastAsia="Times New Roman"/>
        </w:rPr>
        <w:t xml:space="preserve">% are consistently reporting a figure that matches the definition of reserves. </w:t>
      </w:r>
      <w:r>
        <w:rPr>
          <w:rFonts w:eastAsia="Times New Roman"/>
        </w:rPr>
        <w:t>51</w:t>
      </w:r>
      <w:r w:rsidR="00B46951">
        <w:rPr>
          <w:rFonts w:eastAsia="Times New Roman"/>
        </w:rPr>
        <w:t>.</w:t>
      </w:r>
      <w:r>
        <w:rPr>
          <w:rFonts w:eastAsia="Times New Roman"/>
        </w:rPr>
        <w:t>8</w:t>
      </w:r>
      <w:r w:rsidR="00C60C19">
        <w:rPr>
          <w:rFonts w:eastAsia="Times New Roman"/>
        </w:rPr>
        <w:t>% are consistently overestimating reserves (either by reporting total unrestricted funds, or otherwise overestimating</w:t>
      </w:r>
      <w:r w:rsidR="00EC410A">
        <w:rPr>
          <w:rFonts w:eastAsia="Times New Roman"/>
        </w:rPr>
        <w:t xml:space="preserve"> reserves</w:t>
      </w:r>
      <w:r w:rsidR="00656A24">
        <w:rPr>
          <w:rFonts w:eastAsia="Times New Roman"/>
        </w:rPr>
        <w:t xml:space="preserve">). </w:t>
      </w:r>
      <w:r>
        <w:rPr>
          <w:rFonts w:eastAsia="Times New Roman"/>
        </w:rPr>
        <w:t xml:space="preserve">This means that of all those charities for which we have two or more years of data, just 17.4% are consistently reporting a figure that matches the CCEW/OSCR reserves definition. </w:t>
      </w:r>
    </w:p>
    <w:p w14:paraId="3907424C" w14:textId="06C7DF63" w:rsidR="00BB75F5" w:rsidRDefault="00A0211D">
      <w:pPr>
        <w:rPr>
          <w:rFonts w:eastAsia="Times New Roman"/>
          <w:i/>
          <w:iCs/>
        </w:rPr>
      </w:pPr>
      <w:r>
        <w:rPr>
          <w:rFonts w:eastAsia="Times New Roman"/>
          <w:i/>
          <w:iCs/>
        </w:rPr>
        <w:t xml:space="preserve">Year-on-year inconsistency: </w:t>
      </w:r>
      <w:r w:rsidR="00297E8B">
        <w:rPr>
          <w:rFonts w:eastAsia="Times New Roman"/>
          <w:i/>
          <w:iCs/>
        </w:rPr>
        <w:t xml:space="preserve">Trustees’ </w:t>
      </w:r>
      <w:r w:rsidR="00A7614B" w:rsidRPr="00A7614B">
        <w:rPr>
          <w:rFonts w:eastAsia="Times New Roman"/>
          <w:i/>
          <w:iCs/>
        </w:rPr>
        <w:t>Annual Report and Accounts</w:t>
      </w:r>
    </w:p>
    <w:p w14:paraId="6DEEF9B6" w14:textId="0E4F4919" w:rsidR="00E1127F" w:rsidRDefault="00A7614B" w:rsidP="00972F92">
      <w:pPr>
        <w:rPr>
          <w:rFonts w:eastAsia="Times New Roman"/>
        </w:rPr>
      </w:pPr>
      <w:r>
        <w:rPr>
          <w:rFonts w:eastAsia="Times New Roman"/>
        </w:rPr>
        <w:t>In the figure</w:t>
      </w:r>
      <w:r w:rsidR="00DD53D5">
        <w:rPr>
          <w:rFonts w:eastAsia="Times New Roman"/>
        </w:rPr>
        <w:t>s</w:t>
      </w:r>
      <w:r>
        <w:rPr>
          <w:rFonts w:eastAsia="Times New Roman"/>
        </w:rPr>
        <w:t xml:space="preserve"> reported in English and Welsh charity Annual Report and Accounts, there is greater consistency in the definition of reserves used across the years.</w:t>
      </w:r>
      <w:r w:rsidRPr="00A7614B">
        <w:t xml:space="preserve"> </w:t>
      </w:r>
      <w:r>
        <w:rPr>
          <w:rFonts w:eastAsia="Times New Roman"/>
        </w:rPr>
        <w:t>O</w:t>
      </w:r>
      <w:r w:rsidRPr="00A7614B">
        <w:rPr>
          <w:rFonts w:eastAsia="Times New Roman"/>
        </w:rPr>
        <w:t xml:space="preserve">f those charities for which we have verifiable reserves figures from </w:t>
      </w:r>
      <w:r w:rsidR="00297E8B">
        <w:rPr>
          <w:rFonts w:eastAsia="Times New Roman"/>
        </w:rPr>
        <w:t xml:space="preserve">Trustees’ </w:t>
      </w:r>
      <w:r w:rsidRPr="00A7614B">
        <w:rPr>
          <w:rFonts w:eastAsia="Times New Roman"/>
        </w:rPr>
        <w:t>Annual R</w:t>
      </w:r>
      <w:r w:rsidR="00A0727E">
        <w:rPr>
          <w:rFonts w:eastAsia="Times New Roman"/>
        </w:rPr>
        <w:t>eports and Accounts</w:t>
      </w:r>
      <w:r w:rsidRPr="00A7614B">
        <w:rPr>
          <w:rFonts w:eastAsia="Times New Roman"/>
        </w:rPr>
        <w:t xml:space="preserve"> for two or more years (n=3</w:t>
      </w:r>
      <w:r>
        <w:rPr>
          <w:rFonts w:eastAsia="Times New Roman"/>
        </w:rPr>
        <w:t>02</w:t>
      </w:r>
      <w:r w:rsidRPr="00A7614B">
        <w:rPr>
          <w:rFonts w:eastAsia="Times New Roman"/>
        </w:rPr>
        <w:t xml:space="preserve">), </w:t>
      </w:r>
      <w:r>
        <w:rPr>
          <w:rFonts w:eastAsia="Times New Roman"/>
        </w:rPr>
        <w:t>61.9</w:t>
      </w:r>
      <w:r w:rsidRPr="00A7614B">
        <w:rPr>
          <w:rFonts w:eastAsia="Times New Roman"/>
        </w:rPr>
        <w:t xml:space="preserve">% report a figure that corresponds with a consistent </w:t>
      </w:r>
      <w:proofErr w:type="gramStart"/>
      <w:r w:rsidRPr="00A7614B">
        <w:rPr>
          <w:rFonts w:eastAsia="Times New Roman"/>
        </w:rPr>
        <w:t>reserves</w:t>
      </w:r>
      <w:proofErr w:type="gramEnd"/>
      <w:r w:rsidRPr="00A7614B">
        <w:rPr>
          <w:rFonts w:eastAsia="Times New Roman"/>
        </w:rPr>
        <w:t xml:space="preserve"> definition</w:t>
      </w:r>
      <w:r>
        <w:rPr>
          <w:rFonts w:eastAsia="Times New Roman"/>
        </w:rPr>
        <w:t>.</w:t>
      </w:r>
      <w:r w:rsidR="000E2218">
        <w:rPr>
          <w:rFonts w:eastAsia="Times New Roman"/>
        </w:rPr>
        <w:t xml:space="preserve"> Of these,</w:t>
      </w:r>
      <w:r w:rsidR="00972F92">
        <w:rPr>
          <w:rFonts w:eastAsia="Times New Roman"/>
        </w:rPr>
        <w:t xml:space="preserve"> </w:t>
      </w:r>
      <w:r w:rsidR="008B48E0">
        <w:rPr>
          <w:rFonts w:eastAsia="Times New Roman"/>
        </w:rPr>
        <w:t>74.3</w:t>
      </w:r>
      <w:r w:rsidR="00972F92">
        <w:rPr>
          <w:rFonts w:eastAsia="Times New Roman"/>
        </w:rPr>
        <w:t xml:space="preserve">% </w:t>
      </w:r>
      <w:r w:rsidR="000E2218">
        <w:rPr>
          <w:rFonts w:eastAsia="Times New Roman"/>
        </w:rPr>
        <w:t>report</w:t>
      </w:r>
      <w:r w:rsidR="00972F92">
        <w:rPr>
          <w:rFonts w:eastAsia="Times New Roman"/>
        </w:rPr>
        <w:t xml:space="preserve"> a figure that matches the CCEW/OSCR definition of reserves. </w:t>
      </w:r>
      <w:r w:rsidR="008B48E0" w:rsidRPr="008B48E0">
        <w:rPr>
          <w:rFonts w:eastAsia="Times New Roman"/>
        </w:rPr>
        <w:t xml:space="preserve">This means that of all those charities for which we have two or more years of data, </w:t>
      </w:r>
      <w:r w:rsidR="008B48E0">
        <w:rPr>
          <w:rFonts w:eastAsia="Times New Roman"/>
        </w:rPr>
        <w:t>46.0</w:t>
      </w:r>
      <w:r w:rsidR="008B48E0" w:rsidRPr="008B48E0">
        <w:rPr>
          <w:rFonts w:eastAsia="Times New Roman"/>
        </w:rPr>
        <w:t>% are consistently reporting a figure that matches the CCEW/OSCR reserves definition.</w:t>
      </w:r>
      <w:r w:rsidR="00CF5423">
        <w:rPr>
          <w:rFonts w:eastAsia="Times New Roman"/>
        </w:rPr>
        <w:t xml:space="preserve"> </w:t>
      </w:r>
    </w:p>
    <w:p w14:paraId="74848A7B" w14:textId="386E7152" w:rsidR="00D2321B" w:rsidRDefault="00D2321B" w:rsidP="00972F92">
      <w:pPr>
        <w:rPr>
          <w:rFonts w:eastAsia="Times New Roman"/>
        </w:rPr>
      </w:pPr>
    </w:p>
    <w:p w14:paraId="5E6EB5F4" w14:textId="5FF30BAD" w:rsidR="00D2321B" w:rsidRPr="0045160D" w:rsidRDefault="00D2321B" w:rsidP="00D2321B">
      <w:pPr>
        <w:jc w:val="center"/>
      </w:pPr>
      <w:r>
        <w:t>Table 6 about here</w:t>
      </w:r>
    </w:p>
    <w:p w14:paraId="0ABF2F63" w14:textId="77777777" w:rsidR="00D2321B" w:rsidRDefault="00D2321B" w:rsidP="00972F92">
      <w:pPr>
        <w:rPr>
          <w:rFonts w:eastAsia="Times New Roman"/>
        </w:rPr>
      </w:pPr>
    </w:p>
    <w:p w14:paraId="58BFBEA2" w14:textId="755D9077" w:rsidR="00972F92" w:rsidRDefault="00CF5423" w:rsidP="00972F92">
      <w:pPr>
        <w:rPr>
          <w:rFonts w:eastAsia="Times New Roman"/>
          <w:b/>
          <w:bCs/>
        </w:rPr>
      </w:pPr>
      <w:r>
        <w:rPr>
          <w:rFonts w:eastAsia="Times New Roman"/>
        </w:rPr>
        <w:t xml:space="preserve">We </w:t>
      </w:r>
      <w:r w:rsidR="00492984">
        <w:rPr>
          <w:rFonts w:eastAsia="Times New Roman"/>
        </w:rPr>
        <w:t>therefore see</w:t>
      </w:r>
      <w:r w:rsidR="00635475">
        <w:rPr>
          <w:rFonts w:eastAsia="Times New Roman"/>
        </w:rPr>
        <w:t xml:space="preserve"> notably </w:t>
      </w:r>
      <w:r w:rsidR="000407C1">
        <w:rPr>
          <w:rFonts w:eastAsia="Times New Roman"/>
        </w:rPr>
        <w:t>greater</w:t>
      </w:r>
      <w:r w:rsidR="00492984">
        <w:rPr>
          <w:rFonts w:eastAsia="Times New Roman"/>
        </w:rPr>
        <w:t xml:space="preserve"> consistency in the reporting of data in </w:t>
      </w:r>
      <w:r w:rsidR="00B9099A">
        <w:rPr>
          <w:rFonts w:eastAsia="Times New Roman"/>
        </w:rPr>
        <w:t xml:space="preserve">Trustees’ </w:t>
      </w:r>
      <w:r w:rsidR="00492984">
        <w:rPr>
          <w:rFonts w:eastAsia="Times New Roman"/>
        </w:rPr>
        <w:t>Annual Report</w:t>
      </w:r>
      <w:r w:rsidR="000407C1">
        <w:rPr>
          <w:rFonts w:eastAsia="Times New Roman"/>
        </w:rPr>
        <w:t>s</w:t>
      </w:r>
      <w:r w:rsidR="00492984">
        <w:rPr>
          <w:rFonts w:eastAsia="Times New Roman"/>
        </w:rPr>
        <w:t xml:space="preserve"> and Accounts than for Annual Returns</w:t>
      </w:r>
      <w:r w:rsidR="000407C1">
        <w:rPr>
          <w:rFonts w:eastAsia="Times New Roman"/>
        </w:rPr>
        <w:t>,</w:t>
      </w:r>
      <w:r w:rsidR="00635475">
        <w:rPr>
          <w:rFonts w:eastAsia="Times New Roman"/>
        </w:rPr>
        <w:t xml:space="preserve"> and consider this in our recommendations below.</w:t>
      </w:r>
      <w:r w:rsidR="00E1127F">
        <w:rPr>
          <w:rFonts w:eastAsia="Times New Roman"/>
        </w:rPr>
        <w:t xml:space="preserve"> Despite this greater consistency, however, nearly 40% of charities are reporting against an inconsistent definition of reserves in the Trustees’ Annual Report and Accounts, while over 60% of charities are reporting against an inconsistent definition of reserves in their Annual Returns. This means that using such reserves data for longitudinal assessments of the </w:t>
      </w:r>
      <w:r w:rsidR="00A0287A">
        <w:rPr>
          <w:rFonts w:eastAsia="Times New Roman"/>
        </w:rPr>
        <w:t xml:space="preserve">changing </w:t>
      </w:r>
      <w:r w:rsidR="00E1127F">
        <w:rPr>
          <w:rFonts w:eastAsia="Times New Roman"/>
        </w:rPr>
        <w:t xml:space="preserve">financial vulnerability of charities is </w:t>
      </w:r>
      <w:r w:rsidR="00A0287A">
        <w:rPr>
          <w:rFonts w:eastAsia="Times New Roman"/>
        </w:rPr>
        <w:t xml:space="preserve">particularly </w:t>
      </w:r>
      <w:r w:rsidR="00E1127F">
        <w:rPr>
          <w:rFonts w:eastAsia="Times New Roman"/>
        </w:rPr>
        <w:t xml:space="preserve">problematic – at both a sector level and for individual charities.  </w:t>
      </w:r>
    </w:p>
    <w:p w14:paraId="31ECEF14" w14:textId="2F4A8667" w:rsidR="0022659D" w:rsidRDefault="00C628AD">
      <w:pPr>
        <w:rPr>
          <w:rFonts w:eastAsia="Times New Roman"/>
          <w:b/>
          <w:bCs/>
        </w:rPr>
      </w:pPr>
      <w:r>
        <w:rPr>
          <w:rFonts w:eastAsia="Times New Roman"/>
          <w:b/>
          <w:bCs/>
        </w:rPr>
        <w:t xml:space="preserve">Key </w:t>
      </w:r>
      <w:r w:rsidR="00D16C36" w:rsidRPr="00D16C36">
        <w:rPr>
          <w:rFonts w:eastAsia="Times New Roman"/>
          <w:b/>
          <w:bCs/>
        </w:rPr>
        <w:t xml:space="preserve">Finding </w:t>
      </w:r>
      <w:r w:rsidR="00D16C36">
        <w:rPr>
          <w:rFonts w:eastAsia="Times New Roman"/>
          <w:b/>
          <w:bCs/>
        </w:rPr>
        <w:t>3</w:t>
      </w:r>
      <w:r w:rsidR="00D16C36" w:rsidRPr="00D16C36">
        <w:rPr>
          <w:rFonts w:eastAsia="Times New Roman"/>
          <w:b/>
          <w:bCs/>
        </w:rPr>
        <w:t xml:space="preserve">: </w:t>
      </w:r>
      <w:r w:rsidR="0022659D">
        <w:rPr>
          <w:rFonts w:eastAsia="Times New Roman"/>
          <w:b/>
          <w:bCs/>
        </w:rPr>
        <w:t xml:space="preserve">There is substantial variation </w:t>
      </w:r>
      <w:r w:rsidR="003746D1">
        <w:rPr>
          <w:rFonts w:eastAsia="Times New Roman"/>
          <w:b/>
          <w:bCs/>
        </w:rPr>
        <w:t xml:space="preserve">between </w:t>
      </w:r>
      <w:r w:rsidR="0022659D">
        <w:rPr>
          <w:rFonts w:eastAsia="Times New Roman"/>
          <w:b/>
          <w:bCs/>
        </w:rPr>
        <w:t>charities regarding</w:t>
      </w:r>
      <w:r w:rsidR="00A910A0">
        <w:rPr>
          <w:rFonts w:eastAsia="Times New Roman"/>
          <w:b/>
          <w:bCs/>
        </w:rPr>
        <w:t xml:space="preserve"> how they report their reserves in their </w:t>
      </w:r>
      <w:r w:rsidR="00297FFD">
        <w:rPr>
          <w:rFonts w:eastAsia="Times New Roman"/>
          <w:b/>
          <w:bCs/>
        </w:rPr>
        <w:t xml:space="preserve">Trustees’ </w:t>
      </w:r>
      <w:r w:rsidR="00A910A0">
        <w:rPr>
          <w:rFonts w:eastAsia="Times New Roman"/>
          <w:b/>
          <w:bCs/>
        </w:rPr>
        <w:t>Annual Reports and Accounts</w:t>
      </w:r>
      <w:r w:rsidR="0022659D">
        <w:rPr>
          <w:rFonts w:eastAsia="Times New Roman"/>
          <w:b/>
          <w:bCs/>
        </w:rPr>
        <w:t xml:space="preserve">. </w:t>
      </w:r>
    </w:p>
    <w:p w14:paraId="0DCBA839" w14:textId="217C2822" w:rsidR="00D16C36" w:rsidRDefault="00A910A0" w:rsidP="00D16C36">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color w:val="212121"/>
          <w:lang w:eastAsia="en-GB"/>
        </w:rPr>
        <w:t xml:space="preserve">As noted above, larger charities in England, Wales and Scotland are required to report their reserves in their </w:t>
      </w:r>
      <w:r w:rsidR="00A0287A">
        <w:rPr>
          <w:rFonts w:ascii="Calibri" w:eastAsia="Times New Roman" w:hAnsi="Calibri" w:cs="Calibri"/>
          <w:color w:val="212121"/>
          <w:lang w:eastAsia="en-GB"/>
        </w:rPr>
        <w:t xml:space="preserve">Trustees’ </w:t>
      </w:r>
      <w:r>
        <w:rPr>
          <w:rFonts w:ascii="Calibri" w:eastAsia="Times New Roman" w:hAnsi="Calibri" w:cs="Calibri"/>
          <w:color w:val="212121"/>
          <w:lang w:eastAsia="en-GB"/>
        </w:rPr>
        <w:t xml:space="preserve">Annual Reports and Accounts, alongside providing information about their reserves policy. </w:t>
      </w:r>
      <w:r w:rsidR="00D16C36">
        <w:rPr>
          <w:rFonts w:ascii="Calibri" w:eastAsia="Times New Roman" w:hAnsi="Calibri" w:cs="Calibri"/>
          <w:color w:val="212121"/>
          <w:lang w:eastAsia="en-GB"/>
        </w:rPr>
        <w:t>These textual summaries reflect a wide variation in both the level of detail reported</w:t>
      </w:r>
      <w:r w:rsidR="00C21501">
        <w:rPr>
          <w:rFonts w:ascii="Calibri" w:eastAsia="Times New Roman" w:hAnsi="Calibri" w:cs="Calibri"/>
          <w:color w:val="212121"/>
          <w:lang w:eastAsia="en-GB"/>
        </w:rPr>
        <w:t>,</w:t>
      </w:r>
      <w:r w:rsidR="00D16C36">
        <w:rPr>
          <w:rFonts w:ascii="Calibri" w:eastAsia="Times New Roman" w:hAnsi="Calibri" w:cs="Calibri"/>
          <w:color w:val="212121"/>
          <w:lang w:eastAsia="en-GB"/>
        </w:rPr>
        <w:t xml:space="preserve"> and </w:t>
      </w:r>
      <w:r w:rsidR="00297FFD">
        <w:rPr>
          <w:rFonts w:ascii="Calibri" w:eastAsia="Times New Roman" w:hAnsi="Calibri" w:cs="Calibri"/>
          <w:color w:val="212121"/>
          <w:lang w:eastAsia="en-GB"/>
        </w:rPr>
        <w:t xml:space="preserve">in </w:t>
      </w:r>
      <w:r w:rsidR="00D16C36">
        <w:rPr>
          <w:rFonts w:ascii="Calibri" w:eastAsia="Times New Roman" w:hAnsi="Calibri" w:cs="Calibri"/>
          <w:color w:val="212121"/>
          <w:lang w:eastAsia="en-GB"/>
        </w:rPr>
        <w:t>use of the term reserves. They are often hard to interpret and</w:t>
      </w:r>
      <w:r>
        <w:rPr>
          <w:rFonts w:ascii="Calibri" w:eastAsia="Times New Roman" w:hAnsi="Calibri" w:cs="Calibri"/>
          <w:color w:val="212121"/>
          <w:lang w:eastAsia="en-GB"/>
        </w:rPr>
        <w:t xml:space="preserve"> can only be understood alongside a detailed reading of the associated Annual Accounts. </w:t>
      </w:r>
    </w:p>
    <w:p w14:paraId="5901511F" w14:textId="77777777" w:rsidR="00D16C36" w:rsidRDefault="00D16C36" w:rsidP="00D16C36">
      <w:pPr>
        <w:shd w:val="clear" w:color="auto" w:fill="FFFFFF"/>
        <w:spacing w:after="0" w:line="240" w:lineRule="auto"/>
        <w:rPr>
          <w:rFonts w:ascii="Calibri" w:eastAsia="Times New Roman" w:hAnsi="Calibri" w:cs="Calibri"/>
          <w:color w:val="212121"/>
          <w:lang w:eastAsia="en-GB"/>
        </w:rPr>
      </w:pPr>
    </w:p>
    <w:p w14:paraId="11BE2A7D" w14:textId="0996D6EA" w:rsidR="00A910A0" w:rsidRDefault="00D16C36" w:rsidP="00D16C36">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color w:val="212121"/>
          <w:lang w:eastAsia="en-GB"/>
        </w:rPr>
        <w:t>In many cases the</w:t>
      </w:r>
      <w:r w:rsidR="00297FFD">
        <w:rPr>
          <w:rFonts w:ascii="Calibri" w:eastAsia="Times New Roman" w:hAnsi="Calibri" w:cs="Calibri"/>
          <w:color w:val="212121"/>
          <w:lang w:eastAsia="en-GB"/>
        </w:rPr>
        <w:t xml:space="preserve"> Trustees’</w:t>
      </w:r>
      <w:r>
        <w:rPr>
          <w:rFonts w:ascii="Calibri" w:eastAsia="Times New Roman" w:hAnsi="Calibri" w:cs="Calibri"/>
          <w:color w:val="212121"/>
          <w:lang w:eastAsia="en-GB"/>
        </w:rPr>
        <w:t xml:space="preserve"> </w:t>
      </w:r>
      <w:r w:rsidR="00A910A0">
        <w:rPr>
          <w:rFonts w:ascii="Calibri" w:eastAsia="Times New Roman" w:hAnsi="Calibri" w:cs="Calibri"/>
          <w:color w:val="212121"/>
          <w:lang w:eastAsia="en-GB"/>
        </w:rPr>
        <w:t>Annual Reports</w:t>
      </w:r>
      <w:r>
        <w:rPr>
          <w:rFonts w:ascii="Calibri" w:eastAsia="Times New Roman" w:hAnsi="Calibri" w:cs="Calibri"/>
          <w:color w:val="212121"/>
          <w:lang w:eastAsia="en-GB"/>
        </w:rPr>
        <w:t xml:space="preserve"> state the </w:t>
      </w:r>
      <w:r w:rsidR="00A910A0">
        <w:rPr>
          <w:rFonts w:ascii="Calibri" w:eastAsia="Times New Roman" w:hAnsi="Calibri" w:cs="Calibri"/>
          <w:color w:val="212121"/>
          <w:lang w:eastAsia="en-GB"/>
        </w:rPr>
        <w:t xml:space="preserve">charities’ </w:t>
      </w:r>
      <w:r>
        <w:rPr>
          <w:rFonts w:ascii="Calibri" w:eastAsia="Times New Roman" w:hAnsi="Calibri" w:cs="Calibri"/>
          <w:color w:val="212121"/>
          <w:lang w:eastAsia="en-GB"/>
        </w:rPr>
        <w:t>general approach to reserves</w:t>
      </w:r>
      <w:r w:rsidR="00A910A0">
        <w:rPr>
          <w:rFonts w:ascii="Calibri" w:eastAsia="Times New Roman" w:hAnsi="Calibri" w:cs="Calibri"/>
          <w:color w:val="212121"/>
          <w:lang w:eastAsia="en-GB"/>
        </w:rPr>
        <w:t>,</w:t>
      </w:r>
      <w:r>
        <w:rPr>
          <w:rFonts w:ascii="Calibri" w:eastAsia="Times New Roman" w:hAnsi="Calibri" w:cs="Calibri"/>
          <w:color w:val="212121"/>
          <w:lang w:eastAsia="en-GB"/>
        </w:rPr>
        <w:t xml:space="preserve"> </w:t>
      </w:r>
      <w:r w:rsidR="00A910A0">
        <w:rPr>
          <w:rFonts w:ascii="Calibri" w:eastAsia="Times New Roman" w:hAnsi="Calibri" w:cs="Calibri"/>
          <w:color w:val="212121"/>
          <w:lang w:eastAsia="en-GB"/>
        </w:rPr>
        <w:t>rather than</w:t>
      </w:r>
      <w:r>
        <w:rPr>
          <w:rFonts w:ascii="Calibri" w:eastAsia="Times New Roman" w:hAnsi="Calibri" w:cs="Calibri"/>
          <w:color w:val="212121"/>
          <w:lang w:eastAsia="en-GB"/>
        </w:rPr>
        <w:t xml:space="preserve"> the quantified </w:t>
      </w:r>
      <w:proofErr w:type="gramStart"/>
      <w:r>
        <w:rPr>
          <w:rFonts w:ascii="Calibri" w:eastAsia="Times New Roman" w:hAnsi="Calibri" w:cs="Calibri"/>
          <w:color w:val="212121"/>
          <w:lang w:eastAsia="en-GB"/>
        </w:rPr>
        <w:t>amount</w:t>
      </w:r>
      <w:proofErr w:type="gramEnd"/>
      <w:r>
        <w:rPr>
          <w:rFonts w:ascii="Calibri" w:eastAsia="Times New Roman" w:hAnsi="Calibri" w:cs="Calibri"/>
          <w:color w:val="212121"/>
          <w:lang w:eastAsia="en-GB"/>
        </w:rPr>
        <w:t xml:space="preserve"> of reserves currently held. For example, </w:t>
      </w:r>
      <w:r w:rsidR="00A910A0">
        <w:rPr>
          <w:rFonts w:ascii="Calibri" w:eastAsia="Times New Roman" w:hAnsi="Calibri" w:cs="Calibri"/>
          <w:color w:val="212121"/>
          <w:lang w:eastAsia="en-GB"/>
        </w:rPr>
        <w:t>rather than stating actual reserves levels, one charity states</w:t>
      </w:r>
      <w:r>
        <w:rPr>
          <w:rFonts w:ascii="Calibri" w:eastAsia="Times New Roman" w:hAnsi="Calibri" w:cs="Calibri"/>
          <w:color w:val="212121"/>
          <w:lang w:eastAsia="en-GB"/>
        </w:rPr>
        <w:t>:</w:t>
      </w:r>
    </w:p>
    <w:p w14:paraId="2291F7DE" w14:textId="652AC766" w:rsidR="00D16C36" w:rsidRDefault="00D16C36" w:rsidP="00A910A0">
      <w:pPr>
        <w:shd w:val="clear" w:color="auto" w:fill="FFFFFF"/>
        <w:spacing w:after="0" w:line="240" w:lineRule="auto"/>
        <w:ind w:left="709" w:hanging="709"/>
        <w:rPr>
          <w:rFonts w:ascii="Calibri" w:eastAsia="Times New Roman" w:hAnsi="Calibri" w:cs="Calibri"/>
          <w:color w:val="212121"/>
          <w:lang w:eastAsia="en-GB"/>
        </w:rPr>
      </w:pPr>
      <w:r>
        <w:rPr>
          <w:rFonts w:ascii="Calibri" w:eastAsia="Times New Roman" w:hAnsi="Calibri" w:cs="Calibri"/>
          <w:color w:val="212121"/>
          <w:lang w:eastAsia="en-GB"/>
        </w:rPr>
        <w:lastRenderedPageBreak/>
        <w:br/>
      </w:r>
      <w:r w:rsidRPr="00A910A0">
        <w:rPr>
          <w:rFonts w:ascii="Calibri" w:eastAsia="Times New Roman" w:hAnsi="Calibri" w:cs="Calibri"/>
          <w:color w:val="212121"/>
          <w:lang w:eastAsia="en-GB"/>
        </w:rPr>
        <w:t xml:space="preserve">The trustees will maintain reserves at a level which is at least six months operational expenditure. The trustees will review the level of reserves required at quarterly intervals. </w:t>
      </w:r>
    </w:p>
    <w:p w14:paraId="32E2239B" w14:textId="77777777" w:rsidR="00A0727E" w:rsidRDefault="00A0727E" w:rsidP="00D16C36">
      <w:pPr>
        <w:shd w:val="clear" w:color="auto" w:fill="FFFFFF"/>
        <w:spacing w:after="0" w:line="240" w:lineRule="auto"/>
        <w:rPr>
          <w:rFonts w:ascii="Calibri" w:eastAsia="Times New Roman" w:hAnsi="Calibri" w:cs="Calibri"/>
          <w:color w:val="212121"/>
          <w:lang w:eastAsia="en-GB"/>
        </w:rPr>
      </w:pPr>
    </w:p>
    <w:p w14:paraId="63D1D434" w14:textId="255116BD" w:rsidR="00A910A0" w:rsidRDefault="00A910A0" w:rsidP="00D16C36">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color w:val="212121"/>
          <w:lang w:eastAsia="en-GB"/>
        </w:rPr>
        <w:t>As suggested by the Findings above,</w:t>
      </w:r>
      <w:r w:rsidR="00DD53D5">
        <w:rPr>
          <w:rFonts w:ascii="Calibri" w:eastAsia="Times New Roman" w:hAnsi="Calibri" w:cs="Calibri"/>
          <w:color w:val="212121"/>
          <w:lang w:eastAsia="en-GB"/>
        </w:rPr>
        <w:t xml:space="preserve"> most</w:t>
      </w:r>
      <w:r>
        <w:rPr>
          <w:rFonts w:ascii="Calibri" w:eastAsia="Times New Roman" w:hAnsi="Calibri" w:cs="Calibri"/>
          <w:color w:val="212121"/>
          <w:lang w:eastAsia="en-GB"/>
        </w:rPr>
        <w:t xml:space="preserve"> charities overestimate their reserve levels. This is often due to these charities explicitly including fixed assets within their stated reserve levels. For example, a community development trust lists its reserves as totalling £1.2m, despite a detailed reading of the accounts showing that £0.8m of this is held in fixed assets. For many of these charities it is unclear if the organisation could continue operating if it were to sell its fixed assets, meaning such assets cannot be considered reserves. For example, an educational college states in its 2020 Annual Report: </w:t>
      </w:r>
    </w:p>
    <w:p w14:paraId="75E3F19E" w14:textId="77777777" w:rsidR="00A910A0" w:rsidRDefault="00A910A0" w:rsidP="00D16C36">
      <w:pPr>
        <w:shd w:val="clear" w:color="auto" w:fill="FFFFFF"/>
        <w:spacing w:after="0" w:line="240" w:lineRule="auto"/>
        <w:rPr>
          <w:rFonts w:ascii="Calibri" w:eastAsia="Times New Roman" w:hAnsi="Calibri" w:cs="Calibri"/>
          <w:color w:val="212121"/>
          <w:lang w:eastAsia="en-GB"/>
        </w:rPr>
      </w:pPr>
    </w:p>
    <w:p w14:paraId="004B1020" w14:textId="14F8C9D1" w:rsidR="00D16C36" w:rsidRDefault="00D16C36" w:rsidP="00A910A0">
      <w:pPr>
        <w:shd w:val="clear" w:color="auto" w:fill="FFFFFF"/>
        <w:spacing w:after="0" w:line="240" w:lineRule="auto"/>
        <w:ind w:left="709"/>
        <w:rPr>
          <w:rFonts w:ascii="Calibri" w:eastAsia="Times New Roman" w:hAnsi="Calibri" w:cs="Calibri"/>
          <w:color w:val="212121"/>
          <w:lang w:eastAsia="en-GB"/>
        </w:rPr>
      </w:pPr>
      <w:r w:rsidRPr="00A910A0">
        <w:rPr>
          <w:rFonts w:ascii="Calibri" w:eastAsia="Times New Roman" w:hAnsi="Calibri" w:cs="Calibri"/>
          <w:color w:val="212121"/>
          <w:lang w:eastAsia="en-GB"/>
        </w:rPr>
        <w:t xml:space="preserve">At 31 August 2020, the Trust’s Unrestricted Fund reserve amounted to £14,293,215 (2019: £14,001,178) (note 17) and is represented in the main by the fixed assets of the </w:t>
      </w:r>
      <w:proofErr w:type="gramStart"/>
      <w:r w:rsidRPr="00A910A0">
        <w:rPr>
          <w:rFonts w:ascii="Calibri" w:eastAsia="Times New Roman" w:hAnsi="Calibri" w:cs="Calibri"/>
          <w:color w:val="212121"/>
          <w:lang w:eastAsia="en-GB"/>
        </w:rPr>
        <w:t>School</w:t>
      </w:r>
      <w:proofErr w:type="gramEnd"/>
      <w:r w:rsidRPr="00A910A0">
        <w:rPr>
          <w:rFonts w:ascii="Calibri" w:eastAsia="Times New Roman" w:hAnsi="Calibri" w:cs="Calibri"/>
          <w:color w:val="212121"/>
          <w:lang w:eastAsia="en-GB"/>
        </w:rPr>
        <w:t xml:space="preserve"> and its investment in the [redacted] sports centre.</w:t>
      </w:r>
    </w:p>
    <w:p w14:paraId="276315B8" w14:textId="1F44EF90" w:rsidR="00C85570" w:rsidRDefault="00C85570" w:rsidP="00C85570">
      <w:pPr>
        <w:shd w:val="clear" w:color="auto" w:fill="FFFFFF"/>
        <w:spacing w:after="0" w:line="240" w:lineRule="auto"/>
        <w:rPr>
          <w:rFonts w:ascii="Calibri" w:eastAsia="Times New Roman" w:hAnsi="Calibri" w:cs="Calibri"/>
          <w:color w:val="212121"/>
          <w:lang w:eastAsia="en-GB"/>
        </w:rPr>
      </w:pPr>
    </w:p>
    <w:p w14:paraId="32A7383C" w14:textId="001CF532" w:rsidR="00C85570" w:rsidRDefault="008E7991" w:rsidP="00C85570">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color w:val="212121"/>
          <w:lang w:eastAsia="en-GB"/>
        </w:rPr>
        <w:t xml:space="preserve">Other charities include within their reserves statement text that suggests a misunderstanding of the need for reserves. </w:t>
      </w:r>
      <w:r w:rsidR="00DD53D5">
        <w:rPr>
          <w:rFonts w:ascii="Calibri" w:eastAsia="Times New Roman" w:hAnsi="Calibri" w:cs="Calibri"/>
          <w:color w:val="212121"/>
          <w:lang w:eastAsia="en-GB"/>
        </w:rPr>
        <w:t>In the example below</w:t>
      </w:r>
      <w:r>
        <w:rPr>
          <w:rFonts w:ascii="Calibri" w:eastAsia="Times New Roman" w:hAnsi="Calibri" w:cs="Calibri"/>
          <w:color w:val="212121"/>
          <w:lang w:eastAsia="en-GB"/>
        </w:rPr>
        <w:t xml:space="preserve">, a heritage charity relies on the value of those heritage assets for its sustainability, and does not otherwise intend to build up reserves: </w:t>
      </w:r>
    </w:p>
    <w:p w14:paraId="1A5D7AA5" w14:textId="0F36BDFF" w:rsidR="008E7991" w:rsidRDefault="008E7991" w:rsidP="00C85570">
      <w:pPr>
        <w:shd w:val="clear" w:color="auto" w:fill="FFFFFF"/>
        <w:spacing w:after="0" w:line="240" w:lineRule="auto"/>
        <w:rPr>
          <w:rFonts w:ascii="Calibri" w:eastAsia="Times New Roman" w:hAnsi="Calibri" w:cs="Calibri"/>
          <w:color w:val="212121"/>
          <w:lang w:eastAsia="en-GB"/>
        </w:rPr>
      </w:pPr>
    </w:p>
    <w:p w14:paraId="5AB657F1" w14:textId="5EDF172A" w:rsidR="00D16C36" w:rsidRDefault="008E7991" w:rsidP="008E7991">
      <w:pPr>
        <w:shd w:val="clear" w:color="auto" w:fill="FFFFFF"/>
        <w:spacing w:after="0" w:line="240" w:lineRule="auto"/>
        <w:ind w:left="720"/>
        <w:rPr>
          <w:rFonts w:ascii="Calibri" w:eastAsia="Times New Roman" w:hAnsi="Calibri" w:cs="Calibri"/>
          <w:i/>
          <w:iCs/>
          <w:color w:val="212121"/>
          <w:lang w:eastAsia="en-GB"/>
        </w:rPr>
      </w:pPr>
      <w:r w:rsidRPr="008E7991">
        <w:rPr>
          <w:rFonts w:ascii="Calibri" w:eastAsia="Times New Roman" w:hAnsi="Calibri" w:cs="Calibri"/>
          <w:color w:val="212121"/>
          <w:lang w:eastAsia="en-GB"/>
        </w:rPr>
        <w:t>Given the scale of the rebuilding and refurbishment project and its continuous demand on funds, it is not</w:t>
      </w:r>
      <w:r>
        <w:rPr>
          <w:rFonts w:ascii="Calibri" w:eastAsia="Times New Roman" w:hAnsi="Calibri" w:cs="Calibri"/>
          <w:color w:val="212121"/>
          <w:lang w:eastAsia="en-GB"/>
        </w:rPr>
        <w:t xml:space="preserve"> </w:t>
      </w:r>
      <w:r w:rsidRPr="008E7991">
        <w:rPr>
          <w:rFonts w:ascii="Calibri" w:eastAsia="Times New Roman" w:hAnsi="Calibri" w:cs="Calibri"/>
          <w:color w:val="212121"/>
          <w:lang w:eastAsia="en-GB"/>
        </w:rPr>
        <w:t xml:space="preserve">possible to maintain reserves. Despite that, the trustees remain confident that given the strength of </w:t>
      </w:r>
      <w:r>
        <w:rPr>
          <w:rFonts w:ascii="Calibri" w:eastAsia="Times New Roman" w:hAnsi="Calibri" w:cs="Calibri"/>
          <w:color w:val="212121"/>
          <w:lang w:eastAsia="en-GB"/>
        </w:rPr>
        <w:t>[redacted]</w:t>
      </w:r>
      <w:r w:rsidRPr="008E7991">
        <w:rPr>
          <w:rFonts w:ascii="Calibri" w:eastAsia="Times New Roman" w:hAnsi="Calibri" w:cs="Calibri"/>
          <w:color w:val="212121"/>
          <w:lang w:eastAsia="en-GB"/>
        </w:rPr>
        <w:t>'s</w:t>
      </w:r>
      <w:r>
        <w:rPr>
          <w:rFonts w:ascii="Calibri" w:eastAsia="Times New Roman" w:hAnsi="Calibri" w:cs="Calibri"/>
          <w:color w:val="212121"/>
          <w:lang w:eastAsia="en-GB"/>
        </w:rPr>
        <w:t xml:space="preserve"> </w:t>
      </w:r>
      <w:r w:rsidRPr="008E7991">
        <w:rPr>
          <w:rFonts w:ascii="Calibri" w:eastAsia="Times New Roman" w:hAnsi="Calibri" w:cs="Calibri"/>
          <w:color w:val="212121"/>
          <w:lang w:eastAsia="en-GB"/>
        </w:rPr>
        <w:t>balance sheet, with a combined value of £ 10,406,956 of net assets, a dependable network of donors</w:t>
      </w:r>
      <w:r>
        <w:rPr>
          <w:rFonts w:ascii="Calibri" w:eastAsia="Times New Roman" w:hAnsi="Calibri" w:cs="Calibri"/>
          <w:color w:val="212121"/>
          <w:lang w:eastAsia="en-GB"/>
        </w:rPr>
        <w:t xml:space="preserve"> </w:t>
      </w:r>
      <w:r w:rsidRPr="008E7991">
        <w:rPr>
          <w:rFonts w:ascii="Calibri" w:eastAsia="Times New Roman" w:hAnsi="Calibri" w:cs="Calibri"/>
          <w:color w:val="212121"/>
          <w:lang w:eastAsia="en-GB"/>
        </w:rPr>
        <w:t xml:space="preserve">sympathetic to </w:t>
      </w:r>
      <w:r>
        <w:rPr>
          <w:rFonts w:ascii="Calibri" w:eastAsia="Times New Roman" w:hAnsi="Calibri" w:cs="Calibri"/>
          <w:color w:val="212121"/>
          <w:lang w:eastAsia="en-GB"/>
        </w:rPr>
        <w:t>[redacted]</w:t>
      </w:r>
      <w:r w:rsidRPr="008E7991">
        <w:rPr>
          <w:rFonts w:ascii="Calibri" w:eastAsia="Times New Roman" w:hAnsi="Calibri" w:cs="Calibri"/>
          <w:color w:val="212121"/>
          <w:lang w:eastAsia="en-GB"/>
        </w:rPr>
        <w:t>'s vision, and the introduction of new revenue streams, there is no need to build up a</w:t>
      </w:r>
      <w:r>
        <w:rPr>
          <w:rFonts w:ascii="Calibri" w:eastAsia="Times New Roman" w:hAnsi="Calibri" w:cs="Calibri"/>
          <w:color w:val="212121"/>
          <w:lang w:eastAsia="en-GB"/>
        </w:rPr>
        <w:t xml:space="preserve"> </w:t>
      </w:r>
      <w:r w:rsidRPr="008E7991">
        <w:rPr>
          <w:rFonts w:ascii="Calibri" w:eastAsia="Times New Roman" w:hAnsi="Calibri" w:cs="Calibri"/>
          <w:color w:val="212121"/>
          <w:lang w:eastAsia="en-GB"/>
        </w:rPr>
        <w:t>reserve. The trustees are confident the organisation will continue to be able to meet with its obligations as</w:t>
      </w:r>
      <w:r>
        <w:rPr>
          <w:rFonts w:ascii="Calibri" w:eastAsia="Times New Roman" w:hAnsi="Calibri" w:cs="Calibri"/>
          <w:color w:val="212121"/>
          <w:lang w:eastAsia="en-GB"/>
        </w:rPr>
        <w:t xml:space="preserve"> </w:t>
      </w:r>
      <w:r w:rsidRPr="008E7991">
        <w:rPr>
          <w:rFonts w:ascii="Calibri" w:eastAsia="Times New Roman" w:hAnsi="Calibri" w:cs="Calibri"/>
          <w:color w:val="212121"/>
          <w:lang w:eastAsia="en-GB"/>
        </w:rPr>
        <w:t>they fall due.</w:t>
      </w:r>
    </w:p>
    <w:p w14:paraId="1AF404B2" w14:textId="77777777" w:rsidR="008E7991" w:rsidRDefault="008E7991" w:rsidP="00C85570">
      <w:pPr>
        <w:shd w:val="clear" w:color="auto" w:fill="FFFFFF"/>
        <w:spacing w:after="0" w:line="240" w:lineRule="auto"/>
        <w:rPr>
          <w:rFonts w:ascii="Calibri" w:eastAsia="Times New Roman" w:hAnsi="Calibri" w:cs="Calibri"/>
          <w:color w:val="212121"/>
          <w:lang w:eastAsia="en-GB"/>
        </w:rPr>
      </w:pPr>
    </w:p>
    <w:p w14:paraId="6A8595E5" w14:textId="244D951C" w:rsidR="00AA6ED0" w:rsidRDefault="008E7991" w:rsidP="00C85570">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color w:val="212121"/>
          <w:lang w:eastAsia="en-GB"/>
        </w:rPr>
        <w:t>Finally, t</w:t>
      </w:r>
      <w:r w:rsidR="00A910A0">
        <w:rPr>
          <w:rFonts w:ascii="Calibri" w:eastAsia="Times New Roman" w:hAnsi="Calibri" w:cs="Calibri"/>
          <w:color w:val="212121"/>
          <w:lang w:eastAsia="en-GB"/>
        </w:rPr>
        <w:t xml:space="preserve">here are </w:t>
      </w:r>
      <w:r w:rsidR="001D7CF0">
        <w:rPr>
          <w:rFonts w:ascii="Calibri" w:eastAsia="Times New Roman" w:hAnsi="Calibri" w:cs="Calibri"/>
          <w:color w:val="212121"/>
          <w:lang w:eastAsia="en-GB"/>
        </w:rPr>
        <w:t>numerous</w:t>
      </w:r>
      <w:r w:rsidR="00A910A0">
        <w:rPr>
          <w:rFonts w:ascii="Calibri" w:eastAsia="Times New Roman" w:hAnsi="Calibri" w:cs="Calibri"/>
          <w:color w:val="212121"/>
          <w:lang w:eastAsia="en-GB"/>
        </w:rPr>
        <w:t xml:space="preserve"> situations in which Annual Reports includ</w:t>
      </w:r>
      <w:r w:rsidR="00F9154C">
        <w:rPr>
          <w:rFonts w:ascii="Calibri" w:eastAsia="Times New Roman" w:hAnsi="Calibri" w:cs="Calibri"/>
          <w:color w:val="212121"/>
          <w:lang w:eastAsia="en-GB"/>
        </w:rPr>
        <w:t>e</w:t>
      </w:r>
      <w:r w:rsidR="00A910A0">
        <w:rPr>
          <w:rFonts w:ascii="Calibri" w:eastAsia="Times New Roman" w:hAnsi="Calibri" w:cs="Calibri"/>
          <w:color w:val="212121"/>
          <w:lang w:eastAsia="en-GB"/>
        </w:rPr>
        <w:t xml:space="preserve"> confusing or muddled terminology</w:t>
      </w:r>
      <w:r w:rsidR="00297FFD">
        <w:rPr>
          <w:rFonts w:ascii="Calibri" w:eastAsia="Times New Roman" w:hAnsi="Calibri" w:cs="Calibri"/>
          <w:color w:val="212121"/>
          <w:lang w:eastAsia="en-GB"/>
        </w:rPr>
        <w:t>. This is perhaps unsurprising given the contested definition of reserves as outlined in this paper’s introduction</w:t>
      </w:r>
      <w:r w:rsidR="00A910A0">
        <w:rPr>
          <w:rFonts w:ascii="Calibri" w:eastAsia="Times New Roman" w:hAnsi="Calibri" w:cs="Calibri"/>
          <w:color w:val="212121"/>
          <w:lang w:eastAsia="en-GB"/>
        </w:rPr>
        <w:t xml:space="preserve">. For example, </w:t>
      </w:r>
      <w:r w:rsidR="008258B4">
        <w:rPr>
          <w:rFonts w:ascii="Calibri" w:eastAsia="Times New Roman" w:hAnsi="Calibri" w:cs="Calibri"/>
          <w:color w:val="212121"/>
          <w:lang w:eastAsia="en-GB"/>
        </w:rPr>
        <w:t>the term reserves may be used to mean unallocated funds, represent an organisation’s total cash-in-bank,</w:t>
      </w:r>
      <w:r w:rsidR="008E338B">
        <w:rPr>
          <w:rFonts w:ascii="Calibri" w:eastAsia="Times New Roman" w:hAnsi="Calibri" w:cs="Calibri"/>
          <w:color w:val="212121"/>
          <w:lang w:eastAsia="en-GB"/>
        </w:rPr>
        <w:t xml:space="preserve"> or be broken d</w:t>
      </w:r>
      <w:r w:rsidR="0048596A">
        <w:rPr>
          <w:rFonts w:ascii="Calibri" w:eastAsia="Times New Roman" w:hAnsi="Calibri" w:cs="Calibri"/>
          <w:color w:val="212121"/>
          <w:lang w:eastAsia="en-GB"/>
        </w:rPr>
        <w:t xml:space="preserve">own </w:t>
      </w:r>
      <w:r w:rsidR="00AA6ED0">
        <w:rPr>
          <w:rFonts w:ascii="Calibri" w:eastAsia="Times New Roman" w:hAnsi="Calibri" w:cs="Calibri"/>
          <w:color w:val="212121"/>
          <w:lang w:eastAsia="en-GB"/>
        </w:rPr>
        <w:t xml:space="preserve">into multiple constituent parts </w:t>
      </w:r>
      <w:r w:rsidR="0048596A">
        <w:rPr>
          <w:rFonts w:ascii="Calibri" w:eastAsia="Times New Roman" w:hAnsi="Calibri" w:cs="Calibri"/>
          <w:color w:val="212121"/>
          <w:lang w:eastAsia="en-GB"/>
        </w:rPr>
        <w:t>using undefined terms such as ‘free reserves’</w:t>
      </w:r>
      <w:r w:rsidR="006D3D09">
        <w:rPr>
          <w:rFonts w:ascii="Calibri" w:eastAsia="Times New Roman" w:hAnsi="Calibri" w:cs="Calibri"/>
          <w:color w:val="212121"/>
          <w:lang w:eastAsia="en-GB"/>
        </w:rPr>
        <w:t xml:space="preserve"> or ‘contingency </w:t>
      </w:r>
      <w:proofErr w:type="gramStart"/>
      <w:r w:rsidR="006D3D09">
        <w:rPr>
          <w:rFonts w:ascii="Calibri" w:eastAsia="Times New Roman" w:hAnsi="Calibri" w:cs="Calibri"/>
          <w:color w:val="212121"/>
          <w:lang w:eastAsia="en-GB"/>
        </w:rPr>
        <w:t>funds’</w:t>
      </w:r>
      <w:proofErr w:type="gramEnd"/>
      <w:r w:rsidR="006D3D09">
        <w:rPr>
          <w:rFonts w:ascii="Calibri" w:eastAsia="Times New Roman" w:hAnsi="Calibri" w:cs="Calibri"/>
          <w:color w:val="212121"/>
          <w:lang w:eastAsia="en-GB"/>
        </w:rPr>
        <w:t>.</w:t>
      </w:r>
    </w:p>
    <w:p w14:paraId="70455CF7" w14:textId="77777777" w:rsidR="00D16C36" w:rsidRPr="00EC3C58" w:rsidRDefault="00D16C36" w:rsidP="00D16C36">
      <w:pPr>
        <w:shd w:val="clear" w:color="auto" w:fill="FFFFFF"/>
        <w:spacing w:after="0" w:line="240" w:lineRule="auto"/>
        <w:rPr>
          <w:rFonts w:ascii="Calibri" w:eastAsia="Times New Roman" w:hAnsi="Calibri" w:cs="Calibri"/>
          <w:color w:val="212121"/>
          <w:lang w:eastAsia="en-GB"/>
        </w:rPr>
      </w:pPr>
    </w:p>
    <w:p w14:paraId="65CD3DE0" w14:textId="40686A42" w:rsidR="00D16C36" w:rsidRDefault="00696941">
      <w:pPr>
        <w:rPr>
          <w:rFonts w:eastAsia="Times New Roman"/>
          <w:b/>
          <w:bCs/>
        </w:rPr>
      </w:pPr>
      <w:r>
        <w:rPr>
          <w:rFonts w:eastAsia="Times New Roman"/>
          <w:b/>
          <w:bCs/>
        </w:rPr>
        <w:t xml:space="preserve">Implications and </w:t>
      </w:r>
      <w:r w:rsidR="00D16C36">
        <w:rPr>
          <w:rFonts w:eastAsia="Times New Roman"/>
          <w:b/>
          <w:bCs/>
        </w:rPr>
        <w:t xml:space="preserve">Recommendations </w:t>
      </w:r>
    </w:p>
    <w:p w14:paraId="30DF8460" w14:textId="696AF4E0" w:rsidR="00696941" w:rsidRDefault="00696941">
      <w:pPr>
        <w:rPr>
          <w:rFonts w:eastAsia="Times New Roman"/>
        </w:rPr>
      </w:pPr>
      <w:r>
        <w:rPr>
          <w:rFonts w:eastAsia="Times New Roman"/>
        </w:rPr>
        <w:t>We believe the above findings have implications for</w:t>
      </w:r>
      <w:r w:rsidR="00DF558E">
        <w:rPr>
          <w:rFonts w:eastAsia="Times New Roman"/>
        </w:rPr>
        <w:t xml:space="preserve"> both </w:t>
      </w:r>
      <w:r>
        <w:rPr>
          <w:rFonts w:eastAsia="Times New Roman"/>
        </w:rPr>
        <w:t xml:space="preserve">users </w:t>
      </w:r>
      <w:r w:rsidR="00D2321B">
        <w:rPr>
          <w:rFonts w:eastAsia="Times New Roman"/>
        </w:rPr>
        <w:t xml:space="preserve">and preparers </w:t>
      </w:r>
      <w:r>
        <w:rPr>
          <w:rFonts w:eastAsia="Times New Roman"/>
        </w:rPr>
        <w:t xml:space="preserve">of </w:t>
      </w:r>
      <w:r w:rsidR="002479CF">
        <w:rPr>
          <w:rFonts w:eastAsia="Times New Roman"/>
        </w:rPr>
        <w:t>charity Annual Return</w:t>
      </w:r>
      <w:r w:rsidR="00D2321B">
        <w:rPr>
          <w:rFonts w:eastAsia="Times New Roman"/>
        </w:rPr>
        <w:t xml:space="preserve">s </w:t>
      </w:r>
      <w:r w:rsidR="002479CF">
        <w:rPr>
          <w:rFonts w:eastAsia="Times New Roman"/>
        </w:rPr>
        <w:t xml:space="preserve">and </w:t>
      </w:r>
      <w:r w:rsidR="00297FFD">
        <w:rPr>
          <w:rFonts w:eastAsia="Times New Roman"/>
        </w:rPr>
        <w:t xml:space="preserve">Trustees’ </w:t>
      </w:r>
      <w:r w:rsidR="002479CF">
        <w:rPr>
          <w:rFonts w:eastAsia="Times New Roman"/>
        </w:rPr>
        <w:t xml:space="preserve">Annual </w:t>
      </w:r>
      <w:r w:rsidR="00297FFD">
        <w:rPr>
          <w:rFonts w:eastAsia="Times New Roman"/>
        </w:rPr>
        <w:t xml:space="preserve">Reports </w:t>
      </w:r>
      <w:r w:rsidR="00520AB7">
        <w:rPr>
          <w:rFonts w:eastAsia="Times New Roman"/>
        </w:rPr>
        <w:t>and Accounts</w:t>
      </w:r>
      <w:r w:rsidR="00297FFD">
        <w:rPr>
          <w:rFonts w:eastAsia="Times New Roman"/>
        </w:rPr>
        <w:t>,</w:t>
      </w:r>
      <w:r w:rsidR="00520AB7">
        <w:rPr>
          <w:rFonts w:eastAsia="Times New Roman"/>
        </w:rPr>
        <w:t xml:space="preserve"> </w:t>
      </w:r>
      <w:r>
        <w:rPr>
          <w:rFonts w:eastAsia="Times New Roman"/>
        </w:rPr>
        <w:t xml:space="preserve">including </w:t>
      </w:r>
      <w:r w:rsidR="00D364CA">
        <w:rPr>
          <w:rFonts w:eastAsia="Times New Roman"/>
        </w:rPr>
        <w:t xml:space="preserve">regulators, </w:t>
      </w:r>
      <w:r>
        <w:rPr>
          <w:rFonts w:eastAsia="Times New Roman"/>
        </w:rPr>
        <w:t>researchers, policy-makers, those served by charities, donors</w:t>
      </w:r>
      <w:r w:rsidR="00DF558E">
        <w:rPr>
          <w:rFonts w:eastAsia="Times New Roman"/>
        </w:rPr>
        <w:t xml:space="preserve">, </w:t>
      </w:r>
      <w:r w:rsidR="000B50F7">
        <w:rPr>
          <w:rFonts w:eastAsia="Times New Roman"/>
        </w:rPr>
        <w:t xml:space="preserve">and </w:t>
      </w:r>
      <w:r w:rsidR="00DF558E">
        <w:rPr>
          <w:rFonts w:eastAsia="Times New Roman"/>
        </w:rPr>
        <w:t>charities themselves</w:t>
      </w:r>
      <w:r w:rsidR="00520AB7">
        <w:rPr>
          <w:rFonts w:eastAsia="Times New Roman"/>
        </w:rPr>
        <w:t>.</w:t>
      </w:r>
      <w:r>
        <w:rPr>
          <w:rFonts w:eastAsia="Times New Roman"/>
        </w:rPr>
        <w:t xml:space="preserve"> These implications are discussed below, followed by some key recommendations. </w:t>
      </w:r>
    </w:p>
    <w:p w14:paraId="3832D857" w14:textId="2018C017" w:rsidR="006D6FF7" w:rsidRDefault="00D364CA">
      <w:pPr>
        <w:rPr>
          <w:rFonts w:eastAsia="Times New Roman"/>
        </w:rPr>
      </w:pPr>
      <w:r w:rsidRPr="5B05AD1B">
        <w:rPr>
          <w:rFonts w:eastAsia="Times New Roman"/>
          <w:color w:val="212121"/>
          <w:lang w:eastAsia="en-GB"/>
        </w:rPr>
        <w:t xml:space="preserve">For the regulators, the findings suggest a continued need for greater collaboration between themselves and the voluntary sector to increase sector-wide understandings of reserves, as well as the need for attention to be paid to regulatory reporting requirements. </w:t>
      </w:r>
      <w:r w:rsidR="00AD203F" w:rsidRPr="5B05AD1B">
        <w:rPr>
          <w:rFonts w:eastAsia="Times New Roman"/>
        </w:rPr>
        <w:t>Whilst a smaller sample than the English and Welsh data, the Scottish data presents a higher degree of conformity with regulatory definitions of reserves.</w:t>
      </w:r>
      <w:r w:rsidR="00DF558E">
        <w:rPr>
          <w:rFonts w:eastAsia="Times New Roman"/>
        </w:rPr>
        <w:t xml:space="preserve"> Further research to explore the difference in findings between the jurisdictions would be valuable.</w:t>
      </w:r>
    </w:p>
    <w:p w14:paraId="07D3B258" w14:textId="7A57E3A5" w:rsidR="00297E8B" w:rsidRDefault="000B50F7" w:rsidP="008E7991">
      <w:pPr>
        <w:rPr>
          <w:rFonts w:eastAsia="Times New Roman"/>
        </w:rPr>
      </w:pPr>
      <w:r>
        <w:rPr>
          <w:rFonts w:eastAsia="Times New Roman"/>
        </w:rPr>
        <w:t xml:space="preserve">As noted above, </w:t>
      </w:r>
      <w:r w:rsidR="006D6FF7">
        <w:rPr>
          <w:rFonts w:eastAsia="Times New Roman"/>
        </w:rPr>
        <w:t>larger English, Welsh and Scottish charities are required to have their accounts audited</w:t>
      </w:r>
      <w:r w:rsidR="00F238E7">
        <w:rPr>
          <w:rFonts w:eastAsia="Times New Roman"/>
        </w:rPr>
        <w:t xml:space="preserve">. Smaller charities (but with incomes of £25,000 or more) must have their accounts independently examined. </w:t>
      </w:r>
      <w:r w:rsidR="00451377">
        <w:rPr>
          <w:rFonts w:eastAsia="Times New Roman"/>
        </w:rPr>
        <w:t>This audit process is seen as an essential oversight mechanism for charity accounts, however p</w:t>
      </w:r>
      <w:r w:rsidR="00F238E7">
        <w:rPr>
          <w:rFonts w:eastAsia="Times New Roman"/>
        </w:rPr>
        <w:t xml:space="preserve">rior work by the </w:t>
      </w:r>
      <w:r w:rsidR="006E3339">
        <w:rPr>
          <w:rFonts w:eastAsia="Times New Roman"/>
        </w:rPr>
        <w:t>CCEW</w:t>
      </w:r>
      <w:r w:rsidR="00F238E7">
        <w:rPr>
          <w:rFonts w:eastAsia="Times New Roman"/>
        </w:rPr>
        <w:t xml:space="preserve"> (2019) </w:t>
      </w:r>
      <w:r w:rsidR="00451377">
        <w:rPr>
          <w:rFonts w:eastAsia="Times New Roman"/>
        </w:rPr>
        <w:t>suggest</w:t>
      </w:r>
      <w:r w:rsidR="004E695D">
        <w:rPr>
          <w:rFonts w:eastAsia="Times New Roman"/>
        </w:rPr>
        <w:t>s</w:t>
      </w:r>
      <w:r w:rsidR="00451377">
        <w:rPr>
          <w:rFonts w:eastAsia="Times New Roman"/>
        </w:rPr>
        <w:t xml:space="preserve"> that some auditors and examiners were </w:t>
      </w:r>
      <w:r w:rsidR="00451377">
        <w:rPr>
          <w:rFonts w:eastAsia="Times New Roman"/>
        </w:rPr>
        <w:lastRenderedPageBreak/>
        <w:t>failing to identify significant failings in the accounts they reviewed. Th</w:t>
      </w:r>
      <w:r w:rsidR="004E695D">
        <w:rPr>
          <w:rFonts w:eastAsia="Times New Roman"/>
        </w:rPr>
        <w:t>e</w:t>
      </w:r>
      <w:r w:rsidR="00451377">
        <w:rPr>
          <w:rFonts w:eastAsia="Times New Roman"/>
        </w:rPr>
        <w:t xml:space="preserve"> </w:t>
      </w:r>
      <w:r w:rsidR="004E695D">
        <w:rPr>
          <w:rFonts w:eastAsia="Times New Roman"/>
        </w:rPr>
        <w:t>findings presented within this paper</w:t>
      </w:r>
      <w:r w:rsidR="00451377">
        <w:rPr>
          <w:rFonts w:eastAsia="Times New Roman"/>
        </w:rPr>
        <w:t xml:space="preserve"> </w:t>
      </w:r>
      <w:r w:rsidR="004E695D">
        <w:rPr>
          <w:rFonts w:eastAsia="Times New Roman"/>
        </w:rPr>
        <w:t xml:space="preserve">also </w:t>
      </w:r>
      <w:r w:rsidR="00451377">
        <w:rPr>
          <w:rFonts w:eastAsia="Times New Roman"/>
        </w:rPr>
        <w:t xml:space="preserve">raise potential questions as to the oversight provided by the auditing process, which may be worthy of further consideration by the </w:t>
      </w:r>
      <w:r w:rsidR="004E695D">
        <w:rPr>
          <w:rFonts w:eastAsia="Times New Roman"/>
        </w:rPr>
        <w:t>CCEW and OSCR</w:t>
      </w:r>
      <w:r w:rsidR="00451377">
        <w:rPr>
          <w:rFonts w:eastAsia="Times New Roman"/>
        </w:rPr>
        <w:t>, and by auditors and accountancy bodies</w:t>
      </w:r>
      <w:r w:rsidR="006E3339">
        <w:rPr>
          <w:rFonts w:eastAsia="Times New Roman"/>
        </w:rPr>
        <w:t xml:space="preserve"> themselves</w:t>
      </w:r>
      <w:r w:rsidR="00451377">
        <w:rPr>
          <w:rFonts w:eastAsia="Times New Roman"/>
        </w:rPr>
        <w:t xml:space="preserve">. Further research to </w:t>
      </w:r>
      <w:r w:rsidR="006E3339">
        <w:rPr>
          <w:rFonts w:eastAsia="Times New Roman"/>
        </w:rPr>
        <w:t>specifically examine the role of auditors in th</w:t>
      </w:r>
      <w:r w:rsidR="004E695D">
        <w:rPr>
          <w:rFonts w:eastAsia="Times New Roman"/>
        </w:rPr>
        <w:t>e</w:t>
      </w:r>
      <w:r w:rsidR="006E3339">
        <w:rPr>
          <w:rFonts w:eastAsia="Times New Roman"/>
        </w:rPr>
        <w:t xml:space="preserve"> reporting of reserves would again add value to this discussion. </w:t>
      </w:r>
    </w:p>
    <w:p w14:paraId="5C96CEFE" w14:textId="59EA2D2B" w:rsidR="008E7991" w:rsidRDefault="00696941" w:rsidP="008E7991">
      <w:pPr>
        <w:rPr>
          <w:rFonts w:eastAsia="Times New Roman"/>
        </w:rPr>
      </w:pPr>
      <w:r>
        <w:rPr>
          <w:rFonts w:eastAsia="Times New Roman"/>
        </w:rPr>
        <w:t>For researchers and policy-makers</w:t>
      </w:r>
      <w:r w:rsidR="00921A2D">
        <w:rPr>
          <w:rFonts w:eastAsia="Times New Roman"/>
        </w:rPr>
        <w:t>,</w:t>
      </w:r>
      <w:r>
        <w:rPr>
          <w:rFonts w:eastAsia="Times New Roman"/>
        </w:rPr>
        <w:t xml:space="preserve"> these findings </w:t>
      </w:r>
      <w:r>
        <w:rPr>
          <w:rFonts w:eastAsia="Times New Roman" w:cstheme="minorHAnsi"/>
          <w:color w:val="212121"/>
          <w:lang w:eastAsia="en-GB"/>
        </w:rPr>
        <w:t>i</w:t>
      </w:r>
      <w:r w:rsidRPr="00D16C36">
        <w:rPr>
          <w:rFonts w:eastAsia="Times New Roman" w:cstheme="minorHAnsi"/>
          <w:color w:val="212121"/>
          <w:lang w:eastAsia="en-GB"/>
        </w:rPr>
        <w:t>ntroduce</w:t>
      </w:r>
      <w:r>
        <w:rPr>
          <w:rFonts w:eastAsia="Times New Roman" w:cstheme="minorHAnsi"/>
          <w:color w:val="212121"/>
          <w:lang w:eastAsia="en-GB"/>
        </w:rPr>
        <w:t xml:space="preserve"> a</w:t>
      </w:r>
      <w:r w:rsidRPr="00D16C36">
        <w:rPr>
          <w:rFonts w:eastAsia="Times New Roman" w:cstheme="minorHAnsi"/>
          <w:color w:val="212121"/>
          <w:lang w:eastAsia="en-GB"/>
        </w:rPr>
        <w:t xml:space="preserve"> significant caveat into work that relies on aggregate or sub-sector analysis of reserves</w:t>
      </w:r>
      <w:r w:rsidR="00717EAC">
        <w:rPr>
          <w:rFonts w:eastAsia="Times New Roman" w:cstheme="minorHAnsi"/>
          <w:color w:val="212121"/>
          <w:lang w:eastAsia="en-GB"/>
        </w:rPr>
        <w:t>, impacting</w:t>
      </w:r>
      <w:r w:rsidRPr="00D16C36">
        <w:rPr>
          <w:rFonts w:eastAsia="Times New Roman" w:cstheme="minorHAnsi"/>
          <w:color w:val="212121"/>
          <w:lang w:eastAsia="en-GB"/>
        </w:rPr>
        <w:t xml:space="preserve"> our collective understanding of the health of the</w:t>
      </w:r>
      <w:r>
        <w:rPr>
          <w:rFonts w:eastAsia="Times New Roman" w:cstheme="minorHAnsi"/>
          <w:color w:val="212121"/>
          <w:lang w:eastAsia="en-GB"/>
        </w:rPr>
        <w:t xml:space="preserve"> voluntary</w:t>
      </w:r>
      <w:r w:rsidRPr="00D16C36">
        <w:rPr>
          <w:rFonts w:eastAsia="Times New Roman" w:cstheme="minorHAnsi"/>
          <w:color w:val="212121"/>
          <w:lang w:eastAsia="en-GB"/>
        </w:rPr>
        <w:t xml:space="preserve"> sector</w:t>
      </w:r>
      <w:r>
        <w:rPr>
          <w:rFonts w:eastAsia="Times New Roman" w:cstheme="minorHAnsi"/>
          <w:color w:val="212121"/>
          <w:lang w:eastAsia="en-GB"/>
        </w:rPr>
        <w:t xml:space="preserve">. At an individual charity level, the findings around inconsistent reporting of reserves </w:t>
      </w:r>
      <w:r w:rsidR="00921A2D">
        <w:rPr>
          <w:rFonts w:eastAsia="Times New Roman" w:cstheme="minorHAnsi"/>
          <w:color w:val="212121"/>
          <w:lang w:eastAsia="en-GB"/>
        </w:rPr>
        <w:t xml:space="preserve">further </w:t>
      </w:r>
      <w:r>
        <w:rPr>
          <w:rFonts w:eastAsia="Times New Roman" w:cstheme="minorHAnsi"/>
          <w:color w:val="212121"/>
          <w:lang w:eastAsia="en-GB"/>
        </w:rPr>
        <w:t>means that users of these charities</w:t>
      </w:r>
      <w:r w:rsidR="00380634">
        <w:rPr>
          <w:rFonts w:eastAsia="Times New Roman" w:cstheme="minorHAnsi"/>
          <w:color w:val="212121"/>
          <w:lang w:eastAsia="en-GB"/>
        </w:rPr>
        <w:t>’</w:t>
      </w:r>
      <w:r>
        <w:rPr>
          <w:rFonts w:eastAsia="Times New Roman" w:cstheme="minorHAnsi"/>
          <w:color w:val="212121"/>
          <w:lang w:eastAsia="en-GB"/>
        </w:rPr>
        <w:t xml:space="preserve"> accounts, including donors, </w:t>
      </w:r>
      <w:r w:rsidR="00921A2D">
        <w:rPr>
          <w:rFonts w:eastAsia="Times New Roman" w:cstheme="minorHAnsi"/>
          <w:color w:val="212121"/>
          <w:lang w:eastAsia="en-GB"/>
        </w:rPr>
        <w:t xml:space="preserve">may find it impossible </w:t>
      </w:r>
      <w:r>
        <w:rPr>
          <w:rFonts w:eastAsia="Times New Roman" w:cstheme="minorHAnsi"/>
          <w:color w:val="212121"/>
          <w:lang w:eastAsia="en-GB"/>
        </w:rPr>
        <w:t xml:space="preserve">to gain a true understanding of </w:t>
      </w:r>
      <w:r w:rsidR="00921A2D">
        <w:rPr>
          <w:rFonts w:eastAsia="Times New Roman" w:cstheme="minorHAnsi"/>
          <w:color w:val="212121"/>
          <w:lang w:eastAsia="en-GB"/>
        </w:rPr>
        <w:t xml:space="preserve">changes in the financial health of that charity over time. </w:t>
      </w:r>
    </w:p>
    <w:p w14:paraId="3F1F008F" w14:textId="63B9BC28" w:rsidR="00582F12" w:rsidRDefault="00C24F27" w:rsidP="5B05AD1B">
      <w:pPr>
        <w:rPr>
          <w:rFonts w:eastAsia="Times New Roman"/>
          <w:color w:val="212121"/>
          <w:lang w:eastAsia="en-GB"/>
        </w:rPr>
      </w:pPr>
      <w:r>
        <w:rPr>
          <w:rFonts w:eastAsia="Times New Roman"/>
        </w:rPr>
        <w:t>Th</w:t>
      </w:r>
      <w:r w:rsidR="00582F12">
        <w:rPr>
          <w:rFonts w:eastAsia="Times New Roman"/>
        </w:rPr>
        <w:t xml:space="preserve">is paper demonstrates that inconsistent </w:t>
      </w:r>
      <w:r>
        <w:rPr>
          <w:rFonts w:eastAsia="Times New Roman"/>
        </w:rPr>
        <w:t>reporting of</w:t>
      </w:r>
      <w:r w:rsidR="008E7991" w:rsidRPr="5B05AD1B">
        <w:rPr>
          <w:rFonts w:eastAsia="Times New Roman"/>
          <w:color w:val="212121"/>
          <w:lang w:eastAsia="en-GB"/>
        </w:rPr>
        <w:t xml:space="preserve"> reserve levels</w:t>
      </w:r>
      <w:r w:rsidR="00582F12">
        <w:rPr>
          <w:rFonts w:eastAsia="Times New Roman"/>
          <w:color w:val="212121"/>
          <w:lang w:eastAsia="en-GB"/>
        </w:rPr>
        <w:t>, both within and between charities</w:t>
      </w:r>
      <w:r w:rsidR="008E7991" w:rsidRPr="5B05AD1B">
        <w:rPr>
          <w:rFonts w:eastAsia="Times New Roman"/>
          <w:color w:val="212121"/>
          <w:lang w:eastAsia="en-GB"/>
        </w:rPr>
        <w:t xml:space="preserve">, </w:t>
      </w:r>
      <w:r>
        <w:rPr>
          <w:rFonts w:eastAsia="Times New Roman"/>
          <w:color w:val="212121"/>
          <w:lang w:eastAsia="en-GB"/>
        </w:rPr>
        <w:t xml:space="preserve">as well as the </w:t>
      </w:r>
      <w:r w:rsidR="008E7991" w:rsidRPr="5B05AD1B">
        <w:rPr>
          <w:rFonts w:eastAsia="Times New Roman"/>
          <w:color w:val="212121"/>
          <w:lang w:eastAsia="en-GB"/>
        </w:rPr>
        <w:t>mischaracterisation and misuse of terms</w:t>
      </w:r>
      <w:r>
        <w:rPr>
          <w:rFonts w:eastAsia="Times New Roman"/>
          <w:color w:val="212121"/>
          <w:lang w:eastAsia="en-GB"/>
        </w:rPr>
        <w:t>,</w:t>
      </w:r>
      <w:r w:rsidR="008E7991" w:rsidRPr="5B05AD1B">
        <w:rPr>
          <w:rFonts w:eastAsia="Times New Roman"/>
          <w:color w:val="212121"/>
          <w:lang w:eastAsia="en-GB"/>
        </w:rPr>
        <w:t xml:space="preserve"> </w:t>
      </w:r>
      <w:r w:rsidR="00582F12">
        <w:rPr>
          <w:rFonts w:eastAsia="Times New Roman"/>
          <w:color w:val="212121"/>
          <w:lang w:eastAsia="en-GB"/>
        </w:rPr>
        <w:t>means that extant data on charity reserve</w:t>
      </w:r>
      <w:r w:rsidR="008E7991" w:rsidRPr="5B05AD1B">
        <w:rPr>
          <w:rFonts w:eastAsia="Times New Roman"/>
          <w:color w:val="212121"/>
          <w:lang w:eastAsia="en-GB"/>
        </w:rPr>
        <w:t xml:space="preserve"> </w:t>
      </w:r>
      <w:r w:rsidR="00582F12">
        <w:rPr>
          <w:rFonts w:eastAsia="Times New Roman"/>
          <w:color w:val="212121"/>
          <w:lang w:eastAsia="en-GB"/>
        </w:rPr>
        <w:t>levels is unreliable</w:t>
      </w:r>
      <w:r w:rsidR="008E7991" w:rsidRPr="5B05AD1B">
        <w:rPr>
          <w:rFonts w:eastAsia="Times New Roman"/>
          <w:color w:val="212121"/>
          <w:lang w:eastAsia="en-GB"/>
        </w:rPr>
        <w:t xml:space="preserve">. Furthermore, it raises questions around whether charities are appropriately managing their financial risk. </w:t>
      </w:r>
      <w:r w:rsidR="00C628AD">
        <w:rPr>
          <w:rFonts w:eastAsia="Times New Roman"/>
          <w:color w:val="212121"/>
          <w:lang w:eastAsia="en-GB"/>
        </w:rPr>
        <w:t xml:space="preserve">Therefore, we highlight the importance of future qualitative research, to complement the findings presented here, and to explore the possible reasons underlying the misreporting of reserves data. </w:t>
      </w:r>
    </w:p>
    <w:p w14:paraId="75C65A3A" w14:textId="7C5CC166" w:rsidR="00380634" w:rsidRDefault="00380634" w:rsidP="003C5588">
      <w:pPr>
        <w:rPr>
          <w:rFonts w:eastAsia="Times New Roman" w:cstheme="minorHAnsi"/>
          <w:color w:val="212121"/>
          <w:lang w:eastAsia="en-GB"/>
        </w:rPr>
      </w:pPr>
      <w:r>
        <w:rPr>
          <w:rFonts w:eastAsia="Times New Roman" w:cstheme="minorHAnsi"/>
          <w:color w:val="212121"/>
          <w:lang w:eastAsia="en-GB"/>
        </w:rPr>
        <w:t>Our key recommendations are therefore:</w:t>
      </w:r>
    </w:p>
    <w:p w14:paraId="71D8AE6F" w14:textId="411BC3E2" w:rsidR="00380634" w:rsidRDefault="00380634" w:rsidP="00DC6E6E">
      <w:pPr>
        <w:pStyle w:val="ListParagraph"/>
        <w:numPr>
          <w:ilvl w:val="0"/>
          <w:numId w:val="4"/>
        </w:numPr>
        <w:spacing w:line="259" w:lineRule="auto"/>
        <w:rPr>
          <w:rFonts w:eastAsia="Times New Roman" w:cstheme="minorHAnsi"/>
        </w:rPr>
      </w:pPr>
      <w:r>
        <w:rPr>
          <w:rFonts w:eastAsia="Times New Roman" w:cstheme="minorHAnsi"/>
        </w:rPr>
        <w:t>To encourage greater dialogue between the regulator</w:t>
      </w:r>
      <w:r w:rsidR="00A54D06">
        <w:rPr>
          <w:rFonts w:eastAsia="Times New Roman" w:cstheme="minorHAnsi"/>
        </w:rPr>
        <w:t>y bodies</w:t>
      </w:r>
      <w:r w:rsidR="00D25DE3">
        <w:rPr>
          <w:rFonts w:eastAsia="Times New Roman" w:cstheme="minorHAnsi"/>
        </w:rPr>
        <w:t>, the SORP development committee,</w:t>
      </w:r>
      <w:r>
        <w:rPr>
          <w:rFonts w:eastAsia="Times New Roman" w:cstheme="minorHAnsi"/>
        </w:rPr>
        <w:t xml:space="preserve"> and charities regarding the meaning of reserves</w:t>
      </w:r>
      <w:r w:rsidR="00994FDF">
        <w:rPr>
          <w:rFonts w:eastAsia="Times New Roman" w:cstheme="minorHAnsi"/>
        </w:rPr>
        <w:t xml:space="preserve"> and standardisation of the presentation of certain information in </w:t>
      </w:r>
      <w:r w:rsidR="00582F12">
        <w:rPr>
          <w:rFonts w:eastAsia="Times New Roman" w:cstheme="minorHAnsi"/>
        </w:rPr>
        <w:t xml:space="preserve">Trustees’ </w:t>
      </w:r>
      <w:r w:rsidR="00994FDF">
        <w:rPr>
          <w:rFonts w:eastAsia="Times New Roman" w:cstheme="minorHAnsi"/>
        </w:rPr>
        <w:t>Annual Reports and Accounts</w:t>
      </w:r>
      <w:r>
        <w:rPr>
          <w:rFonts w:eastAsia="Times New Roman" w:cstheme="minorHAnsi"/>
        </w:rPr>
        <w:t xml:space="preserve">. This may require </w:t>
      </w:r>
      <w:r w:rsidR="0007399A">
        <w:rPr>
          <w:rFonts w:eastAsia="Times New Roman" w:cstheme="minorHAnsi"/>
        </w:rPr>
        <w:t>changes to the current wording of the CCEW/OSCR reserves definition</w:t>
      </w:r>
      <w:r w:rsidR="00933E22">
        <w:rPr>
          <w:rFonts w:eastAsia="Times New Roman" w:cstheme="minorHAnsi"/>
        </w:rPr>
        <w:t xml:space="preserve"> and greater guidance at the point of data </w:t>
      </w:r>
      <w:r w:rsidR="00582F12">
        <w:rPr>
          <w:rFonts w:eastAsia="Times New Roman" w:cstheme="minorHAnsi"/>
        </w:rPr>
        <w:t>preparation</w:t>
      </w:r>
      <w:r w:rsidR="0007399A">
        <w:rPr>
          <w:rFonts w:eastAsia="Times New Roman" w:cstheme="minorHAnsi"/>
        </w:rPr>
        <w:t xml:space="preserve">. </w:t>
      </w:r>
    </w:p>
    <w:p w14:paraId="014C34CF" w14:textId="0B2D602D" w:rsidR="0058530C" w:rsidRDefault="00380634" w:rsidP="00DC6E6E">
      <w:pPr>
        <w:pStyle w:val="ListParagraph"/>
        <w:numPr>
          <w:ilvl w:val="0"/>
          <w:numId w:val="4"/>
        </w:numPr>
        <w:spacing w:line="259" w:lineRule="auto"/>
        <w:rPr>
          <w:rFonts w:eastAsia="Times New Roman" w:cstheme="minorHAnsi"/>
        </w:rPr>
      </w:pPr>
      <w:r>
        <w:rPr>
          <w:rFonts w:eastAsia="Times New Roman" w:cstheme="minorHAnsi"/>
        </w:rPr>
        <w:t>For the regulator</w:t>
      </w:r>
      <w:r w:rsidR="0007399A">
        <w:rPr>
          <w:rFonts w:eastAsia="Times New Roman" w:cstheme="minorHAnsi"/>
        </w:rPr>
        <w:t>s</w:t>
      </w:r>
      <w:r>
        <w:rPr>
          <w:rFonts w:eastAsia="Times New Roman" w:cstheme="minorHAnsi"/>
        </w:rPr>
        <w:t xml:space="preserve"> and sector bodies to further invest in sector-wide training and communications regarding accounting terms and practices. Given that the data suggests Scottish charities are more accurately reporting their reserves, there may be specific learning that can be gathered from OSCR. </w:t>
      </w:r>
    </w:p>
    <w:p w14:paraId="63C240E3" w14:textId="77777777" w:rsidR="00582F12" w:rsidRDefault="00994FDF" w:rsidP="00DC6E6E">
      <w:pPr>
        <w:pStyle w:val="ListParagraph"/>
        <w:numPr>
          <w:ilvl w:val="0"/>
          <w:numId w:val="4"/>
        </w:numPr>
        <w:spacing w:line="259" w:lineRule="auto"/>
        <w:rPr>
          <w:rFonts w:eastAsia="Times New Roman" w:cstheme="minorHAnsi"/>
        </w:rPr>
      </w:pPr>
      <w:r>
        <w:rPr>
          <w:rFonts w:eastAsia="Times New Roman" w:cstheme="minorHAnsi"/>
        </w:rPr>
        <w:t xml:space="preserve">That researchers and policy-makers exercise caution regarding the </w:t>
      </w:r>
      <w:r w:rsidR="002520EB">
        <w:rPr>
          <w:rFonts w:eastAsia="Times New Roman" w:cstheme="minorHAnsi"/>
        </w:rPr>
        <w:t xml:space="preserve">claims and decisions made based upon analysis of charity reserves data drawn from Annual Returns and </w:t>
      </w:r>
      <w:r w:rsidR="00582F12">
        <w:rPr>
          <w:rFonts w:eastAsia="Times New Roman" w:cstheme="minorHAnsi"/>
        </w:rPr>
        <w:t xml:space="preserve">Trustees’ </w:t>
      </w:r>
      <w:r w:rsidR="002520EB">
        <w:rPr>
          <w:rFonts w:eastAsia="Times New Roman" w:cstheme="minorHAnsi"/>
        </w:rPr>
        <w:t>Annual Reports and Accounts.</w:t>
      </w:r>
    </w:p>
    <w:p w14:paraId="613936DD" w14:textId="67E8EE69" w:rsidR="004920FA" w:rsidRDefault="00582F12" w:rsidP="00DC6E6E">
      <w:pPr>
        <w:pStyle w:val="ListParagraph"/>
        <w:numPr>
          <w:ilvl w:val="0"/>
          <w:numId w:val="4"/>
        </w:numPr>
        <w:spacing w:line="259" w:lineRule="auto"/>
        <w:rPr>
          <w:rFonts w:eastAsia="Times New Roman" w:cstheme="minorHAnsi"/>
        </w:rPr>
      </w:pPr>
      <w:r>
        <w:rPr>
          <w:rFonts w:eastAsia="Times New Roman" w:cstheme="minorHAnsi"/>
        </w:rPr>
        <w:t xml:space="preserve">That researchers, policy-makers, and sector bodies invest further resource into understanding the challenges with reporting charity reserve levels, and the practices and motivations that influence such reporting.  </w:t>
      </w:r>
    </w:p>
    <w:p w14:paraId="7E90F02B" w14:textId="65C580F5" w:rsidR="00D16C36" w:rsidRDefault="00380634" w:rsidP="00DC6E6E">
      <w:pPr>
        <w:pStyle w:val="ListParagraph"/>
        <w:numPr>
          <w:ilvl w:val="0"/>
          <w:numId w:val="4"/>
        </w:numPr>
        <w:spacing w:line="259" w:lineRule="auto"/>
        <w:rPr>
          <w:rFonts w:eastAsia="Times New Roman" w:cstheme="minorHAnsi"/>
        </w:rPr>
      </w:pPr>
      <w:r>
        <w:rPr>
          <w:rFonts w:eastAsia="Times New Roman" w:cstheme="minorHAnsi"/>
        </w:rPr>
        <w:t xml:space="preserve">For charities, we recommend greater </w:t>
      </w:r>
      <w:r w:rsidR="00DD53D5">
        <w:rPr>
          <w:rFonts w:eastAsia="Times New Roman" w:cstheme="minorHAnsi"/>
        </w:rPr>
        <w:t xml:space="preserve">attention be paid to understanding and </w:t>
      </w:r>
      <w:r w:rsidR="00582F12">
        <w:rPr>
          <w:rFonts w:eastAsia="Times New Roman" w:cstheme="minorHAnsi"/>
        </w:rPr>
        <w:t xml:space="preserve">accurately </w:t>
      </w:r>
      <w:r w:rsidR="00DD53D5">
        <w:rPr>
          <w:rFonts w:eastAsia="Times New Roman" w:cstheme="minorHAnsi"/>
        </w:rPr>
        <w:t>communicating the</w:t>
      </w:r>
      <w:r w:rsidR="00F35133">
        <w:rPr>
          <w:rFonts w:eastAsia="Times New Roman" w:cstheme="minorHAnsi"/>
        </w:rPr>
        <w:t>ir</w:t>
      </w:r>
      <w:r w:rsidR="00DD53D5">
        <w:rPr>
          <w:rFonts w:eastAsia="Times New Roman" w:cstheme="minorHAnsi"/>
        </w:rPr>
        <w:t xml:space="preserve"> reserves levels and financial risks and vulnerabilities</w:t>
      </w:r>
      <w:r>
        <w:rPr>
          <w:rFonts w:eastAsia="Times New Roman" w:cstheme="minorHAnsi"/>
        </w:rPr>
        <w:t>.</w:t>
      </w:r>
      <w:r w:rsidR="00DD53D5">
        <w:rPr>
          <w:rFonts w:eastAsia="Times New Roman" w:cstheme="minorHAnsi"/>
        </w:rPr>
        <w:t xml:space="preserve"> </w:t>
      </w:r>
    </w:p>
    <w:p w14:paraId="0454EC82" w14:textId="0EFA79F9" w:rsidR="00380634" w:rsidRDefault="00380634" w:rsidP="003C5588">
      <w:pPr>
        <w:rPr>
          <w:rFonts w:eastAsia="Times New Roman" w:cstheme="minorHAnsi"/>
        </w:rPr>
      </w:pPr>
    </w:p>
    <w:p w14:paraId="416943B7" w14:textId="0A893BF9" w:rsidR="00380634" w:rsidRDefault="00380634" w:rsidP="00380634">
      <w:pPr>
        <w:rPr>
          <w:rFonts w:eastAsia="Times New Roman"/>
          <w:b/>
          <w:bCs/>
        </w:rPr>
      </w:pPr>
      <w:r w:rsidRPr="5B05AD1B">
        <w:rPr>
          <w:rFonts w:eastAsia="Times New Roman"/>
          <w:b/>
          <w:bCs/>
        </w:rPr>
        <w:t>Conclusion</w:t>
      </w:r>
    </w:p>
    <w:p w14:paraId="59885F53" w14:textId="3BE9A40D" w:rsidR="00ED1483" w:rsidRDefault="0001104C">
      <w:pPr>
        <w:rPr>
          <w:rFonts w:eastAsia="Times New Roman"/>
        </w:rPr>
      </w:pPr>
      <w:r>
        <w:rPr>
          <w:rFonts w:eastAsia="Times New Roman" w:cstheme="minorHAnsi"/>
        </w:rPr>
        <w:t xml:space="preserve">This paper </w:t>
      </w:r>
      <w:r w:rsidR="00423767">
        <w:rPr>
          <w:rFonts w:eastAsia="Times New Roman" w:cstheme="minorHAnsi"/>
        </w:rPr>
        <w:t>has presented</w:t>
      </w:r>
      <w:r w:rsidR="00127711">
        <w:rPr>
          <w:rFonts w:eastAsia="Times New Roman" w:cstheme="minorHAnsi"/>
        </w:rPr>
        <w:t xml:space="preserve"> the findings of the largest study </w:t>
      </w:r>
      <w:r w:rsidR="00423767">
        <w:rPr>
          <w:rFonts w:eastAsia="Times New Roman" w:cstheme="minorHAnsi"/>
        </w:rPr>
        <w:t xml:space="preserve">to date </w:t>
      </w:r>
      <w:r w:rsidR="00E84B47">
        <w:rPr>
          <w:rFonts w:eastAsia="Times New Roman" w:cstheme="minorHAnsi"/>
        </w:rPr>
        <w:t>that assesses the</w:t>
      </w:r>
      <w:r w:rsidR="00127711">
        <w:rPr>
          <w:rFonts w:eastAsia="Times New Roman" w:cstheme="minorHAnsi"/>
        </w:rPr>
        <w:t xml:space="preserve"> accuracy of charity reserves reporting in England</w:t>
      </w:r>
      <w:r w:rsidR="00423767">
        <w:rPr>
          <w:rFonts w:eastAsia="Times New Roman" w:cstheme="minorHAnsi"/>
        </w:rPr>
        <w:t xml:space="preserve">, Wales, and Scotland. It shows that </w:t>
      </w:r>
      <w:r w:rsidR="00F12AF0" w:rsidRPr="00F12AF0">
        <w:rPr>
          <w:rFonts w:eastAsia="Times New Roman" w:cstheme="minorHAnsi"/>
        </w:rPr>
        <w:t>a notable proportion of charities are reporting reserves figures that do not match the definition of reserves given by CCEW/OSCR</w:t>
      </w:r>
      <w:r w:rsidR="00F12AF0">
        <w:rPr>
          <w:rFonts w:eastAsia="Times New Roman" w:cstheme="minorHAnsi"/>
        </w:rPr>
        <w:t>, with</w:t>
      </w:r>
      <w:r w:rsidR="00F12AF0" w:rsidRPr="00F12AF0">
        <w:rPr>
          <w:rFonts w:eastAsia="Times New Roman" w:cstheme="minorHAnsi"/>
        </w:rPr>
        <w:t xml:space="preserve"> Annual Returns submitted by English and Welsh charities </w:t>
      </w:r>
      <w:r w:rsidR="00F12AF0">
        <w:rPr>
          <w:rFonts w:eastAsia="Times New Roman" w:cstheme="minorHAnsi"/>
        </w:rPr>
        <w:t>being</w:t>
      </w:r>
      <w:r w:rsidR="00F12AF0" w:rsidRPr="00F12AF0">
        <w:rPr>
          <w:rFonts w:eastAsia="Times New Roman" w:cstheme="minorHAnsi"/>
        </w:rPr>
        <w:t xml:space="preserve"> particularly unreliable.</w:t>
      </w:r>
      <w:r w:rsidR="00F12AF0">
        <w:rPr>
          <w:rFonts w:eastAsia="Times New Roman" w:cstheme="minorHAnsi"/>
        </w:rPr>
        <w:t xml:space="preserve"> </w:t>
      </w:r>
      <w:r w:rsidR="006379C4">
        <w:rPr>
          <w:rFonts w:eastAsia="Times New Roman" w:cstheme="minorHAnsi"/>
        </w:rPr>
        <w:t xml:space="preserve">We see year-on-year inconsistency in </w:t>
      </w:r>
      <w:r w:rsidR="00E27AF3">
        <w:rPr>
          <w:rFonts w:eastAsia="Times New Roman" w:cstheme="minorHAnsi"/>
        </w:rPr>
        <w:t xml:space="preserve">how charities come to </w:t>
      </w:r>
      <w:r w:rsidR="001247C0">
        <w:rPr>
          <w:rFonts w:eastAsia="Times New Roman" w:cstheme="minorHAnsi"/>
        </w:rPr>
        <w:t>count their levels of reserves, and a substantial variation between charities in the summaries provide</w:t>
      </w:r>
      <w:r w:rsidR="007D694E">
        <w:rPr>
          <w:rFonts w:eastAsia="Times New Roman" w:cstheme="minorHAnsi"/>
        </w:rPr>
        <w:t>d</w:t>
      </w:r>
      <w:r w:rsidR="001247C0">
        <w:rPr>
          <w:rFonts w:eastAsia="Times New Roman" w:cstheme="minorHAnsi"/>
        </w:rPr>
        <w:t xml:space="preserve"> in </w:t>
      </w:r>
      <w:r w:rsidR="004B7ECB">
        <w:rPr>
          <w:rFonts w:eastAsia="Times New Roman" w:cstheme="minorHAnsi"/>
        </w:rPr>
        <w:t xml:space="preserve">Trustees’ </w:t>
      </w:r>
      <w:r w:rsidR="001247C0">
        <w:rPr>
          <w:rFonts w:eastAsia="Times New Roman" w:cstheme="minorHAnsi"/>
        </w:rPr>
        <w:t xml:space="preserve">Annual Reports and </w:t>
      </w:r>
      <w:r w:rsidR="007D694E">
        <w:rPr>
          <w:rFonts w:eastAsia="Times New Roman" w:cstheme="minorHAnsi"/>
        </w:rPr>
        <w:t xml:space="preserve">Accounts. These findings matter for both policy and practice as </w:t>
      </w:r>
      <w:r w:rsidR="008F6E10">
        <w:rPr>
          <w:rFonts w:eastAsia="Times New Roman"/>
        </w:rPr>
        <w:t xml:space="preserve">charity reserve </w:t>
      </w:r>
      <w:r w:rsidR="008F6E10">
        <w:rPr>
          <w:rFonts w:eastAsia="Times New Roman"/>
        </w:rPr>
        <w:lastRenderedPageBreak/>
        <w:t>levels are widely used as a measure of financial vulnerability, both of individual organisations and the wider sector.</w:t>
      </w:r>
      <w:r w:rsidR="0040311B">
        <w:rPr>
          <w:rFonts w:eastAsia="Times New Roman"/>
        </w:rPr>
        <w:t xml:space="preserve"> </w:t>
      </w:r>
    </w:p>
    <w:p w14:paraId="50B28B91" w14:textId="073A5C2E" w:rsidR="00D16C36" w:rsidRPr="00D16C36" w:rsidRDefault="0014599B" w:rsidP="5B05AD1B">
      <w:pPr>
        <w:rPr>
          <w:rFonts w:eastAsia="Times New Roman"/>
        </w:rPr>
      </w:pPr>
      <w:r w:rsidRPr="5B05AD1B">
        <w:rPr>
          <w:rFonts w:eastAsia="Times New Roman"/>
        </w:rPr>
        <w:t xml:space="preserve">To provide greater accuracy and clarity of individual and aggregate financial vulnerability, we recommend that </w:t>
      </w:r>
      <w:r w:rsidR="003E2119" w:rsidRPr="5B05AD1B">
        <w:rPr>
          <w:rFonts w:eastAsia="Times New Roman"/>
        </w:rPr>
        <w:t>regulators</w:t>
      </w:r>
      <w:r w:rsidR="00EE524F" w:rsidRPr="5B05AD1B">
        <w:rPr>
          <w:rFonts w:eastAsia="Times New Roman"/>
        </w:rPr>
        <w:t xml:space="preserve"> and </w:t>
      </w:r>
      <w:r w:rsidR="003E2119" w:rsidRPr="5B05AD1B">
        <w:rPr>
          <w:rFonts w:eastAsia="Times New Roman"/>
        </w:rPr>
        <w:t>sector bodies engage in greater dialogue</w:t>
      </w:r>
      <w:r w:rsidR="00EE524F" w:rsidRPr="5B05AD1B">
        <w:rPr>
          <w:rFonts w:eastAsia="Times New Roman"/>
        </w:rPr>
        <w:t xml:space="preserve"> with charities and invest in sector-wide training and support. For charities, we recommend </w:t>
      </w:r>
      <w:r w:rsidR="00975337" w:rsidRPr="5B05AD1B">
        <w:rPr>
          <w:rFonts w:eastAsia="Times New Roman"/>
        </w:rPr>
        <w:t xml:space="preserve">greater attention be paid to </w:t>
      </w:r>
      <w:r w:rsidR="00DE3908" w:rsidRPr="5B05AD1B">
        <w:rPr>
          <w:rFonts w:eastAsia="Times New Roman"/>
        </w:rPr>
        <w:t>clear</w:t>
      </w:r>
      <w:r w:rsidR="00975337" w:rsidRPr="5B05AD1B">
        <w:rPr>
          <w:rFonts w:eastAsia="Times New Roman"/>
        </w:rPr>
        <w:t xml:space="preserve"> </w:t>
      </w:r>
      <w:r w:rsidR="00DE3908" w:rsidRPr="5B05AD1B">
        <w:rPr>
          <w:rFonts w:eastAsia="Times New Roman"/>
        </w:rPr>
        <w:t xml:space="preserve">and consistent </w:t>
      </w:r>
      <w:r w:rsidR="00975337" w:rsidRPr="5B05AD1B">
        <w:rPr>
          <w:rFonts w:eastAsia="Times New Roman"/>
        </w:rPr>
        <w:t>reporting of reserves levels and financial risks and vulnerabilities.</w:t>
      </w:r>
      <w:r w:rsidR="00EE524F" w:rsidRPr="5B05AD1B">
        <w:rPr>
          <w:rFonts w:eastAsia="Times New Roman"/>
        </w:rPr>
        <w:t xml:space="preserve"> </w:t>
      </w:r>
    </w:p>
    <w:p w14:paraId="4D6ABB60" w14:textId="5B179C89" w:rsidR="00086CAE" w:rsidRPr="00704030" w:rsidRDefault="5B05AD1B">
      <w:pPr>
        <w:rPr>
          <w:rFonts w:ascii="Calibri" w:eastAsia="Calibri" w:hAnsi="Calibri" w:cs="Calibri"/>
        </w:rPr>
      </w:pPr>
      <w:r w:rsidRPr="5B05AD1B">
        <w:rPr>
          <w:rFonts w:eastAsia="Times New Roman"/>
        </w:rPr>
        <w:t xml:space="preserve">This study has focused on the use of the reserves data by English, Welsh, and Scottish charities. However, we believe it also brings attention to possible wider challenges in reported regulatory data. We suggest that similar attention be paid to the use of other reported data in charity Annual Returns and </w:t>
      </w:r>
      <w:r w:rsidR="004B7ECB">
        <w:rPr>
          <w:rFonts w:eastAsia="Times New Roman"/>
        </w:rPr>
        <w:t xml:space="preserve">Trustees’ </w:t>
      </w:r>
      <w:r w:rsidRPr="5B05AD1B">
        <w:rPr>
          <w:rFonts w:eastAsia="Times New Roman"/>
        </w:rPr>
        <w:t>Annual Reports and Accounts. Further, w</w:t>
      </w:r>
      <w:r w:rsidRPr="5B05AD1B">
        <w:rPr>
          <w:rFonts w:ascii="Calibri" w:eastAsia="Calibri" w:hAnsi="Calibri" w:cs="Calibri"/>
        </w:rPr>
        <w:t>e also suggest that regulators, researchers and practitioners outside England, Wales and Scotland can learn from this study in terms of the challenges of mandating accurate regulatory data reporting.</w:t>
      </w:r>
      <w:r w:rsidR="00086CAE">
        <w:rPr>
          <w:b/>
          <w:bCs/>
        </w:rPr>
        <w:br w:type="page"/>
      </w:r>
    </w:p>
    <w:p w14:paraId="71FFA2E5" w14:textId="1380C0A2" w:rsidR="00E8115C" w:rsidRDefault="00E8115C">
      <w:pPr>
        <w:rPr>
          <w:b/>
          <w:bCs/>
        </w:rPr>
      </w:pPr>
      <w:r>
        <w:rPr>
          <w:b/>
          <w:bCs/>
        </w:rPr>
        <w:lastRenderedPageBreak/>
        <w:t>References</w:t>
      </w:r>
    </w:p>
    <w:p w14:paraId="0B2971B1" w14:textId="08BA7B8A" w:rsidR="00B61292" w:rsidRDefault="00B61292" w:rsidP="00593EE2">
      <w:r>
        <w:t>Author’s own (2017)</w:t>
      </w:r>
    </w:p>
    <w:p w14:paraId="54DE0E7F" w14:textId="16D52CEE" w:rsidR="00593EE2" w:rsidRDefault="00593EE2" w:rsidP="00593EE2">
      <w:r>
        <w:t>BDO UK (2020) ‘</w:t>
      </w:r>
      <w:r w:rsidRPr="00CA3819">
        <w:t>Article: The UK’s biggest charities’ free reserves were falling even before the COVID-19 pandemic</w:t>
      </w:r>
      <w:r>
        <w:t xml:space="preserve">’ [Online] Available here: </w:t>
      </w:r>
      <w:r w:rsidRPr="00CA3819">
        <w:t>https://www.bdo.co.uk/en-gb/insights/industries/not-for-profit/charity-reserves-review</w:t>
      </w:r>
    </w:p>
    <w:p w14:paraId="65DF0888" w14:textId="764F4CFF" w:rsidR="00593EE2" w:rsidRDefault="00593EE2" w:rsidP="00593EE2">
      <w:r>
        <w:t xml:space="preserve">Booth, M., Irvine, H., Ryan, C. and </w:t>
      </w:r>
      <w:proofErr w:type="spellStart"/>
      <w:r w:rsidR="001326A6">
        <w:t>M</w:t>
      </w:r>
      <w:r>
        <w:t>cFregor</w:t>
      </w:r>
      <w:proofErr w:type="spellEnd"/>
      <w:r>
        <w:t xml:space="preserve">-Lowndes, M. (2017) ‘Spenders or Savers? An Examination of the Reserves of Australian NGOs’ </w:t>
      </w:r>
      <w:r>
        <w:rPr>
          <w:i/>
          <w:iCs/>
        </w:rPr>
        <w:t>Australian Accounting Review</w:t>
      </w:r>
      <w:r>
        <w:t xml:space="preserve"> 82:27(3) pp.248-262</w:t>
      </w:r>
    </w:p>
    <w:p w14:paraId="385746E9" w14:textId="77777777" w:rsidR="00593EE2" w:rsidRDefault="00593EE2" w:rsidP="00593EE2">
      <w:r>
        <w:t>CCEW (2016) ‘</w:t>
      </w:r>
      <w:r w:rsidRPr="00CA3819">
        <w:t>Charity reserves: building resilience</w:t>
      </w:r>
      <w:r>
        <w:t xml:space="preserve">’ [Online] Available here: </w:t>
      </w:r>
      <w:r w:rsidRPr="00CA3819">
        <w:t>https://www.gov.uk/government/publications/charities-and-reserves-cc19/charities-and-reserves#:~:text=3.1%20What%20are%20reserves%3F,funds%20held%20by%20a%20charity.</w:t>
      </w:r>
    </w:p>
    <w:p w14:paraId="07483C01" w14:textId="0BC91E61" w:rsidR="00593EE2" w:rsidRDefault="00593EE2" w:rsidP="00593EE2">
      <w:r>
        <w:t>CCEW (2018) ‘</w:t>
      </w:r>
      <w:r w:rsidRPr="00CA3819">
        <w:t>Charity reserves policies: demonstrating and building resilience</w:t>
      </w:r>
      <w:r>
        <w:t>’</w:t>
      </w:r>
      <w:r w:rsidRPr="00CA3819">
        <w:t xml:space="preserve"> [</w:t>
      </w:r>
      <w:r>
        <w:t xml:space="preserve">Online] Available here: </w:t>
      </w:r>
      <w:hyperlink r:id="rId8" w:history="1">
        <w:r w:rsidR="006E3339" w:rsidRPr="005125A5">
          <w:rPr>
            <w:rStyle w:val="Hyperlink"/>
          </w:rPr>
          <w:t>https://www.gov.uk/government/publications/charity-reserves-policies-demonstrating-and-building-resilience/charity-reserves-policies-demonstrating-and-building-resilience</w:t>
        </w:r>
      </w:hyperlink>
    </w:p>
    <w:p w14:paraId="1296CBFB" w14:textId="77777777" w:rsidR="006E3339" w:rsidRDefault="006E3339" w:rsidP="0020545D">
      <w:pPr>
        <w:spacing w:after="0"/>
      </w:pPr>
      <w:r>
        <w:t>CCEW (2019) ‘Accounts monitoring review: Auditors’ and independent examiners’ compliance</w:t>
      </w:r>
    </w:p>
    <w:p w14:paraId="56E113AA" w14:textId="2333314F" w:rsidR="006E3339" w:rsidRDefault="006E3339" w:rsidP="0020545D">
      <w:r>
        <w:t xml:space="preserve">with their responsibilities’ [Online] Available here: </w:t>
      </w:r>
      <w:hyperlink r:id="rId9" w:history="1">
        <w:r w:rsidR="0020545D" w:rsidRPr="005125A5">
          <w:rPr>
            <w:rStyle w:val="Hyperlink"/>
          </w:rPr>
          <w:t>https://assets.publishing.service.gov.uk/government/uploads/system/uploads/attachment_data/file/827790/Accounts_monitoring_review_auditors_and_independent_examiners_compliance_with_their_responsibilities_PDF__2_.pdf</w:t>
        </w:r>
      </w:hyperlink>
      <w:r w:rsidR="0020545D">
        <w:t xml:space="preserve"> </w:t>
      </w:r>
    </w:p>
    <w:p w14:paraId="7932A04B" w14:textId="77777777" w:rsidR="00593EE2" w:rsidRDefault="00593EE2" w:rsidP="00593EE2">
      <w:r>
        <w:t xml:space="preserve">CCEW (2021) ‘Prepare a charity annual return’ [Online] Available here: </w:t>
      </w:r>
      <w:r w:rsidRPr="00CA3819">
        <w:t>https://www.gov.uk/guidance/prepare-a-charity-annual-return#ar-questions</w:t>
      </w:r>
    </w:p>
    <w:p w14:paraId="7116E1C5" w14:textId="77777777" w:rsidR="00593EE2" w:rsidRDefault="00593EE2" w:rsidP="00593EE2">
      <w:proofErr w:type="spellStart"/>
      <w:r>
        <w:t>Cortis</w:t>
      </w:r>
      <w:proofErr w:type="spellEnd"/>
      <w:r>
        <w:t xml:space="preserve">, N. and Lee, I. (2019) ‘Assessing the Financial Reserves of Social Service Charities Involved in Public Service Delivery’ </w:t>
      </w:r>
      <w:proofErr w:type="spellStart"/>
      <w:r>
        <w:rPr>
          <w:i/>
          <w:iCs/>
        </w:rPr>
        <w:t>Nonprofit</w:t>
      </w:r>
      <w:proofErr w:type="spellEnd"/>
      <w:r>
        <w:rPr>
          <w:i/>
          <w:iCs/>
        </w:rPr>
        <w:t xml:space="preserve"> and Voluntary Sector Quarterly </w:t>
      </w:r>
      <w:r>
        <w:t>48(4) pp.738-758</w:t>
      </w:r>
    </w:p>
    <w:p w14:paraId="70004098" w14:textId="46366B77" w:rsidR="00206FC9" w:rsidRDefault="00206FC9" w:rsidP="00593EE2">
      <w:proofErr w:type="spellStart"/>
      <w:r w:rsidRPr="00206FC9">
        <w:t>Dayson</w:t>
      </w:r>
      <w:proofErr w:type="spellEnd"/>
      <w:r w:rsidRPr="00206FC9">
        <w:t xml:space="preserve">, C. (2013) </w:t>
      </w:r>
      <w:r w:rsidR="00A02907">
        <w:t>‘</w:t>
      </w:r>
      <w:r w:rsidRPr="00206FC9">
        <w:t>Understanding financial vulnerability in UK third sector organisations: methodological considerations and applications for policy, practice and research</w:t>
      </w:r>
      <w:r w:rsidR="00A02907">
        <w:t>’</w:t>
      </w:r>
      <w:r w:rsidRPr="00206FC9">
        <w:t xml:space="preserve"> </w:t>
      </w:r>
      <w:r w:rsidRPr="00740BEF">
        <w:rPr>
          <w:i/>
          <w:iCs/>
        </w:rPr>
        <w:t>Voluntary Sector Review,</w:t>
      </w:r>
      <w:r w:rsidRPr="00206FC9">
        <w:t xml:space="preserve"> 4(1), </w:t>
      </w:r>
      <w:r>
        <w:t xml:space="preserve">pp. </w:t>
      </w:r>
      <w:r w:rsidRPr="00206FC9">
        <w:t>19-38.</w:t>
      </w:r>
    </w:p>
    <w:p w14:paraId="15E041CC" w14:textId="77777777" w:rsidR="00593EE2" w:rsidRDefault="00593EE2" w:rsidP="00593EE2">
      <w:r w:rsidRPr="00CA3819">
        <w:t xml:space="preserve">Hogg, E. (2018) </w:t>
      </w:r>
      <w:r>
        <w:t>‘</w:t>
      </w:r>
      <w:r w:rsidRPr="00CA3819">
        <w:t xml:space="preserve">What Regulation, Who Pays? Public Attitudes to Charity Regulation in England and </w:t>
      </w:r>
      <w:proofErr w:type="spellStart"/>
      <w:r w:rsidRPr="00CA3819">
        <w:t>Wales</w:t>
      </w:r>
      <w:r>
        <w:t>’</w:t>
      </w:r>
      <w:proofErr w:type="spellEnd"/>
      <w:r w:rsidRPr="00CA3819">
        <w:t xml:space="preserve"> </w:t>
      </w:r>
      <w:proofErr w:type="spellStart"/>
      <w:r w:rsidRPr="00CA3819">
        <w:rPr>
          <w:i/>
          <w:iCs/>
        </w:rPr>
        <w:t>Nonprofit</w:t>
      </w:r>
      <w:proofErr w:type="spellEnd"/>
      <w:r w:rsidRPr="00CA3819">
        <w:rPr>
          <w:i/>
          <w:iCs/>
        </w:rPr>
        <w:t xml:space="preserve"> and Voluntary Sector Quarterly</w:t>
      </w:r>
      <w:r w:rsidRPr="00CA3819">
        <w:t xml:space="preserve"> 47(1) </w:t>
      </w:r>
      <w:r>
        <w:t>pp.</w:t>
      </w:r>
      <w:r w:rsidRPr="00CA3819">
        <w:t>72-88.</w:t>
      </w:r>
    </w:p>
    <w:p w14:paraId="5748F311" w14:textId="77777777" w:rsidR="00593EE2" w:rsidRPr="00CA3819" w:rsidRDefault="00593EE2" w:rsidP="00593EE2">
      <w:pPr>
        <w:rPr>
          <w:i/>
          <w:iCs/>
        </w:rPr>
      </w:pPr>
      <w:r>
        <w:t xml:space="preserve">Irvin, R.A. and </w:t>
      </w:r>
      <w:proofErr w:type="spellStart"/>
      <w:r>
        <w:t>Furneaux</w:t>
      </w:r>
      <w:proofErr w:type="spellEnd"/>
      <w:r>
        <w:t xml:space="preserve">, C.W. (2021) ‘Surviving the Black Swan Event: How Much Reserves Should </w:t>
      </w:r>
      <w:proofErr w:type="spellStart"/>
      <w:r>
        <w:t>Nonprofit</w:t>
      </w:r>
      <w:proofErr w:type="spellEnd"/>
      <w:r>
        <w:t xml:space="preserve"> Organizations Hold?’ </w:t>
      </w:r>
      <w:proofErr w:type="spellStart"/>
      <w:r>
        <w:rPr>
          <w:i/>
          <w:iCs/>
        </w:rPr>
        <w:t>Nonprofit</w:t>
      </w:r>
      <w:proofErr w:type="spellEnd"/>
      <w:r>
        <w:rPr>
          <w:i/>
          <w:iCs/>
        </w:rPr>
        <w:t xml:space="preserve"> and Voluntary Sector Quarterly</w:t>
      </w:r>
    </w:p>
    <w:p w14:paraId="24A1C9B7" w14:textId="77777777" w:rsidR="00593EE2" w:rsidRPr="00CA3819" w:rsidRDefault="00593EE2" w:rsidP="00593EE2">
      <w:r>
        <w:t>Jones, M., Hockey, R., Mishra, G.D. and Dobson, A. (2014) ‘</w:t>
      </w:r>
      <w:r w:rsidRPr="00CA3819">
        <w:t>Visualising and modelling changes in categorical variables in longitudinal studies</w:t>
      </w:r>
      <w:r>
        <w:t xml:space="preserve">’ </w:t>
      </w:r>
      <w:r>
        <w:rPr>
          <w:i/>
          <w:iCs/>
        </w:rPr>
        <w:t>BMC Medical Research Methodology</w:t>
      </w:r>
      <w:r>
        <w:t xml:space="preserve"> 14(32) </w:t>
      </w:r>
    </w:p>
    <w:p w14:paraId="6DC43297" w14:textId="77777777" w:rsidR="00593EE2" w:rsidRDefault="00593EE2" w:rsidP="00593EE2">
      <w:r>
        <w:t xml:space="preserve">Kim, M. and Mason, D.P. (2021) ‘Research note: Bridging the gaps between the theory and practice of </w:t>
      </w:r>
      <w:proofErr w:type="spellStart"/>
      <w:r>
        <w:t>nonprofit</w:t>
      </w:r>
      <w:proofErr w:type="spellEnd"/>
      <w:r>
        <w:t xml:space="preserve"> operating reserves’ </w:t>
      </w:r>
      <w:proofErr w:type="spellStart"/>
      <w:r>
        <w:rPr>
          <w:i/>
          <w:iCs/>
        </w:rPr>
        <w:t>Nonprofit</w:t>
      </w:r>
      <w:proofErr w:type="spellEnd"/>
      <w:r>
        <w:rPr>
          <w:i/>
          <w:iCs/>
        </w:rPr>
        <w:t xml:space="preserve"> Management and Leadership</w:t>
      </w:r>
      <w:r>
        <w:t xml:space="preserve"> </w:t>
      </w:r>
    </w:p>
    <w:p w14:paraId="601C82EE" w14:textId="30FE7E46" w:rsidR="00A015AD" w:rsidRPr="00307C21" w:rsidRDefault="00A015AD" w:rsidP="00593EE2">
      <w:pPr>
        <w:rPr>
          <w:rFonts w:cstheme="minorHAnsi"/>
          <w:color w:val="222222"/>
          <w:shd w:val="clear" w:color="auto" w:fill="FFFFFF"/>
        </w:rPr>
      </w:pPr>
      <w:r w:rsidRPr="00307C21">
        <w:rPr>
          <w:rFonts w:cstheme="minorHAnsi"/>
          <w:color w:val="222222"/>
          <w:shd w:val="clear" w:color="auto" w:fill="FFFFFF"/>
        </w:rPr>
        <w:t xml:space="preserve">Krishnan, R., &amp; </w:t>
      </w:r>
      <w:proofErr w:type="spellStart"/>
      <w:r w:rsidRPr="00307C21">
        <w:rPr>
          <w:rFonts w:cstheme="minorHAnsi"/>
          <w:color w:val="222222"/>
          <w:shd w:val="clear" w:color="auto" w:fill="FFFFFF"/>
        </w:rPr>
        <w:t>Yetman</w:t>
      </w:r>
      <w:proofErr w:type="spellEnd"/>
      <w:r w:rsidRPr="00307C21">
        <w:rPr>
          <w:rFonts w:cstheme="minorHAnsi"/>
          <w:color w:val="222222"/>
          <w:shd w:val="clear" w:color="auto" w:fill="FFFFFF"/>
        </w:rPr>
        <w:t xml:space="preserve">, M. H. (2011). Institutional drivers of reporting decisions in </w:t>
      </w:r>
      <w:proofErr w:type="spellStart"/>
      <w:r w:rsidRPr="00307C21">
        <w:rPr>
          <w:rFonts w:cstheme="minorHAnsi"/>
          <w:color w:val="222222"/>
          <w:shd w:val="clear" w:color="auto" w:fill="FFFFFF"/>
        </w:rPr>
        <w:t>nonprofit</w:t>
      </w:r>
      <w:proofErr w:type="spellEnd"/>
      <w:r w:rsidRPr="00307C21">
        <w:rPr>
          <w:rFonts w:cstheme="minorHAnsi"/>
          <w:color w:val="222222"/>
          <w:shd w:val="clear" w:color="auto" w:fill="FFFFFF"/>
        </w:rPr>
        <w:t xml:space="preserve"> hospitals. </w:t>
      </w:r>
      <w:r w:rsidRPr="00307C21">
        <w:rPr>
          <w:rFonts w:cstheme="minorHAnsi"/>
          <w:i/>
          <w:iCs/>
          <w:color w:val="222222"/>
          <w:shd w:val="clear" w:color="auto" w:fill="FFFFFF"/>
        </w:rPr>
        <w:t>Journal of Accounting Research</w:t>
      </w:r>
      <w:r w:rsidRPr="00307C21">
        <w:rPr>
          <w:rFonts w:cstheme="minorHAnsi"/>
          <w:color w:val="222222"/>
          <w:shd w:val="clear" w:color="auto" w:fill="FFFFFF"/>
        </w:rPr>
        <w:t>, </w:t>
      </w:r>
      <w:r w:rsidRPr="00307C21">
        <w:rPr>
          <w:rFonts w:cstheme="minorHAnsi"/>
          <w:i/>
          <w:iCs/>
          <w:color w:val="222222"/>
          <w:shd w:val="clear" w:color="auto" w:fill="FFFFFF"/>
        </w:rPr>
        <w:t>49</w:t>
      </w:r>
      <w:r w:rsidRPr="00307C21">
        <w:rPr>
          <w:rFonts w:cstheme="minorHAnsi"/>
          <w:color w:val="222222"/>
          <w:shd w:val="clear" w:color="auto" w:fill="FFFFFF"/>
        </w:rPr>
        <w:t>(4), 1001-1039.</w:t>
      </w:r>
    </w:p>
    <w:p w14:paraId="52698C2A" w14:textId="47DC255A" w:rsidR="00C02241" w:rsidRPr="00307C21" w:rsidRDefault="00C02241" w:rsidP="00593EE2">
      <w:pPr>
        <w:rPr>
          <w:rFonts w:cstheme="minorHAnsi"/>
        </w:rPr>
      </w:pPr>
      <w:r w:rsidRPr="00307C21">
        <w:rPr>
          <w:rFonts w:cstheme="minorHAnsi"/>
          <w:color w:val="222222"/>
          <w:shd w:val="clear" w:color="auto" w:fill="FFFFFF"/>
        </w:rPr>
        <w:t xml:space="preserve">Mahmood, F. (2020) ‘Financial Misreporting in UK </w:t>
      </w:r>
      <w:proofErr w:type="gramStart"/>
      <w:r w:rsidRPr="00307C21">
        <w:rPr>
          <w:rFonts w:cstheme="minorHAnsi"/>
          <w:color w:val="222222"/>
          <w:shd w:val="clear" w:color="auto" w:fill="FFFFFF"/>
        </w:rPr>
        <w:t>charities</w:t>
      </w:r>
      <w:r w:rsidR="00C92879" w:rsidRPr="00307C21">
        <w:rPr>
          <w:rFonts w:cstheme="minorHAnsi"/>
          <w:color w:val="222222"/>
          <w:shd w:val="clear" w:color="auto" w:fill="FFFFFF"/>
        </w:rPr>
        <w:t>’</w:t>
      </w:r>
      <w:proofErr w:type="gramEnd"/>
      <w:r w:rsidR="00C92879" w:rsidRPr="00307C21">
        <w:rPr>
          <w:rFonts w:cstheme="minorHAnsi"/>
          <w:color w:val="222222"/>
          <w:shd w:val="clear" w:color="auto" w:fill="FFFFFF"/>
        </w:rPr>
        <w:t xml:space="preserve">. </w:t>
      </w:r>
      <w:r w:rsidR="00C92879" w:rsidRPr="00307C21">
        <w:rPr>
          <w:rFonts w:cstheme="minorHAnsi"/>
          <w:i/>
          <w:iCs/>
          <w:color w:val="222222"/>
          <w:shd w:val="clear" w:color="auto" w:fill="FFFFFF"/>
        </w:rPr>
        <w:t xml:space="preserve">Unpublished thesis. Available at: </w:t>
      </w:r>
      <w:hyperlink r:id="rId10" w:history="1">
        <w:r w:rsidR="00C92879" w:rsidRPr="00307C21">
          <w:rPr>
            <w:rStyle w:val="Hyperlink"/>
            <w:rFonts w:cstheme="minorHAnsi"/>
            <w:shd w:val="clear" w:color="auto" w:fill="FFFFFF"/>
          </w:rPr>
          <w:t>https://eprints.kingston.ac.uk/id/eprint/47752/1/Mahmood-F-47752.pdf</w:t>
        </w:r>
      </w:hyperlink>
      <w:r w:rsidRPr="00307C21">
        <w:rPr>
          <w:rFonts w:cstheme="minorHAnsi"/>
          <w:color w:val="222222"/>
          <w:shd w:val="clear" w:color="auto" w:fill="FFFFFF"/>
        </w:rPr>
        <w:t xml:space="preserve"> </w:t>
      </w:r>
    </w:p>
    <w:p w14:paraId="1AD5C524" w14:textId="77777777" w:rsidR="00593EE2" w:rsidRPr="00CA3819" w:rsidRDefault="00593EE2" w:rsidP="00593EE2">
      <w:r>
        <w:lastRenderedPageBreak/>
        <w:t xml:space="preserve">McDonnell, D. and Rutherford, A. (2022) ‘Researching risk in the voluntary sector: the challenges and opportunities of regulatory data’ in Dean, J. and Hogg, E. (Eds). </w:t>
      </w:r>
      <w:r>
        <w:rPr>
          <w:i/>
          <w:iCs/>
        </w:rPr>
        <w:t>Researching Voluntary Action: Innovations and Challenges</w:t>
      </w:r>
      <w:r>
        <w:t xml:space="preserve"> Bristol: Policy Press</w:t>
      </w:r>
    </w:p>
    <w:p w14:paraId="15F8BA57" w14:textId="512A58E8" w:rsidR="00593EE2" w:rsidRDefault="00593EE2" w:rsidP="00593EE2">
      <w:r>
        <w:t xml:space="preserve">Mohan, J., Abnett, H., Bowles, J., Clifford, D., Duggan, A., McDonnell, D. and Rutherford, A. (2022) ‘Financial vulnerability in UK charities under Covid-19: an overview University of Birmingham and </w:t>
      </w:r>
      <w:proofErr w:type="gramStart"/>
      <w:r>
        <w:t>partners’</w:t>
      </w:r>
      <w:proofErr w:type="gramEnd"/>
      <w:r>
        <w:t xml:space="preserve">. Available here: </w:t>
      </w:r>
      <w:hyperlink r:id="rId11">
        <w:r w:rsidRPr="5B05AD1B">
          <w:rPr>
            <w:rStyle w:val="Hyperlink"/>
          </w:rPr>
          <w:t>https://www.birmingham.ac.uk/documents/college-social-sciences/social-policy/tsrc/financial-vulnerability-in-uk-charities-under-covid-19.pdf</w:t>
        </w:r>
      </w:hyperlink>
    </w:p>
    <w:p w14:paraId="0211614B" w14:textId="77777777" w:rsidR="00593EE2" w:rsidRDefault="00593EE2" w:rsidP="00593EE2">
      <w:r>
        <w:t xml:space="preserve">OSCR (2017) ‘Charity Reserves Factsheet’ [Online] Available here: </w:t>
      </w:r>
      <w:r w:rsidRPr="00CA3819">
        <w:t>https://www.oscr.org.uk/guidance-and-forms/charity-reserves-factsheet/</w:t>
      </w:r>
    </w:p>
    <w:p w14:paraId="6FCE2ADF" w14:textId="77777777" w:rsidR="00593EE2" w:rsidRDefault="00593EE2" w:rsidP="00593EE2">
      <w:r>
        <w:t>Pascoe, S. (2017) ‘</w:t>
      </w:r>
      <w:r w:rsidRPr="00CA3819">
        <w:t>The regulatory perspective: Charity reserves: A key factor towards the sector's stability and sustainability</w:t>
      </w:r>
      <w:r>
        <w:t xml:space="preserve">’ </w:t>
      </w:r>
      <w:r w:rsidRPr="00CA3819">
        <w:rPr>
          <w:i/>
          <w:iCs/>
        </w:rPr>
        <w:t>Governance Directions</w:t>
      </w:r>
      <w:r>
        <w:t xml:space="preserve"> </w:t>
      </w:r>
      <w:r w:rsidRPr="00CA3819">
        <w:t>69</w:t>
      </w:r>
      <w:r>
        <w:t>(</w:t>
      </w:r>
      <w:r w:rsidRPr="00CA3819">
        <w:t>3</w:t>
      </w:r>
      <w:r>
        <w:t>)</w:t>
      </w:r>
    </w:p>
    <w:p w14:paraId="5DF2B007" w14:textId="67137259" w:rsidR="00DC1CA8" w:rsidRPr="00DC1CA8" w:rsidRDefault="00DC1CA8" w:rsidP="00593EE2">
      <w:r>
        <w:t>Sloan, M.F., Charles, C. and Kim, M. (2016) ‘</w:t>
      </w:r>
      <w:proofErr w:type="spellStart"/>
      <w:r>
        <w:t>Nonprofit</w:t>
      </w:r>
      <w:proofErr w:type="spellEnd"/>
      <w:r>
        <w:t xml:space="preserve"> Leader Perceptions of Operating Reserves and Their Substitutes’ </w:t>
      </w:r>
      <w:proofErr w:type="spellStart"/>
      <w:r>
        <w:rPr>
          <w:i/>
          <w:iCs/>
        </w:rPr>
        <w:t>Nonprofit</w:t>
      </w:r>
      <w:proofErr w:type="spellEnd"/>
      <w:r>
        <w:rPr>
          <w:i/>
          <w:iCs/>
        </w:rPr>
        <w:t xml:space="preserve"> Management &amp; leadership</w:t>
      </w:r>
      <w:r>
        <w:t xml:space="preserve"> 26(4) pp.417-433</w:t>
      </w:r>
    </w:p>
    <w:p w14:paraId="534FA8CB" w14:textId="47032015" w:rsidR="00593EE2" w:rsidRPr="00CA3819" w:rsidRDefault="00593EE2" w:rsidP="00593EE2">
      <w:proofErr w:type="spellStart"/>
      <w:r>
        <w:t>Swihart</w:t>
      </w:r>
      <w:proofErr w:type="spellEnd"/>
      <w:r>
        <w:t xml:space="preserve">, B.J., </w:t>
      </w:r>
      <w:proofErr w:type="spellStart"/>
      <w:r>
        <w:t>Caffo</w:t>
      </w:r>
      <w:proofErr w:type="spellEnd"/>
      <w:r>
        <w:t>, B., James, B.D., Strand, M., Schwartz, B.S. and Punjabi, N.M. (2011) ‘</w:t>
      </w:r>
      <w:proofErr w:type="spellStart"/>
      <w:r>
        <w:t>Lasagna</w:t>
      </w:r>
      <w:proofErr w:type="spellEnd"/>
      <w:r>
        <w:t xml:space="preserve"> plots: A saucy alternative to spaghetti plots’ </w:t>
      </w:r>
      <w:r>
        <w:rPr>
          <w:i/>
          <w:iCs/>
        </w:rPr>
        <w:t>Epidemiology</w:t>
      </w:r>
      <w:r>
        <w:t xml:space="preserve"> 21(5) pp.621-625</w:t>
      </w:r>
    </w:p>
    <w:p w14:paraId="784B536A" w14:textId="3E9D26A3" w:rsidR="0058530C" w:rsidRPr="0020545D" w:rsidRDefault="00593EE2">
      <w:r>
        <w:t xml:space="preserve">Tuckman, H.P. and Chang, C.F. (1991) ‘A Methodology for Measuring the Financial Vulnerability of Charitable </w:t>
      </w:r>
      <w:proofErr w:type="spellStart"/>
      <w:r>
        <w:t>Nonprofit</w:t>
      </w:r>
      <w:proofErr w:type="spellEnd"/>
      <w:r>
        <w:t xml:space="preserve"> Organizations’ </w:t>
      </w:r>
      <w:proofErr w:type="spellStart"/>
      <w:r>
        <w:rPr>
          <w:i/>
          <w:iCs/>
        </w:rPr>
        <w:t>Nonprofit</w:t>
      </w:r>
      <w:proofErr w:type="spellEnd"/>
      <w:r>
        <w:rPr>
          <w:i/>
          <w:iCs/>
        </w:rPr>
        <w:t xml:space="preserve"> and Voluntary Sector Quarterly</w:t>
      </w:r>
      <w:r>
        <w:t xml:space="preserve"> 20(4) pp.445-46</w:t>
      </w:r>
      <w:r w:rsidR="00307C21">
        <w:t>0</w:t>
      </w:r>
    </w:p>
    <w:sectPr w:rsidR="0058530C" w:rsidRPr="0020545D" w:rsidSect="005B4A22">
      <w:headerReference w:type="default" r:id="rId12"/>
      <w:footerReference w:type="default" r:id="rId13"/>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08DEA" w14:textId="77777777" w:rsidR="001410B8" w:rsidRDefault="001410B8">
      <w:pPr>
        <w:spacing w:after="0" w:line="240" w:lineRule="auto"/>
      </w:pPr>
      <w:r>
        <w:separator/>
      </w:r>
    </w:p>
  </w:endnote>
  <w:endnote w:type="continuationSeparator" w:id="0">
    <w:p w14:paraId="3FF0740B" w14:textId="77777777" w:rsidR="001410B8" w:rsidRDefault="0014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520258"/>
      <w:docPartObj>
        <w:docPartGallery w:val="Page Numbers (Bottom of Page)"/>
        <w:docPartUnique/>
      </w:docPartObj>
    </w:sdtPr>
    <w:sdtEndPr>
      <w:rPr>
        <w:noProof/>
      </w:rPr>
    </w:sdtEndPr>
    <w:sdtContent>
      <w:p w14:paraId="07F5C1B5" w14:textId="689352F3" w:rsidR="005429EC" w:rsidRDefault="005429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0F2A64" w14:textId="3DA02808" w:rsidR="5B05AD1B" w:rsidRDefault="5B05AD1B" w:rsidP="5B05A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4451C" w14:textId="77777777" w:rsidR="001410B8" w:rsidRDefault="001410B8">
      <w:pPr>
        <w:spacing w:after="0" w:line="240" w:lineRule="auto"/>
      </w:pPr>
      <w:r>
        <w:separator/>
      </w:r>
    </w:p>
  </w:footnote>
  <w:footnote w:type="continuationSeparator" w:id="0">
    <w:p w14:paraId="2599B0AE" w14:textId="77777777" w:rsidR="001410B8" w:rsidRDefault="001410B8">
      <w:pPr>
        <w:spacing w:after="0" w:line="240" w:lineRule="auto"/>
      </w:pPr>
      <w:r>
        <w:continuationSeparator/>
      </w:r>
    </w:p>
  </w:footnote>
  <w:footnote w:id="1">
    <w:p w14:paraId="4883D4C7" w14:textId="69AF87D4" w:rsidR="00A72268" w:rsidRDefault="00A72268">
      <w:pPr>
        <w:pStyle w:val="FootnoteText"/>
      </w:pPr>
      <w:r>
        <w:rPr>
          <w:rStyle w:val="FootnoteReference"/>
        </w:rPr>
        <w:footnoteRef/>
      </w:r>
      <w:r>
        <w:t xml:space="preserve"> </w:t>
      </w:r>
      <w:r w:rsidR="00184FEA">
        <w:t>In the UK, fund accounting is a key feature of charity accounting</w:t>
      </w:r>
      <w:r w:rsidR="00534871">
        <w:t>:</w:t>
      </w:r>
      <w:r w:rsidR="00184FEA">
        <w:t xml:space="preserve"> “Fund accounting distinguishes between two primary classes of fund: those that are unrestricted in their use, which can be spent for any charitable purposes…and those that are restricted in use, which can only be lawfully used for a specific charitable purpose” (CCEW/OSCR (2014)</w:t>
      </w:r>
      <w:r w:rsidR="00534871">
        <w:t>)</w:t>
      </w:r>
      <w:r w:rsidR="00184FE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B05AD1B" w14:paraId="622043BC" w14:textId="77777777" w:rsidTr="5B05AD1B">
      <w:tc>
        <w:tcPr>
          <w:tcW w:w="3005" w:type="dxa"/>
        </w:tcPr>
        <w:p w14:paraId="0F77F54F" w14:textId="2C3F8124" w:rsidR="5B05AD1B" w:rsidRDefault="00F11C8F" w:rsidP="5B05AD1B">
          <w:pPr>
            <w:pStyle w:val="Header"/>
            <w:ind w:left="-115"/>
          </w:pPr>
          <w:r>
            <w:t>August</w:t>
          </w:r>
          <w:r w:rsidR="005429EC">
            <w:t xml:space="preserve"> </w:t>
          </w:r>
          <w:r w:rsidR="00252E38">
            <w:t>2022</w:t>
          </w:r>
        </w:p>
      </w:tc>
      <w:tc>
        <w:tcPr>
          <w:tcW w:w="3005" w:type="dxa"/>
        </w:tcPr>
        <w:p w14:paraId="08D3396C" w14:textId="69CB79B1" w:rsidR="5B05AD1B" w:rsidRDefault="5B05AD1B" w:rsidP="5B05AD1B">
          <w:pPr>
            <w:pStyle w:val="Header"/>
            <w:jc w:val="center"/>
          </w:pPr>
        </w:p>
      </w:tc>
      <w:tc>
        <w:tcPr>
          <w:tcW w:w="3005" w:type="dxa"/>
        </w:tcPr>
        <w:p w14:paraId="12D36140" w14:textId="228E02AA" w:rsidR="5B05AD1B" w:rsidRDefault="5B05AD1B" w:rsidP="5B05AD1B">
          <w:pPr>
            <w:pStyle w:val="Header"/>
            <w:ind w:right="-115"/>
            <w:jc w:val="right"/>
          </w:pPr>
        </w:p>
      </w:tc>
    </w:tr>
  </w:tbl>
  <w:p w14:paraId="49E478FE" w14:textId="1143AC9A" w:rsidR="5B05AD1B" w:rsidRDefault="5B05AD1B" w:rsidP="5B05A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787"/>
    <w:multiLevelType w:val="hybridMultilevel"/>
    <w:tmpl w:val="7242BEDE"/>
    <w:lvl w:ilvl="0" w:tplc="CCC64EC6">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52BFA"/>
    <w:multiLevelType w:val="hybridMultilevel"/>
    <w:tmpl w:val="816C8AA6"/>
    <w:lvl w:ilvl="0" w:tplc="5C28F020">
      <w:start w:val="100"/>
      <w:numFmt w:val="bullet"/>
      <w:lvlText w:val="-"/>
      <w:lvlJc w:val="left"/>
      <w:pPr>
        <w:ind w:left="927" w:hanging="360"/>
      </w:pPr>
      <w:rPr>
        <w:rFonts w:ascii="Calibri" w:eastAsia="Times New Roman"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C14050B"/>
    <w:multiLevelType w:val="hybridMultilevel"/>
    <w:tmpl w:val="997CA4A2"/>
    <w:lvl w:ilvl="0" w:tplc="5AEC6A12">
      <w:start w:val="10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3338BD"/>
    <w:multiLevelType w:val="hybridMultilevel"/>
    <w:tmpl w:val="6988F1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737079">
    <w:abstractNumId w:val="2"/>
  </w:num>
  <w:num w:numId="2" w16cid:durableId="1122384447">
    <w:abstractNumId w:val="1"/>
  </w:num>
  <w:num w:numId="3" w16cid:durableId="1070616714">
    <w:abstractNumId w:val="0"/>
  </w:num>
  <w:num w:numId="4" w16cid:durableId="731469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zN7O0NDQxMzYDIiUdpeDU4uLM/DyQAkOzWgDr8+XwLQAAAA=="/>
  </w:docVars>
  <w:rsids>
    <w:rsidRoot w:val="00E8115C"/>
    <w:rsid w:val="00000756"/>
    <w:rsid w:val="000057D5"/>
    <w:rsid w:val="0001104C"/>
    <w:rsid w:val="00013968"/>
    <w:rsid w:val="00016AB8"/>
    <w:rsid w:val="00023AD4"/>
    <w:rsid w:val="00024CBF"/>
    <w:rsid w:val="00027440"/>
    <w:rsid w:val="00032E21"/>
    <w:rsid w:val="00037B84"/>
    <w:rsid w:val="000407C1"/>
    <w:rsid w:val="00042152"/>
    <w:rsid w:val="000439B5"/>
    <w:rsid w:val="0004551C"/>
    <w:rsid w:val="000470B7"/>
    <w:rsid w:val="00047960"/>
    <w:rsid w:val="00054742"/>
    <w:rsid w:val="00064057"/>
    <w:rsid w:val="00071274"/>
    <w:rsid w:val="0007399A"/>
    <w:rsid w:val="00076780"/>
    <w:rsid w:val="000845AA"/>
    <w:rsid w:val="00086CAE"/>
    <w:rsid w:val="00090057"/>
    <w:rsid w:val="00096106"/>
    <w:rsid w:val="000B13B4"/>
    <w:rsid w:val="000B44F8"/>
    <w:rsid w:val="000B50F7"/>
    <w:rsid w:val="000B6E41"/>
    <w:rsid w:val="000B736D"/>
    <w:rsid w:val="000C1484"/>
    <w:rsid w:val="000C51DE"/>
    <w:rsid w:val="000C567A"/>
    <w:rsid w:val="000D4807"/>
    <w:rsid w:val="000D6B2D"/>
    <w:rsid w:val="000D7A75"/>
    <w:rsid w:val="000E2218"/>
    <w:rsid w:val="000F3134"/>
    <w:rsid w:val="00106802"/>
    <w:rsid w:val="0011615F"/>
    <w:rsid w:val="001247C0"/>
    <w:rsid w:val="00127711"/>
    <w:rsid w:val="00127CBD"/>
    <w:rsid w:val="00130953"/>
    <w:rsid w:val="00130E4D"/>
    <w:rsid w:val="001326A6"/>
    <w:rsid w:val="001410B8"/>
    <w:rsid w:val="00143BA2"/>
    <w:rsid w:val="0014599B"/>
    <w:rsid w:val="00157955"/>
    <w:rsid w:val="00167C92"/>
    <w:rsid w:val="00170111"/>
    <w:rsid w:val="00172F96"/>
    <w:rsid w:val="001769D9"/>
    <w:rsid w:val="00184FEA"/>
    <w:rsid w:val="0018743E"/>
    <w:rsid w:val="00192022"/>
    <w:rsid w:val="001B17C1"/>
    <w:rsid w:val="001B2AAC"/>
    <w:rsid w:val="001C4DBC"/>
    <w:rsid w:val="001C53C8"/>
    <w:rsid w:val="001C724D"/>
    <w:rsid w:val="001C7304"/>
    <w:rsid w:val="001D4B82"/>
    <w:rsid w:val="001D7C58"/>
    <w:rsid w:val="001D7CF0"/>
    <w:rsid w:val="001E6D4C"/>
    <w:rsid w:val="001F119B"/>
    <w:rsid w:val="001F19D9"/>
    <w:rsid w:val="0020253B"/>
    <w:rsid w:val="0020545D"/>
    <w:rsid w:val="00206FC9"/>
    <w:rsid w:val="002116E0"/>
    <w:rsid w:val="0022659D"/>
    <w:rsid w:val="002364B4"/>
    <w:rsid w:val="0024747F"/>
    <w:rsid w:val="002479CF"/>
    <w:rsid w:val="002520EB"/>
    <w:rsid w:val="00252E38"/>
    <w:rsid w:val="00266C9B"/>
    <w:rsid w:val="00272CCC"/>
    <w:rsid w:val="00283625"/>
    <w:rsid w:val="00287C86"/>
    <w:rsid w:val="00296252"/>
    <w:rsid w:val="00297E8B"/>
    <w:rsid w:val="00297FFD"/>
    <w:rsid w:val="002A08FE"/>
    <w:rsid w:val="002A2AD9"/>
    <w:rsid w:val="002A4A3B"/>
    <w:rsid w:val="002A7FCD"/>
    <w:rsid w:val="002B76AF"/>
    <w:rsid w:val="002C15E3"/>
    <w:rsid w:val="002D24CA"/>
    <w:rsid w:val="002D32EB"/>
    <w:rsid w:val="002F1E66"/>
    <w:rsid w:val="002F6147"/>
    <w:rsid w:val="002F7B97"/>
    <w:rsid w:val="00307C21"/>
    <w:rsid w:val="00314CE7"/>
    <w:rsid w:val="003263D1"/>
    <w:rsid w:val="00335843"/>
    <w:rsid w:val="00340111"/>
    <w:rsid w:val="00347307"/>
    <w:rsid w:val="00350F0E"/>
    <w:rsid w:val="0035137F"/>
    <w:rsid w:val="00354A53"/>
    <w:rsid w:val="003663DD"/>
    <w:rsid w:val="00370179"/>
    <w:rsid w:val="003701D8"/>
    <w:rsid w:val="00370AC9"/>
    <w:rsid w:val="003746D1"/>
    <w:rsid w:val="00380634"/>
    <w:rsid w:val="00381C72"/>
    <w:rsid w:val="003827BF"/>
    <w:rsid w:val="00386F16"/>
    <w:rsid w:val="003901DA"/>
    <w:rsid w:val="00393820"/>
    <w:rsid w:val="00395199"/>
    <w:rsid w:val="00395FAB"/>
    <w:rsid w:val="003A1C37"/>
    <w:rsid w:val="003C1211"/>
    <w:rsid w:val="003C514E"/>
    <w:rsid w:val="003C5588"/>
    <w:rsid w:val="003C7EB2"/>
    <w:rsid w:val="003D2D86"/>
    <w:rsid w:val="003E2119"/>
    <w:rsid w:val="003E4D32"/>
    <w:rsid w:val="003F0C10"/>
    <w:rsid w:val="004010FC"/>
    <w:rsid w:val="0040311B"/>
    <w:rsid w:val="0040572A"/>
    <w:rsid w:val="004161BB"/>
    <w:rsid w:val="00423767"/>
    <w:rsid w:val="00424E2F"/>
    <w:rsid w:val="0042546F"/>
    <w:rsid w:val="00427B47"/>
    <w:rsid w:val="00431E7B"/>
    <w:rsid w:val="00432904"/>
    <w:rsid w:val="00442F19"/>
    <w:rsid w:val="0044389D"/>
    <w:rsid w:val="00451377"/>
    <w:rsid w:val="0045160D"/>
    <w:rsid w:val="004604BC"/>
    <w:rsid w:val="00470C1D"/>
    <w:rsid w:val="004718BF"/>
    <w:rsid w:val="00473E2A"/>
    <w:rsid w:val="004757FA"/>
    <w:rsid w:val="0048235A"/>
    <w:rsid w:val="0048596A"/>
    <w:rsid w:val="004920FA"/>
    <w:rsid w:val="00492984"/>
    <w:rsid w:val="004946F4"/>
    <w:rsid w:val="00495329"/>
    <w:rsid w:val="004A3321"/>
    <w:rsid w:val="004A5C18"/>
    <w:rsid w:val="004A7BF6"/>
    <w:rsid w:val="004B513D"/>
    <w:rsid w:val="004B7ECB"/>
    <w:rsid w:val="004C3697"/>
    <w:rsid w:val="004C416F"/>
    <w:rsid w:val="004C7456"/>
    <w:rsid w:val="004D0D0F"/>
    <w:rsid w:val="004D1508"/>
    <w:rsid w:val="004E2B90"/>
    <w:rsid w:val="004E695D"/>
    <w:rsid w:val="004E697A"/>
    <w:rsid w:val="004E77D5"/>
    <w:rsid w:val="00506BF7"/>
    <w:rsid w:val="00510CDE"/>
    <w:rsid w:val="0051400D"/>
    <w:rsid w:val="005172F2"/>
    <w:rsid w:val="00520AB7"/>
    <w:rsid w:val="00526878"/>
    <w:rsid w:val="00534871"/>
    <w:rsid w:val="005429EC"/>
    <w:rsid w:val="005467E4"/>
    <w:rsid w:val="00552ADE"/>
    <w:rsid w:val="00564C8C"/>
    <w:rsid w:val="00570E53"/>
    <w:rsid w:val="00571786"/>
    <w:rsid w:val="00582F12"/>
    <w:rsid w:val="0058530C"/>
    <w:rsid w:val="005862C1"/>
    <w:rsid w:val="00587FEE"/>
    <w:rsid w:val="00590C72"/>
    <w:rsid w:val="00593EE2"/>
    <w:rsid w:val="005A23BB"/>
    <w:rsid w:val="005B2C8A"/>
    <w:rsid w:val="005B4A22"/>
    <w:rsid w:val="005B59DB"/>
    <w:rsid w:val="005B78EC"/>
    <w:rsid w:val="005C1191"/>
    <w:rsid w:val="005C49E4"/>
    <w:rsid w:val="005D04DF"/>
    <w:rsid w:val="005D340F"/>
    <w:rsid w:val="005D6CFC"/>
    <w:rsid w:val="005E08AC"/>
    <w:rsid w:val="005E2576"/>
    <w:rsid w:val="005F0A3E"/>
    <w:rsid w:val="005F18E7"/>
    <w:rsid w:val="005F3BDB"/>
    <w:rsid w:val="006007BB"/>
    <w:rsid w:val="0060574A"/>
    <w:rsid w:val="0062783F"/>
    <w:rsid w:val="00635475"/>
    <w:rsid w:val="00636E0E"/>
    <w:rsid w:val="006379C4"/>
    <w:rsid w:val="00655080"/>
    <w:rsid w:val="006550B4"/>
    <w:rsid w:val="00656A24"/>
    <w:rsid w:val="006575A5"/>
    <w:rsid w:val="0066694E"/>
    <w:rsid w:val="0067227B"/>
    <w:rsid w:val="00672B83"/>
    <w:rsid w:val="00680E67"/>
    <w:rsid w:val="00696941"/>
    <w:rsid w:val="006A0352"/>
    <w:rsid w:val="006B18DF"/>
    <w:rsid w:val="006B3DCB"/>
    <w:rsid w:val="006C1D53"/>
    <w:rsid w:val="006C4359"/>
    <w:rsid w:val="006C4831"/>
    <w:rsid w:val="006D26E6"/>
    <w:rsid w:val="006D34EF"/>
    <w:rsid w:val="006D3D09"/>
    <w:rsid w:val="006D6FF7"/>
    <w:rsid w:val="006E0875"/>
    <w:rsid w:val="006E20DC"/>
    <w:rsid w:val="006E3339"/>
    <w:rsid w:val="006E4FBC"/>
    <w:rsid w:val="006E7EDF"/>
    <w:rsid w:val="006F4CD0"/>
    <w:rsid w:val="006F5B39"/>
    <w:rsid w:val="0070040B"/>
    <w:rsid w:val="0070185F"/>
    <w:rsid w:val="00703C58"/>
    <w:rsid w:val="00704030"/>
    <w:rsid w:val="00710DD2"/>
    <w:rsid w:val="00712674"/>
    <w:rsid w:val="00716AEA"/>
    <w:rsid w:val="00717EAC"/>
    <w:rsid w:val="00721BEF"/>
    <w:rsid w:val="00726038"/>
    <w:rsid w:val="00727AEB"/>
    <w:rsid w:val="00740BEF"/>
    <w:rsid w:val="007413F7"/>
    <w:rsid w:val="00746CC9"/>
    <w:rsid w:val="00751576"/>
    <w:rsid w:val="007516FE"/>
    <w:rsid w:val="00751752"/>
    <w:rsid w:val="007522EF"/>
    <w:rsid w:val="007525EC"/>
    <w:rsid w:val="00756892"/>
    <w:rsid w:val="00765E04"/>
    <w:rsid w:val="00767552"/>
    <w:rsid w:val="00782374"/>
    <w:rsid w:val="00786469"/>
    <w:rsid w:val="00790971"/>
    <w:rsid w:val="007A28C6"/>
    <w:rsid w:val="007B2B0A"/>
    <w:rsid w:val="007B50BB"/>
    <w:rsid w:val="007C7402"/>
    <w:rsid w:val="007D694E"/>
    <w:rsid w:val="007E1DA8"/>
    <w:rsid w:val="007E5DCB"/>
    <w:rsid w:val="007E77C6"/>
    <w:rsid w:val="007E7C3E"/>
    <w:rsid w:val="007F7748"/>
    <w:rsid w:val="00804174"/>
    <w:rsid w:val="00806000"/>
    <w:rsid w:val="0081202D"/>
    <w:rsid w:val="00816F80"/>
    <w:rsid w:val="008243DB"/>
    <w:rsid w:val="008258B4"/>
    <w:rsid w:val="00832D3E"/>
    <w:rsid w:val="008375BA"/>
    <w:rsid w:val="00846504"/>
    <w:rsid w:val="00847D58"/>
    <w:rsid w:val="00850C9F"/>
    <w:rsid w:val="008636C5"/>
    <w:rsid w:val="008678DD"/>
    <w:rsid w:val="00872E8F"/>
    <w:rsid w:val="0088420E"/>
    <w:rsid w:val="00896E1C"/>
    <w:rsid w:val="008B0D5A"/>
    <w:rsid w:val="008B48E0"/>
    <w:rsid w:val="008B5BBA"/>
    <w:rsid w:val="008E0D84"/>
    <w:rsid w:val="008E338B"/>
    <w:rsid w:val="008E7991"/>
    <w:rsid w:val="008F16C2"/>
    <w:rsid w:val="008F2DEC"/>
    <w:rsid w:val="008F630E"/>
    <w:rsid w:val="008F69CE"/>
    <w:rsid w:val="008F6E10"/>
    <w:rsid w:val="00921A2D"/>
    <w:rsid w:val="00923E01"/>
    <w:rsid w:val="00933E22"/>
    <w:rsid w:val="00940FEF"/>
    <w:rsid w:val="0094269C"/>
    <w:rsid w:val="00954731"/>
    <w:rsid w:val="00957540"/>
    <w:rsid w:val="009605A5"/>
    <w:rsid w:val="00972F92"/>
    <w:rsid w:val="00975182"/>
    <w:rsid w:val="00975337"/>
    <w:rsid w:val="009760ED"/>
    <w:rsid w:val="0098138D"/>
    <w:rsid w:val="00985764"/>
    <w:rsid w:val="00987768"/>
    <w:rsid w:val="00991697"/>
    <w:rsid w:val="00994FDF"/>
    <w:rsid w:val="009970EA"/>
    <w:rsid w:val="009A40CF"/>
    <w:rsid w:val="009A4AE9"/>
    <w:rsid w:val="009B1946"/>
    <w:rsid w:val="009B2110"/>
    <w:rsid w:val="009B6AAD"/>
    <w:rsid w:val="009B7860"/>
    <w:rsid w:val="009C1A95"/>
    <w:rsid w:val="009C30AD"/>
    <w:rsid w:val="009C569B"/>
    <w:rsid w:val="009E27DC"/>
    <w:rsid w:val="009F0503"/>
    <w:rsid w:val="00A00CA5"/>
    <w:rsid w:val="00A015AD"/>
    <w:rsid w:val="00A0211D"/>
    <w:rsid w:val="00A0287A"/>
    <w:rsid w:val="00A02907"/>
    <w:rsid w:val="00A0727E"/>
    <w:rsid w:val="00A23569"/>
    <w:rsid w:val="00A239DE"/>
    <w:rsid w:val="00A31FFD"/>
    <w:rsid w:val="00A33745"/>
    <w:rsid w:val="00A46F7F"/>
    <w:rsid w:val="00A50907"/>
    <w:rsid w:val="00A5252C"/>
    <w:rsid w:val="00A54D06"/>
    <w:rsid w:val="00A56B9E"/>
    <w:rsid w:val="00A72268"/>
    <w:rsid w:val="00A7614B"/>
    <w:rsid w:val="00A763D8"/>
    <w:rsid w:val="00A842B0"/>
    <w:rsid w:val="00A910A0"/>
    <w:rsid w:val="00A968D8"/>
    <w:rsid w:val="00A97AFD"/>
    <w:rsid w:val="00AA2271"/>
    <w:rsid w:val="00AA6ED0"/>
    <w:rsid w:val="00AB3B0B"/>
    <w:rsid w:val="00AB5FDE"/>
    <w:rsid w:val="00AC365E"/>
    <w:rsid w:val="00AC532F"/>
    <w:rsid w:val="00AD203F"/>
    <w:rsid w:val="00AD3C9C"/>
    <w:rsid w:val="00AD554B"/>
    <w:rsid w:val="00AE1CE0"/>
    <w:rsid w:val="00AF272F"/>
    <w:rsid w:val="00AF2C41"/>
    <w:rsid w:val="00AF34BC"/>
    <w:rsid w:val="00B02B4C"/>
    <w:rsid w:val="00B03976"/>
    <w:rsid w:val="00B06BB6"/>
    <w:rsid w:val="00B12ED6"/>
    <w:rsid w:val="00B1323F"/>
    <w:rsid w:val="00B21E7F"/>
    <w:rsid w:val="00B23389"/>
    <w:rsid w:val="00B34A27"/>
    <w:rsid w:val="00B42C48"/>
    <w:rsid w:val="00B44D03"/>
    <w:rsid w:val="00B46951"/>
    <w:rsid w:val="00B541FD"/>
    <w:rsid w:val="00B564D9"/>
    <w:rsid w:val="00B61292"/>
    <w:rsid w:val="00B665B0"/>
    <w:rsid w:val="00B67989"/>
    <w:rsid w:val="00B710F1"/>
    <w:rsid w:val="00B81F1B"/>
    <w:rsid w:val="00B84F57"/>
    <w:rsid w:val="00B858F6"/>
    <w:rsid w:val="00B863A2"/>
    <w:rsid w:val="00B86DED"/>
    <w:rsid w:val="00B9099A"/>
    <w:rsid w:val="00B9680C"/>
    <w:rsid w:val="00BA4A7E"/>
    <w:rsid w:val="00BA79C5"/>
    <w:rsid w:val="00BB32C7"/>
    <w:rsid w:val="00BB53FD"/>
    <w:rsid w:val="00BB5885"/>
    <w:rsid w:val="00BB5F51"/>
    <w:rsid w:val="00BB75F5"/>
    <w:rsid w:val="00BC0C97"/>
    <w:rsid w:val="00BD69C1"/>
    <w:rsid w:val="00BF2ED5"/>
    <w:rsid w:val="00BF602B"/>
    <w:rsid w:val="00C02241"/>
    <w:rsid w:val="00C0446D"/>
    <w:rsid w:val="00C10885"/>
    <w:rsid w:val="00C14E07"/>
    <w:rsid w:val="00C21501"/>
    <w:rsid w:val="00C229BB"/>
    <w:rsid w:val="00C24CD9"/>
    <w:rsid w:val="00C24F27"/>
    <w:rsid w:val="00C314AE"/>
    <w:rsid w:val="00C356E3"/>
    <w:rsid w:val="00C37635"/>
    <w:rsid w:val="00C40EF7"/>
    <w:rsid w:val="00C4331D"/>
    <w:rsid w:val="00C463AF"/>
    <w:rsid w:val="00C533A9"/>
    <w:rsid w:val="00C60C19"/>
    <w:rsid w:val="00C628AD"/>
    <w:rsid w:val="00C654B9"/>
    <w:rsid w:val="00C672EA"/>
    <w:rsid w:val="00C735E4"/>
    <w:rsid w:val="00C74D73"/>
    <w:rsid w:val="00C75474"/>
    <w:rsid w:val="00C77926"/>
    <w:rsid w:val="00C81366"/>
    <w:rsid w:val="00C82570"/>
    <w:rsid w:val="00C8403D"/>
    <w:rsid w:val="00C85570"/>
    <w:rsid w:val="00C92879"/>
    <w:rsid w:val="00CC7F14"/>
    <w:rsid w:val="00CD1746"/>
    <w:rsid w:val="00CE0EC0"/>
    <w:rsid w:val="00CE1B22"/>
    <w:rsid w:val="00CE2515"/>
    <w:rsid w:val="00CE7A5B"/>
    <w:rsid w:val="00CF5423"/>
    <w:rsid w:val="00CF65EA"/>
    <w:rsid w:val="00CF7ECB"/>
    <w:rsid w:val="00D02BC9"/>
    <w:rsid w:val="00D06A5E"/>
    <w:rsid w:val="00D06D2A"/>
    <w:rsid w:val="00D15E63"/>
    <w:rsid w:val="00D16C36"/>
    <w:rsid w:val="00D204D0"/>
    <w:rsid w:val="00D21DEF"/>
    <w:rsid w:val="00D2321B"/>
    <w:rsid w:val="00D25DE3"/>
    <w:rsid w:val="00D364CA"/>
    <w:rsid w:val="00D50EBC"/>
    <w:rsid w:val="00D5634E"/>
    <w:rsid w:val="00D61445"/>
    <w:rsid w:val="00D819D2"/>
    <w:rsid w:val="00D84978"/>
    <w:rsid w:val="00D93138"/>
    <w:rsid w:val="00DA2C4A"/>
    <w:rsid w:val="00DA2CA3"/>
    <w:rsid w:val="00DB024F"/>
    <w:rsid w:val="00DB234D"/>
    <w:rsid w:val="00DB25FC"/>
    <w:rsid w:val="00DB38C1"/>
    <w:rsid w:val="00DC1CA8"/>
    <w:rsid w:val="00DC3935"/>
    <w:rsid w:val="00DC6E6E"/>
    <w:rsid w:val="00DC6F16"/>
    <w:rsid w:val="00DD20D6"/>
    <w:rsid w:val="00DD2BB0"/>
    <w:rsid w:val="00DD3827"/>
    <w:rsid w:val="00DD4369"/>
    <w:rsid w:val="00DD47DC"/>
    <w:rsid w:val="00DD53D5"/>
    <w:rsid w:val="00DE1A88"/>
    <w:rsid w:val="00DE3908"/>
    <w:rsid w:val="00DE540A"/>
    <w:rsid w:val="00DF0F90"/>
    <w:rsid w:val="00DF3A89"/>
    <w:rsid w:val="00DF558E"/>
    <w:rsid w:val="00DF59CF"/>
    <w:rsid w:val="00DF72B6"/>
    <w:rsid w:val="00E1127F"/>
    <w:rsid w:val="00E17880"/>
    <w:rsid w:val="00E23F12"/>
    <w:rsid w:val="00E266F4"/>
    <w:rsid w:val="00E27AF3"/>
    <w:rsid w:val="00E31142"/>
    <w:rsid w:val="00E32ACB"/>
    <w:rsid w:val="00E53D75"/>
    <w:rsid w:val="00E56315"/>
    <w:rsid w:val="00E601F3"/>
    <w:rsid w:val="00E6077F"/>
    <w:rsid w:val="00E62069"/>
    <w:rsid w:val="00E763B1"/>
    <w:rsid w:val="00E8115C"/>
    <w:rsid w:val="00E84B47"/>
    <w:rsid w:val="00E85FF5"/>
    <w:rsid w:val="00E91DAA"/>
    <w:rsid w:val="00E92CA0"/>
    <w:rsid w:val="00EA34FD"/>
    <w:rsid w:val="00EB1300"/>
    <w:rsid w:val="00EB5AD2"/>
    <w:rsid w:val="00EC410A"/>
    <w:rsid w:val="00ED1483"/>
    <w:rsid w:val="00ED572F"/>
    <w:rsid w:val="00ED58D1"/>
    <w:rsid w:val="00EE524F"/>
    <w:rsid w:val="00EF4144"/>
    <w:rsid w:val="00F11C8F"/>
    <w:rsid w:val="00F12AF0"/>
    <w:rsid w:val="00F1324A"/>
    <w:rsid w:val="00F20C2B"/>
    <w:rsid w:val="00F238E7"/>
    <w:rsid w:val="00F35133"/>
    <w:rsid w:val="00F36FAF"/>
    <w:rsid w:val="00F4248C"/>
    <w:rsid w:val="00F547FD"/>
    <w:rsid w:val="00F60A2F"/>
    <w:rsid w:val="00F7325D"/>
    <w:rsid w:val="00F7360E"/>
    <w:rsid w:val="00F80E32"/>
    <w:rsid w:val="00F9154C"/>
    <w:rsid w:val="00F925D3"/>
    <w:rsid w:val="00F9304E"/>
    <w:rsid w:val="00FA0BD5"/>
    <w:rsid w:val="00FA24CC"/>
    <w:rsid w:val="00FA62C5"/>
    <w:rsid w:val="00FD57F6"/>
    <w:rsid w:val="00FE1302"/>
    <w:rsid w:val="00FE38F3"/>
    <w:rsid w:val="00FE78BD"/>
    <w:rsid w:val="00FF0DEB"/>
    <w:rsid w:val="00FF24CC"/>
    <w:rsid w:val="00FF539B"/>
    <w:rsid w:val="00FF7410"/>
    <w:rsid w:val="05A9822B"/>
    <w:rsid w:val="14FE702A"/>
    <w:rsid w:val="159C65FE"/>
    <w:rsid w:val="17C3205C"/>
    <w:rsid w:val="19D1AE7C"/>
    <w:rsid w:val="23BC58C1"/>
    <w:rsid w:val="24FB6B97"/>
    <w:rsid w:val="28E3074D"/>
    <w:rsid w:val="2F5248D1"/>
    <w:rsid w:val="2F7C1F25"/>
    <w:rsid w:val="3117EF86"/>
    <w:rsid w:val="316EEB95"/>
    <w:rsid w:val="330ABBF6"/>
    <w:rsid w:val="34A68C57"/>
    <w:rsid w:val="3B5C2590"/>
    <w:rsid w:val="41EDE855"/>
    <w:rsid w:val="48CEEB79"/>
    <w:rsid w:val="4B85B9D8"/>
    <w:rsid w:val="514CEDEE"/>
    <w:rsid w:val="53457BDA"/>
    <w:rsid w:val="54848EB0"/>
    <w:rsid w:val="55AD6E81"/>
    <w:rsid w:val="5AF3D034"/>
    <w:rsid w:val="5B05AD1B"/>
    <w:rsid w:val="6839FD42"/>
    <w:rsid w:val="6B719E04"/>
    <w:rsid w:val="6CF03F64"/>
    <w:rsid w:val="6D0D6E65"/>
    <w:rsid w:val="6EB12C4C"/>
    <w:rsid w:val="7028E7D5"/>
    <w:rsid w:val="704CFCAD"/>
    <w:rsid w:val="778EEB41"/>
    <w:rsid w:val="792ABBA2"/>
    <w:rsid w:val="7A66CF83"/>
    <w:rsid w:val="7D12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BBB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15C"/>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710DD2"/>
    <w:rPr>
      <w:sz w:val="16"/>
      <w:szCs w:val="16"/>
    </w:rPr>
  </w:style>
  <w:style w:type="paragraph" w:styleId="CommentText">
    <w:name w:val="annotation text"/>
    <w:basedOn w:val="Normal"/>
    <w:link w:val="CommentTextChar"/>
    <w:uiPriority w:val="99"/>
    <w:unhideWhenUsed/>
    <w:rsid w:val="00710DD2"/>
    <w:pPr>
      <w:spacing w:line="240" w:lineRule="auto"/>
    </w:pPr>
    <w:rPr>
      <w:sz w:val="20"/>
      <w:szCs w:val="20"/>
    </w:rPr>
  </w:style>
  <w:style w:type="character" w:customStyle="1" w:styleId="CommentTextChar">
    <w:name w:val="Comment Text Char"/>
    <w:basedOn w:val="DefaultParagraphFont"/>
    <w:link w:val="CommentText"/>
    <w:uiPriority w:val="99"/>
    <w:rsid w:val="00710DD2"/>
    <w:rPr>
      <w:sz w:val="20"/>
      <w:szCs w:val="20"/>
    </w:rPr>
  </w:style>
  <w:style w:type="paragraph" w:styleId="CommentSubject">
    <w:name w:val="annotation subject"/>
    <w:basedOn w:val="CommentText"/>
    <w:next w:val="CommentText"/>
    <w:link w:val="CommentSubjectChar"/>
    <w:uiPriority w:val="99"/>
    <w:semiHidden/>
    <w:unhideWhenUsed/>
    <w:rsid w:val="00710DD2"/>
    <w:rPr>
      <w:b/>
      <w:bCs/>
    </w:rPr>
  </w:style>
  <w:style w:type="character" w:customStyle="1" w:styleId="CommentSubjectChar">
    <w:name w:val="Comment Subject Char"/>
    <w:basedOn w:val="CommentTextChar"/>
    <w:link w:val="CommentSubject"/>
    <w:uiPriority w:val="99"/>
    <w:semiHidden/>
    <w:rsid w:val="00710DD2"/>
    <w:rPr>
      <w:b/>
      <w:bCs/>
      <w:sz w:val="20"/>
      <w:szCs w:val="20"/>
    </w:rPr>
  </w:style>
  <w:style w:type="character" w:styleId="Hyperlink">
    <w:name w:val="Hyperlink"/>
    <w:basedOn w:val="DefaultParagraphFont"/>
    <w:uiPriority w:val="99"/>
    <w:unhideWhenUsed/>
    <w:rsid w:val="00D16C36"/>
    <w:rPr>
      <w:color w:val="0563C1" w:themeColor="hyperlink"/>
      <w:u w:val="single"/>
    </w:rPr>
  </w:style>
  <w:style w:type="character" w:styleId="FollowedHyperlink">
    <w:name w:val="FollowedHyperlink"/>
    <w:basedOn w:val="DefaultParagraphFont"/>
    <w:uiPriority w:val="99"/>
    <w:semiHidden/>
    <w:unhideWhenUsed/>
    <w:rsid w:val="00D16C36"/>
    <w:rPr>
      <w:color w:val="954F72" w:themeColor="followedHyperlink"/>
      <w:u w:val="single"/>
    </w:rPr>
  </w:style>
  <w:style w:type="numbering" w:customStyle="1" w:styleId="NoList1">
    <w:name w:val="No List1"/>
    <w:next w:val="NoList"/>
    <w:uiPriority w:val="99"/>
    <w:semiHidden/>
    <w:unhideWhenUsed/>
    <w:rsid w:val="006F5B39"/>
  </w:style>
  <w:style w:type="paragraph" w:customStyle="1" w:styleId="msonormal0">
    <w:name w:val="msonormal"/>
    <w:basedOn w:val="Normal"/>
    <w:rsid w:val="006F5B3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8B5BBA"/>
    <w:rPr>
      <w:color w:val="605E5C"/>
      <w:shd w:val="clear" w:color="auto" w:fill="E1DFDD"/>
    </w:rPr>
  </w:style>
  <w:style w:type="paragraph" w:styleId="FootnoteText">
    <w:name w:val="footnote text"/>
    <w:basedOn w:val="Normal"/>
    <w:link w:val="FootnoteTextChar"/>
    <w:uiPriority w:val="99"/>
    <w:semiHidden/>
    <w:unhideWhenUsed/>
    <w:rsid w:val="00751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576"/>
    <w:rPr>
      <w:sz w:val="20"/>
      <w:szCs w:val="20"/>
    </w:rPr>
  </w:style>
  <w:style w:type="character" w:styleId="FootnoteReference">
    <w:name w:val="footnote reference"/>
    <w:basedOn w:val="DefaultParagraphFont"/>
    <w:uiPriority w:val="99"/>
    <w:semiHidden/>
    <w:unhideWhenUsed/>
    <w:rsid w:val="00751576"/>
    <w:rPr>
      <w:vertAlign w:val="superscript"/>
    </w:rPr>
  </w:style>
  <w:style w:type="paragraph" w:styleId="Revision">
    <w:name w:val="Revision"/>
    <w:hidden/>
    <w:uiPriority w:val="99"/>
    <w:semiHidden/>
    <w:rsid w:val="005F18E7"/>
    <w:pPr>
      <w:spacing w:after="0" w:line="240" w:lineRule="auto"/>
    </w:pPr>
  </w:style>
  <w:style w:type="character" w:styleId="LineNumber">
    <w:name w:val="line number"/>
    <w:basedOn w:val="DefaultParagraphFont"/>
    <w:uiPriority w:val="99"/>
    <w:semiHidden/>
    <w:unhideWhenUsed/>
    <w:rsid w:val="00E23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6000">
      <w:bodyDiv w:val="1"/>
      <w:marLeft w:val="0"/>
      <w:marRight w:val="0"/>
      <w:marTop w:val="0"/>
      <w:marBottom w:val="0"/>
      <w:divBdr>
        <w:top w:val="none" w:sz="0" w:space="0" w:color="auto"/>
        <w:left w:val="none" w:sz="0" w:space="0" w:color="auto"/>
        <w:bottom w:val="none" w:sz="0" w:space="0" w:color="auto"/>
        <w:right w:val="none" w:sz="0" w:space="0" w:color="auto"/>
      </w:divBdr>
    </w:div>
    <w:div w:id="240869666">
      <w:bodyDiv w:val="1"/>
      <w:marLeft w:val="0"/>
      <w:marRight w:val="0"/>
      <w:marTop w:val="0"/>
      <w:marBottom w:val="0"/>
      <w:divBdr>
        <w:top w:val="none" w:sz="0" w:space="0" w:color="auto"/>
        <w:left w:val="none" w:sz="0" w:space="0" w:color="auto"/>
        <w:bottom w:val="none" w:sz="0" w:space="0" w:color="auto"/>
        <w:right w:val="none" w:sz="0" w:space="0" w:color="auto"/>
      </w:divBdr>
    </w:div>
    <w:div w:id="831991412">
      <w:bodyDiv w:val="1"/>
      <w:marLeft w:val="0"/>
      <w:marRight w:val="0"/>
      <w:marTop w:val="0"/>
      <w:marBottom w:val="0"/>
      <w:divBdr>
        <w:top w:val="none" w:sz="0" w:space="0" w:color="auto"/>
        <w:left w:val="none" w:sz="0" w:space="0" w:color="auto"/>
        <w:bottom w:val="none" w:sz="0" w:space="0" w:color="auto"/>
        <w:right w:val="none" w:sz="0" w:space="0" w:color="auto"/>
      </w:divBdr>
    </w:div>
    <w:div w:id="1410811400">
      <w:bodyDiv w:val="1"/>
      <w:marLeft w:val="0"/>
      <w:marRight w:val="0"/>
      <w:marTop w:val="0"/>
      <w:marBottom w:val="0"/>
      <w:divBdr>
        <w:top w:val="none" w:sz="0" w:space="0" w:color="auto"/>
        <w:left w:val="none" w:sz="0" w:space="0" w:color="auto"/>
        <w:bottom w:val="none" w:sz="0" w:space="0" w:color="auto"/>
        <w:right w:val="none" w:sz="0" w:space="0" w:color="auto"/>
      </w:divBdr>
    </w:div>
    <w:div w:id="1532960297">
      <w:bodyDiv w:val="1"/>
      <w:marLeft w:val="0"/>
      <w:marRight w:val="0"/>
      <w:marTop w:val="0"/>
      <w:marBottom w:val="0"/>
      <w:divBdr>
        <w:top w:val="none" w:sz="0" w:space="0" w:color="auto"/>
        <w:left w:val="none" w:sz="0" w:space="0" w:color="auto"/>
        <w:bottom w:val="none" w:sz="0" w:space="0" w:color="auto"/>
        <w:right w:val="none" w:sz="0" w:space="0" w:color="auto"/>
      </w:divBdr>
    </w:div>
    <w:div w:id="1763532003">
      <w:bodyDiv w:val="1"/>
      <w:marLeft w:val="0"/>
      <w:marRight w:val="0"/>
      <w:marTop w:val="0"/>
      <w:marBottom w:val="0"/>
      <w:divBdr>
        <w:top w:val="none" w:sz="0" w:space="0" w:color="auto"/>
        <w:left w:val="none" w:sz="0" w:space="0" w:color="auto"/>
        <w:bottom w:val="none" w:sz="0" w:space="0" w:color="auto"/>
        <w:right w:val="none" w:sz="0" w:space="0" w:color="auto"/>
      </w:divBdr>
    </w:div>
    <w:div w:id="1896624933">
      <w:bodyDiv w:val="1"/>
      <w:marLeft w:val="0"/>
      <w:marRight w:val="0"/>
      <w:marTop w:val="0"/>
      <w:marBottom w:val="0"/>
      <w:divBdr>
        <w:top w:val="none" w:sz="0" w:space="0" w:color="auto"/>
        <w:left w:val="none" w:sz="0" w:space="0" w:color="auto"/>
        <w:bottom w:val="none" w:sz="0" w:space="0" w:color="auto"/>
        <w:right w:val="none" w:sz="0" w:space="0" w:color="auto"/>
      </w:divBdr>
    </w:div>
    <w:div w:id="2037848507">
      <w:bodyDiv w:val="1"/>
      <w:marLeft w:val="0"/>
      <w:marRight w:val="0"/>
      <w:marTop w:val="0"/>
      <w:marBottom w:val="0"/>
      <w:divBdr>
        <w:top w:val="none" w:sz="0" w:space="0" w:color="auto"/>
        <w:left w:val="none" w:sz="0" w:space="0" w:color="auto"/>
        <w:bottom w:val="none" w:sz="0" w:space="0" w:color="auto"/>
        <w:right w:val="none" w:sz="0" w:space="0" w:color="auto"/>
      </w:divBdr>
    </w:div>
    <w:div w:id="2064401453">
      <w:bodyDiv w:val="1"/>
      <w:marLeft w:val="0"/>
      <w:marRight w:val="0"/>
      <w:marTop w:val="0"/>
      <w:marBottom w:val="0"/>
      <w:divBdr>
        <w:top w:val="none" w:sz="0" w:space="0" w:color="auto"/>
        <w:left w:val="none" w:sz="0" w:space="0" w:color="auto"/>
        <w:bottom w:val="none" w:sz="0" w:space="0" w:color="auto"/>
        <w:right w:val="none" w:sz="0" w:space="0" w:color="auto"/>
      </w:divBdr>
    </w:div>
    <w:div w:id="210818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arity-reserves-policies-demonstrating-and-building-resilience/charity-reserves-policies-demonstrating-and-building-resilie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documents/college-social-sciences/social-policy/tsrc/financial-vulnerability-in-uk-charities-under-covid-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rints.kingston.ac.uk/id/eprint/47752/1/Mahmood-F-47752.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827790/Accounts_monitoring_review_auditors_and_independent_examiners_compliance_with_their_responsibilities_PDF__2_.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2B8B5-DD49-4550-9B22-3C081252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4788</Words>
  <Characters>27292</Characters>
  <Application>Microsoft Office Word</Application>
  <DocSecurity>0</DocSecurity>
  <Lines>227</Lines>
  <Paragraphs>64</Paragraphs>
  <ScaleCrop>false</ScaleCrop>
  <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2022-08-16T06:22:00Z</dcterms:created>
  <dcterms:modified xsi:type="dcterms:W3CDTF">2022-08-16T06:38:00Z</dcterms:modified>
</cp:coreProperties>
</file>