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8A54" w14:textId="270B6F01" w:rsidR="00A921DC" w:rsidRDefault="00552152" w:rsidP="00B05BED">
      <w:pPr>
        <w:spacing w:after="0" w:line="360" w:lineRule="auto"/>
        <w:rPr>
          <w:rFonts w:ascii="Arial" w:eastAsia="Calibri" w:hAnsi="Arial" w:cs="Arial"/>
          <w:b/>
        </w:rPr>
      </w:pPr>
      <w:r>
        <w:rPr>
          <w:rFonts w:ascii="Arial" w:eastAsia="Calibri" w:hAnsi="Arial" w:cs="Arial"/>
          <w:b/>
        </w:rPr>
        <w:t xml:space="preserve">MUSCULOSKELETAL INJURY IN </w:t>
      </w:r>
      <w:r w:rsidR="00311916">
        <w:rPr>
          <w:rFonts w:ascii="Arial" w:eastAsia="Calibri" w:hAnsi="Arial" w:cs="Arial"/>
          <w:b/>
        </w:rPr>
        <w:t>MILITARY SPECIALISTS</w:t>
      </w:r>
      <w:r>
        <w:rPr>
          <w:rFonts w:ascii="Arial" w:eastAsia="Calibri" w:hAnsi="Arial" w:cs="Arial"/>
          <w:b/>
        </w:rPr>
        <w:t>: A TWO-YEAR RETROSPECTIVE STUDY</w:t>
      </w:r>
    </w:p>
    <w:p w14:paraId="4D0CE1E1" w14:textId="02424943" w:rsidR="00A921DC" w:rsidRDefault="00A921DC" w:rsidP="00B05BED">
      <w:pPr>
        <w:spacing w:after="0" w:line="360" w:lineRule="auto"/>
        <w:rPr>
          <w:rFonts w:ascii="Arial" w:eastAsia="Calibri" w:hAnsi="Arial" w:cs="Arial"/>
          <w:b/>
        </w:rPr>
      </w:pPr>
    </w:p>
    <w:p w14:paraId="5198F223" w14:textId="138DCB13" w:rsidR="00A921DC" w:rsidRDefault="00A921DC" w:rsidP="00A921DC">
      <w:pPr>
        <w:spacing w:after="0" w:line="360" w:lineRule="auto"/>
        <w:rPr>
          <w:rFonts w:ascii="Arial" w:hAnsi="Arial" w:cs="Arial"/>
        </w:rPr>
      </w:pPr>
      <w:r>
        <w:rPr>
          <w:rFonts w:ascii="Arial" w:hAnsi="Arial" w:cs="Arial"/>
        </w:rPr>
        <w:t>D Hayhurst, M Warner, M Stokes and J L Fallowfield</w:t>
      </w:r>
    </w:p>
    <w:p w14:paraId="3A989E65" w14:textId="77777777" w:rsidR="00306740" w:rsidRDefault="00306740" w:rsidP="00306740">
      <w:pPr>
        <w:spacing w:after="0" w:line="360" w:lineRule="auto"/>
        <w:rPr>
          <w:rFonts w:ascii="Arial" w:hAnsi="Arial" w:cs="Arial"/>
          <w:b/>
          <w:bCs/>
          <w:color w:val="000000" w:themeColor="text1"/>
        </w:rPr>
      </w:pPr>
    </w:p>
    <w:p w14:paraId="0C014E4E" w14:textId="77777777" w:rsidR="00306740" w:rsidRPr="005C5418" w:rsidRDefault="00306740" w:rsidP="00306740">
      <w:pPr>
        <w:spacing w:after="0" w:line="360" w:lineRule="auto"/>
        <w:rPr>
          <w:rFonts w:ascii="Arial" w:hAnsi="Arial" w:cs="Arial"/>
          <w:b/>
          <w:bCs/>
          <w:color w:val="000000" w:themeColor="text1"/>
        </w:rPr>
      </w:pPr>
      <w:r w:rsidRPr="005C5418">
        <w:rPr>
          <w:rFonts w:ascii="Arial" w:hAnsi="Arial" w:cs="Arial"/>
          <w:b/>
          <w:bCs/>
          <w:color w:val="000000" w:themeColor="text1"/>
        </w:rPr>
        <w:t xml:space="preserve">ABSTRACT </w:t>
      </w:r>
    </w:p>
    <w:p w14:paraId="2925AFFF" w14:textId="77777777" w:rsidR="00306740" w:rsidRPr="005C5418" w:rsidRDefault="00306740" w:rsidP="00306740">
      <w:pPr>
        <w:spacing w:after="0" w:line="360" w:lineRule="auto"/>
        <w:rPr>
          <w:rFonts w:ascii="Arial" w:hAnsi="Arial" w:cs="Arial"/>
          <w:b/>
          <w:bCs/>
          <w:color w:val="000000" w:themeColor="text1"/>
        </w:rPr>
      </w:pPr>
    </w:p>
    <w:p w14:paraId="25DDA32E" w14:textId="77777777" w:rsidR="00306740" w:rsidRPr="005C5418" w:rsidRDefault="00306740" w:rsidP="00306740">
      <w:pPr>
        <w:spacing w:after="0" w:line="360" w:lineRule="auto"/>
        <w:rPr>
          <w:rFonts w:ascii="Arial" w:hAnsi="Arial" w:cs="Arial"/>
          <w:b/>
          <w:bCs/>
          <w:color w:val="000000" w:themeColor="text1"/>
        </w:rPr>
      </w:pPr>
      <w:r>
        <w:rPr>
          <w:rFonts w:ascii="Arial" w:hAnsi="Arial" w:cs="Arial"/>
          <w:b/>
          <w:bCs/>
          <w:color w:val="000000" w:themeColor="text1"/>
        </w:rPr>
        <w:t>Background</w:t>
      </w:r>
    </w:p>
    <w:p w14:paraId="42C9D182" w14:textId="77777777" w:rsidR="00306740" w:rsidRPr="005C5418" w:rsidRDefault="00306740" w:rsidP="00306740">
      <w:pPr>
        <w:spacing w:after="0" w:line="360" w:lineRule="auto"/>
        <w:rPr>
          <w:rFonts w:ascii="Arial" w:hAnsi="Arial" w:cs="Arial"/>
          <w:color w:val="000000" w:themeColor="text1"/>
        </w:rPr>
      </w:pPr>
      <w:r w:rsidRPr="005C5418">
        <w:rPr>
          <w:rFonts w:ascii="Arial" w:hAnsi="Arial" w:cs="Arial"/>
          <w:color w:val="000000" w:themeColor="text1"/>
        </w:rPr>
        <w:t>Military Specialists are elite personnel who are trained to work across diverse operational environments where a high level of physical conditioning is a prerequisite for their role. Anecdotally, personnel are acknowledged to be at high risk of developing musculoskeletal injuries (MSKI). However, there are presently no published data on this UK military population to support this view. This is the first (two-year) retrospective epidemiological study to identify the MSKI sustained by this military population.</w:t>
      </w:r>
    </w:p>
    <w:p w14:paraId="53775219" w14:textId="77777777" w:rsidR="00306740" w:rsidRPr="005C5418" w:rsidRDefault="00306740" w:rsidP="00306740">
      <w:pPr>
        <w:spacing w:after="0" w:line="360" w:lineRule="auto"/>
        <w:rPr>
          <w:rFonts w:ascii="Arial" w:hAnsi="Arial" w:cs="Arial"/>
          <w:b/>
          <w:bCs/>
          <w:color w:val="000000" w:themeColor="text1"/>
        </w:rPr>
      </w:pPr>
      <w:r w:rsidRPr="005C5418">
        <w:rPr>
          <w:rFonts w:ascii="Arial" w:hAnsi="Arial" w:cs="Arial"/>
          <w:b/>
          <w:bCs/>
          <w:color w:val="000000" w:themeColor="text1"/>
        </w:rPr>
        <w:t>Method</w:t>
      </w:r>
      <w:r>
        <w:rPr>
          <w:rFonts w:ascii="Arial" w:hAnsi="Arial" w:cs="Arial"/>
          <w:b/>
          <w:bCs/>
          <w:color w:val="000000" w:themeColor="text1"/>
        </w:rPr>
        <w:t>s</w:t>
      </w:r>
    </w:p>
    <w:p w14:paraId="23957C2D" w14:textId="10E200D6" w:rsidR="00306740" w:rsidRPr="005C5418" w:rsidRDefault="00306740" w:rsidP="00306740">
      <w:pPr>
        <w:spacing w:after="0" w:line="360" w:lineRule="auto"/>
        <w:rPr>
          <w:rFonts w:ascii="Arial" w:hAnsi="Arial" w:cs="Arial"/>
          <w:color w:val="000000" w:themeColor="text1"/>
        </w:rPr>
      </w:pPr>
      <w:r w:rsidRPr="005C5418">
        <w:rPr>
          <w:rFonts w:ascii="Arial" w:hAnsi="Arial" w:cs="Arial"/>
          <w:color w:val="000000" w:themeColor="text1"/>
        </w:rPr>
        <w:t>All MSKI reported over a two-year period (Jan 2018 – Dec 2019) were recorded to identify the incidence, frequency, nature, onset, cause, location and reporting times.</w:t>
      </w:r>
      <w:r w:rsidR="0093510C">
        <w:rPr>
          <w:rFonts w:ascii="Arial" w:hAnsi="Arial" w:cs="Arial"/>
          <w:color w:val="000000" w:themeColor="text1"/>
        </w:rPr>
        <w:t xml:space="preserve"> Injuries were described using injury count and relative frequency (percentage). Time at risk for each personnel day was calculated as 365 days. </w:t>
      </w:r>
    </w:p>
    <w:p w14:paraId="38C97DD3" w14:textId="77777777" w:rsidR="00306740" w:rsidRPr="005C5418" w:rsidRDefault="00306740" w:rsidP="00306740">
      <w:pPr>
        <w:spacing w:after="0" w:line="360" w:lineRule="auto"/>
        <w:rPr>
          <w:rFonts w:ascii="Arial" w:hAnsi="Arial" w:cs="Arial"/>
          <w:b/>
          <w:bCs/>
          <w:color w:val="000000" w:themeColor="text1"/>
        </w:rPr>
      </w:pPr>
      <w:r w:rsidRPr="005C5418">
        <w:rPr>
          <w:rFonts w:ascii="Arial" w:hAnsi="Arial" w:cs="Arial"/>
          <w:b/>
          <w:bCs/>
          <w:color w:val="000000" w:themeColor="text1"/>
        </w:rPr>
        <w:t>Results</w:t>
      </w:r>
    </w:p>
    <w:p w14:paraId="24ECD953" w14:textId="56D8ACAE" w:rsidR="00306740" w:rsidRPr="005C5418" w:rsidRDefault="00306740" w:rsidP="00306740">
      <w:pPr>
        <w:spacing w:after="0" w:line="360" w:lineRule="auto"/>
        <w:rPr>
          <w:rFonts w:ascii="Arial" w:hAnsi="Arial" w:cs="Arial"/>
          <w:color w:val="000000" w:themeColor="text1"/>
        </w:rPr>
      </w:pPr>
      <w:r w:rsidRPr="005C5418">
        <w:rPr>
          <w:rFonts w:ascii="Arial" w:hAnsi="Arial" w:cs="Arial"/>
          <w:color w:val="000000" w:themeColor="text1"/>
        </w:rPr>
        <w:t>A total of 199 personnel reported 229 injuries over the reporting periods. The injury incidence rates were 26.8 personnel per 100-person years (2018) and 27.7 personnel per 100-person years (2019), respectively. Military training accounted for the highest number of injuries (32%), followed by ‘Other Injuries’ (28%), Personal Training (PT) (28%) and Sport (12%). The leading activity associated with injury was w</w:t>
      </w:r>
      <w:r w:rsidRPr="005C5418">
        <w:rPr>
          <w:rFonts w:ascii="Arial" w:eastAsia="Times New Roman" w:hAnsi="Arial" w:cs="Arial"/>
          <w:color w:val="000000" w:themeColor="text1"/>
          <w:lang w:eastAsia="en-GB"/>
        </w:rPr>
        <w:t>eight training (15%), followed by running (11%) and military exercise (10%).</w:t>
      </w:r>
      <w:r w:rsidRPr="005C5418">
        <w:rPr>
          <w:rFonts w:ascii="Arial" w:hAnsi="Arial" w:cs="Arial"/>
          <w:color w:val="000000" w:themeColor="text1"/>
        </w:rPr>
        <w:t xml:space="preserve"> Lower extremity injuries accounted for the highest number of injuries (40%), followed by trunk (36%) and upper extremity (24%) injuries. </w:t>
      </w:r>
    </w:p>
    <w:p w14:paraId="2D5A1E8B" w14:textId="77777777" w:rsidR="00306740" w:rsidRPr="005C5418" w:rsidRDefault="00306740" w:rsidP="00306740">
      <w:pPr>
        <w:spacing w:after="0" w:line="360" w:lineRule="auto"/>
        <w:rPr>
          <w:rFonts w:ascii="Arial" w:hAnsi="Arial" w:cs="Arial"/>
          <w:b/>
          <w:bCs/>
          <w:color w:val="000000" w:themeColor="text1"/>
        </w:rPr>
      </w:pPr>
      <w:r w:rsidRPr="005C5418">
        <w:rPr>
          <w:rFonts w:ascii="Arial" w:hAnsi="Arial" w:cs="Arial"/>
          <w:b/>
          <w:bCs/>
          <w:color w:val="000000" w:themeColor="text1"/>
        </w:rPr>
        <w:t>Conclusion</w:t>
      </w:r>
    </w:p>
    <w:p w14:paraId="755288B8" w14:textId="77777777" w:rsidR="00306740" w:rsidRPr="005C5418" w:rsidRDefault="00306740" w:rsidP="00306740">
      <w:pPr>
        <w:spacing w:after="0" w:line="360" w:lineRule="auto"/>
        <w:rPr>
          <w:rFonts w:ascii="Arial" w:hAnsi="Arial" w:cs="Arial"/>
          <w:b/>
          <w:bCs/>
          <w:color w:val="000000" w:themeColor="text1"/>
        </w:rPr>
      </w:pPr>
      <w:r w:rsidRPr="005C5418">
        <w:rPr>
          <w:rFonts w:ascii="Arial" w:hAnsi="Arial" w:cs="Arial"/>
          <w:color w:val="000000" w:themeColor="text1"/>
        </w:rPr>
        <w:t>This study identifies the MSKI profile of a Military Specialist population over a two-year period. Areas where modifiable risk factors may be identified to reduce risk of injury are highlighted. Recommendations for further research include investigating injury burden and the impact of injury on operational readiness.</w:t>
      </w:r>
    </w:p>
    <w:p w14:paraId="7A53ECF5" w14:textId="77777777" w:rsidR="00306740" w:rsidRPr="005C5418" w:rsidRDefault="00306740" w:rsidP="00306740">
      <w:pPr>
        <w:spacing w:after="0"/>
        <w:rPr>
          <w:rFonts w:ascii="Arial" w:hAnsi="Arial" w:cs="Arial"/>
          <w:b/>
          <w:bCs/>
          <w:color w:val="000000" w:themeColor="text1"/>
        </w:rPr>
      </w:pPr>
    </w:p>
    <w:p w14:paraId="00B6656C" w14:textId="77777777" w:rsidR="00306740" w:rsidRPr="005C5418" w:rsidRDefault="00306740" w:rsidP="00306740">
      <w:pPr>
        <w:spacing w:after="0"/>
        <w:rPr>
          <w:rFonts w:ascii="Arial" w:hAnsi="Arial" w:cs="Arial"/>
          <w:b/>
          <w:bCs/>
          <w:color w:val="000000" w:themeColor="text1"/>
        </w:rPr>
      </w:pPr>
    </w:p>
    <w:p w14:paraId="705DA1CB" w14:textId="77777777" w:rsidR="00306740" w:rsidRPr="005C5418" w:rsidRDefault="00306740" w:rsidP="00306740">
      <w:pPr>
        <w:spacing w:after="0"/>
        <w:rPr>
          <w:rFonts w:ascii="Arial" w:hAnsi="Arial" w:cs="Arial"/>
          <w:b/>
          <w:bCs/>
          <w:color w:val="000000" w:themeColor="text1"/>
        </w:rPr>
      </w:pPr>
      <w:r w:rsidRPr="005C5418">
        <w:rPr>
          <w:rFonts w:ascii="Arial" w:hAnsi="Arial" w:cs="Arial"/>
          <w:b/>
          <w:bCs/>
          <w:color w:val="000000" w:themeColor="text1"/>
        </w:rPr>
        <w:t>Key Messages</w:t>
      </w:r>
    </w:p>
    <w:p w14:paraId="5314E67A" w14:textId="77777777" w:rsidR="00306740" w:rsidRPr="005C5418" w:rsidRDefault="00306740" w:rsidP="00306740">
      <w:pPr>
        <w:spacing w:after="0"/>
        <w:rPr>
          <w:rFonts w:ascii="Arial" w:hAnsi="Arial" w:cs="Arial"/>
          <w:b/>
          <w:bCs/>
          <w:color w:val="000000" w:themeColor="text1"/>
        </w:rPr>
      </w:pPr>
    </w:p>
    <w:p w14:paraId="28AFA83F" w14:textId="77777777" w:rsidR="00C94A1D" w:rsidRPr="006E5195" w:rsidRDefault="00C94A1D" w:rsidP="00C94A1D">
      <w:pPr>
        <w:spacing w:after="0" w:line="360" w:lineRule="auto"/>
        <w:rPr>
          <w:rFonts w:ascii="Arial" w:hAnsi="Arial" w:cs="Arial"/>
          <w:b/>
          <w:bCs/>
          <w:color w:val="000000" w:themeColor="text1"/>
        </w:rPr>
      </w:pPr>
      <w:r w:rsidRPr="006E5195">
        <w:rPr>
          <w:rFonts w:ascii="Arial" w:hAnsi="Arial" w:cs="Arial"/>
          <w:b/>
          <w:bCs/>
          <w:color w:val="000000" w:themeColor="text1"/>
        </w:rPr>
        <w:t>What is already known on the topic:</w:t>
      </w:r>
    </w:p>
    <w:p w14:paraId="75D64E14" w14:textId="77777777" w:rsidR="00C94A1D" w:rsidRDefault="00C94A1D" w:rsidP="00C94A1D">
      <w:pPr>
        <w:pStyle w:val="ListParagraph"/>
        <w:numPr>
          <w:ilvl w:val="0"/>
          <w:numId w:val="5"/>
        </w:numPr>
        <w:spacing w:after="0" w:line="360" w:lineRule="auto"/>
        <w:rPr>
          <w:rFonts w:ascii="Arial" w:hAnsi="Arial" w:cs="Arial"/>
          <w:color w:val="000000" w:themeColor="text1"/>
        </w:rPr>
      </w:pPr>
      <w:r w:rsidRPr="005C5418">
        <w:rPr>
          <w:rFonts w:ascii="Arial" w:hAnsi="Arial" w:cs="Arial"/>
          <w:color w:val="000000" w:themeColor="text1"/>
        </w:rPr>
        <w:t>Musculoskeletal injury is the primary cause of medical downgrade in the military</w:t>
      </w:r>
    </w:p>
    <w:p w14:paraId="0BC9BDE5" w14:textId="77777777" w:rsidR="00C94A1D" w:rsidRDefault="00C94A1D" w:rsidP="00C94A1D">
      <w:pPr>
        <w:spacing w:after="0" w:line="360" w:lineRule="auto"/>
        <w:rPr>
          <w:rFonts w:ascii="Arial" w:hAnsi="Arial" w:cs="Arial"/>
          <w:b/>
          <w:bCs/>
          <w:color w:val="000000" w:themeColor="text1"/>
        </w:rPr>
      </w:pPr>
    </w:p>
    <w:p w14:paraId="397E4343" w14:textId="60DCA599" w:rsidR="00C94A1D" w:rsidRPr="006E5195" w:rsidRDefault="00C94A1D" w:rsidP="00C94A1D">
      <w:pPr>
        <w:spacing w:after="0" w:line="360" w:lineRule="auto"/>
        <w:rPr>
          <w:rFonts w:ascii="Arial" w:hAnsi="Arial" w:cs="Arial"/>
          <w:b/>
          <w:bCs/>
          <w:color w:val="000000" w:themeColor="text1"/>
        </w:rPr>
      </w:pPr>
      <w:r w:rsidRPr="006E5195">
        <w:rPr>
          <w:rFonts w:ascii="Arial" w:hAnsi="Arial" w:cs="Arial"/>
          <w:b/>
          <w:bCs/>
          <w:color w:val="000000" w:themeColor="text1"/>
        </w:rPr>
        <w:lastRenderedPageBreak/>
        <w:t>What this study adds:</w:t>
      </w:r>
    </w:p>
    <w:p w14:paraId="3BE72DB1" w14:textId="77777777" w:rsidR="00C94A1D" w:rsidRPr="005C5418" w:rsidRDefault="00C94A1D" w:rsidP="00C94A1D">
      <w:pPr>
        <w:pStyle w:val="ListParagraph"/>
        <w:numPr>
          <w:ilvl w:val="0"/>
          <w:numId w:val="5"/>
        </w:numPr>
        <w:spacing w:after="0" w:line="360" w:lineRule="auto"/>
        <w:rPr>
          <w:rFonts w:ascii="Arial" w:hAnsi="Arial" w:cs="Arial"/>
          <w:color w:val="000000" w:themeColor="text1"/>
        </w:rPr>
      </w:pPr>
      <w:r w:rsidRPr="005C5418">
        <w:rPr>
          <w:rFonts w:ascii="Arial" w:hAnsi="Arial" w:cs="Arial"/>
          <w:color w:val="000000" w:themeColor="text1"/>
        </w:rPr>
        <w:t xml:space="preserve">This study identified the previously unknown injury profile in a Military Specialist Unit. </w:t>
      </w:r>
    </w:p>
    <w:p w14:paraId="2ED0BCAA" w14:textId="77777777" w:rsidR="00C94A1D" w:rsidRDefault="00C94A1D" w:rsidP="00C94A1D">
      <w:pPr>
        <w:pStyle w:val="ListParagraph"/>
        <w:numPr>
          <w:ilvl w:val="0"/>
          <w:numId w:val="5"/>
        </w:numPr>
        <w:spacing w:after="0" w:line="360" w:lineRule="auto"/>
        <w:rPr>
          <w:rFonts w:ascii="Arial" w:hAnsi="Arial" w:cs="Arial"/>
          <w:color w:val="000000" w:themeColor="text1"/>
        </w:rPr>
      </w:pPr>
      <w:r w:rsidRPr="005C5418">
        <w:rPr>
          <w:rFonts w:ascii="Arial" w:hAnsi="Arial" w:cs="Arial"/>
          <w:color w:val="000000" w:themeColor="text1"/>
        </w:rPr>
        <w:t>The main activities associated with injury were weight training and running, where the most common injury locations were identified as lower back, shoulder and knee</w:t>
      </w:r>
    </w:p>
    <w:p w14:paraId="18E285AD" w14:textId="77777777" w:rsidR="00C94A1D" w:rsidRPr="006E5195" w:rsidRDefault="00C94A1D" w:rsidP="00C94A1D">
      <w:pPr>
        <w:spacing w:after="0" w:line="360" w:lineRule="auto"/>
        <w:ind w:left="360"/>
        <w:rPr>
          <w:rFonts w:ascii="Arial" w:hAnsi="Arial" w:cs="Arial"/>
          <w:b/>
          <w:bCs/>
          <w:color w:val="000000" w:themeColor="text1"/>
        </w:rPr>
      </w:pPr>
      <w:r w:rsidRPr="006E5195">
        <w:rPr>
          <w:rFonts w:ascii="Arial" w:hAnsi="Arial" w:cs="Arial"/>
          <w:b/>
          <w:bCs/>
          <w:color w:val="000000" w:themeColor="text1"/>
        </w:rPr>
        <w:t>How this study might affect research, practice or policy</w:t>
      </w:r>
    </w:p>
    <w:p w14:paraId="5F2CBE22" w14:textId="0EB5CF1B" w:rsidR="00306740" w:rsidRPr="00C94A1D" w:rsidRDefault="00C94A1D" w:rsidP="00C94A1D">
      <w:pPr>
        <w:pStyle w:val="ListParagraph"/>
        <w:numPr>
          <w:ilvl w:val="0"/>
          <w:numId w:val="5"/>
        </w:numPr>
        <w:spacing w:after="0" w:line="360" w:lineRule="auto"/>
        <w:rPr>
          <w:rFonts w:ascii="Arial" w:hAnsi="Arial" w:cs="Arial"/>
          <w:color w:val="000000" w:themeColor="text1"/>
        </w:rPr>
        <w:sectPr w:rsidR="00306740" w:rsidRPr="00C94A1D" w:rsidSect="00C141F5">
          <w:pgSz w:w="11906" w:h="16838"/>
          <w:pgMar w:top="1134" w:right="1134" w:bottom="1134" w:left="1134" w:header="720" w:footer="720" w:gutter="0"/>
          <w:cols w:space="720"/>
          <w:docGrid w:linePitch="360"/>
        </w:sectPr>
      </w:pPr>
      <w:r w:rsidRPr="00C94A1D">
        <w:rPr>
          <w:rFonts w:ascii="Arial" w:hAnsi="Arial" w:cs="Arial"/>
          <w:color w:val="000000" w:themeColor="text1"/>
        </w:rPr>
        <w:t>Further research is required to determine injury burden and the impact of injury on operational readiness in this population</w:t>
      </w:r>
    </w:p>
    <w:p w14:paraId="30CD8AB8" w14:textId="79BB4DA9" w:rsidR="00B05BED" w:rsidRPr="00B05BED" w:rsidRDefault="00B05BED" w:rsidP="00B05BED">
      <w:pPr>
        <w:spacing w:after="0" w:line="360" w:lineRule="auto"/>
        <w:rPr>
          <w:rFonts w:ascii="Arial" w:eastAsia="Calibri" w:hAnsi="Arial" w:cs="Arial"/>
          <w:b/>
          <w:color w:val="FF0000"/>
        </w:rPr>
      </w:pPr>
      <w:r w:rsidRPr="00B05BED">
        <w:rPr>
          <w:rFonts w:ascii="Arial" w:eastAsia="Calibri" w:hAnsi="Arial" w:cs="Arial"/>
          <w:b/>
        </w:rPr>
        <w:lastRenderedPageBreak/>
        <w:t>INTRODUCTION</w:t>
      </w:r>
    </w:p>
    <w:p w14:paraId="584F841E" w14:textId="77777777" w:rsidR="00B05BED" w:rsidRPr="00B05BED" w:rsidRDefault="00B05BED" w:rsidP="00B05BED">
      <w:pPr>
        <w:spacing w:after="0" w:line="360" w:lineRule="auto"/>
        <w:rPr>
          <w:rFonts w:ascii="Arial" w:eastAsia="Calibri" w:hAnsi="Arial" w:cs="Arial"/>
          <w:b/>
        </w:rPr>
      </w:pPr>
    </w:p>
    <w:p w14:paraId="7D8C537A" w14:textId="7C4239D9" w:rsidR="00B05BED" w:rsidRPr="00B05BED" w:rsidRDefault="00B05BED" w:rsidP="00B05BED">
      <w:pPr>
        <w:spacing w:after="0" w:line="360" w:lineRule="auto"/>
        <w:rPr>
          <w:rFonts w:ascii="Arial" w:eastAsia="Calibri" w:hAnsi="Arial" w:cs="Arial"/>
        </w:rPr>
      </w:pPr>
      <w:r w:rsidRPr="00B05BED">
        <w:rPr>
          <w:rFonts w:ascii="Arial" w:eastAsia="Calibri" w:hAnsi="Arial" w:cs="Arial"/>
        </w:rPr>
        <w:t>Musculoskeletal injury (MSKI) is the primary cause of medical downgrade in military populations due to the highly physical nature of the occupation and associated physical training required to meet those demands</w:t>
      </w:r>
      <w:r w:rsidRPr="00B05BED">
        <w:rPr>
          <w:rFonts w:ascii="Arial" w:eastAsia="Calibri" w:hAnsi="Arial" w:cs="Arial"/>
          <w:vertAlign w:val="superscript"/>
        </w:rPr>
        <w:t>1</w:t>
      </w:r>
      <w:r w:rsidRPr="00B05BED">
        <w:rPr>
          <w:rFonts w:ascii="Arial" w:eastAsia="Calibri" w:hAnsi="Arial" w:cs="Arial"/>
        </w:rPr>
        <w:t>. A physically fit military is better able to achieve mission success and will ensure increased resilience to the demands of the battlefield</w:t>
      </w:r>
      <w:r w:rsidR="00534261">
        <w:rPr>
          <w:rFonts w:ascii="Arial" w:eastAsia="Calibri" w:hAnsi="Arial" w:cs="Arial"/>
          <w:sz w:val="24"/>
          <w:szCs w:val="24"/>
          <w:vertAlign w:val="superscript"/>
        </w:rPr>
        <w:t>2</w:t>
      </w:r>
      <w:r w:rsidRPr="00B05BED">
        <w:rPr>
          <w:rFonts w:ascii="Arial" w:eastAsia="Calibri" w:hAnsi="Arial" w:cs="Arial"/>
        </w:rPr>
        <w:t xml:space="preserve">. </w:t>
      </w:r>
      <w:bookmarkStart w:id="0" w:name="_Hlk96161488"/>
      <w:r w:rsidR="00681A4D">
        <w:rPr>
          <w:rFonts w:ascii="Arial" w:eastAsia="Calibri" w:hAnsi="Arial" w:cs="Arial"/>
        </w:rPr>
        <w:t xml:space="preserve">Recognising that </w:t>
      </w:r>
      <w:r w:rsidRPr="00B05BED">
        <w:rPr>
          <w:rFonts w:ascii="Arial" w:eastAsia="Calibri" w:hAnsi="Arial" w:cs="Arial"/>
        </w:rPr>
        <w:t>MSKI can severely impact the readiness of a military unit due to a loss of workforce and an individual’s time away from the role</w:t>
      </w:r>
      <w:r w:rsidR="00681A4D">
        <w:rPr>
          <w:rFonts w:ascii="Arial" w:eastAsia="Calibri" w:hAnsi="Arial" w:cs="Arial"/>
        </w:rPr>
        <w:t>, there is a requirement to develop targeted mitigation strategies to reduce MSKI and maintain an effective and depl</w:t>
      </w:r>
      <w:r w:rsidR="00667ABC">
        <w:rPr>
          <w:rFonts w:ascii="Arial" w:eastAsia="Calibri" w:hAnsi="Arial" w:cs="Arial"/>
        </w:rPr>
        <w:t>oyable workforce.</w:t>
      </w:r>
      <w:r w:rsidR="00667ABC" w:rsidRPr="00667ABC">
        <w:rPr>
          <w:rFonts w:ascii="Arial" w:hAnsi="Arial" w:cs="Arial"/>
          <w:color w:val="000000"/>
          <w:bdr w:val="none" w:sz="0" w:space="0" w:color="auto" w:frame="1"/>
        </w:rPr>
        <w:t xml:space="preserve"> </w:t>
      </w:r>
      <w:r w:rsidR="00667ABC">
        <w:rPr>
          <w:rStyle w:val="normaltextrun"/>
          <w:rFonts w:ascii="Arial" w:hAnsi="Arial" w:cs="Arial"/>
          <w:color w:val="000000"/>
          <w:bdr w:val="none" w:sz="0" w:space="0" w:color="auto" w:frame="1"/>
        </w:rPr>
        <w:t xml:space="preserve">Similarities can be drawn between Military Specialist and sporting populations due to the necessity of, and involvement in, vigorous physical training and activity. The most common model of injury prevention used within sporting populations is the van </w:t>
      </w:r>
      <w:proofErr w:type="spellStart"/>
      <w:r w:rsidR="00667ABC">
        <w:rPr>
          <w:rStyle w:val="normaltextrun"/>
          <w:rFonts w:ascii="Arial" w:hAnsi="Arial" w:cs="Arial"/>
          <w:color w:val="000000"/>
          <w:bdr w:val="none" w:sz="0" w:space="0" w:color="auto" w:frame="1"/>
        </w:rPr>
        <w:t>Mechelen</w:t>
      </w:r>
      <w:proofErr w:type="spellEnd"/>
      <w:r w:rsidR="00667ABC">
        <w:rPr>
          <w:rStyle w:val="normaltextrun"/>
          <w:rFonts w:ascii="Arial" w:hAnsi="Arial" w:cs="Arial"/>
          <w:color w:val="000000"/>
          <w:bdr w:val="none" w:sz="0" w:space="0" w:color="auto" w:frame="1"/>
        </w:rPr>
        <w:t xml:space="preserve"> four-step ‘sequence of prevention’ which was later expanded by Finch</w:t>
      </w:r>
      <w:r w:rsidR="001025BD">
        <w:rPr>
          <w:rStyle w:val="normaltextrun"/>
          <w:rFonts w:ascii="Arial" w:hAnsi="Arial" w:cs="Arial"/>
          <w:color w:val="000000"/>
          <w:bdr w:val="none" w:sz="0" w:space="0" w:color="auto" w:frame="1"/>
          <w:vertAlign w:val="superscript"/>
        </w:rPr>
        <w:t>3</w:t>
      </w:r>
      <w:r w:rsidR="00667ABC">
        <w:rPr>
          <w:rStyle w:val="normaltextrun"/>
          <w:rFonts w:ascii="Arial" w:hAnsi="Arial" w:cs="Arial"/>
          <w:color w:val="000000"/>
          <w:bdr w:val="none" w:sz="0" w:space="0" w:color="auto" w:frame="1"/>
        </w:rPr>
        <w:t xml:space="preserve">. </w:t>
      </w:r>
      <w:r w:rsidR="001025BD">
        <w:rPr>
          <w:rStyle w:val="normaltextrun"/>
          <w:rFonts w:ascii="Arial" w:hAnsi="Arial" w:cs="Arial"/>
          <w:color w:val="000000"/>
          <w:bdr w:val="none" w:sz="0" w:space="0" w:color="auto" w:frame="1"/>
        </w:rPr>
        <w:t xml:space="preserve">The first step in the model is to describe the magnitude of the injury problem which is typically measured through epidemiological studies. The subsequent steps identify </w:t>
      </w:r>
      <w:r w:rsidR="009A15F4">
        <w:rPr>
          <w:rStyle w:val="normaltextrun"/>
          <w:rFonts w:ascii="Arial" w:hAnsi="Arial" w:cs="Arial"/>
          <w:color w:val="000000"/>
          <w:bdr w:val="none" w:sz="0" w:space="0" w:color="auto" w:frame="1"/>
        </w:rPr>
        <w:t>aetiology</w:t>
      </w:r>
      <w:r w:rsidR="001025BD">
        <w:rPr>
          <w:rStyle w:val="normaltextrun"/>
          <w:rFonts w:ascii="Arial" w:hAnsi="Arial" w:cs="Arial"/>
          <w:color w:val="000000"/>
          <w:bdr w:val="none" w:sz="0" w:space="0" w:color="auto" w:frame="1"/>
        </w:rPr>
        <w:t xml:space="preserve"> and </w:t>
      </w:r>
      <w:r w:rsidR="009A15F4">
        <w:rPr>
          <w:rStyle w:val="normaltextrun"/>
          <w:rFonts w:ascii="Arial" w:hAnsi="Arial" w:cs="Arial"/>
          <w:color w:val="000000"/>
          <w:bdr w:val="none" w:sz="0" w:space="0" w:color="auto" w:frame="1"/>
        </w:rPr>
        <w:t>mechanism</w:t>
      </w:r>
      <w:r w:rsidR="001025BD">
        <w:rPr>
          <w:rStyle w:val="normaltextrun"/>
          <w:rFonts w:ascii="Arial" w:hAnsi="Arial" w:cs="Arial"/>
          <w:color w:val="000000"/>
          <w:bdr w:val="none" w:sz="0" w:space="0" w:color="auto" w:frame="1"/>
        </w:rPr>
        <w:t xml:space="preserve"> fo</w:t>
      </w:r>
      <w:r w:rsidR="009A15F4">
        <w:rPr>
          <w:rStyle w:val="normaltextrun"/>
          <w:rFonts w:ascii="Arial" w:hAnsi="Arial" w:cs="Arial"/>
          <w:color w:val="000000"/>
          <w:bdr w:val="none" w:sz="0" w:space="0" w:color="auto" w:frame="1"/>
        </w:rPr>
        <w:t>r</w:t>
      </w:r>
      <w:r w:rsidR="001025BD">
        <w:rPr>
          <w:rStyle w:val="normaltextrun"/>
          <w:rFonts w:ascii="Arial" w:hAnsi="Arial" w:cs="Arial"/>
          <w:color w:val="000000"/>
          <w:bdr w:val="none" w:sz="0" w:space="0" w:color="auto" w:frame="1"/>
        </w:rPr>
        <w:t xml:space="preserve"> injury </w:t>
      </w:r>
      <w:r w:rsidR="009A15F4">
        <w:rPr>
          <w:rStyle w:val="normaltextrun"/>
          <w:rFonts w:ascii="Arial" w:hAnsi="Arial" w:cs="Arial"/>
          <w:color w:val="000000"/>
          <w:bdr w:val="none" w:sz="0" w:space="0" w:color="auto" w:frame="1"/>
        </w:rPr>
        <w:t>with</w:t>
      </w:r>
      <w:r w:rsidR="001025BD">
        <w:rPr>
          <w:rStyle w:val="normaltextrun"/>
          <w:rFonts w:ascii="Arial" w:hAnsi="Arial" w:cs="Arial"/>
          <w:color w:val="000000"/>
          <w:bdr w:val="none" w:sz="0" w:space="0" w:color="auto" w:frame="1"/>
        </w:rPr>
        <w:t xml:space="preserve"> the purpose of developin</w:t>
      </w:r>
      <w:r w:rsidR="009A15F4">
        <w:rPr>
          <w:rStyle w:val="normaltextrun"/>
          <w:rFonts w:ascii="Arial" w:hAnsi="Arial" w:cs="Arial"/>
          <w:color w:val="000000"/>
          <w:bdr w:val="none" w:sz="0" w:space="0" w:color="auto" w:frame="1"/>
        </w:rPr>
        <w:t>g suitable preventative measures. The measures are then implemented and assessed for efficacy within the implementation context before repeating stage one to determine effectiveness of the prevention measures</w:t>
      </w:r>
      <w:r w:rsidRPr="00B05BED">
        <w:rPr>
          <w:rFonts w:ascii="Arial" w:eastAsia="Calibri" w:hAnsi="Arial" w:cs="Arial"/>
        </w:rPr>
        <w:t xml:space="preserve"> </w:t>
      </w:r>
      <w:r w:rsidR="00534261">
        <w:rPr>
          <w:rFonts w:ascii="Arial" w:eastAsia="Calibri" w:hAnsi="Arial" w:cs="Arial"/>
        </w:rPr>
        <w:t>Within the UK Armed Forces a number of studies have focused on injury surveillance with</w:t>
      </w:r>
      <w:r w:rsidR="00757D00">
        <w:rPr>
          <w:rFonts w:ascii="Arial" w:eastAsia="Calibri" w:hAnsi="Arial" w:cs="Arial"/>
        </w:rPr>
        <w:t>in</w:t>
      </w:r>
      <w:r w:rsidR="00534261">
        <w:rPr>
          <w:rFonts w:ascii="Arial" w:eastAsia="Calibri" w:hAnsi="Arial" w:cs="Arial"/>
        </w:rPr>
        <w:t xml:space="preserve"> recruit training</w:t>
      </w:r>
      <w:r w:rsidR="001025BD">
        <w:rPr>
          <w:rFonts w:ascii="Arial" w:eastAsia="Calibri" w:hAnsi="Arial" w:cs="Arial"/>
          <w:vertAlign w:val="superscript"/>
        </w:rPr>
        <w:t>4</w:t>
      </w:r>
      <w:r w:rsidR="00534261">
        <w:rPr>
          <w:rFonts w:ascii="Arial" w:eastAsia="Calibri" w:hAnsi="Arial" w:cs="Arial"/>
          <w:vertAlign w:val="superscript"/>
        </w:rPr>
        <w:t xml:space="preserve"> </w:t>
      </w:r>
      <w:r w:rsidR="00534261">
        <w:rPr>
          <w:rFonts w:ascii="Arial" w:eastAsia="Calibri" w:hAnsi="Arial" w:cs="Arial"/>
        </w:rPr>
        <w:t xml:space="preserve">however at present </w:t>
      </w:r>
      <w:r w:rsidR="00757D00">
        <w:rPr>
          <w:rFonts w:ascii="Arial" w:eastAsia="Calibri" w:hAnsi="Arial" w:cs="Arial"/>
        </w:rPr>
        <w:t>t</w:t>
      </w:r>
      <w:r w:rsidR="00534261">
        <w:rPr>
          <w:rFonts w:ascii="Arial" w:eastAsia="Calibri" w:hAnsi="Arial" w:cs="Arial"/>
        </w:rPr>
        <w:t xml:space="preserve">here is </w:t>
      </w:r>
      <w:r w:rsidR="00667ABC">
        <w:rPr>
          <w:rFonts w:ascii="Arial" w:eastAsia="Calibri" w:hAnsi="Arial" w:cs="Arial"/>
        </w:rPr>
        <w:t>a</w:t>
      </w:r>
      <w:r w:rsidR="001025BD">
        <w:rPr>
          <w:rFonts w:ascii="Arial" w:eastAsia="Calibri" w:hAnsi="Arial" w:cs="Arial"/>
        </w:rPr>
        <w:t xml:space="preserve"> </w:t>
      </w:r>
      <w:r w:rsidR="00534261">
        <w:rPr>
          <w:rFonts w:ascii="Arial" w:eastAsia="Calibri" w:hAnsi="Arial" w:cs="Arial"/>
        </w:rPr>
        <w:t>dearth of data describing the scale of MSKI within trained personnel</w:t>
      </w:r>
      <w:r w:rsidR="001025BD">
        <w:rPr>
          <w:rFonts w:ascii="Arial" w:eastAsia="Calibri" w:hAnsi="Arial" w:cs="Arial"/>
          <w:vertAlign w:val="superscript"/>
        </w:rPr>
        <w:t>5</w:t>
      </w:r>
      <w:r w:rsidR="00534261">
        <w:rPr>
          <w:rFonts w:ascii="Arial" w:eastAsia="Calibri" w:hAnsi="Arial" w:cs="Arial"/>
        </w:rPr>
        <w:t>.</w:t>
      </w:r>
      <w:r w:rsidR="00667ABC">
        <w:rPr>
          <w:rFonts w:ascii="Arial" w:eastAsia="Calibri" w:hAnsi="Arial" w:cs="Arial"/>
        </w:rPr>
        <w:t xml:space="preserve"> </w:t>
      </w:r>
      <w:r w:rsidRPr="00B05BED">
        <w:rPr>
          <w:rFonts w:ascii="Arial" w:eastAsia="Calibri" w:hAnsi="Arial" w:cs="Arial"/>
        </w:rPr>
        <w:t>Thus, an understanding of MSKI epidemiology is critical</w:t>
      </w:r>
      <w:r w:rsidR="009A15F4">
        <w:rPr>
          <w:rFonts w:ascii="Arial" w:eastAsia="Calibri" w:hAnsi="Arial" w:cs="Arial"/>
        </w:rPr>
        <w:t xml:space="preserve"> as the first stage</w:t>
      </w:r>
      <w:r w:rsidRPr="00B05BED">
        <w:rPr>
          <w:rFonts w:ascii="Arial" w:eastAsia="Calibri" w:hAnsi="Arial" w:cs="Arial"/>
        </w:rPr>
        <w:t xml:space="preserve"> to ensure the development of appropriate mitigation strategies to reduce MSKI risk.</w:t>
      </w:r>
    </w:p>
    <w:bookmarkEnd w:id="0"/>
    <w:p w14:paraId="0B6B74B2" w14:textId="77777777" w:rsidR="00B05BED" w:rsidRPr="00B05BED" w:rsidRDefault="00B05BED" w:rsidP="00B05BED">
      <w:pPr>
        <w:spacing w:after="0" w:line="360" w:lineRule="auto"/>
        <w:rPr>
          <w:rFonts w:ascii="Arial" w:eastAsia="Calibri" w:hAnsi="Arial" w:cs="Arial"/>
        </w:rPr>
      </w:pPr>
    </w:p>
    <w:p w14:paraId="3468906E" w14:textId="57E90D49" w:rsidR="00B05BED" w:rsidRPr="00B05BED" w:rsidRDefault="00B05BED" w:rsidP="00B05BED">
      <w:pPr>
        <w:spacing w:after="0" w:line="360" w:lineRule="auto"/>
        <w:rPr>
          <w:rFonts w:ascii="Arial" w:eastAsia="Calibri" w:hAnsi="Arial" w:cs="Arial"/>
        </w:rPr>
        <w:sectPr w:rsidR="00B05BED" w:rsidRPr="00B05BED" w:rsidSect="00B556AB">
          <w:footerReference w:type="default" r:id="rId10"/>
          <w:pgSz w:w="11906" w:h="16838"/>
          <w:pgMar w:top="1134" w:right="1134" w:bottom="1134" w:left="1134" w:header="708" w:footer="708" w:gutter="0"/>
          <w:cols w:space="708"/>
          <w:docGrid w:linePitch="360"/>
        </w:sectPr>
      </w:pPr>
      <w:bookmarkStart w:id="1" w:name="_Hlk96161439"/>
      <w:r w:rsidRPr="00B05BED">
        <w:rPr>
          <w:rFonts w:ascii="Arial" w:eastAsia="Calibri" w:hAnsi="Arial" w:cs="Arial"/>
        </w:rPr>
        <w:t>Military Specialists are elite personnel who are trained to work across diverse operational environments where a high level of physical conditioning is a prerequisite for their role</w:t>
      </w:r>
      <w:bookmarkEnd w:id="1"/>
      <w:r w:rsidRPr="00B05BED">
        <w:rPr>
          <w:rFonts w:ascii="Arial" w:eastAsia="Calibri" w:hAnsi="Arial" w:cs="Arial"/>
        </w:rPr>
        <w:t xml:space="preserve">. Anecdotally it is recognised that this specific UK </w:t>
      </w:r>
      <w:r w:rsidRPr="00B05BED">
        <w:rPr>
          <w:rFonts w:ascii="Arial" w:eastAsia="Calibri" w:hAnsi="Arial" w:cs="Arial"/>
          <w:color w:val="000000"/>
        </w:rPr>
        <w:t xml:space="preserve">military population </w:t>
      </w:r>
      <w:r w:rsidRPr="00B05BED">
        <w:rPr>
          <w:rFonts w:ascii="Arial" w:eastAsia="Calibri" w:hAnsi="Arial" w:cs="Arial"/>
        </w:rPr>
        <w:t>are at risk of developing MSKI due to the physical demands and training associated with the role. However, there are presently no</w:t>
      </w:r>
      <w:r w:rsidR="00297CEE">
        <w:rPr>
          <w:rFonts w:ascii="Arial" w:eastAsia="Calibri" w:hAnsi="Arial" w:cs="Arial"/>
        </w:rPr>
        <w:t xml:space="preserve"> published</w:t>
      </w:r>
      <w:r w:rsidRPr="00B05BED">
        <w:rPr>
          <w:rFonts w:ascii="Arial" w:eastAsia="Calibri" w:hAnsi="Arial" w:cs="Arial"/>
        </w:rPr>
        <w:t xml:space="preserve"> injury epidemiology data</w:t>
      </w:r>
      <w:r w:rsidR="0020703A">
        <w:rPr>
          <w:rFonts w:ascii="Arial" w:eastAsia="Calibri" w:hAnsi="Arial" w:cs="Arial"/>
        </w:rPr>
        <w:t xml:space="preserve"> in this UK military population</w:t>
      </w:r>
      <w:r w:rsidRPr="00B05BED">
        <w:rPr>
          <w:rFonts w:ascii="Arial" w:eastAsia="Calibri" w:hAnsi="Arial" w:cs="Arial"/>
        </w:rPr>
        <w:t xml:space="preserve"> to support this view. A recent systematic review on global military populations who undertake similar roles identified that between 20% and 50% of qualified personnel sustained at least one injury within a 12-month period</w:t>
      </w:r>
      <w:r w:rsidRPr="00B05BED">
        <w:rPr>
          <w:rFonts w:ascii="Arial" w:eastAsia="Calibri" w:hAnsi="Arial" w:cs="Arial"/>
          <w:vertAlign w:val="superscript"/>
        </w:rPr>
        <w:t>6</w:t>
      </w:r>
      <w:r w:rsidRPr="00B05BED">
        <w:rPr>
          <w:rFonts w:ascii="Arial" w:eastAsia="Calibri" w:hAnsi="Arial" w:cs="Arial"/>
        </w:rPr>
        <w:t>. Due to the paucity of literature on this</w:t>
      </w:r>
      <w:r w:rsidR="0020703A">
        <w:rPr>
          <w:rFonts w:ascii="Arial" w:eastAsia="Calibri" w:hAnsi="Arial" w:cs="Arial"/>
        </w:rPr>
        <w:t xml:space="preserve"> UK</w:t>
      </w:r>
      <w:r w:rsidRPr="00B05BED">
        <w:rPr>
          <w:rFonts w:ascii="Arial" w:eastAsia="Calibri" w:hAnsi="Arial" w:cs="Arial"/>
        </w:rPr>
        <w:t xml:space="preserve"> military population, there is a need to understand the injury profile to provide an evidence base for the development of mitigation strategies. The purpose of this descriptive epidemiological study was to describe the incidence and nature of reported MSKI sustained by </w:t>
      </w:r>
      <w:r w:rsidRPr="00B05BED">
        <w:rPr>
          <w:rFonts w:ascii="Arial" w:eastAsia="Calibri" w:hAnsi="Arial" w:cs="Arial"/>
          <w:color w:val="000000"/>
        </w:rPr>
        <w:t>personnel</w:t>
      </w:r>
      <w:r w:rsidRPr="00B05BED">
        <w:rPr>
          <w:rFonts w:ascii="Arial" w:eastAsia="Calibri" w:hAnsi="Arial" w:cs="Arial"/>
          <w:color w:val="FF0000"/>
        </w:rPr>
        <w:t xml:space="preserve"> </w:t>
      </w:r>
      <w:r w:rsidRPr="00B05BED">
        <w:rPr>
          <w:rFonts w:ascii="Arial" w:eastAsia="Calibri" w:hAnsi="Arial" w:cs="Arial"/>
        </w:rPr>
        <w:t xml:space="preserve">over a two-year period. </w:t>
      </w:r>
    </w:p>
    <w:p w14:paraId="2A79958B" w14:textId="77777777" w:rsidR="00B05BED" w:rsidRPr="00B05BED" w:rsidRDefault="00B05BED" w:rsidP="00B05BED">
      <w:pPr>
        <w:spacing w:after="0" w:line="360" w:lineRule="auto"/>
        <w:rPr>
          <w:rFonts w:ascii="Arial" w:eastAsia="Calibri" w:hAnsi="Arial" w:cs="Arial"/>
          <w:b/>
        </w:rPr>
      </w:pPr>
      <w:r w:rsidRPr="00B05BED">
        <w:rPr>
          <w:rFonts w:ascii="Arial" w:eastAsia="Calibri" w:hAnsi="Arial" w:cs="Arial"/>
          <w:b/>
        </w:rPr>
        <w:lastRenderedPageBreak/>
        <w:t>METHODS</w:t>
      </w:r>
    </w:p>
    <w:p w14:paraId="156AB736" w14:textId="77777777" w:rsidR="00B05BED" w:rsidRPr="00B05BED" w:rsidRDefault="00B05BED" w:rsidP="00B05BED">
      <w:pPr>
        <w:spacing w:after="0" w:line="360" w:lineRule="auto"/>
        <w:rPr>
          <w:rFonts w:ascii="Arial" w:eastAsia="Calibri" w:hAnsi="Arial" w:cs="Arial"/>
          <w:b/>
        </w:rPr>
      </w:pPr>
    </w:p>
    <w:p w14:paraId="3A03518F" w14:textId="77777777" w:rsidR="00B05BED" w:rsidRPr="00B05BED" w:rsidRDefault="00B05BED" w:rsidP="00B05BED">
      <w:pPr>
        <w:spacing w:after="0" w:line="360" w:lineRule="auto"/>
        <w:rPr>
          <w:rFonts w:ascii="Arial" w:eastAsia="Calibri" w:hAnsi="Arial" w:cs="Arial"/>
          <w:b/>
        </w:rPr>
      </w:pPr>
      <w:r w:rsidRPr="00B05BED">
        <w:rPr>
          <w:rFonts w:ascii="Arial" w:eastAsia="Calibri" w:hAnsi="Arial" w:cs="Arial"/>
          <w:b/>
        </w:rPr>
        <w:t>Study Design</w:t>
      </w:r>
    </w:p>
    <w:p w14:paraId="2C5CA49B" w14:textId="77777777" w:rsidR="00B05BED" w:rsidRPr="00B05BED" w:rsidRDefault="00B05BED" w:rsidP="00B05BED">
      <w:pPr>
        <w:spacing w:after="0" w:line="360" w:lineRule="auto"/>
        <w:rPr>
          <w:rFonts w:ascii="Arial" w:eastAsia="Calibri" w:hAnsi="Arial" w:cs="Arial"/>
          <w:b/>
        </w:rPr>
      </w:pPr>
    </w:p>
    <w:p w14:paraId="792396FC" w14:textId="5CE05886" w:rsidR="00B05BED" w:rsidRPr="00B05BED" w:rsidRDefault="00B05BED" w:rsidP="00B05BED">
      <w:pPr>
        <w:spacing w:after="0" w:line="360" w:lineRule="auto"/>
        <w:rPr>
          <w:rFonts w:ascii="Arial" w:eastAsia="Calibri" w:hAnsi="Arial" w:cs="Arial"/>
        </w:rPr>
      </w:pPr>
      <w:r w:rsidRPr="00B05BED">
        <w:rPr>
          <w:rFonts w:ascii="Arial" w:eastAsia="Calibri" w:hAnsi="Arial" w:cs="Arial"/>
        </w:rPr>
        <w:t xml:space="preserve">A two-year retrospective review of reported MSKI was undertaken on all new </w:t>
      </w:r>
      <w:r w:rsidR="00C94A1D">
        <w:rPr>
          <w:rFonts w:ascii="Arial" w:eastAsia="Calibri" w:hAnsi="Arial" w:cs="Arial"/>
        </w:rPr>
        <w:t>Military Specialists</w:t>
      </w:r>
      <w:r w:rsidRPr="00B05BED">
        <w:rPr>
          <w:rFonts w:ascii="Arial" w:eastAsia="Calibri" w:hAnsi="Arial" w:cs="Arial"/>
        </w:rPr>
        <w:t xml:space="preserve"> who attended a Primary Care Rehabilitation Facility (PCRF) at a Military Unit between 01 January 2018 to 31 December 2019. Information was extracted from patient medical records held on the Defence Medical Information Capability Programme (DMICP) and a new patient injury database held by the PCRF. Permission for the review was granted by the Medical Officer of the Unit in accordance with Caldicott guidelines, permission to access DMICP was granted by the Practice Manager, as the Medical Centre Caldicott lead. </w:t>
      </w:r>
    </w:p>
    <w:p w14:paraId="65644917" w14:textId="77777777" w:rsidR="00B05BED" w:rsidRPr="00B05BED" w:rsidRDefault="00B05BED" w:rsidP="00B05BED">
      <w:pPr>
        <w:spacing w:after="0" w:line="360" w:lineRule="auto"/>
        <w:rPr>
          <w:rFonts w:ascii="Arial" w:eastAsia="Calibri" w:hAnsi="Arial" w:cs="Arial"/>
        </w:rPr>
      </w:pPr>
    </w:p>
    <w:p w14:paraId="5354E7D2" w14:textId="77777777" w:rsidR="00B05BED" w:rsidRPr="00B05BED" w:rsidRDefault="00B05BED" w:rsidP="00B05BED">
      <w:pPr>
        <w:spacing w:after="0" w:line="360" w:lineRule="auto"/>
        <w:rPr>
          <w:rFonts w:ascii="Arial" w:eastAsia="Calibri" w:hAnsi="Arial" w:cs="Arial"/>
          <w:b/>
        </w:rPr>
      </w:pPr>
      <w:r w:rsidRPr="00B05BED">
        <w:rPr>
          <w:rFonts w:ascii="Arial" w:eastAsia="Calibri" w:hAnsi="Arial" w:cs="Arial"/>
          <w:b/>
        </w:rPr>
        <w:t>Injury Definitions</w:t>
      </w:r>
    </w:p>
    <w:p w14:paraId="7B4E55C7" w14:textId="77777777" w:rsidR="00B05BED" w:rsidRPr="00B05BED" w:rsidRDefault="00B05BED" w:rsidP="00B05BED">
      <w:pPr>
        <w:spacing w:after="0" w:line="360" w:lineRule="auto"/>
        <w:rPr>
          <w:rFonts w:ascii="Arial" w:eastAsia="Calibri" w:hAnsi="Arial" w:cs="Arial"/>
          <w:b/>
        </w:rPr>
      </w:pPr>
    </w:p>
    <w:p w14:paraId="073DA21E" w14:textId="3A66AC35" w:rsidR="00B05BED" w:rsidRPr="00B05BED" w:rsidRDefault="00B05BED" w:rsidP="00B05BED">
      <w:pPr>
        <w:spacing w:after="0" w:line="360" w:lineRule="auto"/>
        <w:rPr>
          <w:rFonts w:ascii="Arial" w:eastAsia="Calibri" w:hAnsi="Arial" w:cs="Arial"/>
        </w:rPr>
      </w:pPr>
      <w:r w:rsidRPr="00B05BED">
        <w:rPr>
          <w:rFonts w:ascii="Arial" w:eastAsia="Calibri" w:hAnsi="Arial" w:cs="Arial"/>
        </w:rPr>
        <w:t>At the time of reporting there was no consensus statement in the Defence Medical Services for injury definitions in epidemiology studies. For the purpose of this study, injury definitions have been adapted from elite sport consensus statements</w:t>
      </w:r>
      <w:r w:rsidRPr="00B05BED">
        <w:rPr>
          <w:rFonts w:ascii="Arial" w:eastAsia="Calibri" w:hAnsi="Arial" w:cs="Arial"/>
          <w:vertAlign w:val="superscript"/>
        </w:rPr>
        <w:t>7-</w:t>
      </w:r>
      <w:r w:rsidR="00B4796A">
        <w:rPr>
          <w:rFonts w:ascii="Arial" w:eastAsia="Calibri" w:hAnsi="Arial" w:cs="Arial"/>
          <w:vertAlign w:val="superscript"/>
        </w:rPr>
        <w:t>9</w:t>
      </w:r>
      <w:r w:rsidRPr="00B05BED">
        <w:rPr>
          <w:rFonts w:ascii="Arial" w:eastAsia="Calibri" w:hAnsi="Arial" w:cs="Arial"/>
        </w:rPr>
        <w:t xml:space="preserve"> and informed by subject matter expert guidance. The following information was extracted from new patient medical records and the injury database for use in the study.</w:t>
      </w:r>
    </w:p>
    <w:p w14:paraId="6280FEE3" w14:textId="77777777" w:rsidR="00B05BED" w:rsidRPr="00B05BED" w:rsidRDefault="00B05BED" w:rsidP="00B05BED">
      <w:pPr>
        <w:spacing w:after="0" w:line="360" w:lineRule="auto"/>
        <w:rPr>
          <w:rFonts w:ascii="Arial" w:eastAsia="Calibri" w:hAnsi="Arial" w:cs="Arial"/>
        </w:rPr>
      </w:pPr>
    </w:p>
    <w:p w14:paraId="09BF27D4" w14:textId="77777777" w:rsidR="00B05BED" w:rsidRPr="00B05BED" w:rsidRDefault="00B05BED" w:rsidP="00B05BED">
      <w:pPr>
        <w:numPr>
          <w:ilvl w:val="0"/>
          <w:numId w:val="1"/>
        </w:numPr>
        <w:spacing w:after="240" w:line="360" w:lineRule="auto"/>
        <w:ind w:left="1418" w:hanging="709"/>
        <w:rPr>
          <w:rFonts w:ascii="Arial" w:eastAsia="Calibri" w:hAnsi="Arial" w:cs="Arial"/>
        </w:rPr>
      </w:pPr>
      <w:r w:rsidRPr="00B05BED">
        <w:rPr>
          <w:rFonts w:ascii="Arial" w:eastAsia="Calibri" w:hAnsi="Arial" w:cs="Arial"/>
          <w:i/>
        </w:rPr>
        <w:t>Nature of Injury</w:t>
      </w:r>
      <w:r w:rsidRPr="00B05BED">
        <w:rPr>
          <w:rFonts w:ascii="Arial" w:eastAsia="Calibri" w:hAnsi="Arial" w:cs="Arial"/>
        </w:rPr>
        <w:t>.  Identified as either a new injury (patient had not experienced nor reported pathology at the specific injury site), or a recurring injury (patient had experienced previous or ongoing pathology at the injury site).</w:t>
      </w:r>
    </w:p>
    <w:p w14:paraId="0567AFEF" w14:textId="77777777" w:rsidR="00B05BED" w:rsidRPr="00B05BED" w:rsidRDefault="00B05BED" w:rsidP="00B05BED">
      <w:pPr>
        <w:numPr>
          <w:ilvl w:val="0"/>
          <w:numId w:val="1"/>
        </w:numPr>
        <w:spacing w:after="240" w:line="360" w:lineRule="auto"/>
        <w:ind w:left="1418" w:hanging="709"/>
        <w:rPr>
          <w:rFonts w:ascii="Arial" w:eastAsia="Calibri" w:hAnsi="Arial" w:cs="Arial"/>
        </w:rPr>
      </w:pPr>
      <w:r w:rsidRPr="00B05BED">
        <w:rPr>
          <w:rFonts w:ascii="Arial" w:eastAsia="Calibri" w:hAnsi="Arial" w:cs="Arial"/>
          <w:i/>
        </w:rPr>
        <w:t>Onset of Injury</w:t>
      </w:r>
      <w:r w:rsidRPr="00B05BED">
        <w:rPr>
          <w:rFonts w:ascii="Arial" w:eastAsia="Calibri" w:hAnsi="Arial" w:cs="Arial"/>
        </w:rPr>
        <w:t>.  Identified as sudden (specific or known cause of injury) or gradual (non-specific or unknown cause of injury that had developed over time) onset.</w:t>
      </w:r>
    </w:p>
    <w:p w14:paraId="75D514F9" w14:textId="77777777" w:rsidR="00B05BED" w:rsidRPr="00B05BED" w:rsidRDefault="00B05BED" w:rsidP="00B05BED">
      <w:pPr>
        <w:numPr>
          <w:ilvl w:val="0"/>
          <w:numId w:val="1"/>
        </w:numPr>
        <w:spacing w:after="240" w:line="360" w:lineRule="auto"/>
        <w:ind w:left="1418" w:hanging="709"/>
        <w:rPr>
          <w:rFonts w:ascii="Arial" w:eastAsia="Calibri" w:hAnsi="Arial" w:cs="Arial"/>
        </w:rPr>
      </w:pPr>
      <w:r w:rsidRPr="00B05BED">
        <w:rPr>
          <w:rFonts w:ascii="Arial" w:eastAsia="Calibri" w:hAnsi="Arial" w:cs="Arial"/>
          <w:i/>
        </w:rPr>
        <w:t>Reporting Time of injury</w:t>
      </w:r>
      <w:r w:rsidRPr="00B05BED">
        <w:rPr>
          <w:rFonts w:ascii="Arial" w:eastAsia="Calibri" w:hAnsi="Arial" w:cs="Arial"/>
        </w:rPr>
        <w:t>.  Reporting time of injury was identified as the time from onset of injury until attendance at the PCRF appointment.</w:t>
      </w:r>
    </w:p>
    <w:p w14:paraId="0A929AA8" w14:textId="77777777" w:rsidR="00B05BED" w:rsidRPr="00B05BED" w:rsidRDefault="00B05BED" w:rsidP="00B05BED">
      <w:pPr>
        <w:numPr>
          <w:ilvl w:val="0"/>
          <w:numId w:val="1"/>
        </w:numPr>
        <w:spacing w:after="240" w:line="360" w:lineRule="auto"/>
        <w:ind w:left="1418" w:hanging="709"/>
        <w:rPr>
          <w:rFonts w:ascii="Arial" w:eastAsia="Calibri" w:hAnsi="Arial" w:cs="Arial"/>
        </w:rPr>
      </w:pPr>
      <w:r w:rsidRPr="00B05BED">
        <w:rPr>
          <w:rFonts w:ascii="Arial" w:eastAsia="Calibri" w:hAnsi="Arial" w:cs="Arial"/>
          <w:i/>
        </w:rPr>
        <w:t>Primary Cause of Injury</w:t>
      </w:r>
      <w:r w:rsidRPr="00B05BED">
        <w:rPr>
          <w:rFonts w:ascii="Arial" w:eastAsia="Calibri" w:hAnsi="Arial" w:cs="Arial"/>
        </w:rPr>
        <w:t>.  The principal cause of injury was categorised according to the following activities:</w:t>
      </w:r>
    </w:p>
    <w:p w14:paraId="3543DECC" w14:textId="77777777" w:rsidR="00B05BED" w:rsidRPr="00B05BED" w:rsidRDefault="00B05BED" w:rsidP="00B05BED">
      <w:pPr>
        <w:numPr>
          <w:ilvl w:val="0"/>
          <w:numId w:val="2"/>
        </w:numPr>
        <w:spacing w:after="240" w:line="360" w:lineRule="auto"/>
        <w:ind w:left="2127" w:hanging="426"/>
        <w:rPr>
          <w:rFonts w:ascii="Arial" w:eastAsia="Calibri" w:hAnsi="Arial" w:cs="Arial"/>
        </w:rPr>
      </w:pPr>
      <w:r w:rsidRPr="00B05BED">
        <w:rPr>
          <w:rFonts w:ascii="Arial" w:eastAsia="Calibri" w:hAnsi="Arial" w:cs="Arial"/>
        </w:rPr>
        <w:t xml:space="preserve">Military Training. </w:t>
      </w:r>
    </w:p>
    <w:p w14:paraId="07C701B1" w14:textId="77777777" w:rsidR="00B05BED" w:rsidRPr="00B05BED" w:rsidRDefault="00B05BED" w:rsidP="00B05BED">
      <w:pPr>
        <w:numPr>
          <w:ilvl w:val="0"/>
          <w:numId w:val="2"/>
        </w:numPr>
        <w:spacing w:after="240" w:line="360" w:lineRule="auto"/>
        <w:ind w:left="2127" w:hanging="426"/>
        <w:rPr>
          <w:rFonts w:ascii="Arial" w:eastAsia="Calibri" w:hAnsi="Arial" w:cs="Arial"/>
        </w:rPr>
      </w:pPr>
      <w:r w:rsidRPr="00B05BED">
        <w:rPr>
          <w:rFonts w:ascii="Arial" w:eastAsia="Calibri" w:hAnsi="Arial" w:cs="Arial"/>
        </w:rPr>
        <w:t xml:space="preserve">Personal Training. </w:t>
      </w:r>
    </w:p>
    <w:p w14:paraId="7898A503" w14:textId="77777777" w:rsidR="00B05BED" w:rsidRPr="00B05BED" w:rsidRDefault="00B05BED" w:rsidP="00B05BED">
      <w:pPr>
        <w:numPr>
          <w:ilvl w:val="0"/>
          <w:numId w:val="2"/>
        </w:numPr>
        <w:spacing w:after="240" w:line="360" w:lineRule="auto"/>
        <w:ind w:left="2127" w:hanging="426"/>
        <w:rPr>
          <w:rFonts w:ascii="Arial" w:eastAsia="Calibri" w:hAnsi="Arial" w:cs="Arial"/>
        </w:rPr>
      </w:pPr>
      <w:r w:rsidRPr="00B05BED">
        <w:rPr>
          <w:rFonts w:ascii="Arial" w:eastAsia="Calibri" w:hAnsi="Arial" w:cs="Arial"/>
        </w:rPr>
        <w:t xml:space="preserve">Sport. </w:t>
      </w:r>
    </w:p>
    <w:p w14:paraId="12FF4965" w14:textId="77777777" w:rsidR="00B05BED" w:rsidRPr="00B05BED" w:rsidRDefault="00B05BED" w:rsidP="00B05BED">
      <w:pPr>
        <w:numPr>
          <w:ilvl w:val="0"/>
          <w:numId w:val="2"/>
        </w:numPr>
        <w:spacing w:after="240" w:line="360" w:lineRule="auto"/>
        <w:ind w:left="2127" w:hanging="426"/>
        <w:rPr>
          <w:rFonts w:ascii="Arial" w:eastAsia="Calibri" w:hAnsi="Arial" w:cs="Arial"/>
        </w:rPr>
      </w:pPr>
      <w:r w:rsidRPr="00B05BED">
        <w:rPr>
          <w:rFonts w:ascii="Arial" w:eastAsia="Calibri" w:hAnsi="Arial" w:cs="Arial"/>
        </w:rPr>
        <w:t>Other (all activities that could not be classified into the previous categories)</w:t>
      </w:r>
    </w:p>
    <w:p w14:paraId="66AF7158" w14:textId="77777777" w:rsidR="00B05BED" w:rsidRPr="00B05BED" w:rsidRDefault="00B05BED" w:rsidP="00B05BED">
      <w:pPr>
        <w:numPr>
          <w:ilvl w:val="0"/>
          <w:numId w:val="1"/>
        </w:numPr>
        <w:spacing w:after="240" w:line="360" w:lineRule="auto"/>
        <w:ind w:left="1418" w:hanging="709"/>
        <w:rPr>
          <w:rFonts w:ascii="Arial" w:eastAsia="Calibri" w:hAnsi="Arial" w:cs="Arial"/>
        </w:rPr>
      </w:pPr>
      <w:r w:rsidRPr="00B05BED">
        <w:rPr>
          <w:rFonts w:ascii="Arial" w:eastAsia="Calibri" w:hAnsi="Arial" w:cs="Arial"/>
          <w:i/>
        </w:rPr>
        <w:lastRenderedPageBreak/>
        <w:t>Secondary Cause of Injury</w:t>
      </w:r>
      <w:r w:rsidRPr="00B05BED">
        <w:rPr>
          <w:rFonts w:ascii="Arial" w:eastAsia="Calibri" w:hAnsi="Arial" w:cs="Arial"/>
        </w:rPr>
        <w:t>.  The secondary cause of injury was identified as individual tasks that had previously been identified as general causes of injury within military populations.</w:t>
      </w:r>
    </w:p>
    <w:p w14:paraId="739C2C02" w14:textId="77777777" w:rsidR="00B05BED" w:rsidRPr="00B05BED" w:rsidRDefault="00B05BED" w:rsidP="00B05BED">
      <w:pPr>
        <w:numPr>
          <w:ilvl w:val="0"/>
          <w:numId w:val="1"/>
        </w:numPr>
        <w:spacing w:after="240" w:line="360" w:lineRule="auto"/>
        <w:ind w:left="1418" w:hanging="709"/>
        <w:rPr>
          <w:rFonts w:ascii="Arial" w:eastAsia="Calibri" w:hAnsi="Arial" w:cs="Arial"/>
        </w:rPr>
      </w:pPr>
      <w:r w:rsidRPr="00B05BED">
        <w:rPr>
          <w:rFonts w:ascii="Arial" w:eastAsia="Calibri" w:hAnsi="Arial" w:cs="Arial"/>
          <w:i/>
        </w:rPr>
        <w:t>Anatomic Location of Injury</w:t>
      </w:r>
      <w:r w:rsidRPr="00B05BED">
        <w:rPr>
          <w:rFonts w:ascii="Arial" w:eastAsia="Calibri" w:hAnsi="Arial" w:cs="Arial"/>
        </w:rPr>
        <w:t>.  The primary location of injury describes a broad anatomical region and was identified according to the following categories:</w:t>
      </w:r>
    </w:p>
    <w:p w14:paraId="49515046" w14:textId="77777777" w:rsidR="00B05BED" w:rsidRPr="00B05BED" w:rsidRDefault="00B05BED" w:rsidP="00B05BED">
      <w:pPr>
        <w:numPr>
          <w:ilvl w:val="0"/>
          <w:numId w:val="3"/>
        </w:numPr>
        <w:spacing w:after="240" w:line="360" w:lineRule="auto"/>
        <w:ind w:left="2127" w:hanging="426"/>
        <w:rPr>
          <w:rFonts w:ascii="Arial" w:eastAsia="Calibri" w:hAnsi="Arial" w:cs="Arial"/>
        </w:rPr>
      </w:pPr>
      <w:r w:rsidRPr="00B05BED">
        <w:rPr>
          <w:rFonts w:ascii="Arial" w:eastAsia="Calibri" w:hAnsi="Arial" w:cs="Arial"/>
        </w:rPr>
        <w:t>Upper Extremity.</w:t>
      </w:r>
    </w:p>
    <w:p w14:paraId="4F815788" w14:textId="77777777" w:rsidR="00B05BED" w:rsidRPr="00B05BED" w:rsidRDefault="00B05BED" w:rsidP="00B05BED">
      <w:pPr>
        <w:numPr>
          <w:ilvl w:val="0"/>
          <w:numId w:val="3"/>
        </w:numPr>
        <w:spacing w:after="240" w:line="360" w:lineRule="auto"/>
        <w:ind w:left="2127" w:hanging="426"/>
        <w:rPr>
          <w:rFonts w:ascii="Arial" w:eastAsia="Calibri" w:hAnsi="Arial" w:cs="Arial"/>
        </w:rPr>
      </w:pPr>
      <w:r w:rsidRPr="00B05BED">
        <w:rPr>
          <w:rFonts w:ascii="Arial" w:eastAsia="Calibri" w:hAnsi="Arial" w:cs="Arial"/>
        </w:rPr>
        <w:t>Lower Extremity.</w:t>
      </w:r>
    </w:p>
    <w:p w14:paraId="3007EEE6" w14:textId="77777777" w:rsidR="00B05BED" w:rsidRPr="00B05BED" w:rsidRDefault="00B05BED" w:rsidP="00B05BED">
      <w:pPr>
        <w:numPr>
          <w:ilvl w:val="0"/>
          <w:numId w:val="3"/>
        </w:numPr>
        <w:spacing w:after="240" w:line="360" w:lineRule="auto"/>
        <w:ind w:left="2127" w:hanging="426"/>
        <w:rPr>
          <w:rFonts w:ascii="Arial" w:eastAsia="Calibri" w:hAnsi="Arial" w:cs="Arial"/>
        </w:rPr>
      </w:pPr>
      <w:r w:rsidRPr="00B05BED">
        <w:rPr>
          <w:rFonts w:ascii="Arial" w:eastAsia="Calibri" w:hAnsi="Arial" w:cs="Arial"/>
        </w:rPr>
        <w:t>Trunk.</w:t>
      </w:r>
    </w:p>
    <w:p w14:paraId="3B64B603" w14:textId="77777777" w:rsidR="00B05BED" w:rsidRPr="00B05BED" w:rsidRDefault="00B05BED" w:rsidP="00B05BED">
      <w:pPr>
        <w:numPr>
          <w:ilvl w:val="0"/>
          <w:numId w:val="1"/>
        </w:numPr>
        <w:spacing w:after="240" w:line="360" w:lineRule="auto"/>
        <w:ind w:left="1418" w:hanging="709"/>
        <w:rPr>
          <w:rFonts w:ascii="Arial" w:eastAsia="Calibri" w:hAnsi="Arial" w:cs="Arial"/>
        </w:rPr>
      </w:pPr>
      <w:r w:rsidRPr="00B05BED">
        <w:rPr>
          <w:rFonts w:ascii="Arial" w:eastAsia="Calibri" w:hAnsi="Arial" w:cs="Arial"/>
          <w:i/>
        </w:rPr>
        <w:t>Sub-Anatomic Location of Injury</w:t>
      </w:r>
      <w:r w:rsidRPr="00B05BED">
        <w:rPr>
          <w:rFonts w:ascii="Arial" w:eastAsia="Calibri" w:hAnsi="Arial" w:cs="Arial"/>
        </w:rPr>
        <w:t xml:space="preserve">.  Primary locations of injuries were further classified into specific anatomical areas as outlined below: </w:t>
      </w:r>
    </w:p>
    <w:p w14:paraId="21A75D5E" w14:textId="77777777" w:rsidR="00B05BED" w:rsidRPr="00B05BED" w:rsidRDefault="00B05BED" w:rsidP="00B05BED">
      <w:pPr>
        <w:numPr>
          <w:ilvl w:val="1"/>
          <w:numId w:val="1"/>
        </w:numPr>
        <w:spacing w:after="0" w:line="360" w:lineRule="auto"/>
        <w:ind w:hanging="459"/>
        <w:rPr>
          <w:rFonts w:ascii="Arial" w:eastAsia="Calibri" w:hAnsi="Arial" w:cs="Arial"/>
        </w:rPr>
      </w:pPr>
      <w:r w:rsidRPr="00B05BED">
        <w:rPr>
          <w:rFonts w:ascii="Arial" w:eastAsia="Calibri" w:hAnsi="Arial" w:cs="Arial"/>
        </w:rPr>
        <w:t>Upper Extremity: Shoulder, upper arm, elbow, wrist and hand.</w:t>
      </w:r>
    </w:p>
    <w:p w14:paraId="2CB5B58B" w14:textId="77777777" w:rsidR="00B05BED" w:rsidRPr="00B05BED" w:rsidRDefault="00B05BED" w:rsidP="00B05BED">
      <w:pPr>
        <w:spacing w:after="0" w:line="360" w:lineRule="auto"/>
        <w:ind w:left="2160" w:hanging="459"/>
        <w:rPr>
          <w:rFonts w:ascii="Arial" w:eastAsia="Calibri" w:hAnsi="Arial" w:cs="Arial"/>
        </w:rPr>
      </w:pPr>
    </w:p>
    <w:p w14:paraId="52025988" w14:textId="77777777" w:rsidR="00B05BED" w:rsidRPr="00B05BED" w:rsidRDefault="00B05BED" w:rsidP="00B05BED">
      <w:pPr>
        <w:numPr>
          <w:ilvl w:val="1"/>
          <w:numId w:val="1"/>
        </w:numPr>
        <w:spacing w:after="0" w:line="360" w:lineRule="auto"/>
        <w:ind w:hanging="459"/>
        <w:rPr>
          <w:rFonts w:ascii="Arial" w:eastAsia="Calibri" w:hAnsi="Arial" w:cs="Arial"/>
        </w:rPr>
      </w:pPr>
      <w:r w:rsidRPr="00B05BED">
        <w:rPr>
          <w:rFonts w:ascii="Arial" w:eastAsia="Calibri" w:hAnsi="Arial" w:cs="Arial"/>
        </w:rPr>
        <w:t>Trunk: Cervical, thoracic, lumbar, pelvis/SIJ, chest and abdominal.</w:t>
      </w:r>
    </w:p>
    <w:p w14:paraId="3F318D8C" w14:textId="77777777" w:rsidR="00B05BED" w:rsidRPr="00B05BED" w:rsidRDefault="00B05BED" w:rsidP="00B05BED">
      <w:pPr>
        <w:spacing w:after="0"/>
        <w:ind w:left="2160" w:hanging="459"/>
        <w:contextualSpacing/>
        <w:rPr>
          <w:rFonts w:ascii="Arial" w:eastAsia="Calibri" w:hAnsi="Arial" w:cs="Arial"/>
        </w:rPr>
      </w:pPr>
    </w:p>
    <w:p w14:paraId="6B101736" w14:textId="77777777" w:rsidR="00B05BED" w:rsidRPr="00B05BED" w:rsidRDefault="00B05BED" w:rsidP="00B05BED">
      <w:pPr>
        <w:numPr>
          <w:ilvl w:val="1"/>
          <w:numId w:val="1"/>
        </w:numPr>
        <w:spacing w:after="0" w:line="360" w:lineRule="auto"/>
        <w:ind w:hanging="459"/>
        <w:rPr>
          <w:rFonts w:ascii="Arial" w:eastAsia="Calibri" w:hAnsi="Arial" w:cs="Arial"/>
        </w:rPr>
      </w:pPr>
      <w:r w:rsidRPr="00B05BED">
        <w:rPr>
          <w:rFonts w:ascii="Arial" w:eastAsia="Calibri" w:hAnsi="Arial" w:cs="Arial"/>
        </w:rPr>
        <w:t>Lower Extremity: Hip, groin, quadriceps, hamstring, knee, tibia, calf, lower leg, ankle and foot.</w:t>
      </w:r>
    </w:p>
    <w:p w14:paraId="63576D46" w14:textId="77777777" w:rsidR="00B05BED" w:rsidRPr="00B05BED" w:rsidRDefault="00B05BED" w:rsidP="00B05BED">
      <w:pPr>
        <w:spacing w:after="0" w:line="360" w:lineRule="auto"/>
        <w:rPr>
          <w:rFonts w:ascii="Arial" w:eastAsia="Calibri" w:hAnsi="Arial" w:cs="Arial"/>
        </w:rPr>
      </w:pPr>
    </w:p>
    <w:p w14:paraId="2C07FD9C" w14:textId="77777777" w:rsidR="00B05BED" w:rsidRPr="00B05BED" w:rsidRDefault="00B05BED" w:rsidP="00B05BED">
      <w:pPr>
        <w:spacing w:after="0" w:line="360" w:lineRule="auto"/>
        <w:rPr>
          <w:rFonts w:ascii="Arial" w:eastAsia="Calibri" w:hAnsi="Arial" w:cs="Arial"/>
        </w:rPr>
      </w:pPr>
      <w:r w:rsidRPr="00B05BED">
        <w:rPr>
          <w:rFonts w:ascii="Arial" w:eastAsia="Calibri" w:hAnsi="Arial" w:cs="Arial"/>
        </w:rPr>
        <w:t xml:space="preserve">All data were coded into a password protected Microsoft Excel spreadsheet on a military secure computer. Access was restricted to the Primary Investigator. </w:t>
      </w:r>
    </w:p>
    <w:p w14:paraId="499901B8" w14:textId="77777777" w:rsidR="00B05BED" w:rsidRPr="00B05BED" w:rsidRDefault="00B05BED" w:rsidP="00B05BED">
      <w:pPr>
        <w:spacing w:after="0" w:line="360" w:lineRule="auto"/>
        <w:rPr>
          <w:rFonts w:ascii="Arial" w:eastAsia="Calibri" w:hAnsi="Arial" w:cs="Arial"/>
        </w:rPr>
      </w:pPr>
    </w:p>
    <w:p w14:paraId="0DE3C497" w14:textId="77777777" w:rsidR="00B05BED" w:rsidRPr="00B05BED" w:rsidRDefault="00B05BED" w:rsidP="00B05BED">
      <w:pPr>
        <w:spacing w:after="0" w:line="360" w:lineRule="auto"/>
        <w:rPr>
          <w:rFonts w:ascii="Arial" w:eastAsia="Calibri" w:hAnsi="Arial" w:cs="Arial"/>
          <w:b/>
        </w:rPr>
      </w:pPr>
      <w:r w:rsidRPr="00B05BED">
        <w:rPr>
          <w:rFonts w:ascii="Arial" w:eastAsia="Calibri" w:hAnsi="Arial" w:cs="Arial"/>
          <w:b/>
        </w:rPr>
        <w:t>Analysis</w:t>
      </w:r>
    </w:p>
    <w:p w14:paraId="75F9990A" w14:textId="77777777" w:rsidR="00B05BED" w:rsidRPr="00B05BED" w:rsidRDefault="00B05BED" w:rsidP="00B05BED">
      <w:pPr>
        <w:spacing w:after="0" w:line="360" w:lineRule="auto"/>
        <w:rPr>
          <w:rFonts w:ascii="Arial" w:eastAsia="Calibri" w:hAnsi="Arial" w:cs="Arial"/>
          <w:b/>
        </w:rPr>
      </w:pPr>
    </w:p>
    <w:p w14:paraId="0370F9B7" w14:textId="39EBC841" w:rsidR="00B05BED" w:rsidRPr="00B05BED" w:rsidRDefault="00B05BED" w:rsidP="00B05BED">
      <w:pPr>
        <w:spacing w:after="0" w:line="360" w:lineRule="auto"/>
        <w:rPr>
          <w:rFonts w:ascii="Arial" w:eastAsia="Calibri" w:hAnsi="Arial" w:cs="Arial"/>
        </w:rPr>
      </w:pPr>
      <w:r w:rsidRPr="00B05BED">
        <w:rPr>
          <w:rFonts w:ascii="Arial" w:eastAsia="Calibri" w:hAnsi="Arial" w:cs="Arial"/>
        </w:rPr>
        <w:t>Injuries were described using injury count and relative frequency (percentage). Time at risk for each personnel day was calculated as 365 days. Injury incidence and frequency were calculated using the standard equations detailed below:</w:t>
      </w:r>
      <w:r w:rsidRPr="00B05BED">
        <w:rPr>
          <w:rFonts w:ascii="Arial" w:eastAsia="Calibri" w:hAnsi="Arial" w:cs="Arial"/>
          <w:vertAlign w:val="superscript"/>
        </w:rPr>
        <w:t>1</w:t>
      </w:r>
      <w:r w:rsidR="00B4796A">
        <w:rPr>
          <w:rFonts w:ascii="Arial" w:eastAsia="Calibri" w:hAnsi="Arial" w:cs="Arial"/>
          <w:vertAlign w:val="superscript"/>
        </w:rPr>
        <w:t>0</w:t>
      </w:r>
      <w:r w:rsidRPr="00B05BED">
        <w:rPr>
          <w:rFonts w:ascii="Arial" w:eastAsia="Calibri" w:hAnsi="Arial" w:cs="Arial"/>
          <w:vertAlign w:val="superscript"/>
        </w:rPr>
        <w:t>,1</w:t>
      </w:r>
      <w:r w:rsidR="00B4796A">
        <w:rPr>
          <w:rFonts w:ascii="Arial" w:eastAsia="Calibri" w:hAnsi="Arial" w:cs="Arial"/>
          <w:vertAlign w:val="superscript"/>
        </w:rPr>
        <w:t>1</w:t>
      </w:r>
    </w:p>
    <w:p w14:paraId="2028964F" w14:textId="77777777" w:rsidR="00B05BED" w:rsidRPr="00B05BED" w:rsidRDefault="00B05BED" w:rsidP="00B05BED">
      <w:pPr>
        <w:spacing w:after="0" w:line="360" w:lineRule="auto"/>
        <w:rPr>
          <w:rFonts w:ascii="Arial" w:eastAsia="Calibri" w:hAnsi="Arial" w:cs="Arial"/>
        </w:rPr>
      </w:pPr>
    </w:p>
    <w:p w14:paraId="501B0A59" w14:textId="77777777" w:rsidR="00B05BED" w:rsidRPr="00B05BED" w:rsidRDefault="00B05BED" w:rsidP="00B05BED">
      <w:pPr>
        <w:spacing w:after="0" w:line="360" w:lineRule="auto"/>
        <w:jc w:val="center"/>
        <w:rPr>
          <w:rFonts w:ascii="Arial" w:eastAsia="Calibri" w:hAnsi="Arial" w:cs="Arial"/>
        </w:rPr>
      </w:pPr>
      <w:r w:rsidRPr="00B05BED">
        <w:rPr>
          <w:rFonts w:ascii="Arial" w:eastAsia="Calibri" w:hAnsi="Arial" w:cs="Arial"/>
        </w:rPr>
        <w:t>Injury incidence rate (per 100 person years) = (personnel with one or more injuries/total time at risk) x 100</w:t>
      </w:r>
    </w:p>
    <w:p w14:paraId="3868D445" w14:textId="77777777" w:rsidR="00B05BED" w:rsidRPr="00B05BED" w:rsidRDefault="00B05BED" w:rsidP="00B05BED">
      <w:pPr>
        <w:spacing w:after="0" w:line="360" w:lineRule="auto"/>
        <w:jc w:val="center"/>
        <w:rPr>
          <w:rFonts w:ascii="Arial" w:eastAsia="Calibri" w:hAnsi="Arial" w:cs="Arial"/>
        </w:rPr>
      </w:pPr>
    </w:p>
    <w:p w14:paraId="28A43009" w14:textId="77777777" w:rsidR="00B05BED" w:rsidRPr="00B05BED" w:rsidRDefault="00B05BED" w:rsidP="00B05BED">
      <w:pPr>
        <w:spacing w:after="0" w:line="360" w:lineRule="auto"/>
        <w:jc w:val="center"/>
        <w:rPr>
          <w:rFonts w:ascii="Arial" w:eastAsia="Calibri" w:hAnsi="Arial" w:cs="Arial"/>
        </w:rPr>
      </w:pPr>
      <w:r w:rsidRPr="00B05BED">
        <w:rPr>
          <w:rFonts w:ascii="Arial" w:eastAsia="Calibri" w:hAnsi="Arial" w:cs="Arial"/>
        </w:rPr>
        <w:t>Injury frequency rate (per 100 person years) = (new injuries/total time at risk) x 100</w:t>
      </w:r>
    </w:p>
    <w:p w14:paraId="3DD3A25C" w14:textId="77777777" w:rsidR="00B05BED" w:rsidRPr="00B05BED" w:rsidRDefault="00B05BED" w:rsidP="00B05BED">
      <w:pPr>
        <w:spacing w:after="0" w:line="360" w:lineRule="auto"/>
        <w:rPr>
          <w:rFonts w:ascii="Arial" w:eastAsia="Calibri" w:hAnsi="Arial" w:cs="Arial"/>
          <w:b/>
        </w:rPr>
        <w:sectPr w:rsidR="00B05BED" w:rsidRPr="00B05BED" w:rsidSect="00B556AB">
          <w:pgSz w:w="11906" w:h="16838"/>
          <w:pgMar w:top="1134" w:right="1134" w:bottom="1134" w:left="1134" w:header="708" w:footer="708" w:gutter="0"/>
          <w:cols w:space="708"/>
          <w:docGrid w:linePitch="360"/>
        </w:sectPr>
      </w:pPr>
    </w:p>
    <w:p w14:paraId="7B087C22" w14:textId="77777777" w:rsidR="00B05BED" w:rsidRPr="00B05BED" w:rsidRDefault="00B05BED" w:rsidP="00B05BED">
      <w:pPr>
        <w:spacing w:after="0" w:line="360" w:lineRule="auto"/>
        <w:rPr>
          <w:rFonts w:ascii="Arial" w:eastAsia="Calibri" w:hAnsi="Arial" w:cs="Arial"/>
          <w:b/>
        </w:rPr>
      </w:pPr>
      <w:r w:rsidRPr="00B05BED">
        <w:rPr>
          <w:rFonts w:ascii="Arial" w:eastAsia="Calibri" w:hAnsi="Arial" w:cs="Arial"/>
          <w:b/>
        </w:rPr>
        <w:lastRenderedPageBreak/>
        <w:t>RESULTS</w:t>
      </w:r>
    </w:p>
    <w:p w14:paraId="0F8F26F4" w14:textId="77777777" w:rsidR="00B05BED" w:rsidRPr="00B05BED" w:rsidRDefault="00B05BED" w:rsidP="00B05BED">
      <w:pPr>
        <w:spacing w:after="0" w:line="360" w:lineRule="auto"/>
        <w:rPr>
          <w:rFonts w:ascii="Arial" w:eastAsia="Calibri" w:hAnsi="Arial" w:cs="Arial"/>
          <w:b/>
        </w:rPr>
      </w:pPr>
    </w:p>
    <w:p w14:paraId="01D62933" w14:textId="77777777" w:rsidR="00B05BED" w:rsidRPr="00B05BED" w:rsidRDefault="00B05BED" w:rsidP="00B05BED">
      <w:pPr>
        <w:spacing w:after="0" w:line="360" w:lineRule="auto"/>
        <w:rPr>
          <w:rFonts w:ascii="Arial" w:eastAsia="Calibri" w:hAnsi="Arial" w:cs="Arial"/>
          <w:b/>
        </w:rPr>
      </w:pPr>
      <w:r w:rsidRPr="00B05BED">
        <w:rPr>
          <w:rFonts w:ascii="Arial" w:eastAsia="Calibri" w:hAnsi="Arial" w:cs="Arial"/>
          <w:b/>
        </w:rPr>
        <w:t>Number of Injuries</w:t>
      </w:r>
    </w:p>
    <w:p w14:paraId="0FF732BE" w14:textId="77777777" w:rsidR="00B05BED" w:rsidRPr="00B05BED" w:rsidRDefault="00B05BED" w:rsidP="00B05BED">
      <w:pPr>
        <w:spacing w:after="0" w:line="360" w:lineRule="auto"/>
        <w:rPr>
          <w:rFonts w:ascii="Arial" w:eastAsia="Calibri" w:hAnsi="Arial" w:cs="Arial"/>
          <w:b/>
        </w:rPr>
      </w:pPr>
    </w:p>
    <w:p w14:paraId="196252C2" w14:textId="77777777" w:rsidR="00B05BED" w:rsidRPr="00B05BED" w:rsidRDefault="00B05BED" w:rsidP="00B05BED">
      <w:pPr>
        <w:spacing w:after="0" w:line="360" w:lineRule="auto"/>
        <w:rPr>
          <w:rFonts w:ascii="Arial" w:eastAsia="Calibri" w:hAnsi="Arial" w:cs="Arial"/>
        </w:rPr>
      </w:pPr>
      <w:r w:rsidRPr="00B05BED">
        <w:rPr>
          <w:rFonts w:ascii="Arial" w:eastAsia="Calibri" w:hAnsi="Arial" w:cs="Arial"/>
        </w:rPr>
        <w:t xml:space="preserve">A total of 199 personnel reported 229 injuries over the reporting period. The nature and onset of injury are presented in Table 1. The injury incidence rates for 2018 and 2019 were 26.8 personnel per 100-person years and 27.7 personnel per 100-person years, respectively. The injury frequency rates are presented in Table 2. </w:t>
      </w:r>
    </w:p>
    <w:p w14:paraId="6C0D9BA4" w14:textId="40F0D65B" w:rsidR="00B05BED" w:rsidRDefault="00B05BED" w:rsidP="00B05BED">
      <w:pPr>
        <w:spacing w:after="0" w:line="360" w:lineRule="auto"/>
        <w:rPr>
          <w:rFonts w:ascii="Arial" w:eastAsia="Calibri" w:hAnsi="Arial" w:cs="Arial"/>
        </w:rPr>
      </w:pPr>
    </w:p>
    <w:p w14:paraId="7C62AB6A" w14:textId="77777777" w:rsidR="00F94AC9" w:rsidRPr="00B05BED" w:rsidRDefault="00F94AC9" w:rsidP="00F94AC9">
      <w:pPr>
        <w:spacing w:after="0" w:line="360" w:lineRule="auto"/>
        <w:rPr>
          <w:rFonts w:ascii="Arial" w:eastAsia="Calibri" w:hAnsi="Arial" w:cs="Arial"/>
        </w:rPr>
      </w:pPr>
      <w:r w:rsidRPr="00B05BED">
        <w:rPr>
          <w:rFonts w:ascii="Arial" w:eastAsia="Calibri" w:hAnsi="Arial" w:cs="Arial"/>
        </w:rPr>
        <w:t>Table 1.  Nature and onset of injury in personnel.</w:t>
      </w:r>
    </w:p>
    <w:p w14:paraId="70570A19" w14:textId="77777777" w:rsidR="00F94AC9" w:rsidRPr="00B05BED" w:rsidRDefault="00F94AC9" w:rsidP="00F94AC9">
      <w:pPr>
        <w:spacing w:after="0" w:line="360" w:lineRule="auto"/>
        <w:rPr>
          <w:rFonts w:ascii="Arial" w:eastAsia="Calibri" w:hAnsi="Arial" w:cs="Arial"/>
        </w:rPr>
      </w:pPr>
    </w:p>
    <w:tbl>
      <w:tblPr>
        <w:tblStyle w:val="TableGrid"/>
        <w:tblW w:w="0" w:type="auto"/>
        <w:tblLook w:val="04A0" w:firstRow="1" w:lastRow="0" w:firstColumn="1" w:lastColumn="0" w:noHBand="0" w:noVBand="1"/>
      </w:tblPr>
      <w:tblGrid>
        <w:gridCol w:w="3209"/>
        <w:gridCol w:w="3209"/>
        <w:gridCol w:w="3210"/>
      </w:tblGrid>
      <w:tr w:rsidR="00F94AC9" w:rsidRPr="00B05BED" w14:paraId="695F3E97" w14:textId="77777777" w:rsidTr="00115976">
        <w:tc>
          <w:tcPr>
            <w:tcW w:w="3209" w:type="dxa"/>
            <w:tcBorders>
              <w:left w:val="nil"/>
              <w:bottom w:val="single" w:sz="4" w:space="0" w:color="auto"/>
              <w:right w:val="nil"/>
            </w:tcBorders>
          </w:tcPr>
          <w:p w14:paraId="562B6661" w14:textId="77777777" w:rsidR="00F94AC9" w:rsidRPr="00B05BED" w:rsidRDefault="00F94AC9" w:rsidP="00115976">
            <w:pPr>
              <w:spacing w:line="360" w:lineRule="auto"/>
              <w:rPr>
                <w:rFonts w:ascii="Arial" w:eastAsia="Calibri" w:hAnsi="Arial" w:cs="Arial"/>
              </w:rPr>
            </w:pPr>
          </w:p>
        </w:tc>
        <w:tc>
          <w:tcPr>
            <w:tcW w:w="3209" w:type="dxa"/>
            <w:tcBorders>
              <w:left w:val="nil"/>
              <w:bottom w:val="single" w:sz="4" w:space="0" w:color="auto"/>
              <w:right w:val="nil"/>
            </w:tcBorders>
          </w:tcPr>
          <w:p w14:paraId="5A037679" w14:textId="77777777" w:rsidR="00F94AC9" w:rsidRPr="00B05BED" w:rsidRDefault="00F94AC9" w:rsidP="00115976">
            <w:pPr>
              <w:spacing w:line="360" w:lineRule="auto"/>
              <w:jc w:val="center"/>
              <w:rPr>
                <w:rFonts w:ascii="Arial" w:eastAsia="Calibri" w:hAnsi="Arial" w:cs="Arial"/>
                <w:b/>
              </w:rPr>
            </w:pPr>
            <w:r w:rsidRPr="00B05BED">
              <w:rPr>
                <w:rFonts w:ascii="Arial" w:eastAsia="Calibri" w:hAnsi="Arial" w:cs="Arial"/>
                <w:b/>
              </w:rPr>
              <w:t>2018</w:t>
            </w:r>
          </w:p>
          <w:p w14:paraId="51E4D4A0" w14:textId="77777777" w:rsidR="00F94AC9" w:rsidRPr="00B05BED" w:rsidRDefault="00F94AC9" w:rsidP="00115976">
            <w:pPr>
              <w:spacing w:line="360" w:lineRule="auto"/>
              <w:jc w:val="center"/>
              <w:rPr>
                <w:rFonts w:ascii="Arial" w:eastAsia="Calibri" w:hAnsi="Arial" w:cs="Arial"/>
                <w:b/>
              </w:rPr>
            </w:pPr>
            <w:r w:rsidRPr="00B05BED">
              <w:rPr>
                <w:rFonts w:ascii="Arial" w:eastAsia="Calibri" w:hAnsi="Arial" w:cs="Arial"/>
                <w:b/>
              </w:rPr>
              <w:t>Injury Count (%)</w:t>
            </w:r>
          </w:p>
        </w:tc>
        <w:tc>
          <w:tcPr>
            <w:tcW w:w="3210" w:type="dxa"/>
            <w:tcBorders>
              <w:left w:val="nil"/>
              <w:bottom w:val="single" w:sz="4" w:space="0" w:color="auto"/>
              <w:right w:val="nil"/>
            </w:tcBorders>
          </w:tcPr>
          <w:p w14:paraId="52BDE1B4" w14:textId="77777777" w:rsidR="00F94AC9" w:rsidRPr="00B05BED" w:rsidRDefault="00F94AC9" w:rsidP="00115976">
            <w:pPr>
              <w:spacing w:line="360" w:lineRule="auto"/>
              <w:jc w:val="center"/>
              <w:rPr>
                <w:rFonts w:ascii="Arial" w:eastAsia="Calibri" w:hAnsi="Arial" w:cs="Arial"/>
                <w:b/>
              </w:rPr>
            </w:pPr>
            <w:r w:rsidRPr="00B05BED">
              <w:rPr>
                <w:rFonts w:ascii="Arial" w:eastAsia="Calibri" w:hAnsi="Arial" w:cs="Arial"/>
                <w:b/>
              </w:rPr>
              <w:t>2019</w:t>
            </w:r>
          </w:p>
          <w:p w14:paraId="59889F97" w14:textId="77777777" w:rsidR="00F94AC9" w:rsidRPr="00B05BED" w:rsidRDefault="00F94AC9" w:rsidP="00115976">
            <w:pPr>
              <w:spacing w:line="360" w:lineRule="auto"/>
              <w:jc w:val="center"/>
              <w:rPr>
                <w:rFonts w:ascii="Arial" w:eastAsia="Calibri" w:hAnsi="Arial" w:cs="Arial"/>
                <w:b/>
              </w:rPr>
            </w:pPr>
            <w:r w:rsidRPr="00B05BED">
              <w:rPr>
                <w:rFonts w:ascii="Arial" w:eastAsia="Calibri" w:hAnsi="Arial" w:cs="Arial"/>
                <w:b/>
              </w:rPr>
              <w:t>Injury Count (%)</w:t>
            </w:r>
          </w:p>
        </w:tc>
      </w:tr>
      <w:tr w:rsidR="00F94AC9" w:rsidRPr="00B05BED" w14:paraId="07B26373" w14:textId="77777777" w:rsidTr="00115976">
        <w:tc>
          <w:tcPr>
            <w:tcW w:w="3209" w:type="dxa"/>
            <w:tcBorders>
              <w:left w:val="nil"/>
              <w:bottom w:val="nil"/>
              <w:right w:val="nil"/>
            </w:tcBorders>
          </w:tcPr>
          <w:p w14:paraId="05F125CA"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Nature of Injury</w:t>
            </w:r>
          </w:p>
        </w:tc>
        <w:tc>
          <w:tcPr>
            <w:tcW w:w="3209" w:type="dxa"/>
            <w:tcBorders>
              <w:left w:val="nil"/>
              <w:bottom w:val="nil"/>
              <w:right w:val="nil"/>
            </w:tcBorders>
          </w:tcPr>
          <w:p w14:paraId="0F435E53" w14:textId="77777777" w:rsidR="00F94AC9" w:rsidRPr="00B05BED" w:rsidRDefault="00F94AC9" w:rsidP="00115976">
            <w:pPr>
              <w:spacing w:line="360" w:lineRule="auto"/>
              <w:rPr>
                <w:rFonts w:ascii="Arial" w:eastAsia="Calibri" w:hAnsi="Arial" w:cs="Arial"/>
              </w:rPr>
            </w:pPr>
          </w:p>
        </w:tc>
        <w:tc>
          <w:tcPr>
            <w:tcW w:w="3210" w:type="dxa"/>
            <w:tcBorders>
              <w:left w:val="nil"/>
              <w:bottom w:val="nil"/>
              <w:right w:val="nil"/>
            </w:tcBorders>
          </w:tcPr>
          <w:p w14:paraId="26864283" w14:textId="77777777" w:rsidR="00F94AC9" w:rsidRPr="00B05BED" w:rsidRDefault="00F94AC9" w:rsidP="00115976">
            <w:pPr>
              <w:spacing w:line="360" w:lineRule="auto"/>
              <w:rPr>
                <w:rFonts w:ascii="Arial" w:eastAsia="Calibri" w:hAnsi="Arial" w:cs="Arial"/>
              </w:rPr>
            </w:pPr>
          </w:p>
        </w:tc>
      </w:tr>
      <w:tr w:rsidR="00F94AC9" w:rsidRPr="00B05BED" w14:paraId="343B86F2" w14:textId="77777777" w:rsidTr="00115976">
        <w:tc>
          <w:tcPr>
            <w:tcW w:w="3209" w:type="dxa"/>
            <w:tcBorders>
              <w:top w:val="nil"/>
              <w:left w:val="nil"/>
              <w:bottom w:val="nil"/>
              <w:right w:val="nil"/>
            </w:tcBorders>
          </w:tcPr>
          <w:p w14:paraId="619DEDAB"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 xml:space="preserve">  New</w:t>
            </w:r>
          </w:p>
        </w:tc>
        <w:tc>
          <w:tcPr>
            <w:tcW w:w="3209" w:type="dxa"/>
            <w:tcBorders>
              <w:top w:val="nil"/>
              <w:left w:val="nil"/>
              <w:bottom w:val="nil"/>
              <w:right w:val="nil"/>
            </w:tcBorders>
          </w:tcPr>
          <w:p w14:paraId="02B3B07C"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78 (66%)</w:t>
            </w:r>
          </w:p>
        </w:tc>
        <w:tc>
          <w:tcPr>
            <w:tcW w:w="3210" w:type="dxa"/>
            <w:tcBorders>
              <w:top w:val="nil"/>
              <w:left w:val="nil"/>
              <w:bottom w:val="nil"/>
              <w:right w:val="nil"/>
            </w:tcBorders>
          </w:tcPr>
          <w:p w14:paraId="42864616"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63 (57%)</w:t>
            </w:r>
          </w:p>
        </w:tc>
      </w:tr>
      <w:tr w:rsidR="00F94AC9" w:rsidRPr="00B05BED" w14:paraId="1B062D61" w14:textId="77777777" w:rsidTr="00115976">
        <w:tc>
          <w:tcPr>
            <w:tcW w:w="3209" w:type="dxa"/>
            <w:tcBorders>
              <w:top w:val="nil"/>
              <w:left w:val="nil"/>
              <w:bottom w:val="nil"/>
              <w:right w:val="nil"/>
            </w:tcBorders>
          </w:tcPr>
          <w:p w14:paraId="6AB4D14C"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 xml:space="preserve">  Recurring</w:t>
            </w:r>
          </w:p>
        </w:tc>
        <w:tc>
          <w:tcPr>
            <w:tcW w:w="3209" w:type="dxa"/>
            <w:tcBorders>
              <w:top w:val="nil"/>
              <w:left w:val="nil"/>
              <w:bottom w:val="nil"/>
              <w:right w:val="nil"/>
            </w:tcBorders>
          </w:tcPr>
          <w:p w14:paraId="35CE3337"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40 (34%)</w:t>
            </w:r>
          </w:p>
        </w:tc>
        <w:tc>
          <w:tcPr>
            <w:tcW w:w="3210" w:type="dxa"/>
            <w:tcBorders>
              <w:top w:val="nil"/>
              <w:left w:val="nil"/>
              <w:bottom w:val="nil"/>
              <w:right w:val="nil"/>
            </w:tcBorders>
          </w:tcPr>
          <w:p w14:paraId="428FA051"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48 (43%)</w:t>
            </w:r>
          </w:p>
        </w:tc>
      </w:tr>
      <w:tr w:rsidR="00F94AC9" w:rsidRPr="00B05BED" w14:paraId="61AD6F8C" w14:textId="77777777" w:rsidTr="00115976">
        <w:tc>
          <w:tcPr>
            <w:tcW w:w="3209" w:type="dxa"/>
            <w:tcBorders>
              <w:top w:val="nil"/>
              <w:left w:val="nil"/>
              <w:bottom w:val="nil"/>
              <w:right w:val="nil"/>
            </w:tcBorders>
          </w:tcPr>
          <w:p w14:paraId="57078F92" w14:textId="77777777" w:rsidR="00F94AC9" w:rsidRPr="00B05BED" w:rsidRDefault="00F94AC9" w:rsidP="00115976">
            <w:pPr>
              <w:spacing w:line="360" w:lineRule="auto"/>
              <w:rPr>
                <w:rFonts w:ascii="Arial" w:eastAsia="Calibri" w:hAnsi="Arial" w:cs="Arial"/>
                <w:b/>
              </w:rPr>
            </w:pPr>
          </w:p>
        </w:tc>
        <w:tc>
          <w:tcPr>
            <w:tcW w:w="3209" w:type="dxa"/>
            <w:tcBorders>
              <w:top w:val="nil"/>
              <w:left w:val="nil"/>
              <w:bottom w:val="nil"/>
              <w:right w:val="nil"/>
            </w:tcBorders>
          </w:tcPr>
          <w:p w14:paraId="581BA9C2" w14:textId="77777777" w:rsidR="00F94AC9" w:rsidRPr="00B05BED" w:rsidRDefault="00F94AC9" w:rsidP="00115976">
            <w:pPr>
              <w:spacing w:line="360" w:lineRule="auto"/>
              <w:jc w:val="center"/>
              <w:rPr>
                <w:rFonts w:ascii="Arial" w:eastAsia="Calibri" w:hAnsi="Arial" w:cs="Arial"/>
              </w:rPr>
            </w:pPr>
          </w:p>
        </w:tc>
        <w:tc>
          <w:tcPr>
            <w:tcW w:w="3210" w:type="dxa"/>
            <w:tcBorders>
              <w:top w:val="nil"/>
              <w:left w:val="nil"/>
              <w:bottom w:val="nil"/>
              <w:right w:val="nil"/>
            </w:tcBorders>
          </w:tcPr>
          <w:p w14:paraId="384C4986" w14:textId="77777777" w:rsidR="00F94AC9" w:rsidRPr="00B05BED" w:rsidRDefault="00F94AC9" w:rsidP="00115976">
            <w:pPr>
              <w:spacing w:line="360" w:lineRule="auto"/>
              <w:jc w:val="center"/>
              <w:rPr>
                <w:rFonts w:ascii="Arial" w:eastAsia="Calibri" w:hAnsi="Arial" w:cs="Arial"/>
              </w:rPr>
            </w:pPr>
          </w:p>
        </w:tc>
      </w:tr>
      <w:tr w:rsidR="00F94AC9" w:rsidRPr="00B05BED" w14:paraId="743D8AB8" w14:textId="77777777" w:rsidTr="00115976">
        <w:tc>
          <w:tcPr>
            <w:tcW w:w="3209" w:type="dxa"/>
            <w:tcBorders>
              <w:top w:val="nil"/>
              <w:left w:val="nil"/>
              <w:bottom w:val="nil"/>
              <w:right w:val="nil"/>
            </w:tcBorders>
          </w:tcPr>
          <w:p w14:paraId="559D2DD7"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Onset of Injury</w:t>
            </w:r>
          </w:p>
        </w:tc>
        <w:tc>
          <w:tcPr>
            <w:tcW w:w="3209" w:type="dxa"/>
            <w:tcBorders>
              <w:top w:val="nil"/>
              <w:left w:val="nil"/>
              <w:bottom w:val="nil"/>
              <w:right w:val="nil"/>
            </w:tcBorders>
          </w:tcPr>
          <w:p w14:paraId="09F48519" w14:textId="77777777" w:rsidR="00F94AC9" w:rsidRPr="00B05BED" w:rsidRDefault="00F94AC9" w:rsidP="00115976">
            <w:pPr>
              <w:spacing w:line="360" w:lineRule="auto"/>
              <w:jc w:val="center"/>
              <w:rPr>
                <w:rFonts w:ascii="Arial" w:eastAsia="Calibri" w:hAnsi="Arial" w:cs="Arial"/>
              </w:rPr>
            </w:pPr>
          </w:p>
        </w:tc>
        <w:tc>
          <w:tcPr>
            <w:tcW w:w="3210" w:type="dxa"/>
            <w:tcBorders>
              <w:top w:val="nil"/>
              <w:left w:val="nil"/>
              <w:bottom w:val="nil"/>
              <w:right w:val="nil"/>
            </w:tcBorders>
          </w:tcPr>
          <w:p w14:paraId="04A2CA75" w14:textId="77777777" w:rsidR="00F94AC9" w:rsidRPr="00B05BED" w:rsidRDefault="00F94AC9" w:rsidP="00115976">
            <w:pPr>
              <w:spacing w:line="360" w:lineRule="auto"/>
              <w:jc w:val="center"/>
              <w:rPr>
                <w:rFonts w:ascii="Arial" w:eastAsia="Calibri" w:hAnsi="Arial" w:cs="Arial"/>
              </w:rPr>
            </w:pPr>
          </w:p>
        </w:tc>
      </w:tr>
      <w:tr w:rsidR="00F94AC9" w:rsidRPr="00B05BED" w14:paraId="5CE3598B" w14:textId="77777777" w:rsidTr="00115976">
        <w:tc>
          <w:tcPr>
            <w:tcW w:w="3209" w:type="dxa"/>
            <w:tcBorders>
              <w:top w:val="nil"/>
              <w:left w:val="nil"/>
              <w:bottom w:val="nil"/>
              <w:right w:val="nil"/>
            </w:tcBorders>
          </w:tcPr>
          <w:p w14:paraId="77FFB917"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 xml:space="preserve">  Sudden</w:t>
            </w:r>
          </w:p>
        </w:tc>
        <w:tc>
          <w:tcPr>
            <w:tcW w:w="3209" w:type="dxa"/>
            <w:tcBorders>
              <w:top w:val="nil"/>
              <w:left w:val="nil"/>
              <w:bottom w:val="nil"/>
              <w:right w:val="nil"/>
            </w:tcBorders>
          </w:tcPr>
          <w:p w14:paraId="286C9820"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57 (48%)</w:t>
            </w:r>
          </w:p>
        </w:tc>
        <w:tc>
          <w:tcPr>
            <w:tcW w:w="3210" w:type="dxa"/>
            <w:tcBorders>
              <w:top w:val="nil"/>
              <w:left w:val="nil"/>
              <w:bottom w:val="nil"/>
              <w:right w:val="nil"/>
            </w:tcBorders>
          </w:tcPr>
          <w:p w14:paraId="6914C556"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58 (52%)</w:t>
            </w:r>
          </w:p>
        </w:tc>
      </w:tr>
      <w:tr w:rsidR="00F94AC9" w:rsidRPr="00B05BED" w14:paraId="2592384D" w14:textId="77777777" w:rsidTr="00115976">
        <w:tc>
          <w:tcPr>
            <w:tcW w:w="3209" w:type="dxa"/>
            <w:tcBorders>
              <w:top w:val="nil"/>
              <w:left w:val="nil"/>
              <w:right w:val="nil"/>
            </w:tcBorders>
          </w:tcPr>
          <w:p w14:paraId="18EF1984"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 xml:space="preserve">  Gradual</w:t>
            </w:r>
          </w:p>
        </w:tc>
        <w:tc>
          <w:tcPr>
            <w:tcW w:w="3209" w:type="dxa"/>
            <w:tcBorders>
              <w:top w:val="nil"/>
              <w:left w:val="nil"/>
              <w:right w:val="nil"/>
            </w:tcBorders>
          </w:tcPr>
          <w:p w14:paraId="27B2A5A3"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61 (52%)</w:t>
            </w:r>
          </w:p>
        </w:tc>
        <w:tc>
          <w:tcPr>
            <w:tcW w:w="3210" w:type="dxa"/>
            <w:tcBorders>
              <w:top w:val="nil"/>
              <w:left w:val="nil"/>
              <w:right w:val="nil"/>
            </w:tcBorders>
          </w:tcPr>
          <w:p w14:paraId="0B891909"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53 (48%)</w:t>
            </w:r>
          </w:p>
        </w:tc>
      </w:tr>
    </w:tbl>
    <w:p w14:paraId="7586A721" w14:textId="77777777" w:rsidR="00F94AC9" w:rsidRPr="00B05BED" w:rsidRDefault="00F94AC9" w:rsidP="00F94AC9">
      <w:pPr>
        <w:spacing w:after="0" w:line="360" w:lineRule="auto"/>
        <w:rPr>
          <w:rFonts w:ascii="Arial" w:eastAsia="Calibri" w:hAnsi="Arial" w:cs="Arial"/>
        </w:rPr>
      </w:pPr>
    </w:p>
    <w:p w14:paraId="56F07B29" w14:textId="6B998F02" w:rsidR="00F94AC9" w:rsidRPr="00B05BED" w:rsidRDefault="00F94AC9" w:rsidP="00F94AC9">
      <w:pPr>
        <w:spacing w:after="0" w:line="360" w:lineRule="auto"/>
        <w:rPr>
          <w:rFonts w:ascii="Arial" w:eastAsia="Calibri" w:hAnsi="Arial" w:cs="Arial"/>
        </w:rPr>
      </w:pPr>
      <w:r w:rsidRPr="00B05BED">
        <w:rPr>
          <w:rFonts w:ascii="Arial" w:eastAsia="Calibri" w:hAnsi="Arial" w:cs="Arial"/>
        </w:rPr>
        <w:t>Table 2.  Injury Frequency Rates in personnel.</w:t>
      </w:r>
    </w:p>
    <w:p w14:paraId="62B1A9C3" w14:textId="77777777" w:rsidR="00F94AC9" w:rsidRPr="00B05BED" w:rsidRDefault="00F94AC9" w:rsidP="00F94AC9">
      <w:pPr>
        <w:spacing w:after="0" w:line="360" w:lineRule="auto"/>
        <w:rPr>
          <w:rFonts w:ascii="Arial" w:eastAsia="Calibri" w:hAnsi="Arial" w:cs="Arial"/>
        </w:rPr>
      </w:pPr>
    </w:p>
    <w:tbl>
      <w:tblPr>
        <w:tblStyle w:val="TableGrid"/>
        <w:tblW w:w="0" w:type="auto"/>
        <w:tblLook w:val="04A0" w:firstRow="1" w:lastRow="0" w:firstColumn="1" w:lastColumn="0" w:noHBand="0" w:noVBand="1"/>
      </w:tblPr>
      <w:tblGrid>
        <w:gridCol w:w="3209"/>
        <w:gridCol w:w="3209"/>
        <w:gridCol w:w="3210"/>
      </w:tblGrid>
      <w:tr w:rsidR="00F94AC9" w:rsidRPr="00B05BED" w14:paraId="5A00B72E" w14:textId="77777777" w:rsidTr="00115976">
        <w:tc>
          <w:tcPr>
            <w:tcW w:w="3209" w:type="dxa"/>
            <w:tcBorders>
              <w:left w:val="nil"/>
              <w:bottom w:val="single" w:sz="4" w:space="0" w:color="auto"/>
              <w:right w:val="nil"/>
            </w:tcBorders>
          </w:tcPr>
          <w:p w14:paraId="54CA7DD2" w14:textId="77777777" w:rsidR="00F94AC9" w:rsidRPr="00B05BED" w:rsidRDefault="00F94AC9" w:rsidP="00115976">
            <w:pPr>
              <w:spacing w:line="360" w:lineRule="auto"/>
              <w:rPr>
                <w:rFonts w:ascii="Arial" w:eastAsia="Calibri" w:hAnsi="Arial" w:cs="Arial"/>
              </w:rPr>
            </w:pPr>
          </w:p>
          <w:p w14:paraId="7749D546" w14:textId="77777777" w:rsidR="00F94AC9" w:rsidRPr="00B05BED" w:rsidRDefault="00F94AC9" w:rsidP="00115976">
            <w:pPr>
              <w:jc w:val="center"/>
              <w:rPr>
                <w:rFonts w:ascii="Arial" w:eastAsia="Calibri" w:hAnsi="Arial" w:cs="Arial"/>
              </w:rPr>
            </w:pPr>
          </w:p>
        </w:tc>
        <w:tc>
          <w:tcPr>
            <w:tcW w:w="3209" w:type="dxa"/>
            <w:tcBorders>
              <w:left w:val="nil"/>
              <w:bottom w:val="single" w:sz="4" w:space="0" w:color="auto"/>
              <w:right w:val="nil"/>
            </w:tcBorders>
          </w:tcPr>
          <w:p w14:paraId="6687E586" w14:textId="77777777" w:rsidR="00F94AC9" w:rsidRPr="00B05BED" w:rsidRDefault="00F94AC9" w:rsidP="00115976">
            <w:pPr>
              <w:jc w:val="center"/>
              <w:textAlignment w:val="baseline"/>
              <w:rPr>
                <w:rFonts w:ascii="Arial" w:eastAsia="Times New Roman" w:hAnsi="Arial" w:cs="Arial"/>
                <w:b/>
                <w:bCs/>
                <w:lang w:eastAsia="en-GB"/>
              </w:rPr>
            </w:pPr>
            <w:r w:rsidRPr="00B05BED">
              <w:rPr>
                <w:rFonts w:ascii="Arial" w:eastAsia="Calibri" w:hAnsi="Arial" w:cs="Arial"/>
                <w:b/>
              </w:rPr>
              <w:t>2018</w:t>
            </w:r>
            <w:r w:rsidRPr="00B05BED">
              <w:rPr>
                <w:rFonts w:ascii="Arial" w:eastAsia="Calibri" w:hAnsi="Arial" w:cs="Arial"/>
              </w:rPr>
              <w:t xml:space="preserve"> </w:t>
            </w:r>
            <w:r w:rsidRPr="00B05BED">
              <w:rPr>
                <w:rFonts w:ascii="Arial" w:eastAsia="Times New Roman" w:hAnsi="Arial" w:cs="Arial"/>
                <w:b/>
                <w:bCs/>
                <w:lang w:eastAsia="en-GB"/>
              </w:rPr>
              <w:t>Injury Frequency Rate</w:t>
            </w:r>
          </w:p>
          <w:p w14:paraId="067D32B4" w14:textId="77777777" w:rsidR="00F94AC9" w:rsidRPr="00B05BED" w:rsidRDefault="00F94AC9" w:rsidP="00115976">
            <w:pPr>
              <w:jc w:val="center"/>
              <w:textAlignment w:val="baseline"/>
              <w:rPr>
                <w:rFonts w:ascii="Arial" w:eastAsia="Calibri" w:hAnsi="Arial" w:cs="Arial"/>
              </w:rPr>
            </w:pPr>
          </w:p>
          <w:p w14:paraId="0C0EE1E2" w14:textId="77777777" w:rsidR="00F94AC9" w:rsidRPr="00B05BED" w:rsidRDefault="00F94AC9" w:rsidP="00115976">
            <w:pPr>
              <w:spacing w:line="360" w:lineRule="auto"/>
              <w:jc w:val="center"/>
              <w:rPr>
                <w:rFonts w:ascii="Arial" w:eastAsia="Calibri" w:hAnsi="Arial" w:cs="Arial"/>
              </w:rPr>
            </w:pPr>
            <w:r w:rsidRPr="00B05BED">
              <w:rPr>
                <w:rFonts w:ascii="Arial" w:eastAsia="Times New Roman" w:hAnsi="Arial" w:cs="Arial"/>
                <w:b/>
                <w:bCs/>
                <w:lang w:eastAsia="en-GB"/>
              </w:rPr>
              <w:t>(Number of Injuries/100-person years)</w:t>
            </w:r>
          </w:p>
        </w:tc>
        <w:tc>
          <w:tcPr>
            <w:tcW w:w="3210" w:type="dxa"/>
            <w:tcBorders>
              <w:left w:val="nil"/>
              <w:bottom w:val="single" w:sz="4" w:space="0" w:color="auto"/>
              <w:right w:val="nil"/>
            </w:tcBorders>
          </w:tcPr>
          <w:p w14:paraId="31FC6150" w14:textId="77777777" w:rsidR="00F94AC9" w:rsidRPr="00B05BED" w:rsidRDefault="00F94AC9" w:rsidP="00115976">
            <w:pPr>
              <w:jc w:val="center"/>
              <w:textAlignment w:val="baseline"/>
              <w:rPr>
                <w:rFonts w:ascii="Arial" w:eastAsia="Times New Roman" w:hAnsi="Arial" w:cs="Arial"/>
                <w:b/>
                <w:bCs/>
                <w:lang w:eastAsia="en-GB"/>
              </w:rPr>
            </w:pPr>
            <w:r w:rsidRPr="00B05BED">
              <w:rPr>
                <w:rFonts w:ascii="Arial" w:eastAsia="Calibri" w:hAnsi="Arial" w:cs="Arial"/>
                <w:b/>
              </w:rPr>
              <w:t>2019</w:t>
            </w:r>
            <w:r w:rsidRPr="00B05BED">
              <w:rPr>
                <w:rFonts w:ascii="Arial" w:eastAsia="Times New Roman" w:hAnsi="Arial" w:cs="Arial"/>
                <w:b/>
                <w:bCs/>
                <w:lang w:eastAsia="en-GB"/>
              </w:rPr>
              <w:t xml:space="preserve"> Injury Frequency Rate</w:t>
            </w:r>
          </w:p>
          <w:p w14:paraId="3A2DF51B" w14:textId="77777777" w:rsidR="00F94AC9" w:rsidRPr="00B05BED" w:rsidRDefault="00F94AC9" w:rsidP="00115976">
            <w:pPr>
              <w:jc w:val="center"/>
              <w:textAlignment w:val="baseline"/>
              <w:rPr>
                <w:rFonts w:ascii="Arial" w:eastAsia="Calibri" w:hAnsi="Arial" w:cs="Arial"/>
              </w:rPr>
            </w:pPr>
          </w:p>
          <w:p w14:paraId="1020EBBF" w14:textId="77777777" w:rsidR="00F94AC9" w:rsidRPr="00B05BED" w:rsidRDefault="00F94AC9" w:rsidP="00115976">
            <w:pPr>
              <w:spacing w:line="360" w:lineRule="auto"/>
              <w:jc w:val="center"/>
              <w:rPr>
                <w:rFonts w:ascii="Arial" w:eastAsia="Calibri" w:hAnsi="Arial" w:cs="Arial"/>
              </w:rPr>
            </w:pPr>
            <w:r w:rsidRPr="00B05BED">
              <w:rPr>
                <w:rFonts w:ascii="Arial" w:eastAsia="Times New Roman" w:hAnsi="Arial" w:cs="Arial"/>
                <w:b/>
                <w:bCs/>
                <w:lang w:eastAsia="en-GB"/>
              </w:rPr>
              <w:t>(Number of Injuries/100-person years)</w:t>
            </w:r>
          </w:p>
        </w:tc>
      </w:tr>
      <w:tr w:rsidR="00F94AC9" w:rsidRPr="00B05BED" w14:paraId="1B312A53" w14:textId="77777777" w:rsidTr="00115976">
        <w:tc>
          <w:tcPr>
            <w:tcW w:w="3209" w:type="dxa"/>
            <w:tcBorders>
              <w:left w:val="nil"/>
              <w:bottom w:val="nil"/>
              <w:right w:val="nil"/>
            </w:tcBorders>
          </w:tcPr>
          <w:p w14:paraId="688053C6"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All Injury</w:t>
            </w:r>
          </w:p>
        </w:tc>
        <w:tc>
          <w:tcPr>
            <w:tcW w:w="3209" w:type="dxa"/>
            <w:tcBorders>
              <w:left w:val="nil"/>
              <w:bottom w:val="nil"/>
              <w:right w:val="nil"/>
            </w:tcBorders>
          </w:tcPr>
          <w:p w14:paraId="1E1ABAA2"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32.3</w:t>
            </w:r>
          </w:p>
        </w:tc>
        <w:tc>
          <w:tcPr>
            <w:tcW w:w="3210" w:type="dxa"/>
            <w:tcBorders>
              <w:left w:val="nil"/>
              <w:bottom w:val="nil"/>
              <w:right w:val="nil"/>
            </w:tcBorders>
          </w:tcPr>
          <w:p w14:paraId="02769B51"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30.4</w:t>
            </w:r>
          </w:p>
        </w:tc>
      </w:tr>
      <w:tr w:rsidR="00F94AC9" w:rsidRPr="00B05BED" w14:paraId="3796D07E" w14:textId="77777777" w:rsidTr="00115976">
        <w:tc>
          <w:tcPr>
            <w:tcW w:w="3209" w:type="dxa"/>
            <w:tcBorders>
              <w:top w:val="nil"/>
              <w:left w:val="nil"/>
              <w:bottom w:val="nil"/>
              <w:right w:val="nil"/>
            </w:tcBorders>
          </w:tcPr>
          <w:p w14:paraId="483178F6"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New Injury</w:t>
            </w:r>
          </w:p>
        </w:tc>
        <w:tc>
          <w:tcPr>
            <w:tcW w:w="3209" w:type="dxa"/>
            <w:tcBorders>
              <w:top w:val="nil"/>
              <w:left w:val="nil"/>
              <w:bottom w:val="nil"/>
              <w:right w:val="nil"/>
            </w:tcBorders>
          </w:tcPr>
          <w:p w14:paraId="2CFA58CC"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21.3</w:t>
            </w:r>
          </w:p>
        </w:tc>
        <w:tc>
          <w:tcPr>
            <w:tcW w:w="3210" w:type="dxa"/>
            <w:tcBorders>
              <w:top w:val="nil"/>
              <w:left w:val="nil"/>
              <w:bottom w:val="nil"/>
              <w:right w:val="nil"/>
            </w:tcBorders>
          </w:tcPr>
          <w:p w14:paraId="1B2D6560"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17.3</w:t>
            </w:r>
          </w:p>
        </w:tc>
      </w:tr>
      <w:tr w:rsidR="00F94AC9" w:rsidRPr="00B05BED" w14:paraId="5D88E831" w14:textId="77777777" w:rsidTr="00115976">
        <w:tc>
          <w:tcPr>
            <w:tcW w:w="3209" w:type="dxa"/>
            <w:tcBorders>
              <w:top w:val="nil"/>
              <w:left w:val="nil"/>
              <w:bottom w:val="nil"/>
              <w:right w:val="nil"/>
            </w:tcBorders>
          </w:tcPr>
          <w:p w14:paraId="2FC94997"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Recurring Injury</w:t>
            </w:r>
          </w:p>
        </w:tc>
        <w:tc>
          <w:tcPr>
            <w:tcW w:w="3209" w:type="dxa"/>
            <w:tcBorders>
              <w:top w:val="nil"/>
              <w:left w:val="nil"/>
              <w:bottom w:val="nil"/>
              <w:right w:val="nil"/>
            </w:tcBorders>
          </w:tcPr>
          <w:p w14:paraId="5818FB33"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11.0</w:t>
            </w:r>
          </w:p>
        </w:tc>
        <w:tc>
          <w:tcPr>
            <w:tcW w:w="3210" w:type="dxa"/>
            <w:tcBorders>
              <w:top w:val="nil"/>
              <w:left w:val="nil"/>
              <w:bottom w:val="nil"/>
              <w:right w:val="nil"/>
            </w:tcBorders>
          </w:tcPr>
          <w:p w14:paraId="5169A918"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13.15</w:t>
            </w:r>
          </w:p>
        </w:tc>
      </w:tr>
      <w:tr w:rsidR="00F94AC9" w:rsidRPr="00B05BED" w14:paraId="6CA1975C" w14:textId="77777777" w:rsidTr="00115976">
        <w:tc>
          <w:tcPr>
            <w:tcW w:w="3209" w:type="dxa"/>
            <w:tcBorders>
              <w:top w:val="nil"/>
              <w:left w:val="nil"/>
              <w:bottom w:val="nil"/>
              <w:right w:val="nil"/>
            </w:tcBorders>
          </w:tcPr>
          <w:p w14:paraId="68407DE9"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Sudden Onset Injury</w:t>
            </w:r>
          </w:p>
        </w:tc>
        <w:tc>
          <w:tcPr>
            <w:tcW w:w="3209" w:type="dxa"/>
            <w:tcBorders>
              <w:top w:val="nil"/>
              <w:left w:val="nil"/>
              <w:bottom w:val="nil"/>
              <w:right w:val="nil"/>
            </w:tcBorders>
          </w:tcPr>
          <w:p w14:paraId="0D2B32E2"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15.6</w:t>
            </w:r>
          </w:p>
        </w:tc>
        <w:tc>
          <w:tcPr>
            <w:tcW w:w="3210" w:type="dxa"/>
            <w:tcBorders>
              <w:top w:val="nil"/>
              <w:left w:val="nil"/>
              <w:bottom w:val="nil"/>
              <w:right w:val="nil"/>
            </w:tcBorders>
          </w:tcPr>
          <w:p w14:paraId="4D4BB668"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15.9</w:t>
            </w:r>
          </w:p>
        </w:tc>
      </w:tr>
      <w:tr w:rsidR="00F94AC9" w:rsidRPr="00B05BED" w14:paraId="1941447B" w14:textId="77777777" w:rsidTr="00115976">
        <w:tc>
          <w:tcPr>
            <w:tcW w:w="3209" w:type="dxa"/>
            <w:tcBorders>
              <w:top w:val="nil"/>
              <w:left w:val="nil"/>
              <w:right w:val="nil"/>
            </w:tcBorders>
          </w:tcPr>
          <w:p w14:paraId="0E388DA0"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Gradual Onset Injury</w:t>
            </w:r>
          </w:p>
        </w:tc>
        <w:tc>
          <w:tcPr>
            <w:tcW w:w="3209" w:type="dxa"/>
            <w:tcBorders>
              <w:top w:val="nil"/>
              <w:left w:val="nil"/>
              <w:right w:val="nil"/>
            </w:tcBorders>
          </w:tcPr>
          <w:p w14:paraId="2A9DE780"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16.7</w:t>
            </w:r>
          </w:p>
        </w:tc>
        <w:tc>
          <w:tcPr>
            <w:tcW w:w="3210" w:type="dxa"/>
            <w:tcBorders>
              <w:top w:val="nil"/>
              <w:left w:val="nil"/>
              <w:right w:val="nil"/>
            </w:tcBorders>
          </w:tcPr>
          <w:p w14:paraId="06C6F212"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14.5</w:t>
            </w:r>
          </w:p>
        </w:tc>
      </w:tr>
    </w:tbl>
    <w:p w14:paraId="77ECCF0A" w14:textId="77777777" w:rsidR="00F94AC9" w:rsidRPr="00B05BED" w:rsidRDefault="00F94AC9" w:rsidP="00F94AC9">
      <w:pPr>
        <w:spacing w:after="0" w:line="360" w:lineRule="auto"/>
        <w:rPr>
          <w:rFonts w:ascii="Arial" w:eastAsia="Calibri" w:hAnsi="Arial" w:cs="Arial"/>
        </w:rPr>
      </w:pPr>
    </w:p>
    <w:p w14:paraId="49C68FEE" w14:textId="77777777" w:rsidR="00F94AC9" w:rsidRPr="00B05BED" w:rsidRDefault="00F94AC9" w:rsidP="00F94AC9">
      <w:pPr>
        <w:spacing w:after="0" w:line="360" w:lineRule="auto"/>
        <w:rPr>
          <w:rFonts w:ascii="Arial" w:eastAsia="Calibri" w:hAnsi="Arial" w:cs="Arial"/>
        </w:rPr>
      </w:pPr>
    </w:p>
    <w:p w14:paraId="725C26BD" w14:textId="77777777" w:rsidR="00F94AC9" w:rsidRPr="00B05BED" w:rsidRDefault="00F94AC9" w:rsidP="00B05BED">
      <w:pPr>
        <w:spacing w:after="0" w:line="360" w:lineRule="auto"/>
        <w:rPr>
          <w:rFonts w:ascii="Arial" w:eastAsia="Calibri" w:hAnsi="Arial" w:cs="Arial"/>
        </w:rPr>
      </w:pPr>
    </w:p>
    <w:p w14:paraId="43493AA2" w14:textId="77777777" w:rsidR="00B05BED" w:rsidRPr="00B05BED" w:rsidRDefault="00B05BED" w:rsidP="00B05BED">
      <w:pPr>
        <w:spacing w:after="0" w:line="360" w:lineRule="auto"/>
        <w:rPr>
          <w:rFonts w:ascii="Arial" w:eastAsia="Calibri" w:hAnsi="Arial" w:cs="Arial"/>
          <w:b/>
          <w:bCs/>
        </w:rPr>
      </w:pPr>
      <w:r w:rsidRPr="00B05BED">
        <w:rPr>
          <w:rFonts w:ascii="Arial" w:eastAsia="Calibri" w:hAnsi="Arial" w:cs="Arial"/>
          <w:b/>
          <w:bCs/>
        </w:rPr>
        <w:t>Reporting Time of Injury</w:t>
      </w:r>
    </w:p>
    <w:p w14:paraId="6B5B1EE8" w14:textId="77777777" w:rsidR="00B05BED" w:rsidRPr="00B05BED" w:rsidRDefault="00B05BED" w:rsidP="00B05BED">
      <w:pPr>
        <w:spacing w:after="0" w:line="360" w:lineRule="auto"/>
        <w:rPr>
          <w:rFonts w:ascii="Arial" w:eastAsia="Calibri" w:hAnsi="Arial" w:cs="Arial"/>
          <w:b/>
          <w:bCs/>
        </w:rPr>
      </w:pPr>
    </w:p>
    <w:p w14:paraId="5BC58B44" w14:textId="2B96C35D" w:rsidR="00B05BED" w:rsidRPr="00B05BED" w:rsidRDefault="00B05BED" w:rsidP="00B05BED">
      <w:pPr>
        <w:spacing w:after="0" w:line="360" w:lineRule="auto"/>
        <w:rPr>
          <w:rFonts w:ascii="Arial" w:eastAsia="Calibri" w:hAnsi="Arial" w:cs="Arial"/>
        </w:rPr>
      </w:pPr>
      <w:bookmarkStart w:id="2" w:name="_Hlk96161932"/>
      <w:r w:rsidRPr="00B05BED">
        <w:rPr>
          <w:rFonts w:ascii="Arial" w:eastAsia="Calibri" w:hAnsi="Arial" w:cs="Arial"/>
        </w:rPr>
        <w:t xml:space="preserve">Forty three percent of patients reported an injury within 1 month of onset. A further 19% reported an injury within one to three months, and 27% reported an injury after a year of onset </w:t>
      </w:r>
      <w:bookmarkEnd w:id="2"/>
      <w:r w:rsidRPr="00B05BED">
        <w:rPr>
          <w:rFonts w:ascii="Arial" w:eastAsia="Calibri" w:hAnsi="Arial" w:cs="Arial"/>
        </w:rPr>
        <w:t>(Figure 1)</w:t>
      </w:r>
    </w:p>
    <w:p w14:paraId="447CA292" w14:textId="77777777" w:rsidR="00B05BED" w:rsidRPr="00B05BED" w:rsidRDefault="00B05BED" w:rsidP="00B05BED">
      <w:pPr>
        <w:spacing w:after="0" w:line="360" w:lineRule="auto"/>
        <w:rPr>
          <w:rFonts w:ascii="Arial" w:eastAsia="Calibri" w:hAnsi="Arial" w:cs="Arial"/>
        </w:rPr>
      </w:pPr>
    </w:p>
    <w:tbl>
      <w:tblPr>
        <w:tblStyle w:val="TableGrid"/>
        <w:tblW w:w="0" w:type="auto"/>
        <w:tblLook w:val="04A0" w:firstRow="1" w:lastRow="0" w:firstColumn="1" w:lastColumn="0" w:noHBand="0" w:noVBand="1"/>
      </w:tblPr>
      <w:tblGrid>
        <w:gridCol w:w="9628"/>
      </w:tblGrid>
      <w:tr w:rsidR="0040077F" w14:paraId="6A973F43" w14:textId="77777777" w:rsidTr="009D55D7">
        <w:trPr>
          <w:trHeight w:val="4299"/>
        </w:trPr>
        <w:tc>
          <w:tcPr>
            <w:tcW w:w="9628" w:type="dxa"/>
            <w:tcBorders>
              <w:top w:val="nil"/>
              <w:left w:val="nil"/>
              <w:bottom w:val="nil"/>
              <w:right w:val="nil"/>
            </w:tcBorders>
            <w:shd w:val="clear" w:color="auto" w:fill="auto"/>
          </w:tcPr>
          <w:p w14:paraId="4FEDA31C" w14:textId="03DECF8A" w:rsidR="0040077F" w:rsidRDefault="00734508" w:rsidP="00B05BED">
            <w:pPr>
              <w:spacing w:line="360" w:lineRule="auto"/>
              <w:rPr>
                <w:rFonts w:ascii="Arial" w:eastAsia="Calibri" w:hAnsi="Arial" w:cs="Arial"/>
                <w:b/>
              </w:rPr>
            </w:pPr>
            <w:r w:rsidRPr="00B05BED">
              <w:rPr>
                <w:rFonts w:ascii="Arial" w:eastAsia="Calibri" w:hAnsi="Arial" w:cs="Arial"/>
                <w:noProof/>
                <w:lang w:eastAsia="en-GB"/>
              </w:rPr>
              <w:drawing>
                <wp:anchor distT="0" distB="0" distL="114300" distR="114300" simplePos="0" relativeHeight="251659264" behindDoc="1" locked="0" layoutInCell="1" allowOverlap="1" wp14:anchorId="35F145B6" wp14:editId="5AC306A6">
                  <wp:simplePos x="0" y="0"/>
                  <wp:positionH relativeFrom="margin">
                    <wp:posOffset>-1270</wp:posOffset>
                  </wp:positionH>
                  <wp:positionV relativeFrom="paragraph">
                    <wp:posOffset>245745</wp:posOffset>
                  </wp:positionV>
                  <wp:extent cx="4311650" cy="2419350"/>
                  <wp:effectExtent l="0" t="0" r="12700" b="0"/>
                  <wp:wrapTight wrapText="bothSides">
                    <wp:wrapPolygon edited="0">
                      <wp:start x="0" y="0"/>
                      <wp:lineTo x="0" y="21430"/>
                      <wp:lineTo x="21568" y="21430"/>
                      <wp:lineTo x="21568" y="0"/>
                      <wp:lineTo x="0" y="0"/>
                    </wp:wrapPolygon>
                  </wp:wrapTight>
                  <wp:docPr id="2" name="Chart 2">
                    <a:extLst xmlns:a="http://schemas.openxmlformats.org/drawingml/2006/main">
                      <a:ext uri="{FF2B5EF4-FFF2-40B4-BE49-F238E27FC236}">
                        <a16:creationId xmlns:a16="http://schemas.microsoft.com/office/drawing/2014/main" id="{8A763B2B-1A7B-466F-BA2A-2573544A0B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r w:rsidR="0040077F" w14:paraId="378DB2B2" w14:textId="77777777" w:rsidTr="009D55D7">
        <w:tc>
          <w:tcPr>
            <w:tcW w:w="9628" w:type="dxa"/>
            <w:tcBorders>
              <w:top w:val="nil"/>
              <w:left w:val="nil"/>
              <w:bottom w:val="nil"/>
              <w:right w:val="nil"/>
            </w:tcBorders>
            <w:shd w:val="clear" w:color="auto" w:fill="auto"/>
          </w:tcPr>
          <w:p w14:paraId="577221A8" w14:textId="77777777" w:rsidR="009D55D7" w:rsidRPr="00B05BED" w:rsidRDefault="009D55D7" w:rsidP="009D55D7">
            <w:pPr>
              <w:spacing w:line="360" w:lineRule="auto"/>
              <w:rPr>
                <w:rFonts w:ascii="Arial" w:eastAsia="Calibri" w:hAnsi="Arial" w:cs="Arial"/>
              </w:rPr>
            </w:pPr>
            <w:r w:rsidRPr="00B05BED">
              <w:rPr>
                <w:rFonts w:ascii="Arial" w:eastAsia="Calibri" w:hAnsi="Arial" w:cs="Arial"/>
              </w:rPr>
              <w:t>Figure 1.</w:t>
            </w:r>
            <w:r w:rsidRPr="00B05BED">
              <w:rPr>
                <w:rFonts w:ascii="Arial" w:eastAsia="Calibri" w:hAnsi="Arial" w:cs="Arial"/>
                <w:b/>
              </w:rPr>
              <w:t xml:space="preserve">  </w:t>
            </w:r>
            <w:r w:rsidRPr="00B05BED">
              <w:rPr>
                <w:rFonts w:ascii="Arial" w:eastAsia="Calibri" w:hAnsi="Arial" w:cs="Arial"/>
              </w:rPr>
              <w:t>Reporting time of injury to PCRF.</w:t>
            </w:r>
          </w:p>
          <w:p w14:paraId="4762E23A" w14:textId="77777777" w:rsidR="0040077F" w:rsidRDefault="0040077F" w:rsidP="00B05BED">
            <w:pPr>
              <w:spacing w:line="360" w:lineRule="auto"/>
              <w:rPr>
                <w:rFonts w:ascii="Arial" w:eastAsia="Calibri" w:hAnsi="Arial" w:cs="Arial"/>
                <w:b/>
              </w:rPr>
            </w:pPr>
          </w:p>
        </w:tc>
      </w:tr>
    </w:tbl>
    <w:p w14:paraId="462DC9CA" w14:textId="7EAB9EB1" w:rsidR="00B05BED" w:rsidRDefault="00B05BED" w:rsidP="00B05BED">
      <w:pPr>
        <w:spacing w:after="0" w:line="360" w:lineRule="auto"/>
        <w:rPr>
          <w:rFonts w:ascii="Arial" w:eastAsia="Calibri" w:hAnsi="Arial" w:cs="Arial"/>
          <w:b/>
        </w:rPr>
      </w:pPr>
    </w:p>
    <w:p w14:paraId="18F3F187" w14:textId="77777777" w:rsidR="0040077F" w:rsidRPr="00B05BED" w:rsidRDefault="0040077F" w:rsidP="00B05BED">
      <w:pPr>
        <w:spacing w:after="0" w:line="360" w:lineRule="auto"/>
        <w:rPr>
          <w:rFonts w:ascii="Arial" w:eastAsia="Calibri" w:hAnsi="Arial" w:cs="Arial"/>
          <w:b/>
        </w:rPr>
      </w:pPr>
    </w:p>
    <w:p w14:paraId="6F2F5909" w14:textId="77777777" w:rsidR="00B05BED" w:rsidRPr="00B05BED" w:rsidRDefault="00B05BED" w:rsidP="00B05BED">
      <w:pPr>
        <w:spacing w:after="0" w:line="360" w:lineRule="auto"/>
        <w:rPr>
          <w:rFonts w:ascii="Arial" w:eastAsia="Calibri" w:hAnsi="Arial" w:cs="Arial"/>
          <w:b/>
        </w:rPr>
      </w:pPr>
      <w:r w:rsidRPr="00B05BED">
        <w:rPr>
          <w:rFonts w:ascii="Arial" w:eastAsia="Calibri" w:hAnsi="Arial" w:cs="Arial"/>
          <w:b/>
        </w:rPr>
        <w:t>Cause of Injury</w:t>
      </w:r>
    </w:p>
    <w:p w14:paraId="06779A18" w14:textId="77777777" w:rsidR="00B05BED" w:rsidRPr="00B05BED" w:rsidRDefault="00B05BED" w:rsidP="00B05BED">
      <w:pPr>
        <w:spacing w:after="0" w:line="360" w:lineRule="auto"/>
        <w:rPr>
          <w:rFonts w:ascii="Arial" w:eastAsia="Calibri" w:hAnsi="Arial" w:cs="Arial"/>
          <w:b/>
        </w:rPr>
      </w:pPr>
    </w:p>
    <w:p w14:paraId="355F4CE2" w14:textId="77777777" w:rsidR="00B05BED" w:rsidRPr="00B05BED" w:rsidRDefault="00B05BED" w:rsidP="00B05BED">
      <w:pPr>
        <w:spacing w:after="0" w:line="360" w:lineRule="auto"/>
        <w:textAlignment w:val="baseline"/>
        <w:rPr>
          <w:rFonts w:ascii="Arial" w:eastAsia="Times New Roman" w:hAnsi="Arial" w:cs="Arial"/>
          <w:lang w:eastAsia="en-GB"/>
        </w:rPr>
      </w:pPr>
      <w:bookmarkStart w:id="3" w:name="_Hlk39400262"/>
      <w:bookmarkStart w:id="4" w:name="_Hlk96161956"/>
      <w:r w:rsidRPr="00B05BED">
        <w:rPr>
          <w:rFonts w:ascii="Arial" w:eastAsia="Calibri" w:hAnsi="Arial" w:cs="Arial"/>
        </w:rPr>
        <w:t xml:space="preserve">Military training accounted for the highest number of injuries (32%), followed by ‘Other Injuries’ (28%), Personal Training (PT) (28%) and Sport (not PT) (12%) (Figure 2). </w:t>
      </w:r>
      <w:bookmarkEnd w:id="3"/>
      <w:r w:rsidRPr="00B05BED">
        <w:rPr>
          <w:rFonts w:ascii="Arial" w:eastAsia="Times New Roman" w:hAnsi="Arial" w:cs="Arial"/>
          <w:lang w:eastAsia="en-GB"/>
        </w:rPr>
        <w:t>Weight training accounted for the most injuries across the reporting period (15%) followed by running (11%) and military exercise (10%).</w:t>
      </w:r>
    </w:p>
    <w:bookmarkEnd w:id="4"/>
    <w:p w14:paraId="24153C7D" w14:textId="77777777" w:rsidR="00B05BED" w:rsidRPr="00B05BED" w:rsidRDefault="00B05BED" w:rsidP="00B05BED">
      <w:pPr>
        <w:spacing w:after="0" w:line="360" w:lineRule="auto"/>
        <w:rPr>
          <w:rFonts w:ascii="Arial" w:eastAsia="Calibri" w:hAnsi="Arial"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A4276" w14:paraId="79ABC3BE" w14:textId="77777777" w:rsidTr="00230625">
        <w:trPr>
          <w:trHeight w:val="4877"/>
        </w:trPr>
        <w:tc>
          <w:tcPr>
            <w:tcW w:w="9628" w:type="dxa"/>
          </w:tcPr>
          <w:p w14:paraId="706F520E" w14:textId="52424359" w:rsidR="004A4276" w:rsidRDefault="00607F11" w:rsidP="00B05BED">
            <w:pPr>
              <w:spacing w:line="360" w:lineRule="auto"/>
              <w:rPr>
                <w:rFonts w:ascii="Arial" w:eastAsia="Calibri" w:hAnsi="Arial" w:cs="Arial"/>
                <w:noProof/>
              </w:rPr>
            </w:pPr>
            <w:r w:rsidRPr="00B05BED">
              <w:rPr>
                <w:rFonts w:ascii="Arial" w:eastAsia="Calibri" w:hAnsi="Arial" w:cs="Arial"/>
                <w:noProof/>
                <w:lang w:eastAsia="en-GB"/>
              </w:rPr>
              <w:drawing>
                <wp:anchor distT="0" distB="0" distL="114300" distR="114300" simplePos="0" relativeHeight="251661312" behindDoc="1" locked="0" layoutInCell="1" allowOverlap="1" wp14:anchorId="531E939C" wp14:editId="57119F30">
                  <wp:simplePos x="0" y="0"/>
                  <wp:positionH relativeFrom="margin">
                    <wp:posOffset>0</wp:posOffset>
                  </wp:positionH>
                  <wp:positionV relativeFrom="paragraph">
                    <wp:posOffset>243840</wp:posOffset>
                  </wp:positionV>
                  <wp:extent cx="4572000" cy="2743200"/>
                  <wp:effectExtent l="0" t="0" r="0" b="0"/>
                  <wp:wrapTight wrapText="bothSides">
                    <wp:wrapPolygon edited="0">
                      <wp:start x="0" y="0"/>
                      <wp:lineTo x="0" y="21450"/>
                      <wp:lineTo x="21510" y="21450"/>
                      <wp:lineTo x="21510" y="0"/>
                      <wp:lineTo x="0" y="0"/>
                    </wp:wrapPolygon>
                  </wp:wrapTight>
                  <wp:docPr id="12" name="Chart 12">
                    <a:extLst xmlns:a="http://schemas.openxmlformats.org/drawingml/2006/main">
                      <a:ext uri="{FF2B5EF4-FFF2-40B4-BE49-F238E27FC236}">
                        <a16:creationId xmlns:a16="http://schemas.microsoft.com/office/drawing/2014/main" id="{98EAE4AB-EDBA-4159-89E4-B9981CDD1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r>
      <w:tr w:rsidR="004A4276" w14:paraId="71073FD2" w14:textId="77777777" w:rsidTr="00230625">
        <w:tc>
          <w:tcPr>
            <w:tcW w:w="9628" w:type="dxa"/>
          </w:tcPr>
          <w:p w14:paraId="5B2B1B07" w14:textId="77777777" w:rsidR="00230625" w:rsidRPr="00B05BED" w:rsidRDefault="00230625" w:rsidP="00230625">
            <w:pPr>
              <w:spacing w:line="360" w:lineRule="auto"/>
              <w:rPr>
                <w:rFonts w:ascii="Arial" w:eastAsia="Calibri" w:hAnsi="Arial" w:cs="Arial"/>
                <w:noProof/>
              </w:rPr>
            </w:pPr>
            <w:r w:rsidRPr="00B05BED">
              <w:rPr>
                <w:rFonts w:ascii="Arial" w:eastAsia="Calibri" w:hAnsi="Arial" w:cs="Arial"/>
                <w:noProof/>
              </w:rPr>
              <w:t>Figure 2.  Primary cause of injury in personnel.</w:t>
            </w:r>
          </w:p>
          <w:p w14:paraId="4D813626" w14:textId="77777777" w:rsidR="004A4276" w:rsidRDefault="004A4276" w:rsidP="00B05BED">
            <w:pPr>
              <w:spacing w:line="360" w:lineRule="auto"/>
              <w:rPr>
                <w:rFonts w:ascii="Arial" w:eastAsia="Calibri" w:hAnsi="Arial" w:cs="Arial"/>
                <w:noProof/>
              </w:rPr>
            </w:pPr>
          </w:p>
        </w:tc>
      </w:tr>
    </w:tbl>
    <w:p w14:paraId="3BB81FF9" w14:textId="77777777" w:rsidR="00B05BED" w:rsidRPr="00B05BED" w:rsidRDefault="00B05BED" w:rsidP="00B05BED">
      <w:pPr>
        <w:spacing w:after="0" w:line="360" w:lineRule="auto"/>
        <w:rPr>
          <w:rFonts w:ascii="Arial" w:eastAsia="Calibri" w:hAnsi="Arial" w:cs="Arial"/>
          <w:noProof/>
        </w:rPr>
      </w:pPr>
    </w:p>
    <w:p w14:paraId="21AF777D" w14:textId="77777777" w:rsidR="00B05BED" w:rsidRPr="00B05BED" w:rsidRDefault="00B05BED" w:rsidP="00B05BED">
      <w:pPr>
        <w:spacing w:after="0"/>
        <w:rPr>
          <w:rFonts w:ascii="Arial" w:eastAsia="Calibri" w:hAnsi="Arial" w:cs="Arial"/>
          <w:noProof/>
        </w:rPr>
      </w:pPr>
    </w:p>
    <w:p w14:paraId="6387BCB1" w14:textId="77777777" w:rsidR="00B05BED" w:rsidRPr="00B05BED" w:rsidRDefault="00B05BED" w:rsidP="00B05BED">
      <w:pPr>
        <w:spacing w:after="0"/>
        <w:rPr>
          <w:rFonts w:ascii="Arial" w:eastAsia="Calibri" w:hAnsi="Arial" w:cs="Arial"/>
          <w:noProof/>
        </w:rPr>
      </w:pPr>
    </w:p>
    <w:p w14:paraId="695EBAAC" w14:textId="77777777" w:rsidR="00B05BED" w:rsidRPr="00B05BED" w:rsidRDefault="00B05BED" w:rsidP="00B05BED">
      <w:pPr>
        <w:spacing w:after="0"/>
        <w:rPr>
          <w:rFonts w:ascii="Arial" w:eastAsia="Calibri" w:hAnsi="Arial" w:cs="Arial"/>
          <w:b/>
          <w:noProof/>
        </w:rPr>
      </w:pPr>
      <w:r w:rsidRPr="00B05BED">
        <w:rPr>
          <w:rFonts w:ascii="Arial" w:eastAsia="Calibri" w:hAnsi="Arial" w:cs="Arial"/>
          <w:b/>
          <w:noProof/>
        </w:rPr>
        <w:t>Location of Injury</w:t>
      </w:r>
    </w:p>
    <w:p w14:paraId="722C59A8" w14:textId="77777777" w:rsidR="00B05BED" w:rsidRPr="00B05BED" w:rsidRDefault="00B05BED" w:rsidP="00B05BED">
      <w:pPr>
        <w:spacing w:after="0" w:line="360" w:lineRule="auto"/>
        <w:rPr>
          <w:rFonts w:ascii="Arial" w:eastAsia="Calibri" w:hAnsi="Arial" w:cs="Arial"/>
          <w:b/>
          <w:noProof/>
        </w:rPr>
      </w:pPr>
    </w:p>
    <w:p w14:paraId="2A7887EE" w14:textId="77777777" w:rsidR="00B05BED" w:rsidRPr="00B05BED" w:rsidRDefault="00B05BED" w:rsidP="00B05BED">
      <w:pPr>
        <w:spacing w:after="0" w:line="360" w:lineRule="auto"/>
        <w:rPr>
          <w:rFonts w:ascii="Arial" w:eastAsia="Calibri" w:hAnsi="Arial" w:cs="Arial"/>
        </w:rPr>
      </w:pPr>
      <w:bookmarkStart w:id="5" w:name="_Hlk96161975"/>
      <w:r w:rsidRPr="00B05BED">
        <w:rPr>
          <w:rFonts w:ascii="Arial" w:eastAsia="Calibri" w:hAnsi="Arial" w:cs="Arial"/>
        </w:rPr>
        <w:t>Lower extremity injuries accounted for the highest number of injuries (40%), followed by trunk (36%) and upper extremity (24%) injuries (Figure 3). Lumbar spine accounted for the highest number of injuries across the reporting period (19%) followed by shoulder (17%), knee (14%) and cervical injuries (11%) injuries (Table 3).</w:t>
      </w:r>
    </w:p>
    <w:bookmarkEnd w:id="5"/>
    <w:p w14:paraId="6D037FB6" w14:textId="77777777" w:rsidR="00B05BED" w:rsidRPr="00B05BED" w:rsidRDefault="00B05BED" w:rsidP="00B05BED">
      <w:pPr>
        <w:spacing w:after="0" w:line="360" w:lineRule="auto"/>
        <w:rPr>
          <w:rFonts w:ascii="Arial" w:eastAsia="Calibri" w:hAnsi="Arial" w:cs="Arial"/>
        </w:rPr>
      </w:pPr>
    </w:p>
    <w:p w14:paraId="3A47698C" w14:textId="667D5E4E" w:rsidR="00B05BED" w:rsidRDefault="00B05BED" w:rsidP="00924F1C">
      <w:pPr>
        <w:spacing w:after="0" w:line="360" w:lineRule="auto"/>
        <w:jc w:val="center"/>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30625" w14:paraId="2D294A1F" w14:textId="77777777" w:rsidTr="00B34AAE">
        <w:trPr>
          <w:trHeight w:val="4777"/>
        </w:trPr>
        <w:tc>
          <w:tcPr>
            <w:tcW w:w="9628" w:type="dxa"/>
          </w:tcPr>
          <w:p w14:paraId="720461D0" w14:textId="016776B2" w:rsidR="00230625" w:rsidRDefault="0070202A" w:rsidP="00B05BED">
            <w:pPr>
              <w:spacing w:line="360" w:lineRule="auto"/>
              <w:rPr>
                <w:rFonts w:ascii="Arial" w:eastAsia="Calibri" w:hAnsi="Arial" w:cs="Arial"/>
              </w:rPr>
            </w:pPr>
            <w:r w:rsidRPr="00B05BED">
              <w:rPr>
                <w:rFonts w:ascii="Arial" w:eastAsia="Calibri" w:hAnsi="Arial" w:cs="Arial"/>
                <w:noProof/>
                <w:lang w:eastAsia="en-GB"/>
              </w:rPr>
              <w:drawing>
                <wp:anchor distT="0" distB="0" distL="114300" distR="114300" simplePos="0" relativeHeight="251663360" behindDoc="1" locked="0" layoutInCell="1" allowOverlap="1" wp14:anchorId="79414AA6" wp14:editId="58D9C727">
                  <wp:simplePos x="0" y="0"/>
                  <wp:positionH relativeFrom="margin">
                    <wp:posOffset>0</wp:posOffset>
                  </wp:positionH>
                  <wp:positionV relativeFrom="paragraph">
                    <wp:posOffset>243840</wp:posOffset>
                  </wp:positionV>
                  <wp:extent cx="4572000" cy="2743200"/>
                  <wp:effectExtent l="0" t="0" r="0" b="0"/>
                  <wp:wrapTight wrapText="bothSides">
                    <wp:wrapPolygon edited="0">
                      <wp:start x="0" y="0"/>
                      <wp:lineTo x="0" y="21450"/>
                      <wp:lineTo x="21510" y="21450"/>
                      <wp:lineTo x="21510" y="0"/>
                      <wp:lineTo x="0" y="0"/>
                    </wp:wrapPolygon>
                  </wp:wrapTight>
                  <wp:docPr id="14" name="Chart 14">
                    <a:extLst xmlns:a="http://schemas.openxmlformats.org/drawingml/2006/main">
                      <a:ext uri="{FF2B5EF4-FFF2-40B4-BE49-F238E27FC236}">
                        <a16:creationId xmlns:a16="http://schemas.microsoft.com/office/drawing/2014/main" id="{54B83895-4AA0-4795-8AC9-156FCE998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c>
      </w:tr>
      <w:tr w:rsidR="00230625" w14:paraId="2D73153A" w14:textId="77777777" w:rsidTr="00B34AAE">
        <w:tc>
          <w:tcPr>
            <w:tcW w:w="9628" w:type="dxa"/>
          </w:tcPr>
          <w:p w14:paraId="240D4DEC" w14:textId="2A80EF5B" w:rsidR="00230625" w:rsidRDefault="00B34AAE" w:rsidP="00B05BED">
            <w:pPr>
              <w:spacing w:line="360" w:lineRule="auto"/>
              <w:rPr>
                <w:rFonts w:ascii="Arial" w:eastAsia="Calibri" w:hAnsi="Arial" w:cs="Arial"/>
              </w:rPr>
            </w:pPr>
            <w:r w:rsidRPr="00B05BED">
              <w:rPr>
                <w:rFonts w:ascii="Arial" w:eastAsia="Calibri" w:hAnsi="Arial" w:cs="Arial"/>
              </w:rPr>
              <w:t>Figure 3. Anatomical location of injury in personnel.</w:t>
            </w:r>
          </w:p>
        </w:tc>
      </w:tr>
    </w:tbl>
    <w:p w14:paraId="2D55F59B" w14:textId="77777777" w:rsidR="00B05BED" w:rsidRPr="00B05BED" w:rsidRDefault="00B05BED" w:rsidP="00B05BED">
      <w:pPr>
        <w:spacing w:after="0" w:line="360" w:lineRule="auto"/>
        <w:rPr>
          <w:rFonts w:ascii="Arial" w:eastAsia="Calibri" w:hAnsi="Arial" w:cs="Arial"/>
        </w:rPr>
      </w:pPr>
    </w:p>
    <w:p w14:paraId="44EF40F1" w14:textId="77777777" w:rsidR="00F94AC9" w:rsidRDefault="00F94AC9" w:rsidP="00F94AC9">
      <w:pPr>
        <w:spacing w:after="0" w:line="360" w:lineRule="auto"/>
        <w:rPr>
          <w:rFonts w:ascii="Arial" w:eastAsia="Calibri" w:hAnsi="Arial" w:cs="Arial"/>
        </w:rPr>
      </w:pPr>
    </w:p>
    <w:p w14:paraId="3FDFE913" w14:textId="77777777" w:rsidR="00F94AC9" w:rsidRDefault="00F94AC9" w:rsidP="00F94AC9">
      <w:pPr>
        <w:spacing w:after="0" w:line="360" w:lineRule="auto"/>
        <w:rPr>
          <w:rFonts w:ascii="Arial" w:eastAsia="Calibri" w:hAnsi="Arial" w:cs="Arial"/>
        </w:rPr>
      </w:pPr>
    </w:p>
    <w:p w14:paraId="0EF9BE45" w14:textId="77777777" w:rsidR="00F94AC9" w:rsidRDefault="00F94AC9" w:rsidP="00F94AC9">
      <w:pPr>
        <w:spacing w:after="0" w:line="360" w:lineRule="auto"/>
        <w:rPr>
          <w:rFonts w:ascii="Arial" w:eastAsia="Calibri" w:hAnsi="Arial" w:cs="Arial"/>
        </w:rPr>
      </w:pPr>
    </w:p>
    <w:p w14:paraId="45A2DBC9" w14:textId="77777777" w:rsidR="00F94AC9" w:rsidRDefault="00F94AC9" w:rsidP="00F94AC9">
      <w:pPr>
        <w:spacing w:after="0" w:line="360" w:lineRule="auto"/>
        <w:rPr>
          <w:rFonts w:ascii="Arial" w:eastAsia="Calibri" w:hAnsi="Arial" w:cs="Arial"/>
        </w:rPr>
      </w:pPr>
    </w:p>
    <w:p w14:paraId="28940FAE" w14:textId="77777777" w:rsidR="00F94AC9" w:rsidRDefault="00F94AC9" w:rsidP="00F94AC9">
      <w:pPr>
        <w:spacing w:after="0" w:line="360" w:lineRule="auto"/>
        <w:rPr>
          <w:rFonts w:ascii="Arial" w:eastAsia="Calibri" w:hAnsi="Arial" w:cs="Arial"/>
        </w:rPr>
      </w:pPr>
    </w:p>
    <w:p w14:paraId="1B29AA9B" w14:textId="77777777" w:rsidR="00F94AC9" w:rsidRDefault="00F94AC9" w:rsidP="00F94AC9">
      <w:pPr>
        <w:spacing w:after="0" w:line="360" w:lineRule="auto"/>
        <w:rPr>
          <w:rFonts w:ascii="Arial" w:eastAsia="Calibri" w:hAnsi="Arial" w:cs="Arial"/>
        </w:rPr>
      </w:pPr>
    </w:p>
    <w:p w14:paraId="39733A1F" w14:textId="77777777" w:rsidR="00F94AC9" w:rsidRDefault="00F94AC9" w:rsidP="00F94AC9">
      <w:pPr>
        <w:spacing w:after="0" w:line="360" w:lineRule="auto"/>
        <w:rPr>
          <w:rFonts w:ascii="Arial" w:eastAsia="Calibri" w:hAnsi="Arial" w:cs="Arial"/>
        </w:rPr>
      </w:pPr>
    </w:p>
    <w:p w14:paraId="7CC9E187" w14:textId="77777777" w:rsidR="00F94AC9" w:rsidRDefault="00F94AC9" w:rsidP="00F94AC9">
      <w:pPr>
        <w:spacing w:after="0" w:line="360" w:lineRule="auto"/>
        <w:rPr>
          <w:rFonts w:ascii="Arial" w:eastAsia="Calibri" w:hAnsi="Arial" w:cs="Arial"/>
        </w:rPr>
      </w:pPr>
    </w:p>
    <w:p w14:paraId="489DA53D" w14:textId="77777777" w:rsidR="00F94AC9" w:rsidRDefault="00F94AC9" w:rsidP="00F94AC9">
      <w:pPr>
        <w:spacing w:after="0" w:line="360" w:lineRule="auto"/>
        <w:rPr>
          <w:rFonts w:ascii="Arial" w:eastAsia="Calibri" w:hAnsi="Arial" w:cs="Arial"/>
        </w:rPr>
      </w:pPr>
    </w:p>
    <w:p w14:paraId="37360618" w14:textId="77777777" w:rsidR="00F94AC9" w:rsidRDefault="00F94AC9" w:rsidP="00F94AC9">
      <w:pPr>
        <w:spacing w:after="0" w:line="360" w:lineRule="auto"/>
        <w:rPr>
          <w:rFonts w:ascii="Arial" w:eastAsia="Calibri" w:hAnsi="Arial" w:cs="Arial"/>
        </w:rPr>
      </w:pPr>
    </w:p>
    <w:p w14:paraId="17DA745F" w14:textId="77777777" w:rsidR="00F94AC9" w:rsidRDefault="00F94AC9" w:rsidP="00F94AC9">
      <w:pPr>
        <w:spacing w:after="0" w:line="360" w:lineRule="auto"/>
        <w:rPr>
          <w:rFonts w:ascii="Arial" w:eastAsia="Calibri" w:hAnsi="Arial" w:cs="Arial"/>
        </w:rPr>
      </w:pPr>
    </w:p>
    <w:p w14:paraId="0550580A" w14:textId="77777777" w:rsidR="00F94AC9" w:rsidRDefault="00F94AC9" w:rsidP="00F94AC9">
      <w:pPr>
        <w:spacing w:after="0" w:line="360" w:lineRule="auto"/>
        <w:rPr>
          <w:rFonts w:ascii="Arial" w:eastAsia="Calibri" w:hAnsi="Arial" w:cs="Arial"/>
        </w:rPr>
      </w:pPr>
    </w:p>
    <w:p w14:paraId="2DD05A41" w14:textId="77777777" w:rsidR="00F94AC9" w:rsidRDefault="00F94AC9" w:rsidP="00F94AC9">
      <w:pPr>
        <w:spacing w:after="0" w:line="360" w:lineRule="auto"/>
        <w:rPr>
          <w:rFonts w:ascii="Arial" w:eastAsia="Calibri" w:hAnsi="Arial" w:cs="Arial"/>
        </w:rPr>
      </w:pPr>
    </w:p>
    <w:p w14:paraId="3A841E51" w14:textId="77777777" w:rsidR="00F94AC9" w:rsidRDefault="00F94AC9" w:rsidP="00F94AC9">
      <w:pPr>
        <w:spacing w:after="0" w:line="360" w:lineRule="auto"/>
        <w:rPr>
          <w:rFonts w:ascii="Arial" w:eastAsia="Calibri" w:hAnsi="Arial" w:cs="Arial"/>
        </w:rPr>
      </w:pPr>
    </w:p>
    <w:p w14:paraId="015867C5" w14:textId="2D2333B9" w:rsidR="00F94AC9" w:rsidRPr="00B05BED" w:rsidRDefault="00F94AC9" w:rsidP="00F94AC9">
      <w:pPr>
        <w:spacing w:after="0" w:line="360" w:lineRule="auto"/>
        <w:rPr>
          <w:rFonts w:ascii="Arial" w:eastAsia="Calibri" w:hAnsi="Arial" w:cs="Arial"/>
        </w:rPr>
      </w:pPr>
      <w:r w:rsidRPr="00B05BED">
        <w:rPr>
          <w:rFonts w:ascii="Arial" w:eastAsia="Calibri" w:hAnsi="Arial" w:cs="Arial"/>
        </w:rPr>
        <w:t>Table 3. Sub-anatomical location of injuries in personnel.</w:t>
      </w:r>
    </w:p>
    <w:p w14:paraId="37919369" w14:textId="77777777" w:rsidR="00F94AC9" w:rsidRPr="00B05BED" w:rsidRDefault="00F94AC9" w:rsidP="00F94AC9">
      <w:pPr>
        <w:spacing w:after="0" w:line="360" w:lineRule="auto"/>
        <w:rPr>
          <w:rFonts w:ascii="Arial" w:eastAsia="Calibri" w:hAnsi="Arial" w:cs="Arial"/>
        </w:rPr>
      </w:pPr>
    </w:p>
    <w:tbl>
      <w:tblPr>
        <w:tblStyle w:val="TableGrid"/>
        <w:tblW w:w="0" w:type="auto"/>
        <w:tblLook w:val="04A0" w:firstRow="1" w:lastRow="0" w:firstColumn="1" w:lastColumn="0" w:noHBand="0" w:noVBand="1"/>
      </w:tblPr>
      <w:tblGrid>
        <w:gridCol w:w="3209"/>
        <w:gridCol w:w="3209"/>
        <w:gridCol w:w="3210"/>
      </w:tblGrid>
      <w:tr w:rsidR="00F94AC9" w:rsidRPr="00B05BED" w14:paraId="14747C61" w14:textId="77777777" w:rsidTr="00115976">
        <w:tc>
          <w:tcPr>
            <w:tcW w:w="3209" w:type="dxa"/>
            <w:tcBorders>
              <w:left w:val="nil"/>
              <w:bottom w:val="single" w:sz="4" w:space="0" w:color="auto"/>
              <w:right w:val="nil"/>
            </w:tcBorders>
          </w:tcPr>
          <w:p w14:paraId="66D0E861" w14:textId="77777777" w:rsidR="00F94AC9" w:rsidRPr="00B05BED" w:rsidRDefault="00F94AC9" w:rsidP="00115976">
            <w:pPr>
              <w:spacing w:line="360" w:lineRule="auto"/>
              <w:rPr>
                <w:rFonts w:ascii="Arial" w:eastAsia="Calibri" w:hAnsi="Arial" w:cs="Arial"/>
              </w:rPr>
            </w:pPr>
          </w:p>
        </w:tc>
        <w:tc>
          <w:tcPr>
            <w:tcW w:w="3209" w:type="dxa"/>
            <w:tcBorders>
              <w:left w:val="nil"/>
              <w:bottom w:val="single" w:sz="4" w:space="0" w:color="auto"/>
              <w:right w:val="nil"/>
            </w:tcBorders>
          </w:tcPr>
          <w:p w14:paraId="776FB03F" w14:textId="77777777" w:rsidR="00F94AC9" w:rsidRPr="00B05BED" w:rsidRDefault="00F94AC9" w:rsidP="00115976">
            <w:pPr>
              <w:spacing w:line="360" w:lineRule="auto"/>
              <w:jc w:val="center"/>
              <w:rPr>
                <w:rFonts w:ascii="Arial" w:eastAsia="Calibri" w:hAnsi="Arial" w:cs="Arial"/>
                <w:b/>
              </w:rPr>
            </w:pPr>
            <w:r w:rsidRPr="00B05BED">
              <w:rPr>
                <w:rFonts w:ascii="Arial" w:eastAsia="Calibri" w:hAnsi="Arial" w:cs="Arial"/>
                <w:b/>
              </w:rPr>
              <w:t>2018</w:t>
            </w:r>
          </w:p>
          <w:p w14:paraId="12C94704"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b/>
              </w:rPr>
              <w:t>Injury Count (%)</w:t>
            </w:r>
          </w:p>
        </w:tc>
        <w:tc>
          <w:tcPr>
            <w:tcW w:w="3210" w:type="dxa"/>
            <w:tcBorders>
              <w:left w:val="nil"/>
              <w:bottom w:val="single" w:sz="4" w:space="0" w:color="auto"/>
              <w:right w:val="nil"/>
            </w:tcBorders>
          </w:tcPr>
          <w:p w14:paraId="4EB62E1B" w14:textId="77777777" w:rsidR="00F94AC9" w:rsidRPr="00B05BED" w:rsidRDefault="00F94AC9" w:rsidP="00115976">
            <w:pPr>
              <w:spacing w:line="360" w:lineRule="auto"/>
              <w:jc w:val="center"/>
              <w:rPr>
                <w:rFonts w:ascii="Arial" w:eastAsia="Calibri" w:hAnsi="Arial" w:cs="Arial"/>
                <w:b/>
              </w:rPr>
            </w:pPr>
            <w:r w:rsidRPr="00B05BED">
              <w:rPr>
                <w:rFonts w:ascii="Arial" w:eastAsia="Calibri" w:hAnsi="Arial" w:cs="Arial"/>
                <w:b/>
              </w:rPr>
              <w:t>2019</w:t>
            </w:r>
          </w:p>
          <w:p w14:paraId="3E13B0DA"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b/>
              </w:rPr>
              <w:t>Injury Count (%)</w:t>
            </w:r>
          </w:p>
        </w:tc>
      </w:tr>
      <w:tr w:rsidR="00F94AC9" w:rsidRPr="00B05BED" w14:paraId="35B0EC35" w14:textId="77777777" w:rsidTr="00115976">
        <w:tc>
          <w:tcPr>
            <w:tcW w:w="3209" w:type="dxa"/>
            <w:tcBorders>
              <w:left w:val="nil"/>
              <w:bottom w:val="nil"/>
              <w:right w:val="nil"/>
            </w:tcBorders>
          </w:tcPr>
          <w:p w14:paraId="53D45F44"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Upper Extremity</w:t>
            </w:r>
          </w:p>
        </w:tc>
        <w:tc>
          <w:tcPr>
            <w:tcW w:w="3209" w:type="dxa"/>
            <w:tcBorders>
              <w:left w:val="nil"/>
              <w:bottom w:val="nil"/>
              <w:right w:val="nil"/>
            </w:tcBorders>
          </w:tcPr>
          <w:p w14:paraId="15579F3A" w14:textId="77777777" w:rsidR="00F94AC9" w:rsidRPr="00B05BED" w:rsidRDefault="00F94AC9" w:rsidP="00115976">
            <w:pPr>
              <w:spacing w:line="360" w:lineRule="auto"/>
              <w:rPr>
                <w:rFonts w:ascii="Arial" w:eastAsia="Calibri" w:hAnsi="Arial" w:cs="Arial"/>
              </w:rPr>
            </w:pPr>
          </w:p>
        </w:tc>
        <w:tc>
          <w:tcPr>
            <w:tcW w:w="3210" w:type="dxa"/>
            <w:tcBorders>
              <w:left w:val="nil"/>
              <w:bottom w:val="nil"/>
              <w:right w:val="nil"/>
            </w:tcBorders>
          </w:tcPr>
          <w:p w14:paraId="5D8440A5" w14:textId="77777777" w:rsidR="00F94AC9" w:rsidRPr="00B05BED" w:rsidRDefault="00F94AC9" w:rsidP="00115976">
            <w:pPr>
              <w:spacing w:line="360" w:lineRule="auto"/>
              <w:rPr>
                <w:rFonts w:ascii="Arial" w:eastAsia="Calibri" w:hAnsi="Arial" w:cs="Arial"/>
              </w:rPr>
            </w:pPr>
          </w:p>
        </w:tc>
      </w:tr>
      <w:tr w:rsidR="00F94AC9" w:rsidRPr="00B05BED" w14:paraId="28B8EF46" w14:textId="77777777" w:rsidTr="00115976">
        <w:tc>
          <w:tcPr>
            <w:tcW w:w="3209" w:type="dxa"/>
            <w:tcBorders>
              <w:top w:val="nil"/>
              <w:left w:val="nil"/>
              <w:bottom w:val="nil"/>
              <w:right w:val="nil"/>
            </w:tcBorders>
          </w:tcPr>
          <w:p w14:paraId="5F62872B"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Shoulder</w:t>
            </w:r>
          </w:p>
        </w:tc>
        <w:tc>
          <w:tcPr>
            <w:tcW w:w="3209" w:type="dxa"/>
            <w:tcBorders>
              <w:top w:val="nil"/>
              <w:left w:val="nil"/>
              <w:bottom w:val="nil"/>
              <w:right w:val="nil"/>
            </w:tcBorders>
          </w:tcPr>
          <w:p w14:paraId="61E85542"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19 (16%)</w:t>
            </w:r>
          </w:p>
        </w:tc>
        <w:tc>
          <w:tcPr>
            <w:tcW w:w="3210" w:type="dxa"/>
            <w:tcBorders>
              <w:top w:val="nil"/>
              <w:left w:val="nil"/>
              <w:bottom w:val="nil"/>
              <w:right w:val="nil"/>
            </w:tcBorders>
          </w:tcPr>
          <w:p w14:paraId="291BC09C"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21 (19%)</w:t>
            </w:r>
          </w:p>
        </w:tc>
      </w:tr>
      <w:tr w:rsidR="00F94AC9" w:rsidRPr="00B05BED" w14:paraId="43C5574C" w14:textId="77777777" w:rsidTr="00115976">
        <w:tc>
          <w:tcPr>
            <w:tcW w:w="3209" w:type="dxa"/>
            <w:tcBorders>
              <w:top w:val="nil"/>
              <w:left w:val="nil"/>
              <w:bottom w:val="nil"/>
              <w:right w:val="nil"/>
            </w:tcBorders>
          </w:tcPr>
          <w:p w14:paraId="59C018A9"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Upper Arm</w:t>
            </w:r>
          </w:p>
        </w:tc>
        <w:tc>
          <w:tcPr>
            <w:tcW w:w="3209" w:type="dxa"/>
            <w:tcBorders>
              <w:top w:val="nil"/>
              <w:left w:val="nil"/>
              <w:bottom w:val="nil"/>
              <w:right w:val="nil"/>
            </w:tcBorders>
          </w:tcPr>
          <w:p w14:paraId="397EE921"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 (0.5%)</w:t>
            </w:r>
          </w:p>
        </w:tc>
        <w:tc>
          <w:tcPr>
            <w:tcW w:w="3210" w:type="dxa"/>
            <w:tcBorders>
              <w:top w:val="nil"/>
              <w:left w:val="nil"/>
              <w:bottom w:val="nil"/>
              <w:right w:val="nil"/>
            </w:tcBorders>
          </w:tcPr>
          <w:p w14:paraId="54C279BE"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2 (1%)</w:t>
            </w:r>
          </w:p>
        </w:tc>
      </w:tr>
      <w:tr w:rsidR="00F94AC9" w:rsidRPr="00B05BED" w14:paraId="4BDB3323" w14:textId="77777777" w:rsidTr="00115976">
        <w:tc>
          <w:tcPr>
            <w:tcW w:w="3209" w:type="dxa"/>
            <w:tcBorders>
              <w:top w:val="nil"/>
              <w:left w:val="nil"/>
              <w:bottom w:val="nil"/>
              <w:right w:val="nil"/>
            </w:tcBorders>
          </w:tcPr>
          <w:p w14:paraId="04B2E052"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Elbow</w:t>
            </w:r>
          </w:p>
        </w:tc>
        <w:tc>
          <w:tcPr>
            <w:tcW w:w="3209" w:type="dxa"/>
            <w:tcBorders>
              <w:top w:val="nil"/>
              <w:left w:val="nil"/>
              <w:bottom w:val="nil"/>
              <w:right w:val="nil"/>
            </w:tcBorders>
          </w:tcPr>
          <w:p w14:paraId="5D5457DE"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 (0.5%)</w:t>
            </w:r>
          </w:p>
        </w:tc>
        <w:tc>
          <w:tcPr>
            <w:tcW w:w="3210" w:type="dxa"/>
            <w:tcBorders>
              <w:top w:val="nil"/>
              <w:left w:val="nil"/>
              <w:bottom w:val="nil"/>
              <w:right w:val="nil"/>
            </w:tcBorders>
          </w:tcPr>
          <w:p w14:paraId="07BBD4B1"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4 (4%)</w:t>
            </w:r>
          </w:p>
        </w:tc>
      </w:tr>
      <w:tr w:rsidR="00F94AC9" w:rsidRPr="00B05BED" w14:paraId="5B5558C4" w14:textId="77777777" w:rsidTr="00115976">
        <w:tc>
          <w:tcPr>
            <w:tcW w:w="3209" w:type="dxa"/>
            <w:tcBorders>
              <w:top w:val="nil"/>
              <w:left w:val="nil"/>
              <w:bottom w:val="nil"/>
              <w:right w:val="nil"/>
            </w:tcBorders>
          </w:tcPr>
          <w:p w14:paraId="33459F55"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Wrist</w:t>
            </w:r>
          </w:p>
        </w:tc>
        <w:tc>
          <w:tcPr>
            <w:tcW w:w="3209" w:type="dxa"/>
            <w:tcBorders>
              <w:top w:val="nil"/>
              <w:left w:val="nil"/>
              <w:bottom w:val="nil"/>
              <w:right w:val="nil"/>
            </w:tcBorders>
          </w:tcPr>
          <w:p w14:paraId="10FE3CA6"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 (0.5%)</w:t>
            </w:r>
          </w:p>
        </w:tc>
        <w:tc>
          <w:tcPr>
            <w:tcW w:w="3210" w:type="dxa"/>
            <w:tcBorders>
              <w:top w:val="nil"/>
              <w:left w:val="nil"/>
              <w:bottom w:val="nil"/>
              <w:right w:val="nil"/>
            </w:tcBorders>
          </w:tcPr>
          <w:p w14:paraId="04696BB3"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3 (3%)</w:t>
            </w:r>
          </w:p>
        </w:tc>
      </w:tr>
      <w:tr w:rsidR="00F94AC9" w:rsidRPr="00B05BED" w14:paraId="2EB6EF28" w14:textId="77777777" w:rsidTr="00115976">
        <w:tc>
          <w:tcPr>
            <w:tcW w:w="3209" w:type="dxa"/>
            <w:tcBorders>
              <w:top w:val="nil"/>
              <w:left w:val="nil"/>
              <w:bottom w:val="nil"/>
              <w:right w:val="nil"/>
            </w:tcBorders>
          </w:tcPr>
          <w:p w14:paraId="743B2D85"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Hand</w:t>
            </w:r>
          </w:p>
        </w:tc>
        <w:tc>
          <w:tcPr>
            <w:tcW w:w="3209" w:type="dxa"/>
            <w:tcBorders>
              <w:top w:val="nil"/>
              <w:left w:val="nil"/>
              <w:bottom w:val="nil"/>
              <w:right w:val="nil"/>
            </w:tcBorders>
          </w:tcPr>
          <w:p w14:paraId="1D4E2AC0"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0</w:t>
            </w:r>
          </w:p>
        </w:tc>
        <w:tc>
          <w:tcPr>
            <w:tcW w:w="3210" w:type="dxa"/>
            <w:tcBorders>
              <w:top w:val="nil"/>
              <w:left w:val="nil"/>
              <w:bottom w:val="nil"/>
              <w:right w:val="nil"/>
            </w:tcBorders>
          </w:tcPr>
          <w:p w14:paraId="5ACABCB9"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3 (3%)</w:t>
            </w:r>
          </w:p>
        </w:tc>
      </w:tr>
      <w:tr w:rsidR="00F94AC9" w:rsidRPr="00B05BED" w14:paraId="6FF31BD3" w14:textId="77777777" w:rsidTr="00115976">
        <w:tc>
          <w:tcPr>
            <w:tcW w:w="3209" w:type="dxa"/>
            <w:tcBorders>
              <w:top w:val="nil"/>
              <w:left w:val="nil"/>
              <w:bottom w:val="nil"/>
              <w:right w:val="nil"/>
            </w:tcBorders>
          </w:tcPr>
          <w:p w14:paraId="3B01A53A" w14:textId="77777777" w:rsidR="00F94AC9" w:rsidRPr="00B05BED" w:rsidRDefault="00F94AC9" w:rsidP="00115976">
            <w:pPr>
              <w:spacing w:line="360" w:lineRule="auto"/>
              <w:rPr>
                <w:rFonts w:ascii="Arial" w:eastAsia="Calibri" w:hAnsi="Arial" w:cs="Arial"/>
              </w:rPr>
            </w:pPr>
          </w:p>
        </w:tc>
        <w:tc>
          <w:tcPr>
            <w:tcW w:w="3209" w:type="dxa"/>
            <w:tcBorders>
              <w:top w:val="nil"/>
              <w:left w:val="nil"/>
              <w:bottom w:val="nil"/>
              <w:right w:val="nil"/>
            </w:tcBorders>
          </w:tcPr>
          <w:p w14:paraId="492C77CA" w14:textId="77777777" w:rsidR="00F94AC9" w:rsidRPr="00B05BED" w:rsidRDefault="00F94AC9" w:rsidP="00115976">
            <w:pPr>
              <w:spacing w:line="360" w:lineRule="auto"/>
              <w:jc w:val="center"/>
              <w:rPr>
                <w:rFonts w:ascii="Arial" w:eastAsia="Calibri" w:hAnsi="Arial" w:cs="Arial"/>
              </w:rPr>
            </w:pPr>
          </w:p>
        </w:tc>
        <w:tc>
          <w:tcPr>
            <w:tcW w:w="3210" w:type="dxa"/>
            <w:tcBorders>
              <w:top w:val="nil"/>
              <w:left w:val="nil"/>
              <w:bottom w:val="nil"/>
              <w:right w:val="nil"/>
            </w:tcBorders>
          </w:tcPr>
          <w:p w14:paraId="49FC526E" w14:textId="77777777" w:rsidR="00F94AC9" w:rsidRPr="00B05BED" w:rsidRDefault="00F94AC9" w:rsidP="00115976">
            <w:pPr>
              <w:spacing w:line="360" w:lineRule="auto"/>
              <w:jc w:val="center"/>
              <w:rPr>
                <w:rFonts w:ascii="Arial" w:eastAsia="Calibri" w:hAnsi="Arial" w:cs="Arial"/>
              </w:rPr>
            </w:pPr>
          </w:p>
        </w:tc>
      </w:tr>
      <w:tr w:rsidR="00F94AC9" w:rsidRPr="00B05BED" w14:paraId="7EB69364" w14:textId="77777777" w:rsidTr="00115976">
        <w:tc>
          <w:tcPr>
            <w:tcW w:w="3209" w:type="dxa"/>
            <w:tcBorders>
              <w:top w:val="nil"/>
              <w:left w:val="nil"/>
              <w:bottom w:val="nil"/>
              <w:right w:val="nil"/>
            </w:tcBorders>
          </w:tcPr>
          <w:p w14:paraId="5C7F73FF"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Trunk</w:t>
            </w:r>
          </w:p>
        </w:tc>
        <w:tc>
          <w:tcPr>
            <w:tcW w:w="3209" w:type="dxa"/>
            <w:tcBorders>
              <w:top w:val="nil"/>
              <w:left w:val="nil"/>
              <w:bottom w:val="nil"/>
              <w:right w:val="nil"/>
            </w:tcBorders>
          </w:tcPr>
          <w:p w14:paraId="2091F1B4" w14:textId="77777777" w:rsidR="00F94AC9" w:rsidRPr="00B05BED" w:rsidRDefault="00F94AC9" w:rsidP="00115976">
            <w:pPr>
              <w:spacing w:line="360" w:lineRule="auto"/>
              <w:jc w:val="center"/>
              <w:rPr>
                <w:rFonts w:ascii="Arial" w:eastAsia="Calibri" w:hAnsi="Arial" w:cs="Arial"/>
              </w:rPr>
            </w:pPr>
          </w:p>
        </w:tc>
        <w:tc>
          <w:tcPr>
            <w:tcW w:w="3210" w:type="dxa"/>
            <w:tcBorders>
              <w:top w:val="nil"/>
              <w:left w:val="nil"/>
              <w:bottom w:val="nil"/>
              <w:right w:val="nil"/>
            </w:tcBorders>
          </w:tcPr>
          <w:p w14:paraId="19F247BB" w14:textId="77777777" w:rsidR="00F94AC9" w:rsidRPr="00B05BED" w:rsidRDefault="00F94AC9" w:rsidP="00115976">
            <w:pPr>
              <w:spacing w:line="360" w:lineRule="auto"/>
              <w:jc w:val="center"/>
              <w:rPr>
                <w:rFonts w:ascii="Arial" w:eastAsia="Calibri" w:hAnsi="Arial" w:cs="Arial"/>
              </w:rPr>
            </w:pPr>
          </w:p>
        </w:tc>
      </w:tr>
      <w:tr w:rsidR="00F94AC9" w:rsidRPr="00B05BED" w14:paraId="2671BD01" w14:textId="77777777" w:rsidTr="00115976">
        <w:tc>
          <w:tcPr>
            <w:tcW w:w="3209" w:type="dxa"/>
            <w:tcBorders>
              <w:top w:val="nil"/>
              <w:left w:val="nil"/>
              <w:bottom w:val="nil"/>
              <w:right w:val="nil"/>
            </w:tcBorders>
          </w:tcPr>
          <w:p w14:paraId="3D4167F4"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Cervical</w:t>
            </w:r>
          </w:p>
        </w:tc>
        <w:tc>
          <w:tcPr>
            <w:tcW w:w="3209" w:type="dxa"/>
            <w:tcBorders>
              <w:top w:val="nil"/>
              <w:left w:val="nil"/>
              <w:bottom w:val="nil"/>
              <w:right w:val="nil"/>
            </w:tcBorders>
          </w:tcPr>
          <w:p w14:paraId="113DC29A"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15 (13%)</w:t>
            </w:r>
          </w:p>
        </w:tc>
        <w:tc>
          <w:tcPr>
            <w:tcW w:w="3210" w:type="dxa"/>
            <w:tcBorders>
              <w:top w:val="nil"/>
              <w:left w:val="nil"/>
              <w:bottom w:val="nil"/>
              <w:right w:val="nil"/>
            </w:tcBorders>
          </w:tcPr>
          <w:p w14:paraId="095F41F3"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10 (9%)</w:t>
            </w:r>
          </w:p>
        </w:tc>
      </w:tr>
      <w:tr w:rsidR="00F94AC9" w:rsidRPr="00B05BED" w14:paraId="5CCD8A35" w14:textId="77777777" w:rsidTr="00115976">
        <w:tc>
          <w:tcPr>
            <w:tcW w:w="3209" w:type="dxa"/>
            <w:tcBorders>
              <w:top w:val="nil"/>
              <w:left w:val="nil"/>
              <w:bottom w:val="nil"/>
              <w:right w:val="nil"/>
            </w:tcBorders>
          </w:tcPr>
          <w:p w14:paraId="746C8BE7"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Thoracic</w:t>
            </w:r>
          </w:p>
        </w:tc>
        <w:tc>
          <w:tcPr>
            <w:tcW w:w="3209" w:type="dxa"/>
            <w:tcBorders>
              <w:top w:val="nil"/>
              <w:left w:val="nil"/>
              <w:bottom w:val="nil"/>
              <w:right w:val="nil"/>
            </w:tcBorders>
          </w:tcPr>
          <w:p w14:paraId="03401422"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2 (2%)</w:t>
            </w:r>
          </w:p>
        </w:tc>
        <w:tc>
          <w:tcPr>
            <w:tcW w:w="3210" w:type="dxa"/>
            <w:tcBorders>
              <w:top w:val="nil"/>
              <w:left w:val="nil"/>
              <w:bottom w:val="nil"/>
              <w:right w:val="nil"/>
            </w:tcBorders>
          </w:tcPr>
          <w:p w14:paraId="4C510F87"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8 (7%)</w:t>
            </w:r>
          </w:p>
        </w:tc>
      </w:tr>
      <w:tr w:rsidR="00F94AC9" w:rsidRPr="00B05BED" w14:paraId="750A6EE4" w14:textId="77777777" w:rsidTr="00115976">
        <w:tc>
          <w:tcPr>
            <w:tcW w:w="3209" w:type="dxa"/>
            <w:tcBorders>
              <w:top w:val="nil"/>
              <w:left w:val="nil"/>
              <w:bottom w:val="nil"/>
              <w:right w:val="nil"/>
            </w:tcBorders>
          </w:tcPr>
          <w:p w14:paraId="543BEDC4"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Lumbar</w:t>
            </w:r>
          </w:p>
        </w:tc>
        <w:tc>
          <w:tcPr>
            <w:tcW w:w="3209" w:type="dxa"/>
            <w:tcBorders>
              <w:top w:val="nil"/>
              <w:left w:val="nil"/>
              <w:bottom w:val="nil"/>
              <w:right w:val="nil"/>
            </w:tcBorders>
          </w:tcPr>
          <w:p w14:paraId="1A1D623B"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23 (19%)</w:t>
            </w:r>
          </w:p>
        </w:tc>
        <w:tc>
          <w:tcPr>
            <w:tcW w:w="3210" w:type="dxa"/>
            <w:tcBorders>
              <w:top w:val="nil"/>
              <w:left w:val="nil"/>
              <w:bottom w:val="nil"/>
              <w:right w:val="nil"/>
            </w:tcBorders>
          </w:tcPr>
          <w:p w14:paraId="744E25BB"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20 (19%)</w:t>
            </w:r>
          </w:p>
        </w:tc>
      </w:tr>
      <w:tr w:rsidR="00F94AC9" w:rsidRPr="00B05BED" w14:paraId="3A24D6C7" w14:textId="77777777" w:rsidTr="00115976">
        <w:tc>
          <w:tcPr>
            <w:tcW w:w="3209" w:type="dxa"/>
            <w:tcBorders>
              <w:top w:val="nil"/>
              <w:left w:val="nil"/>
              <w:bottom w:val="nil"/>
              <w:right w:val="nil"/>
            </w:tcBorders>
          </w:tcPr>
          <w:p w14:paraId="2C4D19B0"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Pelvis/SIJ</w:t>
            </w:r>
          </w:p>
        </w:tc>
        <w:tc>
          <w:tcPr>
            <w:tcW w:w="3209" w:type="dxa"/>
            <w:tcBorders>
              <w:top w:val="nil"/>
              <w:left w:val="nil"/>
              <w:bottom w:val="nil"/>
              <w:right w:val="nil"/>
            </w:tcBorders>
          </w:tcPr>
          <w:p w14:paraId="24DF4E54"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0</w:t>
            </w:r>
          </w:p>
        </w:tc>
        <w:tc>
          <w:tcPr>
            <w:tcW w:w="3210" w:type="dxa"/>
            <w:tcBorders>
              <w:top w:val="nil"/>
              <w:left w:val="nil"/>
              <w:bottom w:val="nil"/>
              <w:right w:val="nil"/>
            </w:tcBorders>
          </w:tcPr>
          <w:p w14:paraId="25CCBABE"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3 (3%)</w:t>
            </w:r>
          </w:p>
        </w:tc>
      </w:tr>
      <w:tr w:rsidR="00F94AC9" w:rsidRPr="00B05BED" w14:paraId="5489E8C0" w14:textId="77777777" w:rsidTr="00115976">
        <w:tc>
          <w:tcPr>
            <w:tcW w:w="3209" w:type="dxa"/>
            <w:tcBorders>
              <w:top w:val="nil"/>
              <w:left w:val="nil"/>
              <w:bottom w:val="nil"/>
              <w:right w:val="nil"/>
            </w:tcBorders>
          </w:tcPr>
          <w:p w14:paraId="32505C45"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Abdominal</w:t>
            </w:r>
          </w:p>
        </w:tc>
        <w:tc>
          <w:tcPr>
            <w:tcW w:w="3209" w:type="dxa"/>
            <w:tcBorders>
              <w:top w:val="nil"/>
              <w:left w:val="nil"/>
              <w:bottom w:val="nil"/>
              <w:right w:val="nil"/>
            </w:tcBorders>
          </w:tcPr>
          <w:p w14:paraId="4FF0A3F3"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0</w:t>
            </w:r>
          </w:p>
        </w:tc>
        <w:tc>
          <w:tcPr>
            <w:tcW w:w="3210" w:type="dxa"/>
            <w:tcBorders>
              <w:top w:val="nil"/>
              <w:left w:val="nil"/>
              <w:bottom w:val="nil"/>
              <w:right w:val="nil"/>
            </w:tcBorders>
          </w:tcPr>
          <w:p w14:paraId="5DCE75CC"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 (0.5%)</w:t>
            </w:r>
          </w:p>
        </w:tc>
      </w:tr>
      <w:tr w:rsidR="00F94AC9" w:rsidRPr="00B05BED" w14:paraId="0FF5696D" w14:textId="77777777" w:rsidTr="00115976">
        <w:tc>
          <w:tcPr>
            <w:tcW w:w="3209" w:type="dxa"/>
            <w:tcBorders>
              <w:top w:val="nil"/>
              <w:left w:val="nil"/>
              <w:bottom w:val="nil"/>
              <w:right w:val="nil"/>
            </w:tcBorders>
          </w:tcPr>
          <w:p w14:paraId="49B2FF31" w14:textId="77777777" w:rsidR="00F94AC9" w:rsidRPr="00B05BED" w:rsidRDefault="00F94AC9" w:rsidP="00115976">
            <w:pPr>
              <w:spacing w:line="360" w:lineRule="auto"/>
              <w:rPr>
                <w:rFonts w:ascii="Arial" w:eastAsia="Calibri" w:hAnsi="Arial" w:cs="Arial"/>
                <w:b/>
              </w:rPr>
            </w:pPr>
          </w:p>
        </w:tc>
        <w:tc>
          <w:tcPr>
            <w:tcW w:w="3209" w:type="dxa"/>
            <w:tcBorders>
              <w:top w:val="nil"/>
              <w:left w:val="nil"/>
              <w:bottom w:val="nil"/>
              <w:right w:val="nil"/>
            </w:tcBorders>
          </w:tcPr>
          <w:p w14:paraId="72F4D4C9" w14:textId="77777777" w:rsidR="00F94AC9" w:rsidRPr="00B05BED" w:rsidRDefault="00F94AC9" w:rsidP="00115976">
            <w:pPr>
              <w:spacing w:line="360" w:lineRule="auto"/>
              <w:jc w:val="center"/>
              <w:rPr>
                <w:rFonts w:ascii="Arial" w:eastAsia="Calibri" w:hAnsi="Arial" w:cs="Arial"/>
              </w:rPr>
            </w:pPr>
          </w:p>
        </w:tc>
        <w:tc>
          <w:tcPr>
            <w:tcW w:w="3210" w:type="dxa"/>
            <w:tcBorders>
              <w:top w:val="nil"/>
              <w:left w:val="nil"/>
              <w:bottom w:val="nil"/>
              <w:right w:val="nil"/>
            </w:tcBorders>
          </w:tcPr>
          <w:p w14:paraId="359428FE" w14:textId="77777777" w:rsidR="00F94AC9" w:rsidRPr="00B05BED" w:rsidRDefault="00F94AC9" w:rsidP="00115976">
            <w:pPr>
              <w:spacing w:line="360" w:lineRule="auto"/>
              <w:jc w:val="center"/>
              <w:rPr>
                <w:rFonts w:ascii="Arial" w:eastAsia="Calibri" w:hAnsi="Arial" w:cs="Arial"/>
              </w:rPr>
            </w:pPr>
          </w:p>
        </w:tc>
      </w:tr>
      <w:tr w:rsidR="00F94AC9" w:rsidRPr="00B05BED" w14:paraId="71DE8C91" w14:textId="77777777" w:rsidTr="00115976">
        <w:tc>
          <w:tcPr>
            <w:tcW w:w="3209" w:type="dxa"/>
            <w:tcBorders>
              <w:top w:val="nil"/>
              <w:left w:val="nil"/>
              <w:bottom w:val="nil"/>
              <w:right w:val="nil"/>
            </w:tcBorders>
          </w:tcPr>
          <w:p w14:paraId="54DA2335" w14:textId="77777777" w:rsidR="00F94AC9" w:rsidRPr="00B05BED" w:rsidRDefault="00F94AC9" w:rsidP="00115976">
            <w:pPr>
              <w:spacing w:line="360" w:lineRule="auto"/>
              <w:rPr>
                <w:rFonts w:ascii="Arial" w:eastAsia="Calibri" w:hAnsi="Arial" w:cs="Arial"/>
                <w:b/>
              </w:rPr>
            </w:pPr>
            <w:r w:rsidRPr="00B05BED">
              <w:rPr>
                <w:rFonts w:ascii="Arial" w:eastAsia="Calibri" w:hAnsi="Arial" w:cs="Arial"/>
                <w:b/>
              </w:rPr>
              <w:t>Lower Extremity</w:t>
            </w:r>
          </w:p>
        </w:tc>
        <w:tc>
          <w:tcPr>
            <w:tcW w:w="3209" w:type="dxa"/>
            <w:tcBorders>
              <w:top w:val="nil"/>
              <w:left w:val="nil"/>
              <w:bottom w:val="nil"/>
              <w:right w:val="nil"/>
            </w:tcBorders>
          </w:tcPr>
          <w:p w14:paraId="4F859353" w14:textId="77777777" w:rsidR="00F94AC9" w:rsidRPr="00B05BED" w:rsidRDefault="00F94AC9" w:rsidP="00115976">
            <w:pPr>
              <w:spacing w:line="360" w:lineRule="auto"/>
              <w:jc w:val="center"/>
              <w:rPr>
                <w:rFonts w:ascii="Arial" w:eastAsia="Calibri" w:hAnsi="Arial" w:cs="Arial"/>
              </w:rPr>
            </w:pPr>
          </w:p>
        </w:tc>
        <w:tc>
          <w:tcPr>
            <w:tcW w:w="3210" w:type="dxa"/>
            <w:tcBorders>
              <w:top w:val="nil"/>
              <w:left w:val="nil"/>
              <w:bottom w:val="nil"/>
              <w:right w:val="nil"/>
            </w:tcBorders>
          </w:tcPr>
          <w:p w14:paraId="5271C6A5" w14:textId="77777777" w:rsidR="00F94AC9" w:rsidRPr="00B05BED" w:rsidRDefault="00F94AC9" w:rsidP="00115976">
            <w:pPr>
              <w:spacing w:line="360" w:lineRule="auto"/>
              <w:jc w:val="center"/>
              <w:rPr>
                <w:rFonts w:ascii="Arial" w:eastAsia="Calibri" w:hAnsi="Arial" w:cs="Arial"/>
              </w:rPr>
            </w:pPr>
          </w:p>
        </w:tc>
      </w:tr>
      <w:tr w:rsidR="00F94AC9" w:rsidRPr="00B05BED" w14:paraId="1139CAE7" w14:textId="77777777" w:rsidTr="00115976">
        <w:tc>
          <w:tcPr>
            <w:tcW w:w="3209" w:type="dxa"/>
            <w:tcBorders>
              <w:top w:val="nil"/>
              <w:left w:val="nil"/>
              <w:bottom w:val="nil"/>
              <w:right w:val="nil"/>
            </w:tcBorders>
          </w:tcPr>
          <w:p w14:paraId="01C394B6"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Groin</w:t>
            </w:r>
          </w:p>
        </w:tc>
        <w:tc>
          <w:tcPr>
            <w:tcW w:w="3209" w:type="dxa"/>
            <w:tcBorders>
              <w:top w:val="nil"/>
              <w:left w:val="nil"/>
              <w:bottom w:val="nil"/>
              <w:right w:val="nil"/>
            </w:tcBorders>
          </w:tcPr>
          <w:p w14:paraId="472CAB4F"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0</w:t>
            </w:r>
          </w:p>
        </w:tc>
        <w:tc>
          <w:tcPr>
            <w:tcW w:w="3210" w:type="dxa"/>
            <w:tcBorders>
              <w:top w:val="nil"/>
              <w:left w:val="nil"/>
              <w:bottom w:val="nil"/>
              <w:right w:val="nil"/>
            </w:tcBorders>
          </w:tcPr>
          <w:p w14:paraId="17B4E174"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3 (3%)</w:t>
            </w:r>
          </w:p>
        </w:tc>
      </w:tr>
      <w:tr w:rsidR="00F94AC9" w:rsidRPr="00B05BED" w14:paraId="3C55EC6D" w14:textId="77777777" w:rsidTr="00115976">
        <w:tc>
          <w:tcPr>
            <w:tcW w:w="3209" w:type="dxa"/>
            <w:tcBorders>
              <w:top w:val="nil"/>
              <w:left w:val="nil"/>
              <w:bottom w:val="nil"/>
              <w:right w:val="nil"/>
            </w:tcBorders>
          </w:tcPr>
          <w:p w14:paraId="7129B663"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Hip</w:t>
            </w:r>
          </w:p>
        </w:tc>
        <w:tc>
          <w:tcPr>
            <w:tcW w:w="3209" w:type="dxa"/>
            <w:tcBorders>
              <w:top w:val="nil"/>
              <w:left w:val="nil"/>
              <w:bottom w:val="nil"/>
              <w:right w:val="nil"/>
            </w:tcBorders>
          </w:tcPr>
          <w:p w14:paraId="6846F630"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6 (5%)</w:t>
            </w:r>
          </w:p>
        </w:tc>
        <w:tc>
          <w:tcPr>
            <w:tcW w:w="3210" w:type="dxa"/>
            <w:tcBorders>
              <w:top w:val="nil"/>
              <w:left w:val="nil"/>
              <w:bottom w:val="nil"/>
              <w:right w:val="nil"/>
            </w:tcBorders>
          </w:tcPr>
          <w:p w14:paraId="055F83F4"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4 (4%)</w:t>
            </w:r>
          </w:p>
        </w:tc>
      </w:tr>
      <w:tr w:rsidR="00F94AC9" w:rsidRPr="00B05BED" w14:paraId="2B779A6E" w14:textId="77777777" w:rsidTr="00115976">
        <w:tc>
          <w:tcPr>
            <w:tcW w:w="3209" w:type="dxa"/>
            <w:tcBorders>
              <w:top w:val="nil"/>
              <w:left w:val="nil"/>
              <w:bottom w:val="nil"/>
              <w:right w:val="nil"/>
            </w:tcBorders>
          </w:tcPr>
          <w:p w14:paraId="475BE1B2"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Hamstring</w:t>
            </w:r>
          </w:p>
        </w:tc>
        <w:tc>
          <w:tcPr>
            <w:tcW w:w="3209" w:type="dxa"/>
            <w:tcBorders>
              <w:top w:val="nil"/>
              <w:left w:val="nil"/>
              <w:bottom w:val="nil"/>
              <w:right w:val="nil"/>
            </w:tcBorders>
          </w:tcPr>
          <w:p w14:paraId="2AEE4A2C"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4 (3%)</w:t>
            </w:r>
          </w:p>
        </w:tc>
        <w:tc>
          <w:tcPr>
            <w:tcW w:w="3210" w:type="dxa"/>
            <w:tcBorders>
              <w:top w:val="nil"/>
              <w:left w:val="nil"/>
              <w:bottom w:val="nil"/>
              <w:right w:val="nil"/>
            </w:tcBorders>
          </w:tcPr>
          <w:p w14:paraId="12A05207"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2 (1%)</w:t>
            </w:r>
          </w:p>
        </w:tc>
      </w:tr>
      <w:tr w:rsidR="00F94AC9" w:rsidRPr="00B05BED" w14:paraId="1C2C3D98" w14:textId="77777777" w:rsidTr="00115976">
        <w:tc>
          <w:tcPr>
            <w:tcW w:w="3209" w:type="dxa"/>
            <w:tcBorders>
              <w:top w:val="nil"/>
              <w:left w:val="nil"/>
              <w:bottom w:val="nil"/>
              <w:right w:val="nil"/>
            </w:tcBorders>
          </w:tcPr>
          <w:p w14:paraId="266C372B"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Knee</w:t>
            </w:r>
          </w:p>
        </w:tc>
        <w:tc>
          <w:tcPr>
            <w:tcW w:w="3209" w:type="dxa"/>
            <w:tcBorders>
              <w:top w:val="nil"/>
              <w:left w:val="nil"/>
              <w:bottom w:val="nil"/>
              <w:right w:val="nil"/>
            </w:tcBorders>
          </w:tcPr>
          <w:p w14:paraId="208D31DB"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22 (19%)</w:t>
            </w:r>
          </w:p>
        </w:tc>
        <w:tc>
          <w:tcPr>
            <w:tcW w:w="3210" w:type="dxa"/>
            <w:tcBorders>
              <w:top w:val="nil"/>
              <w:left w:val="nil"/>
              <w:bottom w:val="nil"/>
              <w:right w:val="nil"/>
            </w:tcBorders>
          </w:tcPr>
          <w:p w14:paraId="63BE721A"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11 (10%)</w:t>
            </w:r>
          </w:p>
        </w:tc>
      </w:tr>
      <w:tr w:rsidR="00F94AC9" w:rsidRPr="00B05BED" w14:paraId="0EE25F4C" w14:textId="77777777" w:rsidTr="00115976">
        <w:tc>
          <w:tcPr>
            <w:tcW w:w="3209" w:type="dxa"/>
            <w:tcBorders>
              <w:top w:val="nil"/>
              <w:left w:val="nil"/>
              <w:bottom w:val="nil"/>
              <w:right w:val="nil"/>
            </w:tcBorders>
          </w:tcPr>
          <w:p w14:paraId="6843A424"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Tibia</w:t>
            </w:r>
          </w:p>
        </w:tc>
        <w:tc>
          <w:tcPr>
            <w:tcW w:w="3209" w:type="dxa"/>
            <w:tcBorders>
              <w:top w:val="nil"/>
              <w:left w:val="nil"/>
              <w:bottom w:val="nil"/>
              <w:right w:val="nil"/>
            </w:tcBorders>
          </w:tcPr>
          <w:p w14:paraId="05FCF490"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0</w:t>
            </w:r>
          </w:p>
        </w:tc>
        <w:tc>
          <w:tcPr>
            <w:tcW w:w="3210" w:type="dxa"/>
            <w:tcBorders>
              <w:top w:val="nil"/>
              <w:left w:val="nil"/>
              <w:bottom w:val="nil"/>
              <w:right w:val="nil"/>
            </w:tcBorders>
          </w:tcPr>
          <w:p w14:paraId="543EF8FA"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1 (0.5%)</w:t>
            </w:r>
          </w:p>
        </w:tc>
      </w:tr>
      <w:tr w:rsidR="00F94AC9" w:rsidRPr="00B05BED" w14:paraId="645E968B" w14:textId="77777777" w:rsidTr="00115976">
        <w:tc>
          <w:tcPr>
            <w:tcW w:w="3209" w:type="dxa"/>
            <w:tcBorders>
              <w:top w:val="nil"/>
              <w:left w:val="nil"/>
              <w:bottom w:val="nil"/>
              <w:right w:val="nil"/>
            </w:tcBorders>
          </w:tcPr>
          <w:p w14:paraId="1D6E9D3C"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Calf</w:t>
            </w:r>
          </w:p>
        </w:tc>
        <w:tc>
          <w:tcPr>
            <w:tcW w:w="3209" w:type="dxa"/>
            <w:tcBorders>
              <w:top w:val="nil"/>
              <w:left w:val="nil"/>
              <w:bottom w:val="nil"/>
              <w:right w:val="nil"/>
            </w:tcBorders>
          </w:tcPr>
          <w:p w14:paraId="3792CA3C"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8 (7%)</w:t>
            </w:r>
          </w:p>
        </w:tc>
        <w:tc>
          <w:tcPr>
            <w:tcW w:w="3210" w:type="dxa"/>
            <w:tcBorders>
              <w:top w:val="nil"/>
              <w:left w:val="nil"/>
              <w:bottom w:val="nil"/>
              <w:right w:val="nil"/>
            </w:tcBorders>
          </w:tcPr>
          <w:p w14:paraId="1565258F"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3 (3%)</w:t>
            </w:r>
          </w:p>
        </w:tc>
      </w:tr>
      <w:tr w:rsidR="00F94AC9" w:rsidRPr="00B05BED" w14:paraId="4721F9FB" w14:textId="77777777" w:rsidTr="00115976">
        <w:tc>
          <w:tcPr>
            <w:tcW w:w="3209" w:type="dxa"/>
            <w:tcBorders>
              <w:top w:val="nil"/>
              <w:left w:val="nil"/>
              <w:bottom w:val="nil"/>
              <w:right w:val="nil"/>
            </w:tcBorders>
          </w:tcPr>
          <w:p w14:paraId="1BC24A29"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Lower Leg</w:t>
            </w:r>
          </w:p>
        </w:tc>
        <w:tc>
          <w:tcPr>
            <w:tcW w:w="3209" w:type="dxa"/>
            <w:tcBorders>
              <w:top w:val="nil"/>
              <w:left w:val="nil"/>
              <w:bottom w:val="nil"/>
              <w:right w:val="nil"/>
            </w:tcBorders>
          </w:tcPr>
          <w:p w14:paraId="07A3BD72"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3 (3%)</w:t>
            </w:r>
          </w:p>
        </w:tc>
        <w:tc>
          <w:tcPr>
            <w:tcW w:w="3210" w:type="dxa"/>
            <w:tcBorders>
              <w:top w:val="nil"/>
              <w:left w:val="nil"/>
              <w:bottom w:val="nil"/>
              <w:right w:val="nil"/>
            </w:tcBorders>
          </w:tcPr>
          <w:p w14:paraId="2FA77AE2"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0</w:t>
            </w:r>
          </w:p>
        </w:tc>
      </w:tr>
      <w:tr w:rsidR="00F94AC9" w:rsidRPr="00B05BED" w14:paraId="2FEB31DB" w14:textId="77777777" w:rsidTr="00115976">
        <w:tc>
          <w:tcPr>
            <w:tcW w:w="3209" w:type="dxa"/>
            <w:tcBorders>
              <w:top w:val="nil"/>
              <w:left w:val="nil"/>
              <w:bottom w:val="nil"/>
              <w:right w:val="nil"/>
            </w:tcBorders>
          </w:tcPr>
          <w:p w14:paraId="7D7FEFC4"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Ankle</w:t>
            </w:r>
          </w:p>
        </w:tc>
        <w:tc>
          <w:tcPr>
            <w:tcW w:w="3209" w:type="dxa"/>
            <w:tcBorders>
              <w:top w:val="nil"/>
              <w:left w:val="nil"/>
              <w:bottom w:val="nil"/>
              <w:right w:val="nil"/>
            </w:tcBorders>
          </w:tcPr>
          <w:p w14:paraId="301E2D63"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7 (6%)</w:t>
            </w:r>
          </w:p>
        </w:tc>
        <w:tc>
          <w:tcPr>
            <w:tcW w:w="3210" w:type="dxa"/>
            <w:tcBorders>
              <w:top w:val="nil"/>
              <w:left w:val="nil"/>
              <w:bottom w:val="nil"/>
              <w:right w:val="nil"/>
            </w:tcBorders>
          </w:tcPr>
          <w:p w14:paraId="10BFFA1F"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8 (7%)</w:t>
            </w:r>
          </w:p>
        </w:tc>
      </w:tr>
      <w:tr w:rsidR="00F94AC9" w:rsidRPr="00B05BED" w14:paraId="41542A0E" w14:textId="77777777" w:rsidTr="00115976">
        <w:tc>
          <w:tcPr>
            <w:tcW w:w="3209" w:type="dxa"/>
            <w:tcBorders>
              <w:top w:val="nil"/>
              <w:left w:val="nil"/>
              <w:right w:val="nil"/>
            </w:tcBorders>
          </w:tcPr>
          <w:p w14:paraId="6CE47A0B" w14:textId="77777777" w:rsidR="00F94AC9" w:rsidRPr="00B05BED" w:rsidRDefault="00F94AC9" w:rsidP="00115976">
            <w:pPr>
              <w:spacing w:line="360" w:lineRule="auto"/>
              <w:rPr>
                <w:rFonts w:ascii="Arial" w:eastAsia="Calibri" w:hAnsi="Arial" w:cs="Arial"/>
              </w:rPr>
            </w:pPr>
            <w:r w:rsidRPr="00B05BED">
              <w:rPr>
                <w:rFonts w:ascii="Arial" w:eastAsia="Calibri" w:hAnsi="Arial" w:cs="Arial"/>
              </w:rPr>
              <w:t>Foot</w:t>
            </w:r>
          </w:p>
        </w:tc>
        <w:tc>
          <w:tcPr>
            <w:tcW w:w="3209" w:type="dxa"/>
            <w:tcBorders>
              <w:top w:val="nil"/>
              <w:left w:val="nil"/>
              <w:right w:val="nil"/>
            </w:tcBorders>
          </w:tcPr>
          <w:p w14:paraId="142AEFE2"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6 (5%)</w:t>
            </w:r>
          </w:p>
        </w:tc>
        <w:tc>
          <w:tcPr>
            <w:tcW w:w="3210" w:type="dxa"/>
            <w:tcBorders>
              <w:top w:val="nil"/>
              <w:left w:val="nil"/>
              <w:right w:val="nil"/>
            </w:tcBorders>
          </w:tcPr>
          <w:p w14:paraId="4E417C8E" w14:textId="77777777" w:rsidR="00F94AC9" w:rsidRPr="00B05BED" w:rsidRDefault="00F94AC9" w:rsidP="00115976">
            <w:pPr>
              <w:spacing w:line="360" w:lineRule="auto"/>
              <w:jc w:val="center"/>
              <w:rPr>
                <w:rFonts w:ascii="Arial" w:eastAsia="Calibri" w:hAnsi="Arial" w:cs="Arial"/>
              </w:rPr>
            </w:pPr>
            <w:r w:rsidRPr="00B05BED">
              <w:rPr>
                <w:rFonts w:ascii="Arial" w:eastAsia="Calibri" w:hAnsi="Arial" w:cs="Arial"/>
              </w:rPr>
              <w:t>3 (3%)</w:t>
            </w:r>
          </w:p>
        </w:tc>
      </w:tr>
    </w:tbl>
    <w:p w14:paraId="54DE2617" w14:textId="77777777" w:rsidR="00F94AC9" w:rsidRPr="00B05BED" w:rsidRDefault="00F94AC9" w:rsidP="00F94AC9">
      <w:pPr>
        <w:spacing w:after="0" w:line="360" w:lineRule="auto"/>
        <w:rPr>
          <w:rFonts w:ascii="Arial" w:eastAsia="Calibri" w:hAnsi="Arial" w:cs="Arial"/>
          <w:b/>
        </w:rPr>
      </w:pPr>
    </w:p>
    <w:p w14:paraId="69681360" w14:textId="77777777" w:rsidR="00F94AC9" w:rsidRPr="00B05BED" w:rsidRDefault="00F94AC9" w:rsidP="00F94AC9">
      <w:pPr>
        <w:spacing w:after="0" w:line="360" w:lineRule="auto"/>
        <w:rPr>
          <w:rFonts w:ascii="Arial" w:eastAsia="Calibri" w:hAnsi="Arial" w:cs="Arial"/>
          <w:b/>
        </w:rPr>
      </w:pPr>
    </w:p>
    <w:p w14:paraId="23898B79" w14:textId="77777777" w:rsidR="00B05BED" w:rsidRPr="00B05BED" w:rsidRDefault="00B05BED" w:rsidP="00B05BED">
      <w:pPr>
        <w:spacing w:after="0" w:line="360" w:lineRule="auto"/>
        <w:rPr>
          <w:rFonts w:ascii="Arial" w:eastAsia="Calibri" w:hAnsi="Arial" w:cs="Arial"/>
          <w:b/>
        </w:rPr>
        <w:sectPr w:rsidR="00B05BED" w:rsidRPr="00B05BED" w:rsidSect="00B556AB">
          <w:pgSz w:w="11906" w:h="16838"/>
          <w:pgMar w:top="1134" w:right="1134" w:bottom="1134" w:left="1134" w:header="708" w:footer="708" w:gutter="0"/>
          <w:cols w:space="708"/>
          <w:docGrid w:linePitch="360"/>
        </w:sectPr>
      </w:pPr>
    </w:p>
    <w:p w14:paraId="6EB853AE" w14:textId="77777777" w:rsidR="00B05BED" w:rsidRPr="00B05BED" w:rsidRDefault="00B05BED" w:rsidP="00B05BED">
      <w:pPr>
        <w:spacing w:after="0" w:line="360" w:lineRule="auto"/>
        <w:rPr>
          <w:rFonts w:ascii="Arial" w:eastAsia="Calibri" w:hAnsi="Arial" w:cs="Arial"/>
          <w:bCs/>
          <w:vertAlign w:val="superscript"/>
        </w:rPr>
      </w:pPr>
      <w:r w:rsidRPr="00B05BED">
        <w:rPr>
          <w:rFonts w:ascii="Arial" w:eastAsia="Calibri" w:hAnsi="Arial" w:cs="Arial"/>
          <w:b/>
        </w:rPr>
        <w:lastRenderedPageBreak/>
        <w:t>DISCUSSION</w:t>
      </w:r>
    </w:p>
    <w:p w14:paraId="306F394A" w14:textId="77777777" w:rsidR="00B05BED" w:rsidRPr="00B05BED" w:rsidRDefault="00B05BED" w:rsidP="00B05BED">
      <w:pPr>
        <w:spacing w:after="0" w:line="360" w:lineRule="auto"/>
        <w:rPr>
          <w:rFonts w:ascii="Arial" w:eastAsia="Calibri" w:hAnsi="Arial" w:cs="Arial"/>
          <w:i/>
        </w:rPr>
      </w:pPr>
    </w:p>
    <w:p w14:paraId="35F5A81F" w14:textId="77777777" w:rsidR="00B05BED" w:rsidRPr="00B05BED" w:rsidRDefault="00B05BED" w:rsidP="00B05BED">
      <w:pPr>
        <w:spacing w:after="0" w:line="360" w:lineRule="auto"/>
        <w:rPr>
          <w:rFonts w:ascii="Arial" w:eastAsia="Calibri" w:hAnsi="Arial" w:cs="Arial"/>
        </w:rPr>
      </w:pPr>
      <w:r w:rsidRPr="00B05BED">
        <w:rPr>
          <w:rFonts w:ascii="Arial" w:eastAsia="Calibri" w:hAnsi="Arial" w:cs="Arial"/>
        </w:rPr>
        <w:t>The present study has identified the incidence, nature, onset, location and cause of self-reported MSKI across a two-year period. A total of 229 injuries were reported by 199 personnel with an injury incidence (calculated as the number of injured personnel per 100 soldier-years) of 26.8 and 27.7 for 2018 and 2019, respectively. When compared to wider global military populations who report injury incidence rates as between 20.8 and 49.2</w:t>
      </w:r>
      <w:r w:rsidRPr="00B05BED">
        <w:rPr>
          <w:rFonts w:ascii="Arial" w:eastAsia="Calibri" w:hAnsi="Arial" w:cs="Arial"/>
          <w:vertAlign w:val="superscript"/>
        </w:rPr>
        <w:t>6</w:t>
      </w:r>
      <w:r w:rsidRPr="00B05BED">
        <w:rPr>
          <w:rFonts w:ascii="Arial" w:eastAsia="Calibri" w:hAnsi="Arial" w:cs="Arial"/>
        </w:rPr>
        <w:t>, the findings of the present study are towards the lower end of the range. Injury frequency rates for global militaries as reported by Stannard and Fortington</w:t>
      </w:r>
      <w:r w:rsidRPr="00B05BED">
        <w:rPr>
          <w:rFonts w:ascii="Arial" w:eastAsia="Calibri" w:hAnsi="Arial" w:cs="Arial"/>
          <w:vertAlign w:val="superscript"/>
        </w:rPr>
        <w:t>6</w:t>
      </w:r>
      <w:r w:rsidRPr="00B05BED">
        <w:rPr>
          <w:rFonts w:ascii="Arial" w:eastAsia="Calibri" w:hAnsi="Arial" w:cs="Arial"/>
        </w:rPr>
        <w:t xml:space="preserve"> range from 24.5 to 84.6 injuries per 100-soldier years which is a much wider range compared to findings of this study (32.2 and 30.4 for 2018 and 2019, respectively). The contrast in findings compared to wider studies may be due to variations in study methodologies and nature of the military role. The methodology of the present study collected data on all reported injuries over the study periods compared to wider studies where injury data was only recorded on study volunteers which is a smaller study population. Thus, if a high percentage of the study population presented with an injury it would result in a higher injury incidence and frequency rate overall. </w:t>
      </w:r>
    </w:p>
    <w:p w14:paraId="2C3F77BE" w14:textId="77777777" w:rsidR="00B05BED" w:rsidRPr="00B05BED" w:rsidRDefault="00B05BED" w:rsidP="00B05BED">
      <w:pPr>
        <w:spacing w:after="0" w:line="240" w:lineRule="auto"/>
        <w:contextualSpacing/>
        <w:rPr>
          <w:rFonts w:ascii="Arial" w:eastAsia="Calibri" w:hAnsi="Arial" w:cs="Arial"/>
        </w:rPr>
      </w:pPr>
    </w:p>
    <w:p w14:paraId="19E17CA2" w14:textId="39ADE355" w:rsidR="00B05BED" w:rsidRPr="00B05BED" w:rsidRDefault="00B05BED" w:rsidP="00B05BED">
      <w:pPr>
        <w:spacing w:after="0" w:line="360" w:lineRule="auto"/>
        <w:contextualSpacing/>
        <w:rPr>
          <w:rFonts w:ascii="Arial" w:eastAsia="Calibri" w:hAnsi="Arial" w:cs="Arial"/>
        </w:rPr>
      </w:pPr>
      <w:r w:rsidRPr="00B05BED">
        <w:rPr>
          <w:rFonts w:ascii="Arial" w:eastAsia="Calibri" w:hAnsi="Arial" w:cs="Arial"/>
        </w:rPr>
        <w:t>New injuries (62%) were reported more frequently than recurring injuries. These findings could not be directly compared with other military MSKI epidemiological studies as most reports do not differentiate between new and recurring injuries; all reported injuries are generally classified as ‘new injuries’</w:t>
      </w:r>
      <w:r w:rsidRPr="00B05BED">
        <w:rPr>
          <w:rFonts w:ascii="Arial" w:eastAsia="Calibri" w:hAnsi="Arial" w:cs="Arial"/>
          <w:vertAlign w:val="superscript"/>
        </w:rPr>
        <w:t>1</w:t>
      </w:r>
      <w:r w:rsidR="00B4796A">
        <w:rPr>
          <w:rFonts w:ascii="Arial" w:eastAsia="Calibri" w:hAnsi="Arial" w:cs="Arial"/>
          <w:vertAlign w:val="superscript"/>
        </w:rPr>
        <w:t>1</w:t>
      </w:r>
      <w:r w:rsidRPr="00B05BED">
        <w:rPr>
          <w:rFonts w:ascii="Arial" w:eastAsia="Calibri" w:hAnsi="Arial" w:cs="Arial"/>
          <w:vertAlign w:val="superscript"/>
        </w:rPr>
        <w:t>-1</w:t>
      </w:r>
      <w:r w:rsidR="00B4796A">
        <w:rPr>
          <w:rFonts w:ascii="Arial" w:eastAsia="Calibri" w:hAnsi="Arial" w:cs="Arial"/>
          <w:vertAlign w:val="superscript"/>
        </w:rPr>
        <w:t>3</w:t>
      </w:r>
      <w:r w:rsidRPr="00B05BED">
        <w:rPr>
          <w:rFonts w:ascii="Arial" w:eastAsia="Calibri" w:hAnsi="Arial" w:cs="Arial"/>
        </w:rPr>
        <w:t>. This approach with the military contrasts with that of elite sport, where injuries are frequently classified as new or recurrent, with specific definitions being detailed in consensus statements</w:t>
      </w:r>
      <w:r w:rsidRPr="00B05BED">
        <w:rPr>
          <w:rFonts w:ascii="Arial" w:eastAsia="Calibri" w:hAnsi="Arial" w:cs="Arial"/>
          <w:vertAlign w:val="superscript"/>
        </w:rPr>
        <w:t>7-</w:t>
      </w:r>
      <w:r w:rsidR="00B4796A">
        <w:rPr>
          <w:rFonts w:ascii="Arial" w:eastAsia="Calibri" w:hAnsi="Arial" w:cs="Arial"/>
          <w:vertAlign w:val="superscript"/>
        </w:rPr>
        <w:t>9</w:t>
      </w:r>
      <w:r w:rsidRPr="00B05BED">
        <w:rPr>
          <w:rFonts w:ascii="Arial" w:eastAsia="Calibri" w:hAnsi="Arial" w:cs="Arial"/>
        </w:rPr>
        <w:t>. Recurrence occurs when there is an injury of the same type and at the same location as a previous injury after an individual’s return to full function</w:t>
      </w:r>
      <w:r w:rsidR="00B4796A">
        <w:rPr>
          <w:rFonts w:ascii="Arial" w:eastAsia="Calibri" w:hAnsi="Arial" w:cs="Arial"/>
          <w:vertAlign w:val="superscript"/>
        </w:rPr>
        <w:t>8</w:t>
      </w:r>
      <w:r w:rsidRPr="00B05BED">
        <w:rPr>
          <w:rFonts w:ascii="Arial" w:eastAsia="Calibri" w:hAnsi="Arial" w:cs="Arial"/>
          <w:vertAlign w:val="superscript"/>
        </w:rPr>
        <w:t>,</w:t>
      </w:r>
      <w:r w:rsidR="00B4796A">
        <w:rPr>
          <w:rFonts w:ascii="Arial" w:eastAsia="Calibri" w:hAnsi="Arial" w:cs="Arial"/>
          <w:vertAlign w:val="superscript"/>
        </w:rPr>
        <w:t>9</w:t>
      </w:r>
      <w:r w:rsidRPr="00B05BED">
        <w:rPr>
          <w:rFonts w:ascii="Arial" w:eastAsia="Calibri" w:hAnsi="Arial" w:cs="Arial"/>
        </w:rPr>
        <w:t>. It is reported, both within the military and sporting environment, that previous injury can increase the risk of sustaining a further injury</w:t>
      </w:r>
      <w:r w:rsidR="00B4796A">
        <w:rPr>
          <w:rFonts w:ascii="Arial" w:eastAsia="Calibri" w:hAnsi="Arial" w:cs="Arial"/>
          <w:vertAlign w:val="superscript"/>
        </w:rPr>
        <w:t>7</w:t>
      </w:r>
      <w:r w:rsidRPr="00B05BED">
        <w:rPr>
          <w:rFonts w:ascii="Arial" w:eastAsia="Calibri" w:hAnsi="Arial" w:cs="Arial"/>
          <w:vertAlign w:val="superscript"/>
        </w:rPr>
        <w:t>,1</w:t>
      </w:r>
      <w:r w:rsidR="00B4796A">
        <w:rPr>
          <w:rFonts w:ascii="Arial" w:eastAsia="Calibri" w:hAnsi="Arial" w:cs="Arial"/>
          <w:vertAlign w:val="superscript"/>
        </w:rPr>
        <w:t>4</w:t>
      </w:r>
      <w:r w:rsidRPr="00B05BED">
        <w:rPr>
          <w:rFonts w:ascii="Arial" w:eastAsia="Calibri" w:hAnsi="Arial" w:cs="Arial"/>
          <w:vertAlign w:val="superscript"/>
        </w:rPr>
        <w:t>,1</w:t>
      </w:r>
      <w:r w:rsidR="00B4796A">
        <w:rPr>
          <w:rFonts w:ascii="Arial" w:eastAsia="Calibri" w:hAnsi="Arial" w:cs="Arial"/>
          <w:vertAlign w:val="superscript"/>
        </w:rPr>
        <w:t>5</w:t>
      </w:r>
      <w:r w:rsidRPr="00B05BED">
        <w:rPr>
          <w:rFonts w:ascii="Arial" w:eastAsia="Calibri" w:hAnsi="Arial" w:cs="Arial"/>
        </w:rPr>
        <w:t>. Therefore, if seeking to develop an injury mitigation strategy, there is a requirement to identify the number of recurrent injuries; these could, in turn, provide a focus for an intervention approach. Recurrent injuries accounted for 38% of injuries in this study. However, what is not known are the factors that may have led to these injuries, including whether they were true re-injuries or exacerbations of existing injuries.</w:t>
      </w:r>
    </w:p>
    <w:p w14:paraId="7A7706B3" w14:textId="77777777" w:rsidR="00B05BED" w:rsidRPr="00B05BED" w:rsidRDefault="00B05BED" w:rsidP="00B05BED">
      <w:pPr>
        <w:spacing w:after="0" w:line="360" w:lineRule="auto"/>
        <w:contextualSpacing/>
        <w:rPr>
          <w:rFonts w:ascii="Arial" w:eastAsia="Calibri" w:hAnsi="Arial" w:cs="Arial"/>
        </w:rPr>
      </w:pPr>
    </w:p>
    <w:p w14:paraId="4348F58A" w14:textId="32702E72" w:rsidR="00B05BED" w:rsidRPr="00B05BED" w:rsidRDefault="00B05BED" w:rsidP="00B05BED">
      <w:pPr>
        <w:spacing w:after="0" w:line="360" w:lineRule="auto"/>
        <w:contextualSpacing/>
        <w:rPr>
          <w:rFonts w:ascii="Arial" w:eastAsia="Calibri" w:hAnsi="Arial" w:cs="Arial"/>
        </w:rPr>
      </w:pPr>
      <w:r w:rsidRPr="00B05BED">
        <w:rPr>
          <w:rFonts w:ascii="Arial" w:eastAsia="Calibri" w:hAnsi="Arial" w:cs="Arial"/>
        </w:rPr>
        <w:t>Onset of injury in the present study was described as sudden or gradual. Sudden onset is usually indicative of an acute traumatic injury with a specific mechanism. Gradual onset injuries present with a slow developing pathology, which may be caused by training load, biomechanics and/ or poor training technique</w:t>
      </w:r>
      <w:r w:rsidRPr="00B05BED">
        <w:rPr>
          <w:rFonts w:ascii="Arial" w:eastAsia="Calibri" w:hAnsi="Arial" w:cs="Arial"/>
          <w:vertAlign w:val="superscript"/>
        </w:rPr>
        <w:t>1</w:t>
      </w:r>
      <w:r w:rsidR="00B4796A">
        <w:rPr>
          <w:rFonts w:ascii="Arial" w:eastAsia="Calibri" w:hAnsi="Arial" w:cs="Arial"/>
          <w:vertAlign w:val="superscript"/>
        </w:rPr>
        <w:t>4</w:t>
      </w:r>
      <w:r w:rsidRPr="00B05BED">
        <w:rPr>
          <w:rFonts w:ascii="Arial" w:eastAsia="Calibri" w:hAnsi="Arial" w:cs="Arial"/>
        </w:rPr>
        <w:t>. The causes leading to gradual onset injuries could be modifiable risk factors and may be considered as areas for intervention when developing MSKI mitigation strategies. Across the two years of the present study, the onset of injury was evenly divided between sudden and gradual; this contrasts with findings in wider military populations. Wilkinson et al</w:t>
      </w:r>
      <w:r w:rsidRPr="00B05BED">
        <w:rPr>
          <w:rFonts w:ascii="Arial" w:eastAsia="Calibri" w:hAnsi="Arial" w:cs="Arial"/>
          <w:vertAlign w:val="superscript"/>
        </w:rPr>
        <w:t>1</w:t>
      </w:r>
      <w:r w:rsidR="00B4796A">
        <w:rPr>
          <w:rFonts w:ascii="Arial" w:eastAsia="Calibri" w:hAnsi="Arial" w:cs="Arial"/>
          <w:vertAlign w:val="superscript"/>
        </w:rPr>
        <w:t>1</w:t>
      </w:r>
      <w:r w:rsidRPr="00B05BED">
        <w:rPr>
          <w:rFonts w:ascii="Arial" w:eastAsia="Calibri" w:hAnsi="Arial" w:cs="Arial"/>
        </w:rPr>
        <w:t xml:space="preserve"> reported that 13% of injuries in Army Infantry personnel during pre-deployment training were </w:t>
      </w:r>
      <w:r w:rsidRPr="00B05BED">
        <w:rPr>
          <w:rFonts w:ascii="Arial" w:eastAsia="Calibri" w:hAnsi="Arial" w:cs="Arial"/>
        </w:rPr>
        <w:lastRenderedPageBreak/>
        <w:t>due to ‘overuse’, whereas data from wider global militaries range from 26.9% to 33.8% of injuries being overuse</w:t>
      </w:r>
      <w:r w:rsidRPr="00B05BED">
        <w:rPr>
          <w:rFonts w:ascii="Arial" w:eastAsia="Calibri" w:hAnsi="Arial" w:cs="Arial"/>
          <w:vertAlign w:val="superscript"/>
        </w:rPr>
        <w:t>6</w:t>
      </w:r>
      <w:r w:rsidRPr="00B05BED">
        <w:rPr>
          <w:rFonts w:ascii="Arial" w:eastAsia="Calibri" w:hAnsi="Arial" w:cs="Arial"/>
        </w:rPr>
        <w:t>. These findings were substantially lower than the figures presented in the present study. This may be due to differences in terminology, where overuse injuries have been described as ‘</w:t>
      </w:r>
      <w:r w:rsidRPr="00B05BED">
        <w:rPr>
          <w:rFonts w:ascii="Arial" w:eastAsia="Calibri" w:hAnsi="Arial" w:cs="Arial"/>
          <w:i/>
        </w:rPr>
        <w:t>one exacerbated by activity and relieved by rest</w:t>
      </w:r>
      <w:r w:rsidRPr="00B05BED">
        <w:rPr>
          <w:rFonts w:ascii="Arial" w:eastAsia="Calibri" w:hAnsi="Arial" w:cs="Arial"/>
        </w:rPr>
        <w:t>’</w:t>
      </w:r>
      <w:r w:rsidRPr="00B05BED">
        <w:rPr>
          <w:rFonts w:ascii="Arial" w:eastAsia="Calibri" w:hAnsi="Arial" w:cs="Arial"/>
          <w:vertAlign w:val="superscript"/>
        </w:rPr>
        <w:t>1</w:t>
      </w:r>
      <w:r w:rsidR="00B4796A">
        <w:rPr>
          <w:rFonts w:ascii="Arial" w:eastAsia="Calibri" w:hAnsi="Arial" w:cs="Arial"/>
          <w:vertAlign w:val="superscript"/>
        </w:rPr>
        <w:t>6</w:t>
      </w:r>
      <w:r w:rsidRPr="00B05BED">
        <w:rPr>
          <w:rFonts w:ascii="Arial" w:eastAsia="Calibri" w:hAnsi="Arial" w:cs="Arial"/>
          <w:vertAlign w:val="superscript"/>
        </w:rPr>
        <w:t xml:space="preserve"> </w:t>
      </w:r>
      <w:r w:rsidRPr="00B05BED">
        <w:rPr>
          <w:rFonts w:ascii="Arial" w:eastAsia="Calibri" w:hAnsi="Arial" w:cs="Arial"/>
        </w:rPr>
        <w:t>or ‘</w:t>
      </w:r>
      <w:r w:rsidRPr="00B05BED">
        <w:rPr>
          <w:rFonts w:ascii="Arial" w:eastAsia="Calibri" w:hAnsi="Arial" w:cs="Arial"/>
          <w:i/>
        </w:rPr>
        <w:t>due or related to long-term, repetitive energy exchanges resulting in cumulative microtrauma</w:t>
      </w:r>
      <w:r w:rsidRPr="00B05BED">
        <w:rPr>
          <w:rFonts w:ascii="Arial" w:eastAsia="Calibri" w:hAnsi="Arial" w:cs="Arial"/>
        </w:rPr>
        <w:t>’</w:t>
      </w:r>
      <w:r w:rsidRPr="00B05BED">
        <w:rPr>
          <w:rFonts w:ascii="Arial" w:eastAsia="Calibri" w:hAnsi="Arial" w:cs="Arial"/>
          <w:vertAlign w:val="superscript"/>
        </w:rPr>
        <w:t>1</w:t>
      </w:r>
      <w:r w:rsidR="00B4796A">
        <w:rPr>
          <w:rFonts w:ascii="Arial" w:eastAsia="Calibri" w:hAnsi="Arial" w:cs="Arial"/>
          <w:vertAlign w:val="superscript"/>
        </w:rPr>
        <w:t>1</w:t>
      </w:r>
      <w:r w:rsidRPr="00B05BED">
        <w:rPr>
          <w:rFonts w:ascii="Arial" w:eastAsia="Calibri" w:hAnsi="Arial" w:cs="Arial"/>
        </w:rPr>
        <w:t>. The present study classified all non-acute injuries (no specific or traumatic onset of injury) as gradual onset, which may account for the higher number reported. Variations in terminology for military injury surveillance presents a challenge as it does not allow for direct comparisons between studies. Taking into account the high number of gradual onset injuries identified in this study, modifiable risk factors associated with these injuries should be considered in the development of an appropriate physical training programme to address the underlying issues.</w:t>
      </w:r>
    </w:p>
    <w:p w14:paraId="61009A5A" w14:textId="77777777" w:rsidR="00B05BED" w:rsidRPr="00B05BED" w:rsidRDefault="00B05BED" w:rsidP="00B05BED">
      <w:pPr>
        <w:spacing w:after="0" w:line="360" w:lineRule="auto"/>
        <w:rPr>
          <w:rFonts w:ascii="Arial" w:eastAsia="Calibri" w:hAnsi="Arial" w:cs="Arial"/>
          <w:b/>
        </w:rPr>
      </w:pPr>
    </w:p>
    <w:p w14:paraId="6F2E6C1F" w14:textId="6A7E64AE" w:rsidR="00B05BED" w:rsidRPr="00B05BED" w:rsidRDefault="00B05BED" w:rsidP="00B05BED">
      <w:pPr>
        <w:spacing w:after="0" w:line="360" w:lineRule="auto"/>
        <w:rPr>
          <w:rFonts w:ascii="Arial" w:eastAsia="Calibri" w:hAnsi="Arial" w:cs="Arial"/>
        </w:rPr>
      </w:pPr>
      <w:r w:rsidRPr="00B05BED">
        <w:rPr>
          <w:rFonts w:ascii="Arial" w:eastAsia="Calibri" w:hAnsi="Arial" w:cs="Arial"/>
        </w:rPr>
        <w:t>A number of studies in global military populations and UK Infantry soldiers have identified physical training as the leading cause of injury within military personnel</w:t>
      </w:r>
      <w:r w:rsidRPr="00B05BED">
        <w:rPr>
          <w:rFonts w:ascii="Arial" w:eastAsia="Calibri" w:hAnsi="Arial" w:cs="Arial"/>
          <w:vertAlign w:val="superscript"/>
        </w:rPr>
        <w:t>1</w:t>
      </w:r>
      <w:r w:rsidR="00B4796A">
        <w:rPr>
          <w:rFonts w:ascii="Arial" w:eastAsia="Calibri" w:hAnsi="Arial" w:cs="Arial"/>
          <w:vertAlign w:val="superscript"/>
        </w:rPr>
        <w:t>1</w:t>
      </w:r>
      <w:r w:rsidRPr="00B05BED">
        <w:rPr>
          <w:rFonts w:ascii="Arial" w:eastAsia="Calibri" w:hAnsi="Arial" w:cs="Arial"/>
          <w:vertAlign w:val="superscript"/>
        </w:rPr>
        <w:t>,1</w:t>
      </w:r>
      <w:r w:rsidR="00B4796A">
        <w:rPr>
          <w:rFonts w:ascii="Arial" w:eastAsia="Calibri" w:hAnsi="Arial" w:cs="Arial"/>
          <w:vertAlign w:val="superscript"/>
        </w:rPr>
        <w:t>3</w:t>
      </w:r>
      <w:r w:rsidRPr="00B05BED">
        <w:rPr>
          <w:rFonts w:ascii="Arial" w:eastAsia="Calibri" w:hAnsi="Arial" w:cs="Arial"/>
          <w:vertAlign w:val="superscript"/>
        </w:rPr>
        <w:t>,1</w:t>
      </w:r>
      <w:r w:rsidR="00B4796A">
        <w:rPr>
          <w:rFonts w:ascii="Arial" w:eastAsia="Calibri" w:hAnsi="Arial" w:cs="Arial"/>
          <w:vertAlign w:val="superscript"/>
        </w:rPr>
        <w:t>4</w:t>
      </w:r>
      <w:r w:rsidRPr="00B05BED">
        <w:rPr>
          <w:rFonts w:ascii="Arial" w:eastAsia="Calibri" w:hAnsi="Arial" w:cs="Arial"/>
          <w:vertAlign w:val="superscript"/>
        </w:rPr>
        <w:t>,1</w:t>
      </w:r>
      <w:r w:rsidR="00B4796A">
        <w:rPr>
          <w:rFonts w:ascii="Arial" w:eastAsia="Calibri" w:hAnsi="Arial" w:cs="Arial"/>
          <w:vertAlign w:val="superscript"/>
        </w:rPr>
        <w:t>6</w:t>
      </w:r>
      <w:r w:rsidRPr="00B05BED">
        <w:rPr>
          <w:rFonts w:ascii="Arial" w:eastAsia="Calibri" w:hAnsi="Arial" w:cs="Arial"/>
        </w:rPr>
        <w:t>. These findings contrast with the present study, which identified military training (32%) as the leading primary cause of injury followed closely by personal training (28%) and ‘other injuries’ (28%). However, when looking at specific activities leading to MSKI, weight training (15%) and running (11%) were common activities associated with injury across a number of military populations</w:t>
      </w:r>
      <w:r w:rsidRPr="00B05BED">
        <w:rPr>
          <w:rFonts w:ascii="Arial" w:eastAsia="Calibri" w:hAnsi="Arial" w:cs="Arial"/>
          <w:vertAlign w:val="superscript"/>
        </w:rPr>
        <w:t>6</w:t>
      </w:r>
      <w:r w:rsidRPr="00B05BED">
        <w:rPr>
          <w:rFonts w:ascii="Arial" w:eastAsia="Calibri" w:hAnsi="Arial" w:cs="Arial"/>
        </w:rPr>
        <w:t>. Physical training is essential in military populations to maintain appropriate levels of fitness to meet the demands of the occupational role. This is especially pertinent for this specific military population who are frequently required to perform a number of demanding tasks at any given moment. It is also recognised that increased volumes of physical activity (i.e. exposure time) can lead to increased risk of injury</w:t>
      </w:r>
      <w:r w:rsidRPr="00B05BED">
        <w:rPr>
          <w:rFonts w:ascii="Arial" w:eastAsia="Calibri" w:hAnsi="Arial" w:cs="Arial"/>
          <w:vertAlign w:val="superscript"/>
        </w:rPr>
        <w:t>1</w:t>
      </w:r>
      <w:r w:rsidR="00B4796A">
        <w:rPr>
          <w:rFonts w:ascii="Arial" w:eastAsia="Calibri" w:hAnsi="Arial" w:cs="Arial"/>
          <w:vertAlign w:val="superscript"/>
        </w:rPr>
        <w:t>7</w:t>
      </w:r>
      <w:r w:rsidRPr="00B05BED">
        <w:rPr>
          <w:rFonts w:ascii="Arial" w:eastAsia="Calibri" w:hAnsi="Arial" w:cs="Arial"/>
        </w:rPr>
        <w:t>.</w:t>
      </w:r>
      <w:r w:rsidR="00BA4EC6">
        <w:rPr>
          <w:rFonts w:ascii="Arial" w:eastAsia="Calibri" w:hAnsi="Arial" w:cs="Arial"/>
        </w:rPr>
        <w:t xml:space="preserve"> The emergence and popularity of extreme conditioning programmes over recent years may also lead to an increased risk of injury through high intensity metabolic training and the inclusion of highly skilled technical movements including Olympic lifts </w:t>
      </w:r>
      <w:proofErr w:type="spellStart"/>
      <w:r w:rsidR="00BA4EC6">
        <w:rPr>
          <w:rFonts w:ascii="Arial" w:eastAsia="Calibri" w:hAnsi="Arial" w:cs="Arial"/>
        </w:rPr>
        <w:t>eg</w:t>
      </w:r>
      <w:proofErr w:type="spellEnd"/>
      <w:r w:rsidR="00BA4EC6">
        <w:rPr>
          <w:rFonts w:ascii="Arial" w:eastAsia="Calibri" w:hAnsi="Arial" w:cs="Arial"/>
        </w:rPr>
        <w:t xml:space="preserve"> power cleans and power snatch</w:t>
      </w:r>
      <w:r w:rsidR="00B4796A">
        <w:rPr>
          <w:rFonts w:ascii="Arial" w:eastAsia="Calibri" w:hAnsi="Arial" w:cs="Arial"/>
          <w:vertAlign w:val="superscript"/>
        </w:rPr>
        <w:t>18</w:t>
      </w:r>
      <w:r w:rsidR="00BA4EC6">
        <w:rPr>
          <w:rFonts w:ascii="Arial" w:eastAsia="Calibri" w:hAnsi="Arial" w:cs="Arial"/>
        </w:rPr>
        <w:t xml:space="preserve">. </w:t>
      </w:r>
      <w:r w:rsidRPr="00B05BED">
        <w:rPr>
          <w:rFonts w:ascii="Arial" w:eastAsia="Calibri" w:hAnsi="Arial" w:cs="Arial"/>
        </w:rPr>
        <w:t xml:space="preserve"> At present, more information is required to specifically understand factors leading to strength training and running related injuries. It is not known whether the injuries were due to poorly managed training load, insufficient warm-up/preparation prior to the activity</w:t>
      </w:r>
      <w:r w:rsidR="00BA4EC6">
        <w:rPr>
          <w:rFonts w:ascii="Arial" w:eastAsia="Calibri" w:hAnsi="Arial" w:cs="Arial"/>
        </w:rPr>
        <w:t>,</w:t>
      </w:r>
      <w:r w:rsidRPr="00B05BED">
        <w:rPr>
          <w:rFonts w:ascii="Arial" w:eastAsia="Calibri" w:hAnsi="Arial" w:cs="Arial"/>
        </w:rPr>
        <w:t xml:space="preserve"> poor technique used when executing the activity</w:t>
      </w:r>
      <w:r w:rsidR="00BA4EC6">
        <w:rPr>
          <w:rFonts w:ascii="Arial" w:eastAsia="Calibri" w:hAnsi="Arial" w:cs="Arial"/>
        </w:rPr>
        <w:t xml:space="preserve"> or the increased use of extreme conditioning programmes</w:t>
      </w:r>
      <w:r w:rsidRPr="00B05BED">
        <w:rPr>
          <w:rFonts w:ascii="Arial" w:eastAsia="Calibri" w:hAnsi="Arial" w:cs="Arial"/>
        </w:rPr>
        <w:t>. Improved understanding of the factors leading to personal training injuries could inform future training programmes and education of those individuals at risk.</w:t>
      </w:r>
    </w:p>
    <w:p w14:paraId="62F6E403" w14:textId="77777777" w:rsidR="00B05BED" w:rsidRPr="00B05BED" w:rsidRDefault="00B05BED" w:rsidP="00B05BED">
      <w:pPr>
        <w:spacing w:after="0" w:line="360" w:lineRule="auto"/>
        <w:rPr>
          <w:rFonts w:ascii="Arial" w:eastAsia="Calibri" w:hAnsi="Arial" w:cs="Arial"/>
          <w:b/>
        </w:rPr>
      </w:pPr>
    </w:p>
    <w:p w14:paraId="34961F95" w14:textId="678CD647" w:rsidR="00B05BED" w:rsidRPr="00B05BED" w:rsidRDefault="00B05BED" w:rsidP="00B05BED">
      <w:pPr>
        <w:spacing w:after="0" w:line="360" w:lineRule="auto"/>
        <w:rPr>
          <w:rFonts w:ascii="Arial" w:eastAsia="Calibri" w:hAnsi="Arial" w:cs="Arial"/>
        </w:rPr>
      </w:pPr>
      <w:r w:rsidRPr="00B05BED">
        <w:rPr>
          <w:rFonts w:ascii="Arial" w:eastAsia="Calibri" w:hAnsi="Arial" w:cs="Arial"/>
        </w:rPr>
        <w:t>In the present study the lower extremity was the leading anatomical location for injury, which is in agreement with data from British Army Infantry</w:t>
      </w:r>
      <w:r w:rsidRPr="00B05BED">
        <w:rPr>
          <w:rFonts w:ascii="Arial" w:eastAsia="Calibri" w:hAnsi="Arial" w:cs="Arial"/>
          <w:vertAlign w:val="superscript"/>
        </w:rPr>
        <w:t>1</w:t>
      </w:r>
      <w:r w:rsidR="00B4796A">
        <w:rPr>
          <w:rFonts w:ascii="Arial" w:eastAsia="Calibri" w:hAnsi="Arial" w:cs="Arial"/>
          <w:vertAlign w:val="superscript"/>
        </w:rPr>
        <w:t>1</w:t>
      </w:r>
      <w:r w:rsidRPr="00B05BED">
        <w:rPr>
          <w:rFonts w:ascii="Arial" w:eastAsia="Calibri" w:hAnsi="Arial" w:cs="Arial"/>
        </w:rPr>
        <w:t xml:space="preserve"> and wider global military studies</w:t>
      </w:r>
      <w:r w:rsidR="000A1757">
        <w:rPr>
          <w:rFonts w:ascii="Arial" w:eastAsia="Calibri" w:hAnsi="Arial" w:cs="Arial"/>
          <w:vertAlign w:val="superscript"/>
        </w:rPr>
        <w:t>6</w:t>
      </w:r>
      <w:r w:rsidRPr="00B05BED">
        <w:rPr>
          <w:rFonts w:ascii="Arial" w:eastAsia="Calibri" w:hAnsi="Arial" w:cs="Arial"/>
        </w:rPr>
        <w:t>. When considering sub-anatomical locations for injury within the UK Armed Forces, the most prevalent locations for MSKI are the lower back, knee, ankle and foot</w:t>
      </w:r>
      <w:r w:rsidRPr="00B05BED">
        <w:rPr>
          <w:rFonts w:ascii="Arial" w:eastAsia="Calibri" w:hAnsi="Arial" w:cs="Arial"/>
          <w:vertAlign w:val="superscript"/>
        </w:rPr>
        <w:t>1</w:t>
      </w:r>
      <w:r w:rsidR="00B4796A">
        <w:rPr>
          <w:rFonts w:ascii="Arial" w:eastAsia="Calibri" w:hAnsi="Arial" w:cs="Arial"/>
          <w:vertAlign w:val="superscript"/>
        </w:rPr>
        <w:t>9</w:t>
      </w:r>
      <w:r w:rsidRPr="00B05BED">
        <w:rPr>
          <w:rFonts w:ascii="Arial" w:eastAsia="Calibri" w:hAnsi="Arial" w:cs="Arial"/>
        </w:rPr>
        <w:t xml:space="preserve">. This contrasts with findings from the present study, which identified the lower back (19%) shoulder (17%) and knee (14%) as the most prevalent injury locations. Whilst it is unusual for shoulder injuries to be highly prevalent in UK </w:t>
      </w:r>
      <w:r w:rsidRPr="00B05BED">
        <w:rPr>
          <w:rFonts w:ascii="Arial" w:eastAsia="Calibri" w:hAnsi="Arial" w:cs="Arial"/>
        </w:rPr>
        <w:lastRenderedPageBreak/>
        <w:t>Armed Forces</w:t>
      </w:r>
      <w:r w:rsidRPr="00B05BED">
        <w:rPr>
          <w:rFonts w:ascii="Arial" w:eastAsia="Calibri" w:hAnsi="Arial" w:cs="Arial"/>
          <w:vertAlign w:val="superscript"/>
        </w:rPr>
        <w:t>1</w:t>
      </w:r>
      <w:r w:rsidR="00B4796A">
        <w:rPr>
          <w:rFonts w:ascii="Arial" w:eastAsia="Calibri" w:hAnsi="Arial" w:cs="Arial"/>
          <w:vertAlign w:val="superscript"/>
        </w:rPr>
        <w:t>1</w:t>
      </w:r>
      <w:r w:rsidRPr="00B05BED">
        <w:rPr>
          <w:rFonts w:ascii="Arial" w:eastAsia="Calibri" w:hAnsi="Arial" w:cs="Arial"/>
        </w:rPr>
        <w:t>, it appears to be a common location for injury in certain US military personnel</w:t>
      </w:r>
      <w:r w:rsidRPr="00B05BED">
        <w:rPr>
          <w:rFonts w:ascii="Arial" w:eastAsia="Calibri" w:hAnsi="Arial" w:cs="Arial"/>
          <w:vertAlign w:val="superscript"/>
        </w:rPr>
        <w:t>1</w:t>
      </w:r>
      <w:r w:rsidR="00B4796A">
        <w:rPr>
          <w:rFonts w:ascii="Arial" w:eastAsia="Calibri" w:hAnsi="Arial" w:cs="Arial"/>
          <w:vertAlign w:val="superscript"/>
        </w:rPr>
        <w:t>2</w:t>
      </w:r>
      <w:r w:rsidRPr="00B05BED">
        <w:rPr>
          <w:rFonts w:ascii="Arial" w:eastAsia="Calibri" w:hAnsi="Arial" w:cs="Arial"/>
          <w:vertAlign w:val="superscript"/>
        </w:rPr>
        <w:t>,1</w:t>
      </w:r>
      <w:r w:rsidR="00B4796A">
        <w:rPr>
          <w:rFonts w:ascii="Arial" w:eastAsia="Calibri" w:hAnsi="Arial" w:cs="Arial"/>
          <w:vertAlign w:val="superscript"/>
        </w:rPr>
        <w:t>3</w:t>
      </w:r>
      <w:r w:rsidRPr="00B05BED">
        <w:rPr>
          <w:rFonts w:ascii="Arial" w:eastAsia="Calibri" w:hAnsi="Arial" w:cs="Arial"/>
        </w:rPr>
        <w:t>. It is recognised that military personnel have a 5-18 times increased risk of shoulder instability injuries compared with the general population, and those with a history of shoulder instability are five times more likely to re-injure</w:t>
      </w:r>
      <w:r w:rsidRPr="00B05BED">
        <w:rPr>
          <w:rFonts w:ascii="Arial" w:eastAsia="Calibri" w:hAnsi="Arial" w:cs="Arial"/>
          <w:vertAlign w:val="superscript"/>
        </w:rPr>
        <w:t>20</w:t>
      </w:r>
      <w:r w:rsidRPr="00B05BED">
        <w:rPr>
          <w:rFonts w:ascii="Arial" w:eastAsia="Calibri" w:hAnsi="Arial" w:cs="Arial"/>
        </w:rPr>
        <w:t xml:space="preserve">. The exact pathology of shoulder injuries was not identified in this study. However, a review of data indicated that </w:t>
      </w:r>
      <w:r w:rsidRPr="00B05BED">
        <w:rPr>
          <w:rFonts w:ascii="Arial" w:eastAsia="Calibri" w:hAnsi="Arial" w:cs="Arial"/>
          <w:i/>
          <w:iCs/>
        </w:rPr>
        <w:t>circa</w:t>
      </w:r>
      <w:r w:rsidRPr="00B05BED">
        <w:rPr>
          <w:rFonts w:ascii="Arial" w:eastAsia="Calibri" w:hAnsi="Arial" w:cs="Arial"/>
        </w:rPr>
        <w:t xml:space="preserve"> half (55%) of the injuries were sudden onset, which could be indicative of an acute trauma including dislocation or subluxation. Furthermore, 35% of personnel presented with recurring shoulder injuries, which indicated that previous injury may be considered a risk factor for further injury</w:t>
      </w:r>
      <w:r w:rsidRPr="00B05BED">
        <w:rPr>
          <w:rFonts w:ascii="Arial" w:eastAsia="Calibri" w:hAnsi="Arial" w:cs="Arial"/>
          <w:vertAlign w:val="superscript"/>
        </w:rPr>
        <w:t>20</w:t>
      </w:r>
      <w:r w:rsidRPr="00B05BED">
        <w:rPr>
          <w:rFonts w:ascii="Arial" w:eastAsia="Calibri" w:hAnsi="Arial" w:cs="Arial"/>
        </w:rPr>
        <w:t>. Analysis of the activities leading to shoulder injuries identified strength training as the leading cause of injury (25%). This is an area for further investigation to better understand the factors associated with shoulder injury in this population.</w:t>
      </w:r>
    </w:p>
    <w:p w14:paraId="7E465E75" w14:textId="77777777" w:rsidR="00B05BED" w:rsidRPr="00B05BED" w:rsidRDefault="00B05BED" w:rsidP="00B05BED">
      <w:pPr>
        <w:spacing w:after="0" w:line="360" w:lineRule="auto"/>
        <w:rPr>
          <w:rFonts w:ascii="Arial" w:eastAsia="Calibri" w:hAnsi="Arial" w:cs="Arial"/>
        </w:rPr>
      </w:pPr>
    </w:p>
    <w:p w14:paraId="6CA2ABB5" w14:textId="77777777" w:rsidR="00B05BED" w:rsidRPr="00B05BED" w:rsidRDefault="00B05BED" w:rsidP="00B05BED">
      <w:pPr>
        <w:spacing w:after="0" w:line="360" w:lineRule="auto"/>
        <w:textAlignment w:val="baseline"/>
        <w:rPr>
          <w:rFonts w:ascii="Arial" w:eastAsia="Times New Roman" w:hAnsi="Arial" w:cs="Arial"/>
          <w:lang w:eastAsia="en-GB"/>
        </w:rPr>
      </w:pPr>
      <w:r w:rsidRPr="00B05BED">
        <w:rPr>
          <w:rFonts w:ascii="Arial" w:eastAsia="Times New Roman" w:hAnsi="Arial" w:cs="Arial"/>
          <w:lang w:eastAsia="en-GB"/>
        </w:rPr>
        <w:t xml:space="preserve">The majority of injuries (62%) were reported within three months of initial onset, but there were a high number of injuries (27%) reported one year after onset. It is unknown why there was a delay in reporting for these personnel. This may be due </w:t>
      </w:r>
      <w:proofErr w:type="gramStart"/>
      <w:r w:rsidRPr="00B05BED">
        <w:rPr>
          <w:rFonts w:ascii="Arial" w:eastAsia="Times New Roman" w:hAnsi="Arial" w:cs="Arial"/>
          <w:lang w:eastAsia="en-GB"/>
        </w:rPr>
        <w:t>to:</w:t>
      </w:r>
      <w:proofErr w:type="gramEnd"/>
      <w:r w:rsidRPr="00B05BED">
        <w:rPr>
          <w:rFonts w:ascii="Arial" w:eastAsia="Times New Roman" w:hAnsi="Arial" w:cs="Arial"/>
          <w:lang w:eastAsia="en-GB"/>
        </w:rPr>
        <w:t xml:space="preserve"> lack of access to physiotherapy (away in foreign locations or away from unit during the working day); lack of availability of physiotherapy appointments to meet the available timings of personnel; or fear of being medically downgraded for an injury that could impact opportunities to deploy and to continue in an operational role. This is an area that requires further investigation to ensure timely access for treatment of MSKI.</w:t>
      </w:r>
    </w:p>
    <w:p w14:paraId="37A22CAD" w14:textId="73F4C22C" w:rsidR="00B05BED" w:rsidRDefault="00B05BED" w:rsidP="00B05BED">
      <w:pPr>
        <w:spacing w:after="0" w:line="360" w:lineRule="auto"/>
        <w:rPr>
          <w:rFonts w:ascii="Arial" w:eastAsia="Calibri" w:hAnsi="Arial" w:cs="Arial"/>
        </w:rPr>
      </w:pPr>
    </w:p>
    <w:p w14:paraId="6FB1B148" w14:textId="77777777" w:rsidR="00C94A1D" w:rsidRPr="00B05BED" w:rsidRDefault="00C94A1D" w:rsidP="00C94A1D">
      <w:pPr>
        <w:spacing w:after="0" w:line="360" w:lineRule="auto"/>
        <w:textAlignment w:val="baseline"/>
        <w:rPr>
          <w:rFonts w:ascii="Arial" w:eastAsia="Times New Roman" w:hAnsi="Arial" w:cs="Arial"/>
          <w:lang w:eastAsia="en-GB"/>
        </w:rPr>
      </w:pPr>
      <w:r w:rsidRPr="00B05BED">
        <w:rPr>
          <w:rFonts w:ascii="Arial" w:eastAsia="Times New Roman" w:hAnsi="Arial" w:cs="Arial"/>
          <w:lang w:eastAsia="en-GB"/>
        </w:rPr>
        <w:t xml:space="preserve">The present study has provided information regarding the incidence, nature, location and cause of MSKI. However, it is not able to provide evidence of injury impact or burden on operational fitness and therefore the ability of personnel to continue in role whilst carrying or being treated for an injury. It is critical to collate this information in order to understand where to prioritise efforts on injury mitigation efforts. Such insights would ensure that the development of evidence-based treatment pathways </w:t>
      </w:r>
      <w:proofErr w:type="gramStart"/>
      <w:r w:rsidRPr="00B05BED">
        <w:rPr>
          <w:rFonts w:ascii="Arial" w:eastAsia="Times New Roman" w:hAnsi="Arial" w:cs="Arial"/>
          <w:lang w:eastAsia="en-GB"/>
        </w:rPr>
        <w:t>are</w:t>
      </w:r>
      <w:proofErr w:type="gramEnd"/>
      <w:r w:rsidRPr="00B05BED">
        <w:rPr>
          <w:rFonts w:ascii="Arial" w:eastAsia="Times New Roman" w:hAnsi="Arial" w:cs="Arial"/>
          <w:lang w:eastAsia="en-GB"/>
        </w:rPr>
        <w:t xml:space="preserve"> focussed on those injuries that have the greatest impact to unit readiness. In addition, it would provide evidence to better financially and medically target resources to deliver greatest effect in supporting operational outputs.</w:t>
      </w:r>
    </w:p>
    <w:p w14:paraId="0FCA1629" w14:textId="77777777" w:rsidR="00C94A1D" w:rsidRPr="00B05BED" w:rsidRDefault="00C94A1D" w:rsidP="00B05BED">
      <w:pPr>
        <w:spacing w:after="0" w:line="360" w:lineRule="auto"/>
        <w:rPr>
          <w:rFonts w:ascii="Arial" w:eastAsia="Calibri" w:hAnsi="Arial" w:cs="Arial"/>
        </w:rPr>
      </w:pPr>
    </w:p>
    <w:p w14:paraId="6398AE4E" w14:textId="77777777" w:rsidR="00B05BED" w:rsidRPr="00B05BED" w:rsidRDefault="00B05BED" w:rsidP="00B05BED">
      <w:pPr>
        <w:spacing w:after="0" w:line="360" w:lineRule="auto"/>
        <w:rPr>
          <w:rFonts w:ascii="Arial" w:eastAsia="Calibri" w:hAnsi="Arial" w:cs="Arial"/>
          <w:b/>
        </w:rPr>
      </w:pPr>
      <w:r w:rsidRPr="00B05BED">
        <w:rPr>
          <w:rFonts w:ascii="Arial" w:eastAsia="Calibri" w:hAnsi="Arial" w:cs="Arial"/>
          <w:b/>
        </w:rPr>
        <w:t>Limitations of the Study</w:t>
      </w:r>
    </w:p>
    <w:p w14:paraId="7363CEC8" w14:textId="77777777" w:rsidR="00B05BED" w:rsidRPr="00B05BED" w:rsidRDefault="00B05BED" w:rsidP="00B05BED">
      <w:pPr>
        <w:spacing w:after="0" w:line="360" w:lineRule="auto"/>
        <w:rPr>
          <w:rFonts w:ascii="Arial" w:eastAsia="Calibri" w:hAnsi="Arial" w:cs="Arial"/>
          <w:b/>
        </w:rPr>
      </w:pPr>
    </w:p>
    <w:p w14:paraId="097E1BE5" w14:textId="5ED9FE85" w:rsidR="00B05BED" w:rsidRPr="00B05BED" w:rsidRDefault="00B05BED" w:rsidP="00B05BED">
      <w:pPr>
        <w:spacing w:after="0" w:line="360" w:lineRule="auto"/>
        <w:textAlignment w:val="baseline"/>
        <w:rPr>
          <w:rFonts w:ascii="Arial" w:eastAsia="Times New Roman" w:hAnsi="Arial" w:cs="Arial"/>
          <w:lang w:eastAsia="en-GB"/>
        </w:rPr>
      </w:pPr>
      <w:r w:rsidRPr="00B05BED">
        <w:rPr>
          <w:rFonts w:ascii="Arial" w:eastAsia="Times New Roman" w:hAnsi="Arial" w:cs="Arial"/>
          <w:lang w:eastAsia="en-GB"/>
        </w:rPr>
        <w:t xml:space="preserve">There were a number of acknowledged limitations to the present study. All data extracted and analysed from DMICP were reliant on the accuracy and precision of clinicians entering the medical information. For those personnel who reported their injuries a number of weeks after the initial onset, there may have been recall bias as to the exact nature, causes and additional factors leading to the injury. This study focused on reported injuries, which may not provide a complete representation of the injury burden and profile within the unit. Personnel may not report injuries due to issues of access to support, and concerns about the perceived implications and/ or </w:t>
      </w:r>
      <w:r w:rsidRPr="00B05BED">
        <w:rPr>
          <w:rFonts w:ascii="Arial" w:eastAsia="Times New Roman" w:hAnsi="Arial" w:cs="Arial"/>
          <w:lang w:eastAsia="en-GB"/>
        </w:rPr>
        <w:lastRenderedPageBreak/>
        <w:t>consequences of reporting an injury.</w:t>
      </w:r>
      <w:r w:rsidR="00C94A1D">
        <w:rPr>
          <w:rFonts w:ascii="Arial" w:eastAsia="Times New Roman" w:hAnsi="Arial" w:cs="Arial"/>
          <w:lang w:eastAsia="en-GB"/>
        </w:rPr>
        <w:t xml:space="preserve"> </w:t>
      </w:r>
      <w:r w:rsidRPr="00B05BED">
        <w:rPr>
          <w:rFonts w:ascii="Arial" w:eastAsia="Times New Roman" w:hAnsi="Arial" w:cs="Arial"/>
          <w:lang w:eastAsia="en-GB"/>
        </w:rPr>
        <w:t>At present there is no consensus statement for the definition and description of terminology relating to injury epidemiology within the UK and international militaries. This may lead to discrepancies and/ or errors in reporting injury epidemiology, and difficulty in comparing injury data sets within military populations – locally and internationally.</w:t>
      </w:r>
      <w:r w:rsidR="00C94A1D">
        <w:rPr>
          <w:rFonts w:ascii="Arial" w:eastAsia="Times New Roman" w:hAnsi="Arial" w:cs="Arial"/>
          <w:lang w:eastAsia="en-GB"/>
        </w:rPr>
        <w:t xml:space="preserve"> In accordance with MOD policy, full demographics of the study population have not been published limiting the ability to reproduce this study in wider military populations.</w:t>
      </w:r>
    </w:p>
    <w:p w14:paraId="4600C548" w14:textId="77777777" w:rsidR="00B05BED" w:rsidRPr="00B05BED" w:rsidRDefault="00B05BED" w:rsidP="00B05BED">
      <w:pPr>
        <w:spacing w:after="0" w:line="360" w:lineRule="auto"/>
        <w:textAlignment w:val="baseline"/>
        <w:rPr>
          <w:rFonts w:ascii="Arial" w:eastAsia="Times New Roman" w:hAnsi="Arial" w:cs="Arial"/>
          <w:lang w:eastAsia="en-GB"/>
        </w:rPr>
      </w:pPr>
    </w:p>
    <w:p w14:paraId="77859220" w14:textId="77777777" w:rsidR="00B05BED" w:rsidRPr="00B05BED" w:rsidRDefault="00B05BED" w:rsidP="00B05BED">
      <w:pPr>
        <w:spacing w:after="0" w:line="360" w:lineRule="auto"/>
        <w:rPr>
          <w:rFonts w:ascii="Arial" w:eastAsia="Calibri" w:hAnsi="Arial" w:cs="Arial"/>
        </w:rPr>
      </w:pPr>
    </w:p>
    <w:p w14:paraId="5A43CF02" w14:textId="77777777" w:rsidR="00B05BED" w:rsidRPr="00B05BED" w:rsidRDefault="00B05BED" w:rsidP="00B05BED">
      <w:pPr>
        <w:spacing w:after="0" w:line="360" w:lineRule="auto"/>
        <w:rPr>
          <w:rFonts w:ascii="Arial" w:eastAsia="Calibri" w:hAnsi="Arial" w:cs="Arial"/>
          <w:b/>
        </w:rPr>
      </w:pPr>
      <w:r w:rsidRPr="00B05BED">
        <w:rPr>
          <w:rFonts w:ascii="Arial" w:eastAsia="Calibri" w:hAnsi="Arial" w:cs="Arial"/>
          <w:b/>
        </w:rPr>
        <w:t>CONCLUSION</w:t>
      </w:r>
    </w:p>
    <w:p w14:paraId="76696374" w14:textId="77777777" w:rsidR="00B05BED" w:rsidRPr="00B05BED" w:rsidRDefault="00B05BED" w:rsidP="00B05BED">
      <w:pPr>
        <w:spacing w:after="0" w:line="360" w:lineRule="auto"/>
        <w:rPr>
          <w:rFonts w:ascii="Arial" w:eastAsia="Calibri" w:hAnsi="Arial" w:cs="Arial"/>
          <w:b/>
        </w:rPr>
      </w:pPr>
    </w:p>
    <w:p w14:paraId="44195047" w14:textId="77777777" w:rsidR="00B05BED" w:rsidRPr="00B05BED" w:rsidRDefault="00B05BED" w:rsidP="00B05BED">
      <w:pPr>
        <w:spacing w:after="0" w:line="360" w:lineRule="auto"/>
        <w:rPr>
          <w:rFonts w:ascii="Arial" w:eastAsia="Calibri" w:hAnsi="Arial" w:cs="Arial"/>
          <w:color w:val="000000"/>
        </w:rPr>
        <w:sectPr w:rsidR="00B05BED" w:rsidRPr="00B05BED" w:rsidSect="00C141F5">
          <w:pgSz w:w="11906" w:h="16838"/>
          <w:pgMar w:top="1134" w:right="1134" w:bottom="1134" w:left="1134" w:header="720" w:footer="720" w:gutter="0"/>
          <w:cols w:space="720"/>
          <w:docGrid w:linePitch="360"/>
        </w:sectPr>
      </w:pPr>
      <w:r w:rsidRPr="00B05BED">
        <w:rPr>
          <w:rFonts w:ascii="Arial" w:eastAsia="Calibri" w:hAnsi="Arial" w:cs="Arial"/>
        </w:rPr>
        <w:t xml:space="preserve">Military Specialists participate in rigorous physical training in preparation to meet the demands of the role. </w:t>
      </w:r>
      <w:bookmarkStart w:id="6" w:name="_Hlk52529070"/>
      <w:bookmarkStart w:id="7" w:name="_Hlk96162200"/>
      <w:r w:rsidRPr="00B05BED">
        <w:rPr>
          <w:rFonts w:ascii="Arial" w:eastAsia="Calibri" w:hAnsi="Arial" w:cs="Arial"/>
        </w:rPr>
        <w:t xml:space="preserve">The present study has provided evidence that physical training, specifically weightlifting and running, may be a leading cause of injury within this military population. In addition, the findings indicate that a number of injuries are of a gradual onset and recurrent in nature, which highlights areas where modifiable risk factors may be targeted to reduce risk of injury. </w:t>
      </w:r>
      <w:bookmarkEnd w:id="6"/>
      <w:r w:rsidRPr="00B05BED">
        <w:rPr>
          <w:rFonts w:ascii="Arial" w:eastAsia="Calibri" w:hAnsi="Arial" w:cs="Arial"/>
        </w:rPr>
        <w:t xml:space="preserve">Injury mitigation strategies should focus on these areas with the purpose of developing appropriate education and physical training programmes to reduce MSKI. Future research to understand injury burden and impact on operational readiness is also required. </w:t>
      </w:r>
      <w:bookmarkStart w:id="8" w:name="_Hlk55838848"/>
      <w:bookmarkEnd w:id="7"/>
    </w:p>
    <w:p w14:paraId="1A298671" w14:textId="77777777" w:rsidR="00B05BED" w:rsidRPr="00B05BED" w:rsidRDefault="00B05BED" w:rsidP="00B05BED">
      <w:pPr>
        <w:spacing w:after="0" w:line="360" w:lineRule="auto"/>
        <w:rPr>
          <w:rFonts w:ascii="Arial" w:eastAsia="Calibri" w:hAnsi="Arial" w:cs="Arial"/>
          <w:b/>
          <w:bCs/>
          <w:color w:val="000000"/>
        </w:rPr>
      </w:pPr>
      <w:r w:rsidRPr="00B05BED">
        <w:rPr>
          <w:rFonts w:ascii="Arial" w:eastAsia="Calibri" w:hAnsi="Arial" w:cs="Arial"/>
          <w:b/>
          <w:bCs/>
          <w:color w:val="000000"/>
        </w:rPr>
        <w:lastRenderedPageBreak/>
        <w:t>REFERENCES</w:t>
      </w:r>
    </w:p>
    <w:p w14:paraId="46175DF0" w14:textId="77777777" w:rsidR="00B05BED" w:rsidRPr="00B05BED" w:rsidRDefault="00B05BED" w:rsidP="00B05BED">
      <w:pPr>
        <w:spacing w:after="0" w:line="360" w:lineRule="auto"/>
        <w:rPr>
          <w:rFonts w:ascii="Arial" w:eastAsia="Calibri" w:hAnsi="Arial" w:cs="Arial"/>
          <w:b/>
          <w:bCs/>
          <w:color w:val="000000"/>
        </w:rPr>
      </w:pPr>
    </w:p>
    <w:p w14:paraId="02576E64"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lang w:eastAsia="en-GB"/>
        </w:rPr>
      </w:pPr>
      <w:bookmarkStart w:id="9" w:name="_Hlk106820584"/>
      <w:r w:rsidRPr="00B05BED">
        <w:rPr>
          <w:rFonts w:ascii="Arial" w:eastAsia="Times New Roman" w:hAnsi="Arial" w:cs="Arial"/>
          <w:color w:val="000000"/>
          <w:lang w:eastAsia="en-GB"/>
        </w:rPr>
        <w:t xml:space="preserve">Wardle, S. L., and Greeves, J. P. (2017). Mitigating the risk of musculoskeletal injury: A systematic review of the most effective injury prevention strategies for military personnel. </w:t>
      </w:r>
      <w:r w:rsidRPr="00B05BED">
        <w:rPr>
          <w:rFonts w:ascii="Arial" w:eastAsia="Times New Roman" w:hAnsi="Arial" w:cs="Arial"/>
          <w:i/>
          <w:iCs/>
          <w:color w:val="000000"/>
          <w:lang w:eastAsia="en-GB"/>
        </w:rPr>
        <w:t>Journal of Science and Medicine in Sport,</w:t>
      </w:r>
      <w:r w:rsidRPr="00B05BED">
        <w:rPr>
          <w:rFonts w:ascii="Arial" w:eastAsia="Times New Roman" w:hAnsi="Arial" w:cs="Arial"/>
          <w:color w:val="000000"/>
          <w:lang w:eastAsia="en-GB"/>
        </w:rPr>
        <w:t xml:space="preserve"> 20 (Supplement 4), S3-S10. </w:t>
      </w:r>
      <w:proofErr w:type="spellStart"/>
      <w:r w:rsidRPr="00B05BED">
        <w:rPr>
          <w:rFonts w:ascii="Arial" w:eastAsia="Times New Roman" w:hAnsi="Arial" w:cs="Arial"/>
          <w:color w:val="000000"/>
          <w:lang w:eastAsia="en-GB"/>
        </w:rPr>
        <w:t>doi:https</w:t>
      </w:r>
      <w:proofErr w:type="spellEnd"/>
      <w:r w:rsidRPr="00B05BED">
        <w:rPr>
          <w:rFonts w:ascii="Arial" w:eastAsia="Times New Roman" w:hAnsi="Arial" w:cs="Arial"/>
          <w:color w:val="000000"/>
          <w:lang w:eastAsia="en-GB"/>
        </w:rPr>
        <w:t>://doi.org/10.1016/j.jsams.2017.09.014.</w:t>
      </w:r>
    </w:p>
    <w:p w14:paraId="6F32B0D1" w14:textId="77777777" w:rsidR="00B05BED" w:rsidRPr="00B05BED" w:rsidRDefault="00B05BED" w:rsidP="00B05BED">
      <w:pPr>
        <w:spacing w:after="0"/>
        <w:ind w:left="720" w:hanging="720"/>
        <w:rPr>
          <w:rFonts w:ascii="Arial" w:eastAsia="Calibri" w:hAnsi="Arial" w:cs="Arial"/>
        </w:rPr>
      </w:pPr>
    </w:p>
    <w:p w14:paraId="1622B68D" w14:textId="77777777" w:rsidR="00B05BED" w:rsidRPr="00B05BED" w:rsidRDefault="00B05BED" w:rsidP="00B05BED">
      <w:pPr>
        <w:spacing w:after="0"/>
        <w:ind w:left="720" w:hanging="720"/>
        <w:rPr>
          <w:rFonts w:ascii="Arial" w:eastAsia="Calibri" w:hAnsi="Arial" w:cs="Arial"/>
        </w:rPr>
      </w:pPr>
    </w:p>
    <w:p w14:paraId="4CC1EEBA" w14:textId="0652E944" w:rsidR="00B05BED" w:rsidRPr="001B48B5" w:rsidRDefault="00B05BED" w:rsidP="00B05BED">
      <w:pPr>
        <w:numPr>
          <w:ilvl w:val="0"/>
          <w:numId w:val="4"/>
        </w:numPr>
        <w:spacing w:after="0" w:line="240" w:lineRule="auto"/>
        <w:ind w:hanging="720"/>
        <w:textAlignment w:val="baseline"/>
        <w:rPr>
          <w:rFonts w:ascii="Arial" w:eastAsia="Calibri" w:hAnsi="Arial" w:cs="Arial"/>
          <w:color w:val="000000"/>
        </w:rPr>
      </w:pPr>
      <w:proofErr w:type="spellStart"/>
      <w:r w:rsidRPr="00B05BED">
        <w:rPr>
          <w:rFonts w:ascii="Arial" w:eastAsia="Times New Roman" w:hAnsi="Arial" w:cs="Arial"/>
          <w:color w:val="000000"/>
          <w:lang w:eastAsia="en-GB"/>
        </w:rPr>
        <w:t>Szivak</w:t>
      </w:r>
      <w:proofErr w:type="spellEnd"/>
      <w:r w:rsidRPr="00B05BED">
        <w:rPr>
          <w:rFonts w:ascii="Arial" w:eastAsia="Times New Roman" w:hAnsi="Arial" w:cs="Arial"/>
          <w:color w:val="000000"/>
          <w:lang w:eastAsia="en-GB"/>
        </w:rPr>
        <w:t xml:space="preserve">, T.K. and Kraemer, W.J. (2015) Physiological readiness and resilience: Pillars of </w:t>
      </w:r>
      <w:proofErr w:type="spellStart"/>
      <w:r w:rsidRPr="00B05BED">
        <w:rPr>
          <w:rFonts w:ascii="Arial" w:eastAsia="Times New Roman" w:hAnsi="Arial" w:cs="Arial"/>
          <w:color w:val="000000"/>
          <w:lang w:eastAsia="en-GB"/>
        </w:rPr>
        <w:t>militray</w:t>
      </w:r>
      <w:proofErr w:type="spellEnd"/>
      <w:r w:rsidRPr="00B05BED">
        <w:rPr>
          <w:rFonts w:ascii="Arial" w:eastAsia="Times New Roman" w:hAnsi="Arial" w:cs="Arial"/>
          <w:color w:val="000000"/>
          <w:lang w:eastAsia="en-GB"/>
        </w:rPr>
        <w:t xml:space="preserve"> preparedness. </w:t>
      </w:r>
      <w:r w:rsidRPr="00B05BED">
        <w:rPr>
          <w:rFonts w:ascii="Arial" w:eastAsia="Times New Roman" w:hAnsi="Arial" w:cs="Arial"/>
          <w:i/>
          <w:iCs/>
          <w:color w:val="000000"/>
          <w:lang w:eastAsia="en-GB"/>
        </w:rPr>
        <w:t>Journal of Strength and Conditioning Research</w:t>
      </w:r>
      <w:r w:rsidRPr="00B05BED">
        <w:rPr>
          <w:rFonts w:ascii="Arial" w:eastAsia="Times New Roman" w:hAnsi="Arial" w:cs="Arial"/>
          <w:color w:val="000000"/>
          <w:lang w:eastAsia="en-GB"/>
        </w:rPr>
        <w:t>, 29(11S), S34-S39.</w:t>
      </w:r>
    </w:p>
    <w:p w14:paraId="5BCAC1D9" w14:textId="77777777" w:rsidR="00757D00" w:rsidRDefault="00757D00" w:rsidP="001B48B5">
      <w:pPr>
        <w:pStyle w:val="ListParagraph"/>
        <w:rPr>
          <w:rFonts w:ascii="Arial" w:eastAsia="Calibri" w:hAnsi="Arial" w:cs="Arial"/>
          <w:color w:val="000000"/>
        </w:rPr>
      </w:pPr>
    </w:p>
    <w:p w14:paraId="0687E75C" w14:textId="55F7E877" w:rsidR="001025BD" w:rsidRDefault="001025BD" w:rsidP="00B05BED">
      <w:pPr>
        <w:numPr>
          <w:ilvl w:val="0"/>
          <w:numId w:val="4"/>
        </w:numPr>
        <w:spacing w:after="0" w:line="240" w:lineRule="auto"/>
        <w:ind w:hanging="720"/>
        <w:textAlignment w:val="baseline"/>
        <w:rPr>
          <w:rFonts w:ascii="Arial" w:eastAsia="Calibri" w:hAnsi="Arial" w:cs="Arial"/>
          <w:color w:val="000000"/>
        </w:rPr>
      </w:pPr>
      <w:r>
        <w:rPr>
          <w:rFonts w:ascii="Arial" w:eastAsia="Calibri" w:hAnsi="Arial" w:cs="Arial"/>
          <w:color w:val="000000"/>
        </w:rPr>
        <w:t xml:space="preserve">Bolling, C., van </w:t>
      </w:r>
      <w:proofErr w:type="spellStart"/>
      <w:r>
        <w:rPr>
          <w:rFonts w:ascii="Arial" w:eastAsia="Calibri" w:hAnsi="Arial" w:cs="Arial"/>
          <w:color w:val="000000"/>
        </w:rPr>
        <w:t>Mechelen</w:t>
      </w:r>
      <w:proofErr w:type="spellEnd"/>
      <w:r>
        <w:rPr>
          <w:rFonts w:ascii="Arial" w:eastAsia="Calibri" w:hAnsi="Arial" w:cs="Arial"/>
          <w:color w:val="000000"/>
        </w:rPr>
        <w:t xml:space="preserve">, W., </w:t>
      </w:r>
      <w:proofErr w:type="spellStart"/>
      <w:r>
        <w:rPr>
          <w:rFonts w:ascii="Arial" w:eastAsia="Calibri" w:hAnsi="Arial" w:cs="Arial"/>
          <w:color w:val="000000"/>
        </w:rPr>
        <w:t>Pasman</w:t>
      </w:r>
      <w:proofErr w:type="spellEnd"/>
      <w:r>
        <w:rPr>
          <w:rFonts w:ascii="Arial" w:eastAsia="Calibri" w:hAnsi="Arial" w:cs="Arial"/>
          <w:color w:val="000000"/>
        </w:rPr>
        <w:t xml:space="preserve">, H.R. and </w:t>
      </w:r>
      <w:proofErr w:type="spellStart"/>
      <w:r>
        <w:rPr>
          <w:rFonts w:ascii="Arial" w:eastAsia="Calibri" w:hAnsi="Arial" w:cs="Arial"/>
          <w:color w:val="000000"/>
        </w:rPr>
        <w:t>Verhagen</w:t>
      </w:r>
      <w:proofErr w:type="spellEnd"/>
      <w:r>
        <w:rPr>
          <w:rFonts w:ascii="Arial" w:eastAsia="Calibri" w:hAnsi="Arial" w:cs="Arial"/>
          <w:color w:val="000000"/>
        </w:rPr>
        <w:t xml:space="preserve">, E. (2018) Context matters: Revisiting the first step of the ‘Sequence of Prevention’ of sports injuries. </w:t>
      </w:r>
      <w:r>
        <w:rPr>
          <w:rFonts w:ascii="Arial" w:eastAsia="Calibri" w:hAnsi="Arial" w:cs="Arial"/>
          <w:i/>
          <w:iCs/>
          <w:color w:val="000000"/>
        </w:rPr>
        <w:t xml:space="preserve">Sports Medicine, </w:t>
      </w:r>
      <w:r>
        <w:rPr>
          <w:rFonts w:ascii="Arial" w:eastAsia="Calibri" w:hAnsi="Arial" w:cs="Arial"/>
          <w:color w:val="000000"/>
        </w:rPr>
        <w:t>48:2227-2234.</w:t>
      </w:r>
    </w:p>
    <w:p w14:paraId="26C35EAF" w14:textId="77777777" w:rsidR="001025BD" w:rsidRDefault="001025BD" w:rsidP="001B48B5">
      <w:pPr>
        <w:pStyle w:val="ListParagraph"/>
        <w:rPr>
          <w:rFonts w:ascii="Arial" w:eastAsia="Calibri" w:hAnsi="Arial" w:cs="Arial"/>
          <w:color w:val="000000"/>
        </w:rPr>
      </w:pPr>
    </w:p>
    <w:p w14:paraId="5309D11B" w14:textId="2BCF2BDF" w:rsidR="001025BD" w:rsidRPr="001025BD" w:rsidRDefault="00757D00" w:rsidP="001025BD">
      <w:pPr>
        <w:numPr>
          <w:ilvl w:val="0"/>
          <w:numId w:val="4"/>
        </w:numPr>
        <w:spacing w:after="0" w:line="240" w:lineRule="auto"/>
        <w:ind w:hanging="720"/>
        <w:textAlignment w:val="baseline"/>
        <w:rPr>
          <w:rFonts w:ascii="Arial" w:eastAsia="Calibri" w:hAnsi="Arial" w:cs="Arial"/>
          <w:color w:val="000000"/>
        </w:rPr>
      </w:pPr>
      <w:proofErr w:type="spellStart"/>
      <w:r>
        <w:rPr>
          <w:rFonts w:ascii="Arial" w:eastAsia="Calibri" w:hAnsi="Arial" w:cs="Arial"/>
          <w:color w:val="000000"/>
        </w:rPr>
        <w:t>Sammito</w:t>
      </w:r>
      <w:proofErr w:type="spellEnd"/>
      <w:r>
        <w:rPr>
          <w:rFonts w:ascii="Arial" w:eastAsia="Calibri" w:hAnsi="Arial" w:cs="Arial"/>
          <w:color w:val="000000"/>
        </w:rPr>
        <w:t xml:space="preserve">, S., </w:t>
      </w:r>
      <w:proofErr w:type="spellStart"/>
      <w:r>
        <w:rPr>
          <w:rFonts w:ascii="Arial" w:eastAsia="Calibri" w:hAnsi="Arial" w:cs="Arial"/>
          <w:color w:val="000000"/>
        </w:rPr>
        <w:t>Hadzic</w:t>
      </w:r>
      <w:proofErr w:type="spellEnd"/>
      <w:r>
        <w:rPr>
          <w:rFonts w:ascii="Arial" w:eastAsia="Calibri" w:hAnsi="Arial" w:cs="Arial"/>
          <w:color w:val="000000"/>
        </w:rPr>
        <w:t xml:space="preserve">, V., </w:t>
      </w:r>
      <w:proofErr w:type="spellStart"/>
      <w:r>
        <w:rPr>
          <w:rFonts w:ascii="Arial" w:eastAsia="Calibri" w:hAnsi="Arial" w:cs="Arial"/>
          <w:color w:val="000000"/>
        </w:rPr>
        <w:t>Karakolis</w:t>
      </w:r>
      <w:proofErr w:type="spellEnd"/>
      <w:r>
        <w:rPr>
          <w:rFonts w:ascii="Arial" w:eastAsia="Calibri" w:hAnsi="Arial" w:cs="Arial"/>
          <w:color w:val="000000"/>
        </w:rPr>
        <w:t xml:space="preserve">, T., Kelly, K.R., Proctor, S.P., </w:t>
      </w:r>
      <w:proofErr w:type="spellStart"/>
      <w:r>
        <w:rPr>
          <w:rFonts w:ascii="Arial" w:eastAsia="Calibri" w:hAnsi="Arial" w:cs="Arial"/>
          <w:color w:val="000000"/>
        </w:rPr>
        <w:t>Stepens</w:t>
      </w:r>
      <w:proofErr w:type="spellEnd"/>
      <w:r>
        <w:rPr>
          <w:rFonts w:ascii="Arial" w:eastAsia="Calibri" w:hAnsi="Arial" w:cs="Arial"/>
          <w:color w:val="000000"/>
        </w:rPr>
        <w:t xml:space="preserve">, A., White, G. and Zimmerman, W.O. (2021) Risk factors for musculoskeletal injuries in the military: a qualitative systematic review of the literature from the past two decades and a new prioritizing model. </w:t>
      </w:r>
      <w:r>
        <w:rPr>
          <w:rFonts w:ascii="Arial" w:eastAsia="Calibri" w:hAnsi="Arial" w:cs="Arial"/>
          <w:i/>
          <w:iCs/>
          <w:color w:val="000000"/>
        </w:rPr>
        <w:t xml:space="preserve">Military Med Res, </w:t>
      </w:r>
      <w:r>
        <w:rPr>
          <w:rFonts w:ascii="Arial" w:eastAsia="Calibri" w:hAnsi="Arial" w:cs="Arial"/>
          <w:color w:val="000000"/>
        </w:rPr>
        <w:t>8, 66.</w:t>
      </w:r>
    </w:p>
    <w:p w14:paraId="49CD8736" w14:textId="77777777" w:rsidR="00757D00" w:rsidRDefault="00757D00" w:rsidP="001B48B5">
      <w:pPr>
        <w:pStyle w:val="ListParagraph"/>
        <w:rPr>
          <w:rFonts w:ascii="Arial" w:eastAsia="Calibri" w:hAnsi="Arial" w:cs="Arial"/>
          <w:color w:val="000000"/>
        </w:rPr>
      </w:pPr>
    </w:p>
    <w:p w14:paraId="5EF07536" w14:textId="799B6295" w:rsidR="00757D00" w:rsidRPr="00B05BED" w:rsidRDefault="00757D00" w:rsidP="00B05BED">
      <w:pPr>
        <w:numPr>
          <w:ilvl w:val="0"/>
          <w:numId w:val="4"/>
        </w:numPr>
        <w:spacing w:after="0" w:line="240" w:lineRule="auto"/>
        <w:ind w:hanging="720"/>
        <w:textAlignment w:val="baseline"/>
        <w:rPr>
          <w:rFonts w:ascii="Arial" w:eastAsia="Calibri" w:hAnsi="Arial" w:cs="Arial"/>
          <w:color w:val="000000"/>
        </w:rPr>
      </w:pPr>
      <w:r>
        <w:rPr>
          <w:rFonts w:ascii="Arial" w:eastAsia="Calibri" w:hAnsi="Arial" w:cs="Arial"/>
          <w:color w:val="000000"/>
        </w:rPr>
        <w:t xml:space="preserve">Scott, P.J. Musculoskeletal injury outcomes: A 2-year retrospective service evaluation of a UK defence primary health care rehabilitation facility (PCRF). </w:t>
      </w:r>
      <w:r>
        <w:rPr>
          <w:rFonts w:ascii="Arial" w:eastAsia="Calibri" w:hAnsi="Arial" w:cs="Arial"/>
          <w:i/>
          <w:iCs/>
          <w:color w:val="000000"/>
        </w:rPr>
        <w:t xml:space="preserve">BMJ Mil Health, </w:t>
      </w:r>
      <w:r>
        <w:rPr>
          <w:rFonts w:ascii="Arial" w:eastAsia="Calibri" w:hAnsi="Arial" w:cs="Arial"/>
          <w:color w:val="000000"/>
        </w:rPr>
        <w:t>167:182-186.</w:t>
      </w:r>
    </w:p>
    <w:p w14:paraId="46F0358E" w14:textId="77777777" w:rsidR="00B05BED" w:rsidRPr="00B05BED" w:rsidRDefault="00B05BED" w:rsidP="00B05BED">
      <w:pPr>
        <w:spacing w:after="0" w:line="240" w:lineRule="auto"/>
        <w:ind w:left="720" w:hanging="720"/>
        <w:textAlignment w:val="baseline"/>
        <w:rPr>
          <w:rFonts w:ascii="Arial" w:eastAsia="Times New Roman" w:hAnsi="Arial" w:cs="Arial"/>
          <w:color w:val="000000"/>
          <w:lang w:eastAsia="en-GB"/>
        </w:rPr>
      </w:pPr>
    </w:p>
    <w:p w14:paraId="08435637" w14:textId="77777777" w:rsidR="00B05BED" w:rsidRPr="00B05BED" w:rsidRDefault="00B05BED" w:rsidP="00B05BED">
      <w:pPr>
        <w:numPr>
          <w:ilvl w:val="0"/>
          <w:numId w:val="4"/>
        </w:numPr>
        <w:spacing w:after="0"/>
        <w:ind w:hanging="720"/>
        <w:contextualSpacing/>
        <w:rPr>
          <w:rFonts w:ascii="Arial" w:eastAsia="Calibri" w:hAnsi="Arial" w:cs="Arial"/>
        </w:rPr>
      </w:pPr>
      <w:r w:rsidRPr="00B05BED">
        <w:rPr>
          <w:rFonts w:ascii="Arial" w:eastAsia="Calibri" w:hAnsi="Arial" w:cs="Arial"/>
        </w:rPr>
        <w:t xml:space="preserve">Stannard, J. and </w:t>
      </w:r>
      <w:proofErr w:type="spellStart"/>
      <w:r w:rsidRPr="00B05BED">
        <w:rPr>
          <w:rFonts w:ascii="Arial" w:eastAsia="Calibri" w:hAnsi="Arial" w:cs="Arial"/>
        </w:rPr>
        <w:t>Fortington</w:t>
      </w:r>
      <w:proofErr w:type="spellEnd"/>
      <w:r w:rsidRPr="00B05BED">
        <w:rPr>
          <w:rFonts w:ascii="Arial" w:eastAsia="Calibri" w:hAnsi="Arial" w:cs="Arial"/>
        </w:rPr>
        <w:t xml:space="preserve">, L. (2021) Musculoskeletal injury in military Special Operations Forces: a systematic review. </w:t>
      </w:r>
      <w:r w:rsidRPr="00B05BED">
        <w:rPr>
          <w:rFonts w:ascii="Arial" w:eastAsia="Calibri" w:hAnsi="Arial" w:cs="Arial"/>
          <w:i/>
          <w:iCs/>
        </w:rPr>
        <w:t xml:space="preserve">BMJ Mil Health, </w:t>
      </w:r>
      <w:r w:rsidRPr="00B05BED">
        <w:rPr>
          <w:rFonts w:ascii="Arial" w:eastAsia="Calibri" w:hAnsi="Arial" w:cs="Arial"/>
        </w:rPr>
        <w:t>0:1-11. Doi:10.1136/bmjmilitray-2020-001692.</w:t>
      </w:r>
    </w:p>
    <w:p w14:paraId="1A4F365A" w14:textId="77777777" w:rsidR="00B05BED" w:rsidRPr="00B05BED" w:rsidRDefault="00B05BED" w:rsidP="00B05BED">
      <w:pPr>
        <w:spacing w:after="0" w:line="240" w:lineRule="auto"/>
        <w:ind w:left="720" w:hanging="720"/>
        <w:textAlignment w:val="baseline"/>
        <w:rPr>
          <w:rFonts w:ascii="Arial" w:eastAsia="Calibri" w:hAnsi="Arial" w:cs="Arial"/>
          <w:color w:val="000000"/>
        </w:rPr>
      </w:pPr>
    </w:p>
    <w:p w14:paraId="46A33EAE" w14:textId="77777777" w:rsidR="00B05BED" w:rsidRPr="00B05BED" w:rsidRDefault="00B05BED" w:rsidP="00B05BED">
      <w:pPr>
        <w:spacing w:after="0" w:line="240" w:lineRule="auto"/>
        <w:ind w:left="720" w:hanging="720"/>
        <w:textAlignment w:val="baseline"/>
        <w:rPr>
          <w:rFonts w:ascii="Arial" w:eastAsia="Times New Roman" w:hAnsi="Arial" w:cs="Arial"/>
          <w:lang w:eastAsia="en-GB"/>
        </w:rPr>
      </w:pPr>
    </w:p>
    <w:p w14:paraId="7FA8639C"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lang w:eastAsia="en-GB"/>
        </w:rPr>
      </w:pPr>
      <w:r w:rsidRPr="00B05BED">
        <w:rPr>
          <w:rFonts w:ascii="Arial" w:eastAsia="Times New Roman" w:hAnsi="Arial" w:cs="Arial"/>
          <w:color w:val="000000"/>
          <w:lang w:eastAsia="en-GB"/>
        </w:rPr>
        <w:t xml:space="preserve">Fuller, C.W., Bahr, R., Dick, R.W. and </w:t>
      </w:r>
      <w:proofErr w:type="spellStart"/>
      <w:r w:rsidRPr="00B05BED">
        <w:rPr>
          <w:rFonts w:ascii="Arial" w:eastAsia="Times New Roman" w:hAnsi="Arial" w:cs="Arial"/>
          <w:color w:val="000000"/>
          <w:lang w:eastAsia="en-GB"/>
        </w:rPr>
        <w:t>Meeuwisse</w:t>
      </w:r>
      <w:proofErr w:type="spellEnd"/>
      <w:r w:rsidRPr="00B05BED">
        <w:rPr>
          <w:rFonts w:ascii="Arial" w:eastAsia="Times New Roman" w:hAnsi="Arial" w:cs="Arial"/>
          <w:color w:val="000000"/>
          <w:lang w:eastAsia="en-GB"/>
        </w:rPr>
        <w:t xml:space="preserve">, W.H. (2007b) A framework for recording recurrences, reinjuries and exacerbations in injury surveillance. </w:t>
      </w:r>
      <w:r w:rsidRPr="00B05BED">
        <w:rPr>
          <w:rFonts w:ascii="Arial" w:eastAsia="Times New Roman" w:hAnsi="Arial" w:cs="Arial"/>
          <w:i/>
          <w:iCs/>
          <w:color w:val="000000"/>
          <w:lang w:eastAsia="en-GB"/>
        </w:rPr>
        <w:t xml:space="preserve">Clin J Sport Med, </w:t>
      </w:r>
      <w:r w:rsidRPr="00B05BED">
        <w:rPr>
          <w:rFonts w:ascii="Arial" w:eastAsia="Times New Roman" w:hAnsi="Arial" w:cs="Arial"/>
          <w:color w:val="000000"/>
          <w:lang w:eastAsia="en-GB"/>
        </w:rPr>
        <w:t>17(3), 197-200.</w:t>
      </w:r>
    </w:p>
    <w:p w14:paraId="7A026608" w14:textId="77777777" w:rsidR="00B05BED" w:rsidRPr="00B05BED" w:rsidRDefault="00B05BED" w:rsidP="00B05BED">
      <w:pPr>
        <w:spacing w:after="0"/>
        <w:ind w:left="720" w:hanging="720"/>
        <w:rPr>
          <w:rFonts w:ascii="Arial" w:eastAsia="Calibri" w:hAnsi="Arial" w:cs="Arial"/>
        </w:rPr>
      </w:pPr>
    </w:p>
    <w:p w14:paraId="4911459B"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lang w:eastAsia="en-GB"/>
        </w:rPr>
      </w:pPr>
      <w:r w:rsidRPr="00B05BED">
        <w:rPr>
          <w:rFonts w:ascii="Arial" w:eastAsia="Times New Roman" w:hAnsi="Arial" w:cs="Arial"/>
          <w:lang w:eastAsia="en-GB"/>
        </w:rPr>
        <w:t xml:space="preserve">Orchard, J.W., </w:t>
      </w:r>
      <w:proofErr w:type="spellStart"/>
      <w:r w:rsidRPr="00B05BED">
        <w:rPr>
          <w:rFonts w:ascii="Arial" w:eastAsia="Times New Roman" w:hAnsi="Arial" w:cs="Arial"/>
          <w:lang w:eastAsia="en-GB"/>
        </w:rPr>
        <w:t>Ranson</w:t>
      </w:r>
      <w:proofErr w:type="spellEnd"/>
      <w:r w:rsidRPr="00B05BED">
        <w:rPr>
          <w:rFonts w:ascii="Arial" w:eastAsia="Times New Roman" w:hAnsi="Arial" w:cs="Arial"/>
          <w:lang w:eastAsia="en-GB"/>
        </w:rPr>
        <w:t xml:space="preserve">, C., Olivier, B., Dhillon, M., Gray, J., Langley, B., </w:t>
      </w:r>
      <w:proofErr w:type="spellStart"/>
      <w:r w:rsidRPr="00B05BED">
        <w:rPr>
          <w:rFonts w:ascii="Arial" w:eastAsia="Times New Roman" w:hAnsi="Arial" w:cs="Arial"/>
          <w:lang w:eastAsia="en-GB"/>
        </w:rPr>
        <w:t>Mansingh</w:t>
      </w:r>
      <w:proofErr w:type="spellEnd"/>
      <w:r w:rsidRPr="00B05BED">
        <w:rPr>
          <w:rFonts w:ascii="Arial" w:eastAsia="Times New Roman" w:hAnsi="Arial" w:cs="Arial"/>
          <w:lang w:eastAsia="en-GB"/>
        </w:rPr>
        <w:t xml:space="preserve">, A., Moore, I.S., Murphy, I., </w:t>
      </w:r>
      <w:proofErr w:type="spellStart"/>
      <w:r w:rsidRPr="00B05BED">
        <w:rPr>
          <w:rFonts w:ascii="Arial" w:eastAsia="Times New Roman" w:hAnsi="Arial" w:cs="Arial"/>
          <w:lang w:eastAsia="en-GB"/>
        </w:rPr>
        <w:t>Patricios</w:t>
      </w:r>
      <w:proofErr w:type="spellEnd"/>
      <w:r w:rsidRPr="00B05BED">
        <w:rPr>
          <w:rFonts w:ascii="Arial" w:eastAsia="Times New Roman" w:hAnsi="Arial" w:cs="Arial"/>
          <w:lang w:eastAsia="en-GB"/>
        </w:rPr>
        <w:t xml:space="preserve">, J., Alwar, T., Clark, C.J., Harrop, B., Khan, H.I., </w:t>
      </w:r>
      <w:proofErr w:type="spellStart"/>
      <w:r w:rsidRPr="00B05BED">
        <w:rPr>
          <w:rFonts w:ascii="Arial" w:eastAsia="Times New Roman" w:hAnsi="Arial" w:cs="Arial"/>
          <w:lang w:eastAsia="en-GB"/>
        </w:rPr>
        <w:t>Kountouris</w:t>
      </w:r>
      <w:proofErr w:type="spellEnd"/>
      <w:r w:rsidRPr="00B05BED">
        <w:rPr>
          <w:rFonts w:ascii="Arial" w:eastAsia="Times New Roman" w:hAnsi="Arial" w:cs="Arial"/>
          <w:lang w:eastAsia="en-GB"/>
        </w:rPr>
        <w:t xml:space="preserve">, A., </w:t>
      </w:r>
      <w:proofErr w:type="spellStart"/>
      <w:r w:rsidRPr="00B05BED">
        <w:rPr>
          <w:rFonts w:ascii="Arial" w:eastAsia="Times New Roman" w:hAnsi="Arial" w:cs="Arial"/>
          <w:lang w:eastAsia="en-GB"/>
        </w:rPr>
        <w:t>Macphail</w:t>
      </w:r>
      <w:proofErr w:type="spellEnd"/>
      <w:r w:rsidRPr="00B05BED">
        <w:rPr>
          <w:rFonts w:ascii="Arial" w:eastAsia="Times New Roman" w:hAnsi="Arial" w:cs="Arial"/>
          <w:lang w:eastAsia="en-GB"/>
        </w:rPr>
        <w:t xml:space="preserve">, M., Mount, S., </w:t>
      </w:r>
      <w:proofErr w:type="spellStart"/>
      <w:r w:rsidRPr="00B05BED">
        <w:rPr>
          <w:rFonts w:ascii="Arial" w:eastAsia="Times New Roman" w:hAnsi="Arial" w:cs="Arial"/>
          <w:lang w:eastAsia="en-GB"/>
        </w:rPr>
        <w:t>Mupotaringa</w:t>
      </w:r>
      <w:proofErr w:type="spellEnd"/>
      <w:r w:rsidRPr="00B05BED">
        <w:rPr>
          <w:rFonts w:ascii="Arial" w:eastAsia="Times New Roman" w:hAnsi="Arial" w:cs="Arial"/>
          <w:lang w:eastAsia="en-GB"/>
        </w:rPr>
        <w:t xml:space="preserve">, A., Newman, D., O’Reilly, K., Peirce, N., Saleem, S., </w:t>
      </w:r>
      <w:proofErr w:type="spellStart"/>
      <w:r w:rsidRPr="00B05BED">
        <w:rPr>
          <w:rFonts w:ascii="Arial" w:eastAsia="Times New Roman" w:hAnsi="Arial" w:cs="Arial"/>
          <w:lang w:eastAsia="en-GB"/>
        </w:rPr>
        <w:t>Shackel</w:t>
      </w:r>
      <w:proofErr w:type="spellEnd"/>
      <w:r w:rsidRPr="00B05BED">
        <w:rPr>
          <w:rFonts w:ascii="Arial" w:eastAsia="Times New Roman" w:hAnsi="Arial" w:cs="Arial"/>
          <w:lang w:eastAsia="en-GB"/>
        </w:rPr>
        <w:t xml:space="preserve">, D., Stretch, R. and Finch C.F. (2016) International consensus statement on injury surveillance in cricket: a 2016 update. </w:t>
      </w:r>
      <w:r w:rsidRPr="00B05BED">
        <w:rPr>
          <w:rFonts w:ascii="Arial" w:eastAsia="Times New Roman" w:hAnsi="Arial" w:cs="Arial"/>
          <w:i/>
          <w:iCs/>
          <w:lang w:eastAsia="en-GB"/>
        </w:rPr>
        <w:t xml:space="preserve">Br J Sports Med, </w:t>
      </w:r>
      <w:r w:rsidRPr="00B05BED">
        <w:rPr>
          <w:rFonts w:ascii="Arial" w:eastAsia="Times New Roman" w:hAnsi="Arial" w:cs="Arial"/>
          <w:lang w:eastAsia="en-GB"/>
        </w:rPr>
        <w:t>0:1-7. Doi:10.1136/bjsports-2016-096125.</w:t>
      </w:r>
    </w:p>
    <w:p w14:paraId="36A81929" w14:textId="77777777" w:rsidR="00B05BED" w:rsidRPr="00B05BED" w:rsidRDefault="00B05BED" w:rsidP="00B05BED">
      <w:pPr>
        <w:spacing w:after="0" w:line="240" w:lineRule="auto"/>
        <w:ind w:left="720" w:hanging="720"/>
        <w:textAlignment w:val="baseline"/>
        <w:rPr>
          <w:rFonts w:ascii="Arial" w:eastAsia="Times New Roman" w:hAnsi="Arial" w:cs="Arial"/>
          <w:lang w:eastAsia="en-GB"/>
        </w:rPr>
      </w:pPr>
      <w:r w:rsidRPr="00B05BED">
        <w:rPr>
          <w:rFonts w:ascii="Arial" w:eastAsia="Times New Roman" w:hAnsi="Arial" w:cs="Arial"/>
          <w:lang w:eastAsia="en-GB"/>
        </w:rPr>
        <w:t> </w:t>
      </w:r>
    </w:p>
    <w:p w14:paraId="69DA092B"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lang w:eastAsia="en-GB"/>
        </w:rPr>
      </w:pPr>
      <w:proofErr w:type="spellStart"/>
      <w:r w:rsidRPr="00B05BED">
        <w:rPr>
          <w:rFonts w:ascii="Arial" w:eastAsia="Times New Roman" w:hAnsi="Arial" w:cs="Arial"/>
          <w:lang w:eastAsia="en-GB"/>
        </w:rPr>
        <w:t>Timpk</w:t>
      </w:r>
      <w:proofErr w:type="spellEnd"/>
      <w:r w:rsidRPr="00B05BED">
        <w:rPr>
          <w:rFonts w:ascii="Arial" w:eastAsia="Times New Roman" w:hAnsi="Arial" w:cs="Arial"/>
          <w:lang w:eastAsia="en-GB"/>
        </w:rPr>
        <w:t xml:space="preserve">, T., Alonso J., Jacobson J., </w:t>
      </w:r>
      <w:proofErr w:type="spellStart"/>
      <w:r w:rsidRPr="00B05BED">
        <w:rPr>
          <w:rFonts w:ascii="Arial" w:eastAsia="Times New Roman" w:hAnsi="Arial" w:cs="Arial"/>
          <w:lang w:eastAsia="en-GB"/>
        </w:rPr>
        <w:t>Junge</w:t>
      </w:r>
      <w:proofErr w:type="spellEnd"/>
      <w:r w:rsidRPr="00B05BED">
        <w:rPr>
          <w:rFonts w:ascii="Arial" w:eastAsia="Times New Roman" w:hAnsi="Arial" w:cs="Arial"/>
          <w:lang w:eastAsia="en-GB"/>
        </w:rPr>
        <w:t xml:space="preserve"> A., Branco P., </w:t>
      </w:r>
      <w:proofErr w:type="spellStart"/>
      <w:r w:rsidRPr="00B05BED">
        <w:rPr>
          <w:rFonts w:ascii="Arial" w:eastAsia="Times New Roman" w:hAnsi="Arial" w:cs="Arial"/>
          <w:lang w:eastAsia="en-GB"/>
        </w:rPr>
        <w:t>Clarsen</w:t>
      </w:r>
      <w:proofErr w:type="spellEnd"/>
      <w:r w:rsidRPr="00B05BED">
        <w:rPr>
          <w:rFonts w:ascii="Arial" w:eastAsia="Times New Roman" w:hAnsi="Arial" w:cs="Arial"/>
          <w:lang w:eastAsia="en-GB"/>
        </w:rPr>
        <w:t xml:space="preserve"> B., Kowalski J., Mountjoy M., Nilsson S., </w:t>
      </w:r>
      <w:proofErr w:type="spellStart"/>
      <w:r w:rsidRPr="00B05BED">
        <w:rPr>
          <w:rFonts w:ascii="Arial" w:eastAsia="Times New Roman" w:hAnsi="Arial" w:cs="Arial"/>
          <w:lang w:eastAsia="en-GB"/>
        </w:rPr>
        <w:t>Pluim</w:t>
      </w:r>
      <w:proofErr w:type="spellEnd"/>
      <w:r w:rsidRPr="00B05BED">
        <w:rPr>
          <w:rFonts w:ascii="Arial" w:eastAsia="Times New Roman" w:hAnsi="Arial" w:cs="Arial"/>
          <w:lang w:eastAsia="en-GB"/>
        </w:rPr>
        <w:t xml:space="preserve"> B., </w:t>
      </w:r>
      <w:proofErr w:type="spellStart"/>
      <w:r w:rsidRPr="00B05BED">
        <w:rPr>
          <w:rFonts w:ascii="Arial" w:eastAsia="Times New Roman" w:hAnsi="Arial" w:cs="Arial"/>
          <w:lang w:eastAsia="en-GB"/>
        </w:rPr>
        <w:t>Renstrom</w:t>
      </w:r>
      <w:proofErr w:type="spellEnd"/>
      <w:r w:rsidRPr="00B05BED">
        <w:rPr>
          <w:rFonts w:ascii="Arial" w:eastAsia="Times New Roman" w:hAnsi="Arial" w:cs="Arial"/>
          <w:lang w:eastAsia="en-GB"/>
        </w:rPr>
        <w:t xml:space="preserve"> P., </w:t>
      </w:r>
      <w:proofErr w:type="spellStart"/>
      <w:r w:rsidRPr="00B05BED">
        <w:rPr>
          <w:rFonts w:ascii="Arial" w:eastAsia="Times New Roman" w:hAnsi="Arial" w:cs="Arial"/>
          <w:lang w:eastAsia="en-GB"/>
        </w:rPr>
        <w:t>Ronsen</w:t>
      </w:r>
      <w:proofErr w:type="spellEnd"/>
      <w:r w:rsidRPr="00B05BED">
        <w:rPr>
          <w:rFonts w:ascii="Arial" w:eastAsia="Times New Roman" w:hAnsi="Arial" w:cs="Arial"/>
          <w:lang w:eastAsia="en-GB"/>
        </w:rPr>
        <w:t xml:space="preserve"> O., Steffen K. and Edouard P. (2014) Injury and illness definitions and data collection procedures for use in epidemiological studies in Athletics (track and field): Consensus Statement, </w:t>
      </w:r>
      <w:r w:rsidRPr="00B05BED">
        <w:rPr>
          <w:rFonts w:ascii="Arial" w:eastAsia="Times New Roman" w:hAnsi="Arial" w:cs="Arial"/>
          <w:i/>
          <w:iCs/>
          <w:lang w:eastAsia="en-GB"/>
        </w:rPr>
        <w:t xml:space="preserve">Br J Sports Med, </w:t>
      </w:r>
      <w:r w:rsidRPr="00B05BED">
        <w:rPr>
          <w:rFonts w:ascii="Arial" w:eastAsia="Times New Roman" w:hAnsi="Arial" w:cs="Arial"/>
          <w:lang w:eastAsia="en-GB"/>
        </w:rPr>
        <w:t>48:483-490.</w:t>
      </w:r>
    </w:p>
    <w:p w14:paraId="6C9E9734" w14:textId="77777777" w:rsidR="00B05BED" w:rsidRPr="00B05BED" w:rsidRDefault="00B05BED" w:rsidP="00B05BED">
      <w:pPr>
        <w:spacing w:after="0"/>
        <w:ind w:left="720" w:hanging="720"/>
        <w:rPr>
          <w:rFonts w:ascii="Arial" w:eastAsia="Calibri" w:hAnsi="Arial" w:cs="Arial"/>
        </w:rPr>
      </w:pPr>
    </w:p>
    <w:p w14:paraId="1B1B84E7"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lang w:eastAsia="en-GB"/>
        </w:rPr>
      </w:pPr>
      <w:proofErr w:type="spellStart"/>
      <w:r w:rsidRPr="00B05BED">
        <w:rPr>
          <w:rFonts w:ascii="Arial" w:eastAsia="Times New Roman" w:hAnsi="Arial" w:cs="Arial"/>
          <w:lang w:eastAsia="en-GB"/>
        </w:rPr>
        <w:t>Knapik</w:t>
      </w:r>
      <w:proofErr w:type="spellEnd"/>
      <w:r w:rsidRPr="00B05BED">
        <w:rPr>
          <w:rFonts w:ascii="Arial" w:eastAsia="Times New Roman" w:hAnsi="Arial" w:cs="Arial"/>
          <w:lang w:eastAsia="en-GB"/>
        </w:rPr>
        <w:t xml:space="preserve">, J.J., Jones, S.B., </w:t>
      </w:r>
      <w:proofErr w:type="spellStart"/>
      <w:r w:rsidRPr="00B05BED">
        <w:rPr>
          <w:rFonts w:ascii="Arial" w:eastAsia="Times New Roman" w:hAnsi="Arial" w:cs="Arial"/>
          <w:lang w:eastAsia="en-GB"/>
        </w:rPr>
        <w:t>Darakjy</w:t>
      </w:r>
      <w:proofErr w:type="spellEnd"/>
      <w:r w:rsidRPr="00B05BED">
        <w:rPr>
          <w:rFonts w:ascii="Arial" w:eastAsia="Times New Roman" w:hAnsi="Arial" w:cs="Arial"/>
          <w:lang w:eastAsia="en-GB"/>
        </w:rPr>
        <w:t xml:space="preserve">, S.D., </w:t>
      </w:r>
      <w:proofErr w:type="spellStart"/>
      <w:r w:rsidRPr="00B05BED">
        <w:rPr>
          <w:rFonts w:ascii="Arial" w:eastAsia="Times New Roman" w:hAnsi="Arial" w:cs="Arial"/>
          <w:lang w:eastAsia="en-GB"/>
        </w:rPr>
        <w:t>Hauret</w:t>
      </w:r>
      <w:proofErr w:type="spellEnd"/>
      <w:r w:rsidRPr="00B05BED">
        <w:rPr>
          <w:rFonts w:ascii="Arial" w:eastAsia="Times New Roman" w:hAnsi="Arial" w:cs="Arial"/>
          <w:lang w:eastAsia="en-GB"/>
        </w:rPr>
        <w:t xml:space="preserve">, K.G., Bullock, S.H., Sharp, M.A. and Jones, B.H. (2007) Injury rates and injury risk factors among US Army Wheel Vehicle Mechanics, </w:t>
      </w:r>
      <w:r w:rsidRPr="00B05BED">
        <w:rPr>
          <w:rFonts w:ascii="Arial" w:eastAsia="Times New Roman" w:hAnsi="Arial" w:cs="Arial"/>
          <w:i/>
          <w:iCs/>
          <w:lang w:eastAsia="en-GB"/>
        </w:rPr>
        <w:t xml:space="preserve">Military Medicine, </w:t>
      </w:r>
      <w:r w:rsidRPr="00B05BED">
        <w:rPr>
          <w:rFonts w:ascii="Arial" w:eastAsia="Times New Roman" w:hAnsi="Arial" w:cs="Arial"/>
          <w:lang w:eastAsia="en-GB"/>
        </w:rPr>
        <w:t>172, 9:988 – 996. </w:t>
      </w:r>
    </w:p>
    <w:p w14:paraId="09C651B0" w14:textId="77777777" w:rsidR="00B05BED" w:rsidRPr="00B05BED" w:rsidRDefault="00B05BED" w:rsidP="00B05BED">
      <w:pPr>
        <w:spacing w:after="0"/>
        <w:ind w:left="720" w:hanging="720"/>
        <w:rPr>
          <w:rFonts w:ascii="Arial" w:eastAsia="Calibri" w:hAnsi="Arial" w:cs="Arial"/>
        </w:rPr>
      </w:pPr>
    </w:p>
    <w:p w14:paraId="18387028" w14:textId="77777777" w:rsidR="00B05BED" w:rsidRPr="00B05BED" w:rsidRDefault="00B05BED" w:rsidP="00B05BED">
      <w:pPr>
        <w:numPr>
          <w:ilvl w:val="0"/>
          <w:numId w:val="4"/>
        </w:numPr>
        <w:spacing w:after="0" w:line="240" w:lineRule="auto"/>
        <w:ind w:hanging="720"/>
        <w:textAlignment w:val="baseline"/>
        <w:rPr>
          <w:rFonts w:ascii="Arial" w:eastAsia="Calibri" w:hAnsi="Arial" w:cs="Arial"/>
          <w:color w:val="000000"/>
        </w:rPr>
      </w:pPr>
      <w:r w:rsidRPr="00B05BED">
        <w:rPr>
          <w:rFonts w:ascii="Arial" w:eastAsia="Times New Roman" w:hAnsi="Arial" w:cs="Arial"/>
          <w:color w:val="000000"/>
          <w:lang w:eastAsia="en-GB"/>
        </w:rPr>
        <w:t xml:space="preserve">Wilkinson, D.M., Blacker, S.D., Richmond, V.L., Horner, F.E., </w:t>
      </w:r>
      <w:proofErr w:type="spellStart"/>
      <w:r w:rsidRPr="00B05BED">
        <w:rPr>
          <w:rFonts w:ascii="Arial" w:eastAsia="Times New Roman" w:hAnsi="Arial" w:cs="Arial"/>
          <w:color w:val="000000"/>
          <w:lang w:eastAsia="en-GB"/>
        </w:rPr>
        <w:t>Rayson</w:t>
      </w:r>
      <w:proofErr w:type="spellEnd"/>
      <w:r w:rsidRPr="00B05BED">
        <w:rPr>
          <w:rFonts w:ascii="Arial" w:eastAsia="Times New Roman" w:hAnsi="Arial" w:cs="Arial"/>
          <w:color w:val="000000"/>
          <w:lang w:eastAsia="en-GB"/>
        </w:rPr>
        <w:t xml:space="preserve">, M.P., </w:t>
      </w:r>
      <w:proofErr w:type="spellStart"/>
      <w:r w:rsidRPr="00B05BED">
        <w:rPr>
          <w:rFonts w:ascii="Arial" w:eastAsia="Times New Roman" w:hAnsi="Arial" w:cs="Arial"/>
          <w:color w:val="000000"/>
          <w:lang w:eastAsia="en-GB"/>
        </w:rPr>
        <w:t>Spiess</w:t>
      </w:r>
      <w:proofErr w:type="spellEnd"/>
      <w:r w:rsidRPr="00B05BED">
        <w:rPr>
          <w:rFonts w:ascii="Arial" w:eastAsia="Times New Roman" w:hAnsi="Arial" w:cs="Arial"/>
          <w:color w:val="000000"/>
          <w:lang w:eastAsia="en-GB"/>
        </w:rPr>
        <w:t xml:space="preserve">, A. and </w:t>
      </w:r>
      <w:proofErr w:type="spellStart"/>
      <w:r w:rsidRPr="00B05BED">
        <w:rPr>
          <w:rFonts w:ascii="Arial" w:eastAsia="Times New Roman" w:hAnsi="Arial" w:cs="Arial"/>
          <w:color w:val="000000"/>
          <w:lang w:eastAsia="en-GB"/>
        </w:rPr>
        <w:t>Knapik</w:t>
      </w:r>
      <w:proofErr w:type="spellEnd"/>
      <w:r w:rsidRPr="00B05BED">
        <w:rPr>
          <w:rFonts w:ascii="Arial" w:eastAsia="Times New Roman" w:hAnsi="Arial" w:cs="Arial"/>
          <w:color w:val="000000"/>
          <w:lang w:eastAsia="en-GB"/>
        </w:rPr>
        <w:t xml:space="preserve">, J.J. (2011) Injuries and injury risk factors among British Army infantry soldiers during pre-deployment training. </w:t>
      </w:r>
      <w:r w:rsidRPr="00B05BED">
        <w:rPr>
          <w:rFonts w:ascii="Arial" w:eastAsia="Times New Roman" w:hAnsi="Arial" w:cs="Arial"/>
          <w:i/>
          <w:iCs/>
          <w:color w:val="000000"/>
          <w:lang w:eastAsia="en-GB"/>
        </w:rPr>
        <w:t xml:space="preserve">Injury Prevention, </w:t>
      </w:r>
      <w:r w:rsidRPr="00B05BED">
        <w:rPr>
          <w:rFonts w:ascii="Arial" w:eastAsia="Times New Roman" w:hAnsi="Arial" w:cs="Arial"/>
          <w:color w:val="000000"/>
          <w:lang w:eastAsia="en-GB"/>
        </w:rPr>
        <w:t>17, 381-387.</w:t>
      </w:r>
    </w:p>
    <w:p w14:paraId="4833703E" w14:textId="77777777" w:rsidR="00B05BED" w:rsidRPr="00B05BED" w:rsidRDefault="00B05BED" w:rsidP="00B05BED">
      <w:pPr>
        <w:spacing w:after="0" w:line="240" w:lineRule="auto"/>
        <w:ind w:left="720" w:hanging="720"/>
        <w:textAlignment w:val="baseline"/>
        <w:rPr>
          <w:rFonts w:ascii="Arial" w:eastAsia="Times New Roman" w:hAnsi="Arial" w:cs="Arial"/>
          <w:color w:val="000000"/>
          <w:lang w:eastAsia="en-GB"/>
        </w:rPr>
      </w:pPr>
    </w:p>
    <w:p w14:paraId="7865DFD3"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lang w:eastAsia="en-GB"/>
        </w:rPr>
      </w:pPr>
      <w:proofErr w:type="spellStart"/>
      <w:r w:rsidRPr="00B05BED">
        <w:rPr>
          <w:rFonts w:ascii="Arial" w:eastAsia="Times New Roman" w:hAnsi="Arial" w:cs="Arial"/>
          <w:color w:val="000000"/>
          <w:lang w:eastAsia="en-GB"/>
        </w:rPr>
        <w:lastRenderedPageBreak/>
        <w:t>Abt</w:t>
      </w:r>
      <w:proofErr w:type="spellEnd"/>
      <w:r w:rsidRPr="00B05BED">
        <w:rPr>
          <w:rFonts w:ascii="Arial" w:eastAsia="Times New Roman" w:hAnsi="Arial" w:cs="Arial"/>
          <w:color w:val="000000"/>
          <w:lang w:eastAsia="en-GB"/>
        </w:rPr>
        <w:t xml:space="preserve">, J.P., Sell, T.C., </w:t>
      </w:r>
      <w:proofErr w:type="spellStart"/>
      <w:r w:rsidRPr="00B05BED">
        <w:rPr>
          <w:rFonts w:ascii="Arial" w:eastAsia="Times New Roman" w:hAnsi="Arial" w:cs="Arial"/>
          <w:color w:val="000000"/>
          <w:lang w:eastAsia="en-GB"/>
        </w:rPr>
        <w:t>Lovalekar</w:t>
      </w:r>
      <w:proofErr w:type="spellEnd"/>
      <w:r w:rsidRPr="00B05BED">
        <w:rPr>
          <w:rFonts w:ascii="Arial" w:eastAsia="Times New Roman" w:hAnsi="Arial" w:cs="Arial"/>
          <w:color w:val="000000"/>
          <w:lang w:eastAsia="en-GB"/>
        </w:rPr>
        <w:t xml:space="preserve">, M.T., Keenan, K.A., </w:t>
      </w:r>
      <w:proofErr w:type="spellStart"/>
      <w:r w:rsidRPr="00B05BED">
        <w:rPr>
          <w:rFonts w:ascii="Arial" w:eastAsia="Times New Roman" w:hAnsi="Arial" w:cs="Arial"/>
          <w:color w:val="000000"/>
          <w:lang w:eastAsia="en-GB"/>
        </w:rPr>
        <w:t>Bozich</w:t>
      </w:r>
      <w:proofErr w:type="spellEnd"/>
      <w:r w:rsidRPr="00B05BED">
        <w:rPr>
          <w:rFonts w:ascii="Arial" w:eastAsia="Times New Roman" w:hAnsi="Arial" w:cs="Arial"/>
          <w:color w:val="000000"/>
          <w:lang w:eastAsia="en-GB"/>
        </w:rPr>
        <w:t xml:space="preserve">, A.J., Morgan, J.S., Kane, S.F., Benson, P.J. and </w:t>
      </w:r>
      <w:proofErr w:type="spellStart"/>
      <w:r w:rsidRPr="00B05BED">
        <w:rPr>
          <w:rFonts w:ascii="Arial" w:eastAsia="Times New Roman" w:hAnsi="Arial" w:cs="Arial"/>
          <w:color w:val="000000"/>
          <w:lang w:eastAsia="en-GB"/>
        </w:rPr>
        <w:t>Lephart</w:t>
      </w:r>
      <w:proofErr w:type="spellEnd"/>
      <w:r w:rsidRPr="00B05BED">
        <w:rPr>
          <w:rFonts w:ascii="Arial" w:eastAsia="Times New Roman" w:hAnsi="Arial" w:cs="Arial"/>
          <w:color w:val="000000"/>
          <w:lang w:eastAsia="en-GB"/>
        </w:rPr>
        <w:t xml:space="preserve">, S.M. (2014) Injury epidemiology of U.S. Special Operations Forces. </w:t>
      </w:r>
      <w:r w:rsidRPr="00B05BED">
        <w:rPr>
          <w:rFonts w:ascii="Arial" w:eastAsia="Times New Roman" w:hAnsi="Arial" w:cs="Arial"/>
          <w:i/>
          <w:iCs/>
          <w:color w:val="000000"/>
          <w:lang w:eastAsia="en-GB"/>
        </w:rPr>
        <w:t>Military Medicine,</w:t>
      </w:r>
      <w:r w:rsidRPr="00B05BED">
        <w:rPr>
          <w:rFonts w:ascii="Arial" w:eastAsia="Times New Roman" w:hAnsi="Arial" w:cs="Arial"/>
          <w:color w:val="000000"/>
          <w:lang w:eastAsia="en-GB"/>
        </w:rPr>
        <w:t xml:space="preserve"> 179, 1106-1112.</w:t>
      </w:r>
    </w:p>
    <w:p w14:paraId="774891AB" w14:textId="77777777" w:rsidR="00B05BED" w:rsidRPr="00B05BED" w:rsidRDefault="00B05BED" w:rsidP="00B05BED">
      <w:pPr>
        <w:spacing w:after="0" w:line="240" w:lineRule="auto"/>
        <w:ind w:left="720" w:hanging="720"/>
        <w:textAlignment w:val="baseline"/>
        <w:rPr>
          <w:rFonts w:ascii="Arial" w:eastAsia="Times New Roman" w:hAnsi="Arial" w:cs="Arial"/>
          <w:lang w:eastAsia="en-GB"/>
        </w:rPr>
      </w:pPr>
      <w:r w:rsidRPr="00B05BED">
        <w:rPr>
          <w:rFonts w:ascii="Arial" w:eastAsia="Times New Roman" w:hAnsi="Arial" w:cs="Arial"/>
          <w:color w:val="000000"/>
          <w:lang w:eastAsia="en-GB"/>
        </w:rPr>
        <w:t> </w:t>
      </w:r>
    </w:p>
    <w:p w14:paraId="36093C3E"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lang w:eastAsia="en-GB"/>
        </w:rPr>
      </w:pPr>
      <w:proofErr w:type="spellStart"/>
      <w:r w:rsidRPr="00B05BED">
        <w:rPr>
          <w:rFonts w:ascii="Arial" w:eastAsia="Times New Roman" w:hAnsi="Arial" w:cs="Arial"/>
          <w:color w:val="000000"/>
          <w:lang w:eastAsia="en-GB"/>
        </w:rPr>
        <w:t>Lovalekar</w:t>
      </w:r>
      <w:proofErr w:type="spellEnd"/>
      <w:r w:rsidRPr="00B05BED">
        <w:rPr>
          <w:rFonts w:ascii="Arial" w:eastAsia="Times New Roman" w:hAnsi="Arial" w:cs="Arial"/>
          <w:color w:val="000000"/>
          <w:lang w:eastAsia="en-GB"/>
        </w:rPr>
        <w:t xml:space="preserve">, M., </w:t>
      </w:r>
      <w:proofErr w:type="spellStart"/>
      <w:r w:rsidRPr="00B05BED">
        <w:rPr>
          <w:rFonts w:ascii="Arial" w:eastAsia="Times New Roman" w:hAnsi="Arial" w:cs="Arial"/>
          <w:color w:val="000000"/>
          <w:lang w:eastAsia="en-GB"/>
        </w:rPr>
        <w:t>Abt</w:t>
      </w:r>
      <w:proofErr w:type="spellEnd"/>
      <w:r w:rsidRPr="00B05BED">
        <w:rPr>
          <w:rFonts w:ascii="Arial" w:eastAsia="Times New Roman" w:hAnsi="Arial" w:cs="Arial"/>
          <w:color w:val="000000"/>
          <w:lang w:eastAsia="en-GB"/>
        </w:rPr>
        <w:t xml:space="preserve">, J., Sell, T.C., Wood, D.E. and </w:t>
      </w:r>
      <w:proofErr w:type="spellStart"/>
      <w:r w:rsidRPr="00B05BED">
        <w:rPr>
          <w:rFonts w:ascii="Arial" w:eastAsia="Times New Roman" w:hAnsi="Arial" w:cs="Arial"/>
          <w:color w:val="000000"/>
          <w:lang w:eastAsia="en-GB"/>
        </w:rPr>
        <w:t>Lephart</w:t>
      </w:r>
      <w:proofErr w:type="spellEnd"/>
      <w:r w:rsidRPr="00B05BED">
        <w:rPr>
          <w:rFonts w:ascii="Arial" w:eastAsia="Times New Roman" w:hAnsi="Arial" w:cs="Arial"/>
          <w:color w:val="000000"/>
          <w:lang w:eastAsia="en-GB"/>
        </w:rPr>
        <w:t xml:space="preserve">, S.M. (2016) Descriptive epidemiology of musculoskeletal injuries in Naval Special Warfare Sea, Air, and Land Operators. </w:t>
      </w:r>
      <w:r w:rsidRPr="00B05BED">
        <w:rPr>
          <w:rFonts w:ascii="Arial" w:eastAsia="Times New Roman" w:hAnsi="Arial" w:cs="Arial"/>
          <w:i/>
          <w:iCs/>
          <w:color w:val="000000"/>
          <w:lang w:eastAsia="en-GB"/>
        </w:rPr>
        <w:t>Military Medicine</w:t>
      </w:r>
      <w:r w:rsidRPr="00B05BED">
        <w:rPr>
          <w:rFonts w:ascii="Arial" w:eastAsia="Times New Roman" w:hAnsi="Arial" w:cs="Arial"/>
          <w:color w:val="000000"/>
          <w:lang w:eastAsia="en-GB"/>
        </w:rPr>
        <w:t>, 181, 64-69.</w:t>
      </w:r>
    </w:p>
    <w:p w14:paraId="1B58D863" w14:textId="77777777" w:rsidR="00B05BED" w:rsidRPr="00B05BED" w:rsidRDefault="00B05BED" w:rsidP="00B05BED">
      <w:pPr>
        <w:spacing w:after="0" w:line="240" w:lineRule="auto"/>
        <w:ind w:left="720" w:hanging="720"/>
        <w:textAlignment w:val="baseline"/>
        <w:rPr>
          <w:rFonts w:ascii="Arial" w:eastAsia="Times New Roman" w:hAnsi="Arial" w:cs="Arial"/>
          <w:color w:val="000000"/>
          <w:lang w:eastAsia="en-GB"/>
        </w:rPr>
      </w:pPr>
    </w:p>
    <w:p w14:paraId="3A721AD8"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color w:val="000000"/>
          <w:lang w:eastAsia="en-GB"/>
        </w:rPr>
      </w:pPr>
      <w:r w:rsidRPr="00B05BED">
        <w:rPr>
          <w:rFonts w:ascii="Arial" w:eastAsia="Times New Roman" w:hAnsi="Arial" w:cs="Arial"/>
          <w:color w:val="000000"/>
          <w:lang w:eastAsia="en-GB"/>
        </w:rPr>
        <w:t xml:space="preserve">Jones, B.H., and </w:t>
      </w:r>
      <w:proofErr w:type="spellStart"/>
      <w:r w:rsidRPr="00B05BED">
        <w:rPr>
          <w:rFonts w:ascii="Arial" w:eastAsia="Times New Roman" w:hAnsi="Arial" w:cs="Arial"/>
          <w:color w:val="000000"/>
          <w:lang w:eastAsia="en-GB"/>
        </w:rPr>
        <w:t>Hauschild</w:t>
      </w:r>
      <w:proofErr w:type="spellEnd"/>
      <w:r w:rsidRPr="00B05BED">
        <w:rPr>
          <w:rFonts w:ascii="Arial" w:eastAsia="Times New Roman" w:hAnsi="Arial" w:cs="Arial"/>
          <w:color w:val="000000"/>
          <w:lang w:eastAsia="en-GB"/>
        </w:rPr>
        <w:t xml:space="preserve">, V.D. (2015) Physical training, fitness and injuries: Lessons learned from military studies. </w:t>
      </w:r>
      <w:r w:rsidRPr="00B05BED">
        <w:rPr>
          <w:rFonts w:ascii="Arial" w:eastAsia="Times New Roman" w:hAnsi="Arial" w:cs="Arial"/>
          <w:i/>
          <w:iCs/>
          <w:color w:val="000000"/>
          <w:lang w:eastAsia="en-GB"/>
        </w:rPr>
        <w:t xml:space="preserve">Journal of Strength and Conditioning Research, </w:t>
      </w:r>
      <w:r w:rsidRPr="00B05BED">
        <w:rPr>
          <w:rFonts w:ascii="Arial" w:eastAsia="Times New Roman" w:hAnsi="Arial" w:cs="Arial"/>
          <w:color w:val="000000"/>
          <w:lang w:eastAsia="en-GB"/>
        </w:rPr>
        <w:t>29(11S), S57-S64.</w:t>
      </w:r>
    </w:p>
    <w:p w14:paraId="467C91E2" w14:textId="77777777" w:rsidR="00B05BED" w:rsidRPr="00B05BED" w:rsidRDefault="00B05BED" w:rsidP="00B05BED">
      <w:pPr>
        <w:spacing w:after="0" w:line="240" w:lineRule="auto"/>
        <w:ind w:left="720" w:hanging="720"/>
        <w:textAlignment w:val="baseline"/>
        <w:rPr>
          <w:rFonts w:ascii="Arial" w:eastAsia="Times New Roman" w:hAnsi="Arial" w:cs="Arial"/>
          <w:color w:val="000000"/>
          <w:lang w:eastAsia="en-GB"/>
        </w:rPr>
      </w:pPr>
    </w:p>
    <w:p w14:paraId="33F55488"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lang w:eastAsia="en-GB"/>
        </w:rPr>
      </w:pPr>
      <w:r w:rsidRPr="00B05BED">
        <w:rPr>
          <w:rFonts w:ascii="Arial" w:eastAsia="Times New Roman" w:hAnsi="Arial" w:cs="Arial"/>
          <w:color w:val="000000"/>
          <w:lang w:eastAsia="en-GB"/>
        </w:rPr>
        <w:t xml:space="preserve">Parr, J.J., Clark, N.C., </w:t>
      </w:r>
      <w:proofErr w:type="spellStart"/>
      <w:r w:rsidRPr="00B05BED">
        <w:rPr>
          <w:rFonts w:ascii="Arial" w:eastAsia="Times New Roman" w:hAnsi="Arial" w:cs="Arial"/>
          <w:color w:val="000000"/>
          <w:lang w:eastAsia="en-GB"/>
        </w:rPr>
        <w:t>Abt</w:t>
      </w:r>
      <w:proofErr w:type="spellEnd"/>
      <w:r w:rsidRPr="00B05BED">
        <w:rPr>
          <w:rFonts w:ascii="Arial" w:eastAsia="Times New Roman" w:hAnsi="Arial" w:cs="Arial"/>
          <w:color w:val="000000"/>
          <w:lang w:eastAsia="en-GB"/>
        </w:rPr>
        <w:t xml:space="preserve">, J.P., </w:t>
      </w:r>
      <w:proofErr w:type="spellStart"/>
      <w:r w:rsidRPr="00B05BED">
        <w:rPr>
          <w:rFonts w:ascii="Arial" w:eastAsia="Times New Roman" w:hAnsi="Arial" w:cs="Arial"/>
          <w:color w:val="000000"/>
          <w:lang w:eastAsia="en-GB"/>
        </w:rPr>
        <w:t>Kresta</w:t>
      </w:r>
      <w:proofErr w:type="spellEnd"/>
      <w:r w:rsidRPr="00B05BED">
        <w:rPr>
          <w:rFonts w:ascii="Arial" w:eastAsia="Times New Roman" w:hAnsi="Arial" w:cs="Arial"/>
          <w:color w:val="000000"/>
          <w:lang w:eastAsia="en-GB"/>
        </w:rPr>
        <w:t xml:space="preserve">, J.Y., Keenan, K.A., Kane, S.F. and </w:t>
      </w:r>
      <w:proofErr w:type="spellStart"/>
      <w:r w:rsidRPr="00B05BED">
        <w:rPr>
          <w:rFonts w:ascii="Arial" w:eastAsia="Times New Roman" w:hAnsi="Arial" w:cs="Arial"/>
          <w:color w:val="000000"/>
          <w:lang w:eastAsia="en-GB"/>
        </w:rPr>
        <w:t>Lephart</w:t>
      </w:r>
      <w:proofErr w:type="spellEnd"/>
      <w:r w:rsidRPr="00B05BED">
        <w:rPr>
          <w:rFonts w:ascii="Arial" w:eastAsia="Times New Roman" w:hAnsi="Arial" w:cs="Arial"/>
          <w:color w:val="000000"/>
          <w:lang w:eastAsia="en-GB"/>
        </w:rPr>
        <w:t xml:space="preserve">, S.M. (2015) Residual impact of previous injury on musculoskeletal characteristics in Special Forces Operators. </w:t>
      </w:r>
      <w:r w:rsidRPr="00B05BED">
        <w:rPr>
          <w:rFonts w:ascii="Arial" w:eastAsia="Times New Roman" w:hAnsi="Arial" w:cs="Arial"/>
          <w:i/>
          <w:iCs/>
          <w:color w:val="000000"/>
          <w:lang w:eastAsia="en-GB"/>
        </w:rPr>
        <w:t xml:space="preserve">The Orthopaedic Journal of Sports Medicine, </w:t>
      </w:r>
      <w:r w:rsidRPr="00B05BED">
        <w:rPr>
          <w:rFonts w:ascii="Arial" w:eastAsia="Times New Roman" w:hAnsi="Arial" w:cs="Arial"/>
          <w:color w:val="000000"/>
          <w:lang w:eastAsia="en-GB"/>
        </w:rPr>
        <w:t>3(11), 1-7.</w:t>
      </w:r>
    </w:p>
    <w:p w14:paraId="65B8BF8B" w14:textId="77777777" w:rsidR="00B05BED" w:rsidRPr="00B05BED" w:rsidRDefault="00B05BED" w:rsidP="00B05BED">
      <w:pPr>
        <w:spacing w:after="0" w:line="240" w:lineRule="auto"/>
        <w:ind w:left="720" w:hanging="720"/>
        <w:textAlignment w:val="baseline"/>
        <w:rPr>
          <w:rFonts w:ascii="Arial" w:eastAsia="Times New Roman" w:hAnsi="Arial" w:cs="Arial"/>
          <w:color w:val="000000"/>
          <w:lang w:eastAsia="en-GB"/>
        </w:rPr>
      </w:pPr>
    </w:p>
    <w:p w14:paraId="7B99250A" w14:textId="77777777" w:rsidR="00B05BED" w:rsidRPr="00B05BED" w:rsidRDefault="00B05BED" w:rsidP="00B05BED">
      <w:pPr>
        <w:numPr>
          <w:ilvl w:val="0"/>
          <w:numId w:val="4"/>
        </w:numPr>
        <w:spacing w:after="0" w:line="240" w:lineRule="auto"/>
        <w:ind w:hanging="720"/>
        <w:textAlignment w:val="baseline"/>
        <w:rPr>
          <w:rFonts w:ascii="Arial" w:eastAsia="Times New Roman" w:hAnsi="Arial" w:cs="Arial"/>
          <w:lang w:eastAsia="en-GB"/>
        </w:rPr>
      </w:pPr>
      <w:proofErr w:type="spellStart"/>
      <w:r w:rsidRPr="00B05BED">
        <w:rPr>
          <w:rFonts w:ascii="Arial" w:eastAsia="Times New Roman" w:hAnsi="Arial" w:cs="Arial"/>
          <w:color w:val="000000"/>
          <w:lang w:eastAsia="en-GB"/>
        </w:rPr>
        <w:t>Lovalekar</w:t>
      </w:r>
      <w:proofErr w:type="spellEnd"/>
      <w:r w:rsidRPr="00B05BED">
        <w:rPr>
          <w:rFonts w:ascii="Arial" w:eastAsia="Times New Roman" w:hAnsi="Arial" w:cs="Arial"/>
          <w:color w:val="000000"/>
          <w:lang w:eastAsia="en-GB"/>
        </w:rPr>
        <w:t xml:space="preserve">, M., </w:t>
      </w:r>
      <w:proofErr w:type="spellStart"/>
      <w:r w:rsidRPr="00B05BED">
        <w:rPr>
          <w:rFonts w:ascii="Arial" w:eastAsia="Times New Roman" w:hAnsi="Arial" w:cs="Arial"/>
          <w:color w:val="000000"/>
          <w:lang w:eastAsia="en-GB"/>
        </w:rPr>
        <w:t>Perlsweig</w:t>
      </w:r>
      <w:proofErr w:type="spellEnd"/>
      <w:r w:rsidRPr="00B05BED">
        <w:rPr>
          <w:rFonts w:ascii="Arial" w:eastAsia="Times New Roman" w:hAnsi="Arial" w:cs="Arial"/>
          <w:color w:val="000000"/>
          <w:lang w:eastAsia="en-GB"/>
        </w:rPr>
        <w:t xml:space="preserve">, K.A., Keenan, K.A., Baldwin, T.M., </w:t>
      </w:r>
      <w:proofErr w:type="spellStart"/>
      <w:r w:rsidRPr="00B05BED">
        <w:rPr>
          <w:rFonts w:ascii="Arial" w:eastAsia="Times New Roman" w:hAnsi="Arial" w:cs="Arial"/>
          <w:color w:val="000000"/>
          <w:lang w:eastAsia="en-GB"/>
        </w:rPr>
        <w:t>Caviston</w:t>
      </w:r>
      <w:proofErr w:type="spellEnd"/>
      <w:r w:rsidRPr="00B05BED">
        <w:rPr>
          <w:rFonts w:ascii="Arial" w:eastAsia="Times New Roman" w:hAnsi="Arial" w:cs="Arial"/>
          <w:color w:val="000000"/>
          <w:lang w:eastAsia="en-GB"/>
        </w:rPr>
        <w:t xml:space="preserve">, M., McCarthy, A.E., Parr, J.J., </w:t>
      </w:r>
      <w:proofErr w:type="spellStart"/>
      <w:r w:rsidRPr="00B05BED">
        <w:rPr>
          <w:rFonts w:ascii="Arial" w:eastAsia="Times New Roman" w:hAnsi="Arial" w:cs="Arial"/>
          <w:color w:val="000000"/>
          <w:lang w:eastAsia="en-GB"/>
        </w:rPr>
        <w:t>Nindl</w:t>
      </w:r>
      <w:proofErr w:type="spellEnd"/>
      <w:r w:rsidRPr="00B05BED">
        <w:rPr>
          <w:rFonts w:ascii="Arial" w:eastAsia="Times New Roman" w:hAnsi="Arial" w:cs="Arial"/>
          <w:color w:val="000000"/>
          <w:lang w:eastAsia="en-GB"/>
        </w:rPr>
        <w:t xml:space="preserve">, B.C and </w:t>
      </w:r>
      <w:proofErr w:type="spellStart"/>
      <w:r w:rsidRPr="00B05BED">
        <w:rPr>
          <w:rFonts w:ascii="Arial" w:eastAsia="Times New Roman" w:hAnsi="Arial" w:cs="Arial"/>
          <w:color w:val="000000"/>
          <w:lang w:eastAsia="en-GB"/>
        </w:rPr>
        <w:t>Beals</w:t>
      </w:r>
      <w:proofErr w:type="spellEnd"/>
      <w:r w:rsidRPr="00B05BED">
        <w:rPr>
          <w:rFonts w:ascii="Arial" w:eastAsia="Times New Roman" w:hAnsi="Arial" w:cs="Arial"/>
          <w:color w:val="000000"/>
          <w:lang w:eastAsia="en-GB"/>
        </w:rPr>
        <w:t>, K. (2017) Epidemiology of musculoskeletal injuries sustained by Navy Special Forces operators and students</w:t>
      </w:r>
      <w:r w:rsidRPr="00B05BED">
        <w:rPr>
          <w:rFonts w:ascii="Arial" w:eastAsia="Times New Roman" w:hAnsi="Arial" w:cs="Arial"/>
          <w:i/>
          <w:iCs/>
          <w:color w:val="000000"/>
          <w:lang w:eastAsia="en-GB"/>
        </w:rPr>
        <w:t>. Journal of Science and Medicine in Sport</w:t>
      </w:r>
      <w:r w:rsidRPr="00B05BED">
        <w:rPr>
          <w:rFonts w:ascii="Arial" w:eastAsia="Times New Roman" w:hAnsi="Arial" w:cs="Arial"/>
          <w:color w:val="000000"/>
          <w:lang w:eastAsia="en-GB"/>
        </w:rPr>
        <w:t xml:space="preserve">, </w:t>
      </w:r>
      <w:hyperlink r:id="rId14" w:tgtFrame="_blank" w:history="1">
        <w:r w:rsidRPr="00B05BED">
          <w:rPr>
            <w:rFonts w:ascii="Arial" w:eastAsia="Times New Roman" w:hAnsi="Arial" w:cs="Arial"/>
            <w:color w:val="000000"/>
            <w:lang w:eastAsia="en-GB"/>
          </w:rPr>
          <w:t>http://dx.doi.org/10.1016/j.jsams.2017.09.003</w:t>
        </w:r>
      </w:hyperlink>
      <w:r w:rsidRPr="00B05BED">
        <w:rPr>
          <w:rFonts w:ascii="Arial" w:eastAsia="Times New Roman" w:hAnsi="Arial" w:cs="Arial"/>
          <w:color w:val="000000"/>
          <w:lang w:eastAsia="en-GB"/>
        </w:rPr>
        <w:t>.</w:t>
      </w:r>
    </w:p>
    <w:p w14:paraId="3D2EDFE7" w14:textId="77777777" w:rsidR="00B05BED" w:rsidRPr="00B05BED" w:rsidRDefault="00B05BED" w:rsidP="00B05BED">
      <w:pPr>
        <w:spacing w:after="0" w:line="240" w:lineRule="auto"/>
        <w:ind w:left="720" w:hanging="720"/>
        <w:textAlignment w:val="baseline"/>
        <w:rPr>
          <w:rFonts w:ascii="Arial" w:eastAsia="Times New Roman" w:hAnsi="Arial" w:cs="Arial"/>
          <w:lang w:eastAsia="en-GB"/>
        </w:rPr>
      </w:pPr>
    </w:p>
    <w:p w14:paraId="4A5070B7" w14:textId="367EB1D1" w:rsidR="00B05BED" w:rsidRPr="00B4796A" w:rsidRDefault="00B05BED" w:rsidP="00B05BED">
      <w:pPr>
        <w:numPr>
          <w:ilvl w:val="0"/>
          <w:numId w:val="4"/>
        </w:numPr>
        <w:spacing w:after="0" w:line="240" w:lineRule="auto"/>
        <w:ind w:hanging="720"/>
        <w:textAlignment w:val="baseline"/>
        <w:rPr>
          <w:rFonts w:ascii="Arial" w:eastAsia="Times New Roman" w:hAnsi="Arial" w:cs="Arial"/>
          <w:lang w:eastAsia="en-GB"/>
        </w:rPr>
      </w:pPr>
      <w:r w:rsidRPr="00B05BED">
        <w:rPr>
          <w:rFonts w:ascii="Arial" w:eastAsia="Times New Roman" w:hAnsi="Arial" w:cs="Arial"/>
          <w:color w:val="000000"/>
          <w:lang w:eastAsia="en-GB"/>
        </w:rPr>
        <w:t xml:space="preserve">Eckard, T.G., Padua, D.A., Hearn, D.W., </w:t>
      </w:r>
      <w:proofErr w:type="spellStart"/>
      <w:r w:rsidRPr="00B05BED">
        <w:rPr>
          <w:rFonts w:ascii="Arial" w:eastAsia="Times New Roman" w:hAnsi="Arial" w:cs="Arial"/>
          <w:color w:val="000000"/>
          <w:lang w:eastAsia="en-GB"/>
        </w:rPr>
        <w:t>Pexa</w:t>
      </w:r>
      <w:proofErr w:type="spellEnd"/>
      <w:r w:rsidRPr="00B05BED">
        <w:rPr>
          <w:rFonts w:ascii="Arial" w:eastAsia="Times New Roman" w:hAnsi="Arial" w:cs="Arial"/>
          <w:color w:val="000000"/>
          <w:lang w:eastAsia="en-GB"/>
        </w:rPr>
        <w:t xml:space="preserve">, B.S. and Frank, B.S. (2018) The relationship between training load and injury in athletes: A systematic review. </w:t>
      </w:r>
      <w:r w:rsidRPr="00B05BED">
        <w:rPr>
          <w:rFonts w:ascii="Arial" w:eastAsia="Times New Roman" w:hAnsi="Arial" w:cs="Arial"/>
          <w:i/>
          <w:iCs/>
          <w:color w:val="000000"/>
          <w:lang w:eastAsia="en-GB"/>
        </w:rPr>
        <w:t xml:space="preserve">Sports Medicine, </w:t>
      </w:r>
      <w:r w:rsidRPr="00B05BED">
        <w:rPr>
          <w:rFonts w:ascii="Arial" w:eastAsia="Times New Roman" w:hAnsi="Arial" w:cs="Arial"/>
          <w:color w:val="000000"/>
          <w:lang w:eastAsia="en-GB"/>
        </w:rPr>
        <w:t>48:1929-1961.</w:t>
      </w:r>
    </w:p>
    <w:p w14:paraId="6AA3BE87" w14:textId="77777777" w:rsidR="000A1757" w:rsidRDefault="000A1757" w:rsidP="00B4796A">
      <w:pPr>
        <w:pStyle w:val="ListParagraph"/>
        <w:spacing w:after="0"/>
        <w:rPr>
          <w:rFonts w:ascii="Arial" w:eastAsia="Times New Roman" w:hAnsi="Arial" w:cs="Arial"/>
          <w:lang w:eastAsia="en-GB"/>
        </w:rPr>
      </w:pPr>
    </w:p>
    <w:p w14:paraId="35787EC3" w14:textId="362FBF02" w:rsidR="000A1757" w:rsidRPr="00B05BED" w:rsidRDefault="000A1757" w:rsidP="00B05BED">
      <w:pPr>
        <w:numPr>
          <w:ilvl w:val="0"/>
          <w:numId w:val="4"/>
        </w:numPr>
        <w:spacing w:after="0" w:line="240" w:lineRule="auto"/>
        <w:ind w:hanging="720"/>
        <w:textAlignment w:val="baseline"/>
        <w:rPr>
          <w:rFonts w:ascii="Arial" w:eastAsia="Times New Roman" w:hAnsi="Arial" w:cs="Arial"/>
          <w:lang w:eastAsia="en-GB"/>
        </w:rPr>
      </w:pPr>
      <w:r>
        <w:rPr>
          <w:rFonts w:ascii="Arial" w:eastAsia="Times New Roman" w:hAnsi="Arial" w:cs="Arial"/>
          <w:lang w:eastAsia="en-GB"/>
        </w:rPr>
        <w:t xml:space="preserve">Bergeron, M.F., </w:t>
      </w:r>
      <w:proofErr w:type="spellStart"/>
      <w:r>
        <w:rPr>
          <w:rFonts w:ascii="Arial" w:eastAsia="Times New Roman" w:hAnsi="Arial" w:cs="Arial"/>
          <w:lang w:eastAsia="en-GB"/>
        </w:rPr>
        <w:t>Nindl</w:t>
      </w:r>
      <w:proofErr w:type="spellEnd"/>
      <w:r>
        <w:rPr>
          <w:rFonts w:ascii="Arial" w:eastAsia="Times New Roman" w:hAnsi="Arial" w:cs="Arial"/>
          <w:lang w:eastAsia="en-GB"/>
        </w:rPr>
        <w:t xml:space="preserve">, B.C., </w:t>
      </w:r>
      <w:proofErr w:type="spellStart"/>
      <w:r>
        <w:rPr>
          <w:rFonts w:ascii="Arial" w:eastAsia="Times New Roman" w:hAnsi="Arial" w:cs="Arial"/>
          <w:lang w:eastAsia="en-GB"/>
        </w:rPr>
        <w:t>Deuster</w:t>
      </w:r>
      <w:proofErr w:type="spellEnd"/>
      <w:r>
        <w:rPr>
          <w:rFonts w:ascii="Arial" w:eastAsia="Times New Roman" w:hAnsi="Arial" w:cs="Arial"/>
          <w:lang w:eastAsia="en-GB"/>
        </w:rPr>
        <w:t xml:space="preserve">, P.A., Baumgartner, N., Kane, S., Kraemer, W.J., </w:t>
      </w:r>
      <w:proofErr w:type="spellStart"/>
      <w:r>
        <w:rPr>
          <w:rFonts w:ascii="Arial" w:eastAsia="Times New Roman" w:hAnsi="Arial" w:cs="Arial"/>
          <w:lang w:eastAsia="en-GB"/>
        </w:rPr>
        <w:t>Sexauer</w:t>
      </w:r>
      <w:proofErr w:type="spellEnd"/>
      <w:r>
        <w:rPr>
          <w:rFonts w:ascii="Arial" w:eastAsia="Times New Roman" w:hAnsi="Arial" w:cs="Arial"/>
          <w:lang w:eastAsia="en-GB"/>
        </w:rPr>
        <w:t xml:space="preserve">, L.R., Thompson, W.R. and O’Connor, F.G. (2011) Consortium for health and military performance and American College of Sports Medicine consensus paper on extreme conditioning programs in the military. </w:t>
      </w:r>
      <w:r>
        <w:rPr>
          <w:rFonts w:ascii="Arial" w:eastAsia="Times New Roman" w:hAnsi="Arial" w:cs="Arial"/>
          <w:i/>
          <w:iCs/>
          <w:lang w:eastAsia="en-GB"/>
        </w:rPr>
        <w:t xml:space="preserve">ACSM, </w:t>
      </w:r>
      <w:r>
        <w:rPr>
          <w:rFonts w:ascii="Arial" w:eastAsia="Times New Roman" w:hAnsi="Arial" w:cs="Arial"/>
          <w:lang w:eastAsia="en-GB"/>
        </w:rPr>
        <w:t>10(6):</w:t>
      </w:r>
      <w:r w:rsidR="00B4796A">
        <w:rPr>
          <w:rFonts w:ascii="Arial" w:eastAsia="Times New Roman" w:hAnsi="Arial" w:cs="Arial"/>
          <w:lang w:eastAsia="en-GB"/>
        </w:rPr>
        <w:t>383-389.</w:t>
      </w:r>
      <w:r>
        <w:rPr>
          <w:rFonts w:ascii="Arial" w:eastAsia="Times New Roman" w:hAnsi="Arial" w:cs="Arial"/>
          <w:lang w:eastAsia="en-GB"/>
        </w:rPr>
        <w:t xml:space="preserve"> </w:t>
      </w:r>
    </w:p>
    <w:p w14:paraId="0B01077B" w14:textId="77777777" w:rsidR="00B05BED" w:rsidRPr="00B05BED" w:rsidRDefault="00B05BED" w:rsidP="00B05BED">
      <w:pPr>
        <w:spacing w:after="0"/>
        <w:ind w:left="720" w:hanging="720"/>
        <w:rPr>
          <w:rFonts w:ascii="Arial" w:eastAsia="Calibri" w:hAnsi="Arial" w:cs="Arial"/>
        </w:rPr>
      </w:pPr>
    </w:p>
    <w:p w14:paraId="4188BBD8" w14:textId="77777777" w:rsidR="00B05BED" w:rsidRPr="00B05BED" w:rsidRDefault="00B05BED" w:rsidP="00B05BED">
      <w:pPr>
        <w:numPr>
          <w:ilvl w:val="0"/>
          <w:numId w:val="4"/>
        </w:numPr>
        <w:spacing w:after="0"/>
        <w:ind w:hanging="720"/>
        <w:contextualSpacing/>
        <w:rPr>
          <w:rFonts w:ascii="Arial" w:eastAsia="Calibri" w:hAnsi="Arial" w:cs="Arial"/>
        </w:rPr>
      </w:pPr>
      <w:r w:rsidRPr="00B05BED">
        <w:rPr>
          <w:rFonts w:ascii="Arial" w:eastAsia="Calibri" w:hAnsi="Arial" w:cs="Arial"/>
        </w:rPr>
        <w:t>Ministry of Defence (2021) Annual Medical Discharges in the UK Regular Armed Forces: 1 April 2016 to 31 March 2021. Defence Statistics. Viewed 15 February 2022. https://assets.publishing.service.gov.uk/government/uploads/system/uploads/attachment_data/file/1001267/UK_service_personnel_medical_discharges__financial_year_2020_21.pdf</w:t>
      </w:r>
    </w:p>
    <w:p w14:paraId="359B3638" w14:textId="77777777" w:rsidR="00B05BED" w:rsidRPr="00B05BED" w:rsidRDefault="00B05BED" w:rsidP="00B05BED">
      <w:pPr>
        <w:spacing w:after="0"/>
        <w:ind w:left="720" w:hanging="720"/>
        <w:rPr>
          <w:rFonts w:ascii="Arial" w:eastAsia="Calibri" w:hAnsi="Arial" w:cs="Arial"/>
        </w:rPr>
      </w:pPr>
    </w:p>
    <w:p w14:paraId="1E7BD9A3" w14:textId="77777777" w:rsidR="00B05BED" w:rsidRPr="00B05BED" w:rsidRDefault="00B05BED" w:rsidP="00B05BED">
      <w:pPr>
        <w:numPr>
          <w:ilvl w:val="0"/>
          <w:numId w:val="4"/>
        </w:numPr>
        <w:spacing w:after="0" w:line="240" w:lineRule="auto"/>
        <w:ind w:hanging="720"/>
        <w:textAlignment w:val="baseline"/>
        <w:rPr>
          <w:rFonts w:ascii="Arial" w:eastAsia="Calibri" w:hAnsi="Arial" w:cs="Arial"/>
        </w:rPr>
      </w:pPr>
      <w:proofErr w:type="spellStart"/>
      <w:r w:rsidRPr="00B05BED">
        <w:rPr>
          <w:rFonts w:ascii="Arial" w:eastAsia="Times New Roman" w:hAnsi="Arial" w:cs="Arial"/>
          <w:lang w:eastAsia="en-GB"/>
        </w:rPr>
        <w:t>Poploski</w:t>
      </w:r>
      <w:proofErr w:type="spellEnd"/>
      <w:r w:rsidRPr="00B05BED">
        <w:rPr>
          <w:rFonts w:ascii="Arial" w:eastAsia="Times New Roman" w:hAnsi="Arial" w:cs="Arial"/>
          <w:lang w:eastAsia="en-GB"/>
        </w:rPr>
        <w:t xml:space="preserve">, K.M., </w:t>
      </w:r>
      <w:proofErr w:type="spellStart"/>
      <w:r w:rsidRPr="00B05BED">
        <w:rPr>
          <w:rFonts w:ascii="Arial" w:eastAsia="Times New Roman" w:hAnsi="Arial" w:cs="Arial"/>
          <w:lang w:eastAsia="en-GB"/>
        </w:rPr>
        <w:t>Picha</w:t>
      </w:r>
      <w:proofErr w:type="spellEnd"/>
      <w:r w:rsidRPr="00B05BED">
        <w:rPr>
          <w:rFonts w:ascii="Arial" w:eastAsia="Times New Roman" w:hAnsi="Arial" w:cs="Arial"/>
          <w:lang w:eastAsia="en-GB"/>
        </w:rPr>
        <w:t xml:space="preserve">, K.J., Winters, J.D., Royer, S.D., </w:t>
      </w:r>
      <w:proofErr w:type="spellStart"/>
      <w:r w:rsidRPr="00B05BED">
        <w:rPr>
          <w:rFonts w:ascii="Arial" w:eastAsia="Times New Roman" w:hAnsi="Arial" w:cs="Arial"/>
          <w:lang w:eastAsia="en-GB"/>
        </w:rPr>
        <w:t>Heebner</w:t>
      </w:r>
      <w:proofErr w:type="spellEnd"/>
      <w:r w:rsidRPr="00B05BED">
        <w:rPr>
          <w:rFonts w:ascii="Arial" w:eastAsia="Times New Roman" w:hAnsi="Arial" w:cs="Arial"/>
          <w:lang w:eastAsia="en-GB"/>
        </w:rPr>
        <w:t xml:space="preserve">, N.R., Lambert, B., </w:t>
      </w:r>
      <w:proofErr w:type="spellStart"/>
      <w:r w:rsidRPr="00B05BED">
        <w:rPr>
          <w:rFonts w:ascii="Arial" w:eastAsia="Times New Roman" w:hAnsi="Arial" w:cs="Arial"/>
          <w:lang w:eastAsia="en-GB"/>
        </w:rPr>
        <w:t>Abt</w:t>
      </w:r>
      <w:proofErr w:type="spellEnd"/>
      <w:r w:rsidRPr="00B05BED">
        <w:rPr>
          <w:rFonts w:ascii="Arial" w:eastAsia="Times New Roman" w:hAnsi="Arial" w:cs="Arial"/>
          <w:lang w:eastAsia="en-GB"/>
        </w:rPr>
        <w:t xml:space="preserve">, J.P. and </w:t>
      </w:r>
      <w:proofErr w:type="spellStart"/>
      <w:r w:rsidRPr="00B05BED">
        <w:rPr>
          <w:rFonts w:ascii="Arial" w:eastAsia="Times New Roman" w:hAnsi="Arial" w:cs="Arial"/>
          <w:lang w:eastAsia="en-GB"/>
        </w:rPr>
        <w:t>Lephart</w:t>
      </w:r>
      <w:proofErr w:type="spellEnd"/>
      <w:r w:rsidRPr="00B05BED">
        <w:rPr>
          <w:rFonts w:ascii="Arial" w:eastAsia="Times New Roman" w:hAnsi="Arial" w:cs="Arial"/>
          <w:lang w:eastAsia="en-GB"/>
        </w:rPr>
        <w:t xml:space="preserve">, S.M. (2018) Patterns and associations of shoulder motion, strength and function in MARSOC personnel without a history of shoulder injury. </w:t>
      </w:r>
      <w:r w:rsidRPr="00B05BED">
        <w:rPr>
          <w:rFonts w:ascii="Arial" w:eastAsia="Times New Roman" w:hAnsi="Arial" w:cs="Arial"/>
          <w:i/>
          <w:iCs/>
          <w:lang w:eastAsia="en-GB"/>
        </w:rPr>
        <w:t xml:space="preserve">Military Medicine, </w:t>
      </w:r>
      <w:r w:rsidRPr="00B05BED">
        <w:rPr>
          <w:rFonts w:ascii="Arial" w:eastAsia="Times New Roman" w:hAnsi="Arial" w:cs="Arial"/>
          <w:lang w:eastAsia="en-GB"/>
        </w:rPr>
        <w:t>183: 685-692.</w:t>
      </w:r>
    </w:p>
    <w:bookmarkEnd w:id="8"/>
    <w:bookmarkEnd w:id="9"/>
    <w:p w14:paraId="10590D25" w14:textId="77777777" w:rsidR="00B05BED" w:rsidRPr="00B05BED" w:rsidRDefault="00B05BED" w:rsidP="00B05BED">
      <w:pPr>
        <w:spacing w:after="0" w:line="240" w:lineRule="auto"/>
        <w:textAlignment w:val="baseline"/>
        <w:rPr>
          <w:rFonts w:ascii="Arial" w:eastAsia="Times New Roman" w:hAnsi="Arial" w:cs="Arial"/>
          <w:color w:val="000000"/>
          <w:lang w:eastAsia="en-GB"/>
        </w:rPr>
      </w:pPr>
    </w:p>
    <w:p w14:paraId="5A058F3F" w14:textId="77777777" w:rsidR="0022316D" w:rsidRDefault="00B34AAE"/>
    <w:sectPr w:rsidR="0022316D" w:rsidSect="00C141F5">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4475" w14:textId="77777777" w:rsidR="004C501E" w:rsidRDefault="004C501E">
      <w:pPr>
        <w:spacing w:after="0" w:line="240" w:lineRule="auto"/>
      </w:pPr>
      <w:r>
        <w:separator/>
      </w:r>
    </w:p>
  </w:endnote>
  <w:endnote w:type="continuationSeparator" w:id="0">
    <w:p w14:paraId="176595F2" w14:textId="77777777" w:rsidR="004C501E" w:rsidRDefault="004C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004891"/>
      <w:docPartObj>
        <w:docPartGallery w:val="Page Numbers (Bottom of Page)"/>
        <w:docPartUnique/>
      </w:docPartObj>
    </w:sdtPr>
    <w:sdtEndPr>
      <w:rPr>
        <w:rFonts w:ascii="Arial" w:hAnsi="Arial" w:cs="Arial"/>
        <w:noProof/>
      </w:rPr>
    </w:sdtEndPr>
    <w:sdtContent>
      <w:p w14:paraId="0E4B1AF4" w14:textId="77777777" w:rsidR="00492264" w:rsidRPr="003376E1" w:rsidRDefault="00C50E48" w:rsidP="007203C8">
        <w:pPr>
          <w:pStyle w:val="Footer"/>
          <w:jc w:val="center"/>
          <w:rPr>
            <w:rFonts w:ascii="Arial" w:hAnsi="Arial" w:cs="Arial"/>
          </w:rPr>
        </w:pPr>
        <w:r w:rsidRPr="00E05EBC">
          <w:rPr>
            <w:rFonts w:ascii="Arial" w:hAnsi="Arial" w:cs="Arial"/>
          </w:rPr>
          <w:fldChar w:fldCharType="begin"/>
        </w:r>
        <w:r w:rsidRPr="00630B95">
          <w:rPr>
            <w:rFonts w:ascii="Arial" w:hAnsi="Arial" w:cs="Arial"/>
          </w:rPr>
          <w:instrText xml:space="preserve"> PAGE   \* MERGEFORMAT </w:instrText>
        </w:r>
        <w:r w:rsidRPr="00E05EBC">
          <w:rPr>
            <w:rFonts w:ascii="Arial" w:hAnsi="Arial" w:cs="Arial"/>
          </w:rPr>
          <w:fldChar w:fldCharType="separate"/>
        </w:r>
        <w:r>
          <w:rPr>
            <w:rFonts w:ascii="Arial" w:hAnsi="Arial" w:cs="Arial"/>
            <w:noProof/>
          </w:rPr>
          <w:t>78</w:t>
        </w:r>
        <w:r w:rsidRPr="00E05EB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1B5D" w14:textId="77777777" w:rsidR="004C501E" w:rsidRDefault="004C501E">
      <w:pPr>
        <w:spacing w:after="0" w:line="240" w:lineRule="auto"/>
      </w:pPr>
      <w:r>
        <w:separator/>
      </w:r>
    </w:p>
  </w:footnote>
  <w:footnote w:type="continuationSeparator" w:id="0">
    <w:p w14:paraId="68DF39A7" w14:textId="77777777" w:rsidR="004C501E" w:rsidRDefault="004C5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9DB"/>
    <w:multiLevelType w:val="hybridMultilevel"/>
    <w:tmpl w:val="2EEEB948"/>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D513BF"/>
    <w:multiLevelType w:val="hybridMultilevel"/>
    <w:tmpl w:val="AD26119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C74BBD"/>
    <w:multiLevelType w:val="hybridMultilevel"/>
    <w:tmpl w:val="CC76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07D6F"/>
    <w:multiLevelType w:val="hybridMultilevel"/>
    <w:tmpl w:val="CE4E4134"/>
    <w:lvl w:ilvl="0" w:tplc="73C4B65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F46BC6"/>
    <w:multiLevelType w:val="hybridMultilevel"/>
    <w:tmpl w:val="AD26119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ED"/>
    <w:rsid w:val="00052421"/>
    <w:rsid w:val="000A1757"/>
    <w:rsid w:val="001025BD"/>
    <w:rsid w:val="001B48B5"/>
    <w:rsid w:val="0020703A"/>
    <w:rsid w:val="00230625"/>
    <w:rsid w:val="00297CEE"/>
    <w:rsid w:val="00306740"/>
    <w:rsid w:val="00311916"/>
    <w:rsid w:val="00372784"/>
    <w:rsid w:val="0040077F"/>
    <w:rsid w:val="00423E5B"/>
    <w:rsid w:val="004A4276"/>
    <w:rsid w:val="004C501E"/>
    <w:rsid w:val="00534261"/>
    <w:rsid w:val="00552152"/>
    <w:rsid w:val="00607F11"/>
    <w:rsid w:val="00667ABC"/>
    <w:rsid w:val="00681A4D"/>
    <w:rsid w:val="0070202A"/>
    <w:rsid w:val="00734508"/>
    <w:rsid w:val="00757D00"/>
    <w:rsid w:val="007F67C9"/>
    <w:rsid w:val="008D37D4"/>
    <w:rsid w:val="008E7A53"/>
    <w:rsid w:val="00924F1C"/>
    <w:rsid w:val="00931410"/>
    <w:rsid w:val="0093510C"/>
    <w:rsid w:val="00944404"/>
    <w:rsid w:val="009A15F4"/>
    <w:rsid w:val="009D55D7"/>
    <w:rsid w:val="00A921DC"/>
    <w:rsid w:val="00B05BED"/>
    <w:rsid w:val="00B34AAE"/>
    <w:rsid w:val="00B4796A"/>
    <w:rsid w:val="00B509FB"/>
    <w:rsid w:val="00B66F15"/>
    <w:rsid w:val="00B97B7E"/>
    <w:rsid w:val="00BA4EC6"/>
    <w:rsid w:val="00C50E48"/>
    <w:rsid w:val="00C87C7B"/>
    <w:rsid w:val="00C94A1D"/>
    <w:rsid w:val="00CD47DA"/>
    <w:rsid w:val="00CF0830"/>
    <w:rsid w:val="00E662DC"/>
    <w:rsid w:val="00EA77EE"/>
    <w:rsid w:val="00ED0543"/>
    <w:rsid w:val="00F148F3"/>
    <w:rsid w:val="00F94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B923"/>
  <w15:chartTrackingRefBased/>
  <w15:docId w15:val="{D611B4C7-DC3E-411C-8032-45454597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5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BED"/>
  </w:style>
  <w:style w:type="paragraph" w:styleId="ListParagraph">
    <w:name w:val="List Paragraph"/>
    <w:basedOn w:val="Normal"/>
    <w:uiPriority w:val="34"/>
    <w:qFormat/>
    <w:rsid w:val="00306740"/>
    <w:pPr>
      <w:ind w:left="720"/>
      <w:contextualSpacing/>
    </w:pPr>
  </w:style>
  <w:style w:type="character" w:customStyle="1" w:styleId="normaltextrun">
    <w:name w:val="normaltextrun"/>
    <w:basedOn w:val="DefaultParagraphFont"/>
    <w:rsid w:val="0066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x.doi.org/10.1016/j.jsams.2017.09.00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Sheet1!$A$8</c:f>
              <c:strCache>
                <c:ptCount val="1"/>
                <c:pt idx="0">
                  <c:v>2018</c:v>
                </c:pt>
              </c:strCache>
            </c:strRef>
          </c:tx>
          <c:spPr>
            <a:solidFill>
              <a:srgbClr val="0070C0"/>
            </a:solidFill>
            <a:ln>
              <a:noFill/>
            </a:ln>
            <a:effectLst/>
          </c:spPr>
          <c:invertIfNegative val="0"/>
          <c:cat>
            <c:strRef>
              <c:f>Sheet1!$B$7:$G$7</c:f>
              <c:strCache>
                <c:ptCount val="6"/>
                <c:pt idx="0">
                  <c:v>Less than 1 month</c:v>
                </c:pt>
                <c:pt idx="1">
                  <c:v>1-3 months</c:v>
                </c:pt>
                <c:pt idx="2">
                  <c:v>3-6 months</c:v>
                </c:pt>
                <c:pt idx="3">
                  <c:v>6-9 months</c:v>
                </c:pt>
                <c:pt idx="4">
                  <c:v>9-12 months</c:v>
                </c:pt>
                <c:pt idx="5">
                  <c:v>More than 1 year</c:v>
                </c:pt>
              </c:strCache>
            </c:strRef>
          </c:cat>
          <c:val>
            <c:numRef>
              <c:f>Sheet1!$B$8:$G$8</c:f>
              <c:numCache>
                <c:formatCode>General</c:formatCode>
                <c:ptCount val="6"/>
                <c:pt idx="0">
                  <c:v>59</c:v>
                </c:pt>
                <c:pt idx="1">
                  <c:v>21</c:v>
                </c:pt>
                <c:pt idx="2">
                  <c:v>6</c:v>
                </c:pt>
                <c:pt idx="3">
                  <c:v>3</c:v>
                </c:pt>
                <c:pt idx="4">
                  <c:v>1</c:v>
                </c:pt>
                <c:pt idx="5">
                  <c:v>28</c:v>
                </c:pt>
              </c:numCache>
            </c:numRef>
          </c:val>
          <c:extLst>
            <c:ext xmlns:c16="http://schemas.microsoft.com/office/drawing/2014/chart" uri="{C3380CC4-5D6E-409C-BE32-E72D297353CC}">
              <c16:uniqueId val="{00000000-8236-4C37-BA06-7D71131C6755}"/>
            </c:ext>
          </c:extLst>
        </c:ser>
        <c:ser>
          <c:idx val="1"/>
          <c:order val="1"/>
          <c:tx>
            <c:strRef>
              <c:f>Sheet1!$A$9</c:f>
              <c:strCache>
                <c:ptCount val="1"/>
                <c:pt idx="0">
                  <c:v>2019</c:v>
                </c:pt>
              </c:strCache>
            </c:strRef>
          </c:tx>
          <c:spPr>
            <a:solidFill>
              <a:srgbClr val="FF9900"/>
            </a:solidFill>
            <a:ln>
              <a:noFill/>
            </a:ln>
            <a:effectLst/>
          </c:spPr>
          <c:invertIfNegative val="0"/>
          <c:cat>
            <c:strRef>
              <c:f>Sheet1!$B$7:$G$7</c:f>
              <c:strCache>
                <c:ptCount val="6"/>
                <c:pt idx="0">
                  <c:v>Less than 1 month</c:v>
                </c:pt>
                <c:pt idx="1">
                  <c:v>1-3 months</c:v>
                </c:pt>
                <c:pt idx="2">
                  <c:v>3-6 months</c:v>
                </c:pt>
                <c:pt idx="3">
                  <c:v>6-9 months</c:v>
                </c:pt>
                <c:pt idx="4">
                  <c:v>9-12 months</c:v>
                </c:pt>
                <c:pt idx="5">
                  <c:v>More than 1 year</c:v>
                </c:pt>
              </c:strCache>
            </c:strRef>
          </c:cat>
          <c:val>
            <c:numRef>
              <c:f>Sheet1!$B$9:$G$9</c:f>
              <c:numCache>
                <c:formatCode>General</c:formatCode>
                <c:ptCount val="6"/>
                <c:pt idx="0">
                  <c:v>39</c:v>
                </c:pt>
                <c:pt idx="1">
                  <c:v>22</c:v>
                </c:pt>
                <c:pt idx="2">
                  <c:v>13</c:v>
                </c:pt>
                <c:pt idx="3">
                  <c:v>3</c:v>
                </c:pt>
                <c:pt idx="4">
                  <c:v>1</c:v>
                </c:pt>
                <c:pt idx="5">
                  <c:v>33</c:v>
                </c:pt>
              </c:numCache>
            </c:numRef>
          </c:val>
          <c:extLst>
            <c:ext xmlns:c16="http://schemas.microsoft.com/office/drawing/2014/chart" uri="{C3380CC4-5D6E-409C-BE32-E72D297353CC}">
              <c16:uniqueId val="{00000001-8236-4C37-BA06-7D71131C6755}"/>
            </c:ext>
          </c:extLst>
        </c:ser>
        <c:dLbls>
          <c:showLegendKey val="0"/>
          <c:showVal val="0"/>
          <c:showCatName val="0"/>
          <c:showSerName val="0"/>
          <c:showPercent val="0"/>
          <c:showBubbleSize val="0"/>
        </c:dLbls>
        <c:gapWidth val="219"/>
        <c:overlap val="-27"/>
        <c:axId val="403607696"/>
        <c:axId val="407526016"/>
      </c:barChart>
      <c:catAx>
        <c:axId val="40360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7526016"/>
        <c:crosses val="autoZero"/>
        <c:auto val="1"/>
        <c:lblAlgn val="ctr"/>
        <c:lblOffset val="100"/>
        <c:noMultiLvlLbl val="0"/>
      </c:catAx>
      <c:valAx>
        <c:axId val="407526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latin typeface="Arial" panose="020B0604020202020204" pitchFamily="34" charset="0"/>
                    <a:cs typeface="Arial" panose="020B0604020202020204" pitchFamily="34" charset="0"/>
                  </a:rPr>
                  <a:t>Number of Injuries (count)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360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Sheet1!$A$20</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Sheet1!$B$19:$E$19</c:f>
              <c:strCache>
                <c:ptCount val="4"/>
                <c:pt idx="0">
                  <c:v>Military Training</c:v>
                </c:pt>
                <c:pt idx="1">
                  <c:v>Personal Training (PT)</c:v>
                </c:pt>
                <c:pt idx="2">
                  <c:v>Sport (not PT)</c:v>
                </c:pt>
                <c:pt idx="3">
                  <c:v>Other</c:v>
                </c:pt>
              </c:strCache>
            </c:strRef>
          </c:cat>
          <c:val>
            <c:numRef>
              <c:f>Sheet1!$B$20:$E$20</c:f>
              <c:numCache>
                <c:formatCode>General</c:formatCode>
                <c:ptCount val="4"/>
                <c:pt idx="0">
                  <c:v>42</c:v>
                </c:pt>
                <c:pt idx="1">
                  <c:v>32</c:v>
                </c:pt>
                <c:pt idx="2">
                  <c:v>10</c:v>
                </c:pt>
                <c:pt idx="3">
                  <c:v>34</c:v>
                </c:pt>
              </c:numCache>
            </c:numRef>
          </c:val>
          <c:extLst>
            <c:ext xmlns:c16="http://schemas.microsoft.com/office/drawing/2014/chart" uri="{C3380CC4-5D6E-409C-BE32-E72D297353CC}">
              <c16:uniqueId val="{00000000-E2B2-43DD-97D9-F687C342779B}"/>
            </c:ext>
          </c:extLst>
        </c:ser>
        <c:ser>
          <c:idx val="1"/>
          <c:order val="1"/>
          <c:tx>
            <c:strRef>
              <c:f>Sheet1!$A$21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Sheet1!$B$19:$E$19</c:f>
              <c:strCache>
                <c:ptCount val="4"/>
                <c:pt idx="0">
                  <c:v>Military Training</c:v>
                </c:pt>
                <c:pt idx="1">
                  <c:v>Personal Training (PT)</c:v>
                </c:pt>
                <c:pt idx="2">
                  <c:v>Sport (not PT)</c:v>
                </c:pt>
                <c:pt idx="3">
                  <c:v>Other</c:v>
                </c:pt>
              </c:strCache>
            </c:strRef>
          </c:cat>
          <c:val>
            <c:numRef>
              <c:f>Sheet1!$B$21:$E$21</c:f>
              <c:numCache>
                <c:formatCode>General</c:formatCode>
                <c:ptCount val="4"/>
                <c:pt idx="0">
                  <c:v>31</c:v>
                </c:pt>
                <c:pt idx="1">
                  <c:v>33</c:v>
                </c:pt>
                <c:pt idx="2">
                  <c:v>16</c:v>
                </c:pt>
                <c:pt idx="3">
                  <c:v>31</c:v>
                </c:pt>
              </c:numCache>
            </c:numRef>
          </c:val>
          <c:extLst>
            <c:ext xmlns:c16="http://schemas.microsoft.com/office/drawing/2014/chart" uri="{C3380CC4-5D6E-409C-BE32-E72D297353CC}">
              <c16:uniqueId val="{00000001-E2B2-43DD-97D9-F687C342779B}"/>
            </c:ext>
          </c:extLst>
        </c:ser>
        <c:dLbls>
          <c:showLegendKey val="0"/>
          <c:showVal val="0"/>
          <c:showCatName val="0"/>
          <c:showSerName val="0"/>
          <c:showPercent val="0"/>
          <c:showBubbleSize val="0"/>
        </c:dLbls>
        <c:gapWidth val="150"/>
        <c:overlap val="100"/>
        <c:axId val="446959552"/>
        <c:axId val="446959880"/>
      </c:barChart>
      <c:catAx>
        <c:axId val="4469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6959880"/>
        <c:crosses val="autoZero"/>
        <c:auto val="1"/>
        <c:lblAlgn val="ctr"/>
        <c:lblOffset val="100"/>
        <c:noMultiLvlLbl val="0"/>
      </c:catAx>
      <c:valAx>
        <c:axId val="446959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Number of Injuries (count)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95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Sheet1!$A$25</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Upper Extremity</c:v>
                </c:pt>
                <c:pt idx="1">
                  <c:v>Trunk</c:v>
                </c:pt>
                <c:pt idx="2">
                  <c:v>Lower Extremity</c:v>
                </c:pt>
              </c:strCache>
            </c:strRef>
          </c:cat>
          <c:val>
            <c:numRef>
              <c:f>Sheet1!$B$25:$D$25</c:f>
              <c:numCache>
                <c:formatCode>General</c:formatCode>
                <c:ptCount val="3"/>
                <c:pt idx="0">
                  <c:v>22</c:v>
                </c:pt>
                <c:pt idx="1">
                  <c:v>40</c:v>
                </c:pt>
                <c:pt idx="2">
                  <c:v>56</c:v>
                </c:pt>
              </c:numCache>
            </c:numRef>
          </c:val>
          <c:extLst>
            <c:ext xmlns:c16="http://schemas.microsoft.com/office/drawing/2014/chart" uri="{C3380CC4-5D6E-409C-BE32-E72D297353CC}">
              <c16:uniqueId val="{00000000-EAAF-4B56-8F50-362036ADFFC1}"/>
            </c:ext>
          </c:extLst>
        </c:ser>
        <c:ser>
          <c:idx val="1"/>
          <c:order val="1"/>
          <c:tx>
            <c:strRef>
              <c:f>Sheet1!$A$26</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Upper Extremity</c:v>
                </c:pt>
                <c:pt idx="1">
                  <c:v>Trunk</c:v>
                </c:pt>
                <c:pt idx="2">
                  <c:v>Lower Extremity</c:v>
                </c:pt>
              </c:strCache>
            </c:strRef>
          </c:cat>
          <c:val>
            <c:numRef>
              <c:f>Sheet1!$B$26:$D$26</c:f>
              <c:numCache>
                <c:formatCode>General</c:formatCode>
                <c:ptCount val="3"/>
                <c:pt idx="0">
                  <c:v>33</c:v>
                </c:pt>
                <c:pt idx="1">
                  <c:v>42</c:v>
                </c:pt>
                <c:pt idx="2">
                  <c:v>36</c:v>
                </c:pt>
              </c:numCache>
            </c:numRef>
          </c:val>
          <c:extLst>
            <c:ext xmlns:c16="http://schemas.microsoft.com/office/drawing/2014/chart" uri="{C3380CC4-5D6E-409C-BE32-E72D297353CC}">
              <c16:uniqueId val="{00000001-EAAF-4B56-8F50-362036ADFFC1}"/>
            </c:ext>
          </c:extLst>
        </c:ser>
        <c:dLbls>
          <c:dLblPos val="ctr"/>
          <c:showLegendKey val="0"/>
          <c:showVal val="1"/>
          <c:showCatName val="0"/>
          <c:showSerName val="0"/>
          <c:showPercent val="0"/>
          <c:showBubbleSize val="0"/>
        </c:dLbls>
        <c:gapWidth val="150"/>
        <c:overlap val="100"/>
        <c:axId val="360183528"/>
        <c:axId val="360183856"/>
      </c:barChart>
      <c:catAx>
        <c:axId val="360183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60183856"/>
        <c:crosses val="autoZero"/>
        <c:auto val="1"/>
        <c:lblAlgn val="ctr"/>
        <c:lblOffset val="100"/>
        <c:noMultiLvlLbl val="0"/>
      </c:catAx>
      <c:valAx>
        <c:axId val="36018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latin typeface="Arial" panose="020B0604020202020204" pitchFamily="34" charset="0"/>
                    <a:cs typeface="Arial" panose="020B0604020202020204" pitchFamily="34" charset="0"/>
                  </a:rPr>
                  <a:t>Number</a:t>
                </a:r>
                <a:r>
                  <a:rPr lang="en-GB" sz="900" baseline="0">
                    <a:latin typeface="Arial" panose="020B0604020202020204" pitchFamily="34" charset="0"/>
                    <a:cs typeface="Arial" panose="020B0604020202020204" pitchFamily="34" charset="0"/>
                  </a:rPr>
                  <a:t> of  Injuries (count) </a:t>
                </a:r>
                <a:endParaRPr lang="en-GB" sz="9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183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11" ma:contentTypeDescription="Create a new document." ma:contentTypeScope="" ma:versionID="22182499859456db9634881befa81318">
  <xsd:schema xmlns:xsd="http://www.w3.org/2001/XMLSchema" xmlns:xs="http://www.w3.org/2001/XMLSchema" xmlns:p="http://schemas.microsoft.com/office/2006/metadata/properties" xmlns:ns1="http://schemas.microsoft.com/sharepoint/v3" xmlns:ns2="349c52c3-7488-4a9e-99a0-500ebff2edd8" targetNamespace="http://schemas.microsoft.com/office/2006/metadata/properties" ma:root="true" ma:fieldsID="92efc6fe5eaeab414c308e3a3e98472a" ns1:_="" ns2:_="">
    <xsd:import namespace="http://schemas.microsoft.com/sharepoint/v3"/>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73C5A7-3AFC-43F7-BE17-8DB3C81C2F19}"/>
</file>

<file path=customXml/itemProps2.xml><?xml version="1.0" encoding="utf-8"?>
<ds:datastoreItem xmlns:ds="http://schemas.openxmlformats.org/officeDocument/2006/customXml" ds:itemID="{0A164B50-48BE-4DB1-B79F-5FC210100D89}">
  <ds:schemaRefs>
    <ds:schemaRef ds:uri="http://schemas.microsoft.com/sharepoint/v3/contenttype/forms"/>
  </ds:schemaRefs>
</ds:datastoreItem>
</file>

<file path=customXml/itemProps3.xml><?xml version="1.0" encoding="utf-8"?>
<ds:datastoreItem xmlns:ds="http://schemas.openxmlformats.org/officeDocument/2006/customXml" ds:itemID="{B81F2527-BBD0-481E-9071-856209143216}">
  <ds:schemaRefs>
    <ds:schemaRef ds:uri="http://schemas.microsoft.com/office/2006/metadata/properties"/>
    <ds:schemaRef ds:uri="http://schemas.microsoft.com/office/infopath/2007/PartnerControls"/>
    <ds:schemaRef ds:uri="96e6118b-7dec-4d3c-9221-fe19a99a00a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Hayhurst, Debra Maj (UKStratCom-DMS-DMRC-RH-2ICRD)</dc:creator>
  <cp:keywords/>
  <dc:description/>
  <cp:lastModifiedBy>Martin Warner</cp:lastModifiedBy>
  <cp:revision>11</cp:revision>
  <dcterms:created xsi:type="dcterms:W3CDTF">2022-09-05T17:38:00Z</dcterms:created>
  <dcterms:modified xsi:type="dcterms:W3CDTF">2022-09-15T14:18:00Z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0x0101009FB0911783C1D442BD1CF19F4570B3A4</vt:lpwstr>
  </property>
  <property fmtid="{D5CDD505-2E9C-101B-9397-08002B2CF9AE}" pid="3" name="MSIP_Label_d8a60473-494b-4586-a1bb-b0e663054676_Enabled">
    <vt:lpwstr>true</vt:lpwstr>
  </property>
  <property fmtid="{D5CDD505-2E9C-101B-9397-08002B2CF9AE}" pid="4" name="MSIP_Label_d8a60473-494b-4586-a1bb-b0e663054676_SetDate">
    <vt:lpwstr>2022-06-18T10:11:25Z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4240c73d-669d-43c6-b9cb-756f2ec7700f</vt:lpwstr>
  </property>
  <property fmtid="{D5CDD505-2E9C-101B-9397-08002B2CF9AE}" pid="9" name="MSIP_Label_d8a60473-494b-4586-a1bb-b0e663054676_ContentBits">
    <vt:lpwstr>0</vt:lpwstr>
  </property>
</Properties>
</file>