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7953" w14:textId="77777777" w:rsidR="00785C58" w:rsidRDefault="00785C58" w:rsidP="00785C58">
      <w:pPr>
        <w:rPr>
          <w:b/>
          <w:bCs/>
        </w:rPr>
      </w:pPr>
    </w:p>
    <w:p w14:paraId="07970A5E" w14:textId="48756A0D" w:rsidR="009965A4" w:rsidRDefault="009965A4" w:rsidP="00785C58">
      <w:pPr>
        <w:rPr>
          <w:b/>
          <w:bCs/>
          <w:color w:val="000000" w:themeColor="text1"/>
        </w:rPr>
      </w:pPr>
    </w:p>
    <w:p w14:paraId="4D814809" w14:textId="73634C11" w:rsidR="002D1627" w:rsidRPr="005E0FED" w:rsidRDefault="002D1627" w:rsidP="002D1627">
      <w:pPr>
        <w:rPr>
          <w:b/>
          <w:bCs/>
        </w:rPr>
      </w:pPr>
      <w:r w:rsidRPr="005E0FED">
        <w:rPr>
          <w:b/>
          <w:bCs/>
          <w:color w:val="000000"/>
        </w:rPr>
        <w:t>Early-onset burdensome</w:t>
      </w:r>
      <w:r w:rsidR="00047D38">
        <w:rPr>
          <w:b/>
          <w:bCs/>
          <w:color w:val="000000"/>
        </w:rPr>
        <w:t xml:space="preserve"> </w:t>
      </w:r>
      <w:r w:rsidRPr="005E0FED">
        <w:rPr>
          <w:b/>
          <w:bCs/>
          <w:color w:val="000000"/>
        </w:rPr>
        <w:t>multimorbidity: an exploratory analysis of sentinel conditions, condition accrual sequence and duration</w:t>
      </w:r>
      <w:r w:rsidR="00557EF7">
        <w:rPr>
          <w:b/>
          <w:bCs/>
          <w:color w:val="000000"/>
        </w:rPr>
        <w:t xml:space="preserve"> of three long-term conditions</w:t>
      </w:r>
      <w:r w:rsidRPr="005E0FED">
        <w:rPr>
          <w:b/>
          <w:bCs/>
          <w:color w:val="000000"/>
        </w:rPr>
        <w:t xml:space="preserve"> using the 1970 British Cohort Study</w:t>
      </w:r>
    </w:p>
    <w:p w14:paraId="5B724D83" w14:textId="77777777" w:rsidR="009965A4" w:rsidRPr="00212837" w:rsidRDefault="009965A4" w:rsidP="00785C58">
      <w:pPr>
        <w:rPr>
          <w:b/>
          <w:bCs/>
        </w:rPr>
      </w:pPr>
    </w:p>
    <w:p w14:paraId="6539C204" w14:textId="77777777" w:rsidR="00E1230D" w:rsidRDefault="00E1230D" w:rsidP="00E1230D"/>
    <w:p w14:paraId="75F89111" w14:textId="7C6748F7" w:rsidR="003C6562" w:rsidRPr="00346BEF" w:rsidRDefault="003C6562" w:rsidP="00E1230D">
      <w:r w:rsidRPr="000C0BA2">
        <w:rPr>
          <w:i/>
          <w:iCs/>
        </w:rPr>
        <w:t>Authors</w:t>
      </w:r>
      <w:r w:rsidR="00060F7F">
        <w:rPr>
          <w:i/>
          <w:iCs/>
        </w:rPr>
        <w:t>:</w:t>
      </w:r>
    </w:p>
    <w:p w14:paraId="77928AA9" w14:textId="77777777" w:rsidR="00E01D56" w:rsidRPr="000C0BA2" w:rsidRDefault="00E01D56" w:rsidP="00E1230D">
      <w:pPr>
        <w:rPr>
          <w:i/>
          <w:iCs/>
        </w:rPr>
      </w:pPr>
    </w:p>
    <w:p w14:paraId="68F9CE96" w14:textId="66926E50" w:rsidR="00650914" w:rsidRPr="00650914" w:rsidRDefault="004C14C0" w:rsidP="00650914">
      <w:pPr>
        <w:textAlignment w:val="baseline"/>
      </w:pPr>
      <w:r w:rsidRPr="00650914">
        <w:rPr>
          <w:color w:val="000000"/>
          <w:shd w:val="clear" w:color="auto" w:fill="FFFFFF"/>
        </w:rPr>
        <w:t>Sebastian Stannard</w:t>
      </w:r>
      <w:r w:rsidR="00646B6B" w:rsidRPr="00060F7F">
        <w:rPr>
          <w:color w:val="000000"/>
          <w:shd w:val="clear" w:color="auto" w:fill="FFFFFF"/>
          <w:vertAlign w:val="superscript"/>
        </w:rPr>
        <w:t>1</w:t>
      </w:r>
      <w:r>
        <w:rPr>
          <w:color w:val="000000"/>
          <w:shd w:val="clear" w:color="auto" w:fill="FFFFFF"/>
        </w:rPr>
        <w:t xml:space="preserve">, </w:t>
      </w:r>
      <w:r w:rsidRPr="00650914">
        <w:rPr>
          <w:color w:val="000000"/>
          <w:shd w:val="clear" w:color="auto" w:fill="FFFFFF"/>
        </w:rPr>
        <w:t>Emilia Holland</w:t>
      </w:r>
      <w:r w:rsidR="00646B6B" w:rsidRPr="0090098E">
        <w:rPr>
          <w:color w:val="000000"/>
          <w:shd w:val="clear" w:color="auto" w:fill="FFFFFF"/>
          <w:vertAlign w:val="superscript"/>
        </w:rPr>
        <w:t>1</w:t>
      </w:r>
      <w:r>
        <w:rPr>
          <w:color w:val="000000"/>
          <w:shd w:val="clear" w:color="auto" w:fill="FFFFFF"/>
        </w:rPr>
        <w:t xml:space="preserve">, </w:t>
      </w:r>
      <w:r w:rsidR="00632F45" w:rsidRPr="00650914">
        <w:rPr>
          <w:color w:val="000000"/>
          <w:shd w:val="clear" w:color="auto" w:fill="FFFFFF"/>
        </w:rPr>
        <w:t xml:space="preserve">Sarah </w:t>
      </w:r>
      <w:r w:rsidR="009C7A33">
        <w:rPr>
          <w:color w:val="000000"/>
          <w:shd w:val="clear" w:color="auto" w:fill="FFFFFF"/>
        </w:rPr>
        <w:t xml:space="preserve">R </w:t>
      </w:r>
      <w:r w:rsidR="00632F45" w:rsidRPr="00650914">
        <w:rPr>
          <w:color w:val="000000"/>
          <w:shd w:val="clear" w:color="auto" w:fill="FFFFFF"/>
        </w:rPr>
        <w:t>Crozier</w:t>
      </w:r>
      <w:r w:rsidR="007E4C46">
        <w:rPr>
          <w:color w:val="000000"/>
          <w:shd w:val="clear" w:color="auto" w:fill="FFFFFF"/>
          <w:vertAlign w:val="superscript"/>
        </w:rPr>
        <w:t>2</w:t>
      </w:r>
      <w:r w:rsidR="00370BDA">
        <w:rPr>
          <w:color w:val="000000"/>
          <w:shd w:val="clear" w:color="auto" w:fill="FFFFFF"/>
          <w:vertAlign w:val="superscript"/>
        </w:rPr>
        <w:t>,3</w:t>
      </w:r>
      <w:r w:rsidR="00632F45">
        <w:rPr>
          <w:color w:val="000000"/>
          <w:shd w:val="clear" w:color="auto" w:fill="FFFFFF"/>
        </w:rPr>
        <w:t xml:space="preserve">, </w:t>
      </w:r>
      <w:r w:rsidR="00170D69" w:rsidRPr="00650914">
        <w:rPr>
          <w:color w:val="000000"/>
          <w:shd w:val="clear" w:color="auto" w:fill="FFFFFF"/>
        </w:rPr>
        <w:t>Rebecca Hoyle</w:t>
      </w:r>
      <w:r w:rsidR="00691F19">
        <w:rPr>
          <w:color w:val="000000"/>
          <w:shd w:val="clear" w:color="auto" w:fill="FFFFFF"/>
          <w:vertAlign w:val="superscript"/>
        </w:rPr>
        <w:t>4</w:t>
      </w:r>
      <w:r w:rsidR="00170D69" w:rsidRPr="00650914">
        <w:rPr>
          <w:color w:val="000000"/>
          <w:shd w:val="clear" w:color="auto" w:fill="FFFFFF"/>
        </w:rPr>
        <w:t xml:space="preserve">, </w:t>
      </w:r>
      <w:r w:rsidR="00650914" w:rsidRPr="00650914">
        <w:rPr>
          <w:color w:val="000000"/>
          <w:shd w:val="clear" w:color="auto" w:fill="FFFFFF"/>
        </w:rPr>
        <w:t>Michael Boniface</w:t>
      </w:r>
      <w:r w:rsidR="00691F19">
        <w:rPr>
          <w:color w:val="000000"/>
          <w:shd w:val="clear" w:color="auto" w:fill="FFFFFF"/>
          <w:vertAlign w:val="superscript"/>
        </w:rPr>
        <w:t>5</w:t>
      </w:r>
      <w:r w:rsidR="00650914" w:rsidRPr="00650914">
        <w:rPr>
          <w:color w:val="000000"/>
          <w:shd w:val="clear" w:color="auto" w:fill="FFFFFF"/>
        </w:rPr>
        <w:t>,</w:t>
      </w:r>
      <w:r w:rsidR="00170D69">
        <w:rPr>
          <w:color w:val="000000"/>
          <w:shd w:val="clear" w:color="auto" w:fill="FFFFFF"/>
        </w:rPr>
        <w:t xml:space="preserve"> </w:t>
      </w:r>
      <w:r w:rsidRPr="00650914">
        <w:rPr>
          <w:color w:val="000000"/>
          <w:shd w:val="clear" w:color="auto" w:fill="FFFFFF"/>
        </w:rPr>
        <w:t>Mazen Ahmed</w:t>
      </w:r>
      <w:r w:rsidR="00E91AAA">
        <w:rPr>
          <w:color w:val="000000"/>
          <w:shd w:val="clear" w:color="auto" w:fill="FFFFFF"/>
          <w:vertAlign w:val="superscript"/>
        </w:rPr>
        <w:t>5</w:t>
      </w:r>
      <w:r w:rsidR="00650914" w:rsidRPr="00650914">
        <w:rPr>
          <w:color w:val="000000"/>
          <w:shd w:val="clear" w:color="auto" w:fill="FFFFFF"/>
        </w:rPr>
        <w:t>, James McMahon</w:t>
      </w:r>
      <w:r w:rsidR="00813A7A">
        <w:rPr>
          <w:color w:val="000000"/>
          <w:shd w:val="clear" w:color="auto" w:fill="FFFFFF"/>
          <w:vertAlign w:val="superscript"/>
        </w:rPr>
        <w:t>3</w:t>
      </w:r>
      <w:r w:rsidR="00650914" w:rsidRPr="00650914">
        <w:rPr>
          <w:color w:val="000000"/>
          <w:shd w:val="clear" w:color="auto" w:fill="FFFFFF"/>
        </w:rPr>
        <w:t>,</w:t>
      </w:r>
      <w:r w:rsidR="00785C58">
        <w:rPr>
          <w:color w:val="000000"/>
          <w:shd w:val="clear" w:color="auto" w:fill="FFFFFF"/>
        </w:rPr>
        <w:t xml:space="preserve"> </w:t>
      </w:r>
      <w:r w:rsidR="00650914" w:rsidRPr="00650914">
        <w:rPr>
          <w:color w:val="000000"/>
          <w:shd w:val="clear" w:color="auto" w:fill="FFFFFF"/>
        </w:rPr>
        <w:t>William Ware</w:t>
      </w:r>
      <w:r w:rsidR="00813A7A">
        <w:rPr>
          <w:color w:val="000000"/>
          <w:shd w:val="clear" w:color="auto" w:fill="FFFFFF"/>
          <w:vertAlign w:val="superscript"/>
        </w:rPr>
        <w:t>3</w:t>
      </w:r>
      <w:r w:rsidR="00650914" w:rsidRPr="00650914">
        <w:t xml:space="preserve">, </w:t>
      </w:r>
      <w:r w:rsidR="00650914" w:rsidRPr="00650914">
        <w:rPr>
          <w:color w:val="000000"/>
          <w:shd w:val="clear" w:color="auto" w:fill="FFFFFF"/>
        </w:rPr>
        <w:t>Zlatko Zlatev</w:t>
      </w:r>
      <w:r w:rsidR="0062396B">
        <w:rPr>
          <w:color w:val="000000"/>
          <w:shd w:val="clear" w:color="auto" w:fill="FFFFFF"/>
          <w:vertAlign w:val="superscript"/>
        </w:rPr>
        <w:t>5</w:t>
      </w:r>
      <w:r>
        <w:rPr>
          <w:color w:val="000000"/>
          <w:shd w:val="clear" w:color="auto" w:fill="FFFFFF"/>
        </w:rPr>
        <w:t>,</w:t>
      </w:r>
      <w:r w:rsidR="00170D69" w:rsidRPr="00170D69">
        <w:rPr>
          <w:color w:val="000000"/>
          <w:shd w:val="clear" w:color="auto" w:fill="FFFFFF"/>
        </w:rPr>
        <w:t xml:space="preserve"> </w:t>
      </w:r>
      <w:r w:rsidR="00170D69" w:rsidRPr="00650914">
        <w:rPr>
          <w:color w:val="000000"/>
          <w:shd w:val="clear" w:color="auto" w:fill="FFFFFF"/>
        </w:rPr>
        <w:t xml:space="preserve">Nisreen </w:t>
      </w:r>
      <w:r w:rsidR="00406DA3">
        <w:rPr>
          <w:color w:val="000000"/>
          <w:shd w:val="clear" w:color="auto" w:fill="FFFFFF"/>
        </w:rPr>
        <w:t xml:space="preserve">A </w:t>
      </w:r>
      <w:r w:rsidR="00170D69" w:rsidRPr="00650914">
        <w:rPr>
          <w:color w:val="000000"/>
          <w:shd w:val="clear" w:color="auto" w:fill="FFFFFF"/>
        </w:rPr>
        <w:t>Alwan</w:t>
      </w:r>
      <w:r w:rsidR="00170D69" w:rsidRPr="0090098E">
        <w:rPr>
          <w:color w:val="000000"/>
          <w:shd w:val="clear" w:color="auto" w:fill="FFFFFF"/>
          <w:vertAlign w:val="superscript"/>
        </w:rPr>
        <w:t>1</w:t>
      </w:r>
      <w:r w:rsidR="00370BDA">
        <w:rPr>
          <w:color w:val="000000"/>
          <w:shd w:val="clear" w:color="auto" w:fill="FFFFFF"/>
          <w:vertAlign w:val="superscript"/>
        </w:rPr>
        <w:t>,6,</w:t>
      </w:r>
      <w:r w:rsidR="00813A7A">
        <w:rPr>
          <w:color w:val="000000"/>
          <w:shd w:val="clear" w:color="auto" w:fill="FFFFFF"/>
          <w:vertAlign w:val="superscript"/>
        </w:rPr>
        <w:t>3</w:t>
      </w:r>
      <w:r w:rsidRPr="004C14C0">
        <w:rPr>
          <w:color w:val="000000"/>
          <w:shd w:val="clear" w:color="auto" w:fill="FFFFFF"/>
        </w:rPr>
        <w:t xml:space="preserve"> </w:t>
      </w:r>
      <w:r w:rsidRPr="00650914">
        <w:rPr>
          <w:color w:val="000000"/>
          <w:shd w:val="clear" w:color="auto" w:fill="FFFFFF"/>
        </w:rPr>
        <w:t xml:space="preserve">Simon </w:t>
      </w:r>
      <w:r w:rsidR="00646B6B">
        <w:rPr>
          <w:color w:val="000000"/>
          <w:shd w:val="clear" w:color="auto" w:fill="FFFFFF"/>
        </w:rPr>
        <w:t xml:space="preserve">DS </w:t>
      </w:r>
      <w:r w:rsidRPr="00650914">
        <w:rPr>
          <w:color w:val="000000"/>
          <w:shd w:val="clear" w:color="auto" w:fill="FFFFFF"/>
        </w:rPr>
        <w:t>Fraser</w:t>
      </w:r>
      <w:r w:rsidR="00646B6B" w:rsidRPr="0090098E">
        <w:rPr>
          <w:color w:val="000000"/>
          <w:shd w:val="clear" w:color="auto" w:fill="FFFFFF"/>
          <w:vertAlign w:val="superscript"/>
        </w:rPr>
        <w:t>1</w:t>
      </w:r>
    </w:p>
    <w:p w14:paraId="58928385" w14:textId="77777777" w:rsidR="00650914" w:rsidRPr="00936AF4" w:rsidRDefault="00650914" w:rsidP="00650914">
      <w:pPr>
        <w:textAlignment w:val="baseline"/>
        <w:rPr>
          <w:sz w:val="18"/>
          <w:szCs w:val="18"/>
        </w:rPr>
      </w:pPr>
      <w:r w:rsidRPr="00936AF4">
        <w:t> </w:t>
      </w:r>
    </w:p>
    <w:p w14:paraId="015B9546" w14:textId="77777777" w:rsidR="00646B6B" w:rsidRPr="00B24C41" w:rsidRDefault="00646B6B" w:rsidP="00E1230D"/>
    <w:p w14:paraId="28E9BEFB" w14:textId="34A32725" w:rsidR="00D05B25" w:rsidRPr="00226D02" w:rsidRDefault="00646B6B" w:rsidP="00226D02">
      <w:pPr>
        <w:pStyle w:val="ListParagraph"/>
        <w:numPr>
          <w:ilvl w:val="0"/>
          <w:numId w:val="12"/>
        </w:numPr>
        <w:rPr>
          <w:rFonts w:ascii="Times New Roman" w:hAnsi="Times New Roman" w:cs="Times New Roman"/>
        </w:rPr>
      </w:pPr>
      <w:r w:rsidRPr="002544EF">
        <w:rPr>
          <w:rFonts w:ascii="Times New Roman" w:hAnsi="Times New Roman" w:cs="Times New Roman"/>
        </w:rPr>
        <w:t>School of Primary Care</w:t>
      </w:r>
      <w:r w:rsidR="007F4068">
        <w:rPr>
          <w:rFonts w:ascii="Times New Roman" w:hAnsi="Times New Roman" w:cs="Times New Roman"/>
        </w:rPr>
        <w:t>,</w:t>
      </w:r>
      <w:r w:rsidRPr="002544EF">
        <w:rPr>
          <w:rFonts w:ascii="Times New Roman" w:hAnsi="Times New Roman" w:cs="Times New Roman"/>
        </w:rPr>
        <w:t xml:space="preserve"> Population Sciences</w:t>
      </w:r>
      <w:r w:rsidR="007F4068">
        <w:rPr>
          <w:rFonts w:ascii="Times New Roman" w:hAnsi="Times New Roman" w:cs="Times New Roman"/>
        </w:rPr>
        <w:t xml:space="preserve"> and Medical Education</w:t>
      </w:r>
      <w:r w:rsidRPr="002544EF">
        <w:rPr>
          <w:rFonts w:ascii="Times New Roman" w:hAnsi="Times New Roman" w:cs="Times New Roman"/>
        </w:rPr>
        <w:t>, Faculty of Medicine, University of Southampton</w:t>
      </w:r>
      <w:r w:rsidR="00B13ECF">
        <w:rPr>
          <w:rFonts w:ascii="Times New Roman" w:hAnsi="Times New Roman" w:cs="Times New Roman"/>
        </w:rPr>
        <w:t>, UK</w:t>
      </w:r>
    </w:p>
    <w:p w14:paraId="20EA5676" w14:textId="04CD2EAB" w:rsidR="007E4C46" w:rsidRDefault="007E4C46" w:rsidP="007E4C46">
      <w:pPr>
        <w:pStyle w:val="ListParagraph"/>
        <w:numPr>
          <w:ilvl w:val="0"/>
          <w:numId w:val="12"/>
        </w:numPr>
        <w:rPr>
          <w:rFonts w:ascii="Times New Roman" w:hAnsi="Times New Roman" w:cs="Times New Roman"/>
        </w:rPr>
      </w:pPr>
      <w:r w:rsidRPr="002544EF">
        <w:rPr>
          <w:rFonts w:ascii="Times New Roman" w:hAnsi="Times New Roman" w:cs="Times New Roman"/>
        </w:rPr>
        <w:t xml:space="preserve">MRC Lifecourse Epidemiology </w:t>
      </w:r>
      <w:r w:rsidR="00CA1766">
        <w:rPr>
          <w:rFonts w:ascii="Times New Roman" w:hAnsi="Times New Roman" w:cs="Times New Roman"/>
        </w:rPr>
        <w:t>Centre</w:t>
      </w:r>
      <w:r w:rsidRPr="002544EF">
        <w:rPr>
          <w:rFonts w:ascii="Times New Roman" w:hAnsi="Times New Roman" w:cs="Times New Roman"/>
        </w:rPr>
        <w:t>, Faculty of Medicine at the University of Southampton</w:t>
      </w:r>
      <w:r w:rsidR="00B13ECF">
        <w:rPr>
          <w:rFonts w:ascii="Times New Roman" w:hAnsi="Times New Roman" w:cs="Times New Roman"/>
        </w:rPr>
        <w:t>, UK</w:t>
      </w:r>
    </w:p>
    <w:p w14:paraId="33BA0F1B" w14:textId="77DC7A2F" w:rsidR="00370BDA" w:rsidRPr="00370BDA" w:rsidRDefault="00370BDA" w:rsidP="00852D0E">
      <w:pPr>
        <w:pStyle w:val="CommentText"/>
        <w:numPr>
          <w:ilvl w:val="0"/>
          <w:numId w:val="12"/>
        </w:numPr>
      </w:pPr>
      <w:r>
        <w:t>NIHR Applied Research Collaboration Wessex, Southampton Science Park, Innovation Centre, 2 Venture Road, Chilworth, Southampton, SO16 7NP</w:t>
      </w:r>
    </w:p>
    <w:p w14:paraId="54A7175B" w14:textId="77777777" w:rsidR="002544EF" w:rsidRPr="00B13ECF" w:rsidRDefault="002544EF" w:rsidP="002544EF">
      <w:pPr>
        <w:pStyle w:val="ListParagraph"/>
        <w:numPr>
          <w:ilvl w:val="0"/>
          <w:numId w:val="12"/>
        </w:numPr>
        <w:rPr>
          <w:rFonts w:ascii="Times New Roman" w:hAnsi="Times New Roman" w:cs="Times New Roman"/>
          <w:color w:val="000000" w:themeColor="text1"/>
        </w:rPr>
      </w:pPr>
      <w:r w:rsidRPr="00B13ECF">
        <w:rPr>
          <w:rFonts w:ascii="Times New Roman" w:hAnsi="Times New Roman" w:cs="Times New Roman"/>
          <w:color w:val="000000" w:themeColor="text1"/>
          <w:shd w:val="clear" w:color="auto" w:fill="FFFFFF"/>
        </w:rPr>
        <w:t>School of Mathematical Sciences, University of Southampton, Southampton, UK</w:t>
      </w:r>
    </w:p>
    <w:p w14:paraId="35766885" w14:textId="46FFC1BB" w:rsidR="002544EF" w:rsidRPr="00B13ECF" w:rsidRDefault="002544EF" w:rsidP="002544EF">
      <w:pPr>
        <w:pStyle w:val="ListParagraph"/>
        <w:numPr>
          <w:ilvl w:val="0"/>
          <w:numId w:val="12"/>
        </w:numPr>
        <w:spacing w:before="100" w:beforeAutospacing="1" w:after="100" w:afterAutospacing="1"/>
        <w:rPr>
          <w:rFonts w:ascii="Times New Roman" w:hAnsi="Times New Roman" w:cs="Times New Roman"/>
          <w:color w:val="000000" w:themeColor="text1"/>
        </w:rPr>
      </w:pPr>
      <w:r w:rsidRPr="00B13ECF">
        <w:rPr>
          <w:rFonts w:ascii="Times New Roman" w:hAnsi="Times New Roman" w:cs="Times New Roman"/>
          <w:color w:val="000000" w:themeColor="text1"/>
        </w:rPr>
        <w:t xml:space="preserve">University of Southampton, IT Innovation Centre, Southampton, </w:t>
      </w:r>
      <w:r w:rsidR="00B13ECF">
        <w:rPr>
          <w:rFonts w:ascii="Times New Roman" w:hAnsi="Times New Roman" w:cs="Times New Roman"/>
          <w:color w:val="000000" w:themeColor="text1"/>
        </w:rPr>
        <w:t>UK</w:t>
      </w:r>
    </w:p>
    <w:p w14:paraId="2F9C8883" w14:textId="5E751C32" w:rsidR="007E4C46" w:rsidRPr="004F7DA4" w:rsidRDefault="00370BDA" w:rsidP="007E4C46">
      <w:pPr>
        <w:pStyle w:val="ListParagraph"/>
        <w:numPr>
          <w:ilvl w:val="0"/>
          <w:numId w:val="12"/>
        </w:numPr>
        <w:rPr>
          <w:rFonts w:ascii="Times New Roman" w:hAnsi="Times New Roman" w:cs="Times New Roman"/>
        </w:rPr>
      </w:pPr>
      <w:r w:rsidRPr="00F564F4">
        <w:rPr>
          <w:rFonts w:ascii="Times New Roman" w:hAnsi="Times New Roman" w:cs="Times New Roman"/>
        </w:rPr>
        <w:t>NIHR Southampton Biomedical Research Centre, University of Southampton and University Hospital Southampton NHS Foundation Trust, Southampton, UK</w:t>
      </w:r>
    </w:p>
    <w:p w14:paraId="4049B438" w14:textId="4DBAD13F" w:rsidR="0086126E" w:rsidRDefault="0086126E" w:rsidP="00E1230D">
      <w:pPr>
        <w:rPr>
          <w:u w:val="single"/>
        </w:rPr>
      </w:pPr>
    </w:p>
    <w:p w14:paraId="12FA3F4C" w14:textId="255AFF2F" w:rsidR="00421FA2" w:rsidRPr="00B667B3" w:rsidRDefault="00421FA2" w:rsidP="00E1230D">
      <w:pPr>
        <w:rPr>
          <w:i/>
          <w:iCs/>
          <w:u w:val="single"/>
        </w:rPr>
      </w:pPr>
    </w:p>
    <w:p w14:paraId="2EFC66DF" w14:textId="3BA4497C" w:rsidR="00421FA2" w:rsidRPr="00B667B3" w:rsidRDefault="00B667B3" w:rsidP="00E1230D">
      <w:pPr>
        <w:rPr>
          <w:i/>
          <w:iCs/>
        </w:rPr>
      </w:pPr>
      <w:r w:rsidRPr="00B667B3">
        <w:rPr>
          <w:i/>
          <w:iCs/>
        </w:rPr>
        <w:t>Corresponding Author:</w:t>
      </w:r>
    </w:p>
    <w:p w14:paraId="28A3FD2E" w14:textId="36348D1A" w:rsidR="00B667B3" w:rsidRDefault="00B667B3" w:rsidP="00E1230D"/>
    <w:p w14:paraId="1915EB8D" w14:textId="3A8B8D0A" w:rsidR="00B667B3" w:rsidRDefault="00B667B3" w:rsidP="00E1230D">
      <w:r>
        <w:t xml:space="preserve">Sebastian Stannard </w:t>
      </w:r>
    </w:p>
    <w:p w14:paraId="7368DF79" w14:textId="77777777" w:rsidR="00B667B3" w:rsidRDefault="00B667B3" w:rsidP="00E1230D"/>
    <w:p w14:paraId="50FED3A9" w14:textId="5DD5F019" w:rsidR="00B667B3" w:rsidRDefault="00B667B3" w:rsidP="00E1230D">
      <w:r>
        <w:t>Murray Building (58)</w:t>
      </w:r>
    </w:p>
    <w:p w14:paraId="2459C6D2" w14:textId="77777777" w:rsidR="00B667B3" w:rsidRDefault="00B667B3" w:rsidP="00E1230D">
      <w:r>
        <w:t xml:space="preserve">59 Salisbury Road </w:t>
      </w:r>
    </w:p>
    <w:p w14:paraId="560B4F10" w14:textId="77777777" w:rsidR="00B667B3" w:rsidRDefault="00B667B3" w:rsidP="00E1230D">
      <w:r>
        <w:t xml:space="preserve">Southampton </w:t>
      </w:r>
    </w:p>
    <w:p w14:paraId="47B11DEE" w14:textId="77777777" w:rsidR="00B667B3" w:rsidRDefault="00B667B3" w:rsidP="00E1230D">
      <w:r>
        <w:t xml:space="preserve">SO17 1TW </w:t>
      </w:r>
    </w:p>
    <w:p w14:paraId="5E505A13" w14:textId="77777777" w:rsidR="00B667B3" w:rsidRDefault="00B667B3" w:rsidP="00E1230D"/>
    <w:p w14:paraId="16AE88CF" w14:textId="0960309B" w:rsidR="00B667B3" w:rsidRDefault="001D0707" w:rsidP="00E1230D">
      <w:hyperlink r:id="rId11" w:history="1">
        <w:r w:rsidR="00C71F60" w:rsidRPr="00C71F60">
          <w:rPr>
            <w:rStyle w:val="Hyperlink"/>
          </w:rPr>
          <w:t>S.</w:t>
        </w:r>
        <w:r w:rsidR="00C71F60" w:rsidRPr="005B5E3A">
          <w:rPr>
            <w:rStyle w:val="Hyperlink"/>
          </w:rPr>
          <w:t>J.Stannard@soton.ac.uk</w:t>
        </w:r>
      </w:hyperlink>
      <w:r w:rsidR="00B667B3">
        <w:t xml:space="preserve">  </w:t>
      </w:r>
    </w:p>
    <w:p w14:paraId="7C4F0B55" w14:textId="7F72B51C" w:rsidR="00B667B3" w:rsidRDefault="00B667B3" w:rsidP="00E1230D"/>
    <w:p w14:paraId="0036289F" w14:textId="093474E6" w:rsidR="00447BB7" w:rsidRDefault="00447BB7" w:rsidP="00447BB7">
      <w:pPr>
        <w:rPr>
          <w:color w:val="000000" w:themeColor="text1"/>
        </w:rPr>
      </w:pPr>
      <w:r>
        <w:rPr>
          <w:color w:val="000000" w:themeColor="text1"/>
        </w:rPr>
        <w:t>Word count: 4125</w:t>
      </w:r>
    </w:p>
    <w:p w14:paraId="229EA47B" w14:textId="77777777" w:rsidR="00B667B3" w:rsidRPr="00B667B3" w:rsidRDefault="00B667B3" w:rsidP="00E1230D"/>
    <w:p w14:paraId="1925B12D" w14:textId="560AD9A6" w:rsidR="00421FA2" w:rsidRDefault="00421FA2" w:rsidP="00E1230D">
      <w:pPr>
        <w:rPr>
          <w:u w:val="single"/>
        </w:rPr>
      </w:pPr>
    </w:p>
    <w:p w14:paraId="794C8806" w14:textId="7335347C" w:rsidR="00421FA2" w:rsidRDefault="00421FA2" w:rsidP="00E1230D">
      <w:pPr>
        <w:rPr>
          <w:u w:val="single"/>
        </w:rPr>
      </w:pPr>
    </w:p>
    <w:p w14:paraId="5B2B6757" w14:textId="2B285CD5" w:rsidR="00421FA2" w:rsidRDefault="00421FA2" w:rsidP="00E1230D">
      <w:pPr>
        <w:rPr>
          <w:u w:val="single"/>
        </w:rPr>
      </w:pPr>
    </w:p>
    <w:p w14:paraId="467E2441" w14:textId="5D85B7AB" w:rsidR="00421FA2" w:rsidRDefault="00421FA2" w:rsidP="00E1230D">
      <w:pPr>
        <w:rPr>
          <w:u w:val="single"/>
        </w:rPr>
      </w:pPr>
    </w:p>
    <w:p w14:paraId="6DE3F52F" w14:textId="5D41F2A6" w:rsidR="00421FA2" w:rsidRDefault="00421FA2" w:rsidP="00E1230D">
      <w:pPr>
        <w:rPr>
          <w:u w:val="single"/>
        </w:rPr>
      </w:pPr>
    </w:p>
    <w:p w14:paraId="4606BDC5" w14:textId="4502808C" w:rsidR="00421FA2" w:rsidRDefault="00421FA2" w:rsidP="00E1230D">
      <w:pPr>
        <w:rPr>
          <w:u w:val="single"/>
        </w:rPr>
      </w:pPr>
    </w:p>
    <w:p w14:paraId="0C0A4185" w14:textId="008049D0" w:rsidR="00421FA2" w:rsidRDefault="00421FA2" w:rsidP="00E1230D">
      <w:pPr>
        <w:rPr>
          <w:u w:val="single"/>
        </w:rPr>
      </w:pPr>
    </w:p>
    <w:p w14:paraId="549C5068" w14:textId="5A60DED8" w:rsidR="00421FA2" w:rsidRDefault="00421FA2" w:rsidP="00E1230D">
      <w:pPr>
        <w:rPr>
          <w:u w:val="single"/>
        </w:rPr>
      </w:pPr>
    </w:p>
    <w:p w14:paraId="5151F336" w14:textId="4FEC4A4A" w:rsidR="00421FA2" w:rsidRDefault="00421FA2" w:rsidP="00E1230D">
      <w:pPr>
        <w:rPr>
          <w:u w:val="single"/>
        </w:rPr>
      </w:pPr>
    </w:p>
    <w:p w14:paraId="36EAD366" w14:textId="6D56EC05" w:rsidR="00421FA2" w:rsidRDefault="00421FA2" w:rsidP="00E1230D">
      <w:pPr>
        <w:rPr>
          <w:u w:val="single"/>
        </w:rPr>
      </w:pPr>
    </w:p>
    <w:p w14:paraId="74378E8C" w14:textId="77777777" w:rsidR="002C2D82" w:rsidRDefault="002C2D82" w:rsidP="00E1230D">
      <w:pPr>
        <w:rPr>
          <w:u w:val="single"/>
        </w:rPr>
      </w:pPr>
    </w:p>
    <w:p w14:paraId="029CF275" w14:textId="4962F400" w:rsidR="00E1230D" w:rsidRPr="0086126E" w:rsidRDefault="00284727" w:rsidP="00E1230D">
      <w:r w:rsidRPr="00284727">
        <w:rPr>
          <w:u w:val="single"/>
        </w:rPr>
        <w:lastRenderedPageBreak/>
        <w:t>Abstract</w:t>
      </w:r>
      <w:r w:rsidR="000E6D69">
        <w:rPr>
          <w:u w:val="single"/>
        </w:rPr>
        <w:t xml:space="preserve"> </w:t>
      </w:r>
    </w:p>
    <w:p w14:paraId="2556183C" w14:textId="77777777" w:rsidR="0045780C" w:rsidRDefault="0045780C" w:rsidP="0091149B">
      <w:pPr>
        <w:pStyle w:val="c-article-referencestext"/>
        <w:spacing w:before="0" w:beforeAutospacing="0" w:after="0" w:afterAutospacing="0"/>
        <w:rPr>
          <w:i/>
          <w:iCs/>
        </w:rPr>
      </w:pPr>
    </w:p>
    <w:p w14:paraId="69A6558A" w14:textId="511427E6" w:rsidR="0091149B" w:rsidRDefault="0091149B" w:rsidP="0091149B">
      <w:pPr>
        <w:pStyle w:val="c-article-referencestext"/>
        <w:spacing w:before="0" w:beforeAutospacing="0" w:after="0" w:afterAutospacing="0"/>
      </w:pPr>
      <w:r>
        <w:rPr>
          <w:i/>
          <w:iCs/>
        </w:rPr>
        <w:t>O</w:t>
      </w:r>
      <w:r w:rsidRPr="37D0D394">
        <w:rPr>
          <w:i/>
          <w:iCs/>
        </w:rPr>
        <w:t xml:space="preserve">bjectives: </w:t>
      </w:r>
      <w:r w:rsidRPr="37D0D394">
        <w:rPr>
          <w:color w:val="000000" w:themeColor="text1"/>
        </w:rPr>
        <w:t xml:space="preserve">The prevalence of </w:t>
      </w:r>
      <w:r>
        <w:t xml:space="preserve">multiple long-term condition (LTC) multimorbidity </w:t>
      </w:r>
      <w:r w:rsidRPr="37D0D394">
        <w:rPr>
          <w:color w:val="000000" w:themeColor="text1"/>
        </w:rPr>
        <w:t xml:space="preserve">is increasing with younger onset </w:t>
      </w:r>
      <w:r>
        <w:rPr>
          <w:color w:val="000000" w:themeColor="text1"/>
        </w:rPr>
        <w:t xml:space="preserve">amongst </w:t>
      </w:r>
      <w:r w:rsidRPr="37D0D394">
        <w:rPr>
          <w:color w:val="000000" w:themeColor="text1"/>
        </w:rPr>
        <w:t xml:space="preserve">socioeconomically deprived populations. </w:t>
      </w:r>
      <w:r>
        <w:t xml:space="preserve">Research on lifecourse trajectories towards multimorbidity is limited and early-onset multimorbidity poorly characterised. Understanding sentinel conditions (the first LTC occurring in the lifecourse), the sequence of LTC accrual and the </w:t>
      </w:r>
      <w:r>
        <w:rPr>
          <w:rFonts w:eastAsia="Yu Mincho"/>
          <w:color w:val="000000"/>
          <w:lang w:eastAsia="en-US"/>
        </w:rPr>
        <w:t>permanency of the reporting</w:t>
      </w:r>
      <w:r>
        <w:t xml:space="preserve"> of LTCs may help identify</w:t>
      </w:r>
      <w:r w:rsidRPr="37D0D394">
        <w:rPr>
          <w:rFonts w:eastAsia="Yu Mincho"/>
          <w:color w:val="000000" w:themeColor="text1"/>
          <w:lang w:eastAsia="en-US"/>
        </w:rPr>
        <w:t xml:space="preserve"> time points for prevention efforts</w:t>
      </w:r>
      <w:r>
        <w:rPr>
          <w:rFonts w:eastAsia="Yu Mincho"/>
          <w:color w:val="000000" w:themeColor="text1"/>
          <w:lang w:eastAsia="en-US"/>
        </w:rPr>
        <w:t xml:space="preserve">. </w:t>
      </w:r>
      <w:r>
        <w:t xml:space="preserve">We utilised a longitudinal birth cohort to estimate the prevalence of </w:t>
      </w:r>
      <w:r w:rsidR="00B44D6B">
        <w:t>a</w:t>
      </w:r>
      <w:r>
        <w:t xml:space="preserve"> common three-condition early-onset multimorbidity </w:t>
      </w:r>
      <w:r>
        <w:rPr>
          <w:color w:val="000000" w:themeColor="text1"/>
        </w:rPr>
        <w:t xml:space="preserve">(MLTC-M) </w:t>
      </w:r>
      <w:r>
        <w:t xml:space="preserve">group at </w:t>
      </w:r>
      <w:r w:rsidR="009831B2">
        <w:t>mid</w:t>
      </w:r>
      <w:r w:rsidR="00D44AB2">
        <w:t>life</w:t>
      </w:r>
      <w:r>
        <w:t xml:space="preserve">, describe the frequency of sentinel conditions, the sequence of LTC accrual and explore the </w:t>
      </w:r>
      <w:r>
        <w:rPr>
          <w:rFonts w:eastAsia="Yu Mincho"/>
          <w:color w:val="000000"/>
          <w:lang w:eastAsia="en-US"/>
        </w:rPr>
        <w:t xml:space="preserve">permanency of </w:t>
      </w:r>
      <w:r w:rsidR="00EC5DBD">
        <w:rPr>
          <w:rFonts w:eastAsia="Yu Mincho"/>
          <w:color w:val="000000"/>
          <w:lang w:eastAsia="en-US"/>
        </w:rPr>
        <w:t xml:space="preserve">one of these conditions: </w:t>
      </w:r>
      <w:r w:rsidR="00034BF7">
        <w:t>psychological distress</w:t>
      </w:r>
      <w:r>
        <w:t>.</w:t>
      </w:r>
    </w:p>
    <w:p w14:paraId="1FDD1AED" w14:textId="77777777" w:rsidR="0091149B" w:rsidRDefault="0091149B" w:rsidP="0091149B"/>
    <w:p w14:paraId="005EC779" w14:textId="189D38F5" w:rsidR="0091149B" w:rsidRDefault="0091149B" w:rsidP="0091149B">
      <w:r w:rsidRPr="00617AE8">
        <w:rPr>
          <w:i/>
        </w:rPr>
        <w:t>Setting</w:t>
      </w:r>
      <w:r>
        <w:t>:</w:t>
      </w:r>
      <w:r w:rsidRPr="001E0823">
        <w:t xml:space="preserve"> </w:t>
      </w:r>
      <w:r w:rsidRPr="000E6FA9">
        <w:t>1970 British Cohort Study</w:t>
      </w:r>
      <w:r w:rsidR="003C6659">
        <w:t xml:space="preserve"> (BCS70)</w:t>
      </w:r>
      <w:r>
        <w:t>.</w:t>
      </w:r>
    </w:p>
    <w:p w14:paraId="07E0BDCE" w14:textId="53DE3DB5" w:rsidR="002C2D82" w:rsidRDefault="002C2D82" w:rsidP="0091149B"/>
    <w:p w14:paraId="0FF23999" w14:textId="37CAB804" w:rsidR="002C2D82" w:rsidRPr="002C2D82" w:rsidRDefault="002C2D82" w:rsidP="0091149B">
      <w:pPr>
        <w:rPr>
          <w:i/>
          <w:iCs/>
        </w:rPr>
      </w:pPr>
      <w:r w:rsidRPr="002C2D82">
        <w:rPr>
          <w:i/>
          <w:iCs/>
        </w:rPr>
        <w:t xml:space="preserve">Participants: </w:t>
      </w:r>
      <w:r>
        <w:t>17,196 cohort members born in 1970.</w:t>
      </w:r>
      <w:r>
        <w:rPr>
          <w:color w:val="000000" w:themeColor="text1"/>
        </w:rPr>
        <w:t xml:space="preserve"> </w:t>
      </w:r>
    </w:p>
    <w:p w14:paraId="4F172A79" w14:textId="77777777" w:rsidR="0091149B" w:rsidRDefault="0091149B" w:rsidP="0091149B"/>
    <w:p w14:paraId="46C542AB" w14:textId="77777777" w:rsidR="0091149B" w:rsidRDefault="0091149B" w:rsidP="0091149B">
      <w:r>
        <w:rPr>
          <w:i/>
        </w:rPr>
        <w:t>O</w:t>
      </w:r>
      <w:r w:rsidRPr="00617AE8">
        <w:rPr>
          <w:i/>
        </w:rPr>
        <w:t>utcome measures</w:t>
      </w:r>
      <w:r>
        <w:rPr>
          <w:i/>
        </w:rPr>
        <w:t>:</w:t>
      </w:r>
      <w:r>
        <w:rPr>
          <w:shd w:val="clear" w:color="auto" w:fill="FFFFFF"/>
        </w:rPr>
        <w:t xml:space="preserve"> Prevalence of </w:t>
      </w:r>
      <w:r>
        <w:t xml:space="preserve">the most common three-condition </w:t>
      </w:r>
      <w:r w:rsidRPr="00C80A3F">
        <w:t xml:space="preserve">multimorbidity </w:t>
      </w:r>
      <w:r>
        <w:t>group at age 46</w:t>
      </w:r>
      <w:r>
        <w:rPr>
          <w:shd w:val="clear" w:color="auto" w:fill="FFFFFF"/>
        </w:rPr>
        <w:t xml:space="preserve">. The nature and timing of sentinel conditions, the </w:t>
      </w:r>
      <w:r>
        <w:t xml:space="preserve">sequencing patterns of subsequent LTC accrual and the </w:t>
      </w:r>
      <w:r>
        <w:rPr>
          <w:rFonts w:eastAsia="Yu Mincho"/>
          <w:color w:val="000000"/>
          <w:lang w:eastAsia="en-US"/>
        </w:rPr>
        <w:t>permanency of the reporting</w:t>
      </w:r>
      <w:r>
        <w:t xml:space="preserve"> of psychological distress.</w:t>
      </w:r>
    </w:p>
    <w:p w14:paraId="189B72C4" w14:textId="77777777" w:rsidR="0091149B" w:rsidRDefault="0091149B" w:rsidP="0091149B"/>
    <w:p w14:paraId="1E8E781C" w14:textId="1BFD4E3C" w:rsidR="0091149B" w:rsidRDefault="0091149B" w:rsidP="0091149B">
      <w:r w:rsidRPr="00284727">
        <w:rPr>
          <w:i/>
          <w:iCs/>
        </w:rPr>
        <w:t>Results</w:t>
      </w:r>
      <w:r w:rsidRPr="00526A4F">
        <w:rPr>
          <w:iCs/>
        </w:rPr>
        <w:t>:</w:t>
      </w:r>
      <w:r w:rsidRPr="00D11826">
        <w:rPr>
          <w:shd w:val="clear" w:color="auto" w:fill="FFFFFF"/>
        </w:rPr>
        <w:t xml:space="preserve"> </w:t>
      </w:r>
      <w:r>
        <w:t>At age 46 h</w:t>
      </w:r>
      <w:r w:rsidRPr="00C5236B">
        <w:rPr>
          <w:shd w:val="clear" w:color="auto" w:fill="FFFFFF"/>
        </w:rPr>
        <w:t xml:space="preserve">igh blood pressure, </w:t>
      </w:r>
      <w:r>
        <w:t>psychological distress and</w:t>
      </w:r>
      <w:r w:rsidRPr="00C5236B">
        <w:rPr>
          <w:shd w:val="clear" w:color="auto" w:fill="FFFFFF"/>
        </w:rPr>
        <w:t xml:space="preserve"> </w:t>
      </w:r>
      <w:r>
        <w:rPr>
          <w:shd w:val="clear" w:color="auto" w:fill="FFFFFF"/>
        </w:rPr>
        <w:t xml:space="preserve">back </w:t>
      </w:r>
      <w:r w:rsidRPr="00C5236B">
        <w:rPr>
          <w:shd w:val="clear" w:color="auto" w:fill="FFFFFF"/>
        </w:rPr>
        <w:t>pain</w:t>
      </w:r>
      <w:r>
        <w:rPr>
          <w:shd w:val="clear" w:color="auto" w:fill="FFFFFF"/>
        </w:rPr>
        <w:t xml:space="preserve"> were the most common three-condition </w:t>
      </w:r>
      <w:r>
        <w:rPr>
          <w:color w:val="000000" w:themeColor="text1"/>
        </w:rPr>
        <w:t>MLTC-M group</w:t>
      </w:r>
      <w:r>
        <w:rPr>
          <w:iCs/>
        </w:rPr>
        <w:t>, (4.3%</w:t>
      </w:r>
      <w:r w:rsidR="00510667">
        <w:rPr>
          <w:iCs/>
        </w:rPr>
        <w:t>,n=370</w:t>
      </w:r>
      <w:r>
        <w:rPr>
          <w:iCs/>
        </w:rPr>
        <w:t>)</w:t>
      </w:r>
      <w:r>
        <w:t>. A subgroup of 164 (44.3%) people provided complete information on LTC</w:t>
      </w:r>
      <w:r w:rsidR="00BB3EC0">
        <w:t xml:space="preserve"> across all timepoints</w:t>
      </w:r>
      <w:r>
        <w:t>. Psychological distress measured by the Malaise Index</w:t>
      </w:r>
      <w:r w:rsidDel="00B47AC8">
        <w:rPr>
          <w:shd w:val="clear" w:color="auto" w:fill="FFFFFF"/>
        </w:rPr>
        <w:t xml:space="preserve"> </w:t>
      </w:r>
      <w:r>
        <w:t xml:space="preserve">was the most common sentinel condition, occurring in </w:t>
      </w:r>
      <w:r w:rsidR="00DF7B16">
        <w:t>25.0%</w:t>
      </w:r>
      <w:r>
        <w:t xml:space="preserve"> (</w:t>
      </w:r>
      <w:r w:rsidR="00DF7B16">
        <w:t>n=41</w:t>
      </w:r>
      <w:r>
        <w:t>), followed by back pain (22%</w:t>
      </w:r>
      <w:r w:rsidR="00510667">
        <w:t>,n=36</w:t>
      </w:r>
      <w:r>
        <w:t xml:space="preserve">). At age 26, </w:t>
      </w:r>
      <w:r w:rsidR="00584F89">
        <w:t>45.1% (</w:t>
      </w:r>
      <w:r>
        <w:t>75/164</w:t>
      </w:r>
      <w:r w:rsidR="00584F89">
        <w:t>)</w:t>
      </w:r>
      <w:r>
        <w:t xml:space="preserve"> reported their sentinel condition. T</w:t>
      </w:r>
      <w:r w:rsidRPr="00C80A3F">
        <w:t xml:space="preserve">he </w:t>
      </w:r>
      <w:r>
        <w:t>most common</w:t>
      </w:r>
      <w:r w:rsidRPr="00C80A3F">
        <w:t xml:space="preserve"> sequence</w:t>
      </w:r>
      <w:r>
        <w:t xml:space="preserve"> of LTC accrual </w:t>
      </w:r>
      <w:r w:rsidRPr="00C80A3F">
        <w:t xml:space="preserve">was </w:t>
      </w:r>
      <w:r>
        <w:t>the co-reporting of psychological distress</w:t>
      </w:r>
      <w:r w:rsidRPr="00C80A3F" w:rsidDel="00B47AC8">
        <w:t xml:space="preserve"> </w:t>
      </w:r>
      <w:r w:rsidRPr="00C80A3F">
        <w:t xml:space="preserve">and </w:t>
      </w:r>
      <w:r>
        <w:t>back pain</w:t>
      </w:r>
      <w:r w:rsidRPr="00C80A3F">
        <w:t xml:space="preserve"> followed by high blood pressure. </w:t>
      </w:r>
      <w:r>
        <w:t>Almost a third (30.5%</w:t>
      </w:r>
      <w:r w:rsidR="00510667">
        <w:t>,n=50</w:t>
      </w:r>
      <w:r>
        <w:t xml:space="preserve">) reported a variation of psychological distress across the adult lifecourse. </w:t>
      </w:r>
    </w:p>
    <w:p w14:paraId="5AA298C5" w14:textId="77777777" w:rsidR="0091149B" w:rsidRDefault="0091149B" w:rsidP="0091149B"/>
    <w:p w14:paraId="2ACBAC2A" w14:textId="5C300AD1" w:rsidR="0091149B" w:rsidRDefault="0091149B" w:rsidP="0091149B">
      <w:pPr>
        <w:rPr>
          <w:color w:val="000000" w:themeColor="text1"/>
        </w:rPr>
      </w:pPr>
      <w:r w:rsidRPr="37D0D394">
        <w:rPr>
          <w:i/>
          <w:iCs/>
        </w:rPr>
        <w:t xml:space="preserve">Conclusion: </w:t>
      </w:r>
      <w:r>
        <w:t>In these exploratory analyses</w:t>
      </w:r>
      <w:r w:rsidRPr="37D0D394">
        <w:rPr>
          <w:color w:val="000000" w:themeColor="text1"/>
        </w:rPr>
        <w:t>,</w:t>
      </w:r>
      <w:r w:rsidR="00A41666">
        <w:rPr>
          <w:color w:val="000000" w:themeColor="text1"/>
        </w:rPr>
        <w:t xml:space="preserve"> </w:t>
      </w:r>
      <w:r>
        <w:t>psychological distress</w:t>
      </w:r>
      <w:r w:rsidRPr="37D0D394" w:rsidDel="00B47AC8">
        <w:rPr>
          <w:color w:val="000000" w:themeColor="text1"/>
        </w:rPr>
        <w:t xml:space="preserve"> </w:t>
      </w:r>
      <w:r>
        <w:rPr>
          <w:color w:val="000000" w:themeColor="text1"/>
        </w:rPr>
        <w:t xml:space="preserve">and back pain </w:t>
      </w:r>
      <w:r w:rsidRPr="37D0D394">
        <w:rPr>
          <w:color w:val="000000" w:themeColor="text1"/>
        </w:rPr>
        <w:t>w</w:t>
      </w:r>
      <w:r>
        <w:rPr>
          <w:color w:val="000000" w:themeColor="text1"/>
        </w:rPr>
        <w:t>ere</w:t>
      </w:r>
      <w:r w:rsidRPr="37D0D394">
        <w:rPr>
          <w:color w:val="000000" w:themeColor="text1"/>
        </w:rPr>
        <w:t xml:space="preserve"> the </w:t>
      </w:r>
      <w:r>
        <w:rPr>
          <w:color w:val="000000" w:themeColor="text1"/>
        </w:rPr>
        <w:t>most common</w:t>
      </w:r>
      <w:r w:rsidRPr="37D0D394">
        <w:rPr>
          <w:color w:val="000000" w:themeColor="text1"/>
        </w:rPr>
        <w:t xml:space="preserve"> sentinel condition</w:t>
      </w:r>
      <w:r>
        <w:rPr>
          <w:color w:val="000000" w:themeColor="text1"/>
        </w:rPr>
        <w:t>s</w:t>
      </w:r>
      <w:r w:rsidR="00D208E2">
        <w:rPr>
          <w:color w:val="000000" w:themeColor="text1"/>
        </w:rPr>
        <w:t>,</w:t>
      </w:r>
      <w:r w:rsidR="00B77E5A">
        <w:rPr>
          <w:color w:val="000000" w:themeColor="text1"/>
        </w:rPr>
        <w:t xml:space="preserve"> and along with high blood pressur</w:t>
      </w:r>
      <w:r w:rsidR="00D208E2">
        <w:rPr>
          <w:color w:val="000000" w:themeColor="text1"/>
        </w:rPr>
        <w:t>e</w:t>
      </w:r>
      <w:r w:rsidR="00B77E5A">
        <w:rPr>
          <w:color w:val="000000" w:themeColor="text1"/>
        </w:rPr>
        <w:t xml:space="preserve"> these three conditions represented the most common three-condition MLTC-M group. </w:t>
      </w:r>
      <w:r w:rsidR="00306275">
        <w:rPr>
          <w:color w:val="000000" w:themeColor="text1"/>
        </w:rPr>
        <w:t>These analys</w:t>
      </w:r>
      <w:r w:rsidR="00B87BBD">
        <w:rPr>
          <w:color w:val="000000" w:themeColor="text1"/>
        </w:rPr>
        <w:t>e</w:t>
      </w:r>
      <w:r w:rsidR="00306275">
        <w:rPr>
          <w:color w:val="000000" w:themeColor="text1"/>
        </w:rPr>
        <w:t xml:space="preserve"> suggest that b</w:t>
      </w:r>
      <w:r w:rsidRPr="37D0D394">
        <w:rPr>
          <w:color w:val="000000" w:themeColor="text1"/>
        </w:rPr>
        <w:t>irth cohorts</w:t>
      </w:r>
      <w:r w:rsidR="00B2125A">
        <w:rPr>
          <w:color w:val="000000" w:themeColor="text1"/>
        </w:rPr>
        <w:t>,</w:t>
      </w:r>
      <w:r w:rsidR="00306275">
        <w:rPr>
          <w:color w:val="000000" w:themeColor="text1"/>
        </w:rPr>
        <w:t xml:space="preserve"> like the </w:t>
      </w:r>
      <w:r w:rsidR="00204E08">
        <w:rPr>
          <w:color w:val="000000" w:themeColor="text1"/>
        </w:rPr>
        <w:t>BCS70</w:t>
      </w:r>
      <w:r w:rsidR="00B2125A">
        <w:rPr>
          <w:color w:val="000000" w:themeColor="text1"/>
        </w:rPr>
        <w:t>,</w:t>
      </w:r>
      <w:r w:rsidRPr="37D0D394">
        <w:rPr>
          <w:color w:val="000000" w:themeColor="text1"/>
        </w:rPr>
        <w:t xml:space="preserve"> may usefully inform lif</w:t>
      </w:r>
      <w:r w:rsidR="003B7EF0">
        <w:rPr>
          <w:color w:val="000000" w:themeColor="text1"/>
        </w:rPr>
        <w:t>e</w:t>
      </w:r>
      <w:r w:rsidRPr="37D0D394">
        <w:rPr>
          <w:color w:val="000000" w:themeColor="text1"/>
        </w:rPr>
        <w:t>course- multimorbidity research.</w:t>
      </w:r>
    </w:p>
    <w:p w14:paraId="46058E23" w14:textId="5E2AAACE" w:rsidR="002C2D82" w:rsidRDefault="002C2D82" w:rsidP="0091149B">
      <w:pPr>
        <w:rPr>
          <w:color w:val="000000" w:themeColor="text1"/>
        </w:rPr>
      </w:pPr>
    </w:p>
    <w:p w14:paraId="25E795BA" w14:textId="7D3BF823" w:rsidR="002C2D82" w:rsidRDefault="002C2D82" w:rsidP="0091149B">
      <w:pPr>
        <w:rPr>
          <w:color w:val="000000" w:themeColor="text1"/>
        </w:rPr>
      </w:pPr>
      <w:r>
        <w:rPr>
          <w:color w:val="000000" w:themeColor="text1"/>
        </w:rPr>
        <w:t xml:space="preserve">Keywords: multimorbidity, long-term conditions, lifecourse, early-onset, birth cohort  </w:t>
      </w:r>
    </w:p>
    <w:p w14:paraId="3A78843C" w14:textId="6B925945" w:rsidR="001A004D" w:rsidRDefault="001A004D" w:rsidP="00E1230D">
      <w:pPr>
        <w:rPr>
          <w:color w:val="000000" w:themeColor="text1"/>
        </w:rPr>
      </w:pPr>
    </w:p>
    <w:p w14:paraId="30517BFF" w14:textId="23768879" w:rsidR="0091149B" w:rsidRDefault="00547518" w:rsidP="00E1230D">
      <w:pPr>
        <w:rPr>
          <w:color w:val="000000" w:themeColor="text1"/>
        </w:rPr>
      </w:pPr>
      <w:r w:rsidRPr="0091149B">
        <w:rPr>
          <w:color w:val="000000" w:themeColor="text1"/>
        </w:rPr>
        <w:t>Strengths and Limitations</w:t>
      </w:r>
      <w:r w:rsidR="00741204">
        <w:rPr>
          <w:color w:val="000000" w:themeColor="text1"/>
        </w:rPr>
        <w:t xml:space="preserve"> of this study</w:t>
      </w:r>
      <w:r w:rsidR="003667C3">
        <w:rPr>
          <w:color w:val="000000" w:themeColor="text1"/>
        </w:rPr>
        <w:t>:</w:t>
      </w:r>
    </w:p>
    <w:p w14:paraId="5A3A56D1" w14:textId="77777777" w:rsidR="002C2D82" w:rsidRDefault="002C2D82" w:rsidP="00E1230D">
      <w:pPr>
        <w:rPr>
          <w:color w:val="000000" w:themeColor="text1"/>
        </w:rPr>
      </w:pPr>
    </w:p>
    <w:p w14:paraId="76C10BDA" w14:textId="77777777" w:rsidR="0091149B" w:rsidRPr="0091149B" w:rsidRDefault="0091149B" w:rsidP="0091149B">
      <w:pPr>
        <w:pStyle w:val="ListParagraph"/>
        <w:numPr>
          <w:ilvl w:val="0"/>
          <w:numId w:val="15"/>
        </w:numPr>
        <w:rPr>
          <w:rFonts w:ascii="Times New Roman" w:hAnsi="Times New Roman" w:cs="Times New Roman"/>
          <w:color w:val="000000" w:themeColor="text1"/>
        </w:rPr>
      </w:pPr>
      <w:r w:rsidRPr="0091149B">
        <w:rPr>
          <w:rFonts w:ascii="Times New Roman" w:hAnsi="Times New Roman" w:cs="Times New Roman"/>
          <w:color w:val="000000"/>
        </w:rPr>
        <w:t>The use of a prospective longitudinal approach provides the opportunity to analyse the time-sequenced nature of the data.</w:t>
      </w:r>
    </w:p>
    <w:p w14:paraId="66F095DD" w14:textId="77777777" w:rsidR="0091149B" w:rsidRPr="0091149B" w:rsidRDefault="0091149B" w:rsidP="0091149B">
      <w:pPr>
        <w:pStyle w:val="ListParagraph"/>
        <w:numPr>
          <w:ilvl w:val="0"/>
          <w:numId w:val="15"/>
        </w:numPr>
        <w:rPr>
          <w:rFonts w:ascii="Times New Roman" w:hAnsi="Times New Roman" w:cs="Times New Roman"/>
          <w:color w:val="000000" w:themeColor="text1"/>
        </w:rPr>
      </w:pPr>
      <w:r w:rsidRPr="0091149B">
        <w:rPr>
          <w:rFonts w:ascii="Times New Roman" w:hAnsi="Times New Roman" w:cs="Times New Roman"/>
          <w:color w:val="000000"/>
        </w:rPr>
        <w:t xml:space="preserve">Knowing the temporal sequencing of long-term conditions enabled us to </w:t>
      </w:r>
      <w:r w:rsidRPr="0091149B">
        <w:rPr>
          <w:rFonts w:ascii="Times New Roman" w:hAnsi="Times New Roman" w:cs="Times New Roman"/>
        </w:rPr>
        <w:t xml:space="preserve">describe the frequency of sentinel conditions, the sequence of </w:t>
      </w:r>
      <w:r w:rsidRPr="0091149B">
        <w:rPr>
          <w:rFonts w:ascii="Times New Roman" w:hAnsi="Times New Roman" w:cs="Times New Roman"/>
          <w:color w:val="000000"/>
        </w:rPr>
        <w:t xml:space="preserve">long-term condition </w:t>
      </w:r>
      <w:r w:rsidRPr="0091149B">
        <w:rPr>
          <w:rFonts w:ascii="Times New Roman" w:hAnsi="Times New Roman" w:cs="Times New Roman"/>
        </w:rPr>
        <w:t xml:space="preserve">accrual and explore the </w:t>
      </w:r>
      <w:r w:rsidRPr="0091149B">
        <w:rPr>
          <w:rFonts w:ascii="Times New Roman" w:eastAsia="Yu Mincho" w:hAnsi="Times New Roman" w:cs="Times New Roman"/>
          <w:color w:val="000000"/>
        </w:rPr>
        <w:t>permanency of the reporting</w:t>
      </w:r>
      <w:r w:rsidRPr="0091149B">
        <w:rPr>
          <w:rFonts w:ascii="Times New Roman" w:hAnsi="Times New Roman" w:cs="Times New Roman"/>
        </w:rPr>
        <w:t xml:space="preserve"> of a </w:t>
      </w:r>
      <w:r w:rsidRPr="0091149B">
        <w:rPr>
          <w:rFonts w:ascii="Times New Roman" w:hAnsi="Times New Roman" w:cs="Times New Roman"/>
          <w:color w:val="000000"/>
        </w:rPr>
        <w:t>long-term condition</w:t>
      </w:r>
      <w:r w:rsidRPr="0091149B">
        <w:rPr>
          <w:rFonts w:ascii="Times New Roman" w:hAnsi="Times New Roman" w:cs="Times New Roman"/>
        </w:rPr>
        <w:t>.</w:t>
      </w:r>
    </w:p>
    <w:p w14:paraId="36B2403D" w14:textId="1E95FC7E" w:rsidR="0091149B" w:rsidRPr="0091149B" w:rsidRDefault="0091149B" w:rsidP="0091149B">
      <w:pPr>
        <w:pStyle w:val="ListParagraph"/>
        <w:numPr>
          <w:ilvl w:val="0"/>
          <w:numId w:val="15"/>
        </w:numPr>
        <w:rPr>
          <w:rFonts w:ascii="Times New Roman" w:hAnsi="Times New Roman" w:cs="Times New Roman"/>
          <w:color w:val="000000" w:themeColor="text1"/>
        </w:rPr>
      </w:pPr>
      <w:r w:rsidRPr="0091149B">
        <w:rPr>
          <w:rFonts w:ascii="Times New Roman" w:hAnsi="Times New Roman" w:cs="Times New Roman"/>
          <w:color w:val="000000"/>
        </w:rPr>
        <w:t>Using birth cohort data</w:t>
      </w:r>
      <w:r w:rsidR="00B776F6">
        <w:rPr>
          <w:rFonts w:ascii="Times New Roman" w:hAnsi="Times New Roman" w:cs="Times New Roman"/>
          <w:color w:val="000000"/>
        </w:rPr>
        <w:t>, with repeated validated measures,</w:t>
      </w:r>
      <w:r w:rsidRPr="0091149B">
        <w:rPr>
          <w:rFonts w:ascii="Times New Roman" w:hAnsi="Times New Roman" w:cs="Times New Roman"/>
          <w:color w:val="000000"/>
        </w:rPr>
        <w:t xml:space="preserve"> allowed us</w:t>
      </w:r>
      <w:r w:rsidRPr="0091149B">
        <w:rPr>
          <w:rFonts w:ascii="Times New Roman" w:hAnsi="Times New Roman" w:cs="Times New Roman"/>
        </w:rPr>
        <w:t xml:space="preserve"> to explore and characterise sequences that incorporated </w:t>
      </w:r>
      <w:r w:rsidRPr="0091149B">
        <w:rPr>
          <w:rFonts w:ascii="Times New Roman" w:hAnsi="Times New Roman" w:cs="Times New Roman"/>
          <w:shd w:val="clear" w:color="auto" w:fill="FFFFFF"/>
        </w:rPr>
        <w:t>the concept of ‘</w:t>
      </w:r>
      <w:r w:rsidRPr="0091149B">
        <w:rPr>
          <w:rFonts w:ascii="Times New Roman" w:hAnsi="Times New Roman" w:cs="Times New Roman"/>
        </w:rPr>
        <w:t>burdensome’ multimorbidity by combining both mental and physical conditions.</w:t>
      </w:r>
    </w:p>
    <w:p w14:paraId="283BD514" w14:textId="74F6D580" w:rsidR="00AB319E" w:rsidRPr="0091149B" w:rsidRDefault="0091149B" w:rsidP="0091149B">
      <w:pPr>
        <w:pStyle w:val="ListParagraph"/>
        <w:numPr>
          <w:ilvl w:val="0"/>
          <w:numId w:val="15"/>
        </w:numPr>
        <w:rPr>
          <w:rFonts w:ascii="Times New Roman" w:hAnsi="Times New Roman" w:cs="Times New Roman"/>
          <w:color w:val="000000" w:themeColor="text1"/>
        </w:rPr>
      </w:pPr>
      <w:r w:rsidRPr="0091149B">
        <w:rPr>
          <w:rFonts w:ascii="Times New Roman" w:hAnsi="Times New Roman" w:cs="Times New Roman"/>
          <w:color w:val="000000" w:themeColor="text1"/>
        </w:rPr>
        <w:t xml:space="preserve">The study was limited by sample size, wave-non response and no agreed definition of long-term condition. </w:t>
      </w:r>
    </w:p>
    <w:p w14:paraId="099D7198" w14:textId="3C697F38" w:rsidR="005D431A" w:rsidRPr="00AB319E" w:rsidRDefault="0091149B" w:rsidP="00AB319E">
      <w:pPr>
        <w:pStyle w:val="ListParagraph"/>
        <w:numPr>
          <w:ilvl w:val="0"/>
          <w:numId w:val="15"/>
        </w:numPr>
        <w:rPr>
          <w:rFonts w:ascii="Times New Roman" w:hAnsi="Times New Roman" w:cs="Times New Roman"/>
        </w:rPr>
      </w:pPr>
      <w:r w:rsidRPr="00AB319E">
        <w:rPr>
          <w:rFonts w:ascii="Times New Roman" w:hAnsi="Times New Roman" w:cs="Times New Roman"/>
          <w:color w:val="000000" w:themeColor="text1"/>
        </w:rPr>
        <w:t>The self-reporting of long-term conditions and the lack of ethnic diversity resulted in the probabl</w:t>
      </w:r>
      <w:r w:rsidR="00AB319E">
        <w:rPr>
          <w:rFonts w:ascii="Times New Roman" w:hAnsi="Times New Roman" w:cs="Times New Roman"/>
          <w:color w:val="000000" w:themeColor="text1"/>
        </w:rPr>
        <w:t>e</w:t>
      </w:r>
      <w:r w:rsidRPr="00AB319E">
        <w:rPr>
          <w:rFonts w:ascii="Times New Roman" w:hAnsi="Times New Roman" w:cs="Times New Roman"/>
          <w:color w:val="000000" w:themeColor="text1"/>
        </w:rPr>
        <w:t xml:space="preserve"> underreporting of multimorbidity.</w:t>
      </w:r>
    </w:p>
    <w:p w14:paraId="0D4A167F" w14:textId="77777777" w:rsidR="003465F7" w:rsidRDefault="003465F7" w:rsidP="00CA2CAB"/>
    <w:p w14:paraId="31A7FBC2" w14:textId="4A32B9EF" w:rsidR="00EF2D5A" w:rsidRPr="006F0C4D" w:rsidRDefault="00547518" w:rsidP="00CA2CAB">
      <w:r>
        <w:t>I</w:t>
      </w:r>
      <w:r w:rsidR="006F0C4D" w:rsidRPr="006F0C4D">
        <w:t>NTRODUCTION</w:t>
      </w:r>
      <w:r w:rsidR="00065724">
        <w:t xml:space="preserve"> </w:t>
      </w:r>
    </w:p>
    <w:p w14:paraId="655142C5" w14:textId="77777777" w:rsidR="00CA2CAB" w:rsidRPr="00CA2CAB" w:rsidRDefault="00CA2CAB" w:rsidP="00CA2CAB">
      <w:pPr>
        <w:rPr>
          <w:u w:val="single"/>
        </w:rPr>
      </w:pPr>
    </w:p>
    <w:p w14:paraId="0BA74BDF" w14:textId="51AA2568" w:rsidR="00B0610C" w:rsidRDefault="00033F9D" w:rsidP="00A36A6F">
      <w:pPr>
        <w:pStyle w:val="c-article-referencestext"/>
        <w:spacing w:before="0" w:beforeAutospacing="0" w:after="120" w:afterAutospacing="0"/>
      </w:pPr>
      <w:r w:rsidRPr="00C80A3F">
        <w:rPr>
          <w:color w:val="000000" w:themeColor="text1"/>
        </w:rPr>
        <w:t>In the U</w:t>
      </w:r>
      <w:r w:rsidR="007B2941" w:rsidRPr="00C80A3F">
        <w:rPr>
          <w:color w:val="000000" w:themeColor="text1"/>
        </w:rPr>
        <w:t>K</w:t>
      </w:r>
      <w:r w:rsidRPr="00C80A3F">
        <w:rPr>
          <w:color w:val="000000" w:themeColor="text1"/>
        </w:rPr>
        <w:t>, t</w:t>
      </w:r>
      <w:r w:rsidR="00F555E1" w:rsidRPr="00C80A3F">
        <w:rPr>
          <w:color w:val="000000" w:themeColor="text1"/>
        </w:rPr>
        <w:t xml:space="preserve">he </w:t>
      </w:r>
      <w:r w:rsidR="00A36A6F" w:rsidRPr="00C80A3F">
        <w:rPr>
          <w:color w:val="000000" w:themeColor="text1"/>
        </w:rPr>
        <w:t xml:space="preserve">prevalence of </w:t>
      </w:r>
      <w:r w:rsidR="00B0610C" w:rsidRPr="00C80A3F">
        <w:t xml:space="preserve">multiple long-term condition multimorbidity (MLTC-M) </w:t>
      </w:r>
      <w:r w:rsidR="00A36A6F" w:rsidRPr="00C80A3F">
        <w:rPr>
          <w:color w:val="000000" w:themeColor="text1"/>
        </w:rPr>
        <w:t>has increased over the last two decades and is projected to continue to rise</w:t>
      </w:r>
      <w:r w:rsidR="006F0C4D">
        <w:rPr>
          <w:color w:val="000000" w:themeColor="text1"/>
        </w:rPr>
        <w:t>,[</w:t>
      </w:r>
      <w:r w:rsidR="00BD530E">
        <w:t>1</w:t>
      </w:r>
      <w:r w:rsidR="006F0C4D">
        <w:t>]</w:t>
      </w:r>
      <w:r w:rsidR="00A36A6F" w:rsidRPr="00C80A3F">
        <w:rPr>
          <w:color w:val="000000" w:themeColor="text1"/>
        </w:rPr>
        <w:t>. This</w:t>
      </w:r>
      <w:r w:rsidR="00F555E1" w:rsidRPr="00C80A3F">
        <w:rPr>
          <w:color w:val="000000" w:themeColor="text1"/>
        </w:rPr>
        <w:t xml:space="preserve"> presents a </w:t>
      </w:r>
      <w:r w:rsidR="00B0610C">
        <w:rPr>
          <w:color w:val="000000" w:themeColor="text1"/>
        </w:rPr>
        <w:t xml:space="preserve">significant </w:t>
      </w:r>
      <w:r w:rsidR="00F555E1" w:rsidRPr="00C80A3F">
        <w:rPr>
          <w:color w:val="000000" w:themeColor="text1"/>
        </w:rPr>
        <w:t xml:space="preserve">challenge to </w:t>
      </w:r>
      <w:r w:rsidR="00B0610C">
        <w:rPr>
          <w:color w:val="000000" w:themeColor="text1"/>
        </w:rPr>
        <w:t xml:space="preserve">health </w:t>
      </w:r>
      <w:r w:rsidR="00E21D84">
        <w:rPr>
          <w:color w:val="000000" w:themeColor="text1"/>
        </w:rPr>
        <w:t xml:space="preserve">and prevention </w:t>
      </w:r>
      <w:r w:rsidR="00B0610C">
        <w:rPr>
          <w:color w:val="000000" w:themeColor="text1"/>
        </w:rPr>
        <w:t>services</w:t>
      </w:r>
      <w:r w:rsidR="006F0C4D">
        <w:t>,[</w:t>
      </w:r>
      <w:r w:rsidR="00BD530E">
        <w:t>2</w:t>
      </w:r>
      <w:r w:rsidR="006F0C4D">
        <w:t>]</w:t>
      </w:r>
      <w:r w:rsidR="00F555E1" w:rsidRPr="00C80A3F">
        <w:t>.</w:t>
      </w:r>
      <w:r w:rsidR="00A36A6F" w:rsidRPr="00C80A3F">
        <w:t xml:space="preserve"> </w:t>
      </w:r>
    </w:p>
    <w:p w14:paraId="0AD0B9A5" w14:textId="78ECD1AC" w:rsidR="00F77976" w:rsidRDefault="00B0610C" w:rsidP="00A36A6F">
      <w:pPr>
        <w:pStyle w:val="c-article-referencestext"/>
        <w:spacing w:before="0" w:beforeAutospacing="0" w:after="120" w:afterAutospacing="0"/>
      </w:pPr>
      <w:r w:rsidRPr="00C80A3F">
        <w:rPr>
          <w:bCs/>
          <w:color w:val="000000" w:themeColor="text1"/>
          <w:lang w:eastAsia="en-US"/>
        </w:rPr>
        <w:t xml:space="preserve">MLTC-M occurs earlier in the </w:t>
      </w:r>
      <w:r w:rsidR="00001D8A">
        <w:rPr>
          <w:bCs/>
          <w:color w:val="000000" w:themeColor="text1"/>
          <w:lang w:eastAsia="en-US"/>
        </w:rPr>
        <w:t>lifecourse</w:t>
      </w:r>
      <w:r w:rsidRPr="00C80A3F">
        <w:rPr>
          <w:bCs/>
          <w:color w:val="000000" w:themeColor="text1"/>
          <w:lang w:eastAsia="en-US"/>
        </w:rPr>
        <w:t xml:space="preserve"> among people from more socioeconomically disadvantaged background</w:t>
      </w:r>
      <w:r>
        <w:rPr>
          <w:bCs/>
          <w:color w:val="000000" w:themeColor="text1"/>
          <w:lang w:eastAsia="en-US"/>
        </w:rPr>
        <w:t>s</w:t>
      </w:r>
      <w:r w:rsidR="006F0C4D">
        <w:rPr>
          <w:bCs/>
          <w:color w:val="000000" w:themeColor="text1"/>
          <w:lang w:eastAsia="en-US"/>
        </w:rPr>
        <w:t>,[</w:t>
      </w:r>
      <w:r w:rsidR="003F4622">
        <w:rPr>
          <w:bCs/>
          <w:color w:val="000000" w:themeColor="text1"/>
          <w:lang w:eastAsia="en-US"/>
        </w:rPr>
        <w:t>3</w:t>
      </w:r>
      <w:r w:rsidR="006F0C4D">
        <w:rPr>
          <w:bCs/>
          <w:color w:val="000000" w:themeColor="text1"/>
          <w:lang w:eastAsia="en-US"/>
        </w:rPr>
        <w:t>]</w:t>
      </w:r>
      <w:r>
        <w:rPr>
          <w:bCs/>
          <w:color w:val="000000" w:themeColor="text1"/>
          <w:lang w:eastAsia="en-US"/>
        </w:rPr>
        <w:t>.</w:t>
      </w:r>
      <w:r w:rsidRPr="00C80A3F">
        <w:rPr>
          <w:bCs/>
          <w:color w:val="000000" w:themeColor="text1"/>
          <w:lang w:eastAsia="en-US"/>
        </w:rPr>
        <w:t xml:space="preserve"> While often considered a condition of older age, the majority of people living with multimorbidity are under</w:t>
      </w:r>
      <w:r w:rsidRPr="00C80A3F">
        <w:rPr>
          <w:rFonts w:eastAsia="Yu Mincho"/>
          <w:color w:val="000000"/>
          <w:lang w:eastAsia="en-US"/>
        </w:rPr>
        <w:t xml:space="preserve"> 65</w:t>
      </w:r>
      <w:r w:rsidR="006F0C4D">
        <w:rPr>
          <w:rFonts w:eastAsia="Yu Mincho"/>
          <w:color w:val="000000"/>
          <w:lang w:eastAsia="en-US"/>
        </w:rPr>
        <w:t>,[</w:t>
      </w:r>
      <w:r w:rsidR="003F4622">
        <w:rPr>
          <w:bCs/>
          <w:color w:val="000000" w:themeColor="text1"/>
          <w:lang w:eastAsia="en-US"/>
        </w:rPr>
        <w:t>3</w:t>
      </w:r>
      <w:r w:rsidR="006F0C4D">
        <w:rPr>
          <w:bCs/>
          <w:color w:val="000000" w:themeColor="text1"/>
          <w:lang w:eastAsia="en-US"/>
        </w:rPr>
        <w:t>]</w:t>
      </w:r>
      <w:r>
        <w:rPr>
          <w:bCs/>
          <w:color w:val="000000" w:themeColor="text1"/>
          <w:lang w:eastAsia="en-US"/>
        </w:rPr>
        <w:t>.</w:t>
      </w:r>
      <w:r w:rsidRPr="00C80A3F">
        <w:rPr>
          <w:rFonts w:eastAsia="Yu Mincho"/>
          <w:color w:val="000000"/>
          <w:lang w:eastAsia="en-US"/>
        </w:rPr>
        <w:t xml:space="preserve"> Earlier and greater accrual of</w:t>
      </w:r>
      <w:r w:rsidR="000C4334">
        <w:rPr>
          <w:rFonts w:eastAsia="Yu Mincho"/>
          <w:color w:val="000000"/>
          <w:lang w:eastAsia="en-US"/>
        </w:rPr>
        <w:t xml:space="preserve"> long</w:t>
      </w:r>
      <w:r w:rsidR="00FB13E2">
        <w:rPr>
          <w:rFonts w:eastAsia="Yu Mincho"/>
          <w:color w:val="000000"/>
          <w:lang w:eastAsia="en-US"/>
        </w:rPr>
        <w:t>-</w:t>
      </w:r>
      <w:r w:rsidR="000C4334">
        <w:rPr>
          <w:rFonts w:eastAsia="Yu Mincho"/>
          <w:color w:val="000000"/>
          <w:lang w:eastAsia="en-US"/>
        </w:rPr>
        <w:t xml:space="preserve">term </w:t>
      </w:r>
      <w:r w:rsidRPr="00C80A3F">
        <w:rPr>
          <w:rFonts w:eastAsia="Yu Mincho"/>
          <w:color w:val="000000"/>
          <w:lang w:eastAsia="en-US"/>
        </w:rPr>
        <w:t>conditions</w:t>
      </w:r>
      <w:r w:rsidR="000C4334">
        <w:rPr>
          <w:rFonts w:eastAsia="Yu Mincho"/>
          <w:color w:val="000000"/>
          <w:lang w:eastAsia="en-US"/>
        </w:rPr>
        <w:t xml:space="preserve"> (LTCs)</w:t>
      </w:r>
      <w:r w:rsidRPr="00C80A3F">
        <w:rPr>
          <w:rFonts w:eastAsia="Yu Mincho"/>
          <w:color w:val="000000"/>
          <w:lang w:eastAsia="en-US"/>
        </w:rPr>
        <w:t xml:space="preserve"> may be influenced by the timing and nature of the exposure to key risk factors or other LTCs and the influence of wider determinants at different life stages.</w:t>
      </w:r>
    </w:p>
    <w:p w14:paraId="0D59F1EA" w14:textId="74070001" w:rsidR="00054E93" w:rsidRDefault="00B0610C" w:rsidP="001F420B">
      <w:pPr>
        <w:pStyle w:val="c-article-referencestext"/>
        <w:spacing w:before="0" w:beforeAutospacing="0" w:after="120" w:afterAutospacing="0"/>
        <w:rPr>
          <w:color w:val="000000"/>
          <w:shd w:val="clear" w:color="auto" w:fill="FFFFFF"/>
        </w:rPr>
      </w:pPr>
      <w:r>
        <w:t>R</w:t>
      </w:r>
      <w:r w:rsidR="00A36A6F" w:rsidRPr="00C80A3F">
        <w:t>esearch on</w:t>
      </w:r>
      <w:r w:rsidR="002D1627">
        <w:t xml:space="preserve"> </w:t>
      </w:r>
      <w:r>
        <w:t>MLTC</w:t>
      </w:r>
      <w:r w:rsidR="000C6336">
        <w:t>-</w:t>
      </w:r>
      <w:r>
        <w:t>M</w:t>
      </w:r>
      <w:r w:rsidR="00A36A6F" w:rsidRPr="00C80A3F">
        <w:t xml:space="preserve"> </w:t>
      </w:r>
      <w:r w:rsidR="002D1627">
        <w:t>occurring by</w:t>
      </w:r>
      <w:r w:rsidR="00A36A6F" w:rsidRPr="00C80A3F">
        <w:t xml:space="preserve"> midlife</w:t>
      </w:r>
      <w:r w:rsidR="00123614">
        <w:t xml:space="preserve"> </w:t>
      </w:r>
      <w:r w:rsidR="00A36A6F" w:rsidRPr="00C80A3F">
        <w:t xml:space="preserve">remains </w:t>
      </w:r>
      <w:r>
        <w:t>limited</w:t>
      </w:r>
      <w:r w:rsidR="006F0C4D">
        <w:t>,[</w:t>
      </w:r>
      <w:r w:rsidR="00126F76">
        <w:t>4</w:t>
      </w:r>
      <w:r w:rsidR="006F0C4D">
        <w:t>]</w:t>
      </w:r>
      <w:r w:rsidR="00A36A6F" w:rsidRPr="00C80A3F">
        <w:t>.</w:t>
      </w:r>
      <w:r w:rsidR="00F555E1" w:rsidRPr="00C80A3F">
        <w:t xml:space="preserve"> </w:t>
      </w:r>
      <w:r w:rsidR="003C4FD4" w:rsidRPr="00C80A3F">
        <w:t xml:space="preserve">Growing evidence suggests that the sequence of accrual of </w:t>
      </w:r>
      <w:r w:rsidR="00B54B9D" w:rsidRPr="00C80A3F">
        <w:t>LTCs</w:t>
      </w:r>
      <w:r w:rsidR="003C4FD4" w:rsidRPr="00C80A3F">
        <w:t xml:space="preserve"> varies considerably and influences outcomes</w:t>
      </w:r>
      <w:r w:rsidR="006F0C4D">
        <w:t>,[</w:t>
      </w:r>
      <w:r w:rsidR="00D5066E" w:rsidRPr="000D10FA">
        <w:rPr>
          <w:color w:val="000000"/>
          <w:shd w:val="clear" w:color="auto" w:fill="FFFFFF"/>
        </w:rPr>
        <w:t>5</w:t>
      </w:r>
      <w:r w:rsidR="006F0C4D">
        <w:rPr>
          <w:color w:val="000000"/>
        </w:rPr>
        <w:t>]</w:t>
      </w:r>
      <w:r w:rsidR="003C4FD4" w:rsidRPr="00C80A3F">
        <w:t xml:space="preserve">. </w:t>
      </w:r>
      <w:r w:rsidR="00516653">
        <w:t>The s</w:t>
      </w:r>
      <w:r w:rsidR="003C4FD4" w:rsidRPr="00C80A3F">
        <w:t>entinel condition</w:t>
      </w:r>
      <w:r w:rsidR="00516653">
        <w:t xml:space="preserve"> </w:t>
      </w:r>
      <w:r>
        <w:t>(</w:t>
      </w:r>
      <w:r w:rsidR="003C4FD4" w:rsidRPr="00C80A3F">
        <w:t xml:space="preserve">the first long-term condition occurring in the </w:t>
      </w:r>
      <w:r w:rsidR="00001D8A">
        <w:t>lifecourse</w:t>
      </w:r>
      <w:r>
        <w:t xml:space="preserve"> in the development of MLTC-M)</w:t>
      </w:r>
      <w:r w:rsidR="004D54FB" w:rsidRPr="00C80A3F">
        <w:t xml:space="preserve">, </w:t>
      </w:r>
      <w:r w:rsidR="003C4FD4" w:rsidRPr="00C80A3F">
        <w:t>may play a</w:t>
      </w:r>
      <w:r w:rsidR="00FB13E2">
        <w:t>n</w:t>
      </w:r>
      <w:r w:rsidR="003C4FD4" w:rsidRPr="00C80A3F">
        <w:t xml:space="preserve"> important role. </w:t>
      </w:r>
      <w:r w:rsidR="00C07C13">
        <w:rPr>
          <w:rFonts w:eastAsia="Yu Mincho"/>
          <w:color w:val="000000"/>
          <w:lang w:eastAsia="en-US"/>
        </w:rPr>
        <w:t>S</w:t>
      </w:r>
      <w:r w:rsidR="006C47AE" w:rsidRPr="00C80A3F">
        <w:rPr>
          <w:rFonts w:eastAsia="Yu Mincho"/>
          <w:color w:val="000000"/>
          <w:lang w:eastAsia="en-US"/>
        </w:rPr>
        <w:t xml:space="preserve">entinel conditions may significantly influence </w:t>
      </w:r>
      <w:r w:rsidR="006C47AE">
        <w:rPr>
          <w:rFonts w:eastAsia="Yu Mincho"/>
          <w:color w:val="000000"/>
          <w:lang w:eastAsia="en-US"/>
        </w:rPr>
        <w:t xml:space="preserve">subsequent behaviour and other factors that influence </w:t>
      </w:r>
      <w:r w:rsidR="006C47AE" w:rsidRPr="00C80A3F">
        <w:rPr>
          <w:rFonts w:eastAsia="Yu Mincho"/>
          <w:color w:val="000000"/>
          <w:lang w:eastAsia="en-US"/>
        </w:rPr>
        <w:t xml:space="preserve">the </w:t>
      </w:r>
      <w:r w:rsidR="00C07C13">
        <w:rPr>
          <w:rFonts w:eastAsia="Yu Mincho"/>
          <w:color w:val="000000"/>
          <w:lang w:eastAsia="en-US"/>
        </w:rPr>
        <w:t>eventual</w:t>
      </w:r>
      <w:r w:rsidR="00C07C13" w:rsidRPr="00C80A3F">
        <w:rPr>
          <w:rFonts w:eastAsia="Yu Mincho"/>
          <w:color w:val="000000"/>
          <w:lang w:eastAsia="en-US"/>
        </w:rPr>
        <w:t xml:space="preserve"> </w:t>
      </w:r>
      <w:r w:rsidR="006C47AE" w:rsidRPr="00C80A3F">
        <w:rPr>
          <w:rFonts w:eastAsia="Yu Mincho"/>
          <w:color w:val="000000"/>
          <w:lang w:eastAsia="en-US"/>
        </w:rPr>
        <w:t xml:space="preserve">cluster of </w:t>
      </w:r>
      <w:r w:rsidR="00C07C13">
        <w:rPr>
          <w:rFonts w:eastAsia="Yu Mincho"/>
          <w:color w:val="000000"/>
          <w:lang w:eastAsia="en-US"/>
        </w:rPr>
        <w:t>LTCs</w:t>
      </w:r>
      <w:r w:rsidR="006C47AE" w:rsidRPr="00C80A3F">
        <w:rPr>
          <w:rFonts w:eastAsia="Yu Mincho"/>
          <w:color w:val="000000"/>
          <w:lang w:eastAsia="en-US"/>
        </w:rPr>
        <w:t>, in turn influenc</w:t>
      </w:r>
      <w:r w:rsidR="006C47AE">
        <w:rPr>
          <w:rFonts w:eastAsia="Yu Mincho"/>
          <w:color w:val="000000"/>
          <w:lang w:eastAsia="en-US"/>
        </w:rPr>
        <w:t xml:space="preserve">ing </w:t>
      </w:r>
      <w:r w:rsidR="006C47AE" w:rsidRPr="00C80A3F">
        <w:rPr>
          <w:rFonts w:eastAsia="Yu Mincho"/>
          <w:color w:val="000000"/>
          <w:lang w:eastAsia="en-US"/>
        </w:rPr>
        <w:t xml:space="preserve">the nature and risk of important outcomes. </w:t>
      </w:r>
      <w:r w:rsidR="006C47AE" w:rsidRPr="006C47AE">
        <w:rPr>
          <w:rFonts w:eastAsia="Yu Mincho"/>
          <w:color w:val="000000"/>
          <w:lang w:eastAsia="en-US"/>
        </w:rPr>
        <w:t>Diagnosis of a condition is associated with actions such as medication</w:t>
      </w:r>
      <w:r w:rsidR="00C07C13">
        <w:rPr>
          <w:rFonts w:eastAsia="Yu Mincho"/>
          <w:color w:val="000000"/>
          <w:lang w:eastAsia="en-US"/>
        </w:rPr>
        <w:t xml:space="preserve"> prescription</w:t>
      </w:r>
      <w:r w:rsidR="006C47AE" w:rsidRPr="006C47AE">
        <w:rPr>
          <w:rFonts w:eastAsia="Yu Mincho"/>
          <w:color w:val="000000"/>
          <w:lang w:eastAsia="en-US"/>
        </w:rPr>
        <w:t>, specialist referral, and self-management advice</w:t>
      </w:r>
      <w:r w:rsidR="000D7D9B">
        <w:rPr>
          <w:rFonts w:eastAsia="Yu Mincho"/>
          <w:color w:val="000000"/>
          <w:lang w:eastAsia="en-US"/>
        </w:rPr>
        <w:t xml:space="preserve">, that may </w:t>
      </w:r>
      <w:r w:rsidR="006C47AE" w:rsidRPr="006C47AE">
        <w:rPr>
          <w:rFonts w:eastAsia="Yu Mincho"/>
          <w:color w:val="000000"/>
          <w:lang w:eastAsia="en-US"/>
        </w:rPr>
        <w:t>alter future trajectories of risk. For example, hypertension diagnosis leading to antihypertensive prescription and physical activity advice reduc</w:t>
      </w:r>
      <w:r w:rsidR="00C07C13">
        <w:rPr>
          <w:rFonts w:eastAsia="Yu Mincho"/>
          <w:color w:val="000000"/>
          <w:lang w:eastAsia="en-US"/>
        </w:rPr>
        <w:t>ing</w:t>
      </w:r>
      <w:r w:rsidR="006C47AE" w:rsidRPr="006C47AE">
        <w:rPr>
          <w:rFonts w:eastAsia="Yu Mincho"/>
          <w:color w:val="000000"/>
          <w:lang w:eastAsia="en-US"/>
        </w:rPr>
        <w:t xml:space="preserve"> future stroke risk. The time point of diagnosis therefore becomes an important determinant of future events</w:t>
      </w:r>
      <w:r w:rsidR="006F0C4D">
        <w:rPr>
          <w:rFonts w:eastAsia="Yu Mincho"/>
          <w:color w:val="000000"/>
          <w:lang w:eastAsia="en-US"/>
        </w:rPr>
        <w:t>,[</w:t>
      </w:r>
      <w:r w:rsidR="00D5066E">
        <w:rPr>
          <w:rFonts w:eastAsia="Yu Mincho"/>
          <w:color w:val="000000"/>
          <w:lang w:eastAsia="en-US"/>
        </w:rPr>
        <w:t>6</w:t>
      </w:r>
      <w:r w:rsidR="006F0C4D">
        <w:rPr>
          <w:rFonts w:eastAsia="Yu Mincho"/>
          <w:color w:val="000000"/>
          <w:lang w:eastAsia="en-US"/>
        </w:rPr>
        <w:t>]</w:t>
      </w:r>
      <w:r w:rsidR="00894AC0">
        <w:rPr>
          <w:rFonts w:eastAsia="Yu Mincho"/>
          <w:color w:val="000000"/>
          <w:lang w:eastAsia="en-US"/>
        </w:rPr>
        <w:t>.</w:t>
      </w:r>
    </w:p>
    <w:p w14:paraId="650B5AB8" w14:textId="2731B8AB" w:rsidR="00962EA6" w:rsidRDefault="00E1230D" w:rsidP="00A20B0A">
      <w:pPr>
        <w:spacing w:before="100" w:beforeAutospacing="1" w:after="100" w:afterAutospacing="1"/>
        <w:rPr>
          <w:rFonts w:eastAsia="Yu Mincho"/>
          <w:color w:val="000000"/>
        </w:rPr>
      </w:pPr>
      <w:r w:rsidRPr="00C80A3F">
        <w:rPr>
          <w:rFonts w:eastAsia="Yu Mincho"/>
          <w:color w:val="000000"/>
          <w:lang w:eastAsia="en-US"/>
        </w:rPr>
        <w:t>The </w:t>
      </w:r>
      <w:r w:rsidRPr="003036EB">
        <w:rPr>
          <w:rFonts w:eastAsia="Yu Mincho"/>
          <w:iCs/>
          <w:color w:val="000000"/>
          <w:lang w:eastAsia="en-US"/>
        </w:rPr>
        <w:t>sequence </w:t>
      </w:r>
      <w:r w:rsidRPr="00C80A3F">
        <w:rPr>
          <w:rFonts w:eastAsia="Yu Mincho"/>
          <w:color w:val="000000"/>
          <w:lang w:eastAsia="en-US"/>
        </w:rPr>
        <w:t xml:space="preserve">of </w:t>
      </w:r>
      <w:r w:rsidR="00C07C13">
        <w:rPr>
          <w:rFonts w:eastAsia="Yu Mincho"/>
          <w:color w:val="000000"/>
          <w:lang w:eastAsia="en-US"/>
        </w:rPr>
        <w:t xml:space="preserve">LTC </w:t>
      </w:r>
      <w:r w:rsidRPr="00C80A3F">
        <w:rPr>
          <w:rFonts w:eastAsia="Yu Mincho"/>
          <w:color w:val="000000"/>
          <w:lang w:eastAsia="en-US"/>
        </w:rPr>
        <w:t xml:space="preserve">development may </w:t>
      </w:r>
      <w:r w:rsidR="00C07C13">
        <w:rPr>
          <w:rFonts w:eastAsia="Yu Mincho"/>
          <w:color w:val="000000"/>
          <w:lang w:eastAsia="en-US"/>
        </w:rPr>
        <w:t xml:space="preserve">also </w:t>
      </w:r>
      <w:r w:rsidRPr="00C80A3F">
        <w:rPr>
          <w:rFonts w:eastAsia="Yu Mincho"/>
          <w:color w:val="000000"/>
          <w:lang w:eastAsia="en-US"/>
        </w:rPr>
        <w:t xml:space="preserve">be a key determinant of the nature of </w:t>
      </w:r>
      <w:r w:rsidR="00C07C13">
        <w:rPr>
          <w:rFonts w:eastAsia="Yu Mincho"/>
          <w:color w:val="000000"/>
          <w:lang w:eastAsia="en-US"/>
        </w:rPr>
        <w:t>eventual</w:t>
      </w:r>
      <w:r w:rsidR="00C07C13" w:rsidRPr="00C80A3F">
        <w:rPr>
          <w:rFonts w:eastAsia="Yu Mincho"/>
          <w:color w:val="000000"/>
          <w:lang w:eastAsia="en-US"/>
        </w:rPr>
        <w:t xml:space="preserve"> </w:t>
      </w:r>
      <w:r w:rsidRPr="00C80A3F">
        <w:rPr>
          <w:rFonts w:eastAsia="Yu Mincho"/>
          <w:color w:val="000000"/>
          <w:lang w:eastAsia="en-US"/>
        </w:rPr>
        <w:t>LTC clusters</w:t>
      </w:r>
      <w:r w:rsidR="006F0C4D">
        <w:rPr>
          <w:rFonts w:eastAsia="Yu Mincho"/>
          <w:color w:val="000000"/>
          <w:lang w:eastAsia="en-US"/>
        </w:rPr>
        <w:t>,[</w:t>
      </w:r>
      <w:r w:rsidR="000204EA">
        <w:rPr>
          <w:rFonts w:eastAsia="Yu Mincho"/>
          <w:color w:val="000000"/>
          <w:lang w:eastAsia="en-US"/>
        </w:rPr>
        <w:t>7</w:t>
      </w:r>
      <w:r w:rsidR="006F0C4D">
        <w:rPr>
          <w:rFonts w:eastAsia="Yu Mincho"/>
          <w:color w:val="000000"/>
          <w:lang w:eastAsia="en-US"/>
        </w:rPr>
        <w:t>]</w:t>
      </w:r>
      <w:r w:rsidR="000D1D04">
        <w:rPr>
          <w:rFonts w:eastAsia="Yu Mincho"/>
          <w:color w:val="000000"/>
          <w:lang w:eastAsia="en-US"/>
        </w:rPr>
        <w:t>.</w:t>
      </w:r>
      <w:r w:rsidRPr="00C80A3F">
        <w:rPr>
          <w:rFonts w:eastAsia="Yu Mincho"/>
          <w:color w:val="000000"/>
          <w:lang w:eastAsia="en-US"/>
        </w:rPr>
        <w:t xml:space="preserve"> </w:t>
      </w:r>
      <w:r w:rsidR="00C07C13">
        <w:rPr>
          <w:rFonts w:eastAsia="Yu Mincho"/>
          <w:color w:val="000000"/>
          <w:lang w:eastAsia="en-US"/>
        </w:rPr>
        <w:t>In a longitudinal analysis using UK primary care data</w:t>
      </w:r>
      <w:r w:rsidR="00CA609C">
        <w:rPr>
          <w:rFonts w:eastAsia="Yu Mincho"/>
          <w:color w:val="000000"/>
          <w:lang w:eastAsia="en-US"/>
        </w:rPr>
        <w:t xml:space="preserve"> from London</w:t>
      </w:r>
      <w:r w:rsidR="00C07C13">
        <w:rPr>
          <w:rFonts w:eastAsia="Yu Mincho"/>
          <w:color w:val="000000"/>
          <w:lang w:eastAsia="en-US"/>
        </w:rPr>
        <w:t xml:space="preserve">, </w:t>
      </w:r>
      <w:r w:rsidRPr="00C80A3F">
        <w:rPr>
          <w:rFonts w:eastAsia="Yu Mincho"/>
          <w:color w:val="000000"/>
          <w:lang w:eastAsia="en-US"/>
        </w:rPr>
        <w:t>Ashworth et al identified that multimorbidity in those under 65 tended to start with depression or serious mental illness followed by combinations of obesity, chronic pain and diabetes</w:t>
      </w:r>
      <w:r w:rsidR="006F0C4D">
        <w:rPr>
          <w:rFonts w:eastAsia="Yu Mincho"/>
          <w:color w:val="000000"/>
          <w:lang w:eastAsia="en-US"/>
        </w:rPr>
        <w:t>,[</w:t>
      </w:r>
      <w:r w:rsidR="000204EA">
        <w:rPr>
          <w:rFonts w:eastAsia="Yu Mincho"/>
          <w:color w:val="000000"/>
          <w:lang w:eastAsia="en-US"/>
        </w:rPr>
        <w:t>7</w:t>
      </w:r>
      <w:r w:rsidR="006F0C4D">
        <w:rPr>
          <w:rFonts w:eastAsia="Yu Mincho"/>
          <w:color w:val="000000"/>
          <w:lang w:eastAsia="en-US"/>
        </w:rPr>
        <w:t>]</w:t>
      </w:r>
      <w:r w:rsidR="000D1D04">
        <w:rPr>
          <w:rFonts w:eastAsia="Yu Mincho"/>
          <w:color w:val="000000"/>
          <w:lang w:eastAsia="en-US"/>
        </w:rPr>
        <w:t>.</w:t>
      </w:r>
      <w:r w:rsidRPr="00C80A3F">
        <w:rPr>
          <w:rFonts w:eastAsia="Yu Mincho"/>
          <w:color w:val="000000"/>
          <w:lang w:eastAsia="en-US"/>
        </w:rPr>
        <w:t xml:space="preserve"> In contrast, for those aged 65 and over, diabetes and coronary heart disease were the predominant </w:t>
      </w:r>
      <w:r w:rsidR="00CA609C">
        <w:rPr>
          <w:rFonts w:eastAsia="Yu Mincho"/>
          <w:color w:val="000000"/>
          <w:lang w:eastAsia="en-US"/>
        </w:rPr>
        <w:t>sentinel</w:t>
      </w:r>
      <w:r w:rsidR="00CA609C" w:rsidRPr="00C80A3F">
        <w:rPr>
          <w:rFonts w:eastAsia="Yu Mincho"/>
          <w:color w:val="000000"/>
          <w:lang w:eastAsia="en-US"/>
        </w:rPr>
        <w:t xml:space="preserve"> </w:t>
      </w:r>
      <w:r w:rsidRPr="00C80A3F">
        <w:rPr>
          <w:rFonts w:eastAsia="Yu Mincho"/>
          <w:color w:val="000000"/>
          <w:lang w:eastAsia="en-US"/>
        </w:rPr>
        <w:t>conditions, followed by combinations of chronic kidney disease, heart failure and stroke</w:t>
      </w:r>
      <w:r w:rsidR="006F0C4D">
        <w:rPr>
          <w:rFonts w:eastAsia="Yu Mincho"/>
          <w:color w:val="000000"/>
          <w:lang w:eastAsia="en-US"/>
        </w:rPr>
        <w:t>,[</w:t>
      </w:r>
      <w:r w:rsidR="000204EA">
        <w:rPr>
          <w:rFonts w:eastAsia="Yu Mincho"/>
          <w:color w:val="000000"/>
          <w:lang w:eastAsia="en-US"/>
        </w:rPr>
        <w:t>7</w:t>
      </w:r>
      <w:r w:rsidR="006F0C4D">
        <w:rPr>
          <w:rFonts w:eastAsia="Yu Mincho"/>
          <w:color w:val="000000"/>
          <w:lang w:eastAsia="en-US"/>
        </w:rPr>
        <w:t>]</w:t>
      </w:r>
      <w:r w:rsidR="000D1D04">
        <w:rPr>
          <w:rFonts w:eastAsia="Yu Mincho"/>
          <w:color w:val="000000"/>
          <w:lang w:eastAsia="en-US"/>
        </w:rPr>
        <w:t xml:space="preserve">. </w:t>
      </w:r>
      <w:r w:rsidR="00443D6C">
        <w:rPr>
          <w:rFonts w:eastAsia="Yu Mincho"/>
          <w:color w:val="000000"/>
          <w:lang w:eastAsia="en-US"/>
        </w:rPr>
        <w:t>Additionally</w:t>
      </w:r>
      <w:r w:rsidR="00FB13E2">
        <w:rPr>
          <w:rFonts w:eastAsia="Yu Mincho"/>
          <w:color w:val="000000"/>
          <w:lang w:eastAsia="en-US"/>
        </w:rPr>
        <w:t>, the</w:t>
      </w:r>
      <w:r w:rsidR="009A39BE" w:rsidRPr="00C80A3F">
        <w:rPr>
          <w:rFonts w:eastAsia="Yu Mincho"/>
          <w:color w:val="000000"/>
          <w:lang w:eastAsia="en-US"/>
        </w:rPr>
        <w:t xml:space="preserve"> </w:t>
      </w:r>
      <w:r w:rsidR="00BC73F0" w:rsidRPr="00C80A3F">
        <w:rPr>
          <w:rFonts w:eastAsia="Yu Mincho"/>
          <w:color w:val="000000"/>
          <w:lang w:eastAsia="en-US"/>
        </w:rPr>
        <w:t>prevalence</w:t>
      </w:r>
      <w:r w:rsidR="009A39BE" w:rsidRPr="00C80A3F">
        <w:rPr>
          <w:rFonts w:eastAsia="Yu Mincho"/>
          <w:color w:val="000000"/>
          <w:lang w:eastAsia="en-US"/>
        </w:rPr>
        <w:t xml:space="preserve"> of multimorbidity </w:t>
      </w:r>
      <w:r w:rsidR="002B1876" w:rsidRPr="00C80A3F">
        <w:rPr>
          <w:rFonts w:eastAsia="Yu Mincho"/>
          <w:color w:val="000000"/>
          <w:lang w:eastAsia="en-US"/>
        </w:rPr>
        <w:t xml:space="preserve">tends to </w:t>
      </w:r>
      <w:r w:rsidR="00BC73F0" w:rsidRPr="00C80A3F">
        <w:rPr>
          <w:rFonts w:eastAsia="Yu Mincho"/>
          <w:color w:val="000000"/>
          <w:lang w:eastAsia="en-US"/>
        </w:rPr>
        <w:t>rise steeply in midlife</w:t>
      </w:r>
      <w:r w:rsidR="006F0C4D">
        <w:rPr>
          <w:rFonts w:eastAsia="Yu Mincho"/>
          <w:color w:val="000000"/>
          <w:lang w:eastAsia="en-US"/>
        </w:rPr>
        <w:t>,[</w:t>
      </w:r>
      <w:r w:rsidR="000204EA">
        <w:rPr>
          <w:rFonts w:eastAsia="Yu Mincho"/>
          <w:color w:val="000000"/>
          <w:lang w:eastAsia="en-US"/>
        </w:rPr>
        <w:t>8</w:t>
      </w:r>
      <w:r w:rsidR="006F0C4D">
        <w:rPr>
          <w:rFonts w:eastAsia="Yu Mincho"/>
          <w:color w:val="000000"/>
          <w:lang w:eastAsia="en-US"/>
        </w:rPr>
        <w:t>]</w:t>
      </w:r>
      <w:r w:rsidR="00D70097" w:rsidRPr="00C80A3F">
        <w:rPr>
          <w:rFonts w:eastAsia="Yu Mincho"/>
          <w:color w:val="000000"/>
          <w:lang w:eastAsia="en-US"/>
        </w:rPr>
        <w:t xml:space="preserve"> and</w:t>
      </w:r>
      <w:r w:rsidR="00CD0952" w:rsidRPr="00C80A3F">
        <w:rPr>
          <w:rFonts w:eastAsia="Yu Mincho"/>
          <w:color w:val="000000"/>
          <w:lang w:eastAsia="en-US"/>
        </w:rPr>
        <w:t xml:space="preserve"> </w:t>
      </w:r>
      <w:r w:rsidR="003C6562" w:rsidRPr="00C80A3F">
        <w:rPr>
          <w:rFonts w:eastAsia="Yu Mincho"/>
          <w:color w:val="000000"/>
        </w:rPr>
        <w:t>middle-aged</w:t>
      </w:r>
      <w:r w:rsidR="008E44E4" w:rsidRPr="00C80A3F">
        <w:rPr>
          <w:rFonts w:eastAsia="Yu Mincho"/>
          <w:color w:val="000000"/>
        </w:rPr>
        <w:t xml:space="preserve"> people with multimorbidity </w:t>
      </w:r>
      <w:r w:rsidR="00D70097" w:rsidRPr="00C80A3F">
        <w:rPr>
          <w:rFonts w:eastAsia="Yu Mincho"/>
          <w:color w:val="000000"/>
        </w:rPr>
        <w:t>tend to</w:t>
      </w:r>
      <w:r w:rsidR="00CD0952" w:rsidRPr="00C80A3F">
        <w:rPr>
          <w:rFonts w:eastAsia="Yu Mincho"/>
          <w:color w:val="000000"/>
        </w:rPr>
        <w:t xml:space="preserve"> </w:t>
      </w:r>
      <w:r w:rsidR="008E44E4" w:rsidRPr="00C80A3F">
        <w:rPr>
          <w:rFonts w:eastAsia="Yu Mincho"/>
          <w:color w:val="000000"/>
        </w:rPr>
        <w:t xml:space="preserve">have </w:t>
      </w:r>
      <w:r w:rsidR="00A13BAE" w:rsidRPr="00C80A3F">
        <w:rPr>
          <w:rFonts w:eastAsia="Yu Mincho"/>
          <w:color w:val="000000"/>
        </w:rPr>
        <w:t>poorer health related quality of life</w:t>
      </w:r>
      <w:r w:rsidR="006F0C4D">
        <w:rPr>
          <w:rFonts w:eastAsia="Yu Mincho"/>
          <w:color w:val="000000"/>
        </w:rPr>
        <w:t>,[</w:t>
      </w:r>
      <w:r w:rsidR="000204EA">
        <w:rPr>
          <w:rFonts w:eastAsia="Yu Mincho"/>
          <w:color w:val="000000"/>
        </w:rPr>
        <w:t>9</w:t>
      </w:r>
      <w:r w:rsidR="006F0C4D">
        <w:rPr>
          <w:rFonts w:eastAsia="Yu Mincho"/>
          <w:color w:val="000000"/>
        </w:rPr>
        <w:t>]</w:t>
      </w:r>
      <w:r w:rsidR="00EF2D5A" w:rsidRPr="00C80A3F">
        <w:rPr>
          <w:rFonts w:eastAsia="Yu Mincho"/>
          <w:color w:val="000000"/>
        </w:rPr>
        <w:t xml:space="preserve">. </w:t>
      </w:r>
      <w:r w:rsidR="00DD32E9" w:rsidRPr="00C80A3F">
        <w:rPr>
          <w:rFonts w:eastAsia="Yu Mincho"/>
          <w:color w:val="000000"/>
        </w:rPr>
        <w:t xml:space="preserve"> </w:t>
      </w:r>
    </w:p>
    <w:p w14:paraId="3F528D1D" w14:textId="319DBE01" w:rsidR="00C6404C" w:rsidRDefault="007E68EA" w:rsidP="002D1627">
      <w:pPr>
        <w:pStyle w:val="CommentText"/>
        <w:rPr>
          <w:rFonts w:eastAsia="Yu Mincho"/>
          <w:color w:val="000000" w:themeColor="text1"/>
        </w:rPr>
      </w:pPr>
      <w:r>
        <w:t xml:space="preserve">Across the lifecourse, </w:t>
      </w:r>
      <w:r w:rsidR="00F5690E">
        <w:t>both physical and mental</w:t>
      </w:r>
      <w:r w:rsidR="0043166A">
        <w:t xml:space="preserve"> LTCs</w:t>
      </w:r>
      <w:r w:rsidR="00F5690E">
        <w:t xml:space="preserve"> </w:t>
      </w:r>
      <w:r w:rsidR="003171A9">
        <w:t xml:space="preserve">may not be </w:t>
      </w:r>
      <w:r w:rsidR="00DE1B7A">
        <w:t xml:space="preserve">permanent </w:t>
      </w:r>
      <w:r w:rsidR="00AF558C">
        <w:t>and may be of variable severity</w:t>
      </w:r>
      <w:r w:rsidR="002D1627">
        <w:t>. For example, mental health conditions such as anxiety and depression are often not experienced as a ‘fixed state’</w:t>
      </w:r>
      <w:r w:rsidR="006F0C4D">
        <w:t>,[</w:t>
      </w:r>
      <w:r w:rsidR="002D1627">
        <w:t>10-12</w:t>
      </w:r>
      <w:r w:rsidR="006F0C4D">
        <w:t>]</w:t>
      </w:r>
      <w:r w:rsidR="002D1627">
        <w:t xml:space="preserve">.  However, those with a persistent and chronic trajectory </w:t>
      </w:r>
      <w:r w:rsidR="00CB76A7" w:rsidRPr="002D27CC">
        <w:rPr>
          <w:color w:val="000000" w:themeColor="text1"/>
        </w:rPr>
        <w:t>of depression tend to have poorer outcomes</w:t>
      </w:r>
      <w:r w:rsidR="004C6117">
        <w:rPr>
          <w:color w:val="000000" w:themeColor="text1"/>
        </w:rPr>
        <w:t xml:space="preserve"> including suicide,</w:t>
      </w:r>
      <w:r w:rsidR="00CB76A7" w:rsidRPr="002D27CC">
        <w:rPr>
          <w:color w:val="000000" w:themeColor="text1"/>
        </w:rPr>
        <w:t xml:space="preserve"> </w:t>
      </w:r>
      <w:r w:rsidR="003E2FE7">
        <w:rPr>
          <w:color w:val="000000" w:themeColor="text1"/>
        </w:rPr>
        <w:t>a decrease in physical activity</w:t>
      </w:r>
      <w:r w:rsidR="00786A60">
        <w:rPr>
          <w:color w:val="000000" w:themeColor="text1"/>
        </w:rPr>
        <w:t>, ischemic heart disease and mortality</w:t>
      </w:r>
      <w:r w:rsidR="006F0C4D">
        <w:rPr>
          <w:color w:val="000000" w:themeColor="text1"/>
        </w:rPr>
        <w:t>,[</w:t>
      </w:r>
      <w:r w:rsidR="00EF27FD" w:rsidRPr="002D27CC">
        <w:rPr>
          <w:color w:val="000000" w:themeColor="text1"/>
        </w:rPr>
        <w:t>13</w:t>
      </w:r>
      <w:r w:rsidR="0063248C">
        <w:rPr>
          <w:color w:val="000000" w:themeColor="text1"/>
        </w:rPr>
        <w:t>-16</w:t>
      </w:r>
      <w:r w:rsidR="006F0C4D">
        <w:rPr>
          <w:color w:val="000000" w:themeColor="text1"/>
        </w:rPr>
        <w:t>]</w:t>
      </w:r>
      <w:r w:rsidR="00FD4DB8" w:rsidRPr="002D27CC">
        <w:rPr>
          <w:color w:val="000000" w:themeColor="text1"/>
        </w:rPr>
        <w:t xml:space="preserve">. </w:t>
      </w:r>
      <w:r w:rsidR="00117D65" w:rsidRPr="002D27CC">
        <w:rPr>
          <w:rFonts w:eastAsia="Yu Mincho"/>
          <w:color w:val="000000" w:themeColor="text1"/>
        </w:rPr>
        <w:t>Using birth cohort data</w:t>
      </w:r>
      <w:r w:rsidR="00E67D50">
        <w:rPr>
          <w:rFonts w:eastAsia="Yu Mincho"/>
          <w:color w:val="000000" w:themeColor="text1"/>
        </w:rPr>
        <w:t xml:space="preserve">, with </w:t>
      </w:r>
      <w:r w:rsidR="00CB4F5F">
        <w:rPr>
          <w:rFonts w:eastAsia="Yu Mincho"/>
          <w:color w:val="000000" w:themeColor="text1"/>
        </w:rPr>
        <w:t>repeated validated measures</w:t>
      </w:r>
      <w:r w:rsidR="003023CB">
        <w:rPr>
          <w:rFonts w:eastAsia="Yu Mincho"/>
          <w:color w:val="000000" w:themeColor="text1"/>
        </w:rPr>
        <w:t>,</w:t>
      </w:r>
      <w:r w:rsidR="00117D65" w:rsidRPr="002D27CC">
        <w:rPr>
          <w:rFonts w:eastAsia="Yu Mincho"/>
          <w:color w:val="000000" w:themeColor="text1"/>
        </w:rPr>
        <w:t xml:space="preserve"> </w:t>
      </w:r>
      <w:r w:rsidR="00680D68" w:rsidRPr="002D27CC">
        <w:rPr>
          <w:rFonts w:eastAsia="Yu Mincho"/>
          <w:color w:val="000000" w:themeColor="text1"/>
        </w:rPr>
        <w:t>affords the opportunity to</w:t>
      </w:r>
      <w:r w:rsidR="00117D65" w:rsidRPr="002D27CC">
        <w:rPr>
          <w:rFonts w:eastAsia="Yu Mincho"/>
          <w:color w:val="000000" w:themeColor="text1"/>
        </w:rPr>
        <w:t xml:space="preserve"> </w:t>
      </w:r>
      <w:r w:rsidR="00680D68" w:rsidRPr="002D27CC">
        <w:rPr>
          <w:rFonts w:eastAsia="Yu Mincho"/>
          <w:color w:val="000000" w:themeColor="text1"/>
        </w:rPr>
        <w:t>explore</w:t>
      </w:r>
      <w:r w:rsidR="0062396B">
        <w:rPr>
          <w:rFonts w:eastAsia="Yu Mincho"/>
          <w:color w:val="000000" w:themeColor="text1"/>
        </w:rPr>
        <w:t xml:space="preserve"> </w:t>
      </w:r>
      <w:r w:rsidR="003171A9">
        <w:rPr>
          <w:rFonts w:eastAsia="Yu Mincho"/>
          <w:color w:val="000000" w:themeColor="text1"/>
        </w:rPr>
        <w:t>mental health</w:t>
      </w:r>
      <w:r w:rsidR="0093138A" w:rsidRPr="002D27CC">
        <w:rPr>
          <w:rFonts w:eastAsia="Yu Mincho"/>
          <w:color w:val="000000" w:themeColor="text1"/>
        </w:rPr>
        <w:t xml:space="preserve"> </w:t>
      </w:r>
      <w:r w:rsidR="003023CB">
        <w:rPr>
          <w:rFonts w:eastAsia="Yu Mincho"/>
          <w:color w:val="000000" w:themeColor="text1"/>
        </w:rPr>
        <w:t xml:space="preserve">trajectories </w:t>
      </w:r>
      <w:r w:rsidR="0093138A" w:rsidRPr="002D27CC">
        <w:rPr>
          <w:rFonts w:eastAsia="Yu Mincho"/>
          <w:color w:val="000000" w:themeColor="text1"/>
        </w:rPr>
        <w:t xml:space="preserve">across the lifecourse. </w:t>
      </w:r>
      <w:r w:rsidR="00493B43" w:rsidRPr="002D27CC">
        <w:rPr>
          <w:rFonts w:eastAsia="Yu Mincho"/>
          <w:color w:val="000000" w:themeColor="text1"/>
        </w:rPr>
        <w:t>Understand</w:t>
      </w:r>
      <w:r w:rsidR="00EA3432">
        <w:rPr>
          <w:rFonts w:eastAsia="Yu Mincho"/>
          <w:color w:val="000000" w:themeColor="text1"/>
        </w:rPr>
        <w:t>ing</w:t>
      </w:r>
      <w:r w:rsidR="00493B43" w:rsidRPr="002D27CC">
        <w:rPr>
          <w:rFonts w:eastAsia="Yu Mincho"/>
          <w:color w:val="000000" w:themeColor="text1"/>
        </w:rPr>
        <w:t xml:space="preserve"> the </w:t>
      </w:r>
      <w:r w:rsidR="00CB7DBC" w:rsidRPr="002D27CC">
        <w:rPr>
          <w:rFonts w:eastAsia="Yu Mincho"/>
          <w:color w:val="000000" w:themeColor="text1"/>
        </w:rPr>
        <w:t xml:space="preserve">patterns of the reporting of </w:t>
      </w:r>
      <w:r w:rsidR="0062396B">
        <w:rPr>
          <w:rFonts w:eastAsia="Yu Mincho"/>
          <w:color w:val="000000" w:themeColor="text1"/>
        </w:rPr>
        <w:t>mental health</w:t>
      </w:r>
      <w:r w:rsidR="00C033E6" w:rsidRPr="002D27CC">
        <w:rPr>
          <w:rFonts w:eastAsia="Yu Mincho"/>
          <w:color w:val="000000" w:themeColor="text1"/>
        </w:rPr>
        <w:t xml:space="preserve"> for </w:t>
      </w:r>
      <w:r w:rsidR="002227E1" w:rsidRPr="002D27CC">
        <w:rPr>
          <w:rFonts w:eastAsia="Yu Mincho"/>
          <w:color w:val="000000" w:themeColor="text1"/>
        </w:rPr>
        <w:t>those</w:t>
      </w:r>
      <w:r w:rsidR="00C033E6" w:rsidRPr="002D27CC">
        <w:rPr>
          <w:rFonts w:eastAsia="Yu Mincho"/>
          <w:color w:val="000000" w:themeColor="text1"/>
        </w:rPr>
        <w:t xml:space="preserve"> with MLTC-M</w:t>
      </w:r>
      <w:r w:rsidR="00CB7DBC" w:rsidRPr="002D27CC">
        <w:rPr>
          <w:rFonts w:eastAsia="Yu Mincho"/>
          <w:color w:val="000000" w:themeColor="text1"/>
        </w:rPr>
        <w:t xml:space="preserve"> may be important for </w:t>
      </w:r>
      <w:r w:rsidR="00AC3E30" w:rsidRPr="002D27CC">
        <w:rPr>
          <w:rFonts w:eastAsia="Yu Mincho"/>
          <w:color w:val="000000" w:themeColor="text1"/>
        </w:rPr>
        <w:t xml:space="preserve">identifying </w:t>
      </w:r>
      <w:r w:rsidR="00F93FB9" w:rsidRPr="002D27CC">
        <w:rPr>
          <w:rFonts w:eastAsia="Yu Mincho"/>
          <w:color w:val="000000" w:themeColor="text1"/>
        </w:rPr>
        <w:t>high-risk</w:t>
      </w:r>
      <w:r>
        <w:rPr>
          <w:rFonts w:eastAsia="Yu Mincho"/>
          <w:color w:val="000000" w:themeColor="text1"/>
        </w:rPr>
        <w:t xml:space="preserve"> temporal</w:t>
      </w:r>
      <w:r w:rsidR="00F93FB9" w:rsidRPr="002D27CC">
        <w:rPr>
          <w:rFonts w:eastAsia="Yu Mincho"/>
          <w:color w:val="000000" w:themeColor="text1"/>
        </w:rPr>
        <w:t xml:space="preserve"> life periods</w:t>
      </w:r>
      <w:r w:rsidR="00FB5FC6">
        <w:rPr>
          <w:rFonts w:eastAsia="Yu Mincho"/>
          <w:color w:val="000000" w:themeColor="text1"/>
        </w:rPr>
        <w:t xml:space="preserve"> in the development of multimorbidity</w:t>
      </w:r>
      <w:r w:rsidR="00853B49" w:rsidRPr="002D27CC">
        <w:rPr>
          <w:rFonts w:eastAsia="Yu Mincho"/>
          <w:color w:val="000000" w:themeColor="text1"/>
        </w:rPr>
        <w:t>.</w:t>
      </w:r>
      <w:r w:rsidR="00FB61DD" w:rsidRPr="002D27CC">
        <w:rPr>
          <w:rFonts w:eastAsia="Yu Mincho"/>
          <w:color w:val="000000" w:themeColor="text1"/>
        </w:rPr>
        <w:t xml:space="preserve"> </w:t>
      </w:r>
      <w:r w:rsidR="00A57AA2" w:rsidRPr="002D27CC">
        <w:rPr>
          <w:rFonts w:eastAsia="Yu Mincho"/>
          <w:color w:val="000000" w:themeColor="text1"/>
        </w:rPr>
        <w:t xml:space="preserve"> </w:t>
      </w:r>
    </w:p>
    <w:p w14:paraId="7BF9439D" w14:textId="77777777" w:rsidR="00786A60" w:rsidRPr="002D27CC" w:rsidRDefault="00786A60" w:rsidP="002C2E2C">
      <w:pPr>
        <w:pStyle w:val="CommentText"/>
        <w:rPr>
          <w:rFonts w:eastAsia="Yu Mincho"/>
          <w:color w:val="000000" w:themeColor="text1"/>
        </w:rPr>
      </w:pPr>
    </w:p>
    <w:p w14:paraId="07C52FFD" w14:textId="258F451D" w:rsidR="009729D1" w:rsidRPr="00065069" w:rsidRDefault="00B717EB" w:rsidP="002D79AD">
      <w:pPr>
        <w:rPr>
          <w:rFonts w:eastAsia="Yu Mincho"/>
          <w:color w:val="000000"/>
        </w:rPr>
      </w:pPr>
      <w:r w:rsidRPr="00010DC1">
        <w:rPr>
          <w:rFonts w:eastAsia="Yu Mincho"/>
        </w:rPr>
        <w:t>There also remains l</w:t>
      </w:r>
      <w:r w:rsidR="009729D1" w:rsidRPr="00010DC1">
        <w:rPr>
          <w:rFonts w:eastAsia="Yu Mincho"/>
        </w:rPr>
        <w:t>imit</w:t>
      </w:r>
      <w:r w:rsidR="001D272D">
        <w:rPr>
          <w:rFonts w:eastAsia="Yu Mincho"/>
        </w:rPr>
        <w:t>ed research</w:t>
      </w:r>
      <w:r w:rsidR="009729D1" w:rsidRPr="00010DC1">
        <w:rPr>
          <w:rFonts w:eastAsia="Yu Mincho"/>
        </w:rPr>
        <w:t xml:space="preserve"> o</w:t>
      </w:r>
      <w:r w:rsidR="001937CA">
        <w:rPr>
          <w:rFonts w:eastAsia="Yu Mincho"/>
        </w:rPr>
        <w:t>n</w:t>
      </w:r>
      <w:r w:rsidR="009729D1" w:rsidRPr="00010DC1">
        <w:rPr>
          <w:rFonts w:eastAsia="Yu Mincho"/>
        </w:rPr>
        <w:t xml:space="preserve"> the differential burden </w:t>
      </w:r>
      <w:r w:rsidR="001937CA">
        <w:rPr>
          <w:rFonts w:eastAsia="Yu Mincho"/>
        </w:rPr>
        <w:t>experienced by patients with different</w:t>
      </w:r>
      <w:r w:rsidR="009729D1" w:rsidRPr="00010DC1">
        <w:rPr>
          <w:rFonts w:eastAsia="Yu Mincho"/>
        </w:rPr>
        <w:t xml:space="preserve"> multimorbidity </w:t>
      </w:r>
      <w:r w:rsidR="001937CA">
        <w:rPr>
          <w:rFonts w:eastAsia="Yu Mincho"/>
        </w:rPr>
        <w:t>clusters</w:t>
      </w:r>
      <w:r w:rsidRPr="00010DC1">
        <w:rPr>
          <w:rFonts w:eastAsia="Yu Mincho"/>
        </w:rPr>
        <w:t xml:space="preserve">. Despite research suggesting </w:t>
      </w:r>
      <w:r w:rsidR="002D79AD" w:rsidRPr="00010DC1">
        <w:t>the relation</w:t>
      </w:r>
      <w:r w:rsidR="00AF558C">
        <w:t>ship</w:t>
      </w:r>
      <w:r w:rsidR="002D79AD" w:rsidRPr="00010DC1">
        <w:t xml:space="preserve"> between mental and physical </w:t>
      </w:r>
      <w:r w:rsidR="005846A9">
        <w:t>health conditions</w:t>
      </w:r>
      <w:r w:rsidR="002D79AD" w:rsidRPr="00010DC1">
        <w:t xml:space="preserve"> </w:t>
      </w:r>
      <w:r w:rsidR="00010DC1">
        <w:t>is</w:t>
      </w:r>
      <w:r w:rsidR="002D79AD" w:rsidRPr="00010DC1">
        <w:t xml:space="preserve"> bidirectional</w:t>
      </w:r>
      <w:r w:rsidR="006F0C4D">
        <w:t>,[</w:t>
      </w:r>
      <w:r w:rsidR="000204EA">
        <w:t>1</w:t>
      </w:r>
      <w:r w:rsidR="00A25F07">
        <w:t>7</w:t>
      </w:r>
      <w:r w:rsidR="006F0C4D">
        <w:t>]</w:t>
      </w:r>
      <w:r w:rsidR="002D79AD" w:rsidRPr="00010DC1">
        <w:t xml:space="preserve">, there </w:t>
      </w:r>
      <w:r w:rsidR="005846A9">
        <w:t>remains</w:t>
      </w:r>
      <w:r w:rsidR="002D79AD" w:rsidRPr="00010DC1">
        <w:t xml:space="preserve"> a need to</w:t>
      </w:r>
      <w:r w:rsidR="00060938">
        <w:t xml:space="preserve"> understand what constitute</w:t>
      </w:r>
      <w:r w:rsidR="0062396B">
        <w:t>s</w:t>
      </w:r>
      <w:r w:rsidR="00060938">
        <w:t xml:space="preserve"> burden and complexity for people with multimorbidity</w:t>
      </w:r>
      <w:r w:rsidR="00010DC1" w:rsidRPr="00010DC1">
        <w:rPr>
          <w:rFonts w:eastAsia="Yu Mincho"/>
          <w:color w:val="000000"/>
        </w:rPr>
        <w:t>.</w:t>
      </w:r>
      <w:r w:rsidR="00060938">
        <w:rPr>
          <w:rFonts w:eastAsia="Yu Mincho"/>
          <w:color w:val="000000"/>
        </w:rPr>
        <w:t xml:space="preserve"> In particular,</w:t>
      </w:r>
      <w:r w:rsidR="00010DC1" w:rsidRPr="00010DC1">
        <w:rPr>
          <w:rFonts w:eastAsia="Yu Mincho"/>
          <w:color w:val="000000"/>
        </w:rPr>
        <w:t xml:space="preserve"> </w:t>
      </w:r>
      <w:r w:rsidR="00236DC6">
        <w:rPr>
          <w:rFonts w:eastAsia="Yu Mincho"/>
          <w:color w:val="000000"/>
        </w:rPr>
        <w:t xml:space="preserve">the </w:t>
      </w:r>
      <w:r w:rsidR="0062396B">
        <w:rPr>
          <w:rFonts w:eastAsia="Yu Mincho"/>
          <w:color w:val="000000"/>
        </w:rPr>
        <w:t xml:space="preserve">National Institute for Health and Care Excellence </w:t>
      </w:r>
      <w:r w:rsidR="009729D1" w:rsidRPr="00010DC1">
        <w:rPr>
          <w:rFonts w:eastAsia="Yu Mincho"/>
          <w:color w:val="000000"/>
        </w:rPr>
        <w:t xml:space="preserve">multimorbidity guidelines </w:t>
      </w:r>
      <w:r w:rsidR="00065069" w:rsidRPr="00010DC1">
        <w:rPr>
          <w:rFonts w:eastAsia="Yu Mincho"/>
          <w:color w:val="000000"/>
        </w:rPr>
        <w:lastRenderedPageBreak/>
        <w:t>recommend</w:t>
      </w:r>
      <w:r w:rsidR="00065069">
        <w:rPr>
          <w:rFonts w:eastAsia="Yu Mincho"/>
          <w:color w:val="000000"/>
        </w:rPr>
        <w:t xml:space="preserve"> </w:t>
      </w:r>
      <w:r w:rsidR="002803BE">
        <w:rPr>
          <w:rFonts w:eastAsia="Yu Mincho"/>
          <w:color w:val="000000"/>
        </w:rPr>
        <w:t>establishing</w:t>
      </w:r>
      <w:r w:rsidR="00FB6DA6">
        <w:rPr>
          <w:rFonts w:eastAsia="Yu Mincho"/>
          <w:color w:val="000000"/>
        </w:rPr>
        <w:t xml:space="preserve"> better understanding of disease burden</w:t>
      </w:r>
      <w:r w:rsidR="0087719C">
        <w:rPr>
          <w:rFonts w:eastAsia="Yu Mincho"/>
          <w:color w:val="000000"/>
        </w:rPr>
        <w:t xml:space="preserve"> </w:t>
      </w:r>
      <w:r w:rsidR="00FB6DA6">
        <w:rPr>
          <w:rFonts w:eastAsia="Yu Mincho"/>
          <w:color w:val="000000"/>
        </w:rPr>
        <w:t>encompass</w:t>
      </w:r>
      <w:r w:rsidR="0087719C">
        <w:rPr>
          <w:rFonts w:eastAsia="Yu Mincho"/>
          <w:color w:val="000000"/>
        </w:rPr>
        <w:t>ing</w:t>
      </w:r>
      <w:r w:rsidR="00FB6DA6">
        <w:rPr>
          <w:rFonts w:eastAsia="Yu Mincho"/>
          <w:color w:val="000000"/>
        </w:rPr>
        <w:t xml:space="preserve"> both</w:t>
      </w:r>
      <w:r w:rsidR="00065069">
        <w:rPr>
          <w:rFonts w:eastAsia="Yu Mincho"/>
          <w:color w:val="000000"/>
        </w:rPr>
        <w:t xml:space="preserve"> </w:t>
      </w:r>
      <w:r w:rsidR="009729D1" w:rsidRPr="00010DC1">
        <w:rPr>
          <w:rFonts w:eastAsia="Yu Mincho"/>
          <w:color w:val="000000"/>
        </w:rPr>
        <w:t xml:space="preserve">complex disease </w:t>
      </w:r>
      <w:r w:rsidR="00FB6DA6">
        <w:rPr>
          <w:rFonts w:eastAsia="Yu Mincho"/>
          <w:color w:val="000000"/>
        </w:rPr>
        <w:t>and</w:t>
      </w:r>
      <w:r w:rsidR="009729D1" w:rsidRPr="00010DC1">
        <w:rPr>
          <w:rFonts w:eastAsia="Yu Mincho"/>
          <w:color w:val="000000"/>
        </w:rPr>
        <w:t xml:space="preserve"> combined mental and physical health</w:t>
      </w:r>
      <w:r w:rsidR="006F0C4D">
        <w:rPr>
          <w:rFonts w:eastAsia="Yu Mincho"/>
          <w:color w:val="000000"/>
        </w:rPr>
        <w:t>,[</w:t>
      </w:r>
      <w:r w:rsidR="00334888" w:rsidRPr="00010DC1">
        <w:rPr>
          <w:rFonts w:eastAsia="Yu Mincho"/>
          <w:color w:val="000000"/>
        </w:rPr>
        <w:t>1</w:t>
      </w:r>
      <w:r w:rsidR="00A25F07">
        <w:rPr>
          <w:rFonts w:eastAsia="Yu Mincho"/>
          <w:color w:val="000000"/>
        </w:rPr>
        <w:t>8</w:t>
      </w:r>
      <w:r w:rsidR="006F0C4D">
        <w:rPr>
          <w:rFonts w:eastAsia="Yu Mincho"/>
          <w:color w:val="000000"/>
        </w:rPr>
        <w:t>]</w:t>
      </w:r>
      <w:r w:rsidR="00FB6DA6">
        <w:rPr>
          <w:rFonts w:eastAsia="Yu Mincho"/>
          <w:color w:val="000000"/>
        </w:rPr>
        <w:t>.</w:t>
      </w:r>
    </w:p>
    <w:p w14:paraId="7E7B7C65" w14:textId="77777777" w:rsidR="00C462C7" w:rsidRDefault="00C462C7" w:rsidP="00C462C7">
      <w:pPr>
        <w:rPr>
          <w:rFonts w:eastAsia="Yu Mincho"/>
          <w:color w:val="000000"/>
          <w:lang w:eastAsia="en-US"/>
        </w:rPr>
      </w:pPr>
    </w:p>
    <w:p w14:paraId="64F66469" w14:textId="5763CBB5" w:rsidR="007A33C2" w:rsidRPr="000C1458" w:rsidRDefault="00962EA6" w:rsidP="007A33C2">
      <w:pPr>
        <w:rPr>
          <w:shd w:val="clear" w:color="auto" w:fill="FFFFFF"/>
        </w:rPr>
      </w:pPr>
      <w:r>
        <w:rPr>
          <w:rFonts w:eastAsia="Yu Mincho"/>
          <w:lang w:eastAsia="en-US"/>
        </w:rPr>
        <w:t>Previous</w:t>
      </w:r>
      <w:r w:rsidRPr="00C80A3F">
        <w:rPr>
          <w:rFonts w:eastAsia="Yu Mincho"/>
          <w:lang w:eastAsia="en-US"/>
        </w:rPr>
        <w:t xml:space="preserve"> studies have </w:t>
      </w:r>
      <w:r>
        <w:rPr>
          <w:rFonts w:eastAsia="Yu Mincho"/>
          <w:lang w:eastAsia="en-US"/>
        </w:rPr>
        <w:t xml:space="preserve">used </w:t>
      </w:r>
      <w:r w:rsidRPr="00C80A3F">
        <w:rPr>
          <w:rFonts w:eastAsia="Yu Mincho"/>
          <w:lang w:eastAsia="en-US"/>
        </w:rPr>
        <w:t>limited time frames and limited analyses of the sequence of accrual of LTCs</w:t>
      </w:r>
      <w:r w:rsidR="006F0C4D">
        <w:rPr>
          <w:rFonts w:eastAsia="Yu Mincho"/>
          <w:lang w:eastAsia="en-US"/>
        </w:rPr>
        <w:t>,[</w:t>
      </w:r>
      <w:r w:rsidR="00BA09F7">
        <w:rPr>
          <w:rFonts w:eastAsia="Yu Mincho"/>
          <w:lang w:eastAsia="en-US"/>
        </w:rPr>
        <w:t>4</w:t>
      </w:r>
      <w:r w:rsidR="006F0C4D">
        <w:rPr>
          <w:rFonts w:eastAsia="Yu Mincho"/>
          <w:lang w:eastAsia="en-US"/>
        </w:rPr>
        <w:t>]</w:t>
      </w:r>
      <w:r>
        <w:rPr>
          <w:rFonts w:eastAsia="Yu Mincho"/>
          <w:lang w:eastAsia="en-US"/>
        </w:rPr>
        <w:t>. U</w:t>
      </w:r>
      <w:r w:rsidR="002F63E4">
        <w:rPr>
          <w:rFonts w:eastAsia="Yu Mincho"/>
          <w:lang w:eastAsia="en-US"/>
        </w:rPr>
        <w:t xml:space="preserve">sing </w:t>
      </w:r>
      <w:r w:rsidR="00810705">
        <w:rPr>
          <w:rFonts w:eastAsia="Yu Mincho"/>
          <w:lang w:eastAsia="en-US"/>
        </w:rPr>
        <w:t xml:space="preserve">birth cohort data to </w:t>
      </w:r>
      <w:r w:rsidR="00505801">
        <w:rPr>
          <w:rFonts w:eastAsia="Yu Mincho"/>
          <w:lang w:eastAsia="en-US"/>
        </w:rPr>
        <w:t>study m</w:t>
      </w:r>
      <w:r w:rsidR="00A36A6F" w:rsidRPr="00C80A3F">
        <w:rPr>
          <w:rFonts w:eastAsia="Yu Mincho"/>
          <w:lang w:eastAsia="en-US"/>
        </w:rPr>
        <w:t xml:space="preserve">ultimorbidity </w:t>
      </w:r>
      <w:r w:rsidR="002F63E4">
        <w:rPr>
          <w:rFonts w:eastAsia="Yu Mincho"/>
          <w:lang w:eastAsia="en-US"/>
        </w:rPr>
        <w:t xml:space="preserve">at midlife </w:t>
      </w:r>
      <w:r>
        <w:rPr>
          <w:rFonts w:eastAsia="Yu Mincho"/>
          <w:lang w:eastAsia="en-US"/>
        </w:rPr>
        <w:t>is under-</w:t>
      </w:r>
      <w:r w:rsidR="00A36A6F" w:rsidRPr="00C80A3F">
        <w:rPr>
          <w:rFonts w:eastAsia="Yu Mincho"/>
          <w:lang w:eastAsia="en-US"/>
        </w:rPr>
        <w:t>explored</w:t>
      </w:r>
      <w:r w:rsidR="001E5F57" w:rsidRPr="00C80A3F">
        <w:rPr>
          <w:rFonts w:eastAsia="Yu Mincho"/>
          <w:lang w:eastAsia="en-US"/>
        </w:rPr>
        <w:t xml:space="preserve">. </w:t>
      </w:r>
      <w:r>
        <w:rPr>
          <w:rFonts w:eastAsia="Yu Mincho"/>
          <w:lang w:eastAsia="en-US"/>
        </w:rPr>
        <w:t>Gondek et al</w:t>
      </w:r>
      <w:r w:rsidRPr="00C80A3F">
        <w:rPr>
          <w:rFonts w:eastAsia="Yu Mincho"/>
          <w:lang w:eastAsia="en-US"/>
        </w:rPr>
        <w:t xml:space="preserve"> </w:t>
      </w:r>
      <w:r w:rsidR="00D164A7">
        <w:rPr>
          <w:rFonts w:eastAsia="Yu Mincho"/>
          <w:lang w:eastAsia="en-US"/>
        </w:rPr>
        <w:t>us</w:t>
      </w:r>
      <w:r w:rsidR="00FB13E2">
        <w:rPr>
          <w:rFonts w:eastAsia="Yu Mincho"/>
          <w:lang w:eastAsia="en-US"/>
        </w:rPr>
        <w:t>ed</w:t>
      </w:r>
      <w:r w:rsidR="00D164A7">
        <w:rPr>
          <w:rFonts w:eastAsia="Yu Mincho"/>
          <w:lang w:eastAsia="en-US"/>
        </w:rPr>
        <w:t xml:space="preserve"> data from the </w:t>
      </w:r>
      <w:r w:rsidR="00D164A7" w:rsidRPr="00C80A3F">
        <w:rPr>
          <w:color w:val="000000" w:themeColor="text1"/>
          <w:shd w:val="clear" w:color="auto" w:fill="FFFFFF"/>
        </w:rPr>
        <w:t xml:space="preserve">1970 British Cohort Study </w:t>
      </w:r>
      <w:r w:rsidR="00D164A7">
        <w:rPr>
          <w:color w:val="000000" w:themeColor="text1"/>
          <w:shd w:val="clear" w:color="auto" w:fill="FFFFFF"/>
        </w:rPr>
        <w:t xml:space="preserve">(BCS70) </w:t>
      </w:r>
      <w:r w:rsidRPr="00C80A3F">
        <w:rPr>
          <w:rFonts w:eastAsia="Yu Mincho"/>
          <w:lang w:eastAsia="en-US"/>
        </w:rPr>
        <w:t>suggest</w:t>
      </w:r>
      <w:r w:rsidR="00FB13E2">
        <w:rPr>
          <w:rFonts w:eastAsia="Yu Mincho"/>
          <w:lang w:eastAsia="en-US"/>
        </w:rPr>
        <w:t>ing</w:t>
      </w:r>
      <w:r w:rsidRPr="00C80A3F">
        <w:rPr>
          <w:rFonts w:eastAsia="Yu Mincho"/>
          <w:lang w:eastAsia="en-US"/>
        </w:rPr>
        <w:t xml:space="preserve"> that multimorbidity (two LTCs) is common at </w:t>
      </w:r>
      <w:r w:rsidR="007A2509">
        <w:rPr>
          <w:rFonts w:eastAsia="Yu Mincho"/>
          <w:lang w:eastAsia="en-US"/>
        </w:rPr>
        <w:t>age 46-48</w:t>
      </w:r>
      <w:r w:rsidRPr="00C80A3F">
        <w:rPr>
          <w:rFonts w:eastAsia="Yu Mincho"/>
          <w:lang w:eastAsia="en-US"/>
        </w:rPr>
        <w:t xml:space="preserve"> (</w:t>
      </w:r>
      <w:r w:rsidR="008B1529">
        <w:rPr>
          <w:rFonts w:eastAsia="Yu Mincho"/>
          <w:lang w:eastAsia="en-US"/>
        </w:rPr>
        <w:t>34%</w:t>
      </w:r>
      <w:r w:rsidRPr="00C80A3F">
        <w:rPr>
          <w:rFonts w:eastAsia="Yu Mincho"/>
          <w:lang w:eastAsia="en-US"/>
        </w:rPr>
        <w:t>)</w:t>
      </w:r>
      <w:r w:rsidR="006F0C4D">
        <w:rPr>
          <w:rFonts w:eastAsia="Yu Mincho"/>
          <w:lang w:eastAsia="en-US"/>
        </w:rPr>
        <w:t>,[</w:t>
      </w:r>
      <w:r w:rsidR="00762F31">
        <w:rPr>
          <w:rFonts w:eastAsia="Yu Mincho"/>
          <w:lang w:eastAsia="en-US"/>
        </w:rPr>
        <w:t>1</w:t>
      </w:r>
      <w:r w:rsidR="00A25F07">
        <w:rPr>
          <w:rFonts w:eastAsia="Yu Mincho"/>
          <w:lang w:eastAsia="en-US"/>
        </w:rPr>
        <w:t>9</w:t>
      </w:r>
      <w:r w:rsidR="006F0C4D">
        <w:rPr>
          <w:rFonts w:eastAsia="Yu Mincho"/>
          <w:lang w:eastAsia="en-US"/>
        </w:rPr>
        <w:t>]</w:t>
      </w:r>
      <w:r w:rsidRPr="00C80A3F">
        <w:rPr>
          <w:rFonts w:eastAsia="Yu Mincho"/>
          <w:lang w:eastAsia="en-US"/>
        </w:rPr>
        <w:t xml:space="preserve">. </w:t>
      </w:r>
      <w:r w:rsidR="00D164A7">
        <w:t xml:space="preserve">Building on this work, </w:t>
      </w:r>
      <w:r w:rsidR="002D1627">
        <w:t xml:space="preserve">we </w:t>
      </w:r>
      <w:r w:rsidR="00645B74">
        <w:t>aim</w:t>
      </w:r>
      <w:r w:rsidR="00A17F17">
        <w:t>ed</w:t>
      </w:r>
      <w:r w:rsidR="002D1627">
        <w:t xml:space="preserve"> to study </w:t>
      </w:r>
      <w:r w:rsidR="00645B74">
        <w:t xml:space="preserve">the most common </w:t>
      </w:r>
      <w:r w:rsidR="002D1627">
        <w:t>three</w:t>
      </w:r>
      <w:r w:rsidR="00645B74">
        <w:t>-</w:t>
      </w:r>
      <w:r w:rsidR="002D1627">
        <w:t xml:space="preserve">condition multimorbidity group </w:t>
      </w:r>
      <w:r w:rsidR="00DC522E">
        <w:t xml:space="preserve">at age 46 using the BCS70 </w:t>
      </w:r>
      <w:r w:rsidR="002D1627">
        <w:t xml:space="preserve">in order to explore and characterise sequences and incorporate </w:t>
      </w:r>
      <w:r w:rsidR="002D1627">
        <w:rPr>
          <w:shd w:val="clear" w:color="auto" w:fill="FFFFFF"/>
        </w:rPr>
        <w:t>the concept of ‘</w:t>
      </w:r>
      <w:r w:rsidR="002D1627" w:rsidRPr="00C80A3F">
        <w:t>burdensome</w:t>
      </w:r>
      <w:r w:rsidR="002D1627">
        <w:t>’ multimorbidity</w:t>
      </w:r>
      <w:r w:rsidR="002D1627" w:rsidRPr="00C80A3F">
        <w:t xml:space="preserve"> </w:t>
      </w:r>
      <w:r w:rsidR="002D1627">
        <w:t xml:space="preserve">by </w:t>
      </w:r>
      <w:r w:rsidR="002D1627" w:rsidRPr="00C80A3F">
        <w:t xml:space="preserve">combining </w:t>
      </w:r>
      <w:r w:rsidR="002D1627">
        <w:t xml:space="preserve">both </w:t>
      </w:r>
      <w:r w:rsidR="002D1627" w:rsidRPr="00C80A3F">
        <w:t>mental and physical conditions</w:t>
      </w:r>
      <w:r w:rsidR="002D1627">
        <w:t>. W</w:t>
      </w:r>
      <w:r w:rsidR="00A20B0A">
        <w:t xml:space="preserve">e </w:t>
      </w:r>
      <w:r w:rsidR="00DE1B7A">
        <w:t>aimed to</w:t>
      </w:r>
      <w:r w:rsidR="00323663">
        <w:t xml:space="preserve"> </w:t>
      </w:r>
      <w:r w:rsidR="00C35605">
        <w:t>describe</w:t>
      </w:r>
      <w:r w:rsidR="00C35605" w:rsidRPr="00C80A3F">
        <w:t xml:space="preserve"> the </w:t>
      </w:r>
      <w:r w:rsidR="003A5FE5">
        <w:t>nature</w:t>
      </w:r>
      <w:r w:rsidR="00DF1800">
        <w:t>,</w:t>
      </w:r>
      <w:r w:rsidR="003A5FE5">
        <w:t xml:space="preserve"> timing </w:t>
      </w:r>
      <w:r w:rsidR="00DF1800">
        <w:t xml:space="preserve">and recurrence </w:t>
      </w:r>
      <w:r w:rsidR="003A5FE5">
        <w:t xml:space="preserve">of the </w:t>
      </w:r>
      <w:r w:rsidR="00C35605" w:rsidRPr="00C80A3F">
        <w:t>sentinel condition</w:t>
      </w:r>
      <w:r w:rsidR="00C35605">
        <w:t xml:space="preserve"> </w:t>
      </w:r>
      <w:r w:rsidR="00C35605" w:rsidRPr="00C80A3F">
        <w:t xml:space="preserve">for those reporting </w:t>
      </w:r>
      <w:r w:rsidR="00015341">
        <w:rPr>
          <w:shd w:val="clear" w:color="auto" w:fill="FFFFFF"/>
        </w:rPr>
        <w:t>the most common three-condition MLTC-M</w:t>
      </w:r>
      <w:r w:rsidR="00924111">
        <w:t>,</w:t>
      </w:r>
      <w:r w:rsidR="00504498">
        <w:t xml:space="preserve"> to</w:t>
      </w:r>
      <w:r w:rsidR="00C35605" w:rsidRPr="00C80A3F">
        <w:t xml:space="preserve"> </w:t>
      </w:r>
      <w:r w:rsidR="00C35605">
        <w:t xml:space="preserve">illustrate </w:t>
      </w:r>
      <w:r w:rsidR="00C35605" w:rsidRPr="00C80A3F">
        <w:t xml:space="preserve">the sequence of accrual of </w:t>
      </w:r>
      <w:r w:rsidR="003A5FE5">
        <w:t>LTCs following the sentinel condition</w:t>
      </w:r>
      <w:r w:rsidR="00924111">
        <w:t xml:space="preserve"> and </w:t>
      </w:r>
      <w:r w:rsidR="002D1627">
        <w:t xml:space="preserve">describe </w:t>
      </w:r>
      <w:r w:rsidR="002C31E2">
        <w:t xml:space="preserve">the </w:t>
      </w:r>
      <w:r w:rsidR="002C31E2">
        <w:rPr>
          <w:rFonts w:eastAsia="Yu Mincho"/>
          <w:color w:val="000000"/>
          <w:lang w:eastAsia="en-US"/>
        </w:rPr>
        <w:t>permanency of the reporting of psychological distress</w:t>
      </w:r>
      <w:r w:rsidR="00D84CAB">
        <w:t>.</w:t>
      </w:r>
      <w:r w:rsidR="00B42F99">
        <w:t xml:space="preserve"> </w:t>
      </w:r>
    </w:p>
    <w:p w14:paraId="2DD502EA" w14:textId="77777777" w:rsidR="00B0610C" w:rsidRPr="00C80A3F" w:rsidRDefault="00B0610C" w:rsidP="00E1230D">
      <w:pPr>
        <w:rPr>
          <w:u w:val="single"/>
        </w:rPr>
      </w:pPr>
    </w:p>
    <w:p w14:paraId="59CFD85B" w14:textId="709045C0" w:rsidR="00E1230D" w:rsidRPr="006F0C4D" w:rsidRDefault="006F0C4D" w:rsidP="00E1230D">
      <w:r w:rsidRPr="006F0C4D">
        <w:t>METHODS</w:t>
      </w:r>
    </w:p>
    <w:p w14:paraId="6921FEE5" w14:textId="583C7F31" w:rsidR="00E1230D" w:rsidRPr="00A20B0A" w:rsidRDefault="00E1230D" w:rsidP="00E1230D">
      <w:pPr>
        <w:rPr>
          <w:i/>
          <w:iCs/>
        </w:rPr>
      </w:pPr>
    </w:p>
    <w:p w14:paraId="694F080D" w14:textId="0E1ED44A" w:rsidR="009F45F5" w:rsidRDefault="009F45F5" w:rsidP="009F45F5">
      <w:r w:rsidRPr="006F0C4D">
        <w:t xml:space="preserve">Birth cohort study: </w:t>
      </w:r>
    </w:p>
    <w:p w14:paraId="4FC2C54B" w14:textId="77777777" w:rsidR="005C21FA" w:rsidRPr="006F0C4D" w:rsidRDefault="005C21FA" w:rsidP="009F45F5"/>
    <w:p w14:paraId="17F4BAA2" w14:textId="0BE85005" w:rsidR="009F45F5" w:rsidRPr="00D35562" w:rsidRDefault="009F45F5" w:rsidP="009F45F5">
      <w:r w:rsidRPr="00C80A3F">
        <w:rPr>
          <w:color w:val="000000" w:themeColor="text1"/>
          <w:shd w:val="clear" w:color="auto" w:fill="FFFFFF"/>
        </w:rPr>
        <w:t xml:space="preserve">The BCS70 followed 17,096 participants </w:t>
      </w:r>
      <w:r w:rsidR="00724DFD">
        <w:rPr>
          <w:color w:val="000000" w:themeColor="text1"/>
          <w:shd w:val="clear" w:color="auto" w:fill="FFFFFF"/>
        </w:rPr>
        <w:t>born in 1970</w:t>
      </w:r>
      <w:r w:rsidR="007E68EA">
        <w:rPr>
          <w:color w:val="000000" w:themeColor="text1"/>
          <w:shd w:val="clear" w:color="auto" w:fill="FFFFFF"/>
        </w:rPr>
        <w:t xml:space="preserve"> </w:t>
      </w:r>
      <w:r>
        <w:rPr>
          <w:color w:val="000000" w:themeColor="text1"/>
          <w:shd w:val="clear" w:color="auto" w:fill="FFFFFF"/>
        </w:rPr>
        <w:t xml:space="preserve">from </w:t>
      </w:r>
      <w:r w:rsidRPr="00C80A3F">
        <w:rPr>
          <w:color w:val="000000" w:themeColor="text1"/>
          <w:shd w:val="clear" w:color="auto" w:fill="FFFFFF"/>
        </w:rPr>
        <w:t>across England, Scotland and Wale</w:t>
      </w:r>
      <w:r w:rsidR="00724DFD">
        <w:rPr>
          <w:color w:val="000000" w:themeColor="text1"/>
          <w:shd w:val="clear" w:color="auto" w:fill="FFFFFF"/>
        </w:rPr>
        <w:t>s</w:t>
      </w:r>
      <w:r w:rsidRPr="00C80A3F">
        <w:rPr>
          <w:color w:val="000000" w:themeColor="text1"/>
          <w:shd w:val="clear" w:color="auto" w:fill="FFFFFF"/>
        </w:rPr>
        <w:t>.</w:t>
      </w:r>
      <w:r w:rsidRPr="00C80A3F">
        <w:rPr>
          <w:color w:val="000000" w:themeColor="text1"/>
          <w:lang w:val="en-US"/>
        </w:rPr>
        <w:t xml:space="preserve"> </w:t>
      </w:r>
      <w:r w:rsidR="001332A6">
        <w:rPr>
          <w:color w:val="000000" w:themeColor="text1"/>
          <w:shd w:val="clear" w:color="auto" w:fill="FFFFFF"/>
        </w:rPr>
        <w:t>Since birth, d</w:t>
      </w:r>
      <w:r>
        <w:rPr>
          <w:color w:val="000000" w:themeColor="text1"/>
          <w:shd w:val="clear" w:color="auto" w:fill="FFFFFF"/>
        </w:rPr>
        <w:t xml:space="preserve">ata </w:t>
      </w:r>
      <w:r w:rsidR="009C7A33">
        <w:rPr>
          <w:color w:val="000000" w:themeColor="text1"/>
          <w:shd w:val="clear" w:color="auto" w:fill="FFFFFF"/>
        </w:rPr>
        <w:t>was</w:t>
      </w:r>
      <w:r>
        <w:rPr>
          <w:color w:val="000000" w:themeColor="text1"/>
          <w:shd w:val="clear" w:color="auto" w:fill="FFFFFF"/>
        </w:rPr>
        <w:t xml:space="preserve"> collected in ‘sweeps’ roughly every four years</w:t>
      </w:r>
      <w:r w:rsidRPr="009B7397">
        <w:rPr>
          <w:color w:val="000000" w:themeColor="text1"/>
          <w:shd w:val="clear" w:color="auto" w:fill="FFFFFF"/>
        </w:rPr>
        <w:t xml:space="preserve"> </w:t>
      </w:r>
      <w:r w:rsidR="00922659">
        <w:rPr>
          <w:color w:val="000000" w:themeColor="text1"/>
          <w:shd w:val="clear" w:color="auto" w:fill="FFFFFF"/>
        </w:rPr>
        <w:t xml:space="preserve">resulting in </w:t>
      </w:r>
      <w:r>
        <w:rPr>
          <w:color w:val="000000" w:themeColor="text1"/>
          <w:shd w:val="clear" w:color="auto" w:fill="FFFFFF"/>
        </w:rPr>
        <w:t>10 sweeps of data collection</w:t>
      </w:r>
      <w:r w:rsidR="0003560D">
        <w:rPr>
          <w:color w:val="000000" w:themeColor="text1"/>
          <w:shd w:val="clear" w:color="auto" w:fill="FFFFFF"/>
        </w:rPr>
        <w:t xml:space="preserve"> to date</w:t>
      </w:r>
      <w:r>
        <w:rPr>
          <w:color w:val="000000" w:themeColor="text1"/>
          <w:shd w:val="clear" w:color="auto" w:fill="FFFFFF"/>
        </w:rPr>
        <w:t xml:space="preserve">. </w:t>
      </w:r>
      <w:r w:rsidR="00550101" w:rsidRPr="00550101">
        <w:rPr>
          <w:color w:val="000000" w:themeColor="text1"/>
          <w:shd w:val="clear" w:color="auto" w:fill="FFFFFF"/>
        </w:rPr>
        <w:t>The BCS70 datasets generated and analysed in the study are available in the UK Data Service repository: BCS70</w:t>
      </w:r>
      <w:r w:rsidR="00550101">
        <w:rPr>
          <w:color w:val="000000" w:themeColor="text1"/>
          <w:shd w:val="clear" w:color="auto" w:fill="FFFFFF"/>
        </w:rPr>
        <w:t>,[</w:t>
      </w:r>
      <w:r w:rsidR="00BF4429">
        <w:rPr>
          <w:color w:val="000000" w:themeColor="text1"/>
          <w:shd w:val="clear" w:color="auto" w:fill="FFFFFF"/>
        </w:rPr>
        <w:t>20</w:t>
      </w:r>
      <w:r w:rsidR="00550101">
        <w:rPr>
          <w:color w:val="000000" w:themeColor="text1"/>
          <w:shd w:val="clear" w:color="auto" w:fill="FFFFFF"/>
        </w:rPr>
        <w:t>]</w:t>
      </w:r>
      <w:r w:rsidR="000626F8">
        <w:rPr>
          <w:color w:val="000000" w:themeColor="text1"/>
          <w:shd w:val="clear" w:color="auto" w:fill="FFFFFF"/>
        </w:rPr>
        <w:t>, accessed via an End User License Agreement</w:t>
      </w:r>
      <w:r w:rsidR="00550101">
        <w:rPr>
          <w:color w:val="000000" w:themeColor="text1"/>
          <w:shd w:val="clear" w:color="auto" w:fill="FFFFFF"/>
        </w:rPr>
        <w:t xml:space="preserve">. </w:t>
      </w:r>
      <w:r>
        <w:rPr>
          <w:color w:val="000000" w:themeColor="text1"/>
          <w:shd w:val="clear" w:color="auto" w:fill="FFFFFF"/>
        </w:rPr>
        <w:t xml:space="preserve">Extensive information </w:t>
      </w:r>
      <w:r w:rsidR="009C7A33">
        <w:rPr>
          <w:color w:val="000000" w:themeColor="text1"/>
          <w:shd w:val="clear" w:color="auto" w:fill="FFFFFF"/>
        </w:rPr>
        <w:t xml:space="preserve">was </w:t>
      </w:r>
      <w:r>
        <w:rPr>
          <w:color w:val="000000" w:themeColor="text1"/>
          <w:shd w:val="clear" w:color="auto" w:fill="FFFFFF"/>
        </w:rPr>
        <w:t>collected on topics including</w:t>
      </w:r>
      <w:r w:rsidRPr="005B5D99">
        <w:rPr>
          <w:color w:val="000000" w:themeColor="text1"/>
          <w:shd w:val="clear" w:color="auto" w:fill="FFFFFF"/>
        </w:rPr>
        <w:t xml:space="preserve"> </w:t>
      </w:r>
      <w:r w:rsidRPr="009B7397">
        <w:rPr>
          <w:color w:val="000000" w:themeColor="text1"/>
          <w:shd w:val="clear" w:color="auto" w:fill="FFFFFF"/>
        </w:rPr>
        <w:t>socio-economic circumstances, family background, cognitive development, education, employment, partnership</w:t>
      </w:r>
      <w:r w:rsidR="001332A6">
        <w:rPr>
          <w:color w:val="000000" w:themeColor="text1"/>
          <w:shd w:val="clear" w:color="auto" w:fill="FFFFFF"/>
        </w:rPr>
        <w:t>s</w:t>
      </w:r>
      <w:r w:rsidRPr="009B7397">
        <w:rPr>
          <w:color w:val="000000" w:themeColor="text1"/>
          <w:shd w:val="clear" w:color="auto" w:fill="FFFFFF"/>
        </w:rPr>
        <w:t>, fertility, health and health-</w:t>
      </w:r>
      <w:r w:rsidRPr="00D35562">
        <w:t>related behaviour</w:t>
      </w:r>
      <w:r w:rsidR="006F0C4D">
        <w:t>,[</w:t>
      </w:r>
      <w:r w:rsidR="00A25F07">
        <w:t>2</w:t>
      </w:r>
      <w:r w:rsidR="00BF4429">
        <w:t>1</w:t>
      </w:r>
      <w:r w:rsidR="006F0C4D">
        <w:t>]</w:t>
      </w:r>
      <w:r w:rsidRPr="00D35562">
        <w:t xml:space="preserve">. Data </w:t>
      </w:r>
      <w:r w:rsidR="009C7A33">
        <w:t>was</w:t>
      </w:r>
      <w:r w:rsidRPr="00D35562">
        <w:t xml:space="preserve"> collected using a range of survey methods including self-reported and measured outcomes. A user guide for the dataset can be found at the Centre for Longitudinal Studies</w:t>
      </w:r>
      <w:r w:rsidR="006F0C4D">
        <w:t>,[</w:t>
      </w:r>
      <w:r w:rsidR="00983DBF">
        <w:t>2</w:t>
      </w:r>
      <w:r w:rsidR="00BF4429">
        <w:t>2</w:t>
      </w:r>
      <w:r w:rsidR="006F0C4D">
        <w:t>]</w:t>
      </w:r>
      <w:r w:rsidRPr="00D35562">
        <w:t>. A cohort</w:t>
      </w:r>
      <w:r w:rsidR="004D492A">
        <w:t xml:space="preserve"> </w:t>
      </w:r>
      <w:r w:rsidRPr="00D35562">
        <w:t>profile provid</w:t>
      </w:r>
      <w:r w:rsidR="009C7A33">
        <w:t>es</w:t>
      </w:r>
      <w:r w:rsidRPr="00D35562">
        <w:t xml:space="preserve"> information about the background to the study and full survey methods for each sweep</w:t>
      </w:r>
      <w:r w:rsidR="006F0C4D">
        <w:t>,[</w:t>
      </w:r>
      <w:r w:rsidR="00A25F07">
        <w:t>2</w:t>
      </w:r>
      <w:r w:rsidR="00BF4429">
        <w:t>1</w:t>
      </w:r>
      <w:r w:rsidRPr="00D35562">
        <w:t>,</w:t>
      </w:r>
      <w:r w:rsidR="00983DBF">
        <w:t>2</w:t>
      </w:r>
      <w:r w:rsidR="00BF4429">
        <w:t>3</w:t>
      </w:r>
      <w:r w:rsidR="006F0C4D">
        <w:t>]</w:t>
      </w:r>
      <w:r w:rsidRPr="00D35562">
        <w:t xml:space="preserve">. </w:t>
      </w:r>
    </w:p>
    <w:p w14:paraId="22A89F83" w14:textId="77777777" w:rsidR="009F45F5" w:rsidRPr="00A20B0A" w:rsidRDefault="009F45F5" w:rsidP="009F45F5">
      <w:pPr>
        <w:rPr>
          <w:i/>
          <w:iCs/>
          <w:color w:val="000000" w:themeColor="text1"/>
        </w:rPr>
      </w:pPr>
    </w:p>
    <w:p w14:paraId="39FC2315" w14:textId="7E17A0BD" w:rsidR="009F45F5" w:rsidRDefault="009F45F5" w:rsidP="009F45F5">
      <w:pPr>
        <w:rPr>
          <w:color w:val="000000" w:themeColor="text1"/>
        </w:rPr>
      </w:pPr>
      <w:r w:rsidRPr="006F0C4D">
        <w:rPr>
          <w:color w:val="000000" w:themeColor="text1"/>
        </w:rPr>
        <w:t>Study sample:</w:t>
      </w:r>
    </w:p>
    <w:p w14:paraId="6B7E7256" w14:textId="77777777" w:rsidR="005C21FA" w:rsidRPr="006F0C4D" w:rsidRDefault="005C21FA" w:rsidP="009F45F5">
      <w:pPr>
        <w:rPr>
          <w:color w:val="000000" w:themeColor="text1"/>
        </w:rPr>
      </w:pPr>
    </w:p>
    <w:p w14:paraId="102FBD8B" w14:textId="42A8CEBE" w:rsidR="007F6052" w:rsidRDefault="008323AA" w:rsidP="009F45F5">
      <w:pPr>
        <w:rPr>
          <w:color w:val="000000" w:themeColor="text1"/>
        </w:rPr>
      </w:pPr>
      <w:r>
        <w:t>Information was collected on 17,196 babies born in 1970.</w:t>
      </w:r>
      <w:r>
        <w:rPr>
          <w:color w:val="000000" w:themeColor="text1"/>
        </w:rPr>
        <w:t xml:space="preserve"> </w:t>
      </w:r>
      <w:r>
        <w:t xml:space="preserve">At age 46, 8581 (49.9%) of the original population at birth responded - 8536 provided information on LTCs. </w:t>
      </w:r>
      <w:r w:rsidR="009F45F5">
        <w:rPr>
          <w:color w:val="000000" w:themeColor="text1"/>
        </w:rPr>
        <w:t xml:space="preserve"> To derive the sentinel condition and accrual sequence </w:t>
      </w:r>
      <w:r w:rsidR="0003560D">
        <w:t>we considered the MLTC-M group at age 46 who provided information</w:t>
      </w:r>
      <w:r w:rsidR="009F45F5">
        <w:rPr>
          <w:color w:val="000000" w:themeColor="text1"/>
        </w:rPr>
        <w:t xml:space="preserve"> across </w:t>
      </w:r>
      <w:r w:rsidR="007A2C12">
        <w:rPr>
          <w:color w:val="000000" w:themeColor="text1"/>
        </w:rPr>
        <w:t xml:space="preserve">all </w:t>
      </w:r>
      <w:r w:rsidR="009F45F5">
        <w:rPr>
          <w:color w:val="000000" w:themeColor="text1"/>
        </w:rPr>
        <w:t>the sweeps of data collection in adulthood</w:t>
      </w:r>
      <w:r w:rsidR="00015341">
        <w:rPr>
          <w:color w:val="000000" w:themeColor="text1"/>
        </w:rPr>
        <w:t xml:space="preserve"> </w:t>
      </w:r>
      <w:r w:rsidR="00015341" w:rsidRPr="00C80A3F">
        <w:rPr>
          <w:color w:val="000000" w:themeColor="text1"/>
        </w:rPr>
        <w:t>(age 26, 30, 34, 38, 42 and 46)</w:t>
      </w:r>
      <w:r w:rsidR="00665832">
        <w:rPr>
          <w:color w:val="000000" w:themeColor="text1"/>
        </w:rPr>
        <w:t xml:space="preserve"> </w:t>
      </w:r>
      <w:r w:rsidR="00081E5A">
        <w:rPr>
          <w:color w:val="000000" w:themeColor="text1"/>
        </w:rPr>
        <w:t>(n=164/370)</w:t>
      </w:r>
      <w:r w:rsidR="009F45F5">
        <w:rPr>
          <w:color w:val="000000" w:themeColor="text1"/>
        </w:rPr>
        <w:t xml:space="preserve">. </w:t>
      </w:r>
      <w:r w:rsidR="007F6052">
        <w:rPr>
          <w:color w:val="000000" w:themeColor="text1"/>
        </w:rPr>
        <w:t xml:space="preserve"> </w:t>
      </w:r>
    </w:p>
    <w:p w14:paraId="40CB3259" w14:textId="4E575D05" w:rsidR="00DF30AC" w:rsidRDefault="00DF30AC" w:rsidP="009F45F5">
      <w:pPr>
        <w:rPr>
          <w:color w:val="000000" w:themeColor="text1"/>
        </w:rPr>
      </w:pPr>
    </w:p>
    <w:p w14:paraId="57448D44" w14:textId="357206B1" w:rsidR="00DF30AC" w:rsidRDefault="00DF30AC" w:rsidP="00DF30AC">
      <w:r>
        <w:t>Patient and public involvement statement:</w:t>
      </w:r>
    </w:p>
    <w:p w14:paraId="7BEC4629" w14:textId="77777777" w:rsidR="00DF30AC" w:rsidRDefault="00DF30AC" w:rsidP="00DF30AC"/>
    <w:p w14:paraId="324C98A5" w14:textId="611025A4" w:rsidR="00DF30AC" w:rsidRDefault="00DF30AC" w:rsidP="00DF30AC">
      <w:r>
        <w:t xml:space="preserve">Patient and Public Involvement and Engagement (PPIE) co-investigators have been involved at every stage of the research process. Their lived experiences were important for informing the design of the research, incorporation the views of others and shaping our ideas. In particular PPIE input directed us to consider multimorbidity clusters that were both burdensome and complex and to consider the </w:t>
      </w:r>
      <w:r>
        <w:rPr>
          <w:rFonts w:eastAsia="Yu Mincho"/>
          <w:color w:val="000000"/>
          <w:lang w:eastAsia="en-US"/>
        </w:rPr>
        <w:t>permanency of the reporting</w:t>
      </w:r>
      <w:r>
        <w:rPr>
          <w:rFonts w:eastAsia="Yu Mincho"/>
          <w:color w:val="000000"/>
        </w:rPr>
        <w:t xml:space="preserve"> of </w:t>
      </w:r>
      <w:r w:rsidR="00265042">
        <w:rPr>
          <w:rFonts w:eastAsia="Yu Mincho"/>
          <w:color w:val="000000"/>
        </w:rPr>
        <w:t>psychological distress</w:t>
      </w:r>
      <w:r>
        <w:rPr>
          <w:rFonts w:eastAsia="Yu Mincho"/>
          <w:color w:val="000000"/>
        </w:rPr>
        <w:t>.</w:t>
      </w:r>
    </w:p>
    <w:p w14:paraId="0D735DD5" w14:textId="42F0DCE5" w:rsidR="003F70F3" w:rsidRDefault="003F70F3" w:rsidP="009F45F5">
      <w:pPr>
        <w:rPr>
          <w:color w:val="000000" w:themeColor="text1"/>
        </w:rPr>
      </w:pPr>
    </w:p>
    <w:p w14:paraId="2D5710F6" w14:textId="75DB2129" w:rsidR="003F70F3" w:rsidRPr="006F0C4D" w:rsidRDefault="003F70F3" w:rsidP="009F45F5">
      <w:pPr>
        <w:rPr>
          <w:b/>
          <w:bCs/>
          <w:color w:val="000000" w:themeColor="text1"/>
        </w:rPr>
      </w:pPr>
      <w:r w:rsidRPr="006F0C4D">
        <w:rPr>
          <w:b/>
          <w:bCs/>
          <w:color w:val="000000" w:themeColor="text1"/>
        </w:rPr>
        <w:t xml:space="preserve">Variables: </w:t>
      </w:r>
    </w:p>
    <w:p w14:paraId="72942936" w14:textId="77777777" w:rsidR="003F70F3" w:rsidRPr="003F70F3" w:rsidRDefault="003F70F3" w:rsidP="009F45F5">
      <w:pPr>
        <w:rPr>
          <w:b/>
          <w:bCs/>
          <w:color w:val="000000" w:themeColor="text1"/>
        </w:rPr>
      </w:pPr>
    </w:p>
    <w:p w14:paraId="585185DE" w14:textId="31D35655" w:rsidR="009C7A33" w:rsidRDefault="009C7A33" w:rsidP="009C7A33">
      <w:r w:rsidRPr="006F0C4D">
        <w:lastRenderedPageBreak/>
        <w:t>Sociodemographic measures at age 46:</w:t>
      </w:r>
    </w:p>
    <w:p w14:paraId="13A3CDE7" w14:textId="77777777" w:rsidR="005C21FA" w:rsidRPr="006F0C4D" w:rsidRDefault="005C21FA" w:rsidP="009C7A33"/>
    <w:p w14:paraId="4A896C57" w14:textId="5694A419" w:rsidR="009C7A33" w:rsidRPr="0069747F" w:rsidRDefault="009C7A33" w:rsidP="009C7A33">
      <w:r>
        <w:t xml:space="preserve">A number of </w:t>
      </w:r>
      <w:r>
        <w:rPr>
          <w:rFonts w:eastAsia="Yu Mincho"/>
          <w:color w:val="000000"/>
        </w:rPr>
        <w:t xml:space="preserve">area-level and individual-level </w:t>
      </w:r>
      <w:r>
        <w:t xml:space="preserve">sociodemographic </w:t>
      </w:r>
      <w:r w:rsidR="00E34678">
        <w:t xml:space="preserve">variables were recorded </w:t>
      </w:r>
      <w:r>
        <w:t xml:space="preserve">at age 46. Measures included sex (men/women), the Index of Multiple Deprivation (IMD) (in quintiles) and highest academic qualification (no qualification, GCSE or equivalent, A levels or equivalent or degree </w:t>
      </w:r>
      <w:r w:rsidR="009C510B">
        <w:t>and</w:t>
      </w:r>
      <w:r>
        <w:t xml:space="preserve"> higher). Other measures included a three-measure index of housing tenure (own/mortgage, </w:t>
      </w:r>
      <w:r w:rsidR="00FB5FC6">
        <w:t xml:space="preserve">social </w:t>
      </w:r>
      <w:r>
        <w:t>rent</w:t>
      </w:r>
      <w:r w:rsidR="00FB5FC6">
        <w:t xml:space="preserve"> and private rent/</w:t>
      </w:r>
      <w:r>
        <w:t>other), measure of local authority or housing association housing (yes/no), employment status (employed, unemployed, sickness/disability or caring for family) and a measure of receipt of benefits (yes/no).</w:t>
      </w:r>
    </w:p>
    <w:p w14:paraId="16A5CD27" w14:textId="77777777" w:rsidR="009F45F5" w:rsidRDefault="009F45F5" w:rsidP="009F45F5">
      <w:pPr>
        <w:rPr>
          <w:b/>
          <w:bCs/>
          <w:color w:val="000000" w:themeColor="text1"/>
        </w:rPr>
      </w:pPr>
    </w:p>
    <w:p w14:paraId="71BC09BC" w14:textId="007FCBB9" w:rsidR="009F45F5" w:rsidRDefault="004C50FE" w:rsidP="009F45F5">
      <w:pPr>
        <w:rPr>
          <w:color w:val="000000" w:themeColor="text1"/>
        </w:rPr>
      </w:pPr>
      <w:r>
        <w:rPr>
          <w:color w:val="000000" w:themeColor="text1"/>
        </w:rPr>
        <w:t xml:space="preserve">Selecting </w:t>
      </w:r>
      <w:r w:rsidR="009F45F5" w:rsidRPr="006F0C4D">
        <w:rPr>
          <w:color w:val="000000" w:themeColor="text1"/>
        </w:rPr>
        <w:t>MLTC-M outcome at age 46:</w:t>
      </w:r>
    </w:p>
    <w:p w14:paraId="398CAC8E" w14:textId="77777777" w:rsidR="00065724" w:rsidRPr="006F0C4D" w:rsidRDefault="00065724" w:rsidP="009F45F5">
      <w:pPr>
        <w:rPr>
          <w:color w:val="000000" w:themeColor="text1"/>
        </w:rPr>
      </w:pPr>
    </w:p>
    <w:p w14:paraId="55CE76D1" w14:textId="04BDAED8" w:rsidR="009F45F5" w:rsidRPr="001F420B" w:rsidRDefault="009F45F5" w:rsidP="009F45F5">
      <w:r>
        <w:rPr>
          <w:color w:val="000000" w:themeColor="text1"/>
        </w:rPr>
        <w:t>W</w:t>
      </w:r>
      <w:r w:rsidR="004C50FE">
        <w:rPr>
          <w:color w:val="000000" w:themeColor="text1"/>
        </w:rPr>
        <w:t>e</w:t>
      </w:r>
      <w:r>
        <w:rPr>
          <w:color w:val="000000" w:themeColor="text1"/>
        </w:rPr>
        <w:t xml:space="preserve"> selected </w:t>
      </w:r>
      <w:r>
        <w:t>psychological distress</w:t>
      </w:r>
      <w:r>
        <w:rPr>
          <w:color w:val="000000" w:themeColor="text1"/>
        </w:rPr>
        <w:t xml:space="preserve">, back pain and high blood pressure as our </w:t>
      </w:r>
      <w:r w:rsidR="004C50FE">
        <w:rPr>
          <w:color w:val="000000" w:themeColor="text1"/>
        </w:rPr>
        <w:t xml:space="preserve">key </w:t>
      </w:r>
      <w:r>
        <w:rPr>
          <w:color w:val="000000" w:themeColor="text1"/>
        </w:rPr>
        <w:t xml:space="preserve">MLTC-M group at age 46 because </w:t>
      </w:r>
      <w:r w:rsidR="001735A5">
        <w:rPr>
          <w:color w:val="000000" w:themeColor="text1"/>
        </w:rPr>
        <w:t xml:space="preserve">our </w:t>
      </w:r>
      <w:r>
        <w:rPr>
          <w:color w:val="000000" w:themeColor="text1"/>
        </w:rPr>
        <w:t>scoping work</w:t>
      </w:r>
      <w:r w:rsidR="004C50FE">
        <w:rPr>
          <w:color w:val="000000" w:themeColor="text1"/>
        </w:rPr>
        <w:t xml:space="preserve"> had</w:t>
      </w:r>
      <w:r>
        <w:rPr>
          <w:color w:val="000000" w:themeColor="text1"/>
        </w:rPr>
        <w:t xml:space="preserve"> suggested that </w:t>
      </w:r>
      <w:r w:rsidR="0003560D">
        <w:t>this combination of three LTCs</w:t>
      </w:r>
      <w:r w:rsidR="0003560D">
        <w:rPr>
          <w:color w:val="000000" w:themeColor="text1"/>
        </w:rPr>
        <w:t xml:space="preserve"> was</w:t>
      </w:r>
      <w:r w:rsidR="004C50FE">
        <w:rPr>
          <w:color w:val="000000" w:themeColor="text1"/>
        </w:rPr>
        <w:t xml:space="preserve"> among</w:t>
      </w:r>
      <w:r>
        <w:rPr>
          <w:color w:val="000000" w:themeColor="text1"/>
        </w:rPr>
        <w:t xml:space="preserve"> </w:t>
      </w:r>
      <w:r>
        <w:rPr>
          <w:shd w:val="clear" w:color="auto" w:fill="FFFFFF"/>
        </w:rPr>
        <w:t xml:space="preserve">the most common </w:t>
      </w:r>
      <w:r>
        <w:rPr>
          <w:color w:val="000000" w:themeColor="text1"/>
        </w:rPr>
        <w:t>MLTC-M group</w:t>
      </w:r>
      <w:r w:rsidR="00510064">
        <w:rPr>
          <w:color w:val="000000" w:themeColor="text1"/>
        </w:rPr>
        <w:t>,[2</w:t>
      </w:r>
      <w:r w:rsidR="00BF4429">
        <w:rPr>
          <w:color w:val="000000" w:themeColor="text1"/>
        </w:rPr>
        <w:t>4</w:t>
      </w:r>
      <w:r w:rsidR="00510064">
        <w:rPr>
          <w:color w:val="000000" w:themeColor="text1"/>
        </w:rPr>
        <w:t>]</w:t>
      </w:r>
      <w:r>
        <w:rPr>
          <w:color w:val="000000" w:themeColor="text1"/>
        </w:rPr>
        <w:t>.</w:t>
      </w:r>
      <w:r w:rsidR="00A87133">
        <w:rPr>
          <w:shd w:val="clear" w:color="auto" w:fill="FFFFFF"/>
        </w:rPr>
        <w:t xml:space="preserve"> </w:t>
      </w:r>
      <w:r w:rsidR="001F7F6F">
        <w:rPr>
          <w:shd w:val="clear" w:color="auto" w:fill="FFFFFF"/>
        </w:rPr>
        <w:t>The other nine three-condition MLTC-M groups encompassed</w:t>
      </w:r>
      <w:r w:rsidR="001144C6">
        <w:rPr>
          <w:shd w:val="clear" w:color="auto" w:fill="FFFFFF"/>
        </w:rPr>
        <w:t xml:space="preserve"> the most common</w:t>
      </w:r>
      <w:r w:rsidR="001F7F6F">
        <w:rPr>
          <w:shd w:val="clear" w:color="auto" w:fill="FFFFFF"/>
        </w:rPr>
        <w:t xml:space="preserve"> LTCs</w:t>
      </w:r>
      <w:r w:rsidR="001144C6">
        <w:rPr>
          <w:shd w:val="clear" w:color="auto" w:fill="FFFFFF"/>
        </w:rPr>
        <w:t xml:space="preserve"> at age 46, including</w:t>
      </w:r>
      <w:r w:rsidR="001F7F6F">
        <w:rPr>
          <w:shd w:val="clear" w:color="auto" w:fill="FFFFFF"/>
        </w:rPr>
        <w:t xml:space="preserve"> </w:t>
      </w:r>
      <w:r w:rsidR="001F7F6F">
        <w:t>psychological distress</w:t>
      </w:r>
      <w:r w:rsidR="001F7F6F">
        <w:rPr>
          <w:color w:val="000000" w:themeColor="text1"/>
        </w:rPr>
        <w:t xml:space="preserve">, back pain, high blood pressure, </w:t>
      </w:r>
      <w:r w:rsidR="001F7F6F">
        <w:rPr>
          <w:shd w:val="clear" w:color="auto" w:fill="FFFFFF"/>
        </w:rPr>
        <w:t xml:space="preserve">asthma and arthritis. </w:t>
      </w:r>
      <w:r w:rsidR="00A87133">
        <w:t>Psychological distress</w:t>
      </w:r>
      <w:r w:rsidR="00D8285F">
        <w:t xml:space="preserve"> </w:t>
      </w:r>
      <w:r w:rsidR="00D8285F">
        <w:rPr>
          <w:shd w:val="clear" w:color="auto" w:fill="FFFFFF"/>
        </w:rPr>
        <w:t>measured via the Malaise Index</w:t>
      </w:r>
      <w:r w:rsidR="00A87133">
        <w:t xml:space="preserve"> </w:t>
      </w:r>
      <w:r w:rsidR="003146E4">
        <w:t>is a term developed by the UK data service,[2</w:t>
      </w:r>
      <w:r w:rsidR="00BF4429">
        <w:t>5</w:t>
      </w:r>
      <w:r w:rsidR="003146E4">
        <w:t xml:space="preserve">], and used widely </w:t>
      </w:r>
      <w:r w:rsidR="0058409F">
        <w:t>within the context of</w:t>
      </w:r>
      <w:r w:rsidR="003146E4">
        <w:t xml:space="preserve"> the British birth cohort studies. Although, </w:t>
      </w:r>
      <w:r w:rsidR="00F77976">
        <w:t>psychological</w:t>
      </w:r>
      <w:r w:rsidR="003146E4">
        <w:t xml:space="preserve"> distress</w:t>
      </w:r>
      <w:r w:rsidR="004502F4">
        <w:t xml:space="preserve"> is</w:t>
      </w:r>
      <w:r w:rsidR="00A87133">
        <w:t xml:space="preserve"> not per se pathological and therefore not strictly morbidity but we use it an indicator of mental health.</w:t>
      </w:r>
      <w:r w:rsidR="00A87133">
        <w:rPr>
          <w:shd w:val="clear" w:color="auto" w:fill="FFFFFF"/>
        </w:rPr>
        <w:t xml:space="preserve"> </w:t>
      </w:r>
      <w:r>
        <w:rPr>
          <w:shd w:val="clear" w:color="auto" w:fill="FFFFFF"/>
        </w:rPr>
        <w:t xml:space="preserve">The </w:t>
      </w:r>
      <w:r w:rsidR="00D05B25">
        <w:rPr>
          <w:shd w:val="clear" w:color="auto" w:fill="FFFFFF"/>
        </w:rPr>
        <w:t>common three</w:t>
      </w:r>
      <w:r w:rsidR="0003560D">
        <w:rPr>
          <w:shd w:val="clear" w:color="auto" w:fill="FFFFFF"/>
        </w:rPr>
        <w:t>-</w:t>
      </w:r>
      <w:r w:rsidR="00D05B25">
        <w:rPr>
          <w:shd w:val="clear" w:color="auto" w:fill="FFFFFF"/>
        </w:rPr>
        <w:t xml:space="preserve">condition </w:t>
      </w:r>
      <w:r>
        <w:rPr>
          <w:shd w:val="clear" w:color="auto" w:fill="FFFFFF"/>
        </w:rPr>
        <w:t>MLTC-M group selected also explored the concept of ‘</w:t>
      </w:r>
      <w:r w:rsidRPr="00C80A3F">
        <w:t>burdensome</w:t>
      </w:r>
      <w:r>
        <w:t>’ multimorbidity</w:t>
      </w:r>
      <w:r w:rsidRPr="00C80A3F">
        <w:t xml:space="preserve"> </w:t>
      </w:r>
      <w:r>
        <w:t xml:space="preserve">by </w:t>
      </w:r>
      <w:r w:rsidRPr="00C80A3F">
        <w:t xml:space="preserve">combining </w:t>
      </w:r>
      <w:r>
        <w:t xml:space="preserve">both </w:t>
      </w:r>
      <w:r w:rsidRPr="00C80A3F">
        <w:t>mental and physical conditions</w:t>
      </w:r>
      <w:r>
        <w:rPr>
          <w:color w:val="000000" w:themeColor="text1"/>
        </w:rPr>
        <w:t xml:space="preserve">. </w:t>
      </w:r>
    </w:p>
    <w:p w14:paraId="7132C41C" w14:textId="7245E24E" w:rsidR="00D8285F" w:rsidRDefault="00D8285F" w:rsidP="009F45F5">
      <w:pPr>
        <w:rPr>
          <w:color w:val="000000" w:themeColor="text1"/>
        </w:rPr>
      </w:pPr>
    </w:p>
    <w:p w14:paraId="010DFAB9" w14:textId="5EEA71DC" w:rsidR="00D8285F" w:rsidRDefault="00D8285F" w:rsidP="00D8285F">
      <w:r w:rsidRPr="006F0C4D">
        <w:t>Long term conditions at ages 26, 30, 34, 38 and 42:</w:t>
      </w:r>
    </w:p>
    <w:p w14:paraId="631EDB63" w14:textId="77777777" w:rsidR="005C21FA" w:rsidRPr="006F0C4D" w:rsidRDefault="005C21FA" w:rsidP="00D8285F"/>
    <w:p w14:paraId="10584907" w14:textId="36D45E65" w:rsidR="00D8285F" w:rsidRDefault="00D8285F" w:rsidP="00D8285F">
      <w:r>
        <w:t xml:space="preserve">To explore the sentinel condition, sequence of accrual and the </w:t>
      </w:r>
      <w:r w:rsidR="002C31E2">
        <w:rPr>
          <w:rFonts w:eastAsia="Yu Mincho"/>
          <w:color w:val="000000"/>
          <w:lang w:eastAsia="en-US"/>
        </w:rPr>
        <w:t>permanency of the reporting</w:t>
      </w:r>
      <w:r w:rsidR="002C31E2">
        <w:t xml:space="preserve"> </w:t>
      </w:r>
      <w:r>
        <w:t xml:space="preserve">of psychological distress we required information on </w:t>
      </w:r>
      <w:r w:rsidR="009C510B">
        <w:t xml:space="preserve">LTCs </w:t>
      </w:r>
      <w:r>
        <w:t>across all of the sweeps in adulthood (age 26, 30, 34, 38 and 42). All measures collected between ages 26 and 42 were self-reported and we had no</w:t>
      </w:r>
      <w:r w:rsidR="001F7F6F">
        <w:t xml:space="preserve"> measured</w:t>
      </w:r>
      <w:r>
        <w:t xml:space="preserve"> blood pressure. </w:t>
      </w:r>
      <w:r w:rsidR="00F041FB">
        <w:rPr>
          <w:color w:val="000000" w:themeColor="text1"/>
        </w:rPr>
        <w:t>I</w:t>
      </w:r>
      <w:r>
        <w:rPr>
          <w:color w:val="000000" w:themeColor="text1"/>
        </w:rPr>
        <w:t xml:space="preserve">f two or more LTCs were recorded at the same sweep we were unable to identify which condition occurred first.  </w:t>
      </w:r>
    </w:p>
    <w:p w14:paraId="7E07C2D1" w14:textId="77777777" w:rsidR="00D8285F" w:rsidRPr="000C1458" w:rsidRDefault="00D8285F" w:rsidP="009F45F5">
      <w:pPr>
        <w:rPr>
          <w:shd w:val="clear" w:color="auto" w:fill="FFFFFF"/>
        </w:rPr>
      </w:pPr>
    </w:p>
    <w:p w14:paraId="5DCA1955" w14:textId="026B392A" w:rsidR="00D11625" w:rsidRDefault="009F45F5" w:rsidP="009F45F5">
      <w:r w:rsidRPr="00843092">
        <w:rPr>
          <w:i/>
          <w:iCs/>
        </w:rPr>
        <w:t>Psychological distress</w:t>
      </w:r>
      <w:r w:rsidR="00111CE7">
        <w:rPr>
          <w:i/>
          <w:iCs/>
        </w:rPr>
        <w:t xml:space="preserve"> and </w:t>
      </w:r>
      <w:r w:rsidR="00B326A1">
        <w:rPr>
          <w:i/>
          <w:iCs/>
        </w:rPr>
        <w:t>anxiety or depression</w:t>
      </w:r>
      <w:r>
        <w:rPr>
          <w:i/>
          <w:iCs/>
        </w:rPr>
        <w:t xml:space="preserve"> at age 46</w:t>
      </w:r>
      <w:r w:rsidRPr="00C80A3F" w:rsidDel="00B47AC8">
        <w:rPr>
          <w:i/>
          <w:iCs/>
          <w:color w:val="000000" w:themeColor="text1"/>
        </w:rPr>
        <w:t xml:space="preserve"> </w:t>
      </w:r>
      <w:r w:rsidR="00FB4D9D">
        <w:rPr>
          <w:color w:val="000000" w:themeColor="text1"/>
          <w:lang w:val="en-US"/>
        </w:rPr>
        <w:t>was</w:t>
      </w:r>
      <w:r w:rsidR="00FB4D9D" w:rsidRPr="00C80A3F">
        <w:rPr>
          <w:color w:val="000000" w:themeColor="text1"/>
          <w:lang w:val="en-US"/>
        </w:rPr>
        <w:t xml:space="preserve"> </w:t>
      </w:r>
      <w:r w:rsidR="00FB4D9D">
        <w:rPr>
          <w:color w:val="000000" w:themeColor="text1"/>
          <w:lang w:val="en-US"/>
        </w:rPr>
        <w:t>classified if a cohort member had measured high on the Malaise Index</w:t>
      </w:r>
      <w:r w:rsidR="006F0C4D">
        <w:rPr>
          <w:color w:val="000000" w:themeColor="text1"/>
          <w:lang w:val="en-US"/>
        </w:rPr>
        <w:t>,[</w:t>
      </w:r>
      <w:r w:rsidR="00BA2CC0" w:rsidRPr="00BA2CC0">
        <w:rPr>
          <w:color w:val="000000" w:themeColor="text1"/>
          <w:lang w:val="en-US"/>
        </w:rPr>
        <w:t>2</w:t>
      </w:r>
      <w:r w:rsidR="00BF4429">
        <w:rPr>
          <w:color w:val="000000" w:themeColor="text1"/>
          <w:lang w:val="en-US"/>
        </w:rPr>
        <w:t>5</w:t>
      </w:r>
      <w:r w:rsidR="006F0C4D">
        <w:rPr>
          <w:color w:val="000000" w:themeColor="text1"/>
          <w:lang w:val="en-US"/>
        </w:rPr>
        <w:t>]</w:t>
      </w:r>
      <w:r w:rsidR="00FB4D9D">
        <w:rPr>
          <w:color w:val="000000" w:themeColor="text1"/>
          <w:lang w:val="en-US"/>
        </w:rPr>
        <w:t xml:space="preserve"> or if they had visited</w:t>
      </w:r>
      <w:r w:rsidR="00FB4D9D" w:rsidRPr="00C80A3F">
        <w:rPr>
          <w:color w:val="000000" w:themeColor="text1"/>
          <w:lang w:val="en-US"/>
        </w:rPr>
        <w:t xml:space="preserve"> </w:t>
      </w:r>
      <w:r w:rsidR="00FB4D9D" w:rsidRPr="00C80A3F">
        <w:rPr>
          <w:color w:val="000000" w:themeColor="text1"/>
        </w:rPr>
        <w:t>a doctor or specialist for anxiety and/or depression</w:t>
      </w:r>
      <w:r w:rsidR="00FB4D9D">
        <w:rPr>
          <w:color w:val="000000" w:themeColor="text1"/>
          <w:lang w:val="en-US"/>
        </w:rPr>
        <w:t xml:space="preserve"> </w:t>
      </w:r>
      <w:r w:rsidR="00FB4D9D" w:rsidRPr="00C80A3F">
        <w:rPr>
          <w:color w:val="000000" w:themeColor="text1"/>
        </w:rPr>
        <w:t xml:space="preserve">in the last </w:t>
      </w:r>
      <w:r w:rsidR="00FB4D9D">
        <w:rPr>
          <w:color w:val="000000" w:themeColor="text1"/>
        </w:rPr>
        <w:t>four</w:t>
      </w:r>
      <w:r w:rsidR="00FB4D9D" w:rsidRPr="00C80A3F">
        <w:rPr>
          <w:color w:val="000000" w:themeColor="text1"/>
        </w:rPr>
        <w:t xml:space="preserve"> years or since </w:t>
      </w:r>
      <w:r w:rsidR="00FB4D9D">
        <w:rPr>
          <w:color w:val="000000" w:themeColor="text1"/>
        </w:rPr>
        <w:t xml:space="preserve">their </w:t>
      </w:r>
      <w:r w:rsidR="00FB4D9D" w:rsidRPr="00C80A3F">
        <w:rPr>
          <w:color w:val="000000" w:themeColor="text1"/>
        </w:rPr>
        <w:t>last interview</w:t>
      </w:r>
      <w:r w:rsidR="00FB4D9D">
        <w:rPr>
          <w:color w:val="000000" w:themeColor="text1"/>
        </w:rPr>
        <w:t xml:space="preserve">. The Malaise Index was selected because it was consistently present at sweeps in adulthood.  </w:t>
      </w:r>
      <w:r w:rsidR="008D3D16">
        <w:t>T</w:t>
      </w:r>
      <w:r w:rsidR="00E26241">
        <w:t>he</w:t>
      </w:r>
      <w:r>
        <w:t xml:space="preserve"> Malaise </w:t>
      </w:r>
      <w:r w:rsidR="00FB4D9D">
        <w:t>I</w:t>
      </w:r>
      <w:r>
        <w:t>ndex</w:t>
      </w:r>
      <w:r w:rsidRPr="007E4278">
        <w:t xml:space="preserve"> </w:t>
      </w:r>
      <w:r w:rsidR="00F041FB">
        <w:t xml:space="preserve">was self-reported and </w:t>
      </w:r>
      <w:r w:rsidR="008451FA">
        <w:t>designed</w:t>
      </w:r>
      <w:r w:rsidR="00E26241">
        <w:t xml:space="preserve"> </w:t>
      </w:r>
      <w:r w:rsidR="008451FA">
        <w:t xml:space="preserve">to </w:t>
      </w:r>
      <w:r>
        <w:t>capture general</w:t>
      </w:r>
      <w:r w:rsidR="00213568">
        <w:t xml:space="preserve"> signs of</w:t>
      </w:r>
      <w:r>
        <w:t xml:space="preserve"> </w:t>
      </w:r>
      <w:r w:rsidRPr="007E4278">
        <w:t xml:space="preserve">psychological distress </w:t>
      </w:r>
      <w:r w:rsidR="00213568">
        <w:t>in adulthood including</w:t>
      </w:r>
      <w:r w:rsidRPr="007E4278">
        <w:t xml:space="preserve"> depression and anxiety symptoms</w:t>
      </w:r>
      <w:r w:rsidR="006F0C4D">
        <w:t>,[</w:t>
      </w:r>
      <w:r>
        <w:t>2</w:t>
      </w:r>
      <w:r w:rsidR="00BF4429">
        <w:t>6</w:t>
      </w:r>
      <w:r>
        <w:t>,</w:t>
      </w:r>
      <w:r w:rsidR="00F4272D">
        <w:t>2</w:t>
      </w:r>
      <w:r w:rsidR="00BF4429">
        <w:t>7</w:t>
      </w:r>
      <w:r w:rsidR="006F0C4D">
        <w:t>]</w:t>
      </w:r>
      <w:r>
        <w:t>. Scores above the cut off (4 or higher) represent a clinical diagnosis of common mental disorder</w:t>
      </w:r>
      <w:r w:rsidR="006F0C4D">
        <w:t>,[</w:t>
      </w:r>
      <w:r>
        <w:t>2</w:t>
      </w:r>
      <w:r w:rsidR="00BF4429">
        <w:t>6</w:t>
      </w:r>
      <w:r w:rsidR="006F0C4D">
        <w:t>]</w:t>
      </w:r>
      <w:r>
        <w:t xml:space="preserve">. </w:t>
      </w:r>
      <w:r w:rsidR="009C510B">
        <w:t>S</w:t>
      </w:r>
      <w:r w:rsidRPr="007E4278">
        <w:t>calar invariance of the measure was found within and across t</w:t>
      </w:r>
      <w:r w:rsidR="00426A3E">
        <w:t>wo</w:t>
      </w:r>
      <w:r w:rsidRPr="007E4278">
        <w:t xml:space="preserve"> </w:t>
      </w:r>
      <w:r>
        <w:t>birth cohort studies</w:t>
      </w:r>
      <w:r w:rsidRPr="007E4278">
        <w:t>, as well as between genders</w:t>
      </w:r>
      <w:r w:rsidR="006F0C4D">
        <w:t>,[</w:t>
      </w:r>
      <w:r w:rsidR="00DA09F8">
        <w:t>2</w:t>
      </w:r>
      <w:r w:rsidR="00BF4429">
        <w:t>8</w:t>
      </w:r>
      <w:r>
        <w:t>,</w:t>
      </w:r>
      <w:r w:rsidR="008B2AE6">
        <w:t>2</w:t>
      </w:r>
      <w:r w:rsidR="00BF4429">
        <w:t>9</w:t>
      </w:r>
      <w:r w:rsidR="006F0C4D">
        <w:t>]</w:t>
      </w:r>
      <w:r w:rsidRPr="007E4278">
        <w:t>.</w:t>
      </w:r>
      <w:r>
        <w:t xml:space="preserve"> </w:t>
      </w:r>
      <w:r w:rsidRPr="007E4278">
        <w:t xml:space="preserve">The Malaise </w:t>
      </w:r>
      <w:r w:rsidR="009C510B">
        <w:t>Index</w:t>
      </w:r>
      <w:r w:rsidRPr="007E4278">
        <w:t xml:space="preserve"> has good psychometric properties</w:t>
      </w:r>
      <w:r w:rsidR="006F0C4D">
        <w:t>,[</w:t>
      </w:r>
      <w:r w:rsidR="00BF4429">
        <w:t>30</w:t>
      </w:r>
      <w:r w:rsidR="006F0C4D">
        <w:t>]</w:t>
      </w:r>
      <w:r w:rsidR="00400DBD">
        <w:t>, has a good level of</w:t>
      </w:r>
      <w:r w:rsidR="002413AE">
        <w:t xml:space="preserve"> internal consistency and</w:t>
      </w:r>
      <w:r w:rsidRPr="007E4278">
        <w:t xml:space="preserve"> </w:t>
      </w:r>
      <w:r w:rsidR="002413AE">
        <w:t>it</w:t>
      </w:r>
      <w:r w:rsidR="00D21F0D">
        <w:t>s</w:t>
      </w:r>
      <w:r w:rsidR="002413AE">
        <w:t xml:space="preserve"> validity is robust across</w:t>
      </w:r>
      <w:r w:rsidR="004B71A2">
        <w:t xml:space="preserve"> different populations including the</w:t>
      </w:r>
      <w:r w:rsidRPr="007E4278">
        <w:t xml:space="preserve"> general population and high-risk groups</w:t>
      </w:r>
      <w:r w:rsidR="006F0C4D">
        <w:t>,[</w:t>
      </w:r>
      <w:r w:rsidR="004279D0">
        <w:t>3</w:t>
      </w:r>
      <w:r w:rsidR="00BF4429">
        <w:t>1</w:t>
      </w:r>
      <w:r>
        <w:t>,</w:t>
      </w:r>
      <w:r w:rsidR="00A25F07">
        <w:t>3</w:t>
      </w:r>
      <w:r w:rsidR="00BF4429">
        <w:t>2</w:t>
      </w:r>
      <w:r w:rsidR="006F0C4D">
        <w:t>]</w:t>
      </w:r>
      <w:r w:rsidRPr="007E4278">
        <w:t xml:space="preserve">. </w:t>
      </w:r>
    </w:p>
    <w:p w14:paraId="0D712498" w14:textId="592FA47B" w:rsidR="00D8285F" w:rsidRDefault="00D8285F" w:rsidP="009F45F5"/>
    <w:p w14:paraId="13C5F3C1" w14:textId="25B98FA9" w:rsidR="00D8285F" w:rsidRDefault="00D8285F" w:rsidP="009F45F5">
      <w:r w:rsidRPr="003D4223">
        <w:rPr>
          <w:i/>
          <w:iCs/>
        </w:rPr>
        <w:t xml:space="preserve">Psychological distress </w:t>
      </w:r>
      <w:r w:rsidR="003D4223">
        <w:rPr>
          <w:i/>
          <w:iCs/>
        </w:rPr>
        <w:t xml:space="preserve">at </w:t>
      </w:r>
      <w:r w:rsidRPr="003D4223">
        <w:rPr>
          <w:i/>
          <w:iCs/>
        </w:rPr>
        <w:t>age</w:t>
      </w:r>
      <w:r w:rsidR="003D4223">
        <w:rPr>
          <w:i/>
          <w:iCs/>
        </w:rPr>
        <w:t>s</w:t>
      </w:r>
      <w:r w:rsidRPr="003D4223">
        <w:rPr>
          <w:i/>
          <w:iCs/>
        </w:rPr>
        <w:t xml:space="preserve"> 26-42</w:t>
      </w:r>
      <w:r w:rsidR="003D4223">
        <w:t xml:space="preserve"> was </w:t>
      </w:r>
      <w:r>
        <w:t xml:space="preserve">calculated </w:t>
      </w:r>
      <w:r w:rsidRPr="009D4C30">
        <w:t xml:space="preserve">using </w:t>
      </w:r>
      <w:r w:rsidR="003D4223">
        <w:t xml:space="preserve">the </w:t>
      </w:r>
      <w:r w:rsidRPr="009D4C30">
        <w:t xml:space="preserve">cross-sectional </w:t>
      </w:r>
      <w:r>
        <w:t>reporting</w:t>
      </w:r>
      <w:r w:rsidRPr="009D4C30">
        <w:t xml:space="preserve"> </w:t>
      </w:r>
      <w:r>
        <w:t xml:space="preserve">of the Malaise Index </w:t>
      </w:r>
      <w:r w:rsidRPr="009D4C30">
        <w:t>attained at age</w:t>
      </w:r>
      <w:r>
        <w:t>s</w:t>
      </w:r>
      <w:r w:rsidRPr="009D4C30">
        <w:t xml:space="preserve"> 26, 30, 34</w:t>
      </w:r>
      <w:r>
        <w:t xml:space="preserve"> and</w:t>
      </w:r>
      <w:r w:rsidRPr="009D4C30">
        <w:t xml:space="preserve"> 42</w:t>
      </w:r>
      <w:r w:rsidR="006B70E5">
        <w:t>,</w:t>
      </w:r>
      <w:r w:rsidR="00B326A1">
        <w:t xml:space="preserve"> with scores above the cut off (4 or higher) represent</w:t>
      </w:r>
      <w:r w:rsidR="006B70E5">
        <w:t>ing</w:t>
      </w:r>
      <w:r w:rsidR="00B326A1">
        <w:t xml:space="preserve"> a clinical diagnosis of </w:t>
      </w:r>
      <w:r w:rsidR="005C6839">
        <w:t xml:space="preserve">a </w:t>
      </w:r>
      <w:r w:rsidR="00B326A1">
        <w:t>common mental disorder,[2</w:t>
      </w:r>
      <w:r w:rsidR="00BF4429">
        <w:t>6</w:t>
      </w:r>
      <w:r w:rsidR="00B326A1">
        <w:t>]</w:t>
      </w:r>
      <w:r>
        <w:t xml:space="preserve"> </w:t>
      </w:r>
    </w:p>
    <w:p w14:paraId="3F9DFAB9" w14:textId="77777777" w:rsidR="00D11625" w:rsidRDefault="00D11625" w:rsidP="009F45F5"/>
    <w:p w14:paraId="0AC3938C" w14:textId="6AF8D6FB" w:rsidR="009F45F5" w:rsidRDefault="009F45F5" w:rsidP="009F45F5">
      <w:pPr>
        <w:rPr>
          <w:color w:val="000000" w:themeColor="text1"/>
        </w:rPr>
      </w:pPr>
      <w:r>
        <w:rPr>
          <w:i/>
          <w:iCs/>
          <w:color w:val="000000" w:themeColor="text1"/>
        </w:rPr>
        <w:t>Back p</w:t>
      </w:r>
      <w:r w:rsidRPr="00C80A3F">
        <w:rPr>
          <w:i/>
          <w:iCs/>
          <w:color w:val="000000" w:themeColor="text1"/>
        </w:rPr>
        <w:t>ain</w:t>
      </w:r>
      <w:r>
        <w:rPr>
          <w:i/>
          <w:iCs/>
          <w:color w:val="000000" w:themeColor="text1"/>
        </w:rPr>
        <w:t xml:space="preserve"> at age 46</w:t>
      </w:r>
      <w:r w:rsidRPr="00C80A3F">
        <w:rPr>
          <w:color w:val="000000" w:themeColor="text1"/>
        </w:rPr>
        <w:t xml:space="preserve"> was </w:t>
      </w:r>
      <w:r>
        <w:rPr>
          <w:color w:val="000000" w:themeColor="text1"/>
        </w:rPr>
        <w:t>self-reported and</w:t>
      </w:r>
      <w:r w:rsidR="00FB4D9D">
        <w:rPr>
          <w:color w:val="000000" w:themeColor="text1"/>
        </w:rPr>
        <w:t xml:space="preserve"> </w:t>
      </w:r>
      <w:r w:rsidR="00FB4D9D">
        <w:rPr>
          <w:color w:val="000000" w:themeColor="text1"/>
          <w:lang w:val="en-US"/>
        </w:rPr>
        <w:t xml:space="preserve">a cohort member was </w:t>
      </w:r>
      <w:r w:rsidR="00AD0F86">
        <w:rPr>
          <w:color w:val="000000" w:themeColor="text1"/>
          <w:lang w:val="en-US"/>
        </w:rPr>
        <w:t xml:space="preserve">classified </w:t>
      </w:r>
      <w:r w:rsidR="00FB4D9D">
        <w:rPr>
          <w:color w:val="000000" w:themeColor="text1"/>
          <w:lang w:val="en-US"/>
        </w:rPr>
        <w:t xml:space="preserve">as having back pain if they </w:t>
      </w:r>
      <w:r w:rsidR="00FB4D9D">
        <w:rPr>
          <w:color w:val="000000" w:themeColor="text1"/>
        </w:rPr>
        <w:t xml:space="preserve">reported doctor’s diagnosed back pain </w:t>
      </w:r>
      <w:r w:rsidR="00F041FB">
        <w:rPr>
          <w:color w:val="000000" w:themeColor="text1"/>
        </w:rPr>
        <w:t>(cohort member</w:t>
      </w:r>
      <w:r w:rsidR="00F041FB" w:rsidRPr="00C80A3F">
        <w:rPr>
          <w:color w:val="000000" w:themeColor="text1"/>
        </w:rPr>
        <w:t xml:space="preserve"> reporting if </w:t>
      </w:r>
      <w:r w:rsidR="00F041FB">
        <w:rPr>
          <w:color w:val="000000" w:themeColor="text1"/>
        </w:rPr>
        <w:t>they</w:t>
      </w:r>
      <w:r w:rsidR="00F041FB" w:rsidRPr="00C80A3F">
        <w:rPr>
          <w:color w:val="000000" w:themeColor="text1"/>
        </w:rPr>
        <w:t xml:space="preserve"> had </w:t>
      </w:r>
      <w:r w:rsidR="00F041FB">
        <w:rPr>
          <w:color w:val="000000" w:themeColor="text1"/>
        </w:rPr>
        <w:t>visited</w:t>
      </w:r>
      <w:r w:rsidR="00F041FB" w:rsidRPr="00C80A3F">
        <w:rPr>
          <w:color w:val="000000" w:themeColor="text1"/>
        </w:rPr>
        <w:t xml:space="preserve"> the doctor for </w:t>
      </w:r>
      <w:r w:rsidR="00F041FB">
        <w:rPr>
          <w:color w:val="000000" w:themeColor="text1"/>
        </w:rPr>
        <w:t xml:space="preserve">an </w:t>
      </w:r>
      <w:r w:rsidR="00F041FB" w:rsidRPr="00C80A3F">
        <w:rPr>
          <w:color w:val="000000" w:themeColor="text1"/>
        </w:rPr>
        <w:t>issue relating to back</w:t>
      </w:r>
      <w:r w:rsidR="00F041FB">
        <w:rPr>
          <w:color w:val="000000" w:themeColor="text1"/>
        </w:rPr>
        <w:t xml:space="preserve"> </w:t>
      </w:r>
      <w:r w:rsidR="00F041FB" w:rsidRPr="00C80A3F">
        <w:rPr>
          <w:color w:val="000000" w:themeColor="text1"/>
        </w:rPr>
        <w:t xml:space="preserve">pain in the past four years or since their last </w:t>
      </w:r>
      <w:r w:rsidR="00F041FB" w:rsidRPr="00C80A3F">
        <w:rPr>
          <w:color w:val="000000" w:themeColor="text1"/>
        </w:rPr>
        <w:lastRenderedPageBreak/>
        <w:t>interview</w:t>
      </w:r>
      <w:r w:rsidR="00F041FB">
        <w:rPr>
          <w:color w:val="000000" w:themeColor="text1"/>
        </w:rPr>
        <w:t xml:space="preserve">) </w:t>
      </w:r>
      <w:r w:rsidR="00FB4D9D">
        <w:rPr>
          <w:color w:val="000000" w:themeColor="text1"/>
        </w:rPr>
        <w:t>and/or moderate or severe pain</w:t>
      </w:r>
      <w:r>
        <w:rPr>
          <w:color w:val="000000" w:themeColor="text1"/>
        </w:rPr>
        <w:t xml:space="preserve"> </w:t>
      </w:r>
      <w:r w:rsidR="00F041FB">
        <w:rPr>
          <w:color w:val="000000" w:themeColor="text1"/>
        </w:rPr>
        <w:t>(</w:t>
      </w:r>
      <w:r w:rsidR="00317FAF" w:rsidRPr="00C80A3F">
        <w:rPr>
          <w:color w:val="000000" w:themeColor="text1"/>
        </w:rPr>
        <w:t xml:space="preserve">pain severity in the past </w:t>
      </w:r>
      <w:r w:rsidR="00317FAF">
        <w:rPr>
          <w:color w:val="000000" w:themeColor="text1"/>
        </w:rPr>
        <w:t>four</w:t>
      </w:r>
      <w:r w:rsidR="00317FAF" w:rsidRPr="00C80A3F">
        <w:rPr>
          <w:color w:val="000000" w:themeColor="text1"/>
        </w:rPr>
        <w:t xml:space="preserve"> weeks measured on a </w:t>
      </w:r>
      <w:r w:rsidR="00317FAF">
        <w:rPr>
          <w:color w:val="000000" w:themeColor="text1"/>
        </w:rPr>
        <w:t>five</w:t>
      </w:r>
      <w:r w:rsidR="00317FAF" w:rsidRPr="00C80A3F">
        <w:rPr>
          <w:color w:val="000000" w:themeColor="text1"/>
        </w:rPr>
        <w:t>-point Likert scale</w:t>
      </w:r>
      <w:r w:rsidR="00F041FB">
        <w:rPr>
          <w:color w:val="000000" w:themeColor="text1"/>
        </w:rPr>
        <w:t>)</w:t>
      </w:r>
      <w:r w:rsidR="00317FAF">
        <w:rPr>
          <w:color w:val="000000" w:themeColor="text1"/>
        </w:rPr>
        <w:t>.</w:t>
      </w:r>
      <w:r w:rsidR="00317FAF" w:rsidRPr="00C80A3F">
        <w:rPr>
          <w:color w:val="000000" w:themeColor="text1"/>
        </w:rPr>
        <w:t xml:space="preserve"> </w:t>
      </w:r>
      <w:r w:rsidR="00317FAF">
        <w:rPr>
          <w:color w:val="000000" w:themeColor="text1"/>
        </w:rPr>
        <w:t>T</w:t>
      </w:r>
      <w:r w:rsidR="00317FAF" w:rsidRPr="00C80A3F">
        <w:rPr>
          <w:color w:val="000000" w:themeColor="text1"/>
        </w:rPr>
        <w:t>hose report</w:t>
      </w:r>
      <w:r w:rsidR="00317FAF">
        <w:rPr>
          <w:color w:val="000000" w:themeColor="text1"/>
        </w:rPr>
        <w:t>ing</w:t>
      </w:r>
      <w:r w:rsidR="00317FAF" w:rsidRPr="00C80A3F">
        <w:rPr>
          <w:color w:val="000000" w:themeColor="text1"/>
        </w:rPr>
        <w:t xml:space="preserve"> moderate or severe pain were assumed to have a condition relating to pain.</w:t>
      </w:r>
    </w:p>
    <w:p w14:paraId="21996A1D" w14:textId="65D0345A" w:rsidR="003D4223" w:rsidRDefault="003D4223" w:rsidP="009F45F5">
      <w:pPr>
        <w:rPr>
          <w:color w:val="000000" w:themeColor="text1"/>
        </w:rPr>
      </w:pPr>
    </w:p>
    <w:p w14:paraId="043AC9FE" w14:textId="7E227088" w:rsidR="003D4223" w:rsidRDefault="003D4223" w:rsidP="003D4223">
      <w:r w:rsidRPr="003D4223">
        <w:rPr>
          <w:i/>
          <w:iCs/>
        </w:rPr>
        <w:t>Back pain</w:t>
      </w:r>
      <w:r>
        <w:rPr>
          <w:i/>
          <w:iCs/>
        </w:rPr>
        <w:t xml:space="preserve"> at</w:t>
      </w:r>
      <w:r w:rsidRPr="003D4223">
        <w:rPr>
          <w:i/>
          <w:iCs/>
        </w:rPr>
        <w:t xml:space="preserve"> ag</w:t>
      </w:r>
      <w:r>
        <w:rPr>
          <w:i/>
          <w:iCs/>
        </w:rPr>
        <w:t>es</w:t>
      </w:r>
      <w:r w:rsidRPr="003D4223">
        <w:rPr>
          <w:i/>
          <w:iCs/>
        </w:rPr>
        <w:t xml:space="preserve"> 26-42</w:t>
      </w:r>
      <w:r w:rsidRPr="00C80A3F">
        <w:t xml:space="preserve"> </w:t>
      </w:r>
      <w:r>
        <w:t>was</w:t>
      </w:r>
      <w:r w:rsidRPr="009D4C30">
        <w:t xml:space="preserve"> specified using </w:t>
      </w:r>
      <w:r>
        <w:t xml:space="preserve">the </w:t>
      </w:r>
      <w:r w:rsidRPr="009D4C30">
        <w:t xml:space="preserve">cross-sectional </w:t>
      </w:r>
      <w:r w:rsidR="001F7F6F">
        <w:t>self-</w:t>
      </w:r>
      <w:r>
        <w:t>reporting</w:t>
      </w:r>
      <w:r w:rsidRPr="009D4C30">
        <w:t xml:space="preserve"> </w:t>
      </w:r>
      <w:r>
        <w:t xml:space="preserve">of back pain at ages 26, 30, 34, 38 and 42. We assumed </w:t>
      </w:r>
      <w:r w:rsidRPr="00C80A3F">
        <w:t xml:space="preserve">back </w:t>
      </w:r>
      <w:r>
        <w:t>pain</w:t>
      </w:r>
      <w:r w:rsidRPr="00C80A3F">
        <w:t xml:space="preserve"> if the </w:t>
      </w:r>
      <w:r>
        <w:rPr>
          <w:color w:val="000000" w:themeColor="text1"/>
        </w:rPr>
        <w:t xml:space="preserve">cohort member </w:t>
      </w:r>
      <w:r>
        <w:t>visited</w:t>
      </w:r>
      <w:r w:rsidRPr="00C80A3F">
        <w:t xml:space="preserve"> </w:t>
      </w:r>
      <w:r>
        <w:t>a</w:t>
      </w:r>
      <w:r w:rsidRPr="00C80A3F">
        <w:t xml:space="preserve"> doctor for ‘back</w:t>
      </w:r>
      <w:r>
        <w:t xml:space="preserve"> </w:t>
      </w:r>
      <w:r w:rsidRPr="00C80A3F">
        <w:t xml:space="preserve">pain’ or ‘backache’. At age 42 we </w:t>
      </w:r>
      <w:r>
        <w:t xml:space="preserve">additionally </w:t>
      </w:r>
      <w:r w:rsidRPr="00C80A3F">
        <w:t>included a measure of pain severity</w:t>
      </w:r>
      <w:r w:rsidRPr="00C80A3F">
        <w:rPr>
          <w:color w:val="000000" w:themeColor="text1"/>
        </w:rPr>
        <w:t>, those report</w:t>
      </w:r>
      <w:r>
        <w:rPr>
          <w:color w:val="000000" w:themeColor="text1"/>
        </w:rPr>
        <w:t>ing</w:t>
      </w:r>
      <w:r w:rsidRPr="00C80A3F">
        <w:rPr>
          <w:color w:val="000000" w:themeColor="text1"/>
        </w:rPr>
        <w:t xml:space="preserve"> moderate or severe pain were assumed to have a condition relating to pain.</w:t>
      </w:r>
      <w:r>
        <w:rPr>
          <w:color w:val="000000" w:themeColor="text1"/>
        </w:rPr>
        <w:t xml:space="preserve"> </w:t>
      </w:r>
      <w:r w:rsidR="009C510B">
        <w:rPr>
          <w:color w:val="000000" w:themeColor="text1"/>
        </w:rPr>
        <w:t>Age</w:t>
      </w:r>
      <w:r>
        <w:rPr>
          <w:color w:val="000000" w:themeColor="text1"/>
        </w:rPr>
        <w:t xml:space="preserve"> 42</w:t>
      </w:r>
      <w:r w:rsidR="00A6745D">
        <w:rPr>
          <w:color w:val="000000" w:themeColor="text1"/>
        </w:rPr>
        <w:t xml:space="preserve"> </w:t>
      </w:r>
      <w:r>
        <w:rPr>
          <w:color w:val="000000" w:themeColor="text1"/>
        </w:rPr>
        <w:t xml:space="preserve">was the first sweep at which pain severity was reported. </w:t>
      </w:r>
    </w:p>
    <w:p w14:paraId="0C001962" w14:textId="77777777" w:rsidR="009F45F5" w:rsidRPr="00C80A3F" w:rsidRDefault="009F45F5" w:rsidP="009F45F5">
      <w:pPr>
        <w:rPr>
          <w:color w:val="000000" w:themeColor="text1"/>
        </w:rPr>
      </w:pPr>
    </w:p>
    <w:p w14:paraId="7ADA8EED" w14:textId="5AC900B0" w:rsidR="009F45F5" w:rsidRDefault="009F45F5" w:rsidP="009F45F5">
      <w:pPr>
        <w:rPr>
          <w:color w:val="000000" w:themeColor="text1"/>
          <w:lang w:val="en-US"/>
        </w:rPr>
      </w:pPr>
      <w:r w:rsidRPr="00C80A3F">
        <w:rPr>
          <w:i/>
          <w:iCs/>
          <w:color w:val="000000" w:themeColor="text1"/>
        </w:rPr>
        <w:t>Blood pressure</w:t>
      </w:r>
      <w:r>
        <w:rPr>
          <w:i/>
          <w:iCs/>
          <w:color w:val="000000" w:themeColor="text1"/>
        </w:rPr>
        <w:t xml:space="preserve"> at age 46</w:t>
      </w:r>
      <w:r w:rsidRPr="00C80A3F">
        <w:rPr>
          <w:i/>
          <w:iCs/>
          <w:color w:val="000000" w:themeColor="text1"/>
        </w:rPr>
        <w:t xml:space="preserve"> </w:t>
      </w:r>
      <w:r w:rsidRPr="00C80A3F">
        <w:rPr>
          <w:color w:val="000000" w:themeColor="text1"/>
        </w:rPr>
        <w:t>was</w:t>
      </w:r>
      <w:r w:rsidR="00032863" w:rsidRPr="00C80A3F">
        <w:rPr>
          <w:color w:val="000000" w:themeColor="text1"/>
          <w:lang w:val="en-US"/>
        </w:rPr>
        <w:t xml:space="preserve"> </w:t>
      </w:r>
      <w:r w:rsidR="00032863">
        <w:rPr>
          <w:color w:val="000000" w:themeColor="text1"/>
          <w:lang w:val="en-US"/>
        </w:rPr>
        <w:t xml:space="preserve">classified if the cohort member had measured hypertension or if they had </w:t>
      </w:r>
      <w:r w:rsidR="00032863" w:rsidRPr="00C80A3F">
        <w:rPr>
          <w:color w:val="000000" w:themeColor="text1"/>
          <w:lang w:val="en-US"/>
        </w:rPr>
        <w:t>received a doctor’s diagnosis of high blood pressure</w:t>
      </w:r>
      <w:r w:rsidR="00032863">
        <w:rPr>
          <w:color w:val="000000" w:themeColor="text1"/>
          <w:lang w:val="en-US"/>
        </w:rPr>
        <w:t>, since diagnosis of high blood pressure</w:t>
      </w:r>
      <w:r w:rsidR="00032863" w:rsidRPr="00C80A3F">
        <w:rPr>
          <w:color w:val="000000" w:themeColor="text1"/>
          <w:lang w:val="en-US"/>
        </w:rPr>
        <w:t xml:space="preserve"> may </w:t>
      </w:r>
      <w:r w:rsidR="00032863">
        <w:rPr>
          <w:color w:val="000000" w:themeColor="text1"/>
          <w:lang w:val="en-US"/>
        </w:rPr>
        <w:t xml:space="preserve">result in a prescription for </w:t>
      </w:r>
      <w:r w:rsidR="00032863" w:rsidRPr="00C80A3F">
        <w:rPr>
          <w:color w:val="000000" w:themeColor="text1"/>
          <w:lang w:val="en-US"/>
        </w:rPr>
        <w:t>antihypertensive medication</w:t>
      </w:r>
      <w:r w:rsidR="00032863">
        <w:rPr>
          <w:color w:val="000000" w:themeColor="text1"/>
          <w:lang w:val="en-US"/>
        </w:rPr>
        <w:t>, thus lowering blood pressure readings</w:t>
      </w:r>
      <w:r w:rsidR="00032863" w:rsidRPr="00C80A3F">
        <w:rPr>
          <w:color w:val="000000" w:themeColor="text1"/>
          <w:lang w:val="en-US"/>
        </w:rPr>
        <w:t>.</w:t>
      </w:r>
      <w:r w:rsidR="00032863">
        <w:rPr>
          <w:color w:val="000000" w:themeColor="text1"/>
          <w:lang w:val="en-US"/>
        </w:rPr>
        <w:t xml:space="preserve"> </w:t>
      </w:r>
      <w:r w:rsidRPr="00C80A3F">
        <w:rPr>
          <w:color w:val="000000" w:themeColor="text1"/>
          <w:lang w:val="en-US"/>
        </w:rPr>
        <w:t xml:space="preserve">Blood pressure was measured in millimeters of mercury and was used to classify individuals as either having </w:t>
      </w:r>
      <w:r w:rsidRPr="005B4148">
        <w:rPr>
          <w:color w:val="000000" w:themeColor="text1"/>
          <w:lang w:val="en-US"/>
        </w:rPr>
        <w:t xml:space="preserve">hypertension </w:t>
      </w:r>
      <w:r w:rsidRPr="00FF3B90">
        <w:rPr>
          <w:color w:val="000000" w:themeColor="text1"/>
          <w:shd w:val="clear" w:color="auto" w:fill="FFFFFF"/>
        </w:rPr>
        <w:t>defined as systolic/diastolic BP of at least 140/90 mm Hg</w:t>
      </w:r>
      <w:r>
        <w:rPr>
          <w:color w:val="2A2A2A"/>
          <w:shd w:val="clear" w:color="auto" w:fill="FFFFFF"/>
        </w:rPr>
        <w:t>,</w:t>
      </w:r>
      <w:r w:rsidRPr="005B4148">
        <w:t xml:space="preserve"> </w:t>
      </w:r>
      <w:r w:rsidRPr="005B4148">
        <w:rPr>
          <w:color w:val="000000" w:themeColor="text1"/>
          <w:lang w:val="en-US"/>
        </w:rPr>
        <w:t>or not</w:t>
      </w:r>
      <w:r w:rsidR="006F0C4D">
        <w:rPr>
          <w:color w:val="000000" w:themeColor="text1"/>
          <w:lang w:val="en-US"/>
        </w:rPr>
        <w:t>,[</w:t>
      </w:r>
      <w:r w:rsidR="00A36FC0">
        <w:rPr>
          <w:color w:val="000000" w:themeColor="text1"/>
          <w:lang w:val="en-US"/>
        </w:rPr>
        <w:t>3</w:t>
      </w:r>
      <w:r w:rsidR="00BF4429">
        <w:rPr>
          <w:color w:val="000000" w:themeColor="text1"/>
          <w:lang w:val="en-US"/>
        </w:rPr>
        <w:t>3</w:t>
      </w:r>
      <w:r w:rsidR="006F0C4D">
        <w:rPr>
          <w:color w:val="000000" w:themeColor="text1"/>
          <w:lang w:val="en-US"/>
        </w:rPr>
        <w:t>]</w:t>
      </w:r>
      <w:r w:rsidRPr="005B4148">
        <w:rPr>
          <w:color w:val="000000" w:themeColor="text1"/>
          <w:lang w:val="en-US"/>
        </w:rPr>
        <w:t>.</w:t>
      </w:r>
      <w:r w:rsidRPr="00C80A3F">
        <w:rPr>
          <w:color w:val="000000" w:themeColor="text1"/>
          <w:lang w:val="en-US"/>
        </w:rPr>
        <w:t xml:space="preserve"> </w:t>
      </w:r>
    </w:p>
    <w:p w14:paraId="6268DA62" w14:textId="6B8EBD9C" w:rsidR="003D4223" w:rsidRDefault="003D4223" w:rsidP="009F45F5">
      <w:pPr>
        <w:rPr>
          <w:color w:val="000000" w:themeColor="text1"/>
          <w:lang w:val="en-US"/>
        </w:rPr>
      </w:pPr>
    </w:p>
    <w:p w14:paraId="345D2C14" w14:textId="79830403" w:rsidR="003D4223" w:rsidRDefault="003D4223" w:rsidP="009F45F5">
      <w:r w:rsidRPr="003D4223">
        <w:rPr>
          <w:i/>
          <w:iCs/>
        </w:rPr>
        <w:t>High blood pressure at ages 30-42</w:t>
      </w:r>
      <w:r>
        <w:t xml:space="preserve"> was calculated</w:t>
      </w:r>
      <w:r w:rsidRPr="009D4C30">
        <w:t xml:space="preserve"> using </w:t>
      </w:r>
      <w:r w:rsidR="001F7F6F">
        <w:t xml:space="preserve">the </w:t>
      </w:r>
      <w:r w:rsidRPr="009D4C30">
        <w:t xml:space="preserve">cross-sectional </w:t>
      </w:r>
      <w:r w:rsidR="001F7F6F">
        <w:t>self-</w:t>
      </w:r>
      <w:r>
        <w:t>reporting</w:t>
      </w:r>
      <w:r w:rsidRPr="009D4C30">
        <w:t xml:space="preserve"> </w:t>
      </w:r>
      <w:r>
        <w:t xml:space="preserve">of high blood pressure. </w:t>
      </w:r>
      <w:r w:rsidR="00D05B25">
        <w:t>High b</w:t>
      </w:r>
      <w:r w:rsidR="00C9224F" w:rsidRPr="00F91EF5">
        <w:t xml:space="preserve">lood pressure </w:t>
      </w:r>
      <w:r w:rsidR="00C9224F">
        <w:t>was not</w:t>
      </w:r>
      <w:r w:rsidR="00C9224F" w:rsidRPr="00F91EF5">
        <w:t xml:space="preserve"> recorded</w:t>
      </w:r>
      <w:r w:rsidR="00C9224F">
        <w:t xml:space="preserve"> at age 26, although </w:t>
      </w:r>
      <w:r w:rsidR="00A6745D">
        <w:t xml:space="preserve">we do not feel this will alter our results as the </w:t>
      </w:r>
      <w:r w:rsidR="00C9224F">
        <w:t>number reporting high blood pressure by age 26 was likely to be</w:t>
      </w:r>
      <w:r w:rsidR="00A6745D">
        <w:t xml:space="preserve"> extremely</w:t>
      </w:r>
      <w:r w:rsidR="00C9224F">
        <w:t xml:space="preserve"> small </w:t>
      </w:r>
      <w:r w:rsidR="00232020">
        <w:t>- less than one percent</w:t>
      </w:r>
      <w:r w:rsidR="006F0C4D">
        <w:t>,[</w:t>
      </w:r>
      <w:r w:rsidR="00D05B25" w:rsidRPr="00823954">
        <w:t>3</w:t>
      </w:r>
      <w:r w:rsidR="00BF4429">
        <w:t>4</w:t>
      </w:r>
      <w:r w:rsidR="00232020" w:rsidRPr="00823954">
        <w:t>,3</w:t>
      </w:r>
      <w:r w:rsidR="00BF4429">
        <w:t>5</w:t>
      </w:r>
      <w:r w:rsidR="006F0C4D">
        <w:t>]</w:t>
      </w:r>
      <w:r w:rsidR="00C9224F">
        <w:t>.</w:t>
      </w:r>
      <w:r w:rsidR="00C9224F" w:rsidRPr="00F91EF5">
        <w:t xml:space="preserve"> </w:t>
      </w:r>
      <w:r w:rsidR="009F45F5" w:rsidRPr="00C80A3F">
        <w:t xml:space="preserve">At age 30 </w:t>
      </w:r>
      <w:r w:rsidR="00015341">
        <w:t xml:space="preserve">the </w:t>
      </w:r>
      <w:r w:rsidR="009F45F5">
        <w:rPr>
          <w:color w:val="000000" w:themeColor="text1"/>
        </w:rPr>
        <w:t xml:space="preserve">cohort member </w:t>
      </w:r>
      <w:r w:rsidR="009F45F5" w:rsidRPr="00C80A3F">
        <w:t xml:space="preserve">reported if they had ever had high blood pressure </w:t>
      </w:r>
      <w:r w:rsidR="009F45F5">
        <w:t>and</w:t>
      </w:r>
      <w:r w:rsidR="009F45F5" w:rsidRPr="00C80A3F">
        <w:t xml:space="preserve"> at age</w:t>
      </w:r>
      <w:r w:rsidR="00C477B5">
        <w:t>s</w:t>
      </w:r>
      <w:r w:rsidR="009F45F5" w:rsidRPr="00C80A3F">
        <w:t xml:space="preserve"> 34, 38 and 42 the </w:t>
      </w:r>
      <w:r w:rsidR="009F45F5">
        <w:rPr>
          <w:color w:val="000000" w:themeColor="text1"/>
        </w:rPr>
        <w:t xml:space="preserve">cohort member </w:t>
      </w:r>
      <w:r w:rsidR="009F45F5" w:rsidRPr="00C80A3F">
        <w:t>report</w:t>
      </w:r>
      <w:r w:rsidR="009F45F5">
        <w:t>ed</w:t>
      </w:r>
      <w:r w:rsidR="009F45F5" w:rsidRPr="00C80A3F">
        <w:t xml:space="preserve"> if they </w:t>
      </w:r>
      <w:r w:rsidR="00226D02">
        <w:t>visited</w:t>
      </w:r>
      <w:r w:rsidR="009F45F5" w:rsidRPr="00C80A3F">
        <w:t xml:space="preserve"> the doctors </w:t>
      </w:r>
      <w:r w:rsidR="009F45F5">
        <w:t>f</w:t>
      </w:r>
      <w:r w:rsidR="009F45F5" w:rsidRPr="00C80A3F">
        <w:t xml:space="preserve">or a health problem relating to high blood pressure in the last four years or since their last interview. </w:t>
      </w:r>
      <w:r w:rsidR="009F45F5">
        <w:t xml:space="preserve"> </w:t>
      </w:r>
    </w:p>
    <w:p w14:paraId="51BDA860" w14:textId="77777777" w:rsidR="00FA39D9" w:rsidRDefault="00FA39D9" w:rsidP="009F45F5">
      <w:pPr>
        <w:rPr>
          <w:i/>
          <w:iCs/>
        </w:rPr>
      </w:pPr>
    </w:p>
    <w:p w14:paraId="2466B45C" w14:textId="64C488F8" w:rsidR="009F45F5" w:rsidRDefault="00032863" w:rsidP="009F45F5">
      <w:pPr>
        <w:rPr>
          <w:b/>
          <w:bCs/>
        </w:rPr>
      </w:pPr>
      <w:r w:rsidRPr="006F0C4D">
        <w:rPr>
          <w:b/>
          <w:bCs/>
        </w:rPr>
        <w:t xml:space="preserve">Statistical </w:t>
      </w:r>
      <w:r w:rsidR="009F45F5" w:rsidRPr="006F0C4D">
        <w:rPr>
          <w:b/>
          <w:bCs/>
        </w:rPr>
        <w:t xml:space="preserve">analysis: </w:t>
      </w:r>
    </w:p>
    <w:p w14:paraId="62C77393" w14:textId="77777777" w:rsidR="00065724" w:rsidRPr="006F0C4D" w:rsidRDefault="00065724" w:rsidP="009F45F5">
      <w:pPr>
        <w:rPr>
          <w:b/>
          <w:bCs/>
        </w:rPr>
      </w:pPr>
    </w:p>
    <w:p w14:paraId="26F26B96" w14:textId="1A5A57E3" w:rsidR="0056336C" w:rsidRDefault="00304CF1" w:rsidP="009F45F5">
      <w:r>
        <w:t>Descriptive analyses explored the</w:t>
      </w:r>
      <w:r w:rsidR="00F24EF3">
        <w:t xml:space="preserve"> percentage distribution of s</w:t>
      </w:r>
      <w:r w:rsidR="00EA647A">
        <w:t xml:space="preserve">ociodemographic characteristics </w:t>
      </w:r>
      <w:r w:rsidR="00EC6A79">
        <w:t>for</w:t>
      </w:r>
      <w:r w:rsidR="00F24EF3">
        <w:t xml:space="preserve"> the</w:t>
      </w:r>
      <w:r w:rsidR="0056336C">
        <w:t xml:space="preserve"> </w:t>
      </w:r>
      <w:r w:rsidR="00F24EF3">
        <w:t>most common three</w:t>
      </w:r>
      <w:r w:rsidR="00032863">
        <w:t>-</w:t>
      </w:r>
      <w:r w:rsidR="00F24EF3">
        <w:t>condition</w:t>
      </w:r>
      <w:r w:rsidR="00EA647A">
        <w:t xml:space="preserve"> MLTC-M group compared with </w:t>
      </w:r>
      <w:r w:rsidR="000E49CC">
        <w:t xml:space="preserve">the </w:t>
      </w:r>
      <w:r w:rsidR="00EA647A">
        <w:t xml:space="preserve">remainder of </w:t>
      </w:r>
      <w:r w:rsidR="00F64AD2">
        <w:t>cohort being considered in this paper</w:t>
      </w:r>
      <w:r w:rsidR="00EA647A">
        <w:t>.</w:t>
      </w:r>
      <w:r w:rsidR="000E49CC">
        <w:t xml:space="preserve"> </w:t>
      </w:r>
      <w:r w:rsidR="0056336C" w:rsidRPr="05FD113A">
        <w:rPr>
          <w:rFonts w:eastAsiaTheme="minorEastAsia"/>
        </w:rPr>
        <w:t>T</w:t>
      </w:r>
      <w:r w:rsidR="00726396">
        <w:rPr>
          <w:rFonts w:eastAsiaTheme="minorEastAsia"/>
        </w:rPr>
        <w:t>o compare the differences between</w:t>
      </w:r>
      <w:r w:rsidR="0056336C" w:rsidRPr="05FD113A">
        <w:rPr>
          <w:rFonts w:eastAsiaTheme="minorEastAsia"/>
        </w:rPr>
        <w:t xml:space="preserve"> </w:t>
      </w:r>
      <w:r w:rsidR="009C510B">
        <w:rPr>
          <w:rFonts w:eastAsiaTheme="minorEastAsia"/>
        </w:rPr>
        <w:t>groups</w:t>
      </w:r>
      <w:r w:rsidR="0056336C" w:rsidRPr="05FD113A">
        <w:rPr>
          <w:rFonts w:eastAsiaTheme="minorEastAsia"/>
        </w:rPr>
        <w:t xml:space="preserve"> </w:t>
      </w:r>
      <w:r w:rsidR="00195A60">
        <w:t xml:space="preserve">Mann-Whitney U </w:t>
      </w:r>
      <w:r w:rsidR="0063248C">
        <w:t>t</w:t>
      </w:r>
      <w:r w:rsidR="00195A60">
        <w:t>ests</w:t>
      </w:r>
      <w:r w:rsidR="00726396">
        <w:t xml:space="preserve"> were utilised</w:t>
      </w:r>
      <w:r w:rsidR="0056336C" w:rsidRPr="00195A60">
        <w:t>.</w:t>
      </w:r>
    </w:p>
    <w:p w14:paraId="17155D0E" w14:textId="77777777" w:rsidR="0056336C" w:rsidRDefault="0056336C" w:rsidP="009F45F5"/>
    <w:p w14:paraId="5167A679" w14:textId="158E7243" w:rsidR="00A03E8D" w:rsidRPr="001537A1" w:rsidRDefault="00955BE4" w:rsidP="00A03E8D">
      <w:r>
        <w:t>P</w:t>
      </w:r>
      <w:r w:rsidR="005B533F">
        <w:t xml:space="preserve">revalence </w:t>
      </w:r>
      <w:r w:rsidR="005B533F">
        <w:rPr>
          <w:color w:val="000000" w:themeColor="text1"/>
          <w:lang w:eastAsia="en-US"/>
        </w:rPr>
        <w:t xml:space="preserve">was </w:t>
      </w:r>
      <w:r w:rsidR="003E2FE7">
        <w:rPr>
          <w:color w:val="000000" w:themeColor="text1"/>
          <w:lang w:eastAsia="en-US"/>
        </w:rPr>
        <w:t xml:space="preserve">calculated by dividing the number of cohort member in the MLTC-M group by the number of cohort members in the BCS70 cohort at age 46. </w:t>
      </w:r>
      <w:r w:rsidR="009F45F5">
        <w:t xml:space="preserve">The acquisition sequence of LTCs </w:t>
      </w:r>
      <w:r w:rsidR="007D1011">
        <w:t>was</w:t>
      </w:r>
      <w:r w:rsidR="009F45F5">
        <w:t xml:space="preserve"> established by searching </w:t>
      </w:r>
      <w:r w:rsidR="00F64AD2">
        <w:t>each</w:t>
      </w:r>
      <w:r w:rsidR="009F45F5">
        <w:t xml:space="preserve"> sweep for onset of each LTC. </w:t>
      </w:r>
      <w:r w:rsidR="00320978">
        <w:t xml:space="preserve">We </w:t>
      </w:r>
      <w:r w:rsidR="009F45F5">
        <w:t>tabulate</w:t>
      </w:r>
      <w:r w:rsidR="00320978">
        <w:t>d</w:t>
      </w:r>
      <w:r w:rsidR="009F45F5">
        <w:t xml:space="preserve"> sentinel condition</w:t>
      </w:r>
      <w:r w:rsidR="00837817">
        <w:t>, the number of people reporting a sentinel</w:t>
      </w:r>
      <w:r w:rsidR="009F45F5">
        <w:t xml:space="preserve"> </w:t>
      </w:r>
      <w:r w:rsidR="004D57D5">
        <w:t xml:space="preserve">condition </w:t>
      </w:r>
      <w:r w:rsidR="00107C87">
        <w:t xml:space="preserve">at each sweep </w:t>
      </w:r>
      <w:r w:rsidR="009F45F5">
        <w:t>and the</w:t>
      </w:r>
      <w:r w:rsidR="00107C87">
        <w:t xml:space="preserve"> </w:t>
      </w:r>
      <w:r w:rsidR="009F45F5">
        <w:t xml:space="preserve">length of time to accrue all three LTCs after reporting the sentinel condition. </w:t>
      </w:r>
      <w:r w:rsidR="00965B08">
        <w:t xml:space="preserve">The </w:t>
      </w:r>
      <w:r w:rsidR="00106992">
        <w:t>sequence of acquisition of psychological distress, high blood pressure and back pain</w:t>
      </w:r>
      <w:r w:rsidR="00106992" w:rsidDel="00106992">
        <w:t xml:space="preserve"> </w:t>
      </w:r>
      <w:r w:rsidR="00965B08">
        <w:t>was</w:t>
      </w:r>
      <w:r w:rsidR="004C6A6B" w:rsidRPr="00B705AF">
        <w:t xml:space="preserve"> </w:t>
      </w:r>
      <w:r w:rsidR="004C6A6B">
        <w:t>established by coding the sweep each LTC was first reporte</w:t>
      </w:r>
      <w:r w:rsidR="00AC406B">
        <w:t>d</w:t>
      </w:r>
      <w:r w:rsidR="0062245C">
        <w:t xml:space="preserve"> and </w:t>
      </w:r>
      <w:r w:rsidR="00A5792B">
        <w:t xml:space="preserve">grouping </w:t>
      </w:r>
      <w:r w:rsidR="0062245C">
        <w:t>these into patterns depend</w:t>
      </w:r>
      <w:r w:rsidR="00A5792B">
        <w:t>ent</w:t>
      </w:r>
      <w:r w:rsidR="0062245C">
        <w:t xml:space="preserve"> on the order of </w:t>
      </w:r>
      <w:r w:rsidR="00A5792B">
        <w:t>acquisition of</w:t>
      </w:r>
      <w:r w:rsidR="0062245C">
        <w:t xml:space="preserve"> LTCs</w:t>
      </w:r>
      <w:r w:rsidR="001B1E24">
        <w:t xml:space="preserve">. </w:t>
      </w:r>
      <w:r w:rsidR="002F66E1">
        <w:t>T</w:t>
      </w:r>
      <w:r w:rsidR="0070796E">
        <w:t xml:space="preserve">he </w:t>
      </w:r>
      <w:r w:rsidR="00032863">
        <w:t>permanency of the reporting</w:t>
      </w:r>
      <w:r w:rsidR="002F66E1">
        <w:t xml:space="preserve"> of psychological distress </w:t>
      </w:r>
      <w:r w:rsidR="007E6386">
        <w:t xml:space="preserve">was </w:t>
      </w:r>
      <w:r w:rsidR="00292871">
        <w:t>established</w:t>
      </w:r>
      <w:r w:rsidR="007E6386">
        <w:t xml:space="preserve"> by</w:t>
      </w:r>
      <w:r w:rsidR="00D2273C">
        <w:t xml:space="preserve"> </w:t>
      </w:r>
      <w:r w:rsidR="0087128E">
        <w:t>deriving</w:t>
      </w:r>
      <w:r w:rsidR="00D2273C">
        <w:t xml:space="preserve"> the reporting of psychological distress</w:t>
      </w:r>
      <w:r w:rsidR="007C1562">
        <w:t xml:space="preserve"> (yes/no)</w:t>
      </w:r>
      <w:r w:rsidR="00D2273C">
        <w:t xml:space="preserve"> at </w:t>
      </w:r>
      <w:r w:rsidR="00F00E8E">
        <w:t>five</w:t>
      </w:r>
      <w:r w:rsidR="00D2273C">
        <w:t xml:space="preserve"> sweep</w:t>
      </w:r>
      <w:r w:rsidR="002B7773">
        <w:t>s</w:t>
      </w:r>
      <w:r w:rsidR="006E5AE1">
        <w:t xml:space="preserve"> (age</w:t>
      </w:r>
      <w:r w:rsidR="008E022F">
        <w:t>s</w:t>
      </w:r>
      <w:r w:rsidR="006E5AE1">
        <w:t xml:space="preserve"> 26, 30, 34, 42 and 46)</w:t>
      </w:r>
      <w:r w:rsidR="00D2273C">
        <w:t xml:space="preserve">. </w:t>
      </w:r>
    </w:p>
    <w:p w14:paraId="4E9F5408" w14:textId="77777777" w:rsidR="00A03E8D" w:rsidRDefault="00A03E8D" w:rsidP="00885517">
      <w:pPr>
        <w:rPr>
          <w:color w:val="000000" w:themeColor="text1"/>
          <w:lang w:eastAsia="en-US"/>
        </w:rPr>
      </w:pPr>
    </w:p>
    <w:p w14:paraId="1321F595" w14:textId="097D956A" w:rsidR="009F45F5" w:rsidRDefault="009F45F5" w:rsidP="009F45F5">
      <w:r>
        <w:t>We displayed findings using a bubble diagram, bar chart and a Sankey diagram. These were constructed using Excel and using online software package ‘jsfiddle’</w:t>
      </w:r>
      <w:r w:rsidR="006F0C4D">
        <w:t>,[</w:t>
      </w:r>
      <w:r w:rsidR="00A36FC0" w:rsidRPr="00823954">
        <w:t>3</w:t>
      </w:r>
      <w:r w:rsidR="00BF4429">
        <w:t>6</w:t>
      </w:r>
      <w:r w:rsidR="006F0C4D">
        <w:t>]</w:t>
      </w:r>
      <w:r>
        <w:t xml:space="preserve">. </w:t>
      </w:r>
      <w:r w:rsidR="00F64AD2">
        <w:t>Analysis of the</w:t>
      </w:r>
      <w:r w:rsidR="00C95C02">
        <w:t xml:space="preserve"> acquisition of s</w:t>
      </w:r>
      <w:r w:rsidR="00637900">
        <w:t>entine</w:t>
      </w:r>
      <w:r w:rsidR="004C6A6B">
        <w:t>l condition</w:t>
      </w:r>
      <w:r w:rsidR="00C95C02">
        <w:t>s</w:t>
      </w:r>
      <w:r w:rsidR="00B05CC6">
        <w:t xml:space="preserve">, </w:t>
      </w:r>
      <w:r w:rsidR="00C95C02">
        <w:t xml:space="preserve">the sequence of LTCs </w:t>
      </w:r>
      <w:r w:rsidR="00B05CC6">
        <w:t xml:space="preserve">and the </w:t>
      </w:r>
      <w:r w:rsidR="00C95C02">
        <w:t xml:space="preserve">evaluation of the </w:t>
      </w:r>
      <w:r w:rsidR="0090030D" w:rsidRPr="005932CB">
        <w:t>permanency</w:t>
      </w:r>
      <w:r w:rsidR="00B05CC6">
        <w:t xml:space="preserve"> </w:t>
      </w:r>
      <w:r w:rsidR="00FE4930">
        <w:t>of</w:t>
      </w:r>
      <w:r w:rsidR="00A7779E">
        <w:t xml:space="preserve"> the report of</w:t>
      </w:r>
      <w:r w:rsidR="00FE4930">
        <w:t xml:space="preserve"> psychological distress</w:t>
      </w:r>
      <w:r w:rsidR="004C6A6B">
        <w:t xml:space="preserve"> w</w:t>
      </w:r>
      <w:r w:rsidR="001A78B6">
        <w:t>ere</w:t>
      </w:r>
      <w:r w:rsidR="004C6A6B">
        <w:t xml:space="preserve"> conducted</w:t>
      </w:r>
      <w:r w:rsidR="00C95C02">
        <w:t xml:space="preserve"> using</w:t>
      </w:r>
      <w:r w:rsidR="004C6A6B">
        <w:t xml:space="preserve"> </w:t>
      </w:r>
      <w:r>
        <w:t>the statistical software package Stata IC 16</w:t>
      </w:r>
      <w:r w:rsidR="00C11643">
        <w:t>,[</w:t>
      </w:r>
      <w:r w:rsidR="000F6C1B" w:rsidRPr="00823954">
        <w:t>3</w:t>
      </w:r>
      <w:r w:rsidR="00BF4429">
        <w:t>7</w:t>
      </w:r>
      <w:r w:rsidR="00C11643">
        <w:t>]</w:t>
      </w:r>
      <w:r w:rsidR="004C6A6B">
        <w:t xml:space="preserve"> and Excel</w:t>
      </w:r>
      <w:r>
        <w:t>.</w:t>
      </w:r>
      <w:r w:rsidRPr="00C82D17">
        <w:t xml:space="preserve"> </w:t>
      </w:r>
      <w:r w:rsidR="00195A60">
        <w:t xml:space="preserve">Mann-Whitney U tests </w:t>
      </w:r>
      <w:r w:rsidR="00FA45B6">
        <w:t>were performed using Stata IC 16.</w:t>
      </w:r>
    </w:p>
    <w:p w14:paraId="6E570216" w14:textId="77777777" w:rsidR="00E1230D" w:rsidRPr="00C80A3F" w:rsidRDefault="00E1230D" w:rsidP="00E1230D"/>
    <w:p w14:paraId="15AC0263" w14:textId="4013ABCB" w:rsidR="00E1230D" w:rsidRPr="006F0C4D" w:rsidRDefault="006F0C4D" w:rsidP="00E1230D">
      <w:r w:rsidRPr="006F0C4D">
        <w:lastRenderedPageBreak/>
        <w:t>RESULTS</w:t>
      </w:r>
    </w:p>
    <w:p w14:paraId="4C013C3E" w14:textId="1BB40659" w:rsidR="00122FF8" w:rsidRDefault="00122FF8" w:rsidP="00E1230D">
      <w:pPr>
        <w:rPr>
          <w:u w:val="single"/>
        </w:rPr>
      </w:pPr>
    </w:p>
    <w:p w14:paraId="621F9AF1" w14:textId="77A662FA" w:rsidR="005B533F" w:rsidRDefault="005B533F" w:rsidP="005B533F">
      <w:r w:rsidRPr="006F0C4D">
        <w:t xml:space="preserve">Multimorbidity cohort characteristics: </w:t>
      </w:r>
    </w:p>
    <w:p w14:paraId="45300988" w14:textId="77777777" w:rsidR="005C21FA" w:rsidRPr="006F0C4D" w:rsidRDefault="005C21FA" w:rsidP="005B533F"/>
    <w:p w14:paraId="0942E1AC" w14:textId="28F9B0BC" w:rsidR="00001F60" w:rsidRDefault="00320978" w:rsidP="00E1230D">
      <w:r>
        <w:t>P</w:t>
      </w:r>
      <w:r w:rsidR="005B533F" w:rsidRPr="00195A60">
        <w:t>sychological distress</w:t>
      </w:r>
      <w:r w:rsidR="005B533F" w:rsidRPr="00195A60" w:rsidDel="00B47AC8">
        <w:t xml:space="preserve"> </w:t>
      </w:r>
      <w:r w:rsidR="005B533F" w:rsidRPr="00195A60">
        <w:t xml:space="preserve">was the </w:t>
      </w:r>
      <w:r w:rsidR="008630AB" w:rsidRPr="00195A60">
        <w:t>most common</w:t>
      </w:r>
      <w:r w:rsidR="005B533F" w:rsidRPr="00195A60">
        <w:t xml:space="preserve"> single LTC (33.2%</w:t>
      </w:r>
      <w:r w:rsidR="0089156D">
        <w:t>,</w:t>
      </w:r>
      <w:r w:rsidR="0089156D" w:rsidRPr="00195A60">
        <w:t>n=2835</w:t>
      </w:r>
      <w:r w:rsidR="005B533F" w:rsidRPr="00195A60">
        <w:t xml:space="preserve">) (Table 1). Back pain and high blood pressure were reported by </w:t>
      </w:r>
      <w:r w:rsidR="0089156D">
        <w:t>32.4% (n=</w:t>
      </w:r>
      <w:r w:rsidR="005B533F" w:rsidRPr="00195A60">
        <w:t>2767</w:t>
      </w:r>
      <w:r w:rsidR="0089156D">
        <w:t>)</w:t>
      </w:r>
      <w:r w:rsidR="005B533F" w:rsidRPr="00195A60">
        <w:t xml:space="preserve"> and </w:t>
      </w:r>
      <w:r w:rsidR="0089156D">
        <w:t>23.5% (n=</w:t>
      </w:r>
      <w:r w:rsidR="005B533F" w:rsidRPr="00195A60">
        <w:t>2010</w:t>
      </w:r>
      <w:r w:rsidR="0089156D">
        <w:t>)</w:t>
      </w:r>
      <w:r w:rsidR="00C11643">
        <w:t xml:space="preserve">, </w:t>
      </w:r>
      <w:r w:rsidR="005B533F" w:rsidRPr="00195A60">
        <w:t>respectively.</w:t>
      </w:r>
      <w:r w:rsidR="005B533F">
        <w:t xml:space="preserve"> The most common three-condition MLTC-M was psychological distress, high blood pressure and back pain reported by </w:t>
      </w:r>
      <w:r w:rsidR="0089156D">
        <w:t>4.3% (n=</w:t>
      </w:r>
      <w:r w:rsidR="005B533F">
        <w:t>370</w:t>
      </w:r>
      <w:r w:rsidR="0089156D">
        <w:t>)</w:t>
      </w:r>
      <w:r w:rsidR="005B533F">
        <w:t xml:space="preserve"> (Table 1)</w:t>
      </w:r>
      <w:r>
        <w:t xml:space="preserve"> </w:t>
      </w:r>
      <w:r w:rsidR="00B107A5">
        <w:t xml:space="preserve">of whom </w:t>
      </w:r>
      <w:r w:rsidR="00315880">
        <w:t>164</w:t>
      </w:r>
      <w:r w:rsidR="00B107A5">
        <w:t>/370</w:t>
      </w:r>
      <w:r w:rsidR="00DF523C">
        <w:t xml:space="preserve"> </w:t>
      </w:r>
      <w:r w:rsidR="009F7704">
        <w:t>provide</w:t>
      </w:r>
      <w:r w:rsidR="00A95830">
        <w:t>d</w:t>
      </w:r>
      <w:r w:rsidR="009F7704">
        <w:t xml:space="preserve"> additional information on LTCs at age</w:t>
      </w:r>
      <w:r w:rsidR="008E022F">
        <w:t>s</w:t>
      </w:r>
      <w:r w:rsidR="009F7704">
        <w:t xml:space="preserve"> 26, 30, 34, 38 and 42</w:t>
      </w:r>
      <w:r w:rsidR="00315880">
        <w:t>.</w:t>
      </w:r>
      <w:r w:rsidR="00CC642E">
        <w:t xml:space="preserve"> </w:t>
      </w:r>
      <w:r>
        <w:t>(</w:t>
      </w:r>
      <w:r w:rsidR="004826CD">
        <w:t>Figure 1</w:t>
      </w:r>
      <w:r>
        <w:t>)</w:t>
      </w:r>
      <w:r w:rsidR="00E01D56">
        <w:t xml:space="preserve">. </w:t>
      </w:r>
    </w:p>
    <w:p w14:paraId="231F50B3" w14:textId="77777777" w:rsidR="00001F60" w:rsidRPr="00FE05D7" w:rsidRDefault="00001F60" w:rsidP="00E1230D">
      <w:pPr>
        <w:rPr>
          <w:i/>
          <w:iCs/>
        </w:rPr>
      </w:pPr>
    </w:p>
    <w:p w14:paraId="6D42813A" w14:textId="66B07B29" w:rsidR="002E5A3C" w:rsidRDefault="002E5A3C" w:rsidP="00E1230D">
      <w:r w:rsidRPr="006F0C4D">
        <w:t xml:space="preserve">Sociodemographic characteristics at age 46: </w:t>
      </w:r>
    </w:p>
    <w:p w14:paraId="1B71CBDB" w14:textId="77777777" w:rsidR="005C21FA" w:rsidRPr="006F0C4D" w:rsidRDefault="005C21FA" w:rsidP="00E1230D"/>
    <w:p w14:paraId="02EFC7BE" w14:textId="7988C03A" w:rsidR="00015341" w:rsidRDefault="002D361F" w:rsidP="00001F60">
      <w:r>
        <w:t xml:space="preserve">At age </w:t>
      </w:r>
      <w:r w:rsidR="00862905">
        <w:t>4</w:t>
      </w:r>
      <w:r>
        <w:t xml:space="preserve">6, </w:t>
      </w:r>
      <w:r w:rsidR="00862905">
        <w:t xml:space="preserve">for those </w:t>
      </w:r>
      <w:r w:rsidR="009642B2">
        <w:t>in the</w:t>
      </w:r>
      <w:r w:rsidR="00560C8E">
        <w:t xml:space="preserve"> </w:t>
      </w:r>
      <w:r w:rsidR="001F7F6F">
        <w:t xml:space="preserve">most common </w:t>
      </w:r>
      <w:r w:rsidR="00226D02">
        <w:t>three</w:t>
      </w:r>
      <w:r w:rsidR="001F7F6F">
        <w:t>-</w:t>
      </w:r>
      <w:r w:rsidR="00226D02">
        <w:t>condition</w:t>
      </w:r>
      <w:r w:rsidR="00001F60">
        <w:t xml:space="preserve"> </w:t>
      </w:r>
      <w:r w:rsidR="00AB6545">
        <w:t>MLTC-M</w:t>
      </w:r>
      <w:r w:rsidR="009642B2">
        <w:t xml:space="preserve"> group</w:t>
      </w:r>
      <w:r w:rsidR="00001F60">
        <w:t xml:space="preserve">, </w:t>
      </w:r>
      <w:r w:rsidR="002B4559">
        <w:t xml:space="preserve">a </w:t>
      </w:r>
      <w:r w:rsidR="001F7F6F">
        <w:t xml:space="preserve">larger </w:t>
      </w:r>
      <w:r w:rsidR="002B4559">
        <w:t xml:space="preserve">proportion of </w:t>
      </w:r>
      <w:r w:rsidR="004B253A">
        <w:t xml:space="preserve">participants </w:t>
      </w:r>
      <w:r w:rsidR="00F50F77">
        <w:t>(</w:t>
      </w:r>
      <w:r w:rsidR="00001F60">
        <w:t>24.3%</w:t>
      </w:r>
      <w:r w:rsidR="00F50F77">
        <w:t>)</w:t>
      </w:r>
      <w:r w:rsidR="00001F60">
        <w:t xml:space="preserve"> </w:t>
      </w:r>
      <w:r w:rsidR="00AA2D14">
        <w:t>lived in areas in</w:t>
      </w:r>
      <w:r w:rsidR="00001F60">
        <w:t xml:space="preserve"> the lowest </w:t>
      </w:r>
      <w:r w:rsidR="00196828">
        <w:t xml:space="preserve">IMD </w:t>
      </w:r>
      <w:r w:rsidR="00001F60">
        <w:t xml:space="preserve">quintile compared with </w:t>
      </w:r>
      <w:r w:rsidR="00FA45B6">
        <w:t xml:space="preserve">the remainder of the BCS70 sample </w:t>
      </w:r>
      <w:r w:rsidR="00AB6545">
        <w:t>(</w:t>
      </w:r>
      <w:r w:rsidR="00001F60">
        <w:t>12.7%</w:t>
      </w:r>
      <w:r w:rsidR="00AB6545">
        <w:t>)</w:t>
      </w:r>
      <w:r w:rsidR="00F27E8A">
        <w:t xml:space="preserve"> (p&lt;0.001)</w:t>
      </w:r>
      <w:r w:rsidR="006508A6">
        <w:t xml:space="preserve"> </w:t>
      </w:r>
      <w:r w:rsidR="00AB6545">
        <w:t>(Table 2).</w:t>
      </w:r>
      <w:r w:rsidR="00001F60">
        <w:t xml:space="preserve"> </w:t>
      </w:r>
      <w:r w:rsidR="007819C7">
        <w:t xml:space="preserve"> Participants in th</w:t>
      </w:r>
      <w:r w:rsidR="00104801">
        <w:t>e MLTC-M</w:t>
      </w:r>
      <w:r w:rsidR="007819C7">
        <w:t xml:space="preserve"> group </w:t>
      </w:r>
      <w:r w:rsidR="00226D02">
        <w:t>were more likely to</w:t>
      </w:r>
      <w:r w:rsidR="007819C7">
        <w:t xml:space="preserve"> </w:t>
      </w:r>
      <w:r w:rsidR="00001F60">
        <w:t>report</w:t>
      </w:r>
      <w:r w:rsidR="008E022F">
        <w:t xml:space="preserve"> </w:t>
      </w:r>
      <w:r w:rsidR="00001F60">
        <w:t xml:space="preserve">no academic qualifications </w:t>
      </w:r>
      <w:r w:rsidR="00862905">
        <w:t>(</w:t>
      </w:r>
      <w:r w:rsidR="004600EB">
        <w:t>38</w:t>
      </w:r>
      <w:r w:rsidR="00177796">
        <w:t>.</w:t>
      </w:r>
      <w:r w:rsidR="004600EB">
        <w:t>4</w:t>
      </w:r>
      <w:r w:rsidR="00177796">
        <w:t>%</w:t>
      </w:r>
      <w:r w:rsidR="00C11643">
        <w:t xml:space="preserve"> vs 27.7%</w:t>
      </w:r>
      <w:r w:rsidR="00F27E8A">
        <w:t>,p&lt;0.001) a</w:t>
      </w:r>
      <w:r w:rsidR="00226D02">
        <w:t xml:space="preserve">nd </w:t>
      </w:r>
      <w:r w:rsidR="00FE68F1">
        <w:t xml:space="preserve">were more </w:t>
      </w:r>
      <w:r w:rsidR="007819C7">
        <w:t xml:space="preserve">likely </w:t>
      </w:r>
      <w:r w:rsidR="00FE68F1">
        <w:t xml:space="preserve">to </w:t>
      </w:r>
      <w:r w:rsidR="007819C7">
        <w:t xml:space="preserve">be </w:t>
      </w:r>
      <w:r w:rsidR="00001F60">
        <w:t>liv</w:t>
      </w:r>
      <w:r w:rsidR="007D762F">
        <w:t>ing</w:t>
      </w:r>
      <w:r w:rsidR="00001F60">
        <w:t xml:space="preserve"> in </w:t>
      </w:r>
      <w:r w:rsidR="00495A94">
        <w:t xml:space="preserve">social </w:t>
      </w:r>
      <w:r w:rsidR="00001F60">
        <w:t>rented accommodation (</w:t>
      </w:r>
      <w:r w:rsidR="007E5C61" w:rsidRPr="007E5C61">
        <w:t>27</w:t>
      </w:r>
      <w:r w:rsidR="00FE68F1" w:rsidRPr="007E5C61">
        <w:t>.</w:t>
      </w:r>
      <w:r w:rsidR="007E5C61" w:rsidRPr="007E5C61">
        <w:t>3</w:t>
      </w:r>
      <w:r w:rsidR="00FE68F1" w:rsidRPr="007E5C61">
        <w:t>%</w:t>
      </w:r>
      <w:r w:rsidR="005932CB" w:rsidRPr="007E5C61">
        <w:t xml:space="preserve"> vs </w:t>
      </w:r>
      <w:r w:rsidR="007E5C61" w:rsidRPr="007E5C61">
        <w:t>9</w:t>
      </w:r>
      <w:r w:rsidR="005932CB" w:rsidRPr="007E5C61">
        <w:t>.</w:t>
      </w:r>
      <w:r w:rsidR="007E5C61" w:rsidRPr="007E5C61">
        <w:t>9</w:t>
      </w:r>
      <w:r w:rsidR="005932CB" w:rsidRPr="007E5C61">
        <w:t>%</w:t>
      </w:r>
      <w:r w:rsidR="00F27E8A">
        <w:t>,p&lt;0.001</w:t>
      </w:r>
      <w:r w:rsidR="00361B1D" w:rsidRPr="007E5C61">
        <w:t>)</w:t>
      </w:r>
      <w:r w:rsidR="001E67C1">
        <w:t xml:space="preserve"> compared with the remainder of the BCS70 sample</w:t>
      </w:r>
      <w:r w:rsidR="00001F60" w:rsidRPr="007E5C61">
        <w:t>.</w:t>
      </w:r>
      <w:r w:rsidR="00001F60">
        <w:t xml:space="preserve"> </w:t>
      </w:r>
      <w:r w:rsidR="00F21F58">
        <w:t xml:space="preserve">They were also more likely to </w:t>
      </w:r>
      <w:r w:rsidR="005B38BB">
        <w:t>receive benefits (54.0% vs 36.7%</w:t>
      </w:r>
      <w:r w:rsidR="00F27E8A">
        <w:t>,p&lt;0.001</w:t>
      </w:r>
      <w:r w:rsidR="005B38BB">
        <w:t>) and were more likely to be off work for issues relating to sickness (19.5% vs 3.5%</w:t>
      </w:r>
      <w:r w:rsidR="00F27E8A">
        <w:t>,p&lt;0.001</w:t>
      </w:r>
      <w:r w:rsidR="005B38BB">
        <w:t>)</w:t>
      </w:r>
      <w:r w:rsidR="001E67C1">
        <w:t xml:space="preserve"> compared with the remainder of the BCS70 sample</w:t>
      </w:r>
      <w:r w:rsidR="005B38BB">
        <w:t xml:space="preserve">. </w:t>
      </w:r>
    </w:p>
    <w:p w14:paraId="32BA389E" w14:textId="77777777" w:rsidR="005B38BB" w:rsidRDefault="005B38BB" w:rsidP="00015341"/>
    <w:p w14:paraId="60604672" w14:textId="20388104" w:rsidR="00015341" w:rsidRDefault="00015341" w:rsidP="00015341">
      <w:r>
        <w:t xml:space="preserve">Table 1. The frequency of the reporting of long-term conditions at age 46 for the full BCS70 cohort. </w:t>
      </w:r>
    </w:p>
    <w:tbl>
      <w:tblPr>
        <w:tblStyle w:val="TableGrid"/>
        <w:tblW w:w="9356" w:type="dxa"/>
        <w:tblInd w:w="-142" w:type="dxa"/>
        <w:tblLook w:val="04A0" w:firstRow="1" w:lastRow="0" w:firstColumn="1" w:lastColumn="0" w:noHBand="0" w:noVBand="1"/>
      </w:tblPr>
      <w:tblGrid>
        <w:gridCol w:w="1518"/>
        <w:gridCol w:w="6190"/>
        <w:gridCol w:w="1648"/>
      </w:tblGrid>
      <w:tr w:rsidR="00015341" w14:paraId="6BDA5B6C" w14:textId="77777777" w:rsidTr="002C2D82">
        <w:trPr>
          <w:gridAfter w:val="1"/>
          <w:wAfter w:w="1648" w:type="dxa"/>
          <w:trHeight w:val="235"/>
        </w:trPr>
        <w:tc>
          <w:tcPr>
            <w:tcW w:w="1518" w:type="dxa"/>
            <w:tcBorders>
              <w:top w:val="nil"/>
              <w:left w:val="nil"/>
              <w:right w:val="nil"/>
            </w:tcBorders>
          </w:tcPr>
          <w:p w14:paraId="687B77A0" w14:textId="5044FF48" w:rsidR="00015341" w:rsidRDefault="00015341" w:rsidP="002C2D82"/>
        </w:tc>
        <w:tc>
          <w:tcPr>
            <w:tcW w:w="6190" w:type="dxa"/>
            <w:tcBorders>
              <w:top w:val="nil"/>
              <w:left w:val="nil"/>
              <w:bottom w:val="single" w:sz="12" w:space="0" w:color="auto"/>
              <w:right w:val="nil"/>
            </w:tcBorders>
          </w:tcPr>
          <w:p w14:paraId="63A92AC3" w14:textId="77777777" w:rsidR="00015341" w:rsidRDefault="00015341" w:rsidP="002C2D82"/>
        </w:tc>
      </w:tr>
      <w:tr w:rsidR="00015341" w14:paraId="16F129F7" w14:textId="77777777" w:rsidTr="002C2D82">
        <w:trPr>
          <w:trHeight w:val="275"/>
        </w:trPr>
        <w:tc>
          <w:tcPr>
            <w:tcW w:w="1518" w:type="dxa"/>
            <w:tcBorders>
              <w:top w:val="single" w:sz="12" w:space="0" w:color="auto"/>
              <w:right w:val="nil"/>
            </w:tcBorders>
          </w:tcPr>
          <w:p w14:paraId="32F21D3F" w14:textId="77777777" w:rsidR="00015341" w:rsidRDefault="00015341" w:rsidP="002C2D82">
            <w:pPr>
              <w:jc w:val="right"/>
            </w:pPr>
          </w:p>
        </w:tc>
        <w:tc>
          <w:tcPr>
            <w:tcW w:w="6190" w:type="dxa"/>
            <w:tcBorders>
              <w:top w:val="single" w:sz="12" w:space="0" w:color="auto"/>
              <w:left w:val="nil"/>
            </w:tcBorders>
          </w:tcPr>
          <w:p w14:paraId="0D58B9A7" w14:textId="77777777" w:rsidR="00015341" w:rsidRDefault="00015341" w:rsidP="002C2D82">
            <w:pPr>
              <w:jc w:val="right"/>
            </w:pPr>
          </w:p>
        </w:tc>
        <w:tc>
          <w:tcPr>
            <w:tcW w:w="1648" w:type="dxa"/>
            <w:tcBorders>
              <w:top w:val="single" w:sz="12" w:space="0" w:color="auto"/>
            </w:tcBorders>
          </w:tcPr>
          <w:p w14:paraId="1FD70540" w14:textId="77777777" w:rsidR="00015341" w:rsidRDefault="00015341" w:rsidP="002C2D82">
            <w:pPr>
              <w:jc w:val="right"/>
            </w:pPr>
            <w:r>
              <w:t>N (%)</w:t>
            </w:r>
          </w:p>
        </w:tc>
      </w:tr>
      <w:tr w:rsidR="00015341" w14:paraId="0CF39FA9" w14:textId="77777777" w:rsidTr="002C2D82">
        <w:trPr>
          <w:trHeight w:val="275"/>
        </w:trPr>
        <w:tc>
          <w:tcPr>
            <w:tcW w:w="1518" w:type="dxa"/>
            <w:vMerge w:val="restart"/>
            <w:tcBorders>
              <w:top w:val="single" w:sz="12" w:space="0" w:color="auto"/>
              <w:right w:val="nil"/>
            </w:tcBorders>
          </w:tcPr>
          <w:p w14:paraId="3CE3A7AC" w14:textId="77777777" w:rsidR="00015341" w:rsidRDefault="00015341" w:rsidP="002C2D82">
            <w:pPr>
              <w:jc w:val="right"/>
            </w:pPr>
            <w:r>
              <w:t>One LTC</w:t>
            </w:r>
          </w:p>
        </w:tc>
        <w:tc>
          <w:tcPr>
            <w:tcW w:w="6190" w:type="dxa"/>
            <w:tcBorders>
              <w:top w:val="single" w:sz="12" w:space="0" w:color="auto"/>
              <w:left w:val="nil"/>
            </w:tcBorders>
          </w:tcPr>
          <w:p w14:paraId="04A43B25" w14:textId="77777777" w:rsidR="00015341" w:rsidRDefault="00015341" w:rsidP="002C2D82">
            <w:pPr>
              <w:jc w:val="right"/>
            </w:pPr>
            <w:r>
              <w:t>Psychological distress</w:t>
            </w:r>
            <w:r w:rsidDel="0091320A">
              <w:t xml:space="preserve"> </w:t>
            </w:r>
            <w:r>
              <w:t xml:space="preserve"> </w:t>
            </w:r>
          </w:p>
        </w:tc>
        <w:tc>
          <w:tcPr>
            <w:tcW w:w="1648" w:type="dxa"/>
            <w:tcBorders>
              <w:top w:val="single" w:sz="12" w:space="0" w:color="auto"/>
            </w:tcBorders>
          </w:tcPr>
          <w:p w14:paraId="2B7D9CC3" w14:textId="77777777" w:rsidR="00015341" w:rsidRDefault="00015341" w:rsidP="002C2D82">
            <w:pPr>
              <w:jc w:val="right"/>
            </w:pPr>
            <w:r>
              <w:t>2835 (33.2%)</w:t>
            </w:r>
          </w:p>
        </w:tc>
      </w:tr>
      <w:tr w:rsidR="00015341" w14:paraId="09B191DD" w14:textId="77777777" w:rsidTr="002C2D82">
        <w:trPr>
          <w:trHeight w:val="275"/>
        </w:trPr>
        <w:tc>
          <w:tcPr>
            <w:tcW w:w="1518" w:type="dxa"/>
            <w:vMerge/>
            <w:tcBorders>
              <w:right w:val="nil"/>
            </w:tcBorders>
          </w:tcPr>
          <w:p w14:paraId="7940E06C" w14:textId="77777777" w:rsidR="00015341" w:rsidRDefault="00015341" w:rsidP="002C2D82">
            <w:pPr>
              <w:jc w:val="right"/>
            </w:pPr>
          </w:p>
        </w:tc>
        <w:tc>
          <w:tcPr>
            <w:tcW w:w="6190" w:type="dxa"/>
            <w:tcBorders>
              <w:top w:val="single" w:sz="4" w:space="0" w:color="auto"/>
              <w:left w:val="nil"/>
            </w:tcBorders>
          </w:tcPr>
          <w:p w14:paraId="48EE7AC2" w14:textId="77777777" w:rsidR="00015341" w:rsidRDefault="00015341" w:rsidP="002C2D82">
            <w:pPr>
              <w:jc w:val="right"/>
            </w:pPr>
          </w:p>
        </w:tc>
        <w:tc>
          <w:tcPr>
            <w:tcW w:w="1648" w:type="dxa"/>
            <w:tcBorders>
              <w:top w:val="single" w:sz="4" w:space="0" w:color="auto"/>
            </w:tcBorders>
          </w:tcPr>
          <w:p w14:paraId="7FE83120" w14:textId="77777777" w:rsidR="00015341" w:rsidRDefault="00015341" w:rsidP="002C2D82">
            <w:pPr>
              <w:jc w:val="right"/>
            </w:pPr>
          </w:p>
        </w:tc>
      </w:tr>
      <w:tr w:rsidR="00015341" w14:paraId="017F829C" w14:textId="77777777" w:rsidTr="002C2D82">
        <w:trPr>
          <w:trHeight w:val="275"/>
        </w:trPr>
        <w:tc>
          <w:tcPr>
            <w:tcW w:w="1518" w:type="dxa"/>
            <w:vMerge/>
            <w:tcBorders>
              <w:right w:val="nil"/>
            </w:tcBorders>
          </w:tcPr>
          <w:p w14:paraId="7C357ADC" w14:textId="77777777" w:rsidR="00015341" w:rsidRDefault="00015341" w:rsidP="002C2D82">
            <w:pPr>
              <w:jc w:val="right"/>
            </w:pPr>
          </w:p>
        </w:tc>
        <w:tc>
          <w:tcPr>
            <w:tcW w:w="6190" w:type="dxa"/>
            <w:tcBorders>
              <w:top w:val="single" w:sz="4" w:space="0" w:color="auto"/>
              <w:left w:val="nil"/>
            </w:tcBorders>
          </w:tcPr>
          <w:p w14:paraId="2AB7573D" w14:textId="77777777" w:rsidR="00015341" w:rsidRDefault="00015341" w:rsidP="002C2D82">
            <w:pPr>
              <w:jc w:val="right"/>
            </w:pPr>
            <w:r>
              <w:t xml:space="preserve">Back pain </w:t>
            </w:r>
          </w:p>
        </w:tc>
        <w:tc>
          <w:tcPr>
            <w:tcW w:w="1648" w:type="dxa"/>
            <w:tcBorders>
              <w:top w:val="single" w:sz="4" w:space="0" w:color="auto"/>
            </w:tcBorders>
          </w:tcPr>
          <w:p w14:paraId="569A88D0" w14:textId="77777777" w:rsidR="00015341" w:rsidRDefault="00015341" w:rsidP="002C2D82">
            <w:pPr>
              <w:jc w:val="right"/>
            </w:pPr>
            <w:r>
              <w:t>2767 (32.4%)</w:t>
            </w:r>
          </w:p>
        </w:tc>
      </w:tr>
      <w:tr w:rsidR="00015341" w14:paraId="7C48625C" w14:textId="77777777" w:rsidTr="002C2D82">
        <w:trPr>
          <w:trHeight w:val="275"/>
        </w:trPr>
        <w:tc>
          <w:tcPr>
            <w:tcW w:w="1518" w:type="dxa"/>
            <w:vMerge/>
            <w:tcBorders>
              <w:right w:val="nil"/>
            </w:tcBorders>
          </w:tcPr>
          <w:p w14:paraId="13C2557E" w14:textId="77777777" w:rsidR="00015341" w:rsidRDefault="00015341" w:rsidP="002C2D82">
            <w:pPr>
              <w:jc w:val="right"/>
            </w:pPr>
          </w:p>
        </w:tc>
        <w:tc>
          <w:tcPr>
            <w:tcW w:w="6190" w:type="dxa"/>
            <w:tcBorders>
              <w:top w:val="single" w:sz="4" w:space="0" w:color="auto"/>
              <w:left w:val="nil"/>
            </w:tcBorders>
          </w:tcPr>
          <w:p w14:paraId="21568CCE" w14:textId="77777777" w:rsidR="00015341" w:rsidRDefault="00015341" w:rsidP="002C2D82">
            <w:pPr>
              <w:jc w:val="right"/>
            </w:pPr>
          </w:p>
        </w:tc>
        <w:tc>
          <w:tcPr>
            <w:tcW w:w="1648" w:type="dxa"/>
            <w:tcBorders>
              <w:top w:val="single" w:sz="4" w:space="0" w:color="auto"/>
            </w:tcBorders>
          </w:tcPr>
          <w:p w14:paraId="10648B80" w14:textId="77777777" w:rsidR="00015341" w:rsidRDefault="00015341" w:rsidP="002C2D82">
            <w:pPr>
              <w:jc w:val="right"/>
            </w:pPr>
          </w:p>
        </w:tc>
      </w:tr>
      <w:tr w:rsidR="00015341" w14:paraId="62BC1FD5" w14:textId="77777777" w:rsidTr="002C2D82">
        <w:trPr>
          <w:trHeight w:val="275"/>
        </w:trPr>
        <w:tc>
          <w:tcPr>
            <w:tcW w:w="1518" w:type="dxa"/>
            <w:vMerge/>
            <w:tcBorders>
              <w:right w:val="nil"/>
            </w:tcBorders>
          </w:tcPr>
          <w:p w14:paraId="7FF25619" w14:textId="77777777" w:rsidR="00015341" w:rsidRDefault="00015341" w:rsidP="002C2D82">
            <w:pPr>
              <w:jc w:val="right"/>
            </w:pPr>
          </w:p>
        </w:tc>
        <w:tc>
          <w:tcPr>
            <w:tcW w:w="6190" w:type="dxa"/>
            <w:tcBorders>
              <w:top w:val="single" w:sz="4" w:space="0" w:color="auto"/>
              <w:left w:val="nil"/>
            </w:tcBorders>
          </w:tcPr>
          <w:p w14:paraId="0EDDEA42" w14:textId="77777777" w:rsidR="00015341" w:rsidRDefault="00015341" w:rsidP="002C2D82">
            <w:pPr>
              <w:jc w:val="right"/>
            </w:pPr>
            <w:r>
              <w:t xml:space="preserve">High blood pressure </w:t>
            </w:r>
          </w:p>
        </w:tc>
        <w:tc>
          <w:tcPr>
            <w:tcW w:w="1648" w:type="dxa"/>
            <w:tcBorders>
              <w:top w:val="single" w:sz="4" w:space="0" w:color="auto"/>
            </w:tcBorders>
          </w:tcPr>
          <w:p w14:paraId="72708C1D" w14:textId="77777777" w:rsidR="00015341" w:rsidRDefault="00015341" w:rsidP="002C2D82">
            <w:pPr>
              <w:jc w:val="right"/>
            </w:pPr>
            <w:r>
              <w:t>2010 (23.5%)</w:t>
            </w:r>
          </w:p>
        </w:tc>
      </w:tr>
      <w:tr w:rsidR="00015341" w14:paraId="6A08B00C" w14:textId="77777777" w:rsidTr="002C2D82">
        <w:trPr>
          <w:trHeight w:val="275"/>
        </w:trPr>
        <w:tc>
          <w:tcPr>
            <w:tcW w:w="1518" w:type="dxa"/>
            <w:vMerge/>
            <w:tcBorders>
              <w:right w:val="nil"/>
            </w:tcBorders>
          </w:tcPr>
          <w:p w14:paraId="661E0C69" w14:textId="77777777" w:rsidR="00015341" w:rsidRDefault="00015341" w:rsidP="002C2D82">
            <w:pPr>
              <w:jc w:val="right"/>
            </w:pPr>
          </w:p>
        </w:tc>
        <w:tc>
          <w:tcPr>
            <w:tcW w:w="6190" w:type="dxa"/>
            <w:tcBorders>
              <w:top w:val="single" w:sz="4" w:space="0" w:color="auto"/>
              <w:left w:val="nil"/>
            </w:tcBorders>
          </w:tcPr>
          <w:p w14:paraId="29CF16C6" w14:textId="77777777" w:rsidR="00015341" w:rsidRDefault="00015341" w:rsidP="002C2D82">
            <w:pPr>
              <w:jc w:val="right"/>
            </w:pPr>
          </w:p>
        </w:tc>
        <w:tc>
          <w:tcPr>
            <w:tcW w:w="1648" w:type="dxa"/>
            <w:tcBorders>
              <w:top w:val="single" w:sz="4" w:space="0" w:color="auto"/>
            </w:tcBorders>
          </w:tcPr>
          <w:p w14:paraId="08A982B9" w14:textId="77777777" w:rsidR="00015341" w:rsidRDefault="00015341" w:rsidP="002C2D82">
            <w:pPr>
              <w:jc w:val="right"/>
            </w:pPr>
          </w:p>
        </w:tc>
      </w:tr>
      <w:tr w:rsidR="00015341" w14:paraId="7E5DF5B1" w14:textId="77777777" w:rsidTr="002C2D82">
        <w:trPr>
          <w:trHeight w:val="275"/>
        </w:trPr>
        <w:tc>
          <w:tcPr>
            <w:tcW w:w="1518" w:type="dxa"/>
            <w:vMerge/>
            <w:tcBorders>
              <w:right w:val="nil"/>
            </w:tcBorders>
          </w:tcPr>
          <w:p w14:paraId="6A56A914" w14:textId="77777777" w:rsidR="00015341" w:rsidRDefault="00015341" w:rsidP="002C2D82">
            <w:pPr>
              <w:jc w:val="right"/>
            </w:pPr>
          </w:p>
        </w:tc>
        <w:tc>
          <w:tcPr>
            <w:tcW w:w="6190" w:type="dxa"/>
            <w:tcBorders>
              <w:top w:val="single" w:sz="4" w:space="0" w:color="auto"/>
              <w:left w:val="nil"/>
            </w:tcBorders>
          </w:tcPr>
          <w:p w14:paraId="19A1539D" w14:textId="77777777" w:rsidR="00015341" w:rsidRDefault="00015341" w:rsidP="002C2D82">
            <w:pPr>
              <w:jc w:val="right"/>
            </w:pPr>
            <w:r>
              <w:t xml:space="preserve">Asthma </w:t>
            </w:r>
          </w:p>
        </w:tc>
        <w:tc>
          <w:tcPr>
            <w:tcW w:w="1648" w:type="dxa"/>
            <w:tcBorders>
              <w:top w:val="single" w:sz="4" w:space="0" w:color="auto"/>
            </w:tcBorders>
          </w:tcPr>
          <w:p w14:paraId="5D115E5D" w14:textId="77777777" w:rsidR="00015341" w:rsidRDefault="00015341" w:rsidP="002C2D82">
            <w:pPr>
              <w:jc w:val="right"/>
            </w:pPr>
            <w:r>
              <w:t>1003 (11.7%)</w:t>
            </w:r>
          </w:p>
        </w:tc>
      </w:tr>
      <w:tr w:rsidR="00015341" w14:paraId="619BBEF9" w14:textId="77777777" w:rsidTr="002C2D82">
        <w:trPr>
          <w:trHeight w:val="275"/>
        </w:trPr>
        <w:tc>
          <w:tcPr>
            <w:tcW w:w="1518" w:type="dxa"/>
            <w:vMerge/>
            <w:tcBorders>
              <w:right w:val="nil"/>
            </w:tcBorders>
          </w:tcPr>
          <w:p w14:paraId="75A77452" w14:textId="77777777" w:rsidR="00015341" w:rsidRDefault="00015341" w:rsidP="002C2D82">
            <w:pPr>
              <w:jc w:val="right"/>
            </w:pPr>
          </w:p>
        </w:tc>
        <w:tc>
          <w:tcPr>
            <w:tcW w:w="6190" w:type="dxa"/>
            <w:tcBorders>
              <w:top w:val="single" w:sz="4" w:space="0" w:color="auto"/>
              <w:left w:val="nil"/>
            </w:tcBorders>
          </w:tcPr>
          <w:p w14:paraId="342652B8" w14:textId="77777777" w:rsidR="00015341" w:rsidRDefault="00015341" w:rsidP="002C2D82">
            <w:pPr>
              <w:jc w:val="right"/>
            </w:pPr>
          </w:p>
        </w:tc>
        <w:tc>
          <w:tcPr>
            <w:tcW w:w="1648" w:type="dxa"/>
            <w:tcBorders>
              <w:top w:val="single" w:sz="4" w:space="0" w:color="auto"/>
            </w:tcBorders>
          </w:tcPr>
          <w:p w14:paraId="3D402A18" w14:textId="77777777" w:rsidR="00015341" w:rsidRDefault="00015341" w:rsidP="002C2D82">
            <w:pPr>
              <w:jc w:val="right"/>
            </w:pPr>
          </w:p>
        </w:tc>
      </w:tr>
      <w:tr w:rsidR="00015341" w14:paraId="50CD30BC" w14:textId="77777777" w:rsidTr="002C2D82">
        <w:trPr>
          <w:trHeight w:val="275"/>
        </w:trPr>
        <w:tc>
          <w:tcPr>
            <w:tcW w:w="1518" w:type="dxa"/>
            <w:vMerge/>
            <w:tcBorders>
              <w:right w:val="nil"/>
            </w:tcBorders>
          </w:tcPr>
          <w:p w14:paraId="2EFA31A5" w14:textId="77777777" w:rsidR="00015341" w:rsidRDefault="00015341" w:rsidP="002C2D82">
            <w:pPr>
              <w:jc w:val="right"/>
            </w:pPr>
          </w:p>
        </w:tc>
        <w:tc>
          <w:tcPr>
            <w:tcW w:w="6190" w:type="dxa"/>
            <w:tcBorders>
              <w:top w:val="single" w:sz="4" w:space="0" w:color="auto"/>
              <w:left w:val="nil"/>
            </w:tcBorders>
          </w:tcPr>
          <w:p w14:paraId="4F4F62F4" w14:textId="77777777" w:rsidR="00015341" w:rsidRDefault="00015341" w:rsidP="002C2D82">
            <w:pPr>
              <w:jc w:val="right"/>
            </w:pPr>
            <w:r>
              <w:t xml:space="preserve">Arthritis </w:t>
            </w:r>
          </w:p>
        </w:tc>
        <w:tc>
          <w:tcPr>
            <w:tcW w:w="1648" w:type="dxa"/>
            <w:tcBorders>
              <w:top w:val="single" w:sz="4" w:space="0" w:color="auto"/>
            </w:tcBorders>
          </w:tcPr>
          <w:p w14:paraId="33940694" w14:textId="77777777" w:rsidR="00015341" w:rsidRDefault="00015341" w:rsidP="002C2D82">
            <w:pPr>
              <w:jc w:val="right"/>
            </w:pPr>
            <w:r>
              <w:t>652 (7.6%)</w:t>
            </w:r>
          </w:p>
        </w:tc>
      </w:tr>
      <w:tr w:rsidR="00015341" w14:paraId="4D4B2FAE" w14:textId="77777777" w:rsidTr="002C2D82">
        <w:trPr>
          <w:trHeight w:val="275"/>
        </w:trPr>
        <w:tc>
          <w:tcPr>
            <w:tcW w:w="9356" w:type="dxa"/>
            <w:gridSpan w:val="3"/>
            <w:tcBorders>
              <w:top w:val="single" w:sz="12" w:space="0" w:color="auto"/>
            </w:tcBorders>
          </w:tcPr>
          <w:p w14:paraId="6AD37562" w14:textId="77777777" w:rsidR="00015341" w:rsidRDefault="00015341" w:rsidP="002C2D82">
            <w:pPr>
              <w:jc w:val="right"/>
            </w:pPr>
          </w:p>
        </w:tc>
      </w:tr>
      <w:tr w:rsidR="00015341" w14:paraId="68AD6A58" w14:textId="77777777" w:rsidTr="002C2D82">
        <w:trPr>
          <w:trHeight w:val="275"/>
        </w:trPr>
        <w:tc>
          <w:tcPr>
            <w:tcW w:w="1518" w:type="dxa"/>
            <w:vMerge w:val="restart"/>
            <w:tcBorders>
              <w:top w:val="single" w:sz="12" w:space="0" w:color="auto"/>
              <w:right w:val="nil"/>
            </w:tcBorders>
          </w:tcPr>
          <w:p w14:paraId="58710272" w14:textId="77777777" w:rsidR="00015341" w:rsidRDefault="00015341" w:rsidP="002C2D82">
            <w:pPr>
              <w:jc w:val="right"/>
            </w:pPr>
            <w:r>
              <w:t>Three LTCs</w:t>
            </w:r>
          </w:p>
        </w:tc>
        <w:tc>
          <w:tcPr>
            <w:tcW w:w="6190" w:type="dxa"/>
            <w:tcBorders>
              <w:top w:val="single" w:sz="12" w:space="0" w:color="auto"/>
              <w:left w:val="nil"/>
            </w:tcBorders>
          </w:tcPr>
          <w:p w14:paraId="0277C043" w14:textId="77777777" w:rsidR="00015341" w:rsidRDefault="00015341" w:rsidP="002C2D82">
            <w:pPr>
              <w:jc w:val="right"/>
            </w:pPr>
            <w:r>
              <w:t>Psychological distress, back pain and high blood pressure</w:t>
            </w:r>
          </w:p>
        </w:tc>
        <w:tc>
          <w:tcPr>
            <w:tcW w:w="1648" w:type="dxa"/>
            <w:tcBorders>
              <w:top w:val="single" w:sz="12" w:space="0" w:color="auto"/>
            </w:tcBorders>
          </w:tcPr>
          <w:p w14:paraId="47176C95" w14:textId="77777777" w:rsidR="00015341" w:rsidRDefault="00015341" w:rsidP="002C2D82">
            <w:pPr>
              <w:jc w:val="right"/>
            </w:pPr>
            <w:r>
              <w:t>370 (4.3%)</w:t>
            </w:r>
          </w:p>
        </w:tc>
      </w:tr>
      <w:tr w:rsidR="00015341" w14:paraId="22B09AE5" w14:textId="77777777" w:rsidTr="002C2D82">
        <w:trPr>
          <w:trHeight w:val="275"/>
        </w:trPr>
        <w:tc>
          <w:tcPr>
            <w:tcW w:w="1518" w:type="dxa"/>
            <w:vMerge/>
            <w:tcBorders>
              <w:top w:val="single" w:sz="12" w:space="0" w:color="auto"/>
              <w:right w:val="nil"/>
            </w:tcBorders>
          </w:tcPr>
          <w:p w14:paraId="5FD5971F" w14:textId="77777777" w:rsidR="00015341" w:rsidRDefault="00015341" w:rsidP="002C2D82">
            <w:pPr>
              <w:jc w:val="right"/>
            </w:pPr>
          </w:p>
        </w:tc>
        <w:tc>
          <w:tcPr>
            <w:tcW w:w="7838" w:type="dxa"/>
            <w:gridSpan w:val="2"/>
            <w:tcBorders>
              <w:top w:val="single" w:sz="4" w:space="0" w:color="auto"/>
              <w:left w:val="nil"/>
            </w:tcBorders>
          </w:tcPr>
          <w:p w14:paraId="20136258" w14:textId="77777777" w:rsidR="00015341" w:rsidRDefault="00015341" w:rsidP="002C2D82">
            <w:pPr>
              <w:jc w:val="right"/>
            </w:pPr>
          </w:p>
        </w:tc>
      </w:tr>
      <w:tr w:rsidR="00015341" w14:paraId="3913F69A" w14:textId="77777777" w:rsidTr="002C2D82">
        <w:trPr>
          <w:trHeight w:val="275"/>
        </w:trPr>
        <w:tc>
          <w:tcPr>
            <w:tcW w:w="1518" w:type="dxa"/>
            <w:vMerge/>
            <w:tcBorders>
              <w:top w:val="single" w:sz="12" w:space="0" w:color="auto"/>
              <w:right w:val="nil"/>
            </w:tcBorders>
          </w:tcPr>
          <w:p w14:paraId="6C32FD42" w14:textId="77777777" w:rsidR="00015341" w:rsidRDefault="00015341" w:rsidP="002C2D82">
            <w:pPr>
              <w:jc w:val="right"/>
            </w:pPr>
          </w:p>
        </w:tc>
        <w:tc>
          <w:tcPr>
            <w:tcW w:w="6190" w:type="dxa"/>
            <w:tcBorders>
              <w:top w:val="single" w:sz="4" w:space="0" w:color="auto"/>
              <w:left w:val="nil"/>
            </w:tcBorders>
          </w:tcPr>
          <w:p w14:paraId="7B2AC469" w14:textId="77777777" w:rsidR="00015341" w:rsidRDefault="00015341" w:rsidP="002C2D82">
            <w:pPr>
              <w:jc w:val="right"/>
            </w:pPr>
            <w:r>
              <w:t>Arthritis, psychological distress and back pain</w:t>
            </w:r>
          </w:p>
        </w:tc>
        <w:tc>
          <w:tcPr>
            <w:tcW w:w="1648" w:type="dxa"/>
            <w:tcBorders>
              <w:top w:val="single" w:sz="4" w:space="0" w:color="auto"/>
            </w:tcBorders>
          </w:tcPr>
          <w:p w14:paraId="32BDDEAA" w14:textId="77777777" w:rsidR="00015341" w:rsidRDefault="00015341" w:rsidP="002C2D82">
            <w:pPr>
              <w:jc w:val="right"/>
            </w:pPr>
            <w:r>
              <w:t>240 (2.8%)</w:t>
            </w:r>
          </w:p>
        </w:tc>
      </w:tr>
      <w:tr w:rsidR="00015341" w14:paraId="6FBF1B7A" w14:textId="77777777" w:rsidTr="002C2D82">
        <w:trPr>
          <w:trHeight w:val="275"/>
        </w:trPr>
        <w:tc>
          <w:tcPr>
            <w:tcW w:w="1518" w:type="dxa"/>
            <w:vMerge/>
            <w:tcBorders>
              <w:top w:val="single" w:sz="12" w:space="0" w:color="auto"/>
              <w:right w:val="nil"/>
            </w:tcBorders>
          </w:tcPr>
          <w:p w14:paraId="4DE8396D" w14:textId="77777777" w:rsidR="00015341" w:rsidRDefault="00015341" w:rsidP="002C2D82">
            <w:pPr>
              <w:jc w:val="right"/>
            </w:pPr>
          </w:p>
        </w:tc>
        <w:tc>
          <w:tcPr>
            <w:tcW w:w="7838" w:type="dxa"/>
            <w:gridSpan w:val="2"/>
            <w:tcBorders>
              <w:top w:val="single" w:sz="4" w:space="0" w:color="auto"/>
              <w:left w:val="nil"/>
            </w:tcBorders>
          </w:tcPr>
          <w:p w14:paraId="60EFEF60" w14:textId="77777777" w:rsidR="00015341" w:rsidRDefault="00015341" w:rsidP="002C2D82">
            <w:pPr>
              <w:jc w:val="right"/>
            </w:pPr>
          </w:p>
        </w:tc>
      </w:tr>
      <w:tr w:rsidR="00015341" w14:paraId="33ED42ED" w14:textId="77777777" w:rsidTr="002C2D82">
        <w:trPr>
          <w:trHeight w:val="275"/>
        </w:trPr>
        <w:tc>
          <w:tcPr>
            <w:tcW w:w="1518" w:type="dxa"/>
            <w:vMerge/>
            <w:tcBorders>
              <w:top w:val="single" w:sz="12" w:space="0" w:color="auto"/>
              <w:right w:val="nil"/>
            </w:tcBorders>
          </w:tcPr>
          <w:p w14:paraId="118DFCDA" w14:textId="77777777" w:rsidR="00015341" w:rsidRDefault="00015341" w:rsidP="002C2D82">
            <w:pPr>
              <w:jc w:val="right"/>
            </w:pPr>
          </w:p>
        </w:tc>
        <w:tc>
          <w:tcPr>
            <w:tcW w:w="6190" w:type="dxa"/>
            <w:tcBorders>
              <w:top w:val="single" w:sz="4" w:space="0" w:color="auto"/>
              <w:left w:val="nil"/>
            </w:tcBorders>
          </w:tcPr>
          <w:p w14:paraId="0F29EF78" w14:textId="77777777" w:rsidR="00015341" w:rsidRDefault="00015341" w:rsidP="002C2D82">
            <w:pPr>
              <w:jc w:val="right"/>
            </w:pPr>
            <w:r>
              <w:t>Asthma, psychological distress and back pain</w:t>
            </w:r>
          </w:p>
        </w:tc>
        <w:tc>
          <w:tcPr>
            <w:tcW w:w="1648" w:type="dxa"/>
            <w:tcBorders>
              <w:top w:val="single" w:sz="4" w:space="0" w:color="auto"/>
            </w:tcBorders>
          </w:tcPr>
          <w:p w14:paraId="56D491E1" w14:textId="77777777" w:rsidR="00015341" w:rsidRDefault="00015341" w:rsidP="002C2D82">
            <w:pPr>
              <w:jc w:val="right"/>
            </w:pPr>
            <w:r>
              <w:t>236 (2.8%)</w:t>
            </w:r>
          </w:p>
        </w:tc>
      </w:tr>
      <w:tr w:rsidR="00015341" w14:paraId="75F94040" w14:textId="77777777" w:rsidTr="002C2D82">
        <w:trPr>
          <w:trHeight w:val="275"/>
        </w:trPr>
        <w:tc>
          <w:tcPr>
            <w:tcW w:w="1518" w:type="dxa"/>
            <w:vMerge/>
            <w:tcBorders>
              <w:top w:val="single" w:sz="12" w:space="0" w:color="auto"/>
              <w:right w:val="nil"/>
            </w:tcBorders>
          </w:tcPr>
          <w:p w14:paraId="302D3DF0" w14:textId="77777777" w:rsidR="00015341" w:rsidRDefault="00015341" w:rsidP="002C2D82">
            <w:pPr>
              <w:jc w:val="right"/>
            </w:pPr>
          </w:p>
        </w:tc>
        <w:tc>
          <w:tcPr>
            <w:tcW w:w="7838" w:type="dxa"/>
            <w:gridSpan w:val="2"/>
            <w:tcBorders>
              <w:top w:val="single" w:sz="4" w:space="0" w:color="auto"/>
              <w:left w:val="nil"/>
            </w:tcBorders>
          </w:tcPr>
          <w:p w14:paraId="52ADF0BC" w14:textId="77777777" w:rsidR="00015341" w:rsidRDefault="00015341" w:rsidP="002C2D82">
            <w:pPr>
              <w:jc w:val="right"/>
            </w:pPr>
          </w:p>
        </w:tc>
      </w:tr>
      <w:tr w:rsidR="00015341" w14:paraId="408C72D9" w14:textId="77777777" w:rsidTr="002C2D82">
        <w:trPr>
          <w:trHeight w:val="275"/>
        </w:trPr>
        <w:tc>
          <w:tcPr>
            <w:tcW w:w="1518" w:type="dxa"/>
            <w:vMerge/>
            <w:tcBorders>
              <w:top w:val="single" w:sz="12" w:space="0" w:color="auto"/>
              <w:right w:val="nil"/>
            </w:tcBorders>
          </w:tcPr>
          <w:p w14:paraId="7622BCED" w14:textId="77777777" w:rsidR="00015341" w:rsidRDefault="00015341" w:rsidP="002C2D82">
            <w:pPr>
              <w:jc w:val="right"/>
            </w:pPr>
          </w:p>
        </w:tc>
        <w:tc>
          <w:tcPr>
            <w:tcW w:w="6190" w:type="dxa"/>
            <w:tcBorders>
              <w:top w:val="single" w:sz="4" w:space="0" w:color="auto"/>
              <w:left w:val="nil"/>
            </w:tcBorders>
          </w:tcPr>
          <w:p w14:paraId="2DB6BCAC" w14:textId="77777777" w:rsidR="00015341" w:rsidRDefault="00015341" w:rsidP="002C2D82">
            <w:pPr>
              <w:jc w:val="right"/>
            </w:pPr>
            <w:r>
              <w:t>Asthma, high blood pressure and psychological distress</w:t>
            </w:r>
          </w:p>
        </w:tc>
        <w:tc>
          <w:tcPr>
            <w:tcW w:w="1648" w:type="dxa"/>
            <w:tcBorders>
              <w:top w:val="single" w:sz="4" w:space="0" w:color="auto"/>
            </w:tcBorders>
          </w:tcPr>
          <w:p w14:paraId="5670CD9A" w14:textId="77777777" w:rsidR="00015341" w:rsidRDefault="00015341" w:rsidP="002C2D82">
            <w:pPr>
              <w:jc w:val="right"/>
            </w:pPr>
            <w:r>
              <w:t>145 (1.7%)</w:t>
            </w:r>
          </w:p>
        </w:tc>
      </w:tr>
      <w:tr w:rsidR="00015341" w14:paraId="7FE1B62B" w14:textId="77777777" w:rsidTr="002C2D82">
        <w:trPr>
          <w:trHeight w:val="275"/>
        </w:trPr>
        <w:tc>
          <w:tcPr>
            <w:tcW w:w="1518" w:type="dxa"/>
            <w:vMerge/>
            <w:tcBorders>
              <w:top w:val="single" w:sz="12" w:space="0" w:color="auto"/>
              <w:right w:val="nil"/>
            </w:tcBorders>
          </w:tcPr>
          <w:p w14:paraId="671EC9DE" w14:textId="77777777" w:rsidR="00015341" w:rsidRDefault="00015341" w:rsidP="002C2D82">
            <w:pPr>
              <w:jc w:val="right"/>
            </w:pPr>
          </w:p>
        </w:tc>
        <w:tc>
          <w:tcPr>
            <w:tcW w:w="7838" w:type="dxa"/>
            <w:gridSpan w:val="2"/>
            <w:tcBorders>
              <w:top w:val="single" w:sz="4" w:space="0" w:color="auto"/>
              <w:left w:val="nil"/>
            </w:tcBorders>
          </w:tcPr>
          <w:p w14:paraId="23333E17" w14:textId="77777777" w:rsidR="00015341" w:rsidRDefault="00015341" w:rsidP="002C2D82">
            <w:pPr>
              <w:jc w:val="right"/>
            </w:pPr>
          </w:p>
        </w:tc>
      </w:tr>
      <w:tr w:rsidR="00015341" w14:paraId="43886384" w14:textId="77777777" w:rsidTr="002C2D82">
        <w:trPr>
          <w:trHeight w:val="275"/>
        </w:trPr>
        <w:tc>
          <w:tcPr>
            <w:tcW w:w="1518" w:type="dxa"/>
            <w:vMerge/>
            <w:tcBorders>
              <w:top w:val="single" w:sz="12" w:space="0" w:color="auto"/>
              <w:right w:val="nil"/>
            </w:tcBorders>
          </w:tcPr>
          <w:p w14:paraId="11168A35" w14:textId="77777777" w:rsidR="00015341" w:rsidRDefault="00015341" w:rsidP="002C2D82">
            <w:pPr>
              <w:jc w:val="right"/>
            </w:pPr>
          </w:p>
        </w:tc>
        <w:tc>
          <w:tcPr>
            <w:tcW w:w="6190" w:type="dxa"/>
            <w:tcBorders>
              <w:top w:val="single" w:sz="4" w:space="0" w:color="auto"/>
              <w:left w:val="nil"/>
            </w:tcBorders>
          </w:tcPr>
          <w:p w14:paraId="28C0CD06" w14:textId="77777777" w:rsidR="00015341" w:rsidRDefault="00015341" w:rsidP="002C2D82">
            <w:pPr>
              <w:jc w:val="right"/>
            </w:pPr>
            <w:r>
              <w:t>Asthma, high blood pressure and back pain</w:t>
            </w:r>
          </w:p>
        </w:tc>
        <w:tc>
          <w:tcPr>
            <w:tcW w:w="1648" w:type="dxa"/>
            <w:tcBorders>
              <w:top w:val="single" w:sz="4" w:space="0" w:color="auto"/>
            </w:tcBorders>
          </w:tcPr>
          <w:p w14:paraId="07863ABF" w14:textId="77777777" w:rsidR="00015341" w:rsidRDefault="00015341" w:rsidP="002C2D82">
            <w:pPr>
              <w:jc w:val="right"/>
            </w:pPr>
            <w:r>
              <w:t>134 (1.6%)</w:t>
            </w:r>
          </w:p>
        </w:tc>
      </w:tr>
      <w:tr w:rsidR="00015341" w14:paraId="796D3843" w14:textId="77777777" w:rsidTr="002C2D82">
        <w:trPr>
          <w:trHeight w:val="275"/>
        </w:trPr>
        <w:tc>
          <w:tcPr>
            <w:tcW w:w="1518" w:type="dxa"/>
            <w:vMerge/>
            <w:tcBorders>
              <w:top w:val="single" w:sz="12" w:space="0" w:color="auto"/>
              <w:right w:val="nil"/>
            </w:tcBorders>
          </w:tcPr>
          <w:p w14:paraId="625E8648" w14:textId="77777777" w:rsidR="00015341" w:rsidRDefault="00015341" w:rsidP="002C2D82">
            <w:pPr>
              <w:jc w:val="right"/>
            </w:pPr>
          </w:p>
        </w:tc>
        <w:tc>
          <w:tcPr>
            <w:tcW w:w="7838" w:type="dxa"/>
            <w:gridSpan w:val="2"/>
            <w:tcBorders>
              <w:top w:val="single" w:sz="4" w:space="0" w:color="auto"/>
              <w:left w:val="nil"/>
            </w:tcBorders>
          </w:tcPr>
          <w:p w14:paraId="5F52755C" w14:textId="77777777" w:rsidR="00015341" w:rsidRDefault="00015341" w:rsidP="002C2D82">
            <w:pPr>
              <w:jc w:val="right"/>
            </w:pPr>
          </w:p>
        </w:tc>
      </w:tr>
      <w:tr w:rsidR="00015341" w14:paraId="75EFC7AD" w14:textId="77777777" w:rsidTr="002C2D82">
        <w:trPr>
          <w:trHeight w:val="275"/>
        </w:trPr>
        <w:tc>
          <w:tcPr>
            <w:tcW w:w="1518" w:type="dxa"/>
            <w:vMerge/>
            <w:tcBorders>
              <w:top w:val="single" w:sz="12" w:space="0" w:color="auto"/>
              <w:right w:val="nil"/>
            </w:tcBorders>
          </w:tcPr>
          <w:p w14:paraId="6E146D7B" w14:textId="77777777" w:rsidR="00015341" w:rsidRDefault="00015341" w:rsidP="002C2D82">
            <w:pPr>
              <w:jc w:val="right"/>
            </w:pPr>
          </w:p>
        </w:tc>
        <w:tc>
          <w:tcPr>
            <w:tcW w:w="6190" w:type="dxa"/>
            <w:tcBorders>
              <w:top w:val="single" w:sz="4" w:space="0" w:color="auto"/>
              <w:left w:val="nil"/>
            </w:tcBorders>
          </w:tcPr>
          <w:p w14:paraId="20B8ED5D" w14:textId="77777777" w:rsidR="00015341" w:rsidRDefault="00015341" w:rsidP="002C2D82">
            <w:pPr>
              <w:jc w:val="right"/>
            </w:pPr>
            <w:r>
              <w:t>Arthritis, high blood pressure and back pain</w:t>
            </w:r>
          </w:p>
        </w:tc>
        <w:tc>
          <w:tcPr>
            <w:tcW w:w="1648" w:type="dxa"/>
            <w:tcBorders>
              <w:top w:val="single" w:sz="4" w:space="0" w:color="auto"/>
            </w:tcBorders>
          </w:tcPr>
          <w:p w14:paraId="7176CEFE" w14:textId="77777777" w:rsidR="00015341" w:rsidRDefault="00015341" w:rsidP="002C2D82">
            <w:pPr>
              <w:jc w:val="right"/>
            </w:pPr>
            <w:r>
              <w:t>131 (1.5%)</w:t>
            </w:r>
          </w:p>
        </w:tc>
      </w:tr>
      <w:tr w:rsidR="00015341" w14:paraId="72F82884" w14:textId="77777777" w:rsidTr="002C2D82">
        <w:trPr>
          <w:trHeight w:val="275"/>
        </w:trPr>
        <w:tc>
          <w:tcPr>
            <w:tcW w:w="1518" w:type="dxa"/>
            <w:vMerge/>
            <w:tcBorders>
              <w:top w:val="single" w:sz="12" w:space="0" w:color="auto"/>
              <w:right w:val="nil"/>
            </w:tcBorders>
          </w:tcPr>
          <w:p w14:paraId="0ACC3D26" w14:textId="77777777" w:rsidR="00015341" w:rsidRDefault="00015341" w:rsidP="002C2D82">
            <w:pPr>
              <w:jc w:val="right"/>
            </w:pPr>
          </w:p>
        </w:tc>
        <w:tc>
          <w:tcPr>
            <w:tcW w:w="7838" w:type="dxa"/>
            <w:gridSpan w:val="2"/>
            <w:tcBorders>
              <w:top w:val="single" w:sz="4" w:space="0" w:color="auto"/>
              <w:left w:val="nil"/>
            </w:tcBorders>
          </w:tcPr>
          <w:p w14:paraId="585293AD" w14:textId="77777777" w:rsidR="00015341" w:rsidRDefault="00015341" w:rsidP="002C2D82">
            <w:pPr>
              <w:jc w:val="right"/>
            </w:pPr>
          </w:p>
        </w:tc>
      </w:tr>
      <w:tr w:rsidR="00015341" w14:paraId="0A3FC8D2" w14:textId="77777777" w:rsidTr="002C2D82">
        <w:trPr>
          <w:trHeight w:val="275"/>
        </w:trPr>
        <w:tc>
          <w:tcPr>
            <w:tcW w:w="1518" w:type="dxa"/>
            <w:vMerge/>
            <w:tcBorders>
              <w:top w:val="single" w:sz="12" w:space="0" w:color="auto"/>
              <w:right w:val="nil"/>
            </w:tcBorders>
          </w:tcPr>
          <w:p w14:paraId="35373389" w14:textId="77777777" w:rsidR="00015341" w:rsidRDefault="00015341" w:rsidP="002C2D82">
            <w:pPr>
              <w:jc w:val="right"/>
            </w:pPr>
          </w:p>
        </w:tc>
        <w:tc>
          <w:tcPr>
            <w:tcW w:w="6190" w:type="dxa"/>
            <w:tcBorders>
              <w:top w:val="single" w:sz="4" w:space="0" w:color="auto"/>
              <w:left w:val="nil"/>
            </w:tcBorders>
          </w:tcPr>
          <w:p w14:paraId="21C0D1AF" w14:textId="77777777" w:rsidR="00015341" w:rsidRDefault="00015341" w:rsidP="002C2D82">
            <w:pPr>
              <w:jc w:val="right"/>
            </w:pPr>
            <w:r>
              <w:t>Arthritis, high blood pressure and psychological distress</w:t>
            </w:r>
          </w:p>
        </w:tc>
        <w:tc>
          <w:tcPr>
            <w:tcW w:w="1648" w:type="dxa"/>
            <w:tcBorders>
              <w:top w:val="single" w:sz="4" w:space="0" w:color="auto"/>
            </w:tcBorders>
          </w:tcPr>
          <w:p w14:paraId="7D38E1EA" w14:textId="77777777" w:rsidR="00015341" w:rsidRDefault="00015341" w:rsidP="002C2D82">
            <w:pPr>
              <w:jc w:val="right"/>
            </w:pPr>
            <w:r>
              <w:t>113 (1.3%)</w:t>
            </w:r>
          </w:p>
        </w:tc>
      </w:tr>
      <w:tr w:rsidR="00015341" w14:paraId="61D84DF2" w14:textId="77777777" w:rsidTr="002C2D82">
        <w:trPr>
          <w:trHeight w:val="275"/>
        </w:trPr>
        <w:tc>
          <w:tcPr>
            <w:tcW w:w="1518" w:type="dxa"/>
            <w:vMerge/>
            <w:tcBorders>
              <w:top w:val="single" w:sz="12" w:space="0" w:color="auto"/>
              <w:right w:val="nil"/>
            </w:tcBorders>
          </w:tcPr>
          <w:p w14:paraId="4C07C8AD" w14:textId="77777777" w:rsidR="00015341" w:rsidRDefault="00015341" w:rsidP="002C2D82">
            <w:pPr>
              <w:jc w:val="right"/>
            </w:pPr>
          </w:p>
        </w:tc>
        <w:tc>
          <w:tcPr>
            <w:tcW w:w="7838" w:type="dxa"/>
            <w:gridSpan w:val="2"/>
            <w:tcBorders>
              <w:top w:val="single" w:sz="4" w:space="0" w:color="auto"/>
              <w:left w:val="nil"/>
            </w:tcBorders>
          </w:tcPr>
          <w:p w14:paraId="61AA6B03" w14:textId="77777777" w:rsidR="00015341" w:rsidRDefault="00015341" w:rsidP="002C2D82">
            <w:pPr>
              <w:jc w:val="right"/>
            </w:pPr>
          </w:p>
        </w:tc>
      </w:tr>
      <w:tr w:rsidR="00015341" w14:paraId="017ADF88" w14:textId="77777777" w:rsidTr="002C2D82">
        <w:trPr>
          <w:trHeight w:val="275"/>
        </w:trPr>
        <w:tc>
          <w:tcPr>
            <w:tcW w:w="1518" w:type="dxa"/>
            <w:vMerge/>
            <w:tcBorders>
              <w:top w:val="single" w:sz="12" w:space="0" w:color="auto"/>
              <w:right w:val="nil"/>
            </w:tcBorders>
          </w:tcPr>
          <w:p w14:paraId="4233206B" w14:textId="77777777" w:rsidR="00015341" w:rsidRDefault="00015341" w:rsidP="002C2D82">
            <w:pPr>
              <w:jc w:val="right"/>
            </w:pPr>
          </w:p>
        </w:tc>
        <w:tc>
          <w:tcPr>
            <w:tcW w:w="6190" w:type="dxa"/>
            <w:tcBorders>
              <w:top w:val="single" w:sz="4" w:space="0" w:color="auto"/>
              <w:left w:val="nil"/>
            </w:tcBorders>
          </w:tcPr>
          <w:p w14:paraId="3E6F8B1A" w14:textId="77777777" w:rsidR="00015341" w:rsidRDefault="00015341" w:rsidP="002C2D82">
            <w:pPr>
              <w:jc w:val="right"/>
            </w:pPr>
            <w:r>
              <w:t>Arthritis, asthma and back pain</w:t>
            </w:r>
          </w:p>
        </w:tc>
        <w:tc>
          <w:tcPr>
            <w:tcW w:w="1648" w:type="dxa"/>
            <w:tcBorders>
              <w:top w:val="single" w:sz="4" w:space="0" w:color="auto"/>
            </w:tcBorders>
          </w:tcPr>
          <w:p w14:paraId="5838434E" w14:textId="77777777" w:rsidR="00015341" w:rsidRDefault="00015341" w:rsidP="002C2D82">
            <w:pPr>
              <w:jc w:val="right"/>
            </w:pPr>
            <w:r>
              <w:t>89 (1.0%)</w:t>
            </w:r>
          </w:p>
        </w:tc>
      </w:tr>
      <w:tr w:rsidR="00015341" w14:paraId="4906F07B" w14:textId="77777777" w:rsidTr="002C2D82">
        <w:trPr>
          <w:trHeight w:val="275"/>
        </w:trPr>
        <w:tc>
          <w:tcPr>
            <w:tcW w:w="1518" w:type="dxa"/>
            <w:vMerge/>
            <w:tcBorders>
              <w:top w:val="single" w:sz="12" w:space="0" w:color="auto"/>
              <w:right w:val="nil"/>
            </w:tcBorders>
          </w:tcPr>
          <w:p w14:paraId="61DE0FDD" w14:textId="77777777" w:rsidR="00015341" w:rsidRDefault="00015341" w:rsidP="002C2D82">
            <w:pPr>
              <w:jc w:val="right"/>
            </w:pPr>
          </w:p>
        </w:tc>
        <w:tc>
          <w:tcPr>
            <w:tcW w:w="7838" w:type="dxa"/>
            <w:gridSpan w:val="2"/>
            <w:tcBorders>
              <w:top w:val="single" w:sz="4" w:space="0" w:color="auto"/>
              <w:left w:val="nil"/>
            </w:tcBorders>
          </w:tcPr>
          <w:p w14:paraId="1F13789D" w14:textId="77777777" w:rsidR="00015341" w:rsidRDefault="00015341" w:rsidP="002C2D82">
            <w:pPr>
              <w:jc w:val="right"/>
            </w:pPr>
          </w:p>
        </w:tc>
      </w:tr>
      <w:tr w:rsidR="00015341" w14:paraId="32C9643F" w14:textId="77777777" w:rsidTr="002C2D82">
        <w:trPr>
          <w:trHeight w:val="275"/>
        </w:trPr>
        <w:tc>
          <w:tcPr>
            <w:tcW w:w="1518" w:type="dxa"/>
            <w:vMerge/>
            <w:tcBorders>
              <w:top w:val="single" w:sz="12" w:space="0" w:color="auto"/>
              <w:right w:val="nil"/>
            </w:tcBorders>
          </w:tcPr>
          <w:p w14:paraId="2A448988" w14:textId="77777777" w:rsidR="00015341" w:rsidRDefault="00015341" w:rsidP="002C2D82">
            <w:pPr>
              <w:jc w:val="right"/>
            </w:pPr>
          </w:p>
        </w:tc>
        <w:tc>
          <w:tcPr>
            <w:tcW w:w="6190" w:type="dxa"/>
            <w:tcBorders>
              <w:top w:val="single" w:sz="4" w:space="0" w:color="auto"/>
              <w:left w:val="nil"/>
            </w:tcBorders>
          </w:tcPr>
          <w:p w14:paraId="225D00FF" w14:textId="77777777" w:rsidR="00015341" w:rsidRDefault="00015341" w:rsidP="002C2D82">
            <w:pPr>
              <w:jc w:val="right"/>
            </w:pPr>
            <w:r>
              <w:t>Arthritis, asthma and psychological distress</w:t>
            </w:r>
          </w:p>
        </w:tc>
        <w:tc>
          <w:tcPr>
            <w:tcW w:w="1648" w:type="dxa"/>
            <w:tcBorders>
              <w:top w:val="single" w:sz="4" w:space="0" w:color="auto"/>
            </w:tcBorders>
          </w:tcPr>
          <w:p w14:paraId="64FC0143" w14:textId="77777777" w:rsidR="00015341" w:rsidRDefault="00015341" w:rsidP="002C2D82">
            <w:pPr>
              <w:jc w:val="right"/>
            </w:pPr>
            <w:r>
              <w:t>84 (1.0%)</w:t>
            </w:r>
          </w:p>
        </w:tc>
      </w:tr>
      <w:tr w:rsidR="00015341" w14:paraId="77741077" w14:textId="77777777" w:rsidTr="002C2D82">
        <w:trPr>
          <w:trHeight w:val="101"/>
        </w:trPr>
        <w:tc>
          <w:tcPr>
            <w:tcW w:w="1518" w:type="dxa"/>
            <w:vMerge/>
            <w:tcBorders>
              <w:top w:val="single" w:sz="12" w:space="0" w:color="auto"/>
              <w:right w:val="nil"/>
            </w:tcBorders>
          </w:tcPr>
          <w:p w14:paraId="731796DB" w14:textId="77777777" w:rsidR="00015341" w:rsidRDefault="00015341" w:rsidP="002C2D82">
            <w:pPr>
              <w:jc w:val="right"/>
            </w:pPr>
          </w:p>
        </w:tc>
        <w:tc>
          <w:tcPr>
            <w:tcW w:w="7838" w:type="dxa"/>
            <w:gridSpan w:val="2"/>
            <w:tcBorders>
              <w:top w:val="single" w:sz="4" w:space="0" w:color="auto"/>
              <w:left w:val="nil"/>
            </w:tcBorders>
          </w:tcPr>
          <w:p w14:paraId="6B0344D2" w14:textId="77777777" w:rsidR="00015341" w:rsidRDefault="00015341" w:rsidP="002C2D82">
            <w:pPr>
              <w:jc w:val="right"/>
            </w:pPr>
          </w:p>
        </w:tc>
      </w:tr>
      <w:tr w:rsidR="00015341" w14:paraId="456B69A7" w14:textId="77777777" w:rsidTr="002C2D82">
        <w:trPr>
          <w:trHeight w:val="275"/>
        </w:trPr>
        <w:tc>
          <w:tcPr>
            <w:tcW w:w="1518" w:type="dxa"/>
            <w:vMerge/>
            <w:tcBorders>
              <w:top w:val="single" w:sz="12" w:space="0" w:color="auto"/>
              <w:right w:val="nil"/>
            </w:tcBorders>
          </w:tcPr>
          <w:p w14:paraId="3AA89FE4" w14:textId="77777777" w:rsidR="00015341" w:rsidRDefault="00015341" w:rsidP="002C2D82">
            <w:pPr>
              <w:jc w:val="right"/>
            </w:pPr>
          </w:p>
        </w:tc>
        <w:tc>
          <w:tcPr>
            <w:tcW w:w="6190" w:type="dxa"/>
            <w:tcBorders>
              <w:top w:val="single" w:sz="4" w:space="0" w:color="auto"/>
              <w:left w:val="nil"/>
            </w:tcBorders>
          </w:tcPr>
          <w:p w14:paraId="720AAEA3" w14:textId="77777777" w:rsidR="00015341" w:rsidRDefault="00015341" w:rsidP="002C2D82">
            <w:pPr>
              <w:jc w:val="right"/>
            </w:pPr>
            <w:r>
              <w:t>Arthritis, asthma and high blood pressure</w:t>
            </w:r>
          </w:p>
        </w:tc>
        <w:tc>
          <w:tcPr>
            <w:tcW w:w="1648" w:type="dxa"/>
            <w:tcBorders>
              <w:top w:val="single" w:sz="4" w:space="0" w:color="auto"/>
            </w:tcBorders>
          </w:tcPr>
          <w:p w14:paraId="1EDAA7FD" w14:textId="77777777" w:rsidR="00015341" w:rsidRDefault="00015341" w:rsidP="002C2D82">
            <w:pPr>
              <w:jc w:val="right"/>
            </w:pPr>
            <w:r>
              <w:t>50 (0.6%)</w:t>
            </w:r>
          </w:p>
        </w:tc>
      </w:tr>
      <w:tr w:rsidR="00015341" w14:paraId="07C71791" w14:textId="77777777" w:rsidTr="002C2D82">
        <w:trPr>
          <w:trHeight w:val="54"/>
        </w:trPr>
        <w:tc>
          <w:tcPr>
            <w:tcW w:w="1518" w:type="dxa"/>
            <w:vMerge/>
            <w:tcBorders>
              <w:top w:val="single" w:sz="12" w:space="0" w:color="auto"/>
              <w:right w:val="nil"/>
            </w:tcBorders>
          </w:tcPr>
          <w:p w14:paraId="44C11637" w14:textId="77777777" w:rsidR="00015341" w:rsidRDefault="00015341" w:rsidP="002C2D82">
            <w:pPr>
              <w:jc w:val="right"/>
            </w:pPr>
          </w:p>
        </w:tc>
        <w:tc>
          <w:tcPr>
            <w:tcW w:w="7838" w:type="dxa"/>
            <w:gridSpan w:val="2"/>
            <w:tcBorders>
              <w:top w:val="single" w:sz="4" w:space="0" w:color="auto"/>
              <w:left w:val="nil"/>
            </w:tcBorders>
          </w:tcPr>
          <w:p w14:paraId="3E7E210F" w14:textId="77777777" w:rsidR="00015341" w:rsidRDefault="00015341" w:rsidP="002C2D82">
            <w:pPr>
              <w:jc w:val="right"/>
            </w:pPr>
          </w:p>
        </w:tc>
      </w:tr>
      <w:tr w:rsidR="00015341" w14:paraId="62C95420" w14:textId="77777777" w:rsidTr="002C2D82">
        <w:trPr>
          <w:trHeight w:val="245"/>
        </w:trPr>
        <w:tc>
          <w:tcPr>
            <w:tcW w:w="1518" w:type="dxa"/>
            <w:tcBorders>
              <w:top w:val="single" w:sz="12" w:space="0" w:color="auto"/>
            </w:tcBorders>
          </w:tcPr>
          <w:p w14:paraId="7BDFC45A" w14:textId="77777777" w:rsidR="00015341" w:rsidRDefault="00015341" w:rsidP="002C2D82">
            <w:pPr>
              <w:jc w:val="right"/>
            </w:pPr>
          </w:p>
        </w:tc>
        <w:tc>
          <w:tcPr>
            <w:tcW w:w="6190" w:type="dxa"/>
            <w:tcBorders>
              <w:top w:val="single" w:sz="12" w:space="0" w:color="auto"/>
            </w:tcBorders>
          </w:tcPr>
          <w:p w14:paraId="527CB71E" w14:textId="77777777" w:rsidR="00015341" w:rsidRPr="00B26B72" w:rsidRDefault="00015341" w:rsidP="002C2D82">
            <w:pPr>
              <w:jc w:val="right"/>
              <w:rPr>
                <w:i/>
                <w:iCs/>
              </w:rPr>
            </w:pPr>
            <w:r w:rsidRPr="00B26B72">
              <w:rPr>
                <w:i/>
                <w:iCs/>
              </w:rPr>
              <w:t xml:space="preserve">Total </w:t>
            </w:r>
          </w:p>
        </w:tc>
        <w:tc>
          <w:tcPr>
            <w:tcW w:w="1648" w:type="dxa"/>
            <w:tcBorders>
              <w:top w:val="single" w:sz="12" w:space="0" w:color="auto"/>
            </w:tcBorders>
          </w:tcPr>
          <w:p w14:paraId="1589CEA5" w14:textId="77777777" w:rsidR="00015341" w:rsidRPr="00B26B72" w:rsidRDefault="00015341" w:rsidP="002C2D82">
            <w:pPr>
              <w:jc w:val="right"/>
              <w:rPr>
                <w:i/>
                <w:iCs/>
              </w:rPr>
            </w:pPr>
            <w:r w:rsidRPr="00B26B72">
              <w:rPr>
                <w:i/>
                <w:iCs/>
              </w:rPr>
              <w:t xml:space="preserve">8536 </w:t>
            </w:r>
          </w:p>
        </w:tc>
      </w:tr>
    </w:tbl>
    <w:p w14:paraId="655A9DB0" w14:textId="60AD34B4" w:rsidR="00015341" w:rsidRDefault="00015341" w:rsidP="00001F60"/>
    <w:p w14:paraId="43DCB88B" w14:textId="05A0837E" w:rsidR="00015341" w:rsidRDefault="00015341" w:rsidP="00001F60"/>
    <w:p w14:paraId="23925A81" w14:textId="096D9645" w:rsidR="00015341" w:rsidRDefault="00015341" w:rsidP="00015341">
      <w:r>
        <w:t xml:space="preserve">Table 2. Sociodemographic characteristics of MLTC-M group (psychological distress, high blood pressure and back pain), compared with remainder of BCS70 sample at age 46. </w:t>
      </w:r>
    </w:p>
    <w:p w14:paraId="4C2A822C" w14:textId="77777777" w:rsidR="00015341" w:rsidRDefault="00015341" w:rsidP="00015341"/>
    <w:tbl>
      <w:tblPr>
        <w:tblStyle w:val="TableGrid"/>
        <w:tblW w:w="10690" w:type="dxa"/>
        <w:tblInd w:w="-714" w:type="dxa"/>
        <w:tblLook w:val="04A0" w:firstRow="1" w:lastRow="0" w:firstColumn="1" w:lastColumn="0" w:noHBand="0" w:noVBand="1"/>
      </w:tblPr>
      <w:tblGrid>
        <w:gridCol w:w="3312"/>
        <w:gridCol w:w="2379"/>
        <w:gridCol w:w="1482"/>
        <w:gridCol w:w="1680"/>
        <w:gridCol w:w="1837"/>
      </w:tblGrid>
      <w:tr w:rsidR="00015341" w14:paraId="1DD5F862" w14:textId="77777777" w:rsidTr="001F420B">
        <w:tc>
          <w:tcPr>
            <w:tcW w:w="3312" w:type="dxa"/>
          </w:tcPr>
          <w:p w14:paraId="40A6C1AF" w14:textId="77777777" w:rsidR="00015341" w:rsidRDefault="00015341" w:rsidP="002C2D82"/>
        </w:tc>
        <w:tc>
          <w:tcPr>
            <w:tcW w:w="2379" w:type="dxa"/>
          </w:tcPr>
          <w:p w14:paraId="5861209A" w14:textId="77777777" w:rsidR="00015341" w:rsidRDefault="00015341" w:rsidP="002C2D82"/>
        </w:tc>
        <w:tc>
          <w:tcPr>
            <w:tcW w:w="1482" w:type="dxa"/>
          </w:tcPr>
          <w:p w14:paraId="212C9F78" w14:textId="77777777" w:rsidR="00015341" w:rsidRDefault="00015341" w:rsidP="002C2D82">
            <w:pPr>
              <w:jc w:val="right"/>
            </w:pPr>
            <w:r>
              <w:t xml:space="preserve">MLTC-M </w:t>
            </w:r>
          </w:p>
        </w:tc>
        <w:tc>
          <w:tcPr>
            <w:tcW w:w="1680" w:type="dxa"/>
          </w:tcPr>
          <w:p w14:paraId="47EE8B2C" w14:textId="77777777" w:rsidR="00015341" w:rsidRDefault="00015341" w:rsidP="002C2D82">
            <w:pPr>
              <w:jc w:val="right"/>
            </w:pPr>
            <w:r>
              <w:t xml:space="preserve">Non MLTC-M </w:t>
            </w:r>
          </w:p>
        </w:tc>
        <w:tc>
          <w:tcPr>
            <w:tcW w:w="1837" w:type="dxa"/>
          </w:tcPr>
          <w:p w14:paraId="255DE2E4" w14:textId="77777777" w:rsidR="00015341" w:rsidRDefault="00015341" w:rsidP="002C2D82">
            <w:pPr>
              <w:jc w:val="right"/>
            </w:pPr>
            <w:r>
              <w:t xml:space="preserve">Mann-Whitney U Tests </w:t>
            </w:r>
          </w:p>
        </w:tc>
      </w:tr>
      <w:tr w:rsidR="00015341" w14:paraId="0158D1E9" w14:textId="77777777" w:rsidTr="001F420B">
        <w:tc>
          <w:tcPr>
            <w:tcW w:w="3312" w:type="dxa"/>
          </w:tcPr>
          <w:p w14:paraId="34A679E1" w14:textId="77777777" w:rsidR="00015341" w:rsidRDefault="00015341" w:rsidP="002C2D82"/>
        </w:tc>
        <w:tc>
          <w:tcPr>
            <w:tcW w:w="2379" w:type="dxa"/>
          </w:tcPr>
          <w:p w14:paraId="719E8201" w14:textId="77777777" w:rsidR="00015341" w:rsidRDefault="00015341" w:rsidP="002C2D82"/>
        </w:tc>
        <w:tc>
          <w:tcPr>
            <w:tcW w:w="1482" w:type="dxa"/>
          </w:tcPr>
          <w:p w14:paraId="68EE5553" w14:textId="77777777" w:rsidR="00015341" w:rsidRDefault="00015341" w:rsidP="002C2D82">
            <w:pPr>
              <w:jc w:val="right"/>
            </w:pPr>
            <w:r>
              <w:t>N (%)</w:t>
            </w:r>
          </w:p>
        </w:tc>
        <w:tc>
          <w:tcPr>
            <w:tcW w:w="1680" w:type="dxa"/>
          </w:tcPr>
          <w:p w14:paraId="1A4C3FD3" w14:textId="77777777" w:rsidR="00015341" w:rsidRDefault="00015341" w:rsidP="002C2D82">
            <w:pPr>
              <w:jc w:val="right"/>
            </w:pPr>
            <w:r>
              <w:t>N (%)</w:t>
            </w:r>
          </w:p>
        </w:tc>
        <w:tc>
          <w:tcPr>
            <w:tcW w:w="1837" w:type="dxa"/>
          </w:tcPr>
          <w:p w14:paraId="7A393FFD" w14:textId="77777777" w:rsidR="00015341" w:rsidRDefault="00015341" w:rsidP="002C2D82">
            <w:pPr>
              <w:jc w:val="right"/>
            </w:pPr>
          </w:p>
        </w:tc>
      </w:tr>
      <w:tr w:rsidR="00015341" w14:paraId="2669DBE5" w14:textId="77777777" w:rsidTr="001F420B">
        <w:tc>
          <w:tcPr>
            <w:tcW w:w="3312" w:type="dxa"/>
          </w:tcPr>
          <w:p w14:paraId="47799B01" w14:textId="77777777" w:rsidR="00015341" w:rsidRDefault="00015341" w:rsidP="002C2D82">
            <w:pPr>
              <w:jc w:val="right"/>
            </w:pPr>
            <w:r>
              <w:t>Sex</w:t>
            </w:r>
          </w:p>
        </w:tc>
        <w:tc>
          <w:tcPr>
            <w:tcW w:w="2379" w:type="dxa"/>
          </w:tcPr>
          <w:p w14:paraId="1F3C5A85" w14:textId="77777777" w:rsidR="00015341" w:rsidRDefault="00015341" w:rsidP="002C2D82">
            <w:pPr>
              <w:jc w:val="right"/>
            </w:pPr>
          </w:p>
        </w:tc>
        <w:tc>
          <w:tcPr>
            <w:tcW w:w="1482" w:type="dxa"/>
          </w:tcPr>
          <w:p w14:paraId="6969677F" w14:textId="77777777" w:rsidR="00015341" w:rsidRDefault="00015341" w:rsidP="002C2D82">
            <w:pPr>
              <w:jc w:val="right"/>
            </w:pPr>
          </w:p>
        </w:tc>
        <w:tc>
          <w:tcPr>
            <w:tcW w:w="1680" w:type="dxa"/>
          </w:tcPr>
          <w:p w14:paraId="0BB46269" w14:textId="77777777" w:rsidR="00015341" w:rsidRDefault="00015341" w:rsidP="002C2D82">
            <w:pPr>
              <w:jc w:val="right"/>
            </w:pPr>
          </w:p>
        </w:tc>
        <w:tc>
          <w:tcPr>
            <w:tcW w:w="1837" w:type="dxa"/>
          </w:tcPr>
          <w:p w14:paraId="222FFF82" w14:textId="77777777" w:rsidR="00015341" w:rsidRDefault="00015341" w:rsidP="002C2D82">
            <w:pPr>
              <w:jc w:val="right"/>
            </w:pPr>
            <w:r>
              <w:t>p=0.737</w:t>
            </w:r>
          </w:p>
        </w:tc>
      </w:tr>
      <w:tr w:rsidR="00015341" w14:paraId="2C14D7D5" w14:textId="77777777" w:rsidTr="001F420B">
        <w:tc>
          <w:tcPr>
            <w:tcW w:w="3312" w:type="dxa"/>
          </w:tcPr>
          <w:p w14:paraId="4625A679" w14:textId="77777777" w:rsidR="00015341" w:rsidRDefault="00015341" w:rsidP="002C2D82">
            <w:pPr>
              <w:jc w:val="right"/>
            </w:pPr>
          </w:p>
        </w:tc>
        <w:tc>
          <w:tcPr>
            <w:tcW w:w="2379" w:type="dxa"/>
          </w:tcPr>
          <w:p w14:paraId="2D705855" w14:textId="77777777" w:rsidR="00015341" w:rsidRDefault="00015341" w:rsidP="002C2D82">
            <w:pPr>
              <w:jc w:val="right"/>
            </w:pPr>
            <w:r>
              <w:t xml:space="preserve">Male </w:t>
            </w:r>
          </w:p>
        </w:tc>
        <w:tc>
          <w:tcPr>
            <w:tcW w:w="1482" w:type="dxa"/>
          </w:tcPr>
          <w:p w14:paraId="49F98FB1" w14:textId="77777777" w:rsidR="00015341" w:rsidRDefault="00015341" w:rsidP="002C2D82">
            <w:pPr>
              <w:jc w:val="right"/>
            </w:pPr>
            <w:r>
              <w:t>173 (46.8%)</w:t>
            </w:r>
          </w:p>
        </w:tc>
        <w:tc>
          <w:tcPr>
            <w:tcW w:w="1680" w:type="dxa"/>
          </w:tcPr>
          <w:p w14:paraId="060A58D7" w14:textId="77777777" w:rsidR="00015341" w:rsidRDefault="00015341" w:rsidP="002C2D82">
            <w:pPr>
              <w:jc w:val="right"/>
            </w:pPr>
            <w:r>
              <w:t>3953 (48.4%)</w:t>
            </w:r>
          </w:p>
        </w:tc>
        <w:tc>
          <w:tcPr>
            <w:tcW w:w="1837" w:type="dxa"/>
          </w:tcPr>
          <w:p w14:paraId="55FED3EC" w14:textId="77777777" w:rsidR="00015341" w:rsidRDefault="00015341" w:rsidP="002C2D82">
            <w:pPr>
              <w:jc w:val="right"/>
            </w:pPr>
          </w:p>
        </w:tc>
      </w:tr>
      <w:tr w:rsidR="00015341" w14:paraId="6FC7A6B3" w14:textId="77777777" w:rsidTr="001F420B">
        <w:tc>
          <w:tcPr>
            <w:tcW w:w="3312" w:type="dxa"/>
          </w:tcPr>
          <w:p w14:paraId="36A8CAB7" w14:textId="77777777" w:rsidR="00015341" w:rsidRDefault="00015341" w:rsidP="002C2D82">
            <w:pPr>
              <w:jc w:val="right"/>
            </w:pPr>
          </w:p>
        </w:tc>
        <w:tc>
          <w:tcPr>
            <w:tcW w:w="2379" w:type="dxa"/>
          </w:tcPr>
          <w:p w14:paraId="04759B23" w14:textId="77777777" w:rsidR="00015341" w:rsidRDefault="00015341" w:rsidP="002C2D82">
            <w:pPr>
              <w:jc w:val="right"/>
            </w:pPr>
            <w:r>
              <w:t xml:space="preserve">Female </w:t>
            </w:r>
          </w:p>
        </w:tc>
        <w:tc>
          <w:tcPr>
            <w:tcW w:w="1482" w:type="dxa"/>
          </w:tcPr>
          <w:p w14:paraId="2ECD3A39" w14:textId="77777777" w:rsidR="00015341" w:rsidRDefault="00015341" w:rsidP="002C2D82">
            <w:pPr>
              <w:jc w:val="right"/>
            </w:pPr>
            <w:r>
              <w:t>197 (53.2%)</w:t>
            </w:r>
          </w:p>
        </w:tc>
        <w:tc>
          <w:tcPr>
            <w:tcW w:w="1680" w:type="dxa"/>
          </w:tcPr>
          <w:p w14:paraId="123F7281" w14:textId="77777777" w:rsidR="00015341" w:rsidRDefault="00015341" w:rsidP="002C2D82">
            <w:pPr>
              <w:jc w:val="right"/>
            </w:pPr>
            <w:r>
              <w:t>4213 (51.6%)</w:t>
            </w:r>
          </w:p>
        </w:tc>
        <w:tc>
          <w:tcPr>
            <w:tcW w:w="1837" w:type="dxa"/>
          </w:tcPr>
          <w:p w14:paraId="27187184" w14:textId="77777777" w:rsidR="00015341" w:rsidRDefault="00015341" w:rsidP="002C2D82">
            <w:pPr>
              <w:jc w:val="right"/>
            </w:pPr>
          </w:p>
        </w:tc>
      </w:tr>
      <w:tr w:rsidR="00015341" w14:paraId="084FA821" w14:textId="77777777" w:rsidTr="001F420B">
        <w:tc>
          <w:tcPr>
            <w:tcW w:w="3312" w:type="dxa"/>
          </w:tcPr>
          <w:p w14:paraId="59530162" w14:textId="77777777" w:rsidR="00015341" w:rsidRDefault="00015341" w:rsidP="002C2D82">
            <w:pPr>
              <w:jc w:val="right"/>
            </w:pPr>
            <w:r>
              <w:t>IMD quintiles</w:t>
            </w:r>
          </w:p>
        </w:tc>
        <w:tc>
          <w:tcPr>
            <w:tcW w:w="2379" w:type="dxa"/>
          </w:tcPr>
          <w:p w14:paraId="6068FD38" w14:textId="77777777" w:rsidR="00015341" w:rsidRDefault="00015341" w:rsidP="002C2D82">
            <w:pPr>
              <w:jc w:val="right"/>
            </w:pPr>
          </w:p>
        </w:tc>
        <w:tc>
          <w:tcPr>
            <w:tcW w:w="1482" w:type="dxa"/>
          </w:tcPr>
          <w:p w14:paraId="36C72769" w14:textId="77777777" w:rsidR="00015341" w:rsidRDefault="00015341" w:rsidP="002C2D82">
            <w:pPr>
              <w:jc w:val="right"/>
            </w:pPr>
          </w:p>
        </w:tc>
        <w:tc>
          <w:tcPr>
            <w:tcW w:w="1680" w:type="dxa"/>
          </w:tcPr>
          <w:p w14:paraId="113FA75C" w14:textId="77777777" w:rsidR="00015341" w:rsidRDefault="00015341" w:rsidP="002C2D82">
            <w:pPr>
              <w:jc w:val="right"/>
            </w:pPr>
          </w:p>
        </w:tc>
        <w:tc>
          <w:tcPr>
            <w:tcW w:w="1837" w:type="dxa"/>
          </w:tcPr>
          <w:p w14:paraId="52044173" w14:textId="5FC33B20" w:rsidR="00015341" w:rsidRPr="009508DB" w:rsidRDefault="00703341" w:rsidP="002C2D82">
            <w:pPr>
              <w:jc w:val="right"/>
              <w:rPr>
                <w:b/>
                <w:bCs/>
              </w:rPr>
            </w:pPr>
            <w:r>
              <w:rPr>
                <w:b/>
                <w:bCs/>
              </w:rPr>
              <w:t>p</w:t>
            </w:r>
            <w:r w:rsidR="009B268E">
              <w:rPr>
                <w:b/>
                <w:bCs/>
              </w:rPr>
              <w:t>&lt;</w:t>
            </w:r>
            <w:r w:rsidR="00015341" w:rsidRPr="009508DB">
              <w:rPr>
                <w:b/>
                <w:bCs/>
              </w:rPr>
              <w:t>0.00</w:t>
            </w:r>
            <w:r w:rsidR="009B268E">
              <w:rPr>
                <w:b/>
                <w:bCs/>
              </w:rPr>
              <w:t>1</w:t>
            </w:r>
          </w:p>
        </w:tc>
      </w:tr>
      <w:tr w:rsidR="00015341" w14:paraId="24C51442" w14:textId="77777777" w:rsidTr="001F420B">
        <w:tc>
          <w:tcPr>
            <w:tcW w:w="3312" w:type="dxa"/>
          </w:tcPr>
          <w:p w14:paraId="72F1BB2C" w14:textId="77777777" w:rsidR="00015341" w:rsidRDefault="00015341" w:rsidP="002C2D82">
            <w:pPr>
              <w:jc w:val="right"/>
            </w:pPr>
          </w:p>
        </w:tc>
        <w:tc>
          <w:tcPr>
            <w:tcW w:w="2379" w:type="dxa"/>
          </w:tcPr>
          <w:p w14:paraId="3EA6883C" w14:textId="77777777" w:rsidR="00015341" w:rsidRDefault="00015341" w:rsidP="002C2D82">
            <w:pPr>
              <w:jc w:val="right"/>
            </w:pPr>
            <w:r>
              <w:t xml:space="preserve">1 (most deprived) </w:t>
            </w:r>
          </w:p>
        </w:tc>
        <w:tc>
          <w:tcPr>
            <w:tcW w:w="1482" w:type="dxa"/>
          </w:tcPr>
          <w:p w14:paraId="15C54C60" w14:textId="77777777" w:rsidR="00015341" w:rsidRDefault="00015341" w:rsidP="002C2D82">
            <w:pPr>
              <w:jc w:val="right"/>
            </w:pPr>
            <w:r>
              <w:t>90 (24.3%)</w:t>
            </w:r>
          </w:p>
        </w:tc>
        <w:tc>
          <w:tcPr>
            <w:tcW w:w="1680" w:type="dxa"/>
          </w:tcPr>
          <w:p w14:paraId="4D0FCBE7" w14:textId="77777777" w:rsidR="00015341" w:rsidRDefault="00015341" w:rsidP="002C2D82">
            <w:pPr>
              <w:jc w:val="right"/>
            </w:pPr>
            <w:r>
              <w:t xml:space="preserve"> 1039 (12.7%)</w:t>
            </w:r>
          </w:p>
        </w:tc>
        <w:tc>
          <w:tcPr>
            <w:tcW w:w="1837" w:type="dxa"/>
          </w:tcPr>
          <w:p w14:paraId="720E2C44" w14:textId="77777777" w:rsidR="00015341" w:rsidRPr="009508DB" w:rsidRDefault="00015341" w:rsidP="002C2D82">
            <w:pPr>
              <w:jc w:val="right"/>
              <w:rPr>
                <w:b/>
                <w:bCs/>
              </w:rPr>
            </w:pPr>
          </w:p>
        </w:tc>
      </w:tr>
      <w:tr w:rsidR="00015341" w14:paraId="0F3A7DE7" w14:textId="77777777" w:rsidTr="001F420B">
        <w:tc>
          <w:tcPr>
            <w:tcW w:w="3312" w:type="dxa"/>
          </w:tcPr>
          <w:p w14:paraId="37A6DCA7" w14:textId="77777777" w:rsidR="00015341" w:rsidRDefault="00015341" w:rsidP="002C2D82">
            <w:pPr>
              <w:jc w:val="right"/>
            </w:pPr>
          </w:p>
        </w:tc>
        <w:tc>
          <w:tcPr>
            <w:tcW w:w="2379" w:type="dxa"/>
          </w:tcPr>
          <w:p w14:paraId="176BC0BF" w14:textId="77777777" w:rsidR="00015341" w:rsidRDefault="00015341" w:rsidP="002C2D82">
            <w:pPr>
              <w:jc w:val="right"/>
            </w:pPr>
            <w:r>
              <w:t>2</w:t>
            </w:r>
          </w:p>
        </w:tc>
        <w:tc>
          <w:tcPr>
            <w:tcW w:w="1482" w:type="dxa"/>
          </w:tcPr>
          <w:p w14:paraId="1BCE1D35" w14:textId="77777777" w:rsidR="00015341" w:rsidRDefault="00015341" w:rsidP="002C2D82">
            <w:pPr>
              <w:jc w:val="right"/>
            </w:pPr>
            <w:r>
              <w:t>74 (20%)</w:t>
            </w:r>
          </w:p>
        </w:tc>
        <w:tc>
          <w:tcPr>
            <w:tcW w:w="1680" w:type="dxa"/>
          </w:tcPr>
          <w:p w14:paraId="4D43281C" w14:textId="77777777" w:rsidR="00015341" w:rsidRDefault="00015341" w:rsidP="002C2D82">
            <w:pPr>
              <w:jc w:val="right"/>
            </w:pPr>
            <w:r>
              <w:t>1315 (16.1%)</w:t>
            </w:r>
          </w:p>
        </w:tc>
        <w:tc>
          <w:tcPr>
            <w:tcW w:w="1837" w:type="dxa"/>
          </w:tcPr>
          <w:p w14:paraId="24669A4F" w14:textId="77777777" w:rsidR="00015341" w:rsidRPr="009508DB" w:rsidRDefault="00015341" w:rsidP="002C2D82">
            <w:pPr>
              <w:jc w:val="right"/>
              <w:rPr>
                <w:b/>
                <w:bCs/>
              </w:rPr>
            </w:pPr>
          </w:p>
        </w:tc>
      </w:tr>
      <w:tr w:rsidR="00015341" w14:paraId="1BABFC32" w14:textId="77777777" w:rsidTr="001F420B">
        <w:tc>
          <w:tcPr>
            <w:tcW w:w="3312" w:type="dxa"/>
          </w:tcPr>
          <w:p w14:paraId="51FCB90B" w14:textId="77777777" w:rsidR="00015341" w:rsidRDefault="00015341" w:rsidP="002C2D82">
            <w:pPr>
              <w:jc w:val="right"/>
            </w:pPr>
          </w:p>
        </w:tc>
        <w:tc>
          <w:tcPr>
            <w:tcW w:w="2379" w:type="dxa"/>
          </w:tcPr>
          <w:p w14:paraId="6753C8B0" w14:textId="77777777" w:rsidR="00015341" w:rsidRDefault="00015341" w:rsidP="002C2D82">
            <w:pPr>
              <w:jc w:val="right"/>
            </w:pPr>
            <w:r>
              <w:t>3</w:t>
            </w:r>
          </w:p>
        </w:tc>
        <w:tc>
          <w:tcPr>
            <w:tcW w:w="1482" w:type="dxa"/>
          </w:tcPr>
          <w:p w14:paraId="14470525" w14:textId="77777777" w:rsidR="00015341" w:rsidRDefault="00015341" w:rsidP="002C2D82">
            <w:pPr>
              <w:jc w:val="right"/>
            </w:pPr>
            <w:r>
              <w:t>87 (23.5%)</w:t>
            </w:r>
          </w:p>
        </w:tc>
        <w:tc>
          <w:tcPr>
            <w:tcW w:w="1680" w:type="dxa"/>
          </w:tcPr>
          <w:p w14:paraId="039D23ED" w14:textId="77777777" w:rsidR="00015341" w:rsidRDefault="00015341" w:rsidP="002C2D82">
            <w:pPr>
              <w:jc w:val="right"/>
            </w:pPr>
            <w:r>
              <w:t>1701 (20.8%)</w:t>
            </w:r>
          </w:p>
        </w:tc>
        <w:tc>
          <w:tcPr>
            <w:tcW w:w="1837" w:type="dxa"/>
          </w:tcPr>
          <w:p w14:paraId="3E77F983" w14:textId="77777777" w:rsidR="00015341" w:rsidRPr="009508DB" w:rsidRDefault="00015341" w:rsidP="002C2D82">
            <w:pPr>
              <w:jc w:val="right"/>
              <w:rPr>
                <w:b/>
                <w:bCs/>
              </w:rPr>
            </w:pPr>
          </w:p>
        </w:tc>
      </w:tr>
      <w:tr w:rsidR="00015341" w14:paraId="1FD6BB3D" w14:textId="77777777" w:rsidTr="001F420B">
        <w:tc>
          <w:tcPr>
            <w:tcW w:w="3312" w:type="dxa"/>
          </w:tcPr>
          <w:p w14:paraId="2FF6C954" w14:textId="77777777" w:rsidR="00015341" w:rsidRDefault="00015341" w:rsidP="002C2D82">
            <w:pPr>
              <w:jc w:val="right"/>
            </w:pPr>
          </w:p>
        </w:tc>
        <w:tc>
          <w:tcPr>
            <w:tcW w:w="2379" w:type="dxa"/>
          </w:tcPr>
          <w:p w14:paraId="29967A14" w14:textId="77777777" w:rsidR="00015341" w:rsidRDefault="00015341" w:rsidP="002C2D82">
            <w:pPr>
              <w:jc w:val="right"/>
            </w:pPr>
            <w:r>
              <w:t>4</w:t>
            </w:r>
          </w:p>
        </w:tc>
        <w:tc>
          <w:tcPr>
            <w:tcW w:w="1482" w:type="dxa"/>
          </w:tcPr>
          <w:p w14:paraId="0CD60D96" w14:textId="77777777" w:rsidR="00015341" w:rsidRDefault="00015341" w:rsidP="002C2D82">
            <w:pPr>
              <w:jc w:val="right"/>
            </w:pPr>
            <w:r>
              <w:t>68 (18.4%)</w:t>
            </w:r>
          </w:p>
        </w:tc>
        <w:tc>
          <w:tcPr>
            <w:tcW w:w="1680" w:type="dxa"/>
          </w:tcPr>
          <w:p w14:paraId="0AD3EF70" w14:textId="77777777" w:rsidR="00015341" w:rsidRDefault="00015341" w:rsidP="002C2D82">
            <w:pPr>
              <w:jc w:val="right"/>
            </w:pPr>
            <w:r>
              <w:t>1981 (24.6%)</w:t>
            </w:r>
          </w:p>
        </w:tc>
        <w:tc>
          <w:tcPr>
            <w:tcW w:w="1837" w:type="dxa"/>
          </w:tcPr>
          <w:p w14:paraId="7F955B26" w14:textId="77777777" w:rsidR="00015341" w:rsidRPr="009508DB" w:rsidRDefault="00015341" w:rsidP="002C2D82">
            <w:pPr>
              <w:jc w:val="right"/>
              <w:rPr>
                <w:b/>
                <w:bCs/>
              </w:rPr>
            </w:pPr>
          </w:p>
        </w:tc>
      </w:tr>
      <w:tr w:rsidR="00015341" w14:paraId="2E363B5D" w14:textId="77777777" w:rsidTr="001F420B">
        <w:tc>
          <w:tcPr>
            <w:tcW w:w="3312" w:type="dxa"/>
          </w:tcPr>
          <w:p w14:paraId="0BD9E583" w14:textId="77777777" w:rsidR="00015341" w:rsidRDefault="00015341" w:rsidP="002C2D82">
            <w:pPr>
              <w:jc w:val="right"/>
            </w:pPr>
          </w:p>
        </w:tc>
        <w:tc>
          <w:tcPr>
            <w:tcW w:w="2379" w:type="dxa"/>
          </w:tcPr>
          <w:p w14:paraId="4146779B" w14:textId="77777777" w:rsidR="00015341" w:rsidRDefault="00015341" w:rsidP="002C2D82">
            <w:pPr>
              <w:jc w:val="right"/>
            </w:pPr>
            <w:r>
              <w:t>5 (least deprived)</w:t>
            </w:r>
          </w:p>
        </w:tc>
        <w:tc>
          <w:tcPr>
            <w:tcW w:w="1482" w:type="dxa"/>
          </w:tcPr>
          <w:p w14:paraId="476744CF" w14:textId="77777777" w:rsidR="00015341" w:rsidRDefault="00015341" w:rsidP="002C2D82">
            <w:pPr>
              <w:jc w:val="right"/>
            </w:pPr>
            <w:r>
              <w:t>51 (13.8%)</w:t>
            </w:r>
          </w:p>
        </w:tc>
        <w:tc>
          <w:tcPr>
            <w:tcW w:w="1680" w:type="dxa"/>
          </w:tcPr>
          <w:p w14:paraId="5FC78852" w14:textId="77777777" w:rsidR="00015341" w:rsidRDefault="00015341" w:rsidP="002C2D82">
            <w:pPr>
              <w:jc w:val="right"/>
            </w:pPr>
            <w:r>
              <w:t>2130 (26.1%)</w:t>
            </w:r>
          </w:p>
        </w:tc>
        <w:tc>
          <w:tcPr>
            <w:tcW w:w="1837" w:type="dxa"/>
          </w:tcPr>
          <w:p w14:paraId="04C5AACD" w14:textId="77777777" w:rsidR="00015341" w:rsidRPr="009508DB" w:rsidRDefault="00015341" w:rsidP="002C2D82">
            <w:pPr>
              <w:jc w:val="right"/>
              <w:rPr>
                <w:b/>
                <w:bCs/>
              </w:rPr>
            </w:pPr>
          </w:p>
        </w:tc>
      </w:tr>
      <w:tr w:rsidR="00015341" w14:paraId="473450A0" w14:textId="77777777" w:rsidTr="001F420B">
        <w:tc>
          <w:tcPr>
            <w:tcW w:w="3312" w:type="dxa"/>
          </w:tcPr>
          <w:p w14:paraId="71901DCC" w14:textId="77777777" w:rsidR="00015341" w:rsidRDefault="00015341" w:rsidP="002C2D82">
            <w:pPr>
              <w:jc w:val="right"/>
            </w:pPr>
            <w:r>
              <w:t>Highest academic qualifications</w:t>
            </w:r>
          </w:p>
        </w:tc>
        <w:tc>
          <w:tcPr>
            <w:tcW w:w="2379" w:type="dxa"/>
          </w:tcPr>
          <w:p w14:paraId="40D41219" w14:textId="77777777" w:rsidR="00015341" w:rsidRDefault="00015341" w:rsidP="002C2D82">
            <w:pPr>
              <w:jc w:val="right"/>
            </w:pPr>
          </w:p>
        </w:tc>
        <w:tc>
          <w:tcPr>
            <w:tcW w:w="1482" w:type="dxa"/>
          </w:tcPr>
          <w:p w14:paraId="22C70DA5" w14:textId="77777777" w:rsidR="00015341" w:rsidRDefault="00015341" w:rsidP="002C2D82">
            <w:pPr>
              <w:jc w:val="right"/>
            </w:pPr>
          </w:p>
        </w:tc>
        <w:tc>
          <w:tcPr>
            <w:tcW w:w="1680" w:type="dxa"/>
          </w:tcPr>
          <w:p w14:paraId="49632E22" w14:textId="77777777" w:rsidR="00015341" w:rsidRDefault="00015341" w:rsidP="002C2D82">
            <w:pPr>
              <w:jc w:val="right"/>
            </w:pPr>
          </w:p>
        </w:tc>
        <w:tc>
          <w:tcPr>
            <w:tcW w:w="1837" w:type="dxa"/>
          </w:tcPr>
          <w:p w14:paraId="7CEDBB38" w14:textId="5FC0301C" w:rsidR="00015341" w:rsidRPr="009508DB" w:rsidRDefault="009B268E" w:rsidP="002C2D82">
            <w:pPr>
              <w:jc w:val="right"/>
              <w:rPr>
                <w:b/>
                <w:bCs/>
              </w:rPr>
            </w:pPr>
            <w:r>
              <w:rPr>
                <w:b/>
                <w:bCs/>
              </w:rPr>
              <w:t>p&lt;</w:t>
            </w:r>
            <w:r w:rsidRPr="009508DB">
              <w:rPr>
                <w:b/>
                <w:bCs/>
              </w:rPr>
              <w:t>0.00</w:t>
            </w:r>
            <w:r>
              <w:rPr>
                <w:b/>
                <w:bCs/>
              </w:rPr>
              <w:t>1</w:t>
            </w:r>
          </w:p>
        </w:tc>
      </w:tr>
      <w:tr w:rsidR="00015341" w14:paraId="5B63AAE4" w14:textId="77777777" w:rsidTr="001F420B">
        <w:tc>
          <w:tcPr>
            <w:tcW w:w="3312" w:type="dxa"/>
          </w:tcPr>
          <w:p w14:paraId="3D05D893" w14:textId="77777777" w:rsidR="00015341" w:rsidRDefault="00015341" w:rsidP="002C2D82">
            <w:pPr>
              <w:jc w:val="right"/>
            </w:pPr>
          </w:p>
        </w:tc>
        <w:tc>
          <w:tcPr>
            <w:tcW w:w="2379" w:type="dxa"/>
          </w:tcPr>
          <w:p w14:paraId="24526010" w14:textId="77777777" w:rsidR="00015341" w:rsidRDefault="00015341" w:rsidP="002C2D82">
            <w:pPr>
              <w:jc w:val="right"/>
            </w:pPr>
            <w:r>
              <w:t xml:space="preserve">No qualification </w:t>
            </w:r>
          </w:p>
        </w:tc>
        <w:tc>
          <w:tcPr>
            <w:tcW w:w="1482" w:type="dxa"/>
          </w:tcPr>
          <w:p w14:paraId="073C056E" w14:textId="77777777" w:rsidR="00015341" w:rsidRDefault="00015341" w:rsidP="002C2D82">
            <w:pPr>
              <w:jc w:val="right"/>
            </w:pPr>
            <w:r>
              <w:t>142 (38.4%)</w:t>
            </w:r>
          </w:p>
        </w:tc>
        <w:tc>
          <w:tcPr>
            <w:tcW w:w="1680" w:type="dxa"/>
          </w:tcPr>
          <w:p w14:paraId="24A9089B" w14:textId="77777777" w:rsidR="00015341" w:rsidRDefault="00015341" w:rsidP="002C2D82">
            <w:pPr>
              <w:jc w:val="right"/>
            </w:pPr>
            <w:r>
              <w:t>2263 (27.7%)</w:t>
            </w:r>
          </w:p>
        </w:tc>
        <w:tc>
          <w:tcPr>
            <w:tcW w:w="1837" w:type="dxa"/>
          </w:tcPr>
          <w:p w14:paraId="03BBEC44" w14:textId="77777777" w:rsidR="00015341" w:rsidRPr="009508DB" w:rsidRDefault="00015341" w:rsidP="002C2D82">
            <w:pPr>
              <w:jc w:val="right"/>
              <w:rPr>
                <w:b/>
                <w:bCs/>
              </w:rPr>
            </w:pPr>
          </w:p>
        </w:tc>
      </w:tr>
      <w:tr w:rsidR="00015341" w14:paraId="2B3622A5" w14:textId="77777777" w:rsidTr="001F420B">
        <w:tc>
          <w:tcPr>
            <w:tcW w:w="3312" w:type="dxa"/>
          </w:tcPr>
          <w:p w14:paraId="199FE3E4" w14:textId="77777777" w:rsidR="00015341" w:rsidRDefault="00015341" w:rsidP="002C2D82">
            <w:pPr>
              <w:jc w:val="right"/>
            </w:pPr>
          </w:p>
        </w:tc>
        <w:tc>
          <w:tcPr>
            <w:tcW w:w="2379" w:type="dxa"/>
          </w:tcPr>
          <w:p w14:paraId="25F66D5C" w14:textId="77777777" w:rsidR="00015341" w:rsidRDefault="00015341" w:rsidP="002C2D82">
            <w:pPr>
              <w:jc w:val="right"/>
            </w:pPr>
            <w:r>
              <w:t xml:space="preserve">GCSE or equivalent </w:t>
            </w:r>
          </w:p>
        </w:tc>
        <w:tc>
          <w:tcPr>
            <w:tcW w:w="1482" w:type="dxa"/>
          </w:tcPr>
          <w:p w14:paraId="79CE197E" w14:textId="77777777" w:rsidR="00015341" w:rsidRDefault="00015341" w:rsidP="002C2D82">
            <w:pPr>
              <w:jc w:val="right"/>
            </w:pPr>
            <w:r>
              <w:t>139 (37.6%)</w:t>
            </w:r>
          </w:p>
        </w:tc>
        <w:tc>
          <w:tcPr>
            <w:tcW w:w="1680" w:type="dxa"/>
          </w:tcPr>
          <w:p w14:paraId="72B4E404" w14:textId="77777777" w:rsidR="00015341" w:rsidRDefault="00015341" w:rsidP="002C2D82">
            <w:pPr>
              <w:jc w:val="right"/>
            </w:pPr>
            <w:r>
              <w:t>2651 (32.5%)</w:t>
            </w:r>
          </w:p>
        </w:tc>
        <w:tc>
          <w:tcPr>
            <w:tcW w:w="1837" w:type="dxa"/>
          </w:tcPr>
          <w:p w14:paraId="209C675D" w14:textId="77777777" w:rsidR="00015341" w:rsidRPr="009508DB" w:rsidRDefault="00015341" w:rsidP="002C2D82">
            <w:pPr>
              <w:jc w:val="right"/>
              <w:rPr>
                <w:b/>
                <w:bCs/>
              </w:rPr>
            </w:pPr>
          </w:p>
        </w:tc>
      </w:tr>
      <w:tr w:rsidR="00015341" w14:paraId="628C06CD" w14:textId="77777777" w:rsidTr="001F420B">
        <w:tc>
          <w:tcPr>
            <w:tcW w:w="3312" w:type="dxa"/>
          </w:tcPr>
          <w:p w14:paraId="56DBCED5" w14:textId="77777777" w:rsidR="00015341" w:rsidRDefault="00015341" w:rsidP="002C2D82">
            <w:pPr>
              <w:jc w:val="right"/>
            </w:pPr>
          </w:p>
        </w:tc>
        <w:tc>
          <w:tcPr>
            <w:tcW w:w="2379" w:type="dxa"/>
          </w:tcPr>
          <w:p w14:paraId="499AB8BD" w14:textId="77777777" w:rsidR="00015341" w:rsidRDefault="00015341" w:rsidP="002C2D82">
            <w:pPr>
              <w:jc w:val="right"/>
            </w:pPr>
            <w:r>
              <w:t xml:space="preserve">A level or equivalent </w:t>
            </w:r>
          </w:p>
        </w:tc>
        <w:tc>
          <w:tcPr>
            <w:tcW w:w="1482" w:type="dxa"/>
          </w:tcPr>
          <w:p w14:paraId="4FAE1210" w14:textId="77777777" w:rsidR="00015341" w:rsidRDefault="00015341" w:rsidP="002C2D82">
            <w:pPr>
              <w:jc w:val="right"/>
            </w:pPr>
            <w:r>
              <w:t>42 (11.3%)</w:t>
            </w:r>
          </w:p>
        </w:tc>
        <w:tc>
          <w:tcPr>
            <w:tcW w:w="1680" w:type="dxa"/>
          </w:tcPr>
          <w:p w14:paraId="63F7BCC3" w14:textId="77777777" w:rsidR="00015341" w:rsidRDefault="00015341" w:rsidP="002C2D82">
            <w:pPr>
              <w:jc w:val="right"/>
            </w:pPr>
            <w:r>
              <w:t>1130 (13.9%)</w:t>
            </w:r>
          </w:p>
        </w:tc>
        <w:tc>
          <w:tcPr>
            <w:tcW w:w="1837" w:type="dxa"/>
          </w:tcPr>
          <w:p w14:paraId="32117396" w14:textId="77777777" w:rsidR="00015341" w:rsidRPr="009508DB" w:rsidRDefault="00015341" w:rsidP="002C2D82">
            <w:pPr>
              <w:jc w:val="right"/>
              <w:rPr>
                <w:b/>
                <w:bCs/>
              </w:rPr>
            </w:pPr>
          </w:p>
        </w:tc>
      </w:tr>
      <w:tr w:rsidR="00015341" w14:paraId="54AA1939" w14:textId="77777777" w:rsidTr="001F420B">
        <w:tc>
          <w:tcPr>
            <w:tcW w:w="3312" w:type="dxa"/>
          </w:tcPr>
          <w:p w14:paraId="30EDC0FD" w14:textId="77777777" w:rsidR="00015341" w:rsidRDefault="00015341" w:rsidP="002C2D82">
            <w:pPr>
              <w:jc w:val="right"/>
            </w:pPr>
          </w:p>
        </w:tc>
        <w:tc>
          <w:tcPr>
            <w:tcW w:w="2379" w:type="dxa"/>
          </w:tcPr>
          <w:p w14:paraId="2C116D92" w14:textId="77777777" w:rsidR="00015341" w:rsidRDefault="00015341" w:rsidP="002C2D82">
            <w:pPr>
              <w:jc w:val="right"/>
            </w:pPr>
            <w:r>
              <w:t xml:space="preserve">Degree or higher </w:t>
            </w:r>
          </w:p>
        </w:tc>
        <w:tc>
          <w:tcPr>
            <w:tcW w:w="1482" w:type="dxa"/>
          </w:tcPr>
          <w:p w14:paraId="33A554B4" w14:textId="77777777" w:rsidR="00015341" w:rsidRDefault="00015341" w:rsidP="002C2D82">
            <w:pPr>
              <w:jc w:val="right"/>
            </w:pPr>
            <w:r>
              <w:t>47 (12.7%)</w:t>
            </w:r>
          </w:p>
        </w:tc>
        <w:tc>
          <w:tcPr>
            <w:tcW w:w="1680" w:type="dxa"/>
          </w:tcPr>
          <w:p w14:paraId="68AF4EFC" w14:textId="77777777" w:rsidR="00015341" w:rsidRDefault="00015341" w:rsidP="002C2D82">
            <w:pPr>
              <w:jc w:val="right"/>
            </w:pPr>
            <w:r>
              <w:t>2122 (26.0%)</w:t>
            </w:r>
          </w:p>
        </w:tc>
        <w:tc>
          <w:tcPr>
            <w:tcW w:w="1837" w:type="dxa"/>
          </w:tcPr>
          <w:p w14:paraId="28761255" w14:textId="77777777" w:rsidR="00015341" w:rsidRPr="009508DB" w:rsidRDefault="00015341" w:rsidP="002C2D82">
            <w:pPr>
              <w:jc w:val="right"/>
              <w:rPr>
                <w:b/>
                <w:bCs/>
              </w:rPr>
            </w:pPr>
          </w:p>
        </w:tc>
      </w:tr>
      <w:tr w:rsidR="00015341" w14:paraId="3682AAC5" w14:textId="77777777" w:rsidTr="001F420B">
        <w:tc>
          <w:tcPr>
            <w:tcW w:w="3312" w:type="dxa"/>
          </w:tcPr>
          <w:p w14:paraId="1C969173" w14:textId="77777777" w:rsidR="00015341" w:rsidRDefault="00015341" w:rsidP="002C2D82">
            <w:pPr>
              <w:jc w:val="right"/>
            </w:pPr>
            <w:r>
              <w:t>Housing tenure</w:t>
            </w:r>
          </w:p>
        </w:tc>
        <w:tc>
          <w:tcPr>
            <w:tcW w:w="2379" w:type="dxa"/>
          </w:tcPr>
          <w:p w14:paraId="5756B846" w14:textId="77777777" w:rsidR="00015341" w:rsidRDefault="00015341" w:rsidP="002C2D82">
            <w:pPr>
              <w:jc w:val="right"/>
            </w:pPr>
          </w:p>
        </w:tc>
        <w:tc>
          <w:tcPr>
            <w:tcW w:w="1482" w:type="dxa"/>
          </w:tcPr>
          <w:p w14:paraId="34E84AEB" w14:textId="77777777" w:rsidR="00015341" w:rsidRDefault="00015341" w:rsidP="002C2D82">
            <w:pPr>
              <w:jc w:val="right"/>
            </w:pPr>
          </w:p>
        </w:tc>
        <w:tc>
          <w:tcPr>
            <w:tcW w:w="1680" w:type="dxa"/>
          </w:tcPr>
          <w:p w14:paraId="4E8EEC04" w14:textId="77777777" w:rsidR="00015341" w:rsidRDefault="00015341" w:rsidP="002C2D82">
            <w:pPr>
              <w:jc w:val="right"/>
            </w:pPr>
          </w:p>
        </w:tc>
        <w:tc>
          <w:tcPr>
            <w:tcW w:w="1837" w:type="dxa"/>
          </w:tcPr>
          <w:p w14:paraId="5C013CB4" w14:textId="6B029B2E" w:rsidR="00015341" w:rsidRPr="009508DB" w:rsidRDefault="009B268E" w:rsidP="002C2D82">
            <w:pPr>
              <w:jc w:val="right"/>
              <w:rPr>
                <w:b/>
                <w:bCs/>
              </w:rPr>
            </w:pPr>
            <w:r>
              <w:rPr>
                <w:b/>
                <w:bCs/>
              </w:rPr>
              <w:t>p&lt;</w:t>
            </w:r>
            <w:r w:rsidRPr="009508DB">
              <w:rPr>
                <w:b/>
                <w:bCs/>
              </w:rPr>
              <w:t>0.00</w:t>
            </w:r>
            <w:r>
              <w:rPr>
                <w:b/>
                <w:bCs/>
              </w:rPr>
              <w:t>1</w:t>
            </w:r>
          </w:p>
        </w:tc>
      </w:tr>
      <w:tr w:rsidR="00015341" w14:paraId="6819FCAA" w14:textId="77777777" w:rsidTr="001F420B">
        <w:tc>
          <w:tcPr>
            <w:tcW w:w="3312" w:type="dxa"/>
          </w:tcPr>
          <w:p w14:paraId="4DDE1830" w14:textId="77777777" w:rsidR="00015341" w:rsidRDefault="00015341" w:rsidP="002C2D82">
            <w:pPr>
              <w:jc w:val="right"/>
            </w:pPr>
          </w:p>
        </w:tc>
        <w:tc>
          <w:tcPr>
            <w:tcW w:w="2379" w:type="dxa"/>
          </w:tcPr>
          <w:p w14:paraId="5C52D45C" w14:textId="77777777" w:rsidR="00015341" w:rsidRPr="007E5C61" w:rsidRDefault="00015341" w:rsidP="002C2D82">
            <w:pPr>
              <w:jc w:val="right"/>
            </w:pPr>
            <w:r w:rsidRPr="007E5C61">
              <w:t>Own/Mortgage</w:t>
            </w:r>
          </w:p>
        </w:tc>
        <w:tc>
          <w:tcPr>
            <w:tcW w:w="1482" w:type="dxa"/>
          </w:tcPr>
          <w:p w14:paraId="70A9AEFA" w14:textId="77777777" w:rsidR="00015341" w:rsidRPr="007E5C61" w:rsidRDefault="00015341" w:rsidP="002C2D82">
            <w:pPr>
              <w:jc w:val="right"/>
            </w:pPr>
            <w:r w:rsidRPr="007E5C61">
              <w:t>218 (58.9%)</w:t>
            </w:r>
          </w:p>
        </w:tc>
        <w:tc>
          <w:tcPr>
            <w:tcW w:w="1680" w:type="dxa"/>
          </w:tcPr>
          <w:p w14:paraId="38AA99B1" w14:textId="77777777" w:rsidR="00015341" w:rsidRPr="007E5C61" w:rsidRDefault="00015341" w:rsidP="002C2D82">
            <w:pPr>
              <w:jc w:val="right"/>
            </w:pPr>
            <w:r w:rsidRPr="007E5C61">
              <w:t>6551 (80.2%)</w:t>
            </w:r>
          </w:p>
        </w:tc>
        <w:tc>
          <w:tcPr>
            <w:tcW w:w="1837" w:type="dxa"/>
          </w:tcPr>
          <w:p w14:paraId="03D6F24C" w14:textId="77777777" w:rsidR="00015341" w:rsidRPr="007E5C61" w:rsidRDefault="00015341" w:rsidP="002C2D82">
            <w:pPr>
              <w:jc w:val="right"/>
              <w:rPr>
                <w:b/>
                <w:bCs/>
                <w:highlight w:val="yellow"/>
              </w:rPr>
            </w:pPr>
          </w:p>
        </w:tc>
      </w:tr>
      <w:tr w:rsidR="00015341" w14:paraId="31E4BA48" w14:textId="77777777" w:rsidTr="001F420B">
        <w:tc>
          <w:tcPr>
            <w:tcW w:w="3312" w:type="dxa"/>
          </w:tcPr>
          <w:p w14:paraId="47FEE24B" w14:textId="77777777" w:rsidR="00015341" w:rsidRDefault="00015341" w:rsidP="002C2D82">
            <w:pPr>
              <w:jc w:val="right"/>
            </w:pPr>
          </w:p>
        </w:tc>
        <w:tc>
          <w:tcPr>
            <w:tcW w:w="2379" w:type="dxa"/>
          </w:tcPr>
          <w:p w14:paraId="183C3D9A" w14:textId="77777777" w:rsidR="00015341" w:rsidRPr="007E5C61" w:rsidRDefault="00015341" w:rsidP="002C2D82">
            <w:pPr>
              <w:jc w:val="right"/>
            </w:pPr>
            <w:r w:rsidRPr="007E5C61">
              <w:t>Social rent</w:t>
            </w:r>
          </w:p>
        </w:tc>
        <w:tc>
          <w:tcPr>
            <w:tcW w:w="1482" w:type="dxa"/>
          </w:tcPr>
          <w:p w14:paraId="5A13F511" w14:textId="77777777" w:rsidR="00015341" w:rsidRPr="007E5C61" w:rsidRDefault="00015341" w:rsidP="002C2D82">
            <w:pPr>
              <w:jc w:val="right"/>
            </w:pPr>
            <w:r w:rsidRPr="007E5C61">
              <w:t>101 (27.3%)</w:t>
            </w:r>
          </w:p>
        </w:tc>
        <w:tc>
          <w:tcPr>
            <w:tcW w:w="1680" w:type="dxa"/>
          </w:tcPr>
          <w:p w14:paraId="4AAD68E3" w14:textId="77777777" w:rsidR="00015341" w:rsidRPr="007E5C61" w:rsidRDefault="00015341" w:rsidP="002C2D82">
            <w:pPr>
              <w:jc w:val="right"/>
            </w:pPr>
            <w:r w:rsidRPr="007E5C61">
              <w:t>812 (9.9%)</w:t>
            </w:r>
          </w:p>
        </w:tc>
        <w:tc>
          <w:tcPr>
            <w:tcW w:w="1837" w:type="dxa"/>
          </w:tcPr>
          <w:p w14:paraId="799DB2E3" w14:textId="77777777" w:rsidR="00015341" w:rsidRPr="007E5C61" w:rsidRDefault="00015341" w:rsidP="002C2D82">
            <w:pPr>
              <w:jc w:val="right"/>
              <w:rPr>
                <w:b/>
                <w:bCs/>
                <w:highlight w:val="yellow"/>
              </w:rPr>
            </w:pPr>
          </w:p>
        </w:tc>
      </w:tr>
      <w:tr w:rsidR="00015341" w14:paraId="7246E4B2" w14:textId="77777777" w:rsidTr="001F420B">
        <w:tc>
          <w:tcPr>
            <w:tcW w:w="3312" w:type="dxa"/>
          </w:tcPr>
          <w:p w14:paraId="2ECB33E6" w14:textId="77777777" w:rsidR="00015341" w:rsidRDefault="00015341" w:rsidP="002C2D82">
            <w:pPr>
              <w:jc w:val="right"/>
            </w:pPr>
          </w:p>
        </w:tc>
        <w:tc>
          <w:tcPr>
            <w:tcW w:w="2379" w:type="dxa"/>
          </w:tcPr>
          <w:p w14:paraId="4492CCEE" w14:textId="77777777" w:rsidR="00015341" w:rsidRPr="007E5C61" w:rsidRDefault="00015341" w:rsidP="002C2D82">
            <w:pPr>
              <w:jc w:val="right"/>
            </w:pPr>
            <w:r w:rsidRPr="007E5C61">
              <w:t xml:space="preserve">Private rent/other </w:t>
            </w:r>
          </w:p>
        </w:tc>
        <w:tc>
          <w:tcPr>
            <w:tcW w:w="1482" w:type="dxa"/>
          </w:tcPr>
          <w:p w14:paraId="4ECCA026" w14:textId="77777777" w:rsidR="00015341" w:rsidRPr="007E5C61" w:rsidRDefault="00015341" w:rsidP="002C2D82">
            <w:pPr>
              <w:jc w:val="right"/>
            </w:pPr>
            <w:r w:rsidRPr="007E5C61">
              <w:t>51 (13.8%)</w:t>
            </w:r>
          </w:p>
        </w:tc>
        <w:tc>
          <w:tcPr>
            <w:tcW w:w="1680" w:type="dxa"/>
          </w:tcPr>
          <w:p w14:paraId="1B28BBE8" w14:textId="77777777" w:rsidR="00015341" w:rsidRPr="007E5C61" w:rsidRDefault="00015341" w:rsidP="002C2D82">
            <w:pPr>
              <w:jc w:val="right"/>
            </w:pPr>
            <w:r w:rsidRPr="007E5C61">
              <w:t>803 (9.8%)</w:t>
            </w:r>
          </w:p>
        </w:tc>
        <w:tc>
          <w:tcPr>
            <w:tcW w:w="1837" w:type="dxa"/>
          </w:tcPr>
          <w:p w14:paraId="04BD6E8E" w14:textId="77777777" w:rsidR="00015341" w:rsidRPr="007E5C61" w:rsidRDefault="00015341" w:rsidP="002C2D82">
            <w:pPr>
              <w:jc w:val="right"/>
              <w:rPr>
                <w:b/>
                <w:bCs/>
                <w:highlight w:val="yellow"/>
              </w:rPr>
            </w:pPr>
          </w:p>
        </w:tc>
      </w:tr>
      <w:tr w:rsidR="00015341" w14:paraId="282E90B2" w14:textId="77777777" w:rsidTr="001F420B">
        <w:tc>
          <w:tcPr>
            <w:tcW w:w="3312" w:type="dxa"/>
          </w:tcPr>
          <w:p w14:paraId="24C079D3" w14:textId="77777777" w:rsidR="00015341" w:rsidRDefault="00015341" w:rsidP="002C2D82">
            <w:pPr>
              <w:jc w:val="right"/>
            </w:pPr>
            <w:r>
              <w:t>Local authority/housing association</w:t>
            </w:r>
          </w:p>
        </w:tc>
        <w:tc>
          <w:tcPr>
            <w:tcW w:w="2379" w:type="dxa"/>
          </w:tcPr>
          <w:p w14:paraId="070E628E" w14:textId="77777777" w:rsidR="00015341" w:rsidRDefault="00015341" w:rsidP="002C2D82">
            <w:pPr>
              <w:jc w:val="right"/>
            </w:pPr>
          </w:p>
        </w:tc>
        <w:tc>
          <w:tcPr>
            <w:tcW w:w="1482" w:type="dxa"/>
          </w:tcPr>
          <w:p w14:paraId="4DE79F54" w14:textId="77777777" w:rsidR="00015341" w:rsidRDefault="00015341" w:rsidP="002C2D82">
            <w:pPr>
              <w:jc w:val="right"/>
            </w:pPr>
          </w:p>
        </w:tc>
        <w:tc>
          <w:tcPr>
            <w:tcW w:w="1680" w:type="dxa"/>
          </w:tcPr>
          <w:p w14:paraId="49D826C4" w14:textId="77777777" w:rsidR="00015341" w:rsidRDefault="00015341" w:rsidP="002C2D82">
            <w:pPr>
              <w:jc w:val="right"/>
            </w:pPr>
          </w:p>
        </w:tc>
        <w:tc>
          <w:tcPr>
            <w:tcW w:w="1837" w:type="dxa"/>
          </w:tcPr>
          <w:p w14:paraId="04541176" w14:textId="5E081AF6" w:rsidR="00015341" w:rsidRPr="009508DB" w:rsidRDefault="009B268E" w:rsidP="002C2D82">
            <w:pPr>
              <w:jc w:val="right"/>
              <w:rPr>
                <w:b/>
                <w:bCs/>
              </w:rPr>
            </w:pPr>
            <w:r>
              <w:rPr>
                <w:b/>
                <w:bCs/>
              </w:rPr>
              <w:t>p&lt;</w:t>
            </w:r>
            <w:r w:rsidRPr="009508DB">
              <w:rPr>
                <w:b/>
                <w:bCs/>
              </w:rPr>
              <w:t>0.00</w:t>
            </w:r>
            <w:r>
              <w:rPr>
                <w:b/>
                <w:bCs/>
              </w:rPr>
              <w:t>1</w:t>
            </w:r>
          </w:p>
        </w:tc>
      </w:tr>
      <w:tr w:rsidR="00015341" w14:paraId="2D06EA91" w14:textId="77777777" w:rsidTr="001F420B">
        <w:tc>
          <w:tcPr>
            <w:tcW w:w="3312" w:type="dxa"/>
          </w:tcPr>
          <w:p w14:paraId="1D71B251" w14:textId="77777777" w:rsidR="00015341" w:rsidRDefault="00015341" w:rsidP="002C2D82">
            <w:pPr>
              <w:jc w:val="right"/>
            </w:pPr>
          </w:p>
        </w:tc>
        <w:tc>
          <w:tcPr>
            <w:tcW w:w="2379" w:type="dxa"/>
          </w:tcPr>
          <w:p w14:paraId="2DD28300" w14:textId="77777777" w:rsidR="00015341" w:rsidRDefault="00015341" w:rsidP="002C2D82">
            <w:pPr>
              <w:jc w:val="right"/>
            </w:pPr>
            <w:r>
              <w:t>No</w:t>
            </w:r>
          </w:p>
        </w:tc>
        <w:tc>
          <w:tcPr>
            <w:tcW w:w="1482" w:type="dxa"/>
          </w:tcPr>
          <w:p w14:paraId="7FF86BF7" w14:textId="77777777" w:rsidR="00015341" w:rsidRDefault="00015341" w:rsidP="002C2D82">
            <w:pPr>
              <w:jc w:val="right"/>
            </w:pPr>
            <w:r>
              <w:t>269 (72.7%)</w:t>
            </w:r>
          </w:p>
        </w:tc>
        <w:tc>
          <w:tcPr>
            <w:tcW w:w="1680" w:type="dxa"/>
          </w:tcPr>
          <w:p w14:paraId="7852E22E" w14:textId="77777777" w:rsidR="00015341" w:rsidRDefault="00015341" w:rsidP="002C2D82">
            <w:pPr>
              <w:jc w:val="right"/>
            </w:pPr>
            <w:r>
              <w:t>7354 (90.1%)</w:t>
            </w:r>
          </w:p>
        </w:tc>
        <w:tc>
          <w:tcPr>
            <w:tcW w:w="1837" w:type="dxa"/>
          </w:tcPr>
          <w:p w14:paraId="1EBBFDDE" w14:textId="77777777" w:rsidR="00015341" w:rsidRPr="009508DB" w:rsidRDefault="00015341" w:rsidP="002C2D82">
            <w:pPr>
              <w:jc w:val="right"/>
              <w:rPr>
                <w:b/>
                <w:bCs/>
              </w:rPr>
            </w:pPr>
          </w:p>
        </w:tc>
      </w:tr>
      <w:tr w:rsidR="00015341" w14:paraId="358BE809" w14:textId="77777777" w:rsidTr="001F420B">
        <w:tc>
          <w:tcPr>
            <w:tcW w:w="3312" w:type="dxa"/>
          </w:tcPr>
          <w:p w14:paraId="7D618A00" w14:textId="77777777" w:rsidR="00015341" w:rsidRDefault="00015341" w:rsidP="002C2D82">
            <w:pPr>
              <w:jc w:val="right"/>
            </w:pPr>
          </w:p>
        </w:tc>
        <w:tc>
          <w:tcPr>
            <w:tcW w:w="2379" w:type="dxa"/>
          </w:tcPr>
          <w:p w14:paraId="21F80D39" w14:textId="77777777" w:rsidR="00015341" w:rsidRDefault="00015341" w:rsidP="002C2D82">
            <w:pPr>
              <w:jc w:val="right"/>
            </w:pPr>
            <w:r>
              <w:t>Yes</w:t>
            </w:r>
          </w:p>
        </w:tc>
        <w:tc>
          <w:tcPr>
            <w:tcW w:w="1482" w:type="dxa"/>
          </w:tcPr>
          <w:p w14:paraId="44201AD9" w14:textId="77777777" w:rsidR="00015341" w:rsidRDefault="00015341" w:rsidP="002C2D82">
            <w:pPr>
              <w:jc w:val="right"/>
            </w:pPr>
            <w:r>
              <w:t>101 (27.3%)</w:t>
            </w:r>
          </w:p>
        </w:tc>
        <w:tc>
          <w:tcPr>
            <w:tcW w:w="1680" w:type="dxa"/>
          </w:tcPr>
          <w:p w14:paraId="1EB2DA30" w14:textId="77777777" w:rsidR="00015341" w:rsidRDefault="00015341" w:rsidP="002C2D82">
            <w:pPr>
              <w:jc w:val="right"/>
            </w:pPr>
            <w:r>
              <w:t>812 (9.9%)</w:t>
            </w:r>
          </w:p>
        </w:tc>
        <w:tc>
          <w:tcPr>
            <w:tcW w:w="1837" w:type="dxa"/>
          </w:tcPr>
          <w:p w14:paraId="4E6937BB" w14:textId="77777777" w:rsidR="00015341" w:rsidRPr="009508DB" w:rsidRDefault="00015341" w:rsidP="002C2D82">
            <w:pPr>
              <w:jc w:val="right"/>
              <w:rPr>
                <w:b/>
                <w:bCs/>
              </w:rPr>
            </w:pPr>
          </w:p>
        </w:tc>
      </w:tr>
      <w:tr w:rsidR="00015341" w14:paraId="00B98AD1" w14:textId="77777777" w:rsidTr="001F420B">
        <w:tc>
          <w:tcPr>
            <w:tcW w:w="3312" w:type="dxa"/>
          </w:tcPr>
          <w:p w14:paraId="535178B6" w14:textId="77777777" w:rsidR="00015341" w:rsidRDefault="00015341" w:rsidP="002C2D82">
            <w:pPr>
              <w:jc w:val="right"/>
            </w:pPr>
            <w:r>
              <w:t>Employment status</w:t>
            </w:r>
          </w:p>
        </w:tc>
        <w:tc>
          <w:tcPr>
            <w:tcW w:w="2379" w:type="dxa"/>
          </w:tcPr>
          <w:p w14:paraId="7790B6FB" w14:textId="77777777" w:rsidR="00015341" w:rsidRDefault="00015341" w:rsidP="002C2D82">
            <w:pPr>
              <w:jc w:val="right"/>
            </w:pPr>
          </w:p>
        </w:tc>
        <w:tc>
          <w:tcPr>
            <w:tcW w:w="1482" w:type="dxa"/>
          </w:tcPr>
          <w:p w14:paraId="05C8A55C" w14:textId="77777777" w:rsidR="00015341" w:rsidRDefault="00015341" w:rsidP="002C2D82">
            <w:pPr>
              <w:jc w:val="right"/>
            </w:pPr>
          </w:p>
        </w:tc>
        <w:tc>
          <w:tcPr>
            <w:tcW w:w="1680" w:type="dxa"/>
          </w:tcPr>
          <w:p w14:paraId="7D7C7CBB" w14:textId="77777777" w:rsidR="00015341" w:rsidRDefault="00015341" w:rsidP="002C2D82">
            <w:pPr>
              <w:jc w:val="right"/>
            </w:pPr>
          </w:p>
        </w:tc>
        <w:tc>
          <w:tcPr>
            <w:tcW w:w="1837" w:type="dxa"/>
          </w:tcPr>
          <w:p w14:paraId="2BCA089F" w14:textId="77777777" w:rsidR="00015341" w:rsidRPr="009508DB" w:rsidRDefault="00015341" w:rsidP="002C2D82">
            <w:pPr>
              <w:jc w:val="right"/>
              <w:rPr>
                <w:b/>
                <w:bCs/>
              </w:rPr>
            </w:pPr>
          </w:p>
        </w:tc>
      </w:tr>
      <w:tr w:rsidR="00015341" w14:paraId="38E3E760" w14:textId="77777777" w:rsidTr="001F420B">
        <w:tc>
          <w:tcPr>
            <w:tcW w:w="3312" w:type="dxa"/>
          </w:tcPr>
          <w:p w14:paraId="690F193D" w14:textId="77777777" w:rsidR="00015341" w:rsidRDefault="00015341" w:rsidP="002C2D82">
            <w:pPr>
              <w:jc w:val="right"/>
            </w:pPr>
          </w:p>
        </w:tc>
        <w:tc>
          <w:tcPr>
            <w:tcW w:w="2379" w:type="dxa"/>
          </w:tcPr>
          <w:p w14:paraId="0348248A" w14:textId="77777777" w:rsidR="00015341" w:rsidRDefault="00015341" w:rsidP="002C2D82">
            <w:pPr>
              <w:jc w:val="right"/>
            </w:pPr>
            <w:r>
              <w:t xml:space="preserve">Employed </w:t>
            </w:r>
          </w:p>
        </w:tc>
        <w:tc>
          <w:tcPr>
            <w:tcW w:w="1482" w:type="dxa"/>
          </w:tcPr>
          <w:p w14:paraId="01AE65E1" w14:textId="77777777" w:rsidR="00015341" w:rsidRDefault="00015341" w:rsidP="002C2D82">
            <w:pPr>
              <w:jc w:val="right"/>
            </w:pPr>
            <w:r>
              <w:t>245 (66.2%)</w:t>
            </w:r>
          </w:p>
        </w:tc>
        <w:tc>
          <w:tcPr>
            <w:tcW w:w="1680" w:type="dxa"/>
          </w:tcPr>
          <w:p w14:paraId="1A870E82" w14:textId="77777777" w:rsidR="00015341" w:rsidRDefault="00015341" w:rsidP="002C2D82">
            <w:pPr>
              <w:jc w:val="right"/>
            </w:pPr>
            <w:r>
              <w:t xml:space="preserve">  7239 (88.7%)</w:t>
            </w:r>
          </w:p>
        </w:tc>
        <w:tc>
          <w:tcPr>
            <w:tcW w:w="1837" w:type="dxa"/>
          </w:tcPr>
          <w:p w14:paraId="4A444A51" w14:textId="77FF34E4" w:rsidR="00015341" w:rsidRPr="009508DB" w:rsidRDefault="009B268E" w:rsidP="002C2D82">
            <w:pPr>
              <w:jc w:val="right"/>
              <w:rPr>
                <w:b/>
                <w:bCs/>
              </w:rPr>
            </w:pPr>
            <w:r>
              <w:rPr>
                <w:b/>
                <w:bCs/>
              </w:rPr>
              <w:t>p&lt;</w:t>
            </w:r>
            <w:r w:rsidRPr="009508DB">
              <w:rPr>
                <w:b/>
                <w:bCs/>
              </w:rPr>
              <w:t>0.00</w:t>
            </w:r>
            <w:r>
              <w:rPr>
                <w:b/>
                <w:bCs/>
              </w:rPr>
              <w:t>1</w:t>
            </w:r>
          </w:p>
        </w:tc>
      </w:tr>
      <w:tr w:rsidR="00015341" w14:paraId="473BC5E1" w14:textId="77777777" w:rsidTr="001F420B">
        <w:tc>
          <w:tcPr>
            <w:tcW w:w="3312" w:type="dxa"/>
          </w:tcPr>
          <w:p w14:paraId="1A302F5C" w14:textId="77777777" w:rsidR="00015341" w:rsidRDefault="00015341" w:rsidP="002C2D82">
            <w:pPr>
              <w:jc w:val="right"/>
            </w:pPr>
          </w:p>
        </w:tc>
        <w:tc>
          <w:tcPr>
            <w:tcW w:w="2379" w:type="dxa"/>
          </w:tcPr>
          <w:p w14:paraId="45959BF6" w14:textId="77777777" w:rsidR="00015341" w:rsidRDefault="00015341" w:rsidP="002C2D82">
            <w:pPr>
              <w:jc w:val="right"/>
            </w:pPr>
            <w:r>
              <w:t>Unemployed</w:t>
            </w:r>
          </w:p>
        </w:tc>
        <w:tc>
          <w:tcPr>
            <w:tcW w:w="1482" w:type="dxa"/>
          </w:tcPr>
          <w:p w14:paraId="178D0768" w14:textId="77777777" w:rsidR="00015341" w:rsidRDefault="00015341" w:rsidP="002C2D82">
            <w:pPr>
              <w:jc w:val="right"/>
            </w:pPr>
            <w:r>
              <w:t>9 (2.4%)</w:t>
            </w:r>
          </w:p>
        </w:tc>
        <w:tc>
          <w:tcPr>
            <w:tcW w:w="1680" w:type="dxa"/>
          </w:tcPr>
          <w:p w14:paraId="1861EEDC" w14:textId="77777777" w:rsidR="00015341" w:rsidRDefault="00015341" w:rsidP="002C2D82">
            <w:pPr>
              <w:jc w:val="right"/>
            </w:pPr>
            <w:r>
              <w:t>144 (1.8%)</w:t>
            </w:r>
          </w:p>
        </w:tc>
        <w:tc>
          <w:tcPr>
            <w:tcW w:w="1837" w:type="dxa"/>
          </w:tcPr>
          <w:p w14:paraId="00152BBE" w14:textId="77777777" w:rsidR="00015341" w:rsidRPr="009508DB" w:rsidRDefault="00015341" w:rsidP="002C2D82">
            <w:pPr>
              <w:jc w:val="right"/>
              <w:rPr>
                <w:b/>
                <w:bCs/>
              </w:rPr>
            </w:pPr>
          </w:p>
        </w:tc>
      </w:tr>
      <w:tr w:rsidR="00015341" w14:paraId="050D235D" w14:textId="77777777" w:rsidTr="001F420B">
        <w:tc>
          <w:tcPr>
            <w:tcW w:w="3312" w:type="dxa"/>
          </w:tcPr>
          <w:p w14:paraId="5B2328DF" w14:textId="77777777" w:rsidR="00015341" w:rsidRDefault="00015341" w:rsidP="002C2D82">
            <w:pPr>
              <w:jc w:val="right"/>
            </w:pPr>
          </w:p>
        </w:tc>
        <w:tc>
          <w:tcPr>
            <w:tcW w:w="2379" w:type="dxa"/>
          </w:tcPr>
          <w:p w14:paraId="6EE3DC35" w14:textId="77777777" w:rsidR="00015341" w:rsidRDefault="00015341" w:rsidP="002C2D82">
            <w:pPr>
              <w:jc w:val="right"/>
            </w:pPr>
            <w:r>
              <w:t xml:space="preserve">Sickness/disability </w:t>
            </w:r>
          </w:p>
        </w:tc>
        <w:tc>
          <w:tcPr>
            <w:tcW w:w="1482" w:type="dxa"/>
          </w:tcPr>
          <w:p w14:paraId="3683DE5B" w14:textId="77777777" w:rsidR="00015341" w:rsidRDefault="00015341" w:rsidP="002C2D82">
            <w:pPr>
              <w:jc w:val="right"/>
            </w:pPr>
            <w:r>
              <w:t>72 (19.5%)</w:t>
            </w:r>
          </w:p>
        </w:tc>
        <w:tc>
          <w:tcPr>
            <w:tcW w:w="1680" w:type="dxa"/>
          </w:tcPr>
          <w:p w14:paraId="7BF621B2" w14:textId="77777777" w:rsidR="00015341" w:rsidRDefault="00015341" w:rsidP="002C2D82">
            <w:pPr>
              <w:jc w:val="right"/>
            </w:pPr>
            <w:r>
              <w:t>271 (3.5%)</w:t>
            </w:r>
          </w:p>
        </w:tc>
        <w:tc>
          <w:tcPr>
            <w:tcW w:w="1837" w:type="dxa"/>
          </w:tcPr>
          <w:p w14:paraId="2C77A54C" w14:textId="77777777" w:rsidR="00015341" w:rsidRPr="009508DB" w:rsidRDefault="00015341" w:rsidP="002C2D82">
            <w:pPr>
              <w:jc w:val="right"/>
              <w:rPr>
                <w:b/>
                <w:bCs/>
              </w:rPr>
            </w:pPr>
          </w:p>
        </w:tc>
      </w:tr>
      <w:tr w:rsidR="00015341" w14:paraId="7D99F8FD" w14:textId="77777777" w:rsidTr="001F420B">
        <w:tc>
          <w:tcPr>
            <w:tcW w:w="3312" w:type="dxa"/>
          </w:tcPr>
          <w:p w14:paraId="64125696" w14:textId="77777777" w:rsidR="00015341" w:rsidRDefault="00015341" w:rsidP="002C2D82">
            <w:pPr>
              <w:jc w:val="right"/>
            </w:pPr>
          </w:p>
        </w:tc>
        <w:tc>
          <w:tcPr>
            <w:tcW w:w="2379" w:type="dxa"/>
          </w:tcPr>
          <w:p w14:paraId="2E90B45A" w14:textId="77777777" w:rsidR="00015341" w:rsidRDefault="00015341" w:rsidP="002C2D82">
            <w:pPr>
              <w:jc w:val="right"/>
            </w:pPr>
            <w:r>
              <w:t>Caring for family</w:t>
            </w:r>
          </w:p>
        </w:tc>
        <w:tc>
          <w:tcPr>
            <w:tcW w:w="1482" w:type="dxa"/>
          </w:tcPr>
          <w:p w14:paraId="00639DD7" w14:textId="77777777" w:rsidR="00015341" w:rsidRDefault="00015341" w:rsidP="002C2D82">
            <w:pPr>
              <w:jc w:val="right"/>
            </w:pPr>
            <w:r>
              <w:t>35 (9.5%)</w:t>
            </w:r>
          </w:p>
        </w:tc>
        <w:tc>
          <w:tcPr>
            <w:tcW w:w="1680" w:type="dxa"/>
          </w:tcPr>
          <w:p w14:paraId="08AAFCFA" w14:textId="77777777" w:rsidR="00015341" w:rsidRDefault="00015341" w:rsidP="002C2D82">
            <w:pPr>
              <w:jc w:val="right"/>
            </w:pPr>
            <w:r>
              <w:t xml:space="preserve"> 410 (5.0%)</w:t>
            </w:r>
          </w:p>
        </w:tc>
        <w:tc>
          <w:tcPr>
            <w:tcW w:w="1837" w:type="dxa"/>
          </w:tcPr>
          <w:p w14:paraId="22B7BB52" w14:textId="77777777" w:rsidR="00015341" w:rsidRPr="009508DB" w:rsidRDefault="00015341" w:rsidP="002C2D82">
            <w:pPr>
              <w:jc w:val="right"/>
              <w:rPr>
                <w:b/>
                <w:bCs/>
              </w:rPr>
            </w:pPr>
          </w:p>
        </w:tc>
      </w:tr>
      <w:tr w:rsidR="00015341" w14:paraId="0E89688B" w14:textId="77777777" w:rsidTr="001F420B">
        <w:tc>
          <w:tcPr>
            <w:tcW w:w="3312" w:type="dxa"/>
          </w:tcPr>
          <w:p w14:paraId="16F20C6B" w14:textId="77777777" w:rsidR="00015341" w:rsidRDefault="00015341" w:rsidP="002C2D82">
            <w:pPr>
              <w:jc w:val="right"/>
            </w:pPr>
          </w:p>
        </w:tc>
        <w:tc>
          <w:tcPr>
            <w:tcW w:w="2379" w:type="dxa"/>
          </w:tcPr>
          <w:p w14:paraId="5ED32289" w14:textId="77777777" w:rsidR="00015341" w:rsidRDefault="00015341" w:rsidP="002C2D82">
            <w:pPr>
              <w:jc w:val="right"/>
            </w:pPr>
            <w:r>
              <w:t>Other</w:t>
            </w:r>
          </w:p>
        </w:tc>
        <w:tc>
          <w:tcPr>
            <w:tcW w:w="1482" w:type="dxa"/>
          </w:tcPr>
          <w:p w14:paraId="64E0CE6A" w14:textId="77777777" w:rsidR="00015341" w:rsidRDefault="00015341" w:rsidP="002C2D82">
            <w:pPr>
              <w:jc w:val="right"/>
            </w:pPr>
            <w:r>
              <w:t>9 (2.4%)</w:t>
            </w:r>
          </w:p>
        </w:tc>
        <w:tc>
          <w:tcPr>
            <w:tcW w:w="1680" w:type="dxa"/>
          </w:tcPr>
          <w:p w14:paraId="1F5BA0E3" w14:textId="77777777" w:rsidR="00015341" w:rsidRDefault="00015341" w:rsidP="002C2D82">
            <w:pPr>
              <w:jc w:val="right"/>
            </w:pPr>
            <w:r>
              <w:t>102 (1.3%)</w:t>
            </w:r>
          </w:p>
        </w:tc>
        <w:tc>
          <w:tcPr>
            <w:tcW w:w="1837" w:type="dxa"/>
          </w:tcPr>
          <w:p w14:paraId="1937D8EB" w14:textId="77777777" w:rsidR="00015341" w:rsidRPr="009508DB" w:rsidRDefault="00015341" w:rsidP="002C2D82">
            <w:pPr>
              <w:jc w:val="right"/>
              <w:rPr>
                <w:b/>
                <w:bCs/>
              </w:rPr>
            </w:pPr>
          </w:p>
        </w:tc>
      </w:tr>
      <w:tr w:rsidR="00015341" w14:paraId="08740B2E" w14:textId="77777777" w:rsidTr="001F420B">
        <w:tc>
          <w:tcPr>
            <w:tcW w:w="3312" w:type="dxa"/>
          </w:tcPr>
          <w:p w14:paraId="487C66AD" w14:textId="77777777" w:rsidR="00015341" w:rsidRDefault="00015341" w:rsidP="002C2D82">
            <w:pPr>
              <w:jc w:val="right"/>
            </w:pPr>
            <w:r>
              <w:t>Benefits (including child benefits)</w:t>
            </w:r>
          </w:p>
        </w:tc>
        <w:tc>
          <w:tcPr>
            <w:tcW w:w="2379" w:type="dxa"/>
          </w:tcPr>
          <w:p w14:paraId="677BCDF1" w14:textId="77777777" w:rsidR="00015341" w:rsidRDefault="00015341" w:rsidP="002C2D82">
            <w:pPr>
              <w:jc w:val="right"/>
            </w:pPr>
          </w:p>
        </w:tc>
        <w:tc>
          <w:tcPr>
            <w:tcW w:w="1482" w:type="dxa"/>
          </w:tcPr>
          <w:p w14:paraId="13988140" w14:textId="77777777" w:rsidR="00015341" w:rsidRDefault="00015341" w:rsidP="002C2D82">
            <w:pPr>
              <w:jc w:val="right"/>
            </w:pPr>
          </w:p>
        </w:tc>
        <w:tc>
          <w:tcPr>
            <w:tcW w:w="1680" w:type="dxa"/>
          </w:tcPr>
          <w:p w14:paraId="5CA340E6" w14:textId="77777777" w:rsidR="00015341" w:rsidRDefault="00015341" w:rsidP="002C2D82">
            <w:pPr>
              <w:jc w:val="right"/>
            </w:pPr>
          </w:p>
        </w:tc>
        <w:tc>
          <w:tcPr>
            <w:tcW w:w="1837" w:type="dxa"/>
          </w:tcPr>
          <w:p w14:paraId="7DFDB0C9" w14:textId="690B8F94" w:rsidR="00015341" w:rsidRPr="009508DB" w:rsidRDefault="009B268E" w:rsidP="002C2D82">
            <w:pPr>
              <w:jc w:val="right"/>
              <w:rPr>
                <w:b/>
                <w:bCs/>
              </w:rPr>
            </w:pPr>
            <w:r>
              <w:rPr>
                <w:b/>
                <w:bCs/>
              </w:rPr>
              <w:t>p&lt;</w:t>
            </w:r>
            <w:r w:rsidRPr="009508DB">
              <w:rPr>
                <w:b/>
                <w:bCs/>
              </w:rPr>
              <w:t>0.00</w:t>
            </w:r>
            <w:r>
              <w:rPr>
                <w:b/>
                <w:bCs/>
              </w:rPr>
              <w:t>1</w:t>
            </w:r>
          </w:p>
        </w:tc>
      </w:tr>
      <w:tr w:rsidR="00015341" w14:paraId="72298F60" w14:textId="77777777" w:rsidTr="001F420B">
        <w:tc>
          <w:tcPr>
            <w:tcW w:w="3312" w:type="dxa"/>
          </w:tcPr>
          <w:p w14:paraId="66DD966F" w14:textId="77777777" w:rsidR="00015341" w:rsidRDefault="00015341" w:rsidP="002C2D82">
            <w:pPr>
              <w:jc w:val="right"/>
            </w:pPr>
          </w:p>
        </w:tc>
        <w:tc>
          <w:tcPr>
            <w:tcW w:w="2379" w:type="dxa"/>
          </w:tcPr>
          <w:p w14:paraId="5DE11F67" w14:textId="77777777" w:rsidR="00015341" w:rsidRDefault="00015341" w:rsidP="002C2D82">
            <w:pPr>
              <w:jc w:val="right"/>
            </w:pPr>
            <w:r>
              <w:t>No</w:t>
            </w:r>
          </w:p>
        </w:tc>
        <w:tc>
          <w:tcPr>
            <w:tcW w:w="1482" w:type="dxa"/>
          </w:tcPr>
          <w:p w14:paraId="207E8EA8" w14:textId="77777777" w:rsidR="00015341" w:rsidRDefault="00015341" w:rsidP="002C2D82">
            <w:pPr>
              <w:jc w:val="right"/>
            </w:pPr>
            <w:r>
              <w:t>170 (46.0%)</w:t>
            </w:r>
          </w:p>
        </w:tc>
        <w:tc>
          <w:tcPr>
            <w:tcW w:w="1680" w:type="dxa"/>
          </w:tcPr>
          <w:p w14:paraId="32338D83" w14:textId="77777777" w:rsidR="00015341" w:rsidRDefault="00015341" w:rsidP="002C2D82">
            <w:pPr>
              <w:jc w:val="right"/>
            </w:pPr>
            <w:r>
              <w:t>5171 (63.3%)</w:t>
            </w:r>
          </w:p>
        </w:tc>
        <w:tc>
          <w:tcPr>
            <w:tcW w:w="1837" w:type="dxa"/>
          </w:tcPr>
          <w:p w14:paraId="7EC8A331" w14:textId="77777777" w:rsidR="00015341" w:rsidRDefault="00015341" w:rsidP="002C2D82">
            <w:pPr>
              <w:jc w:val="right"/>
            </w:pPr>
          </w:p>
        </w:tc>
      </w:tr>
      <w:tr w:rsidR="00015341" w14:paraId="1BA07E7D" w14:textId="77777777" w:rsidTr="001F420B">
        <w:tc>
          <w:tcPr>
            <w:tcW w:w="3312" w:type="dxa"/>
          </w:tcPr>
          <w:p w14:paraId="3F6E4A64" w14:textId="77777777" w:rsidR="00015341" w:rsidRDefault="00015341" w:rsidP="002C2D82">
            <w:pPr>
              <w:jc w:val="right"/>
            </w:pPr>
          </w:p>
        </w:tc>
        <w:tc>
          <w:tcPr>
            <w:tcW w:w="2379" w:type="dxa"/>
          </w:tcPr>
          <w:p w14:paraId="0528A331" w14:textId="77777777" w:rsidR="00015341" w:rsidRDefault="00015341" w:rsidP="002C2D82">
            <w:pPr>
              <w:jc w:val="right"/>
            </w:pPr>
            <w:r>
              <w:t>Yes</w:t>
            </w:r>
          </w:p>
        </w:tc>
        <w:tc>
          <w:tcPr>
            <w:tcW w:w="1482" w:type="dxa"/>
          </w:tcPr>
          <w:p w14:paraId="03093F82" w14:textId="77777777" w:rsidR="00015341" w:rsidRDefault="00015341" w:rsidP="002C2D82">
            <w:pPr>
              <w:jc w:val="right"/>
            </w:pPr>
            <w:r>
              <w:t>200 (54.0%)</w:t>
            </w:r>
          </w:p>
        </w:tc>
        <w:tc>
          <w:tcPr>
            <w:tcW w:w="1680" w:type="dxa"/>
          </w:tcPr>
          <w:p w14:paraId="14D61441" w14:textId="77777777" w:rsidR="00015341" w:rsidRDefault="00015341" w:rsidP="002C2D82">
            <w:pPr>
              <w:jc w:val="right"/>
            </w:pPr>
            <w:r>
              <w:t>2995 (36.7%)</w:t>
            </w:r>
          </w:p>
        </w:tc>
        <w:tc>
          <w:tcPr>
            <w:tcW w:w="1837" w:type="dxa"/>
          </w:tcPr>
          <w:p w14:paraId="73D3B3AA" w14:textId="77777777" w:rsidR="00015341" w:rsidRDefault="00015341" w:rsidP="002C2D82">
            <w:pPr>
              <w:jc w:val="right"/>
            </w:pPr>
          </w:p>
        </w:tc>
      </w:tr>
      <w:tr w:rsidR="00015341" w14:paraId="08CDE165" w14:textId="77777777" w:rsidTr="001F420B">
        <w:tc>
          <w:tcPr>
            <w:tcW w:w="3312" w:type="dxa"/>
          </w:tcPr>
          <w:p w14:paraId="77215374" w14:textId="77777777" w:rsidR="00015341" w:rsidRDefault="00015341" w:rsidP="002C2D82">
            <w:pPr>
              <w:jc w:val="right"/>
            </w:pPr>
          </w:p>
        </w:tc>
        <w:tc>
          <w:tcPr>
            <w:tcW w:w="2379" w:type="dxa"/>
          </w:tcPr>
          <w:p w14:paraId="548B855F" w14:textId="77777777" w:rsidR="00015341" w:rsidRDefault="00015341" w:rsidP="002C2D82">
            <w:pPr>
              <w:jc w:val="right"/>
            </w:pPr>
          </w:p>
        </w:tc>
        <w:tc>
          <w:tcPr>
            <w:tcW w:w="1482" w:type="dxa"/>
          </w:tcPr>
          <w:p w14:paraId="07886DA6" w14:textId="77777777" w:rsidR="00015341" w:rsidRDefault="00015341" w:rsidP="002C2D82">
            <w:pPr>
              <w:jc w:val="right"/>
            </w:pPr>
          </w:p>
        </w:tc>
        <w:tc>
          <w:tcPr>
            <w:tcW w:w="1680" w:type="dxa"/>
          </w:tcPr>
          <w:p w14:paraId="17E32E82" w14:textId="77777777" w:rsidR="00015341" w:rsidRDefault="00015341" w:rsidP="002C2D82">
            <w:pPr>
              <w:jc w:val="right"/>
            </w:pPr>
          </w:p>
        </w:tc>
        <w:tc>
          <w:tcPr>
            <w:tcW w:w="1837" w:type="dxa"/>
          </w:tcPr>
          <w:p w14:paraId="017BE35C" w14:textId="77777777" w:rsidR="00015341" w:rsidRDefault="00015341" w:rsidP="002C2D82">
            <w:pPr>
              <w:jc w:val="right"/>
            </w:pPr>
          </w:p>
        </w:tc>
      </w:tr>
      <w:tr w:rsidR="00015341" w14:paraId="535E4E98" w14:textId="77777777" w:rsidTr="001F420B">
        <w:tc>
          <w:tcPr>
            <w:tcW w:w="3312" w:type="dxa"/>
          </w:tcPr>
          <w:p w14:paraId="5D4C902B" w14:textId="77777777" w:rsidR="00015341" w:rsidRDefault="00015341" w:rsidP="002C2D82">
            <w:r>
              <w:t>Total</w:t>
            </w:r>
          </w:p>
        </w:tc>
        <w:tc>
          <w:tcPr>
            <w:tcW w:w="2379" w:type="dxa"/>
          </w:tcPr>
          <w:p w14:paraId="5D43BAF7" w14:textId="77777777" w:rsidR="00015341" w:rsidRDefault="00015341" w:rsidP="002C2D82"/>
        </w:tc>
        <w:tc>
          <w:tcPr>
            <w:tcW w:w="1482" w:type="dxa"/>
          </w:tcPr>
          <w:p w14:paraId="0A688920" w14:textId="77777777" w:rsidR="00015341" w:rsidRDefault="00015341" w:rsidP="002C2D82">
            <w:pPr>
              <w:jc w:val="right"/>
            </w:pPr>
            <w:r>
              <w:t>370 (100%)</w:t>
            </w:r>
          </w:p>
        </w:tc>
        <w:tc>
          <w:tcPr>
            <w:tcW w:w="1680" w:type="dxa"/>
          </w:tcPr>
          <w:p w14:paraId="6761399C" w14:textId="77777777" w:rsidR="00015341" w:rsidRDefault="00015341" w:rsidP="002C2D82">
            <w:pPr>
              <w:jc w:val="right"/>
            </w:pPr>
            <w:r>
              <w:t>8166 (100%)</w:t>
            </w:r>
          </w:p>
        </w:tc>
        <w:tc>
          <w:tcPr>
            <w:tcW w:w="1837" w:type="dxa"/>
          </w:tcPr>
          <w:p w14:paraId="17EBFD3A" w14:textId="77777777" w:rsidR="00015341" w:rsidRDefault="00015341" w:rsidP="002C2D82">
            <w:pPr>
              <w:jc w:val="right"/>
            </w:pPr>
          </w:p>
        </w:tc>
      </w:tr>
    </w:tbl>
    <w:p w14:paraId="66E47BB0" w14:textId="60546BD4" w:rsidR="00015341" w:rsidRDefault="006C2F02" w:rsidP="00001F60">
      <w:r w:rsidRPr="00203583">
        <w:rPr>
          <w:rFonts w:cstheme="minorHAnsi"/>
          <w:sz w:val="20"/>
          <w:szCs w:val="20"/>
        </w:rPr>
        <w:t xml:space="preserve">Significant difference was found using a </w:t>
      </w:r>
      <w:r>
        <w:rPr>
          <w:rFonts w:cstheme="minorHAnsi"/>
          <w:sz w:val="20"/>
          <w:szCs w:val="20"/>
        </w:rPr>
        <w:t>Mann-Whitney U Test included in bold</w:t>
      </w:r>
      <w:r w:rsidRPr="00203583">
        <w:rPr>
          <w:rFonts w:cstheme="minorHAnsi"/>
          <w:sz w:val="20"/>
          <w:szCs w:val="20"/>
        </w:rPr>
        <w:t xml:space="preserve"> </w:t>
      </w:r>
      <w:r>
        <w:rPr>
          <w:rFonts w:cstheme="minorHAnsi"/>
          <w:sz w:val="20"/>
          <w:szCs w:val="20"/>
        </w:rPr>
        <w:t xml:space="preserve">- </w:t>
      </w:r>
      <w:r w:rsidRPr="00203583">
        <w:rPr>
          <w:rFonts w:cstheme="minorHAnsi"/>
          <w:sz w:val="20"/>
          <w:szCs w:val="20"/>
        </w:rPr>
        <w:t>excluding missing</w:t>
      </w:r>
    </w:p>
    <w:p w14:paraId="4A2C91F6" w14:textId="77777777" w:rsidR="00315880" w:rsidRDefault="00315880" w:rsidP="000853CB">
      <w:pPr>
        <w:rPr>
          <w:i/>
          <w:iCs/>
        </w:rPr>
      </w:pPr>
    </w:p>
    <w:p w14:paraId="5134E28B" w14:textId="3AA3B6C3" w:rsidR="00CB5923" w:rsidRDefault="00CB5923" w:rsidP="000853CB">
      <w:r w:rsidRPr="006F0C4D">
        <w:t>Sentinel conditions</w:t>
      </w:r>
      <w:r w:rsidR="002E5A3C" w:rsidRPr="006F0C4D">
        <w:t xml:space="preserve"> for the MLTC-M subgroup (n=164)</w:t>
      </w:r>
      <w:r w:rsidRPr="006F0C4D">
        <w:t>:</w:t>
      </w:r>
    </w:p>
    <w:p w14:paraId="35A71A80" w14:textId="77777777" w:rsidR="005C21FA" w:rsidRPr="006F0C4D" w:rsidRDefault="005C21FA" w:rsidP="000853CB"/>
    <w:p w14:paraId="282050A5" w14:textId="4920FB52" w:rsidR="002A3B3D" w:rsidRDefault="00B61694" w:rsidP="000853CB">
      <w:r>
        <w:t xml:space="preserve">For the 164 </w:t>
      </w:r>
      <w:r w:rsidR="006C4D50">
        <w:t>participants</w:t>
      </w:r>
      <w:r w:rsidR="00560C8E">
        <w:t xml:space="preserve"> </w:t>
      </w:r>
      <w:r w:rsidR="0060523A">
        <w:t>with the</w:t>
      </w:r>
      <w:r w:rsidR="00D562F3">
        <w:t xml:space="preserve"> most common</w:t>
      </w:r>
      <w:r w:rsidR="006E12A2">
        <w:t xml:space="preserve"> three</w:t>
      </w:r>
      <w:r w:rsidR="003371B8">
        <w:t>-</w:t>
      </w:r>
      <w:r w:rsidR="006E12A2">
        <w:t>condition</w:t>
      </w:r>
      <w:r w:rsidR="00EC2341">
        <w:t xml:space="preserve"> </w:t>
      </w:r>
      <w:r w:rsidR="006953BB">
        <w:t xml:space="preserve">MLTC-M at age 46 </w:t>
      </w:r>
      <w:r w:rsidR="006C4D50">
        <w:t>who also</w:t>
      </w:r>
      <w:r w:rsidR="00C56FAD">
        <w:t xml:space="preserve"> </w:t>
      </w:r>
      <w:r w:rsidR="00EC2341">
        <w:t>provided</w:t>
      </w:r>
      <w:r w:rsidR="008A0CC5">
        <w:t xml:space="preserve"> information on </w:t>
      </w:r>
      <w:r w:rsidR="00D562F3">
        <w:t>LTCs at age</w:t>
      </w:r>
      <w:r w:rsidR="009C2C2B">
        <w:t>s</w:t>
      </w:r>
      <w:r w:rsidR="00D562F3">
        <w:t xml:space="preserve"> 26, 30, 34, 38 and 42</w:t>
      </w:r>
      <w:r w:rsidR="008A0CC5">
        <w:t xml:space="preserve">, </w:t>
      </w:r>
      <w:r w:rsidR="00B47AC8">
        <w:t>psychological distress</w:t>
      </w:r>
      <w:r w:rsidR="00B47AC8" w:rsidDel="00B47AC8">
        <w:t xml:space="preserve"> </w:t>
      </w:r>
      <w:r w:rsidR="000072B2">
        <w:t>(25</w:t>
      </w:r>
      <w:r w:rsidR="002814FB">
        <w:t>.0</w:t>
      </w:r>
      <w:r w:rsidR="000072B2">
        <w:t>%</w:t>
      </w:r>
      <w:r w:rsidR="00270FEF">
        <w:t>,</w:t>
      </w:r>
      <w:r w:rsidR="00270FEF" w:rsidRPr="00270FEF">
        <w:t xml:space="preserve"> </w:t>
      </w:r>
      <w:r w:rsidR="00270FEF">
        <w:t>n=41</w:t>
      </w:r>
      <w:r w:rsidR="000072B2">
        <w:t>),</w:t>
      </w:r>
      <w:r w:rsidR="000853CB" w:rsidRPr="00C80A3F">
        <w:t xml:space="preserve"> </w:t>
      </w:r>
      <w:r w:rsidR="000072B2">
        <w:t>b</w:t>
      </w:r>
      <w:r w:rsidR="007F043A">
        <w:t>ack</w:t>
      </w:r>
      <w:r w:rsidR="000072B2">
        <w:t xml:space="preserve"> </w:t>
      </w:r>
      <w:r w:rsidR="007F043A">
        <w:t>p</w:t>
      </w:r>
      <w:r w:rsidR="000853CB" w:rsidRPr="00C80A3F">
        <w:t>ain (2</w:t>
      </w:r>
      <w:r w:rsidR="002814FB">
        <w:t>1.3</w:t>
      </w:r>
      <w:r w:rsidR="000853CB" w:rsidRPr="00C80A3F">
        <w:t>%</w:t>
      </w:r>
      <w:r w:rsidR="00270FEF">
        <w:t>,n=35</w:t>
      </w:r>
      <w:r w:rsidR="000853CB" w:rsidRPr="00C80A3F">
        <w:t>)</w:t>
      </w:r>
      <w:r w:rsidR="00F26BE8">
        <w:t xml:space="preserve"> and</w:t>
      </w:r>
      <w:r w:rsidR="002B0807">
        <w:t xml:space="preserve"> </w:t>
      </w:r>
      <w:r w:rsidR="009D57F7">
        <w:t>the co-reporting of</w:t>
      </w:r>
      <w:r w:rsidR="00B47AC8">
        <w:t xml:space="preserve"> psychological distress</w:t>
      </w:r>
      <w:r w:rsidR="00B47AC8" w:rsidDel="00B47AC8">
        <w:t xml:space="preserve"> </w:t>
      </w:r>
      <w:r w:rsidR="002B0807">
        <w:t xml:space="preserve">and </w:t>
      </w:r>
      <w:r w:rsidR="007F043A">
        <w:t>back</w:t>
      </w:r>
      <w:r w:rsidR="009C4568">
        <w:t xml:space="preserve"> </w:t>
      </w:r>
      <w:r w:rsidR="002B0807">
        <w:t>pain</w:t>
      </w:r>
      <w:r w:rsidR="007F043A">
        <w:t xml:space="preserve"> </w:t>
      </w:r>
      <w:r w:rsidR="000072B2">
        <w:t>(21</w:t>
      </w:r>
      <w:r w:rsidR="002814FB">
        <w:t>.3</w:t>
      </w:r>
      <w:r w:rsidR="000072B2">
        <w:t>%</w:t>
      </w:r>
      <w:r w:rsidR="00270FEF">
        <w:t>,n=35</w:t>
      </w:r>
      <w:r w:rsidR="000072B2">
        <w:t>)</w:t>
      </w:r>
      <w:r w:rsidR="002B0807">
        <w:t xml:space="preserve"> w</w:t>
      </w:r>
      <w:r w:rsidR="000072B2">
        <w:t>ere</w:t>
      </w:r>
      <w:r w:rsidR="002B0807">
        <w:t xml:space="preserve"> the </w:t>
      </w:r>
      <w:r w:rsidR="000072B2">
        <w:t xml:space="preserve">three </w:t>
      </w:r>
      <w:r w:rsidR="00E404FF">
        <w:t xml:space="preserve">most common </w:t>
      </w:r>
      <w:r w:rsidR="002B0807">
        <w:t>sentinel condition</w:t>
      </w:r>
      <w:r w:rsidR="000072B2">
        <w:t>s</w:t>
      </w:r>
      <w:r w:rsidR="00E404FF">
        <w:t>/combinations</w:t>
      </w:r>
      <w:r w:rsidR="001B5651">
        <w:t xml:space="preserve"> (Figure </w:t>
      </w:r>
      <w:r w:rsidR="00346BEF">
        <w:t>2</w:t>
      </w:r>
      <w:r w:rsidR="001B5651">
        <w:t>)</w:t>
      </w:r>
      <w:r w:rsidR="00E843E5">
        <w:t xml:space="preserve">. </w:t>
      </w:r>
      <w:r w:rsidR="0054260D">
        <w:t>Hypertension</w:t>
      </w:r>
      <w:r w:rsidR="000072B2">
        <w:t xml:space="preserve"> was the sentinel condition for 9</w:t>
      </w:r>
      <w:r w:rsidR="002814FB">
        <w:t>.1</w:t>
      </w:r>
      <w:r w:rsidR="000072B2">
        <w:t>%</w:t>
      </w:r>
      <w:r w:rsidR="00270FEF">
        <w:t xml:space="preserve"> (n=15)</w:t>
      </w:r>
      <w:r w:rsidR="000072B2">
        <w:t>.</w:t>
      </w:r>
      <w:r w:rsidR="009C4568">
        <w:t xml:space="preserve"> </w:t>
      </w:r>
    </w:p>
    <w:p w14:paraId="138E7552" w14:textId="77777777" w:rsidR="002A3B3D" w:rsidRDefault="002A3B3D" w:rsidP="000853CB"/>
    <w:p w14:paraId="04B2DE77" w14:textId="41984DFB" w:rsidR="000853CB" w:rsidRPr="00C80A3F" w:rsidRDefault="002A3B3D" w:rsidP="000853CB">
      <w:r>
        <w:t>At age 26</w:t>
      </w:r>
      <w:r w:rsidR="00E91C47">
        <w:t>,</w:t>
      </w:r>
      <w:r w:rsidR="00AF2EEA">
        <w:t xml:space="preserve"> </w:t>
      </w:r>
      <w:r w:rsidR="00270FEF">
        <w:t xml:space="preserve">45.1% </w:t>
      </w:r>
      <w:r w:rsidR="00AF2EEA">
        <w:t xml:space="preserve">of </w:t>
      </w:r>
      <w:r w:rsidR="00FB56F6">
        <w:t xml:space="preserve">the </w:t>
      </w:r>
      <w:r w:rsidR="00AF2EEA">
        <w:t>subgroup (</w:t>
      </w:r>
      <w:r w:rsidR="00270FEF">
        <w:t>n=74/164</w:t>
      </w:r>
      <w:r w:rsidR="00AF2EEA">
        <w:t>)</w:t>
      </w:r>
      <w:r w:rsidR="005E63D8">
        <w:t>,</w:t>
      </w:r>
      <w:r w:rsidR="00AF2EEA">
        <w:t xml:space="preserve"> reported </w:t>
      </w:r>
      <w:r w:rsidR="00F054F0">
        <w:t>the</w:t>
      </w:r>
      <w:r w:rsidR="00AF2EEA">
        <w:t xml:space="preserve"> sentinel condition</w:t>
      </w:r>
      <w:r w:rsidR="006870BB">
        <w:t xml:space="preserve"> (</w:t>
      </w:r>
      <w:r w:rsidR="00106761">
        <w:t>F</w:t>
      </w:r>
      <w:r w:rsidR="006870BB">
        <w:t>igure 2)</w:t>
      </w:r>
      <w:r w:rsidR="00AF2EEA">
        <w:t>.</w:t>
      </w:r>
      <w:r w:rsidR="001022F1">
        <w:t xml:space="preserve"> </w:t>
      </w:r>
      <w:r w:rsidR="003371B8">
        <w:t xml:space="preserve">Most common </w:t>
      </w:r>
      <w:r w:rsidR="001022F1">
        <w:t>sentinel conditions at age 26</w:t>
      </w:r>
      <w:r w:rsidR="00AF2EEA">
        <w:t xml:space="preserve"> </w:t>
      </w:r>
      <w:r w:rsidR="001022F1">
        <w:t xml:space="preserve">included </w:t>
      </w:r>
      <w:r>
        <w:t>b</w:t>
      </w:r>
      <w:r w:rsidR="00197011">
        <w:t>ack</w:t>
      </w:r>
      <w:r w:rsidR="009C4568">
        <w:t xml:space="preserve"> </w:t>
      </w:r>
      <w:r w:rsidR="00197011">
        <w:t>pain</w:t>
      </w:r>
      <w:r w:rsidR="001022F1">
        <w:t>,</w:t>
      </w:r>
      <w:r w:rsidR="00F11899">
        <w:t xml:space="preserve"> </w:t>
      </w:r>
      <w:r w:rsidR="00F26BE8">
        <w:t xml:space="preserve">reported by </w:t>
      </w:r>
      <w:r w:rsidR="00270FEF">
        <w:t>15.9% (n=</w:t>
      </w:r>
      <w:r w:rsidR="002814FB">
        <w:t>26</w:t>
      </w:r>
      <w:r w:rsidR="00270FEF">
        <w:t>),</w:t>
      </w:r>
      <w:r>
        <w:t xml:space="preserve"> the c</w:t>
      </w:r>
      <w:r w:rsidR="009D57F7">
        <w:t xml:space="preserve">o-reporting of </w:t>
      </w:r>
      <w:r w:rsidR="00B47AC8">
        <w:t>psychological distress</w:t>
      </w:r>
      <w:r w:rsidR="00B47AC8" w:rsidDel="00B47AC8">
        <w:t xml:space="preserve"> </w:t>
      </w:r>
      <w:r w:rsidR="00F26BE8">
        <w:t xml:space="preserve">and </w:t>
      </w:r>
      <w:r w:rsidR="00621ECB">
        <w:t>back</w:t>
      </w:r>
      <w:r w:rsidR="009C4568">
        <w:t xml:space="preserve"> </w:t>
      </w:r>
      <w:r w:rsidR="00F26BE8">
        <w:t>pain</w:t>
      </w:r>
      <w:r w:rsidR="00621ECB">
        <w:t xml:space="preserve"> </w:t>
      </w:r>
      <w:r w:rsidR="00F26BE8">
        <w:t>reported</w:t>
      </w:r>
      <w:r w:rsidR="0030398B">
        <w:t xml:space="preserve"> by </w:t>
      </w:r>
      <w:r w:rsidR="00270FEF">
        <w:t>15.2% (n=</w:t>
      </w:r>
      <w:r w:rsidR="002814FB">
        <w:t>25</w:t>
      </w:r>
      <w:r w:rsidR="00270FEF">
        <w:t>)</w:t>
      </w:r>
      <w:r w:rsidR="0030398B">
        <w:t xml:space="preserve"> and </w:t>
      </w:r>
      <w:r w:rsidR="00C35673">
        <w:t xml:space="preserve">the </w:t>
      </w:r>
      <w:r w:rsidR="00F50F77">
        <w:t>re</w:t>
      </w:r>
      <w:r w:rsidR="0030398B">
        <w:t>port</w:t>
      </w:r>
      <w:r w:rsidR="00C35673">
        <w:t>ing of</w:t>
      </w:r>
      <w:r w:rsidR="00B47AC8">
        <w:t xml:space="preserve"> psychological distress</w:t>
      </w:r>
      <w:r w:rsidR="00C35673">
        <w:t xml:space="preserve"> 12.2%</w:t>
      </w:r>
      <w:r w:rsidR="00835BBA">
        <w:t xml:space="preserve"> n=20</w:t>
      </w:r>
      <w:r w:rsidR="0030398B">
        <w:t xml:space="preserve">. </w:t>
      </w:r>
    </w:p>
    <w:p w14:paraId="59F4E6A6" w14:textId="31125AA8" w:rsidR="000853CB" w:rsidRDefault="000853CB" w:rsidP="000C7C3D"/>
    <w:p w14:paraId="282CAB89" w14:textId="67C1262B" w:rsidR="00744BCD" w:rsidRDefault="00744BCD" w:rsidP="000C7C3D">
      <w:r w:rsidRPr="006F0C4D">
        <w:t>Sequence of accrual of LTCs</w:t>
      </w:r>
      <w:r w:rsidR="002E5A3C" w:rsidRPr="006F0C4D">
        <w:t xml:space="preserve"> for the MLTC-M subgroup (n=164):</w:t>
      </w:r>
    </w:p>
    <w:p w14:paraId="77E22B4A" w14:textId="77777777" w:rsidR="005C21FA" w:rsidRPr="006F0C4D" w:rsidRDefault="005C21FA" w:rsidP="000C7C3D"/>
    <w:p w14:paraId="46491367" w14:textId="620F86D9" w:rsidR="007F043A" w:rsidRPr="00C80A3F" w:rsidRDefault="00CC1DE2" w:rsidP="007F043A">
      <w:r>
        <w:t xml:space="preserve">For the MLTC-M </w:t>
      </w:r>
      <w:r w:rsidR="00EC2341">
        <w:t>subgroup</w:t>
      </w:r>
      <w:r w:rsidR="00EC2341" w:rsidRPr="00C80A3F">
        <w:t xml:space="preserve"> </w:t>
      </w:r>
      <w:r w:rsidR="008A0CC5">
        <w:t>(</w:t>
      </w:r>
      <w:r w:rsidR="00675F63">
        <w:t>n=</w:t>
      </w:r>
      <w:r w:rsidR="008A0CC5">
        <w:t xml:space="preserve">164) </w:t>
      </w:r>
      <w:r>
        <w:t>the</w:t>
      </w:r>
      <w:r w:rsidR="007F043A" w:rsidRPr="00C80A3F">
        <w:t xml:space="preserve"> </w:t>
      </w:r>
      <w:r w:rsidR="008630AB">
        <w:t>most common</w:t>
      </w:r>
      <w:r w:rsidR="007F043A" w:rsidRPr="00C80A3F">
        <w:t xml:space="preserve"> sequence </w:t>
      </w:r>
      <w:r w:rsidR="007F043A">
        <w:t xml:space="preserve">of LTCs </w:t>
      </w:r>
      <w:r w:rsidR="002242AE">
        <w:t>was</w:t>
      </w:r>
      <w:r w:rsidR="002242AE" w:rsidRPr="00C80A3F">
        <w:t xml:space="preserve"> </w:t>
      </w:r>
      <w:r w:rsidR="007F043A">
        <w:t xml:space="preserve">the </w:t>
      </w:r>
      <w:r w:rsidR="009D57F7">
        <w:t>co-</w:t>
      </w:r>
      <w:r w:rsidR="007F043A" w:rsidRPr="00C80A3F">
        <w:t xml:space="preserve">reporting of </w:t>
      </w:r>
      <w:r w:rsidR="00B47AC8">
        <w:t>psychological distress</w:t>
      </w:r>
      <w:r w:rsidR="00B47AC8" w:rsidRPr="00C80A3F" w:rsidDel="00B47AC8">
        <w:t xml:space="preserve"> </w:t>
      </w:r>
      <w:r w:rsidR="007F043A" w:rsidRPr="00C80A3F">
        <w:t xml:space="preserve">and </w:t>
      </w:r>
      <w:r w:rsidR="007F043A">
        <w:t>back</w:t>
      </w:r>
      <w:r w:rsidR="009C4568">
        <w:t xml:space="preserve"> </w:t>
      </w:r>
      <w:r w:rsidR="007F043A">
        <w:t>pain</w:t>
      </w:r>
      <w:r w:rsidR="007F043A" w:rsidRPr="00C80A3F">
        <w:t xml:space="preserve"> followed by high blood pressure</w:t>
      </w:r>
      <w:r>
        <w:t xml:space="preserve"> (</w:t>
      </w:r>
      <w:r w:rsidR="002E2A14">
        <w:t>21.3%</w:t>
      </w:r>
      <w:r w:rsidR="00AE7FDC">
        <w:t>,n=35</w:t>
      </w:r>
      <w:r>
        <w:t>)</w:t>
      </w:r>
      <w:r w:rsidR="001B5651">
        <w:t xml:space="preserve"> (Figure </w:t>
      </w:r>
      <w:r w:rsidR="00346BEF">
        <w:t>3</w:t>
      </w:r>
      <w:r w:rsidR="001B5651">
        <w:t>)</w:t>
      </w:r>
      <w:r w:rsidR="007F043A" w:rsidRPr="00C80A3F">
        <w:t xml:space="preserve">. Other common sequences included </w:t>
      </w:r>
      <w:r w:rsidR="00B47AC8">
        <w:t>psychological distress</w:t>
      </w:r>
      <w:r w:rsidR="00B47AC8" w:rsidDel="00B47AC8">
        <w:t xml:space="preserve"> </w:t>
      </w:r>
      <w:r w:rsidR="007F043A">
        <w:t>followed by back</w:t>
      </w:r>
      <w:r w:rsidR="009C4568">
        <w:t xml:space="preserve"> </w:t>
      </w:r>
      <w:r w:rsidR="007F043A">
        <w:t>p</w:t>
      </w:r>
      <w:r w:rsidR="007F043A" w:rsidRPr="00C80A3F">
        <w:t>ain</w:t>
      </w:r>
      <w:r w:rsidR="007F043A">
        <w:t xml:space="preserve"> and then high blood pressure</w:t>
      </w:r>
      <w:r w:rsidR="007F043A" w:rsidRPr="00C80A3F">
        <w:t xml:space="preserve"> </w:t>
      </w:r>
      <w:r>
        <w:t>(</w:t>
      </w:r>
      <w:r w:rsidR="002E2A14">
        <w:t>9.8%</w:t>
      </w:r>
      <w:r w:rsidR="00AE7FDC">
        <w:t>,n=16</w:t>
      </w:r>
      <w:r>
        <w:t>)</w:t>
      </w:r>
      <w:r w:rsidR="007F043A" w:rsidRPr="00C80A3F">
        <w:t xml:space="preserve"> and </w:t>
      </w:r>
      <w:r w:rsidR="007F043A">
        <w:t>back</w:t>
      </w:r>
      <w:r w:rsidR="009C4568">
        <w:t xml:space="preserve"> </w:t>
      </w:r>
      <w:r w:rsidR="007F043A">
        <w:t xml:space="preserve">pain followed by high blood pressure </w:t>
      </w:r>
      <w:r w:rsidR="008A0CC5">
        <w:t xml:space="preserve">and </w:t>
      </w:r>
      <w:r w:rsidR="007F043A">
        <w:t xml:space="preserve">then </w:t>
      </w:r>
      <w:r w:rsidR="00B47AC8">
        <w:t>psychological distress</w:t>
      </w:r>
      <w:r w:rsidR="00B47AC8" w:rsidDel="00B47AC8">
        <w:t xml:space="preserve"> </w:t>
      </w:r>
      <w:r>
        <w:t>(</w:t>
      </w:r>
      <w:r w:rsidR="002E2A14">
        <w:t>9.1%</w:t>
      </w:r>
      <w:r w:rsidR="00AE7FDC">
        <w:t>,n=15</w:t>
      </w:r>
      <w:r>
        <w:t>)</w:t>
      </w:r>
      <w:r w:rsidR="007F043A">
        <w:t xml:space="preserve">. </w:t>
      </w:r>
    </w:p>
    <w:p w14:paraId="085A2D4C" w14:textId="7D42BB1B" w:rsidR="00C5660C" w:rsidRPr="00104801" w:rsidRDefault="00C5660C" w:rsidP="000C7C3D">
      <w:pPr>
        <w:rPr>
          <w:color w:val="000000" w:themeColor="text1"/>
          <w:lang w:eastAsia="en-US"/>
        </w:rPr>
      </w:pPr>
    </w:p>
    <w:p w14:paraId="1AB6D10C" w14:textId="77777777" w:rsidR="00104801" w:rsidRPr="00104801" w:rsidRDefault="00104801" w:rsidP="00104801">
      <w:pPr>
        <w:rPr>
          <w:color w:val="000000" w:themeColor="text1"/>
          <w:lang w:eastAsia="en-US"/>
        </w:rPr>
      </w:pPr>
      <w:r w:rsidRPr="00104801">
        <w:rPr>
          <w:color w:val="000000" w:themeColor="text1"/>
          <w:lang w:eastAsia="en-US"/>
        </w:rPr>
        <w:t xml:space="preserve">The variation in the reporting of psychological distress </w:t>
      </w:r>
      <w:r w:rsidRPr="00104801">
        <w:t>for the MLTC-M subgroup (n=164):</w:t>
      </w:r>
      <w:r w:rsidRPr="00104801">
        <w:rPr>
          <w:color w:val="000000" w:themeColor="text1"/>
          <w:lang w:eastAsia="en-US"/>
        </w:rPr>
        <w:t xml:space="preserve"> </w:t>
      </w:r>
    </w:p>
    <w:p w14:paraId="0410FC97" w14:textId="77777777" w:rsidR="00104801" w:rsidRDefault="00104801" w:rsidP="000C7C3D">
      <w:pPr>
        <w:rPr>
          <w:color w:val="000000" w:themeColor="text1"/>
          <w:lang w:eastAsia="en-US"/>
        </w:rPr>
      </w:pPr>
    </w:p>
    <w:p w14:paraId="4F794320" w14:textId="34D54C9E" w:rsidR="00E51F5C" w:rsidRDefault="002344DB" w:rsidP="00E51F5C">
      <w:pPr>
        <w:rPr>
          <w:rFonts w:eastAsia="Yu Mincho"/>
          <w:color w:val="000000"/>
          <w:lang w:eastAsia="en-US"/>
        </w:rPr>
      </w:pPr>
      <w:r>
        <w:t>For the MLTC-M subgroup</w:t>
      </w:r>
      <w:r w:rsidRPr="00C80A3F">
        <w:t xml:space="preserve"> </w:t>
      </w:r>
      <w:r>
        <w:t>(n=164)</w:t>
      </w:r>
      <w:r w:rsidR="00C5660C">
        <w:t>,</w:t>
      </w:r>
      <w:r w:rsidR="00134998">
        <w:t xml:space="preserve"> </w:t>
      </w:r>
      <w:r w:rsidR="00AE7FDC">
        <w:t>16.4% (n=</w:t>
      </w:r>
      <w:r w:rsidR="00134998">
        <w:t>27</w:t>
      </w:r>
      <w:r w:rsidR="00AE7FDC">
        <w:t>)</w:t>
      </w:r>
      <w:r w:rsidR="00134998">
        <w:t xml:space="preserve"> report</w:t>
      </w:r>
      <w:r w:rsidR="003A7F06">
        <w:t>ed</w:t>
      </w:r>
      <w:r w:rsidR="00134998">
        <w:t xml:space="preserve"> psychological distress </w:t>
      </w:r>
      <w:r w:rsidR="00570A38">
        <w:t>at age 46</w:t>
      </w:r>
      <w:r w:rsidR="00B240AB">
        <w:t xml:space="preserve"> only</w:t>
      </w:r>
      <w:r w:rsidR="00AF7523">
        <w:t>.</w:t>
      </w:r>
      <w:r w:rsidR="00C846F6">
        <w:t xml:space="preserve"> </w:t>
      </w:r>
      <w:r w:rsidR="00AE7FDC">
        <w:t>8.5% (n=</w:t>
      </w:r>
      <w:r w:rsidR="00C5660C">
        <w:t>14</w:t>
      </w:r>
      <w:r w:rsidR="00AE7FDC">
        <w:t>)</w:t>
      </w:r>
      <w:r w:rsidR="00C846F6">
        <w:t xml:space="preserve"> </w:t>
      </w:r>
      <w:r w:rsidR="00006E36">
        <w:t>reported</w:t>
      </w:r>
      <w:r w:rsidR="00C5660C">
        <w:t xml:space="preserve"> psychological distress </w:t>
      </w:r>
      <w:r w:rsidR="00D82BE0">
        <w:t>at</w:t>
      </w:r>
      <w:r w:rsidR="00C5660C">
        <w:t xml:space="preserve"> all</w:t>
      </w:r>
      <w:r w:rsidR="00D82BE0">
        <w:t xml:space="preserve"> </w:t>
      </w:r>
      <w:r w:rsidR="00C5660C">
        <w:t xml:space="preserve">sweeps, </w:t>
      </w:r>
      <w:r w:rsidR="00AE7FDC">
        <w:t>18.9% (n=</w:t>
      </w:r>
      <w:r w:rsidR="00C5660C">
        <w:t>31</w:t>
      </w:r>
      <w:r w:rsidR="00AE7FDC">
        <w:t>)</w:t>
      </w:r>
      <w:r w:rsidR="00C846F6">
        <w:t xml:space="preserve"> </w:t>
      </w:r>
      <w:r w:rsidR="00C5660C">
        <w:t xml:space="preserve">reported </w:t>
      </w:r>
      <w:r w:rsidR="00B54394">
        <w:t xml:space="preserve">psychological distress at one sweep and then </w:t>
      </w:r>
      <w:r w:rsidR="00006E36">
        <w:t xml:space="preserve">continued to report </w:t>
      </w:r>
      <w:r w:rsidR="00C5660C">
        <w:t>psychological distress a</w:t>
      </w:r>
      <w:r w:rsidR="00B54394">
        <w:t>t all subsequent sweeps</w:t>
      </w:r>
      <w:r w:rsidR="00C6114A">
        <w:t xml:space="preserve"> and </w:t>
      </w:r>
      <w:r w:rsidR="00AE7FDC">
        <w:t>25.6% (n=</w:t>
      </w:r>
      <w:r w:rsidR="00C6114A">
        <w:t>42</w:t>
      </w:r>
      <w:r w:rsidR="00AE7FDC">
        <w:t>)</w:t>
      </w:r>
      <w:r w:rsidR="00C6114A">
        <w:t xml:space="preserve"> reported psychological distress at one sweep</w:t>
      </w:r>
      <w:r w:rsidR="00225072">
        <w:t xml:space="preserve"> only</w:t>
      </w:r>
      <w:r w:rsidR="00C6114A">
        <w:t xml:space="preserve"> </w:t>
      </w:r>
      <w:r w:rsidR="00B240AB">
        <w:t xml:space="preserve">and then at age 46 </w:t>
      </w:r>
      <w:r w:rsidR="00A75D05">
        <w:t xml:space="preserve">(Figure </w:t>
      </w:r>
      <w:r w:rsidR="00C9224F">
        <w:t>4</w:t>
      </w:r>
      <w:r w:rsidR="00A75D05">
        <w:t>)</w:t>
      </w:r>
      <w:r w:rsidR="00C6114A">
        <w:t xml:space="preserve">. </w:t>
      </w:r>
      <w:r w:rsidR="00AE7FDC">
        <w:t>21.3% (n=</w:t>
      </w:r>
      <w:r w:rsidR="00C5660C">
        <w:t>35</w:t>
      </w:r>
      <w:r w:rsidR="00AE7FDC">
        <w:t>)</w:t>
      </w:r>
      <w:r w:rsidR="00C5660C">
        <w:t xml:space="preserve"> </w:t>
      </w:r>
      <w:r w:rsidR="00336E6D">
        <w:t xml:space="preserve">reported </w:t>
      </w:r>
      <w:r w:rsidR="00E071FB">
        <w:t>one</w:t>
      </w:r>
      <w:r w:rsidR="00C5660C">
        <w:t xml:space="preserve"> fluctuation</w:t>
      </w:r>
      <w:r w:rsidR="00AF7523">
        <w:t xml:space="preserve"> </w:t>
      </w:r>
      <w:r w:rsidR="00C5660C">
        <w:t>in the reporting of psychological distress</w:t>
      </w:r>
      <w:r w:rsidR="00CD2EF4">
        <w:t xml:space="preserve">, this group </w:t>
      </w:r>
      <w:r w:rsidR="00005FBF">
        <w:t xml:space="preserve">reported psychological distress at one sweep, </w:t>
      </w:r>
      <w:r w:rsidR="00B96E27">
        <w:t xml:space="preserve">then </w:t>
      </w:r>
      <w:r w:rsidR="00005FBF">
        <w:t xml:space="preserve">did not report </w:t>
      </w:r>
      <w:r w:rsidR="00951217">
        <w:t xml:space="preserve">psychological distress at </w:t>
      </w:r>
      <w:r w:rsidR="009B7E38">
        <w:t xml:space="preserve">a following </w:t>
      </w:r>
      <w:r w:rsidR="00951217">
        <w:t>sweep</w:t>
      </w:r>
      <w:r w:rsidR="009B7E38">
        <w:t xml:space="preserve"> and the</w:t>
      </w:r>
      <w:r w:rsidR="00B96E27">
        <w:t>n</w:t>
      </w:r>
      <w:r w:rsidR="009B7E38">
        <w:t xml:space="preserve"> reported psychological</w:t>
      </w:r>
      <w:r w:rsidR="004D5095">
        <w:t xml:space="preserve"> distress</w:t>
      </w:r>
      <w:r w:rsidR="009B7E38">
        <w:t xml:space="preserve"> </w:t>
      </w:r>
      <w:r w:rsidR="007E3213">
        <w:t>again a</w:t>
      </w:r>
      <w:r w:rsidR="00062BFE">
        <w:t>t all further sweeps</w:t>
      </w:r>
      <w:r w:rsidR="00431AB8">
        <w:t xml:space="preserve"> (no-yes-no-yes/yes-no-yes)</w:t>
      </w:r>
      <w:r w:rsidR="007E3213">
        <w:t>.</w:t>
      </w:r>
      <w:r w:rsidR="00951217">
        <w:t xml:space="preserve"> </w:t>
      </w:r>
      <w:r w:rsidR="00AE7FDC">
        <w:t>9.2% (n=</w:t>
      </w:r>
      <w:r w:rsidR="00C5660C">
        <w:t>15</w:t>
      </w:r>
      <w:r w:rsidR="00AE7FDC">
        <w:t>)</w:t>
      </w:r>
      <w:r w:rsidR="00336E6D">
        <w:t xml:space="preserve"> </w:t>
      </w:r>
      <w:r w:rsidR="00C5660C">
        <w:t>reported multiple fluctuations</w:t>
      </w:r>
      <w:r w:rsidR="00AF7523">
        <w:t xml:space="preserve"> </w:t>
      </w:r>
      <w:r w:rsidR="00C5660C">
        <w:t>in the reporting of psychological distress</w:t>
      </w:r>
      <w:r w:rsidR="0033203B">
        <w:t>;</w:t>
      </w:r>
      <w:r w:rsidR="004D5095">
        <w:t xml:space="preserve"> this </w:t>
      </w:r>
      <w:r w:rsidR="00643A80">
        <w:t xml:space="preserve">group reported psychological distress at one sweep, then did not report psychological distress at a following sweep, then reported psychological distress again </w:t>
      </w:r>
      <w:r w:rsidR="0053439D">
        <w:t>at the next swee</w:t>
      </w:r>
      <w:r w:rsidR="00D67B68">
        <w:t>p</w:t>
      </w:r>
      <w:r w:rsidR="0053439D">
        <w:t xml:space="preserve"> and then did not report psychological distress at a following sweep, and finally reported psychological distress at age 46</w:t>
      </w:r>
      <w:r w:rsidR="00643A80">
        <w:t xml:space="preserve"> </w:t>
      </w:r>
      <w:r w:rsidR="005C21FA">
        <w:t xml:space="preserve"> (no-yes-no-yes-no-yes/yes-no-yes-no-yes)</w:t>
      </w:r>
      <w:r w:rsidR="00A75D05">
        <w:t xml:space="preserve"> (Figure </w:t>
      </w:r>
      <w:r w:rsidR="00C2593F">
        <w:t>4</w:t>
      </w:r>
      <w:r w:rsidR="00A75D05">
        <w:t>)</w:t>
      </w:r>
      <w:r w:rsidR="00C5660C">
        <w:t>.</w:t>
      </w:r>
      <w:r w:rsidR="00AF7523">
        <w:t xml:space="preserve"> </w:t>
      </w:r>
      <w:r w:rsidR="00E51F5C">
        <w:t>F</w:t>
      </w:r>
      <w:r w:rsidR="00A52938">
        <w:t>inally</w:t>
      </w:r>
      <w:r w:rsidR="00E51F5C">
        <w:t>,</w:t>
      </w:r>
      <w:r w:rsidR="00E51F5C" w:rsidRPr="00AE1F17">
        <w:t xml:space="preserve"> </w:t>
      </w:r>
      <w:r w:rsidR="00AE7FDC">
        <w:t>17.7% (n=</w:t>
      </w:r>
      <w:r w:rsidR="00E51F5C" w:rsidRPr="00C9224F">
        <w:t>29</w:t>
      </w:r>
      <w:r w:rsidR="00AE7FDC">
        <w:t>)</w:t>
      </w:r>
      <w:r w:rsidR="00E51F5C" w:rsidRPr="00C9224F">
        <w:t xml:space="preserve"> reported a U shape psychological </w:t>
      </w:r>
      <w:r w:rsidR="00E51F5C" w:rsidRPr="000D10FA">
        <w:t xml:space="preserve">distress trajectory with </w:t>
      </w:r>
      <w:r w:rsidR="00E51F5C" w:rsidRPr="000D10FA">
        <w:rPr>
          <w:shd w:val="clear" w:color="auto" w:fill="FFFFFF"/>
        </w:rPr>
        <w:t xml:space="preserve">elevated levels of psychological distress in their mid-20s </w:t>
      </w:r>
      <w:r w:rsidR="00104801">
        <w:rPr>
          <w:shd w:val="clear" w:color="auto" w:fill="FFFFFF"/>
        </w:rPr>
        <w:t xml:space="preserve">and </w:t>
      </w:r>
      <w:r w:rsidR="00E51F5C" w:rsidRPr="000D10FA">
        <w:rPr>
          <w:shd w:val="clear" w:color="auto" w:fill="FFFFFF"/>
        </w:rPr>
        <w:t>at midlife</w:t>
      </w:r>
      <w:r w:rsidR="00E34678">
        <w:t>.</w:t>
      </w:r>
    </w:p>
    <w:p w14:paraId="409AEFD4" w14:textId="4C3DEAAA" w:rsidR="00B42581" w:rsidRDefault="00B42581" w:rsidP="000C7C3D"/>
    <w:p w14:paraId="02E455F4" w14:textId="66102987" w:rsidR="00E1230D" w:rsidRPr="006F0C4D" w:rsidRDefault="006F0C4D" w:rsidP="00E1230D">
      <w:r w:rsidRPr="006F0C4D">
        <w:t>DISCUSSION</w:t>
      </w:r>
    </w:p>
    <w:p w14:paraId="4D1F8027" w14:textId="65B95B40" w:rsidR="00E1230D" w:rsidRDefault="00E1230D" w:rsidP="00E1230D"/>
    <w:p w14:paraId="3F2C38F5" w14:textId="384F7807" w:rsidR="006A230A" w:rsidRDefault="00104801" w:rsidP="00E1230D">
      <w:r>
        <w:t>P</w:t>
      </w:r>
      <w:r w:rsidR="006A230A" w:rsidRPr="006F0C4D">
        <w:t>rincip</w:t>
      </w:r>
      <w:r w:rsidR="009524E9" w:rsidRPr="006F0C4D">
        <w:t>a</w:t>
      </w:r>
      <w:r w:rsidR="006A230A" w:rsidRPr="006F0C4D">
        <w:t>l findings:</w:t>
      </w:r>
    </w:p>
    <w:p w14:paraId="2DCAE534" w14:textId="2728AF40" w:rsidR="00104801" w:rsidRPr="006F0C4D" w:rsidRDefault="00104801" w:rsidP="00E1230D"/>
    <w:p w14:paraId="28BC5624" w14:textId="7833EAF8" w:rsidR="00CB47DB" w:rsidRPr="00015341" w:rsidRDefault="00782AF0" w:rsidP="0094529B">
      <w:r w:rsidRPr="37D0D394">
        <w:rPr>
          <w:color w:val="000000" w:themeColor="text1"/>
          <w:lang w:eastAsia="en-US"/>
        </w:rPr>
        <w:t>I</w:t>
      </w:r>
      <w:r w:rsidR="00CB47DB" w:rsidRPr="37D0D394">
        <w:rPr>
          <w:color w:val="000000" w:themeColor="text1"/>
          <w:lang w:eastAsia="en-US"/>
        </w:rPr>
        <w:t xml:space="preserve">n this national birth cohort, </w:t>
      </w:r>
      <w:r w:rsidRPr="37D0D394">
        <w:rPr>
          <w:color w:val="000000" w:themeColor="text1"/>
          <w:lang w:eastAsia="en-US"/>
        </w:rPr>
        <w:t xml:space="preserve">8536 individuals provided information on LTCs at age 46. </w:t>
      </w:r>
      <w:r w:rsidR="00AE7FDC">
        <w:rPr>
          <w:color w:val="000000" w:themeColor="text1"/>
          <w:lang w:eastAsia="en-US"/>
        </w:rPr>
        <w:t>4.3% (n=</w:t>
      </w:r>
      <w:r w:rsidRPr="37D0D394">
        <w:rPr>
          <w:color w:val="000000" w:themeColor="text1"/>
          <w:lang w:eastAsia="en-US"/>
        </w:rPr>
        <w:t>370</w:t>
      </w:r>
      <w:r w:rsidR="00AE7FDC">
        <w:rPr>
          <w:color w:val="000000" w:themeColor="text1"/>
          <w:lang w:eastAsia="en-US"/>
        </w:rPr>
        <w:t>)</w:t>
      </w:r>
      <w:r w:rsidR="00CB47DB" w:rsidRPr="37D0D394">
        <w:rPr>
          <w:color w:val="000000" w:themeColor="text1"/>
          <w:lang w:eastAsia="en-US"/>
        </w:rPr>
        <w:t xml:space="preserve"> people had </w:t>
      </w:r>
      <w:r w:rsidR="008C1CE1">
        <w:rPr>
          <w:color w:val="000000" w:themeColor="text1"/>
          <w:lang w:eastAsia="en-US"/>
        </w:rPr>
        <w:t>the</w:t>
      </w:r>
      <w:r w:rsidR="00231251">
        <w:rPr>
          <w:color w:val="000000" w:themeColor="text1"/>
          <w:lang w:eastAsia="en-US"/>
        </w:rPr>
        <w:t xml:space="preserve"> </w:t>
      </w:r>
      <w:r w:rsidR="008C1CE1">
        <w:rPr>
          <w:color w:val="000000" w:themeColor="text1"/>
          <w:lang w:eastAsia="en-US"/>
        </w:rPr>
        <w:t>most common</w:t>
      </w:r>
      <w:r w:rsidR="00231251">
        <w:rPr>
          <w:color w:val="000000" w:themeColor="text1"/>
          <w:lang w:eastAsia="en-US"/>
        </w:rPr>
        <w:t xml:space="preserve"> three</w:t>
      </w:r>
      <w:r w:rsidR="00212812">
        <w:rPr>
          <w:color w:val="000000" w:themeColor="text1"/>
          <w:lang w:eastAsia="en-US"/>
        </w:rPr>
        <w:t>-</w:t>
      </w:r>
      <w:r w:rsidR="00231251">
        <w:rPr>
          <w:color w:val="000000" w:themeColor="text1"/>
          <w:lang w:eastAsia="en-US"/>
        </w:rPr>
        <w:t>condition</w:t>
      </w:r>
      <w:r w:rsidR="008C1CE1">
        <w:rPr>
          <w:color w:val="000000" w:themeColor="text1"/>
          <w:lang w:eastAsia="en-US"/>
        </w:rPr>
        <w:t xml:space="preserve"> MLTC-M </w:t>
      </w:r>
      <w:r w:rsidR="008A1626">
        <w:rPr>
          <w:color w:val="000000" w:themeColor="text1"/>
          <w:lang w:eastAsia="en-US"/>
        </w:rPr>
        <w:t xml:space="preserve">grouping - </w:t>
      </w:r>
      <w:r w:rsidR="00B47AC8">
        <w:t>psychological distress</w:t>
      </w:r>
      <w:r w:rsidR="00604BA2" w:rsidRPr="37D0D394">
        <w:rPr>
          <w:color w:val="000000" w:themeColor="text1"/>
          <w:lang w:eastAsia="en-US"/>
        </w:rPr>
        <w:t>, back pain</w:t>
      </w:r>
      <w:r w:rsidR="009C2C2B">
        <w:rPr>
          <w:color w:val="000000" w:themeColor="text1"/>
          <w:lang w:eastAsia="en-US"/>
        </w:rPr>
        <w:t xml:space="preserve"> and</w:t>
      </w:r>
      <w:r w:rsidR="00604BA2" w:rsidRPr="37D0D394">
        <w:rPr>
          <w:color w:val="000000" w:themeColor="text1"/>
          <w:lang w:eastAsia="en-US"/>
        </w:rPr>
        <w:t xml:space="preserve"> </w:t>
      </w:r>
      <w:r w:rsidR="00604BA2">
        <w:t>high blood pressure</w:t>
      </w:r>
      <w:r w:rsidRPr="37D0D394">
        <w:rPr>
          <w:color w:val="000000" w:themeColor="text1"/>
          <w:lang w:eastAsia="en-US"/>
        </w:rPr>
        <w:t xml:space="preserve">. </w:t>
      </w:r>
      <w:r w:rsidR="002D5758" w:rsidRPr="37D0D394">
        <w:rPr>
          <w:color w:val="000000" w:themeColor="text1"/>
          <w:lang w:eastAsia="en-US"/>
        </w:rPr>
        <w:t>Descriptive analysis</w:t>
      </w:r>
      <w:r w:rsidR="00FB56F6">
        <w:rPr>
          <w:color w:val="000000" w:themeColor="text1"/>
          <w:lang w:eastAsia="en-US"/>
        </w:rPr>
        <w:t xml:space="preserve"> and </w:t>
      </w:r>
      <w:r w:rsidR="00195A60">
        <w:t xml:space="preserve">Mann-Whitney U tests </w:t>
      </w:r>
      <w:r w:rsidR="0013550D" w:rsidRPr="37D0D394">
        <w:rPr>
          <w:color w:val="000000" w:themeColor="text1"/>
          <w:lang w:eastAsia="en-US"/>
        </w:rPr>
        <w:lastRenderedPageBreak/>
        <w:t>suggests</w:t>
      </w:r>
      <w:r w:rsidR="002D5758" w:rsidRPr="37D0D394">
        <w:rPr>
          <w:color w:val="000000" w:themeColor="text1"/>
          <w:lang w:eastAsia="en-US"/>
        </w:rPr>
        <w:t xml:space="preserve"> that </w:t>
      </w:r>
      <w:r w:rsidR="00247276">
        <w:rPr>
          <w:color w:val="000000" w:themeColor="text1"/>
          <w:lang w:eastAsia="en-US"/>
        </w:rPr>
        <w:t>those with the</w:t>
      </w:r>
      <w:r w:rsidR="00010C85">
        <w:rPr>
          <w:color w:val="000000" w:themeColor="text1"/>
          <w:lang w:eastAsia="en-US"/>
        </w:rPr>
        <w:t xml:space="preserve"> three</w:t>
      </w:r>
      <w:r w:rsidR="00212812">
        <w:rPr>
          <w:color w:val="000000" w:themeColor="text1"/>
          <w:lang w:eastAsia="en-US"/>
        </w:rPr>
        <w:t>-</w:t>
      </w:r>
      <w:r w:rsidR="00010C85">
        <w:rPr>
          <w:color w:val="000000" w:themeColor="text1"/>
          <w:lang w:eastAsia="en-US"/>
        </w:rPr>
        <w:t xml:space="preserve">condition MLTC-M </w:t>
      </w:r>
      <w:r w:rsidR="00247276">
        <w:rPr>
          <w:color w:val="000000" w:themeColor="text1"/>
          <w:lang w:eastAsia="en-US"/>
        </w:rPr>
        <w:t xml:space="preserve">were </w:t>
      </w:r>
      <w:r w:rsidR="00B107A5">
        <w:rPr>
          <w:color w:val="000000" w:themeColor="text1"/>
          <w:lang w:eastAsia="en-US"/>
        </w:rPr>
        <w:t xml:space="preserve">characterised </w:t>
      </w:r>
      <w:r w:rsidR="00495A94">
        <w:rPr>
          <w:color w:val="000000" w:themeColor="text1"/>
          <w:lang w:eastAsia="en-US"/>
        </w:rPr>
        <w:t>by</w:t>
      </w:r>
      <w:r w:rsidR="00495A94">
        <w:rPr>
          <w:rFonts w:eastAsia="Yu Mincho"/>
          <w:color w:val="000000" w:themeColor="text1"/>
        </w:rPr>
        <w:t xml:space="preserve"> </w:t>
      </w:r>
      <w:r w:rsidR="00247276">
        <w:rPr>
          <w:rFonts w:eastAsia="Yu Mincho"/>
          <w:color w:val="000000" w:themeColor="text1"/>
        </w:rPr>
        <w:t>worse</w:t>
      </w:r>
      <w:r w:rsidR="002D5758" w:rsidRPr="37D0D394">
        <w:rPr>
          <w:rFonts w:eastAsia="Yu Mincho"/>
          <w:color w:val="000000" w:themeColor="text1"/>
        </w:rPr>
        <w:t xml:space="preserve"> sociodemographic factors.</w:t>
      </w:r>
      <w:r w:rsidR="002D5758" w:rsidRPr="37D0D394">
        <w:rPr>
          <w:color w:val="000000" w:themeColor="text1"/>
          <w:lang w:eastAsia="en-US"/>
        </w:rPr>
        <w:t xml:space="preserve"> </w:t>
      </w:r>
      <w:r w:rsidRPr="37D0D394">
        <w:rPr>
          <w:color w:val="000000" w:themeColor="text1"/>
          <w:lang w:eastAsia="en-US"/>
        </w:rPr>
        <w:t xml:space="preserve">For the </w:t>
      </w:r>
      <w:r w:rsidR="00AE7FDC">
        <w:rPr>
          <w:color w:val="000000" w:themeColor="text1"/>
          <w:lang w:eastAsia="en-US"/>
        </w:rPr>
        <w:t>44.3% (n=</w:t>
      </w:r>
      <w:r w:rsidRPr="37D0D394">
        <w:rPr>
          <w:color w:val="000000" w:themeColor="text1"/>
          <w:lang w:eastAsia="en-US"/>
        </w:rPr>
        <w:t>164</w:t>
      </w:r>
      <w:r w:rsidR="00AE7FDC">
        <w:rPr>
          <w:color w:val="000000" w:themeColor="text1"/>
          <w:lang w:eastAsia="en-US"/>
        </w:rPr>
        <w:t>)</w:t>
      </w:r>
      <w:r w:rsidR="00010C85">
        <w:rPr>
          <w:color w:val="000000" w:themeColor="text1"/>
          <w:lang w:eastAsia="en-US"/>
        </w:rPr>
        <w:t xml:space="preserve"> MLTC-M</w:t>
      </w:r>
      <w:r w:rsidR="001A67A4">
        <w:rPr>
          <w:color w:val="000000" w:themeColor="text1"/>
          <w:lang w:eastAsia="en-US"/>
        </w:rPr>
        <w:t xml:space="preserve"> subgroup</w:t>
      </w:r>
      <w:r w:rsidR="000F79F4" w:rsidRPr="37D0D394">
        <w:rPr>
          <w:color w:val="000000" w:themeColor="text1"/>
          <w:lang w:eastAsia="en-US"/>
        </w:rPr>
        <w:t xml:space="preserve"> </w:t>
      </w:r>
      <w:r w:rsidRPr="37D0D394">
        <w:rPr>
          <w:color w:val="000000" w:themeColor="text1"/>
          <w:lang w:eastAsia="en-US"/>
        </w:rPr>
        <w:t xml:space="preserve">who reported information on LTCs across </w:t>
      </w:r>
      <w:r w:rsidR="00FF16AC" w:rsidRPr="37D0D394">
        <w:rPr>
          <w:color w:val="000000" w:themeColor="text1"/>
          <w:lang w:eastAsia="en-US"/>
        </w:rPr>
        <w:t>adult</w:t>
      </w:r>
      <w:r w:rsidR="00217B43" w:rsidRPr="37D0D394">
        <w:rPr>
          <w:color w:val="000000" w:themeColor="text1"/>
          <w:lang w:eastAsia="en-US"/>
        </w:rPr>
        <w:t xml:space="preserve">hood </w:t>
      </w:r>
      <w:r w:rsidRPr="37D0D394">
        <w:rPr>
          <w:color w:val="000000" w:themeColor="text1"/>
          <w:lang w:eastAsia="en-US"/>
        </w:rPr>
        <w:t>t</w:t>
      </w:r>
      <w:r w:rsidR="00CB47DB" w:rsidRPr="37D0D394">
        <w:rPr>
          <w:color w:val="000000" w:themeColor="text1"/>
          <w:lang w:eastAsia="en-US"/>
        </w:rPr>
        <w:t xml:space="preserve">he </w:t>
      </w:r>
      <w:r w:rsidR="008630AB">
        <w:rPr>
          <w:color w:val="000000" w:themeColor="text1"/>
          <w:lang w:eastAsia="en-US"/>
        </w:rPr>
        <w:t>most common</w:t>
      </w:r>
      <w:r w:rsidR="00212812" w:rsidRPr="37D0D394">
        <w:rPr>
          <w:color w:val="000000" w:themeColor="text1"/>
          <w:lang w:eastAsia="en-US"/>
        </w:rPr>
        <w:t xml:space="preserve"> </w:t>
      </w:r>
      <w:r w:rsidR="00CB47DB" w:rsidRPr="37D0D394">
        <w:rPr>
          <w:color w:val="000000" w:themeColor="text1"/>
          <w:lang w:eastAsia="en-US"/>
        </w:rPr>
        <w:t>sentinel condition wa</w:t>
      </w:r>
      <w:r w:rsidRPr="37D0D394">
        <w:rPr>
          <w:color w:val="000000" w:themeColor="text1"/>
          <w:lang w:eastAsia="en-US"/>
        </w:rPr>
        <w:t>s</w:t>
      </w:r>
      <w:r w:rsidR="00B47AC8">
        <w:t xml:space="preserve"> psychological distress</w:t>
      </w:r>
      <w:r w:rsidR="00CB47DB" w:rsidRPr="37D0D394">
        <w:rPr>
          <w:color w:val="000000" w:themeColor="text1"/>
          <w:lang w:eastAsia="en-US"/>
        </w:rPr>
        <w:t>, followed b</w:t>
      </w:r>
      <w:r w:rsidRPr="37D0D394">
        <w:rPr>
          <w:color w:val="000000" w:themeColor="text1"/>
          <w:lang w:eastAsia="en-US"/>
        </w:rPr>
        <w:t xml:space="preserve">y back pain and the </w:t>
      </w:r>
      <w:r w:rsidR="008630AB">
        <w:rPr>
          <w:color w:val="000000" w:themeColor="text1"/>
          <w:lang w:eastAsia="en-US"/>
        </w:rPr>
        <w:t>most common</w:t>
      </w:r>
      <w:r w:rsidRPr="37D0D394">
        <w:rPr>
          <w:color w:val="000000" w:themeColor="text1"/>
          <w:lang w:eastAsia="en-US"/>
        </w:rPr>
        <w:t xml:space="preserve"> sequence of accrual of LTCs </w:t>
      </w:r>
      <w:r w:rsidR="009524E9">
        <w:t xml:space="preserve">was </w:t>
      </w:r>
      <w:r>
        <w:t>the co-reporting of</w:t>
      </w:r>
      <w:r w:rsidR="00B47AC8">
        <w:t xml:space="preserve"> psychological distress</w:t>
      </w:r>
      <w:r>
        <w:t xml:space="preserve"> and back pain followed by high blood</w:t>
      </w:r>
      <w:r w:rsidR="0094529B">
        <w:t xml:space="preserve"> </w:t>
      </w:r>
      <w:r w:rsidR="00015341">
        <w:rPr>
          <w:i/>
          <w:iCs/>
          <w:noProof/>
          <w:lang w:val="en-US" w:eastAsia="en-US"/>
        </w:rPr>
        <mc:AlternateContent>
          <mc:Choice Requires="wps">
            <w:drawing>
              <wp:anchor distT="0" distB="0" distL="114300" distR="114300" simplePos="0" relativeHeight="251717670" behindDoc="0" locked="0" layoutInCell="1" allowOverlap="1" wp14:anchorId="16387392" wp14:editId="0EB66F00">
                <wp:simplePos x="0" y="0"/>
                <wp:positionH relativeFrom="column">
                  <wp:posOffset>8578850</wp:posOffset>
                </wp:positionH>
                <wp:positionV relativeFrom="paragraph">
                  <wp:posOffset>28796</wp:posOffset>
                </wp:positionV>
                <wp:extent cx="159385" cy="179070"/>
                <wp:effectExtent l="0" t="0" r="18415" b="6985"/>
                <wp:wrapNone/>
                <wp:docPr id="88" name="Rectangle 88"/>
                <wp:cNvGraphicFramePr/>
                <a:graphic xmlns:a="http://schemas.openxmlformats.org/drawingml/2006/main">
                  <a:graphicData uri="http://schemas.microsoft.com/office/word/2010/wordprocessingShape">
                    <wps:wsp>
                      <wps:cNvSpPr/>
                      <wps:spPr>
                        <a:xfrm>
                          <a:off x="0" y="0"/>
                          <a:ext cx="159385" cy="17907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338DA" id="Rectangle 88" o:spid="_x0000_s1026" style="position:absolute;margin-left:675.5pt;margin-top:2.25pt;width:12.55pt;height:14.1pt;z-index:2517176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" fillcolor="#70ad47 [3209]" strokecolor="#375623 [1609]" strokeweight="1pt"/>
            </w:pict>
          </mc:Fallback>
        </mc:AlternateContent>
      </w:r>
      <w:r w:rsidR="00015341">
        <w:rPr>
          <w:i/>
          <w:iCs/>
          <w:noProof/>
          <w:lang w:val="en-US" w:eastAsia="en-US"/>
        </w:rPr>
        <mc:AlternateContent>
          <mc:Choice Requires="wps">
            <w:drawing>
              <wp:anchor distT="0" distB="0" distL="114300" distR="114300" simplePos="0" relativeHeight="251718694" behindDoc="0" locked="0" layoutInCell="1" allowOverlap="1" wp14:anchorId="07CD0701" wp14:editId="5F926716">
                <wp:simplePos x="0" y="0"/>
                <wp:positionH relativeFrom="column">
                  <wp:posOffset>8577698</wp:posOffset>
                </wp:positionH>
                <wp:positionV relativeFrom="paragraph">
                  <wp:posOffset>17145</wp:posOffset>
                </wp:positionV>
                <wp:extent cx="159488" cy="179276"/>
                <wp:effectExtent l="0" t="0" r="18415" b="11430"/>
                <wp:wrapNone/>
                <wp:docPr id="89" name="Rectangle 89"/>
                <wp:cNvGraphicFramePr/>
                <a:graphic xmlns:a="http://schemas.openxmlformats.org/drawingml/2006/main">
                  <a:graphicData uri="http://schemas.microsoft.com/office/word/2010/wordprocessingShape">
                    <wps:wsp>
                      <wps:cNvSpPr/>
                      <wps:spPr>
                        <a:xfrm>
                          <a:off x="0" y="0"/>
                          <a:ext cx="159488" cy="179276"/>
                        </a:xfrm>
                        <a:prstGeom prst="rect">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C74E0" id="Rectangle 89" o:spid="_x0000_s1026" style="position:absolute;margin-left:675.4pt;margin-top:1.35pt;width:12.55pt;height:14.1pt;z-index:251718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" fillcolor="red" strokecolor="#375623 [1609]" strokeweight="1pt"/>
            </w:pict>
          </mc:Fallback>
        </mc:AlternateContent>
      </w:r>
      <w:r w:rsidR="00015341">
        <w:rPr>
          <w:i/>
          <w:iCs/>
          <w:noProof/>
          <w:lang w:val="en-US" w:eastAsia="en-US"/>
        </w:rPr>
        <mc:AlternateContent>
          <mc:Choice Requires="wps">
            <w:drawing>
              <wp:anchor distT="0" distB="0" distL="114300" distR="114300" simplePos="0" relativeHeight="251719718" behindDoc="0" locked="0" layoutInCell="1" allowOverlap="1" wp14:anchorId="0E8999E7" wp14:editId="4FE1DD67">
                <wp:simplePos x="0" y="0"/>
                <wp:positionH relativeFrom="column">
                  <wp:posOffset>8584446</wp:posOffset>
                </wp:positionH>
                <wp:positionV relativeFrom="paragraph">
                  <wp:posOffset>113030</wp:posOffset>
                </wp:positionV>
                <wp:extent cx="159488" cy="179276"/>
                <wp:effectExtent l="0" t="0" r="18415" b="11430"/>
                <wp:wrapNone/>
                <wp:docPr id="90" name="Rectangle 90"/>
                <wp:cNvGraphicFramePr/>
                <a:graphic xmlns:a="http://schemas.openxmlformats.org/drawingml/2006/main">
                  <a:graphicData uri="http://schemas.microsoft.com/office/word/2010/wordprocessingShape">
                    <wps:wsp>
                      <wps:cNvSpPr/>
                      <wps:spPr>
                        <a:xfrm>
                          <a:off x="0" y="0"/>
                          <a:ext cx="159488" cy="179276"/>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CCA24" id="Rectangle 90" o:spid="_x0000_s1026" style="position:absolute;margin-left:675.95pt;margin-top:8.9pt;width:12.55pt;height:14.1pt;z-index:251719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" fillcolor="#5b9bd5 [3208]" strokecolor="#1f4d78 [1608]" strokeweight="1pt"/>
            </w:pict>
          </mc:Fallback>
        </mc:AlternateContent>
      </w:r>
      <w:r w:rsidR="00015341">
        <w:rPr>
          <w:i/>
          <w:iCs/>
          <w:noProof/>
          <w:lang w:val="en-US" w:eastAsia="en-US"/>
        </w:rPr>
        <mc:AlternateContent>
          <mc:Choice Requires="wps">
            <w:drawing>
              <wp:anchor distT="0" distB="0" distL="114300" distR="114300" simplePos="0" relativeHeight="251720742" behindDoc="0" locked="0" layoutInCell="1" allowOverlap="1" wp14:anchorId="770F0B3D" wp14:editId="172F15E1">
                <wp:simplePos x="0" y="0"/>
                <wp:positionH relativeFrom="column">
                  <wp:posOffset>8583944</wp:posOffset>
                </wp:positionH>
                <wp:positionV relativeFrom="paragraph">
                  <wp:posOffset>12744</wp:posOffset>
                </wp:positionV>
                <wp:extent cx="159488" cy="179276"/>
                <wp:effectExtent l="0" t="0" r="18415" b="17780"/>
                <wp:wrapNone/>
                <wp:docPr id="92" name="Rectangle 92"/>
                <wp:cNvGraphicFramePr/>
                <a:graphic xmlns:a="http://schemas.openxmlformats.org/drawingml/2006/main">
                  <a:graphicData uri="http://schemas.microsoft.com/office/word/2010/wordprocessingShape">
                    <wps:wsp>
                      <wps:cNvSpPr/>
                      <wps:spPr>
                        <a:xfrm>
                          <a:off x="0" y="0"/>
                          <a:ext cx="159488" cy="179276"/>
                        </a:xfrm>
                        <a:prstGeom prst="rect">
                          <a:avLst/>
                        </a:prstGeom>
                        <a:gradFill flip="none" rotWithShape="1">
                          <a:gsLst>
                            <a:gs pos="0">
                              <a:srgbClr val="FF0000"/>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18B41" id="Rectangle 92" o:spid="_x0000_s1026" style="position:absolute;margin-left:675.9pt;margin-top:1pt;width:12.55pt;height:14.1pt;z-index:251720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" fillcolor="red" strokecolor="#1f4d78 [1608]" strokeweight="1pt">
                <v:fill color2="#c7d4ed [980]" rotate="t" angle="45" colors="0 red;48497f #abc0e4;54395f #abc0e4;1 #c7d5ed" focus="100%" type="gradient"/>
              </v:rect>
            </w:pict>
          </mc:Fallback>
        </mc:AlternateContent>
      </w:r>
      <w:r>
        <w:t>pressure.</w:t>
      </w:r>
      <w:r w:rsidR="001A67A4">
        <w:t xml:space="preserve"> Just under a third of th</w:t>
      </w:r>
      <w:r w:rsidR="00E678E9">
        <w:t xml:space="preserve">e MLTC-M </w:t>
      </w:r>
      <w:r w:rsidR="001A67A4">
        <w:t>subgroup</w:t>
      </w:r>
      <w:r w:rsidRPr="37D0D394">
        <w:rPr>
          <w:color w:val="000000" w:themeColor="text1"/>
          <w:lang w:eastAsia="en-US"/>
        </w:rPr>
        <w:t xml:space="preserve"> </w:t>
      </w:r>
      <w:r w:rsidR="001A67A4">
        <w:rPr>
          <w:color w:val="000000" w:themeColor="text1"/>
          <w:lang w:eastAsia="en-US"/>
        </w:rPr>
        <w:t>(</w:t>
      </w:r>
      <w:r w:rsidR="00AE7FDC">
        <w:rPr>
          <w:color w:val="000000" w:themeColor="text1"/>
          <w:lang w:eastAsia="en-US"/>
        </w:rPr>
        <w:t>30.5%,</w:t>
      </w:r>
      <w:r w:rsidR="001A67A4">
        <w:rPr>
          <w:color w:val="000000" w:themeColor="text1"/>
          <w:lang w:eastAsia="en-US"/>
        </w:rPr>
        <w:t>n</w:t>
      </w:r>
      <w:r w:rsidR="00955BE4">
        <w:rPr>
          <w:color w:val="000000" w:themeColor="text1"/>
          <w:lang w:eastAsia="en-US"/>
        </w:rPr>
        <w:t>=</w:t>
      </w:r>
      <w:r w:rsidR="00DB3F5D">
        <w:rPr>
          <w:color w:val="000000" w:themeColor="text1"/>
          <w:lang w:eastAsia="en-US"/>
        </w:rPr>
        <w:t xml:space="preserve">50) reported </w:t>
      </w:r>
      <w:r w:rsidR="003A7F06">
        <w:rPr>
          <w:color w:val="000000" w:themeColor="text1"/>
          <w:lang w:eastAsia="en-US"/>
        </w:rPr>
        <w:t xml:space="preserve">a variation in the reporting of </w:t>
      </w:r>
      <w:r w:rsidR="00DB3F5D">
        <w:rPr>
          <w:color w:val="000000" w:themeColor="text1"/>
          <w:lang w:eastAsia="en-US"/>
        </w:rPr>
        <w:t xml:space="preserve">psychological distress across the adult lifecourse. </w:t>
      </w:r>
    </w:p>
    <w:p w14:paraId="06A1C6DA" w14:textId="61E9A92E" w:rsidR="00E1230D" w:rsidRDefault="00CB47DB" w:rsidP="00E1230D">
      <w:pPr>
        <w:rPr>
          <w:color w:val="000000" w:themeColor="text1"/>
          <w:lang w:eastAsia="en-US"/>
        </w:rPr>
      </w:pPr>
      <w:r>
        <w:rPr>
          <w:color w:val="000000" w:themeColor="text1"/>
          <w:lang w:eastAsia="en-US"/>
        </w:rPr>
        <w:t xml:space="preserve"> </w:t>
      </w:r>
    </w:p>
    <w:p w14:paraId="0EE8EBF8" w14:textId="098CB182" w:rsidR="006A230A" w:rsidRDefault="006A230A" w:rsidP="00E1230D">
      <w:pPr>
        <w:rPr>
          <w:color w:val="000000" w:themeColor="text1"/>
          <w:lang w:eastAsia="en-US"/>
        </w:rPr>
      </w:pPr>
      <w:r w:rsidRPr="006F0C4D">
        <w:rPr>
          <w:color w:val="000000" w:themeColor="text1"/>
          <w:lang w:eastAsia="en-US"/>
        </w:rPr>
        <w:t>Comparison with other studies:</w:t>
      </w:r>
    </w:p>
    <w:p w14:paraId="7582897C" w14:textId="77777777" w:rsidR="00537062" w:rsidRPr="006F0C4D" w:rsidRDefault="00537062" w:rsidP="00E1230D">
      <w:pPr>
        <w:rPr>
          <w:color w:val="000000" w:themeColor="text1"/>
          <w:lang w:eastAsia="en-US"/>
        </w:rPr>
      </w:pPr>
    </w:p>
    <w:p w14:paraId="7047FE3D" w14:textId="1CAAB7B5" w:rsidR="00E65CD3" w:rsidRPr="001F420B" w:rsidRDefault="00955BE4" w:rsidP="00E1230D">
      <w:pPr>
        <w:rPr>
          <w:color w:val="000000" w:themeColor="text1"/>
          <w:lang w:eastAsia="en-US"/>
        </w:rPr>
      </w:pPr>
      <w:r w:rsidRPr="0047468F">
        <w:rPr>
          <w:color w:val="000000" w:themeColor="text1"/>
          <w:lang w:eastAsia="en-US"/>
        </w:rPr>
        <w:t>F</w:t>
      </w:r>
      <w:r w:rsidR="00466134" w:rsidRPr="0047468F">
        <w:rPr>
          <w:color w:val="000000" w:themeColor="text1"/>
          <w:lang w:eastAsia="en-US"/>
        </w:rPr>
        <w:t xml:space="preserve">ew studies have </w:t>
      </w:r>
      <w:r w:rsidR="00E65CD3" w:rsidRPr="0047468F">
        <w:rPr>
          <w:color w:val="000000" w:themeColor="text1"/>
          <w:lang w:eastAsia="en-US"/>
        </w:rPr>
        <w:t>describe</w:t>
      </w:r>
      <w:r w:rsidR="00E34678" w:rsidRPr="0047468F">
        <w:rPr>
          <w:color w:val="000000" w:themeColor="text1"/>
          <w:lang w:eastAsia="en-US"/>
        </w:rPr>
        <w:t>d</w:t>
      </w:r>
      <w:r w:rsidR="00E65CD3" w:rsidRPr="0047468F">
        <w:rPr>
          <w:color w:val="000000" w:themeColor="text1"/>
          <w:lang w:eastAsia="en-US"/>
        </w:rPr>
        <w:t xml:space="preserve"> the sequences of accrual of </w:t>
      </w:r>
      <w:r w:rsidR="00E34678" w:rsidRPr="0047468F">
        <w:rPr>
          <w:color w:val="000000" w:themeColor="text1"/>
          <w:lang w:eastAsia="en-US"/>
        </w:rPr>
        <w:t xml:space="preserve">LTCs </w:t>
      </w:r>
      <w:r w:rsidR="00851FB3" w:rsidRPr="0047468F">
        <w:rPr>
          <w:color w:val="000000" w:themeColor="text1"/>
          <w:lang w:eastAsia="en-US"/>
        </w:rPr>
        <w:t xml:space="preserve">across the lifecourse </w:t>
      </w:r>
      <w:r w:rsidR="00E65CD3" w:rsidRPr="0047468F">
        <w:rPr>
          <w:color w:val="000000" w:themeColor="text1"/>
          <w:lang w:eastAsia="en-US"/>
        </w:rPr>
        <w:t>or</w:t>
      </w:r>
      <w:r w:rsidRPr="0047468F">
        <w:rPr>
          <w:color w:val="000000" w:themeColor="text1"/>
          <w:lang w:eastAsia="en-US"/>
        </w:rPr>
        <w:t xml:space="preserve"> </w:t>
      </w:r>
      <w:r w:rsidR="00E65CD3" w:rsidRPr="0047468F">
        <w:rPr>
          <w:color w:val="000000" w:themeColor="text1"/>
          <w:lang w:eastAsia="en-US"/>
        </w:rPr>
        <w:t>explore</w:t>
      </w:r>
      <w:r w:rsidR="00B107A5" w:rsidRPr="0047468F">
        <w:rPr>
          <w:color w:val="000000" w:themeColor="text1"/>
          <w:lang w:eastAsia="en-US"/>
        </w:rPr>
        <w:t>d</w:t>
      </w:r>
      <w:r w:rsidR="00E65CD3" w:rsidRPr="0047468F">
        <w:rPr>
          <w:color w:val="000000" w:themeColor="text1"/>
          <w:lang w:eastAsia="en-US"/>
        </w:rPr>
        <w:t xml:space="preserve"> the sentinel condition. </w:t>
      </w:r>
      <w:r w:rsidR="000165DB" w:rsidRPr="001F420B">
        <w:rPr>
          <w:color w:val="000000"/>
        </w:rPr>
        <w:t xml:space="preserve">In terms of the sequence of LTC accrual it is of note that </w:t>
      </w:r>
      <w:r w:rsidR="00A50ECE">
        <w:rPr>
          <w:color w:val="000000"/>
        </w:rPr>
        <w:t xml:space="preserve">as demonstrated in Figure 3, </w:t>
      </w:r>
      <w:r w:rsidR="000165DB" w:rsidRPr="001F420B">
        <w:rPr>
          <w:color w:val="000000"/>
        </w:rPr>
        <w:t>psychological distress on its own or co-reported alongside another condition was a common sentinel condition, and various pathways</w:t>
      </w:r>
      <w:r w:rsidR="00AD05B9">
        <w:rPr>
          <w:color w:val="000000"/>
        </w:rPr>
        <w:t xml:space="preserve"> to multimorbidity</w:t>
      </w:r>
      <w:r w:rsidR="000165DB" w:rsidRPr="001F420B">
        <w:rPr>
          <w:color w:val="000000"/>
        </w:rPr>
        <w:t xml:space="preserve"> emerged from early psychological distress, this is worthy of further exploration in larger datasets with additional long-term conditions.</w:t>
      </w:r>
      <w:r w:rsidR="00E054AA" w:rsidRPr="0047468F">
        <w:rPr>
          <w:color w:val="000000" w:themeColor="text1"/>
          <w:lang w:eastAsia="en-US"/>
        </w:rPr>
        <w:t xml:space="preserve"> </w:t>
      </w:r>
      <w:r w:rsidR="002E5324" w:rsidRPr="0047468F">
        <w:rPr>
          <w:color w:val="000000" w:themeColor="text1"/>
          <w:lang w:eastAsia="en-US"/>
        </w:rPr>
        <w:t xml:space="preserve">Our </w:t>
      </w:r>
      <w:r w:rsidR="00462CD9">
        <w:rPr>
          <w:color w:val="000000" w:themeColor="text1"/>
          <w:lang w:eastAsia="en-US"/>
        </w:rPr>
        <w:t>findings</w:t>
      </w:r>
      <w:r w:rsidR="002E5324" w:rsidRPr="0047468F">
        <w:rPr>
          <w:color w:val="000000" w:themeColor="text1"/>
          <w:lang w:eastAsia="en-US"/>
        </w:rPr>
        <w:t xml:space="preserve"> </w:t>
      </w:r>
      <w:r w:rsidR="00500615" w:rsidRPr="0047468F">
        <w:rPr>
          <w:color w:val="000000" w:themeColor="text1"/>
          <w:lang w:eastAsia="en-US"/>
        </w:rPr>
        <w:t xml:space="preserve">support </w:t>
      </w:r>
      <w:r w:rsidR="004378F3" w:rsidRPr="0047468F">
        <w:rPr>
          <w:color w:val="000000" w:themeColor="text1"/>
          <w:lang w:eastAsia="en-US"/>
        </w:rPr>
        <w:t xml:space="preserve">research </w:t>
      </w:r>
      <w:r w:rsidRPr="0047468F">
        <w:rPr>
          <w:rStyle w:val="apple-converted-space"/>
          <w:color w:val="000000" w:themeColor="text1"/>
          <w:shd w:val="clear" w:color="auto" w:fill="FFFFFF"/>
        </w:rPr>
        <w:t xml:space="preserve">among </w:t>
      </w:r>
      <w:r w:rsidR="00E054AA" w:rsidRPr="0047468F">
        <w:rPr>
          <w:rStyle w:val="apple-converted-space"/>
          <w:color w:val="000000" w:themeColor="text1"/>
          <w:shd w:val="clear" w:color="auto" w:fill="FFFFFF"/>
        </w:rPr>
        <w:t>a</w:t>
      </w:r>
      <w:r w:rsidR="0011653E" w:rsidRPr="0047468F">
        <w:rPr>
          <w:rStyle w:val="apple-converted-space"/>
          <w:color w:val="000000" w:themeColor="text1"/>
          <w:shd w:val="clear" w:color="auto" w:fill="FFFFFF"/>
        </w:rPr>
        <w:t>n</w:t>
      </w:r>
      <w:r w:rsidR="00E054AA" w:rsidRPr="0047468F">
        <w:rPr>
          <w:rStyle w:val="apple-converted-space"/>
          <w:color w:val="000000" w:themeColor="text1"/>
          <w:shd w:val="clear" w:color="auto" w:fill="FFFFFF"/>
        </w:rPr>
        <w:t xml:space="preserve"> </w:t>
      </w:r>
      <w:r w:rsidR="00E054AA" w:rsidRPr="0047468F">
        <w:rPr>
          <w:color w:val="000000" w:themeColor="text1"/>
          <w:shd w:val="clear" w:color="auto" w:fill="FFFFFF"/>
        </w:rPr>
        <w:t>urban multi-ethnic borough in London</w:t>
      </w:r>
      <w:r w:rsidR="00E054AA" w:rsidRPr="0047468F">
        <w:t xml:space="preserve">, </w:t>
      </w:r>
      <w:r w:rsidRPr="0047468F">
        <w:t xml:space="preserve">which found that </w:t>
      </w:r>
      <w:r w:rsidR="00500615" w:rsidRPr="0047468F">
        <w:rPr>
          <w:rFonts w:eastAsia="Yu Mincho"/>
          <w:color w:val="000000"/>
          <w:lang w:eastAsia="en-US"/>
        </w:rPr>
        <w:t>multimorbidity in those under 65 tended to start with depression or serious mental illness</w:t>
      </w:r>
      <w:r w:rsidR="006F0C4D" w:rsidRPr="0047468F">
        <w:rPr>
          <w:rFonts w:eastAsia="Yu Mincho"/>
          <w:color w:val="000000"/>
          <w:lang w:eastAsia="en-US"/>
        </w:rPr>
        <w:t>,[</w:t>
      </w:r>
      <w:r w:rsidR="000022E4" w:rsidRPr="0047468F">
        <w:rPr>
          <w:rFonts w:eastAsia="Yu Mincho"/>
          <w:color w:val="000000"/>
          <w:lang w:eastAsia="en-US"/>
        </w:rPr>
        <w:t>7</w:t>
      </w:r>
      <w:r w:rsidR="006F0C4D" w:rsidRPr="0047468F">
        <w:rPr>
          <w:rFonts w:eastAsia="Yu Mincho"/>
          <w:color w:val="000000"/>
          <w:lang w:eastAsia="en-US"/>
        </w:rPr>
        <w:t>]</w:t>
      </w:r>
      <w:r w:rsidR="00F91EF5" w:rsidRPr="0047468F">
        <w:rPr>
          <w:rFonts w:eastAsia="Yu Mincho"/>
          <w:color w:val="000000"/>
          <w:lang w:eastAsia="en-US"/>
        </w:rPr>
        <w:t>.</w:t>
      </w:r>
      <w:r w:rsidR="007C5E51" w:rsidRPr="0047468F">
        <w:rPr>
          <w:rFonts w:eastAsia="Yu Mincho"/>
          <w:color w:val="000000"/>
          <w:lang w:eastAsia="en-US"/>
        </w:rPr>
        <w:t xml:space="preserve"> </w:t>
      </w:r>
      <w:r w:rsidR="004378F3" w:rsidRPr="0047468F">
        <w:rPr>
          <w:color w:val="000000" w:themeColor="text1"/>
        </w:rPr>
        <w:t>Further</w:t>
      </w:r>
      <w:r w:rsidR="009C2C2B" w:rsidRPr="0047468F">
        <w:rPr>
          <w:color w:val="000000" w:themeColor="text1"/>
        </w:rPr>
        <w:t>,</w:t>
      </w:r>
      <w:r w:rsidR="00F30D1E" w:rsidRPr="0047468F">
        <w:rPr>
          <w:color w:val="000000" w:themeColor="text1"/>
        </w:rPr>
        <w:t xml:space="preserve"> among younger cohorts (age 20-39)</w:t>
      </w:r>
      <w:r w:rsidR="00763C5C" w:rsidRPr="0047468F">
        <w:rPr>
          <w:color w:val="000000" w:themeColor="text1"/>
        </w:rPr>
        <w:t>,</w:t>
      </w:r>
      <w:r w:rsidR="00F30D1E" w:rsidRPr="0047468F">
        <w:rPr>
          <w:color w:val="000000" w:themeColor="text1"/>
        </w:rPr>
        <w:t xml:space="preserve"> the most common sequence of accrual of LTCs began with depression</w:t>
      </w:r>
      <w:r w:rsidR="006F0C4D" w:rsidRPr="0047468F">
        <w:rPr>
          <w:color w:val="000000" w:themeColor="text1"/>
        </w:rPr>
        <w:t>,[</w:t>
      </w:r>
      <w:r w:rsidR="00072FAB" w:rsidRPr="0047468F">
        <w:rPr>
          <w:color w:val="000000" w:themeColor="text1"/>
        </w:rPr>
        <w:t>3</w:t>
      </w:r>
      <w:r w:rsidR="0038795E">
        <w:rPr>
          <w:color w:val="000000" w:themeColor="text1"/>
        </w:rPr>
        <w:t>8</w:t>
      </w:r>
      <w:r w:rsidR="006F0C4D" w:rsidRPr="0047468F">
        <w:rPr>
          <w:color w:val="000000" w:themeColor="text1"/>
        </w:rPr>
        <w:t>]</w:t>
      </w:r>
      <w:r w:rsidR="00F30D1E" w:rsidRPr="0047468F">
        <w:rPr>
          <w:color w:val="000000" w:themeColor="text1"/>
        </w:rPr>
        <w:t xml:space="preserve">. </w:t>
      </w:r>
      <w:r w:rsidR="00572B18" w:rsidRPr="0047468F">
        <w:rPr>
          <w:rFonts w:eastAsia="Yu Mincho"/>
          <w:color w:val="000000"/>
          <w:lang w:eastAsia="en-US"/>
        </w:rPr>
        <w:t>Our findings are comparable with other studies that have reported the high prevalence of mental ill-health among multimorbidity cohorts</w:t>
      </w:r>
      <w:r w:rsidR="006F0C4D" w:rsidRPr="0047468F">
        <w:rPr>
          <w:rFonts w:eastAsia="Yu Mincho"/>
          <w:color w:val="000000"/>
          <w:lang w:eastAsia="en-US"/>
        </w:rPr>
        <w:t>,[</w:t>
      </w:r>
      <w:r w:rsidR="00036C27" w:rsidRPr="0047468F">
        <w:rPr>
          <w:rFonts w:eastAsia="Yu Mincho"/>
          <w:color w:val="000000"/>
          <w:lang w:eastAsia="en-US"/>
        </w:rPr>
        <w:t>3</w:t>
      </w:r>
      <w:r w:rsidR="0038795E">
        <w:rPr>
          <w:rFonts w:eastAsia="Yu Mincho"/>
          <w:color w:val="000000"/>
          <w:lang w:eastAsia="en-US"/>
        </w:rPr>
        <w:t>9</w:t>
      </w:r>
      <w:r w:rsidR="00FF16AC" w:rsidRPr="0047468F">
        <w:rPr>
          <w:rFonts w:eastAsia="Yu Mincho"/>
          <w:color w:val="000000"/>
          <w:lang w:eastAsia="en-US"/>
        </w:rPr>
        <w:t>,</w:t>
      </w:r>
      <w:r w:rsidR="0038795E">
        <w:rPr>
          <w:rFonts w:eastAsia="Yu Mincho"/>
          <w:color w:val="000000"/>
          <w:lang w:eastAsia="en-US"/>
        </w:rPr>
        <w:t>40</w:t>
      </w:r>
      <w:r w:rsidR="006F0C4D" w:rsidRPr="0047468F">
        <w:rPr>
          <w:rFonts w:eastAsia="Yu Mincho"/>
          <w:color w:val="000000"/>
          <w:lang w:eastAsia="en-US"/>
        </w:rPr>
        <w:t>]</w:t>
      </w:r>
      <w:r w:rsidR="00572B18" w:rsidRPr="0047468F">
        <w:rPr>
          <w:rFonts w:eastAsia="Yu Mincho"/>
          <w:color w:val="000000"/>
          <w:lang w:eastAsia="en-US"/>
        </w:rPr>
        <w:t xml:space="preserve">. </w:t>
      </w:r>
      <w:r w:rsidR="00F30D1E" w:rsidRPr="0047468F">
        <w:rPr>
          <w:color w:val="000000" w:themeColor="text1"/>
          <w:lang w:eastAsia="en-US"/>
        </w:rPr>
        <w:t>There is therefore increasing evidence emphasising the need to target prevention efforts a</w:t>
      </w:r>
      <w:r w:rsidR="0020597E" w:rsidRPr="0047468F">
        <w:rPr>
          <w:color w:val="000000" w:themeColor="text1"/>
          <w:lang w:eastAsia="en-US"/>
        </w:rPr>
        <w:t xml:space="preserve">imed at mental ill-health in the early </w:t>
      </w:r>
      <w:r w:rsidR="00001D8A" w:rsidRPr="0047468F">
        <w:rPr>
          <w:color w:val="000000" w:themeColor="text1"/>
          <w:lang w:eastAsia="en-US"/>
        </w:rPr>
        <w:t>lifecourse</w:t>
      </w:r>
      <w:r w:rsidR="00F30D1E" w:rsidRPr="0047468F">
        <w:rPr>
          <w:color w:val="000000" w:themeColor="text1"/>
          <w:lang w:eastAsia="en-US"/>
        </w:rPr>
        <w:t>.</w:t>
      </w:r>
      <w:r w:rsidR="0020597E" w:rsidRPr="0047468F">
        <w:rPr>
          <w:color w:val="000000" w:themeColor="text1"/>
          <w:lang w:eastAsia="en-US"/>
        </w:rPr>
        <w:t xml:space="preserve"> Future research could </w:t>
      </w:r>
      <w:r w:rsidR="008D6267" w:rsidRPr="0047468F">
        <w:rPr>
          <w:color w:val="000000" w:themeColor="text1"/>
          <w:lang w:eastAsia="en-US"/>
        </w:rPr>
        <w:t>consider</w:t>
      </w:r>
      <w:r w:rsidR="0020597E" w:rsidRPr="0047468F">
        <w:rPr>
          <w:color w:val="000000" w:themeColor="text1"/>
          <w:lang w:eastAsia="en-US"/>
        </w:rPr>
        <w:t xml:space="preserve"> what role </w:t>
      </w:r>
      <w:r w:rsidR="00CB190D" w:rsidRPr="0047468F">
        <w:rPr>
          <w:color w:val="000000" w:themeColor="text1"/>
          <w:lang w:eastAsia="en-US"/>
        </w:rPr>
        <w:t>targeted</w:t>
      </w:r>
      <w:r w:rsidR="0020597E" w:rsidRPr="0047468F">
        <w:rPr>
          <w:color w:val="000000" w:themeColor="text1"/>
          <w:lang w:eastAsia="en-US"/>
        </w:rPr>
        <w:t xml:space="preserve"> me</w:t>
      </w:r>
      <w:r w:rsidR="00212812" w:rsidRPr="0047468F">
        <w:rPr>
          <w:color w:val="000000" w:themeColor="text1"/>
          <w:lang w:eastAsia="en-US"/>
        </w:rPr>
        <w:t>n</w:t>
      </w:r>
      <w:r w:rsidR="0020597E" w:rsidRPr="0047468F">
        <w:rPr>
          <w:color w:val="000000" w:themeColor="text1"/>
          <w:lang w:eastAsia="en-US"/>
        </w:rPr>
        <w:t xml:space="preserve">tal health prevention may play in altering multimorbidity pathways. </w:t>
      </w:r>
      <w:r w:rsidR="00F30D1E" w:rsidRPr="0047468F">
        <w:rPr>
          <w:color w:val="000000" w:themeColor="text1"/>
          <w:lang w:eastAsia="en-US"/>
        </w:rPr>
        <w:t xml:space="preserve">  </w:t>
      </w:r>
    </w:p>
    <w:p w14:paraId="13F7849E" w14:textId="19A76151" w:rsidR="007C5E51" w:rsidRDefault="007C5E51" w:rsidP="00E1230D">
      <w:pPr>
        <w:rPr>
          <w:b/>
          <w:bCs/>
          <w:color w:val="000000" w:themeColor="text1"/>
          <w:lang w:eastAsia="en-US"/>
        </w:rPr>
      </w:pPr>
    </w:p>
    <w:p w14:paraId="5A23FBE8" w14:textId="4A70FC29" w:rsidR="00FD36C1" w:rsidRDefault="007C5E51" w:rsidP="00FD36C1">
      <w:pPr>
        <w:rPr>
          <w:color w:val="000000" w:themeColor="text1"/>
          <w:shd w:val="clear" w:color="auto" w:fill="FFFFFF"/>
        </w:rPr>
      </w:pPr>
      <w:r>
        <w:rPr>
          <w:color w:val="000000" w:themeColor="text1"/>
          <w:lang w:eastAsia="en-US"/>
        </w:rPr>
        <w:t xml:space="preserve">Research </w:t>
      </w:r>
      <w:r w:rsidR="00487934">
        <w:rPr>
          <w:color w:val="000000" w:themeColor="text1"/>
          <w:lang w:eastAsia="en-US"/>
        </w:rPr>
        <w:t xml:space="preserve">using </w:t>
      </w:r>
      <w:r>
        <w:rPr>
          <w:color w:val="000000" w:themeColor="text1"/>
          <w:lang w:eastAsia="en-US"/>
        </w:rPr>
        <w:t>l</w:t>
      </w:r>
      <w:r w:rsidRPr="007C5E51">
        <w:rPr>
          <w:color w:val="000000" w:themeColor="text1"/>
          <w:lang w:eastAsia="en-US"/>
        </w:rPr>
        <w:t xml:space="preserve">ongitudinal analysis </w:t>
      </w:r>
      <w:r w:rsidR="005D345C">
        <w:rPr>
          <w:color w:val="000000" w:themeColor="text1"/>
          <w:lang w:eastAsia="en-US"/>
        </w:rPr>
        <w:t xml:space="preserve">to </w:t>
      </w:r>
      <w:r w:rsidRPr="007C5E51">
        <w:rPr>
          <w:color w:val="000000" w:themeColor="text1"/>
          <w:lang w:eastAsia="en-US"/>
        </w:rPr>
        <w:t xml:space="preserve">report </w:t>
      </w:r>
      <w:r>
        <w:rPr>
          <w:color w:val="000000" w:themeColor="text1"/>
          <w:lang w:eastAsia="en-US"/>
        </w:rPr>
        <w:t xml:space="preserve">sequencing and clusters of LTCs </w:t>
      </w:r>
      <w:r w:rsidR="007D762F">
        <w:rPr>
          <w:color w:val="000000" w:themeColor="text1"/>
          <w:lang w:eastAsia="en-US"/>
        </w:rPr>
        <w:t xml:space="preserve">across the lifecourse </w:t>
      </w:r>
      <w:r>
        <w:rPr>
          <w:color w:val="000000" w:themeColor="text1"/>
          <w:lang w:eastAsia="en-US"/>
        </w:rPr>
        <w:t>is scar</w:t>
      </w:r>
      <w:r w:rsidR="00134F31">
        <w:rPr>
          <w:color w:val="000000" w:themeColor="text1"/>
          <w:lang w:eastAsia="en-US"/>
        </w:rPr>
        <w:t>c</w:t>
      </w:r>
      <w:r>
        <w:rPr>
          <w:color w:val="000000" w:themeColor="text1"/>
          <w:lang w:eastAsia="en-US"/>
        </w:rPr>
        <w:t>e</w:t>
      </w:r>
      <w:r w:rsidR="006F0C4D">
        <w:rPr>
          <w:color w:val="000000" w:themeColor="text1"/>
          <w:lang w:eastAsia="en-US"/>
        </w:rPr>
        <w:t>,[</w:t>
      </w:r>
      <w:r w:rsidR="00BA09F7">
        <w:rPr>
          <w:color w:val="000000" w:themeColor="text1"/>
          <w:lang w:eastAsia="en-US"/>
        </w:rPr>
        <w:t>4</w:t>
      </w:r>
      <w:r w:rsidR="006F0C4D">
        <w:rPr>
          <w:color w:val="000000" w:themeColor="text1"/>
          <w:lang w:eastAsia="en-US"/>
        </w:rPr>
        <w:t>]</w:t>
      </w:r>
      <w:r w:rsidR="008F47D2">
        <w:rPr>
          <w:color w:val="000000" w:themeColor="text1"/>
          <w:lang w:eastAsia="en-US"/>
        </w:rPr>
        <w:t xml:space="preserve">. </w:t>
      </w:r>
      <w:r w:rsidR="00D7707E">
        <w:rPr>
          <w:color w:val="000000" w:themeColor="text1"/>
          <w:lang w:eastAsia="en-US"/>
        </w:rPr>
        <w:t>An Australian longitudinal study found that in a cohort of women over the age of 50, 17% developed multimorbidity over a 20-year period</w:t>
      </w:r>
      <w:r w:rsidR="006F0C4D">
        <w:rPr>
          <w:color w:val="000000" w:themeColor="text1"/>
          <w:lang w:eastAsia="en-US"/>
        </w:rPr>
        <w:t>,[</w:t>
      </w:r>
      <w:r w:rsidR="00BF511C">
        <w:rPr>
          <w:color w:val="000000" w:themeColor="text1"/>
          <w:lang w:eastAsia="en-US"/>
        </w:rPr>
        <w:t>4</w:t>
      </w:r>
      <w:r w:rsidR="0038795E">
        <w:rPr>
          <w:color w:val="000000" w:themeColor="text1"/>
          <w:lang w:eastAsia="en-US"/>
        </w:rPr>
        <w:t>1</w:t>
      </w:r>
      <w:r w:rsidR="006F0C4D">
        <w:rPr>
          <w:color w:val="000000" w:themeColor="text1"/>
          <w:lang w:eastAsia="en-US"/>
        </w:rPr>
        <w:t>]</w:t>
      </w:r>
      <w:r w:rsidR="00D7707E">
        <w:rPr>
          <w:color w:val="000000" w:themeColor="text1"/>
          <w:lang w:eastAsia="en-US"/>
        </w:rPr>
        <w:t xml:space="preserve">. </w:t>
      </w:r>
      <w:r w:rsidR="001B578D">
        <w:rPr>
          <w:color w:val="000000" w:themeColor="text1"/>
          <w:lang w:eastAsia="en-US"/>
        </w:rPr>
        <w:t>T</w:t>
      </w:r>
      <w:r w:rsidR="00CB190D">
        <w:rPr>
          <w:color w:val="000000" w:themeColor="text1"/>
          <w:lang w:eastAsia="en-US"/>
        </w:rPr>
        <w:t>he</w:t>
      </w:r>
      <w:r w:rsidR="00D7707E">
        <w:rPr>
          <w:color w:val="000000" w:themeColor="text1"/>
          <w:lang w:eastAsia="en-US"/>
        </w:rPr>
        <w:t xml:space="preserve"> onset of stroke was most strongly associated with the progression to </w:t>
      </w:r>
      <w:r w:rsidR="006F4B9F">
        <w:rPr>
          <w:color w:val="000000" w:themeColor="text1"/>
          <w:lang w:eastAsia="en-US"/>
        </w:rPr>
        <w:t>multimorbidity</w:t>
      </w:r>
      <w:r w:rsidR="00D7707E">
        <w:rPr>
          <w:color w:val="000000" w:themeColor="text1"/>
          <w:lang w:eastAsia="en-US"/>
        </w:rPr>
        <w:t xml:space="preserve"> (23%), whereas a smaller proportion of women progressed to multimorbidity after an initial diagnosis of diabetes (10%) or heart disease (11%)</w:t>
      </w:r>
      <w:r w:rsidR="006F0C4D">
        <w:rPr>
          <w:color w:val="000000" w:themeColor="text1"/>
          <w:lang w:eastAsia="en-US"/>
        </w:rPr>
        <w:t>,[</w:t>
      </w:r>
      <w:r w:rsidR="00BF511C">
        <w:rPr>
          <w:color w:val="000000" w:themeColor="text1"/>
          <w:lang w:eastAsia="en-US"/>
        </w:rPr>
        <w:t>4</w:t>
      </w:r>
      <w:r w:rsidR="0038795E">
        <w:rPr>
          <w:color w:val="000000" w:themeColor="text1"/>
          <w:lang w:eastAsia="en-US"/>
        </w:rPr>
        <w:t>1</w:t>
      </w:r>
      <w:r w:rsidR="006F0C4D">
        <w:rPr>
          <w:color w:val="000000" w:themeColor="text1"/>
          <w:lang w:eastAsia="en-US"/>
        </w:rPr>
        <w:t>]</w:t>
      </w:r>
      <w:r w:rsidR="00D7707E">
        <w:rPr>
          <w:color w:val="000000" w:themeColor="text1"/>
          <w:lang w:eastAsia="en-US"/>
        </w:rPr>
        <w:t>.</w:t>
      </w:r>
      <w:r w:rsidR="00365FB8">
        <w:rPr>
          <w:color w:val="000000" w:themeColor="text1"/>
          <w:lang w:eastAsia="en-US"/>
        </w:rPr>
        <w:t xml:space="preserve"> </w:t>
      </w:r>
      <w:r w:rsidR="00610206">
        <w:rPr>
          <w:color w:val="000000" w:themeColor="text1"/>
          <w:lang w:eastAsia="en-US"/>
        </w:rPr>
        <w:t xml:space="preserve">Our research supports a similar </w:t>
      </w:r>
      <w:r w:rsidR="007D762F">
        <w:rPr>
          <w:color w:val="000000" w:themeColor="text1"/>
          <w:lang w:eastAsia="en-US"/>
        </w:rPr>
        <w:t xml:space="preserve">lifecourse </w:t>
      </w:r>
      <w:r w:rsidR="00610206">
        <w:rPr>
          <w:color w:val="000000" w:themeColor="text1"/>
          <w:lang w:eastAsia="en-US"/>
        </w:rPr>
        <w:t>trajectory timeline</w:t>
      </w:r>
      <w:r w:rsidR="00212812">
        <w:rPr>
          <w:color w:val="000000" w:themeColor="text1"/>
          <w:lang w:eastAsia="en-US"/>
        </w:rPr>
        <w:t>:</w:t>
      </w:r>
      <w:r w:rsidR="00610206">
        <w:rPr>
          <w:color w:val="000000" w:themeColor="text1"/>
          <w:lang w:eastAsia="en-US"/>
        </w:rPr>
        <w:t xml:space="preserve"> </w:t>
      </w:r>
      <w:r w:rsidR="00610206" w:rsidRPr="00C80A3F">
        <w:t xml:space="preserve">22% of the cohort took 16 years to accrue all three </w:t>
      </w:r>
      <w:r w:rsidR="00610206">
        <w:t>LTCs</w:t>
      </w:r>
      <w:r w:rsidR="00610206" w:rsidRPr="00C80A3F">
        <w:t xml:space="preserve"> and 20%</w:t>
      </w:r>
      <w:r w:rsidR="00610206">
        <w:t xml:space="preserve"> </w:t>
      </w:r>
      <w:r w:rsidR="00610206" w:rsidRPr="00C80A3F">
        <w:t>took 20 years</w:t>
      </w:r>
      <w:r w:rsidR="00610206">
        <w:rPr>
          <w:color w:val="000000" w:themeColor="text1"/>
          <w:lang w:eastAsia="en-US"/>
        </w:rPr>
        <w:t>.</w:t>
      </w:r>
      <w:r w:rsidR="00E46B80">
        <w:rPr>
          <w:color w:val="000000" w:themeColor="text1"/>
          <w:lang w:eastAsia="en-US"/>
        </w:rPr>
        <w:t xml:space="preserve"> </w:t>
      </w:r>
      <w:r w:rsidR="00365FB8">
        <w:rPr>
          <w:color w:val="000000" w:themeColor="text1"/>
          <w:lang w:eastAsia="en-US"/>
        </w:rPr>
        <w:t xml:space="preserve">A </w:t>
      </w:r>
      <w:r w:rsidR="00365FB8" w:rsidRPr="00626026">
        <w:rPr>
          <w:color w:val="000000" w:themeColor="text1"/>
          <w:lang w:eastAsia="en-US"/>
        </w:rPr>
        <w:t>longitudinal study from Australia considered eight LTCs</w:t>
      </w:r>
      <w:r w:rsidR="00C9224F">
        <w:rPr>
          <w:color w:val="000000" w:themeColor="text1"/>
          <w:lang w:eastAsia="en-US"/>
        </w:rPr>
        <w:t xml:space="preserve"> over a 10-year period</w:t>
      </w:r>
      <w:r w:rsidR="009524E9">
        <w:rPr>
          <w:color w:val="000000" w:themeColor="text1"/>
          <w:lang w:eastAsia="en-US"/>
        </w:rPr>
        <w:t>;</w:t>
      </w:r>
      <w:r w:rsidR="00365FB8" w:rsidRPr="00626026">
        <w:rPr>
          <w:color w:val="000000" w:themeColor="text1"/>
          <w:lang w:eastAsia="en-US"/>
        </w:rPr>
        <w:t xml:space="preserve"> onset of </w:t>
      </w:r>
      <w:r w:rsidR="00365FB8" w:rsidRPr="008630AB">
        <w:rPr>
          <w:color w:val="000000" w:themeColor="text1"/>
          <w:shd w:val="clear" w:color="auto" w:fill="FFFFFF"/>
        </w:rPr>
        <w:t xml:space="preserve">hypertension, </w:t>
      </w:r>
      <w:r w:rsidR="00365FB8" w:rsidRPr="00626026">
        <w:rPr>
          <w:color w:val="000000" w:themeColor="text1"/>
          <w:shd w:val="clear" w:color="auto" w:fill="FFFFFF"/>
        </w:rPr>
        <w:t>cardiovascular disease and chronic obstructive pulmonary disease (COPD)</w:t>
      </w:r>
      <w:r w:rsidR="00626026" w:rsidRPr="00626026">
        <w:rPr>
          <w:color w:val="000000" w:themeColor="text1"/>
          <w:shd w:val="clear" w:color="auto" w:fill="FFFFFF"/>
        </w:rPr>
        <w:t xml:space="preserve"> w</w:t>
      </w:r>
      <w:r w:rsidR="00CB190D">
        <w:rPr>
          <w:color w:val="000000" w:themeColor="text1"/>
          <w:shd w:val="clear" w:color="auto" w:fill="FFFFFF"/>
        </w:rPr>
        <w:t>ere</w:t>
      </w:r>
      <w:r w:rsidR="00626026" w:rsidRPr="00626026">
        <w:rPr>
          <w:color w:val="000000" w:themeColor="text1"/>
          <w:shd w:val="clear" w:color="auto" w:fill="FFFFFF"/>
        </w:rPr>
        <w:t xml:space="preserve"> likely to occur at an older age and</w:t>
      </w:r>
      <w:r w:rsidR="00365FB8" w:rsidRPr="00626026">
        <w:rPr>
          <w:color w:val="000000" w:themeColor="text1"/>
          <w:shd w:val="clear" w:color="auto" w:fill="FFFFFF"/>
        </w:rPr>
        <w:t xml:space="preserve"> hypercholesterolemia, asthma and mental </w:t>
      </w:r>
      <w:r w:rsidR="00F704A8">
        <w:rPr>
          <w:color w:val="000000" w:themeColor="text1"/>
          <w:shd w:val="clear" w:color="auto" w:fill="FFFFFF"/>
        </w:rPr>
        <w:t xml:space="preserve">health </w:t>
      </w:r>
      <w:r w:rsidR="00365FB8" w:rsidRPr="00626026">
        <w:rPr>
          <w:color w:val="000000" w:themeColor="text1"/>
          <w:shd w:val="clear" w:color="auto" w:fill="FFFFFF"/>
        </w:rPr>
        <w:t>problem</w:t>
      </w:r>
      <w:r w:rsidR="00626026" w:rsidRPr="00626026">
        <w:rPr>
          <w:color w:val="000000" w:themeColor="text1"/>
          <w:shd w:val="clear" w:color="auto" w:fill="FFFFFF"/>
        </w:rPr>
        <w:t xml:space="preserve"> at younger ages</w:t>
      </w:r>
      <w:r w:rsidR="006F0C4D">
        <w:rPr>
          <w:color w:val="000000" w:themeColor="text1"/>
          <w:shd w:val="clear" w:color="auto" w:fill="FFFFFF"/>
        </w:rPr>
        <w:t>,[</w:t>
      </w:r>
      <w:r w:rsidR="00823954">
        <w:rPr>
          <w:color w:val="000000" w:themeColor="text1"/>
          <w:shd w:val="clear" w:color="auto" w:fill="FFFFFF"/>
        </w:rPr>
        <w:t>4</w:t>
      </w:r>
      <w:r w:rsidR="0038795E">
        <w:rPr>
          <w:color w:val="000000" w:themeColor="text1"/>
          <w:shd w:val="clear" w:color="auto" w:fill="FFFFFF"/>
        </w:rPr>
        <w:t>2</w:t>
      </w:r>
      <w:r w:rsidR="006F0C4D">
        <w:rPr>
          <w:color w:val="000000" w:themeColor="text1"/>
          <w:shd w:val="clear" w:color="auto" w:fill="FFFFFF"/>
        </w:rPr>
        <w:t>]</w:t>
      </w:r>
      <w:r w:rsidR="00CB190D">
        <w:rPr>
          <w:color w:val="000000" w:themeColor="text1"/>
          <w:shd w:val="clear" w:color="auto" w:fill="FFFFFF"/>
        </w:rPr>
        <w:t>.</w:t>
      </w:r>
      <w:r w:rsidR="00626026">
        <w:rPr>
          <w:color w:val="000000" w:themeColor="text1"/>
          <w:shd w:val="clear" w:color="auto" w:fill="FFFFFF"/>
        </w:rPr>
        <w:t xml:space="preserve"> </w:t>
      </w:r>
      <w:r w:rsidR="00F704A8">
        <w:rPr>
          <w:color w:val="000000" w:themeColor="text1"/>
          <w:shd w:val="clear" w:color="auto" w:fill="FFFFFF"/>
        </w:rPr>
        <w:t>A</w:t>
      </w:r>
      <w:r w:rsidR="00626026">
        <w:rPr>
          <w:color w:val="000000" w:themeColor="text1"/>
          <w:shd w:val="clear" w:color="auto" w:fill="FFFFFF"/>
        </w:rPr>
        <w:t>lthough h</w:t>
      </w:r>
      <w:r w:rsidR="00626026" w:rsidRPr="00626026">
        <w:rPr>
          <w:color w:val="000000" w:themeColor="text1"/>
          <w:shd w:val="clear" w:color="auto" w:fill="FFFFFF"/>
        </w:rPr>
        <w:t>ypercholesterolemia</w:t>
      </w:r>
      <w:r w:rsidR="00626026">
        <w:rPr>
          <w:color w:val="000000" w:themeColor="text1"/>
          <w:shd w:val="clear" w:color="auto" w:fill="FFFFFF"/>
        </w:rPr>
        <w:t xml:space="preserve"> was more likely to occur as a first chronic disease</w:t>
      </w:r>
      <w:r w:rsidR="008A4A31">
        <w:rPr>
          <w:color w:val="000000" w:themeColor="text1"/>
          <w:shd w:val="clear" w:color="auto" w:fill="FFFFFF"/>
        </w:rPr>
        <w:t xml:space="preserve"> (CD)</w:t>
      </w:r>
      <w:r w:rsidR="00626026">
        <w:rPr>
          <w:color w:val="000000" w:themeColor="text1"/>
          <w:shd w:val="clear" w:color="auto" w:fill="FFFFFF"/>
        </w:rPr>
        <w:t xml:space="preserve">, it was significantly associated with a lower risk of developing </w:t>
      </w:r>
      <w:r w:rsidR="008A4A31">
        <w:rPr>
          <w:color w:val="000000" w:themeColor="text1"/>
          <w:shd w:val="clear" w:color="auto" w:fill="FFFFFF"/>
        </w:rPr>
        <w:t xml:space="preserve">further </w:t>
      </w:r>
      <w:r w:rsidR="00626026">
        <w:rPr>
          <w:color w:val="000000" w:themeColor="text1"/>
          <w:shd w:val="clear" w:color="auto" w:fill="FFFFFF"/>
        </w:rPr>
        <w:t>CDs</w:t>
      </w:r>
      <w:r w:rsidR="006F0C4D">
        <w:rPr>
          <w:color w:val="000000" w:themeColor="text1"/>
          <w:shd w:val="clear" w:color="auto" w:fill="FFFFFF"/>
        </w:rPr>
        <w:t>,[</w:t>
      </w:r>
      <w:r w:rsidR="00FF16AC">
        <w:rPr>
          <w:color w:val="000000" w:themeColor="text1"/>
          <w:shd w:val="clear" w:color="auto" w:fill="FFFFFF"/>
        </w:rPr>
        <w:t>2</w:t>
      </w:r>
      <w:r w:rsidR="0038795E">
        <w:rPr>
          <w:color w:val="000000" w:themeColor="text1"/>
          <w:shd w:val="clear" w:color="auto" w:fill="FFFFFF"/>
        </w:rPr>
        <w:t>6</w:t>
      </w:r>
      <w:r w:rsidR="006F0C4D">
        <w:rPr>
          <w:color w:val="000000" w:themeColor="text1"/>
          <w:shd w:val="clear" w:color="auto" w:fill="FFFFFF"/>
        </w:rPr>
        <w:t>]</w:t>
      </w:r>
      <w:r w:rsidR="00626026">
        <w:rPr>
          <w:color w:val="000000" w:themeColor="text1"/>
          <w:shd w:val="clear" w:color="auto" w:fill="FFFFFF"/>
        </w:rPr>
        <w:t>. Alternatively</w:t>
      </w:r>
      <w:r w:rsidR="008A4A31">
        <w:rPr>
          <w:color w:val="000000" w:themeColor="text1"/>
          <w:shd w:val="clear" w:color="auto" w:fill="FFFFFF"/>
        </w:rPr>
        <w:t>,</w:t>
      </w:r>
      <w:r w:rsidR="00626026">
        <w:rPr>
          <w:color w:val="000000" w:themeColor="text1"/>
          <w:shd w:val="clear" w:color="auto" w:fill="FFFFFF"/>
        </w:rPr>
        <w:t xml:space="preserve"> mood and anxiety </w:t>
      </w:r>
      <w:r w:rsidR="008A4A31">
        <w:rPr>
          <w:color w:val="000000" w:themeColor="text1"/>
          <w:shd w:val="clear" w:color="auto" w:fill="FFFFFF"/>
        </w:rPr>
        <w:t>disorders</w:t>
      </w:r>
      <w:r w:rsidR="00626026">
        <w:rPr>
          <w:color w:val="000000" w:themeColor="text1"/>
          <w:shd w:val="clear" w:color="auto" w:fill="FFFFFF"/>
        </w:rPr>
        <w:t xml:space="preserve"> or asthma at baseline was associated with </w:t>
      </w:r>
      <w:r w:rsidR="00B47AC8">
        <w:rPr>
          <w:color w:val="000000" w:themeColor="text1"/>
          <w:shd w:val="clear" w:color="auto" w:fill="FFFFFF"/>
        </w:rPr>
        <w:t xml:space="preserve">the </w:t>
      </w:r>
      <w:r w:rsidR="001664C9">
        <w:rPr>
          <w:color w:val="000000" w:themeColor="text1"/>
          <w:shd w:val="clear" w:color="auto" w:fill="FFFFFF"/>
        </w:rPr>
        <w:t xml:space="preserve">risk of </w:t>
      </w:r>
      <w:r w:rsidR="00626026">
        <w:rPr>
          <w:color w:val="000000" w:themeColor="text1"/>
          <w:shd w:val="clear" w:color="auto" w:fill="FFFFFF"/>
        </w:rPr>
        <w:t xml:space="preserve">developing </w:t>
      </w:r>
      <w:r w:rsidR="008A4A31">
        <w:rPr>
          <w:color w:val="000000" w:themeColor="text1"/>
          <w:shd w:val="clear" w:color="auto" w:fill="FFFFFF"/>
        </w:rPr>
        <w:t>further CDs</w:t>
      </w:r>
      <w:r w:rsidR="006F0C4D">
        <w:rPr>
          <w:color w:val="000000" w:themeColor="text1"/>
          <w:shd w:val="clear" w:color="auto" w:fill="FFFFFF"/>
        </w:rPr>
        <w:t>,[</w:t>
      </w:r>
      <w:r w:rsidR="00823954">
        <w:rPr>
          <w:color w:val="000000" w:themeColor="text1"/>
          <w:shd w:val="clear" w:color="auto" w:fill="FFFFFF"/>
        </w:rPr>
        <w:t>4</w:t>
      </w:r>
      <w:r w:rsidR="0038795E">
        <w:rPr>
          <w:color w:val="000000" w:themeColor="text1"/>
          <w:shd w:val="clear" w:color="auto" w:fill="FFFFFF"/>
        </w:rPr>
        <w:t>2</w:t>
      </w:r>
      <w:r w:rsidR="006F0C4D">
        <w:rPr>
          <w:color w:val="000000" w:themeColor="text1"/>
          <w:shd w:val="clear" w:color="auto" w:fill="FFFFFF"/>
        </w:rPr>
        <w:t>]</w:t>
      </w:r>
      <w:r w:rsidR="008A4A31">
        <w:rPr>
          <w:color w:val="000000" w:themeColor="text1"/>
          <w:shd w:val="clear" w:color="auto" w:fill="FFFFFF"/>
        </w:rPr>
        <w:t>.</w:t>
      </w:r>
      <w:r w:rsidR="00626026">
        <w:rPr>
          <w:color w:val="000000" w:themeColor="text1"/>
          <w:shd w:val="clear" w:color="auto" w:fill="FFFFFF"/>
        </w:rPr>
        <w:t xml:space="preserve"> </w:t>
      </w:r>
      <w:r w:rsidR="008A4A31">
        <w:rPr>
          <w:color w:val="000000" w:themeColor="text1"/>
          <w:shd w:val="clear" w:color="auto" w:fill="FFFFFF"/>
        </w:rPr>
        <w:t xml:space="preserve">Those reporting mood and anxiety disorders were at </w:t>
      </w:r>
      <w:r w:rsidR="00763C5C">
        <w:rPr>
          <w:color w:val="000000" w:themeColor="text1"/>
          <w:shd w:val="clear" w:color="auto" w:fill="FFFFFF"/>
        </w:rPr>
        <w:t xml:space="preserve">a </w:t>
      </w:r>
      <w:r w:rsidR="008A4A31">
        <w:rPr>
          <w:color w:val="000000" w:themeColor="text1"/>
          <w:shd w:val="clear" w:color="auto" w:fill="FFFFFF"/>
        </w:rPr>
        <w:t xml:space="preserve">higher subsequent risk of diabetes, asthma and </w:t>
      </w:r>
      <w:r w:rsidR="008A4A31" w:rsidRPr="008A4A31">
        <w:rPr>
          <w:color w:val="000000" w:themeColor="text1"/>
          <w:shd w:val="clear" w:color="auto" w:fill="FFFFFF"/>
        </w:rPr>
        <w:t xml:space="preserve">mental disorders; </w:t>
      </w:r>
      <w:r w:rsidR="008A4A31">
        <w:rPr>
          <w:color w:val="000000" w:themeColor="text1"/>
          <w:shd w:val="clear" w:color="auto" w:fill="FFFFFF"/>
        </w:rPr>
        <w:t>those reporting</w:t>
      </w:r>
      <w:r w:rsidR="008A4A31" w:rsidRPr="008A4A31">
        <w:rPr>
          <w:color w:val="000000" w:themeColor="text1"/>
          <w:shd w:val="clear" w:color="auto" w:fill="FFFFFF"/>
        </w:rPr>
        <w:t xml:space="preserve"> asthma </w:t>
      </w:r>
      <w:r w:rsidR="008A4A31">
        <w:rPr>
          <w:color w:val="000000" w:themeColor="text1"/>
          <w:shd w:val="clear" w:color="auto" w:fill="FFFFFF"/>
        </w:rPr>
        <w:t>were at</w:t>
      </w:r>
      <w:r w:rsidR="008A4A31" w:rsidRPr="008A4A31">
        <w:rPr>
          <w:color w:val="000000" w:themeColor="text1"/>
          <w:shd w:val="clear" w:color="auto" w:fill="FFFFFF"/>
        </w:rPr>
        <w:t xml:space="preserve"> a higher risk of developing COPD and hypercholesterolaemia</w:t>
      </w:r>
      <w:r w:rsidR="006F0C4D">
        <w:rPr>
          <w:color w:val="000000" w:themeColor="text1"/>
          <w:shd w:val="clear" w:color="auto" w:fill="FFFFFF"/>
        </w:rPr>
        <w:t>,[</w:t>
      </w:r>
      <w:r w:rsidR="00823954">
        <w:rPr>
          <w:color w:val="000000" w:themeColor="text1"/>
          <w:shd w:val="clear" w:color="auto" w:fill="FFFFFF"/>
        </w:rPr>
        <w:t>4</w:t>
      </w:r>
      <w:r w:rsidR="0038795E">
        <w:rPr>
          <w:color w:val="000000" w:themeColor="text1"/>
          <w:shd w:val="clear" w:color="auto" w:fill="FFFFFF"/>
        </w:rPr>
        <w:t>2</w:t>
      </w:r>
      <w:r w:rsidR="006F0C4D">
        <w:rPr>
          <w:color w:val="000000" w:themeColor="text1"/>
          <w:shd w:val="clear" w:color="auto" w:fill="FFFFFF"/>
        </w:rPr>
        <w:t>]</w:t>
      </w:r>
      <w:r w:rsidR="008A4A31" w:rsidRPr="008A4A31">
        <w:rPr>
          <w:color w:val="000000" w:themeColor="text1"/>
          <w:shd w:val="clear" w:color="auto" w:fill="FFFFFF"/>
        </w:rPr>
        <w:t>.</w:t>
      </w:r>
      <w:r w:rsidR="00FD36C1" w:rsidRPr="00FD36C1">
        <w:rPr>
          <w:color w:val="000000" w:themeColor="text1"/>
          <w:shd w:val="clear" w:color="auto" w:fill="FFFFFF"/>
        </w:rPr>
        <w:t xml:space="preserve"> </w:t>
      </w:r>
    </w:p>
    <w:p w14:paraId="2A80377E" w14:textId="77777777" w:rsidR="00FD36C1" w:rsidRDefault="00FD36C1" w:rsidP="00FD36C1">
      <w:pPr>
        <w:rPr>
          <w:color w:val="000000" w:themeColor="text1"/>
          <w:shd w:val="clear" w:color="auto" w:fill="FFFFFF"/>
        </w:rPr>
      </w:pPr>
    </w:p>
    <w:p w14:paraId="2DE80353" w14:textId="4F5C1A3B" w:rsidR="00087805" w:rsidRDefault="00FD36C1" w:rsidP="00F30D1E">
      <w:pPr>
        <w:rPr>
          <w:color w:val="000000" w:themeColor="text1"/>
          <w:lang w:eastAsia="en-US"/>
        </w:rPr>
      </w:pPr>
      <w:r>
        <w:rPr>
          <w:color w:val="000000" w:themeColor="text1"/>
          <w:shd w:val="clear" w:color="auto" w:fill="FFFFFF"/>
        </w:rPr>
        <w:t>Finally, a study from the US explored the acquisition sequence of 20 LTCs describing both two</w:t>
      </w:r>
      <w:r w:rsidR="00212812">
        <w:rPr>
          <w:color w:val="000000" w:themeColor="text1"/>
          <w:shd w:val="clear" w:color="auto" w:fill="FFFFFF"/>
        </w:rPr>
        <w:t>-</w:t>
      </w:r>
      <w:r>
        <w:rPr>
          <w:color w:val="000000" w:themeColor="text1"/>
          <w:shd w:val="clear" w:color="auto" w:fill="FFFFFF"/>
        </w:rPr>
        <w:t xml:space="preserve"> and three</w:t>
      </w:r>
      <w:r w:rsidR="00212812">
        <w:rPr>
          <w:color w:val="000000" w:themeColor="text1"/>
          <w:shd w:val="clear" w:color="auto" w:fill="FFFFFF"/>
        </w:rPr>
        <w:t>-</w:t>
      </w:r>
      <w:r>
        <w:rPr>
          <w:color w:val="000000" w:themeColor="text1"/>
          <w:shd w:val="clear" w:color="auto" w:fill="FFFFFF"/>
        </w:rPr>
        <w:t>condition multimorbidity</w:t>
      </w:r>
      <w:r w:rsidR="006F0C4D">
        <w:rPr>
          <w:color w:val="000000" w:themeColor="text1"/>
          <w:shd w:val="clear" w:color="auto" w:fill="FFFFFF"/>
        </w:rPr>
        <w:t>,[</w:t>
      </w:r>
      <w:r w:rsidR="00036C27">
        <w:t>3</w:t>
      </w:r>
      <w:r w:rsidR="001D62CF">
        <w:t>8</w:t>
      </w:r>
      <w:r w:rsidR="006F0C4D">
        <w:t>]</w:t>
      </w:r>
      <w:r>
        <w:rPr>
          <w:color w:val="000000" w:themeColor="text1"/>
          <w:shd w:val="clear" w:color="auto" w:fill="FFFFFF"/>
        </w:rPr>
        <w:t>. T</w:t>
      </w:r>
      <w:r w:rsidRPr="00F30D1E">
        <w:rPr>
          <w:color w:val="000000" w:themeColor="text1"/>
          <w:shd w:val="clear" w:color="auto" w:fill="FFFFFF"/>
        </w:rPr>
        <w:t xml:space="preserve">he most common sequence </w:t>
      </w:r>
      <w:r>
        <w:rPr>
          <w:color w:val="000000" w:themeColor="text1"/>
          <w:shd w:val="clear" w:color="auto" w:fill="FFFFFF"/>
        </w:rPr>
        <w:t>of three</w:t>
      </w:r>
      <w:r w:rsidR="00F704A8">
        <w:rPr>
          <w:color w:val="000000" w:themeColor="text1"/>
          <w:shd w:val="clear" w:color="auto" w:fill="FFFFFF"/>
        </w:rPr>
        <w:t>-</w:t>
      </w:r>
      <w:r>
        <w:rPr>
          <w:color w:val="000000" w:themeColor="text1"/>
          <w:shd w:val="clear" w:color="auto" w:fill="FFFFFF"/>
        </w:rPr>
        <w:t xml:space="preserve">condition multimorbidity </w:t>
      </w:r>
      <w:r w:rsidRPr="00F30D1E">
        <w:rPr>
          <w:color w:val="000000" w:themeColor="text1"/>
          <w:shd w:val="clear" w:color="auto" w:fill="FFFFFF"/>
        </w:rPr>
        <w:t>in 20</w:t>
      </w:r>
      <w:r>
        <w:rPr>
          <w:color w:val="000000" w:themeColor="text1"/>
          <w:shd w:val="clear" w:color="auto" w:fill="FFFFFF"/>
        </w:rPr>
        <w:t>-</w:t>
      </w:r>
      <w:r w:rsidRPr="00F30D1E">
        <w:rPr>
          <w:color w:val="000000" w:themeColor="text1"/>
          <w:shd w:val="clear" w:color="auto" w:fill="FFFFFF"/>
        </w:rPr>
        <w:t>39 year olds was depression, asthma and substance misuse, whereas in 50–59 year olds, it was hyperlipidaemia, hypertension and diabetes</w:t>
      </w:r>
      <w:r w:rsidR="006F0C4D">
        <w:rPr>
          <w:color w:val="000000" w:themeColor="text1"/>
          <w:shd w:val="clear" w:color="auto" w:fill="FFFFFF"/>
        </w:rPr>
        <w:t>,[</w:t>
      </w:r>
      <w:r w:rsidR="00036C27">
        <w:rPr>
          <w:color w:val="000000" w:themeColor="text1"/>
        </w:rPr>
        <w:t>3</w:t>
      </w:r>
      <w:r w:rsidR="00F93699">
        <w:rPr>
          <w:color w:val="000000" w:themeColor="text1"/>
        </w:rPr>
        <w:t>8</w:t>
      </w:r>
      <w:r w:rsidR="006F0C4D">
        <w:rPr>
          <w:color w:val="000000" w:themeColor="text1"/>
        </w:rPr>
        <w:t>]</w:t>
      </w:r>
      <w:r w:rsidRPr="00F30D1E">
        <w:rPr>
          <w:color w:val="000000" w:themeColor="text1"/>
          <w:shd w:val="clear" w:color="auto" w:fill="FFFFFF"/>
        </w:rPr>
        <w:t>.</w:t>
      </w:r>
      <w:r w:rsidR="009457F1">
        <w:rPr>
          <w:color w:val="000000" w:themeColor="text1"/>
          <w:shd w:val="clear" w:color="auto" w:fill="FFFFFF"/>
        </w:rPr>
        <w:t xml:space="preserve"> </w:t>
      </w:r>
      <w:r w:rsidR="00087805">
        <w:rPr>
          <w:color w:val="000000" w:themeColor="text1"/>
          <w:lang w:eastAsia="en-US"/>
        </w:rPr>
        <w:t>Our research supports a similar sequence of accrual timeline</w:t>
      </w:r>
      <w:r>
        <w:rPr>
          <w:color w:val="000000" w:themeColor="text1"/>
          <w:lang w:eastAsia="en-US"/>
        </w:rPr>
        <w:t xml:space="preserve"> </w:t>
      </w:r>
      <w:r w:rsidR="001B578D">
        <w:rPr>
          <w:color w:val="000000" w:themeColor="text1"/>
          <w:lang w:eastAsia="en-US"/>
        </w:rPr>
        <w:t>to previous studies</w:t>
      </w:r>
      <w:r w:rsidR="006F0C4D">
        <w:rPr>
          <w:color w:val="000000" w:themeColor="text1"/>
        </w:rPr>
        <w:t>,[</w:t>
      </w:r>
      <w:r w:rsidR="00036C27">
        <w:rPr>
          <w:color w:val="000000" w:themeColor="text1"/>
        </w:rPr>
        <w:t>3</w:t>
      </w:r>
      <w:r w:rsidR="00F93699">
        <w:rPr>
          <w:color w:val="000000" w:themeColor="text1"/>
        </w:rPr>
        <w:t>8</w:t>
      </w:r>
      <w:r w:rsidR="001B578D">
        <w:rPr>
          <w:color w:val="000000" w:themeColor="text1"/>
        </w:rPr>
        <w:t>,</w:t>
      </w:r>
      <w:r w:rsidR="00823954">
        <w:rPr>
          <w:color w:val="000000" w:themeColor="text1"/>
        </w:rPr>
        <w:t>4</w:t>
      </w:r>
      <w:r w:rsidR="00F93699">
        <w:rPr>
          <w:color w:val="000000" w:themeColor="text1"/>
        </w:rPr>
        <w:t>2</w:t>
      </w:r>
      <w:r w:rsidR="006F0C4D">
        <w:rPr>
          <w:color w:val="000000" w:themeColor="text1"/>
        </w:rPr>
        <w:t>]</w:t>
      </w:r>
      <w:r w:rsidR="000D1924">
        <w:rPr>
          <w:color w:val="000000" w:themeColor="text1"/>
          <w:lang w:eastAsia="en-US"/>
        </w:rPr>
        <w:t>.</w:t>
      </w:r>
      <w:r w:rsidR="00087805">
        <w:rPr>
          <w:color w:val="000000" w:themeColor="text1"/>
          <w:lang w:eastAsia="en-US"/>
        </w:rPr>
        <w:t xml:space="preserve"> </w:t>
      </w:r>
      <w:r w:rsidR="000D1924">
        <w:rPr>
          <w:color w:val="000000" w:themeColor="text1"/>
          <w:lang w:eastAsia="en-US"/>
        </w:rPr>
        <w:t>W</w:t>
      </w:r>
      <w:r w:rsidR="00087805">
        <w:rPr>
          <w:color w:val="000000" w:themeColor="text1"/>
          <w:lang w:eastAsia="en-US"/>
        </w:rPr>
        <w:t>e found</w:t>
      </w:r>
      <w:r w:rsidR="009F3E50">
        <w:rPr>
          <w:color w:val="000000" w:themeColor="text1"/>
          <w:lang w:eastAsia="en-US"/>
        </w:rPr>
        <w:t xml:space="preserve"> </w:t>
      </w:r>
      <w:r w:rsidR="00B47AC8">
        <w:t>psychological distress</w:t>
      </w:r>
      <w:r w:rsidR="00087805">
        <w:rPr>
          <w:color w:val="000000" w:themeColor="text1"/>
          <w:lang w:eastAsia="en-US"/>
        </w:rPr>
        <w:t xml:space="preserve"> was likely to be the sentinel condition at younger ages. </w:t>
      </w:r>
      <w:r w:rsidR="00F704A8">
        <w:rPr>
          <w:color w:val="000000" w:themeColor="text1"/>
          <w:lang w:eastAsia="en-US"/>
        </w:rPr>
        <w:t>H</w:t>
      </w:r>
      <w:r w:rsidR="00087805">
        <w:rPr>
          <w:color w:val="000000" w:themeColor="text1"/>
          <w:lang w:eastAsia="en-US"/>
        </w:rPr>
        <w:t xml:space="preserve">igh blood </w:t>
      </w:r>
      <w:r w:rsidR="00087805">
        <w:rPr>
          <w:color w:val="000000" w:themeColor="text1"/>
          <w:lang w:eastAsia="en-US"/>
        </w:rPr>
        <w:lastRenderedPageBreak/>
        <w:t>pressure was infrequently reported as the sentinel condition</w:t>
      </w:r>
      <w:r w:rsidR="006F67BF">
        <w:rPr>
          <w:color w:val="000000" w:themeColor="text1"/>
          <w:lang w:eastAsia="en-US"/>
        </w:rPr>
        <w:t xml:space="preserve"> and </w:t>
      </w:r>
      <w:r w:rsidR="00087805">
        <w:rPr>
          <w:color w:val="000000" w:themeColor="text1"/>
          <w:lang w:eastAsia="en-US"/>
        </w:rPr>
        <w:t xml:space="preserve">likely to be reported at an older </w:t>
      </w:r>
      <w:r w:rsidR="0013550D">
        <w:rPr>
          <w:color w:val="000000" w:themeColor="text1"/>
          <w:lang w:eastAsia="en-US"/>
        </w:rPr>
        <w:t>age, often</w:t>
      </w:r>
      <w:r w:rsidR="00087805">
        <w:rPr>
          <w:color w:val="000000" w:themeColor="text1"/>
          <w:lang w:eastAsia="en-US"/>
        </w:rPr>
        <w:t xml:space="preserve"> as the last condition.</w:t>
      </w:r>
    </w:p>
    <w:p w14:paraId="71374F43" w14:textId="77777777" w:rsidR="00C9224F" w:rsidRDefault="00C9224F" w:rsidP="00C9224F">
      <w:pPr>
        <w:rPr>
          <w:rFonts w:eastAsia="Yu Mincho"/>
        </w:rPr>
      </w:pPr>
    </w:p>
    <w:p w14:paraId="2E664064" w14:textId="423A5815" w:rsidR="00C9224F" w:rsidRDefault="00454407" w:rsidP="00AE1F17">
      <w:pPr>
        <w:rPr>
          <w:rFonts w:eastAsia="Yu Mincho"/>
        </w:rPr>
      </w:pPr>
      <w:r w:rsidRPr="006F0C4D">
        <w:rPr>
          <w:rFonts w:eastAsia="Yu Mincho"/>
        </w:rPr>
        <w:t xml:space="preserve">Permanency of </w:t>
      </w:r>
      <w:r w:rsidR="00765F5E" w:rsidRPr="006F0C4D">
        <w:rPr>
          <w:rFonts w:eastAsia="Yu Mincho"/>
        </w:rPr>
        <w:t xml:space="preserve">the </w:t>
      </w:r>
      <w:r w:rsidR="00B240AB" w:rsidRPr="006F0C4D">
        <w:rPr>
          <w:rFonts w:eastAsia="Yu Mincho"/>
        </w:rPr>
        <w:t xml:space="preserve">psychological distress </w:t>
      </w:r>
      <w:r w:rsidR="00765F5E" w:rsidRPr="006F0C4D">
        <w:rPr>
          <w:rFonts w:eastAsia="Yu Mincho"/>
        </w:rPr>
        <w:t>over time</w:t>
      </w:r>
      <w:r w:rsidR="00C9224F" w:rsidRPr="006F0C4D">
        <w:rPr>
          <w:rFonts w:eastAsia="Yu Mincho"/>
        </w:rPr>
        <w:t xml:space="preserve">: </w:t>
      </w:r>
    </w:p>
    <w:p w14:paraId="5351FB5D" w14:textId="77777777" w:rsidR="00537062" w:rsidRPr="006F0C4D" w:rsidRDefault="00537062" w:rsidP="00AE1F17">
      <w:pPr>
        <w:rPr>
          <w:rFonts w:eastAsia="Yu Mincho"/>
        </w:rPr>
      </w:pPr>
    </w:p>
    <w:p w14:paraId="3CD10E85" w14:textId="484E185A" w:rsidR="006A230A" w:rsidRDefault="00F60A8A" w:rsidP="00925370">
      <w:pPr>
        <w:pStyle w:val="CommentText"/>
      </w:pPr>
      <w:r w:rsidRPr="00C9224F">
        <w:rPr>
          <w:rFonts w:eastAsia="Yu Mincho"/>
        </w:rPr>
        <w:t xml:space="preserve">Previous research suggest that </w:t>
      </w:r>
      <w:r w:rsidRPr="00C9224F">
        <w:t>mental health trajectories have been found to influence future health outcomes</w:t>
      </w:r>
      <w:r w:rsidR="006F0C4D">
        <w:t>,[</w:t>
      </w:r>
      <w:r w:rsidR="00036C27" w:rsidRPr="00C9224F">
        <w:t>13</w:t>
      </w:r>
      <w:r w:rsidR="00A25F07">
        <w:t>-16</w:t>
      </w:r>
      <w:r w:rsidR="006F0C4D">
        <w:t>]</w:t>
      </w:r>
      <w:r w:rsidRPr="00C9224F">
        <w:t>. 27.4%</w:t>
      </w:r>
      <w:r w:rsidR="00AE7FDC">
        <w:t xml:space="preserve"> (n=45)</w:t>
      </w:r>
      <w:r w:rsidRPr="00C9224F">
        <w:t xml:space="preserve"> of the MLTC-M </w:t>
      </w:r>
      <w:r w:rsidR="00C52C33" w:rsidRPr="00C9224F">
        <w:t>sub</w:t>
      </w:r>
      <w:r w:rsidRPr="00C9224F">
        <w:t>sample had persistent psychological distress across sweeps</w:t>
      </w:r>
      <w:r w:rsidR="00537062">
        <w:t xml:space="preserve"> and</w:t>
      </w:r>
      <w:r w:rsidR="00AE7FDC">
        <w:t xml:space="preserve"> </w:t>
      </w:r>
      <w:r w:rsidRPr="00C9224F">
        <w:t>30.5%</w:t>
      </w:r>
      <w:r w:rsidR="00AE7FDC">
        <w:t xml:space="preserve"> (n=50)</w:t>
      </w:r>
      <w:r w:rsidRPr="00C9224F">
        <w:t xml:space="preserve"> reported psychological distress that fluctuated.</w:t>
      </w:r>
      <w:r w:rsidR="009C44B5" w:rsidRPr="00C9224F">
        <w:t xml:space="preserve"> This represents a </w:t>
      </w:r>
      <w:r w:rsidR="00C9224F" w:rsidRPr="00C9224F">
        <w:t>substantial</w:t>
      </w:r>
      <w:r w:rsidR="007E048E" w:rsidRPr="00C9224F">
        <w:t xml:space="preserve"> </w:t>
      </w:r>
      <w:r w:rsidR="000F665C" w:rsidRPr="00C9224F">
        <w:t xml:space="preserve">proportion </w:t>
      </w:r>
      <w:r w:rsidR="009C44B5" w:rsidRPr="00C9224F">
        <w:t xml:space="preserve">of people </w:t>
      </w:r>
      <w:r w:rsidR="000F665C" w:rsidRPr="00C9224F">
        <w:t xml:space="preserve">with </w:t>
      </w:r>
      <w:r w:rsidR="009C44B5" w:rsidRPr="00C9224F">
        <w:t>transient</w:t>
      </w:r>
      <w:r w:rsidR="000F665C" w:rsidRPr="00C9224F">
        <w:t xml:space="preserve"> psychological distress pathways</w:t>
      </w:r>
      <w:r w:rsidR="00D0404E" w:rsidRPr="00C9224F">
        <w:t xml:space="preserve"> and supports </w:t>
      </w:r>
      <w:r w:rsidR="00CF4368" w:rsidRPr="00C9224F">
        <w:t>the need to consider how the cross</w:t>
      </w:r>
      <w:r w:rsidR="007D762F">
        <w:t>-</w:t>
      </w:r>
      <w:r w:rsidR="00CF4368" w:rsidRPr="00C9224F">
        <w:t>section</w:t>
      </w:r>
      <w:r w:rsidR="00212812">
        <w:t>al</w:t>
      </w:r>
      <w:r w:rsidR="00CF4368" w:rsidRPr="00C9224F">
        <w:t xml:space="preserve"> reporting </w:t>
      </w:r>
      <w:r w:rsidR="00DC739F" w:rsidRPr="00C9224F">
        <w:t>of LTC</w:t>
      </w:r>
      <w:r w:rsidR="008562C6" w:rsidRPr="00C9224F">
        <w:t xml:space="preserve"> may not reflect </w:t>
      </w:r>
      <w:r w:rsidR="000F665C" w:rsidRPr="00C9224F">
        <w:t>the variation in</w:t>
      </w:r>
      <w:r w:rsidR="003E4B58" w:rsidRPr="00C9224F">
        <w:t xml:space="preserve"> </w:t>
      </w:r>
      <w:r w:rsidR="000F665C" w:rsidRPr="00C9224F">
        <w:t xml:space="preserve">certain </w:t>
      </w:r>
      <w:r w:rsidR="003E4B58" w:rsidRPr="00C9224F">
        <w:t xml:space="preserve">LTC </w:t>
      </w:r>
      <w:r w:rsidR="00252D37" w:rsidRPr="00C9224F">
        <w:t>over</w:t>
      </w:r>
      <w:r w:rsidR="007D762F">
        <w:t xml:space="preserve"> the lifecourse</w:t>
      </w:r>
      <w:r w:rsidR="00252D37" w:rsidRPr="00C9224F">
        <w:t>.</w:t>
      </w:r>
      <w:r w:rsidR="007977DE">
        <w:t xml:space="preserve"> We demonstrate that</w:t>
      </w:r>
      <w:r w:rsidR="00A072B0">
        <w:t xml:space="preserve"> the </w:t>
      </w:r>
      <w:r w:rsidR="00D51DA7">
        <w:t xml:space="preserve">lifecourse pathways to </w:t>
      </w:r>
      <w:r w:rsidR="002E0157">
        <w:t xml:space="preserve">the </w:t>
      </w:r>
      <w:r w:rsidR="00A072B0">
        <w:t>three condition MLTC-M we consider</w:t>
      </w:r>
      <w:r w:rsidR="00936E04">
        <w:t>ed</w:t>
      </w:r>
      <w:r w:rsidR="00A072B0">
        <w:t xml:space="preserve"> </w:t>
      </w:r>
      <w:r w:rsidR="00DD3978">
        <w:t>fluctuate</w:t>
      </w:r>
      <w:r w:rsidR="00683FF8">
        <w:t>d</w:t>
      </w:r>
      <w:r w:rsidR="00DD3978">
        <w:t xml:space="preserve"> across the population</w:t>
      </w:r>
      <w:r w:rsidR="00BB1C25">
        <w:t>,</w:t>
      </w:r>
      <w:r w:rsidR="00DD3978">
        <w:t xml:space="preserve"> and </w:t>
      </w:r>
      <w:r w:rsidR="00146058">
        <w:t>use of</w:t>
      </w:r>
      <w:r w:rsidR="00DD3978">
        <w:t xml:space="preserve"> </w:t>
      </w:r>
      <w:r w:rsidR="00180D84">
        <w:t xml:space="preserve">cross sectional methods </w:t>
      </w:r>
      <w:r w:rsidR="00D57A20">
        <w:t>would</w:t>
      </w:r>
      <w:r w:rsidR="00180D84">
        <w:t xml:space="preserve"> not </w:t>
      </w:r>
      <w:r w:rsidR="00146058">
        <w:t xml:space="preserve">have identified </w:t>
      </w:r>
      <w:r w:rsidR="00180D84">
        <w:t>the</w:t>
      </w:r>
      <w:r w:rsidR="00D57A20">
        <w:t>se</w:t>
      </w:r>
      <w:r w:rsidR="00180D84">
        <w:t xml:space="preserve"> diverse pathways to multimorbidity. </w:t>
      </w:r>
      <w:r w:rsidR="007C35A1">
        <w:t xml:space="preserve">Our results are </w:t>
      </w:r>
      <w:r w:rsidR="001A638C">
        <w:t xml:space="preserve">also </w:t>
      </w:r>
      <w:r w:rsidR="007C35A1">
        <w:t xml:space="preserve">distinct from </w:t>
      </w:r>
      <w:r w:rsidR="001A638C">
        <w:t xml:space="preserve">studies using </w:t>
      </w:r>
      <w:r w:rsidR="00A27622">
        <w:t xml:space="preserve">clinical coding in routine data, </w:t>
      </w:r>
      <w:r w:rsidR="00687C3E">
        <w:t xml:space="preserve">where </w:t>
      </w:r>
      <w:r w:rsidR="001A638C">
        <w:t xml:space="preserve">the presence of a diagnosis </w:t>
      </w:r>
      <w:r w:rsidR="00687C3E">
        <w:t>cod</w:t>
      </w:r>
      <w:r w:rsidR="001A638C">
        <w:t>e</w:t>
      </w:r>
      <w:r w:rsidR="00687C3E">
        <w:t xml:space="preserve"> </w:t>
      </w:r>
      <w:r w:rsidR="001A638C">
        <w:t xml:space="preserve">often leads to a </w:t>
      </w:r>
      <w:r w:rsidR="003246E6">
        <w:t>suggestion</w:t>
      </w:r>
      <w:r w:rsidR="001A638C">
        <w:t xml:space="preserve"> of</w:t>
      </w:r>
      <w:r w:rsidR="00687C3E">
        <w:t xml:space="preserve"> </w:t>
      </w:r>
      <w:r w:rsidR="0035279A">
        <w:t>permanency</w:t>
      </w:r>
      <w:r w:rsidR="00687C3E">
        <w:t xml:space="preserve"> of a diagnosis </w:t>
      </w:r>
      <w:r w:rsidR="00A92834">
        <w:t>within health care records</w:t>
      </w:r>
      <w:r w:rsidR="00162C59">
        <w:t>.</w:t>
      </w:r>
      <w:r w:rsidR="00A92834">
        <w:t xml:space="preserve"> </w:t>
      </w:r>
      <w:r w:rsidR="00DD4DC2">
        <w:t>Using</w:t>
      </w:r>
      <w:r w:rsidR="00A92834">
        <w:t xml:space="preserve"> </w:t>
      </w:r>
      <w:r w:rsidR="00512F15">
        <w:t>a validated tool for assessing psychological distress</w:t>
      </w:r>
      <w:r w:rsidR="00DD4DC2">
        <w:t xml:space="preserve"> as we have in this study</w:t>
      </w:r>
      <w:r w:rsidR="004A4F56">
        <w:t xml:space="preserve">, rather than a </w:t>
      </w:r>
      <w:r w:rsidR="00DD4DC2">
        <w:t xml:space="preserve">purely </w:t>
      </w:r>
      <w:r w:rsidR="004A4F56">
        <w:t>self-reported measure</w:t>
      </w:r>
      <w:r w:rsidR="00DD4DC2">
        <w:t>,</w:t>
      </w:r>
      <w:r w:rsidR="00512F15">
        <w:t xml:space="preserve"> </w:t>
      </w:r>
      <w:r w:rsidR="00DD4DC2">
        <w:t>demonstrates the greater complexity of trajectories</w:t>
      </w:r>
      <w:r w:rsidR="0001336B">
        <w:t xml:space="preserve"> than </w:t>
      </w:r>
      <w:r w:rsidR="00DD4DC2">
        <w:t xml:space="preserve">might </w:t>
      </w:r>
      <w:r w:rsidR="0001336B">
        <w:t xml:space="preserve">clinic </w:t>
      </w:r>
      <w:r w:rsidR="002D31AB">
        <w:t>coding</w:t>
      </w:r>
      <w:r w:rsidR="00DD4DC2">
        <w:t>.</w:t>
      </w:r>
      <w:r w:rsidR="002D31AB">
        <w:t xml:space="preserve"> </w:t>
      </w:r>
      <w:r w:rsidR="00DD4DC2">
        <w:t>F</w:t>
      </w:r>
      <w:r w:rsidR="002D31AB">
        <w:t xml:space="preserve">or example </w:t>
      </w:r>
      <w:r w:rsidR="00512F15">
        <w:t xml:space="preserve">over </w:t>
      </w:r>
      <w:r w:rsidR="006A63F8">
        <w:t xml:space="preserve">55% </w:t>
      </w:r>
      <w:r w:rsidR="004A4F56">
        <w:t xml:space="preserve">(n=93) of the </w:t>
      </w:r>
      <w:r w:rsidR="004A4F56" w:rsidRPr="00C9224F">
        <w:t>MLTC-M subsample</w:t>
      </w:r>
      <w:r w:rsidR="0038431A">
        <w:t xml:space="preserve"> report a</w:t>
      </w:r>
      <w:r w:rsidR="00AC646A">
        <w:t xml:space="preserve"> psychological distress</w:t>
      </w:r>
      <w:r w:rsidR="0038431A">
        <w:t xml:space="preserve"> trajectory that </w:t>
      </w:r>
      <w:r w:rsidR="00EE07C3">
        <w:t>changed</w:t>
      </w:r>
      <w:r w:rsidR="0038431A">
        <w:t xml:space="preserve"> at least once across the adult lifecourse. </w:t>
      </w:r>
      <w:r w:rsidR="00DD4DC2">
        <w:t>Previous</w:t>
      </w:r>
      <w:r w:rsidR="00252D37" w:rsidRPr="00C9224F">
        <w:t xml:space="preserve"> r</w:t>
      </w:r>
      <w:r w:rsidRPr="00C9224F">
        <w:t xml:space="preserve">esearch that has considered psychological distress trajectories found that </w:t>
      </w:r>
      <w:r w:rsidRPr="00AE1F17">
        <w:t xml:space="preserve">the BCS70 </w:t>
      </w:r>
      <w:r w:rsidR="008773BB" w:rsidRPr="00AE1F17">
        <w:t xml:space="preserve">cohort </w:t>
      </w:r>
      <w:r w:rsidRPr="00AE1F17">
        <w:t>experienced elevated levels of psychological distress in their mid-20s compared with their early-mid 30s</w:t>
      </w:r>
      <w:r w:rsidR="006F0C4D">
        <w:t>,[</w:t>
      </w:r>
      <w:r w:rsidR="00036C27" w:rsidRPr="00AE1F17">
        <w:t>2</w:t>
      </w:r>
      <w:r w:rsidR="00F93699">
        <w:t>6</w:t>
      </w:r>
      <w:r w:rsidR="006F0C4D">
        <w:t>]</w:t>
      </w:r>
      <w:r w:rsidR="00212812">
        <w:t xml:space="preserve"> and that </w:t>
      </w:r>
      <w:r w:rsidRPr="00AE1F17">
        <w:t>midlife appeared to be a particularly vulnerable phase for experiencing psychological distress</w:t>
      </w:r>
      <w:r w:rsidR="006F0C4D">
        <w:t>,[</w:t>
      </w:r>
      <w:r w:rsidR="00036C27" w:rsidRPr="00AE1F17">
        <w:t>2</w:t>
      </w:r>
      <w:r w:rsidR="00F93699">
        <w:t>6</w:t>
      </w:r>
      <w:r w:rsidR="006F0C4D">
        <w:t>]</w:t>
      </w:r>
      <w:r w:rsidRPr="00AE1F17">
        <w:t xml:space="preserve">. </w:t>
      </w:r>
      <w:r w:rsidR="00525E28" w:rsidRPr="00AE1F17">
        <w:t xml:space="preserve">Our </w:t>
      </w:r>
      <w:r w:rsidRPr="00AE1F17">
        <w:t xml:space="preserve">MLTC-M </w:t>
      </w:r>
      <w:r w:rsidR="00525E28" w:rsidRPr="00AE1F17">
        <w:t>sub</w:t>
      </w:r>
      <w:r w:rsidRPr="00AE1F17">
        <w:t xml:space="preserve">group </w:t>
      </w:r>
      <w:r w:rsidR="0071692C">
        <w:t>showed</w:t>
      </w:r>
      <w:r w:rsidR="0071692C" w:rsidRPr="00AE1F17">
        <w:t xml:space="preserve"> </w:t>
      </w:r>
      <w:r w:rsidRPr="00AE1F17">
        <w:t>a similar</w:t>
      </w:r>
      <w:r w:rsidR="00E74AF0">
        <w:t xml:space="preserve"> </w:t>
      </w:r>
      <w:r w:rsidR="00E74AF0" w:rsidRPr="00AE1F17">
        <w:t>psychological distress</w:t>
      </w:r>
      <w:r w:rsidRPr="00AE1F17">
        <w:t xml:space="preserve"> </w:t>
      </w:r>
      <w:r w:rsidR="007D762F">
        <w:t xml:space="preserve">lifecourse </w:t>
      </w:r>
      <w:r w:rsidRPr="00AE1F17">
        <w:t>trajectory</w:t>
      </w:r>
      <w:r w:rsidR="00E51F5C">
        <w:t>.</w:t>
      </w:r>
      <w:r w:rsidR="00B77E5A">
        <w:t xml:space="preserve"> It </w:t>
      </w:r>
      <w:r w:rsidR="00F51D40">
        <w:t>is</w:t>
      </w:r>
      <w:r w:rsidR="00B77E5A">
        <w:t xml:space="preserve"> </w:t>
      </w:r>
      <w:r w:rsidR="0071692C">
        <w:t xml:space="preserve">also </w:t>
      </w:r>
      <w:r w:rsidR="00B77E5A">
        <w:t xml:space="preserve">noteworthy that while we focus on the </w:t>
      </w:r>
      <w:r w:rsidR="00F51D40">
        <w:t>permanency</w:t>
      </w:r>
      <w:r w:rsidR="00B77E5A">
        <w:t xml:space="preserve"> of </w:t>
      </w:r>
      <w:r w:rsidR="00F51D40">
        <w:t>psychological distress</w:t>
      </w:r>
      <w:r w:rsidR="0071692C">
        <w:t>,</w:t>
      </w:r>
      <w:r w:rsidR="00B77E5A">
        <w:t xml:space="preserve"> other studies </w:t>
      </w:r>
      <w:r w:rsidR="005D49F5">
        <w:t>have</w:t>
      </w:r>
      <w:r w:rsidR="00B77E5A">
        <w:t xml:space="preserve"> </w:t>
      </w:r>
      <w:r w:rsidR="0071692C">
        <w:t>explored</w:t>
      </w:r>
      <w:r w:rsidR="00B77E5A">
        <w:t xml:space="preserve"> the permanency of physical health conditions </w:t>
      </w:r>
      <w:r w:rsidR="009F4C0C">
        <w:t>including</w:t>
      </w:r>
      <w:r w:rsidR="009D5782">
        <w:t xml:space="preserve"> asthma</w:t>
      </w:r>
      <w:r w:rsidR="00E90BF2">
        <w:t>,[4</w:t>
      </w:r>
      <w:r w:rsidR="00F93699">
        <w:t>3</w:t>
      </w:r>
      <w:r w:rsidR="00E90BF2">
        <w:t>]</w:t>
      </w:r>
      <w:r w:rsidR="00D67E9E">
        <w:t>, pain</w:t>
      </w:r>
      <w:r w:rsidR="00E90BF2">
        <w:t>,[4</w:t>
      </w:r>
      <w:r w:rsidR="00F93699">
        <w:t>4</w:t>
      </w:r>
      <w:r w:rsidR="00E90BF2">
        <w:t xml:space="preserve">] </w:t>
      </w:r>
      <w:r w:rsidR="00D67E9E">
        <w:t xml:space="preserve">and </w:t>
      </w:r>
      <w:r w:rsidR="00275119">
        <w:t>obesity</w:t>
      </w:r>
      <w:r w:rsidR="00E90BF2">
        <w:t>,[4</w:t>
      </w:r>
      <w:r w:rsidR="00F93699">
        <w:t>5</w:t>
      </w:r>
      <w:r w:rsidR="00E90BF2">
        <w:t>]</w:t>
      </w:r>
      <w:r w:rsidR="002C1A16">
        <w:t xml:space="preserve">, and this is worthy of further consideration in future </w:t>
      </w:r>
      <w:r w:rsidR="0038059E">
        <w:t>research</w:t>
      </w:r>
      <w:r w:rsidR="002C1A16">
        <w:t>.</w:t>
      </w:r>
    </w:p>
    <w:p w14:paraId="287E9581" w14:textId="77777777" w:rsidR="00966FAC" w:rsidRDefault="00966FAC" w:rsidP="006A230A">
      <w:pPr>
        <w:rPr>
          <w:rFonts w:eastAsia="Yu Mincho"/>
          <w:i/>
          <w:iCs/>
          <w:color w:val="000000"/>
          <w:lang w:eastAsia="en-US"/>
        </w:rPr>
      </w:pPr>
    </w:p>
    <w:p w14:paraId="5BE6648F" w14:textId="2BE16245" w:rsidR="006A230A" w:rsidRDefault="006A230A" w:rsidP="006A230A">
      <w:pPr>
        <w:rPr>
          <w:rFonts w:eastAsia="Yu Mincho"/>
          <w:color w:val="000000"/>
          <w:lang w:eastAsia="en-US"/>
        </w:rPr>
      </w:pPr>
      <w:r w:rsidRPr="006F0C4D">
        <w:rPr>
          <w:rFonts w:eastAsia="Yu Mincho"/>
          <w:color w:val="000000"/>
          <w:lang w:eastAsia="en-US"/>
        </w:rPr>
        <w:t>Meaning of the study:</w:t>
      </w:r>
    </w:p>
    <w:p w14:paraId="0083AD3D" w14:textId="77777777" w:rsidR="00537062" w:rsidRPr="006F0C4D" w:rsidRDefault="00537062" w:rsidP="006A230A">
      <w:pPr>
        <w:rPr>
          <w:rFonts w:eastAsia="Yu Mincho"/>
          <w:color w:val="000000"/>
          <w:lang w:eastAsia="en-US"/>
        </w:rPr>
      </w:pPr>
    </w:p>
    <w:p w14:paraId="7091C260" w14:textId="50A1A88B" w:rsidR="006A230A" w:rsidRDefault="001B578D" w:rsidP="006A230A">
      <w:pPr>
        <w:rPr>
          <w:color w:val="000000" w:themeColor="text1"/>
          <w:lang w:eastAsia="en-US"/>
        </w:rPr>
      </w:pPr>
      <w:r>
        <w:rPr>
          <w:rFonts w:eastAsia="Yu Mincho"/>
          <w:color w:val="000000"/>
          <w:lang w:eastAsia="en-US"/>
        </w:rPr>
        <w:t>A</w:t>
      </w:r>
      <w:r w:rsidR="006A230A">
        <w:rPr>
          <w:rFonts w:eastAsia="Yu Mincho"/>
          <w:color w:val="000000"/>
          <w:lang w:eastAsia="en-US"/>
        </w:rPr>
        <w:t xml:space="preserve">mong the BCS70 cohort </w:t>
      </w:r>
      <w:r w:rsidR="006A230A" w:rsidRPr="00C80A3F">
        <w:rPr>
          <w:rFonts w:eastAsia="Yu Mincho"/>
          <w:color w:val="000000"/>
          <w:lang w:eastAsia="en-US"/>
        </w:rPr>
        <w:t xml:space="preserve">two </w:t>
      </w:r>
      <w:r w:rsidR="00572B18">
        <w:rPr>
          <w:rFonts w:eastAsia="Yu Mincho"/>
          <w:color w:val="000000"/>
          <w:lang w:eastAsia="en-US"/>
        </w:rPr>
        <w:t>condition multimorbidity</w:t>
      </w:r>
      <w:r w:rsidR="006A230A">
        <w:rPr>
          <w:rFonts w:eastAsia="Yu Mincho"/>
          <w:color w:val="000000"/>
          <w:lang w:eastAsia="en-US"/>
        </w:rPr>
        <w:t xml:space="preserve"> </w:t>
      </w:r>
      <w:r w:rsidR="006A230A" w:rsidRPr="00C80A3F">
        <w:rPr>
          <w:rFonts w:eastAsia="Yu Mincho"/>
          <w:color w:val="000000"/>
          <w:lang w:eastAsia="en-US"/>
        </w:rPr>
        <w:t xml:space="preserve">at age 46-48 </w:t>
      </w:r>
      <w:r w:rsidR="006A230A">
        <w:rPr>
          <w:rFonts w:eastAsia="Yu Mincho"/>
          <w:color w:val="000000"/>
          <w:lang w:eastAsia="en-US"/>
        </w:rPr>
        <w:t xml:space="preserve">was common </w:t>
      </w:r>
      <w:r w:rsidR="0011030A">
        <w:rPr>
          <w:rFonts w:eastAsia="Yu Mincho"/>
          <w:color w:val="000000"/>
          <w:lang w:eastAsia="en-US"/>
        </w:rPr>
        <w:t>(</w:t>
      </w:r>
      <w:r w:rsidR="006A230A" w:rsidRPr="00C80A3F">
        <w:rPr>
          <w:rFonts w:eastAsia="Yu Mincho"/>
          <w:color w:val="000000"/>
          <w:lang w:eastAsia="en-US"/>
        </w:rPr>
        <w:t>3</w:t>
      </w:r>
      <w:r w:rsidR="006A230A">
        <w:rPr>
          <w:rFonts w:eastAsia="Yu Mincho"/>
          <w:color w:val="000000"/>
          <w:lang w:eastAsia="en-US"/>
        </w:rPr>
        <w:t>4</w:t>
      </w:r>
      <w:r w:rsidR="006A230A" w:rsidRPr="00C80A3F">
        <w:rPr>
          <w:rFonts w:eastAsia="Yu Mincho"/>
          <w:color w:val="000000"/>
          <w:lang w:eastAsia="en-US"/>
        </w:rPr>
        <w:t>%</w:t>
      </w:r>
      <w:r w:rsidR="0011030A">
        <w:rPr>
          <w:rFonts w:eastAsia="Yu Mincho"/>
          <w:color w:val="000000"/>
          <w:lang w:eastAsia="en-US"/>
        </w:rPr>
        <w:t>)</w:t>
      </w:r>
      <w:r w:rsidR="006F0C4D">
        <w:rPr>
          <w:rFonts w:eastAsia="Yu Mincho"/>
          <w:color w:val="000000"/>
          <w:lang w:eastAsia="en-US"/>
        </w:rPr>
        <w:t>,[</w:t>
      </w:r>
      <w:r>
        <w:rPr>
          <w:rFonts w:eastAsia="Yu Mincho"/>
          <w:color w:val="000000"/>
          <w:lang w:eastAsia="en-US"/>
        </w:rPr>
        <w:t>1</w:t>
      </w:r>
      <w:r w:rsidR="00A25F07">
        <w:rPr>
          <w:rFonts w:eastAsia="Yu Mincho"/>
          <w:color w:val="000000"/>
          <w:lang w:eastAsia="en-US"/>
        </w:rPr>
        <w:t>9</w:t>
      </w:r>
      <w:r w:rsidR="006F0C4D">
        <w:rPr>
          <w:rFonts w:eastAsia="Yu Mincho"/>
          <w:color w:val="000000"/>
          <w:lang w:eastAsia="en-US"/>
        </w:rPr>
        <w:t>]</w:t>
      </w:r>
      <w:r w:rsidR="006A230A">
        <w:rPr>
          <w:rFonts w:eastAsia="Yu Mincho"/>
          <w:color w:val="000000"/>
          <w:lang w:eastAsia="en-US"/>
        </w:rPr>
        <w:t xml:space="preserve">. </w:t>
      </w:r>
      <w:r w:rsidR="0013550D">
        <w:rPr>
          <w:rFonts w:eastAsia="Yu Mincho"/>
          <w:color w:val="000000"/>
          <w:lang w:eastAsia="en-US"/>
        </w:rPr>
        <w:t>Furthermore,</w:t>
      </w:r>
      <w:r>
        <w:rPr>
          <w:rFonts w:eastAsia="Yu Mincho"/>
          <w:color w:val="000000"/>
          <w:lang w:eastAsia="en-US"/>
        </w:rPr>
        <w:t xml:space="preserve"> </w:t>
      </w:r>
      <w:r w:rsidR="006A230A">
        <w:rPr>
          <w:rFonts w:eastAsia="Yu Mincho"/>
          <w:color w:val="000000"/>
          <w:lang w:eastAsia="en-US"/>
        </w:rPr>
        <w:t xml:space="preserve">almost a third of people in a representative primary care dataset </w:t>
      </w:r>
      <w:r w:rsidR="0092243D">
        <w:rPr>
          <w:rFonts w:eastAsia="Yu Mincho"/>
          <w:color w:val="000000"/>
          <w:lang w:eastAsia="en-US"/>
        </w:rPr>
        <w:t>who</w:t>
      </w:r>
      <w:r w:rsidR="006A230A">
        <w:rPr>
          <w:rFonts w:eastAsia="Yu Mincho"/>
          <w:color w:val="000000"/>
          <w:lang w:eastAsia="en-US"/>
        </w:rPr>
        <w:t xml:space="preserve"> reported </w:t>
      </w:r>
      <w:r w:rsidR="0092243D">
        <w:rPr>
          <w:rFonts w:eastAsia="Yu Mincho"/>
          <w:color w:val="000000"/>
          <w:lang w:eastAsia="en-US"/>
        </w:rPr>
        <w:t xml:space="preserve">two </w:t>
      </w:r>
      <w:r w:rsidR="009F2F78">
        <w:rPr>
          <w:rFonts w:eastAsia="Yu Mincho"/>
          <w:color w:val="000000"/>
          <w:lang w:eastAsia="en-US"/>
        </w:rPr>
        <w:t>LTCs</w:t>
      </w:r>
      <w:r w:rsidR="006A230A">
        <w:rPr>
          <w:rFonts w:eastAsia="Yu Mincho"/>
          <w:color w:val="000000"/>
          <w:lang w:eastAsia="en-US"/>
        </w:rPr>
        <w:t xml:space="preserve"> were younger than 65 years</w:t>
      </w:r>
      <w:r w:rsidR="006F0C4D">
        <w:rPr>
          <w:rFonts w:eastAsia="Yu Mincho"/>
          <w:color w:val="000000"/>
          <w:lang w:eastAsia="en-US"/>
        </w:rPr>
        <w:t>,[</w:t>
      </w:r>
      <w:r>
        <w:rPr>
          <w:rFonts w:eastAsia="Yu Mincho"/>
          <w:color w:val="000000"/>
          <w:lang w:eastAsia="en-US"/>
        </w:rPr>
        <w:t>3</w:t>
      </w:r>
      <w:r w:rsidR="006F0C4D">
        <w:rPr>
          <w:rFonts w:eastAsia="Yu Mincho"/>
          <w:color w:val="000000"/>
          <w:lang w:eastAsia="en-US"/>
        </w:rPr>
        <w:t>]</w:t>
      </w:r>
      <w:r>
        <w:rPr>
          <w:rFonts w:eastAsia="Yu Mincho"/>
          <w:color w:val="000000"/>
          <w:lang w:eastAsia="en-US"/>
        </w:rPr>
        <w:t xml:space="preserve">. </w:t>
      </w:r>
      <w:r w:rsidR="006A230A" w:rsidRPr="00626026">
        <w:rPr>
          <w:color w:val="000000" w:themeColor="text1"/>
          <w:shd w:val="clear" w:color="auto" w:fill="FFFFFF"/>
        </w:rPr>
        <w:t>Ruel et al</w:t>
      </w:r>
      <w:r>
        <w:rPr>
          <w:color w:val="000000" w:themeColor="text1"/>
          <w:shd w:val="clear" w:color="auto" w:fill="FFFFFF"/>
        </w:rPr>
        <w:t xml:space="preserve"> </w:t>
      </w:r>
      <w:r w:rsidR="006A230A">
        <w:rPr>
          <w:color w:val="000000" w:themeColor="text1"/>
          <w:shd w:val="clear" w:color="auto" w:fill="FFFFFF"/>
        </w:rPr>
        <w:t xml:space="preserve">reported a </w:t>
      </w:r>
      <w:r w:rsidR="0092243D">
        <w:rPr>
          <w:color w:val="000000" w:themeColor="text1"/>
          <w:shd w:val="clear" w:color="auto" w:fill="FFFFFF"/>
        </w:rPr>
        <w:t xml:space="preserve">two condition </w:t>
      </w:r>
      <w:r w:rsidR="006A230A">
        <w:rPr>
          <w:color w:val="000000" w:themeColor="text1"/>
          <w:shd w:val="clear" w:color="auto" w:fill="FFFFFF"/>
        </w:rPr>
        <w:t>multimorbidity prevalence of 32% with a mean age of 50 years</w:t>
      </w:r>
      <w:r w:rsidR="006F0C4D">
        <w:rPr>
          <w:color w:val="000000" w:themeColor="text1"/>
          <w:shd w:val="clear" w:color="auto" w:fill="FFFFFF"/>
        </w:rPr>
        <w:t>,[</w:t>
      </w:r>
      <w:r w:rsidR="0040637E">
        <w:rPr>
          <w:color w:val="000000" w:themeColor="text1"/>
          <w:shd w:val="clear" w:color="auto" w:fill="FFFFFF"/>
        </w:rPr>
        <w:t>42</w:t>
      </w:r>
      <w:r w:rsidR="006F0C4D">
        <w:rPr>
          <w:color w:val="000000" w:themeColor="text1"/>
          <w:shd w:val="clear" w:color="auto" w:fill="FFFFFF"/>
        </w:rPr>
        <w:t>]</w:t>
      </w:r>
      <w:r w:rsidR="006A230A">
        <w:rPr>
          <w:rFonts w:eastAsia="Yu Mincho"/>
          <w:color w:val="000000"/>
          <w:lang w:eastAsia="en-US"/>
        </w:rPr>
        <w:t xml:space="preserve">. </w:t>
      </w:r>
      <w:r w:rsidR="006A230A">
        <w:t>Sauver et al concluded that the total number of people who developed multimorbidity before age 65 years was more than four times greater than the number at ages 65 and over</w:t>
      </w:r>
      <w:r w:rsidR="006F0C4D">
        <w:t>,[</w:t>
      </w:r>
      <w:r w:rsidR="00036C27">
        <w:t>3</w:t>
      </w:r>
      <w:r w:rsidR="00DE1721">
        <w:t>8</w:t>
      </w:r>
      <w:r w:rsidR="006F0C4D">
        <w:t>]</w:t>
      </w:r>
      <w:r w:rsidR="006A230A">
        <w:t xml:space="preserve">. </w:t>
      </w:r>
      <w:r w:rsidR="0092243D">
        <w:rPr>
          <w:rFonts w:eastAsia="Yu Mincho"/>
          <w:color w:val="000000"/>
          <w:lang w:eastAsia="en-US"/>
        </w:rPr>
        <w:t>Our research</w:t>
      </w:r>
      <w:r w:rsidR="006A230A">
        <w:rPr>
          <w:rFonts w:eastAsia="Yu Mincho"/>
          <w:color w:val="000000"/>
          <w:lang w:eastAsia="en-US"/>
        </w:rPr>
        <w:t xml:space="preserve"> determined that </w:t>
      </w:r>
      <w:r w:rsidR="00DE51B7">
        <w:rPr>
          <w:rFonts w:eastAsia="Yu Mincho"/>
          <w:color w:val="000000"/>
          <w:lang w:eastAsia="en-US"/>
        </w:rPr>
        <w:t>the</w:t>
      </w:r>
      <w:r w:rsidR="007D762F">
        <w:rPr>
          <w:rFonts w:eastAsia="Yu Mincho"/>
          <w:color w:val="000000"/>
          <w:lang w:eastAsia="en-US"/>
        </w:rPr>
        <w:t xml:space="preserve"> </w:t>
      </w:r>
      <w:r w:rsidR="006457B6">
        <w:rPr>
          <w:rFonts w:eastAsia="Yu Mincho"/>
          <w:color w:val="000000"/>
          <w:lang w:eastAsia="en-US"/>
        </w:rPr>
        <w:t>most common</w:t>
      </w:r>
      <w:r w:rsidR="00DE51B7">
        <w:rPr>
          <w:rFonts w:eastAsia="Yu Mincho"/>
          <w:color w:val="000000"/>
          <w:lang w:eastAsia="en-US"/>
        </w:rPr>
        <w:t xml:space="preserve"> </w:t>
      </w:r>
      <w:r w:rsidR="006A230A">
        <w:rPr>
          <w:rFonts w:eastAsia="Yu Mincho"/>
          <w:color w:val="000000"/>
          <w:lang w:eastAsia="en-US"/>
        </w:rPr>
        <w:t>three</w:t>
      </w:r>
      <w:r w:rsidR="00212812">
        <w:rPr>
          <w:rFonts w:eastAsia="Yu Mincho"/>
          <w:color w:val="000000"/>
          <w:lang w:eastAsia="en-US"/>
        </w:rPr>
        <w:t>-</w:t>
      </w:r>
      <w:r w:rsidR="00DE51B7">
        <w:rPr>
          <w:rFonts w:eastAsia="Yu Mincho"/>
          <w:color w:val="000000"/>
          <w:lang w:eastAsia="en-US"/>
        </w:rPr>
        <w:t xml:space="preserve">condition MLTC-M </w:t>
      </w:r>
      <w:r w:rsidR="006A230A">
        <w:rPr>
          <w:rFonts w:eastAsia="Yu Mincho"/>
          <w:color w:val="000000"/>
          <w:lang w:eastAsia="en-US"/>
        </w:rPr>
        <w:t xml:space="preserve">in the BCS70 </w:t>
      </w:r>
      <w:r w:rsidR="0027514B">
        <w:rPr>
          <w:rFonts w:eastAsia="Yu Mincho"/>
          <w:color w:val="000000"/>
          <w:lang w:eastAsia="en-US"/>
        </w:rPr>
        <w:t xml:space="preserve">was </w:t>
      </w:r>
      <w:r w:rsidR="00B26B72">
        <w:rPr>
          <w:rFonts w:eastAsia="Yu Mincho"/>
          <w:color w:val="000000"/>
          <w:lang w:eastAsia="en-US"/>
        </w:rPr>
        <w:t>infrequent</w:t>
      </w:r>
      <w:r w:rsidR="006A230A">
        <w:rPr>
          <w:rFonts w:eastAsia="Yu Mincho"/>
          <w:color w:val="000000"/>
          <w:lang w:eastAsia="en-US"/>
        </w:rPr>
        <w:t xml:space="preserve"> (4</w:t>
      </w:r>
      <w:r w:rsidR="000D1924">
        <w:rPr>
          <w:rFonts w:eastAsia="Yu Mincho"/>
          <w:color w:val="000000"/>
          <w:lang w:eastAsia="en-US"/>
        </w:rPr>
        <w:t>.3</w:t>
      </w:r>
      <w:r w:rsidR="006A230A">
        <w:rPr>
          <w:rFonts w:eastAsia="Yu Mincho"/>
          <w:color w:val="000000"/>
          <w:lang w:eastAsia="en-US"/>
        </w:rPr>
        <w:t>%)</w:t>
      </w:r>
      <w:r w:rsidR="00DE51B7">
        <w:rPr>
          <w:rFonts w:eastAsia="Yu Mincho"/>
          <w:color w:val="000000"/>
          <w:lang w:eastAsia="en-US"/>
        </w:rPr>
        <w:t>. However,</w:t>
      </w:r>
      <w:r w:rsidR="006A230A">
        <w:rPr>
          <w:rFonts w:eastAsia="Yu Mincho"/>
          <w:color w:val="000000"/>
          <w:lang w:eastAsia="en-US"/>
        </w:rPr>
        <w:t xml:space="preserve"> this still represents a </w:t>
      </w:r>
      <w:r w:rsidR="00163324">
        <w:rPr>
          <w:rFonts w:eastAsia="Yu Mincho"/>
          <w:color w:val="000000"/>
          <w:lang w:eastAsia="en-US"/>
        </w:rPr>
        <w:t xml:space="preserve">large </w:t>
      </w:r>
      <w:r w:rsidR="006A230A">
        <w:rPr>
          <w:rFonts w:eastAsia="Yu Mincho"/>
          <w:color w:val="000000"/>
          <w:lang w:eastAsia="en-US"/>
        </w:rPr>
        <w:t xml:space="preserve">number of people living with </w:t>
      </w:r>
      <w:r w:rsidR="006A230A" w:rsidRPr="00C80A3F">
        <w:rPr>
          <w:color w:val="000000" w:themeColor="text1"/>
          <w:lang w:eastAsia="en-US"/>
        </w:rPr>
        <w:t>early-onset MLTC-M</w:t>
      </w:r>
      <w:r w:rsidR="00DE51B7">
        <w:rPr>
          <w:color w:val="000000" w:themeColor="text1"/>
          <w:lang w:eastAsia="en-US"/>
        </w:rPr>
        <w:t>, and consider</w:t>
      </w:r>
      <w:r w:rsidR="00AC1A29">
        <w:rPr>
          <w:color w:val="000000" w:themeColor="text1"/>
          <w:lang w:eastAsia="en-US"/>
        </w:rPr>
        <w:t>ing</w:t>
      </w:r>
      <w:r w:rsidR="00DE51B7">
        <w:rPr>
          <w:color w:val="000000" w:themeColor="text1"/>
          <w:lang w:eastAsia="en-US"/>
        </w:rPr>
        <w:t xml:space="preserve"> </w:t>
      </w:r>
      <w:r w:rsidR="00212812">
        <w:rPr>
          <w:color w:val="000000" w:themeColor="text1"/>
          <w:lang w:eastAsia="en-US"/>
        </w:rPr>
        <w:t>all</w:t>
      </w:r>
      <w:r w:rsidR="00AC1A29">
        <w:rPr>
          <w:color w:val="000000" w:themeColor="text1"/>
          <w:lang w:eastAsia="en-US"/>
        </w:rPr>
        <w:t xml:space="preserve"> ten</w:t>
      </w:r>
      <w:r w:rsidR="00DE51B7">
        <w:rPr>
          <w:color w:val="000000" w:themeColor="text1"/>
          <w:lang w:eastAsia="en-US"/>
        </w:rPr>
        <w:t xml:space="preserve"> three</w:t>
      </w:r>
      <w:r w:rsidR="00212812">
        <w:rPr>
          <w:color w:val="000000" w:themeColor="text1"/>
          <w:lang w:eastAsia="en-US"/>
        </w:rPr>
        <w:t>-</w:t>
      </w:r>
      <w:r w:rsidR="00DE51B7">
        <w:rPr>
          <w:color w:val="000000" w:themeColor="text1"/>
          <w:lang w:eastAsia="en-US"/>
        </w:rPr>
        <w:t xml:space="preserve">condition MLTC-M we find </w:t>
      </w:r>
      <w:r w:rsidR="003E4045">
        <w:rPr>
          <w:color w:val="000000" w:themeColor="text1"/>
          <w:lang w:eastAsia="en-US"/>
        </w:rPr>
        <w:t xml:space="preserve">18.6% </w:t>
      </w:r>
      <w:r w:rsidR="00350BD4">
        <w:rPr>
          <w:color w:val="000000" w:themeColor="text1"/>
          <w:lang w:eastAsia="en-US"/>
        </w:rPr>
        <w:t xml:space="preserve">of </w:t>
      </w:r>
      <w:r w:rsidR="00DE51B7">
        <w:rPr>
          <w:color w:val="000000" w:themeColor="text1"/>
          <w:lang w:eastAsia="en-US"/>
        </w:rPr>
        <w:t>the BCS70 affected</w:t>
      </w:r>
      <w:r w:rsidR="006A230A">
        <w:rPr>
          <w:color w:val="000000" w:themeColor="text1"/>
          <w:lang w:eastAsia="en-US"/>
        </w:rPr>
        <w:t>. Therefore increasingly conclusive evidence emphasis</w:t>
      </w:r>
      <w:r w:rsidR="00F704A8">
        <w:rPr>
          <w:color w:val="000000" w:themeColor="text1"/>
          <w:lang w:eastAsia="en-US"/>
        </w:rPr>
        <w:t>es</w:t>
      </w:r>
      <w:r w:rsidR="006A230A">
        <w:rPr>
          <w:color w:val="000000" w:themeColor="text1"/>
          <w:lang w:eastAsia="en-US"/>
        </w:rPr>
        <w:t xml:space="preserve"> the need to target </w:t>
      </w:r>
      <w:r w:rsidR="00A922B9">
        <w:rPr>
          <w:rFonts w:eastAsia="Yu Mincho"/>
          <w:color w:val="000000"/>
          <w:lang w:eastAsia="en-US"/>
        </w:rPr>
        <w:t>multimorbidity</w:t>
      </w:r>
      <w:r w:rsidR="00A922B9">
        <w:rPr>
          <w:color w:val="000000" w:themeColor="text1"/>
          <w:lang w:eastAsia="en-US"/>
        </w:rPr>
        <w:t xml:space="preserve"> </w:t>
      </w:r>
      <w:r w:rsidR="006A230A">
        <w:rPr>
          <w:color w:val="000000" w:themeColor="text1"/>
          <w:lang w:eastAsia="en-US"/>
        </w:rPr>
        <w:t xml:space="preserve">prevention efforts at a younger age. </w:t>
      </w:r>
      <w:r w:rsidR="0092243D">
        <w:rPr>
          <w:color w:val="000000" w:themeColor="text1"/>
          <w:lang w:eastAsia="en-US"/>
        </w:rPr>
        <w:t>This is supported by our findings that</w:t>
      </w:r>
      <w:r>
        <w:rPr>
          <w:color w:val="000000" w:themeColor="text1"/>
          <w:lang w:eastAsia="en-US"/>
        </w:rPr>
        <w:t xml:space="preserve"> </w:t>
      </w:r>
      <w:r w:rsidR="0092243D">
        <w:rPr>
          <w:color w:val="000000" w:themeColor="text1"/>
          <w:lang w:eastAsia="en-US"/>
        </w:rPr>
        <w:t>45</w:t>
      </w:r>
      <w:r>
        <w:rPr>
          <w:color w:val="000000" w:themeColor="text1"/>
          <w:lang w:eastAsia="en-US"/>
        </w:rPr>
        <w:t>.1</w:t>
      </w:r>
      <w:r w:rsidR="0092243D">
        <w:rPr>
          <w:color w:val="000000" w:themeColor="text1"/>
          <w:lang w:eastAsia="en-US"/>
        </w:rPr>
        <w:t>%</w:t>
      </w:r>
      <w:r w:rsidR="00AE7FDC">
        <w:rPr>
          <w:color w:val="000000" w:themeColor="text1"/>
          <w:lang w:eastAsia="en-US"/>
        </w:rPr>
        <w:t xml:space="preserve"> (n=74)</w:t>
      </w:r>
      <w:r w:rsidR="0092243D">
        <w:rPr>
          <w:color w:val="000000" w:themeColor="text1"/>
          <w:lang w:eastAsia="en-US"/>
        </w:rPr>
        <w:t xml:space="preserve"> </w:t>
      </w:r>
      <w:r w:rsidR="00B26B72">
        <w:rPr>
          <w:color w:val="000000" w:themeColor="text1"/>
          <w:lang w:eastAsia="en-US"/>
        </w:rPr>
        <w:t>of</w:t>
      </w:r>
      <w:r w:rsidR="0092243D">
        <w:rPr>
          <w:color w:val="000000" w:themeColor="text1"/>
          <w:lang w:eastAsia="en-US"/>
        </w:rPr>
        <w:t xml:space="preserve"> the MLTC-M </w:t>
      </w:r>
      <w:r w:rsidR="00A922B9">
        <w:rPr>
          <w:color w:val="000000" w:themeColor="text1"/>
          <w:lang w:eastAsia="en-US"/>
        </w:rPr>
        <w:t>sub</w:t>
      </w:r>
      <w:r w:rsidR="00B26B72">
        <w:rPr>
          <w:color w:val="000000" w:themeColor="text1"/>
          <w:lang w:eastAsia="en-US"/>
        </w:rPr>
        <w:t>group</w:t>
      </w:r>
      <w:r w:rsidR="0092243D">
        <w:rPr>
          <w:color w:val="000000" w:themeColor="text1"/>
          <w:lang w:eastAsia="en-US"/>
        </w:rPr>
        <w:t xml:space="preserve"> reported the sentinel condition by age 26.</w:t>
      </w:r>
    </w:p>
    <w:p w14:paraId="7F59FF62" w14:textId="3AA7428C" w:rsidR="00572B18" w:rsidRDefault="00572B18" w:rsidP="006A230A">
      <w:pPr>
        <w:rPr>
          <w:color w:val="000000" w:themeColor="text1"/>
          <w:lang w:eastAsia="en-US"/>
        </w:rPr>
      </w:pPr>
    </w:p>
    <w:p w14:paraId="76B1D870" w14:textId="1DA037E9" w:rsidR="00434702" w:rsidRPr="00537062" w:rsidRDefault="00537062" w:rsidP="000D10FA">
      <w:pPr>
        <w:rPr>
          <w:rFonts w:eastAsia="Yu Mincho"/>
          <w:color w:val="000000"/>
          <w:lang w:eastAsia="en-US"/>
        </w:rPr>
      </w:pPr>
      <w:r>
        <w:rPr>
          <w:rFonts w:eastAsia="Yu Mincho"/>
          <w:color w:val="000000"/>
          <w:lang w:eastAsia="en-US"/>
        </w:rPr>
        <w:t>M</w:t>
      </w:r>
      <w:r w:rsidR="00572B18">
        <w:rPr>
          <w:rFonts w:eastAsia="Yu Mincho"/>
          <w:color w:val="000000"/>
          <w:lang w:eastAsia="en-US"/>
        </w:rPr>
        <w:t>ultimorbidity prevalence differ</w:t>
      </w:r>
      <w:r>
        <w:rPr>
          <w:rFonts w:eastAsia="Yu Mincho"/>
          <w:color w:val="000000"/>
          <w:lang w:eastAsia="en-US"/>
        </w:rPr>
        <w:t>s</w:t>
      </w:r>
      <w:r w:rsidR="00572B18">
        <w:rPr>
          <w:rFonts w:eastAsia="Yu Mincho"/>
          <w:color w:val="000000"/>
          <w:lang w:eastAsia="en-US"/>
        </w:rPr>
        <w:t xml:space="preserve"> according to demographic factors. Barnett et al found that the most deprived areas had the same prevalence of multimorbidity as people aged 10-15 years older living in the most affluent areas</w:t>
      </w:r>
      <w:r w:rsidR="006F0C4D">
        <w:rPr>
          <w:rFonts w:eastAsia="Yu Mincho"/>
          <w:color w:val="000000"/>
          <w:lang w:eastAsia="en-US"/>
        </w:rPr>
        <w:t>,[</w:t>
      </w:r>
      <w:r w:rsidR="00F93699">
        <w:rPr>
          <w:rFonts w:eastAsia="Yu Mincho"/>
          <w:color w:val="000000"/>
          <w:lang w:eastAsia="en-US"/>
        </w:rPr>
        <w:t>40</w:t>
      </w:r>
      <w:r w:rsidR="006F0C4D">
        <w:rPr>
          <w:rFonts w:eastAsia="Yu Mincho"/>
          <w:color w:val="000000"/>
          <w:lang w:eastAsia="en-US"/>
        </w:rPr>
        <w:t>]</w:t>
      </w:r>
      <w:r w:rsidR="00B26B72">
        <w:rPr>
          <w:rFonts w:eastAsia="Yu Mincho"/>
          <w:color w:val="000000"/>
          <w:lang w:eastAsia="en-US"/>
        </w:rPr>
        <w:t>.</w:t>
      </w:r>
      <w:r w:rsidR="00572B18">
        <w:rPr>
          <w:rFonts w:eastAsia="Yu Mincho"/>
          <w:color w:val="000000"/>
          <w:lang w:eastAsia="en-US"/>
        </w:rPr>
        <w:t xml:space="preserve"> Ashworth et al concluded that ethnicity and social deprivation were significant determinants of multimorbidity</w:t>
      </w:r>
      <w:r w:rsidR="006F0C4D">
        <w:rPr>
          <w:rFonts w:eastAsia="Yu Mincho"/>
          <w:color w:val="000000"/>
          <w:lang w:eastAsia="en-US"/>
        </w:rPr>
        <w:t>,[</w:t>
      </w:r>
      <w:r w:rsidR="00036C27">
        <w:rPr>
          <w:rFonts w:eastAsia="Yu Mincho"/>
          <w:color w:val="000000"/>
          <w:lang w:eastAsia="en-US"/>
        </w:rPr>
        <w:t>7</w:t>
      </w:r>
      <w:r w:rsidR="006F0C4D">
        <w:rPr>
          <w:rFonts w:eastAsia="Yu Mincho"/>
          <w:color w:val="000000"/>
          <w:lang w:eastAsia="en-US"/>
        </w:rPr>
        <w:t>]</w:t>
      </w:r>
      <w:r w:rsidR="00572B18">
        <w:rPr>
          <w:rFonts w:eastAsia="Yu Mincho"/>
          <w:color w:val="000000"/>
          <w:lang w:eastAsia="en-US"/>
        </w:rPr>
        <w:t xml:space="preserve">. </w:t>
      </w:r>
      <w:r w:rsidR="00572B18">
        <w:t>Sauver et al suggested that the incidence of both two</w:t>
      </w:r>
      <w:r w:rsidR="00212812">
        <w:t xml:space="preserve">- </w:t>
      </w:r>
      <w:r w:rsidR="00572B18">
        <w:t>and three</w:t>
      </w:r>
      <w:r w:rsidR="00212812">
        <w:t>-</w:t>
      </w:r>
      <w:r w:rsidR="00572B18">
        <w:t>condition multimorbidity varied by age and ethnicity</w:t>
      </w:r>
      <w:r w:rsidR="006F0C4D">
        <w:t>,[</w:t>
      </w:r>
      <w:r w:rsidR="00036C27">
        <w:t>3</w:t>
      </w:r>
      <w:r w:rsidR="00F93699">
        <w:t>8</w:t>
      </w:r>
      <w:r w:rsidR="006F0C4D">
        <w:t>]</w:t>
      </w:r>
      <w:r w:rsidR="00572B18">
        <w:t xml:space="preserve">. </w:t>
      </w:r>
      <w:r w:rsidR="00572B18" w:rsidRPr="00C80A3F">
        <w:rPr>
          <w:rFonts w:eastAsia="Yu Mincho"/>
          <w:color w:val="000000"/>
          <w:lang w:eastAsia="en-US"/>
        </w:rPr>
        <w:t xml:space="preserve">Gondek et al </w:t>
      </w:r>
      <w:r w:rsidR="00572B18">
        <w:rPr>
          <w:rFonts w:eastAsia="Yu Mincho"/>
          <w:color w:val="000000"/>
          <w:lang w:eastAsia="en-US"/>
        </w:rPr>
        <w:t>also identified</w:t>
      </w:r>
      <w:r w:rsidR="00572B18" w:rsidRPr="00C80A3F">
        <w:rPr>
          <w:rFonts w:eastAsia="Yu Mincho"/>
          <w:color w:val="000000"/>
        </w:rPr>
        <w:t xml:space="preserve"> socioeconomic circumstances</w:t>
      </w:r>
      <w:r w:rsidR="00E82DDA">
        <w:rPr>
          <w:rFonts w:eastAsia="Yu Mincho"/>
          <w:color w:val="000000"/>
        </w:rPr>
        <w:t xml:space="preserve"> </w:t>
      </w:r>
      <w:r w:rsidR="00572B18" w:rsidRPr="00C80A3F">
        <w:rPr>
          <w:rFonts w:eastAsia="Yu Mincho"/>
          <w:color w:val="000000"/>
        </w:rPr>
        <w:t xml:space="preserve">as early life </w:t>
      </w:r>
      <w:r w:rsidR="00572B18" w:rsidRPr="00C80A3F">
        <w:rPr>
          <w:rFonts w:eastAsia="Yu Mincho"/>
          <w:color w:val="000000"/>
        </w:rPr>
        <w:lastRenderedPageBreak/>
        <w:t>determina</w:t>
      </w:r>
      <w:r w:rsidR="00852D0E">
        <w:rPr>
          <w:rFonts w:eastAsia="Yu Mincho"/>
          <w:color w:val="000000"/>
        </w:rPr>
        <w:t xml:space="preserve">nts </w:t>
      </w:r>
      <w:r w:rsidR="00572B18" w:rsidRPr="00C80A3F">
        <w:rPr>
          <w:rFonts w:eastAsia="Yu Mincho"/>
          <w:color w:val="000000"/>
        </w:rPr>
        <w:t>of multimorbidity amongst the BCS70 cohort</w:t>
      </w:r>
      <w:r w:rsidR="006F0C4D">
        <w:rPr>
          <w:rFonts w:eastAsia="Yu Mincho"/>
          <w:color w:val="000000"/>
        </w:rPr>
        <w:t>,[</w:t>
      </w:r>
      <w:r w:rsidR="001B578D">
        <w:rPr>
          <w:rFonts w:eastAsia="Yu Mincho"/>
          <w:color w:val="000000"/>
        </w:rPr>
        <w:t>1</w:t>
      </w:r>
      <w:r w:rsidR="00036C27">
        <w:rPr>
          <w:rFonts w:eastAsia="Yu Mincho"/>
          <w:color w:val="000000"/>
        </w:rPr>
        <w:t>7</w:t>
      </w:r>
      <w:r w:rsidR="006F0C4D">
        <w:rPr>
          <w:rFonts w:eastAsia="Yu Mincho"/>
          <w:color w:val="000000"/>
        </w:rPr>
        <w:t>]</w:t>
      </w:r>
      <w:r w:rsidR="00572B18">
        <w:rPr>
          <w:rFonts w:eastAsia="Yu Mincho"/>
          <w:color w:val="000000"/>
        </w:rPr>
        <w:t xml:space="preserve">. </w:t>
      </w:r>
      <w:r w:rsidR="00EA17D4">
        <w:rPr>
          <w:rFonts w:eastAsia="Yu Mincho"/>
          <w:color w:val="000000"/>
        </w:rPr>
        <w:t xml:space="preserve">We demonstrate the reporting of the </w:t>
      </w:r>
      <w:r w:rsidR="00EA38E0">
        <w:rPr>
          <w:rFonts w:eastAsia="Yu Mincho"/>
          <w:color w:val="000000"/>
        </w:rPr>
        <w:t xml:space="preserve">most common three condition </w:t>
      </w:r>
      <w:r w:rsidR="00EA17D4">
        <w:rPr>
          <w:rFonts w:eastAsia="Yu Mincho"/>
          <w:color w:val="000000"/>
        </w:rPr>
        <w:t xml:space="preserve">MLTC-M was patterned by sociodemographic factors encompassing both area measures (IMD) and individual-level measures of deprivation (employment, education and benefits). </w:t>
      </w:r>
    </w:p>
    <w:p w14:paraId="38169B27" w14:textId="564AFFF5" w:rsidR="008A4A31" w:rsidRDefault="008A4A31" w:rsidP="00E1230D">
      <w:pPr>
        <w:rPr>
          <w:color w:val="000000" w:themeColor="text1"/>
          <w:lang w:eastAsia="en-US"/>
        </w:rPr>
      </w:pPr>
    </w:p>
    <w:p w14:paraId="67804FC4" w14:textId="4E1B018B" w:rsidR="00D84CAB" w:rsidRPr="00B32B1C" w:rsidRDefault="008B10E0" w:rsidP="00E1230D">
      <w:pPr>
        <w:rPr>
          <w:rFonts w:eastAsia="Yu Mincho"/>
          <w:color w:val="000000"/>
          <w:lang w:eastAsia="en-US"/>
        </w:rPr>
      </w:pPr>
      <w:r w:rsidRPr="00C80A3F">
        <w:rPr>
          <w:rFonts w:eastAsia="Yu Mincho"/>
          <w:color w:val="000000"/>
          <w:lang w:eastAsia="en-US"/>
        </w:rPr>
        <w:t xml:space="preserve">From a public health perspective, </w:t>
      </w:r>
      <w:r>
        <w:rPr>
          <w:rFonts w:eastAsia="Yu Mincho"/>
          <w:color w:val="000000"/>
          <w:lang w:eastAsia="en-US"/>
        </w:rPr>
        <w:t>describing</w:t>
      </w:r>
      <w:r w:rsidRPr="00C80A3F">
        <w:rPr>
          <w:rFonts w:eastAsia="Yu Mincho"/>
          <w:color w:val="000000"/>
          <w:lang w:eastAsia="en-US"/>
        </w:rPr>
        <w:t xml:space="preserve"> the sequence of accrual of LTCs</w:t>
      </w:r>
      <w:r w:rsidR="00EB7C93">
        <w:rPr>
          <w:rFonts w:eastAsia="Yu Mincho"/>
          <w:color w:val="000000"/>
          <w:lang w:eastAsia="en-US"/>
        </w:rPr>
        <w:t xml:space="preserve">, </w:t>
      </w:r>
      <w:r w:rsidRPr="00C80A3F">
        <w:rPr>
          <w:rFonts w:eastAsia="Yu Mincho"/>
          <w:color w:val="000000"/>
          <w:lang w:eastAsia="en-US"/>
        </w:rPr>
        <w:t>identifying the sentinel condition</w:t>
      </w:r>
      <w:r w:rsidR="00EB7C93">
        <w:rPr>
          <w:rFonts w:eastAsia="Yu Mincho"/>
          <w:color w:val="000000"/>
          <w:lang w:eastAsia="en-US"/>
        </w:rPr>
        <w:t xml:space="preserve"> and exploring the </w:t>
      </w:r>
      <w:r w:rsidR="002C31E2">
        <w:rPr>
          <w:rFonts w:eastAsia="Yu Mincho"/>
          <w:color w:val="000000"/>
          <w:lang w:eastAsia="en-US"/>
        </w:rPr>
        <w:t>permanency of the reporting</w:t>
      </w:r>
      <w:r w:rsidR="00EB7C93">
        <w:rPr>
          <w:rFonts w:eastAsia="Yu Mincho"/>
          <w:color w:val="000000"/>
          <w:lang w:eastAsia="en-US"/>
        </w:rPr>
        <w:t xml:space="preserve"> of certain LTCs</w:t>
      </w:r>
      <w:r w:rsidRPr="00C80A3F">
        <w:rPr>
          <w:rFonts w:eastAsia="Yu Mincho"/>
          <w:color w:val="000000"/>
          <w:lang w:eastAsia="en-US"/>
        </w:rPr>
        <w:t xml:space="preserve"> could </w:t>
      </w:r>
      <w:r>
        <w:rPr>
          <w:rFonts w:eastAsia="Yu Mincho"/>
          <w:color w:val="000000"/>
          <w:lang w:eastAsia="en-US"/>
        </w:rPr>
        <w:t>provide</w:t>
      </w:r>
      <w:r w:rsidRPr="00C80A3F">
        <w:rPr>
          <w:rFonts w:eastAsia="Yu Mincho"/>
          <w:color w:val="000000"/>
          <w:lang w:eastAsia="en-US"/>
        </w:rPr>
        <w:t xml:space="preserve"> the opportunity to identify critical timepoints for population-level prevention efforts to reduce multimorbidity</w:t>
      </w:r>
      <w:r w:rsidR="004B3A20">
        <w:rPr>
          <w:rFonts w:eastAsia="Yu Mincho"/>
          <w:color w:val="000000"/>
          <w:lang w:eastAsia="en-US"/>
        </w:rPr>
        <w:t xml:space="preserve"> burden</w:t>
      </w:r>
      <w:r w:rsidRPr="00C80A3F">
        <w:rPr>
          <w:rFonts w:eastAsia="Yu Mincho"/>
          <w:color w:val="000000"/>
          <w:lang w:eastAsia="en-US"/>
        </w:rPr>
        <w:t>.</w:t>
      </w:r>
      <w:r w:rsidR="007B02CF">
        <w:rPr>
          <w:rFonts w:eastAsia="Yu Mincho"/>
          <w:color w:val="000000"/>
          <w:lang w:eastAsia="en-US"/>
        </w:rPr>
        <w:t xml:space="preserve"> </w:t>
      </w:r>
      <w:r w:rsidR="0047314D">
        <w:t xml:space="preserve">We </w:t>
      </w:r>
      <w:r w:rsidR="004B3A20">
        <w:t xml:space="preserve">plan </w:t>
      </w:r>
      <w:r w:rsidR="0047314D">
        <w:t xml:space="preserve">future work </w:t>
      </w:r>
      <w:r w:rsidR="004B3A20">
        <w:t>to explore the way in which de</w:t>
      </w:r>
      <w:r w:rsidR="0047314D">
        <w:t xml:space="preserve">terminants of multimorbidity may </w:t>
      </w:r>
      <w:r w:rsidR="004B3A20">
        <w:t xml:space="preserve">be similar or different from determinants of </w:t>
      </w:r>
      <w:r w:rsidR="0047314D">
        <w:t>the sentinel condition and sequence of accrual of LTCs</w:t>
      </w:r>
      <w:r w:rsidR="004B3A20">
        <w:t xml:space="preserve"> on the trajectory towards multimorbidity</w:t>
      </w:r>
      <w:r w:rsidR="0047314D">
        <w:t xml:space="preserve">. </w:t>
      </w:r>
      <w:r w:rsidR="006349F4" w:rsidRPr="00C80A3F">
        <w:rPr>
          <w:rFonts w:eastAsia="Yu Mincho"/>
          <w:color w:val="000000"/>
        </w:rPr>
        <w:t xml:space="preserve">Multimorbidity at midlife is </w:t>
      </w:r>
      <w:r w:rsidR="00402F53">
        <w:rPr>
          <w:rFonts w:eastAsia="Yu Mincho"/>
          <w:color w:val="000000"/>
        </w:rPr>
        <w:t>potentially</w:t>
      </w:r>
      <w:r w:rsidR="002E5388">
        <w:rPr>
          <w:rFonts w:eastAsia="Yu Mincho"/>
          <w:color w:val="000000"/>
        </w:rPr>
        <w:t xml:space="preserve"> more burdensome, particularly for those of working age.</w:t>
      </w:r>
      <w:r w:rsidR="00402F53">
        <w:rPr>
          <w:rFonts w:eastAsia="Yu Mincho"/>
          <w:color w:val="000000"/>
        </w:rPr>
        <w:t xml:space="preserve"> In a </w:t>
      </w:r>
      <w:r w:rsidR="0013550D">
        <w:rPr>
          <w:rFonts w:eastAsia="Yu Mincho"/>
          <w:color w:val="000000"/>
        </w:rPr>
        <w:t>cross-sectional</w:t>
      </w:r>
      <w:r w:rsidR="00402F53">
        <w:rPr>
          <w:rFonts w:eastAsia="Yu Mincho"/>
          <w:color w:val="000000"/>
        </w:rPr>
        <w:t xml:space="preserve"> study of about 800 people with multimorbidity in the UK, higher treatment burden was associated with</w:t>
      </w:r>
      <w:r w:rsidR="00212812">
        <w:rPr>
          <w:rFonts w:eastAsia="Yu Mincho"/>
          <w:color w:val="000000"/>
        </w:rPr>
        <w:t xml:space="preserve"> </w:t>
      </w:r>
      <w:r w:rsidR="00402F53">
        <w:rPr>
          <w:rFonts w:eastAsia="Yu Mincho"/>
          <w:color w:val="000000"/>
        </w:rPr>
        <w:t>people aged 55-64 vs. those over 65</w:t>
      </w:r>
      <w:r w:rsidR="006F0C4D">
        <w:rPr>
          <w:rFonts w:eastAsia="Yu Mincho"/>
          <w:color w:val="000000"/>
        </w:rPr>
        <w:t>,[</w:t>
      </w:r>
      <w:r w:rsidR="00A25F07">
        <w:rPr>
          <w:rFonts w:eastAsia="Yu Mincho"/>
          <w:color w:val="000000"/>
        </w:rPr>
        <w:t>4</w:t>
      </w:r>
      <w:r w:rsidR="00F93699">
        <w:rPr>
          <w:rFonts w:eastAsia="Yu Mincho"/>
          <w:color w:val="000000"/>
        </w:rPr>
        <w:t>6</w:t>
      </w:r>
      <w:r w:rsidR="006F0C4D">
        <w:rPr>
          <w:rFonts w:eastAsia="Yu Mincho"/>
          <w:color w:val="000000"/>
        </w:rPr>
        <w:t>]</w:t>
      </w:r>
      <w:r w:rsidR="006947F1">
        <w:rPr>
          <w:rFonts w:eastAsia="Yu Mincho"/>
          <w:color w:val="000000"/>
        </w:rPr>
        <w:t>.</w:t>
      </w:r>
      <w:r w:rsidR="002E5388">
        <w:rPr>
          <w:rFonts w:eastAsia="Yu Mincho"/>
          <w:color w:val="000000"/>
        </w:rPr>
        <w:t xml:space="preserve"> </w:t>
      </w:r>
      <w:r w:rsidR="00852D0E">
        <w:rPr>
          <w:rFonts w:eastAsia="Yu Mincho"/>
          <w:color w:val="000000"/>
        </w:rPr>
        <w:t xml:space="preserve">The sentinel condition </w:t>
      </w:r>
      <w:r w:rsidR="002E5388">
        <w:rPr>
          <w:rFonts w:eastAsia="Yu Mincho"/>
          <w:color w:val="000000"/>
        </w:rPr>
        <w:t>is also an</w:t>
      </w:r>
      <w:r w:rsidR="006349F4" w:rsidRPr="00C80A3F">
        <w:rPr>
          <w:rFonts w:eastAsia="Yu Mincho"/>
          <w:color w:val="000000"/>
        </w:rPr>
        <w:t xml:space="preserve"> indicator of a pathway to future health outcomes</w:t>
      </w:r>
      <w:r w:rsidR="008D05F8">
        <w:rPr>
          <w:rFonts w:eastAsia="Yu Mincho"/>
          <w:color w:val="000000"/>
        </w:rPr>
        <w:t xml:space="preserve"> and therefore i</w:t>
      </w:r>
      <w:r w:rsidR="006349F4">
        <w:rPr>
          <w:rFonts w:eastAsia="Yu Mincho"/>
          <w:color w:val="000000"/>
        </w:rPr>
        <w:t>dentifying the sentinel condition of multimorbidity is important for targeted preventions with the aim of altering pathways to further health outcomes.</w:t>
      </w:r>
      <w:r w:rsidR="00AB319E">
        <w:t xml:space="preserve"> T</w:t>
      </w:r>
      <w:r w:rsidR="001209B9">
        <w:t xml:space="preserve">his paper has </w:t>
      </w:r>
      <w:r w:rsidR="0047314D">
        <w:t>demonstrated</w:t>
      </w:r>
      <w:r w:rsidR="001209B9">
        <w:t xml:space="preserve"> the potential of </w:t>
      </w:r>
      <w:r w:rsidR="006C47AE">
        <w:t xml:space="preserve">using </w:t>
      </w:r>
      <w:r w:rsidR="001209B9">
        <w:t>birth cohort data</w:t>
      </w:r>
      <w:r w:rsidR="00657704">
        <w:t xml:space="preserve">, </w:t>
      </w:r>
      <w:r w:rsidR="00657704">
        <w:rPr>
          <w:color w:val="000000"/>
        </w:rPr>
        <w:t>with repeated measures,</w:t>
      </w:r>
      <w:r w:rsidR="006C47AE">
        <w:t xml:space="preserve"> to study MLTC-M</w:t>
      </w:r>
      <w:r w:rsidR="006A2BB1">
        <w:t xml:space="preserve"> across the lifecourse</w:t>
      </w:r>
      <w:r w:rsidR="0092243D">
        <w:t xml:space="preserve">. </w:t>
      </w:r>
      <w:r w:rsidR="00C24D68">
        <w:t>F</w:t>
      </w:r>
      <w:r w:rsidR="0047314D">
        <w:t xml:space="preserve">uture work may </w:t>
      </w:r>
      <w:r w:rsidR="001209B9" w:rsidRPr="00C80A3F">
        <w:t>look to sequenc</w:t>
      </w:r>
      <w:r w:rsidR="001209B9">
        <w:t>e</w:t>
      </w:r>
      <w:r w:rsidR="001209B9" w:rsidRPr="00C80A3F">
        <w:t xml:space="preserve"> LTCs and </w:t>
      </w:r>
      <w:r w:rsidR="001209B9">
        <w:t xml:space="preserve">the </w:t>
      </w:r>
      <w:r w:rsidR="001209B9" w:rsidRPr="00C80A3F">
        <w:t xml:space="preserve">sentinel condition on a larger scale and </w:t>
      </w:r>
      <w:r w:rsidR="001209B9">
        <w:t>we hope this paper can be</w:t>
      </w:r>
      <w:r w:rsidR="001209B9" w:rsidRPr="00C80A3F">
        <w:t xml:space="preserve"> the foundation for</w:t>
      </w:r>
      <w:r w:rsidR="0047314D">
        <w:t xml:space="preserve"> this</w:t>
      </w:r>
      <w:r w:rsidR="001209B9" w:rsidRPr="00C80A3F">
        <w:t xml:space="preserve"> research</w:t>
      </w:r>
      <w:r w:rsidR="001209B9">
        <w:t>.</w:t>
      </w:r>
      <w:r w:rsidR="001209B9" w:rsidRPr="00C80A3F">
        <w:t xml:space="preserve"> </w:t>
      </w:r>
    </w:p>
    <w:p w14:paraId="28291613" w14:textId="77777777" w:rsidR="009C2C2B" w:rsidRPr="006F0C4D" w:rsidRDefault="009C2C2B" w:rsidP="00E1230D">
      <w:pPr>
        <w:rPr>
          <w:rFonts w:eastAsia="Yu Mincho"/>
          <w:b/>
          <w:bCs/>
          <w:color w:val="000000"/>
          <w:lang w:eastAsia="en-US"/>
        </w:rPr>
      </w:pPr>
    </w:p>
    <w:p w14:paraId="46A6FC2E" w14:textId="51643456" w:rsidR="00F555E1" w:rsidRDefault="00F555E1" w:rsidP="00E1230D">
      <w:pPr>
        <w:rPr>
          <w:rFonts w:eastAsia="Yu Mincho"/>
          <w:b/>
          <w:bCs/>
          <w:color w:val="000000"/>
          <w:lang w:eastAsia="en-US"/>
        </w:rPr>
      </w:pPr>
      <w:r w:rsidRPr="006F0C4D">
        <w:rPr>
          <w:rFonts w:eastAsia="Yu Mincho"/>
          <w:b/>
          <w:bCs/>
          <w:color w:val="000000"/>
          <w:lang w:eastAsia="en-US"/>
        </w:rPr>
        <w:t>Strengths</w:t>
      </w:r>
      <w:r w:rsidR="00F91EF5" w:rsidRPr="006F0C4D">
        <w:rPr>
          <w:rFonts w:eastAsia="Yu Mincho"/>
          <w:b/>
          <w:bCs/>
          <w:color w:val="000000"/>
          <w:lang w:eastAsia="en-US"/>
        </w:rPr>
        <w:t xml:space="preserve"> and limitation</w:t>
      </w:r>
      <w:r w:rsidR="006C47AE" w:rsidRPr="006F0C4D">
        <w:rPr>
          <w:rFonts w:eastAsia="Yu Mincho"/>
          <w:b/>
          <w:bCs/>
          <w:color w:val="000000"/>
          <w:lang w:eastAsia="en-US"/>
        </w:rPr>
        <w:t>s</w:t>
      </w:r>
      <w:r w:rsidR="00F91EF5" w:rsidRPr="006F0C4D">
        <w:rPr>
          <w:rFonts w:eastAsia="Yu Mincho"/>
          <w:b/>
          <w:bCs/>
          <w:color w:val="000000"/>
          <w:lang w:eastAsia="en-US"/>
        </w:rPr>
        <w:t>:</w:t>
      </w:r>
      <w:r w:rsidRPr="006F0C4D">
        <w:rPr>
          <w:rFonts w:eastAsia="Yu Mincho"/>
          <w:b/>
          <w:bCs/>
          <w:color w:val="000000"/>
          <w:lang w:eastAsia="en-US"/>
        </w:rPr>
        <w:t xml:space="preserve"> </w:t>
      </w:r>
    </w:p>
    <w:p w14:paraId="0C38B577" w14:textId="77777777" w:rsidR="00537062" w:rsidRPr="006F0C4D" w:rsidRDefault="00537062" w:rsidP="00E1230D">
      <w:pPr>
        <w:rPr>
          <w:rFonts w:eastAsia="Yu Mincho"/>
          <w:b/>
          <w:bCs/>
          <w:color w:val="000000"/>
          <w:lang w:eastAsia="en-US"/>
        </w:rPr>
      </w:pPr>
    </w:p>
    <w:p w14:paraId="12316AA7" w14:textId="7D17099C" w:rsidR="00047427" w:rsidRPr="00FB4C9C" w:rsidRDefault="006814B7" w:rsidP="00FB4C9C">
      <w:pPr>
        <w:pStyle w:val="CommentText"/>
      </w:pPr>
      <w:r w:rsidRPr="00C80A3F">
        <w:rPr>
          <w:color w:val="000000"/>
        </w:rPr>
        <w:t xml:space="preserve">The use of </w:t>
      </w:r>
      <w:r>
        <w:rPr>
          <w:color w:val="000000"/>
        </w:rPr>
        <w:t xml:space="preserve">a </w:t>
      </w:r>
      <w:r w:rsidRPr="00C80A3F">
        <w:rPr>
          <w:color w:val="000000"/>
        </w:rPr>
        <w:t xml:space="preserve">prospective longitudinal </w:t>
      </w:r>
      <w:r>
        <w:rPr>
          <w:color w:val="000000"/>
        </w:rPr>
        <w:t>approach</w:t>
      </w:r>
      <w:r w:rsidRPr="00C80A3F">
        <w:rPr>
          <w:color w:val="000000"/>
        </w:rPr>
        <w:t xml:space="preserve"> provid</w:t>
      </w:r>
      <w:r w:rsidR="00537062">
        <w:rPr>
          <w:color w:val="000000"/>
        </w:rPr>
        <w:t>es</w:t>
      </w:r>
      <w:r w:rsidRPr="00C80A3F">
        <w:rPr>
          <w:color w:val="000000"/>
        </w:rPr>
        <w:t xml:space="preserve"> the opportunity to analyse the time-sequenced </w:t>
      </w:r>
      <w:r>
        <w:rPr>
          <w:color w:val="000000"/>
        </w:rPr>
        <w:t xml:space="preserve">nature </w:t>
      </w:r>
      <w:r w:rsidRPr="00C80A3F">
        <w:rPr>
          <w:color w:val="000000"/>
        </w:rPr>
        <w:t xml:space="preserve">of </w:t>
      </w:r>
      <w:r>
        <w:rPr>
          <w:color w:val="000000"/>
        </w:rPr>
        <w:t xml:space="preserve">the </w:t>
      </w:r>
      <w:r w:rsidRPr="00C80A3F">
        <w:rPr>
          <w:color w:val="000000"/>
        </w:rPr>
        <w:t>data</w:t>
      </w:r>
      <w:r w:rsidR="006F0C4D">
        <w:rPr>
          <w:color w:val="000000"/>
        </w:rPr>
        <w:t>,[</w:t>
      </w:r>
      <w:r w:rsidR="00A25F07">
        <w:rPr>
          <w:color w:val="000000"/>
        </w:rPr>
        <w:t>4</w:t>
      </w:r>
      <w:r w:rsidR="00F93699">
        <w:rPr>
          <w:color w:val="000000"/>
        </w:rPr>
        <w:t>7</w:t>
      </w:r>
      <w:r w:rsidR="006F0C4D">
        <w:rPr>
          <w:color w:val="000000"/>
        </w:rPr>
        <w:t>]</w:t>
      </w:r>
      <w:r>
        <w:rPr>
          <w:color w:val="000000"/>
        </w:rPr>
        <w:t>. Further</w:t>
      </w:r>
      <w:r w:rsidR="008630AB">
        <w:rPr>
          <w:color w:val="000000"/>
        </w:rPr>
        <w:t>more</w:t>
      </w:r>
      <w:r>
        <w:rPr>
          <w:color w:val="000000"/>
        </w:rPr>
        <w:t xml:space="preserve">, there are multiple wider determinant exposures captured in BCS70, unavailable in most other datasets </w:t>
      </w:r>
      <w:r w:rsidR="0011030A">
        <w:rPr>
          <w:color w:val="000000"/>
        </w:rPr>
        <w:t>which will provide</w:t>
      </w:r>
      <w:r>
        <w:rPr>
          <w:color w:val="000000"/>
        </w:rPr>
        <w:t xml:space="preserve"> opportunities for future lifecourse investigation. </w:t>
      </w:r>
      <w:r w:rsidR="00F555E1" w:rsidRPr="00C80A3F">
        <w:rPr>
          <w:color w:val="000000"/>
        </w:rPr>
        <w:t xml:space="preserve">Knowing the temporal sequencing </w:t>
      </w:r>
      <w:r w:rsidR="005F33BD">
        <w:rPr>
          <w:color w:val="000000"/>
        </w:rPr>
        <w:t xml:space="preserve">of LTCs </w:t>
      </w:r>
      <w:r w:rsidR="00F555E1" w:rsidRPr="00C80A3F">
        <w:rPr>
          <w:color w:val="000000"/>
        </w:rPr>
        <w:t xml:space="preserve">offers valuable means for elucidating an understanding of the accrual sequence of </w:t>
      </w:r>
      <w:r w:rsidR="00537062">
        <w:rPr>
          <w:color w:val="000000"/>
        </w:rPr>
        <w:t>LTCs</w:t>
      </w:r>
      <w:r w:rsidR="00F555E1" w:rsidRPr="00C80A3F">
        <w:rPr>
          <w:color w:val="000000"/>
        </w:rPr>
        <w:t>. However, t</w:t>
      </w:r>
      <w:r w:rsidR="00F555E1" w:rsidRPr="00C80A3F">
        <w:t>he BCS70, like other major cohort studies, is affected by significant attrition and wave non-response</w:t>
      </w:r>
      <w:r w:rsidR="00047427">
        <w:t xml:space="preserve">. This is </w:t>
      </w:r>
      <w:r w:rsidR="005356AA">
        <w:t xml:space="preserve">a </w:t>
      </w:r>
      <w:r w:rsidR="00047427">
        <w:t xml:space="preserve">limitation of our study </w:t>
      </w:r>
      <w:r w:rsidR="0035385A">
        <w:t>– there w</w:t>
      </w:r>
      <w:r w:rsidR="00AE44FC">
        <w:t xml:space="preserve">ere few people who reported </w:t>
      </w:r>
      <w:r w:rsidR="009F2ABB">
        <w:t xml:space="preserve">both </w:t>
      </w:r>
      <w:r w:rsidR="00AE44FC">
        <w:t>the</w:t>
      </w:r>
      <w:r w:rsidR="006A2BB1">
        <w:t xml:space="preserve"> most common three</w:t>
      </w:r>
      <w:r w:rsidR="00212812">
        <w:t>-</w:t>
      </w:r>
      <w:r w:rsidR="006A2BB1">
        <w:t>condition</w:t>
      </w:r>
      <w:r w:rsidR="00AE44FC">
        <w:t xml:space="preserve"> MLTC-M at</w:t>
      </w:r>
      <w:r w:rsidR="00132E6B">
        <w:t xml:space="preserve"> 46</w:t>
      </w:r>
      <w:r w:rsidR="00AE44FC">
        <w:t xml:space="preserve"> and information on LTCs across </w:t>
      </w:r>
      <w:r w:rsidR="00E74AF0">
        <w:t xml:space="preserve">all </w:t>
      </w:r>
      <w:r w:rsidR="00AE44FC">
        <w:t xml:space="preserve">the adult </w:t>
      </w:r>
      <w:r w:rsidR="0013550D">
        <w:t>sweeps</w:t>
      </w:r>
      <w:r w:rsidR="0013550D" w:rsidDel="00AE44FC">
        <w:t xml:space="preserve"> </w:t>
      </w:r>
      <w:r w:rsidR="0013550D">
        <w:t>(</w:t>
      </w:r>
      <w:r w:rsidR="00047427">
        <w:t>164/370). We therefore risk bias from underreporting</w:t>
      </w:r>
      <w:r w:rsidR="0035385A">
        <w:t xml:space="preserve"> of the MLTC-M</w:t>
      </w:r>
      <w:r w:rsidR="00FB4C9C">
        <w:t xml:space="preserve"> group</w:t>
      </w:r>
      <w:r w:rsidR="00047427">
        <w:t xml:space="preserve">. </w:t>
      </w:r>
      <w:r w:rsidR="00753CA8">
        <w:t>Further, th</w:t>
      </w:r>
      <w:r w:rsidR="00B73DE0">
        <w:t xml:space="preserve">e small sample size also precludes the opportunity to explore men and women independently. </w:t>
      </w:r>
      <w:r w:rsidR="00537062">
        <w:rPr>
          <w:lang w:val="en-US"/>
        </w:rPr>
        <w:t xml:space="preserve">However, this </w:t>
      </w:r>
      <w:r w:rsidR="0035385A">
        <w:t>paper is</w:t>
      </w:r>
      <w:r w:rsidR="00047427">
        <w:t xml:space="preserve"> </w:t>
      </w:r>
      <w:r w:rsidR="0035385A">
        <w:t>exploratory</w:t>
      </w:r>
      <w:r w:rsidR="00212812">
        <w:t>:</w:t>
      </w:r>
      <w:r w:rsidR="0035385A">
        <w:t xml:space="preserve"> we do not conduct any </w:t>
      </w:r>
      <w:r w:rsidR="008630AB">
        <w:t xml:space="preserve">regression </w:t>
      </w:r>
      <w:r w:rsidR="0035385A">
        <w:t xml:space="preserve">analysis </w:t>
      </w:r>
      <w:r w:rsidR="00FB4C9C">
        <w:t>and are cautious not</w:t>
      </w:r>
      <w:r w:rsidR="00964C93">
        <w:t xml:space="preserve"> to</w:t>
      </w:r>
      <w:r w:rsidR="00FB4C9C">
        <w:t xml:space="preserve"> overstate our findings. </w:t>
      </w:r>
      <w:r w:rsidR="00047427">
        <w:t xml:space="preserve">We recommend that future </w:t>
      </w:r>
      <w:r w:rsidR="0035385A">
        <w:t xml:space="preserve">work </w:t>
      </w:r>
      <w:r w:rsidR="00212812">
        <w:t>using</w:t>
      </w:r>
      <w:r w:rsidR="00FB4C9C">
        <w:t xml:space="preserve"> formal statistical methods </w:t>
      </w:r>
      <w:r w:rsidR="0035385A">
        <w:t xml:space="preserve">consider accounting for </w:t>
      </w:r>
      <w:r w:rsidR="0035385A" w:rsidRPr="00C80A3F">
        <w:t>attrition and wave non-response</w:t>
      </w:r>
      <w:r w:rsidR="0035385A">
        <w:t>.</w:t>
      </w:r>
    </w:p>
    <w:p w14:paraId="776B26D1" w14:textId="64BD10C4" w:rsidR="00F555E1" w:rsidRPr="00C80A3F" w:rsidRDefault="00F555E1" w:rsidP="00F555E1">
      <w:pPr>
        <w:autoSpaceDE w:val="0"/>
        <w:autoSpaceDN w:val="0"/>
        <w:adjustRightInd w:val="0"/>
        <w:jc w:val="both"/>
        <w:rPr>
          <w:lang w:val="en-US"/>
        </w:rPr>
      </w:pPr>
    </w:p>
    <w:p w14:paraId="2E25014A" w14:textId="5C854F8F" w:rsidR="00EC13CF" w:rsidRDefault="00E054AA" w:rsidP="00421FA2">
      <w:pPr>
        <w:pStyle w:val="CommentText"/>
      </w:pPr>
      <w:r w:rsidRPr="00F91EF5">
        <w:t xml:space="preserve">Data quality </w:t>
      </w:r>
      <w:r w:rsidR="007E5D6E">
        <w:t xml:space="preserve">remains </w:t>
      </w:r>
      <w:r w:rsidRPr="00F91EF5">
        <w:t>a</w:t>
      </w:r>
      <w:r w:rsidR="007E5D6E">
        <w:t>n important</w:t>
      </w:r>
      <w:r w:rsidRPr="00F91EF5">
        <w:t xml:space="preserve"> limitation</w:t>
      </w:r>
      <w:r w:rsidR="00CA0608">
        <w:t xml:space="preserve">. </w:t>
      </w:r>
      <w:r w:rsidR="00530112" w:rsidRPr="00F91EF5">
        <w:t xml:space="preserve">The variables </w:t>
      </w:r>
      <w:r w:rsidR="005D345C">
        <w:t xml:space="preserve">used to assess the sequence of accrual </w:t>
      </w:r>
      <w:r w:rsidR="002A28C3">
        <w:t xml:space="preserve">of LTCs </w:t>
      </w:r>
      <w:r w:rsidR="00530112" w:rsidRPr="00F91EF5">
        <w:t>did not match</w:t>
      </w:r>
      <w:r w:rsidR="00ED3D13" w:rsidRPr="00F91EF5">
        <w:t xml:space="preserve"> </w:t>
      </w:r>
      <w:r w:rsidR="00F91EF5">
        <w:t>up</w:t>
      </w:r>
      <w:r w:rsidR="00530112" w:rsidRPr="00F91EF5">
        <w:t> identically across sweeps</w:t>
      </w:r>
      <w:r w:rsidR="00064343">
        <w:t xml:space="preserve"> and we were required </w:t>
      </w:r>
      <w:r w:rsidR="00064343" w:rsidRPr="00F91EF5">
        <w:t xml:space="preserve">to make assumptions about </w:t>
      </w:r>
      <w:r w:rsidR="00064343">
        <w:t xml:space="preserve">whether </w:t>
      </w:r>
      <w:r w:rsidR="00064343" w:rsidRPr="00F91EF5">
        <w:t>variables</w:t>
      </w:r>
      <w:r w:rsidR="00064343">
        <w:t xml:space="preserve"> </w:t>
      </w:r>
      <w:r w:rsidR="00064343" w:rsidRPr="00F91EF5">
        <w:t>captur</w:t>
      </w:r>
      <w:r w:rsidR="009706E5">
        <w:t>ed</w:t>
      </w:r>
      <w:r w:rsidR="00064343" w:rsidRPr="00F91EF5">
        <w:t xml:space="preserve"> the same LTCs</w:t>
      </w:r>
      <w:r w:rsidR="00F22BA0">
        <w:t>, and this may have accounted for some of the fluctuation in the reporting of psychological distress we observed.</w:t>
      </w:r>
      <w:r w:rsidR="00530112" w:rsidRPr="00F91EF5">
        <w:t xml:space="preserve"> Further, at age </w:t>
      </w:r>
      <w:r w:rsidR="002A28C3" w:rsidRPr="00F91EF5">
        <w:t>26</w:t>
      </w:r>
      <w:r w:rsidR="002D2082">
        <w:t>,</w:t>
      </w:r>
      <w:r w:rsidR="002A28C3" w:rsidRPr="00F91EF5">
        <w:t xml:space="preserve"> blood</w:t>
      </w:r>
      <w:r w:rsidR="00530112" w:rsidRPr="00F91EF5">
        <w:t xml:space="preserve"> pressure </w:t>
      </w:r>
      <w:r w:rsidR="002A28C3">
        <w:t>was not</w:t>
      </w:r>
      <w:r w:rsidR="00ED3D13" w:rsidRPr="00F91EF5">
        <w:t xml:space="preserve"> recorded</w:t>
      </w:r>
      <w:r w:rsidR="00B27D7C">
        <w:t xml:space="preserve">, although </w:t>
      </w:r>
      <w:r w:rsidR="0034256B">
        <w:t xml:space="preserve">the number of </w:t>
      </w:r>
      <w:r w:rsidR="00B27D7C">
        <w:t xml:space="preserve">those reporting high blood pressure by age 26 was likely to be </w:t>
      </w:r>
      <w:r w:rsidR="005356AA">
        <w:t>small</w:t>
      </w:r>
      <w:r w:rsidR="00065724">
        <w:t>,[</w:t>
      </w:r>
      <w:r w:rsidR="00D05B25" w:rsidRPr="00823954">
        <w:t>3</w:t>
      </w:r>
      <w:r w:rsidR="00F93699">
        <w:t>4</w:t>
      </w:r>
      <w:r w:rsidR="00232020" w:rsidRPr="00823954">
        <w:t>,3</w:t>
      </w:r>
      <w:r w:rsidR="00F93699">
        <w:t>5</w:t>
      </w:r>
      <w:r w:rsidR="006F0C4D">
        <w:t>]</w:t>
      </w:r>
      <w:r w:rsidR="00F777C1">
        <w:t>.</w:t>
      </w:r>
      <w:r w:rsidR="00530112" w:rsidRPr="00F91EF5">
        <w:t xml:space="preserve"> </w:t>
      </w:r>
      <w:r w:rsidR="00D32E93">
        <w:t>D</w:t>
      </w:r>
      <w:r w:rsidR="00ED3D13">
        <w:t>ata coding constraints mean</w:t>
      </w:r>
      <w:r w:rsidR="006B6CD7">
        <w:t>t</w:t>
      </w:r>
      <w:r w:rsidR="00ED3D13">
        <w:t xml:space="preserve"> </w:t>
      </w:r>
      <w:r w:rsidR="002A28C3">
        <w:t xml:space="preserve">we </w:t>
      </w:r>
      <w:r w:rsidR="005D345C">
        <w:t xml:space="preserve">were </w:t>
      </w:r>
      <w:r w:rsidR="00ED3D13">
        <w:t>unable to provide a</w:t>
      </w:r>
      <w:r w:rsidR="00064343">
        <w:t xml:space="preserve"> more</w:t>
      </w:r>
      <w:r w:rsidR="00ED3D13">
        <w:t xml:space="preserve"> precise measurement of when the sentinel condition was reported or differentiate between </w:t>
      </w:r>
      <w:r w:rsidR="0034256B">
        <w:t xml:space="preserve">the times of onset of </w:t>
      </w:r>
      <w:r w:rsidR="00ED3D13">
        <w:t xml:space="preserve">conditions if they were </w:t>
      </w:r>
      <w:r w:rsidR="0034256B">
        <w:t xml:space="preserve">first </w:t>
      </w:r>
      <w:r w:rsidR="00ED3D13">
        <w:t xml:space="preserve">recorded at the same sweep. </w:t>
      </w:r>
      <w:r w:rsidR="00A55FE5">
        <w:t xml:space="preserve">Additionally, </w:t>
      </w:r>
      <w:r w:rsidR="001F37C2">
        <w:t xml:space="preserve">these data constraints meant our sequencing results were only granular down to the 4-year level. </w:t>
      </w:r>
      <w:r w:rsidR="006947F1">
        <w:t>Further work in birth cohorts to harmonise and agree LTC definitions would strengthen their potential for multimorbidity research.</w:t>
      </w:r>
    </w:p>
    <w:p w14:paraId="7D392456" w14:textId="1434022A" w:rsidR="0065068D" w:rsidRDefault="0065068D" w:rsidP="00F555E1"/>
    <w:p w14:paraId="30235230" w14:textId="0306E7AB" w:rsidR="00877878" w:rsidRPr="00191E79" w:rsidRDefault="00610F27" w:rsidP="00877878">
      <w:pPr>
        <w:rPr>
          <w:i/>
          <w:iCs/>
        </w:rPr>
      </w:pPr>
      <w:r>
        <w:lastRenderedPageBreak/>
        <w:t xml:space="preserve">Some LTCs were self-reported and are therefore likely </w:t>
      </w:r>
      <w:r w:rsidR="0065068D">
        <w:t xml:space="preserve">under-recorded, implying that we may be underestimating the true prevalence of multimorbidity. </w:t>
      </w:r>
      <w:r w:rsidR="00242A1F" w:rsidRPr="001F420B">
        <w:rPr>
          <w:color w:val="000000"/>
        </w:rPr>
        <w:t xml:space="preserve">A further limitation of </w:t>
      </w:r>
      <w:r w:rsidR="009B4EFF" w:rsidRPr="001F420B">
        <w:rPr>
          <w:color w:val="000000"/>
        </w:rPr>
        <w:t>the</w:t>
      </w:r>
      <w:r w:rsidR="00242A1F" w:rsidRPr="001F420B">
        <w:rPr>
          <w:color w:val="000000"/>
        </w:rPr>
        <w:t xml:space="preserve"> data is that there may be inconsistency in the reporting of conditions across the sweeps of data collection. </w:t>
      </w:r>
      <w:r w:rsidR="00724B42" w:rsidRPr="009D6501">
        <w:t>Additionally, t</w:t>
      </w:r>
      <w:r w:rsidR="003956CB">
        <w:t xml:space="preserve">he cohort is representative of a cohort of children born in </w:t>
      </w:r>
      <w:r w:rsidR="003956CB">
        <w:rPr>
          <w:lang w:val="en-US"/>
        </w:rPr>
        <w:t xml:space="preserve">1970, </w:t>
      </w:r>
      <w:r w:rsidR="008630AB">
        <w:rPr>
          <w:lang w:val="en-US"/>
        </w:rPr>
        <w:t xml:space="preserve">and </w:t>
      </w:r>
      <w:r w:rsidR="003956CB">
        <w:rPr>
          <w:lang w:val="en-US"/>
        </w:rPr>
        <w:t>as such</w:t>
      </w:r>
      <w:r w:rsidR="003956CB">
        <w:t xml:space="preserve"> does not reflect the ethnically diverse population of the UK today</w:t>
      </w:r>
      <w:r w:rsidR="00AE00D0">
        <w:t xml:space="preserve"> (Supplementary Materials Table 1)</w:t>
      </w:r>
      <w:r w:rsidR="00427673">
        <w:t xml:space="preserve">. </w:t>
      </w:r>
      <w:r w:rsidR="008630AB">
        <w:t>It is</w:t>
      </w:r>
      <w:r w:rsidR="00427673">
        <w:t xml:space="preserve"> know</w:t>
      </w:r>
      <w:r w:rsidR="008630AB">
        <w:t>n</w:t>
      </w:r>
      <w:r w:rsidR="00427673">
        <w:t xml:space="preserve"> from previous research that the prevalence of multimorbidity is more common</w:t>
      </w:r>
      <w:r w:rsidR="00CA2948">
        <w:t xml:space="preserve"> and occurs earlier </w:t>
      </w:r>
      <w:r w:rsidR="00427673">
        <w:t xml:space="preserve">in </w:t>
      </w:r>
      <w:r w:rsidR="00CA2948">
        <w:t xml:space="preserve">certain </w:t>
      </w:r>
      <w:r w:rsidR="00427673">
        <w:t xml:space="preserve">ethnic </w:t>
      </w:r>
      <w:r w:rsidR="00CA2948">
        <w:t xml:space="preserve">minority </w:t>
      </w:r>
      <w:r w:rsidR="00427673">
        <w:t>populations</w:t>
      </w:r>
      <w:r w:rsidR="006F0C4D">
        <w:t>,[</w:t>
      </w:r>
      <w:r w:rsidR="009B09F0">
        <w:t>7</w:t>
      </w:r>
      <w:r w:rsidR="00FF16AC">
        <w:t>,</w:t>
      </w:r>
      <w:r w:rsidR="00D05B25">
        <w:t>3</w:t>
      </w:r>
      <w:r w:rsidR="00F93699">
        <w:t>8</w:t>
      </w:r>
      <w:r w:rsidR="006F0C4D">
        <w:t>]</w:t>
      </w:r>
      <w:r w:rsidR="00427673">
        <w:t>.</w:t>
      </w:r>
      <w:r w:rsidR="00F40371">
        <w:t xml:space="preserve"> </w:t>
      </w:r>
      <w:r w:rsidR="006349F4">
        <w:t>We are also aware that health is not static</w:t>
      </w:r>
      <w:r w:rsidR="00065724">
        <w:t xml:space="preserve"> and we </w:t>
      </w:r>
      <w:r w:rsidR="00C4776D">
        <w:t>aim to</w:t>
      </w:r>
      <w:r w:rsidR="006349F4">
        <w:t xml:space="preserve"> incorporate </w:t>
      </w:r>
      <w:r w:rsidR="001208F9">
        <w:t xml:space="preserve">further </w:t>
      </w:r>
      <w:r w:rsidR="006349F4">
        <w:t>methods captur</w:t>
      </w:r>
      <w:r w:rsidR="00064343">
        <w:t>ing</w:t>
      </w:r>
      <w:r w:rsidR="006349F4">
        <w:t xml:space="preserve"> fluctuation in </w:t>
      </w:r>
      <w:r w:rsidR="00F40371">
        <w:t xml:space="preserve">other LTCs </w:t>
      </w:r>
      <w:r w:rsidR="006349F4">
        <w:t xml:space="preserve">when </w:t>
      </w:r>
      <w:r w:rsidR="00064343">
        <w:t>exploring</w:t>
      </w:r>
      <w:r w:rsidR="006349F4">
        <w:t xml:space="preserve"> the sequence of accrual of LTCs.</w:t>
      </w:r>
      <w:r w:rsidR="00877878" w:rsidRPr="00877878">
        <w:rPr>
          <w:i/>
          <w:iCs/>
        </w:rPr>
        <w:t xml:space="preserve"> </w:t>
      </w:r>
      <w:r w:rsidR="00877878" w:rsidRPr="007E4278">
        <w:t>F</w:t>
      </w:r>
      <w:r w:rsidR="00BA09B3">
        <w:t>urther</w:t>
      </w:r>
      <w:r w:rsidR="00877878" w:rsidRPr="007E4278">
        <w:t xml:space="preserve">, we focus on the relative risk of </w:t>
      </w:r>
      <w:r w:rsidR="00877878">
        <w:t>psychological distress</w:t>
      </w:r>
      <w:r w:rsidR="0011030A">
        <w:t>;</w:t>
      </w:r>
      <w:r w:rsidR="00065724">
        <w:t xml:space="preserve"> th</w:t>
      </w:r>
      <w:r w:rsidR="0011030A">
        <w:t>is</w:t>
      </w:r>
      <w:r w:rsidR="00065724">
        <w:t xml:space="preserve"> measure </w:t>
      </w:r>
      <w:r w:rsidR="00877878" w:rsidRPr="007E4278">
        <w:t xml:space="preserve">is limited to symptoms of depression and anxiety, </w:t>
      </w:r>
      <w:r w:rsidR="0011030A">
        <w:t>and</w:t>
      </w:r>
      <w:r w:rsidR="00877878" w:rsidRPr="007E4278">
        <w:t xml:space="preserve"> does not capture </w:t>
      </w:r>
      <w:r w:rsidR="008630AB">
        <w:t>the full</w:t>
      </w:r>
      <w:r w:rsidR="00877878" w:rsidRPr="007E4278">
        <w:t xml:space="preserve"> range of other mental health problems.</w:t>
      </w:r>
      <w:r w:rsidR="00877878">
        <w:t xml:space="preserve"> </w:t>
      </w:r>
      <w:r w:rsidR="00290514">
        <w:t>In addition, we define burdensomeness as p</w:t>
      </w:r>
      <w:r w:rsidR="00ED2EBC">
        <w:t>sychological distress</w:t>
      </w:r>
      <w:r w:rsidR="00290514">
        <w:t xml:space="preserve"> occurring as part of </w:t>
      </w:r>
      <w:r w:rsidR="00ED2EBC">
        <w:t>multimorbidity</w:t>
      </w:r>
      <w:r w:rsidR="007E7C1B">
        <w:t>.</w:t>
      </w:r>
      <w:r w:rsidR="00290514">
        <w:t xml:space="preserve"> </w:t>
      </w:r>
      <w:r w:rsidR="007E7C1B">
        <w:t>H</w:t>
      </w:r>
      <w:r w:rsidR="00290514">
        <w:t>owever</w:t>
      </w:r>
      <w:r w:rsidR="00CC4E76">
        <w:t>,</w:t>
      </w:r>
      <w:r w:rsidR="00290514">
        <w:t xml:space="preserve"> there are other cause</w:t>
      </w:r>
      <w:r w:rsidR="00A1137C">
        <w:t>s</w:t>
      </w:r>
      <w:r w:rsidR="00290514">
        <w:t xml:space="preserve"> of </w:t>
      </w:r>
      <w:r w:rsidR="00305F1E">
        <w:t>burdensomeness</w:t>
      </w:r>
      <w:r w:rsidR="00290514">
        <w:t xml:space="preserve"> such as physical symptoms and factors </w:t>
      </w:r>
      <w:r w:rsidR="00305F1E">
        <w:t>influencing</w:t>
      </w:r>
      <w:r w:rsidR="00290514">
        <w:t xml:space="preserve"> treatment burden </w:t>
      </w:r>
      <w:r w:rsidR="00E04088">
        <w:t>(</w:t>
      </w:r>
      <w:r w:rsidR="002F44B9">
        <w:t xml:space="preserve">number of health care appointments, </w:t>
      </w:r>
      <w:r w:rsidR="007E7C1B">
        <w:t>polypharmacy and quality of life measures</w:t>
      </w:r>
      <w:r w:rsidR="00290514">
        <w:t>)</w:t>
      </w:r>
      <w:r w:rsidR="00FB4750">
        <w:t xml:space="preserve"> we d</w:t>
      </w:r>
      <w:r w:rsidR="00537A57">
        <w:t>id not consider</w:t>
      </w:r>
      <w:r w:rsidR="00A1137C">
        <w:t>;</w:t>
      </w:r>
      <w:r w:rsidR="00290514">
        <w:t xml:space="preserve"> th</w:t>
      </w:r>
      <w:r w:rsidR="006E5AF9">
        <w:t>e</w:t>
      </w:r>
      <w:r w:rsidR="00290514">
        <w:t>s</w:t>
      </w:r>
      <w:r w:rsidR="006E5AF9">
        <w:t>e</w:t>
      </w:r>
      <w:r w:rsidR="00290514">
        <w:t xml:space="preserve"> are described </w:t>
      </w:r>
      <w:r w:rsidR="00772171">
        <w:t>with</w:t>
      </w:r>
      <w:r w:rsidR="00290514">
        <w:t>in the cumulative comple</w:t>
      </w:r>
      <w:r w:rsidR="00305F1E">
        <w:t>xity model</w:t>
      </w:r>
      <w:r w:rsidR="003559C0">
        <w:t>,[4</w:t>
      </w:r>
      <w:r w:rsidR="00F93699">
        <w:t>8</w:t>
      </w:r>
      <w:r w:rsidR="003559C0">
        <w:t>]</w:t>
      </w:r>
      <w:r w:rsidR="00327BC6">
        <w:t xml:space="preserve"> and burden t</w:t>
      </w:r>
      <w:r w:rsidR="009D16E2">
        <w:t>reatment theory</w:t>
      </w:r>
      <w:r w:rsidR="003559C0">
        <w:t>,[4</w:t>
      </w:r>
      <w:r w:rsidR="00F93699">
        <w:t>9</w:t>
      </w:r>
      <w:r w:rsidR="003559C0">
        <w:t>]</w:t>
      </w:r>
      <w:r w:rsidR="00305F1E">
        <w:t>.</w:t>
      </w:r>
      <w:r w:rsidR="00290514">
        <w:t xml:space="preserve"> </w:t>
      </w:r>
      <w:r w:rsidR="00845EA3">
        <w:t xml:space="preserve">These </w:t>
      </w:r>
      <w:r w:rsidR="002C1287">
        <w:t>should</w:t>
      </w:r>
      <w:r w:rsidR="00845EA3">
        <w:t xml:space="preserve"> </w:t>
      </w:r>
      <w:r w:rsidR="0067777B">
        <w:t xml:space="preserve">be </w:t>
      </w:r>
      <w:r w:rsidR="00845EA3">
        <w:t xml:space="preserve">investigated in </w:t>
      </w:r>
      <w:r w:rsidR="00EB52EE">
        <w:t xml:space="preserve">future </w:t>
      </w:r>
      <w:r w:rsidR="0067777B">
        <w:t>work.</w:t>
      </w:r>
    </w:p>
    <w:p w14:paraId="004A8AC7" w14:textId="1D7A2EA8" w:rsidR="0069762D" w:rsidRDefault="0069762D" w:rsidP="00427673"/>
    <w:p w14:paraId="735CB7B3" w14:textId="3F157105" w:rsidR="0069762D" w:rsidRDefault="00BA09B3" w:rsidP="00FF3B90">
      <w:pPr>
        <w:pStyle w:val="CommentText"/>
      </w:pPr>
      <w:r>
        <w:t>Finally, t</w:t>
      </w:r>
      <w:r w:rsidR="0069762D">
        <w:t>hese analyses were explorat</w:t>
      </w:r>
      <w:r w:rsidR="00212812">
        <w:t>ory</w:t>
      </w:r>
      <w:r w:rsidR="0069762D">
        <w:t xml:space="preserve"> and descriptive</w:t>
      </w:r>
      <w:r w:rsidR="00FA45B6">
        <w:t xml:space="preserve">. </w:t>
      </w:r>
      <w:r w:rsidR="0069762D">
        <w:t>Caution must be taken not to overstate our findings given the limitations of sample size, attrition and the fluctuation in the recording of LTC</w:t>
      </w:r>
      <w:r w:rsidR="002D2082">
        <w:t>s</w:t>
      </w:r>
      <w:r w:rsidR="0069762D">
        <w:t>. Limitation</w:t>
      </w:r>
      <w:r w:rsidR="00877F5C">
        <w:t>s</w:t>
      </w:r>
      <w:r w:rsidR="0069762D">
        <w:t xml:space="preserve"> of these analys</w:t>
      </w:r>
      <w:r w:rsidR="00212812">
        <w:t>e</w:t>
      </w:r>
      <w:r w:rsidR="0069762D">
        <w:t xml:space="preserve">s precluded </w:t>
      </w:r>
      <w:r w:rsidR="005E0FED">
        <w:t xml:space="preserve">further </w:t>
      </w:r>
      <w:r w:rsidR="0069762D">
        <w:t>statistical analysis</w:t>
      </w:r>
      <w:r w:rsidR="00D63A60">
        <w:t>.</w:t>
      </w:r>
      <w:r w:rsidR="00252324">
        <w:t xml:space="preserve"> F</w:t>
      </w:r>
      <w:r w:rsidR="0069762D">
        <w:t xml:space="preserve">uture work </w:t>
      </w:r>
      <w:r w:rsidR="00252324">
        <w:t>should</w:t>
      </w:r>
      <w:r w:rsidR="0069762D">
        <w:t xml:space="preserve"> consider </w:t>
      </w:r>
      <w:r w:rsidR="0069762D">
        <w:rPr>
          <w:color w:val="000000"/>
        </w:rPr>
        <w:t xml:space="preserve">multiple wider determinant exposures captured in birth cohort datasets and explore the associations between the early lifecourse and both sentinel conditions and </w:t>
      </w:r>
      <w:r w:rsidR="0069762D">
        <w:rPr>
          <w:color w:val="000000" w:themeColor="text1"/>
        </w:rPr>
        <w:t>early onset burdensome multimorbidity clusters. However, more careful consideration around the role of confounders, mediators, attrition</w:t>
      </w:r>
      <w:r w:rsidR="00D63A60">
        <w:rPr>
          <w:color w:val="000000" w:themeColor="text1"/>
        </w:rPr>
        <w:t>, sample size</w:t>
      </w:r>
      <w:r w:rsidR="0069762D">
        <w:rPr>
          <w:color w:val="000000" w:themeColor="text1"/>
        </w:rPr>
        <w:t xml:space="preserve"> and the reporting of LTCs</w:t>
      </w:r>
      <w:r w:rsidR="00D63A60">
        <w:rPr>
          <w:color w:val="000000" w:themeColor="text1"/>
        </w:rPr>
        <w:t xml:space="preserve"> are required</w:t>
      </w:r>
      <w:r w:rsidR="0069762D">
        <w:rPr>
          <w:color w:val="000000" w:themeColor="text1"/>
        </w:rPr>
        <w:t xml:space="preserve">. </w:t>
      </w:r>
    </w:p>
    <w:p w14:paraId="58394779" w14:textId="77777777" w:rsidR="00C9224F" w:rsidRDefault="00C9224F" w:rsidP="00E1230D">
      <w:pPr>
        <w:rPr>
          <w:b/>
          <w:bCs/>
          <w:u w:val="single"/>
        </w:rPr>
      </w:pPr>
    </w:p>
    <w:p w14:paraId="6F7DCDC8" w14:textId="77777777" w:rsidR="00DF30AC" w:rsidRDefault="00DF30AC" w:rsidP="00E1230D"/>
    <w:p w14:paraId="0CC217C8" w14:textId="72778D8A" w:rsidR="00E1230D" w:rsidRPr="006F0C4D" w:rsidRDefault="006F0C4D" w:rsidP="00E1230D">
      <w:r w:rsidRPr="006F0C4D">
        <w:t>CONCLUSIONS</w:t>
      </w:r>
    </w:p>
    <w:p w14:paraId="4F874637" w14:textId="77777777" w:rsidR="00234DBE" w:rsidRPr="00C80A3F" w:rsidRDefault="00234DBE" w:rsidP="00E1230D">
      <w:pPr>
        <w:rPr>
          <w:u w:val="single"/>
        </w:rPr>
      </w:pPr>
    </w:p>
    <w:p w14:paraId="0F8A658C" w14:textId="3AF24202" w:rsidR="006330DE" w:rsidRPr="00FB4C9C" w:rsidRDefault="003841D1" w:rsidP="00E92BB4">
      <w:pPr>
        <w:rPr>
          <w:color w:val="000000" w:themeColor="text1"/>
        </w:rPr>
      </w:pPr>
      <w:r>
        <w:t xml:space="preserve">In these exploratory analyses in a national </w:t>
      </w:r>
      <w:r>
        <w:rPr>
          <w:color w:val="000000" w:themeColor="text1"/>
        </w:rPr>
        <w:t>birth cohort</w:t>
      </w:r>
      <w:r w:rsidR="009602B8">
        <w:rPr>
          <w:color w:val="000000" w:themeColor="text1"/>
        </w:rPr>
        <w:t xml:space="preserve">, while overall prevalence of </w:t>
      </w:r>
      <w:r w:rsidR="003A7F06">
        <w:rPr>
          <w:color w:val="000000" w:themeColor="text1"/>
        </w:rPr>
        <w:t>the</w:t>
      </w:r>
      <w:r w:rsidR="009602B8">
        <w:rPr>
          <w:color w:val="000000" w:themeColor="text1"/>
        </w:rPr>
        <w:t xml:space="preserve"> </w:t>
      </w:r>
      <w:r w:rsidR="0013550D">
        <w:rPr>
          <w:color w:val="000000" w:themeColor="text1"/>
        </w:rPr>
        <w:t xml:space="preserve">most common </w:t>
      </w:r>
      <w:r w:rsidR="009602B8">
        <w:rPr>
          <w:color w:val="000000" w:themeColor="text1"/>
        </w:rPr>
        <w:t xml:space="preserve">three-condition burdensome multimorbidity </w:t>
      </w:r>
      <w:r w:rsidR="0013550D">
        <w:rPr>
          <w:color w:val="000000" w:themeColor="text1"/>
        </w:rPr>
        <w:t xml:space="preserve">group </w:t>
      </w:r>
      <w:r w:rsidR="009602B8">
        <w:rPr>
          <w:color w:val="000000" w:themeColor="text1"/>
        </w:rPr>
        <w:t>was relatively low</w:t>
      </w:r>
      <w:r w:rsidR="00AE44FC">
        <w:rPr>
          <w:color w:val="000000" w:themeColor="text1"/>
        </w:rPr>
        <w:t xml:space="preserve"> (4.3%)</w:t>
      </w:r>
      <w:r w:rsidR="009602B8">
        <w:rPr>
          <w:color w:val="000000" w:themeColor="text1"/>
        </w:rPr>
        <w:t xml:space="preserve"> at age 46, </w:t>
      </w:r>
      <w:r>
        <w:rPr>
          <w:color w:val="000000" w:themeColor="text1"/>
        </w:rPr>
        <w:t xml:space="preserve">we identified </w:t>
      </w:r>
      <w:r w:rsidR="00AE44FC">
        <w:t>psychological distress and back pain</w:t>
      </w:r>
      <w:r>
        <w:rPr>
          <w:color w:val="000000" w:themeColor="text1"/>
        </w:rPr>
        <w:t xml:space="preserve"> as the </w:t>
      </w:r>
      <w:r w:rsidR="008630AB">
        <w:rPr>
          <w:color w:val="000000" w:themeColor="text1"/>
        </w:rPr>
        <w:t>most common</w:t>
      </w:r>
      <w:r>
        <w:rPr>
          <w:color w:val="000000" w:themeColor="text1"/>
        </w:rPr>
        <w:t xml:space="preserve"> sentinel condition</w:t>
      </w:r>
      <w:r w:rsidR="00A02C32">
        <w:rPr>
          <w:color w:val="000000" w:themeColor="text1"/>
        </w:rPr>
        <w:t>s</w:t>
      </w:r>
      <w:r>
        <w:rPr>
          <w:color w:val="000000" w:themeColor="text1"/>
        </w:rPr>
        <w:t xml:space="preserve">. </w:t>
      </w:r>
      <w:r w:rsidR="00B13ECF">
        <w:rPr>
          <w:color w:val="000000" w:themeColor="text1"/>
          <w:lang w:eastAsia="en-US"/>
        </w:rPr>
        <w:t>The MLTC-M group w</w:t>
      </w:r>
      <w:r w:rsidR="0034256B">
        <w:rPr>
          <w:color w:val="000000" w:themeColor="text1"/>
          <w:lang w:eastAsia="en-US"/>
        </w:rPr>
        <w:t>as</w:t>
      </w:r>
      <w:r w:rsidR="00B13ECF">
        <w:rPr>
          <w:color w:val="000000" w:themeColor="text1"/>
          <w:lang w:eastAsia="en-US"/>
        </w:rPr>
        <w:t xml:space="preserve"> </w:t>
      </w:r>
      <w:r w:rsidR="00B13ECF">
        <w:rPr>
          <w:rFonts w:eastAsia="Yu Mincho"/>
          <w:color w:val="000000"/>
        </w:rPr>
        <w:t xml:space="preserve">characterised by </w:t>
      </w:r>
      <w:r w:rsidR="00065234">
        <w:rPr>
          <w:rFonts w:eastAsia="Yu Mincho"/>
          <w:color w:val="000000"/>
        </w:rPr>
        <w:t xml:space="preserve">more disadvantaged </w:t>
      </w:r>
      <w:r w:rsidR="00B13ECF">
        <w:rPr>
          <w:rFonts w:eastAsia="Yu Mincho"/>
          <w:color w:val="000000"/>
        </w:rPr>
        <w:t>sociodemographic factors.</w:t>
      </w:r>
      <w:r w:rsidR="00B13ECF">
        <w:rPr>
          <w:color w:val="000000" w:themeColor="text1"/>
          <w:lang w:eastAsia="en-US"/>
        </w:rPr>
        <w:t xml:space="preserve"> </w:t>
      </w:r>
      <w:r>
        <w:rPr>
          <w:color w:val="000000" w:themeColor="text1"/>
        </w:rPr>
        <w:t xml:space="preserve">Birth cohorts may usefully inform lifecourse-focused multimorbidity research but there are current limitations to their utility. </w:t>
      </w:r>
      <w:r w:rsidR="000D1924" w:rsidRPr="00B13ECF">
        <w:rPr>
          <w:color w:val="000000" w:themeColor="text1"/>
        </w:rPr>
        <w:t xml:space="preserve">We cannot influence the BCS70 sample size and diversity but </w:t>
      </w:r>
      <w:r w:rsidR="00B13ECF" w:rsidRPr="00B13ECF">
        <w:rPr>
          <w:color w:val="000000" w:themeColor="text1"/>
        </w:rPr>
        <w:t>future work cou</w:t>
      </w:r>
      <w:r w:rsidR="00B13ECF" w:rsidRPr="006814B7">
        <w:rPr>
          <w:color w:val="000000" w:themeColor="text1"/>
        </w:rPr>
        <w:t xml:space="preserve">ld </w:t>
      </w:r>
      <w:r w:rsidR="00B13ECF" w:rsidRPr="006814B7">
        <w:rPr>
          <w:bCs/>
        </w:rPr>
        <w:t>combine with other birth cohorts that include people into their 60s.</w:t>
      </w:r>
      <w:r w:rsidR="00B13ECF" w:rsidRPr="00B13ECF">
        <w:rPr>
          <w:color w:val="000000" w:themeColor="text1"/>
        </w:rPr>
        <w:t xml:space="preserve"> </w:t>
      </w:r>
      <w:r w:rsidRPr="00B13ECF">
        <w:rPr>
          <w:color w:val="000000" w:themeColor="text1"/>
        </w:rPr>
        <w:t xml:space="preserve">Further work is </w:t>
      </w:r>
      <w:r w:rsidR="00B13ECF" w:rsidRPr="00B13ECF">
        <w:rPr>
          <w:color w:val="000000" w:themeColor="text1"/>
        </w:rPr>
        <w:t xml:space="preserve">also </w:t>
      </w:r>
      <w:r w:rsidRPr="00B13ECF">
        <w:rPr>
          <w:color w:val="000000" w:themeColor="text1"/>
        </w:rPr>
        <w:t xml:space="preserve">needed to agree </w:t>
      </w:r>
      <w:r w:rsidR="002D2082">
        <w:rPr>
          <w:color w:val="000000" w:themeColor="text1"/>
        </w:rPr>
        <w:t xml:space="preserve">on </w:t>
      </w:r>
      <w:r w:rsidR="0068248D" w:rsidRPr="006814B7">
        <w:rPr>
          <w:color w:val="000000" w:themeColor="text1"/>
        </w:rPr>
        <w:t>LTC definitions</w:t>
      </w:r>
      <w:r w:rsidR="000D1924" w:rsidRPr="006814B7">
        <w:rPr>
          <w:color w:val="000000" w:themeColor="text1"/>
        </w:rPr>
        <w:t xml:space="preserve"> </w:t>
      </w:r>
      <w:r w:rsidR="0011030A">
        <w:t>to</w:t>
      </w:r>
      <w:r w:rsidR="000D1924" w:rsidRPr="006814B7">
        <w:t xml:space="preserve"> strengthen their potential for multimorbidity research.</w:t>
      </w:r>
      <w:r w:rsidRPr="000B275A" w:rsidDel="003841D1">
        <w:t xml:space="preserve"> </w:t>
      </w:r>
    </w:p>
    <w:p w14:paraId="1C6717B3" w14:textId="77777777" w:rsidR="00421FA2" w:rsidRDefault="00421FA2" w:rsidP="00E92BB4"/>
    <w:p w14:paraId="42AB2BC4" w14:textId="77777777" w:rsidR="00537A57" w:rsidRDefault="00537A57" w:rsidP="00421FA2">
      <w:pPr>
        <w:rPr>
          <w:u w:val="single"/>
        </w:rPr>
      </w:pPr>
    </w:p>
    <w:p w14:paraId="061FB23B" w14:textId="77777777" w:rsidR="00BB3EC0" w:rsidRDefault="00BB3EC0" w:rsidP="00421FA2">
      <w:pPr>
        <w:rPr>
          <w:u w:val="single"/>
        </w:rPr>
      </w:pPr>
    </w:p>
    <w:p w14:paraId="114E17F3" w14:textId="2D7D6B92" w:rsidR="00BB3EC0" w:rsidRDefault="00BB3EC0">
      <w:pPr>
        <w:rPr>
          <w:u w:val="single"/>
        </w:rPr>
      </w:pPr>
      <w:r>
        <w:rPr>
          <w:u w:val="single"/>
        </w:rPr>
        <w:br w:type="page"/>
      </w:r>
    </w:p>
    <w:p w14:paraId="32166B4D" w14:textId="35A773E7" w:rsidR="00C75D05" w:rsidRDefault="00C75D05" w:rsidP="00421FA2">
      <w:pPr>
        <w:rPr>
          <w:u w:val="single"/>
        </w:rPr>
      </w:pPr>
      <w:r>
        <w:rPr>
          <w:u w:val="single"/>
        </w:rPr>
        <w:lastRenderedPageBreak/>
        <w:t xml:space="preserve">Figure </w:t>
      </w:r>
      <w:r w:rsidR="00E63D51">
        <w:rPr>
          <w:u w:val="single"/>
        </w:rPr>
        <w:t>L</w:t>
      </w:r>
      <w:r>
        <w:rPr>
          <w:u w:val="single"/>
        </w:rPr>
        <w:t xml:space="preserve">egend </w:t>
      </w:r>
    </w:p>
    <w:p w14:paraId="33050D02" w14:textId="77777777" w:rsidR="000471B9" w:rsidRDefault="000471B9" w:rsidP="00421FA2">
      <w:pPr>
        <w:rPr>
          <w:u w:val="single"/>
        </w:rPr>
      </w:pPr>
    </w:p>
    <w:p w14:paraId="5B325C7B" w14:textId="3C74162B" w:rsidR="000471B9" w:rsidRPr="001F420B" w:rsidRDefault="000471B9" w:rsidP="00421FA2">
      <w:r w:rsidRPr="001F420B">
        <w:t>Figure 1. Selection Flow of MLTC-M sample at age 46</w:t>
      </w:r>
      <w:r w:rsidR="0013542F">
        <w:t>.</w:t>
      </w:r>
    </w:p>
    <w:p w14:paraId="66CEE760" w14:textId="77777777" w:rsidR="000471B9" w:rsidRDefault="000471B9" w:rsidP="00421FA2">
      <w:pPr>
        <w:rPr>
          <w:u w:val="single"/>
        </w:rPr>
      </w:pPr>
    </w:p>
    <w:p w14:paraId="448A174F" w14:textId="6F67F458" w:rsidR="00C75D05" w:rsidRDefault="004B1F03" w:rsidP="00421FA2">
      <w:r>
        <w:t>Figure 2. Bubble diagram of the percentage distribution of sentinel conditions and the age at which the sentinel condition was reported, for all 164 cohort members who reported the MLTC-M group of psychological distress, high blood pressure and back pain at age 46 and provided information on LTC across the adult sweeps.</w:t>
      </w:r>
      <w:r w:rsidR="009808D0">
        <w:t xml:space="preserve"> </w:t>
      </w:r>
      <w:r w:rsidR="009808D0" w:rsidRPr="001F420B">
        <w:rPr>
          <w:i/>
          <w:iCs/>
        </w:rPr>
        <w:t>The area of each bubble represents, for those that reported the MLTC-M group of psychological distress, high blood pressure and back pain at age 46, the reporting of the sentinel condition at each sweep in adulthood. The percentages are included inside each bubble.</w:t>
      </w:r>
    </w:p>
    <w:p w14:paraId="35800764" w14:textId="77777777" w:rsidR="00F44FF3" w:rsidRDefault="00F44FF3" w:rsidP="00421FA2"/>
    <w:p w14:paraId="565F57E3" w14:textId="7E551D3E" w:rsidR="00F44FF3" w:rsidRDefault="00F44FF3" w:rsidP="00421FA2">
      <w:r>
        <w:t>Figure 3. Sankey diagram of sequences of long-term condition for all 164 cohort members who reported the MLTC-M group of psychological distress (PD), high blood pressure (BP) and back pain (pain) at age 46 and provided information on LTC across the adult sweeps.</w:t>
      </w:r>
      <w:r w:rsidR="0013542F" w:rsidRPr="0013542F">
        <w:t xml:space="preserve"> </w:t>
      </w:r>
      <w:r w:rsidR="0013542F" w:rsidRPr="001F420B">
        <w:rPr>
          <w:i/>
          <w:iCs/>
        </w:rPr>
        <w:t>The size of the bar represents the number of people within each pathway. Larger bars representing a greater number of people.</w:t>
      </w:r>
    </w:p>
    <w:p w14:paraId="590DE7BA" w14:textId="77777777" w:rsidR="00F44FF3" w:rsidRDefault="00F44FF3" w:rsidP="00421FA2"/>
    <w:p w14:paraId="0F03A89A" w14:textId="044DCD0A" w:rsidR="00F44FF3" w:rsidRDefault="00F44FF3" w:rsidP="00421FA2">
      <w:r>
        <w:t>Figure 4. A graph representing the reporting of psychological distress across the adult sweeps for all 164 cohort members who reported the MLTC-M group of psychological distress, high blood pressure and back pain at age 46 and provided information on LTC across the adult sweeps.</w:t>
      </w:r>
    </w:p>
    <w:p w14:paraId="531AFB98" w14:textId="77777777" w:rsidR="004B1F03" w:rsidRDefault="004B1F03" w:rsidP="00421FA2">
      <w:pPr>
        <w:rPr>
          <w:u w:val="single"/>
        </w:rPr>
      </w:pPr>
    </w:p>
    <w:p w14:paraId="6297D1B2" w14:textId="77777777" w:rsidR="0013542F" w:rsidRDefault="0013542F" w:rsidP="00421FA2">
      <w:pPr>
        <w:rPr>
          <w:u w:val="single"/>
        </w:rPr>
      </w:pPr>
    </w:p>
    <w:p w14:paraId="6B86CDC8" w14:textId="448E2E9C" w:rsidR="0013542F" w:rsidRDefault="0013542F" w:rsidP="00421FA2">
      <w:pPr>
        <w:rPr>
          <w:u w:val="single"/>
        </w:rPr>
      </w:pPr>
    </w:p>
    <w:p w14:paraId="3C3D7F89" w14:textId="77777777" w:rsidR="0013542F" w:rsidRDefault="0013542F">
      <w:pPr>
        <w:rPr>
          <w:u w:val="single"/>
        </w:rPr>
      </w:pPr>
      <w:r>
        <w:rPr>
          <w:u w:val="single"/>
        </w:rPr>
        <w:br w:type="page"/>
      </w:r>
    </w:p>
    <w:p w14:paraId="139B4099" w14:textId="7ADB0F5E" w:rsidR="00421FA2" w:rsidRDefault="008C0D24" w:rsidP="00421FA2">
      <w:pPr>
        <w:rPr>
          <w:u w:val="single"/>
        </w:rPr>
      </w:pPr>
      <w:r>
        <w:rPr>
          <w:u w:val="single"/>
        </w:rPr>
        <w:lastRenderedPageBreak/>
        <w:t>Statements</w:t>
      </w:r>
    </w:p>
    <w:p w14:paraId="4609EF5E" w14:textId="77777777" w:rsidR="00421FA2" w:rsidRDefault="00421FA2" w:rsidP="00421FA2">
      <w:pPr>
        <w:rPr>
          <w:u w:val="single"/>
        </w:rPr>
      </w:pPr>
    </w:p>
    <w:p w14:paraId="037A61F9" w14:textId="338D20BC" w:rsidR="00AE44FC" w:rsidRPr="00212812" w:rsidRDefault="00502086" w:rsidP="00212812">
      <w:pPr>
        <w:pStyle w:val="CommentText"/>
      </w:pPr>
      <w:r>
        <w:rPr>
          <w:i/>
          <w:iCs/>
        </w:rPr>
        <w:t>C</w:t>
      </w:r>
      <w:r w:rsidRPr="37D0D394">
        <w:rPr>
          <w:i/>
          <w:iCs/>
        </w:rPr>
        <w:t>ontribut</w:t>
      </w:r>
      <w:r>
        <w:rPr>
          <w:i/>
          <w:iCs/>
        </w:rPr>
        <w:t>orship</w:t>
      </w:r>
      <w:r w:rsidR="00421FA2" w:rsidRPr="37D0D394">
        <w:rPr>
          <w:i/>
          <w:iCs/>
        </w:rPr>
        <w:t>:</w:t>
      </w:r>
      <w:r w:rsidR="00107344">
        <w:rPr>
          <w:rFonts w:cstheme="minorBidi"/>
        </w:rPr>
        <w:t xml:space="preserve"> </w:t>
      </w:r>
      <w:r w:rsidR="00AF2007" w:rsidRPr="00AF2007">
        <w:rPr>
          <w:rFonts w:cstheme="minorBidi"/>
        </w:rPr>
        <w:t>SS, EH, NA, MB, RH, ZZ, SC and SF were involved in the conceptualisation of ideas. SF obtained the BCS70 data. SS, EH, NA, and SF designed and planned the analyses. SS and EH performed the statistical analysis. SS initial draft of manuscript. SS, EH, NA, SC, RH, MB, WW, JM, MA and SF were involved in drafting, editing and reviewing the manuscript. All authors contributed to the development of the project and were involved in the approval of the final manuscript. SS and SF take responsibility for the data and research governance.</w:t>
      </w:r>
    </w:p>
    <w:p w14:paraId="1A7855C5" w14:textId="77777777" w:rsidR="00421FA2" w:rsidRDefault="00421FA2" w:rsidP="00421FA2">
      <w:pPr>
        <w:rPr>
          <w:u w:val="single"/>
        </w:rPr>
      </w:pPr>
    </w:p>
    <w:p w14:paraId="41463F06" w14:textId="5CFB7E5A" w:rsidR="00421FA2" w:rsidRDefault="00421FA2" w:rsidP="00421FA2">
      <w:pPr>
        <w:textAlignment w:val="baseline"/>
        <w:rPr>
          <w:rStyle w:val="apple-converted-space"/>
          <w:color w:val="000000" w:themeColor="text1"/>
          <w:shd w:val="clear" w:color="auto" w:fill="FFFFFF"/>
        </w:rPr>
      </w:pPr>
      <w:r w:rsidRPr="000C0BA2">
        <w:rPr>
          <w:i/>
          <w:iCs/>
        </w:rPr>
        <w:t>Funding</w:t>
      </w:r>
      <w:r w:rsidR="00F8485C">
        <w:rPr>
          <w:i/>
          <w:iCs/>
        </w:rPr>
        <w:t xml:space="preserve"> statement</w:t>
      </w:r>
      <w:r>
        <w:rPr>
          <w:i/>
          <w:iCs/>
        </w:rPr>
        <w:t>:</w:t>
      </w:r>
      <w:r w:rsidRPr="000C0BA2">
        <w:rPr>
          <w:i/>
          <w:iCs/>
        </w:rPr>
        <w:t xml:space="preserve"> </w:t>
      </w:r>
      <w:r>
        <w:t>This research is supported by NIHR grant number [</w:t>
      </w:r>
      <w:r w:rsidRPr="00632F45">
        <w:t>NIHR202644</w:t>
      </w:r>
      <w:r>
        <w:t xml:space="preserve">] as </w:t>
      </w:r>
      <w:r>
        <w:rPr>
          <w:color w:val="000000" w:themeColor="text1"/>
          <w:shd w:val="clear" w:color="auto" w:fill="FFFFFF"/>
        </w:rPr>
        <w:t xml:space="preserve">part of a larger research project titled </w:t>
      </w:r>
      <w:r w:rsidRPr="009B6615">
        <w:rPr>
          <w:i/>
          <w:iCs/>
          <w:color w:val="000000" w:themeColor="text1"/>
          <w:shd w:val="clear" w:color="auto" w:fill="FFFFFF"/>
        </w:rPr>
        <w:t>‘Developing a Multidisciplinary Ecosystem to Study Lifecourse Determinants of Complex Mid-life Multimorbidity using Artificial Intelligence (MELD)</w:t>
      </w:r>
      <w:r>
        <w:rPr>
          <w:color w:val="000000" w:themeColor="text1"/>
          <w:shd w:val="clear" w:color="auto" w:fill="FFFFFF"/>
        </w:rPr>
        <w:t xml:space="preserve">’. </w:t>
      </w:r>
      <w:r w:rsidRPr="00E36887">
        <w:rPr>
          <w:color w:val="000000" w:themeColor="text1"/>
          <w:shd w:val="clear" w:color="auto" w:fill="FFFFFF"/>
        </w:rPr>
        <w:t xml:space="preserve">The funder of the study had no role in the study design, data collection, data analysis, data interpretation, or the writing of the </w:t>
      </w:r>
      <w:r>
        <w:rPr>
          <w:color w:val="000000" w:themeColor="text1"/>
          <w:shd w:val="clear" w:color="auto" w:fill="FFFFFF"/>
        </w:rPr>
        <w:t>paper</w:t>
      </w:r>
      <w:r w:rsidRPr="00E36887">
        <w:rPr>
          <w:color w:val="000000" w:themeColor="text1"/>
          <w:shd w:val="clear" w:color="auto" w:fill="FFFFFF"/>
        </w:rPr>
        <w:t>.</w:t>
      </w:r>
      <w:r w:rsidRPr="00E36887">
        <w:rPr>
          <w:rStyle w:val="apple-converted-space"/>
          <w:color w:val="000000" w:themeColor="text1"/>
          <w:shd w:val="clear" w:color="auto" w:fill="FFFFFF"/>
        </w:rPr>
        <w:t> </w:t>
      </w:r>
      <w:r w:rsidR="00BB7BF4">
        <w:t xml:space="preserve">The views and opinions expressed in this </w:t>
      </w:r>
      <w:r w:rsidR="00347879">
        <w:t>paper</w:t>
      </w:r>
      <w:r w:rsidR="00BB7BF4">
        <w:t xml:space="preserve"> are those of the authors and do not necessarily reflect those of the NIHR or the Department of Health and Social Care.</w:t>
      </w:r>
    </w:p>
    <w:p w14:paraId="3EEC9036" w14:textId="0548961C" w:rsidR="00421FA2" w:rsidRDefault="00421FA2" w:rsidP="00421FA2">
      <w:pPr>
        <w:spacing w:before="100" w:beforeAutospacing="1" w:after="100" w:afterAutospacing="1"/>
        <w:rPr>
          <w:rFonts w:cstheme="minorHAnsi"/>
        </w:rPr>
      </w:pPr>
      <w:r w:rsidRPr="0086126E">
        <w:rPr>
          <w:rStyle w:val="apple-converted-space"/>
          <w:i/>
          <w:iCs/>
          <w:color w:val="000000" w:themeColor="text1"/>
          <w:shd w:val="clear" w:color="auto" w:fill="FFFFFF"/>
        </w:rPr>
        <w:t>Competing interests:</w:t>
      </w:r>
      <w:r w:rsidRPr="0086126E">
        <w:rPr>
          <w:rFonts w:cstheme="minorHAnsi"/>
        </w:rPr>
        <w:t xml:space="preserve"> </w:t>
      </w:r>
      <w:r>
        <w:rPr>
          <w:rFonts w:cstheme="minorHAnsi"/>
        </w:rPr>
        <w:t>All authors (</w:t>
      </w:r>
      <w:r w:rsidRPr="006C086D">
        <w:rPr>
          <w:rFonts w:cstheme="minorHAnsi"/>
        </w:rPr>
        <w:t xml:space="preserve">SS, </w:t>
      </w:r>
      <w:r w:rsidR="00E07118">
        <w:rPr>
          <w:rFonts w:cstheme="minorHAnsi"/>
        </w:rPr>
        <w:t xml:space="preserve">EH, </w:t>
      </w:r>
      <w:r w:rsidRPr="006C086D">
        <w:rPr>
          <w:rFonts w:cstheme="minorHAnsi"/>
        </w:rPr>
        <w:t>NA, MB, RH, ZZ, SC, MA</w:t>
      </w:r>
      <w:r>
        <w:rPr>
          <w:rFonts w:cstheme="minorHAnsi"/>
        </w:rPr>
        <w:t xml:space="preserve">, </w:t>
      </w:r>
      <w:r w:rsidRPr="006C086D">
        <w:rPr>
          <w:rFonts w:cstheme="minorHAnsi"/>
        </w:rPr>
        <w:t>SF</w:t>
      </w:r>
      <w:r>
        <w:rPr>
          <w:rFonts w:cstheme="minorHAnsi"/>
        </w:rPr>
        <w:t>, JM and WW) have no competing interests.</w:t>
      </w:r>
    </w:p>
    <w:p w14:paraId="146548F4" w14:textId="372B3962" w:rsidR="00421FA2" w:rsidRPr="0070389B" w:rsidRDefault="00421FA2" w:rsidP="00421FA2">
      <w:pPr>
        <w:widowControl w:val="0"/>
        <w:autoSpaceDE w:val="0"/>
        <w:autoSpaceDN w:val="0"/>
        <w:adjustRightInd w:val="0"/>
        <w:spacing w:after="240"/>
        <w:rPr>
          <w:rFonts w:ascii="Times" w:eastAsiaTheme="minorHAnsi" w:hAnsi="Times" w:cs="Times"/>
          <w:lang w:val="en-US" w:eastAsia="en-US"/>
        </w:rPr>
      </w:pPr>
      <w:r w:rsidRPr="0086126E">
        <w:rPr>
          <w:rFonts w:cstheme="minorHAnsi"/>
          <w:i/>
          <w:iCs/>
        </w:rPr>
        <w:t xml:space="preserve">Ethical approval: </w:t>
      </w:r>
      <w:r w:rsidRPr="00C80A3F">
        <w:rPr>
          <w:color w:val="000000" w:themeColor="text1"/>
          <w:shd w:val="clear" w:color="auto" w:fill="FFFFFF"/>
        </w:rPr>
        <w:t xml:space="preserve">Ethical approval </w:t>
      </w:r>
      <w:r>
        <w:rPr>
          <w:color w:val="000000" w:themeColor="text1"/>
          <w:shd w:val="clear" w:color="auto" w:fill="FFFFFF"/>
        </w:rPr>
        <w:t xml:space="preserve">for the </w:t>
      </w:r>
      <w:r w:rsidR="003956CB">
        <w:rPr>
          <w:color w:val="000000" w:themeColor="text1"/>
          <w:shd w:val="clear" w:color="auto" w:fill="FFFFFF"/>
        </w:rPr>
        <w:t xml:space="preserve">BCS70 study </w:t>
      </w:r>
      <w:r w:rsidRPr="00C80A3F">
        <w:rPr>
          <w:color w:val="000000" w:themeColor="text1"/>
          <w:shd w:val="clear" w:color="auto" w:fill="FFFFFF"/>
        </w:rPr>
        <w:t xml:space="preserve">was granted by the National Health Service (NHS) Research Ethics Committee, and all participants provided fully informed consent. </w:t>
      </w:r>
      <w:r w:rsidR="003956CB">
        <w:rPr>
          <w:color w:val="000000" w:themeColor="text1"/>
          <w:shd w:val="clear" w:color="auto" w:fill="FFFFFF"/>
        </w:rPr>
        <w:t xml:space="preserve">For details on the BCS70 </w:t>
      </w:r>
      <w:r w:rsidR="006814B7">
        <w:rPr>
          <w:color w:val="000000" w:themeColor="text1"/>
          <w:shd w:val="clear" w:color="auto" w:fill="FFFFFF"/>
        </w:rPr>
        <w:t>e</w:t>
      </w:r>
      <w:r w:rsidR="003956CB">
        <w:rPr>
          <w:color w:val="000000" w:themeColor="text1"/>
          <w:shd w:val="clear" w:color="auto" w:fill="FFFFFF"/>
        </w:rPr>
        <w:t xml:space="preserve">thics and consent please see: </w:t>
      </w:r>
      <w:r w:rsidR="003956CB" w:rsidRPr="003956CB">
        <w:rPr>
          <w:color w:val="000000" w:themeColor="text1"/>
          <w:shd w:val="clear" w:color="auto" w:fill="FFFFFF"/>
        </w:rPr>
        <w:t>https://cls.ucl.ac.uk/wp-content/uploads/2017/07/BCS70-ethical-review-and-consent-Shepherd-P-November-2012.pdf</w:t>
      </w:r>
      <w:r w:rsidR="003956CB">
        <w:rPr>
          <w:color w:val="000000" w:themeColor="text1"/>
          <w:shd w:val="clear" w:color="auto" w:fill="FFFFFF"/>
        </w:rPr>
        <w:t xml:space="preserve">. </w:t>
      </w:r>
      <w:r w:rsidRPr="00C80A3F">
        <w:rPr>
          <w:color w:val="000000" w:themeColor="text1"/>
          <w:shd w:val="clear" w:color="auto" w:fill="FFFFFF"/>
        </w:rPr>
        <w:t>Ethics approval for th</w:t>
      </w:r>
      <w:r w:rsidR="00FD6BF1">
        <w:rPr>
          <w:color w:val="000000" w:themeColor="text1"/>
          <w:shd w:val="clear" w:color="auto" w:fill="FFFFFF"/>
        </w:rPr>
        <w:t>e MELD project which this</w:t>
      </w:r>
      <w:r w:rsidRPr="00C80A3F">
        <w:rPr>
          <w:color w:val="000000" w:themeColor="text1"/>
          <w:shd w:val="clear" w:color="auto" w:fill="FFFFFF"/>
        </w:rPr>
        <w:t xml:space="preserve"> analysis</w:t>
      </w:r>
      <w:r w:rsidR="00065234">
        <w:rPr>
          <w:color w:val="000000" w:themeColor="text1"/>
          <w:shd w:val="clear" w:color="auto" w:fill="FFFFFF"/>
        </w:rPr>
        <w:t xml:space="preserve"> forms part of</w:t>
      </w:r>
      <w:r w:rsidRPr="00C80A3F">
        <w:rPr>
          <w:color w:val="000000" w:themeColor="text1"/>
          <w:shd w:val="clear" w:color="auto" w:fill="FFFFFF"/>
        </w:rPr>
        <w:t xml:space="preserve"> was granted by</w:t>
      </w:r>
      <w:r>
        <w:rPr>
          <w:color w:val="000000" w:themeColor="text1"/>
          <w:shd w:val="clear" w:color="auto" w:fill="FFFFFF"/>
        </w:rPr>
        <w:t xml:space="preserve"> Southampton University Ethics and Research Governance Online (61451) </w:t>
      </w:r>
      <w:r w:rsidRPr="00487934">
        <w:rPr>
          <w:color w:val="000000" w:themeColor="text1"/>
          <w:shd w:val="clear" w:color="auto" w:fill="FFFFFF"/>
        </w:rPr>
        <w:t xml:space="preserve">and by </w:t>
      </w:r>
      <w:r w:rsidRPr="004E403E">
        <w:rPr>
          <w:rFonts w:eastAsiaTheme="minorHAnsi"/>
          <w:color w:val="000000" w:themeColor="text1"/>
          <w:lang w:val="en-US" w:eastAsia="en-US"/>
        </w:rPr>
        <w:t>The Proportionate Review Sub-committee of the London - Camden &amp; Kings Cross Research Ethics Committee (21/PR/0023).</w:t>
      </w:r>
    </w:p>
    <w:p w14:paraId="42883766" w14:textId="1225249C" w:rsidR="00421FA2" w:rsidRDefault="00421FA2" w:rsidP="00E92BB4">
      <w:r>
        <w:rPr>
          <w:rFonts w:cstheme="minorHAnsi"/>
          <w:i/>
          <w:iCs/>
        </w:rPr>
        <w:t xml:space="preserve">Data </w:t>
      </w:r>
      <w:r w:rsidR="00F8485C">
        <w:rPr>
          <w:rFonts w:cstheme="minorHAnsi"/>
          <w:i/>
          <w:iCs/>
        </w:rPr>
        <w:t>sharing</w:t>
      </w:r>
      <w:r>
        <w:rPr>
          <w:rFonts w:cstheme="minorHAnsi"/>
          <w:i/>
          <w:iCs/>
        </w:rPr>
        <w:t xml:space="preserve">: </w:t>
      </w:r>
      <w:r w:rsidR="00A8750F" w:rsidRPr="00A8750F">
        <w:t>The BCS70 datasets generated and analysed in the current study are available in the UK Data Service repository: BCS70 https://discover.ukdataservice.ac.uk/series/?sn=200001.</w:t>
      </w:r>
    </w:p>
    <w:p w14:paraId="3B444805" w14:textId="458BCACC" w:rsidR="00354492" w:rsidRDefault="00354492" w:rsidP="00E92BB4"/>
    <w:p w14:paraId="1EEFCBED" w14:textId="706F1870" w:rsidR="00354492" w:rsidRDefault="00354492" w:rsidP="00E92BB4"/>
    <w:p w14:paraId="71097C9E" w14:textId="13FEA406" w:rsidR="00354492" w:rsidRDefault="00354492" w:rsidP="00E92BB4"/>
    <w:p w14:paraId="4C6B7A18" w14:textId="0DC61F6D" w:rsidR="000E2F0D" w:rsidRDefault="000E2F0D" w:rsidP="00015341">
      <w:pPr>
        <w:spacing w:line="480" w:lineRule="auto"/>
        <w:rPr>
          <w:u w:val="single"/>
        </w:rPr>
        <w:sectPr w:rsidR="000E2F0D">
          <w:footerReference w:type="even" r:id="rId12"/>
          <w:footerReference w:type="default" r:id="rId13"/>
          <w:pgSz w:w="11906" w:h="16838"/>
          <w:pgMar w:top="1440" w:right="1440" w:bottom="1440" w:left="1440" w:header="708" w:footer="708" w:gutter="0"/>
          <w:cols w:space="708"/>
          <w:docGrid w:linePitch="360"/>
        </w:sectPr>
      </w:pPr>
    </w:p>
    <w:p w14:paraId="62B3B0D9" w14:textId="310252D3" w:rsidR="00314DE7" w:rsidRPr="006654EA" w:rsidRDefault="00314DE7" w:rsidP="00314DE7">
      <w:pPr>
        <w:rPr>
          <w:color w:val="000000" w:themeColor="text1"/>
        </w:rPr>
      </w:pPr>
      <w:r w:rsidRPr="00495A94">
        <w:rPr>
          <w:color w:val="000000" w:themeColor="text1"/>
        </w:rPr>
        <w:lastRenderedPageBreak/>
        <w:t>Reference List:</w:t>
      </w:r>
      <w:r w:rsidRPr="006654EA">
        <w:rPr>
          <w:color w:val="000000" w:themeColor="text1"/>
        </w:rPr>
        <w:t xml:space="preserve"> </w:t>
      </w:r>
    </w:p>
    <w:p w14:paraId="22945DA9" w14:textId="77777777" w:rsidR="00314DE7" w:rsidRPr="006654EA" w:rsidRDefault="00314DE7" w:rsidP="00314DE7">
      <w:pPr>
        <w:rPr>
          <w:color w:val="000000" w:themeColor="text1"/>
        </w:rPr>
      </w:pPr>
    </w:p>
    <w:p w14:paraId="30D9D44B" w14:textId="77777777"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Kingston A, Robinson L, Booth H, et al. Projections of multi-morbidity in the older population in England to 2035: estimates from the population ageing and care simulation (PACSim) model. </w:t>
      </w:r>
      <w:r w:rsidRPr="006654EA">
        <w:rPr>
          <w:rFonts w:ascii="Times New Roman" w:hAnsi="Times New Roman" w:cs="Times New Roman"/>
          <w:i/>
          <w:iCs/>
          <w:color w:val="000000" w:themeColor="text1"/>
        </w:rPr>
        <w:t>Age Ageing</w:t>
      </w:r>
      <w:r w:rsidRPr="006654EA">
        <w:rPr>
          <w:rFonts w:ascii="Times New Roman" w:hAnsi="Times New Roman" w:cs="Times New Roman"/>
          <w:color w:val="000000" w:themeColor="text1"/>
        </w:rPr>
        <w:t xml:space="preserve"> 2018;47(3):374–80.  </w:t>
      </w:r>
    </w:p>
    <w:p w14:paraId="2FB2080E" w14:textId="77777777" w:rsidR="00314DE7" w:rsidRPr="006654EA" w:rsidRDefault="00314DE7" w:rsidP="00314DE7">
      <w:pPr>
        <w:rPr>
          <w:color w:val="000000" w:themeColor="text1"/>
        </w:rPr>
      </w:pPr>
    </w:p>
    <w:p w14:paraId="5BEBCD83" w14:textId="74012D88"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Whitty CJM, MacEwen C, Goddard A, et al. Rising to the challenge of multimorbidity.  </w:t>
      </w:r>
      <w:r w:rsidRPr="006654EA">
        <w:rPr>
          <w:rFonts w:ascii="Times New Roman" w:hAnsi="Times New Roman" w:cs="Times New Roman"/>
          <w:i/>
          <w:iCs/>
          <w:color w:val="000000" w:themeColor="text1"/>
        </w:rPr>
        <w:t>BMJ</w:t>
      </w:r>
      <w:r w:rsidRPr="006654EA">
        <w:rPr>
          <w:rFonts w:ascii="Times New Roman" w:hAnsi="Times New Roman" w:cs="Times New Roman"/>
          <w:color w:val="000000" w:themeColor="text1"/>
        </w:rPr>
        <w:t>  2020; 368:l6964.</w:t>
      </w:r>
    </w:p>
    <w:p w14:paraId="0037FEEC" w14:textId="77777777" w:rsidR="00314DE7" w:rsidRPr="006654EA" w:rsidRDefault="00314DE7" w:rsidP="00314DE7">
      <w:pPr>
        <w:rPr>
          <w:color w:val="000000" w:themeColor="text1"/>
        </w:rPr>
      </w:pPr>
    </w:p>
    <w:p w14:paraId="7F3B5F86" w14:textId="6C3CB044"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Barnett K, Mercer S W, Norbury M, et al. Epidemiology of multimorbidity and implications for health care, research, and medical education: a cross-sectional study. </w:t>
      </w:r>
      <w:r w:rsidRPr="006654EA">
        <w:rPr>
          <w:rFonts w:ascii="Times New Roman" w:hAnsi="Times New Roman" w:cs="Times New Roman"/>
          <w:i/>
          <w:iCs/>
          <w:color w:val="000000" w:themeColor="text1"/>
        </w:rPr>
        <w:t xml:space="preserve">Lancet </w:t>
      </w:r>
      <w:r w:rsidRPr="006654EA">
        <w:rPr>
          <w:rFonts w:ascii="Times New Roman" w:hAnsi="Times New Roman" w:cs="Times New Roman"/>
          <w:color w:val="000000" w:themeColor="text1"/>
        </w:rPr>
        <w:t>2012; 380(9836):37-43.</w:t>
      </w:r>
    </w:p>
    <w:p w14:paraId="23CC95F0" w14:textId="77777777" w:rsidR="00314DE7" w:rsidRPr="006654EA" w:rsidRDefault="00314DE7" w:rsidP="00314DE7">
      <w:pPr>
        <w:rPr>
          <w:color w:val="000000" w:themeColor="text1"/>
        </w:rPr>
      </w:pPr>
    </w:p>
    <w:p w14:paraId="7AA0DC98" w14:textId="77777777"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The Academy of Medical Sciences. Multimorbidity: a priority for global health research. London: Academy of Medical Sciences; 2018 [accessed 2021 01/09]. Available from: https://acmedsci.ac.uk/policy/policy-projects/multimorbidity </w:t>
      </w:r>
    </w:p>
    <w:p w14:paraId="083BAD35" w14:textId="77777777" w:rsidR="00314DE7" w:rsidRPr="006654EA" w:rsidRDefault="00314DE7" w:rsidP="00314DE7">
      <w:pPr>
        <w:rPr>
          <w:color w:val="000000" w:themeColor="text1"/>
        </w:rPr>
      </w:pPr>
    </w:p>
    <w:p w14:paraId="747072A3" w14:textId="7BBA0864" w:rsidR="00314DE7" w:rsidRPr="006654EA" w:rsidRDefault="00314DE7" w:rsidP="00314DE7">
      <w:pPr>
        <w:pStyle w:val="ListParagraph"/>
        <w:numPr>
          <w:ilvl w:val="0"/>
          <w:numId w:val="14"/>
        </w:numPr>
        <w:ind w:left="643"/>
        <w:rPr>
          <w:rFonts w:ascii="Times New Roman" w:hAnsi="Times New Roman" w:cs="Times New Roman"/>
          <w:i/>
          <w:iCs/>
          <w:color w:val="000000" w:themeColor="text1"/>
        </w:rPr>
      </w:pPr>
      <w:r w:rsidRPr="006654EA">
        <w:rPr>
          <w:rFonts w:ascii="Times New Roman" w:hAnsi="Times New Roman" w:cs="Times New Roman"/>
          <w:color w:val="000000" w:themeColor="text1"/>
          <w:shd w:val="clear" w:color="auto" w:fill="FFFFFF"/>
        </w:rPr>
        <w:t xml:space="preserve">Moussavi S, Chatterji S, Verdes E, </w:t>
      </w:r>
      <w:r w:rsidR="008D540A">
        <w:rPr>
          <w:rFonts w:ascii="Times New Roman" w:hAnsi="Times New Roman" w:cs="Times New Roman"/>
          <w:color w:val="000000" w:themeColor="text1"/>
          <w:shd w:val="clear" w:color="auto" w:fill="FFFFFF"/>
        </w:rPr>
        <w:t>et al</w:t>
      </w:r>
      <w:r w:rsidRPr="006654EA">
        <w:rPr>
          <w:rFonts w:ascii="Times New Roman" w:hAnsi="Times New Roman" w:cs="Times New Roman"/>
          <w:color w:val="000000" w:themeColor="text1"/>
          <w:shd w:val="clear" w:color="auto" w:fill="FFFFFF"/>
        </w:rPr>
        <w:t>. Depression, chronic diseases, and decrements in health: Results from the World Health Surveys. </w:t>
      </w:r>
      <w:r w:rsidRPr="006654EA">
        <w:rPr>
          <w:rFonts w:ascii="Times New Roman" w:hAnsi="Times New Roman" w:cs="Times New Roman"/>
          <w:i/>
          <w:iCs/>
          <w:color w:val="000000" w:themeColor="text1"/>
        </w:rPr>
        <w:t>The Lancet</w:t>
      </w:r>
      <w:r w:rsidRPr="006654EA">
        <w:rPr>
          <w:rFonts w:ascii="Times New Roman" w:hAnsi="Times New Roman" w:cs="Times New Roman"/>
          <w:color w:val="000000" w:themeColor="text1"/>
        </w:rPr>
        <w:t> 2007;370:851–858.</w:t>
      </w:r>
      <w:r w:rsidRPr="006654EA">
        <w:rPr>
          <w:rFonts w:ascii="Times New Roman" w:hAnsi="Times New Roman" w:cs="Times New Roman"/>
          <w:i/>
          <w:iCs/>
          <w:color w:val="000000" w:themeColor="text1"/>
        </w:rPr>
        <w:t xml:space="preserve"> </w:t>
      </w:r>
    </w:p>
    <w:p w14:paraId="18EAD3C0" w14:textId="77777777" w:rsidR="00314DE7" w:rsidRPr="006654EA" w:rsidRDefault="00314DE7" w:rsidP="00314DE7">
      <w:pPr>
        <w:pStyle w:val="ListParagraph"/>
        <w:rPr>
          <w:rFonts w:ascii="Times New Roman" w:hAnsi="Times New Roman" w:cs="Times New Roman"/>
          <w:i/>
          <w:iCs/>
          <w:color w:val="000000" w:themeColor="text1"/>
        </w:rPr>
      </w:pPr>
    </w:p>
    <w:p w14:paraId="03CA1C09" w14:textId="20A85FD2"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 Pescosolido BA, Patient trajectories. </w:t>
      </w:r>
      <w:r w:rsidR="00FA520C">
        <w:rPr>
          <w:rFonts w:ascii="Times New Roman" w:hAnsi="Times New Roman" w:cs="Times New Roman"/>
          <w:color w:val="000000" w:themeColor="text1"/>
        </w:rPr>
        <w:t>I</w:t>
      </w:r>
      <w:r w:rsidRPr="006654EA">
        <w:rPr>
          <w:rFonts w:ascii="Times New Roman" w:hAnsi="Times New Roman" w:cs="Times New Roman"/>
          <w:color w:val="000000" w:themeColor="text1"/>
        </w:rPr>
        <w:t xml:space="preserve">n </w:t>
      </w:r>
      <w:r w:rsidR="00797F88" w:rsidRPr="006654EA">
        <w:rPr>
          <w:rFonts w:ascii="Times New Roman" w:hAnsi="Times New Roman" w:cs="Times New Roman"/>
          <w:color w:val="000000" w:themeColor="text1"/>
        </w:rPr>
        <w:t xml:space="preserve">Cockerham WC, Dingwall R, Quah SR </w:t>
      </w:r>
      <w:r w:rsidR="00797F88">
        <w:rPr>
          <w:rFonts w:ascii="Times New Roman" w:hAnsi="Times New Roman" w:cs="Times New Roman"/>
          <w:color w:val="000000" w:themeColor="text1"/>
        </w:rPr>
        <w:t>e</w:t>
      </w:r>
      <w:r w:rsidR="00797F88" w:rsidRPr="006654EA">
        <w:rPr>
          <w:rFonts w:ascii="Times New Roman" w:hAnsi="Times New Roman" w:cs="Times New Roman"/>
          <w:color w:val="000000" w:themeColor="text1"/>
        </w:rPr>
        <w:t xml:space="preserve">ds. </w:t>
      </w:r>
      <w:r w:rsidRPr="006654EA">
        <w:rPr>
          <w:rFonts w:ascii="Times New Roman" w:hAnsi="Times New Roman" w:cs="Times New Roman"/>
          <w:color w:val="000000" w:themeColor="text1"/>
        </w:rPr>
        <w:t>The Wiley Blackwell Encyclopedia of Health, Illness, Behavior, and Society, First Edition. John Wiley &amp; Sons, Ltd</w:t>
      </w:r>
      <w:r w:rsidR="00B40A3C">
        <w:rPr>
          <w:rFonts w:ascii="Times New Roman" w:hAnsi="Times New Roman" w:cs="Times New Roman"/>
          <w:color w:val="000000" w:themeColor="text1"/>
        </w:rPr>
        <w:t xml:space="preserve"> 2014:</w:t>
      </w:r>
      <w:r w:rsidR="00C07D79">
        <w:rPr>
          <w:rFonts w:ascii="Times New Roman" w:hAnsi="Times New Roman" w:cs="Times New Roman"/>
          <w:color w:val="000000" w:themeColor="text1"/>
        </w:rPr>
        <w:t>1-8.</w:t>
      </w:r>
    </w:p>
    <w:p w14:paraId="7BA229FB" w14:textId="77777777" w:rsidR="00314DE7" w:rsidRPr="006654EA" w:rsidRDefault="00314DE7" w:rsidP="00314DE7">
      <w:pPr>
        <w:pStyle w:val="ListParagraph"/>
        <w:rPr>
          <w:rFonts w:ascii="Times New Roman" w:hAnsi="Times New Roman" w:cs="Times New Roman"/>
          <w:color w:val="000000" w:themeColor="text1"/>
        </w:rPr>
      </w:pPr>
    </w:p>
    <w:p w14:paraId="1731828A" w14:textId="77777777"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Ashworth M, Durbaba S, Whitney D, et al. Journey to multimorbidity: longitudinal analysis exploring cardiovascular risk factors and sociodemographic determinants in an urban setting. </w:t>
      </w:r>
      <w:r w:rsidRPr="006654EA">
        <w:rPr>
          <w:rFonts w:ascii="Times New Roman" w:hAnsi="Times New Roman" w:cs="Times New Roman"/>
          <w:i/>
          <w:iCs/>
          <w:color w:val="000000" w:themeColor="text1"/>
        </w:rPr>
        <w:t>BMJ Open</w:t>
      </w:r>
      <w:r w:rsidRPr="006654EA">
        <w:rPr>
          <w:rFonts w:ascii="Times New Roman" w:hAnsi="Times New Roman" w:cs="Times New Roman"/>
          <w:color w:val="000000" w:themeColor="text1"/>
        </w:rPr>
        <w:t xml:space="preserve"> 2019;9(12):e031649.</w:t>
      </w:r>
    </w:p>
    <w:p w14:paraId="6169A174" w14:textId="77777777" w:rsidR="00314DE7" w:rsidRPr="006654EA" w:rsidRDefault="00314DE7" w:rsidP="00314DE7">
      <w:pPr>
        <w:pStyle w:val="ListParagraph"/>
        <w:rPr>
          <w:rFonts w:ascii="Times New Roman" w:hAnsi="Times New Roman" w:cs="Times New Roman"/>
          <w:color w:val="000000" w:themeColor="text1"/>
        </w:rPr>
      </w:pPr>
    </w:p>
    <w:p w14:paraId="2C63B742" w14:textId="7670C7F0"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1F420B">
        <w:rPr>
          <w:rFonts w:ascii="Times New Roman" w:hAnsi="Times New Roman" w:cs="Times New Roman"/>
          <w:color w:val="000000" w:themeColor="text1"/>
          <w:lang w:val="fr-FR"/>
        </w:rPr>
        <w:t xml:space="preserve">Fortin M, Stewart M, Poitras ME, et al. </w:t>
      </w:r>
      <w:r w:rsidRPr="006654EA">
        <w:rPr>
          <w:rFonts w:ascii="Times New Roman" w:hAnsi="Times New Roman" w:cs="Times New Roman"/>
          <w:color w:val="000000" w:themeColor="text1"/>
        </w:rPr>
        <w:t xml:space="preserve">A systematic review of prevalence studies on multimorbidity: toward a more uniform methodology. </w:t>
      </w:r>
      <w:r w:rsidRPr="006654EA">
        <w:rPr>
          <w:rFonts w:ascii="Times New Roman" w:hAnsi="Times New Roman" w:cs="Times New Roman"/>
          <w:i/>
          <w:iCs/>
          <w:color w:val="000000" w:themeColor="text1"/>
        </w:rPr>
        <w:t>Ann Fam Med</w:t>
      </w:r>
      <w:r w:rsidRPr="006654EA">
        <w:rPr>
          <w:rFonts w:ascii="Times New Roman" w:hAnsi="Times New Roman" w:cs="Times New Roman"/>
          <w:color w:val="000000" w:themeColor="text1"/>
        </w:rPr>
        <w:t xml:space="preserve"> 2012;10(2):142–51</w:t>
      </w:r>
      <w:r w:rsidR="000D485E">
        <w:rPr>
          <w:rFonts w:ascii="Times New Roman" w:hAnsi="Times New Roman" w:cs="Times New Roman"/>
          <w:color w:val="000000" w:themeColor="text1"/>
        </w:rPr>
        <w:t>.</w:t>
      </w:r>
    </w:p>
    <w:p w14:paraId="087A29D5" w14:textId="77777777" w:rsidR="00314DE7" w:rsidRPr="006654EA" w:rsidRDefault="00314DE7" w:rsidP="00314DE7">
      <w:pPr>
        <w:pStyle w:val="ListParagraph"/>
        <w:rPr>
          <w:rFonts w:ascii="Times New Roman" w:hAnsi="Times New Roman" w:cs="Times New Roman"/>
          <w:color w:val="000000" w:themeColor="text1"/>
        </w:rPr>
      </w:pPr>
    </w:p>
    <w:p w14:paraId="51A39576" w14:textId="5FB33B6B"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1F420B">
        <w:rPr>
          <w:rFonts w:ascii="Times New Roman" w:hAnsi="Times New Roman" w:cs="Times New Roman"/>
          <w:color w:val="000000" w:themeColor="text1"/>
        </w:rPr>
        <w:t xml:space="preserve">Mujica-Mota RE, Roberts M, Abel G, et al. </w:t>
      </w:r>
      <w:r w:rsidRPr="006654EA">
        <w:rPr>
          <w:rFonts w:ascii="Times New Roman" w:hAnsi="Times New Roman" w:cs="Times New Roman"/>
          <w:color w:val="000000" w:themeColor="text1"/>
        </w:rPr>
        <w:t xml:space="preserve">Patterns of morbidity and multi-morbidity and their impact on health-related quality of life: evidence from a national survey. </w:t>
      </w:r>
      <w:r w:rsidRPr="006654EA">
        <w:rPr>
          <w:rFonts w:ascii="Times New Roman" w:hAnsi="Times New Roman" w:cs="Times New Roman"/>
          <w:i/>
          <w:iCs/>
          <w:color w:val="000000" w:themeColor="text1"/>
        </w:rPr>
        <w:t>Qual Life Res</w:t>
      </w:r>
      <w:r w:rsidRPr="006654EA">
        <w:rPr>
          <w:rFonts w:ascii="Times New Roman" w:hAnsi="Times New Roman" w:cs="Times New Roman"/>
          <w:color w:val="000000" w:themeColor="text1"/>
        </w:rPr>
        <w:t xml:space="preserve"> 2015;24(4):909–18.</w:t>
      </w:r>
    </w:p>
    <w:p w14:paraId="0BA9BBD8" w14:textId="77777777" w:rsidR="00314DE7" w:rsidRPr="006654EA" w:rsidRDefault="00314DE7" w:rsidP="00314DE7">
      <w:pPr>
        <w:pStyle w:val="ListParagraph"/>
        <w:rPr>
          <w:rFonts w:ascii="Times New Roman" w:hAnsi="Times New Roman" w:cs="Times New Roman"/>
          <w:color w:val="000000" w:themeColor="text1"/>
        </w:rPr>
      </w:pPr>
    </w:p>
    <w:p w14:paraId="0997F722" w14:textId="52CB58A0"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1F420B">
        <w:rPr>
          <w:rFonts w:ascii="Times New Roman" w:hAnsi="Times New Roman" w:cs="Times New Roman"/>
          <w:color w:val="000000" w:themeColor="text1"/>
          <w:shd w:val="clear" w:color="auto" w:fill="FFFFFF"/>
          <w:lang w:val="nl-NL"/>
        </w:rPr>
        <w:t>Rhebergen</w:t>
      </w:r>
      <w:r w:rsidR="00495A94" w:rsidRPr="001F420B">
        <w:rPr>
          <w:rFonts w:ascii="Times New Roman" w:hAnsi="Times New Roman" w:cs="Times New Roman"/>
          <w:color w:val="000000" w:themeColor="text1"/>
          <w:shd w:val="clear" w:color="auto" w:fill="FFFFFF"/>
          <w:lang w:val="nl-NL"/>
        </w:rPr>
        <w:t xml:space="preserve"> </w:t>
      </w:r>
      <w:r w:rsidRPr="001F420B">
        <w:rPr>
          <w:rFonts w:ascii="Times New Roman" w:hAnsi="Times New Roman" w:cs="Times New Roman"/>
          <w:color w:val="000000" w:themeColor="text1"/>
          <w:shd w:val="clear" w:color="auto" w:fill="FFFFFF"/>
          <w:lang w:val="nl-NL"/>
        </w:rPr>
        <w:t>D, Batelaan NM, de Graaf</w:t>
      </w:r>
      <w:r w:rsidR="00495A94" w:rsidRPr="001F420B">
        <w:rPr>
          <w:rFonts w:ascii="Times New Roman" w:hAnsi="Times New Roman" w:cs="Times New Roman"/>
          <w:color w:val="000000" w:themeColor="text1"/>
          <w:shd w:val="clear" w:color="auto" w:fill="FFFFFF"/>
          <w:lang w:val="nl-NL"/>
        </w:rPr>
        <w:t xml:space="preserve"> </w:t>
      </w:r>
      <w:r w:rsidRPr="001F420B">
        <w:rPr>
          <w:rFonts w:ascii="Times New Roman" w:hAnsi="Times New Roman" w:cs="Times New Roman"/>
          <w:color w:val="000000" w:themeColor="text1"/>
          <w:shd w:val="clear" w:color="auto" w:fill="FFFFFF"/>
          <w:lang w:val="nl-NL"/>
        </w:rPr>
        <w:t xml:space="preserve">R, </w:t>
      </w:r>
      <w:r w:rsidR="008D540A" w:rsidRPr="001F420B">
        <w:rPr>
          <w:rFonts w:ascii="Times New Roman" w:hAnsi="Times New Roman" w:cs="Times New Roman"/>
          <w:color w:val="000000" w:themeColor="text1"/>
          <w:shd w:val="clear" w:color="auto" w:fill="FFFFFF"/>
          <w:lang w:val="nl-NL"/>
        </w:rPr>
        <w:t>et al</w:t>
      </w:r>
      <w:r w:rsidRPr="001F420B">
        <w:rPr>
          <w:rFonts w:ascii="Times New Roman" w:hAnsi="Times New Roman" w:cs="Times New Roman"/>
          <w:color w:val="000000" w:themeColor="text1"/>
          <w:shd w:val="clear" w:color="auto" w:fill="FFFFFF"/>
          <w:lang w:val="nl-NL"/>
        </w:rPr>
        <w:t xml:space="preserve">. </w:t>
      </w:r>
      <w:r w:rsidRPr="006654EA">
        <w:rPr>
          <w:rFonts w:ascii="Times New Roman" w:hAnsi="Times New Roman" w:cs="Times New Roman"/>
          <w:color w:val="000000" w:themeColor="text1"/>
          <w:shd w:val="clear" w:color="auto" w:fill="FFFFFF"/>
        </w:rPr>
        <w:t xml:space="preserve">The 7-year course of depression and anxiety in the general population. </w:t>
      </w:r>
      <w:r w:rsidRPr="001F420B">
        <w:rPr>
          <w:rFonts w:ascii="Times New Roman" w:hAnsi="Times New Roman" w:cs="Times New Roman"/>
          <w:i/>
          <w:iCs/>
          <w:color w:val="000000" w:themeColor="text1"/>
          <w:shd w:val="clear" w:color="auto" w:fill="FFFFFF"/>
        </w:rPr>
        <w:t>Acta Psychiatrica Scandinavica</w:t>
      </w:r>
      <w:r w:rsidR="000D485E">
        <w:rPr>
          <w:rFonts w:ascii="Times New Roman" w:hAnsi="Times New Roman" w:cs="Times New Roman"/>
          <w:color w:val="000000" w:themeColor="text1"/>
          <w:shd w:val="clear" w:color="auto" w:fill="FFFFFF"/>
        </w:rPr>
        <w:t xml:space="preserve"> 2011;</w:t>
      </w:r>
      <w:r w:rsidRPr="006654EA">
        <w:rPr>
          <w:rFonts w:ascii="Times New Roman" w:hAnsi="Times New Roman" w:cs="Times New Roman"/>
          <w:color w:val="000000" w:themeColor="text1"/>
          <w:shd w:val="clear" w:color="auto" w:fill="FFFFFF"/>
        </w:rPr>
        <w:t xml:space="preserve"> 123: 297-306. </w:t>
      </w:r>
    </w:p>
    <w:p w14:paraId="25F08688" w14:textId="77777777" w:rsidR="00314DE7" w:rsidRPr="006654EA" w:rsidRDefault="00314DE7" w:rsidP="00314DE7">
      <w:pPr>
        <w:rPr>
          <w:color w:val="000000" w:themeColor="text1"/>
        </w:rPr>
      </w:pPr>
    </w:p>
    <w:p w14:paraId="1765C535" w14:textId="5BBC49C6"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shd w:val="clear" w:color="auto" w:fill="FFFFFF"/>
        </w:rPr>
        <w:t xml:space="preserve">Gustavson K, Knudsen AK, Nesvåg R, </w:t>
      </w:r>
      <w:r w:rsidR="008D540A">
        <w:rPr>
          <w:rFonts w:ascii="Times New Roman" w:hAnsi="Times New Roman" w:cs="Times New Roman"/>
          <w:color w:val="000000" w:themeColor="text1"/>
          <w:shd w:val="clear" w:color="auto" w:fill="FFFFFF"/>
        </w:rPr>
        <w:t>et al</w:t>
      </w:r>
      <w:r w:rsidRPr="006654EA">
        <w:rPr>
          <w:rFonts w:ascii="Times New Roman" w:hAnsi="Times New Roman" w:cs="Times New Roman"/>
          <w:color w:val="000000" w:themeColor="text1"/>
          <w:shd w:val="clear" w:color="auto" w:fill="FFFFFF"/>
        </w:rPr>
        <w:t>. Prevalence and stability of mental disorders among young adults: Findings from a longitudinal study.</w:t>
      </w:r>
      <w:r w:rsidRPr="006654EA">
        <w:rPr>
          <w:rStyle w:val="apple-converted-space"/>
          <w:rFonts w:ascii="Times New Roman" w:hAnsi="Times New Roman" w:cs="Times New Roman"/>
          <w:color w:val="000000" w:themeColor="text1"/>
          <w:shd w:val="clear" w:color="auto" w:fill="FFFFFF"/>
        </w:rPr>
        <w:t> </w:t>
      </w:r>
      <w:r w:rsidRPr="006654EA">
        <w:rPr>
          <w:rStyle w:val="Emphasis"/>
          <w:rFonts w:ascii="Times New Roman" w:hAnsi="Times New Roman" w:cs="Times New Roman"/>
          <w:color w:val="000000" w:themeColor="text1"/>
        </w:rPr>
        <w:t xml:space="preserve">BMC Psychiatry </w:t>
      </w:r>
      <w:r w:rsidR="000D485E" w:rsidRPr="001F420B">
        <w:rPr>
          <w:rStyle w:val="Emphasis"/>
          <w:rFonts w:ascii="Times New Roman" w:hAnsi="Times New Roman" w:cs="Times New Roman"/>
          <w:i w:val="0"/>
          <w:iCs w:val="0"/>
          <w:color w:val="000000" w:themeColor="text1"/>
        </w:rPr>
        <w:t xml:space="preserve">2018; </w:t>
      </w:r>
      <w:r w:rsidRPr="001F420B">
        <w:rPr>
          <w:rStyle w:val="Emphasis"/>
          <w:rFonts w:ascii="Times New Roman" w:hAnsi="Times New Roman" w:cs="Times New Roman"/>
          <w:i w:val="0"/>
          <w:iCs w:val="0"/>
          <w:color w:val="000000" w:themeColor="text1"/>
        </w:rPr>
        <w:t>18,</w:t>
      </w:r>
      <w:r w:rsidRPr="001F420B">
        <w:rPr>
          <w:rFonts w:ascii="Times New Roman" w:hAnsi="Times New Roman" w:cs="Times New Roman"/>
          <w:i/>
          <w:color w:val="000000" w:themeColor="text1"/>
          <w:shd w:val="clear" w:color="auto" w:fill="FFFFFF"/>
        </w:rPr>
        <w:t xml:space="preserve"> </w:t>
      </w:r>
      <w:r w:rsidRPr="000D485E">
        <w:rPr>
          <w:rFonts w:ascii="Times New Roman" w:hAnsi="Times New Roman" w:cs="Times New Roman"/>
          <w:iCs/>
          <w:color w:val="000000" w:themeColor="text1"/>
          <w:shd w:val="clear" w:color="auto" w:fill="FFFFFF"/>
        </w:rPr>
        <w:t>65</w:t>
      </w:r>
      <w:r w:rsidRPr="00D15596">
        <w:rPr>
          <w:rFonts w:ascii="Times New Roman" w:hAnsi="Times New Roman" w:cs="Times New Roman"/>
          <w:iCs/>
          <w:color w:val="000000" w:themeColor="text1"/>
          <w:shd w:val="clear" w:color="auto" w:fill="FFFFFF"/>
        </w:rPr>
        <w:t>.</w:t>
      </w:r>
      <w:r w:rsidRPr="006654EA">
        <w:rPr>
          <w:rStyle w:val="apple-converted-space"/>
          <w:rFonts w:ascii="Times New Roman" w:hAnsi="Times New Roman" w:cs="Times New Roman"/>
          <w:color w:val="000000" w:themeColor="text1"/>
          <w:shd w:val="clear" w:color="auto" w:fill="FFFFFF"/>
        </w:rPr>
        <w:t> </w:t>
      </w:r>
      <w:r w:rsidRPr="006654EA">
        <w:rPr>
          <w:rFonts w:ascii="Times New Roman" w:hAnsi="Times New Roman" w:cs="Times New Roman"/>
          <w:color w:val="000000" w:themeColor="text1"/>
        </w:rPr>
        <w:t xml:space="preserve"> </w:t>
      </w:r>
    </w:p>
    <w:p w14:paraId="364B45C4" w14:textId="77777777" w:rsidR="00314DE7" w:rsidRPr="006654EA" w:rsidRDefault="00314DE7" w:rsidP="00314DE7">
      <w:pPr>
        <w:rPr>
          <w:color w:val="000000" w:themeColor="text1"/>
        </w:rPr>
      </w:pPr>
    </w:p>
    <w:p w14:paraId="69EE504C" w14:textId="0EE21EB1" w:rsidR="00314DE7" w:rsidRPr="00945959" w:rsidRDefault="00314DE7" w:rsidP="00945959">
      <w:pPr>
        <w:pStyle w:val="ListParagraph"/>
        <w:numPr>
          <w:ilvl w:val="0"/>
          <w:numId w:val="14"/>
        </w:numPr>
        <w:ind w:left="643"/>
        <w:rPr>
          <w:color w:val="000000" w:themeColor="text1"/>
        </w:rPr>
      </w:pPr>
      <w:r w:rsidRPr="001F420B">
        <w:rPr>
          <w:rFonts w:ascii="Times New Roman" w:hAnsi="Times New Roman" w:cs="Times New Roman"/>
          <w:color w:val="000000" w:themeColor="text1"/>
          <w:shd w:val="clear" w:color="auto" w:fill="FFFFFF"/>
          <w:lang w:val="nl-NL"/>
        </w:rPr>
        <w:t xml:space="preserve">Lamers F, Beekman AT, van Hemert AM, </w:t>
      </w:r>
      <w:r w:rsidR="008D540A" w:rsidRPr="001F420B">
        <w:rPr>
          <w:rFonts w:ascii="Times New Roman" w:hAnsi="Times New Roman" w:cs="Times New Roman"/>
          <w:color w:val="000000" w:themeColor="text1"/>
          <w:shd w:val="clear" w:color="auto" w:fill="FFFFFF"/>
          <w:lang w:val="nl-NL"/>
        </w:rPr>
        <w:t>et al</w:t>
      </w:r>
      <w:r w:rsidRPr="001F420B">
        <w:rPr>
          <w:rFonts w:ascii="Times New Roman" w:hAnsi="Times New Roman" w:cs="Times New Roman"/>
          <w:color w:val="000000" w:themeColor="text1"/>
          <w:shd w:val="clear" w:color="auto" w:fill="FFFFFF"/>
          <w:lang w:val="nl-NL"/>
        </w:rPr>
        <w:t xml:space="preserve">. </w:t>
      </w:r>
      <w:r w:rsidRPr="006654EA">
        <w:rPr>
          <w:rFonts w:ascii="Times New Roman" w:hAnsi="Times New Roman" w:cs="Times New Roman"/>
          <w:color w:val="000000" w:themeColor="text1"/>
          <w:shd w:val="clear" w:color="auto" w:fill="FFFFFF"/>
        </w:rPr>
        <w:t xml:space="preserve">Six-year longitudinal course and outcomes of subtypes of depression. </w:t>
      </w:r>
      <w:r w:rsidRPr="001F420B">
        <w:rPr>
          <w:rFonts w:ascii="Times New Roman" w:hAnsi="Times New Roman" w:cs="Times New Roman"/>
          <w:i/>
          <w:iCs/>
          <w:color w:val="000000" w:themeColor="text1"/>
          <w:shd w:val="clear" w:color="auto" w:fill="FFFFFF"/>
        </w:rPr>
        <w:t>Br J Psychiatry</w:t>
      </w:r>
      <w:r w:rsidRPr="006654EA">
        <w:rPr>
          <w:rFonts w:ascii="Times New Roman" w:hAnsi="Times New Roman" w:cs="Times New Roman"/>
          <w:color w:val="000000" w:themeColor="text1"/>
          <w:shd w:val="clear" w:color="auto" w:fill="FFFFFF"/>
        </w:rPr>
        <w:t xml:space="preserve"> 2016;208(1):62–8.</w:t>
      </w:r>
    </w:p>
    <w:p w14:paraId="768B6BA5" w14:textId="77777777" w:rsidR="00314DE7" w:rsidRPr="006654EA" w:rsidRDefault="00314DE7" w:rsidP="00314DE7">
      <w:pPr>
        <w:pStyle w:val="ListParagraph"/>
        <w:ind w:left="643"/>
        <w:rPr>
          <w:rFonts w:ascii="Times New Roman" w:hAnsi="Times New Roman" w:cs="Times New Roman"/>
          <w:color w:val="000000" w:themeColor="text1"/>
        </w:rPr>
      </w:pPr>
    </w:p>
    <w:p w14:paraId="5DAD7DCB" w14:textId="13C01BF5" w:rsidR="00314DE7" w:rsidRPr="006654EA" w:rsidRDefault="00314DE7" w:rsidP="00314DE7">
      <w:pPr>
        <w:pStyle w:val="ListParagraph"/>
        <w:numPr>
          <w:ilvl w:val="0"/>
          <w:numId w:val="14"/>
        </w:numPr>
        <w:spacing w:before="100" w:beforeAutospacing="1" w:after="100" w:afterAutospacing="1"/>
        <w:ind w:left="643"/>
        <w:rPr>
          <w:rFonts w:ascii="Times New Roman" w:hAnsi="Times New Roman" w:cs="Times New Roman"/>
          <w:color w:val="000000" w:themeColor="text1"/>
        </w:rPr>
      </w:pPr>
      <w:r w:rsidRPr="001F420B">
        <w:rPr>
          <w:rFonts w:ascii="Times New Roman" w:hAnsi="Times New Roman" w:cs="Times New Roman"/>
          <w:color w:val="000000" w:themeColor="text1"/>
          <w:lang w:val="it-IT"/>
        </w:rPr>
        <w:t xml:space="preserve">Brodaty H, Luscombe G, Peisah C, et al. </w:t>
      </w:r>
      <w:r w:rsidRPr="006654EA">
        <w:rPr>
          <w:rFonts w:ascii="Times New Roman" w:hAnsi="Times New Roman" w:cs="Times New Roman"/>
          <w:color w:val="000000" w:themeColor="text1"/>
        </w:rPr>
        <w:t xml:space="preserve">A 25-year longitudinal, comparison study of the outcome of depression. </w:t>
      </w:r>
      <w:r w:rsidRPr="001F420B">
        <w:rPr>
          <w:rFonts w:ascii="Times New Roman" w:hAnsi="Times New Roman" w:cs="Times New Roman"/>
          <w:i/>
          <w:iCs/>
          <w:color w:val="000000" w:themeColor="text1"/>
        </w:rPr>
        <w:t>Psychol Med</w:t>
      </w:r>
      <w:r w:rsidRPr="006654EA">
        <w:rPr>
          <w:rFonts w:ascii="Times New Roman" w:hAnsi="Times New Roman" w:cs="Times New Roman"/>
          <w:color w:val="000000" w:themeColor="text1"/>
        </w:rPr>
        <w:t xml:space="preserve"> 2001;31:1347–1359. </w:t>
      </w:r>
    </w:p>
    <w:p w14:paraId="63BFC177" w14:textId="77777777" w:rsidR="00314DE7" w:rsidRPr="006654EA" w:rsidRDefault="00314DE7" w:rsidP="00314DE7">
      <w:pPr>
        <w:pStyle w:val="ListParagraph"/>
        <w:spacing w:before="100" w:beforeAutospacing="1" w:after="100" w:afterAutospacing="1"/>
        <w:rPr>
          <w:rFonts w:ascii="Times New Roman" w:hAnsi="Times New Roman" w:cs="Times New Roman"/>
          <w:color w:val="000000" w:themeColor="text1"/>
        </w:rPr>
      </w:pPr>
    </w:p>
    <w:p w14:paraId="78EBCBF5" w14:textId="3F4C6958" w:rsidR="00A25F07" w:rsidRDefault="00314DE7" w:rsidP="00A25F07">
      <w:pPr>
        <w:pStyle w:val="ListParagraph"/>
        <w:numPr>
          <w:ilvl w:val="0"/>
          <w:numId w:val="14"/>
        </w:numPr>
        <w:spacing w:before="100" w:beforeAutospacing="1" w:after="100" w:afterAutospacing="1"/>
        <w:ind w:left="643"/>
        <w:rPr>
          <w:rFonts w:ascii="Times New Roman" w:hAnsi="Times New Roman" w:cs="Times New Roman"/>
          <w:color w:val="000000" w:themeColor="text1"/>
        </w:rPr>
      </w:pPr>
      <w:r w:rsidRPr="006654EA">
        <w:rPr>
          <w:rFonts w:ascii="Times New Roman" w:hAnsi="Times New Roman" w:cs="Times New Roman"/>
          <w:color w:val="000000" w:themeColor="text1"/>
        </w:rPr>
        <w:lastRenderedPageBreak/>
        <w:t xml:space="preserve">Mueller TI, Leon AC, Keller MB, et al. Recurrence after recovery from major depressive disorder during 15 years of observational follow-up. </w:t>
      </w:r>
      <w:r w:rsidRPr="001F420B">
        <w:rPr>
          <w:rFonts w:ascii="Times New Roman" w:hAnsi="Times New Roman" w:cs="Times New Roman"/>
          <w:i/>
          <w:iCs/>
          <w:color w:val="000000" w:themeColor="text1"/>
        </w:rPr>
        <w:t>Am J Psychiatry</w:t>
      </w:r>
      <w:r w:rsidRPr="006654EA">
        <w:rPr>
          <w:rFonts w:ascii="Times New Roman" w:hAnsi="Times New Roman" w:cs="Times New Roman"/>
          <w:color w:val="000000" w:themeColor="text1"/>
        </w:rPr>
        <w:t xml:space="preserve"> 1999;156:1000–1006. </w:t>
      </w:r>
    </w:p>
    <w:p w14:paraId="577A80D1" w14:textId="77777777" w:rsidR="00A25F07" w:rsidRDefault="00A25F07" w:rsidP="00A25F07">
      <w:pPr>
        <w:pStyle w:val="ListParagraph"/>
        <w:spacing w:before="100" w:beforeAutospacing="1" w:after="100" w:afterAutospacing="1"/>
        <w:ind w:left="643"/>
        <w:rPr>
          <w:rFonts w:ascii="Times New Roman" w:hAnsi="Times New Roman" w:cs="Times New Roman"/>
          <w:color w:val="000000" w:themeColor="text1"/>
        </w:rPr>
      </w:pPr>
    </w:p>
    <w:p w14:paraId="69CFF1CA" w14:textId="1F5C1862" w:rsidR="00A25F07" w:rsidRPr="00A25F07" w:rsidRDefault="00A25F07" w:rsidP="00A25F07">
      <w:pPr>
        <w:pStyle w:val="ListParagraph"/>
        <w:numPr>
          <w:ilvl w:val="0"/>
          <w:numId w:val="14"/>
        </w:numPr>
        <w:spacing w:before="100" w:beforeAutospacing="1" w:after="100" w:afterAutospacing="1"/>
        <w:ind w:left="643"/>
        <w:rPr>
          <w:rFonts w:ascii="Times New Roman" w:hAnsi="Times New Roman" w:cs="Times New Roman"/>
          <w:color w:val="000000" w:themeColor="text1"/>
        </w:rPr>
      </w:pPr>
      <w:r w:rsidRPr="00A25F07">
        <w:rPr>
          <w:rFonts w:ascii="Times New Roman" w:hAnsi="Times New Roman" w:cs="Times New Roman"/>
          <w:color w:val="000000"/>
        </w:rPr>
        <w:t xml:space="preserve"> Roshanaei-Moghaddam B, Katon WJ, &amp; Russo J. The longitudinal effects of depression on physical activity. </w:t>
      </w:r>
      <w:r w:rsidR="00D15596" w:rsidRPr="001F420B">
        <w:rPr>
          <w:rFonts w:ascii="Times New Roman" w:hAnsi="Times New Roman" w:cs="Times New Roman"/>
          <w:i/>
          <w:iCs/>
          <w:color w:val="000000"/>
        </w:rPr>
        <w:t>Ann</w:t>
      </w:r>
      <w:r w:rsidR="00D15596">
        <w:rPr>
          <w:rFonts w:ascii="Times New Roman" w:hAnsi="Times New Roman" w:cs="Times New Roman"/>
          <w:color w:val="000000"/>
        </w:rPr>
        <w:t xml:space="preserve"> </w:t>
      </w:r>
      <w:r w:rsidRPr="001F420B">
        <w:rPr>
          <w:rFonts w:ascii="Times New Roman" w:hAnsi="Times New Roman" w:cs="Times New Roman"/>
          <w:i/>
          <w:iCs/>
          <w:color w:val="000000"/>
        </w:rPr>
        <w:t>Gen Hos</w:t>
      </w:r>
      <w:r w:rsidR="00D15596">
        <w:rPr>
          <w:rFonts w:ascii="Times New Roman" w:hAnsi="Times New Roman" w:cs="Times New Roman"/>
          <w:i/>
          <w:iCs/>
          <w:color w:val="000000"/>
        </w:rPr>
        <w:t>p</w:t>
      </w:r>
      <w:r w:rsidRPr="001F420B">
        <w:rPr>
          <w:rFonts w:ascii="Times New Roman" w:hAnsi="Times New Roman" w:cs="Times New Roman"/>
          <w:i/>
          <w:iCs/>
          <w:color w:val="000000"/>
        </w:rPr>
        <w:t xml:space="preserve"> Psychiatry</w:t>
      </w:r>
      <w:r w:rsidRPr="00A25F07">
        <w:rPr>
          <w:rFonts w:ascii="Times New Roman" w:hAnsi="Times New Roman" w:cs="Times New Roman"/>
          <w:color w:val="000000"/>
        </w:rPr>
        <w:t xml:space="preserve"> 2009</w:t>
      </w:r>
      <w:r w:rsidR="00BB3EC0">
        <w:rPr>
          <w:rFonts w:ascii="Times New Roman" w:hAnsi="Times New Roman" w:cs="Times New Roman"/>
          <w:color w:val="000000"/>
        </w:rPr>
        <w:t>;</w:t>
      </w:r>
      <w:r w:rsidRPr="00A25F07">
        <w:rPr>
          <w:rFonts w:ascii="Times New Roman" w:hAnsi="Times New Roman" w:cs="Times New Roman"/>
          <w:color w:val="000000"/>
        </w:rPr>
        <w:t xml:space="preserve"> 31(4), 306–315. </w:t>
      </w:r>
    </w:p>
    <w:p w14:paraId="0537F979" w14:textId="77777777" w:rsidR="00A25F07" w:rsidRPr="00A25F07" w:rsidRDefault="00A25F07" w:rsidP="00A25F07">
      <w:pPr>
        <w:pStyle w:val="ListParagraph"/>
        <w:spacing w:before="100" w:beforeAutospacing="1" w:after="100" w:afterAutospacing="1"/>
        <w:ind w:left="643"/>
        <w:rPr>
          <w:rFonts w:ascii="Times New Roman" w:hAnsi="Times New Roman" w:cs="Times New Roman"/>
          <w:color w:val="000000" w:themeColor="text1"/>
        </w:rPr>
      </w:pPr>
    </w:p>
    <w:p w14:paraId="4A997270" w14:textId="2B201D8D" w:rsidR="00A25F07" w:rsidRPr="00E74AF0" w:rsidRDefault="00A25F07" w:rsidP="00A25F07">
      <w:pPr>
        <w:pStyle w:val="ListParagraph"/>
        <w:numPr>
          <w:ilvl w:val="0"/>
          <w:numId w:val="14"/>
        </w:numPr>
        <w:rPr>
          <w:rFonts w:ascii="Times New Roman" w:hAnsi="Times New Roman" w:cs="Times New Roman"/>
          <w:color w:val="000000" w:themeColor="text1"/>
        </w:rPr>
      </w:pPr>
      <w:r w:rsidRPr="001F420B">
        <w:rPr>
          <w:rFonts w:ascii="Times New Roman" w:hAnsi="Times New Roman" w:cs="Times New Roman"/>
          <w:color w:val="000000" w:themeColor="text1"/>
          <w:shd w:val="clear" w:color="auto" w:fill="FFFFFF"/>
          <w:lang w:val="nl-NL"/>
        </w:rPr>
        <w:t xml:space="preserve">Doering LV, Moser DK, Riegel B, et al. </w:t>
      </w:r>
      <w:r w:rsidRPr="00E74AF0">
        <w:rPr>
          <w:rFonts w:ascii="Times New Roman" w:hAnsi="Times New Roman" w:cs="Times New Roman"/>
          <w:color w:val="000000" w:themeColor="text1"/>
          <w:shd w:val="clear" w:color="auto" w:fill="FFFFFF"/>
        </w:rPr>
        <w:t>Persistent comorbid symptoms of depression and anxiety predict mortality in heart disease. </w:t>
      </w:r>
      <w:r w:rsidRPr="00E74AF0">
        <w:rPr>
          <w:rFonts w:ascii="Times New Roman" w:hAnsi="Times New Roman" w:cs="Times New Roman"/>
          <w:i/>
          <w:iCs/>
          <w:color w:val="000000" w:themeColor="text1"/>
        </w:rPr>
        <w:t>Int J Cardiol</w:t>
      </w:r>
      <w:r w:rsidR="000D485E">
        <w:rPr>
          <w:rFonts w:ascii="Times New Roman" w:hAnsi="Times New Roman" w:cs="Times New Roman"/>
          <w:color w:val="000000" w:themeColor="text1"/>
          <w:shd w:val="clear" w:color="auto" w:fill="FFFFFF"/>
        </w:rPr>
        <w:t xml:space="preserve"> </w:t>
      </w:r>
      <w:r w:rsidRPr="00E74AF0">
        <w:rPr>
          <w:rFonts w:ascii="Times New Roman" w:hAnsi="Times New Roman" w:cs="Times New Roman"/>
          <w:color w:val="000000" w:themeColor="text1"/>
          <w:shd w:val="clear" w:color="auto" w:fill="FFFFFF"/>
        </w:rPr>
        <w:t xml:space="preserve">2010;145(2):188-192. </w:t>
      </w:r>
    </w:p>
    <w:p w14:paraId="68739B18" w14:textId="77777777" w:rsidR="00314DE7" w:rsidRPr="006654EA" w:rsidRDefault="00314DE7" w:rsidP="00314DE7">
      <w:pPr>
        <w:pStyle w:val="ListParagraph"/>
        <w:rPr>
          <w:rFonts w:ascii="Times New Roman" w:hAnsi="Times New Roman" w:cs="Times New Roman"/>
          <w:i/>
          <w:iCs/>
          <w:color w:val="000000" w:themeColor="text1"/>
        </w:rPr>
      </w:pPr>
    </w:p>
    <w:p w14:paraId="3611C7A1" w14:textId="0A1A7BAC"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1F420B">
        <w:rPr>
          <w:rFonts w:ascii="Times New Roman" w:hAnsi="Times New Roman" w:cs="Times New Roman"/>
          <w:color w:val="000000" w:themeColor="text1"/>
          <w:lang w:val="fr-FR"/>
        </w:rPr>
        <w:t>Mercer SW, Gunn J, Bower</w:t>
      </w:r>
      <w:r w:rsidR="008D540A" w:rsidRPr="001F420B">
        <w:rPr>
          <w:rFonts w:ascii="Times New Roman" w:hAnsi="Times New Roman" w:cs="Times New Roman"/>
          <w:color w:val="000000" w:themeColor="text1"/>
          <w:lang w:val="fr-FR"/>
        </w:rPr>
        <w:t xml:space="preserve"> </w:t>
      </w:r>
      <w:r w:rsidRPr="001F420B">
        <w:rPr>
          <w:rFonts w:ascii="Times New Roman" w:hAnsi="Times New Roman" w:cs="Times New Roman"/>
          <w:color w:val="000000" w:themeColor="text1"/>
          <w:lang w:val="fr-FR"/>
        </w:rPr>
        <w:t>P, et al. </w:t>
      </w:r>
      <w:r w:rsidRPr="006654EA">
        <w:rPr>
          <w:rFonts w:ascii="Times New Roman" w:hAnsi="Times New Roman" w:cs="Times New Roman"/>
          <w:color w:val="000000" w:themeColor="text1"/>
        </w:rPr>
        <w:t xml:space="preserve">Managing patients with mental and physical multimorbidity. </w:t>
      </w:r>
      <w:r w:rsidRPr="006654EA">
        <w:rPr>
          <w:rFonts w:ascii="Times New Roman" w:hAnsi="Times New Roman" w:cs="Times New Roman"/>
          <w:i/>
          <w:iCs/>
          <w:color w:val="000000" w:themeColor="text1"/>
        </w:rPr>
        <w:t>BMJ</w:t>
      </w:r>
      <w:r w:rsidRPr="006654EA">
        <w:rPr>
          <w:rFonts w:ascii="Times New Roman" w:hAnsi="Times New Roman" w:cs="Times New Roman"/>
          <w:color w:val="000000" w:themeColor="text1"/>
        </w:rPr>
        <w:t> 2012;345:e5559</w:t>
      </w:r>
      <w:r w:rsidR="000D485E">
        <w:rPr>
          <w:rFonts w:ascii="Times New Roman" w:hAnsi="Times New Roman" w:cs="Times New Roman"/>
          <w:color w:val="000000" w:themeColor="text1"/>
        </w:rPr>
        <w:t>.</w:t>
      </w:r>
    </w:p>
    <w:p w14:paraId="63243225" w14:textId="77777777" w:rsidR="00314DE7" w:rsidRPr="006654EA" w:rsidRDefault="00314DE7" w:rsidP="00314DE7">
      <w:pPr>
        <w:pStyle w:val="ListParagraph"/>
        <w:rPr>
          <w:rFonts w:ascii="Times New Roman" w:hAnsi="Times New Roman" w:cs="Times New Roman"/>
          <w:color w:val="000000" w:themeColor="text1"/>
        </w:rPr>
      </w:pPr>
    </w:p>
    <w:p w14:paraId="7EA49A4B" w14:textId="77777777"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 Multimorbidity: clinical assessment and management NICE guideline [NG56] Published: 21 September 2016 [accessed 2021 01/09]. Available from </w:t>
      </w:r>
      <w:hyperlink r:id="rId14" w:history="1">
        <w:r w:rsidRPr="006654EA">
          <w:rPr>
            <w:rStyle w:val="Hyperlink"/>
            <w:rFonts w:ascii="Times New Roman" w:hAnsi="Times New Roman" w:cs="Times New Roman"/>
            <w:color w:val="000000" w:themeColor="text1"/>
          </w:rPr>
          <w:t>https://www.nice.org.uk/guidance/ng56</w:t>
        </w:r>
      </w:hyperlink>
      <w:r w:rsidRPr="006654EA">
        <w:rPr>
          <w:rFonts w:ascii="Times New Roman" w:hAnsi="Times New Roman" w:cs="Times New Roman"/>
          <w:color w:val="000000" w:themeColor="text1"/>
        </w:rPr>
        <w:t xml:space="preserve">. </w:t>
      </w:r>
    </w:p>
    <w:p w14:paraId="63F80268" w14:textId="77777777" w:rsidR="00314DE7" w:rsidRPr="001F420B" w:rsidRDefault="00314DE7" w:rsidP="001F420B">
      <w:pPr>
        <w:rPr>
          <w:i/>
          <w:iCs/>
          <w:color w:val="000000" w:themeColor="text1"/>
        </w:rPr>
      </w:pPr>
    </w:p>
    <w:p w14:paraId="3C8135AF" w14:textId="67AB3933" w:rsidR="00314DE7"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Gondek D, Bann D, Brown M, et al. Prevalence and early-life determinants of mid-life multimorbidity: evidence from the 1970 British birth cohort. </w:t>
      </w:r>
      <w:r w:rsidRPr="006654EA">
        <w:rPr>
          <w:rFonts w:ascii="Times New Roman" w:hAnsi="Times New Roman" w:cs="Times New Roman"/>
          <w:i/>
          <w:iCs/>
          <w:color w:val="000000" w:themeColor="text1"/>
        </w:rPr>
        <w:t>BMC Public Health</w:t>
      </w:r>
      <w:r w:rsidRPr="006654EA">
        <w:rPr>
          <w:rFonts w:ascii="Times New Roman" w:hAnsi="Times New Roman" w:cs="Times New Roman"/>
          <w:color w:val="000000" w:themeColor="text1"/>
        </w:rPr>
        <w:t> 2021</w:t>
      </w:r>
      <w:r w:rsidR="00981A6C">
        <w:rPr>
          <w:rFonts w:ascii="Times New Roman" w:hAnsi="Times New Roman" w:cs="Times New Roman"/>
          <w:color w:val="000000" w:themeColor="text1"/>
        </w:rPr>
        <w:t>;</w:t>
      </w:r>
      <w:r w:rsidRPr="006654EA">
        <w:rPr>
          <w:rFonts w:ascii="Times New Roman" w:hAnsi="Times New Roman" w:cs="Times New Roman"/>
          <w:color w:val="000000" w:themeColor="text1"/>
        </w:rPr>
        <w:t> 1319</w:t>
      </w:r>
      <w:r w:rsidR="00EA6926">
        <w:rPr>
          <w:rFonts w:ascii="Times New Roman" w:hAnsi="Times New Roman" w:cs="Times New Roman"/>
          <w:color w:val="000000" w:themeColor="text1"/>
        </w:rPr>
        <w:t>.</w:t>
      </w:r>
    </w:p>
    <w:p w14:paraId="23D73010" w14:textId="77777777" w:rsidR="00E91E66" w:rsidRDefault="00E91E66" w:rsidP="001F420B">
      <w:pPr>
        <w:pStyle w:val="ListParagraph"/>
        <w:ind w:left="643"/>
        <w:rPr>
          <w:rFonts w:ascii="Times New Roman" w:hAnsi="Times New Roman" w:cs="Times New Roman"/>
          <w:color w:val="000000" w:themeColor="text1"/>
        </w:rPr>
      </w:pPr>
    </w:p>
    <w:p w14:paraId="0ED96219" w14:textId="13600B81" w:rsidR="00E91E66" w:rsidRDefault="00E91E66" w:rsidP="00314DE7">
      <w:pPr>
        <w:pStyle w:val="ListParagraph"/>
        <w:numPr>
          <w:ilvl w:val="0"/>
          <w:numId w:val="14"/>
        </w:numPr>
        <w:ind w:left="643"/>
        <w:rPr>
          <w:rFonts w:ascii="Times New Roman" w:hAnsi="Times New Roman" w:cs="Times New Roman"/>
          <w:color w:val="000000" w:themeColor="text1"/>
        </w:rPr>
      </w:pPr>
      <w:r>
        <w:rPr>
          <w:rFonts w:ascii="Times New Roman" w:hAnsi="Times New Roman" w:cs="Times New Roman"/>
          <w:color w:val="000000" w:themeColor="text1"/>
        </w:rPr>
        <w:t>UK Data Service</w:t>
      </w:r>
      <w:r w:rsidR="00116930">
        <w:rPr>
          <w:rFonts w:ascii="Times New Roman" w:hAnsi="Times New Roman" w:cs="Times New Roman"/>
          <w:color w:val="000000" w:themeColor="text1"/>
        </w:rPr>
        <w:t xml:space="preserve">. </w:t>
      </w:r>
      <w:r w:rsidR="00746BB3">
        <w:rPr>
          <w:rFonts w:ascii="Times New Roman" w:hAnsi="Times New Roman" w:cs="Times New Roman"/>
          <w:color w:val="000000" w:themeColor="text1"/>
        </w:rPr>
        <w:t>1</w:t>
      </w:r>
      <w:r w:rsidR="00116930">
        <w:rPr>
          <w:rFonts w:ascii="Times New Roman" w:hAnsi="Times New Roman" w:cs="Times New Roman"/>
          <w:color w:val="000000" w:themeColor="text1"/>
        </w:rPr>
        <w:t>970 British Cohort Study</w:t>
      </w:r>
      <w:r w:rsidR="00D21F03">
        <w:rPr>
          <w:rFonts w:ascii="Times New Roman" w:hAnsi="Times New Roman" w:cs="Times New Roman"/>
          <w:color w:val="000000" w:themeColor="text1"/>
        </w:rPr>
        <w:t xml:space="preserve"> </w:t>
      </w:r>
      <w:r w:rsidR="00746BB3">
        <w:rPr>
          <w:rFonts w:ascii="Times New Roman" w:hAnsi="Times New Roman" w:cs="Times New Roman"/>
          <w:color w:val="000000" w:themeColor="text1"/>
        </w:rPr>
        <w:t>[accessed 2022</w:t>
      </w:r>
      <w:r w:rsidR="00E279E0">
        <w:rPr>
          <w:rFonts w:ascii="Times New Roman" w:hAnsi="Times New Roman" w:cs="Times New Roman"/>
          <w:color w:val="000000" w:themeColor="text1"/>
        </w:rPr>
        <w:t xml:space="preserve"> 30/08]</w:t>
      </w:r>
      <w:r w:rsidR="00D21F03">
        <w:rPr>
          <w:rFonts w:ascii="Times New Roman" w:hAnsi="Times New Roman" w:cs="Times New Roman"/>
          <w:color w:val="000000" w:themeColor="text1"/>
        </w:rPr>
        <w:t xml:space="preserve">. </w:t>
      </w:r>
      <w:r w:rsidR="00746BB3">
        <w:rPr>
          <w:rFonts w:ascii="Times New Roman" w:hAnsi="Times New Roman" w:cs="Times New Roman"/>
          <w:color w:val="000000" w:themeColor="text1"/>
        </w:rPr>
        <w:t xml:space="preserve">Available from: </w:t>
      </w:r>
      <w:r w:rsidR="00746BB3" w:rsidRPr="00746BB3">
        <w:rPr>
          <w:rFonts w:ascii="Times New Roman" w:hAnsi="Times New Roman" w:cs="Times New Roman"/>
          <w:color w:val="000000" w:themeColor="text1"/>
        </w:rPr>
        <w:t>beta.ukdataservice.ac.uk/datacatalogue/series/series?id=200001</w:t>
      </w:r>
    </w:p>
    <w:p w14:paraId="4242B45A" w14:textId="77777777" w:rsidR="00314DE7" w:rsidRPr="006654EA" w:rsidRDefault="00314DE7" w:rsidP="00314DE7">
      <w:pPr>
        <w:rPr>
          <w:color w:val="000000" w:themeColor="text1"/>
        </w:rPr>
      </w:pPr>
    </w:p>
    <w:p w14:paraId="140DB4EB" w14:textId="0D511D08"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Elliott J, </w:t>
      </w:r>
      <w:r w:rsidR="008D540A">
        <w:rPr>
          <w:rFonts w:ascii="Times New Roman" w:hAnsi="Times New Roman" w:cs="Times New Roman"/>
          <w:color w:val="000000" w:themeColor="text1"/>
        </w:rPr>
        <w:t xml:space="preserve">&amp; </w:t>
      </w:r>
      <w:r w:rsidRPr="006654EA">
        <w:rPr>
          <w:rFonts w:ascii="Times New Roman" w:hAnsi="Times New Roman" w:cs="Times New Roman"/>
          <w:color w:val="000000" w:themeColor="text1"/>
        </w:rPr>
        <w:t xml:space="preserve">Shepherd P. Cohort profile: 1970 British Birth Cohort (BCS70). </w:t>
      </w:r>
      <w:r w:rsidRPr="006654EA">
        <w:rPr>
          <w:rFonts w:ascii="Times New Roman" w:hAnsi="Times New Roman" w:cs="Times New Roman"/>
          <w:i/>
          <w:iCs/>
          <w:color w:val="000000" w:themeColor="text1"/>
        </w:rPr>
        <w:t>Int J Epidemiol</w:t>
      </w:r>
      <w:r w:rsidRPr="006654EA">
        <w:rPr>
          <w:rFonts w:ascii="Times New Roman" w:hAnsi="Times New Roman" w:cs="Times New Roman"/>
          <w:color w:val="000000" w:themeColor="text1"/>
        </w:rPr>
        <w:t xml:space="preserve"> 2006;35(4):836–43.</w:t>
      </w:r>
    </w:p>
    <w:p w14:paraId="6CE25523" w14:textId="77777777" w:rsidR="00314DE7" w:rsidRPr="006654EA" w:rsidRDefault="00314DE7" w:rsidP="00314DE7">
      <w:pPr>
        <w:pStyle w:val="ListParagraph"/>
        <w:rPr>
          <w:rFonts w:ascii="Times New Roman" w:hAnsi="Times New Roman" w:cs="Times New Roman"/>
          <w:color w:val="000000" w:themeColor="text1"/>
        </w:rPr>
      </w:pPr>
    </w:p>
    <w:p w14:paraId="41E921A4" w14:textId="77777777"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(UCL) Centre For Longitudinal Studies. User guides 2019 [Accessed 2019 01/05]. Available from: </w:t>
      </w:r>
      <w:hyperlink r:id="rId15" w:history="1">
        <w:r w:rsidRPr="006654EA">
          <w:rPr>
            <w:rStyle w:val="Hyperlink"/>
            <w:rFonts w:ascii="Times New Roman" w:hAnsi="Times New Roman" w:cs="Times New Roman"/>
            <w:color w:val="000000" w:themeColor="text1"/>
          </w:rPr>
          <w:t>https://cls.ucl.ac.uk/data_documentation/?types%5B%5D=user-guides&amp;studies%5B%5D&amp;studies%5B%5D=bcs70-birth-sweep&amp;studies%5B%5D=age-5-sweep&amp;studies%5B%5D=age-10-sweep&amp;studies%5B%5D=age-16-sweep-1970-british-cohort-study&amp;studies%5B%5D=age-26-sweep&amp;studies%5B%5D=age-30-sweep&amp;studies%5B%5D=age-34-sweep&amp;studies%5B%5D=age-38-sweep&amp;studies%5B%5D=age-42-sweep-1970-british-cohort-study&amp;studies%5B%5D=age-46-biomedical-sweep&amp;s=&amp;filter=1</w:t>
        </w:r>
      </w:hyperlink>
    </w:p>
    <w:p w14:paraId="27BC6938" w14:textId="77777777" w:rsidR="00314DE7" w:rsidRPr="006654EA" w:rsidRDefault="00314DE7" w:rsidP="00314DE7">
      <w:pPr>
        <w:pStyle w:val="ListParagraph"/>
        <w:rPr>
          <w:rFonts w:ascii="Times New Roman" w:hAnsi="Times New Roman" w:cs="Times New Roman"/>
          <w:color w:val="000000" w:themeColor="text1"/>
        </w:rPr>
      </w:pPr>
    </w:p>
    <w:p w14:paraId="5F6C3DC7" w14:textId="77777777" w:rsidR="00A02DF4" w:rsidRPr="001F420B" w:rsidRDefault="00314DE7" w:rsidP="00A02DF4">
      <w:pPr>
        <w:pStyle w:val="ListParagraph"/>
        <w:numPr>
          <w:ilvl w:val="0"/>
          <w:numId w:val="14"/>
        </w:numPr>
        <w:ind w:left="643"/>
        <w:rPr>
          <w:rStyle w:val="Hyperlink"/>
          <w:rFonts w:ascii="Times New Roman" w:hAnsi="Times New Roman" w:cs="Times New Roman"/>
          <w:color w:val="000000" w:themeColor="text1"/>
          <w:u w:val="none"/>
        </w:rPr>
      </w:pPr>
      <w:r w:rsidRPr="006654EA">
        <w:rPr>
          <w:rFonts w:ascii="Times New Roman" w:hAnsi="Times New Roman" w:cs="Times New Roman"/>
          <w:color w:val="000000" w:themeColor="text1"/>
        </w:rPr>
        <w:t xml:space="preserve"> UCL – 1970 British Cohort Study [accessed 2021 01/09]. Available from: </w:t>
      </w:r>
      <w:hyperlink r:id="rId16" w:history="1">
        <w:r w:rsidRPr="006654EA">
          <w:rPr>
            <w:rStyle w:val="Hyperlink"/>
            <w:rFonts w:ascii="Times New Roman" w:hAnsi="Times New Roman" w:cs="Times New Roman"/>
            <w:color w:val="000000" w:themeColor="text1"/>
          </w:rPr>
          <w:t>https://cls.ucl.ac.uk/cls-studies/1970-british-cohort-study/</w:t>
        </w:r>
      </w:hyperlink>
    </w:p>
    <w:p w14:paraId="568AE6F7" w14:textId="77777777" w:rsidR="00A02DF4" w:rsidRPr="00A02DF4" w:rsidRDefault="00A02DF4" w:rsidP="001F420B">
      <w:pPr>
        <w:pStyle w:val="ListParagraph"/>
        <w:rPr>
          <w:rStyle w:val="Hyperlink"/>
          <w:rFonts w:ascii="Times New Roman" w:hAnsi="Times New Roman" w:cs="Times New Roman"/>
          <w:color w:val="000000" w:themeColor="text1"/>
          <w:u w:val="none"/>
        </w:rPr>
      </w:pPr>
    </w:p>
    <w:p w14:paraId="4A64100D" w14:textId="28C1B111" w:rsidR="002E0715" w:rsidRPr="00571F0E" w:rsidDel="00A02DF4" w:rsidRDefault="003D143A" w:rsidP="002E0715">
      <w:pPr>
        <w:pStyle w:val="ListParagraph"/>
        <w:numPr>
          <w:ilvl w:val="0"/>
          <w:numId w:val="14"/>
        </w:numPr>
        <w:ind w:left="643"/>
        <w:rPr>
          <w:rStyle w:val="Hyperlink"/>
          <w:rFonts w:ascii="Times New Roman" w:hAnsi="Times New Roman" w:cs="Times New Roman"/>
          <w:color w:val="000000" w:themeColor="text1"/>
          <w:u w:val="none"/>
        </w:rPr>
      </w:pPr>
      <w:r w:rsidRPr="00571F0E">
        <w:rPr>
          <w:rStyle w:val="Hyperlink"/>
          <w:rFonts w:ascii="Times New Roman" w:hAnsi="Times New Roman" w:cs="Times New Roman"/>
          <w:color w:val="000000" w:themeColor="text1"/>
          <w:u w:val="none"/>
        </w:rPr>
        <w:t>Holland</w:t>
      </w:r>
      <w:r w:rsidRPr="0044264B">
        <w:rPr>
          <w:rStyle w:val="Hyperlink"/>
          <w:rFonts w:ascii="Times New Roman" w:hAnsi="Times New Roman" w:cs="Times New Roman"/>
          <w:color w:val="000000" w:themeColor="text1"/>
          <w:u w:val="none"/>
        </w:rPr>
        <w:t xml:space="preserve"> E, Stannard</w:t>
      </w:r>
      <w:r w:rsidRPr="00D15596">
        <w:rPr>
          <w:rStyle w:val="Hyperlink"/>
          <w:rFonts w:ascii="Times New Roman" w:hAnsi="Times New Roman" w:cs="Times New Roman"/>
          <w:color w:val="000000" w:themeColor="text1"/>
          <w:u w:val="none"/>
        </w:rPr>
        <w:t xml:space="preserve"> S, Al</w:t>
      </w:r>
      <w:r w:rsidRPr="001F420B">
        <w:rPr>
          <w:rStyle w:val="Hyperlink"/>
          <w:rFonts w:ascii="Times New Roman" w:hAnsi="Times New Roman" w:cs="Times New Roman"/>
          <w:color w:val="000000" w:themeColor="text1"/>
          <w:u w:val="none"/>
        </w:rPr>
        <w:t>wan</w:t>
      </w:r>
      <w:r w:rsidR="003F0305" w:rsidRPr="001F420B">
        <w:rPr>
          <w:rStyle w:val="Hyperlink"/>
          <w:rFonts w:ascii="Times New Roman" w:hAnsi="Times New Roman" w:cs="Times New Roman"/>
          <w:color w:val="000000" w:themeColor="text1"/>
          <w:u w:val="none"/>
        </w:rPr>
        <w:t xml:space="preserve"> N</w:t>
      </w:r>
      <w:r w:rsidR="002E0715" w:rsidRPr="00571F0E">
        <w:rPr>
          <w:rStyle w:val="Hyperlink"/>
          <w:rFonts w:ascii="Times New Roman" w:hAnsi="Times New Roman" w:cs="Times New Roman"/>
          <w:color w:val="000000" w:themeColor="text1"/>
          <w:u w:val="none"/>
        </w:rPr>
        <w:t>,</w:t>
      </w:r>
      <w:r w:rsidRPr="001F420B">
        <w:rPr>
          <w:rStyle w:val="Hyperlink"/>
          <w:rFonts w:ascii="Times New Roman" w:hAnsi="Times New Roman" w:cs="Times New Roman"/>
          <w:color w:val="000000" w:themeColor="text1"/>
          <w:u w:val="none"/>
        </w:rPr>
        <w:t xml:space="preserve"> et al. </w:t>
      </w:r>
      <w:r w:rsidR="00A02DF4" w:rsidRPr="001F420B">
        <w:rPr>
          <w:rFonts w:ascii="Times New Roman" w:hAnsi="Times New Roman" w:cs="Times New Roman"/>
        </w:rPr>
        <w:t>Exploring sentinel conditions and the accrual sequence of multiple long-term condition multimorbidity using birth cohort and primary care data: an exploratory retrospective cohort study</w:t>
      </w:r>
      <w:r w:rsidR="002E0715" w:rsidRPr="001F420B">
        <w:rPr>
          <w:rFonts w:ascii="Times New Roman" w:hAnsi="Times New Roman" w:cs="Times New Roman"/>
        </w:rPr>
        <w:t xml:space="preserve"> [abstract</w:t>
      </w:r>
      <w:r w:rsidR="00D74625" w:rsidRPr="001F420B">
        <w:rPr>
          <w:rFonts w:ascii="Times New Roman" w:hAnsi="Times New Roman" w:cs="Times New Roman"/>
        </w:rPr>
        <w:t xml:space="preserve">]. </w:t>
      </w:r>
      <w:r w:rsidR="00D74625" w:rsidRPr="001F420B">
        <w:rPr>
          <w:rFonts w:ascii="Times New Roman" w:hAnsi="Times New Roman" w:cs="Times New Roman"/>
          <w:i/>
          <w:iCs/>
        </w:rPr>
        <w:t>Lancet</w:t>
      </w:r>
      <w:r w:rsidR="00D74625" w:rsidRPr="001F420B">
        <w:rPr>
          <w:rFonts w:ascii="Times New Roman" w:hAnsi="Times New Roman" w:cs="Times New Roman"/>
        </w:rPr>
        <w:t xml:space="preserve"> 2021; </w:t>
      </w:r>
      <w:r w:rsidR="00571F0E" w:rsidRPr="001F420B">
        <w:rPr>
          <w:rFonts w:ascii="Times New Roman" w:hAnsi="Times New Roman" w:cs="Times New Roman"/>
        </w:rPr>
        <w:t>398:S54.</w:t>
      </w:r>
    </w:p>
    <w:p w14:paraId="43E7B18B" w14:textId="77777777" w:rsidR="00BA2CC0" w:rsidRPr="00A02DF4" w:rsidRDefault="00BA2CC0" w:rsidP="001F420B">
      <w:pPr>
        <w:rPr>
          <w:rStyle w:val="Hyperlink"/>
          <w:color w:val="000000" w:themeColor="text1"/>
          <w:u w:val="none"/>
        </w:rPr>
      </w:pPr>
    </w:p>
    <w:p w14:paraId="4C466D29" w14:textId="5910C921" w:rsidR="00BA2CC0" w:rsidRPr="00EB4830" w:rsidRDefault="00BA2CC0">
      <w:pPr>
        <w:pStyle w:val="ListParagraph"/>
        <w:numPr>
          <w:ilvl w:val="0"/>
          <w:numId w:val="14"/>
        </w:numPr>
        <w:ind w:left="643"/>
        <w:rPr>
          <w:rFonts w:ascii="Times New Roman" w:hAnsi="Times New Roman" w:cs="Times New Roman"/>
          <w:color w:val="000000" w:themeColor="text1"/>
        </w:rPr>
      </w:pPr>
      <w:r w:rsidRPr="00BB3EC0">
        <w:rPr>
          <w:rFonts w:ascii="Times New Roman" w:hAnsi="Times New Roman" w:cs="Times New Roman"/>
          <w:color w:val="000000" w:themeColor="text1"/>
        </w:rPr>
        <w:t>UK Data Service [accessed 2021 05/09]</w:t>
      </w:r>
      <w:r w:rsidR="00BB3EC0" w:rsidRPr="00BB3EC0">
        <w:rPr>
          <w:rFonts w:ascii="Times New Roman" w:hAnsi="Times New Roman" w:cs="Times New Roman"/>
          <w:color w:val="000000" w:themeColor="text1"/>
        </w:rPr>
        <w:t xml:space="preserve">. </w:t>
      </w:r>
      <w:r w:rsidR="00BB3EC0" w:rsidRPr="00EB4830">
        <w:rPr>
          <w:rFonts w:ascii="Times New Roman" w:hAnsi="Times New Roman" w:cs="Times New Roman"/>
          <w:color w:val="000000" w:themeColor="text1"/>
        </w:rPr>
        <w:t>Available fr</w:t>
      </w:r>
      <w:r w:rsidR="00BB3EC0" w:rsidRPr="001F420B">
        <w:rPr>
          <w:rFonts w:ascii="Times New Roman" w:hAnsi="Times New Roman" w:cs="Times New Roman"/>
          <w:color w:val="000000" w:themeColor="text1"/>
        </w:rPr>
        <w:t>om :</w:t>
      </w:r>
      <w:r w:rsidRPr="00EB4830">
        <w:rPr>
          <w:rFonts w:ascii="Times New Roman" w:hAnsi="Times New Roman" w:cs="Times New Roman"/>
          <w:color w:val="000000" w:themeColor="text1"/>
        </w:rPr>
        <w:t>https://ukdataservice.ac.uk//app/uploads/teachingresource1970bcsmalaiseinv</w:t>
      </w:r>
      <w:r w:rsidR="00BB3EC0" w:rsidRPr="001F420B">
        <w:rPr>
          <w:rFonts w:ascii="Times New Roman" w:hAnsi="Times New Roman" w:cs="Times New Roman"/>
          <w:color w:val="000000" w:themeColor="text1"/>
        </w:rPr>
        <w:t xml:space="preserve"> </w:t>
      </w:r>
      <w:r w:rsidRPr="00EB4830">
        <w:rPr>
          <w:rFonts w:ascii="Times New Roman" w:hAnsi="Times New Roman" w:cs="Times New Roman"/>
          <w:color w:val="000000" w:themeColor="text1"/>
        </w:rPr>
        <w:t>entory.pdf</w:t>
      </w:r>
    </w:p>
    <w:p w14:paraId="3BC37BA3" w14:textId="77777777" w:rsidR="00314DE7" w:rsidRPr="00EB4830" w:rsidRDefault="00314DE7" w:rsidP="00314DE7">
      <w:pPr>
        <w:pStyle w:val="ListParagraph"/>
        <w:rPr>
          <w:rFonts w:ascii="Times New Roman" w:hAnsi="Times New Roman" w:cs="Times New Roman"/>
          <w:color w:val="000000" w:themeColor="text1"/>
        </w:rPr>
      </w:pPr>
    </w:p>
    <w:p w14:paraId="556AE472" w14:textId="16855BCC"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1F420B">
        <w:rPr>
          <w:rFonts w:ascii="Times New Roman" w:hAnsi="Times New Roman" w:cs="Times New Roman"/>
          <w:color w:val="000000" w:themeColor="text1"/>
          <w:lang w:val="nl-NL"/>
        </w:rPr>
        <w:lastRenderedPageBreak/>
        <w:t xml:space="preserve">Gondek D, Bann D, Patalay P, </w:t>
      </w:r>
      <w:r w:rsidR="008D540A" w:rsidRPr="001F420B">
        <w:rPr>
          <w:rFonts w:ascii="Times New Roman" w:hAnsi="Times New Roman" w:cs="Times New Roman"/>
          <w:color w:val="000000" w:themeColor="text1"/>
          <w:lang w:val="nl-NL"/>
        </w:rPr>
        <w:t>et al</w:t>
      </w:r>
      <w:r w:rsidRPr="001F420B">
        <w:rPr>
          <w:rFonts w:ascii="Times New Roman" w:hAnsi="Times New Roman" w:cs="Times New Roman"/>
          <w:color w:val="000000" w:themeColor="text1"/>
          <w:lang w:val="nl-NL"/>
        </w:rPr>
        <w:t xml:space="preserve">. </w:t>
      </w:r>
      <w:r w:rsidRPr="006654EA">
        <w:rPr>
          <w:rFonts w:ascii="Times New Roman" w:hAnsi="Times New Roman" w:cs="Times New Roman"/>
          <w:color w:val="000000" w:themeColor="text1"/>
        </w:rPr>
        <w:t>Psychological distress from early adulthood to early old age: Evidence from the 1946, 1958 and 1970 British birth cohorts. </w:t>
      </w:r>
      <w:r w:rsidRPr="001F420B">
        <w:rPr>
          <w:rFonts w:ascii="Times New Roman" w:hAnsi="Times New Roman" w:cs="Times New Roman"/>
          <w:i/>
          <w:iCs/>
          <w:color w:val="000000" w:themeColor="text1"/>
        </w:rPr>
        <w:t>Psychol Med</w:t>
      </w:r>
      <w:r w:rsidRPr="006654EA">
        <w:rPr>
          <w:rFonts w:ascii="Times New Roman" w:hAnsi="Times New Roman" w:cs="Times New Roman"/>
          <w:color w:val="000000" w:themeColor="text1"/>
        </w:rPr>
        <w:t> </w:t>
      </w:r>
      <w:r w:rsidR="00016840">
        <w:rPr>
          <w:rFonts w:ascii="Times New Roman" w:hAnsi="Times New Roman" w:cs="Times New Roman"/>
          <w:color w:val="000000" w:themeColor="text1"/>
        </w:rPr>
        <w:t>2021</w:t>
      </w:r>
      <w:r w:rsidR="00B7652C">
        <w:rPr>
          <w:rFonts w:ascii="Times New Roman" w:hAnsi="Times New Roman" w:cs="Times New Roman"/>
          <w:color w:val="000000" w:themeColor="text1"/>
        </w:rPr>
        <w:t>;</w:t>
      </w:r>
      <w:r w:rsidR="006F4F11">
        <w:rPr>
          <w:rFonts w:ascii="Times New Roman" w:hAnsi="Times New Roman" w:cs="Times New Roman"/>
          <w:color w:val="000000" w:themeColor="text1"/>
        </w:rPr>
        <w:t xml:space="preserve"> </w:t>
      </w:r>
      <w:r w:rsidRPr="006654EA">
        <w:rPr>
          <w:rFonts w:ascii="Times New Roman" w:hAnsi="Times New Roman" w:cs="Times New Roman"/>
          <w:color w:val="000000" w:themeColor="text1"/>
        </w:rPr>
        <w:t>1-10. </w:t>
      </w:r>
    </w:p>
    <w:p w14:paraId="00CADE28" w14:textId="77777777" w:rsidR="00314DE7" w:rsidRPr="006654EA" w:rsidRDefault="00314DE7" w:rsidP="00314DE7">
      <w:pPr>
        <w:pStyle w:val="ListParagraph"/>
        <w:rPr>
          <w:rFonts w:ascii="Times New Roman" w:hAnsi="Times New Roman" w:cs="Times New Roman"/>
          <w:color w:val="000000" w:themeColor="text1"/>
        </w:rPr>
      </w:pPr>
    </w:p>
    <w:p w14:paraId="01B957DC" w14:textId="558A81C9"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 Mirowsky J, &amp; Ross CE.</w:t>
      </w:r>
      <w:r w:rsidR="008E0B3D" w:rsidRPr="006654EA" w:rsidDel="008E0B3D">
        <w:rPr>
          <w:rFonts w:ascii="Times New Roman" w:hAnsi="Times New Roman" w:cs="Times New Roman"/>
          <w:color w:val="000000" w:themeColor="text1"/>
        </w:rPr>
        <w:t xml:space="preserve"> </w:t>
      </w:r>
      <w:r w:rsidRPr="006654EA">
        <w:rPr>
          <w:rFonts w:ascii="Times New Roman" w:hAnsi="Times New Roman" w:cs="Times New Roman"/>
          <w:color w:val="000000" w:themeColor="text1"/>
        </w:rPr>
        <w:t>Measurement for a human science. </w:t>
      </w:r>
      <w:r w:rsidRPr="001F420B">
        <w:rPr>
          <w:rFonts w:ascii="Times New Roman" w:hAnsi="Times New Roman" w:cs="Times New Roman"/>
          <w:i/>
          <w:iCs/>
          <w:color w:val="000000" w:themeColor="text1"/>
        </w:rPr>
        <w:t>J Health</w:t>
      </w:r>
      <w:r w:rsidR="00E454B7">
        <w:rPr>
          <w:rFonts w:ascii="Times New Roman" w:hAnsi="Times New Roman" w:cs="Times New Roman"/>
          <w:i/>
          <w:iCs/>
          <w:color w:val="000000" w:themeColor="text1"/>
        </w:rPr>
        <w:t xml:space="preserve"> </w:t>
      </w:r>
      <w:r w:rsidRPr="001F420B">
        <w:rPr>
          <w:rFonts w:ascii="Times New Roman" w:hAnsi="Times New Roman" w:cs="Times New Roman"/>
          <w:i/>
          <w:iCs/>
          <w:color w:val="000000" w:themeColor="text1"/>
        </w:rPr>
        <w:t>Soc Behav</w:t>
      </w:r>
      <w:r w:rsidR="003F0305">
        <w:rPr>
          <w:rFonts w:ascii="Times New Roman" w:hAnsi="Times New Roman" w:cs="Times New Roman"/>
          <w:color w:val="000000" w:themeColor="text1"/>
        </w:rPr>
        <w:t xml:space="preserve"> 2002;</w:t>
      </w:r>
      <w:r w:rsidRPr="006654EA">
        <w:rPr>
          <w:rFonts w:ascii="Times New Roman" w:hAnsi="Times New Roman" w:cs="Times New Roman"/>
          <w:color w:val="000000" w:themeColor="text1"/>
        </w:rPr>
        <w:t> 43, 152–170</w:t>
      </w:r>
      <w:r w:rsidR="003F0305">
        <w:rPr>
          <w:rFonts w:ascii="Times New Roman" w:hAnsi="Times New Roman" w:cs="Times New Roman"/>
          <w:color w:val="000000" w:themeColor="text1"/>
        </w:rPr>
        <w:t>.</w:t>
      </w:r>
    </w:p>
    <w:p w14:paraId="3E6C56A9" w14:textId="77777777" w:rsidR="00314DE7" w:rsidRPr="006654EA" w:rsidRDefault="00314DE7" w:rsidP="00314DE7">
      <w:pPr>
        <w:pStyle w:val="ListParagraph"/>
        <w:rPr>
          <w:rFonts w:ascii="Times New Roman" w:hAnsi="Times New Roman" w:cs="Times New Roman"/>
          <w:color w:val="000000" w:themeColor="text1"/>
        </w:rPr>
      </w:pPr>
    </w:p>
    <w:p w14:paraId="5D455829" w14:textId="17563A35"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1F420B">
        <w:rPr>
          <w:rFonts w:ascii="Times New Roman" w:hAnsi="Times New Roman" w:cs="Times New Roman"/>
          <w:color w:val="000000" w:themeColor="text1"/>
          <w:lang w:val="fr-FR"/>
        </w:rPr>
        <w:t xml:space="preserve"> Ploubidis GB, Sullivan A, Brown M, </w:t>
      </w:r>
      <w:r w:rsidR="008D540A" w:rsidRPr="001F420B">
        <w:rPr>
          <w:rFonts w:ascii="Times New Roman" w:hAnsi="Times New Roman" w:cs="Times New Roman"/>
          <w:color w:val="000000" w:themeColor="text1"/>
          <w:lang w:val="fr-FR"/>
        </w:rPr>
        <w:t>et al</w:t>
      </w:r>
      <w:r w:rsidRPr="001F420B">
        <w:rPr>
          <w:rFonts w:ascii="Times New Roman" w:hAnsi="Times New Roman" w:cs="Times New Roman"/>
          <w:color w:val="000000" w:themeColor="text1"/>
          <w:lang w:val="fr-FR"/>
        </w:rPr>
        <w:t>. </w:t>
      </w:r>
      <w:r w:rsidR="003F0305" w:rsidRPr="001F420B" w:rsidDel="003F0305">
        <w:rPr>
          <w:rFonts w:ascii="Times New Roman" w:hAnsi="Times New Roman" w:cs="Times New Roman"/>
          <w:color w:val="000000" w:themeColor="text1"/>
          <w:lang w:val="fr-FR"/>
        </w:rPr>
        <w:t xml:space="preserve"> </w:t>
      </w:r>
      <w:r w:rsidRPr="006654EA">
        <w:rPr>
          <w:rFonts w:ascii="Times New Roman" w:hAnsi="Times New Roman" w:cs="Times New Roman"/>
          <w:color w:val="000000" w:themeColor="text1"/>
        </w:rPr>
        <w:t>Psychological distress in midlife: Evidence from the 1958 and 1970 British birth cohorts. </w:t>
      </w:r>
      <w:r w:rsidRPr="001F420B">
        <w:rPr>
          <w:rFonts w:ascii="Times New Roman" w:hAnsi="Times New Roman" w:cs="Times New Roman"/>
          <w:i/>
          <w:iCs/>
          <w:color w:val="000000" w:themeColor="text1"/>
        </w:rPr>
        <w:t>Psychol Med</w:t>
      </w:r>
      <w:r w:rsidR="00BB66D1">
        <w:rPr>
          <w:rFonts w:ascii="Times New Roman" w:hAnsi="Times New Roman" w:cs="Times New Roman"/>
          <w:color w:val="000000" w:themeColor="text1"/>
        </w:rPr>
        <w:t xml:space="preserve"> </w:t>
      </w:r>
      <w:r w:rsidR="00700A0C">
        <w:rPr>
          <w:rFonts w:ascii="Times New Roman" w:hAnsi="Times New Roman" w:cs="Times New Roman"/>
          <w:color w:val="000000" w:themeColor="text1"/>
        </w:rPr>
        <w:t>2017;</w:t>
      </w:r>
      <w:r w:rsidRPr="006654EA">
        <w:rPr>
          <w:rFonts w:ascii="Times New Roman" w:hAnsi="Times New Roman" w:cs="Times New Roman"/>
          <w:color w:val="000000" w:themeColor="text1"/>
        </w:rPr>
        <w:t> 47, 291–303.</w:t>
      </w:r>
    </w:p>
    <w:p w14:paraId="4854086B" w14:textId="77777777" w:rsidR="00314DE7" w:rsidRPr="006654EA" w:rsidRDefault="00314DE7" w:rsidP="00314DE7">
      <w:pPr>
        <w:pStyle w:val="ListParagraph"/>
        <w:rPr>
          <w:rFonts w:ascii="Times New Roman" w:hAnsi="Times New Roman" w:cs="Times New Roman"/>
          <w:color w:val="000000" w:themeColor="text1"/>
        </w:rPr>
      </w:pPr>
    </w:p>
    <w:p w14:paraId="5AD3BD72" w14:textId="2E30A227"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Ploubidis GB, McElroy E, &amp; Moreira H C. </w:t>
      </w:r>
      <w:r w:rsidR="003F0305" w:rsidRPr="006654EA" w:rsidDel="003F0305">
        <w:rPr>
          <w:rFonts w:ascii="Times New Roman" w:hAnsi="Times New Roman" w:cs="Times New Roman"/>
          <w:color w:val="000000" w:themeColor="text1"/>
        </w:rPr>
        <w:t xml:space="preserve"> </w:t>
      </w:r>
      <w:r w:rsidRPr="006654EA">
        <w:rPr>
          <w:rFonts w:ascii="Times New Roman" w:hAnsi="Times New Roman" w:cs="Times New Roman"/>
          <w:color w:val="000000" w:themeColor="text1"/>
        </w:rPr>
        <w:t>A longitudinal examination of the measurement equivalence of mental health assessments in two British birth cohorts. </w:t>
      </w:r>
      <w:r w:rsidRPr="001F420B">
        <w:rPr>
          <w:rFonts w:ascii="Times New Roman" w:hAnsi="Times New Roman" w:cs="Times New Roman"/>
          <w:i/>
          <w:iCs/>
          <w:color w:val="000000" w:themeColor="text1"/>
        </w:rPr>
        <w:t>Longit Life Course Stud</w:t>
      </w:r>
      <w:r w:rsidR="006E59E2">
        <w:rPr>
          <w:rFonts w:ascii="Times New Roman" w:hAnsi="Times New Roman" w:cs="Times New Roman"/>
          <w:color w:val="000000" w:themeColor="text1"/>
        </w:rPr>
        <w:t xml:space="preserve"> 2019;</w:t>
      </w:r>
      <w:r w:rsidRPr="006654EA">
        <w:rPr>
          <w:rFonts w:ascii="Times New Roman" w:hAnsi="Times New Roman" w:cs="Times New Roman"/>
          <w:color w:val="000000" w:themeColor="text1"/>
        </w:rPr>
        <w:t xml:space="preserve"> 10, 471–489. </w:t>
      </w:r>
    </w:p>
    <w:p w14:paraId="0817B0AF" w14:textId="77777777" w:rsidR="00314DE7" w:rsidRPr="006654EA" w:rsidRDefault="00314DE7" w:rsidP="00314DE7">
      <w:pPr>
        <w:pStyle w:val="ListParagraph"/>
        <w:rPr>
          <w:rFonts w:ascii="Times New Roman" w:hAnsi="Times New Roman" w:cs="Times New Roman"/>
          <w:color w:val="000000" w:themeColor="text1"/>
        </w:rPr>
      </w:pPr>
    </w:p>
    <w:p w14:paraId="0FE1DD21" w14:textId="1F47EE4B"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McGee R, Williams S, &amp; Silva PA.</w:t>
      </w:r>
      <w:r w:rsidR="001B56F6" w:rsidRPr="006654EA" w:rsidDel="001B56F6">
        <w:rPr>
          <w:rFonts w:ascii="Times New Roman" w:hAnsi="Times New Roman" w:cs="Times New Roman"/>
          <w:color w:val="000000" w:themeColor="text1"/>
        </w:rPr>
        <w:t xml:space="preserve"> </w:t>
      </w:r>
      <w:r w:rsidRPr="006654EA">
        <w:rPr>
          <w:rFonts w:ascii="Times New Roman" w:hAnsi="Times New Roman" w:cs="Times New Roman"/>
          <w:color w:val="000000" w:themeColor="text1"/>
        </w:rPr>
        <w:t>An evaluation of the malaise inventory. </w:t>
      </w:r>
      <w:r w:rsidRPr="001F420B">
        <w:rPr>
          <w:rFonts w:ascii="Times New Roman" w:hAnsi="Times New Roman" w:cs="Times New Roman"/>
          <w:i/>
          <w:iCs/>
          <w:color w:val="000000" w:themeColor="text1"/>
        </w:rPr>
        <w:t>J</w:t>
      </w:r>
      <w:r w:rsidR="00002EDE">
        <w:rPr>
          <w:rFonts w:ascii="Times New Roman" w:hAnsi="Times New Roman" w:cs="Times New Roman"/>
          <w:i/>
          <w:iCs/>
          <w:color w:val="000000" w:themeColor="text1"/>
        </w:rPr>
        <w:t xml:space="preserve"> </w:t>
      </w:r>
      <w:r w:rsidRPr="001F420B">
        <w:rPr>
          <w:rFonts w:ascii="Times New Roman" w:hAnsi="Times New Roman" w:cs="Times New Roman"/>
          <w:i/>
          <w:iCs/>
          <w:color w:val="000000" w:themeColor="text1"/>
        </w:rPr>
        <w:t>Psychosom Res</w:t>
      </w:r>
      <w:r w:rsidR="00145A62">
        <w:rPr>
          <w:rFonts w:ascii="Times New Roman" w:hAnsi="Times New Roman" w:cs="Times New Roman"/>
          <w:color w:val="000000" w:themeColor="text1"/>
        </w:rPr>
        <w:t>1</w:t>
      </w:r>
      <w:r w:rsidR="001B56F6">
        <w:rPr>
          <w:rFonts w:ascii="Times New Roman" w:hAnsi="Times New Roman" w:cs="Times New Roman"/>
          <w:color w:val="000000" w:themeColor="text1"/>
        </w:rPr>
        <w:t>9</w:t>
      </w:r>
      <w:r w:rsidR="006E59E2">
        <w:rPr>
          <w:rFonts w:ascii="Times New Roman" w:hAnsi="Times New Roman" w:cs="Times New Roman"/>
          <w:color w:val="000000" w:themeColor="text1"/>
        </w:rPr>
        <w:t>86;</w:t>
      </w:r>
      <w:r w:rsidRPr="006654EA">
        <w:rPr>
          <w:rFonts w:ascii="Times New Roman" w:hAnsi="Times New Roman" w:cs="Times New Roman"/>
          <w:color w:val="000000" w:themeColor="text1"/>
        </w:rPr>
        <w:t xml:space="preserve"> 30, 147–152. </w:t>
      </w:r>
    </w:p>
    <w:p w14:paraId="66ECED43" w14:textId="77777777" w:rsidR="00314DE7" w:rsidRPr="006654EA" w:rsidRDefault="00314DE7" w:rsidP="00314DE7">
      <w:pPr>
        <w:pStyle w:val="ListParagraph"/>
        <w:rPr>
          <w:rFonts w:ascii="Times New Roman" w:hAnsi="Times New Roman" w:cs="Times New Roman"/>
          <w:color w:val="000000" w:themeColor="text1"/>
        </w:rPr>
      </w:pPr>
    </w:p>
    <w:p w14:paraId="2A571EF9" w14:textId="35F252B8"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 Furnham A, &amp; Cheng H. </w:t>
      </w:r>
      <w:r w:rsidR="00145A62" w:rsidRPr="006654EA" w:rsidDel="00145A62">
        <w:rPr>
          <w:rFonts w:ascii="Times New Roman" w:hAnsi="Times New Roman" w:cs="Times New Roman"/>
          <w:color w:val="000000" w:themeColor="text1"/>
        </w:rPr>
        <w:t xml:space="preserve"> </w:t>
      </w:r>
      <w:r w:rsidRPr="006654EA">
        <w:rPr>
          <w:rFonts w:ascii="Times New Roman" w:hAnsi="Times New Roman" w:cs="Times New Roman"/>
          <w:color w:val="000000" w:themeColor="text1"/>
        </w:rPr>
        <w:t>The stability and change of malaise scores over 27 years: Findings from a nationally representative sample. </w:t>
      </w:r>
      <w:r w:rsidRPr="001F420B">
        <w:rPr>
          <w:rFonts w:ascii="Times New Roman" w:hAnsi="Times New Roman" w:cs="Times New Roman"/>
          <w:i/>
          <w:iCs/>
          <w:color w:val="000000" w:themeColor="text1"/>
        </w:rPr>
        <w:t>Pers Individ Dif</w:t>
      </w:r>
      <w:r w:rsidR="00145A62">
        <w:rPr>
          <w:rFonts w:ascii="Times New Roman" w:hAnsi="Times New Roman" w:cs="Times New Roman"/>
          <w:color w:val="000000" w:themeColor="text1"/>
        </w:rPr>
        <w:t xml:space="preserve"> 2015;</w:t>
      </w:r>
      <w:r w:rsidRPr="006654EA">
        <w:rPr>
          <w:rFonts w:ascii="Times New Roman" w:hAnsi="Times New Roman" w:cs="Times New Roman"/>
          <w:color w:val="000000" w:themeColor="text1"/>
        </w:rPr>
        <w:t xml:space="preserve"> 79, 30–34. </w:t>
      </w:r>
    </w:p>
    <w:p w14:paraId="6B4C050E" w14:textId="77777777" w:rsidR="00314DE7" w:rsidRPr="006654EA" w:rsidRDefault="00314DE7" w:rsidP="00314DE7">
      <w:pPr>
        <w:pStyle w:val="ListParagraph"/>
        <w:rPr>
          <w:rFonts w:ascii="Times New Roman" w:hAnsi="Times New Roman" w:cs="Times New Roman"/>
          <w:color w:val="000000" w:themeColor="text1"/>
        </w:rPr>
      </w:pPr>
    </w:p>
    <w:p w14:paraId="5E6AD8AE" w14:textId="4E8B764A"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 Rodgers B, Pickles A, Power C, </w:t>
      </w:r>
      <w:r w:rsidR="008D540A">
        <w:rPr>
          <w:rFonts w:ascii="Times New Roman" w:hAnsi="Times New Roman" w:cs="Times New Roman"/>
          <w:color w:val="000000" w:themeColor="text1"/>
        </w:rPr>
        <w:t>et al</w:t>
      </w:r>
      <w:r w:rsidRPr="006654EA">
        <w:rPr>
          <w:rFonts w:ascii="Times New Roman" w:hAnsi="Times New Roman" w:cs="Times New Roman"/>
          <w:color w:val="000000" w:themeColor="text1"/>
        </w:rPr>
        <w:t>. Validity of the Malaise Inventory in general population samples. </w:t>
      </w:r>
      <w:r w:rsidRPr="001F420B">
        <w:rPr>
          <w:rFonts w:ascii="Times New Roman" w:hAnsi="Times New Roman" w:cs="Times New Roman"/>
          <w:i/>
          <w:iCs/>
          <w:color w:val="000000" w:themeColor="text1"/>
        </w:rPr>
        <w:t>Soc Psychiatry and Psychiatr Epidemiol</w:t>
      </w:r>
      <w:r w:rsidR="00145A62">
        <w:rPr>
          <w:rFonts w:ascii="Times New Roman" w:hAnsi="Times New Roman" w:cs="Times New Roman"/>
          <w:color w:val="000000" w:themeColor="text1"/>
        </w:rPr>
        <w:t xml:space="preserve"> 1999;</w:t>
      </w:r>
      <w:r w:rsidRPr="006654EA">
        <w:rPr>
          <w:rFonts w:ascii="Times New Roman" w:hAnsi="Times New Roman" w:cs="Times New Roman"/>
          <w:color w:val="000000" w:themeColor="text1"/>
        </w:rPr>
        <w:t> 34, 333–341</w:t>
      </w:r>
      <w:r w:rsidR="00145A62">
        <w:rPr>
          <w:rFonts w:ascii="Times New Roman" w:hAnsi="Times New Roman" w:cs="Times New Roman"/>
          <w:color w:val="000000" w:themeColor="text1"/>
        </w:rPr>
        <w:t>.</w:t>
      </w:r>
    </w:p>
    <w:p w14:paraId="413DFF65" w14:textId="77777777" w:rsidR="00314DE7" w:rsidRPr="006654EA" w:rsidRDefault="00314DE7" w:rsidP="00314DE7">
      <w:pPr>
        <w:rPr>
          <w:color w:val="000000" w:themeColor="text1"/>
        </w:rPr>
      </w:pPr>
    </w:p>
    <w:p w14:paraId="027BA77A" w14:textId="17087CC9" w:rsidR="00314DE7"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Messerli F, Rimoldi S, &amp; Bangalore S. Changing definition of hypertension in guidelines: how innocent a number game? </w:t>
      </w:r>
      <w:r w:rsidRPr="006654EA">
        <w:rPr>
          <w:rFonts w:ascii="Times New Roman" w:hAnsi="Times New Roman" w:cs="Times New Roman"/>
          <w:i/>
          <w:iCs/>
          <w:color w:val="000000" w:themeColor="text1"/>
        </w:rPr>
        <w:t>Eu Heart J</w:t>
      </w:r>
      <w:r w:rsidRPr="006654EA">
        <w:rPr>
          <w:rFonts w:ascii="Times New Roman" w:hAnsi="Times New Roman" w:cs="Times New Roman"/>
          <w:color w:val="000000" w:themeColor="text1"/>
        </w:rPr>
        <w:t xml:space="preserve"> 2018;</w:t>
      </w:r>
      <w:r w:rsidR="00BB3EC0">
        <w:rPr>
          <w:rFonts w:ascii="Times New Roman" w:hAnsi="Times New Roman" w:cs="Times New Roman"/>
          <w:color w:val="000000" w:themeColor="text1"/>
        </w:rPr>
        <w:t xml:space="preserve"> </w:t>
      </w:r>
      <w:r w:rsidRPr="006654EA">
        <w:rPr>
          <w:rFonts w:ascii="Times New Roman" w:hAnsi="Times New Roman" w:cs="Times New Roman"/>
          <w:color w:val="000000" w:themeColor="text1"/>
        </w:rPr>
        <w:t>39(24): 2241–2242</w:t>
      </w:r>
      <w:r w:rsidR="00145A62">
        <w:rPr>
          <w:rFonts w:ascii="Times New Roman" w:hAnsi="Times New Roman" w:cs="Times New Roman"/>
          <w:color w:val="000000" w:themeColor="text1"/>
        </w:rPr>
        <w:t>.</w:t>
      </w:r>
    </w:p>
    <w:p w14:paraId="3B34ABA9" w14:textId="77777777" w:rsidR="00D05B25" w:rsidRDefault="00D05B25" w:rsidP="00D05B25">
      <w:pPr>
        <w:pStyle w:val="ListParagraph"/>
        <w:ind w:left="643"/>
        <w:rPr>
          <w:rFonts w:ascii="Times New Roman" w:hAnsi="Times New Roman" w:cs="Times New Roman"/>
          <w:color w:val="000000" w:themeColor="text1"/>
        </w:rPr>
      </w:pPr>
    </w:p>
    <w:p w14:paraId="3B2BC55F" w14:textId="3BA7DF05" w:rsidR="00D05B25" w:rsidRPr="000300DE" w:rsidRDefault="00D05B25" w:rsidP="00D05B25">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shd w:val="clear" w:color="auto" w:fill="FFFFFF"/>
        </w:rPr>
        <w:t xml:space="preserve">Lewington S, Clarke R, Qizilbash N, et al. Age-specific relevance of usual blood pressure to vascular mortality: a meta-analysis of individual data for one million adults in 61 prospective studies. </w:t>
      </w:r>
      <w:r w:rsidRPr="006654EA">
        <w:rPr>
          <w:rFonts w:ascii="Times New Roman" w:hAnsi="Times New Roman" w:cs="Times New Roman"/>
          <w:i/>
          <w:iCs/>
          <w:color w:val="000000" w:themeColor="text1"/>
          <w:shd w:val="clear" w:color="auto" w:fill="FFFFFF"/>
        </w:rPr>
        <w:t>Lancet</w:t>
      </w:r>
      <w:r w:rsidR="00386762">
        <w:rPr>
          <w:rFonts w:ascii="Times New Roman" w:hAnsi="Times New Roman" w:cs="Times New Roman"/>
          <w:i/>
          <w:iCs/>
          <w:color w:val="000000" w:themeColor="text1"/>
          <w:shd w:val="clear" w:color="auto" w:fill="FFFFFF"/>
        </w:rPr>
        <w:t xml:space="preserve"> </w:t>
      </w:r>
      <w:r w:rsidRPr="006654EA">
        <w:rPr>
          <w:rFonts w:ascii="Times New Roman" w:hAnsi="Times New Roman" w:cs="Times New Roman"/>
          <w:color w:val="000000" w:themeColor="text1"/>
          <w:shd w:val="clear" w:color="auto" w:fill="FFFFFF"/>
        </w:rPr>
        <w:t>2002;</w:t>
      </w:r>
      <w:r w:rsidR="00BB3EC0">
        <w:rPr>
          <w:rFonts w:ascii="Times New Roman" w:hAnsi="Times New Roman" w:cs="Times New Roman"/>
          <w:color w:val="000000" w:themeColor="text1"/>
          <w:shd w:val="clear" w:color="auto" w:fill="FFFFFF"/>
        </w:rPr>
        <w:t xml:space="preserve"> </w:t>
      </w:r>
      <w:r w:rsidRPr="006654EA">
        <w:rPr>
          <w:rFonts w:ascii="Times New Roman" w:hAnsi="Times New Roman" w:cs="Times New Roman"/>
          <w:color w:val="000000" w:themeColor="text1"/>
          <w:shd w:val="clear" w:color="auto" w:fill="FFFFFF"/>
        </w:rPr>
        <w:t>360(9349):1903–13</w:t>
      </w:r>
      <w:r w:rsidR="00145A62">
        <w:rPr>
          <w:rFonts w:ascii="Times New Roman" w:hAnsi="Times New Roman" w:cs="Times New Roman"/>
          <w:color w:val="000000" w:themeColor="text1"/>
          <w:shd w:val="clear" w:color="auto" w:fill="FFFFFF"/>
        </w:rPr>
        <w:t>.</w:t>
      </w:r>
    </w:p>
    <w:p w14:paraId="7194A83B" w14:textId="77777777" w:rsidR="000300DE" w:rsidRPr="000300DE" w:rsidRDefault="000300DE" w:rsidP="000300DE">
      <w:pPr>
        <w:rPr>
          <w:color w:val="000000" w:themeColor="text1"/>
        </w:rPr>
      </w:pPr>
    </w:p>
    <w:p w14:paraId="00A01E7C" w14:textId="3B39A138" w:rsidR="00196B63" w:rsidRPr="00196B63" w:rsidRDefault="000300DE" w:rsidP="00196B63">
      <w:pPr>
        <w:pStyle w:val="ListParagraph"/>
        <w:numPr>
          <w:ilvl w:val="0"/>
          <w:numId w:val="14"/>
        </w:numPr>
        <w:ind w:left="643"/>
        <w:rPr>
          <w:rFonts w:ascii="Times New Roman" w:hAnsi="Times New Roman" w:cs="Times New Roman"/>
          <w:color w:val="000000" w:themeColor="text1"/>
        </w:rPr>
      </w:pPr>
      <w:r>
        <w:rPr>
          <w:rFonts w:ascii="Times New Roman" w:hAnsi="Times New Roman" w:cs="Times New Roman"/>
          <w:color w:val="000000" w:themeColor="text1"/>
        </w:rPr>
        <w:t>NHS Digital</w:t>
      </w:r>
      <w:r w:rsidR="003611F2">
        <w:rPr>
          <w:rFonts w:ascii="Times New Roman" w:hAnsi="Times New Roman" w:cs="Times New Roman"/>
          <w:color w:val="000000" w:themeColor="text1"/>
        </w:rPr>
        <w:t>. Health Survey for England: High blood pressure</w:t>
      </w:r>
      <w:r>
        <w:rPr>
          <w:rFonts w:ascii="Times New Roman" w:hAnsi="Times New Roman" w:cs="Times New Roman"/>
          <w:color w:val="000000" w:themeColor="text1"/>
        </w:rPr>
        <w:t xml:space="preserve"> </w:t>
      </w:r>
      <w:r w:rsidR="003611F2">
        <w:rPr>
          <w:rFonts w:ascii="Times New Roman" w:hAnsi="Times New Roman" w:cs="Times New Roman"/>
          <w:color w:val="000000" w:themeColor="text1"/>
        </w:rPr>
        <w:t>[accessed 2021 10/11]</w:t>
      </w:r>
      <w:r w:rsidR="00196B63">
        <w:rPr>
          <w:rFonts w:ascii="Times New Roman" w:hAnsi="Times New Roman" w:cs="Times New Roman"/>
          <w:color w:val="000000" w:themeColor="text1"/>
        </w:rPr>
        <w:t>. Available from</w:t>
      </w:r>
      <w:r w:rsidR="00BB3EC0">
        <w:rPr>
          <w:rFonts w:ascii="Times New Roman" w:hAnsi="Times New Roman" w:cs="Times New Roman"/>
          <w:color w:val="000000" w:themeColor="text1"/>
        </w:rPr>
        <w:t>:</w:t>
      </w:r>
      <w:r w:rsidR="00196B63">
        <w:rPr>
          <w:rFonts w:ascii="Times New Roman" w:hAnsi="Times New Roman" w:cs="Times New Roman"/>
          <w:color w:val="000000" w:themeColor="text1"/>
        </w:rPr>
        <w:t xml:space="preserve"> </w:t>
      </w:r>
      <w:r w:rsidR="00196B63" w:rsidRPr="00196B63">
        <w:rPr>
          <w:rFonts w:ascii="Times New Roman" w:hAnsi="Times New Roman" w:cs="Times New Roman"/>
          <w:color w:val="000000" w:themeColor="text1"/>
        </w:rPr>
        <w:t>http://healthsurvey.hscic.gov.uk/data-visualisation/data-visualisation/explore-the-trends/high-blood-pressure.aspx</w:t>
      </w:r>
    </w:p>
    <w:p w14:paraId="5CD4A85E" w14:textId="77777777" w:rsidR="00314DE7" w:rsidRPr="006654EA" w:rsidRDefault="00314DE7" w:rsidP="00314DE7">
      <w:pPr>
        <w:pStyle w:val="ListParagraph"/>
        <w:rPr>
          <w:rFonts w:ascii="Times New Roman" w:hAnsi="Times New Roman" w:cs="Times New Roman"/>
          <w:color w:val="000000" w:themeColor="text1"/>
        </w:rPr>
      </w:pPr>
    </w:p>
    <w:p w14:paraId="654C0F11" w14:textId="1EBE1FC2" w:rsidR="00314DE7" w:rsidRPr="000F6C1B" w:rsidRDefault="00314DE7" w:rsidP="00314DE7">
      <w:pPr>
        <w:pStyle w:val="ListParagraph"/>
        <w:numPr>
          <w:ilvl w:val="0"/>
          <w:numId w:val="14"/>
        </w:numPr>
        <w:ind w:left="643"/>
        <w:rPr>
          <w:rStyle w:val="Hyperlink"/>
          <w:rFonts w:ascii="Times New Roman" w:hAnsi="Times New Roman" w:cs="Times New Roman"/>
          <w:color w:val="000000" w:themeColor="text1"/>
          <w:u w:val="none"/>
        </w:rPr>
      </w:pPr>
      <w:r w:rsidRPr="006654EA">
        <w:rPr>
          <w:rFonts w:ascii="Times New Roman" w:hAnsi="Times New Roman" w:cs="Times New Roman"/>
          <w:color w:val="000000" w:themeColor="text1"/>
        </w:rPr>
        <w:t xml:space="preserve"> Jsfiddle [accessed 2021 01/09]. Available from: </w:t>
      </w:r>
      <w:hyperlink r:id="rId17" w:history="1">
        <w:r w:rsidR="00571F0E" w:rsidRPr="001F420B">
          <w:rPr>
            <w:rStyle w:val="Hyperlink"/>
            <w:rFonts w:ascii="Times New Roman" w:hAnsi="Times New Roman" w:cs="Times New Roman"/>
          </w:rPr>
          <w:t>https://jsfiddle.net</w:t>
        </w:r>
      </w:hyperlink>
    </w:p>
    <w:p w14:paraId="16471C83" w14:textId="77777777" w:rsidR="000F6C1B" w:rsidRPr="000F6C1B" w:rsidRDefault="000F6C1B" w:rsidP="000F6C1B">
      <w:pPr>
        <w:pStyle w:val="ListParagraph"/>
        <w:rPr>
          <w:rStyle w:val="Hyperlink"/>
          <w:rFonts w:ascii="Times New Roman" w:hAnsi="Times New Roman" w:cs="Times New Roman"/>
          <w:color w:val="000000" w:themeColor="text1"/>
          <w:u w:val="none"/>
        </w:rPr>
      </w:pPr>
    </w:p>
    <w:p w14:paraId="3F2ACA72" w14:textId="36920069" w:rsidR="000F6C1B" w:rsidRPr="00A972E1" w:rsidRDefault="000F6C1B" w:rsidP="000F6C1B">
      <w:pPr>
        <w:pStyle w:val="ListParagraph"/>
        <w:numPr>
          <w:ilvl w:val="0"/>
          <w:numId w:val="14"/>
        </w:numPr>
        <w:rPr>
          <w:rFonts w:ascii="Times New Roman" w:hAnsi="Times New Roman" w:cs="Times New Roman"/>
        </w:rPr>
      </w:pPr>
      <w:r w:rsidRPr="00A972E1">
        <w:rPr>
          <w:rFonts w:ascii="Times New Roman" w:hAnsi="Times New Roman" w:cs="Times New Roman"/>
          <w:color w:val="000000"/>
          <w:shd w:val="clear" w:color="auto" w:fill="FCFCFC"/>
        </w:rPr>
        <w:t>StataCorp.</w:t>
      </w:r>
      <w:r w:rsidR="00A972E1">
        <w:rPr>
          <w:rFonts w:ascii="Times New Roman" w:hAnsi="Times New Roman" w:cs="Times New Roman"/>
          <w:color w:val="000000"/>
          <w:shd w:val="clear" w:color="auto" w:fill="FCFCFC"/>
        </w:rPr>
        <w:t xml:space="preserve"> </w:t>
      </w:r>
      <w:r w:rsidRPr="00A972E1">
        <w:rPr>
          <w:rFonts w:ascii="Times New Roman" w:hAnsi="Times New Roman" w:cs="Times New Roman"/>
          <w:color w:val="000000"/>
          <w:shd w:val="clear" w:color="auto" w:fill="FCFCFC"/>
        </w:rPr>
        <w:t>2019.</w:t>
      </w:r>
      <w:r w:rsidRPr="00A972E1">
        <w:rPr>
          <w:rStyle w:val="apple-converted-space"/>
          <w:rFonts w:ascii="Times New Roman" w:hAnsi="Times New Roman" w:cs="Times New Roman"/>
          <w:color w:val="000000"/>
          <w:shd w:val="clear" w:color="auto" w:fill="FCFCFC"/>
        </w:rPr>
        <w:t> </w:t>
      </w:r>
      <w:r w:rsidRPr="00A972E1">
        <w:rPr>
          <w:rFonts w:ascii="Times New Roman" w:hAnsi="Times New Roman" w:cs="Times New Roman"/>
          <w:i/>
          <w:iCs/>
          <w:color w:val="000000"/>
        </w:rPr>
        <w:t>Stata Statistical Software: Release 16</w:t>
      </w:r>
      <w:r w:rsidRPr="00A972E1">
        <w:rPr>
          <w:rFonts w:ascii="Times New Roman" w:hAnsi="Times New Roman" w:cs="Times New Roman"/>
          <w:color w:val="000000"/>
          <w:shd w:val="clear" w:color="auto" w:fill="FCFCFC"/>
        </w:rPr>
        <w:t>. College Station, TX: StataCorp LLC.</w:t>
      </w:r>
    </w:p>
    <w:p w14:paraId="31EAE5C1" w14:textId="77777777" w:rsidR="00314DE7" w:rsidRPr="00A972E1" w:rsidRDefault="00314DE7" w:rsidP="00A972E1">
      <w:pPr>
        <w:rPr>
          <w:color w:val="000000" w:themeColor="text1"/>
        </w:rPr>
      </w:pPr>
    </w:p>
    <w:p w14:paraId="1B7CEA24" w14:textId="140AFD81"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St Sauver JL, Boyd CM, Grossardt BR, et al. Risk of developing multimorbidity across all ages in an historical cohort study: differences by sex and ethnicity. </w:t>
      </w:r>
      <w:r w:rsidRPr="006654EA">
        <w:rPr>
          <w:rFonts w:ascii="Times New Roman" w:hAnsi="Times New Roman" w:cs="Times New Roman"/>
          <w:i/>
          <w:iCs/>
          <w:color w:val="000000" w:themeColor="text1"/>
        </w:rPr>
        <w:t>BMJ Open</w:t>
      </w:r>
      <w:r w:rsidR="00BB3EC0">
        <w:rPr>
          <w:rFonts w:ascii="Times New Roman" w:hAnsi="Times New Roman" w:cs="Times New Roman"/>
          <w:i/>
          <w:iCs/>
          <w:color w:val="000000" w:themeColor="text1"/>
        </w:rPr>
        <w:t>;</w:t>
      </w:r>
      <w:r w:rsidRPr="006654EA">
        <w:rPr>
          <w:rFonts w:ascii="Times New Roman" w:hAnsi="Times New Roman" w:cs="Times New Roman"/>
          <w:color w:val="000000" w:themeColor="text1"/>
        </w:rPr>
        <w:t> 2015;5</w:t>
      </w:r>
      <w:r w:rsidR="005A3F43">
        <w:rPr>
          <w:rFonts w:ascii="Times New Roman" w:hAnsi="Times New Roman" w:cs="Times New Roman"/>
          <w:color w:val="000000" w:themeColor="text1"/>
        </w:rPr>
        <w:t>.</w:t>
      </w:r>
    </w:p>
    <w:p w14:paraId="222F366E" w14:textId="77777777" w:rsidR="00314DE7" w:rsidRPr="006654EA" w:rsidRDefault="00314DE7" w:rsidP="00314DE7">
      <w:pPr>
        <w:pStyle w:val="ListParagraph"/>
        <w:rPr>
          <w:rFonts w:ascii="Times New Roman" w:hAnsi="Times New Roman" w:cs="Times New Roman"/>
          <w:color w:val="000000" w:themeColor="text1"/>
        </w:rPr>
      </w:pPr>
    </w:p>
    <w:p w14:paraId="0847DB27" w14:textId="7C0A22E0"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 Cassell A, Edwards D, Harshfield A, et al. The epidemiology of multimorbidity in primary care: a retrospective cohort study. </w:t>
      </w:r>
      <w:r w:rsidRPr="006654EA">
        <w:rPr>
          <w:rFonts w:ascii="Times New Roman" w:hAnsi="Times New Roman" w:cs="Times New Roman"/>
          <w:i/>
          <w:iCs/>
          <w:color w:val="000000" w:themeColor="text1"/>
        </w:rPr>
        <w:t>Br J Ge</w:t>
      </w:r>
      <w:r w:rsidR="00E254BB">
        <w:rPr>
          <w:rFonts w:ascii="Times New Roman" w:hAnsi="Times New Roman" w:cs="Times New Roman"/>
          <w:i/>
          <w:iCs/>
          <w:color w:val="000000" w:themeColor="text1"/>
        </w:rPr>
        <w:t>n</w:t>
      </w:r>
      <w:r w:rsidRPr="006654EA">
        <w:rPr>
          <w:rFonts w:ascii="Times New Roman" w:hAnsi="Times New Roman" w:cs="Times New Roman"/>
          <w:i/>
          <w:iCs/>
          <w:color w:val="000000" w:themeColor="text1"/>
        </w:rPr>
        <w:t xml:space="preserve"> Pract </w:t>
      </w:r>
      <w:r w:rsidRPr="006654EA">
        <w:rPr>
          <w:rFonts w:ascii="Times New Roman" w:hAnsi="Times New Roman" w:cs="Times New Roman"/>
          <w:color w:val="000000" w:themeColor="text1"/>
        </w:rPr>
        <w:t>2018; 68 (669): e245-e251</w:t>
      </w:r>
      <w:r w:rsidR="005A3F43">
        <w:rPr>
          <w:rFonts w:ascii="Times New Roman" w:hAnsi="Times New Roman" w:cs="Times New Roman"/>
          <w:color w:val="000000" w:themeColor="text1"/>
        </w:rPr>
        <w:t>.</w:t>
      </w:r>
    </w:p>
    <w:p w14:paraId="47AF1BB1" w14:textId="77777777" w:rsidR="00314DE7" w:rsidRPr="006654EA" w:rsidRDefault="00314DE7" w:rsidP="00314DE7">
      <w:pPr>
        <w:pStyle w:val="ListParagraph"/>
        <w:rPr>
          <w:rFonts w:ascii="Times New Roman" w:hAnsi="Times New Roman" w:cs="Times New Roman"/>
          <w:color w:val="000000" w:themeColor="text1"/>
        </w:rPr>
      </w:pPr>
    </w:p>
    <w:p w14:paraId="23C63BCE" w14:textId="7E6B196F"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Barnett K, Mercer S W, Norbury M, et al. Epidemiology of multimorbidity and implications for health care, research, and medical education: a cross-sectional study. </w:t>
      </w:r>
      <w:r w:rsidRPr="006654EA">
        <w:rPr>
          <w:rFonts w:ascii="Times New Roman" w:hAnsi="Times New Roman" w:cs="Times New Roman"/>
          <w:i/>
          <w:iCs/>
          <w:color w:val="000000" w:themeColor="text1"/>
        </w:rPr>
        <w:t>Lancet</w:t>
      </w:r>
      <w:r w:rsidRPr="006654EA">
        <w:rPr>
          <w:rFonts w:ascii="Times New Roman" w:hAnsi="Times New Roman" w:cs="Times New Roman"/>
          <w:color w:val="000000" w:themeColor="text1"/>
        </w:rPr>
        <w:t xml:space="preserve"> 2012; 380(9836):37-43</w:t>
      </w:r>
      <w:r w:rsidR="005A3F43">
        <w:rPr>
          <w:rFonts w:ascii="Times New Roman" w:hAnsi="Times New Roman" w:cs="Times New Roman"/>
          <w:color w:val="000000" w:themeColor="text1"/>
        </w:rPr>
        <w:t>.</w:t>
      </w:r>
    </w:p>
    <w:p w14:paraId="06F113E6" w14:textId="77777777" w:rsidR="00314DE7" w:rsidRPr="006654EA" w:rsidRDefault="00314DE7" w:rsidP="00314DE7">
      <w:pPr>
        <w:pStyle w:val="ListParagraph"/>
        <w:rPr>
          <w:rFonts w:ascii="Times New Roman" w:hAnsi="Times New Roman" w:cs="Times New Roman"/>
          <w:color w:val="000000" w:themeColor="text1"/>
        </w:rPr>
      </w:pPr>
    </w:p>
    <w:p w14:paraId="69950BA9" w14:textId="5683E10A" w:rsidR="00314DE7" w:rsidRPr="006654EA" w:rsidRDefault="00314DE7" w:rsidP="00314DE7">
      <w:pPr>
        <w:pStyle w:val="ListParagraph"/>
        <w:numPr>
          <w:ilvl w:val="0"/>
          <w:numId w:val="14"/>
        </w:numPr>
        <w:ind w:left="643"/>
        <w:rPr>
          <w:rFonts w:ascii="Times New Roman" w:hAnsi="Times New Roman" w:cs="Times New Roman"/>
          <w:color w:val="000000" w:themeColor="text1"/>
        </w:rPr>
      </w:pPr>
      <w:r w:rsidRPr="001F420B">
        <w:rPr>
          <w:rFonts w:ascii="Times New Roman" w:hAnsi="Times New Roman" w:cs="Times New Roman"/>
          <w:color w:val="000000" w:themeColor="text1"/>
          <w:shd w:val="clear" w:color="auto" w:fill="FFFFFF"/>
          <w:lang w:val="fr-FR"/>
        </w:rPr>
        <w:t>Xu X, Mishra GD, Dobson </w:t>
      </w:r>
      <w:r w:rsidR="00700A0C">
        <w:rPr>
          <w:rFonts w:ascii="Times New Roman" w:hAnsi="Times New Roman" w:cs="Times New Roman"/>
          <w:color w:val="000000" w:themeColor="text1"/>
          <w:shd w:val="clear" w:color="auto" w:fill="FFFFFF"/>
          <w:lang w:val="fr-FR"/>
        </w:rPr>
        <w:t>A</w:t>
      </w:r>
      <w:r w:rsidRPr="001F420B">
        <w:rPr>
          <w:rFonts w:ascii="Times New Roman" w:hAnsi="Times New Roman" w:cs="Times New Roman"/>
          <w:color w:val="000000" w:themeColor="text1"/>
          <w:shd w:val="clear" w:color="auto" w:fill="FFFFFF"/>
          <w:lang w:val="fr-FR"/>
        </w:rPr>
        <w:t xml:space="preserve">J, et al. </w:t>
      </w:r>
      <w:r w:rsidRPr="006654EA">
        <w:rPr>
          <w:rFonts w:ascii="Times New Roman" w:hAnsi="Times New Roman" w:cs="Times New Roman"/>
          <w:color w:val="000000" w:themeColor="text1"/>
          <w:shd w:val="clear" w:color="auto" w:fill="FFFFFF"/>
        </w:rPr>
        <w:t xml:space="preserve">Progression of diabetes, heart disease, and stroke multimorbidity in middle-aged women: A 20-year cohort study. </w:t>
      </w:r>
      <w:r w:rsidRPr="006654EA">
        <w:rPr>
          <w:rFonts w:ascii="Times New Roman" w:hAnsi="Times New Roman" w:cs="Times New Roman"/>
          <w:i/>
          <w:iCs/>
          <w:color w:val="000000" w:themeColor="text1"/>
          <w:shd w:val="clear" w:color="auto" w:fill="FFFFFF"/>
        </w:rPr>
        <w:t>PL</w:t>
      </w:r>
      <w:r w:rsidR="00EA4B33">
        <w:rPr>
          <w:rFonts w:ascii="Times New Roman" w:hAnsi="Times New Roman" w:cs="Times New Roman"/>
          <w:i/>
          <w:iCs/>
          <w:color w:val="000000" w:themeColor="text1"/>
          <w:shd w:val="clear" w:color="auto" w:fill="FFFFFF"/>
        </w:rPr>
        <w:t>o</w:t>
      </w:r>
      <w:r w:rsidRPr="006654EA">
        <w:rPr>
          <w:rFonts w:ascii="Times New Roman" w:hAnsi="Times New Roman" w:cs="Times New Roman"/>
          <w:i/>
          <w:iCs/>
          <w:color w:val="000000" w:themeColor="text1"/>
          <w:shd w:val="clear" w:color="auto" w:fill="FFFFFF"/>
        </w:rPr>
        <w:t>S Med</w:t>
      </w:r>
      <w:r w:rsidRPr="006654EA">
        <w:rPr>
          <w:rFonts w:ascii="Times New Roman" w:hAnsi="Times New Roman" w:cs="Times New Roman"/>
          <w:color w:val="000000" w:themeColor="text1"/>
          <w:shd w:val="clear" w:color="auto" w:fill="FFFFFF"/>
        </w:rPr>
        <w:t xml:space="preserve"> 2018; 15(3): e1002516.</w:t>
      </w:r>
      <w:r w:rsidRPr="006654EA">
        <w:rPr>
          <w:rStyle w:val="apple-converted-space"/>
          <w:rFonts w:ascii="Times New Roman" w:hAnsi="Times New Roman" w:cs="Times New Roman"/>
          <w:color w:val="000000" w:themeColor="text1"/>
          <w:shd w:val="clear" w:color="auto" w:fill="FFFFFF"/>
        </w:rPr>
        <w:t> </w:t>
      </w:r>
      <w:r w:rsidRPr="006654EA">
        <w:rPr>
          <w:rFonts w:ascii="Times New Roman" w:hAnsi="Times New Roman" w:cs="Times New Roman"/>
          <w:color w:val="000000" w:themeColor="text1"/>
        </w:rPr>
        <w:t xml:space="preserve"> </w:t>
      </w:r>
    </w:p>
    <w:p w14:paraId="15ED3993" w14:textId="77777777" w:rsidR="00314DE7" w:rsidRPr="006654EA" w:rsidRDefault="00314DE7" w:rsidP="00314DE7">
      <w:pPr>
        <w:pStyle w:val="ListParagraph"/>
        <w:rPr>
          <w:rFonts w:ascii="Times New Roman" w:hAnsi="Times New Roman" w:cs="Times New Roman"/>
          <w:color w:val="000000" w:themeColor="text1"/>
        </w:rPr>
      </w:pPr>
    </w:p>
    <w:p w14:paraId="7561AAA9" w14:textId="0EFF9024" w:rsidR="000524A8" w:rsidRPr="001F420B" w:rsidRDefault="00314DE7" w:rsidP="000524A8">
      <w:pPr>
        <w:pStyle w:val="ListParagraph"/>
        <w:numPr>
          <w:ilvl w:val="0"/>
          <w:numId w:val="14"/>
        </w:numPr>
        <w:ind w:left="643"/>
        <w:rPr>
          <w:rFonts w:ascii="Times New Roman" w:hAnsi="Times New Roman" w:cs="Times New Roman"/>
          <w:color w:val="000000" w:themeColor="text1"/>
          <w:u w:val="single"/>
        </w:rPr>
      </w:pPr>
      <w:r w:rsidRPr="001F420B">
        <w:rPr>
          <w:rFonts w:ascii="Times New Roman" w:hAnsi="Times New Roman" w:cs="Times New Roman"/>
          <w:color w:val="000000" w:themeColor="text1"/>
          <w:lang w:val="fr-FR"/>
        </w:rPr>
        <w:t xml:space="preserve">Ruel G, Lévesque JF, Stocks N, et al. </w:t>
      </w:r>
      <w:r w:rsidRPr="006654EA">
        <w:rPr>
          <w:rFonts w:ascii="Times New Roman" w:hAnsi="Times New Roman" w:cs="Times New Roman"/>
          <w:color w:val="000000" w:themeColor="text1"/>
        </w:rPr>
        <w:t xml:space="preserve">Understanding the Evolution of Multimorbidity: Evidences from the North West Adelaide Health Longitudinal Study (NWAHS). </w:t>
      </w:r>
      <w:r w:rsidRPr="006654EA">
        <w:rPr>
          <w:rFonts w:ascii="Times New Roman" w:hAnsi="Times New Roman" w:cs="Times New Roman"/>
          <w:i/>
          <w:iCs/>
          <w:color w:val="000000" w:themeColor="text1"/>
        </w:rPr>
        <w:t>PL</w:t>
      </w:r>
      <w:r w:rsidR="00EA4B33">
        <w:rPr>
          <w:rFonts w:ascii="Times New Roman" w:hAnsi="Times New Roman" w:cs="Times New Roman"/>
          <w:i/>
          <w:iCs/>
          <w:color w:val="000000" w:themeColor="text1"/>
        </w:rPr>
        <w:t>o</w:t>
      </w:r>
      <w:r w:rsidRPr="006654EA">
        <w:rPr>
          <w:rFonts w:ascii="Times New Roman" w:hAnsi="Times New Roman" w:cs="Times New Roman"/>
          <w:i/>
          <w:iCs/>
          <w:color w:val="000000" w:themeColor="text1"/>
        </w:rPr>
        <w:t>S O</w:t>
      </w:r>
      <w:r w:rsidR="00EA4B33">
        <w:rPr>
          <w:rFonts w:ascii="Times New Roman" w:hAnsi="Times New Roman" w:cs="Times New Roman"/>
          <w:i/>
          <w:iCs/>
          <w:color w:val="000000" w:themeColor="text1"/>
        </w:rPr>
        <w:t>ne</w:t>
      </w:r>
      <w:r w:rsidRPr="006654EA">
        <w:rPr>
          <w:rFonts w:ascii="Times New Roman" w:hAnsi="Times New Roman" w:cs="Times New Roman"/>
          <w:color w:val="000000" w:themeColor="text1"/>
        </w:rPr>
        <w:t xml:space="preserve"> 2014; 9(5): e9629.</w:t>
      </w:r>
    </w:p>
    <w:p w14:paraId="3EDD0F27" w14:textId="77777777" w:rsidR="000524A8" w:rsidRPr="001F420B" w:rsidRDefault="000524A8" w:rsidP="001F420B">
      <w:pPr>
        <w:pStyle w:val="ListParagraph"/>
        <w:rPr>
          <w:color w:val="000000" w:themeColor="text1"/>
        </w:rPr>
      </w:pPr>
    </w:p>
    <w:p w14:paraId="7064CD77" w14:textId="110C6A19" w:rsidR="000524A8" w:rsidRPr="001F420B" w:rsidRDefault="00D71F90" w:rsidP="000524A8">
      <w:pPr>
        <w:pStyle w:val="ListParagraph"/>
        <w:numPr>
          <w:ilvl w:val="0"/>
          <w:numId w:val="14"/>
        </w:numPr>
        <w:ind w:left="643"/>
        <w:rPr>
          <w:rFonts w:ascii="Times New Roman" w:hAnsi="Times New Roman" w:cs="Times New Roman"/>
          <w:color w:val="000000" w:themeColor="text1"/>
          <w:u w:val="single"/>
        </w:rPr>
      </w:pPr>
      <w:r w:rsidRPr="001F420B">
        <w:rPr>
          <w:rFonts w:ascii="Times New Roman" w:hAnsi="Times New Roman" w:cs="Times New Roman"/>
          <w:color w:val="000000" w:themeColor="text1"/>
        </w:rPr>
        <w:t xml:space="preserve">Holgate ST, &amp; Davies DE. Rethinking the Pathogenesis of Asthma, </w:t>
      </w:r>
      <w:r w:rsidRPr="001F420B">
        <w:rPr>
          <w:rFonts w:ascii="Times New Roman" w:hAnsi="Times New Roman" w:cs="Times New Roman"/>
          <w:i/>
          <w:iCs/>
          <w:color w:val="000000" w:themeColor="text1"/>
        </w:rPr>
        <w:t>Immunity</w:t>
      </w:r>
      <w:r w:rsidR="000524A8">
        <w:rPr>
          <w:rFonts w:ascii="Times New Roman" w:hAnsi="Times New Roman" w:cs="Times New Roman"/>
          <w:color w:val="000000" w:themeColor="text1"/>
        </w:rPr>
        <w:t xml:space="preserve"> </w:t>
      </w:r>
      <w:r w:rsidRPr="001F420B">
        <w:rPr>
          <w:rFonts w:ascii="Times New Roman" w:hAnsi="Times New Roman" w:cs="Times New Roman"/>
          <w:color w:val="000000" w:themeColor="text1"/>
        </w:rPr>
        <w:t>2009</w:t>
      </w:r>
      <w:r w:rsidR="000524A8">
        <w:rPr>
          <w:rFonts w:ascii="Times New Roman" w:hAnsi="Times New Roman" w:cs="Times New Roman"/>
          <w:color w:val="000000" w:themeColor="text1"/>
        </w:rPr>
        <w:t>;</w:t>
      </w:r>
      <w:r w:rsidRPr="001F420B">
        <w:rPr>
          <w:rFonts w:ascii="Times New Roman" w:hAnsi="Times New Roman" w:cs="Times New Roman"/>
          <w:color w:val="000000" w:themeColor="text1"/>
        </w:rPr>
        <w:t xml:space="preserve"> 31(3), 362-367.</w:t>
      </w:r>
    </w:p>
    <w:p w14:paraId="662B3E2C" w14:textId="77777777" w:rsidR="000524A8" w:rsidRPr="001F420B" w:rsidRDefault="000524A8" w:rsidP="001F420B">
      <w:pPr>
        <w:pStyle w:val="ListParagraph"/>
        <w:rPr>
          <w:rFonts w:ascii="Times New Roman" w:hAnsi="Times New Roman" w:cs="Times New Roman"/>
          <w:color w:val="000000" w:themeColor="text1"/>
          <w:shd w:val="clear" w:color="auto" w:fill="FCFCFC"/>
        </w:rPr>
      </w:pPr>
    </w:p>
    <w:p w14:paraId="5C4DD1D1" w14:textId="088564EE" w:rsidR="000524A8" w:rsidRPr="001F420B" w:rsidRDefault="00BE0AC2" w:rsidP="000524A8">
      <w:pPr>
        <w:pStyle w:val="ListParagraph"/>
        <w:numPr>
          <w:ilvl w:val="0"/>
          <w:numId w:val="14"/>
        </w:numPr>
        <w:ind w:left="643"/>
        <w:rPr>
          <w:rFonts w:ascii="Times New Roman" w:hAnsi="Times New Roman" w:cs="Times New Roman"/>
          <w:color w:val="000000" w:themeColor="text1"/>
          <w:u w:val="single"/>
        </w:rPr>
      </w:pPr>
      <w:r w:rsidRPr="001F420B">
        <w:rPr>
          <w:rFonts w:ascii="Times New Roman" w:hAnsi="Times New Roman" w:cs="Times New Roman"/>
          <w:color w:val="000000" w:themeColor="text1"/>
          <w:shd w:val="clear" w:color="auto" w:fill="FCFCFC"/>
        </w:rPr>
        <w:t xml:space="preserve">Dunn KM, Jordan K, </w:t>
      </w:r>
      <w:r w:rsidR="000524A8">
        <w:rPr>
          <w:rFonts w:ascii="Times New Roman" w:hAnsi="Times New Roman" w:cs="Times New Roman"/>
          <w:color w:val="000000" w:themeColor="text1"/>
          <w:shd w:val="clear" w:color="auto" w:fill="FCFCFC"/>
        </w:rPr>
        <w:t xml:space="preserve">&amp; </w:t>
      </w:r>
      <w:r w:rsidRPr="001F420B">
        <w:rPr>
          <w:rFonts w:ascii="Times New Roman" w:hAnsi="Times New Roman" w:cs="Times New Roman"/>
          <w:color w:val="000000" w:themeColor="text1"/>
          <w:shd w:val="clear" w:color="auto" w:fill="FCFCFC"/>
        </w:rPr>
        <w:t>Croft PR</w:t>
      </w:r>
      <w:r w:rsidR="000524A8">
        <w:rPr>
          <w:rFonts w:ascii="Times New Roman" w:hAnsi="Times New Roman" w:cs="Times New Roman"/>
          <w:color w:val="000000" w:themeColor="text1"/>
          <w:shd w:val="clear" w:color="auto" w:fill="FCFCFC"/>
        </w:rPr>
        <w:t>,</w:t>
      </w:r>
      <w:r w:rsidRPr="001F420B">
        <w:rPr>
          <w:rFonts w:ascii="Times New Roman" w:hAnsi="Times New Roman" w:cs="Times New Roman"/>
          <w:color w:val="000000" w:themeColor="text1"/>
          <w:shd w:val="clear" w:color="auto" w:fill="FCFCFC"/>
        </w:rPr>
        <w:t xml:space="preserve"> Characterising the course of low back pain: a latent class analysis. </w:t>
      </w:r>
      <w:r w:rsidRPr="001F420B">
        <w:rPr>
          <w:rFonts w:ascii="Times New Roman" w:hAnsi="Times New Roman" w:cs="Times New Roman"/>
          <w:i/>
          <w:iCs/>
          <w:color w:val="000000" w:themeColor="text1"/>
          <w:shd w:val="clear" w:color="auto" w:fill="FCFCFC"/>
        </w:rPr>
        <w:t>Am J Epidemiol</w:t>
      </w:r>
      <w:r w:rsidRPr="001F420B">
        <w:rPr>
          <w:rFonts w:ascii="Times New Roman" w:hAnsi="Times New Roman" w:cs="Times New Roman"/>
          <w:color w:val="000000" w:themeColor="text1"/>
          <w:shd w:val="clear" w:color="auto" w:fill="FCFCFC"/>
        </w:rPr>
        <w:t>. 2006</w:t>
      </w:r>
      <w:r w:rsidR="000524A8">
        <w:rPr>
          <w:rFonts w:ascii="Times New Roman" w:hAnsi="Times New Roman" w:cs="Times New Roman"/>
          <w:color w:val="000000" w:themeColor="text1"/>
          <w:shd w:val="clear" w:color="auto" w:fill="FCFCFC"/>
        </w:rPr>
        <w:t>;</w:t>
      </w:r>
      <w:r w:rsidRPr="001F420B">
        <w:rPr>
          <w:rFonts w:ascii="Times New Roman" w:hAnsi="Times New Roman" w:cs="Times New Roman"/>
          <w:color w:val="000000" w:themeColor="text1"/>
          <w:shd w:val="clear" w:color="auto" w:fill="FCFCFC"/>
        </w:rPr>
        <w:t xml:space="preserve"> 163: 754-761.</w:t>
      </w:r>
    </w:p>
    <w:p w14:paraId="30772E7F" w14:textId="77777777" w:rsidR="000524A8" w:rsidRPr="001F420B" w:rsidRDefault="000524A8" w:rsidP="001F420B">
      <w:pPr>
        <w:pStyle w:val="ListParagraph"/>
        <w:rPr>
          <w:rFonts w:ascii="Times New Roman" w:hAnsi="Times New Roman" w:cs="Times New Roman"/>
          <w:color w:val="000000" w:themeColor="text1"/>
        </w:rPr>
      </w:pPr>
    </w:p>
    <w:p w14:paraId="1331E13E" w14:textId="1080342F" w:rsidR="00D71F90" w:rsidRPr="001F420B" w:rsidRDefault="000524A8">
      <w:pPr>
        <w:pStyle w:val="ListParagraph"/>
        <w:numPr>
          <w:ilvl w:val="0"/>
          <w:numId w:val="14"/>
        </w:numPr>
        <w:ind w:left="643"/>
        <w:rPr>
          <w:rFonts w:ascii="Times New Roman" w:hAnsi="Times New Roman" w:cs="Times New Roman"/>
          <w:color w:val="000000" w:themeColor="text1"/>
          <w:u w:val="single"/>
        </w:rPr>
      </w:pPr>
      <w:r w:rsidRPr="001F420B">
        <w:rPr>
          <w:rFonts w:ascii="Times New Roman" w:hAnsi="Times New Roman" w:cs="Times New Roman"/>
          <w:color w:val="000000" w:themeColor="text1"/>
        </w:rPr>
        <w:t>Carmen D</w:t>
      </w:r>
      <w:r>
        <w:rPr>
          <w:rFonts w:ascii="Times New Roman" w:hAnsi="Times New Roman" w:cs="Times New Roman"/>
          <w:color w:val="000000" w:themeColor="text1"/>
        </w:rPr>
        <w:t>,</w:t>
      </w:r>
      <w:r w:rsidRPr="001F420B">
        <w:rPr>
          <w:rFonts w:ascii="Times New Roman" w:hAnsi="Times New Roman" w:cs="Times New Roman"/>
          <w:color w:val="000000" w:themeColor="text1"/>
        </w:rPr>
        <w:t xml:space="preserve"> </w:t>
      </w:r>
      <w:r w:rsidR="00C739A2">
        <w:rPr>
          <w:rFonts w:ascii="Times New Roman" w:hAnsi="Times New Roman" w:cs="Times New Roman"/>
          <w:color w:val="000000" w:themeColor="text1"/>
        </w:rPr>
        <w:t xml:space="preserve">&amp; </w:t>
      </w:r>
      <w:r w:rsidRPr="001F420B">
        <w:rPr>
          <w:rFonts w:ascii="Times New Roman" w:hAnsi="Times New Roman" w:cs="Times New Roman"/>
          <w:color w:val="000000" w:themeColor="text1"/>
        </w:rPr>
        <w:t>Cunningham</w:t>
      </w:r>
      <w:r w:rsidR="00440686">
        <w:rPr>
          <w:rFonts w:ascii="Times New Roman" w:hAnsi="Times New Roman" w:cs="Times New Roman"/>
          <w:color w:val="000000" w:themeColor="text1"/>
        </w:rPr>
        <w:t xml:space="preserve"> S</w:t>
      </w:r>
      <w:r w:rsidR="000116CF">
        <w:rPr>
          <w:rFonts w:ascii="Times New Roman" w:hAnsi="Times New Roman" w:cs="Times New Roman"/>
          <w:color w:val="000000" w:themeColor="text1"/>
        </w:rPr>
        <w:t>A</w:t>
      </w:r>
      <w:r w:rsidR="00C739A2">
        <w:rPr>
          <w:rFonts w:ascii="Times New Roman" w:hAnsi="Times New Roman" w:cs="Times New Roman"/>
          <w:color w:val="000000" w:themeColor="text1"/>
        </w:rPr>
        <w:t>.</w:t>
      </w:r>
      <w:r w:rsidRPr="001F420B">
        <w:rPr>
          <w:rFonts w:ascii="Times New Roman" w:hAnsi="Times New Roman" w:cs="Times New Roman"/>
          <w:color w:val="000000" w:themeColor="text1"/>
        </w:rPr>
        <w:t xml:space="preserve"> In, out, and fluctuating: obesity from adolescence to adulthood, </w:t>
      </w:r>
      <w:r w:rsidR="00440686">
        <w:rPr>
          <w:rFonts w:ascii="Times New Roman" w:hAnsi="Times New Roman" w:cs="Times New Roman"/>
          <w:i/>
          <w:iCs/>
          <w:color w:val="000000" w:themeColor="text1"/>
        </w:rPr>
        <w:t>A</w:t>
      </w:r>
      <w:r w:rsidRPr="001F420B">
        <w:rPr>
          <w:rFonts w:ascii="Times New Roman" w:hAnsi="Times New Roman" w:cs="Times New Roman"/>
          <w:i/>
          <w:iCs/>
          <w:color w:val="000000" w:themeColor="text1"/>
        </w:rPr>
        <w:t>nn Epidemiol</w:t>
      </w:r>
      <w:r w:rsidRPr="001F420B">
        <w:rPr>
          <w:rFonts w:ascii="Times New Roman" w:hAnsi="Times New Roman" w:cs="Times New Roman"/>
          <w:color w:val="000000" w:themeColor="text1"/>
        </w:rPr>
        <w:t xml:space="preserve"> 2020</w:t>
      </w:r>
      <w:r>
        <w:rPr>
          <w:rFonts w:ascii="Times New Roman" w:hAnsi="Times New Roman" w:cs="Times New Roman"/>
          <w:color w:val="000000" w:themeColor="text1"/>
        </w:rPr>
        <w:t>;</w:t>
      </w:r>
      <w:r w:rsidRPr="001F420B">
        <w:rPr>
          <w:rFonts w:ascii="Times New Roman" w:hAnsi="Times New Roman" w:cs="Times New Roman"/>
          <w:color w:val="000000" w:themeColor="text1"/>
        </w:rPr>
        <w:t xml:space="preserve"> 41: 14-20.</w:t>
      </w:r>
    </w:p>
    <w:p w14:paraId="006E3487" w14:textId="77777777" w:rsidR="00314DE7" w:rsidRPr="006654EA" w:rsidRDefault="00314DE7" w:rsidP="00314DE7">
      <w:pPr>
        <w:pStyle w:val="ListParagraph"/>
        <w:rPr>
          <w:rFonts w:ascii="Times New Roman" w:hAnsi="Times New Roman" w:cs="Times New Roman"/>
          <w:color w:val="000000" w:themeColor="text1"/>
          <w:u w:val="single"/>
        </w:rPr>
      </w:pPr>
    </w:p>
    <w:p w14:paraId="1EE1BCDE" w14:textId="70055D3A" w:rsidR="00314DE7" w:rsidRPr="006654EA" w:rsidRDefault="00314DE7" w:rsidP="00314DE7">
      <w:pPr>
        <w:pStyle w:val="ListParagraph"/>
        <w:numPr>
          <w:ilvl w:val="0"/>
          <w:numId w:val="14"/>
        </w:numPr>
        <w:ind w:left="643"/>
        <w:rPr>
          <w:rFonts w:ascii="Times New Roman" w:hAnsi="Times New Roman" w:cs="Times New Roman"/>
          <w:color w:val="000000" w:themeColor="text1"/>
          <w:bdr w:val="none" w:sz="0" w:space="0" w:color="auto" w:frame="1"/>
        </w:rPr>
      </w:pPr>
      <w:r w:rsidRPr="006654EA">
        <w:rPr>
          <w:rFonts w:ascii="Times New Roman" w:eastAsia="Yu Mincho" w:hAnsi="Times New Roman" w:cs="Times New Roman"/>
          <w:color w:val="000000" w:themeColor="text1"/>
        </w:rPr>
        <w:t xml:space="preserve">Morris JE, Roderick PJ, Harris S, et al. Treatment burden for patients with multimorbidity: cross-sectional study with exploration of a single-item measure. </w:t>
      </w:r>
      <w:r w:rsidR="00A602AC" w:rsidRPr="006654EA">
        <w:rPr>
          <w:rFonts w:ascii="Times New Roman" w:hAnsi="Times New Roman" w:cs="Times New Roman"/>
          <w:i/>
          <w:iCs/>
          <w:color w:val="000000" w:themeColor="text1"/>
        </w:rPr>
        <w:t>Br J Ge</w:t>
      </w:r>
      <w:r w:rsidR="00A602AC">
        <w:rPr>
          <w:rFonts w:ascii="Times New Roman" w:hAnsi="Times New Roman" w:cs="Times New Roman"/>
          <w:i/>
          <w:iCs/>
          <w:color w:val="000000" w:themeColor="text1"/>
        </w:rPr>
        <w:t>n</w:t>
      </w:r>
      <w:r w:rsidR="00A602AC" w:rsidRPr="006654EA">
        <w:rPr>
          <w:rFonts w:ascii="Times New Roman" w:hAnsi="Times New Roman" w:cs="Times New Roman"/>
          <w:i/>
          <w:iCs/>
          <w:color w:val="000000" w:themeColor="text1"/>
        </w:rPr>
        <w:t xml:space="preserve"> Pract </w:t>
      </w:r>
      <w:r w:rsidRPr="006654EA">
        <w:rPr>
          <w:rFonts w:ascii="Times New Roman" w:hAnsi="Times New Roman" w:cs="Times New Roman"/>
          <w:color w:val="000000" w:themeColor="text1"/>
          <w:bdr w:val="none" w:sz="0" w:space="0" w:color="auto" w:frame="1"/>
        </w:rPr>
        <w:t>2021; 71 (706): e381-e390.</w:t>
      </w:r>
    </w:p>
    <w:p w14:paraId="55174F5D" w14:textId="77777777" w:rsidR="00314DE7" w:rsidRPr="006654EA" w:rsidRDefault="00314DE7" w:rsidP="00314DE7">
      <w:pPr>
        <w:pStyle w:val="ListParagraph"/>
        <w:rPr>
          <w:rFonts w:ascii="Times New Roman" w:hAnsi="Times New Roman" w:cs="Times New Roman"/>
          <w:color w:val="000000" w:themeColor="text1"/>
          <w:bdr w:val="none" w:sz="0" w:space="0" w:color="auto" w:frame="1"/>
        </w:rPr>
      </w:pPr>
    </w:p>
    <w:p w14:paraId="7A4C8965" w14:textId="18D67CF9" w:rsidR="00314DE7" w:rsidRDefault="00314DE7" w:rsidP="00314DE7">
      <w:pPr>
        <w:pStyle w:val="ListParagraph"/>
        <w:numPr>
          <w:ilvl w:val="0"/>
          <w:numId w:val="14"/>
        </w:numPr>
        <w:ind w:left="643"/>
        <w:rPr>
          <w:rFonts w:ascii="Times New Roman" w:hAnsi="Times New Roman" w:cs="Times New Roman"/>
          <w:color w:val="000000" w:themeColor="text1"/>
        </w:rPr>
      </w:pPr>
      <w:r w:rsidRPr="006654EA">
        <w:rPr>
          <w:rFonts w:ascii="Times New Roman" w:hAnsi="Times New Roman" w:cs="Times New Roman"/>
          <w:color w:val="000000" w:themeColor="text1"/>
        </w:rPr>
        <w:t xml:space="preserve">Wadsworth, M. &amp; Bynner, J. A Companion to Life Course Studies The social and historical context of the British birth cohort studies Introduction. </w:t>
      </w:r>
      <w:r w:rsidRPr="006654EA">
        <w:rPr>
          <w:rFonts w:ascii="Times New Roman" w:hAnsi="Times New Roman" w:cs="Times New Roman"/>
          <w:i/>
          <w:color w:val="000000" w:themeColor="text1"/>
        </w:rPr>
        <w:t>Routledge Advanced Sociology</w:t>
      </w:r>
      <w:r w:rsidRPr="006654EA">
        <w:rPr>
          <w:rFonts w:ascii="Times New Roman" w:hAnsi="Times New Roman" w:cs="Times New Roman"/>
          <w:color w:val="000000" w:themeColor="text1"/>
        </w:rPr>
        <w:t xml:space="preserve"> 2011;</w:t>
      </w:r>
      <w:r w:rsidR="00BB3EC0">
        <w:rPr>
          <w:rFonts w:ascii="Times New Roman" w:hAnsi="Times New Roman" w:cs="Times New Roman"/>
          <w:color w:val="000000" w:themeColor="text1"/>
        </w:rPr>
        <w:t xml:space="preserve"> </w:t>
      </w:r>
      <w:r w:rsidRPr="006654EA">
        <w:rPr>
          <w:rFonts w:ascii="Times New Roman" w:hAnsi="Times New Roman" w:cs="Times New Roman"/>
          <w:color w:val="000000" w:themeColor="text1"/>
        </w:rPr>
        <w:t>1-18.</w:t>
      </w:r>
    </w:p>
    <w:p w14:paraId="5E128AD5" w14:textId="77777777" w:rsidR="00D1395D" w:rsidRPr="001F420B" w:rsidRDefault="00D1395D" w:rsidP="001F420B">
      <w:pPr>
        <w:pStyle w:val="ListParagraph"/>
        <w:rPr>
          <w:rFonts w:ascii="Times New Roman" w:hAnsi="Times New Roman" w:cs="Times New Roman"/>
          <w:color w:val="000000" w:themeColor="text1"/>
        </w:rPr>
      </w:pPr>
    </w:p>
    <w:p w14:paraId="5FA8DD29" w14:textId="25CBF954" w:rsidR="00D1395D" w:rsidRPr="001F420B" w:rsidRDefault="00D1395D" w:rsidP="001F420B">
      <w:pPr>
        <w:pStyle w:val="ListParagraph"/>
        <w:numPr>
          <w:ilvl w:val="0"/>
          <w:numId w:val="14"/>
        </w:numPr>
        <w:rPr>
          <w:rFonts w:ascii="Times New Roman" w:hAnsi="Times New Roman" w:cs="Times New Roman"/>
          <w:color w:val="000000" w:themeColor="text1"/>
          <w:shd w:val="clear" w:color="auto" w:fill="FFFFFF"/>
        </w:rPr>
      </w:pPr>
      <w:r w:rsidRPr="001F420B">
        <w:rPr>
          <w:rFonts w:ascii="Times New Roman" w:hAnsi="Times New Roman" w:cs="Times New Roman"/>
          <w:color w:val="000000" w:themeColor="text1"/>
          <w:shd w:val="clear" w:color="auto" w:fill="FFFFFF"/>
        </w:rPr>
        <w:t xml:space="preserve">Shippee ND, Shah ND, May CR, </w:t>
      </w:r>
      <w:r w:rsidR="00ED25C9" w:rsidRPr="001F420B">
        <w:rPr>
          <w:rFonts w:ascii="Times New Roman" w:hAnsi="Times New Roman" w:cs="Times New Roman"/>
          <w:color w:val="000000" w:themeColor="text1"/>
          <w:shd w:val="clear" w:color="auto" w:fill="FFFFFF"/>
        </w:rPr>
        <w:t>et al</w:t>
      </w:r>
      <w:r w:rsidRPr="001F420B">
        <w:rPr>
          <w:rFonts w:ascii="Times New Roman" w:hAnsi="Times New Roman" w:cs="Times New Roman"/>
          <w:color w:val="000000" w:themeColor="text1"/>
          <w:shd w:val="clear" w:color="auto" w:fill="FFFFFF"/>
        </w:rPr>
        <w:t>. Cumulative complexity: a functional, patient-centered model of patient complexity can improve research and practice. </w:t>
      </w:r>
      <w:r w:rsidRPr="001F420B">
        <w:rPr>
          <w:rFonts w:ascii="Times New Roman" w:hAnsi="Times New Roman" w:cs="Times New Roman"/>
          <w:i/>
          <w:iCs/>
          <w:color w:val="000000" w:themeColor="text1"/>
          <w:shd w:val="clear" w:color="auto" w:fill="FFFFFF"/>
        </w:rPr>
        <w:t xml:space="preserve">J </w:t>
      </w:r>
      <w:r w:rsidR="004A31DB" w:rsidRPr="001F420B">
        <w:rPr>
          <w:rFonts w:ascii="Times New Roman" w:hAnsi="Times New Roman" w:cs="Times New Roman"/>
          <w:i/>
          <w:iCs/>
          <w:color w:val="000000" w:themeColor="text1"/>
          <w:shd w:val="clear" w:color="auto" w:fill="FFFFFF"/>
        </w:rPr>
        <w:t>C</w:t>
      </w:r>
      <w:r w:rsidRPr="001F420B">
        <w:rPr>
          <w:rFonts w:ascii="Times New Roman" w:hAnsi="Times New Roman" w:cs="Times New Roman"/>
          <w:i/>
          <w:iCs/>
          <w:color w:val="000000" w:themeColor="text1"/>
          <w:shd w:val="clear" w:color="auto" w:fill="FFFFFF"/>
        </w:rPr>
        <w:t xml:space="preserve">lin </w:t>
      </w:r>
      <w:r w:rsidR="004A31DB" w:rsidRPr="001F420B">
        <w:rPr>
          <w:rFonts w:ascii="Times New Roman" w:hAnsi="Times New Roman" w:cs="Times New Roman"/>
          <w:i/>
          <w:iCs/>
          <w:color w:val="000000" w:themeColor="text1"/>
          <w:shd w:val="clear" w:color="auto" w:fill="FFFFFF"/>
        </w:rPr>
        <w:t>E</w:t>
      </w:r>
      <w:r w:rsidRPr="001F420B">
        <w:rPr>
          <w:rFonts w:ascii="Times New Roman" w:hAnsi="Times New Roman" w:cs="Times New Roman"/>
          <w:i/>
          <w:iCs/>
          <w:color w:val="000000" w:themeColor="text1"/>
          <w:shd w:val="clear" w:color="auto" w:fill="FFFFFF"/>
        </w:rPr>
        <w:t>pidemiol</w:t>
      </w:r>
      <w:r w:rsidRPr="001F420B">
        <w:rPr>
          <w:rFonts w:ascii="Times New Roman" w:hAnsi="Times New Roman" w:cs="Times New Roman"/>
          <w:color w:val="000000" w:themeColor="text1"/>
          <w:shd w:val="clear" w:color="auto" w:fill="FFFFFF"/>
        </w:rPr>
        <w:t xml:space="preserve"> 2012</w:t>
      </w:r>
      <w:r w:rsidR="00ED25C9" w:rsidRPr="001F420B">
        <w:rPr>
          <w:rFonts w:ascii="Times New Roman" w:hAnsi="Times New Roman" w:cs="Times New Roman"/>
          <w:color w:val="000000" w:themeColor="text1"/>
          <w:shd w:val="clear" w:color="auto" w:fill="FFFFFF"/>
        </w:rPr>
        <w:t>;</w:t>
      </w:r>
      <w:r w:rsidRPr="001F420B">
        <w:rPr>
          <w:rFonts w:ascii="Times New Roman" w:hAnsi="Times New Roman" w:cs="Times New Roman"/>
          <w:color w:val="000000" w:themeColor="text1"/>
          <w:shd w:val="clear" w:color="auto" w:fill="FFFFFF"/>
        </w:rPr>
        <w:t> 65(10), 1041–1051.</w:t>
      </w:r>
    </w:p>
    <w:p w14:paraId="6C394F60" w14:textId="77777777" w:rsidR="00D1395D" w:rsidRPr="001F420B" w:rsidRDefault="00D1395D" w:rsidP="001F420B">
      <w:pPr>
        <w:pStyle w:val="ListParagraph"/>
        <w:rPr>
          <w:rFonts w:ascii="Times New Roman" w:hAnsi="Times New Roman" w:cs="Times New Roman"/>
          <w:color w:val="000000" w:themeColor="text1"/>
          <w:shd w:val="clear" w:color="auto" w:fill="FFFFFF"/>
        </w:rPr>
      </w:pPr>
    </w:p>
    <w:p w14:paraId="6DA6FBC6" w14:textId="4FFA8FD0" w:rsidR="00D1395D" w:rsidRPr="001F420B" w:rsidRDefault="00D1395D" w:rsidP="001F420B">
      <w:pPr>
        <w:pStyle w:val="ListParagraph"/>
        <w:numPr>
          <w:ilvl w:val="0"/>
          <w:numId w:val="14"/>
        </w:numPr>
        <w:rPr>
          <w:rFonts w:ascii="Times New Roman" w:hAnsi="Times New Roman" w:cs="Times New Roman"/>
          <w:color w:val="000000" w:themeColor="text1"/>
          <w:shd w:val="clear" w:color="auto" w:fill="FFFFFF"/>
        </w:rPr>
      </w:pPr>
      <w:r w:rsidRPr="001F420B">
        <w:rPr>
          <w:rFonts w:ascii="Times New Roman" w:hAnsi="Times New Roman" w:cs="Times New Roman"/>
          <w:color w:val="000000" w:themeColor="text1"/>
          <w:shd w:val="clear" w:color="auto" w:fill="FFFFFF"/>
        </w:rPr>
        <w:t>May CR, Eton DT, Boehmer K</w:t>
      </w:r>
      <w:r w:rsidR="00AE664C" w:rsidRPr="001F420B">
        <w:rPr>
          <w:rFonts w:ascii="Times New Roman" w:hAnsi="Times New Roman" w:cs="Times New Roman"/>
          <w:color w:val="000000" w:themeColor="text1"/>
          <w:shd w:val="clear" w:color="auto" w:fill="FFFFFF"/>
        </w:rPr>
        <w:t>,</w:t>
      </w:r>
      <w:r w:rsidRPr="001F420B">
        <w:rPr>
          <w:rFonts w:ascii="Times New Roman" w:hAnsi="Times New Roman" w:cs="Times New Roman"/>
          <w:color w:val="000000" w:themeColor="text1"/>
          <w:shd w:val="clear" w:color="auto" w:fill="FFFFFF"/>
        </w:rPr>
        <w:t> et al. Rethinking the patient: using Burden of Treatment Theory to understand the changing dynamics of illness. </w:t>
      </w:r>
      <w:r w:rsidRPr="001F420B">
        <w:rPr>
          <w:rFonts w:ascii="Times New Roman" w:hAnsi="Times New Roman" w:cs="Times New Roman"/>
          <w:i/>
          <w:iCs/>
          <w:color w:val="000000" w:themeColor="text1"/>
          <w:shd w:val="clear" w:color="auto" w:fill="FFFFFF"/>
        </w:rPr>
        <w:t xml:space="preserve">BMC Health Serv Res </w:t>
      </w:r>
      <w:r w:rsidRPr="001F420B">
        <w:rPr>
          <w:rFonts w:ascii="Times New Roman" w:hAnsi="Times New Roman" w:cs="Times New Roman"/>
          <w:color w:val="000000" w:themeColor="text1"/>
          <w:shd w:val="clear" w:color="auto" w:fill="FFFFFF"/>
        </w:rPr>
        <w:t>2</w:t>
      </w:r>
      <w:r w:rsidR="007D5673" w:rsidRPr="001F420B">
        <w:rPr>
          <w:rFonts w:ascii="Times New Roman" w:hAnsi="Times New Roman" w:cs="Times New Roman"/>
          <w:color w:val="000000" w:themeColor="text1"/>
          <w:shd w:val="clear" w:color="auto" w:fill="FFFFFF"/>
        </w:rPr>
        <w:t>0</w:t>
      </w:r>
      <w:r w:rsidRPr="001F420B">
        <w:rPr>
          <w:rFonts w:ascii="Times New Roman" w:hAnsi="Times New Roman" w:cs="Times New Roman"/>
          <w:color w:val="000000" w:themeColor="text1"/>
          <w:shd w:val="clear" w:color="auto" w:fill="FFFFFF"/>
        </w:rPr>
        <w:t>14</w:t>
      </w:r>
      <w:r w:rsidR="007D5673" w:rsidRPr="001F420B">
        <w:rPr>
          <w:rFonts w:ascii="Times New Roman" w:hAnsi="Times New Roman" w:cs="Times New Roman"/>
          <w:color w:val="000000" w:themeColor="text1"/>
          <w:shd w:val="clear" w:color="auto" w:fill="FFFFFF"/>
        </w:rPr>
        <w:t>;</w:t>
      </w:r>
      <w:r w:rsidRPr="001F420B">
        <w:rPr>
          <w:rFonts w:ascii="Times New Roman" w:hAnsi="Times New Roman" w:cs="Times New Roman"/>
          <w:color w:val="000000" w:themeColor="text1"/>
          <w:shd w:val="clear" w:color="auto" w:fill="FFFFFF"/>
        </w:rPr>
        <w:t> 14, 281.</w:t>
      </w:r>
    </w:p>
    <w:p w14:paraId="7E13F107" w14:textId="77777777" w:rsidR="00D1395D" w:rsidRPr="006654EA" w:rsidRDefault="00D1395D" w:rsidP="001F420B">
      <w:pPr>
        <w:pStyle w:val="ListParagraph"/>
        <w:ind w:left="643"/>
        <w:rPr>
          <w:rFonts w:ascii="Times New Roman" w:hAnsi="Times New Roman" w:cs="Times New Roman"/>
          <w:color w:val="000000" w:themeColor="text1"/>
        </w:rPr>
      </w:pPr>
    </w:p>
    <w:p w14:paraId="653FF1B5" w14:textId="77777777" w:rsidR="00314DE7" w:rsidRPr="006654EA" w:rsidRDefault="00314DE7" w:rsidP="00314DE7">
      <w:pPr>
        <w:rPr>
          <w:color w:val="000000" w:themeColor="text1"/>
        </w:rPr>
      </w:pPr>
    </w:p>
    <w:p w14:paraId="6E1EA017" w14:textId="77777777" w:rsidR="00314DE7" w:rsidRPr="006654EA" w:rsidRDefault="00314DE7" w:rsidP="00314DE7">
      <w:pPr>
        <w:pStyle w:val="ListParagraph"/>
        <w:rPr>
          <w:rFonts w:ascii="Times New Roman" w:hAnsi="Times New Roman" w:cs="Times New Roman"/>
          <w:color w:val="000000" w:themeColor="text1"/>
          <w:shd w:val="clear" w:color="auto" w:fill="FFFFFF"/>
        </w:rPr>
      </w:pPr>
    </w:p>
    <w:p w14:paraId="633BE727" w14:textId="41A4CE5C" w:rsidR="00910318" w:rsidRPr="00397D4F" w:rsidRDefault="00910318" w:rsidP="000D10FA"/>
    <w:p w14:paraId="53C4040C" w14:textId="12B535E9" w:rsidR="00910318" w:rsidRPr="00C31EF5" w:rsidRDefault="00910318">
      <w:pPr>
        <w:rPr>
          <w:i/>
          <w:u w:val="single"/>
        </w:rPr>
      </w:pPr>
    </w:p>
    <w:sectPr w:rsidR="00910318" w:rsidRPr="00C31EF5" w:rsidSect="009103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7874" w14:textId="77777777" w:rsidR="0004058F" w:rsidRDefault="0004058F" w:rsidP="0061056C">
      <w:r>
        <w:separator/>
      </w:r>
    </w:p>
  </w:endnote>
  <w:endnote w:type="continuationSeparator" w:id="0">
    <w:p w14:paraId="3D329353" w14:textId="77777777" w:rsidR="0004058F" w:rsidRDefault="0004058F" w:rsidP="0061056C">
      <w:r>
        <w:continuationSeparator/>
      </w:r>
    </w:p>
  </w:endnote>
  <w:endnote w:type="continuationNotice" w:id="1">
    <w:p w14:paraId="463834A5" w14:textId="77777777" w:rsidR="0004058F" w:rsidRDefault="00040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5371280"/>
      <w:docPartObj>
        <w:docPartGallery w:val="Page Numbers (Bottom of Page)"/>
        <w:docPartUnique/>
      </w:docPartObj>
    </w:sdtPr>
    <w:sdtEndPr>
      <w:rPr>
        <w:rStyle w:val="PageNumber"/>
      </w:rPr>
    </w:sdtEndPr>
    <w:sdtContent>
      <w:p w14:paraId="524306F2" w14:textId="5348B22E" w:rsidR="002C2D82" w:rsidRDefault="002C2D82" w:rsidP="001236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F3C24" w14:textId="77777777" w:rsidR="002C2D82" w:rsidRDefault="002C2D82" w:rsidP="006105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1556773"/>
      <w:docPartObj>
        <w:docPartGallery w:val="Page Numbers (Bottom of Page)"/>
        <w:docPartUnique/>
      </w:docPartObj>
    </w:sdtPr>
    <w:sdtEndPr>
      <w:rPr>
        <w:rStyle w:val="PageNumber"/>
      </w:rPr>
    </w:sdtEndPr>
    <w:sdtContent>
      <w:p w14:paraId="4C93AFE8" w14:textId="25819EA7" w:rsidR="002C2D82" w:rsidRDefault="002C2D82" w:rsidP="001236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B7903CD" w14:textId="77777777" w:rsidR="002C2D82" w:rsidRDefault="002C2D82" w:rsidP="006105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5503" w14:textId="77777777" w:rsidR="0004058F" w:rsidRDefault="0004058F" w:rsidP="0061056C">
      <w:r>
        <w:separator/>
      </w:r>
    </w:p>
  </w:footnote>
  <w:footnote w:type="continuationSeparator" w:id="0">
    <w:p w14:paraId="41A6FC9E" w14:textId="77777777" w:rsidR="0004058F" w:rsidRDefault="0004058F" w:rsidP="0061056C">
      <w:r>
        <w:continuationSeparator/>
      </w:r>
    </w:p>
  </w:footnote>
  <w:footnote w:type="continuationNotice" w:id="1">
    <w:p w14:paraId="3BCEF9DC" w14:textId="77777777" w:rsidR="0004058F" w:rsidRDefault="000405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7BC"/>
    <w:multiLevelType w:val="hybridMultilevel"/>
    <w:tmpl w:val="D36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785F"/>
    <w:multiLevelType w:val="multilevel"/>
    <w:tmpl w:val="B1A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31C7"/>
    <w:multiLevelType w:val="hybridMultilevel"/>
    <w:tmpl w:val="D4CAD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5061"/>
    <w:multiLevelType w:val="multilevel"/>
    <w:tmpl w:val="B1A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C680C"/>
    <w:multiLevelType w:val="multilevel"/>
    <w:tmpl w:val="D82A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456A6"/>
    <w:multiLevelType w:val="hybridMultilevel"/>
    <w:tmpl w:val="71506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E0B8E"/>
    <w:multiLevelType w:val="hybridMultilevel"/>
    <w:tmpl w:val="D8920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8847FC"/>
    <w:multiLevelType w:val="hybridMultilevel"/>
    <w:tmpl w:val="272AFC46"/>
    <w:lvl w:ilvl="0" w:tplc="0409000F">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 w15:restartNumberingAfterBreak="0">
    <w:nsid w:val="3F375390"/>
    <w:multiLevelType w:val="multilevel"/>
    <w:tmpl w:val="E81893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512973"/>
    <w:multiLevelType w:val="hybridMultilevel"/>
    <w:tmpl w:val="B0FE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B3869"/>
    <w:multiLevelType w:val="hybridMultilevel"/>
    <w:tmpl w:val="003E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402FC"/>
    <w:multiLevelType w:val="multilevel"/>
    <w:tmpl w:val="6A02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23A8B"/>
    <w:multiLevelType w:val="multilevel"/>
    <w:tmpl w:val="607C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B154D7"/>
    <w:multiLevelType w:val="multilevel"/>
    <w:tmpl w:val="0658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00D63"/>
    <w:multiLevelType w:val="multilevel"/>
    <w:tmpl w:val="A03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05AC3"/>
    <w:multiLevelType w:val="hybridMultilevel"/>
    <w:tmpl w:val="92BC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14"/>
  </w:num>
  <w:num w:numId="5">
    <w:abstractNumId w:val="1"/>
  </w:num>
  <w:num w:numId="6">
    <w:abstractNumId w:val="10"/>
  </w:num>
  <w:num w:numId="7">
    <w:abstractNumId w:val="0"/>
  </w:num>
  <w:num w:numId="8">
    <w:abstractNumId w:val="8"/>
  </w:num>
  <w:num w:numId="9">
    <w:abstractNumId w:val="7"/>
  </w:num>
  <w:num w:numId="10">
    <w:abstractNumId w:val="12"/>
  </w:num>
  <w:num w:numId="11">
    <w:abstractNumId w:val="13"/>
  </w:num>
  <w:num w:numId="12">
    <w:abstractNumId w:val="6"/>
  </w:num>
  <w:num w:numId="13">
    <w:abstractNumId w:val="2"/>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0D"/>
    <w:rsid w:val="000015BD"/>
    <w:rsid w:val="00001D8A"/>
    <w:rsid w:val="00001F60"/>
    <w:rsid w:val="000022E4"/>
    <w:rsid w:val="00002E8E"/>
    <w:rsid w:val="00002EDE"/>
    <w:rsid w:val="00004D7F"/>
    <w:rsid w:val="00005113"/>
    <w:rsid w:val="00005FBF"/>
    <w:rsid w:val="0000650D"/>
    <w:rsid w:val="00006E36"/>
    <w:rsid w:val="000072B2"/>
    <w:rsid w:val="00007E4A"/>
    <w:rsid w:val="00010C85"/>
    <w:rsid w:val="00010DC1"/>
    <w:rsid w:val="000116CF"/>
    <w:rsid w:val="00011DAF"/>
    <w:rsid w:val="0001217A"/>
    <w:rsid w:val="000123AB"/>
    <w:rsid w:val="0001336B"/>
    <w:rsid w:val="00013A9E"/>
    <w:rsid w:val="00015341"/>
    <w:rsid w:val="000163FB"/>
    <w:rsid w:val="000165DB"/>
    <w:rsid w:val="00016840"/>
    <w:rsid w:val="00016E45"/>
    <w:rsid w:val="00017F20"/>
    <w:rsid w:val="000204EA"/>
    <w:rsid w:val="00020569"/>
    <w:rsid w:val="0002178F"/>
    <w:rsid w:val="000219F4"/>
    <w:rsid w:val="00024ABB"/>
    <w:rsid w:val="00026D6B"/>
    <w:rsid w:val="000300DE"/>
    <w:rsid w:val="000302F4"/>
    <w:rsid w:val="00030552"/>
    <w:rsid w:val="0003093F"/>
    <w:rsid w:val="00032863"/>
    <w:rsid w:val="00033F9D"/>
    <w:rsid w:val="00034BF7"/>
    <w:rsid w:val="00034F61"/>
    <w:rsid w:val="0003560D"/>
    <w:rsid w:val="000356F4"/>
    <w:rsid w:val="00035DB8"/>
    <w:rsid w:val="00035DFE"/>
    <w:rsid w:val="00035F5F"/>
    <w:rsid w:val="00035F72"/>
    <w:rsid w:val="00036C27"/>
    <w:rsid w:val="0004058F"/>
    <w:rsid w:val="00041D47"/>
    <w:rsid w:val="00045F9D"/>
    <w:rsid w:val="00046630"/>
    <w:rsid w:val="000471B9"/>
    <w:rsid w:val="0004736F"/>
    <w:rsid w:val="00047427"/>
    <w:rsid w:val="00047D38"/>
    <w:rsid w:val="0005026A"/>
    <w:rsid w:val="000524A8"/>
    <w:rsid w:val="00052934"/>
    <w:rsid w:val="00054E93"/>
    <w:rsid w:val="000555CC"/>
    <w:rsid w:val="000573B0"/>
    <w:rsid w:val="00060938"/>
    <w:rsid w:val="00060F7F"/>
    <w:rsid w:val="000626F8"/>
    <w:rsid w:val="00062BFE"/>
    <w:rsid w:val="0006309A"/>
    <w:rsid w:val="00064343"/>
    <w:rsid w:val="00065069"/>
    <w:rsid w:val="00065234"/>
    <w:rsid w:val="00065724"/>
    <w:rsid w:val="00066F93"/>
    <w:rsid w:val="000717B0"/>
    <w:rsid w:val="00071C00"/>
    <w:rsid w:val="00072DD0"/>
    <w:rsid w:val="00072FAB"/>
    <w:rsid w:val="00075886"/>
    <w:rsid w:val="00077F80"/>
    <w:rsid w:val="00081E5A"/>
    <w:rsid w:val="0008228D"/>
    <w:rsid w:val="000842BC"/>
    <w:rsid w:val="00084574"/>
    <w:rsid w:val="000853CB"/>
    <w:rsid w:val="0008627D"/>
    <w:rsid w:val="00087805"/>
    <w:rsid w:val="000878D4"/>
    <w:rsid w:val="00092855"/>
    <w:rsid w:val="000938B6"/>
    <w:rsid w:val="000974AE"/>
    <w:rsid w:val="00097DD9"/>
    <w:rsid w:val="000A1CEC"/>
    <w:rsid w:val="000A5573"/>
    <w:rsid w:val="000B0BA4"/>
    <w:rsid w:val="000B0BC9"/>
    <w:rsid w:val="000B2FD0"/>
    <w:rsid w:val="000C01CF"/>
    <w:rsid w:val="000C0BA2"/>
    <w:rsid w:val="000C4334"/>
    <w:rsid w:val="000C56E6"/>
    <w:rsid w:val="000C6336"/>
    <w:rsid w:val="000C7C3D"/>
    <w:rsid w:val="000D10FA"/>
    <w:rsid w:val="000D15D9"/>
    <w:rsid w:val="000D1924"/>
    <w:rsid w:val="000D1D04"/>
    <w:rsid w:val="000D26A1"/>
    <w:rsid w:val="000D485E"/>
    <w:rsid w:val="000D7A2D"/>
    <w:rsid w:val="000D7D9B"/>
    <w:rsid w:val="000E2F0D"/>
    <w:rsid w:val="000E3833"/>
    <w:rsid w:val="000E49CC"/>
    <w:rsid w:val="000E5B13"/>
    <w:rsid w:val="000E63CC"/>
    <w:rsid w:val="000E6817"/>
    <w:rsid w:val="000E6B1B"/>
    <w:rsid w:val="000E6D69"/>
    <w:rsid w:val="000F07C7"/>
    <w:rsid w:val="000F08FF"/>
    <w:rsid w:val="000F1377"/>
    <w:rsid w:val="000F290B"/>
    <w:rsid w:val="000F2E4B"/>
    <w:rsid w:val="000F2F86"/>
    <w:rsid w:val="000F4181"/>
    <w:rsid w:val="000F665C"/>
    <w:rsid w:val="000F6C1B"/>
    <w:rsid w:val="000F7832"/>
    <w:rsid w:val="000F7938"/>
    <w:rsid w:val="000F79F4"/>
    <w:rsid w:val="000F7E5E"/>
    <w:rsid w:val="001022F1"/>
    <w:rsid w:val="00102D4F"/>
    <w:rsid w:val="00103450"/>
    <w:rsid w:val="00104801"/>
    <w:rsid w:val="0010633B"/>
    <w:rsid w:val="00106761"/>
    <w:rsid w:val="00106992"/>
    <w:rsid w:val="00107344"/>
    <w:rsid w:val="00107C87"/>
    <w:rsid w:val="0011030A"/>
    <w:rsid w:val="00110E6A"/>
    <w:rsid w:val="00111CE7"/>
    <w:rsid w:val="001144C6"/>
    <w:rsid w:val="00114730"/>
    <w:rsid w:val="001151DA"/>
    <w:rsid w:val="001157D8"/>
    <w:rsid w:val="0011653E"/>
    <w:rsid w:val="00116930"/>
    <w:rsid w:val="0011707B"/>
    <w:rsid w:val="00117D65"/>
    <w:rsid w:val="00117EC3"/>
    <w:rsid w:val="001208F9"/>
    <w:rsid w:val="001209B9"/>
    <w:rsid w:val="00121A91"/>
    <w:rsid w:val="00122FF8"/>
    <w:rsid w:val="00123614"/>
    <w:rsid w:val="00124E2A"/>
    <w:rsid w:val="00126F76"/>
    <w:rsid w:val="00130D44"/>
    <w:rsid w:val="001310A5"/>
    <w:rsid w:val="00132E6B"/>
    <w:rsid w:val="001332A6"/>
    <w:rsid w:val="001332F8"/>
    <w:rsid w:val="00133D23"/>
    <w:rsid w:val="00134998"/>
    <w:rsid w:val="00134F31"/>
    <w:rsid w:val="00135096"/>
    <w:rsid w:val="0013525C"/>
    <w:rsid w:val="0013542F"/>
    <w:rsid w:val="0013550D"/>
    <w:rsid w:val="001367AF"/>
    <w:rsid w:val="00137EEB"/>
    <w:rsid w:val="001410AD"/>
    <w:rsid w:val="00142F19"/>
    <w:rsid w:val="00145258"/>
    <w:rsid w:val="00145A62"/>
    <w:rsid w:val="00146058"/>
    <w:rsid w:val="001503F6"/>
    <w:rsid w:val="00150C27"/>
    <w:rsid w:val="00151C5D"/>
    <w:rsid w:val="00152E7B"/>
    <w:rsid w:val="00153784"/>
    <w:rsid w:val="001537A1"/>
    <w:rsid w:val="00155FA1"/>
    <w:rsid w:val="001563A5"/>
    <w:rsid w:val="00156B9E"/>
    <w:rsid w:val="00160D35"/>
    <w:rsid w:val="00162C59"/>
    <w:rsid w:val="00163324"/>
    <w:rsid w:val="001659A3"/>
    <w:rsid w:val="00165A0E"/>
    <w:rsid w:val="001664C9"/>
    <w:rsid w:val="001709C2"/>
    <w:rsid w:val="00170AEB"/>
    <w:rsid w:val="00170D69"/>
    <w:rsid w:val="00172D47"/>
    <w:rsid w:val="00173346"/>
    <w:rsid w:val="001735A5"/>
    <w:rsid w:val="001749A9"/>
    <w:rsid w:val="00176872"/>
    <w:rsid w:val="00177796"/>
    <w:rsid w:val="00177FE7"/>
    <w:rsid w:val="00180D75"/>
    <w:rsid w:val="00180D84"/>
    <w:rsid w:val="0018232F"/>
    <w:rsid w:val="00186515"/>
    <w:rsid w:val="0018667A"/>
    <w:rsid w:val="00186DE7"/>
    <w:rsid w:val="00187886"/>
    <w:rsid w:val="0019079A"/>
    <w:rsid w:val="00191E79"/>
    <w:rsid w:val="0019284F"/>
    <w:rsid w:val="001937CA"/>
    <w:rsid w:val="0019450D"/>
    <w:rsid w:val="00194F34"/>
    <w:rsid w:val="00195A60"/>
    <w:rsid w:val="00196828"/>
    <w:rsid w:val="00196B63"/>
    <w:rsid w:val="00197011"/>
    <w:rsid w:val="001A004D"/>
    <w:rsid w:val="001A1048"/>
    <w:rsid w:val="001A18F5"/>
    <w:rsid w:val="001A479A"/>
    <w:rsid w:val="001A5FE9"/>
    <w:rsid w:val="001A638C"/>
    <w:rsid w:val="001A67A4"/>
    <w:rsid w:val="001A6EA7"/>
    <w:rsid w:val="001A78B6"/>
    <w:rsid w:val="001B1ADF"/>
    <w:rsid w:val="001B1E24"/>
    <w:rsid w:val="001B32AD"/>
    <w:rsid w:val="001B369E"/>
    <w:rsid w:val="001B391F"/>
    <w:rsid w:val="001B5651"/>
    <w:rsid w:val="001B56F6"/>
    <w:rsid w:val="001B578D"/>
    <w:rsid w:val="001B6C69"/>
    <w:rsid w:val="001B798E"/>
    <w:rsid w:val="001C0E37"/>
    <w:rsid w:val="001C44B0"/>
    <w:rsid w:val="001C600D"/>
    <w:rsid w:val="001C65BB"/>
    <w:rsid w:val="001C749C"/>
    <w:rsid w:val="001C7A19"/>
    <w:rsid w:val="001C7F0D"/>
    <w:rsid w:val="001D0707"/>
    <w:rsid w:val="001D1237"/>
    <w:rsid w:val="001D15DC"/>
    <w:rsid w:val="001D272D"/>
    <w:rsid w:val="001D4719"/>
    <w:rsid w:val="001D62CF"/>
    <w:rsid w:val="001D7FB5"/>
    <w:rsid w:val="001E0823"/>
    <w:rsid w:val="001E0865"/>
    <w:rsid w:val="001E3B5E"/>
    <w:rsid w:val="001E4776"/>
    <w:rsid w:val="001E5DF2"/>
    <w:rsid w:val="001E5F57"/>
    <w:rsid w:val="001E67C1"/>
    <w:rsid w:val="001E7911"/>
    <w:rsid w:val="001F12A5"/>
    <w:rsid w:val="001F1A58"/>
    <w:rsid w:val="001F1BFB"/>
    <w:rsid w:val="001F37C2"/>
    <w:rsid w:val="001F420B"/>
    <w:rsid w:val="001F5AAA"/>
    <w:rsid w:val="001F6F87"/>
    <w:rsid w:val="001F7D98"/>
    <w:rsid w:val="001F7F6F"/>
    <w:rsid w:val="00202983"/>
    <w:rsid w:val="00204E08"/>
    <w:rsid w:val="0020597E"/>
    <w:rsid w:val="00206B06"/>
    <w:rsid w:val="00207D9B"/>
    <w:rsid w:val="0021067F"/>
    <w:rsid w:val="002113EE"/>
    <w:rsid w:val="00211C74"/>
    <w:rsid w:val="00212812"/>
    <w:rsid w:val="00212837"/>
    <w:rsid w:val="00213568"/>
    <w:rsid w:val="00213F34"/>
    <w:rsid w:val="00217B43"/>
    <w:rsid w:val="0022012F"/>
    <w:rsid w:val="002202E5"/>
    <w:rsid w:val="00221329"/>
    <w:rsid w:val="002227E1"/>
    <w:rsid w:val="00222D24"/>
    <w:rsid w:val="002242AE"/>
    <w:rsid w:val="00225072"/>
    <w:rsid w:val="00225217"/>
    <w:rsid w:val="002258C6"/>
    <w:rsid w:val="00225F93"/>
    <w:rsid w:val="00226D02"/>
    <w:rsid w:val="00227500"/>
    <w:rsid w:val="00231251"/>
    <w:rsid w:val="00232020"/>
    <w:rsid w:val="002344DB"/>
    <w:rsid w:val="00234DBE"/>
    <w:rsid w:val="00236DC6"/>
    <w:rsid w:val="00236DE3"/>
    <w:rsid w:val="00240805"/>
    <w:rsid w:val="002408FF"/>
    <w:rsid w:val="002413AE"/>
    <w:rsid w:val="00242A1F"/>
    <w:rsid w:val="00243756"/>
    <w:rsid w:val="00245812"/>
    <w:rsid w:val="00247276"/>
    <w:rsid w:val="00247C37"/>
    <w:rsid w:val="0025002C"/>
    <w:rsid w:val="00252324"/>
    <w:rsid w:val="00252D37"/>
    <w:rsid w:val="002544EF"/>
    <w:rsid w:val="00255928"/>
    <w:rsid w:val="002602D3"/>
    <w:rsid w:val="00260893"/>
    <w:rsid w:val="00260F24"/>
    <w:rsid w:val="0026384C"/>
    <w:rsid w:val="00263D8E"/>
    <w:rsid w:val="00263FCE"/>
    <w:rsid w:val="00265042"/>
    <w:rsid w:val="00266CF9"/>
    <w:rsid w:val="00267049"/>
    <w:rsid w:val="0027028E"/>
    <w:rsid w:val="00270FEF"/>
    <w:rsid w:val="00272741"/>
    <w:rsid w:val="00275119"/>
    <w:rsid w:val="0027514B"/>
    <w:rsid w:val="002751ED"/>
    <w:rsid w:val="00275BD6"/>
    <w:rsid w:val="0027682C"/>
    <w:rsid w:val="002803BE"/>
    <w:rsid w:val="00280AB6"/>
    <w:rsid w:val="00280B90"/>
    <w:rsid w:val="002814FB"/>
    <w:rsid w:val="00282ADD"/>
    <w:rsid w:val="0028442A"/>
    <w:rsid w:val="0028471B"/>
    <w:rsid w:val="00284727"/>
    <w:rsid w:val="00284CC9"/>
    <w:rsid w:val="002862E6"/>
    <w:rsid w:val="0028734D"/>
    <w:rsid w:val="00290514"/>
    <w:rsid w:val="002906A5"/>
    <w:rsid w:val="00290C36"/>
    <w:rsid w:val="00291117"/>
    <w:rsid w:val="00291356"/>
    <w:rsid w:val="002915E8"/>
    <w:rsid w:val="00292143"/>
    <w:rsid w:val="00292871"/>
    <w:rsid w:val="002935AF"/>
    <w:rsid w:val="002A0F1A"/>
    <w:rsid w:val="002A1773"/>
    <w:rsid w:val="002A2894"/>
    <w:rsid w:val="002A28C3"/>
    <w:rsid w:val="002A2D38"/>
    <w:rsid w:val="002A3B3D"/>
    <w:rsid w:val="002A4D75"/>
    <w:rsid w:val="002A58AE"/>
    <w:rsid w:val="002A5CED"/>
    <w:rsid w:val="002A6ADE"/>
    <w:rsid w:val="002A719E"/>
    <w:rsid w:val="002A7F94"/>
    <w:rsid w:val="002B023D"/>
    <w:rsid w:val="002B0807"/>
    <w:rsid w:val="002B09C3"/>
    <w:rsid w:val="002B1876"/>
    <w:rsid w:val="002B4559"/>
    <w:rsid w:val="002B6478"/>
    <w:rsid w:val="002B6C12"/>
    <w:rsid w:val="002B7773"/>
    <w:rsid w:val="002C1287"/>
    <w:rsid w:val="002C1A16"/>
    <w:rsid w:val="002C1F44"/>
    <w:rsid w:val="002C24F9"/>
    <w:rsid w:val="002C2D82"/>
    <w:rsid w:val="002C2E2C"/>
    <w:rsid w:val="002C2F64"/>
    <w:rsid w:val="002C31E2"/>
    <w:rsid w:val="002C4848"/>
    <w:rsid w:val="002C74DD"/>
    <w:rsid w:val="002D09E0"/>
    <w:rsid w:val="002D0EAE"/>
    <w:rsid w:val="002D1627"/>
    <w:rsid w:val="002D17B6"/>
    <w:rsid w:val="002D2082"/>
    <w:rsid w:val="002D20FE"/>
    <w:rsid w:val="002D27CC"/>
    <w:rsid w:val="002D31AB"/>
    <w:rsid w:val="002D361F"/>
    <w:rsid w:val="002D45DB"/>
    <w:rsid w:val="002D5307"/>
    <w:rsid w:val="002D5758"/>
    <w:rsid w:val="002D5FAA"/>
    <w:rsid w:val="002D72D7"/>
    <w:rsid w:val="002D79AD"/>
    <w:rsid w:val="002E0157"/>
    <w:rsid w:val="002E06E9"/>
    <w:rsid w:val="002E0715"/>
    <w:rsid w:val="002E0E04"/>
    <w:rsid w:val="002E2A14"/>
    <w:rsid w:val="002E2CCC"/>
    <w:rsid w:val="002E39AE"/>
    <w:rsid w:val="002E3C8E"/>
    <w:rsid w:val="002E41A0"/>
    <w:rsid w:val="002E4975"/>
    <w:rsid w:val="002E5324"/>
    <w:rsid w:val="002E5388"/>
    <w:rsid w:val="002E5A3C"/>
    <w:rsid w:val="002E63E4"/>
    <w:rsid w:val="002E644C"/>
    <w:rsid w:val="002E6A21"/>
    <w:rsid w:val="002E739F"/>
    <w:rsid w:val="002F1863"/>
    <w:rsid w:val="002F1988"/>
    <w:rsid w:val="002F2788"/>
    <w:rsid w:val="002F2B7B"/>
    <w:rsid w:val="002F40C7"/>
    <w:rsid w:val="002F44B9"/>
    <w:rsid w:val="002F56D2"/>
    <w:rsid w:val="002F5835"/>
    <w:rsid w:val="002F5C2D"/>
    <w:rsid w:val="002F63E4"/>
    <w:rsid w:val="002F66E1"/>
    <w:rsid w:val="002F70BB"/>
    <w:rsid w:val="003002CD"/>
    <w:rsid w:val="0030223F"/>
    <w:rsid w:val="003023CB"/>
    <w:rsid w:val="003036EB"/>
    <w:rsid w:val="0030398B"/>
    <w:rsid w:val="00304CF1"/>
    <w:rsid w:val="00305BE0"/>
    <w:rsid w:val="00305CDD"/>
    <w:rsid w:val="00305F1E"/>
    <w:rsid w:val="00306275"/>
    <w:rsid w:val="00306ADD"/>
    <w:rsid w:val="003105EA"/>
    <w:rsid w:val="0031275A"/>
    <w:rsid w:val="00313045"/>
    <w:rsid w:val="003146E4"/>
    <w:rsid w:val="00314DE7"/>
    <w:rsid w:val="00315880"/>
    <w:rsid w:val="003169E0"/>
    <w:rsid w:val="003171A9"/>
    <w:rsid w:val="00317FAF"/>
    <w:rsid w:val="0032002C"/>
    <w:rsid w:val="00320978"/>
    <w:rsid w:val="00320988"/>
    <w:rsid w:val="00320AA4"/>
    <w:rsid w:val="00321119"/>
    <w:rsid w:val="00321436"/>
    <w:rsid w:val="0032166A"/>
    <w:rsid w:val="00323663"/>
    <w:rsid w:val="0032423C"/>
    <w:rsid w:val="003246E6"/>
    <w:rsid w:val="00324E9B"/>
    <w:rsid w:val="00325F41"/>
    <w:rsid w:val="00327BC6"/>
    <w:rsid w:val="003305FF"/>
    <w:rsid w:val="0033203B"/>
    <w:rsid w:val="0033352F"/>
    <w:rsid w:val="00334888"/>
    <w:rsid w:val="00334F7B"/>
    <w:rsid w:val="00336E6D"/>
    <w:rsid w:val="003371B8"/>
    <w:rsid w:val="00340864"/>
    <w:rsid w:val="003418D8"/>
    <w:rsid w:val="0034256B"/>
    <w:rsid w:val="00342746"/>
    <w:rsid w:val="003434FC"/>
    <w:rsid w:val="003465F7"/>
    <w:rsid w:val="00346BEF"/>
    <w:rsid w:val="00347879"/>
    <w:rsid w:val="0034794B"/>
    <w:rsid w:val="00350BD4"/>
    <w:rsid w:val="0035279A"/>
    <w:rsid w:val="0035385A"/>
    <w:rsid w:val="00354492"/>
    <w:rsid w:val="003559C0"/>
    <w:rsid w:val="003603ED"/>
    <w:rsid w:val="003611F2"/>
    <w:rsid w:val="00361B1D"/>
    <w:rsid w:val="003624ED"/>
    <w:rsid w:val="00363E06"/>
    <w:rsid w:val="00364174"/>
    <w:rsid w:val="00364DF7"/>
    <w:rsid w:val="003654D0"/>
    <w:rsid w:val="00365FB8"/>
    <w:rsid w:val="003667C3"/>
    <w:rsid w:val="00370BDA"/>
    <w:rsid w:val="00370EA9"/>
    <w:rsid w:val="00374154"/>
    <w:rsid w:val="003776A9"/>
    <w:rsid w:val="0038059E"/>
    <w:rsid w:val="00381F05"/>
    <w:rsid w:val="0038272B"/>
    <w:rsid w:val="003841D1"/>
    <w:rsid w:val="0038431A"/>
    <w:rsid w:val="00386108"/>
    <w:rsid w:val="00386362"/>
    <w:rsid w:val="00386762"/>
    <w:rsid w:val="0038795E"/>
    <w:rsid w:val="00387D6D"/>
    <w:rsid w:val="00390029"/>
    <w:rsid w:val="00391C3C"/>
    <w:rsid w:val="0039284D"/>
    <w:rsid w:val="003939D9"/>
    <w:rsid w:val="00394BFB"/>
    <w:rsid w:val="003956CB"/>
    <w:rsid w:val="0039590F"/>
    <w:rsid w:val="00397FD0"/>
    <w:rsid w:val="003A2BFA"/>
    <w:rsid w:val="003A5DA3"/>
    <w:rsid w:val="003A5FE5"/>
    <w:rsid w:val="003A7F06"/>
    <w:rsid w:val="003B084C"/>
    <w:rsid w:val="003B1633"/>
    <w:rsid w:val="003B399E"/>
    <w:rsid w:val="003B49FA"/>
    <w:rsid w:val="003B6F4A"/>
    <w:rsid w:val="003B6F95"/>
    <w:rsid w:val="003B7EF0"/>
    <w:rsid w:val="003C076C"/>
    <w:rsid w:val="003C0832"/>
    <w:rsid w:val="003C1E74"/>
    <w:rsid w:val="003C35A8"/>
    <w:rsid w:val="003C4799"/>
    <w:rsid w:val="003C4FD4"/>
    <w:rsid w:val="003C5041"/>
    <w:rsid w:val="003C5643"/>
    <w:rsid w:val="003C640A"/>
    <w:rsid w:val="003C6562"/>
    <w:rsid w:val="003C6659"/>
    <w:rsid w:val="003D0D0F"/>
    <w:rsid w:val="003D143A"/>
    <w:rsid w:val="003D1E3B"/>
    <w:rsid w:val="003D2D8E"/>
    <w:rsid w:val="003D4223"/>
    <w:rsid w:val="003D4CCF"/>
    <w:rsid w:val="003D4E86"/>
    <w:rsid w:val="003D6673"/>
    <w:rsid w:val="003E0205"/>
    <w:rsid w:val="003E0DDC"/>
    <w:rsid w:val="003E1080"/>
    <w:rsid w:val="003E15B2"/>
    <w:rsid w:val="003E288C"/>
    <w:rsid w:val="003E2FE7"/>
    <w:rsid w:val="003E4045"/>
    <w:rsid w:val="003E4B58"/>
    <w:rsid w:val="003E5F98"/>
    <w:rsid w:val="003F0305"/>
    <w:rsid w:val="003F2F4C"/>
    <w:rsid w:val="003F43C0"/>
    <w:rsid w:val="003F4622"/>
    <w:rsid w:val="003F4A79"/>
    <w:rsid w:val="003F673C"/>
    <w:rsid w:val="003F70F3"/>
    <w:rsid w:val="00400DB8"/>
    <w:rsid w:val="00400DBD"/>
    <w:rsid w:val="004027F1"/>
    <w:rsid w:val="00402F53"/>
    <w:rsid w:val="004040C9"/>
    <w:rsid w:val="00404D09"/>
    <w:rsid w:val="0040637E"/>
    <w:rsid w:val="00406DA3"/>
    <w:rsid w:val="00407473"/>
    <w:rsid w:val="00407A22"/>
    <w:rsid w:val="004104E0"/>
    <w:rsid w:val="00410A18"/>
    <w:rsid w:val="00410F7E"/>
    <w:rsid w:val="00411BAE"/>
    <w:rsid w:val="00413DC5"/>
    <w:rsid w:val="00414F2A"/>
    <w:rsid w:val="00421A13"/>
    <w:rsid w:val="00421FA2"/>
    <w:rsid w:val="004220FB"/>
    <w:rsid w:val="00425168"/>
    <w:rsid w:val="00426A3E"/>
    <w:rsid w:val="00427673"/>
    <w:rsid w:val="004279D0"/>
    <w:rsid w:val="00427ACB"/>
    <w:rsid w:val="004308E2"/>
    <w:rsid w:val="0043166A"/>
    <w:rsid w:val="00431AB8"/>
    <w:rsid w:val="00432736"/>
    <w:rsid w:val="004337D0"/>
    <w:rsid w:val="004338C1"/>
    <w:rsid w:val="00434702"/>
    <w:rsid w:val="004378F3"/>
    <w:rsid w:val="00437E9C"/>
    <w:rsid w:val="00440686"/>
    <w:rsid w:val="0044264B"/>
    <w:rsid w:val="00443D6C"/>
    <w:rsid w:val="004453E0"/>
    <w:rsid w:val="00447BB7"/>
    <w:rsid w:val="004502F4"/>
    <w:rsid w:val="00451963"/>
    <w:rsid w:val="00452648"/>
    <w:rsid w:val="00454407"/>
    <w:rsid w:val="00454429"/>
    <w:rsid w:val="00455059"/>
    <w:rsid w:val="00455391"/>
    <w:rsid w:val="00455D8C"/>
    <w:rsid w:val="0045691E"/>
    <w:rsid w:val="0045691F"/>
    <w:rsid w:val="0045780C"/>
    <w:rsid w:val="004600EB"/>
    <w:rsid w:val="004625D0"/>
    <w:rsid w:val="00462AD5"/>
    <w:rsid w:val="00462CD9"/>
    <w:rsid w:val="00464782"/>
    <w:rsid w:val="00465161"/>
    <w:rsid w:val="00466134"/>
    <w:rsid w:val="00466383"/>
    <w:rsid w:val="00466781"/>
    <w:rsid w:val="004671BB"/>
    <w:rsid w:val="0046726F"/>
    <w:rsid w:val="004675FB"/>
    <w:rsid w:val="004702F9"/>
    <w:rsid w:val="00470BF8"/>
    <w:rsid w:val="0047314D"/>
    <w:rsid w:val="00473D4A"/>
    <w:rsid w:val="00473E76"/>
    <w:rsid w:val="0047468F"/>
    <w:rsid w:val="00480B34"/>
    <w:rsid w:val="004826CD"/>
    <w:rsid w:val="004854CE"/>
    <w:rsid w:val="004859E7"/>
    <w:rsid w:val="00487934"/>
    <w:rsid w:val="00493B43"/>
    <w:rsid w:val="00495843"/>
    <w:rsid w:val="00495A94"/>
    <w:rsid w:val="00496489"/>
    <w:rsid w:val="004A0CE9"/>
    <w:rsid w:val="004A1591"/>
    <w:rsid w:val="004A31DB"/>
    <w:rsid w:val="004A32AB"/>
    <w:rsid w:val="004A368E"/>
    <w:rsid w:val="004A4F56"/>
    <w:rsid w:val="004B1F03"/>
    <w:rsid w:val="004B253A"/>
    <w:rsid w:val="004B2DF0"/>
    <w:rsid w:val="004B2FF5"/>
    <w:rsid w:val="004B3268"/>
    <w:rsid w:val="004B3A20"/>
    <w:rsid w:val="004B4269"/>
    <w:rsid w:val="004B4AA1"/>
    <w:rsid w:val="004B5D1A"/>
    <w:rsid w:val="004B71A2"/>
    <w:rsid w:val="004C14C0"/>
    <w:rsid w:val="004C38D6"/>
    <w:rsid w:val="004C50FE"/>
    <w:rsid w:val="004C6117"/>
    <w:rsid w:val="004C6A6B"/>
    <w:rsid w:val="004D3BD8"/>
    <w:rsid w:val="004D492A"/>
    <w:rsid w:val="004D4DBA"/>
    <w:rsid w:val="004D5095"/>
    <w:rsid w:val="004D54FB"/>
    <w:rsid w:val="004D57D5"/>
    <w:rsid w:val="004D6AF2"/>
    <w:rsid w:val="004E0703"/>
    <w:rsid w:val="004E403E"/>
    <w:rsid w:val="004E4E8A"/>
    <w:rsid w:val="004E5E98"/>
    <w:rsid w:val="004F1348"/>
    <w:rsid w:val="004F240C"/>
    <w:rsid w:val="004F3B1A"/>
    <w:rsid w:val="004F5B6F"/>
    <w:rsid w:val="004F7DA4"/>
    <w:rsid w:val="00500615"/>
    <w:rsid w:val="00502086"/>
    <w:rsid w:val="00502740"/>
    <w:rsid w:val="00504498"/>
    <w:rsid w:val="00505801"/>
    <w:rsid w:val="00505F8D"/>
    <w:rsid w:val="00510064"/>
    <w:rsid w:val="00510667"/>
    <w:rsid w:val="00511870"/>
    <w:rsid w:val="005121C9"/>
    <w:rsid w:val="0051298F"/>
    <w:rsid w:val="00512F15"/>
    <w:rsid w:val="00515E4D"/>
    <w:rsid w:val="00516653"/>
    <w:rsid w:val="0052595F"/>
    <w:rsid w:val="00525E28"/>
    <w:rsid w:val="005260C6"/>
    <w:rsid w:val="00526A4F"/>
    <w:rsid w:val="00530112"/>
    <w:rsid w:val="00530148"/>
    <w:rsid w:val="00533FEB"/>
    <w:rsid w:val="0053439D"/>
    <w:rsid w:val="005356AA"/>
    <w:rsid w:val="00537062"/>
    <w:rsid w:val="005374EB"/>
    <w:rsid w:val="005378DE"/>
    <w:rsid w:val="00537A57"/>
    <w:rsid w:val="00540A0B"/>
    <w:rsid w:val="0054260D"/>
    <w:rsid w:val="00543170"/>
    <w:rsid w:val="00543433"/>
    <w:rsid w:val="00544FB2"/>
    <w:rsid w:val="00547518"/>
    <w:rsid w:val="00550101"/>
    <w:rsid w:val="0055046D"/>
    <w:rsid w:val="005532DF"/>
    <w:rsid w:val="0055416B"/>
    <w:rsid w:val="005552F6"/>
    <w:rsid w:val="00557EF7"/>
    <w:rsid w:val="00560759"/>
    <w:rsid w:val="00560C8E"/>
    <w:rsid w:val="00560D5E"/>
    <w:rsid w:val="0056336C"/>
    <w:rsid w:val="00566339"/>
    <w:rsid w:val="00567D55"/>
    <w:rsid w:val="00570545"/>
    <w:rsid w:val="00570A38"/>
    <w:rsid w:val="0057154F"/>
    <w:rsid w:val="00571BB0"/>
    <w:rsid w:val="00571F0E"/>
    <w:rsid w:val="00572B18"/>
    <w:rsid w:val="00573ACC"/>
    <w:rsid w:val="00573ED9"/>
    <w:rsid w:val="005740B0"/>
    <w:rsid w:val="005758FC"/>
    <w:rsid w:val="005763DD"/>
    <w:rsid w:val="0057790A"/>
    <w:rsid w:val="005828AC"/>
    <w:rsid w:val="0058409F"/>
    <w:rsid w:val="005846A9"/>
    <w:rsid w:val="00584F89"/>
    <w:rsid w:val="00585E9B"/>
    <w:rsid w:val="00586CBA"/>
    <w:rsid w:val="005932CB"/>
    <w:rsid w:val="005948C9"/>
    <w:rsid w:val="005951B7"/>
    <w:rsid w:val="00595623"/>
    <w:rsid w:val="005966BD"/>
    <w:rsid w:val="00597352"/>
    <w:rsid w:val="00597BC4"/>
    <w:rsid w:val="005A3F43"/>
    <w:rsid w:val="005A6AF4"/>
    <w:rsid w:val="005A6B3A"/>
    <w:rsid w:val="005B1CFF"/>
    <w:rsid w:val="005B38BB"/>
    <w:rsid w:val="005B533F"/>
    <w:rsid w:val="005B5D99"/>
    <w:rsid w:val="005B6B80"/>
    <w:rsid w:val="005B784E"/>
    <w:rsid w:val="005B7C58"/>
    <w:rsid w:val="005C1A48"/>
    <w:rsid w:val="005C2158"/>
    <w:rsid w:val="005C21FA"/>
    <w:rsid w:val="005C2B81"/>
    <w:rsid w:val="005C32CA"/>
    <w:rsid w:val="005C3599"/>
    <w:rsid w:val="005C4F14"/>
    <w:rsid w:val="005C6839"/>
    <w:rsid w:val="005D186B"/>
    <w:rsid w:val="005D2632"/>
    <w:rsid w:val="005D345C"/>
    <w:rsid w:val="005D3878"/>
    <w:rsid w:val="005D431A"/>
    <w:rsid w:val="005D49F5"/>
    <w:rsid w:val="005E0FED"/>
    <w:rsid w:val="005E1349"/>
    <w:rsid w:val="005E3BD1"/>
    <w:rsid w:val="005E63D8"/>
    <w:rsid w:val="005E77F8"/>
    <w:rsid w:val="005E7A2C"/>
    <w:rsid w:val="005F01FF"/>
    <w:rsid w:val="005F04F3"/>
    <w:rsid w:val="005F0763"/>
    <w:rsid w:val="005F2B5F"/>
    <w:rsid w:val="005F33BD"/>
    <w:rsid w:val="005F5345"/>
    <w:rsid w:val="00600754"/>
    <w:rsid w:val="00601DA3"/>
    <w:rsid w:val="00601DC1"/>
    <w:rsid w:val="0060208F"/>
    <w:rsid w:val="006027C1"/>
    <w:rsid w:val="00602961"/>
    <w:rsid w:val="00604BA2"/>
    <w:rsid w:val="00604BEF"/>
    <w:rsid w:val="0060523A"/>
    <w:rsid w:val="00606AEC"/>
    <w:rsid w:val="00610206"/>
    <w:rsid w:val="006104F3"/>
    <w:rsid w:val="0061056C"/>
    <w:rsid w:val="00610DC6"/>
    <w:rsid w:val="00610F27"/>
    <w:rsid w:val="006111B4"/>
    <w:rsid w:val="0061147A"/>
    <w:rsid w:val="006139C7"/>
    <w:rsid w:val="006140DB"/>
    <w:rsid w:val="00621434"/>
    <w:rsid w:val="00621ECB"/>
    <w:rsid w:val="00622098"/>
    <w:rsid w:val="0062245C"/>
    <w:rsid w:val="0062396B"/>
    <w:rsid w:val="00626026"/>
    <w:rsid w:val="006268CB"/>
    <w:rsid w:val="0063248C"/>
    <w:rsid w:val="00632F45"/>
    <w:rsid w:val="006330DE"/>
    <w:rsid w:val="006349F4"/>
    <w:rsid w:val="00635AAE"/>
    <w:rsid w:val="00636F2A"/>
    <w:rsid w:val="00637900"/>
    <w:rsid w:val="00640303"/>
    <w:rsid w:val="00640318"/>
    <w:rsid w:val="00643A80"/>
    <w:rsid w:val="006457B6"/>
    <w:rsid w:val="00645B74"/>
    <w:rsid w:val="0064655E"/>
    <w:rsid w:val="00646B6B"/>
    <w:rsid w:val="0065068D"/>
    <w:rsid w:val="006508A6"/>
    <w:rsid w:val="00650914"/>
    <w:rsid w:val="00652275"/>
    <w:rsid w:val="00652CF4"/>
    <w:rsid w:val="0065462A"/>
    <w:rsid w:val="00654DC2"/>
    <w:rsid w:val="00657704"/>
    <w:rsid w:val="00657DBF"/>
    <w:rsid w:val="006624D2"/>
    <w:rsid w:val="00662CE5"/>
    <w:rsid w:val="00663B11"/>
    <w:rsid w:val="00663C51"/>
    <w:rsid w:val="00664DD7"/>
    <w:rsid w:val="00665832"/>
    <w:rsid w:val="0067005C"/>
    <w:rsid w:val="006708F4"/>
    <w:rsid w:val="00673024"/>
    <w:rsid w:val="00673AB4"/>
    <w:rsid w:val="0067408A"/>
    <w:rsid w:val="00674ECC"/>
    <w:rsid w:val="00675505"/>
    <w:rsid w:val="00675F63"/>
    <w:rsid w:val="0067777B"/>
    <w:rsid w:val="00680D68"/>
    <w:rsid w:val="006814B7"/>
    <w:rsid w:val="00682471"/>
    <w:rsid w:val="0068248D"/>
    <w:rsid w:val="00683FF8"/>
    <w:rsid w:val="0068659D"/>
    <w:rsid w:val="006870BB"/>
    <w:rsid w:val="00687C3E"/>
    <w:rsid w:val="006902A9"/>
    <w:rsid w:val="00691F19"/>
    <w:rsid w:val="0069257D"/>
    <w:rsid w:val="006935FE"/>
    <w:rsid w:val="00694259"/>
    <w:rsid w:val="006947F1"/>
    <w:rsid w:val="006953BB"/>
    <w:rsid w:val="00696DAC"/>
    <w:rsid w:val="0069747F"/>
    <w:rsid w:val="006974E7"/>
    <w:rsid w:val="0069762D"/>
    <w:rsid w:val="006977E0"/>
    <w:rsid w:val="006A0E86"/>
    <w:rsid w:val="006A1481"/>
    <w:rsid w:val="006A230A"/>
    <w:rsid w:val="006A2BB1"/>
    <w:rsid w:val="006A47B5"/>
    <w:rsid w:val="006A4993"/>
    <w:rsid w:val="006A63F8"/>
    <w:rsid w:val="006A6C99"/>
    <w:rsid w:val="006A7DDA"/>
    <w:rsid w:val="006B10F3"/>
    <w:rsid w:val="006B30EF"/>
    <w:rsid w:val="006B4356"/>
    <w:rsid w:val="006B4427"/>
    <w:rsid w:val="006B5691"/>
    <w:rsid w:val="006B6CD7"/>
    <w:rsid w:val="006B70E5"/>
    <w:rsid w:val="006C06DB"/>
    <w:rsid w:val="006C0DD3"/>
    <w:rsid w:val="006C1177"/>
    <w:rsid w:val="006C2F02"/>
    <w:rsid w:val="006C3607"/>
    <w:rsid w:val="006C47AE"/>
    <w:rsid w:val="006C4D50"/>
    <w:rsid w:val="006C5E87"/>
    <w:rsid w:val="006C7725"/>
    <w:rsid w:val="006D1A81"/>
    <w:rsid w:val="006D25CC"/>
    <w:rsid w:val="006E12A2"/>
    <w:rsid w:val="006E2946"/>
    <w:rsid w:val="006E488A"/>
    <w:rsid w:val="006E4D82"/>
    <w:rsid w:val="006E59E2"/>
    <w:rsid w:val="006E5AE1"/>
    <w:rsid w:val="006E5AF9"/>
    <w:rsid w:val="006F0C4D"/>
    <w:rsid w:val="006F108E"/>
    <w:rsid w:val="006F1FA7"/>
    <w:rsid w:val="006F4B9F"/>
    <w:rsid w:val="006F4F11"/>
    <w:rsid w:val="006F67BF"/>
    <w:rsid w:val="006F6FFB"/>
    <w:rsid w:val="006F7CA1"/>
    <w:rsid w:val="00700A0C"/>
    <w:rsid w:val="00700A22"/>
    <w:rsid w:val="00703341"/>
    <w:rsid w:val="0070389B"/>
    <w:rsid w:val="007054A3"/>
    <w:rsid w:val="00705B1D"/>
    <w:rsid w:val="0070661D"/>
    <w:rsid w:val="00707567"/>
    <w:rsid w:val="0070796E"/>
    <w:rsid w:val="0071336D"/>
    <w:rsid w:val="00713743"/>
    <w:rsid w:val="007139BE"/>
    <w:rsid w:val="0071682C"/>
    <w:rsid w:val="0071692C"/>
    <w:rsid w:val="00720395"/>
    <w:rsid w:val="0072143A"/>
    <w:rsid w:val="00721660"/>
    <w:rsid w:val="00723CF6"/>
    <w:rsid w:val="00724B42"/>
    <w:rsid w:val="00724DFD"/>
    <w:rsid w:val="00724F8C"/>
    <w:rsid w:val="007254A2"/>
    <w:rsid w:val="007262F6"/>
    <w:rsid w:val="00726396"/>
    <w:rsid w:val="00730EA4"/>
    <w:rsid w:val="00733131"/>
    <w:rsid w:val="00734A87"/>
    <w:rsid w:val="0073582D"/>
    <w:rsid w:val="00741204"/>
    <w:rsid w:val="0074273A"/>
    <w:rsid w:val="0074374C"/>
    <w:rsid w:val="007443CD"/>
    <w:rsid w:val="00744BCD"/>
    <w:rsid w:val="0074548B"/>
    <w:rsid w:val="00745DD9"/>
    <w:rsid w:val="00746BB3"/>
    <w:rsid w:val="00747599"/>
    <w:rsid w:val="007477AB"/>
    <w:rsid w:val="00747A6F"/>
    <w:rsid w:val="00751F56"/>
    <w:rsid w:val="00752112"/>
    <w:rsid w:val="00752D50"/>
    <w:rsid w:val="00753CA8"/>
    <w:rsid w:val="0075559C"/>
    <w:rsid w:val="00755813"/>
    <w:rsid w:val="00757245"/>
    <w:rsid w:val="007610C7"/>
    <w:rsid w:val="00761965"/>
    <w:rsid w:val="0076271E"/>
    <w:rsid w:val="00762F31"/>
    <w:rsid w:val="00763C5C"/>
    <w:rsid w:val="00764D22"/>
    <w:rsid w:val="00765F5E"/>
    <w:rsid w:val="00767B04"/>
    <w:rsid w:val="00770901"/>
    <w:rsid w:val="007711A9"/>
    <w:rsid w:val="00772171"/>
    <w:rsid w:val="00774228"/>
    <w:rsid w:val="00774636"/>
    <w:rsid w:val="00774818"/>
    <w:rsid w:val="00777A61"/>
    <w:rsid w:val="007803D2"/>
    <w:rsid w:val="007819C7"/>
    <w:rsid w:val="00782AF0"/>
    <w:rsid w:val="00783198"/>
    <w:rsid w:val="007842EB"/>
    <w:rsid w:val="00784400"/>
    <w:rsid w:val="0078575D"/>
    <w:rsid w:val="00785C58"/>
    <w:rsid w:val="00786A60"/>
    <w:rsid w:val="0078743C"/>
    <w:rsid w:val="00787B27"/>
    <w:rsid w:val="00790119"/>
    <w:rsid w:val="0079044D"/>
    <w:rsid w:val="00790636"/>
    <w:rsid w:val="00792167"/>
    <w:rsid w:val="0079293B"/>
    <w:rsid w:val="00795FE8"/>
    <w:rsid w:val="00796223"/>
    <w:rsid w:val="007969DE"/>
    <w:rsid w:val="007977DE"/>
    <w:rsid w:val="00797F88"/>
    <w:rsid w:val="007A180D"/>
    <w:rsid w:val="007A2509"/>
    <w:rsid w:val="007A2C12"/>
    <w:rsid w:val="007A2FC7"/>
    <w:rsid w:val="007A33C2"/>
    <w:rsid w:val="007A3CAC"/>
    <w:rsid w:val="007A40CE"/>
    <w:rsid w:val="007A4AFD"/>
    <w:rsid w:val="007A4C44"/>
    <w:rsid w:val="007B02CF"/>
    <w:rsid w:val="007B02D9"/>
    <w:rsid w:val="007B257F"/>
    <w:rsid w:val="007B2941"/>
    <w:rsid w:val="007B2FE9"/>
    <w:rsid w:val="007B333D"/>
    <w:rsid w:val="007B3E5D"/>
    <w:rsid w:val="007B6620"/>
    <w:rsid w:val="007C1562"/>
    <w:rsid w:val="007C346A"/>
    <w:rsid w:val="007C35A1"/>
    <w:rsid w:val="007C5E51"/>
    <w:rsid w:val="007C6683"/>
    <w:rsid w:val="007C7EB2"/>
    <w:rsid w:val="007D01DC"/>
    <w:rsid w:val="007D05A8"/>
    <w:rsid w:val="007D1011"/>
    <w:rsid w:val="007D1198"/>
    <w:rsid w:val="007D388F"/>
    <w:rsid w:val="007D5673"/>
    <w:rsid w:val="007D607E"/>
    <w:rsid w:val="007D762F"/>
    <w:rsid w:val="007E038D"/>
    <w:rsid w:val="007E048E"/>
    <w:rsid w:val="007E0ED4"/>
    <w:rsid w:val="007E284A"/>
    <w:rsid w:val="007E31E8"/>
    <w:rsid w:val="007E3213"/>
    <w:rsid w:val="007E4C46"/>
    <w:rsid w:val="007E5C61"/>
    <w:rsid w:val="007E5D6E"/>
    <w:rsid w:val="007E5D6F"/>
    <w:rsid w:val="007E6386"/>
    <w:rsid w:val="007E659D"/>
    <w:rsid w:val="007E68EA"/>
    <w:rsid w:val="007E70BC"/>
    <w:rsid w:val="007E7B49"/>
    <w:rsid w:val="007E7C1B"/>
    <w:rsid w:val="007F043A"/>
    <w:rsid w:val="007F056C"/>
    <w:rsid w:val="007F1E8E"/>
    <w:rsid w:val="007F2176"/>
    <w:rsid w:val="007F24F5"/>
    <w:rsid w:val="007F2C72"/>
    <w:rsid w:val="007F3EB2"/>
    <w:rsid w:val="007F4068"/>
    <w:rsid w:val="007F6052"/>
    <w:rsid w:val="007F6FCB"/>
    <w:rsid w:val="008000D3"/>
    <w:rsid w:val="00800A21"/>
    <w:rsid w:val="00802212"/>
    <w:rsid w:val="008044B0"/>
    <w:rsid w:val="00804E6E"/>
    <w:rsid w:val="00805AC2"/>
    <w:rsid w:val="00805E8E"/>
    <w:rsid w:val="00810705"/>
    <w:rsid w:val="00812C0D"/>
    <w:rsid w:val="00813A7A"/>
    <w:rsid w:val="0081566C"/>
    <w:rsid w:val="00816EAE"/>
    <w:rsid w:val="008170E3"/>
    <w:rsid w:val="008174E9"/>
    <w:rsid w:val="00820766"/>
    <w:rsid w:val="008220AD"/>
    <w:rsid w:val="00823954"/>
    <w:rsid w:val="008260B4"/>
    <w:rsid w:val="00827C93"/>
    <w:rsid w:val="00827E27"/>
    <w:rsid w:val="00831D46"/>
    <w:rsid w:val="008323AA"/>
    <w:rsid w:val="008346B1"/>
    <w:rsid w:val="00834B99"/>
    <w:rsid w:val="008350AE"/>
    <w:rsid w:val="00835AFE"/>
    <w:rsid w:val="00835BBA"/>
    <w:rsid w:val="00837817"/>
    <w:rsid w:val="008408DE"/>
    <w:rsid w:val="00840AF2"/>
    <w:rsid w:val="0084262F"/>
    <w:rsid w:val="00842A31"/>
    <w:rsid w:val="00843109"/>
    <w:rsid w:val="0084400E"/>
    <w:rsid w:val="008450C6"/>
    <w:rsid w:val="008451FA"/>
    <w:rsid w:val="00845E17"/>
    <w:rsid w:val="00845EA3"/>
    <w:rsid w:val="00845F67"/>
    <w:rsid w:val="00846838"/>
    <w:rsid w:val="0084770D"/>
    <w:rsid w:val="00851FB3"/>
    <w:rsid w:val="00852D0E"/>
    <w:rsid w:val="00853B49"/>
    <w:rsid w:val="00853D75"/>
    <w:rsid w:val="0085561F"/>
    <w:rsid w:val="00855ACF"/>
    <w:rsid w:val="008562C6"/>
    <w:rsid w:val="008567EA"/>
    <w:rsid w:val="00857258"/>
    <w:rsid w:val="00860D85"/>
    <w:rsid w:val="0086126E"/>
    <w:rsid w:val="00862905"/>
    <w:rsid w:val="008630AB"/>
    <w:rsid w:val="00865763"/>
    <w:rsid w:val="00866FC7"/>
    <w:rsid w:val="00870773"/>
    <w:rsid w:val="0087128E"/>
    <w:rsid w:val="0087386F"/>
    <w:rsid w:val="008746EB"/>
    <w:rsid w:val="00874C4D"/>
    <w:rsid w:val="00874DE8"/>
    <w:rsid w:val="0087658C"/>
    <w:rsid w:val="0087719C"/>
    <w:rsid w:val="008773BB"/>
    <w:rsid w:val="00877878"/>
    <w:rsid w:val="00877F5C"/>
    <w:rsid w:val="00883E59"/>
    <w:rsid w:val="00885517"/>
    <w:rsid w:val="00886B27"/>
    <w:rsid w:val="0089156D"/>
    <w:rsid w:val="008942BC"/>
    <w:rsid w:val="00894AC0"/>
    <w:rsid w:val="00896FDD"/>
    <w:rsid w:val="00897A90"/>
    <w:rsid w:val="008A0CC5"/>
    <w:rsid w:val="008A1626"/>
    <w:rsid w:val="008A2979"/>
    <w:rsid w:val="008A2A6C"/>
    <w:rsid w:val="008A2ED8"/>
    <w:rsid w:val="008A3F22"/>
    <w:rsid w:val="008A4A31"/>
    <w:rsid w:val="008A4A3B"/>
    <w:rsid w:val="008A5E57"/>
    <w:rsid w:val="008A63A0"/>
    <w:rsid w:val="008B10E0"/>
    <w:rsid w:val="008B1297"/>
    <w:rsid w:val="008B1529"/>
    <w:rsid w:val="008B2911"/>
    <w:rsid w:val="008B2AE6"/>
    <w:rsid w:val="008B684D"/>
    <w:rsid w:val="008C0D24"/>
    <w:rsid w:val="008C1552"/>
    <w:rsid w:val="008C1C92"/>
    <w:rsid w:val="008C1CE1"/>
    <w:rsid w:val="008C4F93"/>
    <w:rsid w:val="008C5B5E"/>
    <w:rsid w:val="008C6543"/>
    <w:rsid w:val="008D05F8"/>
    <w:rsid w:val="008D18B1"/>
    <w:rsid w:val="008D390B"/>
    <w:rsid w:val="008D3D16"/>
    <w:rsid w:val="008D4F8A"/>
    <w:rsid w:val="008D540A"/>
    <w:rsid w:val="008D54CB"/>
    <w:rsid w:val="008D59D0"/>
    <w:rsid w:val="008D6267"/>
    <w:rsid w:val="008D7D4F"/>
    <w:rsid w:val="008E022F"/>
    <w:rsid w:val="008E048C"/>
    <w:rsid w:val="008E0B3D"/>
    <w:rsid w:val="008E44E4"/>
    <w:rsid w:val="008E6011"/>
    <w:rsid w:val="008E630B"/>
    <w:rsid w:val="008E7B0E"/>
    <w:rsid w:val="008F2B85"/>
    <w:rsid w:val="008F47D2"/>
    <w:rsid w:val="008F5F1F"/>
    <w:rsid w:val="0090030D"/>
    <w:rsid w:val="00901B3C"/>
    <w:rsid w:val="00902E64"/>
    <w:rsid w:val="0090617F"/>
    <w:rsid w:val="00906645"/>
    <w:rsid w:val="009066D1"/>
    <w:rsid w:val="00906B78"/>
    <w:rsid w:val="00910318"/>
    <w:rsid w:val="0091149B"/>
    <w:rsid w:val="00911F11"/>
    <w:rsid w:val="0091320A"/>
    <w:rsid w:val="00915A1A"/>
    <w:rsid w:val="00920409"/>
    <w:rsid w:val="0092199D"/>
    <w:rsid w:val="0092243D"/>
    <w:rsid w:val="00922659"/>
    <w:rsid w:val="00922779"/>
    <w:rsid w:val="00922F6F"/>
    <w:rsid w:val="00924111"/>
    <w:rsid w:val="009243E9"/>
    <w:rsid w:val="009251E6"/>
    <w:rsid w:val="00925370"/>
    <w:rsid w:val="009274F8"/>
    <w:rsid w:val="0093138A"/>
    <w:rsid w:val="009329A4"/>
    <w:rsid w:val="00933BD0"/>
    <w:rsid w:val="009366A4"/>
    <w:rsid w:val="00936AF4"/>
    <w:rsid w:val="00936E04"/>
    <w:rsid w:val="00936ECD"/>
    <w:rsid w:val="00937BE3"/>
    <w:rsid w:val="009429E4"/>
    <w:rsid w:val="00943B02"/>
    <w:rsid w:val="00944652"/>
    <w:rsid w:val="0094529B"/>
    <w:rsid w:val="009457F1"/>
    <w:rsid w:val="00945959"/>
    <w:rsid w:val="00945B2A"/>
    <w:rsid w:val="00945FB2"/>
    <w:rsid w:val="00946984"/>
    <w:rsid w:val="009508DB"/>
    <w:rsid w:val="00951217"/>
    <w:rsid w:val="00951260"/>
    <w:rsid w:val="009520AC"/>
    <w:rsid w:val="009522FF"/>
    <w:rsid w:val="009524E9"/>
    <w:rsid w:val="009530CB"/>
    <w:rsid w:val="00955BE4"/>
    <w:rsid w:val="00956D8E"/>
    <w:rsid w:val="0095707D"/>
    <w:rsid w:val="00957EAA"/>
    <w:rsid w:val="0096016D"/>
    <w:rsid w:val="009602B8"/>
    <w:rsid w:val="00960AD1"/>
    <w:rsid w:val="00962EA6"/>
    <w:rsid w:val="009642B2"/>
    <w:rsid w:val="00964C93"/>
    <w:rsid w:val="00965B08"/>
    <w:rsid w:val="00966C82"/>
    <w:rsid w:val="00966FAC"/>
    <w:rsid w:val="00967838"/>
    <w:rsid w:val="00967B62"/>
    <w:rsid w:val="0097040A"/>
    <w:rsid w:val="009706E5"/>
    <w:rsid w:val="009707B9"/>
    <w:rsid w:val="009729D1"/>
    <w:rsid w:val="00976243"/>
    <w:rsid w:val="00980330"/>
    <w:rsid w:val="009808D0"/>
    <w:rsid w:val="00981A6C"/>
    <w:rsid w:val="00981D01"/>
    <w:rsid w:val="009831B2"/>
    <w:rsid w:val="0098378B"/>
    <w:rsid w:val="00983AFD"/>
    <w:rsid w:val="00983DBF"/>
    <w:rsid w:val="009858B6"/>
    <w:rsid w:val="00986C49"/>
    <w:rsid w:val="00986DC3"/>
    <w:rsid w:val="009879F5"/>
    <w:rsid w:val="009911BF"/>
    <w:rsid w:val="009911C4"/>
    <w:rsid w:val="00991DA0"/>
    <w:rsid w:val="00992CD0"/>
    <w:rsid w:val="00993518"/>
    <w:rsid w:val="00994A5B"/>
    <w:rsid w:val="0099579D"/>
    <w:rsid w:val="009965A4"/>
    <w:rsid w:val="009A0CEA"/>
    <w:rsid w:val="009A0D27"/>
    <w:rsid w:val="009A11FE"/>
    <w:rsid w:val="009A283B"/>
    <w:rsid w:val="009A39BE"/>
    <w:rsid w:val="009A3A67"/>
    <w:rsid w:val="009A465C"/>
    <w:rsid w:val="009A4A3F"/>
    <w:rsid w:val="009A79FE"/>
    <w:rsid w:val="009B09F0"/>
    <w:rsid w:val="009B162A"/>
    <w:rsid w:val="009B1EC1"/>
    <w:rsid w:val="009B268E"/>
    <w:rsid w:val="009B3E6D"/>
    <w:rsid w:val="009B4EFF"/>
    <w:rsid w:val="009B6615"/>
    <w:rsid w:val="009B7397"/>
    <w:rsid w:val="009B7DCE"/>
    <w:rsid w:val="009B7E38"/>
    <w:rsid w:val="009C048D"/>
    <w:rsid w:val="009C0866"/>
    <w:rsid w:val="009C0FEE"/>
    <w:rsid w:val="009C2C2B"/>
    <w:rsid w:val="009C4038"/>
    <w:rsid w:val="009C44B5"/>
    <w:rsid w:val="009C4568"/>
    <w:rsid w:val="009C510B"/>
    <w:rsid w:val="009C70D4"/>
    <w:rsid w:val="009C71FD"/>
    <w:rsid w:val="009C7A33"/>
    <w:rsid w:val="009C7AF5"/>
    <w:rsid w:val="009D08AB"/>
    <w:rsid w:val="009D16E2"/>
    <w:rsid w:val="009D4466"/>
    <w:rsid w:val="009D566A"/>
    <w:rsid w:val="009D5782"/>
    <w:rsid w:val="009D57F7"/>
    <w:rsid w:val="009D6501"/>
    <w:rsid w:val="009D6AE5"/>
    <w:rsid w:val="009D71F5"/>
    <w:rsid w:val="009D7BC1"/>
    <w:rsid w:val="009D7CE9"/>
    <w:rsid w:val="009E1F0D"/>
    <w:rsid w:val="009E1F41"/>
    <w:rsid w:val="009E531C"/>
    <w:rsid w:val="009E6246"/>
    <w:rsid w:val="009E729F"/>
    <w:rsid w:val="009F171C"/>
    <w:rsid w:val="009F19DE"/>
    <w:rsid w:val="009F2ABB"/>
    <w:rsid w:val="009F2F78"/>
    <w:rsid w:val="009F3E50"/>
    <w:rsid w:val="009F407E"/>
    <w:rsid w:val="009F45F5"/>
    <w:rsid w:val="009F4BB0"/>
    <w:rsid w:val="009F4C0C"/>
    <w:rsid w:val="009F6D57"/>
    <w:rsid w:val="009F70EC"/>
    <w:rsid w:val="009F7704"/>
    <w:rsid w:val="00A00B39"/>
    <w:rsid w:val="00A01493"/>
    <w:rsid w:val="00A0186F"/>
    <w:rsid w:val="00A02C32"/>
    <w:rsid w:val="00A02DF4"/>
    <w:rsid w:val="00A03422"/>
    <w:rsid w:val="00A03E8D"/>
    <w:rsid w:val="00A0408B"/>
    <w:rsid w:val="00A06E79"/>
    <w:rsid w:val="00A072B0"/>
    <w:rsid w:val="00A0738E"/>
    <w:rsid w:val="00A077E2"/>
    <w:rsid w:val="00A1079D"/>
    <w:rsid w:val="00A10AAC"/>
    <w:rsid w:val="00A10D83"/>
    <w:rsid w:val="00A1137C"/>
    <w:rsid w:val="00A1203A"/>
    <w:rsid w:val="00A12583"/>
    <w:rsid w:val="00A138C8"/>
    <w:rsid w:val="00A13BAE"/>
    <w:rsid w:val="00A1561E"/>
    <w:rsid w:val="00A16E14"/>
    <w:rsid w:val="00A173CB"/>
    <w:rsid w:val="00A17F17"/>
    <w:rsid w:val="00A20B0A"/>
    <w:rsid w:val="00A21BF1"/>
    <w:rsid w:val="00A22FD0"/>
    <w:rsid w:val="00A2324C"/>
    <w:rsid w:val="00A236BD"/>
    <w:rsid w:val="00A23947"/>
    <w:rsid w:val="00A246C9"/>
    <w:rsid w:val="00A25DDE"/>
    <w:rsid w:val="00A25F07"/>
    <w:rsid w:val="00A27622"/>
    <w:rsid w:val="00A278CF"/>
    <w:rsid w:val="00A30A34"/>
    <w:rsid w:val="00A3186C"/>
    <w:rsid w:val="00A327B5"/>
    <w:rsid w:val="00A33009"/>
    <w:rsid w:val="00A342BD"/>
    <w:rsid w:val="00A35FDB"/>
    <w:rsid w:val="00A36A6F"/>
    <w:rsid w:val="00A36FC0"/>
    <w:rsid w:val="00A378F7"/>
    <w:rsid w:val="00A4069D"/>
    <w:rsid w:val="00A41666"/>
    <w:rsid w:val="00A50EA5"/>
    <w:rsid w:val="00A50ECE"/>
    <w:rsid w:val="00A521DF"/>
    <w:rsid w:val="00A52938"/>
    <w:rsid w:val="00A52DAE"/>
    <w:rsid w:val="00A55FE5"/>
    <w:rsid w:val="00A5792B"/>
    <w:rsid w:val="00A57AA2"/>
    <w:rsid w:val="00A57C58"/>
    <w:rsid w:val="00A602AC"/>
    <w:rsid w:val="00A61736"/>
    <w:rsid w:val="00A62DFA"/>
    <w:rsid w:val="00A63274"/>
    <w:rsid w:val="00A63A41"/>
    <w:rsid w:val="00A64470"/>
    <w:rsid w:val="00A664EA"/>
    <w:rsid w:val="00A6701C"/>
    <w:rsid w:val="00A6745D"/>
    <w:rsid w:val="00A73699"/>
    <w:rsid w:val="00A737DB"/>
    <w:rsid w:val="00A7443A"/>
    <w:rsid w:val="00A74E46"/>
    <w:rsid w:val="00A75D05"/>
    <w:rsid w:val="00A76A03"/>
    <w:rsid w:val="00A7779E"/>
    <w:rsid w:val="00A802A3"/>
    <w:rsid w:val="00A817FD"/>
    <w:rsid w:val="00A825FF"/>
    <w:rsid w:val="00A828E0"/>
    <w:rsid w:val="00A847D7"/>
    <w:rsid w:val="00A86175"/>
    <w:rsid w:val="00A87133"/>
    <w:rsid w:val="00A87205"/>
    <w:rsid w:val="00A8750F"/>
    <w:rsid w:val="00A87603"/>
    <w:rsid w:val="00A9002A"/>
    <w:rsid w:val="00A91AD5"/>
    <w:rsid w:val="00A922B9"/>
    <w:rsid w:val="00A92834"/>
    <w:rsid w:val="00A92F88"/>
    <w:rsid w:val="00A9450D"/>
    <w:rsid w:val="00A95830"/>
    <w:rsid w:val="00A95B14"/>
    <w:rsid w:val="00A96283"/>
    <w:rsid w:val="00A96481"/>
    <w:rsid w:val="00A96540"/>
    <w:rsid w:val="00A9670A"/>
    <w:rsid w:val="00A972E1"/>
    <w:rsid w:val="00AA09A3"/>
    <w:rsid w:val="00AA213B"/>
    <w:rsid w:val="00AA2D14"/>
    <w:rsid w:val="00AA5590"/>
    <w:rsid w:val="00AB1333"/>
    <w:rsid w:val="00AB319E"/>
    <w:rsid w:val="00AB3E1D"/>
    <w:rsid w:val="00AB4690"/>
    <w:rsid w:val="00AB5A06"/>
    <w:rsid w:val="00AB61FF"/>
    <w:rsid w:val="00AB6545"/>
    <w:rsid w:val="00AB7340"/>
    <w:rsid w:val="00AB7B3B"/>
    <w:rsid w:val="00AC19F0"/>
    <w:rsid w:val="00AC1A29"/>
    <w:rsid w:val="00AC1FD0"/>
    <w:rsid w:val="00AC2137"/>
    <w:rsid w:val="00AC3A10"/>
    <w:rsid w:val="00AC3E30"/>
    <w:rsid w:val="00AC3F42"/>
    <w:rsid w:val="00AC406B"/>
    <w:rsid w:val="00AC40F6"/>
    <w:rsid w:val="00AC5754"/>
    <w:rsid w:val="00AC5B8C"/>
    <w:rsid w:val="00AC5CF9"/>
    <w:rsid w:val="00AC646A"/>
    <w:rsid w:val="00AC72EE"/>
    <w:rsid w:val="00AC7E1C"/>
    <w:rsid w:val="00AD05B9"/>
    <w:rsid w:val="00AD0CA1"/>
    <w:rsid w:val="00AD0F86"/>
    <w:rsid w:val="00AD1B7E"/>
    <w:rsid w:val="00AD4A5C"/>
    <w:rsid w:val="00AD7515"/>
    <w:rsid w:val="00AD75F4"/>
    <w:rsid w:val="00AE00D0"/>
    <w:rsid w:val="00AE1F17"/>
    <w:rsid w:val="00AE22AB"/>
    <w:rsid w:val="00AE29D6"/>
    <w:rsid w:val="00AE44FC"/>
    <w:rsid w:val="00AE50DB"/>
    <w:rsid w:val="00AE664C"/>
    <w:rsid w:val="00AE6A72"/>
    <w:rsid w:val="00AE7994"/>
    <w:rsid w:val="00AE7B8B"/>
    <w:rsid w:val="00AE7FDC"/>
    <w:rsid w:val="00AF0A7D"/>
    <w:rsid w:val="00AF2007"/>
    <w:rsid w:val="00AF2EEA"/>
    <w:rsid w:val="00AF2FAB"/>
    <w:rsid w:val="00AF3D11"/>
    <w:rsid w:val="00AF558C"/>
    <w:rsid w:val="00AF69D8"/>
    <w:rsid w:val="00AF6A58"/>
    <w:rsid w:val="00AF7523"/>
    <w:rsid w:val="00B0027E"/>
    <w:rsid w:val="00B00B6C"/>
    <w:rsid w:val="00B01B9D"/>
    <w:rsid w:val="00B02C59"/>
    <w:rsid w:val="00B037BC"/>
    <w:rsid w:val="00B05CC6"/>
    <w:rsid w:val="00B0610C"/>
    <w:rsid w:val="00B0654F"/>
    <w:rsid w:val="00B07858"/>
    <w:rsid w:val="00B10097"/>
    <w:rsid w:val="00B107A5"/>
    <w:rsid w:val="00B10CE6"/>
    <w:rsid w:val="00B10D6D"/>
    <w:rsid w:val="00B11162"/>
    <w:rsid w:val="00B12E9C"/>
    <w:rsid w:val="00B13ECF"/>
    <w:rsid w:val="00B14F34"/>
    <w:rsid w:val="00B159F7"/>
    <w:rsid w:val="00B167B2"/>
    <w:rsid w:val="00B2125A"/>
    <w:rsid w:val="00B21E2E"/>
    <w:rsid w:val="00B238D4"/>
    <w:rsid w:val="00B240AB"/>
    <w:rsid w:val="00B246CA"/>
    <w:rsid w:val="00B24C41"/>
    <w:rsid w:val="00B25968"/>
    <w:rsid w:val="00B26B72"/>
    <w:rsid w:val="00B27D7C"/>
    <w:rsid w:val="00B31E22"/>
    <w:rsid w:val="00B326A1"/>
    <w:rsid w:val="00B329F6"/>
    <w:rsid w:val="00B32B1C"/>
    <w:rsid w:val="00B34666"/>
    <w:rsid w:val="00B34926"/>
    <w:rsid w:val="00B3796C"/>
    <w:rsid w:val="00B379D2"/>
    <w:rsid w:val="00B37DCF"/>
    <w:rsid w:val="00B40A3C"/>
    <w:rsid w:val="00B40D63"/>
    <w:rsid w:val="00B42581"/>
    <w:rsid w:val="00B426B8"/>
    <w:rsid w:val="00B42F99"/>
    <w:rsid w:val="00B430C1"/>
    <w:rsid w:val="00B43B6A"/>
    <w:rsid w:val="00B44B1F"/>
    <w:rsid w:val="00B44D6B"/>
    <w:rsid w:val="00B45F80"/>
    <w:rsid w:val="00B463C3"/>
    <w:rsid w:val="00B47AC8"/>
    <w:rsid w:val="00B50C60"/>
    <w:rsid w:val="00B53286"/>
    <w:rsid w:val="00B54057"/>
    <w:rsid w:val="00B54394"/>
    <w:rsid w:val="00B54B9D"/>
    <w:rsid w:val="00B54C4B"/>
    <w:rsid w:val="00B54EF8"/>
    <w:rsid w:val="00B55C5B"/>
    <w:rsid w:val="00B61694"/>
    <w:rsid w:val="00B631C6"/>
    <w:rsid w:val="00B65585"/>
    <w:rsid w:val="00B658D2"/>
    <w:rsid w:val="00B66727"/>
    <w:rsid w:val="00B667B3"/>
    <w:rsid w:val="00B67AD0"/>
    <w:rsid w:val="00B705AF"/>
    <w:rsid w:val="00B7061E"/>
    <w:rsid w:val="00B71737"/>
    <w:rsid w:val="00B717EB"/>
    <w:rsid w:val="00B73DE0"/>
    <w:rsid w:val="00B74962"/>
    <w:rsid w:val="00B7652C"/>
    <w:rsid w:val="00B776F6"/>
    <w:rsid w:val="00B77E5A"/>
    <w:rsid w:val="00B81FDC"/>
    <w:rsid w:val="00B8299F"/>
    <w:rsid w:val="00B83D69"/>
    <w:rsid w:val="00B84633"/>
    <w:rsid w:val="00B85156"/>
    <w:rsid w:val="00B87BBD"/>
    <w:rsid w:val="00B903DB"/>
    <w:rsid w:val="00B906B8"/>
    <w:rsid w:val="00B92C59"/>
    <w:rsid w:val="00B93B24"/>
    <w:rsid w:val="00B94253"/>
    <w:rsid w:val="00B95A1B"/>
    <w:rsid w:val="00B96E27"/>
    <w:rsid w:val="00BA0168"/>
    <w:rsid w:val="00BA09B3"/>
    <w:rsid w:val="00BA09F7"/>
    <w:rsid w:val="00BA0A93"/>
    <w:rsid w:val="00BA2CC0"/>
    <w:rsid w:val="00BA2E9C"/>
    <w:rsid w:val="00BA31F7"/>
    <w:rsid w:val="00BA36D6"/>
    <w:rsid w:val="00BA3B94"/>
    <w:rsid w:val="00BA767F"/>
    <w:rsid w:val="00BB0C9F"/>
    <w:rsid w:val="00BB1C25"/>
    <w:rsid w:val="00BB1FA5"/>
    <w:rsid w:val="00BB3B44"/>
    <w:rsid w:val="00BB3EC0"/>
    <w:rsid w:val="00BB51D5"/>
    <w:rsid w:val="00BB580E"/>
    <w:rsid w:val="00BB66D1"/>
    <w:rsid w:val="00BB7BF4"/>
    <w:rsid w:val="00BC097C"/>
    <w:rsid w:val="00BC2029"/>
    <w:rsid w:val="00BC205F"/>
    <w:rsid w:val="00BC73F0"/>
    <w:rsid w:val="00BD05A1"/>
    <w:rsid w:val="00BD1648"/>
    <w:rsid w:val="00BD17F6"/>
    <w:rsid w:val="00BD1DD2"/>
    <w:rsid w:val="00BD30D2"/>
    <w:rsid w:val="00BD530E"/>
    <w:rsid w:val="00BD5CD7"/>
    <w:rsid w:val="00BD723A"/>
    <w:rsid w:val="00BE0AC2"/>
    <w:rsid w:val="00BE1193"/>
    <w:rsid w:val="00BE207F"/>
    <w:rsid w:val="00BE22FD"/>
    <w:rsid w:val="00BE3101"/>
    <w:rsid w:val="00BE6319"/>
    <w:rsid w:val="00BE738C"/>
    <w:rsid w:val="00BF0C57"/>
    <w:rsid w:val="00BF3E5A"/>
    <w:rsid w:val="00BF4429"/>
    <w:rsid w:val="00BF4459"/>
    <w:rsid w:val="00BF511C"/>
    <w:rsid w:val="00BF516A"/>
    <w:rsid w:val="00BF61C5"/>
    <w:rsid w:val="00BF64A6"/>
    <w:rsid w:val="00BF6770"/>
    <w:rsid w:val="00BF6EE0"/>
    <w:rsid w:val="00BF7BD6"/>
    <w:rsid w:val="00C0134E"/>
    <w:rsid w:val="00C01DC5"/>
    <w:rsid w:val="00C02F08"/>
    <w:rsid w:val="00C033E6"/>
    <w:rsid w:val="00C07C13"/>
    <w:rsid w:val="00C07D79"/>
    <w:rsid w:val="00C07DF4"/>
    <w:rsid w:val="00C11643"/>
    <w:rsid w:val="00C153A6"/>
    <w:rsid w:val="00C16042"/>
    <w:rsid w:val="00C17E5F"/>
    <w:rsid w:val="00C24D68"/>
    <w:rsid w:val="00C2593F"/>
    <w:rsid w:val="00C25EB1"/>
    <w:rsid w:val="00C267FB"/>
    <w:rsid w:val="00C30345"/>
    <w:rsid w:val="00C31EF5"/>
    <w:rsid w:val="00C32600"/>
    <w:rsid w:val="00C331F8"/>
    <w:rsid w:val="00C33638"/>
    <w:rsid w:val="00C3385B"/>
    <w:rsid w:val="00C33B49"/>
    <w:rsid w:val="00C33C2F"/>
    <w:rsid w:val="00C34A7C"/>
    <w:rsid w:val="00C35605"/>
    <w:rsid w:val="00C35673"/>
    <w:rsid w:val="00C402EB"/>
    <w:rsid w:val="00C4150B"/>
    <w:rsid w:val="00C415E5"/>
    <w:rsid w:val="00C437F5"/>
    <w:rsid w:val="00C439A5"/>
    <w:rsid w:val="00C4592D"/>
    <w:rsid w:val="00C462C7"/>
    <w:rsid w:val="00C46385"/>
    <w:rsid w:val="00C4776D"/>
    <w:rsid w:val="00C477B5"/>
    <w:rsid w:val="00C50BCA"/>
    <w:rsid w:val="00C5132B"/>
    <w:rsid w:val="00C5166E"/>
    <w:rsid w:val="00C52721"/>
    <w:rsid w:val="00C52C33"/>
    <w:rsid w:val="00C5423D"/>
    <w:rsid w:val="00C55257"/>
    <w:rsid w:val="00C5660C"/>
    <w:rsid w:val="00C566BE"/>
    <w:rsid w:val="00C56FAD"/>
    <w:rsid w:val="00C57329"/>
    <w:rsid w:val="00C5795F"/>
    <w:rsid w:val="00C57E77"/>
    <w:rsid w:val="00C60B80"/>
    <w:rsid w:val="00C6114A"/>
    <w:rsid w:val="00C617E8"/>
    <w:rsid w:val="00C62F6D"/>
    <w:rsid w:val="00C6404C"/>
    <w:rsid w:val="00C641FF"/>
    <w:rsid w:val="00C6431F"/>
    <w:rsid w:val="00C64E20"/>
    <w:rsid w:val="00C71572"/>
    <w:rsid w:val="00C71F60"/>
    <w:rsid w:val="00C7267D"/>
    <w:rsid w:val="00C739A2"/>
    <w:rsid w:val="00C74B1F"/>
    <w:rsid w:val="00C75D05"/>
    <w:rsid w:val="00C77DF3"/>
    <w:rsid w:val="00C8010F"/>
    <w:rsid w:val="00C80A3F"/>
    <w:rsid w:val="00C80E9E"/>
    <w:rsid w:val="00C82D17"/>
    <w:rsid w:val="00C846F6"/>
    <w:rsid w:val="00C855BE"/>
    <w:rsid w:val="00C8621A"/>
    <w:rsid w:val="00C86AA7"/>
    <w:rsid w:val="00C8746A"/>
    <w:rsid w:val="00C878BC"/>
    <w:rsid w:val="00C90F79"/>
    <w:rsid w:val="00C9224F"/>
    <w:rsid w:val="00C95C02"/>
    <w:rsid w:val="00C9632F"/>
    <w:rsid w:val="00CA0608"/>
    <w:rsid w:val="00CA14D7"/>
    <w:rsid w:val="00CA1766"/>
    <w:rsid w:val="00CA2948"/>
    <w:rsid w:val="00CA2CAB"/>
    <w:rsid w:val="00CA3F78"/>
    <w:rsid w:val="00CA4FB4"/>
    <w:rsid w:val="00CA529E"/>
    <w:rsid w:val="00CA5E1B"/>
    <w:rsid w:val="00CA609C"/>
    <w:rsid w:val="00CA672D"/>
    <w:rsid w:val="00CA7BFC"/>
    <w:rsid w:val="00CB190D"/>
    <w:rsid w:val="00CB1E68"/>
    <w:rsid w:val="00CB3F80"/>
    <w:rsid w:val="00CB47DB"/>
    <w:rsid w:val="00CB4F5F"/>
    <w:rsid w:val="00CB5923"/>
    <w:rsid w:val="00CB76A7"/>
    <w:rsid w:val="00CB7DBC"/>
    <w:rsid w:val="00CC1DE2"/>
    <w:rsid w:val="00CC4E76"/>
    <w:rsid w:val="00CC5513"/>
    <w:rsid w:val="00CC642E"/>
    <w:rsid w:val="00CD024F"/>
    <w:rsid w:val="00CD030B"/>
    <w:rsid w:val="00CD0952"/>
    <w:rsid w:val="00CD1BFE"/>
    <w:rsid w:val="00CD2EF4"/>
    <w:rsid w:val="00CD3494"/>
    <w:rsid w:val="00CD40CC"/>
    <w:rsid w:val="00CD6127"/>
    <w:rsid w:val="00CD6543"/>
    <w:rsid w:val="00CD7A5A"/>
    <w:rsid w:val="00CE0630"/>
    <w:rsid w:val="00CE07DE"/>
    <w:rsid w:val="00CE2EA3"/>
    <w:rsid w:val="00CE2EC5"/>
    <w:rsid w:val="00CF063E"/>
    <w:rsid w:val="00CF2672"/>
    <w:rsid w:val="00CF33AE"/>
    <w:rsid w:val="00CF4368"/>
    <w:rsid w:val="00CF4D2B"/>
    <w:rsid w:val="00CF5018"/>
    <w:rsid w:val="00CF6B42"/>
    <w:rsid w:val="00CF6D6E"/>
    <w:rsid w:val="00CF7235"/>
    <w:rsid w:val="00D0404E"/>
    <w:rsid w:val="00D05B25"/>
    <w:rsid w:val="00D07B1D"/>
    <w:rsid w:val="00D11169"/>
    <w:rsid w:val="00D11625"/>
    <w:rsid w:val="00D11826"/>
    <w:rsid w:val="00D1395D"/>
    <w:rsid w:val="00D13F31"/>
    <w:rsid w:val="00D13F65"/>
    <w:rsid w:val="00D143E5"/>
    <w:rsid w:val="00D15596"/>
    <w:rsid w:val="00D164A7"/>
    <w:rsid w:val="00D17320"/>
    <w:rsid w:val="00D208E2"/>
    <w:rsid w:val="00D217F3"/>
    <w:rsid w:val="00D21F03"/>
    <w:rsid w:val="00D21F0D"/>
    <w:rsid w:val="00D2273C"/>
    <w:rsid w:val="00D22992"/>
    <w:rsid w:val="00D2402D"/>
    <w:rsid w:val="00D24827"/>
    <w:rsid w:val="00D25403"/>
    <w:rsid w:val="00D263AD"/>
    <w:rsid w:val="00D2665B"/>
    <w:rsid w:val="00D30428"/>
    <w:rsid w:val="00D321F5"/>
    <w:rsid w:val="00D3221D"/>
    <w:rsid w:val="00D32E93"/>
    <w:rsid w:val="00D348F4"/>
    <w:rsid w:val="00D417C0"/>
    <w:rsid w:val="00D42CC1"/>
    <w:rsid w:val="00D4322E"/>
    <w:rsid w:val="00D44AB2"/>
    <w:rsid w:val="00D452CE"/>
    <w:rsid w:val="00D4533C"/>
    <w:rsid w:val="00D45961"/>
    <w:rsid w:val="00D46316"/>
    <w:rsid w:val="00D5066E"/>
    <w:rsid w:val="00D50772"/>
    <w:rsid w:val="00D51DA7"/>
    <w:rsid w:val="00D52400"/>
    <w:rsid w:val="00D52482"/>
    <w:rsid w:val="00D562F3"/>
    <w:rsid w:val="00D5717C"/>
    <w:rsid w:val="00D57280"/>
    <w:rsid w:val="00D57A20"/>
    <w:rsid w:val="00D63A60"/>
    <w:rsid w:val="00D63C58"/>
    <w:rsid w:val="00D655F4"/>
    <w:rsid w:val="00D66681"/>
    <w:rsid w:val="00D66D4C"/>
    <w:rsid w:val="00D67B68"/>
    <w:rsid w:val="00D67E9E"/>
    <w:rsid w:val="00D70097"/>
    <w:rsid w:val="00D71219"/>
    <w:rsid w:val="00D71A16"/>
    <w:rsid w:val="00D71F90"/>
    <w:rsid w:val="00D72971"/>
    <w:rsid w:val="00D74625"/>
    <w:rsid w:val="00D74F60"/>
    <w:rsid w:val="00D7671E"/>
    <w:rsid w:val="00D7707E"/>
    <w:rsid w:val="00D80DD6"/>
    <w:rsid w:val="00D8117B"/>
    <w:rsid w:val="00D8285F"/>
    <w:rsid w:val="00D82BE0"/>
    <w:rsid w:val="00D84CAB"/>
    <w:rsid w:val="00D86559"/>
    <w:rsid w:val="00D8676D"/>
    <w:rsid w:val="00D868DE"/>
    <w:rsid w:val="00D86F29"/>
    <w:rsid w:val="00D922C5"/>
    <w:rsid w:val="00D93A4E"/>
    <w:rsid w:val="00D93BDE"/>
    <w:rsid w:val="00D94C59"/>
    <w:rsid w:val="00D95897"/>
    <w:rsid w:val="00D95912"/>
    <w:rsid w:val="00D9617A"/>
    <w:rsid w:val="00D96913"/>
    <w:rsid w:val="00DA0510"/>
    <w:rsid w:val="00DA09F8"/>
    <w:rsid w:val="00DA4971"/>
    <w:rsid w:val="00DA60B7"/>
    <w:rsid w:val="00DB15CF"/>
    <w:rsid w:val="00DB2A6E"/>
    <w:rsid w:val="00DB3A2B"/>
    <w:rsid w:val="00DB3F5D"/>
    <w:rsid w:val="00DB4701"/>
    <w:rsid w:val="00DB700A"/>
    <w:rsid w:val="00DB750F"/>
    <w:rsid w:val="00DC444E"/>
    <w:rsid w:val="00DC4817"/>
    <w:rsid w:val="00DC500C"/>
    <w:rsid w:val="00DC522E"/>
    <w:rsid w:val="00DC71E6"/>
    <w:rsid w:val="00DC739F"/>
    <w:rsid w:val="00DD1A01"/>
    <w:rsid w:val="00DD32E9"/>
    <w:rsid w:val="00DD3978"/>
    <w:rsid w:val="00DD4A5A"/>
    <w:rsid w:val="00DD4DC2"/>
    <w:rsid w:val="00DD5723"/>
    <w:rsid w:val="00DD5DAA"/>
    <w:rsid w:val="00DD7198"/>
    <w:rsid w:val="00DE1721"/>
    <w:rsid w:val="00DE1B7A"/>
    <w:rsid w:val="00DE2F83"/>
    <w:rsid w:val="00DE3C97"/>
    <w:rsid w:val="00DE3EA2"/>
    <w:rsid w:val="00DE51B7"/>
    <w:rsid w:val="00DE5B99"/>
    <w:rsid w:val="00DE68D8"/>
    <w:rsid w:val="00DE68E2"/>
    <w:rsid w:val="00DE6AF6"/>
    <w:rsid w:val="00DE79AB"/>
    <w:rsid w:val="00DE7B26"/>
    <w:rsid w:val="00DF093C"/>
    <w:rsid w:val="00DF1800"/>
    <w:rsid w:val="00DF1A05"/>
    <w:rsid w:val="00DF22D0"/>
    <w:rsid w:val="00DF27CC"/>
    <w:rsid w:val="00DF30AC"/>
    <w:rsid w:val="00DF46E2"/>
    <w:rsid w:val="00DF523C"/>
    <w:rsid w:val="00DF5DE9"/>
    <w:rsid w:val="00DF7B03"/>
    <w:rsid w:val="00DF7B16"/>
    <w:rsid w:val="00E0157C"/>
    <w:rsid w:val="00E01D56"/>
    <w:rsid w:val="00E04088"/>
    <w:rsid w:val="00E054AA"/>
    <w:rsid w:val="00E06350"/>
    <w:rsid w:val="00E06C8E"/>
    <w:rsid w:val="00E07118"/>
    <w:rsid w:val="00E071FB"/>
    <w:rsid w:val="00E10CD6"/>
    <w:rsid w:val="00E11495"/>
    <w:rsid w:val="00E11676"/>
    <w:rsid w:val="00E1230D"/>
    <w:rsid w:val="00E124BE"/>
    <w:rsid w:val="00E12727"/>
    <w:rsid w:val="00E13887"/>
    <w:rsid w:val="00E14F39"/>
    <w:rsid w:val="00E154E5"/>
    <w:rsid w:val="00E17DF7"/>
    <w:rsid w:val="00E201A4"/>
    <w:rsid w:val="00E20FA2"/>
    <w:rsid w:val="00E21D84"/>
    <w:rsid w:val="00E22DDB"/>
    <w:rsid w:val="00E23CBC"/>
    <w:rsid w:val="00E254BB"/>
    <w:rsid w:val="00E26241"/>
    <w:rsid w:val="00E26694"/>
    <w:rsid w:val="00E26A17"/>
    <w:rsid w:val="00E279E0"/>
    <w:rsid w:val="00E27FFD"/>
    <w:rsid w:val="00E34678"/>
    <w:rsid w:val="00E3508E"/>
    <w:rsid w:val="00E36418"/>
    <w:rsid w:val="00E36887"/>
    <w:rsid w:val="00E37748"/>
    <w:rsid w:val="00E404FF"/>
    <w:rsid w:val="00E41CAE"/>
    <w:rsid w:val="00E42FBA"/>
    <w:rsid w:val="00E43399"/>
    <w:rsid w:val="00E454B7"/>
    <w:rsid w:val="00E46A6C"/>
    <w:rsid w:val="00E46B80"/>
    <w:rsid w:val="00E4781B"/>
    <w:rsid w:val="00E4782E"/>
    <w:rsid w:val="00E51F5C"/>
    <w:rsid w:val="00E56447"/>
    <w:rsid w:val="00E6010E"/>
    <w:rsid w:val="00E609A8"/>
    <w:rsid w:val="00E60FFE"/>
    <w:rsid w:val="00E63D51"/>
    <w:rsid w:val="00E63E01"/>
    <w:rsid w:val="00E64489"/>
    <w:rsid w:val="00E64A9F"/>
    <w:rsid w:val="00E64C83"/>
    <w:rsid w:val="00E65CD3"/>
    <w:rsid w:val="00E678E9"/>
    <w:rsid w:val="00E67D50"/>
    <w:rsid w:val="00E7015B"/>
    <w:rsid w:val="00E734C8"/>
    <w:rsid w:val="00E74AF0"/>
    <w:rsid w:val="00E74B24"/>
    <w:rsid w:val="00E81126"/>
    <w:rsid w:val="00E81F8B"/>
    <w:rsid w:val="00E820DB"/>
    <w:rsid w:val="00E82DDA"/>
    <w:rsid w:val="00E83B09"/>
    <w:rsid w:val="00E843E5"/>
    <w:rsid w:val="00E86EBF"/>
    <w:rsid w:val="00E87229"/>
    <w:rsid w:val="00E9074B"/>
    <w:rsid w:val="00E90BF2"/>
    <w:rsid w:val="00E91AAA"/>
    <w:rsid w:val="00E91C47"/>
    <w:rsid w:val="00E91E66"/>
    <w:rsid w:val="00E92BB4"/>
    <w:rsid w:val="00E97540"/>
    <w:rsid w:val="00EA03A2"/>
    <w:rsid w:val="00EA043C"/>
    <w:rsid w:val="00EA0618"/>
    <w:rsid w:val="00EA0A37"/>
    <w:rsid w:val="00EA17D4"/>
    <w:rsid w:val="00EA3432"/>
    <w:rsid w:val="00EA362D"/>
    <w:rsid w:val="00EA38E0"/>
    <w:rsid w:val="00EA4B33"/>
    <w:rsid w:val="00EA647A"/>
    <w:rsid w:val="00EA6926"/>
    <w:rsid w:val="00EA7317"/>
    <w:rsid w:val="00EA771B"/>
    <w:rsid w:val="00EB0998"/>
    <w:rsid w:val="00EB24F3"/>
    <w:rsid w:val="00EB3123"/>
    <w:rsid w:val="00EB4830"/>
    <w:rsid w:val="00EB52EE"/>
    <w:rsid w:val="00EB6981"/>
    <w:rsid w:val="00EB6EEE"/>
    <w:rsid w:val="00EB7C93"/>
    <w:rsid w:val="00EC13CF"/>
    <w:rsid w:val="00EC1EAE"/>
    <w:rsid w:val="00EC2341"/>
    <w:rsid w:val="00EC2FAB"/>
    <w:rsid w:val="00EC3C7A"/>
    <w:rsid w:val="00EC3D6F"/>
    <w:rsid w:val="00EC4B27"/>
    <w:rsid w:val="00EC4D50"/>
    <w:rsid w:val="00EC5267"/>
    <w:rsid w:val="00EC5B23"/>
    <w:rsid w:val="00EC5DBD"/>
    <w:rsid w:val="00EC6A79"/>
    <w:rsid w:val="00EC7901"/>
    <w:rsid w:val="00ED25C9"/>
    <w:rsid w:val="00ED2EBC"/>
    <w:rsid w:val="00ED2EFB"/>
    <w:rsid w:val="00ED3D13"/>
    <w:rsid w:val="00ED4D5F"/>
    <w:rsid w:val="00ED507C"/>
    <w:rsid w:val="00ED5579"/>
    <w:rsid w:val="00EE04FF"/>
    <w:rsid w:val="00EE07C3"/>
    <w:rsid w:val="00EE4BE9"/>
    <w:rsid w:val="00EE5F05"/>
    <w:rsid w:val="00EE6116"/>
    <w:rsid w:val="00EF1901"/>
    <w:rsid w:val="00EF21D6"/>
    <w:rsid w:val="00EF259E"/>
    <w:rsid w:val="00EF27FD"/>
    <w:rsid w:val="00EF2D5A"/>
    <w:rsid w:val="00EF404D"/>
    <w:rsid w:val="00EF5D73"/>
    <w:rsid w:val="00EF5D76"/>
    <w:rsid w:val="00EF7D5A"/>
    <w:rsid w:val="00F00E8E"/>
    <w:rsid w:val="00F01E30"/>
    <w:rsid w:val="00F02278"/>
    <w:rsid w:val="00F041FB"/>
    <w:rsid w:val="00F054F0"/>
    <w:rsid w:val="00F06C3E"/>
    <w:rsid w:val="00F0717B"/>
    <w:rsid w:val="00F07623"/>
    <w:rsid w:val="00F07947"/>
    <w:rsid w:val="00F11655"/>
    <w:rsid w:val="00F11899"/>
    <w:rsid w:val="00F13631"/>
    <w:rsid w:val="00F16AEF"/>
    <w:rsid w:val="00F21F58"/>
    <w:rsid w:val="00F22BA0"/>
    <w:rsid w:val="00F24EF3"/>
    <w:rsid w:val="00F252F0"/>
    <w:rsid w:val="00F26BE8"/>
    <w:rsid w:val="00F27E8A"/>
    <w:rsid w:val="00F302DD"/>
    <w:rsid w:val="00F30D1E"/>
    <w:rsid w:val="00F338C9"/>
    <w:rsid w:val="00F348D3"/>
    <w:rsid w:val="00F40371"/>
    <w:rsid w:val="00F41A17"/>
    <w:rsid w:val="00F4272D"/>
    <w:rsid w:val="00F4317E"/>
    <w:rsid w:val="00F4327D"/>
    <w:rsid w:val="00F44883"/>
    <w:rsid w:val="00F44FF3"/>
    <w:rsid w:val="00F50152"/>
    <w:rsid w:val="00F50CA0"/>
    <w:rsid w:val="00F50F77"/>
    <w:rsid w:val="00F51D40"/>
    <w:rsid w:val="00F545C3"/>
    <w:rsid w:val="00F555E1"/>
    <w:rsid w:val="00F5639D"/>
    <w:rsid w:val="00F564F4"/>
    <w:rsid w:val="00F5690E"/>
    <w:rsid w:val="00F57E49"/>
    <w:rsid w:val="00F60A8A"/>
    <w:rsid w:val="00F64AD2"/>
    <w:rsid w:val="00F64F32"/>
    <w:rsid w:val="00F67B5E"/>
    <w:rsid w:val="00F704A8"/>
    <w:rsid w:val="00F7484F"/>
    <w:rsid w:val="00F74E2A"/>
    <w:rsid w:val="00F7512F"/>
    <w:rsid w:val="00F777C1"/>
    <w:rsid w:val="00F77976"/>
    <w:rsid w:val="00F77A2B"/>
    <w:rsid w:val="00F800D8"/>
    <w:rsid w:val="00F815D6"/>
    <w:rsid w:val="00F81F25"/>
    <w:rsid w:val="00F82A6F"/>
    <w:rsid w:val="00F83DF3"/>
    <w:rsid w:val="00F8485C"/>
    <w:rsid w:val="00F9092E"/>
    <w:rsid w:val="00F91EF5"/>
    <w:rsid w:val="00F93699"/>
    <w:rsid w:val="00F93FB9"/>
    <w:rsid w:val="00F95AF5"/>
    <w:rsid w:val="00F96307"/>
    <w:rsid w:val="00F97047"/>
    <w:rsid w:val="00FA03EB"/>
    <w:rsid w:val="00FA1FD5"/>
    <w:rsid w:val="00FA23F8"/>
    <w:rsid w:val="00FA241C"/>
    <w:rsid w:val="00FA3869"/>
    <w:rsid w:val="00FA39D9"/>
    <w:rsid w:val="00FA41CB"/>
    <w:rsid w:val="00FA45B6"/>
    <w:rsid w:val="00FA4EDB"/>
    <w:rsid w:val="00FA520C"/>
    <w:rsid w:val="00FA6D77"/>
    <w:rsid w:val="00FA7841"/>
    <w:rsid w:val="00FA7F25"/>
    <w:rsid w:val="00FB13E2"/>
    <w:rsid w:val="00FB3916"/>
    <w:rsid w:val="00FB4562"/>
    <w:rsid w:val="00FB4750"/>
    <w:rsid w:val="00FB4C9C"/>
    <w:rsid w:val="00FB4D9D"/>
    <w:rsid w:val="00FB4D9E"/>
    <w:rsid w:val="00FB56F6"/>
    <w:rsid w:val="00FB5FC6"/>
    <w:rsid w:val="00FB61DD"/>
    <w:rsid w:val="00FB6DA6"/>
    <w:rsid w:val="00FB70A9"/>
    <w:rsid w:val="00FC06F0"/>
    <w:rsid w:val="00FC0AC6"/>
    <w:rsid w:val="00FC33A4"/>
    <w:rsid w:val="00FC66E2"/>
    <w:rsid w:val="00FC6C8B"/>
    <w:rsid w:val="00FC7A62"/>
    <w:rsid w:val="00FD1C40"/>
    <w:rsid w:val="00FD2E69"/>
    <w:rsid w:val="00FD32B0"/>
    <w:rsid w:val="00FD36C1"/>
    <w:rsid w:val="00FD3826"/>
    <w:rsid w:val="00FD3A81"/>
    <w:rsid w:val="00FD3F1E"/>
    <w:rsid w:val="00FD4953"/>
    <w:rsid w:val="00FD4DB8"/>
    <w:rsid w:val="00FD4E18"/>
    <w:rsid w:val="00FD6538"/>
    <w:rsid w:val="00FD69C1"/>
    <w:rsid w:val="00FD6AEC"/>
    <w:rsid w:val="00FD6BF1"/>
    <w:rsid w:val="00FD723B"/>
    <w:rsid w:val="00FE05D7"/>
    <w:rsid w:val="00FE2AE9"/>
    <w:rsid w:val="00FE2D34"/>
    <w:rsid w:val="00FE4930"/>
    <w:rsid w:val="00FE68F1"/>
    <w:rsid w:val="00FF16AC"/>
    <w:rsid w:val="00FF1C87"/>
    <w:rsid w:val="00FF3B04"/>
    <w:rsid w:val="00FF3B90"/>
    <w:rsid w:val="00FF498E"/>
    <w:rsid w:val="00FF5B12"/>
    <w:rsid w:val="00FF670B"/>
    <w:rsid w:val="00FF6BF0"/>
    <w:rsid w:val="00FF6C15"/>
    <w:rsid w:val="00FF7E98"/>
    <w:rsid w:val="08201B61"/>
    <w:rsid w:val="135A7CD6"/>
    <w:rsid w:val="1E86FC78"/>
    <w:rsid w:val="37D0D394"/>
    <w:rsid w:val="5414F38D"/>
    <w:rsid w:val="5B69EEF3"/>
    <w:rsid w:val="661462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3A4D6"/>
  <w15:docId w15:val="{40384EB6-C110-4910-9B17-B9BA00AB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1B"/>
    <w:rPr>
      <w:rFonts w:ascii="Times New Roman" w:eastAsia="Times New Roman" w:hAnsi="Times New Roman" w:cs="Times New Roman"/>
      <w:lang w:eastAsia="en-GB"/>
    </w:rPr>
  </w:style>
  <w:style w:type="paragraph" w:styleId="Heading1">
    <w:name w:val="heading 1"/>
    <w:basedOn w:val="Normal"/>
    <w:link w:val="Heading1Char"/>
    <w:uiPriority w:val="9"/>
    <w:qFormat/>
    <w:rsid w:val="00897A90"/>
    <w:pPr>
      <w:spacing w:before="100" w:beforeAutospacing="1" w:after="100" w:afterAutospacing="1"/>
      <w:outlineLvl w:val="0"/>
    </w:pPr>
    <w:rPr>
      <w:rFonts w:ascii="Times" w:eastAsiaTheme="minorHAnsi"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D"/>
    <w:rPr>
      <w:b/>
      <w:bCs/>
    </w:rPr>
  </w:style>
  <w:style w:type="paragraph" w:styleId="NormalWeb">
    <w:name w:val="Normal (Web)"/>
    <w:basedOn w:val="Normal"/>
    <w:uiPriority w:val="99"/>
    <w:unhideWhenUsed/>
    <w:rsid w:val="00E1230D"/>
    <w:pPr>
      <w:spacing w:before="100" w:beforeAutospacing="1" w:after="100" w:afterAutospacing="1"/>
    </w:pPr>
  </w:style>
  <w:style w:type="character" w:styleId="Emphasis">
    <w:name w:val="Emphasis"/>
    <w:basedOn w:val="DefaultParagraphFont"/>
    <w:uiPriority w:val="20"/>
    <w:qFormat/>
    <w:rsid w:val="00E1230D"/>
    <w:rPr>
      <w:i/>
      <w:iCs/>
    </w:rPr>
  </w:style>
  <w:style w:type="paragraph" w:styleId="ListParagraph">
    <w:name w:val="List Paragraph"/>
    <w:basedOn w:val="Normal"/>
    <w:uiPriority w:val="34"/>
    <w:qFormat/>
    <w:rsid w:val="00E1230D"/>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E1230D"/>
    <w:rPr>
      <w:color w:val="0000FF"/>
      <w:u w:val="single"/>
    </w:rPr>
  </w:style>
  <w:style w:type="table" w:customStyle="1" w:styleId="PlainTable21">
    <w:name w:val="Plain Table 21"/>
    <w:basedOn w:val="TableNormal"/>
    <w:uiPriority w:val="42"/>
    <w:rsid w:val="000C7C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0C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92CD0"/>
    <w:pPr>
      <w:spacing w:before="100" w:beforeAutospacing="1" w:after="100" w:afterAutospacing="1"/>
    </w:pPr>
  </w:style>
  <w:style w:type="character" w:customStyle="1" w:styleId="normaltextrun">
    <w:name w:val="normaltextrun"/>
    <w:basedOn w:val="DefaultParagraphFont"/>
    <w:rsid w:val="00992CD0"/>
  </w:style>
  <w:style w:type="character" w:customStyle="1" w:styleId="eop">
    <w:name w:val="eop"/>
    <w:basedOn w:val="DefaultParagraphFont"/>
    <w:rsid w:val="00992CD0"/>
  </w:style>
  <w:style w:type="paragraph" w:customStyle="1" w:styleId="c-article-referencestext">
    <w:name w:val="c-article-references__text"/>
    <w:basedOn w:val="Normal"/>
    <w:rsid w:val="00A36A6F"/>
    <w:pPr>
      <w:spacing w:before="100" w:beforeAutospacing="1" w:after="100" w:afterAutospacing="1"/>
    </w:pPr>
  </w:style>
  <w:style w:type="character" w:customStyle="1" w:styleId="apple-converted-space">
    <w:name w:val="apple-converted-space"/>
    <w:basedOn w:val="DefaultParagraphFont"/>
    <w:rsid w:val="00A36A6F"/>
  </w:style>
  <w:style w:type="paragraph" w:customStyle="1" w:styleId="c-article-referenceslinks">
    <w:name w:val="c-article-references__links"/>
    <w:basedOn w:val="Normal"/>
    <w:rsid w:val="00A36A6F"/>
    <w:pPr>
      <w:spacing w:before="100" w:beforeAutospacing="1" w:after="100" w:afterAutospacing="1"/>
    </w:pPr>
  </w:style>
  <w:style w:type="paragraph" w:styleId="BalloonText">
    <w:name w:val="Balloon Text"/>
    <w:basedOn w:val="Normal"/>
    <w:link w:val="BalloonTextChar"/>
    <w:uiPriority w:val="99"/>
    <w:semiHidden/>
    <w:unhideWhenUsed/>
    <w:rsid w:val="0060208F"/>
    <w:rPr>
      <w:sz w:val="18"/>
      <w:szCs w:val="18"/>
    </w:rPr>
  </w:style>
  <w:style w:type="character" w:customStyle="1" w:styleId="BalloonTextChar">
    <w:name w:val="Balloon Text Char"/>
    <w:basedOn w:val="DefaultParagraphFont"/>
    <w:link w:val="BalloonText"/>
    <w:uiPriority w:val="99"/>
    <w:semiHidden/>
    <w:rsid w:val="0060208F"/>
    <w:rPr>
      <w:rFonts w:ascii="Times New Roman" w:eastAsia="Times New Roman" w:hAnsi="Times New Roman" w:cs="Times New Roman"/>
      <w:sz w:val="18"/>
      <w:szCs w:val="18"/>
      <w:lang w:eastAsia="en-GB"/>
    </w:rPr>
  </w:style>
  <w:style w:type="character" w:customStyle="1" w:styleId="highwire-cite-authors">
    <w:name w:val="highwire-cite-authors"/>
    <w:basedOn w:val="DefaultParagraphFont"/>
    <w:rsid w:val="00CA3F78"/>
  </w:style>
  <w:style w:type="character" w:customStyle="1" w:styleId="nlm-surname">
    <w:name w:val="nlm-surname"/>
    <w:basedOn w:val="DefaultParagraphFont"/>
    <w:rsid w:val="00CA3F78"/>
  </w:style>
  <w:style w:type="character" w:customStyle="1" w:styleId="nlm-given-names">
    <w:name w:val="nlm-given-names"/>
    <w:basedOn w:val="DefaultParagraphFont"/>
    <w:rsid w:val="00CA3F78"/>
  </w:style>
  <w:style w:type="character" w:customStyle="1" w:styleId="highwire-cite-title">
    <w:name w:val="highwire-cite-title"/>
    <w:basedOn w:val="DefaultParagraphFont"/>
    <w:rsid w:val="00CA3F78"/>
  </w:style>
  <w:style w:type="character" w:customStyle="1" w:styleId="highwire-cite-metadata-journal">
    <w:name w:val="highwire-cite-metadata-journal"/>
    <w:basedOn w:val="DefaultParagraphFont"/>
    <w:rsid w:val="00CA3F78"/>
  </w:style>
  <w:style w:type="character" w:customStyle="1" w:styleId="highwire-cite-metadata-date">
    <w:name w:val="highwire-cite-metadata-date"/>
    <w:basedOn w:val="DefaultParagraphFont"/>
    <w:rsid w:val="00CA3F78"/>
  </w:style>
  <w:style w:type="character" w:customStyle="1" w:styleId="highwire-cite-metadata-volume">
    <w:name w:val="highwire-cite-metadata-volume"/>
    <w:basedOn w:val="DefaultParagraphFont"/>
    <w:rsid w:val="00CA3F78"/>
  </w:style>
  <w:style w:type="character" w:styleId="FollowedHyperlink">
    <w:name w:val="FollowedHyperlink"/>
    <w:basedOn w:val="DefaultParagraphFont"/>
    <w:uiPriority w:val="99"/>
    <w:semiHidden/>
    <w:unhideWhenUsed/>
    <w:rsid w:val="00EA771B"/>
    <w:rPr>
      <w:color w:val="954F72" w:themeColor="followedHyperlink"/>
      <w:u w:val="single"/>
    </w:rPr>
  </w:style>
  <w:style w:type="character" w:customStyle="1" w:styleId="order">
    <w:name w:val="order"/>
    <w:basedOn w:val="DefaultParagraphFont"/>
    <w:rsid w:val="007711A9"/>
  </w:style>
  <w:style w:type="table" w:customStyle="1" w:styleId="PlainTable31">
    <w:name w:val="Plain Table 31"/>
    <w:basedOn w:val="TableNormal"/>
    <w:uiPriority w:val="43"/>
    <w:rsid w:val="003408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408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840AF2"/>
    <w:rPr>
      <w:color w:val="605E5C"/>
      <w:shd w:val="clear" w:color="auto" w:fill="E1DFDD"/>
    </w:rPr>
  </w:style>
  <w:style w:type="character" w:customStyle="1" w:styleId="cit-name-surname">
    <w:name w:val="cit-name-surname"/>
    <w:basedOn w:val="DefaultParagraphFont"/>
    <w:rsid w:val="007C5E51"/>
  </w:style>
  <w:style w:type="character" w:customStyle="1" w:styleId="cit-name-given-names">
    <w:name w:val="cit-name-given-names"/>
    <w:basedOn w:val="DefaultParagraphFont"/>
    <w:rsid w:val="007C5E51"/>
  </w:style>
  <w:style w:type="character" w:customStyle="1" w:styleId="cit-etal">
    <w:name w:val="cit-etal"/>
    <w:basedOn w:val="DefaultParagraphFont"/>
    <w:rsid w:val="007C5E51"/>
  </w:style>
  <w:style w:type="character" w:styleId="HTMLCite">
    <w:name w:val="HTML Cite"/>
    <w:basedOn w:val="DefaultParagraphFont"/>
    <w:uiPriority w:val="99"/>
    <w:semiHidden/>
    <w:unhideWhenUsed/>
    <w:rsid w:val="007C5E51"/>
    <w:rPr>
      <w:i/>
      <w:iCs/>
    </w:rPr>
  </w:style>
  <w:style w:type="character" w:customStyle="1" w:styleId="cit-article-title">
    <w:name w:val="cit-article-title"/>
    <w:basedOn w:val="DefaultParagraphFont"/>
    <w:rsid w:val="007C5E51"/>
  </w:style>
  <w:style w:type="character" w:customStyle="1" w:styleId="cit-pub-date">
    <w:name w:val="cit-pub-date"/>
    <w:basedOn w:val="DefaultParagraphFont"/>
    <w:rsid w:val="007C5E51"/>
  </w:style>
  <w:style w:type="character" w:customStyle="1" w:styleId="cit-vol">
    <w:name w:val="cit-vol"/>
    <w:basedOn w:val="DefaultParagraphFont"/>
    <w:rsid w:val="007C5E51"/>
  </w:style>
  <w:style w:type="character" w:customStyle="1" w:styleId="cit-fpage">
    <w:name w:val="cit-fpage"/>
    <w:basedOn w:val="DefaultParagraphFont"/>
    <w:rsid w:val="007C5E51"/>
  </w:style>
  <w:style w:type="character" w:customStyle="1" w:styleId="cit-lpage">
    <w:name w:val="cit-lpage"/>
    <w:basedOn w:val="DefaultParagraphFont"/>
    <w:rsid w:val="007C5E51"/>
  </w:style>
  <w:style w:type="character" w:customStyle="1" w:styleId="highwire-citation-authors">
    <w:name w:val="highwire-citation-authors"/>
    <w:basedOn w:val="DefaultParagraphFont"/>
    <w:rsid w:val="007C5E51"/>
  </w:style>
  <w:style w:type="character" w:customStyle="1" w:styleId="highwire-citation-author">
    <w:name w:val="highwire-citation-author"/>
    <w:basedOn w:val="DefaultParagraphFont"/>
    <w:rsid w:val="007C5E51"/>
  </w:style>
  <w:style w:type="character" w:customStyle="1" w:styleId="highwire-cite-metadata-issue">
    <w:name w:val="highwire-cite-metadata-issue"/>
    <w:basedOn w:val="DefaultParagraphFont"/>
    <w:rsid w:val="007C5E51"/>
  </w:style>
  <w:style w:type="character" w:customStyle="1" w:styleId="highwire-cite-metadata-pages">
    <w:name w:val="highwire-cite-metadata-pages"/>
    <w:basedOn w:val="DefaultParagraphFont"/>
    <w:rsid w:val="007C5E51"/>
  </w:style>
  <w:style w:type="paragraph" w:styleId="Footer">
    <w:name w:val="footer"/>
    <w:basedOn w:val="Normal"/>
    <w:link w:val="FooterChar"/>
    <w:uiPriority w:val="99"/>
    <w:unhideWhenUsed/>
    <w:rsid w:val="0061056C"/>
    <w:pPr>
      <w:tabs>
        <w:tab w:val="center" w:pos="4680"/>
        <w:tab w:val="right" w:pos="9360"/>
      </w:tabs>
    </w:pPr>
  </w:style>
  <w:style w:type="character" w:customStyle="1" w:styleId="FooterChar">
    <w:name w:val="Footer Char"/>
    <w:basedOn w:val="DefaultParagraphFont"/>
    <w:link w:val="Footer"/>
    <w:uiPriority w:val="99"/>
    <w:rsid w:val="0061056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1056C"/>
  </w:style>
  <w:style w:type="character" w:customStyle="1" w:styleId="citation-et">
    <w:name w:val="citation-et"/>
    <w:basedOn w:val="DefaultParagraphFont"/>
    <w:rsid w:val="007E31E8"/>
  </w:style>
  <w:style w:type="character" w:customStyle="1" w:styleId="highwire-cite-metadata-year">
    <w:name w:val="highwire-cite-metadata-year"/>
    <w:basedOn w:val="DefaultParagraphFont"/>
    <w:rsid w:val="007E31E8"/>
  </w:style>
  <w:style w:type="character" w:styleId="CommentReference">
    <w:name w:val="annotation reference"/>
    <w:basedOn w:val="DefaultParagraphFont"/>
    <w:uiPriority w:val="99"/>
    <w:semiHidden/>
    <w:unhideWhenUsed/>
    <w:rsid w:val="004C14C0"/>
    <w:rPr>
      <w:sz w:val="18"/>
      <w:szCs w:val="18"/>
    </w:rPr>
  </w:style>
  <w:style w:type="paragraph" w:styleId="CommentText">
    <w:name w:val="annotation text"/>
    <w:basedOn w:val="Normal"/>
    <w:link w:val="CommentTextChar"/>
    <w:uiPriority w:val="99"/>
    <w:unhideWhenUsed/>
    <w:rsid w:val="004C14C0"/>
  </w:style>
  <w:style w:type="character" w:customStyle="1" w:styleId="CommentTextChar">
    <w:name w:val="Comment Text Char"/>
    <w:basedOn w:val="DefaultParagraphFont"/>
    <w:link w:val="CommentText"/>
    <w:uiPriority w:val="99"/>
    <w:rsid w:val="004C14C0"/>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4C14C0"/>
    <w:rPr>
      <w:b/>
      <w:bCs/>
      <w:sz w:val="20"/>
      <w:szCs w:val="20"/>
    </w:rPr>
  </w:style>
  <w:style w:type="character" w:customStyle="1" w:styleId="CommentSubjectChar">
    <w:name w:val="Comment Subject Char"/>
    <w:basedOn w:val="CommentTextChar"/>
    <w:link w:val="CommentSubject"/>
    <w:uiPriority w:val="99"/>
    <w:semiHidden/>
    <w:rsid w:val="004C14C0"/>
    <w:rPr>
      <w:rFonts w:ascii="Times New Roman" w:eastAsia="Times New Roman" w:hAnsi="Times New Roman" w:cs="Times New Roman"/>
      <w:b/>
      <w:bCs/>
      <w:sz w:val="20"/>
      <w:szCs w:val="20"/>
      <w:lang w:eastAsia="en-GB"/>
    </w:rPr>
  </w:style>
  <w:style w:type="paragraph" w:styleId="Revision">
    <w:name w:val="Revision"/>
    <w:hidden/>
    <w:uiPriority w:val="99"/>
    <w:semiHidden/>
    <w:rsid w:val="00B0610C"/>
    <w:rPr>
      <w:rFonts w:ascii="Times New Roman" w:eastAsia="Times New Roman" w:hAnsi="Times New Roman" w:cs="Times New Roman"/>
      <w:lang w:eastAsia="en-GB"/>
    </w:rPr>
  </w:style>
  <w:style w:type="character" w:customStyle="1" w:styleId="msoins0">
    <w:name w:val="msoins"/>
    <w:basedOn w:val="DefaultParagraphFont"/>
    <w:rsid w:val="00060F7F"/>
  </w:style>
  <w:style w:type="paragraph" w:styleId="Header">
    <w:name w:val="header"/>
    <w:basedOn w:val="Normal"/>
    <w:link w:val="HeaderChar"/>
    <w:uiPriority w:val="99"/>
    <w:semiHidden/>
    <w:unhideWhenUsed/>
    <w:rsid w:val="00C402EB"/>
    <w:pPr>
      <w:tabs>
        <w:tab w:val="center" w:pos="4513"/>
        <w:tab w:val="right" w:pos="9026"/>
      </w:tabs>
    </w:pPr>
  </w:style>
  <w:style w:type="character" w:customStyle="1" w:styleId="HeaderChar">
    <w:name w:val="Header Char"/>
    <w:basedOn w:val="DefaultParagraphFont"/>
    <w:link w:val="Header"/>
    <w:uiPriority w:val="99"/>
    <w:semiHidden/>
    <w:rsid w:val="00C402EB"/>
    <w:rPr>
      <w:rFonts w:ascii="Times New Roman" w:eastAsia="Times New Roman" w:hAnsi="Times New Roman" w:cs="Times New Roman"/>
      <w:lang w:eastAsia="en-GB"/>
    </w:rPr>
  </w:style>
  <w:style w:type="paragraph" w:styleId="NoSpacing">
    <w:name w:val="No Spacing"/>
    <w:uiPriority w:val="1"/>
    <w:qFormat/>
    <w:rsid w:val="00910318"/>
  </w:style>
  <w:style w:type="character" w:customStyle="1" w:styleId="ref-journal">
    <w:name w:val="ref-journal"/>
    <w:basedOn w:val="DefaultParagraphFont"/>
    <w:rsid w:val="008B1297"/>
  </w:style>
  <w:style w:type="character" w:customStyle="1" w:styleId="ref-vol">
    <w:name w:val="ref-vol"/>
    <w:basedOn w:val="DefaultParagraphFont"/>
    <w:rsid w:val="008B1297"/>
  </w:style>
  <w:style w:type="character" w:customStyle="1" w:styleId="UnresolvedMention2">
    <w:name w:val="Unresolved Mention2"/>
    <w:basedOn w:val="DefaultParagraphFont"/>
    <w:uiPriority w:val="99"/>
    <w:semiHidden/>
    <w:unhideWhenUsed/>
    <w:rsid w:val="003002CD"/>
    <w:rPr>
      <w:color w:val="605E5C"/>
      <w:shd w:val="clear" w:color="auto" w:fill="E1DFDD"/>
    </w:rPr>
  </w:style>
  <w:style w:type="character" w:customStyle="1" w:styleId="Heading1Char">
    <w:name w:val="Heading 1 Char"/>
    <w:basedOn w:val="DefaultParagraphFont"/>
    <w:link w:val="Heading1"/>
    <w:uiPriority w:val="9"/>
    <w:rsid w:val="00897A90"/>
    <w:rPr>
      <w:rFonts w:ascii="Times" w:hAnsi="Times"/>
      <w:b/>
      <w:bCs/>
      <w:kern w:val="36"/>
      <w:sz w:val="48"/>
      <w:szCs w:val="48"/>
    </w:rPr>
  </w:style>
  <w:style w:type="character" w:styleId="UnresolvedMention">
    <w:name w:val="Unresolved Mention"/>
    <w:basedOn w:val="DefaultParagraphFont"/>
    <w:uiPriority w:val="99"/>
    <w:semiHidden/>
    <w:unhideWhenUsed/>
    <w:rsid w:val="00013A9E"/>
    <w:rPr>
      <w:color w:val="605E5C"/>
      <w:shd w:val="clear" w:color="auto" w:fill="E1DFDD"/>
    </w:rPr>
  </w:style>
  <w:style w:type="character" w:customStyle="1" w:styleId="article-headerpages">
    <w:name w:val="article-header__pages"/>
    <w:basedOn w:val="DefaultParagraphFont"/>
    <w:rsid w:val="00BF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955">
      <w:bodyDiv w:val="1"/>
      <w:marLeft w:val="0"/>
      <w:marRight w:val="0"/>
      <w:marTop w:val="0"/>
      <w:marBottom w:val="0"/>
      <w:divBdr>
        <w:top w:val="none" w:sz="0" w:space="0" w:color="auto"/>
        <w:left w:val="none" w:sz="0" w:space="0" w:color="auto"/>
        <w:bottom w:val="none" w:sz="0" w:space="0" w:color="auto"/>
        <w:right w:val="none" w:sz="0" w:space="0" w:color="auto"/>
      </w:divBdr>
    </w:div>
    <w:div w:id="37707392">
      <w:bodyDiv w:val="1"/>
      <w:marLeft w:val="0"/>
      <w:marRight w:val="0"/>
      <w:marTop w:val="0"/>
      <w:marBottom w:val="0"/>
      <w:divBdr>
        <w:top w:val="none" w:sz="0" w:space="0" w:color="auto"/>
        <w:left w:val="none" w:sz="0" w:space="0" w:color="auto"/>
        <w:bottom w:val="none" w:sz="0" w:space="0" w:color="auto"/>
        <w:right w:val="none" w:sz="0" w:space="0" w:color="auto"/>
      </w:divBdr>
    </w:div>
    <w:div w:id="125851908">
      <w:bodyDiv w:val="1"/>
      <w:marLeft w:val="0"/>
      <w:marRight w:val="0"/>
      <w:marTop w:val="0"/>
      <w:marBottom w:val="0"/>
      <w:divBdr>
        <w:top w:val="none" w:sz="0" w:space="0" w:color="auto"/>
        <w:left w:val="none" w:sz="0" w:space="0" w:color="auto"/>
        <w:bottom w:val="none" w:sz="0" w:space="0" w:color="auto"/>
        <w:right w:val="none" w:sz="0" w:space="0" w:color="auto"/>
      </w:divBdr>
    </w:div>
    <w:div w:id="187185395">
      <w:bodyDiv w:val="1"/>
      <w:marLeft w:val="0"/>
      <w:marRight w:val="0"/>
      <w:marTop w:val="0"/>
      <w:marBottom w:val="0"/>
      <w:divBdr>
        <w:top w:val="none" w:sz="0" w:space="0" w:color="auto"/>
        <w:left w:val="none" w:sz="0" w:space="0" w:color="auto"/>
        <w:bottom w:val="none" w:sz="0" w:space="0" w:color="auto"/>
        <w:right w:val="none" w:sz="0" w:space="0" w:color="auto"/>
      </w:divBdr>
    </w:div>
    <w:div w:id="238713882">
      <w:bodyDiv w:val="1"/>
      <w:marLeft w:val="0"/>
      <w:marRight w:val="0"/>
      <w:marTop w:val="0"/>
      <w:marBottom w:val="0"/>
      <w:divBdr>
        <w:top w:val="none" w:sz="0" w:space="0" w:color="auto"/>
        <w:left w:val="none" w:sz="0" w:space="0" w:color="auto"/>
        <w:bottom w:val="none" w:sz="0" w:space="0" w:color="auto"/>
        <w:right w:val="none" w:sz="0" w:space="0" w:color="auto"/>
      </w:divBdr>
    </w:div>
    <w:div w:id="309015789">
      <w:bodyDiv w:val="1"/>
      <w:marLeft w:val="0"/>
      <w:marRight w:val="0"/>
      <w:marTop w:val="0"/>
      <w:marBottom w:val="0"/>
      <w:divBdr>
        <w:top w:val="none" w:sz="0" w:space="0" w:color="auto"/>
        <w:left w:val="none" w:sz="0" w:space="0" w:color="auto"/>
        <w:bottom w:val="none" w:sz="0" w:space="0" w:color="auto"/>
        <w:right w:val="none" w:sz="0" w:space="0" w:color="auto"/>
      </w:divBdr>
      <w:divsChild>
        <w:div w:id="1950038387">
          <w:marLeft w:val="0"/>
          <w:marRight w:val="0"/>
          <w:marTop w:val="0"/>
          <w:marBottom w:val="0"/>
          <w:divBdr>
            <w:top w:val="none" w:sz="0" w:space="0" w:color="auto"/>
            <w:left w:val="none" w:sz="0" w:space="0" w:color="auto"/>
            <w:bottom w:val="none" w:sz="0" w:space="0" w:color="auto"/>
            <w:right w:val="none" w:sz="0" w:space="0" w:color="auto"/>
          </w:divBdr>
          <w:divsChild>
            <w:div w:id="36857679">
              <w:marLeft w:val="0"/>
              <w:marRight w:val="0"/>
              <w:marTop w:val="0"/>
              <w:marBottom w:val="0"/>
              <w:divBdr>
                <w:top w:val="none" w:sz="0" w:space="0" w:color="auto"/>
                <w:left w:val="none" w:sz="0" w:space="0" w:color="auto"/>
                <w:bottom w:val="none" w:sz="0" w:space="0" w:color="auto"/>
                <w:right w:val="none" w:sz="0" w:space="0" w:color="auto"/>
              </w:divBdr>
              <w:divsChild>
                <w:div w:id="3103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948">
      <w:bodyDiv w:val="1"/>
      <w:marLeft w:val="0"/>
      <w:marRight w:val="0"/>
      <w:marTop w:val="0"/>
      <w:marBottom w:val="0"/>
      <w:divBdr>
        <w:top w:val="none" w:sz="0" w:space="0" w:color="auto"/>
        <w:left w:val="none" w:sz="0" w:space="0" w:color="auto"/>
        <w:bottom w:val="none" w:sz="0" w:space="0" w:color="auto"/>
        <w:right w:val="none" w:sz="0" w:space="0" w:color="auto"/>
      </w:divBdr>
    </w:div>
    <w:div w:id="344093422">
      <w:bodyDiv w:val="1"/>
      <w:marLeft w:val="0"/>
      <w:marRight w:val="0"/>
      <w:marTop w:val="0"/>
      <w:marBottom w:val="0"/>
      <w:divBdr>
        <w:top w:val="none" w:sz="0" w:space="0" w:color="auto"/>
        <w:left w:val="none" w:sz="0" w:space="0" w:color="auto"/>
        <w:bottom w:val="none" w:sz="0" w:space="0" w:color="auto"/>
        <w:right w:val="none" w:sz="0" w:space="0" w:color="auto"/>
      </w:divBdr>
      <w:divsChild>
        <w:div w:id="267978400">
          <w:marLeft w:val="0"/>
          <w:marRight w:val="0"/>
          <w:marTop w:val="0"/>
          <w:marBottom w:val="0"/>
          <w:divBdr>
            <w:top w:val="none" w:sz="0" w:space="0" w:color="auto"/>
            <w:left w:val="none" w:sz="0" w:space="0" w:color="auto"/>
            <w:bottom w:val="none" w:sz="0" w:space="0" w:color="auto"/>
            <w:right w:val="none" w:sz="0" w:space="0" w:color="auto"/>
          </w:divBdr>
        </w:div>
        <w:div w:id="614216168">
          <w:marLeft w:val="0"/>
          <w:marRight w:val="0"/>
          <w:marTop w:val="0"/>
          <w:marBottom w:val="0"/>
          <w:divBdr>
            <w:top w:val="none" w:sz="0" w:space="0" w:color="auto"/>
            <w:left w:val="none" w:sz="0" w:space="0" w:color="auto"/>
            <w:bottom w:val="none" w:sz="0" w:space="0" w:color="auto"/>
            <w:right w:val="none" w:sz="0" w:space="0" w:color="auto"/>
          </w:divBdr>
        </w:div>
        <w:div w:id="646282679">
          <w:marLeft w:val="0"/>
          <w:marRight w:val="0"/>
          <w:marTop w:val="0"/>
          <w:marBottom w:val="0"/>
          <w:divBdr>
            <w:top w:val="none" w:sz="0" w:space="0" w:color="auto"/>
            <w:left w:val="none" w:sz="0" w:space="0" w:color="auto"/>
            <w:bottom w:val="none" w:sz="0" w:space="0" w:color="auto"/>
            <w:right w:val="none" w:sz="0" w:space="0" w:color="auto"/>
          </w:divBdr>
        </w:div>
        <w:div w:id="736172789">
          <w:marLeft w:val="0"/>
          <w:marRight w:val="0"/>
          <w:marTop w:val="0"/>
          <w:marBottom w:val="0"/>
          <w:divBdr>
            <w:top w:val="none" w:sz="0" w:space="0" w:color="auto"/>
            <w:left w:val="none" w:sz="0" w:space="0" w:color="auto"/>
            <w:bottom w:val="none" w:sz="0" w:space="0" w:color="auto"/>
            <w:right w:val="none" w:sz="0" w:space="0" w:color="auto"/>
          </w:divBdr>
        </w:div>
        <w:div w:id="965507273">
          <w:marLeft w:val="0"/>
          <w:marRight w:val="0"/>
          <w:marTop w:val="0"/>
          <w:marBottom w:val="0"/>
          <w:divBdr>
            <w:top w:val="none" w:sz="0" w:space="0" w:color="auto"/>
            <w:left w:val="none" w:sz="0" w:space="0" w:color="auto"/>
            <w:bottom w:val="none" w:sz="0" w:space="0" w:color="auto"/>
            <w:right w:val="none" w:sz="0" w:space="0" w:color="auto"/>
          </w:divBdr>
        </w:div>
        <w:div w:id="1061903980">
          <w:marLeft w:val="0"/>
          <w:marRight w:val="0"/>
          <w:marTop w:val="0"/>
          <w:marBottom w:val="0"/>
          <w:divBdr>
            <w:top w:val="none" w:sz="0" w:space="0" w:color="auto"/>
            <w:left w:val="none" w:sz="0" w:space="0" w:color="auto"/>
            <w:bottom w:val="none" w:sz="0" w:space="0" w:color="auto"/>
            <w:right w:val="none" w:sz="0" w:space="0" w:color="auto"/>
          </w:divBdr>
        </w:div>
        <w:div w:id="1361659752">
          <w:marLeft w:val="0"/>
          <w:marRight w:val="0"/>
          <w:marTop w:val="0"/>
          <w:marBottom w:val="0"/>
          <w:divBdr>
            <w:top w:val="none" w:sz="0" w:space="0" w:color="auto"/>
            <w:left w:val="none" w:sz="0" w:space="0" w:color="auto"/>
            <w:bottom w:val="none" w:sz="0" w:space="0" w:color="auto"/>
            <w:right w:val="none" w:sz="0" w:space="0" w:color="auto"/>
          </w:divBdr>
        </w:div>
        <w:div w:id="1618290438">
          <w:marLeft w:val="0"/>
          <w:marRight w:val="0"/>
          <w:marTop w:val="0"/>
          <w:marBottom w:val="0"/>
          <w:divBdr>
            <w:top w:val="none" w:sz="0" w:space="0" w:color="auto"/>
            <w:left w:val="none" w:sz="0" w:space="0" w:color="auto"/>
            <w:bottom w:val="none" w:sz="0" w:space="0" w:color="auto"/>
            <w:right w:val="none" w:sz="0" w:space="0" w:color="auto"/>
          </w:divBdr>
        </w:div>
        <w:div w:id="1967814306">
          <w:marLeft w:val="0"/>
          <w:marRight w:val="0"/>
          <w:marTop w:val="0"/>
          <w:marBottom w:val="0"/>
          <w:divBdr>
            <w:top w:val="none" w:sz="0" w:space="0" w:color="auto"/>
            <w:left w:val="none" w:sz="0" w:space="0" w:color="auto"/>
            <w:bottom w:val="none" w:sz="0" w:space="0" w:color="auto"/>
            <w:right w:val="none" w:sz="0" w:space="0" w:color="auto"/>
          </w:divBdr>
        </w:div>
        <w:div w:id="2069184297">
          <w:marLeft w:val="0"/>
          <w:marRight w:val="0"/>
          <w:marTop w:val="0"/>
          <w:marBottom w:val="0"/>
          <w:divBdr>
            <w:top w:val="none" w:sz="0" w:space="0" w:color="auto"/>
            <w:left w:val="none" w:sz="0" w:space="0" w:color="auto"/>
            <w:bottom w:val="none" w:sz="0" w:space="0" w:color="auto"/>
            <w:right w:val="none" w:sz="0" w:space="0" w:color="auto"/>
          </w:divBdr>
        </w:div>
        <w:div w:id="2114353283">
          <w:marLeft w:val="0"/>
          <w:marRight w:val="0"/>
          <w:marTop w:val="0"/>
          <w:marBottom w:val="0"/>
          <w:divBdr>
            <w:top w:val="none" w:sz="0" w:space="0" w:color="auto"/>
            <w:left w:val="none" w:sz="0" w:space="0" w:color="auto"/>
            <w:bottom w:val="none" w:sz="0" w:space="0" w:color="auto"/>
            <w:right w:val="none" w:sz="0" w:space="0" w:color="auto"/>
          </w:divBdr>
        </w:div>
      </w:divsChild>
    </w:div>
    <w:div w:id="401146523">
      <w:bodyDiv w:val="1"/>
      <w:marLeft w:val="0"/>
      <w:marRight w:val="0"/>
      <w:marTop w:val="0"/>
      <w:marBottom w:val="0"/>
      <w:divBdr>
        <w:top w:val="none" w:sz="0" w:space="0" w:color="auto"/>
        <w:left w:val="none" w:sz="0" w:space="0" w:color="auto"/>
        <w:bottom w:val="none" w:sz="0" w:space="0" w:color="auto"/>
        <w:right w:val="none" w:sz="0" w:space="0" w:color="auto"/>
      </w:divBdr>
    </w:div>
    <w:div w:id="418211825">
      <w:bodyDiv w:val="1"/>
      <w:marLeft w:val="0"/>
      <w:marRight w:val="0"/>
      <w:marTop w:val="0"/>
      <w:marBottom w:val="0"/>
      <w:divBdr>
        <w:top w:val="none" w:sz="0" w:space="0" w:color="auto"/>
        <w:left w:val="none" w:sz="0" w:space="0" w:color="auto"/>
        <w:bottom w:val="none" w:sz="0" w:space="0" w:color="auto"/>
        <w:right w:val="none" w:sz="0" w:space="0" w:color="auto"/>
      </w:divBdr>
    </w:div>
    <w:div w:id="446856357">
      <w:bodyDiv w:val="1"/>
      <w:marLeft w:val="0"/>
      <w:marRight w:val="0"/>
      <w:marTop w:val="0"/>
      <w:marBottom w:val="0"/>
      <w:divBdr>
        <w:top w:val="none" w:sz="0" w:space="0" w:color="auto"/>
        <w:left w:val="none" w:sz="0" w:space="0" w:color="auto"/>
        <w:bottom w:val="none" w:sz="0" w:space="0" w:color="auto"/>
        <w:right w:val="none" w:sz="0" w:space="0" w:color="auto"/>
      </w:divBdr>
      <w:divsChild>
        <w:div w:id="2054380925">
          <w:marLeft w:val="0"/>
          <w:marRight w:val="0"/>
          <w:marTop w:val="0"/>
          <w:marBottom w:val="0"/>
          <w:divBdr>
            <w:top w:val="none" w:sz="0" w:space="0" w:color="auto"/>
            <w:left w:val="none" w:sz="0" w:space="0" w:color="auto"/>
            <w:bottom w:val="none" w:sz="0" w:space="0" w:color="auto"/>
            <w:right w:val="none" w:sz="0" w:space="0" w:color="auto"/>
          </w:divBdr>
          <w:divsChild>
            <w:div w:id="1995379343">
              <w:marLeft w:val="0"/>
              <w:marRight w:val="0"/>
              <w:marTop w:val="0"/>
              <w:marBottom w:val="0"/>
              <w:divBdr>
                <w:top w:val="none" w:sz="0" w:space="0" w:color="auto"/>
                <w:left w:val="none" w:sz="0" w:space="0" w:color="auto"/>
                <w:bottom w:val="none" w:sz="0" w:space="0" w:color="auto"/>
                <w:right w:val="none" w:sz="0" w:space="0" w:color="auto"/>
              </w:divBdr>
              <w:divsChild>
                <w:div w:id="14341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5482">
      <w:bodyDiv w:val="1"/>
      <w:marLeft w:val="0"/>
      <w:marRight w:val="0"/>
      <w:marTop w:val="0"/>
      <w:marBottom w:val="0"/>
      <w:divBdr>
        <w:top w:val="none" w:sz="0" w:space="0" w:color="auto"/>
        <w:left w:val="none" w:sz="0" w:space="0" w:color="auto"/>
        <w:bottom w:val="none" w:sz="0" w:space="0" w:color="auto"/>
        <w:right w:val="none" w:sz="0" w:space="0" w:color="auto"/>
      </w:divBdr>
    </w:div>
    <w:div w:id="588778739">
      <w:bodyDiv w:val="1"/>
      <w:marLeft w:val="0"/>
      <w:marRight w:val="0"/>
      <w:marTop w:val="0"/>
      <w:marBottom w:val="0"/>
      <w:divBdr>
        <w:top w:val="none" w:sz="0" w:space="0" w:color="auto"/>
        <w:left w:val="none" w:sz="0" w:space="0" w:color="auto"/>
        <w:bottom w:val="none" w:sz="0" w:space="0" w:color="auto"/>
        <w:right w:val="none" w:sz="0" w:space="0" w:color="auto"/>
      </w:divBdr>
    </w:div>
    <w:div w:id="592475839">
      <w:bodyDiv w:val="1"/>
      <w:marLeft w:val="0"/>
      <w:marRight w:val="0"/>
      <w:marTop w:val="0"/>
      <w:marBottom w:val="0"/>
      <w:divBdr>
        <w:top w:val="none" w:sz="0" w:space="0" w:color="auto"/>
        <w:left w:val="none" w:sz="0" w:space="0" w:color="auto"/>
        <w:bottom w:val="none" w:sz="0" w:space="0" w:color="auto"/>
        <w:right w:val="none" w:sz="0" w:space="0" w:color="auto"/>
      </w:divBdr>
    </w:div>
    <w:div w:id="753741913">
      <w:bodyDiv w:val="1"/>
      <w:marLeft w:val="0"/>
      <w:marRight w:val="0"/>
      <w:marTop w:val="0"/>
      <w:marBottom w:val="0"/>
      <w:divBdr>
        <w:top w:val="none" w:sz="0" w:space="0" w:color="auto"/>
        <w:left w:val="none" w:sz="0" w:space="0" w:color="auto"/>
        <w:bottom w:val="none" w:sz="0" w:space="0" w:color="auto"/>
        <w:right w:val="none" w:sz="0" w:space="0" w:color="auto"/>
      </w:divBdr>
      <w:divsChild>
        <w:div w:id="500194532">
          <w:marLeft w:val="0"/>
          <w:marRight w:val="0"/>
          <w:marTop w:val="0"/>
          <w:marBottom w:val="0"/>
          <w:divBdr>
            <w:top w:val="none" w:sz="0" w:space="0" w:color="auto"/>
            <w:left w:val="none" w:sz="0" w:space="0" w:color="auto"/>
            <w:bottom w:val="none" w:sz="0" w:space="0" w:color="auto"/>
            <w:right w:val="none" w:sz="0" w:space="0" w:color="auto"/>
          </w:divBdr>
          <w:divsChild>
            <w:div w:id="93979869">
              <w:marLeft w:val="0"/>
              <w:marRight w:val="0"/>
              <w:marTop w:val="0"/>
              <w:marBottom w:val="0"/>
              <w:divBdr>
                <w:top w:val="none" w:sz="0" w:space="0" w:color="auto"/>
                <w:left w:val="none" w:sz="0" w:space="0" w:color="auto"/>
                <w:bottom w:val="none" w:sz="0" w:space="0" w:color="auto"/>
                <w:right w:val="none" w:sz="0" w:space="0" w:color="auto"/>
              </w:divBdr>
              <w:divsChild>
                <w:div w:id="2090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8365">
      <w:bodyDiv w:val="1"/>
      <w:marLeft w:val="0"/>
      <w:marRight w:val="0"/>
      <w:marTop w:val="0"/>
      <w:marBottom w:val="0"/>
      <w:divBdr>
        <w:top w:val="none" w:sz="0" w:space="0" w:color="auto"/>
        <w:left w:val="none" w:sz="0" w:space="0" w:color="auto"/>
        <w:bottom w:val="none" w:sz="0" w:space="0" w:color="auto"/>
        <w:right w:val="none" w:sz="0" w:space="0" w:color="auto"/>
      </w:divBdr>
      <w:divsChild>
        <w:div w:id="112790306">
          <w:marLeft w:val="0"/>
          <w:marRight w:val="0"/>
          <w:marTop w:val="75"/>
          <w:marBottom w:val="0"/>
          <w:divBdr>
            <w:top w:val="none" w:sz="0" w:space="0" w:color="auto"/>
            <w:left w:val="none" w:sz="0" w:space="0" w:color="auto"/>
            <w:bottom w:val="none" w:sz="0" w:space="0" w:color="auto"/>
            <w:right w:val="none" w:sz="0" w:space="0" w:color="auto"/>
          </w:divBdr>
        </w:div>
        <w:div w:id="1067339114">
          <w:marLeft w:val="0"/>
          <w:marRight w:val="0"/>
          <w:marTop w:val="75"/>
          <w:marBottom w:val="0"/>
          <w:divBdr>
            <w:top w:val="none" w:sz="0" w:space="0" w:color="auto"/>
            <w:left w:val="none" w:sz="0" w:space="0" w:color="auto"/>
            <w:bottom w:val="none" w:sz="0" w:space="0" w:color="auto"/>
            <w:right w:val="none" w:sz="0" w:space="0" w:color="auto"/>
          </w:divBdr>
        </w:div>
        <w:div w:id="1469123563">
          <w:marLeft w:val="0"/>
          <w:marRight w:val="0"/>
          <w:marTop w:val="0"/>
          <w:marBottom w:val="0"/>
          <w:divBdr>
            <w:top w:val="none" w:sz="0" w:space="0" w:color="auto"/>
            <w:left w:val="none" w:sz="0" w:space="0" w:color="auto"/>
            <w:bottom w:val="none" w:sz="0" w:space="0" w:color="auto"/>
            <w:right w:val="none" w:sz="0" w:space="0" w:color="auto"/>
          </w:divBdr>
        </w:div>
      </w:divsChild>
    </w:div>
    <w:div w:id="885683402">
      <w:bodyDiv w:val="1"/>
      <w:marLeft w:val="0"/>
      <w:marRight w:val="0"/>
      <w:marTop w:val="0"/>
      <w:marBottom w:val="0"/>
      <w:divBdr>
        <w:top w:val="none" w:sz="0" w:space="0" w:color="auto"/>
        <w:left w:val="none" w:sz="0" w:space="0" w:color="auto"/>
        <w:bottom w:val="none" w:sz="0" w:space="0" w:color="auto"/>
        <w:right w:val="none" w:sz="0" w:space="0" w:color="auto"/>
      </w:divBdr>
    </w:div>
    <w:div w:id="903761394">
      <w:bodyDiv w:val="1"/>
      <w:marLeft w:val="0"/>
      <w:marRight w:val="0"/>
      <w:marTop w:val="0"/>
      <w:marBottom w:val="0"/>
      <w:divBdr>
        <w:top w:val="none" w:sz="0" w:space="0" w:color="auto"/>
        <w:left w:val="none" w:sz="0" w:space="0" w:color="auto"/>
        <w:bottom w:val="none" w:sz="0" w:space="0" w:color="auto"/>
        <w:right w:val="none" w:sz="0" w:space="0" w:color="auto"/>
      </w:divBdr>
    </w:div>
    <w:div w:id="917207446">
      <w:bodyDiv w:val="1"/>
      <w:marLeft w:val="0"/>
      <w:marRight w:val="0"/>
      <w:marTop w:val="0"/>
      <w:marBottom w:val="0"/>
      <w:divBdr>
        <w:top w:val="none" w:sz="0" w:space="0" w:color="auto"/>
        <w:left w:val="none" w:sz="0" w:space="0" w:color="auto"/>
        <w:bottom w:val="none" w:sz="0" w:space="0" w:color="auto"/>
        <w:right w:val="none" w:sz="0" w:space="0" w:color="auto"/>
      </w:divBdr>
    </w:div>
    <w:div w:id="938223452">
      <w:bodyDiv w:val="1"/>
      <w:marLeft w:val="0"/>
      <w:marRight w:val="0"/>
      <w:marTop w:val="0"/>
      <w:marBottom w:val="0"/>
      <w:divBdr>
        <w:top w:val="none" w:sz="0" w:space="0" w:color="auto"/>
        <w:left w:val="none" w:sz="0" w:space="0" w:color="auto"/>
        <w:bottom w:val="none" w:sz="0" w:space="0" w:color="auto"/>
        <w:right w:val="none" w:sz="0" w:space="0" w:color="auto"/>
      </w:divBdr>
    </w:div>
    <w:div w:id="952135429">
      <w:bodyDiv w:val="1"/>
      <w:marLeft w:val="0"/>
      <w:marRight w:val="0"/>
      <w:marTop w:val="0"/>
      <w:marBottom w:val="0"/>
      <w:divBdr>
        <w:top w:val="none" w:sz="0" w:space="0" w:color="auto"/>
        <w:left w:val="none" w:sz="0" w:space="0" w:color="auto"/>
        <w:bottom w:val="none" w:sz="0" w:space="0" w:color="auto"/>
        <w:right w:val="none" w:sz="0" w:space="0" w:color="auto"/>
      </w:divBdr>
    </w:div>
    <w:div w:id="971904479">
      <w:bodyDiv w:val="1"/>
      <w:marLeft w:val="0"/>
      <w:marRight w:val="0"/>
      <w:marTop w:val="0"/>
      <w:marBottom w:val="0"/>
      <w:divBdr>
        <w:top w:val="none" w:sz="0" w:space="0" w:color="auto"/>
        <w:left w:val="none" w:sz="0" w:space="0" w:color="auto"/>
        <w:bottom w:val="none" w:sz="0" w:space="0" w:color="auto"/>
        <w:right w:val="none" w:sz="0" w:space="0" w:color="auto"/>
      </w:divBdr>
    </w:div>
    <w:div w:id="972364005">
      <w:bodyDiv w:val="1"/>
      <w:marLeft w:val="0"/>
      <w:marRight w:val="0"/>
      <w:marTop w:val="0"/>
      <w:marBottom w:val="0"/>
      <w:divBdr>
        <w:top w:val="none" w:sz="0" w:space="0" w:color="auto"/>
        <w:left w:val="none" w:sz="0" w:space="0" w:color="auto"/>
        <w:bottom w:val="none" w:sz="0" w:space="0" w:color="auto"/>
        <w:right w:val="none" w:sz="0" w:space="0" w:color="auto"/>
      </w:divBdr>
    </w:div>
    <w:div w:id="976911057">
      <w:bodyDiv w:val="1"/>
      <w:marLeft w:val="0"/>
      <w:marRight w:val="0"/>
      <w:marTop w:val="0"/>
      <w:marBottom w:val="0"/>
      <w:divBdr>
        <w:top w:val="none" w:sz="0" w:space="0" w:color="auto"/>
        <w:left w:val="none" w:sz="0" w:space="0" w:color="auto"/>
        <w:bottom w:val="none" w:sz="0" w:space="0" w:color="auto"/>
        <w:right w:val="none" w:sz="0" w:space="0" w:color="auto"/>
      </w:divBdr>
      <w:divsChild>
        <w:div w:id="1786351">
          <w:marLeft w:val="0"/>
          <w:marRight w:val="0"/>
          <w:marTop w:val="0"/>
          <w:marBottom w:val="0"/>
          <w:divBdr>
            <w:top w:val="none" w:sz="0" w:space="0" w:color="auto"/>
            <w:left w:val="none" w:sz="0" w:space="0" w:color="auto"/>
            <w:bottom w:val="none" w:sz="0" w:space="0" w:color="auto"/>
            <w:right w:val="none" w:sz="0" w:space="0" w:color="auto"/>
          </w:divBdr>
        </w:div>
        <w:div w:id="24453153">
          <w:marLeft w:val="0"/>
          <w:marRight w:val="0"/>
          <w:marTop w:val="0"/>
          <w:marBottom w:val="0"/>
          <w:divBdr>
            <w:top w:val="none" w:sz="0" w:space="0" w:color="auto"/>
            <w:left w:val="none" w:sz="0" w:space="0" w:color="auto"/>
            <w:bottom w:val="none" w:sz="0" w:space="0" w:color="auto"/>
            <w:right w:val="none" w:sz="0" w:space="0" w:color="auto"/>
          </w:divBdr>
        </w:div>
        <w:div w:id="115222272">
          <w:marLeft w:val="0"/>
          <w:marRight w:val="0"/>
          <w:marTop w:val="0"/>
          <w:marBottom w:val="0"/>
          <w:divBdr>
            <w:top w:val="none" w:sz="0" w:space="0" w:color="auto"/>
            <w:left w:val="none" w:sz="0" w:space="0" w:color="auto"/>
            <w:bottom w:val="none" w:sz="0" w:space="0" w:color="auto"/>
            <w:right w:val="none" w:sz="0" w:space="0" w:color="auto"/>
          </w:divBdr>
        </w:div>
        <w:div w:id="179591627">
          <w:marLeft w:val="0"/>
          <w:marRight w:val="0"/>
          <w:marTop w:val="0"/>
          <w:marBottom w:val="0"/>
          <w:divBdr>
            <w:top w:val="none" w:sz="0" w:space="0" w:color="auto"/>
            <w:left w:val="none" w:sz="0" w:space="0" w:color="auto"/>
            <w:bottom w:val="none" w:sz="0" w:space="0" w:color="auto"/>
            <w:right w:val="none" w:sz="0" w:space="0" w:color="auto"/>
          </w:divBdr>
        </w:div>
        <w:div w:id="270092176">
          <w:marLeft w:val="0"/>
          <w:marRight w:val="0"/>
          <w:marTop w:val="0"/>
          <w:marBottom w:val="0"/>
          <w:divBdr>
            <w:top w:val="none" w:sz="0" w:space="0" w:color="auto"/>
            <w:left w:val="none" w:sz="0" w:space="0" w:color="auto"/>
            <w:bottom w:val="none" w:sz="0" w:space="0" w:color="auto"/>
            <w:right w:val="none" w:sz="0" w:space="0" w:color="auto"/>
          </w:divBdr>
        </w:div>
        <w:div w:id="279342733">
          <w:marLeft w:val="0"/>
          <w:marRight w:val="0"/>
          <w:marTop w:val="0"/>
          <w:marBottom w:val="0"/>
          <w:divBdr>
            <w:top w:val="none" w:sz="0" w:space="0" w:color="auto"/>
            <w:left w:val="none" w:sz="0" w:space="0" w:color="auto"/>
            <w:bottom w:val="none" w:sz="0" w:space="0" w:color="auto"/>
            <w:right w:val="none" w:sz="0" w:space="0" w:color="auto"/>
          </w:divBdr>
        </w:div>
        <w:div w:id="297810120">
          <w:marLeft w:val="0"/>
          <w:marRight w:val="0"/>
          <w:marTop w:val="0"/>
          <w:marBottom w:val="0"/>
          <w:divBdr>
            <w:top w:val="none" w:sz="0" w:space="0" w:color="auto"/>
            <w:left w:val="none" w:sz="0" w:space="0" w:color="auto"/>
            <w:bottom w:val="none" w:sz="0" w:space="0" w:color="auto"/>
            <w:right w:val="none" w:sz="0" w:space="0" w:color="auto"/>
          </w:divBdr>
        </w:div>
        <w:div w:id="338316382">
          <w:marLeft w:val="0"/>
          <w:marRight w:val="0"/>
          <w:marTop w:val="0"/>
          <w:marBottom w:val="0"/>
          <w:divBdr>
            <w:top w:val="none" w:sz="0" w:space="0" w:color="auto"/>
            <w:left w:val="none" w:sz="0" w:space="0" w:color="auto"/>
            <w:bottom w:val="none" w:sz="0" w:space="0" w:color="auto"/>
            <w:right w:val="none" w:sz="0" w:space="0" w:color="auto"/>
          </w:divBdr>
        </w:div>
        <w:div w:id="363989954">
          <w:marLeft w:val="0"/>
          <w:marRight w:val="0"/>
          <w:marTop w:val="0"/>
          <w:marBottom w:val="0"/>
          <w:divBdr>
            <w:top w:val="none" w:sz="0" w:space="0" w:color="auto"/>
            <w:left w:val="none" w:sz="0" w:space="0" w:color="auto"/>
            <w:bottom w:val="none" w:sz="0" w:space="0" w:color="auto"/>
            <w:right w:val="none" w:sz="0" w:space="0" w:color="auto"/>
          </w:divBdr>
        </w:div>
        <w:div w:id="394549017">
          <w:marLeft w:val="0"/>
          <w:marRight w:val="0"/>
          <w:marTop w:val="0"/>
          <w:marBottom w:val="0"/>
          <w:divBdr>
            <w:top w:val="none" w:sz="0" w:space="0" w:color="auto"/>
            <w:left w:val="none" w:sz="0" w:space="0" w:color="auto"/>
            <w:bottom w:val="none" w:sz="0" w:space="0" w:color="auto"/>
            <w:right w:val="none" w:sz="0" w:space="0" w:color="auto"/>
          </w:divBdr>
        </w:div>
        <w:div w:id="585118562">
          <w:marLeft w:val="0"/>
          <w:marRight w:val="0"/>
          <w:marTop w:val="0"/>
          <w:marBottom w:val="0"/>
          <w:divBdr>
            <w:top w:val="none" w:sz="0" w:space="0" w:color="auto"/>
            <w:left w:val="none" w:sz="0" w:space="0" w:color="auto"/>
            <w:bottom w:val="none" w:sz="0" w:space="0" w:color="auto"/>
            <w:right w:val="none" w:sz="0" w:space="0" w:color="auto"/>
          </w:divBdr>
        </w:div>
        <w:div w:id="607548408">
          <w:marLeft w:val="0"/>
          <w:marRight w:val="0"/>
          <w:marTop w:val="0"/>
          <w:marBottom w:val="0"/>
          <w:divBdr>
            <w:top w:val="none" w:sz="0" w:space="0" w:color="auto"/>
            <w:left w:val="none" w:sz="0" w:space="0" w:color="auto"/>
            <w:bottom w:val="none" w:sz="0" w:space="0" w:color="auto"/>
            <w:right w:val="none" w:sz="0" w:space="0" w:color="auto"/>
          </w:divBdr>
        </w:div>
        <w:div w:id="712537347">
          <w:marLeft w:val="0"/>
          <w:marRight w:val="0"/>
          <w:marTop w:val="0"/>
          <w:marBottom w:val="0"/>
          <w:divBdr>
            <w:top w:val="none" w:sz="0" w:space="0" w:color="auto"/>
            <w:left w:val="none" w:sz="0" w:space="0" w:color="auto"/>
            <w:bottom w:val="none" w:sz="0" w:space="0" w:color="auto"/>
            <w:right w:val="none" w:sz="0" w:space="0" w:color="auto"/>
          </w:divBdr>
        </w:div>
        <w:div w:id="717050160">
          <w:marLeft w:val="0"/>
          <w:marRight w:val="0"/>
          <w:marTop w:val="0"/>
          <w:marBottom w:val="0"/>
          <w:divBdr>
            <w:top w:val="none" w:sz="0" w:space="0" w:color="auto"/>
            <w:left w:val="none" w:sz="0" w:space="0" w:color="auto"/>
            <w:bottom w:val="none" w:sz="0" w:space="0" w:color="auto"/>
            <w:right w:val="none" w:sz="0" w:space="0" w:color="auto"/>
          </w:divBdr>
        </w:div>
        <w:div w:id="801777467">
          <w:marLeft w:val="0"/>
          <w:marRight w:val="0"/>
          <w:marTop w:val="0"/>
          <w:marBottom w:val="0"/>
          <w:divBdr>
            <w:top w:val="none" w:sz="0" w:space="0" w:color="auto"/>
            <w:left w:val="none" w:sz="0" w:space="0" w:color="auto"/>
            <w:bottom w:val="none" w:sz="0" w:space="0" w:color="auto"/>
            <w:right w:val="none" w:sz="0" w:space="0" w:color="auto"/>
          </w:divBdr>
        </w:div>
        <w:div w:id="815802971">
          <w:marLeft w:val="0"/>
          <w:marRight w:val="0"/>
          <w:marTop w:val="0"/>
          <w:marBottom w:val="0"/>
          <w:divBdr>
            <w:top w:val="none" w:sz="0" w:space="0" w:color="auto"/>
            <w:left w:val="none" w:sz="0" w:space="0" w:color="auto"/>
            <w:bottom w:val="none" w:sz="0" w:space="0" w:color="auto"/>
            <w:right w:val="none" w:sz="0" w:space="0" w:color="auto"/>
          </w:divBdr>
        </w:div>
        <w:div w:id="917978895">
          <w:marLeft w:val="0"/>
          <w:marRight w:val="0"/>
          <w:marTop w:val="0"/>
          <w:marBottom w:val="0"/>
          <w:divBdr>
            <w:top w:val="none" w:sz="0" w:space="0" w:color="auto"/>
            <w:left w:val="none" w:sz="0" w:space="0" w:color="auto"/>
            <w:bottom w:val="none" w:sz="0" w:space="0" w:color="auto"/>
            <w:right w:val="none" w:sz="0" w:space="0" w:color="auto"/>
          </w:divBdr>
        </w:div>
        <w:div w:id="1028799068">
          <w:marLeft w:val="0"/>
          <w:marRight w:val="0"/>
          <w:marTop w:val="0"/>
          <w:marBottom w:val="0"/>
          <w:divBdr>
            <w:top w:val="none" w:sz="0" w:space="0" w:color="auto"/>
            <w:left w:val="none" w:sz="0" w:space="0" w:color="auto"/>
            <w:bottom w:val="none" w:sz="0" w:space="0" w:color="auto"/>
            <w:right w:val="none" w:sz="0" w:space="0" w:color="auto"/>
          </w:divBdr>
        </w:div>
        <w:div w:id="1120299351">
          <w:marLeft w:val="0"/>
          <w:marRight w:val="0"/>
          <w:marTop w:val="0"/>
          <w:marBottom w:val="0"/>
          <w:divBdr>
            <w:top w:val="none" w:sz="0" w:space="0" w:color="auto"/>
            <w:left w:val="none" w:sz="0" w:space="0" w:color="auto"/>
            <w:bottom w:val="none" w:sz="0" w:space="0" w:color="auto"/>
            <w:right w:val="none" w:sz="0" w:space="0" w:color="auto"/>
          </w:divBdr>
        </w:div>
        <w:div w:id="1228145629">
          <w:marLeft w:val="0"/>
          <w:marRight w:val="0"/>
          <w:marTop w:val="0"/>
          <w:marBottom w:val="0"/>
          <w:divBdr>
            <w:top w:val="none" w:sz="0" w:space="0" w:color="auto"/>
            <w:left w:val="none" w:sz="0" w:space="0" w:color="auto"/>
            <w:bottom w:val="none" w:sz="0" w:space="0" w:color="auto"/>
            <w:right w:val="none" w:sz="0" w:space="0" w:color="auto"/>
          </w:divBdr>
        </w:div>
        <w:div w:id="1274092373">
          <w:marLeft w:val="0"/>
          <w:marRight w:val="0"/>
          <w:marTop w:val="0"/>
          <w:marBottom w:val="0"/>
          <w:divBdr>
            <w:top w:val="none" w:sz="0" w:space="0" w:color="auto"/>
            <w:left w:val="none" w:sz="0" w:space="0" w:color="auto"/>
            <w:bottom w:val="none" w:sz="0" w:space="0" w:color="auto"/>
            <w:right w:val="none" w:sz="0" w:space="0" w:color="auto"/>
          </w:divBdr>
        </w:div>
        <w:div w:id="1366561825">
          <w:marLeft w:val="0"/>
          <w:marRight w:val="0"/>
          <w:marTop w:val="0"/>
          <w:marBottom w:val="0"/>
          <w:divBdr>
            <w:top w:val="none" w:sz="0" w:space="0" w:color="auto"/>
            <w:left w:val="none" w:sz="0" w:space="0" w:color="auto"/>
            <w:bottom w:val="none" w:sz="0" w:space="0" w:color="auto"/>
            <w:right w:val="none" w:sz="0" w:space="0" w:color="auto"/>
          </w:divBdr>
        </w:div>
        <w:div w:id="1407192358">
          <w:marLeft w:val="0"/>
          <w:marRight w:val="0"/>
          <w:marTop w:val="0"/>
          <w:marBottom w:val="0"/>
          <w:divBdr>
            <w:top w:val="none" w:sz="0" w:space="0" w:color="auto"/>
            <w:left w:val="none" w:sz="0" w:space="0" w:color="auto"/>
            <w:bottom w:val="none" w:sz="0" w:space="0" w:color="auto"/>
            <w:right w:val="none" w:sz="0" w:space="0" w:color="auto"/>
          </w:divBdr>
        </w:div>
        <w:div w:id="1458793593">
          <w:marLeft w:val="0"/>
          <w:marRight w:val="0"/>
          <w:marTop w:val="0"/>
          <w:marBottom w:val="0"/>
          <w:divBdr>
            <w:top w:val="none" w:sz="0" w:space="0" w:color="auto"/>
            <w:left w:val="none" w:sz="0" w:space="0" w:color="auto"/>
            <w:bottom w:val="none" w:sz="0" w:space="0" w:color="auto"/>
            <w:right w:val="none" w:sz="0" w:space="0" w:color="auto"/>
          </w:divBdr>
        </w:div>
        <w:div w:id="1583224436">
          <w:marLeft w:val="0"/>
          <w:marRight w:val="0"/>
          <w:marTop w:val="0"/>
          <w:marBottom w:val="0"/>
          <w:divBdr>
            <w:top w:val="none" w:sz="0" w:space="0" w:color="auto"/>
            <w:left w:val="none" w:sz="0" w:space="0" w:color="auto"/>
            <w:bottom w:val="none" w:sz="0" w:space="0" w:color="auto"/>
            <w:right w:val="none" w:sz="0" w:space="0" w:color="auto"/>
          </w:divBdr>
        </w:div>
        <w:div w:id="1594782924">
          <w:marLeft w:val="0"/>
          <w:marRight w:val="0"/>
          <w:marTop w:val="0"/>
          <w:marBottom w:val="0"/>
          <w:divBdr>
            <w:top w:val="none" w:sz="0" w:space="0" w:color="auto"/>
            <w:left w:val="none" w:sz="0" w:space="0" w:color="auto"/>
            <w:bottom w:val="none" w:sz="0" w:space="0" w:color="auto"/>
            <w:right w:val="none" w:sz="0" w:space="0" w:color="auto"/>
          </w:divBdr>
        </w:div>
        <w:div w:id="1687367673">
          <w:marLeft w:val="0"/>
          <w:marRight w:val="0"/>
          <w:marTop w:val="0"/>
          <w:marBottom w:val="0"/>
          <w:divBdr>
            <w:top w:val="none" w:sz="0" w:space="0" w:color="auto"/>
            <w:left w:val="none" w:sz="0" w:space="0" w:color="auto"/>
            <w:bottom w:val="none" w:sz="0" w:space="0" w:color="auto"/>
            <w:right w:val="none" w:sz="0" w:space="0" w:color="auto"/>
          </w:divBdr>
        </w:div>
        <w:div w:id="1697266061">
          <w:marLeft w:val="0"/>
          <w:marRight w:val="0"/>
          <w:marTop w:val="0"/>
          <w:marBottom w:val="0"/>
          <w:divBdr>
            <w:top w:val="none" w:sz="0" w:space="0" w:color="auto"/>
            <w:left w:val="none" w:sz="0" w:space="0" w:color="auto"/>
            <w:bottom w:val="none" w:sz="0" w:space="0" w:color="auto"/>
            <w:right w:val="none" w:sz="0" w:space="0" w:color="auto"/>
          </w:divBdr>
        </w:div>
        <w:div w:id="1721586047">
          <w:marLeft w:val="0"/>
          <w:marRight w:val="0"/>
          <w:marTop w:val="0"/>
          <w:marBottom w:val="0"/>
          <w:divBdr>
            <w:top w:val="none" w:sz="0" w:space="0" w:color="auto"/>
            <w:left w:val="none" w:sz="0" w:space="0" w:color="auto"/>
            <w:bottom w:val="none" w:sz="0" w:space="0" w:color="auto"/>
            <w:right w:val="none" w:sz="0" w:space="0" w:color="auto"/>
          </w:divBdr>
        </w:div>
        <w:div w:id="1732655181">
          <w:marLeft w:val="0"/>
          <w:marRight w:val="0"/>
          <w:marTop w:val="0"/>
          <w:marBottom w:val="0"/>
          <w:divBdr>
            <w:top w:val="none" w:sz="0" w:space="0" w:color="auto"/>
            <w:left w:val="none" w:sz="0" w:space="0" w:color="auto"/>
            <w:bottom w:val="none" w:sz="0" w:space="0" w:color="auto"/>
            <w:right w:val="none" w:sz="0" w:space="0" w:color="auto"/>
          </w:divBdr>
        </w:div>
        <w:div w:id="1743063807">
          <w:marLeft w:val="0"/>
          <w:marRight w:val="0"/>
          <w:marTop w:val="0"/>
          <w:marBottom w:val="0"/>
          <w:divBdr>
            <w:top w:val="none" w:sz="0" w:space="0" w:color="auto"/>
            <w:left w:val="none" w:sz="0" w:space="0" w:color="auto"/>
            <w:bottom w:val="none" w:sz="0" w:space="0" w:color="auto"/>
            <w:right w:val="none" w:sz="0" w:space="0" w:color="auto"/>
          </w:divBdr>
        </w:div>
        <w:div w:id="1745447269">
          <w:marLeft w:val="0"/>
          <w:marRight w:val="0"/>
          <w:marTop w:val="0"/>
          <w:marBottom w:val="0"/>
          <w:divBdr>
            <w:top w:val="none" w:sz="0" w:space="0" w:color="auto"/>
            <w:left w:val="none" w:sz="0" w:space="0" w:color="auto"/>
            <w:bottom w:val="none" w:sz="0" w:space="0" w:color="auto"/>
            <w:right w:val="none" w:sz="0" w:space="0" w:color="auto"/>
          </w:divBdr>
        </w:div>
        <w:div w:id="1786120163">
          <w:marLeft w:val="0"/>
          <w:marRight w:val="0"/>
          <w:marTop w:val="0"/>
          <w:marBottom w:val="0"/>
          <w:divBdr>
            <w:top w:val="none" w:sz="0" w:space="0" w:color="auto"/>
            <w:left w:val="none" w:sz="0" w:space="0" w:color="auto"/>
            <w:bottom w:val="none" w:sz="0" w:space="0" w:color="auto"/>
            <w:right w:val="none" w:sz="0" w:space="0" w:color="auto"/>
          </w:divBdr>
        </w:div>
        <w:div w:id="1826244799">
          <w:marLeft w:val="0"/>
          <w:marRight w:val="0"/>
          <w:marTop w:val="0"/>
          <w:marBottom w:val="0"/>
          <w:divBdr>
            <w:top w:val="none" w:sz="0" w:space="0" w:color="auto"/>
            <w:left w:val="none" w:sz="0" w:space="0" w:color="auto"/>
            <w:bottom w:val="none" w:sz="0" w:space="0" w:color="auto"/>
            <w:right w:val="none" w:sz="0" w:space="0" w:color="auto"/>
          </w:divBdr>
        </w:div>
        <w:div w:id="1848015703">
          <w:marLeft w:val="0"/>
          <w:marRight w:val="0"/>
          <w:marTop w:val="0"/>
          <w:marBottom w:val="0"/>
          <w:divBdr>
            <w:top w:val="none" w:sz="0" w:space="0" w:color="auto"/>
            <w:left w:val="none" w:sz="0" w:space="0" w:color="auto"/>
            <w:bottom w:val="none" w:sz="0" w:space="0" w:color="auto"/>
            <w:right w:val="none" w:sz="0" w:space="0" w:color="auto"/>
          </w:divBdr>
        </w:div>
        <w:div w:id="2042431536">
          <w:marLeft w:val="0"/>
          <w:marRight w:val="0"/>
          <w:marTop w:val="0"/>
          <w:marBottom w:val="0"/>
          <w:divBdr>
            <w:top w:val="none" w:sz="0" w:space="0" w:color="auto"/>
            <w:left w:val="none" w:sz="0" w:space="0" w:color="auto"/>
            <w:bottom w:val="none" w:sz="0" w:space="0" w:color="auto"/>
            <w:right w:val="none" w:sz="0" w:space="0" w:color="auto"/>
          </w:divBdr>
        </w:div>
        <w:div w:id="2045211502">
          <w:marLeft w:val="0"/>
          <w:marRight w:val="0"/>
          <w:marTop w:val="0"/>
          <w:marBottom w:val="0"/>
          <w:divBdr>
            <w:top w:val="none" w:sz="0" w:space="0" w:color="auto"/>
            <w:left w:val="none" w:sz="0" w:space="0" w:color="auto"/>
            <w:bottom w:val="none" w:sz="0" w:space="0" w:color="auto"/>
            <w:right w:val="none" w:sz="0" w:space="0" w:color="auto"/>
          </w:divBdr>
        </w:div>
        <w:div w:id="2052873263">
          <w:marLeft w:val="0"/>
          <w:marRight w:val="0"/>
          <w:marTop w:val="0"/>
          <w:marBottom w:val="0"/>
          <w:divBdr>
            <w:top w:val="none" w:sz="0" w:space="0" w:color="auto"/>
            <w:left w:val="none" w:sz="0" w:space="0" w:color="auto"/>
            <w:bottom w:val="none" w:sz="0" w:space="0" w:color="auto"/>
            <w:right w:val="none" w:sz="0" w:space="0" w:color="auto"/>
          </w:divBdr>
        </w:div>
        <w:div w:id="2118090340">
          <w:marLeft w:val="0"/>
          <w:marRight w:val="0"/>
          <w:marTop w:val="0"/>
          <w:marBottom w:val="0"/>
          <w:divBdr>
            <w:top w:val="none" w:sz="0" w:space="0" w:color="auto"/>
            <w:left w:val="none" w:sz="0" w:space="0" w:color="auto"/>
            <w:bottom w:val="none" w:sz="0" w:space="0" w:color="auto"/>
            <w:right w:val="none" w:sz="0" w:space="0" w:color="auto"/>
          </w:divBdr>
        </w:div>
      </w:divsChild>
    </w:div>
    <w:div w:id="991131012">
      <w:bodyDiv w:val="1"/>
      <w:marLeft w:val="0"/>
      <w:marRight w:val="0"/>
      <w:marTop w:val="0"/>
      <w:marBottom w:val="0"/>
      <w:divBdr>
        <w:top w:val="none" w:sz="0" w:space="0" w:color="auto"/>
        <w:left w:val="none" w:sz="0" w:space="0" w:color="auto"/>
        <w:bottom w:val="none" w:sz="0" w:space="0" w:color="auto"/>
        <w:right w:val="none" w:sz="0" w:space="0" w:color="auto"/>
      </w:divBdr>
      <w:divsChild>
        <w:div w:id="1606111806">
          <w:marLeft w:val="0"/>
          <w:marRight w:val="0"/>
          <w:marTop w:val="0"/>
          <w:marBottom w:val="0"/>
          <w:divBdr>
            <w:top w:val="none" w:sz="0" w:space="0" w:color="auto"/>
            <w:left w:val="none" w:sz="0" w:space="0" w:color="auto"/>
            <w:bottom w:val="none" w:sz="0" w:space="0" w:color="auto"/>
            <w:right w:val="none" w:sz="0" w:space="0" w:color="auto"/>
          </w:divBdr>
          <w:divsChild>
            <w:div w:id="2020305293">
              <w:marLeft w:val="0"/>
              <w:marRight w:val="0"/>
              <w:marTop w:val="0"/>
              <w:marBottom w:val="0"/>
              <w:divBdr>
                <w:top w:val="none" w:sz="0" w:space="0" w:color="auto"/>
                <w:left w:val="none" w:sz="0" w:space="0" w:color="auto"/>
                <w:bottom w:val="none" w:sz="0" w:space="0" w:color="auto"/>
                <w:right w:val="none" w:sz="0" w:space="0" w:color="auto"/>
              </w:divBdr>
              <w:divsChild>
                <w:div w:id="14969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4757">
      <w:bodyDiv w:val="1"/>
      <w:marLeft w:val="0"/>
      <w:marRight w:val="0"/>
      <w:marTop w:val="0"/>
      <w:marBottom w:val="0"/>
      <w:divBdr>
        <w:top w:val="none" w:sz="0" w:space="0" w:color="auto"/>
        <w:left w:val="none" w:sz="0" w:space="0" w:color="auto"/>
        <w:bottom w:val="none" w:sz="0" w:space="0" w:color="auto"/>
        <w:right w:val="none" w:sz="0" w:space="0" w:color="auto"/>
      </w:divBdr>
    </w:div>
    <w:div w:id="1028528408">
      <w:bodyDiv w:val="1"/>
      <w:marLeft w:val="0"/>
      <w:marRight w:val="0"/>
      <w:marTop w:val="0"/>
      <w:marBottom w:val="0"/>
      <w:divBdr>
        <w:top w:val="none" w:sz="0" w:space="0" w:color="auto"/>
        <w:left w:val="none" w:sz="0" w:space="0" w:color="auto"/>
        <w:bottom w:val="none" w:sz="0" w:space="0" w:color="auto"/>
        <w:right w:val="none" w:sz="0" w:space="0" w:color="auto"/>
      </w:divBdr>
    </w:div>
    <w:div w:id="1039622828">
      <w:bodyDiv w:val="1"/>
      <w:marLeft w:val="0"/>
      <w:marRight w:val="0"/>
      <w:marTop w:val="0"/>
      <w:marBottom w:val="0"/>
      <w:divBdr>
        <w:top w:val="none" w:sz="0" w:space="0" w:color="auto"/>
        <w:left w:val="none" w:sz="0" w:space="0" w:color="auto"/>
        <w:bottom w:val="none" w:sz="0" w:space="0" w:color="auto"/>
        <w:right w:val="none" w:sz="0" w:space="0" w:color="auto"/>
      </w:divBdr>
      <w:divsChild>
        <w:div w:id="300036858">
          <w:marLeft w:val="0"/>
          <w:marRight w:val="0"/>
          <w:marTop w:val="0"/>
          <w:marBottom w:val="0"/>
          <w:divBdr>
            <w:top w:val="none" w:sz="0" w:space="0" w:color="auto"/>
            <w:left w:val="none" w:sz="0" w:space="0" w:color="auto"/>
            <w:bottom w:val="none" w:sz="0" w:space="0" w:color="auto"/>
            <w:right w:val="none" w:sz="0" w:space="0" w:color="auto"/>
          </w:divBdr>
          <w:divsChild>
            <w:div w:id="127282270">
              <w:marLeft w:val="0"/>
              <w:marRight w:val="0"/>
              <w:marTop w:val="0"/>
              <w:marBottom w:val="0"/>
              <w:divBdr>
                <w:top w:val="none" w:sz="0" w:space="0" w:color="auto"/>
                <w:left w:val="none" w:sz="0" w:space="0" w:color="auto"/>
                <w:bottom w:val="none" w:sz="0" w:space="0" w:color="auto"/>
                <w:right w:val="none" w:sz="0" w:space="0" w:color="auto"/>
              </w:divBdr>
              <w:divsChild>
                <w:div w:id="1066102625">
                  <w:marLeft w:val="0"/>
                  <w:marRight w:val="0"/>
                  <w:marTop w:val="0"/>
                  <w:marBottom w:val="0"/>
                  <w:divBdr>
                    <w:top w:val="none" w:sz="0" w:space="0" w:color="auto"/>
                    <w:left w:val="none" w:sz="0" w:space="0" w:color="auto"/>
                    <w:bottom w:val="none" w:sz="0" w:space="0" w:color="auto"/>
                    <w:right w:val="none" w:sz="0" w:space="0" w:color="auto"/>
                  </w:divBdr>
                </w:div>
              </w:divsChild>
            </w:div>
            <w:div w:id="234321586">
              <w:marLeft w:val="0"/>
              <w:marRight w:val="0"/>
              <w:marTop w:val="0"/>
              <w:marBottom w:val="0"/>
              <w:divBdr>
                <w:top w:val="none" w:sz="0" w:space="0" w:color="auto"/>
                <w:left w:val="none" w:sz="0" w:space="0" w:color="auto"/>
                <w:bottom w:val="none" w:sz="0" w:space="0" w:color="auto"/>
                <w:right w:val="none" w:sz="0" w:space="0" w:color="auto"/>
              </w:divBdr>
              <w:divsChild>
                <w:div w:id="846019368">
                  <w:marLeft w:val="0"/>
                  <w:marRight w:val="0"/>
                  <w:marTop w:val="0"/>
                  <w:marBottom w:val="0"/>
                  <w:divBdr>
                    <w:top w:val="none" w:sz="0" w:space="0" w:color="auto"/>
                    <w:left w:val="none" w:sz="0" w:space="0" w:color="auto"/>
                    <w:bottom w:val="none" w:sz="0" w:space="0" w:color="auto"/>
                    <w:right w:val="none" w:sz="0" w:space="0" w:color="auto"/>
                  </w:divBdr>
                </w:div>
                <w:div w:id="2013607863">
                  <w:marLeft w:val="0"/>
                  <w:marRight w:val="0"/>
                  <w:marTop w:val="0"/>
                  <w:marBottom w:val="0"/>
                  <w:divBdr>
                    <w:top w:val="none" w:sz="0" w:space="0" w:color="auto"/>
                    <w:left w:val="none" w:sz="0" w:space="0" w:color="auto"/>
                    <w:bottom w:val="none" w:sz="0" w:space="0" w:color="auto"/>
                    <w:right w:val="none" w:sz="0" w:space="0" w:color="auto"/>
                  </w:divBdr>
                </w:div>
              </w:divsChild>
            </w:div>
            <w:div w:id="471288350">
              <w:marLeft w:val="0"/>
              <w:marRight w:val="0"/>
              <w:marTop w:val="0"/>
              <w:marBottom w:val="0"/>
              <w:divBdr>
                <w:top w:val="none" w:sz="0" w:space="0" w:color="auto"/>
                <w:left w:val="none" w:sz="0" w:space="0" w:color="auto"/>
                <w:bottom w:val="none" w:sz="0" w:space="0" w:color="auto"/>
                <w:right w:val="none" w:sz="0" w:space="0" w:color="auto"/>
              </w:divBdr>
              <w:divsChild>
                <w:div w:id="827357544">
                  <w:marLeft w:val="0"/>
                  <w:marRight w:val="0"/>
                  <w:marTop w:val="0"/>
                  <w:marBottom w:val="0"/>
                  <w:divBdr>
                    <w:top w:val="none" w:sz="0" w:space="0" w:color="auto"/>
                    <w:left w:val="none" w:sz="0" w:space="0" w:color="auto"/>
                    <w:bottom w:val="none" w:sz="0" w:space="0" w:color="auto"/>
                    <w:right w:val="none" w:sz="0" w:space="0" w:color="auto"/>
                  </w:divBdr>
                </w:div>
                <w:div w:id="840898052">
                  <w:marLeft w:val="0"/>
                  <w:marRight w:val="0"/>
                  <w:marTop w:val="0"/>
                  <w:marBottom w:val="0"/>
                  <w:divBdr>
                    <w:top w:val="none" w:sz="0" w:space="0" w:color="auto"/>
                    <w:left w:val="none" w:sz="0" w:space="0" w:color="auto"/>
                    <w:bottom w:val="none" w:sz="0" w:space="0" w:color="auto"/>
                    <w:right w:val="none" w:sz="0" w:space="0" w:color="auto"/>
                  </w:divBdr>
                </w:div>
                <w:div w:id="1554656237">
                  <w:marLeft w:val="0"/>
                  <w:marRight w:val="0"/>
                  <w:marTop w:val="0"/>
                  <w:marBottom w:val="0"/>
                  <w:divBdr>
                    <w:top w:val="none" w:sz="0" w:space="0" w:color="auto"/>
                    <w:left w:val="none" w:sz="0" w:space="0" w:color="auto"/>
                    <w:bottom w:val="none" w:sz="0" w:space="0" w:color="auto"/>
                    <w:right w:val="none" w:sz="0" w:space="0" w:color="auto"/>
                  </w:divBdr>
                </w:div>
              </w:divsChild>
            </w:div>
            <w:div w:id="492111673">
              <w:marLeft w:val="0"/>
              <w:marRight w:val="0"/>
              <w:marTop w:val="0"/>
              <w:marBottom w:val="0"/>
              <w:divBdr>
                <w:top w:val="none" w:sz="0" w:space="0" w:color="auto"/>
                <w:left w:val="none" w:sz="0" w:space="0" w:color="auto"/>
                <w:bottom w:val="none" w:sz="0" w:space="0" w:color="auto"/>
                <w:right w:val="none" w:sz="0" w:space="0" w:color="auto"/>
              </w:divBdr>
              <w:divsChild>
                <w:div w:id="1477331760">
                  <w:marLeft w:val="0"/>
                  <w:marRight w:val="0"/>
                  <w:marTop w:val="0"/>
                  <w:marBottom w:val="0"/>
                  <w:divBdr>
                    <w:top w:val="none" w:sz="0" w:space="0" w:color="auto"/>
                    <w:left w:val="none" w:sz="0" w:space="0" w:color="auto"/>
                    <w:bottom w:val="none" w:sz="0" w:space="0" w:color="auto"/>
                    <w:right w:val="none" w:sz="0" w:space="0" w:color="auto"/>
                  </w:divBdr>
                </w:div>
                <w:div w:id="1816986563">
                  <w:marLeft w:val="0"/>
                  <w:marRight w:val="0"/>
                  <w:marTop w:val="0"/>
                  <w:marBottom w:val="0"/>
                  <w:divBdr>
                    <w:top w:val="none" w:sz="0" w:space="0" w:color="auto"/>
                    <w:left w:val="none" w:sz="0" w:space="0" w:color="auto"/>
                    <w:bottom w:val="none" w:sz="0" w:space="0" w:color="auto"/>
                    <w:right w:val="none" w:sz="0" w:space="0" w:color="auto"/>
                  </w:divBdr>
                </w:div>
                <w:div w:id="2036998236">
                  <w:marLeft w:val="0"/>
                  <w:marRight w:val="0"/>
                  <w:marTop w:val="0"/>
                  <w:marBottom w:val="0"/>
                  <w:divBdr>
                    <w:top w:val="none" w:sz="0" w:space="0" w:color="auto"/>
                    <w:left w:val="none" w:sz="0" w:space="0" w:color="auto"/>
                    <w:bottom w:val="none" w:sz="0" w:space="0" w:color="auto"/>
                    <w:right w:val="none" w:sz="0" w:space="0" w:color="auto"/>
                  </w:divBdr>
                </w:div>
              </w:divsChild>
            </w:div>
            <w:div w:id="508913329">
              <w:marLeft w:val="0"/>
              <w:marRight w:val="0"/>
              <w:marTop w:val="0"/>
              <w:marBottom w:val="0"/>
              <w:divBdr>
                <w:top w:val="none" w:sz="0" w:space="0" w:color="auto"/>
                <w:left w:val="none" w:sz="0" w:space="0" w:color="auto"/>
                <w:bottom w:val="none" w:sz="0" w:space="0" w:color="auto"/>
                <w:right w:val="none" w:sz="0" w:space="0" w:color="auto"/>
              </w:divBdr>
              <w:divsChild>
                <w:div w:id="467093077">
                  <w:marLeft w:val="0"/>
                  <w:marRight w:val="0"/>
                  <w:marTop w:val="0"/>
                  <w:marBottom w:val="0"/>
                  <w:divBdr>
                    <w:top w:val="none" w:sz="0" w:space="0" w:color="auto"/>
                    <w:left w:val="none" w:sz="0" w:space="0" w:color="auto"/>
                    <w:bottom w:val="none" w:sz="0" w:space="0" w:color="auto"/>
                    <w:right w:val="none" w:sz="0" w:space="0" w:color="auto"/>
                  </w:divBdr>
                </w:div>
                <w:div w:id="794055793">
                  <w:marLeft w:val="0"/>
                  <w:marRight w:val="0"/>
                  <w:marTop w:val="0"/>
                  <w:marBottom w:val="0"/>
                  <w:divBdr>
                    <w:top w:val="none" w:sz="0" w:space="0" w:color="auto"/>
                    <w:left w:val="none" w:sz="0" w:space="0" w:color="auto"/>
                    <w:bottom w:val="none" w:sz="0" w:space="0" w:color="auto"/>
                    <w:right w:val="none" w:sz="0" w:space="0" w:color="auto"/>
                  </w:divBdr>
                </w:div>
                <w:div w:id="1126780264">
                  <w:marLeft w:val="0"/>
                  <w:marRight w:val="0"/>
                  <w:marTop w:val="0"/>
                  <w:marBottom w:val="0"/>
                  <w:divBdr>
                    <w:top w:val="none" w:sz="0" w:space="0" w:color="auto"/>
                    <w:left w:val="none" w:sz="0" w:space="0" w:color="auto"/>
                    <w:bottom w:val="none" w:sz="0" w:space="0" w:color="auto"/>
                    <w:right w:val="none" w:sz="0" w:space="0" w:color="auto"/>
                  </w:divBdr>
                </w:div>
              </w:divsChild>
            </w:div>
            <w:div w:id="535696796">
              <w:marLeft w:val="0"/>
              <w:marRight w:val="0"/>
              <w:marTop w:val="0"/>
              <w:marBottom w:val="0"/>
              <w:divBdr>
                <w:top w:val="none" w:sz="0" w:space="0" w:color="auto"/>
                <w:left w:val="none" w:sz="0" w:space="0" w:color="auto"/>
                <w:bottom w:val="none" w:sz="0" w:space="0" w:color="auto"/>
                <w:right w:val="none" w:sz="0" w:space="0" w:color="auto"/>
              </w:divBdr>
              <w:divsChild>
                <w:div w:id="1692687447">
                  <w:marLeft w:val="0"/>
                  <w:marRight w:val="0"/>
                  <w:marTop w:val="0"/>
                  <w:marBottom w:val="0"/>
                  <w:divBdr>
                    <w:top w:val="none" w:sz="0" w:space="0" w:color="auto"/>
                    <w:left w:val="none" w:sz="0" w:space="0" w:color="auto"/>
                    <w:bottom w:val="none" w:sz="0" w:space="0" w:color="auto"/>
                    <w:right w:val="none" w:sz="0" w:space="0" w:color="auto"/>
                  </w:divBdr>
                </w:div>
              </w:divsChild>
            </w:div>
            <w:div w:id="628701554">
              <w:marLeft w:val="0"/>
              <w:marRight w:val="0"/>
              <w:marTop w:val="0"/>
              <w:marBottom w:val="0"/>
              <w:divBdr>
                <w:top w:val="none" w:sz="0" w:space="0" w:color="auto"/>
                <w:left w:val="none" w:sz="0" w:space="0" w:color="auto"/>
                <w:bottom w:val="none" w:sz="0" w:space="0" w:color="auto"/>
                <w:right w:val="none" w:sz="0" w:space="0" w:color="auto"/>
              </w:divBdr>
              <w:divsChild>
                <w:div w:id="1104883162">
                  <w:marLeft w:val="0"/>
                  <w:marRight w:val="0"/>
                  <w:marTop w:val="0"/>
                  <w:marBottom w:val="0"/>
                  <w:divBdr>
                    <w:top w:val="none" w:sz="0" w:space="0" w:color="auto"/>
                    <w:left w:val="none" w:sz="0" w:space="0" w:color="auto"/>
                    <w:bottom w:val="none" w:sz="0" w:space="0" w:color="auto"/>
                    <w:right w:val="none" w:sz="0" w:space="0" w:color="auto"/>
                  </w:divBdr>
                </w:div>
              </w:divsChild>
            </w:div>
            <w:div w:id="776759053">
              <w:marLeft w:val="0"/>
              <w:marRight w:val="0"/>
              <w:marTop w:val="0"/>
              <w:marBottom w:val="0"/>
              <w:divBdr>
                <w:top w:val="none" w:sz="0" w:space="0" w:color="auto"/>
                <w:left w:val="none" w:sz="0" w:space="0" w:color="auto"/>
                <w:bottom w:val="none" w:sz="0" w:space="0" w:color="auto"/>
                <w:right w:val="none" w:sz="0" w:space="0" w:color="auto"/>
              </w:divBdr>
              <w:divsChild>
                <w:div w:id="608975831">
                  <w:marLeft w:val="0"/>
                  <w:marRight w:val="0"/>
                  <w:marTop w:val="0"/>
                  <w:marBottom w:val="0"/>
                  <w:divBdr>
                    <w:top w:val="none" w:sz="0" w:space="0" w:color="auto"/>
                    <w:left w:val="none" w:sz="0" w:space="0" w:color="auto"/>
                    <w:bottom w:val="none" w:sz="0" w:space="0" w:color="auto"/>
                    <w:right w:val="none" w:sz="0" w:space="0" w:color="auto"/>
                  </w:divBdr>
                </w:div>
              </w:divsChild>
            </w:div>
            <w:div w:id="1058823514">
              <w:marLeft w:val="0"/>
              <w:marRight w:val="0"/>
              <w:marTop w:val="0"/>
              <w:marBottom w:val="0"/>
              <w:divBdr>
                <w:top w:val="none" w:sz="0" w:space="0" w:color="auto"/>
                <w:left w:val="none" w:sz="0" w:space="0" w:color="auto"/>
                <w:bottom w:val="none" w:sz="0" w:space="0" w:color="auto"/>
                <w:right w:val="none" w:sz="0" w:space="0" w:color="auto"/>
              </w:divBdr>
              <w:divsChild>
                <w:div w:id="379329550">
                  <w:marLeft w:val="0"/>
                  <w:marRight w:val="0"/>
                  <w:marTop w:val="0"/>
                  <w:marBottom w:val="0"/>
                  <w:divBdr>
                    <w:top w:val="none" w:sz="0" w:space="0" w:color="auto"/>
                    <w:left w:val="none" w:sz="0" w:space="0" w:color="auto"/>
                    <w:bottom w:val="none" w:sz="0" w:space="0" w:color="auto"/>
                    <w:right w:val="none" w:sz="0" w:space="0" w:color="auto"/>
                  </w:divBdr>
                </w:div>
                <w:div w:id="1120104668">
                  <w:marLeft w:val="0"/>
                  <w:marRight w:val="0"/>
                  <w:marTop w:val="0"/>
                  <w:marBottom w:val="0"/>
                  <w:divBdr>
                    <w:top w:val="none" w:sz="0" w:space="0" w:color="auto"/>
                    <w:left w:val="none" w:sz="0" w:space="0" w:color="auto"/>
                    <w:bottom w:val="none" w:sz="0" w:space="0" w:color="auto"/>
                    <w:right w:val="none" w:sz="0" w:space="0" w:color="auto"/>
                  </w:divBdr>
                </w:div>
              </w:divsChild>
            </w:div>
            <w:div w:id="1087577175">
              <w:marLeft w:val="0"/>
              <w:marRight w:val="0"/>
              <w:marTop w:val="0"/>
              <w:marBottom w:val="0"/>
              <w:divBdr>
                <w:top w:val="none" w:sz="0" w:space="0" w:color="auto"/>
                <w:left w:val="none" w:sz="0" w:space="0" w:color="auto"/>
                <w:bottom w:val="none" w:sz="0" w:space="0" w:color="auto"/>
                <w:right w:val="none" w:sz="0" w:space="0" w:color="auto"/>
              </w:divBdr>
              <w:divsChild>
                <w:div w:id="685060461">
                  <w:marLeft w:val="0"/>
                  <w:marRight w:val="0"/>
                  <w:marTop w:val="0"/>
                  <w:marBottom w:val="0"/>
                  <w:divBdr>
                    <w:top w:val="none" w:sz="0" w:space="0" w:color="auto"/>
                    <w:left w:val="none" w:sz="0" w:space="0" w:color="auto"/>
                    <w:bottom w:val="none" w:sz="0" w:space="0" w:color="auto"/>
                    <w:right w:val="none" w:sz="0" w:space="0" w:color="auto"/>
                  </w:divBdr>
                </w:div>
              </w:divsChild>
            </w:div>
            <w:div w:id="1144204308">
              <w:marLeft w:val="0"/>
              <w:marRight w:val="0"/>
              <w:marTop w:val="0"/>
              <w:marBottom w:val="0"/>
              <w:divBdr>
                <w:top w:val="none" w:sz="0" w:space="0" w:color="auto"/>
                <w:left w:val="none" w:sz="0" w:space="0" w:color="auto"/>
                <w:bottom w:val="none" w:sz="0" w:space="0" w:color="auto"/>
                <w:right w:val="none" w:sz="0" w:space="0" w:color="auto"/>
              </w:divBdr>
              <w:divsChild>
                <w:div w:id="333342693">
                  <w:marLeft w:val="0"/>
                  <w:marRight w:val="0"/>
                  <w:marTop w:val="0"/>
                  <w:marBottom w:val="0"/>
                  <w:divBdr>
                    <w:top w:val="none" w:sz="0" w:space="0" w:color="auto"/>
                    <w:left w:val="none" w:sz="0" w:space="0" w:color="auto"/>
                    <w:bottom w:val="none" w:sz="0" w:space="0" w:color="auto"/>
                    <w:right w:val="none" w:sz="0" w:space="0" w:color="auto"/>
                  </w:divBdr>
                </w:div>
                <w:div w:id="1369988993">
                  <w:marLeft w:val="0"/>
                  <w:marRight w:val="0"/>
                  <w:marTop w:val="0"/>
                  <w:marBottom w:val="0"/>
                  <w:divBdr>
                    <w:top w:val="none" w:sz="0" w:space="0" w:color="auto"/>
                    <w:left w:val="none" w:sz="0" w:space="0" w:color="auto"/>
                    <w:bottom w:val="none" w:sz="0" w:space="0" w:color="auto"/>
                    <w:right w:val="none" w:sz="0" w:space="0" w:color="auto"/>
                  </w:divBdr>
                </w:div>
                <w:div w:id="2090420508">
                  <w:marLeft w:val="0"/>
                  <w:marRight w:val="0"/>
                  <w:marTop w:val="0"/>
                  <w:marBottom w:val="0"/>
                  <w:divBdr>
                    <w:top w:val="none" w:sz="0" w:space="0" w:color="auto"/>
                    <w:left w:val="none" w:sz="0" w:space="0" w:color="auto"/>
                    <w:bottom w:val="none" w:sz="0" w:space="0" w:color="auto"/>
                    <w:right w:val="none" w:sz="0" w:space="0" w:color="auto"/>
                  </w:divBdr>
                </w:div>
              </w:divsChild>
            </w:div>
            <w:div w:id="1177882682">
              <w:marLeft w:val="0"/>
              <w:marRight w:val="0"/>
              <w:marTop w:val="0"/>
              <w:marBottom w:val="0"/>
              <w:divBdr>
                <w:top w:val="none" w:sz="0" w:space="0" w:color="auto"/>
                <w:left w:val="none" w:sz="0" w:space="0" w:color="auto"/>
                <w:bottom w:val="none" w:sz="0" w:space="0" w:color="auto"/>
                <w:right w:val="none" w:sz="0" w:space="0" w:color="auto"/>
              </w:divBdr>
              <w:divsChild>
                <w:div w:id="251939797">
                  <w:marLeft w:val="0"/>
                  <w:marRight w:val="0"/>
                  <w:marTop w:val="0"/>
                  <w:marBottom w:val="0"/>
                  <w:divBdr>
                    <w:top w:val="none" w:sz="0" w:space="0" w:color="auto"/>
                    <w:left w:val="none" w:sz="0" w:space="0" w:color="auto"/>
                    <w:bottom w:val="none" w:sz="0" w:space="0" w:color="auto"/>
                    <w:right w:val="none" w:sz="0" w:space="0" w:color="auto"/>
                  </w:divBdr>
                </w:div>
              </w:divsChild>
            </w:div>
            <w:div w:id="1318917983">
              <w:marLeft w:val="0"/>
              <w:marRight w:val="0"/>
              <w:marTop w:val="0"/>
              <w:marBottom w:val="0"/>
              <w:divBdr>
                <w:top w:val="none" w:sz="0" w:space="0" w:color="auto"/>
                <w:left w:val="none" w:sz="0" w:space="0" w:color="auto"/>
                <w:bottom w:val="none" w:sz="0" w:space="0" w:color="auto"/>
                <w:right w:val="none" w:sz="0" w:space="0" w:color="auto"/>
              </w:divBdr>
              <w:divsChild>
                <w:div w:id="220021089">
                  <w:marLeft w:val="0"/>
                  <w:marRight w:val="0"/>
                  <w:marTop w:val="0"/>
                  <w:marBottom w:val="0"/>
                  <w:divBdr>
                    <w:top w:val="none" w:sz="0" w:space="0" w:color="auto"/>
                    <w:left w:val="none" w:sz="0" w:space="0" w:color="auto"/>
                    <w:bottom w:val="none" w:sz="0" w:space="0" w:color="auto"/>
                    <w:right w:val="none" w:sz="0" w:space="0" w:color="auto"/>
                  </w:divBdr>
                </w:div>
                <w:div w:id="806244858">
                  <w:marLeft w:val="0"/>
                  <w:marRight w:val="0"/>
                  <w:marTop w:val="0"/>
                  <w:marBottom w:val="0"/>
                  <w:divBdr>
                    <w:top w:val="none" w:sz="0" w:space="0" w:color="auto"/>
                    <w:left w:val="none" w:sz="0" w:space="0" w:color="auto"/>
                    <w:bottom w:val="none" w:sz="0" w:space="0" w:color="auto"/>
                    <w:right w:val="none" w:sz="0" w:space="0" w:color="auto"/>
                  </w:divBdr>
                </w:div>
                <w:div w:id="1062174487">
                  <w:marLeft w:val="0"/>
                  <w:marRight w:val="0"/>
                  <w:marTop w:val="0"/>
                  <w:marBottom w:val="0"/>
                  <w:divBdr>
                    <w:top w:val="none" w:sz="0" w:space="0" w:color="auto"/>
                    <w:left w:val="none" w:sz="0" w:space="0" w:color="auto"/>
                    <w:bottom w:val="none" w:sz="0" w:space="0" w:color="auto"/>
                    <w:right w:val="none" w:sz="0" w:space="0" w:color="auto"/>
                  </w:divBdr>
                </w:div>
              </w:divsChild>
            </w:div>
            <w:div w:id="1350644091">
              <w:marLeft w:val="0"/>
              <w:marRight w:val="0"/>
              <w:marTop w:val="0"/>
              <w:marBottom w:val="0"/>
              <w:divBdr>
                <w:top w:val="none" w:sz="0" w:space="0" w:color="auto"/>
                <w:left w:val="none" w:sz="0" w:space="0" w:color="auto"/>
                <w:bottom w:val="none" w:sz="0" w:space="0" w:color="auto"/>
                <w:right w:val="none" w:sz="0" w:space="0" w:color="auto"/>
              </w:divBdr>
              <w:divsChild>
                <w:div w:id="1362124949">
                  <w:marLeft w:val="0"/>
                  <w:marRight w:val="0"/>
                  <w:marTop w:val="0"/>
                  <w:marBottom w:val="0"/>
                  <w:divBdr>
                    <w:top w:val="none" w:sz="0" w:space="0" w:color="auto"/>
                    <w:left w:val="none" w:sz="0" w:space="0" w:color="auto"/>
                    <w:bottom w:val="none" w:sz="0" w:space="0" w:color="auto"/>
                    <w:right w:val="none" w:sz="0" w:space="0" w:color="auto"/>
                  </w:divBdr>
                </w:div>
              </w:divsChild>
            </w:div>
            <w:div w:id="1387995775">
              <w:marLeft w:val="0"/>
              <w:marRight w:val="0"/>
              <w:marTop w:val="0"/>
              <w:marBottom w:val="0"/>
              <w:divBdr>
                <w:top w:val="none" w:sz="0" w:space="0" w:color="auto"/>
                <w:left w:val="none" w:sz="0" w:space="0" w:color="auto"/>
                <w:bottom w:val="none" w:sz="0" w:space="0" w:color="auto"/>
                <w:right w:val="none" w:sz="0" w:space="0" w:color="auto"/>
              </w:divBdr>
              <w:divsChild>
                <w:div w:id="168373991">
                  <w:marLeft w:val="0"/>
                  <w:marRight w:val="0"/>
                  <w:marTop w:val="0"/>
                  <w:marBottom w:val="0"/>
                  <w:divBdr>
                    <w:top w:val="none" w:sz="0" w:space="0" w:color="auto"/>
                    <w:left w:val="none" w:sz="0" w:space="0" w:color="auto"/>
                    <w:bottom w:val="none" w:sz="0" w:space="0" w:color="auto"/>
                    <w:right w:val="none" w:sz="0" w:space="0" w:color="auto"/>
                  </w:divBdr>
                </w:div>
                <w:div w:id="1855414171">
                  <w:marLeft w:val="0"/>
                  <w:marRight w:val="0"/>
                  <w:marTop w:val="0"/>
                  <w:marBottom w:val="0"/>
                  <w:divBdr>
                    <w:top w:val="none" w:sz="0" w:space="0" w:color="auto"/>
                    <w:left w:val="none" w:sz="0" w:space="0" w:color="auto"/>
                    <w:bottom w:val="none" w:sz="0" w:space="0" w:color="auto"/>
                    <w:right w:val="none" w:sz="0" w:space="0" w:color="auto"/>
                  </w:divBdr>
                </w:div>
              </w:divsChild>
            </w:div>
            <w:div w:id="1497190687">
              <w:marLeft w:val="0"/>
              <w:marRight w:val="0"/>
              <w:marTop w:val="0"/>
              <w:marBottom w:val="0"/>
              <w:divBdr>
                <w:top w:val="none" w:sz="0" w:space="0" w:color="auto"/>
                <w:left w:val="none" w:sz="0" w:space="0" w:color="auto"/>
                <w:bottom w:val="none" w:sz="0" w:space="0" w:color="auto"/>
                <w:right w:val="none" w:sz="0" w:space="0" w:color="auto"/>
              </w:divBdr>
              <w:divsChild>
                <w:div w:id="164591250">
                  <w:marLeft w:val="0"/>
                  <w:marRight w:val="0"/>
                  <w:marTop w:val="0"/>
                  <w:marBottom w:val="0"/>
                  <w:divBdr>
                    <w:top w:val="none" w:sz="0" w:space="0" w:color="auto"/>
                    <w:left w:val="none" w:sz="0" w:space="0" w:color="auto"/>
                    <w:bottom w:val="none" w:sz="0" w:space="0" w:color="auto"/>
                    <w:right w:val="none" w:sz="0" w:space="0" w:color="auto"/>
                  </w:divBdr>
                </w:div>
              </w:divsChild>
            </w:div>
            <w:div w:id="1566835911">
              <w:marLeft w:val="0"/>
              <w:marRight w:val="0"/>
              <w:marTop w:val="0"/>
              <w:marBottom w:val="0"/>
              <w:divBdr>
                <w:top w:val="none" w:sz="0" w:space="0" w:color="auto"/>
                <w:left w:val="none" w:sz="0" w:space="0" w:color="auto"/>
                <w:bottom w:val="none" w:sz="0" w:space="0" w:color="auto"/>
                <w:right w:val="none" w:sz="0" w:space="0" w:color="auto"/>
              </w:divBdr>
              <w:divsChild>
                <w:div w:id="1309169385">
                  <w:marLeft w:val="0"/>
                  <w:marRight w:val="0"/>
                  <w:marTop w:val="0"/>
                  <w:marBottom w:val="0"/>
                  <w:divBdr>
                    <w:top w:val="none" w:sz="0" w:space="0" w:color="auto"/>
                    <w:left w:val="none" w:sz="0" w:space="0" w:color="auto"/>
                    <w:bottom w:val="none" w:sz="0" w:space="0" w:color="auto"/>
                    <w:right w:val="none" w:sz="0" w:space="0" w:color="auto"/>
                  </w:divBdr>
                </w:div>
                <w:div w:id="1854606215">
                  <w:marLeft w:val="0"/>
                  <w:marRight w:val="0"/>
                  <w:marTop w:val="0"/>
                  <w:marBottom w:val="0"/>
                  <w:divBdr>
                    <w:top w:val="none" w:sz="0" w:space="0" w:color="auto"/>
                    <w:left w:val="none" w:sz="0" w:space="0" w:color="auto"/>
                    <w:bottom w:val="none" w:sz="0" w:space="0" w:color="auto"/>
                    <w:right w:val="none" w:sz="0" w:space="0" w:color="auto"/>
                  </w:divBdr>
                </w:div>
              </w:divsChild>
            </w:div>
            <w:div w:id="1634630773">
              <w:marLeft w:val="0"/>
              <w:marRight w:val="0"/>
              <w:marTop w:val="0"/>
              <w:marBottom w:val="0"/>
              <w:divBdr>
                <w:top w:val="none" w:sz="0" w:space="0" w:color="auto"/>
                <w:left w:val="none" w:sz="0" w:space="0" w:color="auto"/>
                <w:bottom w:val="none" w:sz="0" w:space="0" w:color="auto"/>
                <w:right w:val="none" w:sz="0" w:space="0" w:color="auto"/>
              </w:divBdr>
              <w:divsChild>
                <w:div w:id="2142578953">
                  <w:marLeft w:val="0"/>
                  <w:marRight w:val="0"/>
                  <w:marTop w:val="0"/>
                  <w:marBottom w:val="0"/>
                  <w:divBdr>
                    <w:top w:val="none" w:sz="0" w:space="0" w:color="auto"/>
                    <w:left w:val="none" w:sz="0" w:space="0" w:color="auto"/>
                    <w:bottom w:val="none" w:sz="0" w:space="0" w:color="auto"/>
                    <w:right w:val="none" w:sz="0" w:space="0" w:color="auto"/>
                  </w:divBdr>
                </w:div>
              </w:divsChild>
            </w:div>
            <w:div w:id="1659655171">
              <w:marLeft w:val="0"/>
              <w:marRight w:val="0"/>
              <w:marTop w:val="0"/>
              <w:marBottom w:val="0"/>
              <w:divBdr>
                <w:top w:val="none" w:sz="0" w:space="0" w:color="auto"/>
                <w:left w:val="none" w:sz="0" w:space="0" w:color="auto"/>
                <w:bottom w:val="none" w:sz="0" w:space="0" w:color="auto"/>
                <w:right w:val="none" w:sz="0" w:space="0" w:color="auto"/>
              </w:divBdr>
              <w:divsChild>
                <w:div w:id="664359280">
                  <w:marLeft w:val="0"/>
                  <w:marRight w:val="0"/>
                  <w:marTop w:val="0"/>
                  <w:marBottom w:val="0"/>
                  <w:divBdr>
                    <w:top w:val="none" w:sz="0" w:space="0" w:color="auto"/>
                    <w:left w:val="none" w:sz="0" w:space="0" w:color="auto"/>
                    <w:bottom w:val="none" w:sz="0" w:space="0" w:color="auto"/>
                    <w:right w:val="none" w:sz="0" w:space="0" w:color="auto"/>
                  </w:divBdr>
                </w:div>
              </w:divsChild>
            </w:div>
            <w:div w:id="1722047384">
              <w:marLeft w:val="0"/>
              <w:marRight w:val="0"/>
              <w:marTop w:val="0"/>
              <w:marBottom w:val="0"/>
              <w:divBdr>
                <w:top w:val="none" w:sz="0" w:space="0" w:color="auto"/>
                <w:left w:val="none" w:sz="0" w:space="0" w:color="auto"/>
                <w:bottom w:val="none" w:sz="0" w:space="0" w:color="auto"/>
                <w:right w:val="none" w:sz="0" w:space="0" w:color="auto"/>
              </w:divBdr>
              <w:divsChild>
                <w:div w:id="1499734468">
                  <w:marLeft w:val="0"/>
                  <w:marRight w:val="0"/>
                  <w:marTop w:val="0"/>
                  <w:marBottom w:val="0"/>
                  <w:divBdr>
                    <w:top w:val="none" w:sz="0" w:space="0" w:color="auto"/>
                    <w:left w:val="none" w:sz="0" w:space="0" w:color="auto"/>
                    <w:bottom w:val="none" w:sz="0" w:space="0" w:color="auto"/>
                    <w:right w:val="none" w:sz="0" w:space="0" w:color="auto"/>
                  </w:divBdr>
                </w:div>
                <w:div w:id="1955206101">
                  <w:marLeft w:val="0"/>
                  <w:marRight w:val="0"/>
                  <w:marTop w:val="0"/>
                  <w:marBottom w:val="0"/>
                  <w:divBdr>
                    <w:top w:val="none" w:sz="0" w:space="0" w:color="auto"/>
                    <w:left w:val="none" w:sz="0" w:space="0" w:color="auto"/>
                    <w:bottom w:val="none" w:sz="0" w:space="0" w:color="auto"/>
                    <w:right w:val="none" w:sz="0" w:space="0" w:color="auto"/>
                  </w:divBdr>
                </w:div>
              </w:divsChild>
            </w:div>
            <w:div w:id="1754084900">
              <w:marLeft w:val="0"/>
              <w:marRight w:val="0"/>
              <w:marTop w:val="0"/>
              <w:marBottom w:val="0"/>
              <w:divBdr>
                <w:top w:val="none" w:sz="0" w:space="0" w:color="auto"/>
                <w:left w:val="none" w:sz="0" w:space="0" w:color="auto"/>
                <w:bottom w:val="none" w:sz="0" w:space="0" w:color="auto"/>
                <w:right w:val="none" w:sz="0" w:space="0" w:color="auto"/>
              </w:divBdr>
              <w:divsChild>
                <w:div w:id="64765999">
                  <w:marLeft w:val="0"/>
                  <w:marRight w:val="0"/>
                  <w:marTop w:val="0"/>
                  <w:marBottom w:val="0"/>
                  <w:divBdr>
                    <w:top w:val="none" w:sz="0" w:space="0" w:color="auto"/>
                    <w:left w:val="none" w:sz="0" w:space="0" w:color="auto"/>
                    <w:bottom w:val="none" w:sz="0" w:space="0" w:color="auto"/>
                    <w:right w:val="none" w:sz="0" w:space="0" w:color="auto"/>
                  </w:divBdr>
                </w:div>
                <w:div w:id="1449618526">
                  <w:marLeft w:val="0"/>
                  <w:marRight w:val="0"/>
                  <w:marTop w:val="0"/>
                  <w:marBottom w:val="0"/>
                  <w:divBdr>
                    <w:top w:val="none" w:sz="0" w:space="0" w:color="auto"/>
                    <w:left w:val="none" w:sz="0" w:space="0" w:color="auto"/>
                    <w:bottom w:val="none" w:sz="0" w:space="0" w:color="auto"/>
                    <w:right w:val="none" w:sz="0" w:space="0" w:color="auto"/>
                  </w:divBdr>
                </w:div>
              </w:divsChild>
            </w:div>
            <w:div w:id="1841889448">
              <w:marLeft w:val="0"/>
              <w:marRight w:val="0"/>
              <w:marTop w:val="0"/>
              <w:marBottom w:val="0"/>
              <w:divBdr>
                <w:top w:val="none" w:sz="0" w:space="0" w:color="auto"/>
                <w:left w:val="none" w:sz="0" w:space="0" w:color="auto"/>
                <w:bottom w:val="none" w:sz="0" w:space="0" w:color="auto"/>
                <w:right w:val="none" w:sz="0" w:space="0" w:color="auto"/>
              </w:divBdr>
              <w:divsChild>
                <w:div w:id="1526745626">
                  <w:marLeft w:val="0"/>
                  <w:marRight w:val="0"/>
                  <w:marTop w:val="0"/>
                  <w:marBottom w:val="0"/>
                  <w:divBdr>
                    <w:top w:val="none" w:sz="0" w:space="0" w:color="auto"/>
                    <w:left w:val="none" w:sz="0" w:space="0" w:color="auto"/>
                    <w:bottom w:val="none" w:sz="0" w:space="0" w:color="auto"/>
                    <w:right w:val="none" w:sz="0" w:space="0" w:color="auto"/>
                  </w:divBdr>
                </w:div>
                <w:div w:id="2084722143">
                  <w:marLeft w:val="0"/>
                  <w:marRight w:val="0"/>
                  <w:marTop w:val="0"/>
                  <w:marBottom w:val="0"/>
                  <w:divBdr>
                    <w:top w:val="none" w:sz="0" w:space="0" w:color="auto"/>
                    <w:left w:val="none" w:sz="0" w:space="0" w:color="auto"/>
                    <w:bottom w:val="none" w:sz="0" w:space="0" w:color="auto"/>
                    <w:right w:val="none" w:sz="0" w:space="0" w:color="auto"/>
                  </w:divBdr>
                </w:div>
              </w:divsChild>
            </w:div>
            <w:div w:id="1880167602">
              <w:marLeft w:val="0"/>
              <w:marRight w:val="0"/>
              <w:marTop w:val="0"/>
              <w:marBottom w:val="0"/>
              <w:divBdr>
                <w:top w:val="none" w:sz="0" w:space="0" w:color="auto"/>
                <w:left w:val="none" w:sz="0" w:space="0" w:color="auto"/>
                <w:bottom w:val="none" w:sz="0" w:space="0" w:color="auto"/>
                <w:right w:val="none" w:sz="0" w:space="0" w:color="auto"/>
              </w:divBdr>
              <w:divsChild>
                <w:div w:id="1076635140">
                  <w:marLeft w:val="0"/>
                  <w:marRight w:val="0"/>
                  <w:marTop w:val="0"/>
                  <w:marBottom w:val="0"/>
                  <w:divBdr>
                    <w:top w:val="none" w:sz="0" w:space="0" w:color="auto"/>
                    <w:left w:val="none" w:sz="0" w:space="0" w:color="auto"/>
                    <w:bottom w:val="none" w:sz="0" w:space="0" w:color="auto"/>
                    <w:right w:val="none" w:sz="0" w:space="0" w:color="auto"/>
                  </w:divBdr>
                </w:div>
              </w:divsChild>
            </w:div>
            <w:div w:id="2122874265">
              <w:marLeft w:val="0"/>
              <w:marRight w:val="0"/>
              <w:marTop w:val="0"/>
              <w:marBottom w:val="0"/>
              <w:divBdr>
                <w:top w:val="none" w:sz="0" w:space="0" w:color="auto"/>
                <w:left w:val="none" w:sz="0" w:space="0" w:color="auto"/>
                <w:bottom w:val="none" w:sz="0" w:space="0" w:color="auto"/>
                <w:right w:val="none" w:sz="0" w:space="0" w:color="auto"/>
              </w:divBdr>
              <w:divsChild>
                <w:div w:id="741368203">
                  <w:marLeft w:val="0"/>
                  <w:marRight w:val="0"/>
                  <w:marTop w:val="0"/>
                  <w:marBottom w:val="0"/>
                  <w:divBdr>
                    <w:top w:val="none" w:sz="0" w:space="0" w:color="auto"/>
                    <w:left w:val="none" w:sz="0" w:space="0" w:color="auto"/>
                    <w:bottom w:val="none" w:sz="0" w:space="0" w:color="auto"/>
                    <w:right w:val="none" w:sz="0" w:space="0" w:color="auto"/>
                  </w:divBdr>
                </w:div>
                <w:div w:id="8664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7083">
      <w:bodyDiv w:val="1"/>
      <w:marLeft w:val="0"/>
      <w:marRight w:val="0"/>
      <w:marTop w:val="0"/>
      <w:marBottom w:val="0"/>
      <w:divBdr>
        <w:top w:val="none" w:sz="0" w:space="0" w:color="auto"/>
        <w:left w:val="none" w:sz="0" w:space="0" w:color="auto"/>
        <w:bottom w:val="none" w:sz="0" w:space="0" w:color="auto"/>
        <w:right w:val="none" w:sz="0" w:space="0" w:color="auto"/>
      </w:divBdr>
    </w:div>
    <w:div w:id="1065761317">
      <w:bodyDiv w:val="1"/>
      <w:marLeft w:val="0"/>
      <w:marRight w:val="0"/>
      <w:marTop w:val="0"/>
      <w:marBottom w:val="0"/>
      <w:divBdr>
        <w:top w:val="none" w:sz="0" w:space="0" w:color="auto"/>
        <w:left w:val="none" w:sz="0" w:space="0" w:color="auto"/>
        <w:bottom w:val="none" w:sz="0" w:space="0" w:color="auto"/>
        <w:right w:val="none" w:sz="0" w:space="0" w:color="auto"/>
      </w:divBdr>
    </w:div>
    <w:div w:id="1096749246">
      <w:bodyDiv w:val="1"/>
      <w:marLeft w:val="0"/>
      <w:marRight w:val="0"/>
      <w:marTop w:val="0"/>
      <w:marBottom w:val="0"/>
      <w:divBdr>
        <w:top w:val="none" w:sz="0" w:space="0" w:color="auto"/>
        <w:left w:val="none" w:sz="0" w:space="0" w:color="auto"/>
        <w:bottom w:val="none" w:sz="0" w:space="0" w:color="auto"/>
        <w:right w:val="none" w:sz="0" w:space="0" w:color="auto"/>
      </w:divBdr>
      <w:divsChild>
        <w:div w:id="96296468">
          <w:marLeft w:val="0"/>
          <w:marRight w:val="0"/>
          <w:marTop w:val="0"/>
          <w:marBottom w:val="0"/>
          <w:divBdr>
            <w:top w:val="none" w:sz="0" w:space="0" w:color="auto"/>
            <w:left w:val="none" w:sz="0" w:space="0" w:color="auto"/>
            <w:bottom w:val="none" w:sz="0" w:space="0" w:color="auto"/>
            <w:right w:val="none" w:sz="0" w:space="0" w:color="auto"/>
          </w:divBdr>
        </w:div>
        <w:div w:id="1212809756">
          <w:marLeft w:val="0"/>
          <w:marRight w:val="0"/>
          <w:marTop w:val="0"/>
          <w:marBottom w:val="0"/>
          <w:divBdr>
            <w:top w:val="none" w:sz="0" w:space="0" w:color="auto"/>
            <w:left w:val="none" w:sz="0" w:space="0" w:color="auto"/>
            <w:bottom w:val="none" w:sz="0" w:space="0" w:color="auto"/>
            <w:right w:val="none" w:sz="0" w:space="0" w:color="auto"/>
          </w:divBdr>
        </w:div>
        <w:div w:id="1608584829">
          <w:marLeft w:val="0"/>
          <w:marRight w:val="0"/>
          <w:marTop w:val="0"/>
          <w:marBottom w:val="0"/>
          <w:divBdr>
            <w:top w:val="none" w:sz="0" w:space="0" w:color="auto"/>
            <w:left w:val="none" w:sz="0" w:space="0" w:color="auto"/>
            <w:bottom w:val="none" w:sz="0" w:space="0" w:color="auto"/>
            <w:right w:val="none" w:sz="0" w:space="0" w:color="auto"/>
          </w:divBdr>
          <w:divsChild>
            <w:div w:id="891844759">
              <w:marLeft w:val="0"/>
              <w:marRight w:val="0"/>
              <w:marTop w:val="30"/>
              <w:marBottom w:val="30"/>
              <w:divBdr>
                <w:top w:val="none" w:sz="0" w:space="0" w:color="auto"/>
                <w:left w:val="none" w:sz="0" w:space="0" w:color="auto"/>
                <w:bottom w:val="none" w:sz="0" w:space="0" w:color="auto"/>
                <w:right w:val="none" w:sz="0" w:space="0" w:color="auto"/>
              </w:divBdr>
              <w:divsChild>
                <w:div w:id="49307888">
                  <w:marLeft w:val="0"/>
                  <w:marRight w:val="0"/>
                  <w:marTop w:val="0"/>
                  <w:marBottom w:val="0"/>
                  <w:divBdr>
                    <w:top w:val="none" w:sz="0" w:space="0" w:color="auto"/>
                    <w:left w:val="none" w:sz="0" w:space="0" w:color="auto"/>
                    <w:bottom w:val="none" w:sz="0" w:space="0" w:color="auto"/>
                    <w:right w:val="none" w:sz="0" w:space="0" w:color="auto"/>
                  </w:divBdr>
                  <w:divsChild>
                    <w:div w:id="1985698108">
                      <w:marLeft w:val="0"/>
                      <w:marRight w:val="0"/>
                      <w:marTop w:val="0"/>
                      <w:marBottom w:val="0"/>
                      <w:divBdr>
                        <w:top w:val="none" w:sz="0" w:space="0" w:color="auto"/>
                        <w:left w:val="none" w:sz="0" w:space="0" w:color="auto"/>
                        <w:bottom w:val="none" w:sz="0" w:space="0" w:color="auto"/>
                        <w:right w:val="none" w:sz="0" w:space="0" w:color="auto"/>
                      </w:divBdr>
                    </w:div>
                  </w:divsChild>
                </w:div>
                <w:div w:id="113064144">
                  <w:marLeft w:val="0"/>
                  <w:marRight w:val="0"/>
                  <w:marTop w:val="0"/>
                  <w:marBottom w:val="0"/>
                  <w:divBdr>
                    <w:top w:val="none" w:sz="0" w:space="0" w:color="auto"/>
                    <w:left w:val="none" w:sz="0" w:space="0" w:color="auto"/>
                    <w:bottom w:val="none" w:sz="0" w:space="0" w:color="auto"/>
                    <w:right w:val="none" w:sz="0" w:space="0" w:color="auto"/>
                  </w:divBdr>
                  <w:divsChild>
                    <w:div w:id="1804227757">
                      <w:marLeft w:val="0"/>
                      <w:marRight w:val="0"/>
                      <w:marTop w:val="0"/>
                      <w:marBottom w:val="0"/>
                      <w:divBdr>
                        <w:top w:val="none" w:sz="0" w:space="0" w:color="auto"/>
                        <w:left w:val="none" w:sz="0" w:space="0" w:color="auto"/>
                        <w:bottom w:val="none" w:sz="0" w:space="0" w:color="auto"/>
                        <w:right w:val="none" w:sz="0" w:space="0" w:color="auto"/>
                      </w:divBdr>
                    </w:div>
                  </w:divsChild>
                </w:div>
                <w:div w:id="214052335">
                  <w:marLeft w:val="0"/>
                  <w:marRight w:val="0"/>
                  <w:marTop w:val="0"/>
                  <w:marBottom w:val="0"/>
                  <w:divBdr>
                    <w:top w:val="none" w:sz="0" w:space="0" w:color="auto"/>
                    <w:left w:val="none" w:sz="0" w:space="0" w:color="auto"/>
                    <w:bottom w:val="none" w:sz="0" w:space="0" w:color="auto"/>
                    <w:right w:val="none" w:sz="0" w:space="0" w:color="auto"/>
                  </w:divBdr>
                  <w:divsChild>
                    <w:div w:id="801308902">
                      <w:marLeft w:val="0"/>
                      <w:marRight w:val="0"/>
                      <w:marTop w:val="0"/>
                      <w:marBottom w:val="0"/>
                      <w:divBdr>
                        <w:top w:val="none" w:sz="0" w:space="0" w:color="auto"/>
                        <w:left w:val="none" w:sz="0" w:space="0" w:color="auto"/>
                        <w:bottom w:val="none" w:sz="0" w:space="0" w:color="auto"/>
                        <w:right w:val="none" w:sz="0" w:space="0" w:color="auto"/>
                      </w:divBdr>
                    </w:div>
                  </w:divsChild>
                </w:div>
                <w:div w:id="269973401">
                  <w:marLeft w:val="0"/>
                  <w:marRight w:val="0"/>
                  <w:marTop w:val="0"/>
                  <w:marBottom w:val="0"/>
                  <w:divBdr>
                    <w:top w:val="none" w:sz="0" w:space="0" w:color="auto"/>
                    <w:left w:val="none" w:sz="0" w:space="0" w:color="auto"/>
                    <w:bottom w:val="none" w:sz="0" w:space="0" w:color="auto"/>
                    <w:right w:val="none" w:sz="0" w:space="0" w:color="auto"/>
                  </w:divBdr>
                  <w:divsChild>
                    <w:div w:id="930819275">
                      <w:marLeft w:val="0"/>
                      <w:marRight w:val="0"/>
                      <w:marTop w:val="0"/>
                      <w:marBottom w:val="0"/>
                      <w:divBdr>
                        <w:top w:val="none" w:sz="0" w:space="0" w:color="auto"/>
                        <w:left w:val="none" w:sz="0" w:space="0" w:color="auto"/>
                        <w:bottom w:val="none" w:sz="0" w:space="0" w:color="auto"/>
                        <w:right w:val="none" w:sz="0" w:space="0" w:color="auto"/>
                      </w:divBdr>
                    </w:div>
                  </w:divsChild>
                </w:div>
                <w:div w:id="324745058">
                  <w:marLeft w:val="0"/>
                  <w:marRight w:val="0"/>
                  <w:marTop w:val="0"/>
                  <w:marBottom w:val="0"/>
                  <w:divBdr>
                    <w:top w:val="none" w:sz="0" w:space="0" w:color="auto"/>
                    <w:left w:val="none" w:sz="0" w:space="0" w:color="auto"/>
                    <w:bottom w:val="none" w:sz="0" w:space="0" w:color="auto"/>
                    <w:right w:val="none" w:sz="0" w:space="0" w:color="auto"/>
                  </w:divBdr>
                  <w:divsChild>
                    <w:div w:id="34544138">
                      <w:marLeft w:val="0"/>
                      <w:marRight w:val="0"/>
                      <w:marTop w:val="0"/>
                      <w:marBottom w:val="0"/>
                      <w:divBdr>
                        <w:top w:val="none" w:sz="0" w:space="0" w:color="auto"/>
                        <w:left w:val="none" w:sz="0" w:space="0" w:color="auto"/>
                        <w:bottom w:val="none" w:sz="0" w:space="0" w:color="auto"/>
                        <w:right w:val="none" w:sz="0" w:space="0" w:color="auto"/>
                      </w:divBdr>
                    </w:div>
                  </w:divsChild>
                </w:div>
                <w:div w:id="449469601">
                  <w:marLeft w:val="0"/>
                  <w:marRight w:val="0"/>
                  <w:marTop w:val="0"/>
                  <w:marBottom w:val="0"/>
                  <w:divBdr>
                    <w:top w:val="none" w:sz="0" w:space="0" w:color="auto"/>
                    <w:left w:val="none" w:sz="0" w:space="0" w:color="auto"/>
                    <w:bottom w:val="none" w:sz="0" w:space="0" w:color="auto"/>
                    <w:right w:val="none" w:sz="0" w:space="0" w:color="auto"/>
                  </w:divBdr>
                  <w:divsChild>
                    <w:div w:id="1053843430">
                      <w:marLeft w:val="0"/>
                      <w:marRight w:val="0"/>
                      <w:marTop w:val="0"/>
                      <w:marBottom w:val="0"/>
                      <w:divBdr>
                        <w:top w:val="none" w:sz="0" w:space="0" w:color="auto"/>
                        <w:left w:val="none" w:sz="0" w:space="0" w:color="auto"/>
                        <w:bottom w:val="none" w:sz="0" w:space="0" w:color="auto"/>
                        <w:right w:val="none" w:sz="0" w:space="0" w:color="auto"/>
                      </w:divBdr>
                    </w:div>
                  </w:divsChild>
                </w:div>
                <w:div w:id="498425476">
                  <w:marLeft w:val="0"/>
                  <w:marRight w:val="0"/>
                  <w:marTop w:val="0"/>
                  <w:marBottom w:val="0"/>
                  <w:divBdr>
                    <w:top w:val="none" w:sz="0" w:space="0" w:color="auto"/>
                    <w:left w:val="none" w:sz="0" w:space="0" w:color="auto"/>
                    <w:bottom w:val="none" w:sz="0" w:space="0" w:color="auto"/>
                    <w:right w:val="none" w:sz="0" w:space="0" w:color="auto"/>
                  </w:divBdr>
                  <w:divsChild>
                    <w:div w:id="1293900634">
                      <w:marLeft w:val="0"/>
                      <w:marRight w:val="0"/>
                      <w:marTop w:val="0"/>
                      <w:marBottom w:val="0"/>
                      <w:divBdr>
                        <w:top w:val="none" w:sz="0" w:space="0" w:color="auto"/>
                        <w:left w:val="none" w:sz="0" w:space="0" w:color="auto"/>
                        <w:bottom w:val="none" w:sz="0" w:space="0" w:color="auto"/>
                        <w:right w:val="none" w:sz="0" w:space="0" w:color="auto"/>
                      </w:divBdr>
                    </w:div>
                  </w:divsChild>
                </w:div>
                <w:div w:id="527135535">
                  <w:marLeft w:val="0"/>
                  <w:marRight w:val="0"/>
                  <w:marTop w:val="0"/>
                  <w:marBottom w:val="0"/>
                  <w:divBdr>
                    <w:top w:val="none" w:sz="0" w:space="0" w:color="auto"/>
                    <w:left w:val="none" w:sz="0" w:space="0" w:color="auto"/>
                    <w:bottom w:val="none" w:sz="0" w:space="0" w:color="auto"/>
                    <w:right w:val="none" w:sz="0" w:space="0" w:color="auto"/>
                  </w:divBdr>
                  <w:divsChild>
                    <w:div w:id="983244603">
                      <w:marLeft w:val="0"/>
                      <w:marRight w:val="0"/>
                      <w:marTop w:val="0"/>
                      <w:marBottom w:val="0"/>
                      <w:divBdr>
                        <w:top w:val="none" w:sz="0" w:space="0" w:color="auto"/>
                        <w:left w:val="none" w:sz="0" w:space="0" w:color="auto"/>
                        <w:bottom w:val="none" w:sz="0" w:space="0" w:color="auto"/>
                        <w:right w:val="none" w:sz="0" w:space="0" w:color="auto"/>
                      </w:divBdr>
                    </w:div>
                  </w:divsChild>
                </w:div>
                <w:div w:id="553540201">
                  <w:marLeft w:val="0"/>
                  <w:marRight w:val="0"/>
                  <w:marTop w:val="0"/>
                  <w:marBottom w:val="0"/>
                  <w:divBdr>
                    <w:top w:val="none" w:sz="0" w:space="0" w:color="auto"/>
                    <w:left w:val="none" w:sz="0" w:space="0" w:color="auto"/>
                    <w:bottom w:val="none" w:sz="0" w:space="0" w:color="auto"/>
                    <w:right w:val="none" w:sz="0" w:space="0" w:color="auto"/>
                  </w:divBdr>
                  <w:divsChild>
                    <w:div w:id="1984694303">
                      <w:marLeft w:val="0"/>
                      <w:marRight w:val="0"/>
                      <w:marTop w:val="0"/>
                      <w:marBottom w:val="0"/>
                      <w:divBdr>
                        <w:top w:val="none" w:sz="0" w:space="0" w:color="auto"/>
                        <w:left w:val="none" w:sz="0" w:space="0" w:color="auto"/>
                        <w:bottom w:val="none" w:sz="0" w:space="0" w:color="auto"/>
                        <w:right w:val="none" w:sz="0" w:space="0" w:color="auto"/>
                      </w:divBdr>
                    </w:div>
                  </w:divsChild>
                </w:div>
                <w:div w:id="604846667">
                  <w:marLeft w:val="0"/>
                  <w:marRight w:val="0"/>
                  <w:marTop w:val="0"/>
                  <w:marBottom w:val="0"/>
                  <w:divBdr>
                    <w:top w:val="none" w:sz="0" w:space="0" w:color="auto"/>
                    <w:left w:val="none" w:sz="0" w:space="0" w:color="auto"/>
                    <w:bottom w:val="none" w:sz="0" w:space="0" w:color="auto"/>
                    <w:right w:val="none" w:sz="0" w:space="0" w:color="auto"/>
                  </w:divBdr>
                  <w:divsChild>
                    <w:div w:id="1643343357">
                      <w:marLeft w:val="0"/>
                      <w:marRight w:val="0"/>
                      <w:marTop w:val="0"/>
                      <w:marBottom w:val="0"/>
                      <w:divBdr>
                        <w:top w:val="none" w:sz="0" w:space="0" w:color="auto"/>
                        <w:left w:val="none" w:sz="0" w:space="0" w:color="auto"/>
                        <w:bottom w:val="none" w:sz="0" w:space="0" w:color="auto"/>
                        <w:right w:val="none" w:sz="0" w:space="0" w:color="auto"/>
                      </w:divBdr>
                    </w:div>
                  </w:divsChild>
                </w:div>
                <w:div w:id="647589535">
                  <w:marLeft w:val="0"/>
                  <w:marRight w:val="0"/>
                  <w:marTop w:val="0"/>
                  <w:marBottom w:val="0"/>
                  <w:divBdr>
                    <w:top w:val="none" w:sz="0" w:space="0" w:color="auto"/>
                    <w:left w:val="none" w:sz="0" w:space="0" w:color="auto"/>
                    <w:bottom w:val="none" w:sz="0" w:space="0" w:color="auto"/>
                    <w:right w:val="none" w:sz="0" w:space="0" w:color="auto"/>
                  </w:divBdr>
                  <w:divsChild>
                    <w:div w:id="443425448">
                      <w:marLeft w:val="0"/>
                      <w:marRight w:val="0"/>
                      <w:marTop w:val="0"/>
                      <w:marBottom w:val="0"/>
                      <w:divBdr>
                        <w:top w:val="none" w:sz="0" w:space="0" w:color="auto"/>
                        <w:left w:val="none" w:sz="0" w:space="0" w:color="auto"/>
                        <w:bottom w:val="none" w:sz="0" w:space="0" w:color="auto"/>
                        <w:right w:val="none" w:sz="0" w:space="0" w:color="auto"/>
                      </w:divBdr>
                    </w:div>
                  </w:divsChild>
                </w:div>
                <w:div w:id="725301606">
                  <w:marLeft w:val="0"/>
                  <w:marRight w:val="0"/>
                  <w:marTop w:val="0"/>
                  <w:marBottom w:val="0"/>
                  <w:divBdr>
                    <w:top w:val="none" w:sz="0" w:space="0" w:color="auto"/>
                    <w:left w:val="none" w:sz="0" w:space="0" w:color="auto"/>
                    <w:bottom w:val="none" w:sz="0" w:space="0" w:color="auto"/>
                    <w:right w:val="none" w:sz="0" w:space="0" w:color="auto"/>
                  </w:divBdr>
                  <w:divsChild>
                    <w:div w:id="144132926">
                      <w:marLeft w:val="0"/>
                      <w:marRight w:val="0"/>
                      <w:marTop w:val="0"/>
                      <w:marBottom w:val="0"/>
                      <w:divBdr>
                        <w:top w:val="none" w:sz="0" w:space="0" w:color="auto"/>
                        <w:left w:val="none" w:sz="0" w:space="0" w:color="auto"/>
                        <w:bottom w:val="none" w:sz="0" w:space="0" w:color="auto"/>
                        <w:right w:val="none" w:sz="0" w:space="0" w:color="auto"/>
                      </w:divBdr>
                    </w:div>
                  </w:divsChild>
                </w:div>
                <w:div w:id="751657587">
                  <w:marLeft w:val="0"/>
                  <w:marRight w:val="0"/>
                  <w:marTop w:val="0"/>
                  <w:marBottom w:val="0"/>
                  <w:divBdr>
                    <w:top w:val="none" w:sz="0" w:space="0" w:color="auto"/>
                    <w:left w:val="none" w:sz="0" w:space="0" w:color="auto"/>
                    <w:bottom w:val="none" w:sz="0" w:space="0" w:color="auto"/>
                    <w:right w:val="none" w:sz="0" w:space="0" w:color="auto"/>
                  </w:divBdr>
                  <w:divsChild>
                    <w:div w:id="1622691423">
                      <w:marLeft w:val="0"/>
                      <w:marRight w:val="0"/>
                      <w:marTop w:val="0"/>
                      <w:marBottom w:val="0"/>
                      <w:divBdr>
                        <w:top w:val="none" w:sz="0" w:space="0" w:color="auto"/>
                        <w:left w:val="none" w:sz="0" w:space="0" w:color="auto"/>
                        <w:bottom w:val="none" w:sz="0" w:space="0" w:color="auto"/>
                        <w:right w:val="none" w:sz="0" w:space="0" w:color="auto"/>
                      </w:divBdr>
                    </w:div>
                  </w:divsChild>
                </w:div>
                <w:div w:id="830561649">
                  <w:marLeft w:val="0"/>
                  <w:marRight w:val="0"/>
                  <w:marTop w:val="0"/>
                  <w:marBottom w:val="0"/>
                  <w:divBdr>
                    <w:top w:val="none" w:sz="0" w:space="0" w:color="auto"/>
                    <w:left w:val="none" w:sz="0" w:space="0" w:color="auto"/>
                    <w:bottom w:val="none" w:sz="0" w:space="0" w:color="auto"/>
                    <w:right w:val="none" w:sz="0" w:space="0" w:color="auto"/>
                  </w:divBdr>
                  <w:divsChild>
                    <w:div w:id="774598074">
                      <w:marLeft w:val="0"/>
                      <w:marRight w:val="0"/>
                      <w:marTop w:val="0"/>
                      <w:marBottom w:val="0"/>
                      <w:divBdr>
                        <w:top w:val="none" w:sz="0" w:space="0" w:color="auto"/>
                        <w:left w:val="none" w:sz="0" w:space="0" w:color="auto"/>
                        <w:bottom w:val="none" w:sz="0" w:space="0" w:color="auto"/>
                        <w:right w:val="none" w:sz="0" w:space="0" w:color="auto"/>
                      </w:divBdr>
                    </w:div>
                  </w:divsChild>
                </w:div>
                <w:div w:id="941106259">
                  <w:marLeft w:val="0"/>
                  <w:marRight w:val="0"/>
                  <w:marTop w:val="0"/>
                  <w:marBottom w:val="0"/>
                  <w:divBdr>
                    <w:top w:val="none" w:sz="0" w:space="0" w:color="auto"/>
                    <w:left w:val="none" w:sz="0" w:space="0" w:color="auto"/>
                    <w:bottom w:val="none" w:sz="0" w:space="0" w:color="auto"/>
                    <w:right w:val="none" w:sz="0" w:space="0" w:color="auto"/>
                  </w:divBdr>
                  <w:divsChild>
                    <w:div w:id="1776826040">
                      <w:marLeft w:val="0"/>
                      <w:marRight w:val="0"/>
                      <w:marTop w:val="0"/>
                      <w:marBottom w:val="0"/>
                      <w:divBdr>
                        <w:top w:val="none" w:sz="0" w:space="0" w:color="auto"/>
                        <w:left w:val="none" w:sz="0" w:space="0" w:color="auto"/>
                        <w:bottom w:val="none" w:sz="0" w:space="0" w:color="auto"/>
                        <w:right w:val="none" w:sz="0" w:space="0" w:color="auto"/>
                      </w:divBdr>
                    </w:div>
                  </w:divsChild>
                </w:div>
                <w:div w:id="957762845">
                  <w:marLeft w:val="0"/>
                  <w:marRight w:val="0"/>
                  <w:marTop w:val="0"/>
                  <w:marBottom w:val="0"/>
                  <w:divBdr>
                    <w:top w:val="none" w:sz="0" w:space="0" w:color="auto"/>
                    <w:left w:val="none" w:sz="0" w:space="0" w:color="auto"/>
                    <w:bottom w:val="none" w:sz="0" w:space="0" w:color="auto"/>
                    <w:right w:val="none" w:sz="0" w:space="0" w:color="auto"/>
                  </w:divBdr>
                  <w:divsChild>
                    <w:div w:id="493493522">
                      <w:marLeft w:val="0"/>
                      <w:marRight w:val="0"/>
                      <w:marTop w:val="0"/>
                      <w:marBottom w:val="0"/>
                      <w:divBdr>
                        <w:top w:val="none" w:sz="0" w:space="0" w:color="auto"/>
                        <w:left w:val="none" w:sz="0" w:space="0" w:color="auto"/>
                        <w:bottom w:val="none" w:sz="0" w:space="0" w:color="auto"/>
                        <w:right w:val="none" w:sz="0" w:space="0" w:color="auto"/>
                      </w:divBdr>
                    </w:div>
                  </w:divsChild>
                </w:div>
                <w:div w:id="958880761">
                  <w:marLeft w:val="0"/>
                  <w:marRight w:val="0"/>
                  <w:marTop w:val="0"/>
                  <w:marBottom w:val="0"/>
                  <w:divBdr>
                    <w:top w:val="none" w:sz="0" w:space="0" w:color="auto"/>
                    <w:left w:val="none" w:sz="0" w:space="0" w:color="auto"/>
                    <w:bottom w:val="none" w:sz="0" w:space="0" w:color="auto"/>
                    <w:right w:val="none" w:sz="0" w:space="0" w:color="auto"/>
                  </w:divBdr>
                  <w:divsChild>
                    <w:div w:id="1565413079">
                      <w:marLeft w:val="0"/>
                      <w:marRight w:val="0"/>
                      <w:marTop w:val="0"/>
                      <w:marBottom w:val="0"/>
                      <w:divBdr>
                        <w:top w:val="none" w:sz="0" w:space="0" w:color="auto"/>
                        <w:left w:val="none" w:sz="0" w:space="0" w:color="auto"/>
                        <w:bottom w:val="none" w:sz="0" w:space="0" w:color="auto"/>
                        <w:right w:val="none" w:sz="0" w:space="0" w:color="auto"/>
                      </w:divBdr>
                    </w:div>
                  </w:divsChild>
                </w:div>
                <w:div w:id="1144932927">
                  <w:marLeft w:val="0"/>
                  <w:marRight w:val="0"/>
                  <w:marTop w:val="0"/>
                  <w:marBottom w:val="0"/>
                  <w:divBdr>
                    <w:top w:val="none" w:sz="0" w:space="0" w:color="auto"/>
                    <w:left w:val="none" w:sz="0" w:space="0" w:color="auto"/>
                    <w:bottom w:val="none" w:sz="0" w:space="0" w:color="auto"/>
                    <w:right w:val="none" w:sz="0" w:space="0" w:color="auto"/>
                  </w:divBdr>
                  <w:divsChild>
                    <w:div w:id="1088236839">
                      <w:marLeft w:val="0"/>
                      <w:marRight w:val="0"/>
                      <w:marTop w:val="0"/>
                      <w:marBottom w:val="0"/>
                      <w:divBdr>
                        <w:top w:val="none" w:sz="0" w:space="0" w:color="auto"/>
                        <w:left w:val="none" w:sz="0" w:space="0" w:color="auto"/>
                        <w:bottom w:val="none" w:sz="0" w:space="0" w:color="auto"/>
                        <w:right w:val="none" w:sz="0" w:space="0" w:color="auto"/>
                      </w:divBdr>
                    </w:div>
                  </w:divsChild>
                </w:div>
                <w:div w:id="1243758933">
                  <w:marLeft w:val="0"/>
                  <w:marRight w:val="0"/>
                  <w:marTop w:val="0"/>
                  <w:marBottom w:val="0"/>
                  <w:divBdr>
                    <w:top w:val="none" w:sz="0" w:space="0" w:color="auto"/>
                    <w:left w:val="none" w:sz="0" w:space="0" w:color="auto"/>
                    <w:bottom w:val="none" w:sz="0" w:space="0" w:color="auto"/>
                    <w:right w:val="none" w:sz="0" w:space="0" w:color="auto"/>
                  </w:divBdr>
                  <w:divsChild>
                    <w:div w:id="2077820416">
                      <w:marLeft w:val="0"/>
                      <w:marRight w:val="0"/>
                      <w:marTop w:val="0"/>
                      <w:marBottom w:val="0"/>
                      <w:divBdr>
                        <w:top w:val="none" w:sz="0" w:space="0" w:color="auto"/>
                        <w:left w:val="none" w:sz="0" w:space="0" w:color="auto"/>
                        <w:bottom w:val="none" w:sz="0" w:space="0" w:color="auto"/>
                        <w:right w:val="none" w:sz="0" w:space="0" w:color="auto"/>
                      </w:divBdr>
                    </w:div>
                  </w:divsChild>
                </w:div>
                <w:div w:id="1284531965">
                  <w:marLeft w:val="0"/>
                  <w:marRight w:val="0"/>
                  <w:marTop w:val="0"/>
                  <w:marBottom w:val="0"/>
                  <w:divBdr>
                    <w:top w:val="none" w:sz="0" w:space="0" w:color="auto"/>
                    <w:left w:val="none" w:sz="0" w:space="0" w:color="auto"/>
                    <w:bottom w:val="none" w:sz="0" w:space="0" w:color="auto"/>
                    <w:right w:val="none" w:sz="0" w:space="0" w:color="auto"/>
                  </w:divBdr>
                  <w:divsChild>
                    <w:div w:id="668751353">
                      <w:marLeft w:val="0"/>
                      <w:marRight w:val="0"/>
                      <w:marTop w:val="0"/>
                      <w:marBottom w:val="0"/>
                      <w:divBdr>
                        <w:top w:val="none" w:sz="0" w:space="0" w:color="auto"/>
                        <w:left w:val="none" w:sz="0" w:space="0" w:color="auto"/>
                        <w:bottom w:val="none" w:sz="0" w:space="0" w:color="auto"/>
                        <w:right w:val="none" w:sz="0" w:space="0" w:color="auto"/>
                      </w:divBdr>
                    </w:div>
                  </w:divsChild>
                </w:div>
                <w:div w:id="1291209896">
                  <w:marLeft w:val="0"/>
                  <w:marRight w:val="0"/>
                  <w:marTop w:val="0"/>
                  <w:marBottom w:val="0"/>
                  <w:divBdr>
                    <w:top w:val="none" w:sz="0" w:space="0" w:color="auto"/>
                    <w:left w:val="none" w:sz="0" w:space="0" w:color="auto"/>
                    <w:bottom w:val="none" w:sz="0" w:space="0" w:color="auto"/>
                    <w:right w:val="none" w:sz="0" w:space="0" w:color="auto"/>
                  </w:divBdr>
                  <w:divsChild>
                    <w:div w:id="1662738494">
                      <w:marLeft w:val="0"/>
                      <w:marRight w:val="0"/>
                      <w:marTop w:val="0"/>
                      <w:marBottom w:val="0"/>
                      <w:divBdr>
                        <w:top w:val="none" w:sz="0" w:space="0" w:color="auto"/>
                        <w:left w:val="none" w:sz="0" w:space="0" w:color="auto"/>
                        <w:bottom w:val="none" w:sz="0" w:space="0" w:color="auto"/>
                        <w:right w:val="none" w:sz="0" w:space="0" w:color="auto"/>
                      </w:divBdr>
                    </w:div>
                  </w:divsChild>
                </w:div>
                <w:div w:id="1319650910">
                  <w:marLeft w:val="0"/>
                  <w:marRight w:val="0"/>
                  <w:marTop w:val="0"/>
                  <w:marBottom w:val="0"/>
                  <w:divBdr>
                    <w:top w:val="none" w:sz="0" w:space="0" w:color="auto"/>
                    <w:left w:val="none" w:sz="0" w:space="0" w:color="auto"/>
                    <w:bottom w:val="none" w:sz="0" w:space="0" w:color="auto"/>
                    <w:right w:val="none" w:sz="0" w:space="0" w:color="auto"/>
                  </w:divBdr>
                  <w:divsChild>
                    <w:div w:id="165749167">
                      <w:marLeft w:val="0"/>
                      <w:marRight w:val="0"/>
                      <w:marTop w:val="0"/>
                      <w:marBottom w:val="0"/>
                      <w:divBdr>
                        <w:top w:val="none" w:sz="0" w:space="0" w:color="auto"/>
                        <w:left w:val="none" w:sz="0" w:space="0" w:color="auto"/>
                        <w:bottom w:val="none" w:sz="0" w:space="0" w:color="auto"/>
                        <w:right w:val="none" w:sz="0" w:space="0" w:color="auto"/>
                      </w:divBdr>
                    </w:div>
                  </w:divsChild>
                </w:div>
                <w:div w:id="1415977713">
                  <w:marLeft w:val="0"/>
                  <w:marRight w:val="0"/>
                  <w:marTop w:val="0"/>
                  <w:marBottom w:val="0"/>
                  <w:divBdr>
                    <w:top w:val="none" w:sz="0" w:space="0" w:color="auto"/>
                    <w:left w:val="none" w:sz="0" w:space="0" w:color="auto"/>
                    <w:bottom w:val="none" w:sz="0" w:space="0" w:color="auto"/>
                    <w:right w:val="none" w:sz="0" w:space="0" w:color="auto"/>
                  </w:divBdr>
                  <w:divsChild>
                    <w:div w:id="1421953632">
                      <w:marLeft w:val="0"/>
                      <w:marRight w:val="0"/>
                      <w:marTop w:val="0"/>
                      <w:marBottom w:val="0"/>
                      <w:divBdr>
                        <w:top w:val="none" w:sz="0" w:space="0" w:color="auto"/>
                        <w:left w:val="none" w:sz="0" w:space="0" w:color="auto"/>
                        <w:bottom w:val="none" w:sz="0" w:space="0" w:color="auto"/>
                        <w:right w:val="none" w:sz="0" w:space="0" w:color="auto"/>
                      </w:divBdr>
                    </w:div>
                  </w:divsChild>
                </w:div>
                <w:div w:id="1416168683">
                  <w:marLeft w:val="0"/>
                  <w:marRight w:val="0"/>
                  <w:marTop w:val="0"/>
                  <w:marBottom w:val="0"/>
                  <w:divBdr>
                    <w:top w:val="none" w:sz="0" w:space="0" w:color="auto"/>
                    <w:left w:val="none" w:sz="0" w:space="0" w:color="auto"/>
                    <w:bottom w:val="none" w:sz="0" w:space="0" w:color="auto"/>
                    <w:right w:val="none" w:sz="0" w:space="0" w:color="auto"/>
                  </w:divBdr>
                  <w:divsChild>
                    <w:div w:id="523901789">
                      <w:marLeft w:val="0"/>
                      <w:marRight w:val="0"/>
                      <w:marTop w:val="0"/>
                      <w:marBottom w:val="0"/>
                      <w:divBdr>
                        <w:top w:val="none" w:sz="0" w:space="0" w:color="auto"/>
                        <w:left w:val="none" w:sz="0" w:space="0" w:color="auto"/>
                        <w:bottom w:val="none" w:sz="0" w:space="0" w:color="auto"/>
                        <w:right w:val="none" w:sz="0" w:space="0" w:color="auto"/>
                      </w:divBdr>
                    </w:div>
                  </w:divsChild>
                </w:div>
                <w:div w:id="1420635787">
                  <w:marLeft w:val="0"/>
                  <w:marRight w:val="0"/>
                  <w:marTop w:val="0"/>
                  <w:marBottom w:val="0"/>
                  <w:divBdr>
                    <w:top w:val="none" w:sz="0" w:space="0" w:color="auto"/>
                    <w:left w:val="none" w:sz="0" w:space="0" w:color="auto"/>
                    <w:bottom w:val="none" w:sz="0" w:space="0" w:color="auto"/>
                    <w:right w:val="none" w:sz="0" w:space="0" w:color="auto"/>
                  </w:divBdr>
                  <w:divsChild>
                    <w:div w:id="1765110961">
                      <w:marLeft w:val="0"/>
                      <w:marRight w:val="0"/>
                      <w:marTop w:val="0"/>
                      <w:marBottom w:val="0"/>
                      <w:divBdr>
                        <w:top w:val="none" w:sz="0" w:space="0" w:color="auto"/>
                        <w:left w:val="none" w:sz="0" w:space="0" w:color="auto"/>
                        <w:bottom w:val="none" w:sz="0" w:space="0" w:color="auto"/>
                        <w:right w:val="none" w:sz="0" w:space="0" w:color="auto"/>
                      </w:divBdr>
                    </w:div>
                  </w:divsChild>
                </w:div>
                <w:div w:id="1504591399">
                  <w:marLeft w:val="0"/>
                  <w:marRight w:val="0"/>
                  <w:marTop w:val="0"/>
                  <w:marBottom w:val="0"/>
                  <w:divBdr>
                    <w:top w:val="none" w:sz="0" w:space="0" w:color="auto"/>
                    <w:left w:val="none" w:sz="0" w:space="0" w:color="auto"/>
                    <w:bottom w:val="none" w:sz="0" w:space="0" w:color="auto"/>
                    <w:right w:val="none" w:sz="0" w:space="0" w:color="auto"/>
                  </w:divBdr>
                  <w:divsChild>
                    <w:div w:id="710571846">
                      <w:marLeft w:val="0"/>
                      <w:marRight w:val="0"/>
                      <w:marTop w:val="0"/>
                      <w:marBottom w:val="0"/>
                      <w:divBdr>
                        <w:top w:val="none" w:sz="0" w:space="0" w:color="auto"/>
                        <w:left w:val="none" w:sz="0" w:space="0" w:color="auto"/>
                        <w:bottom w:val="none" w:sz="0" w:space="0" w:color="auto"/>
                        <w:right w:val="none" w:sz="0" w:space="0" w:color="auto"/>
                      </w:divBdr>
                    </w:div>
                  </w:divsChild>
                </w:div>
                <w:div w:id="1534148639">
                  <w:marLeft w:val="0"/>
                  <w:marRight w:val="0"/>
                  <w:marTop w:val="0"/>
                  <w:marBottom w:val="0"/>
                  <w:divBdr>
                    <w:top w:val="none" w:sz="0" w:space="0" w:color="auto"/>
                    <w:left w:val="none" w:sz="0" w:space="0" w:color="auto"/>
                    <w:bottom w:val="none" w:sz="0" w:space="0" w:color="auto"/>
                    <w:right w:val="none" w:sz="0" w:space="0" w:color="auto"/>
                  </w:divBdr>
                  <w:divsChild>
                    <w:div w:id="465591548">
                      <w:marLeft w:val="0"/>
                      <w:marRight w:val="0"/>
                      <w:marTop w:val="0"/>
                      <w:marBottom w:val="0"/>
                      <w:divBdr>
                        <w:top w:val="none" w:sz="0" w:space="0" w:color="auto"/>
                        <w:left w:val="none" w:sz="0" w:space="0" w:color="auto"/>
                        <w:bottom w:val="none" w:sz="0" w:space="0" w:color="auto"/>
                        <w:right w:val="none" w:sz="0" w:space="0" w:color="auto"/>
                      </w:divBdr>
                    </w:div>
                  </w:divsChild>
                </w:div>
                <w:div w:id="1665745936">
                  <w:marLeft w:val="0"/>
                  <w:marRight w:val="0"/>
                  <w:marTop w:val="0"/>
                  <w:marBottom w:val="0"/>
                  <w:divBdr>
                    <w:top w:val="none" w:sz="0" w:space="0" w:color="auto"/>
                    <w:left w:val="none" w:sz="0" w:space="0" w:color="auto"/>
                    <w:bottom w:val="none" w:sz="0" w:space="0" w:color="auto"/>
                    <w:right w:val="none" w:sz="0" w:space="0" w:color="auto"/>
                  </w:divBdr>
                  <w:divsChild>
                    <w:div w:id="1820682607">
                      <w:marLeft w:val="0"/>
                      <w:marRight w:val="0"/>
                      <w:marTop w:val="0"/>
                      <w:marBottom w:val="0"/>
                      <w:divBdr>
                        <w:top w:val="none" w:sz="0" w:space="0" w:color="auto"/>
                        <w:left w:val="none" w:sz="0" w:space="0" w:color="auto"/>
                        <w:bottom w:val="none" w:sz="0" w:space="0" w:color="auto"/>
                        <w:right w:val="none" w:sz="0" w:space="0" w:color="auto"/>
                      </w:divBdr>
                    </w:div>
                  </w:divsChild>
                </w:div>
                <w:div w:id="1667902986">
                  <w:marLeft w:val="0"/>
                  <w:marRight w:val="0"/>
                  <w:marTop w:val="0"/>
                  <w:marBottom w:val="0"/>
                  <w:divBdr>
                    <w:top w:val="none" w:sz="0" w:space="0" w:color="auto"/>
                    <w:left w:val="none" w:sz="0" w:space="0" w:color="auto"/>
                    <w:bottom w:val="none" w:sz="0" w:space="0" w:color="auto"/>
                    <w:right w:val="none" w:sz="0" w:space="0" w:color="auto"/>
                  </w:divBdr>
                  <w:divsChild>
                    <w:div w:id="1658536377">
                      <w:marLeft w:val="0"/>
                      <w:marRight w:val="0"/>
                      <w:marTop w:val="0"/>
                      <w:marBottom w:val="0"/>
                      <w:divBdr>
                        <w:top w:val="none" w:sz="0" w:space="0" w:color="auto"/>
                        <w:left w:val="none" w:sz="0" w:space="0" w:color="auto"/>
                        <w:bottom w:val="none" w:sz="0" w:space="0" w:color="auto"/>
                        <w:right w:val="none" w:sz="0" w:space="0" w:color="auto"/>
                      </w:divBdr>
                    </w:div>
                  </w:divsChild>
                </w:div>
                <w:div w:id="1732389261">
                  <w:marLeft w:val="0"/>
                  <w:marRight w:val="0"/>
                  <w:marTop w:val="0"/>
                  <w:marBottom w:val="0"/>
                  <w:divBdr>
                    <w:top w:val="none" w:sz="0" w:space="0" w:color="auto"/>
                    <w:left w:val="none" w:sz="0" w:space="0" w:color="auto"/>
                    <w:bottom w:val="none" w:sz="0" w:space="0" w:color="auto"/>
                    <w:right w:val="none" w:sz="0" w:space="0" w:color="auto"/>
                  </w:divBdr>
                  <w:divsChild>
                    <w:div w:id="322128237">
                      <w:marLeft w:val="0"/>
                      <w:marRight w:val="0"/>
                      <w:marTop w:val="0"/>
                      <w:marBottom w:val="0"/>
                      <w:divBdr>
                        <w:top w:val="none" w:sz="0" w:space="0" w:color="auto"/>
                        <w:left w:val="none" w:sz="0" w:space="0" w:color="auto"/>
                        <w:bottom w:val="none" w:sz="0" w:space="0" w:color="auto"/>
                        <w:right w:val="none" w:sz="0" w:space="0" w:color="auto"/>
                      </w:divBdr>
                    </w:div>
                  </w:divsChild>
                </w:div>
                <w:div w:id="1786148104">
                  <w:marLeft w:val="0"/>
                  <w:marRight w:val="0"/>
                  <w:marTop w:val="0"/>
                  <w:marBottom w:val="0"/>
                  <w:divBdr>
                    <w:top w:val="none" w:sz="0" w:space="0" w:color="auto"/>
                    <w:left w:val="none" w:sz="0" w:space="0" w:color="auto"/>
                    <w:bottom w:val="none" w:sz="0" w:space="0" w:color="auto"/>
                    <w:right w:val="none" w:sz="0" w:space="0" w:color="auto"/>
                  </w:divBdr>
                  <w:divsChild>
                    <w:div w:id="42099975">
                      <w:marLeft w:val="0"/>
                      <w:marRight w:val="0"/>
                      <w:marTop w:val="0"/>
                      <w:marBottom w:val="0"/>
                      <w:divBdr>
                        <w:top w:val="none" w:sz="0" w:space="0" w:color="auto"/>
                        <w:left w:val="none" w:sz="0" w:space="0" w:color="auto"/>
                        <w:bottom w:val="none" w:sz="0" w:space="0" w:color="auto"/>
                        <w:right w:val="none" w:sz="0" w:space="0" w:color="auto"/>
                      </w:divBdr>
                    </w:div>
                  </w:divsChild>
                </w:div>
                <w:div w:id="1828663798">
                  <w:marLeft w:val="0"/>
                  <w:marRight w:val="0"/>
                  <w:marTop w:val="0"/>
                  <w:marBottom w:val="0"/>
                  <w:divBdr>
                    <w:top w:val="none" w:sz="0" w:space="0" w:color="auto"/>
                    <w:left w:val="none" w:sz="0" w:space="0" w:color="auto"/>
                    <w:bottom w:val="none" w:sz="0" w:space="0" w:color="auto"/>
                    <w:right w:val="none" w:sz="0" w:space="0" w:color="auto"/>
                  </w:divBdr>
                  <w:divsChild>
                    <w:div w:id="47799238">
                      <w:marLeft w:val="0"/>
                      <w:marRight w:val="0"/>
                      <w:marTop w:val="0"/>
                      <w:marBottom w:val="0"/>
                      <w:divBdr>
                        <w:top w:val="none" w:sz="0" w:space="0" w:color="auto"/>
                        <w:left w:val="none" w:sz="0" w:space="0" w:color="auto"/>
                        <w:bottom w:val="none" w:sz="0" w:space="0" w:color="auto"/>
                        <w:right w:val="none" w:sz="0" w:space="0" w:color="auto"/>
                      </w:divBdr>
                    </w:div>
                  </w:divsChild>
                </w:div>
                <w:div w:id="1955402294">
                  <w:marLeft w:val="0"/>
                  <w:marRight w:val="0"/>
                  <w:marTop w:val="0"/>
                  <w:marBottom w:val="0"/>
                  <w:divBdr>
                    <w:top w:val="none" w:sz="0" w:space="0" w:color="auto"/>
                    <w:left w:val="none" w:sz="0" w:space="0" w:color="auto"/>
                    <w:bottom w:val="none" w:sz="0" w:space="0" w:color="auto"/>
                    <w:right w:val="none" w:sz="0" w:space="0" w:color="auto"/>
                  </w:divBdr>
                  <w:divsChild>
                    <w:div w:id="1532574130">
                      <w:marLeft w:val="0"/>
                      <w:marRight w:val="0"/>
                      <w:marTop w:val="0"/>
                      <w:marBottom w:val="0"/>
                      <w:divBdr>
                        <w:top w:val="none" w:sz="0" w:space="0" w:color="auto"/>
                        <w:left w:val="none" w:sz="0" w:space="0" w:color="auto"/>
                        <w:bottom w:val="none" w:sz="0" w:space="0" w:color="auto"/>
                        <w:right w:val="none" w:sz="0" w:space="0" w:color="auto"/>
                      </w:divBdr>
                    </w:div>
                  </w:divsChild>
                </w:div>
                <w:div w:id="1974141888">
                  <w:marLeft w:val="0"/>
                  <w:marRight w:val="0"/>
                  <w:marTop w:val="0"/>
                  <w:marBottom w:val="0"/>
                  <w:divBdr>
                    <w:top w:val="none" w:sz="0" w:space="0" w:color="auto"/>
                    <w:left w:val="none" w:sz="0" w:space="0" w:color="auto"/>
                    <w:bottom w:val="none" w:sz="0" w:space="0" w:color="auto"/>
                    <w:right w:val="none" w:sz="0" w:space="0" w:color="auto"/>
                  </w:divBdr>
                  <w:divsChild>
                    <w:div w:id="412818053">
                      <w:marLeft w:val="0"/>
                      <w:marRight w:val="0"/>
                      <w:marTop w:val="0"/>
                      <w:marBottom w:val="0"/>
                      <w:divBdr>
                        <w:top w:val="none" w:sz="0" w:space="0" w:color="auto"/>
                        <w:left w:val="none" w:sz="0" w:space="0" w:color="auto"/>
                        <w:bottom w:val="none" w:sz="0" w:space="0" w:color="auto"/>
                        <w:right w:val="none" w:sz="0" w:space="0" w:color="auto"/>
                      </w:divBdr>
                    </w:div>
                  </w:divsChild>
                </w:div>
                <w:div w:id="1985044607">
                  <w:marLeft w:val="0"/>
                  <w:marRight w:val="0"/>
                  <w:marTop w:val="0"/>
                  <w:marBottom w:val="0"/>
                  <w:divBdr>
                    <w:top w:val="none" w:sz="0" w:space="0" w:color="auto"/>
                    <w:left w:val="none" w:sz="0" w:space="0" w:color="auto"/>
                    <w:bottom w:val="none" w:sz="0" w:space="0" w:color="auto"/>
                    <w:right w:val="none" w:sz="0" w:space="0" w:color="auto"/>
                  </w:divBdr>
                  <w:divsChild>
                    <w:div w:id="1261639034">
                      <w:marLeft w:val="0"/>
                      <w:marRight w:val="0"/>
                      <w:marTop w:val="0"/>
                      <w:marBottom w:val="0"/>
                      <w:divBdr>
                        <w:top w:val="none" w:sz="0" w:space="0" w:color="auto"/>
                        <w:left w:val="none" w:sz="0" w:space="0" w:color="auto"/>
                        <w:bottom w:val="none" w:sz="0" w:space="0" w:color="auto"/>
                        <w:right w:val="none" w:sz="0" w:space="0" w:color="auto"/>
                      </w:divBdr>
                    </w:div>
                  </w:divsChild>
                </w:div>
                <w:div w:id="2106460664">
                  <w:marLeft w:val="0"/>
                  <w:marRight w:val="0"/>
                  <w:marTop w:val="0"/>
                  <w:marBottom w:val="0"/>
                  <w:divBdr>
                    <w:top w:val="none" w:sz="0" w:space="0" w:color="auto"/>
                    <w:left w:val="none" w:sz="0" w:space="0" w:color="auto"/>
                    <w:bottom w:val="none" w:sz="0" w:space="0" w:color="auto"/>
                    <w:right w:val="none" w:sz="0" w:space="0" w:color="auto"/>
                  </w:divBdr>
                  <w:divsChild>
                    <w:div w:id="2898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8213">
          <w:marLeft w:val="0"/>
          <w:marRight w:val="0"/>
          <w:marTop w:val="0"/>
          <w:marBottom w:val="0"/>
          <w:divBdr>
            <w:top w:val="none" w:sz="0" w:space="0" w:color="auto"/>
            <w:left w:val="none" w:sz="0" w:space="0" w:color="auto"/>
            <w:bottom w:val="none" w:sz="0" w:space="0" w:color="auto"/>
            <w:right w:val="none" w:sz="0" w:space="0" w:color="auto"/>
          </w:divBdr>
        </w:div>
        <w:div w:id="1827210653">
          <w:marLeft w:val="0"/>
          <w:marRight w:val="0"/>
          <w:marTop w:val="0"/>
          <w:marBottom w:val="0"/>
          <w:divBdr>
            <w:top w:val="none" w:sz="0" w:space="0" w:color="auto"/>
            <w:left w:val="none" w:sz="0" w:space="0" w:color="auto"/>
            <w:bottom w:val="none" w:sz="0" w:space="0" w:color="auto"/>
            <w:right w:val="none" w:sz="0" w:space="0" w:color="auto"/>
          </w:divBdr>
        </w:div>
        <w:div w:id="1930846620">
          <w:marLeft w:val="0"/>
          <w:marRight w:val="0"/>
          <w:marTop w:val="0"/>
          <w:marBottom w:val="0"/>
          <w:divBdr>
            <w:top w:val="none" w:sz="0" w:space="0" w:color="auto"/>
            <w:left w:val="none" w:sz="0" w:space="0" w:color="auto"/>
            <w:bottom w:val="none" w:sz="0" w:space="0" w:color="auto"/>
            <w:right w:val="none" w:sz="0" w:space="0" w:color="auto"/>
          </w:divBdr>
          <w:divsChild>
            <w:div w:id="1126047749">
              <w:marLeft w:val="0"/>
              <w:marRight w:val="0"/>
              <w:marTop w:val="30"/>
              <w:marBottom w:val="30"/>
              <w:divBdr>
                <w:top w:val="none" w:sz="0" w:space="0" w:color="auto"/>
                <w:left w:val="none" w:sz="0" w:space="0" w:color="auto"/>
                <w:bottom w:val="none" w:sz="0" w:space="0" w:color="auto"/>
                <w:right w:val="none" w:sz="0" w:space="0" w:color="auto"/>
              </w:divBdr>
              <w:divsChild>
                <w:div w:id="38092212">
                  <w:marLeft w:val="0"/>
                  <w:marRight w:val="0"/>
                  <w:marTop w:val="0"/>
                  <w:marBottom w:val="0"/>
                  <w:divBdr>
                    <w:top w:val="none" w:sz="0" w:space="0" w:color="auto"/>
                    <w:left w:val="none" w:sz="0" w:space="0" w:color="auto"/>
                    <w:bottom w:val="none" w:sz="0" w:space="0" w:color="auto"/>
                    <w:right w:val="none" w:sz="0" w:space="0" w:color="auto"/>
                  </w:divBdr>
                  <w:divsChild>
                    <w:div w:id="59602769">
                      <w:marLeft w:val="0"/>
                      <w:marRight w:val="0"/>
                      <w:marTop w:val="0"/>
                      <w:marBottom w:val="0"/>
                      <w:divBdr>
                        <w:top w:val="none" w:sz="0" w:space="0" w:color="auto"/>
                        <w:left w:val="none" w:sz="0" w:space="0" w:color="auto"/>
                        <w:bottom w:val="none" w:sz="0" w:space="0" w:color="auto"/>
                        <w:right w:val="none" w:sz="0" w:space="0" w:color="auto"/>
                      </w:divBdr>
                    </w:div>
                  </w:divsChild>
                </w:div>
                <w:div w:id="121388965">
                  <w:marLeft w:val="0"/>
                  <w:marRight w:val="0"/>
                  <w:marTop w:val="0"/>
                  <w:marBottom w:val="0"/>
                  <w:divBdr>
                    <w:top w:val="none" w:sz="0" w:space="0" w:color="auto"/>
                    <w:left w:val="none" w:sz="0" w:space="0" w:color="auto"/>
                    <w:bottom w:val="none" w:sz="0" w:space="0" w:color="auto"/>
                    <w:right w:val="none" w:sz="0" w:space="0" w:color="auto"/>
                  </w:divBdr>
                  <w:divsChild>
                    <w:div w:id="419133422">
                      <w:marLeft w:val="0"/>
                      <w:marRight w:val="0"/>
                      <w:marTop w:val="0"/>
                      <w:marBottom w:val="0"/>
                      <w:divBdr>
                        <w:top w:val="none" w:sz="0" w:space="0" w:color="auto"/>
                        <w:left w:val="none" w:sz="0" w:space="0" w:color="auto"/>
                        <w:bottom w:val="none" w:sz="0" w:space="0" w:color="auto"/>
                        <w:right w:val="none" w:sz="0" w:space="0" w:color="auto"/>
                      </w:divBdr>
                    </w:div>
                  </w:divsChild>
                </w:div>
                <w:div w:id="307589962">
                  <w:marLeft w:val="0"/>
                  <w:marRight w:val="0"/>
                  <w:marTop w:val="0"/>
                  <w:marBottom w:val="0"/>
                  <w:divBdr>
                    <w:top w:val="none" w:sz="0" w:space="0" w:color="auto"/>
                    <w:left w:val="none" w:sz="0" w:space="0" w:color="auto"/>
                    <w:bottom w:val="none" w:sz="0" w:space="0" w:color="auto"/>
                    <w:right w:val="none" w:sz="0" w:space="0" w:color="auto"/>
                  </w:divBdr>
                  <w:divsChild>
                    <w:div w:id="198587856">
                      <w:marLeft w:val="0"/>
                      <w:marRight w:val="0"/>
                      <w:marTop w:val="0"/>
                      <w:marBottom w:val="0"/>
                      <w:divBdr>
                        <w:top w:val="none" w:sz="0" w:space="0" w:color="auto"/>
                        <w:left w:val="none" w:sz="0" w:space="0" w:color="auto"/>
                        <w:bottom w:val="none" w:sz="0" w:space="0" w:color="auto"/>
                        <w:right w:val="none" w:sz="0" w:space="0" w:color="auto"/>
                      </w:divBdr>
                    </w:div>
                  </w:divsChild>
                </w:div>
                <w:div w:id="384380722">
                  <w:marLeft w:val="0"/>
                  <w:marRight w:val="0"/>
                  <w:marTop w:val="0"/>
                  <w:marBottom w:val="0"/>
                  <w:divBdr>
                    <w:top w:val="none" w:sz="0" w:space="0" w:color="auto"/>
                    <w:left w:val="none" w:sz="0" w:space="0" w:color="auto"/>
                    <w:bottom w:val="none" w:sz="0" w:space="0" w:color="auto"/>
                    <w:right w:val="none" w:sz="0" w:space="0" w:color="auto"/>
                  </w:divBdr>
                  <w:divsChild>
                    <w:div w:id="1621766121">
                      <w:marLeft w:val="0"/>
                      <w:marRight w:val="0"/>
                      <w:marTop w:val="0"/>
                      <w:marBottom w:val="0"/>
                      <w:divBdr>
                        <w:top w:val="none" w:sz="0" w:space="0" w:color="auto"/>
                        <w:left w:val="none" w:sz="0" w:space="0" w:color="auto"/>
                        <w:bottom w:val="none" w:sz="0" w:space="0" w:color="auto"/>
                        <w:right w:val="none" w:sz="0" w:space="0" w:color="auto"/>
                      </w:divBdr>
                    </w:div>
                  </w:divsChild>
                </w:div>
                <w:div w:id="445199618">
                  <w:marLeft w:val="0"/>
                  <w:marRight w:val="0"/>
                  <w:marTop w:val="0"/>
                  <w:marBottom w:val="0"/>
                  <w:divBdr>
                    <w:top w:val="none" w:sz="0" w:space="0" w:color="auto"/>
                    <w:left w:val="none" w:sz="0" w:space="0" w:color="auto"/>
                    <w:bottom w:val="none" w:sz="0" w:space="0" w:color="auto"/>
                    <w:right w:val="none" w:sz="0" w:space="0" w:color="auto"/>
                  </w:divBdr>
                  <w:divsChild>
                    <w:div w:id="1642730822">
                      <w:marLeft w:val="0"/>
                      <w:marRight w:val="0"/>
                      <w:marTop w:val="0"/>
                      <w:marBottom w:val="0"/>
                      <w:divBdr>
                        <w:top w:val="none" w:sz="0" w:space="0" w:color="auto"/>
                        <w:left w:val="none" w:sz="0" w:space="0" w:color="auto"/>
                        <w:bottom w:val="none" w:sz="0" w:space="0" w:color="auto"/>
                        <w:right w:val="none" w:sz="0" w:space="0" w:color="auto"/>
                      </w:divBdr>
                    </w:div>
                  </w:divsChild>
                </w:div>
                <w:div w:id="452093810">
                  <w:marLeft w:val="0"/>
                  <w:marRight w:val="0"/>
                  <w:marTop w:val="0"/>
                  <w:marBottom w:val="0"/>
                  <w:divBdr>
                    <w:top w:val="none" w:sz="0" w:space="0" w:color="auto"/>
                    <w:left w:val="none" w:sz="0" w:space="0" w:color="auto"/>
                    <w:bottom w:val="none" w:sz="0" w:space="0" w:color="auto"/>
                    <w:right w:val="none" w:sz="0" w:space="0" w:color="auto"/>
                  </w:divBdr>
                </w:div>
                <w:div w:id="540482607">
                  <w:marLeft w:val="0"/>
                  <w:marRight w:val="0"/>
                  <w:marTop w:val="0"/>
                  <w:marBottom w:val="0"/>
                  <w:divBdr>
                    <w:top w:val="none" w:sz="0" w:space="0" w:color="auto"/>
                    <w:left w:val="none" w:sz="0" w:space="0" w:color="auto"/>
                    <w:bottom w:val="none" w:sz="0" w:space="0" w:color="auto"/>
                    <w:right w:val="none" w:sz="0" w:space="0" w:color="auto"/>
                  </w:divBdr>
                  <w:divsChild>
                    <w:div w:id="896861719">
                      <w:marLeft w:val="0"/>
                      <w:marRight w:val="0"/>
                      <w:marTop w:val="0"/>
                      <w:marBottom w:val="0"/>
                      <w:divBdr>
                        <w:top w:val="none" w:sz="0" w:space="0" w:color="auto"/>
                        <w:left w:val="none" w:sz="0" w:space="0" w:color="auto"/>
                        <w:bottom w:val="none" w:sz="0" w:space="0" w:color="auto"/>
                        <w:right w:val="none" w:sz="0" w:space="0" w:color="auto"/>
                      </w:divBdr>
                    </w:div>
                  </w:divsChild>
                </w:div>
                <w:div w:id="552623916">
                  <w:marLeft w:val="0"/>
                  <w:marRight w:val="0"/>
                  <w:marTop w:val="0"/>
                  <w:marBottom w:val="0"/>
                  <w:divBdr>
                    <w:top w:val="none" w:sz="0" w:space="0" w:color="auto"/>
                    <w:left w:val="none" w:sz="0" w:space="0" w:color="auto"/>
                    <w:bottom w:val="none" w:sz="0" w:space="0" w:color="auto"/>
                    <w:right w:val="none" w:sz="0" w:space="0" w:color="auto"/>
                  </w:divBdr>
                  <w:divsChild>
                    <w:div w:id="619918931">
                      <w:marLeft w:val="0"/>
                      <w:marRight w:val="0"/>
                      <w:marTop w:val="0"/>
                      <w:marBottom w:val="0"/>
                      <w:divBdr>
                        <w:top w:val="none" w:sz="0" w:space="0" w:color="auto"/>
                        <w:left w:val="none" w:sz="0" w:space="0" w:color="auto"/>
                        <w:bottom w:val="none" w:sz="0" w:space="0" w:color="auto"/>
                        <w:right w:val="none" w:sz="0" w:space="0" w:color="auto"/>
                      </w:divBdr>
                    </w:div>
                  </w:divsChild>
                </w:div>
                <w:div w:id="560943866">
                  <w:marLeft w:val="0"/>
                  <w:marRight w:val="0"/>
                  <w:marTop w:val="0"/>
                  <w:marBottom w:val="0"/>
                  <w:divBdr>
                    <w:top w:val="none" w:sz="0" w:space="0" w:color="auto"/>
                    <w:left w:val="none" w:sz="0" w:space="0" w:color="auto"/>
                    <w:bottom w:val="none" w:sz="0" w:space="0" w:color="auto"/>
                    <w:right w:val="none" w:sz="0" w:space="0" w:color="auto"/>
                  </w:divBdr>
                  <w:divsChild>
                    <w:div w:id="1151096629">
                      <w:marLeft w:val="0"/>
                      <w:marRight w:val="0"/>
                      <w:marTop w:val="0"/>
                      <w:marBottom w:val="0"/>
                      <w:divBdr>
                        <w:top w:val="none" w:sz="0" w:space="0" w:color="auto"/>
                        <w:left w:val="none" w:sz="0" w:space="0" w:color="auto"/>
                        <w:bottom w:val="none" w:sz="0" w:space="0" w:color="auto"/>
                        <w:right w:val="none" w:sz="0" w:space="0" w:color="auto"/>
                      </w:divBdr>
                    </w:div>
                  </w:divsChild>
                </w:div>
                <w:div w:id="599487786">
                  <w:marLeft w:val="0"/>
                  <w:marRight w:val="0"/>
                  <w:marTop w:val="0"/>
                  <w:marBottom w:val="0"/>
                  <w:divBdr>
                    <w:top w:val="none" w:sz="0" w:space="0" w:color="auto"/>
                    <w:left w:val="none" w:sz="0" w:space="0" w:color="auto"/>
                    <w:bottom w:val="none" w:sz="0" w:space="0" w:color="auto"/>
                    <w:right w:val="none" w:sz="0" w:space="0" w:color="auto"/>
                  </w:divBdr>
                  <w:divsChild>
                    <w:div w:id="1491361302">
                      <w:marLeft w:val="0"/>
                      <w:marRight w:val="0"/>
                      <w:marTop w:val="0"/>
                      <w:marBottom w:val="0"/>
                      <w:divBdr>
                        <w:top w:val="none" w:sz="0" w:space="0" w:color="auto"/>
                        <w:left w:val="none" w:sz="0" w:space="0" w:color="auto"/>
                        <w:bottom w:val="none" w:sz="0" w:space="0" w:color="auto"/>
                        <w:right w:val="none" w:sz="0" w:space="0" w:color="auto"/>
                      </w:divBdr>
                    </w:div>
                  </w:divsChild>
                </w:div>
                <w:div w:id="644432132">
                  <w:marLeft w:val="0"/>
                  <w:marRight w:val="0"/>
                  <w:marTop w:val="0"/>
                  <w:marBottom w:val="0"/>
                  <w:divBdr>
                    <w:top w:val="none" w:sz="0" w:space="0" w:color="auto"/>
                    <w:left w:val="none" w:sz="0" w:space="0" w:color="auto"/>
                    <w:bottom w:val="none" w:sz="0" w:space="0" w:color="auto"/>
                    <w:right w:val="none" w:sz="0" w:space="0" w:color="auto"/>
                  </w:divBdr>
                  <w:divsChild>
                    <w:div w:id="1731923883">
                      <w:marLeft w:val="0"/>
                      <w:marRight w:val="0"/>
                      <w:marTop w:val="0"/>
                      <w:marBottom w:val="0"/>
                      <w:divBdr>
                        <w:top w:val="none" w:sz="0" w:space="0" w:color="auto"/>
                        <w:left w:val="none" w:sz="0" w:space="0" w:color="auto"/>
                        <w:bottom w:val="none" w:sz="0" w:space="0" w:color="auto"/>
                        <w:right w:val="none" w:sz="0" w:space="0" w:color="auto"/>
                      </w:divBdr>
                    </w:div>
                  </w:divsChild>
                </w:div>
                <w:div w:id="685443255">
                  <w:marLeft w:val="0"/>
                  <w:marRight w:val="0"/>
                  <w:marTop w:val="0"/>
                  <w:marBottom w:val="0"/>
                  <w:divBdr>
                    <w:top w:val="none" w:sz="0" w:space="0" w:color="auto"/>
                    <w:left w:val="none" w:sz="0" w:space="0" w:color="auto"/>
                    <w:bottom w:val="none" w:sz="0" w:space="0" w:color="auto"/>
                    <w:right w:val="none" w:sz="0" w:space="0" w:color="auto"/>
                  </w:divBdr>
                  <w:divsChild>
                    <w:div w:id="1636058351">
                      <w:marLeft w:val="0"/>
                      <w:marRight w:val="0"/>
                      <w:marTop w:val="0"/>
                      <w:marBottom w:val="0"/>
                      <w:divBdr>
                        <w:top w:val="none" w:sz="0" w:space="0" w:color="auto"/>
                        <w:left w:val="none" w:sz="0" w:space="0" w:color="auto"/>
                        <w:bottom w:val="none" w:sz="0" w:space="0" w:color="auto"/>
                        <w:right w:val="none" w:sz="0" w:space="0" w:color="auto"/>
                      </w:divBdr>
                    </w:div>
                  </w:divsChild>
                </w:div>
                <w:div w:id="708385298">
                  <w:marLeft w:val="0"/>
                  <w:marRight w:val="0"/>
                  <w:marTop w:val="0"/>
                  <w:marBottom w:val="0"/>
                  <w:divBdr>
                    <w:top w:val="none" w:sz="0" w:space="0" w:color="auto"/>
                    <w:left w:val="none" w:sz="0" w:space="0" w:color="auto"/>
                    <w:bottom w:val="none" w:sz="0" w:space="0" w:color="auto"/>
                    <w:right w:val="none" w:sz="0" w:space="0" w:color="auto"/>
                  </w:divBdr>
                  <w:divsChild>
                    <w:div w:id="708577852">
                      <w:marLeft w:val="0"/>
                      <w:marRight w:val="0"/>
                      <w:marTop w:val="0"/>
                      <w:marBottom w:val="0"/>
                      <w:divBdr>
                        <w:top w:val="none" w:sz="0" w:space="0" w:color="auto"/>
                        <w:left w:val="none" w:sz="0" w:space="0" w:color="auto"/>
                        <w:bottom w:val="none" w:sz="0" w:space="0" w:color="auto"/>
                        <w:right w:val="none" w:sz="0" w:space="0" w:color="auto"/>
                      </w:divBdr>
                    </w:div>
                  </w:divsChild>
                </w:div>
                <w:div w:id="847064406">
                  <w:marLeft w:val="0"/>
                  <w:marRight w:val="0"/>
                  <w:marTop w:val="0"/>
                  <w:marBottom w:val="0"/>
                  <w:divBdr>
                    <w:top w:val="none" w:sz="0" w:space="0" w:color="auto"/>
                    <w:left w:val="none" w:sz="0" w:space="0" w:color="auto"/>
                    <w:bottom w:val="none" w:sz="0" w:space="0" w:color="auto"/>
                    <w:right w:val="none" w:sz="0" w:space="0" w:color="auto"/>
                  </w:divBdr>
                  <w:divsChild>
                    <w:div w:id="209465599">
                      <w:marLeft w:val="0"/>
                      <w:marRight w:val="0"/>
                      <w:marTop w:val="0"/>
                      <w:marBottom w:val="0"/>
                      <w:divBdr>
                        <w:top w:val="none" w:sz="0" w:space="0" w:color="auto"/>
                        <w:left w:val="none" w:sz="0" w:space="0" w:color="auto"/>
                        <w:bottom w:val="none" w:sz="0" w:space="0" w:color="auto"/>
                        <w:right w:val="none" w:sz="0" w:space="0" w:color="auto"/>
                      </w:divBdr>
                    </w:div>
                  </w:divsChild>
                </w:div>
                <w:div w:id="854882421">
                  <w:marLeft w:val="0"/>
                  <w:marRight w:val="0"/>
                  <w:marTop w:val="0"/>
                  <w:marBottom w:val="0"/>
                  <w:divBdr>
                    <w:top w:val="none" w:sz="0" w:space="0" w:color="auto"/>
                    <w:left w:val="none" w:sz="0" w:space="0" w:color="auto"/>
                    <w:bottom w:val="none" w:sz="0" w:space="0" w:color="auto"/>
                    <w:right w:val="none" w:sz="0" w:space="0" w:color="auto"/>
                  </w:divBdr>
                  <w:divsChild>
                    <w:div w:id="1339193677">
                      <w:marLeft w:val="0"/>
                      <w:marRight w:val="0"/>
                      <w:marTop w:val="0"/>
                      <w:marBottom w:val="0"/>
                      <w:divBdr>
                        <w:top w:val="none" w:sz="0" w:space="0" w:color="auto"/>
                        <w:left w:val="none" w:sz="0" w:space="0" w:color="auto"/>
                        <w:bottom w:val="none" w:sz="0" w:space="0" w:color="auto"/>
                        <w:right w:val="none" w:sz="0" w:space="0" w:color="auto"/>
                      </w:divBdr>
                    </w:div>
                  </w:divsChild>
                </w:div>
                <w:div w:id="868641782">
                  <w:marLeft w:val="0"/>
                  <w:marRight w:val="0"/>
                  <w:marTop w:val="0"/>
                  <w:marBottom w:val="0"/>
                  <w:divBdr>
                    <w:top w:val="none" w:sz="0" w:space="0" w:color="auto"/>
                    <w:left w:val="none" w:sz="0" w:space="0" w:color="auto"/>
                    <w:bottom w:val="none" w:sz="0" w:space="0" w:color="auto"/>
                    <w:right w:val="none" w:sz="0" w:space="0" w:color="auto"/>
                  </w:divBdr>
                  <w:divsChild>
                    <w:div w:id="1954707209">
                      <w:marLeft w:val="0"/>
                      <w:marRight w:val="0"/>
                      <w:marTop w:val="0"/>
                      <w:marBottom w:val="0"/>
                      <w:divBdr>
                        <w:top w:val="none" w:sz="0" w:space="0" w:color="auto"/>
                        <w:left w:val="none" w:sz="0" w:space="0" w:color="auto"/>
                        <w:bottom w:val="none" w:sz="0" w:space="0" w:color="auto"/>
                        <w:right w:val="none" w:sz="0" w:space="0" w:color="auto"/>
                      </w:divBdr>
                    </w:div>
                  </w:divsChild>
                </w:div>
                <w:div w:id="879056097">
                  <w:marLeft w:val="0"/>
                  <w:marRight w:val="0"/>
                  <w:marTop w:val="0"/>
                  <w:marBottom w:val="0"/>
                  <w:divBdr>
                    <w:top w:val="none" w:sz="0" w:space="0" w:color="auto"/>
                    <w:left w:val="none" w:sz="0" w:space="0" w:color="auto"/>
                    <w:bottom w:val="none" w:sz="0" w:space="0" w:color="auto"/>
                    <w:right w:val="none" w:sz="0" w:space="0" w:color="auto"/>
                  </w:divBdr>
                  <w:divsChild>
                    <w:div w:id="1077433418">
                      <w:marLeft w:val="0"/>
                      <w:marRight w:val="0"/>
                      <w:marTop w:val="0"/>
                      <w:marBottom w:val="0"/>
                      <w:divBdr>
                        <w:top w:val="none" w:sz="0" w:space="0" w:color="auto"/>
                        <w:left w:val="none" w:sz="0" w:space="0" w:color="auto"/>
                        <w:bottom w:val="none" w:sz="0" w:space="0" w:color="auto"/>
                        <w:right w:val="none" w:sz="0" w:space="0" w:color="auto"/>
                      </w:divBdr>
                    </w:div>
                  </w:divsChild>
                </w:div>
                <w:div w:id="888879319">
                  <w:marLeft w:val="0"/>
                  <w:marRight w:val="0"/>
                  <w:marTop w:val="0"/>
                  <w:marBottom w:val="0"/>
                  <w:divBdr>
                    <w:top w:val="none" w:sz="0" w:space="0" w:color="auto"/>
                    <w:left w:val="none" w:sz="0" w:space="0" w:color="auto"/>
                    <w:bottom w:val="none" w:sz="0" w:space="0" w:color="auto"/>
                    <w:right w:val="none" w:sz="0" w:space="0" w:color="auto"/>
                  </w:divBdr>
                </w:div>
                <w:div w:id="889459687">
                  <w:marLeft w:val="0"/>
                  <w:marRight w:val="0"/>
                  <w:marTop w:val="0"/>
                  <w:marBottom w:val="0"/>
                  <w:divBdr>
                    <w:top w:val="none" w:sz="0" w:space="0" w:color="auto"/>
                    <w:left w:val="none" w:sz="0" w:space="0" w:color="auto"/>
                    <w:bottom w:val="none" w:sz="0" w:space="0" w:color="auto"/>
                    <w:right w:val="none" w:sz="0" w:space="0" w:color="auto"/>
                  </w:divBdr>
                  <w:divsChild>
                    <w:div w:id="395275410">
                      <w:marLeft w:val="0"/>
                      <w:marRight w:val="0"/>
                      <w:marTop w:val="0"/>
                      <w:marBottom w:val="0"/>
                      <w:divBdr>
                        <w:top w:val="none" w:sz="0" w:space="0" w:color="auto"/>
                        <w:left w:val="none" w:sz="0" w:space="0" w:color="auto"/>
                        <w:bottom w:val="none" w:sz="0" w:space="0" w:color="auto"/>
                        <w:right w:val="none" w:sz="0" w:space="0" w:color="auto"/>
                      </w:divBdr>
                    </w:div>
                  </w:divsChild>
                </w:div>
                <w:div w:id="895118861">
                  <w:marLeft w:val="0"/>
                  <w:marRight w:val="0"/>
                  <w:marTop w:val="0"/>
                  <w:marBottom w:val="0"/>
                  <w:divBdr>
                    <w:top w:val="none" w:sz="0" w:space="0" w:color="auto"/>
                    <w:left w:val="none" w:sz="0" w:space="0" w:color="auto"/>
                    <w:bottom w:val="none" w:sz="0" w:space="0" w:color="auto"/>
                    <w:right w:val="none" w:sz="0" w:space="0" w:color="auto"/>
                  </w:divBdr>
                </w:div>
                <w:div w:id="934747358">
                  <w:marLeft w:val="0"/>
                  <w:marRight w:val="0"/>
                  <w:marTop w:val="0"/>
                  <w:marBottom w:val="0"/>
                  <w:divBdr>
                    <w:top w:val="none" w:sz="0" w:space="0" w:color="auto"/>
                    <w:left w:val="none" w:sz="0" w:space="0" w:color="auto"/>
                    <w:bottom w:val="none" w:sz="0" w:space="0" w:color="auto"/>
                    <w:right w:val="none" w:sz="0" w:space="0" w:color="auto"/>
                  </w:divBdr>
                  <w:divsChild>
                    <w:div w:id="1871794063">
                      <w:marLeft w:val="0"/>
                      <w:marRight w:val="0"/>
                      <w:marTop w:val="0"/>
                      <w:marBottom w:val="0"/>
                      <w:divBdr>
                        <w:top w:val="none" w:sz="0" w:space="0" w:color="auto"/>
                        <w:left w:val="none" w:sz="0" w:space="0" w:color="auto"/>
                        <w:bottom w:val="none" w:sz="0" w:space="0" w:color="auto"/>
                        <w:right w:val="none" w:sz="0" w:space="0" w:color="auto"/>
                      </w:divBdr>
                    </w:div>
                  </w:divsChild>
                </w:div>
                <w:div w:id="964192083">
                  <w:marLeft w:val="0"/>
                  <w:marRight w:val="0"/>
                  <w:marTop w:val="0"/>
                  <w:marBottom w:val="0"/>
                  <w:divBdr>
                    <w:top w:val="none" w:sz="0" w:space="0" w:color="auto"/>
                    <w:left w:val="none" w:sz="0" w:space="0" w:color="auto"/>
                    <w:bottom w:val="none" w:sz="0" w:space="0" w:color="auto"/>
                    <w:right w:val="none" w:sz="0" w:space="0" w:color="auto"/>
                  </w:divBdr>
                </w:div>
                <w:div w:id="1025667651">
                  <w:marLeft w:val="0"/>
                  <w:marRight w:val="0"/>
                  <w:marTop w:val="0"/>
                  <w:marBottom w:val="0"/>
                  <w:divBdr>
                    <w:top w:val="none" w:sz="0" w:space="0" w:color="auto"/>
                    <w:left w:val="none" w:sz="0" w:space="0" w:color="auto"/>
                    <w:bottom w:val="none" w:sz="0" w:space="0" w:color="auto"/>
                    <w:right w:val="none" w:sz="0" w:space="0" w:color="auto"/>
                  </w:divBdr>
                  <w:divsChild>
                    <w:div w:id="1922133521">
                      <w:marLeft w:val="0"/>
                      <w:marRight w:val="0"/>
                      <w:marTop w:val="0"/>
                      <w:marBottom w:val="0"/>
                      <w:divBdr>
                        <w:top w:val="none" w:sz="0" w:space="0" w:color="auto"/>
                        <w:left w:val="none" w:sz="0" w:space="0" w:color="auto"/>
                        <w:bottom w:val="none" w:sz="0" w:space="0" w:color="auto"/>
                        <w:right w:val="none" w:sz="0" w:space="0" w:color="auto"/>
                      </w:divBdr>
                    </w:div>
                  </w:divsChild>
                </w:div>
                <w:div w:id="1041586714">
                  <w:marLeft w:val="0"/>
                  <w:marRight w:val="0"/>
                  <w:marTop w:val="0"/>
                  <w:marBottom w:val="0"/>
                  <w:divBdr>
                    <w:top w:val="none" w:sz="0" w:space="0" w:color="auto"/>
                    <w:left w:val="none" w:sz="0" w:space="0" w:color="auto"/>
                    <w:bottom w:val="none" w:sz="0" w:space="0" w:color="auto"/>
                    <w:right w:val="none" w:sz="0" w:space="0" w:color="auto"/>
                  </w:divBdr>
                  <w:divsChild>
                    <w:div w:id="1442726348">
                      <w:marLeft w:val="0"/>
                      <w:marRight w:val="0"/>
                      <w:marTop w:val="0"/>
                      <w:marBottom w:val="0"/>
                      <w:divBdr>
                        <w:top w:val="none" w:sz="0" w:space="0" w:color="auto"/>
                        <w:left w:val="none" w:sz="0" w:space="0" w:color="auto"/>
                        <w:bottom w:val="none" w:sz="0" w:space="0" w:color="auto"/>
                        <w:right w:val="none" w:sz="0" w:space="0" w:color="auto"/>
                      </w:divBdr>
                    </w:div>
                  </w:divsChild>
                </w:div>
                <w:div w:id="1138179940">
                  <w:marLeft w:val="0"/>
                  <w:marRight w:val="0"/>
                  <w:marTop w:val="0"/>
                  <w:marBottom w:val="0"/>
                  <w:divBdr>
                    <w:top w:val="none" w:sz="0" w:space="0" w:color="auto"/>
                    <w:left w:val="none" w:sz="0" w:space="0" w:color="auto"/>
                    <w:bottom w:val="none" w:sz="0" w:space="0" w:color="auto"/>
                    <w:right w:val="none" w:sz="0" w:space="0" w:color="auto"/>
                  </w:divBdr>
                  <w:divsChild>
                    <w:div w:id="944771458">
                      <w:marLeft w:val="0"/>
                      <w:marRight w:val="0"/>
                      <w:marTop w:val="0"/>
                      <w:marBottom w:val="0"/>
                      <w:divBdr>
                        <w:top w:val="none" w:sz="0" w:space="0" w:color="auto"/>
                        <w:left w:val="none" w:sz="0" w:space="0" w:color="auto"/>
                        <w:bottom w:val="none" w:sz="0" w:space="0" w:color="auto"/>
                        <w:right w:val="none" w:sz="0" w:space="0" w:color="auto"/>
                      </w:divBdr>
                    </w:div>
                  </w:divsChild>
                </w:div>
                <w:div w:id="1141533496">
                  <w:marLeft w:val="0"/>
                  <w:marRight w:val="0"/>
                  <w:marTop w:val="0"/>
                  <w:marBottom w:val="0"/>
                  <w:divBdr>
                    <w:top w:val="none" w:sz="0" w:space="0" w:color="auto"/>
                    <w:left w:val="none" w:sz="0" w:space="0" w:color="auto"/>
                    <w:bottom w:val="none" w:sz="0" w:space="0" w:color="auto"/>
                    <w:right w:val="none" w:sz="0" w:space="0" w:color="auto"/>
                  </w:divBdr>
                  <w:divsChild>
                    <w:div w:id="1494298092">
                      <w:marLeft w:val="0"/>
                      <w:marRight w:val="0"/>
                      <w:marTop w:val="0"/>
                      <w:marBottom w:val="0"/>
                      <w:divBdr>
                        <w:top w:val="none" w:sz="0" w:space="0" w:color="auto"/>
                        <w:left w:val="none" w:sz="0" w:space="0" w:color="auto"/>
                        <w:bottom w:val="none" w:sz="0" w:space="0" w:color="auto"/>
                        <w:right w:val="none" w:sz="0" w:space="0" w:color="auto"/>
                      </w:divBdr>
                    </w:div>
                  </w:divsChild>
                </w:div>
                <w:div w:id="1216429396">
                  <w:marLeft w:val="0"/>
                  <w:marRight w:val="0"/>
                  <w:marTop w:val="0"/>
                  <w:marBottom w:val="0"/>
                  <w:divBdr>
                    <w:top w:val="none" w:sz="0" w:space="0" w:color="auto"/>
                    <w:left w:val="none" w:sz="0" w:space="0" w:color="auto"/>
                    <w:bottom w:val="none" w:sz="0" w:space="0" w:color="auto"/>
                    <w:right w:val="none" w:sz="0" w:space="0" w:color="auto"/>
                  </w:divBdr>
                  <w:divsChild>
                    <w:div w:id="356466731">
                      <w:marLeft w:val="0"/>
                      <w:marRight w:val="0"/>
                      <w:marTop w:val="0"/>
                      <w:marBottom w:val="0"/>
                      <w:divBdr>
                        <w:top w:val="none" w:sz="0" w:space="0" w:color="auto"/>
                        <w:left w:val="none" w:sz="0" w:space="0" w:color="auto"/>
                        <w:bottom w:val="none" w:sz="0" w:space="0" w:color="auto"/>
                        <w:right w:val="none" w:sz="0" w:space="0" w:color="auto"/>
                      </w:divBdr>
                    </w:div>
                  </w:divsChild>
                </w:div>
                <w:div w:id="1233200337">
                  <w:marLeft w:val="0"/>
                  <w:marRight w:val="0"/>
                  <w:marTop w:val="0"/>
                  <w:marBottom w:val="0"/>
                  <w:divBdr>
                    <w:top w:val="none" w:sz="0" w:space="0" w:color="auto"/>
                    <w:left w:val="none" w:sz="0" w:space="0" w:color="auto"/>
                    <w:bottom w:val="none" w:sz="0" w:space="0" w:color="auto"/>
                    <w:right w:val="none" w:sz="0" w:space="0" w:color="auto"/>
                  </w:divBdr>
                  <w:divsChild>
                    <w:div w:id="1179930815">
                      <w:marLeft w:val="0"/>
                      <w:marRight w:val="0"/>
                      <w:marTop w:val="0"/>
                      <w:marBottom w:val="0"/>
                      <w:divBdr>
                        <w:top w:val="none" w:sz="0" w:space="0" w:color="auto"/>
                        <w:left w:val="none" w:sz="0" w:space="0" w:color="auto"/>
                        <w:bottom w:val="none" w:sz="0" w:space="0" w:color="auto"/>
                        <w:right w:val="none" w:sz="0" w:space="0" w:color="auto"/>
                      </w:divBdr>
                    </w:div>
                  </w:divsChild>
                </w:div>
                <w:div w:id="1275138105">
                  <w:marLeft w:val="0"/>
                  <w:marRight w:val="0"/>
                  <w:marTop w:val="0"/>
                  <w:marBottom w:val="0"/>
                  <w:divBdr>
                    <w:top w:val="none" w:sz="0" w:space="0" w:color="auto"/>
                    <w:left w:val="none" w:sz="0" w:space="0" w:color="auto"/>
                    <w:bottom w:val="none" w:sz="0" w:space="0" w:color="auto"/>
                    <w:right w:val="none" w:sz="0" w:space="0" w:color="auto"/>
                  </w:divBdr>
                  <w:divsChild>
                    <w:div w:id="1416240999">
                      <w:marLeft w:val="0"/>
                      <w:marRight w:val="0"/>
                      <w:marTop w:val="0"/>
                      <w:marBottom w:val="0"/>
                      <w:divBdr>
                        <w:top w:val="none" w:sz="0" w:space="0" w:color="auto"/>
                        <w:left w:val="none" w:sz="0" w:space="0" w:color="auto"/>
                        <w:bottom w:val="none" w:sz="0" w:space="0" w:color="auto"/>
                        <w:right w:val="none" w:sz="0" w:space="0" w:color="auto"/>
                      </w:divBdr>
                    </w:div>
                  </w:divsChild>
                </w:div>
                <w:div w:id="1292517217">
                  <w:marLeft w:val="0"/>
                  <w:marRight w:val="0"/>
                  <w:marTop w:val="0"/>
                  <w:marBottom w:val="0"/>
                  <w:divBdr>
                    <w:top w:val="none" w:sz="0" w:space="0" w:color="auto"/>
                    <w:left w:val="none" w:sz="0" w:space="0" w:color="auto"/>
                    <w:bottom w:val="none" w:sz="0" w:space="0" w:color="auto"/>
                    <w:right w:val="none" w:sz="0" w:space="0" w:color="auto"/>
                  </w:divBdr>
                  <w:divsChild>
                    <w:div w:id="683896958">
                      <w:marLeft w:val="0"/>
                      <w:marRight w:val="0"/>
                      <w:marTop w:val="0"/>
                      <w:marBottom w:val="0"/>
                      <w:divBdr>
                        <w:top w:val="none" w:sz="0" w:space="0" w:color="auto"/>
                        <w:left w:val="none" w:sz="0" w:space="0" w:color="auto"/>
                        <w:bottom w:val="none" w:sz="0" w:space="0" w:color="auto"/>
                        <w:right w:val="none" w:sz="0" w:space="0" w:color="auto"/>
                      </w:divBdr>
                    </w:div>
                  </w:divsChild>
                </w:div>
                <w:div w:id="1384717202">
                  <w:marLeft w:val="0"/>
                  <w:marRight w:val="0"/>
                  <w:marTop w:val="0"/>
                  <w:marBottom w:val="0"/>
                  <w:divBdr>
                    <w:top w:val="none" w:sz="0" w:space="0" w:color="auto"/>
                    <w:left w:val="none" w:sz="0" w:space="0" w:color="auto"/>
                    <w:bottom w:val="none" w:sz="0" w:space="0" w:color="auto"/>
                    <w:right w:val="none" w:sz="0" w:space="0" w:color="auto"/>
                  </w:divBdr>
                  <w:divsChild>
                    <w:div w:id="281352923">
                      <w:marLeft w:val="0"/>
                      <w:marRight w:val="0"/>
                      <w:marTop w:val="0"/>
                      <w:marBottom w:val="0"/>
                      <w:divBdr>
                        <w:top w:val="none" w:sz="0" w:space="0" w:color="auto"/>
                        <w:left w:val="none" w:sz="0" w:space="0" w:color="auto"/>
                        <w:bottom w:val="none" w:sz="0" w:space="0" w:color="auto"/>
                        <w:right w:val="none" w:sz="0" w:space="0" w:color="auto"/>
                      </w:divBdr>
                    </w:div>
                  </w:divsChild>
                </w:div>
                <w:div w:id="1515344718">
                  <w:marLeft w:val="0"/>
                  <w:marRight w:val="0"/>
                  <w:marTop w:val="0"/>
                  <w:marBottom w:val="0"/>
                  <w:divBdr>
                    <w:top w:val="none" w:sz="0" w:space="0" w:color="auto"/>
                    <w:left w:val="none" w:sz="0" w:space="0" w:color="auto"/>
                    <w:bottom w:val="none" w:sz="0" w:space="0" w:color="auto"/>
                    <w:right w:val="none" w:sz="0" w:space="0" w:color="auto"/>
                  </w:divBdr>
                  <w:divsChild>
                    <w:div w:id="1587809079">
                      <w:marLeft w:val="0"/>
                      <w:marRight w:val="0"/>
                      <w:marTop w:val="0"/>
                      <w:marBottom w:val="0"/>
                      <w:divBdr>
                        <w:top w:val="none" w:sz="0" w:space="0" w:color="auto"/>
                        <w:left w:val="none" w:sz="0" w:space="0" w:color="auto"/>
                        <w:bottom w:val="none" w:sz="0" w:space="0" w:color="auto"/>
                        <w:right w:val="none" w:sz="0" w:space="0" w:color="auto"/>
                      </w:divBdr>
                    </w:div>
                  </w:divsChild>
                </w:div>
                <w:div w:id="1907496882">
                  <w:marLeft w:val="0"/>
                  <w:marRight w:val="0"/>
                  <w:marTop w:val="0"/>
                  <w:marBottom w:val="0"/>
                  <w:divBdr>
                    <w:top w:val="none" w:sz="0" w:space="0" w:color="auto"/>
                    <w:left w:val="none" w:sz="0" w:space="0" w:color="auto"/>
                    <w:bottom w:val="none" w:sz="0" w:space="0" w:color="auto"/>
                    <w:right w:val="none" w:sz="0" w:space="0" w:color="auto"/>
                  </w:divBdr>
                  <w:divsChild>
                    <w:div w:id="729965801">
                      <w:marLeft w:val="0"/>
                      <w:marRight w:val="0"/>
                      <w:marTop w:val="0"/>
                      <w:marBottom w:val="0"/>
                      <w:divBdr>
                        <w:top w:val="none" w:sz="0" w:space="0" w:color="auto"/>
                        <w:left w:val="none" w:sz="0" w:space="0" w:color="auto"/>
                        <w:bottom w:val="none" w:sz="0" w:space="0" w:color="auto"/>
                        <w:right w:val="none" w:sz="0" w:space="0" w:color="auto"/>
                      </w:divBdr>
                    </w:div>
                  </w:divsChild>
                </w:div>
                <w:div w:id="1975669623">
                  <w:marLeft w:val="0"/>
                  <w:marRight w:val="0"/>
                  <w:marTop w:val="0"/>
                  <w:marBottom w:val="0"/>
                  <w:divBdr>
                    <w:top w:val="none" w:sz="0" w:space="0" w:color="auto"/>
                    <w:left w:val="none" w:sz="0" w:space="0" w:color="auto"/>
                    <w:bottom w:val="none" w:sz="0" w:space="0" w:color="auto"/>
                    <w:right w:val="none" w:sz="0" w:space="0" w:color="auto"/>
                  </w:divBdr>
                  <w:divsChild>
                    <w:div w:id="1803573551">
                      <w:marLeft w:val="0"/>
                      <w:marRight w:val="0"/>
                      <w:marTop w:val="0"/>
                      <w:marBottom w:val="0"/>
                      <w:divBdr>
                        <w:top w:val="none" w:sz="0" w:space="0" w:color="auto"/>
                        <w:left w:val="none" w:sz="0" w:space="0" w:color="auto"/>
                        <w:bottom w:val="none" w:sz="0" w:space="0" w:color="auto"/>
                        <w:right w:val="none" w:sz="0" w:space="0" w:color="auto"/>
                      </w:divBdr>
                    </w:div>
                  </w:divsChild>
                </w:div>
                <w:div w:id="2110735587">
                  <w:marLeft w:val="0"/>
                  <w:marRight w:val="0"/>
                  <w:marTop w:val="0"/>
                  <w:marBottom w:val="0"/>
                  <w:divBdr>
                    <w:top w:val="none" w:sz="0" w:space="0" w:color="auto"/>
                    <w:left w:val="none" w:sz="0" w:space="0" w:color="auto"/>
                    <w:bottom w:val="none" w:sz="0" w:space="0" w:color="auto"/>
                    <w:right w:val="none" w:sz="0" w:space="0" w:color="auto"/>
                  </w:divBdr>
                  <w:divsChild>
                    <w:div w:id="412750275">
                      <w:marLeft w:val="0"/>
                      <w:marRight w:val="0"/>
                      <w:marTop w:val="0"/>
                      <w:marBottom w:val="0"/>
                      <w:divBdr>
                        <w:top w:val="none" w:sz="0" w:space="0" w:color="auto"/>
                        <w:left w:val="none" w:sz="0" w:space="0" w:color="auto"/>
                        <w:bottom w:val="none" w:sz="0" w:space="0" w:color="auto"/>
                        <w:right w:val="none" w:sz="0" w:space="0" w:color="auto"/>
                      </w:divBdr>
                    </w:div>
                  </w:divsChild>
                </w:div>
                <w:div w:id="2128960736">
                  <w:marLeft w:val="0"/>
                  <w:marRight w:val="0"/>
                  <w:marTop w:val="0"/>
                  <w:marBottom w:val="0"/>
                  <w:divBdr>
                    <w:top w:val="none" w:sz="0" w:space="0" w:color="auto"/>
                    <w:left w:val="none" w:sz="0" w:space="0" w:color="auto"/>
                    <w:bottom w:val="none" w:sz="0" w:space="0" w:color="auto"/>
                    <w:right w:val="none" w:sz="0" w:space="0" w:color="auto"/>
                  </w:divBdr>
                  <w:divsChild>
                    <w:div w:id="21448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1750">
      <w:bodyDiv w:val="1"/>
      <w:marLeft w:val="0"/>
      <w:marRight w:val="0"/>
      <w:marTop w:val="0"/>
      <w:marBottom w:val="0"/>
      <w:divBdr>
        <w:top w:val="none" w:sz="0" w:space="0" w:color="auto"/>
        <w:left w:val="none" w:sz="0" w:space="0" w:color="auto"/>
        <w:bottom w:val="none" w:sz="0" w:space="0" w:color="auto"/>
        <w:right w:val="none" w:sz="0" w:space="0" w:color="auto"/>
      </w:divBdr>
    </w:div>
    <w:div w:id="1144156115">
      <w:bodyDiv w:val="1"/>
      <w:marLeft w:val="0"/>
      <w:marRight w:val="0"/>
      <w:marTop w:val="0"/>
      <w:marBottom w:val="0"/>
      <w:divBdr>
        <w:top w:val="none" w:sz="0" w:space="0" w:color="auto"/>
        <w:left w:val="none" w:sz="0" w:space="0" w:color="auto"/>
        <w:bottom w:val="none" w:sz="0" w:space="0" w:color="auto"/>
        <w:right w:val="none" w:sz="0" w:space="0" w:color="auto"/>
      </w:divBdr>
    </w:div>
    <w:div w:id="1193608985">
      <w:bodyDiv w:val="1"/>
      <w:marLeft w:val="0"/>
      <w:marRight w:val="0"/>
      <w:marTop w:val="0"/>
      <w:marBottom w:val="0"/>
      <w:divBdr>
        <w:top w:val="none" w:sz="0" w:space="0" w:color="auto"/>
        <w:left w:val="none" w:sz="0" w:space="0" w:color="auto"/>
        <w:bottom w:val="none" w:sz="0" w:space="0" w:color="auto"/>
        <w:right w:val="none" w:sz="0" w:space="0" w:color="auto"/>
      </w:divBdr>
      <w:divsChild>
        <w:div w:id="1759786673">
          <w:marLeft w:val="0"/>
          <w:marRight w:val="0"/>
          <w:marTop w:val="0"/>
          <w:marBottom w:val="0"/>
          <w:divBdr>
            <w:top w:val="none" w:sz="0" w:space="0" w:color="auto"/>
            <w:left w:val="none" w:sz="0" w:space="0" w:color="auto"/>
            <w:bottom w:val="none" w:sz="0" w:space="0" w:color="auto"/>
            <w:right w:val="none" w:sz="0" w:space="0" w:color="auto"/>
          </w:divBdr>
          <w:divsChild>
            <w:div w:id="1454127991">
              <w:marLeft w:val="0"/>
              <w:marRight w:val="0"/>
              <w:marTop w:val="0"/>
              <w:marBottom w:val="0"/>
              <w:divBdr>
                <w:top w:val="none" w:sz="0" w:space="0" w:color="auto"/>
                <w:left w:val="none" w:sz="0" w:space="0" w:color="auto"/>
                <w:bottom w:val="none" w:sz="0" w:space="0" w:color="auto"/>
                <w:right w:val="none" w:sz="0" w:space="0" w:color="auto"/>
              </w:divBdr>
              <w:divsChild>
                <w:div w:id="13448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4539">
      <w:bodyDiv w:val="1"/>
      <w:marLeft w:val="0"/>
      <w:marRight w:val="0"/>
      <w:marTop w:val="0"/>
      <w:marBottom w:val="0"/>
      <w:divBdr>
        <w:top w:val="none" w:sz="0" w:space="0" w:color="auto"/>
        <w:left w:val="none" w:sz="0" w:space="0" w:color="auto"/>
        <w:bottom w:val="none" w:sz="0" w:space="0" w:color="auto"/>
        <w:right w:val="none" w:sz="0" w:space="0" w:color="auto"/>
      </w:divBdr>
    </w:div>
    <w:div w:id="1236278002">
      <w:bodyDiv w:val="1"/>
      <w:marLeft w:val="0"/>
      <w:marRight w:val="0"/>
      <w:marTop w:val="0"/>
      <w:marBottom w:val="0"/>
      <w:divBdr>
        <w:top w:val="none" w:sz="0" w:space="0" w:color="auto"/>
        <w:left w:val="none" w:sz="0" w:space="0" w:color="auto"/>
        <w:bottom w:val="none" w:sz="0" w:space="0" w:color="auto"/>
        <w:right w:val="none" w:sz="0" w:space="0" w:color="auto"/>
      </w:divBdr>
    </w:div>
    <w:div w:id="1245801852">
      <w:bodyDiv w:val="1"/>
      <w:marLeft w:val="0"/>
      <w:marRight w:val="0"/>
      <w:marTop w:val="0"/>
      <w:marBottom w:val="0"/>
      <w:divBdr>
        <w:top w:val="none" w:sz="0" w:space="0" w:color="auto"/>
        <w:left w:val="none" w:sz="0" w:space="0" w:color="auto"/>
        <w:bottom w:val="none" w:sz="0" w:space="0" w:color="auto"/>
        <w:right w:val="none" w:sz="0" w:space="0" w:color="auto"/>
      </w:divBdr>
    </w:div>
    <w:div w:id="1254237845">
      <w:bodyDiv w:val="1"/>
      <w:marLeft w:val="0"/>
      <w:marRight w:val="0"/>
      <w:marTop w:val="0"/>
      <w:marBottom w:val="0"/>
      <w:divBdr>
        <w:top w:val="none" w:sz="0" w:space="0" w:color="auto"/>
        <w:left w:val="none" w:sz="0" w:space="0" w:color="auto"/>
        <w:bottom w:val="none" w:sz="0" w:space="0" w:color="auto"/>
        <w:right w:val="none" w:sz="0" w:space="0" w:color="auto"/>
      </w:divBdr>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361276591">
      <w:bodyDiv w:val="1"/>
      <w:marLeft w:val="0"/>
      <w:marRight w:val="0"/>
      <w:marTop w:val="0"/>
      <w:marBottom w:val="0"/>
      <w:divBdr>
        <w:top w:val="none" w:sz="0" w:space="0" w:color="auto"/>
        <w:left w:val="none" w:sz="0" w:space="0" w:color="auto"/>
        <w:bottom w:val="none" w:sz="0" w:space="0" w:color="auto"/>
        <w:right w:val="none" w:sz="0" w:space="0" w:color="auto"/>
      </w:divBdr>
      <w:divsChild>
        <w:div w:id="1526361631">
          <w:marLeft w:val="0"/>
          <w:marRight w:val="0"/>
          <w:marTop w:val="180"/>
          <w:marBottom w:val="0"/>
          <w:divBdr>
            <w:top w:val="none" w:sz="0" w:space="0" w:color="auto"/>
            <w:left w:val="none" w:sz="0" w:space="0" w:color="auto"/>
            <w:bottom w:val="none" w:sz="0" w:space="0" w:color="auto"/>
            <w:right w:val="none" w:sz="0" w:space="0" w:color="auto"/>
          </w:divBdr>
          <w:divsChild>
            <w:div w:id="1838379842">
              <w:marLeft w:val="0"/>
              <w:marRight w:val="0"/>
              <w:marTop w:val="0"/>
              <w:marBottom w:val="0"/>
              <w:divBdr>
                <w:top w:val="none" w:sz="0" w:space="0" w:color="auto"/>
                <w:left w:val="none" w:sz="0" w:space="0" w:color="auto"/>
                <w:bottom w:val="none" w:sz="0" w:space="0" w:color="auto"/>
                <w:right w:val="none" w:sz="0" w:space="0" w:color="auto"/>
              </w:divBdr>
              <w:divsChild>
                <w:div w:id="2134668622">
                  <w:marLeft w:val="150"/>
                  <w:marRight w:val="150"/>
                  <w:marTop w:val="0"/>
                  <w:marBottom w:val="0"/>
                  <w:divBdr>
                    <w:top w:val="none" w:sz="0" w:space="0" w:color="auto"/>
                    <w:left w:val="none" w:sz="0" w:space="0" w:color="auto"/>
                    <w:bottom w:val="none" w:sz="0" w:space="0" w:color="auto"/>
                    <w:right w:val="none" w:sz="0" w:space="0" w:color="auto"/>
                  </w:divBdr>
                </w:div>
              </w:divsChild>
            </w:div>
            <w:div w:id="2095741035">
              <w:marLeft w:val="0"/>
              <w:marRight w:val="0"/>
              <w:marTop w:val="0"/>
              <w:marBottom w:val="0"/>
              <w:divBdr>
                <w:top w:val="none" w:sz="0" w:space="0" w:color="auto"/>
                <w:left w:val="none" w:sz="0" w:space="0" w:color="auto"/>
                <w:bottom w:val="none" w:sz="0" w:space="0" w:color="auto"/>
                <w:right w:val="none" w:sz="0" w:space="0" w:color="auto"/>
              </w:divBdr>
              <w:divsChild>
                <w:div w:id="4612725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7607655">
      <w:bodyDiv w:val="1"/>
      <w:marLeft w:val="0"/>
      <w:marRight w:val="0"/>
      <w:marTop w:val="0"/>
      <w:marBottom w:val="0"/>
      <w:divBdr>
        <w:top w:val="none" w:sz="0" w:space="0" w:color="auto"/>
        <w:left w:val="none" w:sz="0" w:space="0" w:color="auto"/>
        <w:bottom w:val="none" w:sz="0" w:space="0" w:color="auto"/>
        <w:right w:val="none" w:sz="0" w:space="0" w:color="auto"/>
      </w:divBdr>
    </w:div>
    <w:div w:id="1378775178">
      <w:bodyDiv w:val="1"/>
      <w:marLeft w:val="0"/>
      <w:marRight w:val="0"/>
      <w:marTop w:val="0"/>
      <w:marBottom w:val="0"/>
      <w:divBdr>
        <w:top w:val="none" w:sz="0" w:space="0" w:color="auto"/>
        <w:left w:val="none" w:sz="0" w:space="0" w:color="auto"/>
        <w:bottom w:val="none" w:sz="0" w:space="0" w:color="auto"/>
        <w:right w:val="none" w:sz="0" w:space="0" w:color="auto"/>
      </w:divBdr>
    </w:div>
    <w:div w:id="1401098588">
      <w:bodyDiv w:val="1"/>
      <w:marLeft w:val="0"/>
      <w:marRight w:val="0"/>
      <w:marTop w:val="0"/>
      <w:marBottom w:val="0"/>
      <w:divBdr>
        <w:top w:val="none" w:sz="0" w:space="0" w:color="auto"/>
        <w:left w:val="none" w:sz="0" w:space="0" w:color="auto"/>
        <w:bottom w:val="none" w:sz="0" w:space="0" w:color="auto"/>
        <w:right w:val="none" w:sz="0" w:space="0" w:color="auto"/>
      </w:divBdr>
    </w:div>
    <w:div w:id="1412240322">
      <w:bodyDiv w:val="1"/>
      <w:marLeft w:val="0"/>
      <w:marRight w:val="0"/>
      <w:marTop w:val="0"/>
      <w:marBottom w:val="0"/>
      <w:divBdr>
        <w:top w:val="none" w:sz="0" w:space="0" w:color="auto"/>
        <w:left w:val="none" w:sz="0" w:space="0" w:color="auto"/>
        <w:bottom w:val="none" w:sz="0" w:space="0" w:color="auto"/>
        <w:right w:val="none" w:sz="0" w:space="0" w:color="auto"/>
      </w:divBdr>
    </w:div>
    <w:div w:id="1439107913">
      <w:bodyDiv w:val="1"/>
      <w:marLeft w:val="0"/>
      <w:marRight w:val="0"/>
      <w:marTop w:val="0"/>
      <w:marBottom w:val="0"/>
      <w:divBdr>
        <w:top w:val="none" w:sz="0" w:space="0" w:color="auto"/>
        <w:left w:val="none" w:sz="0" w:space="0" w:color="auto"/>
        <w:bottom w:val="none" w:sz="0" w:space="0" w:color="auto"/>
        <w:right w:val="none" w:sz="0" w:space="0" w:color="auto"/>
      </w:divBdr>
    </w:div>
    <w:div w:id="1474954763">
      <w:bodyDiv w:val="1"/>
      <w:marLeft w:val="0"/>
      <w:marRight w:val="0"/>
      <w:marTop w:val="0"/>
      <w:marBottom w:val="0"/>
      <w:divBdr>
        <w:top w:val="none" w:sz="0" w:space="0" w:color="auto"/>
        <w:left w:val="none" w:sz="0" w:space="0" w:color="auto"/>
        <w:bottom w:val="none" w:sz="0" w:space="0" w:color="auto"/>
        <w:right w:val="none" w:sz="0" w:space="0" w:color="auto"/>
      </w:divBdr>
    </w:div>
    <w:div w:id="1475566618">
      <w:bodyDiv w:val="1"/>
      <w:marLeft w:val="0"/>
      <w:marRight w:val="0"/>
      <w:marTop w:val="0"/>
      <w:marBottom w:val="0"/>
      <w:divBdr>
        <w:top w:val="none" w:sz="0" w:space="0" w:color="auto"/>
        <w:left w:val="none" w:sz="0" w:space="0" w:color="auto"/>
        <w:bottom w:val="none" w:sz="0" w:space="0" w:color="auto"/>
        <w:right w:val="none" w:sz="0" w:space="0" w:color="auto"/>
      </w:divBdr>
    </w:div>
    <w:div w:id="1528057559">
      <w:bodyDiv w:val="1"/>
      <w:marLeft w:val="0"/>
      <w:marRight w:val="0"/>
      <w:marTop w:val="0"/>
      <w:marBottom w:val="0"/>
      <w:divBdr>
        <w:top w:val="none" w:sz="0" w:space="0" w:color="auto"/>
        <w:left w:val="none" w:sz="0" w:space="0" w:color="auto"/>
        <w:bottom w:val="none" w:sz="0" w:space="0" w:color="auto"/>
        <w:right w:val="none" w:sz="0" w:space="0" w:color="auto"/>
      </w:divBdr>
    </w:div>
    <w:div w:id="1558320051">
      <w:bodyDiv w:val="1"/>
      <w:marLeft w:val="0"/>
      <w:marRight w:val="0"/>
      <w:marTop w:val="0"/>
      <w:marBottom w:val="0"/>
      <w:divBdr>
        <w:top w:val="none" w:sz="0" w:space="0" w:color="auto"/>
        <w:left w:val="none" w:sz="0" w:space="0" w:color="auto"/>
        <w:bottom w:val="none" w:sz="0" w:space="0" w:color="auto"/>
        <w:right w:val="none" w:sz="0" w:space="0" w:color="auto"/>
      </w:divBdr>
      <w:divsChild>
        <w:div w:id="1412894436">
          <w:marLeft w:val="0"/>
          <w:marRight w:val="0"/>
          <w:marTop w:val="0"/>
          <w:marBottom w:val="0"/>
          <w:divBdr>
            <w:top w:val="none" w:sz="0" w:space="0" w:color="auto"/>
            <w:left w:val="none" w:sz="0" w:space="0" w:color="auto"/>
            <w:bottom w:val="none" w:sz="0" w:space="0" w:color="auto"/>
            <w:right w:val="none" w:sz="0" w:space="0" w:color="auto"/>
          </w:divBdr>
          <w:divsChild>
            <w:div w:id="1612319260">
              <w:marLeft w:val="0"/>
              <w:marRight w:val="0"/>
              <w:marTop w:val="0"/>
              <w:marBottom w:val="0"/>
              <w:divBdr>
                <w:top w:val="none" w:sz="0" w:space="0" w:color="auto"/>
                <w:left w:val="none" w:sz="0" w:space="0" w:color="auto"/>
                <w:bottom w:val="none" w:sz="0" w:space="0" w:color="auto"/>
                <w:right w:val="none" w:sz="0" w:space="0" w:color="auto"/>
              </w:divBdr>
              <w:divsChild>
                <w:div w:id="11426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608">
      <w:bodyDiv w:val="1"/>
      <w:marLeft w:val="0"/>
      <w:marRight w:val="0"/>
      <w:marTop w:val="0"/>
      <w:marBottom w:val="0"/>
      <w:divBdr>
        <w:top w:val="none" w:sz="0" w:space="0" w:color="auto"/>
        <w:left w:val="none" w:sz="0" w:space="0" w:color="auto"/>
        <w:bottom w:val="none" w:sz="0" w:space="0" w:color="auto"/>
        <w:right w:val="none" w:sz="0" w:space="0" w:color="auto"/>
      </w:divBdr>
      <w:divsChild>
        <w:div w:id="1984850640">
          <w:marLeft w:val="0"/>
          <w:marRight w:val="0"/>
          <w:marTop w:val="0"/>
          <w:marBottom w:val="0"/>
          <w:divBdr>
            <w:top w:val="none" w:sz="0" w:space="0" w:color="auto"/>
            <w:left w:val="none" w:sz="0" w:space="0" w:color="auto"/>
            <w:bottom w:val="none" w:sz="0" w:space="0" w:color="auto"/>
            <w:right w:val="none" w:sz="0" w:space="0" w:color="auto"/>
          </w:divBdr>
          <w:divsChild>
            <w:div w:id="876888969">
              <w:marLeft w:val="0"/>
              <w:marRight w:val="0"/>
              <w:marTop w:val="0"/>
              <w:marBottom w:val="0"/>
              <w:divBdr>
                <w:top w:val="none" w:sz="0" w:space="0" w:color="auto"/>
                <w:left w:val="none" w:sz="0" w:space="0" w:color="auto"/>
                <w:bottom w:val="none" w:sz="0" w:space="0" w:color="auto"/>
                <w:right w:val="none" w:sz="0" w:space="0" w:color="auto"/>
              </w:divBdr>
              <w:divsChild>
                <w:div w:id="4545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6688">
      <w:bodyDiv w:val="1"/>
      <w:marLeft w:val="0"/>
      <w:marRight w:val="0"/>
      <w:marTop w:val="0"/>
      <w:marBottom w:val="0"/>
      <w:divBdr>
        <w:top w:val="none" w:sz="0" w:space="0" w:color="auto"/>
        <w:left w:val="none" w:sz="0" w:space="0" w:color="auto"/>
        <w:bottom w:val="none" w:sz="0" w:space="0" w:color="auto"/>
        <w:right w:val="none" w:sz="0" w:space="0" w:color="auto"/>
      </w:divBdr>
      <w:divsChild>
        <w:div w:id="1755275997">
          <w:marLeft w:val="0"/>
          <w:marRight w:val="0"/>
          <w:marTop w:val="0"/>
          <w:marBottom w:val="0"/>
          <w:divBdr>
            <w:top w:val="none" w:sz="0" w:space="0" w:color="auto"/>
            <w:left w:val="none" w:sz="0" w:space="0" w:color="auto"/>
            <w:bottom w:val="none" w:sz="0" w:space="0" w:color="auto"/>
            <w:right w:val="none" w:sz="0" w:space="0" w:color="auto"/>
          </w:divBdr>
          <w:divsChild>
            <w:div w:id="798257262">
              <w:marLeft w:val="0"/>
              <w:marRight w:val="0"/>
              <w:marTop w:val="0"/>
              <w:marBottom w:val="0"/>
              <w:divBdr>
                <w:top w:val="none" w:sz="0" w:space="0" w:color="auto"/>
                <w:left w:val="none" w:sz="0" w:space="0" w:color="auto"/>
                <w:bottom w:val="none" w:sz="0" w:space="0" w:color="auto"/>
                <w:right w:val="none" w:sz="0" w:space="0" w:color="auto"/>
              </w:divBdr>
              <w:divsChild>
                <w:div w:id="13678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3948">
      <w:bodyDiv w:val="1"/>
      <w:marLeft w:val="0"/>
      <w:marRight w:val="0"/>
      <w:marTop w:val="0"/>
      <w:marBottom w:val="0"/>
      <w:divBdr>
        <w:top w:val="none" w:sz="0" w:space="0" w:color="auto"/>
        <w:left w:val="none" w:sz="0" w:space="0" w:color="auto"/>
        <w:bottom w:val="none" w:sz="0" w:space="0" w:color="auto"/>
        <w:right w:val="none" w:sz="0" w:space="0" w:color="auto"/>
      </w:divBdr>
    </w:div>
    <w:div w:id="1747994839">
      <w:bodyDiv w:val="1"/>
      <w:marLeft w:val="0"/>
      <w:marRight w:val="0"/>
      <w:marTop w:val="0"/>
      <w:marBottom w:val="0"/>
      <w:divBdr>
        <w:top w:val="none" w:sz="0" w:space="0" w:color="auto"/>
        <w:left w:val="none" w:sz="0" w:space="0" w:color="auto"/>
        <w:bottom w:val="none" w:sz="0" w:space="0" w:color="auto"/>
        <w:right w:val="none" w:sz="0" w:space="0" w:color="auto"/>
      </w:divBdr>
    </w:div>
    <w:div w:id="1789666086">
      <w:bodyDiv w:val="1"/>
      <w:marLeft w:val="0"/>
      <w:marRight w:val="0"/>
      <w:marTop w:val="0"/>
      <w:marBottom w:val="0"/>
      <w:divBdr>
        <w:top w:val="none" w:sz="0" w:space="0" w:color="auto"/>
        <w:left w:val="none" w:sz="0" w:space="0" w:color="auto"/>
        <w:bottom w:val="none" w:sz="0" w:space="0" w:color="auto"/>
        <w:right w:val="none" w:sz="0" w:space="0" w:color="auto"/>
      </w:divBdr>
    </w:div>
    <w:div w:id="1821191834">
      <w:bodyDiv w:val="1"/>
      <w:marLeft w:val="0"/>
      <w:marRight w:val="0"/>
      <w:marTop w:val="0"/>
      <w:marBottom w:val="0"/>
      <w:divBdr>
        <w:top w:val="none" w:sz="0" w:space="0" w:color="auto"/>
        <w:left w:val="none" w:sz="0" w:space="0" w:color="auto"/>
        <w:bottom w:val="none" w:sz="0" w:space="0" w:color="auto"/>
        <w:right w:val="none" w:sz="0" w:space="0" w:color="auto"/>
      </w:divBdr>
    </w:div>
    <w:div w:id="1848324284">
      <w:bodyDiv w:val="1"/>
      <w:marLeft w:val="0"/>
      <w:marRight w:val="0"/>
      <w:marTop w:val="0"/>
      <w:marBottom w:val="0"/>
      <w:divBdr>
        <w:top w:val="none" w:sz="0" w:space="0" w:color="auto"/>
        <w:left w:val="none" w:sz="0" w:space="0" w:color="auto"/>
        <w:bottom w:val="none" w:sz="0" w:space="0" w:color="auto"/>
        <w:right w:val="none" w:sz="0" w:space="0" w:color="auto"/>
      </w:divBdr>
      <w:divsChild>
        <w:div w:id="541869199">
          <w:marLeft w:val="0"/>
          <w:marRight w:val="0"/>
          <w:marTop w:val="0"/>
          <w:marBottom w:val="0"/>
          <w:divBdr>
            <w:top w:val="none" w:sz="0" w:space="0" w:color="auto"/>
            <w:left w:val="none" w:sz="0" w:space="0" w:color="auto"/>
            <w:bottom w:val="none" w:sz="0" w:space="0" w:color="auto"/>
            <w:right w:val="none" w:sz="0" w:space="0" w:color="auto"/>
          </w:divBdr>
        </w:div>
        <w:div w:id="826166247">
          <w:marLeft w:val="0"/>
          <w:marRight w:val="0"/>
          <w:marTop w:val="0"/>
          <w:marBottom w:val="0"/>
          <w:divBdr>
            <w:top w:val="none" w:sz="0" w:space="0" w:color="auto"/>
            <w:left w:val="none" w:sz="0" w:space="0" w:color="auto"/>
            <w:bottom w:val="none" w:sz="0" w:space="0" w:color="auto"/>
            <w:right w:val="none" w:sz="0" w:space="0" w:color="auto"/>
          </w:divBdr>
        </w:div>
        <w:div w:id="1301688281">
          <w:marLeft w:val="0"/>
          <w:marRight w:val="0"/>
          <w:marTop w:val="0"/>
          <w:marBottom w:val="0"/>
          <w:divBdr>
            <w:top w:val="none" w:sz="0" w:space="0" w:color="auto"/>
            <w:left w:val="none" w:sz="0" w:space="0" w:color="auto"/>
            <w:bottom w:val="none" w:sz="0" w:space="0" w:color="auto"/>
            <w:right w:val="none" w:sz="0" w:space="0" w:color="auto"/>
          </w:divBdr>
        </w:div>
        <w:div w:id="1652901231">
          <w:marLeft w:val="0"/>
          <w:marRight w:val="0"/>
          <w:marTop w:val="0"/>
          <w:marBottom w:val="0"/>
          <w:divBdr>
            <w:top w:val="none" w:sz="0" w:space="0" w:color="auto"/>
            <w:left w:val="none" w:sz="0" w:space="0" w:color="auto"/>
            <w:bottom w:val="none" w:sz="0" w:space="0" w:color="auto"/>
            <w:right w:val="none" w:sz="0" w:space="0" w:color="auto"/>
          </w:divBdr>
        </w:div>
        <w:div w:id="1992902046">
          <w:marLeft w:val="0"/>
          <w:marRight w:val="0"/>
          <w:marTop w:val="0"/>
          <w:marBottom w:val="0"/>
          <w:divBdr>
            <w:top w:val="none" w:sz="0" w:space="0" w:color="auto"/>
            <w:left w:val="none" w:sz="0" w:space="0" w:color="auto"/>
            <w:bottom w:val="none" w:sz="0" w:space="0" w:color="auto"/>
            <w:right w:val="none" w:sz="0" w:space="0" w:color="auto"/>
          </w:divBdr>
        </w:div>
      </w:divsChild>
    </w:div>
    <w:div w:id="1878005078">
      <w:bodyDiv w:val="1"/>
      <w:marLeft w:val="0"/>
      <w:marRight w:val="0"/>
      <w:marTop w:val="0"/>
      <w:marBottom w:val="0"/>
      <w:divBdr>
        <w:top w:val="none" w:sz="0" w:space="0" w:color="auto"/>
        <w:left w:val="none" w:sz="0" w:space="0" w:color="auto"/>
        <w:bottom w:val="none" w:sz="0" w:space="0" w:color="auto"/>
        <w:right w:val="none" w:sz="0" w:space="0" w:color="auto"/>
      </w:divBdr>
      <w:divsChild>
        <w:div w:id="17194985">
          <w:marLeft w:val="0"/>
          <w:marRight w:val="0"/>
          <w:marTop w:val="0"/>
          <w:marBottom w:val="0"/>
          <w:divBdr>
            <w:top w:val="none" w:sz="0" w:space="0" w:color="auto"/>
            <w:left w:val="none" w:sz="0" w:space="0" w:color="auto"/>
            <w:bottom w:val="none" w:sz="0" w:space="0" w:color="auto"/>
            <w:right w:val="none" w:sz="0" w:space="0" w:color="auto"/>
          </w:divBdr>
        </w:div>
        <w:div w:id="210112771">
          <w:marLeft w:val="0"/>
          <w:marRight w:val="0"/>
          <w:marTop w:val="0"/>
          <w:marBottom w:val="0"/>
          <w:divBdr>
            <w:top w:val="none" w:sz="0" w:space="0" w:color="auto"/>
            <w:left w:val="none" w:sz="0" w:space="0" w:color="auto"/>
            <w:bottom w:val="none" w:sz="0" w:space="0" w:color="auto"/>
            <w:right w:val="none" w:sz="0" w:space="0" w:color="auto"/>
          </w:divBdr>
          <w:divsChild>
            <w:div w:id="82996946">
              <w:marLeft w:val="0"/>
              <w:marRight w:val="0"/>
              <w:marTop w:val="0"/>
              <w:marBottom w:val="0"/>
              <w:divBdr>
                <w:top w:val="none" w:sz="0" w:space="0" w:color="auto"/>
                <w:left w:val="none" w:sz="0" w:space="0" w:color="auto"/>
                <w:bottom w:val="none" w:sz="0" w:space="0" w:color="auto"/>
                <w:right w:val="none" w:sz="0" w:space="0" w:color="auto"/>
              </w:divBdr>
            </w:div>
            <w:div w:id="200481112">
              <w:marLeft w:val="0"/>
              <w:marRight w:val="0"/>
              <w:marTop w:val="0"/>
              <w:marBottom w:val="0"/>
              <w:divBdr>
                <w:top w:val="none" w:sz="0" w:space="0" w:color="auto"/>
                <w:left w:val="none" w:sz="0" w:space="0" w:color="auto"/>
                <w:bottom w:val="none" w:sz="0" w:space="0" w:color="auto"/>
                <w:right w:val="none" w:sz="0" w:space="0" w:color="auto"/>
              </w:divBdr>
            </w:div>
            <w:div w:id="441999142">
              <w:marLeft w:val="0"/>
              <w:marRight w:val="0"/>
              <w:marTop w:val="0"/>
              <w:marBottom w:val="0"/>
              <w:divBdr>
                <w:top w:val="none" w:sz="0" w:space="0" w:color="auto"/>
                <w:left w:val="none" w:sz="0" w:space="0" w:color="auto"/>
                <w:bottom w:val="none" w:sz="0" w:space="0" w:color="auto"/>
                <w:right w:val="none" w:sz="0" w:space="0" w:color="auto"/>
              </w:divBdr>
            </w:div>
            <w:div w:id="1576936083">
              <w:marLeft w:val="0"/>
              <w:marRight w:val="0"/>
              <w:marTop w:val="0"/>
              <w:marBottom w:val="0"/>
              <w:divBdr>
                <w:top w:val="none" w:sz="0" w:space="0" w:color="auto"/>
                <w:left w:val="none" w:sz="0" w:space="0" w:color="auto"/>
                <w:bottom w:val="none" w:sz="0" w:space="0" w:color="auto"/>
                <w:right w:val="none" w:sz="0" w:space="0" w:color="auto"/>
              </w:divBdr>
            </w:div>
            <w:div w:id="1580484844">
              <w:marLeft w:val="0"/>
              <w:marRight w:val="0"/>
              <w:marTop w:val="0"/>
              <w:marBottom w:val="0"/>
              <w:divBdr>
                <w:top w:val="none" w:sz="0" w:space="0" w:color="auto"/>
                <w:left w:val="none" w:sz="0" w:space="0" w:color="auto"/>
                <w:bottom w:val="none" w:sz="0" w:space="0" w:color="auto"/>
                <w:right w:val="none" w:sz="0" w:space="0" w:color="auto"/>
              </w:divBdr>
            </w:div>
            <w:div w:id="1620911033">
              <w:marLeft w:val="0"/>
              <w:marRight w:val="0"/>
              <w:marTop w:val="0"/>
              <w:marBottom w:val="0"/>
              <w:divBdr>
                <w:top w:val="none" w:sz="0" w:space="0" w:color="auto"/>
                <w:left w:val="none" w:sz="0" w:space="0" w:color="auto"/>
                <w:bottom w:val="none" w:sz="0" w:space="0" w:color="auto"/>
                <w:right w:val="none" w:sz="0" w:space="0" w:color="auto"/>
              </w:divBdr>
            </w:div>
            <w:div w:id="2107192778">
              <w:marLeft w:val="0"/>
              <w:marRight w:val="0"/>
              <w:marTop w:val="0"/>
              <w:marBottom w:val="0"/>
              <w:divBdr>
                <w:top w:val="none" w:sz="0" w:space="0" w:color="auto"/>
                <w:left w:val="none" w:sz="0" w:space="0" w:color="auto"/>
                <w:bottom w:val="none" w:sz="0" w:space="0" w:color="auto"/>
                <w:right w:val="none" w:sz="0" w:space="0" w:color="auto"/>
              </w:divBdr>
            </w:div>
          </w:divsChild>
        </w:div>
        <w:div w:id="293098386">
          <w:marLeft w:val="0"/>
          <w:marRight w:val="0"/>
          <w:marTop w:val="0"/>
          <w:marBottom w:val="0"/>
          <w:divBdr>
            <w:top w:val="none" w:sz="0" w:space="0" w:color="auto"/>
            <w:left w:val="none" w:sz="0" w:space="0" w:color="auto"/>
            <w:bottom w:val="none" w:sz="0" w:space="0" w:color="auto"/>
            <w:right w:val="none" w:sz="0" w:space="0" w:color="auto"/>
          </w:divBdr>
        </w:div>
        <w:div w:id="341510319">
          <w:marLeft w:val="0"/>
          <w:marRight w:val="0"/>
          <w:marTop w:val="0"/>
          <w:marBottom w:val="0"/>
          <w:divBdr>
            <w:top w:val="none" w:sz="0" w:space="0" w:color="auto"/>
            <w:left w:val="none" w:sz="0" w:space="0" w:color="auto"/>
            <w:bottom w:val="none" w:sz="0" w:space="0" w:color="auto"/>
            <w:right w:val="none" w:sz="0" w:space="0" w:color="auto"/>
          </w:divBdr>
        </w:div>
        <w:div w:id="605889534">
          <w:marLeft w:val="0"/>
          <w:marRight w:val="0"/>
          <w:marTop w:val="0"/>
          <w:marBottom w:val="0"/>
          <w:divBdr>
            <w:top w:val="none" w:sz="0" w:space="0" w:color="auto"/>
            <w:left w:val="none" w:sz="0" w:space="0" w:color="auto"/>
            <w:bottom w:val="none" w:sz="0" w:space="0" w:color="auto"/>
            <w:right w:val="none" w:sz="0" w:space="0" w:color="auto"/>
          </w:divBdr>
        </w:div>
        <w:div w:id="615328158">
          <w:marLeft w:val="0"/>
          <w:marRight w:val="0"/>
          <w:marTop w:val="0"/>
          <w:marBottom w:val="0"/>
          <w:divBdr>
            <w:top w:val="none" w:sz="0" w:space="0" w:color="auto"/>
            <w:left w:val="none" w:sz="0" w:space="0" w:color="auto"/>
            <w:bottom w:val="none" w:sz="0" w:space="0" w:color="auto"/>
            <w:right w:val="none" w:sz="0" w:space="0" w:color="auto"/>
          </w:divBdr>
        </w:div>
        <w:div w:id="781802313">
          <w:marLeft w:val="0"/>
          <w:marRight w:val="0"/>
          <w:marTop w:val="0"/>
          <w:marBottom w:val="0"/>
          <w:divBdr>
            <w:top w:val="none" w:sz="0" w:space="0" w:color="auto"/>
            <w:left w:val="none" w:sz="0" w:space="0" w:color="auto"/>
            <w:bottom w:val="none" w:sz="0" w:space="0" w:color="auto"/>
            <w:right w:val="none" w:sz="0" w:space="0" w:color="auto"/>
          </w:divBdr>
        </w:div>
        <w:div w:id="913783422">
          <w:marLeft w:val="0"/>
          <w:marRight w:val="0"/>
          <w:marTop w:val="0"/>
          <w:marBottom w:val="0"/>
          <w:divBdr>
            <w:top w:val="none" w:sz="0" w:space="0" w:color="auto"/>
            <w:left w:val="none" w:sz="0" w:space="0" w:color="auto"/>
            <w:bottom w:val="none" w:sz="0" w:space="0" w:color="auto"/>
            <w:right w:val="none" w:sz="0" w:space="0" w:color="auto"/>
          </w:divBdr>
        </w:div>
        <w:div w:id="1382825060">
          <w:marLeft w:val="0"/>
          <w:marRight w:val="0"/>
          <w:marTop w:val="0"/>
          <w:marBottom w:val="0"/>
          <w:divBdr>
            <w:top w:val="none" w:sz="0" w:space="0" w:color="auto"/>
            <w:left w:val="none" w:sz="0" w:space="0" w:color="auto"/>
            <w:bottom w:val="none" w:sz="0" w:space="0" w:color="auto"/>
            <w:right w:val="none" w:sz="0" w:space="0" w:color="auto"/>
          </w:divBdr>
          <w:divsChild>
            <w:div w:id="147483397">
              <w:marLeft w:val="0"/>
              <w:marRight w:val="0"/>
              <w:marTop w:val="0"/>
              <w:marBottom w:val="0"/>
              <w:divBdr>
                <w:top w:val="none" w:sz="0" w:space="0" w:color="auto"/>
                <w:left w:val="none" w:sz="0" w:space="0" w:color="auto"/>
                <w:bottom w:val="none" w:sz="0" w:space="0" w:color="auto"/>
                <w:right w:val="none" w:sz="0" w:space="0" w:color="auto"/>
              </w:divBdr>
              <w:divsChild>
                <w:div w:id="4958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3125">
          <w:marLeft w:val="0"/>
          <w:marRight w:val="0"/>
          <w:marTop w:val="0"/>
          <w:marBottom w:val="0"/>
          <w:divBdr>
            <w:top w:val="none" w:sz="0" w:space="0" w:color="auto"/>
            <w:left w:val="none" w:sz="0" w:space="0" w:color="auto"/>
            <w:bottom w:val="none" w:sz="0" w:space="0" w:color="auto"/>
            <w:right w:val="none" w:sz="0" w:space="0" w:color="auto"/>
          </w:divBdr>
        </w:div>
      </w:divsChild>
    </w:div>
    <w:div w:id="1953130585">
      <w:bodyDiv w:val="1"/>
      <w:marLeft w:val="0"/>
      <w:marRight w:val="0"/>
      <w:marTop w:val="0"/>
      <w:marBottom w:val="0"/>
      <w:divBdr>
        <w:top w:val="none" w:sz="0" w:space="0" w:color="auto"/>
        <w:left w:val="none" w:sz="0" w:space="0" w:color="auto"/>
        <w:bottom w:val="none" w:sz="0" w:space="0" w:color="auto"/>
        <w:right w:val="none" w:sz="0" w:space="0" w:color="auto"/>
      </w:divBdr>
    </w:div>
    <w:div w:id="1955137250">
      <w:bodyDiv w:val="1"/>
      <w:marLeft w:val="0"/>
      <w:marRight w:val="0"/>
      <w:marTop w:val="0"/>
      <w:marBottom w:val="0"/>
      <w:divBdr>
        <w:top w:val="none" w:sz="0" w:space="0" w:color="auto"/>
        <w:left w:val="none" w:sz="0" w:space="0" w:color="auto"/>
        <w:bottom w:val="none" w:sz="0" w:space="0" w:color="auto"/>
        <w:right w:val="none" w:sz="0" w:space="0" w:color="auto"/>
      </w:divBdr>
    </w:div>
    <w:div w:id="2027554314">
      <w:bodyDiv w:val="1"/>
      <w:marLeft w:val="0"/>
      <w:marRight w:val="0"/>
      <w:marTop w:val="0"/>
      <w:marBottom w:val="0"/>
      <w:divBdr>
        <w:top w:val="none" w:sz="0" w:space="0" w:color="auto"/>
        <w:left w:val="none" w:sz="0" w:space="0" w:color="auto"/>
        <w:bottom w:val="none" w:sz="0" w:space="0" w:color="auto"/>
        <w:right w:val="none" w:sz="0" w:space="0" w:color="auto"/>
      </w:divBdr>
      <w:divsChild>
        <w:div w:id="1476095860">
          <w:marLeft w:val="0"/>
          <w:marRight w:val="0"/>
          <w:marTop w:val="0"/>
          <w:marBottom w:val="0"/>
          <w:divBdr>
            <w:top w:val="none" w:sz="0" w:space="0" w:color="auto"/>
            <w:left w:val="none" w:sz="0" w:space="0" w:color="auto"/>
            <w:bottom w:val="none" w:sz="0" w:space="0" w:color="auto"/>
            <w:right w:val="none" w:sz="0" w:space="0" w:color="auto"/>
          </w:divBdr>
        </w:div>
        <w:div w:id="1754668798">
          <w:marLeft w:val="0"/>
          <w:marRight w:val="0"/>
          <w:marTop w:val="0"/>
          <w:marBottom w:val="0"/>
          <w:divBdr>
            <w:top w:val="none" w:sz="0" w:space="0" w:color="auto"/>
            <w:left w:val="none" w:sz="0" w:space="0" w:color="auto"/>
            <w:bottom w:val="none" w:sz="0" w:space="0" w:color="auto"/>
            <w:right w:val="none" w:sz="0" w:space="0" w:color="auto"/>
          </w:divBdr>
        </w:div>
        <w:div w:id="1792285097">
          <w:marLeft w:val="0"/>
          <w:marRight w:val="0"/>
          <w:marTop w:val="0"/>
          <w:marBottom w:val="0"/>
          <w:divBdr>
            <w:top w:val="none" w:sz="0" w:space="0" w:color="auto"/>
            <w:left w:val="none" w:sz="0" w:space="0" w:color="auto"/>
            <w:bottom w:val="none" w:sz="0" w:space="0" w:color="auto"/>
            <w:right w:val="none" w:sz="0" w:space="0" w:color="auto"/>
          </w:divBdr>
        </w:div>
      </w:divsChild>
    </w:div>
    <w:div w:id="2049334496">
      <w:bodyDiv w:val="1"/>
      <w:marLeft w:val="0"/>
      <w:marRight w:val="0"/>
      <w:marTop w:val="0"/>
      <w:marBottom w:val="0"/>
      <w:divBdr>
        <w:top w:val="none" w:sz="0" w:space="0" w:color="auto"/>
        <w:left w:val="none" w:sz="0" w:space="0" w:color="auto"/>
        <w:bottom w:val="none" w:sz="0" w:space="0" w:color="auto"/>
        <w:right w:val="none" w:sz="0" w:space="0" w:color="auto"/>
      </w:divBdr>
    </w:div>
    <w:div w:id="2108038264">
      <w:bodyDiv w:val="1"/>
      <w:marLeft w:val="0"/>
      <w:marRight w:val="0"/>
      <w:marTop w:val="0"/>
      <w:marBottom w:val="0"/>
      <w:divBdr>
        <w:top w:val="none" w:sz="0" w:space="0" w:color="auto"/>
        <w:left w:val="none" w:sz="0" w:space="0" w:color="auto"/>
        <w:bottom w:val="none" w:sz="0" w:space="0" w:color="auto"/>
        <w:right w:val="none" w:sz="0" w:space="0" w:color="auto"/>
      </w:divBdr>
      <w:divsChild>
        <w:div w:id="1409376883">
          <w:marLeft w:val="0"/>
          <w:marRight w:val="0"/>
          <w:marTop w:val="0"/>
          <w:marBottom w:val="0"/>
          <w:divBdr>
            <w:top w:val="none" w:sz="0" w:space="0" w:color="auto"/>
            <w:left w:val="none" w:sz="0" w:space="0" w:color="auto"/>
            <w:bottom w:val="none" w:sz="0" w:space="0" w:color="auto"/>
            <w:right w:val="none" w:sz="0" w:space="0" w:color="auto"/>
          </w:divBdr>
          <w:divsChild>
            <w:div w:id="490291910">
              <w:marLeft w:val="0"/>
              <w:marRight w:val="0"/>
              <w:marTop w:val="0"/>
              <w:marBottom w:val="0"/>
              <w:divBdr>
                <w:top w:val="none" w:sz="0" w:space="0" w:color="auto"/>
                <w:left w:val="none" w:sz="0" w:space="0" w:color="auto"/>
                <w:bottom w:val="none" w:sz="0" w:space="0" w:color="auto"/>
                <w:right w:val="none" w:sz="0" w:space="0" w:color="auto"/>
              </w:divBdr>
              <w:divsChild>
                <w:div w:id="2291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966">
      <w:bodyDiv w:val="1"/>
      <w:marLeft w:val="0"/>
      <w:marRight w:val="0"/>
      <w:marTop w:val="0"/>
      <w:marBottom w:val="0"/>
      <w:divBdr>
        <w:top w:val="none" w:sz="0" w:space="0" w:color="auto"/>
        <w:left w:val="none" w:sz="0" w:space="0" w:color="auto"/>
        <w:bottom w:val="none" w:sz="0" w:space="0" w:color="auto"/>
        <w:right w:val="none" w:sz="0" w:space="0" w:color="auto"/>
      </w:divBdr>
    </w:div>
    <w:div w:id="2134866100">
      <w:bodyDiv w:val="1"/>
      <w:marLeft w:val="0"/>
      <w:marRight w:val="0"/>
      <w:marTop w:val="0"/>
      <w:marBottom w:val="0"/>
      <w:divBdr>
        <w:top w:val="none" w:sz="0" w:space="0" w:color="auto"/>
        <w:left w:val="none" w:sz="0" w:space="0" w:color="auto"/>
        <w:bottom w:val="none" w:sz="0" w:space="0" w:color="auto"/>
        <w:right w:val="none" w:sz="0" w:space="0" w:color="auto"/>
      </w:divBdr>
    </w:div>
    <w:div w:id="21372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jsfiddle.net" TargetMode="External"/><Relationship Id="rId2" Type="http://schemas.openxmlformats.org/officeDocument/2006/relationships/customXml" Target="../customXml/item2.xml"/><Relationship Id="rId16" Type="http://schemas.openxmlformats.org/officeDocument/2006/relationships/hyperlink" Target="https://cls.ucl.ac.uk/cls-studies/1970-british-cohort-stu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J.Stannard@soton.ac.uk" TargetMode="External"/><Relationship Id="rId5" Type="http://schemas.openxmlformats.org/officeDocument/2006/relationships/numbering" Target="numbering.xml"/><Relationship Id="rId15" Type="http://schemas.openxmlformats.org/officeDocument/2006/relationships/hyperlink" Target="https://cls.ucl.ac.uk/data_documentation/?types%5B%5D=user-guides&amp;studies%5B%5D&amp;studies%5B%5D=bcs70-birth-sweep&amp;studies%5B%5D=age-5-sweep&amp;studies%5B%5D=age-10-sweep&amp;studies%5B%5D=age-16-sweep-1970-british-cohort-study&amp;studies%5B%5D=age-26-sweep&amp;studies%5B%5D=age-30-sweep&amp;studies%5B%5D=age-34-sweep&amp;studies%5B%5D=age-38-sweep&amp;studies%5B%5D=age-42-sweep-1970-british-cohort-study&amp;studies%5B%5D=age-46-biomedical-sweep&amp;s=&amp;filter=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64accb-2beb-4a91-beed-ab981aa09acd" xsi:nil="true"/>
    <lcf76f155ced4ddcb4097134ff3c332f xmlns="77f839d9-4a8b-4efb-9baa-4c7869c15b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7CC5E5D6A644C925713F86C4DB474" ma:contentTypeVersion="12" ma:contentTypeDescription="Create a new document." ma:contentTypeScope="" ma:versionID="e3da185c773ecf7430d0eab374339c4f">
  <xsd:schema xmlns:xsd="http://www.w3.org/2001/XMLSchema" xmlns:xs="http://www.w3.org/2001/XMLSchema" xmlns:p="http://schemas.microsoft.com/office/2006/metadata/properties" xmlns:ns2="77f839d9-4a8b-4efb-9baa-4c7869c15b3a" xmlns:ns3="f264accb-2beb-4a91-beed-ab981aa09acd" targetNamespace="http://schemas.microsoft.com/office/2006/metadata/properties" ma:root="true" ma:fieldsID="258b9f4f8a51c79de3920cde13befde1" ns2:_="" ns3:_="">
    <xsd:import namespace="77f839d9-4a8b-4efb-9baa-4c7869c15b3a"/>
    <xsd:import namespace="f264accb-2beb-4a91-beed-ab981aa09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839d9-4a8b-4efb-9baa-4c7869c15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4accb-2beb-4a91-beed-ab981aa09a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87eac1-835a-4b1c-9b58-7c2a5e3abae4}" ma:internalName="TaxCatchAll" ma:showField="CatchAllData" ma:web="f264accb-2beb-4a91-beed-ab981aa09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19A9-70F1-41F7-87BC-C1FAD8929A67}">
  <ds:schemaRefs>
    <ds:schemaRef ds:uri="http://schemas.microsoft.com/office/2006/metadata/properties"/>
    <ds:schemaRef ds:uri="http://schemas.microsoft.com/office/infopath/2007/PartnerControls"/>
    <ds:schemaRef ds:uri="f264accb-2beb-4a91-beed-ab981aa09acd"/>
    <ds:schemaRef ds:uri="77f839d9-4a8b-4efb-9baa-4c7869c15b3a"/>
  </ds:schemaRefs>
</ds:datastoreItem>
</file>

<file path=customXml/itemProps2.xml><?xml version="1.0" encoding="utf-8"?>
<ds:datastoreItem xmlns:ds="http://schemas.openxmlformats.org/officeDocument/2006/customXml" ds:itemID="{A7D4568A-D723-450F-B29A-16BB5E8B8D06}">
  <ds:schemaRefs>
    <ds:schemaRef ds:uri="http://schemas.microsoft.com/sharepoint/v3/contenttype/forms"/>
  </ds:schemaRefs>
</ds:datastoreItem>
</file>

<file path=customXml/itemProps3.xml><?xml version="1.0" encoding="utf-8"?>
<ds:datastoreItem xmlns:ds="http://schemas.openxmlformats.org/officeDocument/2006/customXml" ds:itemID="{26B6CBE2-28D9-4DD4-84E0-36A03A1A2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839d9-4a8b-4efb-9baa-4c7869c15b3a"/>
    <ds:schemaRef ds:uri="f264accb-2beb-4a91-beed-ab981aa09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F4F0F-5741-D44C-8FB5-D1BFF0E9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7631</Words>
  <Characters>43498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51027</CharactersWithSpaces>
  <SharedDoc>false</SharedDoc>
  <HLinks>
    <vt:vector size="30" baseType="variant">
      <vt:variant>
        <vt:i4>1048591</vt:i4>
      </vt:variant>
      <vt:variant>
        <vt:i4>12</vt:i4>
      </vt:variant>
      <vt:variant>
        <vt:i4>0</vt:i4>
      </vt:variant>
      <vt:variant>
        <vt:i4>5</vt:i4>
      </vt:variant>
      <vt:variant>
        <vt:lpwstr>https://jsfiddle.net/</vt:lpwstr>
      </vt:variant>
      <vt:variant>
        <vt:lpwstr/>
      </vt:variant>
      <vt:variant>
        <vt:i4>5505049</vt:i4>
      </vt:variant>
      <vt:variant>
        <vt:i4>9</vt:i4>
      </vt:variant>
      <vt:variant>
        <vt:i4>0</vt:i4>
      </vt:variant>
      <vt:variant>
        <vt:i4>5</vt:i4>
      </vt:variant>
      <vt:variant>
        <vt:lpwstr>https://cls.ucl.ac.uk/cls-studies/1970-british-cohort-study/</vt:lpwstr>
      </vt:variant>
      <vt:variant>
        <vt:lpwstr/>
      </vt:variant>
      <vt:variant>
        <vt:i4>7012426</vt:i4>
      </vt:variant>
      <vt:variant>
        <vt:i4>6</vt:i4>
      </vt:variant>
      <vt:variant>
        <vt:i4>0</vt:i4>
      </vt:variant>
      <vt:variant>
        <vt:i4>5</vt:i4>
      </vt:variant>
      <vt:variant>
        <vt:lpwstr>https://cls.ucl.ac.uk/data_documentation/?types%5B%5D=user-guides&amp;studies%5B%5D&amp;studies%5B%5D=bcs70-birth-sweep&amp;studies%5B%5D=age-5-sweep&amp;studies%5B%5D=age-10-sweep&amp;studies%5B%5D=age-16-sweep-1970-british-cohort-study&amp;studies%5B%5D=age-26-sweep&amp;studies%5B%5D=age-30-sweep&amp;studies%5B%5D=age-34-sweep&amp;studies%5B%5D=age-38-sweep&amp;studies%5B%5D=age-42-sweep-1970-british-cohort-study&amp;studies%5B%5D=age-46-biomedical-sweep&amp;s=&amp;filter=1</vt:lpwstr>
      </vt:variant>
      <vt:variant>
        <vt:lpwstr/>
      </vt:variant>
      <vt:variant>
        <vt:i4>5701648</vt:i4>
      </vt:variant>
      <vt:variant>
        <vt:i4>3</vt:i4>
      </vt:variant>
      <vt:variant>
        <vt:i4>0</vt:i4>
      </vt:variant>
      <vt:variant>
        <vt:i4>5</vt:i4>
      </vt:variant>
      <vt:variant>
        <vt:lpwstr>https://www.nice.org.uk/guidance/ng56</vt:lpwstr>
      </vt:variant>
      <vt:variant>
        <vt:lpwstr/>
      </vt:variant>
      <vt:variant>
        <vt:i4>6750307</vt:i4>
      </vt:variant>
      <vt:variant>
        <vt:i4>0</vt:i4>
      </vt:variant>
      <vt:variant>
        <vt:i4>0</vt:i4>
      </vt:variant>
      <vt:variant>
        <vt:i4>5</vt:i4>
      </vt:variant>
      <vt:variant>
        <vt:lpwstr>https://discover.ukdataservice.ac.uk/series/?sn=200001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Stannard</dc:creator>
  <cp:keywords/>
  <dc:description/>
  <cp:lastModifiedBy>Seb Stannard</cp:lastModifiedBy>
  <cp:revision>2</cp:revision>
  <cp:lastPrinted>2022-08-26T12:00:00Z</cp:lastPrinted>
  <dcterms:created xsi:type="dcterms:W3CDTF">2022-09-28T10:45:00Z</dcterms:created>
  <dcterms:modified xsi:type="dcterms:W3CDTF">2022-09-28T10:45:00Z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0x010100BD37CC5E5D6A644C925713F86C4DB474</vt:lpwstr>
  </property>
  <property fmtid="{D5CDD505-2E9C-101B-9397-08002B2CF9AE}" pid="3" name="MediaServiceImageTags">
    <vt:lpwstr/>
  </property>
</Properties>
</file>