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DEA5" w14:textId="77777777" w:rsidR="00E8499D" w:rsidRPr="009D5F9B" w:rsidRDefault="00E8499D" w:rsidP="00E8499D">
      <w:pPr>
        <w:pBdr>
          <w:bottom w:val="single" w:sz="4" w:space="1" w:color="auto"/>
        </w:pBdr>
        <w:outlineLvl w:val="0"/>
        <w:rPr>
          <w:rFonts w:ascii="Calibri" w:eastAsia="Calibri" w:hAnsi="Calibri" w:cs="Calibri"/>
          <w:b/>
          <w:bCs/>
        </w:rPr>
      </w:pPr>
      <w:bookmarkStart w:id="0" w:name="_Hlk86050849"/>
      <w:bookmarkStart w:id="1" w:name="_Toc108020651"/>
      <w:r w:rsidRPr="009D5F9B">
        <w:rPr>
          <w:rFonts w:ascii="Calibri" w:eastAsia="Calibri" w:hAnsi="Calibri" w:cs="Calibri"/>
          <w:b/>
          <w:bCs/>
        </w:rPr>
        <w:t xml:space="preserve">The potential for eye donation from hospice and palliative care clinical settings in England – a retrospective case </w:t>
      </w:r>
      <w:proofErr w:type="gramStart"/>
      <w:r w:rsidRPr="009D5F9B">
        <w:rPr>
          <w:rFonts w:ascii="Calibri" w:eastAsia="Calibri" w:hAnsi="Calibri" w:cs="Calibri"/>
          <w:b/>
          <w:bCs/>
        </w:rPr>
        <w:t>note</w:t>
      </w:r>
      <w:proofErr w:type="gramEnd"/>
      <w:r w:rsidRPr="009D5F9B">
        <w:rPr>
          <w:rFonts w:ascii="Calibri" w:eastAsia="Calibri" w:hAnsi="Calibri" w:cs="Calibri"/>
          <w:b/>
          <w:bCs/>
        </w:rPr>
        <w:t xml:space="preserve"> review of deceased patient records.</w:t>
      </w:r>
    </w:p>
    <w:bookmarkEnd w:id="0"/>
    <w:p w14:paraId="5D95220C" w14:textId="77777777" w:rsidR="00CA1E8A" w:rsidRPr="00CA1E8A" w:rsidRDefault="00CA1E8A" w:rsidP="00CA1E8A">
      <w:pPr>
        <w:rPr>
          <w:rFonts w:cstheme="minorHAnsi"/>
          <w:color w:val="0091D2"/>
          <w:sz w:val="18"/>
          <w:szCs w:val="18"/>
          <w:u w:val="single"/>
          <w:shd w:val="clear" w:color="auto" w:fill="FFFFFF"/>
        </w:rPr>
      </w:pPr>
      <w:r w:rsidRPr="00CA1E8A">
        <w:rPr>
          <w:rFonts w:cstheme="minorHAnsi"/>
          <w:sz w:val="18"/>
          <w:szCs w:val="18"/>
        </w:rPr>
        <w:t>T. Long-Sutehall (TLS)</w:t>
      </w:r>
      <w:r w:rsidRPr="00CA1E8A">
        <w:rPr>
          <w:rFonts w:cstheme="minorHAnsi"/>
          <w:color w:val="0563C1"/>
          <w:sz w:val="18"/>
          <w:szCs w:val="18"/>
          <w:u w:val="single"/>
          <w:vertAlign w:val="superscript"/>
        </w:rPr>
        <w:t>1</w:t>
      </w:r>
      <w:r w:rsidRPr="00CA1E8A">
        <w:rPr>
          <w:rFonts w:cstheme="minorHAnsi"/>
          <w:sz w:val="18"/>
          <w:szCs w:val="18"/>
        </w:rPr>
        <w:t>§</w:t>
      </w:r>
    </w:p>
    <w:p w14:paraId="3D481148" w14:textId="77777777" w:rsidR="00CA1E8A" w:rsidRPr="00CA1E8A" w:rsidRDefault="00CA1E8A" w:rsidP="00CA1E8A">
      <w:pPr>
        <w:rPr>
          <w:rFonts w:cstheme="minorHAnsi"/>
          <w:sz w:val="18"/>
          <w:szCs w:val="18"/>
          <w:vertAlign w:val="superscript"/>
        </w:rPr>
      </w:pPr>
      <w:r w:rsidRPr="00CA1E8A">
        <w:rPr>
          <w:rFonts w:cstheme="minorHAnsi"/>
          <w:sz w:val="18"/>
          <w:szCs w:val="18"/>
        </w:rPr>
        <w:t>B. C. Madi-Segwagwe (BMS)</w:t>
      </w:r>
      <w:r w:rsidRPr="00CA1E8A">
        <w:rPr>
          <w:rFonts w:cstheme="minorHAnsi"/>
          <w:sz w:val="18"/>
          <w:szCs w:val="18"/>
          <w:vertAlign w:val="superscript"/>
        </w:rPr>
        <w:t xml:space="preserve">1  </w:t>
      </w:r>
    </w:p>
    <w:p w14:paraId="10CBD8B7" w14:textId="77777777" w:rsidR="00CA1E8A" w:rsidRPr="00CA1E8A" w:rsidRDefault="00CA1E8A" w:rsidP="00CA1E8A">
      <w:pPr>
        <w:rPr>
          <w:rFonts w:cstheme="minorHAnsi"/>
          <w:sz w:val="18"/>
          <w:szCs w:val="18"/>
        </w:rPr>
      </w:pPr>
      <w:r w:rsidRPr="00CA1E8A">
        <w:rPr>
          <w:rFonts w:cstheme="minorHAnsi"/>
          <w:sz w:val="18"/>
          <w:szCs w:val="18"/>
        </w:rPr>
        <w:t>Christina Faull (CF)</w:t>
      </w:r>
      <w:r w:rsidRPr="00CA1E8A">
        <w:rPr>
          <w:rFonts w:cstheme="minorHAnsi"/>
          <w:sz w:val="18"/>
          <w:szCs w:val="18"/>
          <w:vertAlign w:val="superscript"/>
        </w:rPr>
        <w:t>2</w:t>
      </w:r>
    </w:p>
    <w:p w14:paraId="7745AAFC" w14:textId="77777777" w:rsidR="00CA1E8A" w:rsidRPr="00CA1E8A" w:rsidRDefault="00CA1E8A" w:rsidP="00CA1E8A">
      <w:pPr>
        <w:rPr>
          <w:rFonts w:cstheme="minorHAnsi"/>
          <w:sz w:val="18"/>
          <w:szCs w:val="18"/>
        </w:rPr>
      </w:pPr>
      <w:r w:rsidRPr="00CA1E8A">
        <w:rPr>
          <w:rFonts w:cstheme="minorHAnsi"/>
          <w:sz w:val="18"/>
          <w:szCs w:val="18"/>
        </w:rPr>
        <w:t xml:space="preserve">A. Hurlow (AH) </w:t>
      </w:r>
      <w:r w:rsidRPr="00CA1E8A">
        <w:rPr>
          <w:rFonts w:cstheme="minorHAnsi"/>
          <w:sz w:val="18"/>
          <w:szCs w:val="18"/>
          <w:vertAlign w:val="superscript"/>
        </w:rPr>
        <w:t>3</w:t>
      </w:r>
    </w:p>
    <w:p w14:paraId="46BD82D4" w14:textId="77777777" w:rsidR="00CA1E8A" w:rsidRPr="00CA1E8A" w:rsidRDefault="00CA1E8A" w:rsidP="00CA1E8A">
      <w:pPr>
        <w:rPr>
          <w:rFonts w:cstheme="minorHAnsi"/>
          <w:sz w:val="18"/>
          <w:szCs w:val="18"/>
        </w:rPr>
      </w:pPr>
      <w:r w:rsidRPr="00CA1E8A">
        <w:rPr>
          <w:rFonts w:cstheme="minorHAnsi"/>
          <w:sz w:val="18"/>
          <w:szCs w:val="18"/>
        </w:rPr>
        <w:t>S. Mollart (SM)</w:t>
      </w:r>
      <w:r w:rsidRPr="00CA1E8A">
        <w:rPr>
          <w:rFonts w:cstheme="minorHAnsi"/>
          <w:sz w:val="18"/>
          <w:szCs w:val="18"/>
          <w:vertAlign w:val="superscript"/>
        </w:rPr>
        <w:t>4</w:t>
      </w:r>
    </w:p>
    <w:p w14:paraId="6F50CD77" w14:textId="77777777" w:rsidR="00CA1E8A" w:rsidRPr="00CA1E8A" w:rsidRDefault="00CA1E8A" w:rsidP="00CA1E8A">
      <w:pPr>
        <w:rPr>
          <w:rFonts w:cstheme="minorHAnsi"/>
          <w:sz w:val="18"/>
          <w:szCs w:val="18"/>
        </w:rPr>
      </w:pPr>
      <w:r w:rsidRPr="00CA1E8A">
        <w:rPr>
          <w:rFonts w:cstheme="minorHAnsi"/>
          <w:sz w:val="18"/>
          <w:szCs w:val="18"/>
        </w:rPr>
        <w:t>C. Rayment (CR)</w:t>
      </w:r>
      <w:r w:rsidRPr="00CA1E8A">
        <w:rPr>
          <w:rFonts w:cstheme="minorHAnsi"/>
          <w:sz w:val="18"/>
          <w:szCs w:val="18"/>
          <w:vertAlign w:val="superscript"/>
        </w:rPr>
        <w:t>5</w:t>
      </w:r>
    </w:p>
    <w:p w14:paraId="09E72EE4" w14:textId="77777777" w:rsidR="00CA1E8A" w:rsidRPr="00CA1E8A" w:rsidRDefault="00CA1E8A" w:rsidP="00CA1E8A">
      <w:pPr>
        <w:rPr>
          <w:rFonts w:cstheme="minorHAnsi"/>
          <w:sz w:val="18"/>
          <w:szCs w:val="18"/>
          <w:vertAlign w:val="superscript"/>
        </w:rPr>
      </w:pPr>
      <w:r w:rsidRPr="00CA1E8A">
        <w:rPr>
          <w:rFonts w:cstheme="minorHAnsi"/>
          <w:sz w:val="18"/>
          <w:szCs w:val="18"/>
        </w:rPr>
        <w:t>J. Short (JS)</w:t>
      </w:r>
      <w:r w:rsidRPr="00CA1E8A">
        <w:rPr>
          <w:rFonts w:cstheme="minorHAnsi"/>
          <w:sz w:val="18"/>
          <w:szCs w:val="18"/>
          <w:vertAlign w:val="superscript"/>
        </w:rPr>
        <w:t>6</w:t>
      </w:r>
    </w:p>
    <w:p w14:paraId="04FEA099" w14:textId="77777777" w:rsidR="00CA1E8A" w:rsidRPr="00CA1E8A" w:rsidRDefault="00CA1E8A" w:rsidP="00CA1E8A">
      <w:pPr>
        <w:rPr>
          <w:rFonts w:cstheme="minorHAnsi"/>
          <w:sz w:val="18"/>
          <w:szCs w:val="18"/>
        </w:rPr>
      </w:pPr>
      <w:r w:rsidRPr="00CA1E8A">
        <w:rPr>
          <w:rFonts w:cstheme="minorHAnsi"/>
          <w:sz w:val="18"/>
          <w:szCs w:val="18"/>
        </w:rPr>
        <w:t>J. Wale (JW)</w:t>
      </w:r>
      <w:r w:rsidRPr="00CA1E8A">
        <w:rPr>
          <w:rFonts w:cstheme="minorHAnsi"/>
          <w:sz w:val="18"/>
          <w:szCs w:val="18"/>
          <w:vertAlign w:val="superscript"/>
        </w:rPr>
        <w:t>7</w:t>
      </w:r>
    </w:p>
    <w:p w14:paraId="3763B0CD" w14:textId="77777777" w:rsidR="00CA1E8A" w:rsidRPr="00CA1E8A" w:rsidRDefault="00CA1E8A" w:rsidP="00CA1E8A">
      <w:pPr>
        <w:rPr>
          <w:rFonts w:cstheme="minorHAnsi"/>
          <w:sz w:val="18"/>
          <w:szCs w:val="18"/>
        </w:rPr>
      </w:pPr>
      <w:r w:rsidRPr="00CA1E8A">
        <w:rPr>
          <w:rFonts w:cstheme="minorHAnsi"/>
          <w:sz w:val="18"/>
          <w:szCs w:val="18"/>
        </w:rPr>
        <w:t>M. Brown (MB)</w:t>
      </w:r>
      <w:r w:rsidRPr="00CA1E8A">
        <w:rPr>
          <w:rFonts w:cstheme="minorHAnsi"/>
          <w:sz w:val="18"/>
          <w:szCs w:val="18"/>
          <w:vertAlign w:val="superscript"/>
        </w:rPr>
        <w:t>8</w:t>
      </w:r>
    </w:p>
    <w:p w14:paraId="06826A30" w14:textId="77777777" w:rsidR="00CA1E8A" w:rsidRPr="00CA1E8A" w:rsidRDefault="00CA1E8A" w:rsidP="00CA1E8A">
      <w:pPr>
        <w:rPr>
          <w:rFonts w:cstheme="minorHAnsi"/>
          <w:sz w:val="18"/>
          <w:szCs w:val="18"/>
        </w:rPr>
      </w:pPr>
      <w:r w:rsidRPr="00CA1E8A">
        <w:rPr>
          <w:rFonts w:cstheme="minorHAnsi"/>
          <w:sz w:val="18"/>
          <w:szCs w:val="18"/>
        </w:rPr>
        <w:t>J. Johnston (JJ)</w:t>
      </w:r>
      <w:r w:rsidRPr="00CA1E8A">
        <w:rPr>
          <w:rFonts w:cstheme="minorHAnsi"/>
          <w:sz w:val="18"/>
          <w:szCs w:val="18"/>
          <w:vertAlign w:val="superscript"/>
        </w:rPr>
        <w:t>9</w:t>
      </w:r>
    </w:p>
    <w:p w14:paraId="54307260" w14:textId="77777777" w:rsidR="00CA1E8A" w:rsidRPr="00CA1E8A" w:rsidRDefault="00CA1E8A" w:rsidP="00CA1E8A">
      <w:pPr>
        <w:rPr>
          <w:rFonts w:cstheme="minorHAnsi"/>
          <w:sz w:val="18"/>
          <w:szCs w:val="18"/>
        </w:rPr>
      </w:pPr>
      <w:r w:rsidRPr="00CA1E8A">
        <w:rPr>
          <w:rFonts w:cstheme="minorHAnsi"/>
          <w:sz w:val="18"/>
          <w:szCs w:val="18"/>
        </w:rPr>
        <w:t>K. Georgiade (KG)</w:t>
      </w:r>
      <w:r w:rsidRPr="00CA1E8A">
        <w:rPr>
          <w:rFonts w:cstheme="minorHAnsi"/>
          <w:sz w:val="18"/>
          <w:szCs w:val="18"/>
          <w:vertAlign w:val="superscript"/>
        </w:rPr>
        <w:t>2</w:t>
      </w:r>
    </w:p>
    <w:p w14:paraId="61A0BCE4" w14:textId="77777777" w:rsidR="00CA1E8A" w:rsidRPr="00CA1E8A" w:rsidRDefault="00CA1E8A" w:rsidP="00CA1E8A">
      <w:pPr>
        <w:rPr>
          <w:rFonts w:cstheme="minorHAnsi"/>
          <w:sz w:val="18"/>
          <w:szCs w:val="18"/>
          <w:vertAlign w:val="superscript"/>
        </w:rPr>
      </w:pPr>
      <w:r w:rsidRPr="00CA1E8A">
        <w:rPr>
          <w:rFonts w:cstheme="minorHAnsi"/>
          <w:sz w:val="18"/>
          <w:szCs w:val="18"/>
        </w:rPr>
        <w:t>S. Gillon (SG)</w:t>
      </w:r>
      <w:r w:rsidRPr="00CA1E8A">
        <w:rPr>
          <w:rFonts w:cstheme="minorHAnsi"/>
          <w:sz w:val="18"/>
          <w:szCs w:val="18"/>
          <w:vertAlign w:val="superscript"/>
        </w:rPr>
        <w:t xml:space="preserve">3 </w:t>
      </w:r>
    </w:p>
    <w:p w14:paraId="6E7B65DF" w14:textId="77777777" w:rsidR="00CA1E8A" w:rsidRPr="00CA1E8A" w:rsidRDefault="00CA1E8A" w:rsidP="00CA1E8A">
      <w:pPr>
        <w:rPr>
          <w:rFonts w:cstheme="minorHAnsi"/>
          <w:sz w:val="18"/>
          <w:szCs w:val="18"/>
          <w:vertAlign w:val="superscript"/>
        </w:rPr>
      </w:pPr>
      <w:r w:rsidRPr="00CA1E8A">
        <w:rPr>
          <w:rFonts w:cstheme="minorHAnsi"/>
          <w:sz w:val="18"/>
          <w:szCs w:val="18"/>
        </w:rPr>
        <w:t xml:space="preserve">F. Jacob (FJ) </w:t>
      </w:r>
      <w:r w:rsidRPr="00CA1E8A">
        <w:rPr>
          <w:rFonts w:cstheme="minorHAnsi"/>
          <w:sz w:val="18"/>
          <w:szCs w:val="18"/>
          <w:vertAlign w:val="superscript"/>
        </w:rPr>
        <w:t>2</w:t>
      </w:r>
    </w:p>
    <w:p w14:paraId="0EFFFD32" w14:textId="77777777" w:rsidR="00CA1E8A" w:rsidRPr="00CA1E8A" w:rsidRDefault="00CA1E8A" w:rsidP="00CA1E8A">
      <w:pPr>
        <w:rPr>
          <w:rFonts w:cstheme="minorHAnsi"/>
          <w:sz w:val="18"/>
          <w:szCs w:val="18"/>
          <w:vertAlign w:val="superscript"/>
        </w:rPr>
      </w:pPr>
      <w:r w:rsidRPr="00CA1E8A">
        <w:rPr>
          <w:rFonts w:cstheme="minorHAnsi"/>
          <w:sz w:val="18"/>
          <w:szCs w:val="18"/>
        </w:rPr>
        <w:t>N. Seaton (NS)</w:t>
      </w:r>
      <w:r w:rsidRPr="00CA1E8A">
        <w:rPr>
          <w:rFonts w:cstheme="minorHAnsi"/>
          <w:sz w:val="18"/>
          <w:szCs w:val="18"/>
          <w:vertAlign w:val="superscript"/>
        </w:rPr>
        <w:t xml:space="preserve">2 </w:t>
      </w:r>
    </w:p>
    <w:p w14:paraId="0DA13146" w14:textId="77777777" w:rsidR="00CA1E8A" w:rsidRPr="00CA1E8A" w:rsidRDefault="00CA1E8A" w:rsidP="00CA1E8A">
      <w:pPr>
        <w:rPr>
          <w:rFonts w:cstheme="minorHAnsi"/>
          <w:sz w:val="18"/>
          <w:szCs w:val="18"/>
        </w:rPr>
      </w:pPr>
      <w:r w:rsidRPr="00CA1E8A">
        <w:rPr>
          <w:rFonts w:cstheme="minorHAnsi"/>
          <w:sz w:val="18"/>
          <w:szCs w:val="18"/>
        </w:rPr>
        <w:t xml:space="preserve">M. Bracher (MJB) </w:t>
      </w:r>
      <w:r w:rsidRPr="00CA1E8A">
        <w:rPr>
          <w:rFonts w:cstheme="minorHAnsi"/>
          <w:sz w:val="18"/>
          <w:szCs w:val="18"/>
          <w:vertAlign w:val="superscript"/>
        </w:rPr>
        <w:t>1</w:t>
      </w:r>
      <w:r w:rsidRPr="00CA1E8A">
        <w:rPr>
          <w:rFonts w:cstheme="minorHAnsi"/>
          <w:color w:val="000000"/>
          <w:sz w:val="18"/>
          <w:szCs w:val="18"/>
          <w:shd w:val="clear" w:color="auto" w:fill="FFFFFF"/>
        </w:rPr>
        <w:t> </w:t>
      </w:r>
      <w:r w:rsidRPr="00CA1E8A">
        <w:rPr>
          <w:rFonts w:cstheme="minorHAnsi"/>
          <w:sz w:val="18"/>
          <w:szCs w:val="18"/>
        </w:rPr>
        <w:t xml:space="preserve"> </w:t>
      </w:r>
    </w:p>
    <w:p w14:paraId="256A769F"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School of Health Sciences, University of Southampton, Southampton, Hampshire UK</w:t>
      </w:r>
    </w:p>
    <w:p w14:paraId="00557E1E"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LOROS Hospice, Leicester, Leicestershire, UK</w:t>
      </w:r>
    </w:p>
    <w:p w14:paraId="6AD3FBE5"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Leeds Teaching Hospitals NHS Trust, Leeds, West Yorkshire, UK</w:t>
      </w:r>
    </w:p>
    <w:p w14:paraId="61736678"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West Suffolk Hospital NHS Foundation Trust, Bury, Greater Manchester, UK</w:t>
      </w:r>
    </w:p>
    <w:p w14:paraId="232EEF93"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Marie Curie Hospice Bradford, West Yorkshire, UK</w:t>
      </w:r>
    </w:p>
    <w:p w14:paraId="5AA9960B"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Rowans Hospice, Waterlooville, Havant UK</w:t>
      </w:r>
    </w:p>
    <w:p w14:paraId="36EE1451"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Milton Keynes University Hospital NHS Foundation Trust, Milton Keynes, Buckinghamshire, UK</w:t>
      </w:r>
    </w:p>
    <w:p w14:paraId="668E259D"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 xml:space="preserve">National Health Service Blood and Transplant - Tissue and Eye Services, Speke, Liverpool, UK </w:t>
      </w:r>
    </w:p>
    <w:p w14:paraId="7645EF18" w14:textId="77777777" w:rsidR="00CA1E8A" w:rsidRPr="00CA1E8A" w:rsidRDefault="00CA1E8A" w:rsidP="00CA1E8A">
      <w:pPr>
        <w:numPr>
          <w:ilvl w:val="0"/>
          <w:numId w:val="3"/>
        </w:numPr>
        <w:spacing w:after="0" w:line="240" w:lineRule="auto"/>
        <w:contextualSpacing/>
        <w:rPr>
          <w:rFonts w:eastAsia="Times New Roman" w:cstheme="minorHAnsi"/>
          <w:sz w:val="18"/>
          <w:szCs w:val="18"/>
        </w:rPr>
      </w:pPr>
      <w:r w:rsidRPr="00CA1E8A">
        <w:rPr>
          <w:rFonts w:eastAsia="Times New Roman" w:cstheme="minorHAnsi"/>
          <w:sz w:val="18"/>
          <w:szCs w:val="18"/>
        </w:rPr>
        <w:t>Independent Researcher, Switzerland</w:t>
      </w:r>
    </w:p>
    <w:p w14:paraId="73F25D9B" w14:textId="77777777" w:rsidR="00CA1E8A" w:rsidRPr="00CA1E8A" w:rsidRDefault="00CA1E8A" w:rsidP="00CA1E8A">
      <w:pPr>
        <w:ind w:left="360"/>
        <w:contextualSpacing/>
        <w:rPr>
          <w:rFonts w:cstheme="minorHAnsi"/>
          <w:sz w:val="18"/>
          <w:szCs w:val="18"/>
        </w:rPr>
      </w:pPr>
    </w:p>
    <w:p w14:paraId="33FE071C" w14:textId="77777777" w:rsidR="00CA1E8A" w:rsidRPr="00CA1E8A" w:rsidRDefault="00CA1E8A" w:rsidP="00CA1E8A">
      <w:pPr>
        <w:rPr>
          <w:rFonts w:cstheme="minorHAnsi"/>
          <w:sz w:val="18"/>
          <w:szCs w:val="18"/>
        </w:rPr>
      </w:pPr>
      <w:r w:rsidRPr="00CA1E8A">
        <w:rPr>
          <w:rFonts w:cstheme="minorHAnsi"/>
          <w:sz w:val="18"/>
          <w:szCs w:val="18"/>
        </w:rPr>
        <w:t>§ Corresponding author</w:t>
      </w:r>
    </w:p>
    <w:p w14:paraId="33638421" w14:textId="77777777" w:rsidR="00CA1E8A" w:rsidRPr="00CA1E8A" w:rsidRDefault="00CA1E8A" w:rsidP="00CA1E8A">
      <w:pPr>
        <w:rPr>
          <w:rFonts w:cstheme="minorHAnsi"/>
          <w:sz w:val="18"/>
          <w:szCs w:val="18"/>
        </w:rPr>
      </w:pPr>
      <w:r w:rsidRPr="00CA1E8A">
        <w:rPr>
          <w:rFonts w:cstheme="minorHAnsi"/>
          <w:sz w:val="18"/>
          <w:szCs w:val="18"/>
        </w:rPr>
        <w:t>Tracy Long-Sutehall, School of Health Sciences, University of Southampton.</w:t>
      </w:r>
    </w:p>
    <w:p w14:paraId="0BD0C05B" w14:textId="77777777" w:rsidR="00CA1E8A" w:rsidRPr="00CA1E8A" w:rsidRDefault="00CA1E8A" w:rsidP="00CA1E8A">
      <w:pPr>
        <w:rPr>
          <w:rFonts w:cstheme="minorHAnsi"/>
          <w:sz w:val="18"/>
          <w:szCs w:val="18"/>
        </w:rPr>
      </w:pPr>
      <w:r w:rsidRPr="00CA1E8A">
        <w:rPr>
          <w:rFonts w:cstheme="minorHAnsi"/>
          <w:sz w:val="18"/>
          <w:szCs w:val="18"/>
        </w:rPr>
        <w:t xml:space="preserve">Email: </w:t>
      </w:r>
      <w:hyperlink r:id="rId8" w:history="1">
        <w:r w:rsidRPr="00CA1E8A">
          <w:rPr>
            <w:rStyle w:val="Hyperlink"/>
            <w:rFonts w:cstheme="minorHAnsi"/>
            <w:sz w:val="18"/>
            <w:szCs w:val="18"/>
          </w:rPr>
          <w:t>t.long@soton.ac.uk</w:t>
        </w:r>
      </w:hyperlink>
      <w:r w:rsidRPr="00CA1E8A">
        <w:rPr>
          <w:rFonts w:cstheme="minorHAnsi"/>
          <w:sz w:val="18"/>
          <w:szCs w:val="18"/>
        </w:rPr>
        <w:t>; Tel: 023 80 593929</w:t>
      </w:r>
    </w:p>
    <w:p w14:paraId="4B611C14" w14:textId="77777777" w:rsidR="00CA1E8A" w:rsidRPr="00CA1E8A" w:rsidRDefault="00CA1E8A" w:rsidP="00CA1E8A">
      <w:pPr>
        <w:spacing w:line="480" w:lineRule="auto"/>
        <w:rPr>
          <w:rFonts w:eastAsia="Calibri" w:cstheme="minorHAnsi"/>
          <w:b/>
          <w:bCs/>
          <w:sz w:val="18"/>
          <w:szCs w:val="18"/>
        </w:rPr>
      </w:pPr>
      <w:r w:rsidRPr="00CA1E8A">
        <w:rPr>
          <w:rFonts w:eastAsia="Calibri" w:cstheme="minorHAnsi"/>
          <w:b/>
          <w:bCs/>
          <w:sz w:val="18"/>
          <w:szCs w:val="18"/>
        </w:rPr>
        <w:t>Author contributions</w:t>
      </w:r>
    </w:p>
    <w:p w14:paraId="677F113E" w14:textId="77777777" w:rsidR="00CA1E8A" w:rsidRDefault="00CA1E8A" w:rsidP="00CA1E8A">
      <w:pPr>
        <w:spacing w:line="480" w:lineRule="auto"/>
        <w:rPr>
          <w:rFonts w:eastAsia="Calibri" w:cstheme="minorHAnsi"/>
          <w:sz w:val="18"/>
          <w:szCs w:val="18"/>
        </w:rPr>
      </w:pPr>
      <w:r w:rsidRPr="00CA1E8A">
        <w:rPr>
          <w:rFonts w:eastAsia="Calibri" w:cstheme="minorHAnsi"/>
          <w:sz w:val="18"/>
          <w:szCs w:val="18"/>
        </w:rPr>
        <w:t>Dr Tracy Long-Sutehall (TLS) conceptualised the study and its design, TLS, MJB and BMS developed the evaluation proforma, AH, CF, CR, JW, JS, SMFJ, SG, NS and KG all participated in data collection assessing deceased patient notes against standard criteria. MJB carried out quality checks of submitted data. MB and JJ evaluated all submitted data against national criteria. MJB carried out analysis and first draft of the manuscript; TLS led progression of manuscript development  and all authors reviewed and commented on the final drafted manuscript.</w:t>
      </w:r>
    </w:p>
    <w:p w14:paraId="3D780819" w14:textId="77777777" w:rsidR="00FA3EA8" w:rsidRDefault="00FA3EA8" w:rsidP="00CA1E8A">
      <w:pPr>
        <w:spacing w:line="480" w:lineRule="auto"/>
        <w:rPr>
          <w:rFonts w:eastAsia="Calibri" w:cstheme="minorHAnsi"/>
          <w:sz w:val="18"/>
          <w:szCs w:val="18"/>
        </w:rPr>
      </w:pPr>
    </w:p>
    <w:p w14:paraId="3ED6DBF4" w14:textId="77777777" w:rsidR="00FA3EA8" w:rsidRPr="00CA1E8A" w:rsidRDefault="00FA3EA8" w:rsidP="00CA1E8A">
      <w:pPr>
        <w:spacing w:line="480" w:lineRule="auto"/>
        <w:rPr>
          <w:rFonts w:eastAsia="Calibri" w:cstheme="minorHAnsi"/>
          <w:sz w:val="18"/>
          <w:szCs w:val="18"/>
        </w:rPr>
      </w:pPr>
    </w:p>
    <w:p w14:paraId="10C55988" w14:textId="77777777" w:rsidR="00CA1E8A" w:rsidRPr="00CA1E8A" w:rsidRDefault="00CA1E8A" w:rsidP="00CA1E8A">
      <w:pPr>
        <w:spacing w:line="480" w:lineRule="auto"/>
        <w:rPr>
          <w:rFonts w:eastAsia="Calibri" w:cstheme="minorHAnsi"/>
          <w:b/>
          <w:bCs/>
          <w:sz w:val="18"/>
          <w:szCs w:val="18"/>
        </w:rPr>
      </w:pPr>
      <w:r w:rsidRPr="00CA1E8A">
        <w:rPr>
          <w:rFonts w:eastAsia="Calibri" w:cstheme="minorHAnsi"/>
          <w:b/>
          <w:bCs/>
          <w:sz w:val="18"/>
          <w:szCs w:val="18"/>
        </w:rPr>
        <w:lastRenderedPageBreak/>
        <w:t>Acknowledgements</w:t>
      </w:r>
    </w:p>
    <w:p w14:paraId="7E08805B" w14:textId="77777777" w:rsidR="00CA1E8A" w:rsidRPr="00CA1E8A" w:rsidRDefault="00CA1E8A" w:rsidP="00CA1E8A">
      <w:pPr>
        <w:spacing w:line="480" w:lineRule="auto"/>
        <w:rPr>
          <w:rFonts w:eastAsia="Calibri" w:cstheme="minorHAnsi"/>
          <w:sz w:val="18"/>
          <w:szCs w:val="18"/>
        </w:rPr>
      </w:pPr>
      <w:r w:rsidRPr="00CA1E8A">
        <w:rPr>
          <w:rFonts w:eastAsia="Calibri" w:cstheme="minorHAnsi"/>
          <w:sz w:val="18"/>
          <w:szCs w:val="18"/>
        </w:rPr>
        <w:t>The authors would like to acknowledge the UK National Institute for Health Research (NIHR) for funding this study, Award ID = 17/49/42</w:t>
      </w:r>
    </w:p>
    <w:p w14:paraId="588CAFC9" w14:textId="60FF5EA2" w:rsidR="00C01815" w:rsidRPr="00C01815" w:rsidRDefault="00C01815" w:rsidP="00C01815">
      <w:pPr>
        <w:pBdr>
          <w:bottom w:val="single" w:sz="4" w:space="1" w:color="auto"/>
        </w:pBdr>
        <w:spacing w:line="480" w:lineRule="auto"/>
        <w:outlineLvl w:val="0"/>
        <w:rPr>
          <w:rFonts w:ascii="Calibri" w:eastAsia="Calibri" w:hAnsi="Calibri" w:cs="Calibri"/>
          <w:b/>
          <w:bCs/>
          <w:sz w:val="24"/>
          <w:szCs w:val="24"/>
        </w:rPr>
      </w:pPr>
      <w:r w:rsidRPr="00C01815">
        <w:rPr>
          <w:rFonts w:ascii="Calibri" w:eastAsia="Calibri" w:hAnsi="Calibri" w:cs="Calibri"/>
          <w:b/>
          <w:bCs/>
          <w:sz w:val="24"/>
          <w:szCs w:val="24"/>
        </w:rPr>
        <w:t>A</w:t>
      </w:r>
      <w:r w:rsidR="008F781A">
        <w:rPr>
          <w:rFonts w:ascii="Calibri" w:eastAsia="Calibri" w:hAnsi="Calibri" w:cs="Calibri"/>
          <w:b/>
          <w:bCs/>
          <w:sz w:val="24"/>
          <w:szCs w:val="24"/>
        </w:rPr>
        <w:t xml:space="preserve">bstract </w:t>
      </w:r>
    </w:p>
    <w:p w14:paraId="28409E71" w14:textId="6FC6D496" w:rsidR="00C01815" w:rsidRPr="00C01815" w:rsidRDefault="00C01815" w:rsidP="00C01815">
      <w:pPr>
        <w:spacing w:line="480" w:lineRule="auto"/>
        <w:rPr>
          <w:rFonts w:ascii="Calibri" w:eastAsia="Calibri" w:hAnsi="Calibri" w:cs="Calibri"/>
          <w:sz w:val="24"/>
          <w:szCs w:val="24"/>
        </w:rPr>
      </w:pPr>
      <w:r w:rsidRPr="00C01815">
        <w:rPr>
          <w:rFonts w:ascii="Calibri" w:eastAsia="Calibri" w:hAnsi="Calibri" w:cs="Calibri"/>
          <w:i/>
          <w:iCs/>
          <w:sz w:val="24"/>
          <w:szCs w:val="24"/>
        </w:rPr>
        <w:t>Background/Objectives:</w:t>
      </w:r>
      <w:r w:rsidRPr="00C01815">
        <w:rPr>
          <w:rFonts w:ascii="Calibri" w:eastAsia="Calibri" w:hAnsi="Calibri" w:cs="Calibri"/>
          <w:sz w:val="24"/>
          <w:szCs w:val="24"/>
        </w:rPr>
        <w:t xml:space="preserve"> There is a need to identify additional routes of supply for ophthalmic tissue in the UK. This paper reports the findings from a national study exploring the potential for eye donation (ED) from three Hospice Care (HC) and three Hospital Palliative Care Services (</w:t>
      </w:r>
      <w:r w:rsidR="0089014B">
        <w:rPr>
          <w:rFonts w:ascii="Calibri" w:eastAsia="Calibri" w:hAnsi="Calibri" w:cs="Calibri"/>
          <w:sz w:val="24"/>
          <w:szCs w:val="24"/>
        </w:rPr>
        <w:t>H</w:t>
      </w:r>
      <w:r w:rsidRPr="00C01815">
        <w:rPr>
          <w:rFonts w:ascii="Calibri" w:eastAsia="Calibri" w:hAnsi="Calibri" w:cs="Calibri"/>
          <w:sz w:val="24"/>
          <w:szCs w:val="24"/>
        </w:rPr>
        <w:t>PC) in England</w:t>
      </w:r>
      <w:r w:rsidR="0089014B">
        <w:rPr>
          <w:rFonts w:ascii="Calibri" w:eastAsia="Calibri" w:hAnsi="Calibri" w:cs="Calibri"/>
          <w:sz w:val="24"/>
          <w:szCs w:val="24"/>
        </w:rPr>
        <w:t xml:space="preserve">. </w:t>
      </w:r>
      <w:bookmarkStart w:id="2" w:name="_Hlk83842101"/>
      <w:r w:rsidRPr="00C01815">
        <w:rPr>
          <w:rFonts w:ascii="Calibri" w:eastAsia="Calibri" w:hAnsi="Calibri" w:cs="Calibri"/>
          <w:sz w:val="24"/>
          <w:szCs w:val="24"/>
        </w:rPr>
        <w:t xml:space="preserve">The objectives addressed in this paper are i.) to establish the size and describe the clinical characteristics of the potential eye donor population across six clinical sites; ii.) to identify challenges for clinicians in applying the standard ED criteria for assessing patient eligibility. </w:t>
      </w:r>
      <w:bookmarkEnd w:id="2"/>
    </w:p>
    <w:p w14:paraId="520B2885" w14:textId="70D73F68" w:rsidR="00C01815" w:rsidRPr="00C01815" w:rsidRDefault="00C01815" w:rsidP="00C01815">
      <w:pPr>
        <w:spacing w:line="480" w:lineRule="auto"/>
        <w:rPr>
          <w:rFonts w:ascii="Calibri" w:eastAsia="Calibri" w:hAnsi="Calibri" w:cs="Calibri"/>
          <w:sz w:val="24"/>
          <w:szCs w:val="24"/>
        </w:rPr>
      </w:pPr>
      <w:r w:rsidRPr="00C01815">
        <w:rPr>
          <w:rFonts w:ascii="Calibri" w:eastAsia="Calibri" w:hAnsi="Calibri" w:cs="Calibri"/>
          <w:i/>
          <w:iCs/>
          <w:sz w:val="24"/>
          <w:szCs w:val="24"/>
        </w:rPr>
        <w:t xml:space="preserve">Subjects/Methods: </w:t>
      </w:r>
      <w:r w:rsidRPr="00C01815">
        <w:rPr>
          <w:rFonts w:ascii="Calibri" w:eastAsia="Calibri" w:hAnsi="Calibri" w:cs="Calibri"/>
          <w:sz w:val="24"/>
          <w:szCs w:val="24"/>
        </w:rPr>
        <w:t>Retrospective assessment of 1</w:t>
      </w:r>
      <w:r w:rsidR="000E0C0D">
        <w:rPr>
          <w:rFonts w:ascii="Calibri" w:eastAsia="Calibri" w:hAnsi="Calibri" w:cs="Calibri"/>
          <w:sz w:val="24"/>
          <w:szCs w:val="24"/>
        </w:rPr>
        <w:t>199</w:t>
      </w:r>
      <w:r w:rsidRPr="00C01815">
        <w:rPr>
          <w:rFonts w:ascii="Calibri" w:eastAsia="Calibri" w:hAnsi="Calibri" w:cs="Calibri"/>
          <w:sz w:val="24"/>
          <w:szCs w:val="24"/>
        </w:rPr>
        <w:t xml:space="preserve"> deceased patient case notes</w:t>
      </w:r>
      <w:r w:rsidR="00B60AFD">
        <w:rPr>
          <w:rFonts w:ascii="Calibri" w:eastAsia="Calibri" w:hAnsi="Calibri" w:cs="Calibri"/>
          <w:sz w:val="24"/>
          <w:szCs w:val="24"/>
        </w:rPr>
        <w:t>,</w:t>
      </w:r>
      <w:r w:rsidRPr="00C01815">
        <w:rPr>
          <w:rFonts w:ascii="Calibri" w:eastAsia="Calibri" w:hAnsi="Calibri" w:cs="Calibri"/>
          <w:sz w:val="24"/>
          <w:szCs w:val="24"/>
        </w:rPr>
        <w:t xml:space="preserve"> </w:t>
      </w:r>
      <w:r w:rsidR="00AD09A5">
        <w:rPr>
          <w:rFonts w:ascii="Calibri" w:eastAsia="Calibri" w:hAnsi="Calibri" w:cs="Calibri"/>
          <w:sz w:val="24"/>
          <w:szCs w:val="24"/>
        </w:rPr>
        <w:t>601</w:t>
      </w:r>
      <w:r w:rsidRPr="00C01815">
        <w:rPr>
          <w:rFonts w:ascii="Calibri" w:eastAsia="Calibri" w:hAnsi="Calibri" w:cs="Calibri"/>
          <w:sz w:val="24"/>
          <w:szCs w:val="24"/>
        </w:rPr>
        <w:t xml:space="preserve"> H</w:t>
      </w:r>
      <w:r w:rsidR="006B7237">
        <w:rPr>
          <w:rFonts w:ascii="Calibri" w:eastAsia="Calibri" w:hAnsi="Calibri" w:cs="Calibri"/>
          <w:sz w:val="24"/>
          <w:szCs w:val="24"/>
        </w:rPr>
        <w:t xml:space="preserve">ospice </w:t>
      </w:r>
      <w:r w:rsidR="00E87A08">
        <w:rPr>
          <w:rFonts w:ascii="Calibri" w:eastAsia="Calibri" w:hAnsi="Calibri" w:cs="Calibri"/>
          <w:sz w:val="24"/>
          <w:szCs w:val="24"/>
        </w:rPr>
        <w:t>Care and</w:t>
      </w:r>
      <w:r w:rsidR="006B7237">
        <w:rPr>
          <w:rFonts w:ascii="Calibri" w:eastAsia="Calibri" w:hAnsi="Calibri" w:cs="Calibri"/>
          <w:sz w:val="24"/>
          <w:szCs w:val="24"/>
        </w:rPr>
        <w:t xml:space="preserve"> </w:t>
      </w:r>
      <w:r w:rsidR="00AD09A5">
        <w:rPr>
          <w:rFonts w:ascii="Calibri" w:eastAsia="Calibri" w:hAnsi="Calibri" w:cs="Calibri"/>
          <w:sz w:val="24"/>
          <w:szCs w:val="24"/>
        </w:rPr>
        <w:t>598</w:t>
      </w:r>
      <w:r w:rsidRPr="00C01815">
        <w:rPr>
          <w:rFonts w:ascii="Calibri" w:eastAsia="Calibri" w:hAnsi="Calibri" w:cs="Calibri"/>
          <w:sz w:val="24"/>
          <w:szCs w:val="24"/>
        </w:rPr>
        <w:t xml:space="preserve"> </w:t>
      </w:r>
      <w:r w:rsidR="006B7237">
        <w:rPr>
          <w:rFonts w:ascii="Calibri" w:eastAsia="Calibri" w:hAnsi="Calibri" w:cs="Calibri"/>
          <w:sz w:val="24"/>
          <w:szCs w:val="24"/>
        </w:rPr>
        <w:t xml:space="preserve">Hospital </w:t>
      </w:r>
      <w:r w:rsidRPr="00C01815">
        <w:rPr>
          <w:rFonts w:ascii="Calibri" w:eastAsia="Calibri" w:hAnsi="Calibri" w:cs="Calibri"/>
          <w:sz w:val="24"/>
          <w:szCs w:val="24"/>
        </w:rPr>
        <w:t>P</w:t>
      </w:r>
      <w:r w:rsidR="00662952">
        <w:rPr>
          <w:rFonts w:ascii="Calibri" w:eastAsia="Calibri" w:hAnsi="Calibri" w:cs="Calibri"/>
          <w:sz w:val="24"/>
          <w:szCs w:val="24"/>
        </w:rPr>
        <w:t xml:space="preserve">alliative </w:t>
      </w:r>
      <w:r w:rsidRPr="00C01815">
        <w:rPr>
          <w:rFonts w:ascii="Calibri" w:eastAsia="Calibri" w:hAnsi="Calibri" w:cs="Calibri"/>
          <w:sz w:val="24"/>
          <w:szCs w:val="24"/>
        </w:rPr>
        <w:t>C</w:t>
      </w:r>
      <w:r w:rsidR="00662952">
        <w:rPr>
          <w:rFonts w:ascii="Calibri" w:eastAsia="Calibri" w:hAnsi="Calibri" w:cs="Calibri"/>
          <w:sz w:val="24"/>
          <w:szCs w:val="24"/>
        </w:rPr>
        <w:t>are services</w:t>
      </w:r>
      <w:r w:rsidR="00B60AFD">
        <w:rPr>
          <w:rFonts w:ascii="Calibri" w:eastAsia="Calibri" w:hAnsi="Calibri" w:cs="Calibri"/>
          <w:sz w:val="24"/>
          <w:szCs w:val="24"/>
        </w:rPr>
        <w:t>,</w:t>
      </w:r>
      <w:r w:rsidR="00662952">
        <w:rPr>
          <w:rFonts w:ascii="Calibri" w:eastAsia="Calibri" w:hAnsi="Calibri" w:cs="Calibri"/>
          <w:sz w:val="24"/>
          <w:szCs w:val="24"/>
        </w:rPr>
        <w:t xml:space="preserve"> </w:t>
      </w:r>
      <w:r w:rsidRPr="00C01815">
        <w:rPr>
          <w:rFonts w:ascii="Calibri" w:eastAsia="Calibri" w:hAnsi="Calibri" w:cs="Calibri"/>
          <w:sz w:val="24"/>
          <w:szCs w:val="24"/>
        </w:rPr>
        <w:t xml:space="preserve">against current eye donation criteria.  </w:t>
      </w:r>
      <w:r w:rsidR="00B6097B">
        <w:rPr>
          <w:rFonts w:ascii="Calibri" w:eastAsia="Calibri" w:hAnsi="Calibri" w:cs="Calibri"/>
          <w:sz w:val="24"/>
          <w:szCs w:val="24"/>
        </w:rPr>
        <w:t>Clinicians’</w:t>
      </w:r>
      <w:r w:rsidR="00B60AFD">
        <w:rPr>
          <w:rFonts w:ascii="Calibri" w:eastAsia="Calibri" w:hAnsi="Calibri" w:cs="Calibri"/>
          <w:sz w:val="24"/>
          <w:szCs w:val="24"/>
        </w:rPr>
        <w:t xml:space="preserve"> </w:t>
      </w:r>
      <w:r w:rsidRPr="00C01815">
        <w:rPr>
          <w:rFonts w:ascii="Calibri" w:eastAsia="Calibri" w:hAnsi="Calibri" w:cs="Calibri"/>
          <w:sz w:val="24"/>
          <w:szCs w:val="24"/>
        </w:rPr>
        <w:t xml:space="preserve">assessments were then evaluated against the same criteria. by specialists based at the National Health Service Blood and Transplant Tissue Services division (NHSBT-TS). Results of the assessment and evaluation are reported as descriptive statistics (numerical data). Free-text comment boxes facilitated clarification and/or justification of review and evaluation decisions. </w:t>
      </w:r>
    </w:p>
    <w:p w14:paraId="54F5892F" w14:textId="249DD8AD" w:rsidR="00C01815" w:rsidRPr="00C01815" w:rsidRDefault="00C01815" w:rsidP="00C01815">
      <w:pPr>
        <w:spacing w:line="480" w:lineRule="auto"/>
        <w:rPr>
          <w:rFonts w:ascii="Calibri" w:eastAsia="Calibri" w:hAnsi="Calibri" w:cs="Calibri"/>
          <w:sz w:val="24"/>
          <w:szCs w:val="24"/>
        </w:rPr>
      </w:pPr>
      <w:r w:rsidRPr="00C01815">
        <w:rPr>
          <w:rFonts w:ascii="Calibri" w:eastAsia="Calibri" w:hAnsi="Calibri" w:cs="Calibri"/>
          <w:i/>
          <w:iCs/>
          <w:sz w:val="24"/>
          <w:szCs w:val="24"/>
        </w:rPr>
        <w:t xml:space="preserve">Results: </w:t>
      </w:r>
      <w:r w:rsidRPr="00C01815">
        <w:rPr>
          <w:rFonts w:ascii="Calibri" w:eastAsia="Calibri" w:hAnsi="Calibri" w:cs="Calibri"/>
          <w:sz w:val="24"/>
          <w:szCs w:val="24"/>
        </w:rPr>
        <w:t>46% (n=553) of 1</w:t>
      </w:r>
      <w:r w:rsidR="0039314E">
        <w:rPr>
          <w:rFonts w:ascii="Calibri" w:eastAsia="Calibri" w:hAnsi="Calibri" w:cs="Calibri"/>
          <w:sz w:val="24"/>
          <w:szCs w:val="24"/>
        </w:rPr>
        <w:t>199</w:t>
      </w:r>
      <w:r w:rsidRPr="00C01815">
        <w:rPr>
          <w:rFonts w:ascii="Calibri" w:eastAsia="Calibri" w:hAnsi="Calibri" w:cs="Calibri"/>
          <w:sz w:val="24"/>
          <w:szCs w:val="24"/>
        </w:rPr>
        <w:t xml:space="preserve"> deceased patients’ notes were agreed as eligible for eye donation (Hospice care settings = 56% (n=337); Palliative care settings = 36% (n=216). </w:t>
      </w:r>
      <w:r w:rsidR="00BF5FC0" w:rsidRPr="00BF5FC0">
        <w:rPr>
          <w:rFonts w:ascii="Calibri" w:eastAsia="Calibri" w:hAnsi="Calibri" w:cs="Calibri"/>
          <w:sz w:val="24"/>
          <w:szCs w:val="24"/>
        </w:rPr>
        <w:t>For all eligible cases (n=553) the option of ED was recorded as being raised</w:t>
      </w:r>
      <w:r w:rsidR="00DB0ECD">
        <w:rPr>
          <w:rFonts w:ascii="Calibri" w:eastAsia="Calibri" w:hAnsi="Calibri" w:cs="Calibri"/>
          <w:sz w:val="24"/>
          <w:szCs w:val="24"/>
        </w:rPr>
        <w:t xml:space="preserve"> with family members</w:t>
      </w:r>
      <w:r w:rsidR="00BF5FC0" w:rsidRPr="00BF5FC0">
        <w:rPr>
          <w:rFonts w:ascii="Calibri" w:eastAsia="Calibri" w:hAnsi="Calibri" w:cs="Calibri"/>
          <w:sz w:val="24"/>
          <w:szCs w:val="24"/>
        </w:rPr>
        <w:t xml:space="preserve"> in only 14 cases (3%). </w:t>
      </w:r>
      <w:r w:rsidRPr="00C01815">
        <w:rPr>
          <w:rFonts w:ascii="Calibri" w:eastAsia="Calibri" w:hAnsi="Calibri" w:cs="Calibri"/>
          <w:i/>
          <w:iCs/>
          <w:sz w:val="24"/>
          <w:szCs w:val="24"/>
        </w:rPr>
        <w:t xml:space="preserve">Conclusions: </w:t>
      </w:r>
      <w:r w:rsidRPr="00C01815">
        <w:rPr>
          <w:rFonts w:ascii="Calibri" w:eastAsia="Calibri" w:hAnsi="Calibri" w:cs="Calibri"/>
          <w:sz w:val="24"/>
          <w:szCs w:val="24"/>
        </w:rPr>
        <w:t xml:space="preserve">Significant potential exists for eye donation from the clinical sites in this study. This potential is not currently being realised. </w:t>
      </w:r>
    </w:p>
    <w:p w14:paraId="0306D856" w14:textId="222A5809" w:rsidR="00E57F52" w:rsidRDefault="00E57F52"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bookmarkStart w:id="3" w:name="_Toc108020627"/>
      <w:r>
        <w:rPr>
          <w:rFonts w:eastAsiaTheme="majorEastAsia" w:cstheme="minorHAnsi"/>
          <w:b/>
          <w:bCs/>
          <w:noProof/>
          <w:color w:val="1F3864" w:themeColor="accent1" w:themeShade="80"/>
          <w:sz w:val="24"/>
          <w:szCs w:val="24"/>
        </w:rPr>
        <w:t>Introduction</w:t>
      </w:r>
    </w:p>
    <w:p w14:paraId="7EE8F5F5" w14:textId="4D801ED2" w:rsidR="00C01815" w:rsidRDefault="00E57F52"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r>
        <w:rPr>
          <w:rFonts w:eastAsiaTheme="majorEastAsia" w:cstheme="minorHAnsi"/>
          <w:b/>
          <w:bCs/>
          <w:noProof/>
          <w:color w:val="1F3864" w:themeColor="accent1" w:themeShade="80"/>
          <w:sz w:val="24"/>
          <w:szCs w:val="24"/>
        </w:rPr>
        <w:t>T</w:t>
      </w:r>
      <w:r w:rsidR="00C01815" w:rsidRPr="00C01815">
        <w:rPr>
          <w:rFonts w:eastAsiaTheme="majorEastAsia" w:cstheme="minorHAnsi"/>
          <w:b/>
          <w:bCs/>
          <w:noProof/>
          <w:color w:val="1F3864" w:themeColor="accent1" w:themeShade="80"/>
          <w:sz w:val="24"/>
          <w:szCs w:val="24"/>
        </w:rPr>
        <w:t>he need for corneal tissue - Global and UK contexts</w:t>
      </w:r>
      <w:bookmarkEnd w:id="3"/>
    </w:p>
    <w:p w14:paraId="4A30BC54" w14:textId="41458DE1"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Globally, the estimated number of people who are visually impaired is reported (by WHO databases) to be 285 million, with 39 million individuals recorded as blind, and 246 million recorded as having low vision</w:t>
      </w:r>
      <w:r w:rsidR="000C2964">
        <w:rPr>
          <w:rFonts w:eastAsia="Times New Roman" w:cstheme="minorHAnsi"/>
          <w:sz w:val="24"/>
          <w:szCs w:val="24"/>
          <w:lang w:eastAsia="en-GB"/>
        </w:rPr>
        <w:t xml:space="preserve"> </w:t>
      </w:r>
      <w:r w:rsidRPr="00C01815">
        <w:rPr>
          <w:rFonts w:eastAsia="Times New Roman" w:cstheme="minorHAnsi"/>
          <w:sz w:val="24"/>
          <w:szCs w:val="24"/>
          <w:vertAlign w:val="superscript"/>
          <w:lang w:eastAsia="en-GB"/>
        </w:rPr>
        <w:fldChar w:fldCharType="begin" w:fldLock="1"/>
      </w:r>
      <w:r w:rsidR="00F8450B">
        <w:rPr>
          <w:rFonts w:eastAsia="Times New Roman" w:cstheme="minorHAnsi"/>
          <w:sz w:val="24"/>
          <w:szCs w:val="24"/>
          <w:vertAlign w:val="superscript"/>
          <w:lang w:eastAsia="en-GB"/>
        </w:rPr>
        <w:instrText>ADDIN CSL_CITATION {"citationItems":[{"id":"ITEM-1","itemData":{"DOI":"10.1136/bjophthalmol-2011-300539","ISSN":"00071161","PMID":"22133988","abstract":"Aim: From the most recent data the magnitude of visual impairment and its causes in 2010 have been estimated, globally and by WHO region. The definitions of visual impairment are the current definitions of presenting vision in the International Classification of Diseases version 10. Methods: A systematic review was conducted of published and unpublished surveys from 2000 to the present. For countries without data on visual impairment, estimates were based on newly developed imputation methods that took into account country economic status as proxy. Results: Surveys from 39 countries satisfied the inclusion criteria for this study. Globally, the number of people of all ages visually impaired is estimated to be 285 million, of whom 39 million are blind, with uncertainties of 10-20%. People 50 years and older represent 65% and 82% of visually impaired and blind, respectively. The major causes of visual impairment are uncorrected refractive errors (43%) followed by cataract (33%); the first cause of blindness is cataract (51%). Conclusion: This study indicates that visual impairment in 2010 is a major health issue that is unequally distributed among the WHO regions; the preventable causes are as high as 80% of the total global burden.","author":[{"dropping-particle":"","family":"Pascolini","given":"Donatella","non-dropping-particle":"","parse-names":false,"suffix":""},{"dropping-particle":"","family":"Mariotti","given":"Silvio Paolo","non-dropping-particle":"","parse-names":false,"suffix":""}],"container-title":"British Journal of Ophthalmology","id":"ITEM-1","issue":"5","issued":{"date-parts":[["2012"]]},"page":"614-618","title":"Global estimates of visual impairment: 2010","type":"article-journal","volume":"96"},"uris":["http://www.mendeley.com/documents/?uuid=e86aac6e-9533-4124-b45a-54a51ff6313c"]}],"mendeley":{"formattedCitation":"(Pascolini and Mariotti 2012)","plainTextFormattedCitation":"(Pascolini and Mariotti 2012)","previouslyFormattedCitation":"(Pascolini and Mariotti 2012)"},"properties":{"noteIndex":0},"schema":"https://github.com/citation-style-language/schema/raw/master/csl-citation.json"}</w:instrText>
      </w:r>
      <w:r w:rsidRPr="00C01815">
        <w:rPr>
          <w:rFonts w:eastAsia="Times New Roman" w:cstheme="minorHAnsi"/>
          <w:sz w:val="24"/>
          <w:szCs w:val="24"/>
          <w:vertAlign w:val="superscript"/>
          <w:lang w:eastAsia="en-GB"/>
        </w:rPr>
        <w:fldChar w:fldCharType="separate"/>
      </w:r>
      <w:r w:rsidR="00A9352D" w:rsidRPr="00A9352D">
        <w:rPr>
          <w:rFonts w:eastAsia="Times New Roman" w:cstheme="minorHAnsi"/>
          <w:noProof/>
          <w:sz w:val="24"/>
          <w:szCs w:val="24"/>
          <w:lang w:eastAsia="en-GB"/>
        </w:rPr>
        <w:t>(Pascolini and Mariotti 2012)</w:t>
      </w:r>
      <w:r w:rsidRPr="00C01815">
        <w:rPr>
          <w:rFonts w:eastAsia="Times New Roman" w:cstheme="minorHAnsi"/>
          <w:sz w:val="24"/>
          <w:szCs w:val="24"/>
          <w:vertAlign w:val="superscript"/>
          <w:lang w:eastAsia="en-GB"/>
        </w:rPr>
        <w:fldChar w:fldCharType="end"/>
      </w:r>
      <w:r w:rsidR="000C2964" w:rsidRPr="000C2964">
        <w:rPr>
          <w:rFonts w:eastAsia="Times New Roman" w:cstheme="minorHAnsi"/>
          <w:sz w:val="24"/>
          <w:szCs w:val="24"/>
          <w:lang w:eastAsia="en-GB"/>
        </w:rPr>
        <w:t>.</w:t>
      </w:r>
      <w:r w:rsidRPr="00C01815">
        <w:rPr>
          <w:rFonts w:eastAsia="Times New Roman" w:cstheme="minorHAnsi"/>
          <w:sz w:val="24"/>
          <w:szCs w:val="24"/>
          <w:lang w:eastAsia="en-GB"/>
        </w:rPr>
        <w:t xml:space="preserve">   According to </w:t>
      </w:r>
      <w:r w:rsidR="000C2964">
        <w:rPr>
          <w:rFonts w:eastAsia="Times New Roman" w:cstheme="minorHAnsi"/>
          <w:sz w:val="24"/>
          <w:szCs w:val="24"/>
          <w:lang w:eastAsia="en-GB"/>
        </w:rPr>
        <w:t xml:space="preserve">authors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{"citationItems":[{"id":"ITEM-1","itemData":{"DOI":"10.1136/bjophthalmol-2011-300539","ISSN":"00071161","PMID":"22133988","abstract":"Aim: From the most recent data the magnitude of visual impairment and its causes in 2010 have been estimated, globally and by WHO region. The definitions of visual impairment are the current definitions of presenting vision in the International Classification of Diseases version 10. Methods: A systematic review was conducted of published and unpublished surveys from 2000 to the present. For countries without data on visual impairment, estimates were based on newly developed imputation methods that took into account country economic status as proxy. Results: Surveys from 39 countries satisfied the inclusion criteria for this study. Globally, the number of people of all ages visually impaired is estimated to be 285 million, of whom 39 million are blind, with uncertainties of 10-20%. People 50 years and older represent 65% and 82% of visually impaired and blind, respectively. The major causes of visual impairment are uncorrected refractive errors (43%) followed by cataract (33%); the first cause of blindness is cataract (51%). Conclusion: This study indicates that visual impairment in 2010 is a major health issue that is unequally distributed among the WHO regions; the preventable causes are as high as 80% of the total global burden.","author":[{"dropping-particle":"","family":"Pascolini","given":"Donatella","non-dropping-particle":"","parse-names":false,"suffix":""},{"dropping-particle":"","family":"Mariotti","given":"Silvio Paolo","non-dropping-particle":"","parse-names":false,"suffix":""}],"container-title":"British Journal of Ophthalmology","id":"ITEM-1","issue":"5","issued":{"date-parts":[["2012"]]},"page":"614-618","title":"Global estimates of visual impairment: 2010","type":"article-journal","volume":"96"},"uris":["http://www.mendeley.com/documents/?uuid=e86aac6e-9533-4124-b45a-54a51ff6313c"]}],"mendeley":{"formattedCitation":"(Pascolini and Mariotti 2012)","manualFormatting":"Pascolini and Mariotti (2012)","plainTextFormattedCitation":"(Pascolini and Mariotti 2012)","previouslyFormattedCitation":"(Pascolini and Mariotti 2012)"},"properties":{"noteIndex":0},"schema":"https://github.com/citation-style-language/schema/raw/master/csl-citation.json"}</w:instrText>
      </w:r>
      <w:r w:rsidRPr="00C01815">
        <w:rPr>
          <w:rFonts w:eastAsia="Times New Roman" w:cstheme="minorHAnsi"/>
          <w:sz w:val="24"/>
          <w:szCs w:val="24"/>
          <w:lang w:eastAsia="en-GB"/>
        </w:rPr>
        <w:fldChar w:fldCharType="separate"/>
      </w:r>
      <w:r w:rsidR="000C2724" w:rsidRPr="000C2724">
        <w:rPr>
          <w:rFonts w:eastAsia="Times New Roman" w:cstheme="minorHAnsi"/>
          <w:noProof/>
          <w:sz w:val="24"/>
          <w:szCs w:val="24"/>
          <w:lang w:eastAsia="en-GB"/>
        </w:rPr>
        <w:t>Pascolini and Mariotti</w:t>
      </w:r>
      <w:r w:rsidR="000C2964">
        <w:rPr>
          <w:rFonts w:eastAsia="Times New Roman" w:cstheme="minorHAnsi"/>
          <w:noProof/>
          <w:sz w:val="24"/>
          <w:szCs w:val="24"/>
          <w:lang w:eastAsia="en-GB"/>
        </w:rPr>
        <w:t xml:space="preserve"> (</w:t>
      </w:r>
      <w:r w:rsidR="000C2724" w:rsidRPr="000C2724">
        <w:rPr>
          <w:rFonts w:eastAsia="Times New Roman" w:cstheme="minorHAnsi"/>
          <w:noProof/>
          <w:sz w:val="24"/>
          <w:szCs w:val="24"/>
          <w:lang w:eastAsia="en-GB"/>
        </w:rPr>
        <w:t>2012)</w:t>
      </w:r>
      <w:r w:rsidRPr="00C01815">
        <w:rPr>
          <w:rFonts w:eastAsia="Times New Roman" w:cstheme="minorHAnsi"/>
          <w:sz w:val="24"/>
          <w:szCs w:val="24"/>
          <w:lang w:eastAsia="en-GB"/>
        </w:rPr>
        <w:fldChar w:fldCharType="end"/>
      </w:r>
      <w:r w:rsidRPr="00C01815">
        <w:rPr>
          <w:rFonts w:eastAsia="Times New Roman" w:cstheme="minorHAnsi"/>
          <w:sz w:val="24"/>
          <w:szCs w:val="24"/>
          <w:lang w:eastAsia="en-GB"/>
        </w:rPr>
        <w:t xml:space="preserve"> over 10 million of those people reported as blind  have bilateral corneal blindness, which could be restored with a corneal transplant, however these individuals do not have access to the benefits of sight saving and sight restoring transplantation surgery due to a short fall in the supply of ophthalmic tissue (cornea and sclera) that is only available via eye donation</w:t>
      </w:r>
      <w:r w:rsidR="00E57F52">
        <w:rPr>
          <w:rFonts w:eastAsia="Times New Roman" w:cstheme="minorHAnsi"/>
          <w:sz w:val="24"/>
          <w:szCs w:val="24"/>
          <w:lang w:eastAsia="en-GB"/>
        </w:rPr>
        <w:t xml:space="preserve"> (ED)</w:t>
      </w:r>
      <w:r w:rsidRPr="00C01815">
        <w:rPr>
          <w:rFonts w:eastAsia="Times New Roman" w:cstheme="minorHAnsi"/>
          <w:sz w:val="24"/>
          <w:szCs w:val="24"/>
          <w:lang w:eastAsia="en-GB"/>
        </w:rPr>
        <w:t>.</w:t>
      </w:r>
    </w:p>
    <w:p w14:paraId="4AB5B3F6" w14:textId="734FA29B"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According to the Royal National Institute of Blind (RNIB), over two million people in the UK are living with sight loss</w:t>
      </w:r>
      <w:bookmarkStart w:id="4" w:name="_Hlk105680041"/>
      <w:r w:rsidR="00E57F52">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2016","type":"article-journal"},"uris":["http://www.mendeley.com/documents/?uuid=26b73c80-3eb4-41b1-bcfa-1ba43c1f70b6"]}],"mendeley":{"formattedCitation":"(RNIB &amp; Specsavers 2016)","plainTextFormattedCitation":"(RNIB &amp; Specsavers 2016)","previouslyFormattedCitation":"(RNIB &amp; Specsavers 2016)"},"properties":{"noteIndex":0},"schema":"https://github.com/citation-style-language/schema/raw/master/csl-citation.json"}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(RNIB &amp; Specsavers 2016)</w:t>
      </w:r>
      <w:r w:rsidRPr="00C01815">
        <w:rPr>
          <w:rFonts w:eastAsia="Times New Roman" w:cstheme="minorHAnsi"/>
          <w:sz w:val="24"/>
          <w:szCs w:val="24"/>
          <w:lang w:eastAsia="en-GB"/>
        </w:rPr>
        <w:fldChar w:fldCharType="end"/>
      </w:r>
      <w:r w:rsidRPr="00C01815">
        <w:rPr>
          <w:rFonts w:eastAsia="Times New Roman" w:cstheme="minorHAnsi"/>
          <w:sz w:val="24"/>
          <w:szCs w:val="24"/>
          <w:lang w:eastAsia="en-GB"/>
        </w:rPr>
        <w:t xml:space="preserve"> </w:t>
      </w:r>
      <w:bookmarkEnd w:id="4"/>
      <w:r w:rsidRPr="00C01815">
        <w:rPr>
          <w:rFonts w:eastAsia="Times New Roman" w:cstheme="minorHAnsi"/>
          <w:sz w:val="24"/>
          <w:szCs w:val="24"/>
          <w:lang w:eastAsia="en-GB"/>
        </w:rPr>
        <w:t>caused by conditions such as Keratoconus and Fuchs’ Corneal Dystrophy, which can be treated if eye tissue is available (e.g. by corneal transplantation and reconstructive surgery). Eye tissue is also needed for research into a wide variety of eye diseases, for example, endothelial failure post cataract surgery</w:t>
      </w:r>
      <w:r w:rsidR="00E57F52">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{"citationItems":[{"id":"ITEM-1","itemData":{"DOI":"10.1136/bjophthalmol-2011-300539","ISSN":"00071161","PMID":"22133988","abstract":"Aim: From the most recent data the magnitude of visual impairment and its causes in 2010 have been estimated, globally and by WHO region. The definitions of visual impairment are the current definitions of presenting vision in the International Classification of Diseases version 10. Methods: A systematic review was conducted of published and unpublished surveys from 2000 to the present. For countries without data on visual impairment, estimates were based on newly developed imputation methods that took into account country economic status as proxy. Results: Surveys from 39 countries satisfied the inclusion criteria for this study. Globally, the number of people of all ages visually impaired is estimated to be 285 million, of whom 39 million are blind, with uncertainties of 10-20%. People 50 years and older represent 65% and 82% of visually impaired and blind, respectively. The major causes of visual impairment are uncorrected refractive errors (43%) followed by cataract (33%); the first cause of blindness is cataract (51%). Conclusion: This study indicates that visual impairment in 2010 is a major health issue that is unequally distributed among the WHO regions; the preventable causes are as high as 80% of the total global burden.","author":[{"dropping-particle":"","family":"Pascolini","given":"Donatella","non-dropping-particle":"","parse-names":false,"suffix":""},{"dropping-particle":"","family":"Mariotti","given":"Silvio Paolo","non-dropping-particle":"","parse-names":false,"suffix":""}],"container-title":"British Journal of Ophthalmology","id":"ITEM-1","issue":"5","issued":{"date-parts":[["2012"]]},"page":"614-618","title":"Global estimates of visual impairment: 2010","type":"article-journal","volume":"96"},"uris":["http://www.mendeley.com/documents/?uuid=e86aac6e-9533-4124-b45a-54a51ff6313c"]},{"id":"ITEM-2","itemData":{"DOI":"10.1001/jamaophthalmol.2015.4776","ISSN":"21686165","PMID":"26633035","abstract":"IMPORTANCE Corneal transplantation restores visual function when visual impairment caused by a corneal disease becomes too severe. It is considered the world's most frequent type of transplantation, but, to our knowledge, there are no exhaustive data allowing measurement of supply and demand, although such data are essential in defining local, national, and global strategies to fight corneal blindness. OBJECTIVE To describe the worldwide situation of corneal transplantation supply and demand. DESIGN, SETTING, AND PARTICIPANTS Datawere collected between August 2012 and August 2013 from a systematic review of published literature in parallel with national and international reports on corneal transplantation and eye banking. In a second step, eye bank staff and/or corneal surgeons were interviewed on their local activities. Interviews were performed during international ophthalmology or eye-banking congresses or by telephone or email. Countries' national supply/demand status was classified using a 7-grade system. Data were collected from 148 countries. MAIN OUTCOMES AND MEASURES Corneal transplantation and corneal procurements per capita in each country. RESULTS In 2012, we identified 184 576 corneal transplants performed in 116 countries. These were procured from 283 530 corneas and stored in 742 eye banks. The top indications were Fuchs dystrophy (39%of all corneal transplants performed), a primary corneal edema mostly affecting elderly individuals; keratoconus (27%), a corneal disease that slowly deforms the cornea in young people; and sequellae of infectious keratitis (20%). The United States, with 199.10-6 corneal transplants per capita, had the highest transplantation rate, followed by Lebanon (122.10-6) and Canada (117.10-6), while the median of the 116 transplanting countries was 19.10-6. Corneas were procured in only 82 countries. Only the United States and Sri Lanka exported large numbers of donor corneas. About 53%of the world's population had no access to corneal transplantation. CONCLUSIONS AND RELEVANCE Our survey globally quantified the considerable shortage of corneal graft tissue, with only 1 cornea available for 70 needed. Efforts to encourage cornea donation must continue in all countries, but it is also essential to develop alternative and/or complementary solutions, such as corneal bioengineering.","author":[{"dropping-particle":"","family":"Gain","given":"Philippe","non-dropping-particle":"","parse-names":false,"suffix":""},{"dropping-particle":"","family":"Jullienne","given":"Rémy","non-dropping-particle":"","parse-names":false,"suffix":""},{"dropping-particle":"","family":"He","given":"Zhiguo","non-dropping-particle":"","parse-names":false,"suffix":""},{"dropping-particle":"","family":"Aldossary","given":"Mansour","non-dropping-particle":"","parse-names":false,"suffix":""},{"dropping-particle":"","family":"Acquart","given":"Sophie","non-dropping-particle":"","parse-names":false,"suffix":""},{"dropping-particle":"","family":"Cognasse","given":"Fabrice","non-dropping-particle":"","parse-names":false,"suffix":""},{"dropping-particle":"","family":"Thuret","given":"Gilles","non-dropping-particle":"","parse-names":false,"suffix":""}],"container-title":"JAMA Ophthalmology","id":"ITEM-2","issue":"2","issued":{"date-parts":[["2016"]]},"page":"167-173","title":"Global survey of corneal transplantation and eye banking","type":"article-journal","volume":"134"},"uris":["http://www.mendeley.com/documents/?uuid=0013c3f9-8474-411d-9bc0-c8969ce19b3a"]}],"mendeley":{"formattedCitation":"(Pascolini and Mariotti 2012; Gain et al. 2016)","plainTextFormattedCitation":"(Pascolini and Mariotti 2012; Gain et al. 2016)","previouslyFormattedCitation":"(Pascolini and Mariotti 2012; Gain et al. 2016)"},"properties":{"noteIndex":0},"schema":"https://github.com/citation-style-language/schema/raw/master/csl-citation.json"}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(Pascolini and Mariotti 2012; Gain et al. 2016)</w:t>
      </w:r>
      <w:r w:rsidRPr="00C01815">
        <w:rPr>
          <w:rFonts w:eastAsia="Times New Roman" w:cstheme="minorHAnsi"/>
          <w:sz w:val="24"/>
          <w:szCs w:val="24"/>
          <w:lang w:eastAsia="en-GB"/>
        </w:rPr>
        <w:fldChar w:fldCharType="end"/>
      </w:r>
      <w:r w:rsidRPr="00C01815">
        <w:rPr>
          <w:rFonts w:eastAsia="Times New Roman" w:cstheme="minorHAnsi"/>
          <w:sz w:val="24"/>
          <w:szCs w:val="24"/>
          <w:lang w:eastAsia="en-GB"/>
        </w:rPr>
        <w:t>. The RNIB reports that approximately 5000 corneal transplants are required annually in the UK to address disease and injury resulting in sight loss, with costs to the UK economy (unpaid carer burden and reduced employment rates) reported as £4.34 billion annually</w:t>
      </w:r>
      <w:r w:rsidR="000C2964">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2016","type":"article-journal"},"uris":["http://www.mendeley.com/documents/?uuid=26b73c80-3eb4-41b1-bcfa-1ba43c1f70b6"]}],"mendeley":{"formattedCitation":"(RNIB &amp; Specsavers 2016)","plainTextFormattedCitation":"(RNIB &amp; Specsavers 2016)","previouslyFormattedCitation":"(RNIB &amp; Specsavers 2016)"},"properties":{"noteIndex":0},"schema":"https://github.com/citation-style-language/schema/raw/master/csl-citation.json"}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(RNIB &amp; Specsavers 2016)</w:t>
      </w:r>
      <w:r w:rsidRPr="00C01815">
        <w:rPr>
          <w:rFonts w:eastAsia="Times New Roman" w:cstheme="minorHAnsi"/>
          <w:sz w:val="24"/>
          <w:szCs w:val="24"/>
          <w:lang w:eastAsia="en-GB"/>
        </w:rPr>
        <w:fldChar w:fldCharType="end"/>
      </w:r>
      <w:r w:rsidR="000C2964">
        <w:rPr>
          <w:rFonts w:eastAsia="Times New Roman" w:cstheme="minorHAnsi"/>
          <w:sz w:val="24"/>
          <w:szCs w:val="24"/>
          <w:lang w:eastAsia="en-GB"/>
        </w:rPr>
        <w:t>.</w:t>
      </w:r>
      <w:r w:rsidRPr="00C01815" w:rsidDel="008417CE">
        <w:rPr>
          <w:rFonts w:eastAsia="Times New Roman" w:cstheme="minorHAnsi"/>
          <w:sz w:val="24"/>
          <w:szCs w:val="24"/>
          <w:lang w:eastAsia="en-GB"/>
        </w:rPr>
        <w:t xml:space="preserve"> </w:t>
      </w:r>
      <w:r w:rsidRPr="00C01815">
        <w:rPr>
          <w:rFonts w:eastAsia="Times New Roman" w:cstheme="minorHAnsi"/>
          <w:sz w:val="24"/>
          <w:szCs w:val="24"/>
          <w:lang w:eastAsia="en-GB"/>
        </w:rPr>
        <w:t xml:space="preserve"> Critically, the organisation predicted that by 2050, the number of people with sight loss will double to nearly four million.</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2016","type":"article-journal"},"uris":["http://www.mendeley.com/documents/?uuid=26b73c80-3eb4-41b1-bcfa-1ba43c1f70b6"]}],"mendeley":{"formattedCitation":"(RNIB &amp; Specsavers 2016)","plainTextFormattedCitation":"(RNIB &amp; Specsavers 2016)","previouslyFormattedCitation":"(RNIB &amp; Specsavers 2016)"},"properties":{"noteIndex":0},"schema":"https://github.com/citation-style-language/schema/raw/master/csl-citation.json"}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(RNIB &amp; Specsavers 2016)</w:t>
      </w:r>
      <w:r w:rsidRPr="00C01815">
        <w:rPr>
          <w:rFonts w:eastAsia="Times New Roman" w:cstheme="minorHAnsi"/>
          <w:sz w:val="24"/>
          <w:szCs w:val="24"/>
          <w:lang w:eastAsia="en-GB"/>
        </w:rPr>
        <w:fldChar w:fldCharType="end"/>
      </w:r>
      <w:r w:rsidRPr="00C01815">
        <w:rPr>
          <w:rFonts w:eastAsia="Times New Roman" w:cstheme="minorHAnsi"/>
          <w:sz w:val="24"/>
          <w:szCs w:val="24"/>
          <w:lang w:eastAsia="en-GB"/>
        </w:rPr>
        <w:t xml:space="preserve"> It is, therefore, imperative that the tissue needed to intervene in these conditions via corneal transplantation, reconstructive surgery, glaucoma surgery and research into the causes and treatment of eye disease is available.</w:t>
      </w:r>
    </w:p>
    <w:p w14:paraId="37C5CF37" w14:textId="77777777" w:rsidR="00C01815" w:rsidRPr="00C01815" w:rsidRDefault="00C01815"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bookmarkStart w:id="5" w:name="_Toc108020628"/>
      <w:r w:rsidRPr="00C01815">
        <w:rPr>
          <w:rFonts w:eastAsiaTheme="majorEastAsia" w:cstheme="minorHAnsi"/>
          <w:b/>
          <w:bCs/>
          <w:noProof/>
          <w:color w:val="1F3864" w:themeColor="accent1" w:themeShade="80"/>
          <w:sz w:val="24"/>
          <w:szCs w:val="24"/>
        </w:rPr>
        <w:t>The unique and specific case of eye donation (ED)</w:t>
      </w:r>
      <w:bookmarkEnd w:id="5"/>
      <w:r w:rsidRPr="00C01815">
        <w:rPr>
          <w:rFonts w:eastAsiaTheme="majorEastAsia" w:cstheme="minorHAnsi"/>
          <w:b/>
          <w:bCs/>
          <w:noProof/>
          <w:color w:val="1F3864" w:themeColor="accent1" w:themeShade="80"/>
          <w:sz w:val="24"/>
          <w:szCs w:val="24"/>
        </w:rPr>
        <w:t xml:space="preserve"> </w:t>
      </w:r>
    </w:p>
    <w:p w14:paraId="3AAB4B92" w14:textId="534E4FD7"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Addressing barriers to ED require attention to the unique and specific challenges that are associated with this specific form of donation; for example, why do family members of organ donors frequently reject ED despite agreeing to other organs (and tissues)? Data from UK-based studies over the past five years indicate that personal views of potential donors and family decision makers are influential in triggering a decline when ED is </w:t>
      </w:r>
      <w:r w:rsidR="00E57F52">
        <w:rPr>
          <w:rFonts w:eastAsia="Times New Roman" w:cstheme="minorHAnsi"/>
          <w:sz w:val="24"/>
          <w:szCs w:val="24"/>
          <w:lang w:eastAsia="en-GB"/>
        </w:rPr>
        <w:t>p</w:t>
      </w:r>
      <w:r w:rsidRPr="00C01815">
        <w:rPr>
          <w:rFonts w:eastAsia="Times New Roman" w:cstheme="minorHAnsi"/>
          <w:sz w:val="24"/>
          <w:szCs w:val="24"/>
          <w:lang w:eastAsia="en-GB"/>
        </w:rPr>
        <w:t>roposed</w:t>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{"citationItems":[{"id":"ITEM-1","itemData":{"DOI":"10.1136/bmjopen-2020-045250","ISSN":"2044-6055","PMID":"34518244","abstract":"Objectives Long-standing undersupply of eye tissue exists both in the UK and globally, and the UK National Health Service Blood and Transplant Service (NHSBT) has called for further research exploring barriers to eye donation. This study aims to: (1) describe reported reasons for non-donation of eye tissue from solid organ donors in the UK between 1 April 2014 and 31 March 2017 and (2) discuss these findings with respect to existing theories relating to non-donation of eyes by family members. Design Secondary analysis of a national primary data set of recorded reasons for non-donation of eyes from 2790 potential solid organ donors. Data analysis including descriptive statistics and qualitative content analysis of free-text data for 126 recorded cases of family decline of eye donation. Setting National data set covering solid organ donation (secondary care). Participants 2790 potential organ donors were assessed for eye donation eligibility between 1 April 2014 and 31 March 2017. Results Reasons for non-retrieval of eyes were recorded as: family wishes (n=1339, 48% of total cases); medical reasons (n=841, 30%); deceased wishes (n=180, 7%). In &gt;50% of recorded cases, reasons for non-donation were based on family's knowledge of the deceased wishes, their perception of the deceased wishes and specific concerns regarding processes or effects of eye donation (for the deceased body). Findings are discussed with respect to the existing theoretical perspectives. Conclusion Eye donation involves distinct psychological and sociocultural factors for families and HCPs that have not been fully explored in research or integrated into service design. We propose areas for future research and service development including potential of only retrieving corneal discs as opposed to full eyes to reduce disfigurement concerns; public education regarding donation processes; exploration of how request processes potentially influence acceptance of eye donation; procedures for assessment of familial responses to information provided during consent conversations.","author":[{"dropping-particle":"","family":"Bracher","given":"Mike","non-dropping-particle":"","parse-names":false,"suffix":""},{"dropping-particle":"","family":"Madi-Segwagwe","given":"Banyana C.","non-dropping-particle":"","parse-names":false,"suffix":""},{"dropping-particle":"","family":"Winstanley","given":"Emma","non-dropping-particle":"","parse-names":false,"suffix":""},{"dropping-particle":"","family":"Gillan","given":"Helen","non-dropping-particle":"","parse-names":false,"suffix":""},{"dropping-particle":"","family":"Long-Sutehall","given":"Tracy","non-dropping-particle":"","parse-names":false,"suffix":""}],"container-title":"BMJ Open","id":"ITEM-1","issue":"9","issued":{"date-parts":[["2021","9"]]},"page":"e045250","title":"Family refusal of eye tissue donation from potential solid organ donors: a retrospective analysis of summary and free-text data from the UK National Health Service Blood and Transplant Services (NHS-BT) National Referral Centre (1 April 2014 to 31 March 2","type":"article-journal","volume":"11"},"uris":["http://www.mendeley.com/documents/?uuid=9284f100-b34c-426c-86cf-513a3d7ce494"]}],"mendeley":{"formattedCitation":"(Bracher et al. 2021)","plainTextFormattedCitation":"(Bracher et al. 2021)","previouslyFormattedCitation":"(Bracher et al. 2021)"},"properties":{"noteIndex":0},"schema":"https://github.com/citation-style-language/schema/raw/master/csl-citation.json"}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(Bracher et al. 2021)</w:t>
      </w:r>
      <w:r w:rsidRPr="00C01815">
        <w:rPr>
          <w:rFonts w:eastAsia="Times New Roman" w:cstheme="minorHAnsi"/>
          <w:sz w:val="24"/>
          <w:szCs w:val="24"/>
          <w:lang w:eastAsia="en-GB"/>
        </w:rPr>
        <w:fldChar w:fldCharType="end"/>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t xml:space="preserve"> Prominent concerns include potential for disfigurement</w:t>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{"citationItems":[{"id":"ITEM-1","itemData":{"DOI":"10.1097/TP.0b013e318235c817","ISSN":"00411337","abstract":"At the time that a patient is diagnosed as brain dead, a substantial proportion of families who give consent to heart and kidney donation specifically refuse eye donation. This in part may relate to the failure of those involved in transplantation medicine and public education to fully appreciate the different meanings attached to the body of a recently deceased person. Medicine and science have long understood the body as a \"machine.\" This view has fitted with medical notions of transplantation, with donors being a source of biologic \"goods.\" However, even a cursory glance at the rituals surrounding death makes it apparent that there is more to a dead body than simply its biologic parts; in death, bodies continue as the physical substrate of relationships. Of all the organs, it is the eyes that are identified as the site of sentience, and there is a long tradition of visual primacy and visual symbolism in virtually all aspects of culture. It therefore seems likely that of all the body parts, it is the eyes that are most central to social relationships. A request to donate the eyes therefore is unlikely to be heard simply in medical terms as a request to donate a \"superfluous\" body part for the benefit of another. That the eyes are not simply biologic provides one explanation for both the lower rates of corneal donation, compared with that of other organs, and the lack of adequate corneal donation to meet demand. Copyright ©2011 by Lippincott Williams &amp; Wilkins.","author":[{"dropping-particle":"","family":"Lawlor","given":"Mitchell","non-dropping-particle":"","parse-names":false,"suffix":""},{"dropping-particle":"","family":"Kerridge","given":"Ian","non-dropping-particle":"","parse-names":false,"suffix":""}],"container-title":"Transplantation","id":"ITEM-1","issue":"11","issued":{"date-parts":[["2011"]]},"page":"1188-1190","title":"Anything but the eyes: Culture, identity, and the selective refusal of corneal donation","type":"article","volume":"92"},"uris":["http://www.mendeley.com/documents/?uuid=dc6eeaf8-6a27-4818-94a8-c6a3e05511a6"]}],"mendeley":{"formattedCitation":"(Lawlor and Kerridge 2011)","plainTextFormattedCitation":"(Lawlor and Kerridge 2011)","previouslyFormattedCitation":"(Lawlor and Kerridge 2011)"},"properties":{"noteIndex":0},"schema":"https://github.com/citation-style-language/schema/raw/master/csl-citation.json"}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(Lawlor and Kerridge 2011)</w:t>
      </w:r>
      <w:r w:rsidRPr="00C01815">
        <w:rPr>
          <w:rFonts w:eastAsia="Times New Roman" w:cstheme="minorHAnsi"/>
          <w:sz w:val="24"/>
          <w:szCs w:val="24"/>
          <w:lang w:eastAsia="en-GB"/>
        </w:rPr>
        <w:fldChar w:fldCharType="end"/>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t>beliefs compatible with eyes being needed in the afterlife, and/or that eye as ‘windows to the soul’ are an essential aspect of a person even after death</w:t>
      </w:r>
      <w:r w:rsidR="00F56780">
        <w:rPr>
          <w:rFonts w:eastAsia="Times New Roman" w:cstheme="minorHAnsi"/>
          <w:sz w:val="24"/>
          <w:szCs w:val="24"/>
          <w:lang w:eastAsia="en-GB"/>
        </w:rPr>
        <w:t xml:space="preserve"> </w:t>
      </w:r>
      <w:r w:rsidR="00F56780">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{"citationItems":[{"id":"ITEM-1","itemData":{"DOI":"10.1007/s11673-013-9497-9","ISSN":"18724353","PMID":"24363177","abstract":"Corneal transplantation is the most common form of organ transplantation performed globally. However, of all organs, eyes have the highest rate of refusal of donation. This study explored the reasons why individuals decide whether or not to donate corneas. Twenty-one individuals were interviewed who had made a donation decision (13 refused corneal donation and eight consented). Analysis was performed using Grounded Theory. Refusal of corneal donation was related to concerns about disfigurement and the role of eyes in memory and communication. The request for donation therefore raised concerns about a potential adverse change in the ongoing relationship with the deceased, even in death. For those who refused donation, these concerns overshadowed awareness of need or benefit of transplantation. Adjusting the donation message to be more congruent with the real, lived experience of corneal donation may to some extent \"prepare\" individuals when the donation question is raised. ©2013 Springer Science+Business Media Dordrecht.","author":[{"dropping-particle":"","family":"Lawlor","given":"Mitchell","non-dropping-particle":"","parse-names":false,"suffix":""},{"dropping-particle":"","family":"Kerridge","given":"Ian","non-dropping-particle":"","parse-names":false,"suffix":""}],"container-title":"Journal of Bioethical Inquiry","id":"ITEM-1","issue":"1","issued":{"date-parts":[["2014"]]},"page":"57-64","title":"Understanding Selective Refusal of Eye Donation: Identity, Beauty, and Interpersonal Relationships","type":"article-journal","volume":"11"},"uris":["http://www.mendeley.com/documents/?uuid=cfb996c0-8692-4f68-9034-a048c3e5e5e1"]}],"mendeley":{"formattedCitation":"(Lawlor and Kerridge 2014)","plainTextFormattedCitation":"(Lawlor and Kerridge 2014)","previouslyFormattedCitation":"(Lawlor and Kerridge 2014)"},"properties":{"noteIndex":0},"schema":"https://github.com/citation-style-language/schema/raw/master/csl-citation.json"}</w:instrText>
      </w:r>
      <w:r w:rsidR="00F56780">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(Lawlor and Kerridge 2014)</w:t>
      </w:r>
      <w:r w:rsidR="00F56780">
        <w:rPr>
          <w:rFonts w:eastAsia="Times New Roman" w:cstheme="minorHAnsi"/>
          <w:sz w:val="24"/>
          <w:szCs w:val="24"/>
          <w:lang w:eastAsia="en-GB"/>
        </w:rPr>
        <w:fldChar w:fldCharType="end"/>
      </w:r>
      <w:r w:rsidRPr="00C01815">
        <w:rPr>
          <w:rFonts w:eastAsia="Times New Roman" w:cstheme="minorHAnsi"/>
          <w:sz w:val="24"/>
          <w:szCs w:val="24"/>
          <w:lang w:eastAsia="en-GB"/>
        </w:rPr>
        <w:t>.  Eye donation is also known to elicit specific disgust-type responses in some patients and family members, characterised as an ‘ick factor’ attended by feelings of squeamishness in respondents</w:t>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{"citationItems":[{"id":"ITEM-1","itemData":{"DOI":"10.1037/a0022379","ISBN":"1930-7810(Electronic),0278-6133(Print)","abstract":"Objective: This research tested the role of traditional rational-cognitive factors and emotional barriers to posthumous organ donation. An example of an emotional barrier is the “ick” factor, a basic disgust reaction to the idea of organ donation. We also tested the potential role of manipulating anticipated regret to increase intention to donate in people who are not yet registered organ donors. Design: In three experiments involving 621 members of the United Kingdom general public, participants were invited to complete questionnaire measures tapping potential emotional affective attitude barriers such as the “ick” factor, the desire to retain bodily integrity after death, and medical mistrust. Registered posthumous organ donors were compared with nondonors. In Experiments 2 and 3, nondonors were then allocated to a simple anticipated regret manipulation versus a control condition, and the impact on intention to donate was tested. Main Outcome Measures: Self-reported emotional barriers and intention to donate in the future. Results: Traditional rational-cognitive factors such as knowledge, attitude, and subjective norm failed to distinguish donors from nondonors. However, in all three experiments, nondonors scored significantly higher than donors on the emotional “ick” factor and bodily integrity scales. A simple anticipated regret manipulation led to a significant increase in intention to register as an organ donor in future. Conclusions: Negative affective attitudes are thus crucial barriers to people registering as organ donors. A simple anticipated regret manipulation has the potential to significantly increase organ donation rates. (PsycINFO Database Record (c) 2016 APA, all rights reserved)","author":[{"dropping-particle":"","family":"O'Carroll","given":"Ronan E","non-dropping-particle":"","parse-names":false,"suffix":""},{"dropping-particle":"","family":"Foster","given":"Catherine","non-dropping-particle":"","parse-names":false,"suffix":""},{"dropping-particle":"","family":"McGeechan","given":"Grant","non-dropping-particle":"","parse-names":false,"suffix":""},{"dropping-particle":"","family":"Sandford","given":"Kayleigh","non-dropping-particle":"","parse-names":false,"suffix":""},{"dropping-particle":"","family":"Ferguson","given":"Eamonn","non-dropping-particle":"","parse-names":false,"suffix":""}],"container-title":"Health Psychology","id":"ITEM-1","issue":"2","issued":{"date-parts":[["2011"]]},"page":"236-245","publisher":"American Psychological Association","publisher-place":"O'Carroll, Ronan E.: Centre for Health and Behavior Change, Psychology Department, University of Stirling, Stirling, United Kingdom, FK9 4LA, reo1@stir.ac.uk","title":"The “ick” factor, anticipated regret, and willingness to become an organ donor.","type":"article","volume":"30"},"uris":["http://www.mendeley.com/documents/?uuid=14accb9e-0cf8-4068-938f-2c878bb8fbc6"]}],"mendeley":{"formattedCitation":"(O’Carroll et al. 2011)","plainTextFormattedCitation":"(O’Carroll et al. 2011)","previouslyFormattedCitation":"(O’Carroll et al. 2011)"},"properties":{"noteIndex":0},"schema":"https://github.com/citation-style-language/schema/raw/master/csl-citation.json"}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(O’Carroll et al. 2011)</w:t>
      </w:r>
      <w:r w:rsidRPr="00C01815">
        <w:rPr>
          <w:rFonts w:eastAsia="Times New Roman" w:cstheme="minorHAnsi"/>
          <w:sz w:val="24"/>
          <w:szCs w:val="24"/>
          <w:lang w:eastAsia="en-GB"/>
        </w:rPr>
        <w:fldChar w:fldCharType="end"/>
      </w:r>
      <w:r w:rsidR="00F56780">
        <w:rPr>
          <w:rFonts w:eastAsia="Times New Roman" w:cstheme="minorHAnsi"/>
          <w:sz w:val="24"/>
          <w:szCs w:val="24"/>
          <w:lang w:eastAsia="en-GB"/>
        </w:rPr>
        <w:t>,</w:t>
      </w:r>
      <w:r w:rsidRPr="00C01815">
        <w:rPr>
          <w:rFonts w:eastAsia="Times New Roman" w:cstheme="minorHAnsi"/>
          <w:sz w:val="24"/>
          <w:szCs w:val="24"/>
          <w:lang w:eastAsia="en-GB"/>
        </w:rPr>
        <w:t xml:space="preserve"> that is not observed in other forms of donation.</w:t>
      </w:r>
    </w:p>
    <w:p w14:paraId="17FD78AB" w14:textId="77777777" w:rsidR="00C01815" w:rsidRPr="00C01815" w:rsidRDefault="00C01815"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r w:rsidRPr="00C01815">
        <w:rPr>
          <w:rFonts w:eastAsiaTheme="majorEastAsia" w:cstheme="minorHAnsi"/>
          <w:b/>
          <w:bCs/>
          <w:noProof/>
          <w:color w:val="1F3864" w:themeColor="accent1" w:themeShade="80"/>
          <w:sz w:val="24"/>
          <w:szCs w:val="24"/>
        </w:rPr>
        <w:t xml:space="preserve">Optimising the supply of ophthalmic tissue for use in sigh-saving and sight restoring surgery and medical research </w:t>
      </w:r>
    </w:p>
    <w:p w14:paraId="24641779" w14:textId="694E8E86" w:rsidR="00E617CF" w:rsidRPr="001B68D7" w:rsidRDefault="00C01815" w:rsidP="001B68D7">
      <w:pPr>
        <w:spacing w:before="100" w:beforeAutospacing="1" w:after="100" w:afterAutospacing="1" w:line="360" w:lineRule="auto"/>
        <w:rPr>
          <w:rFonts w:eastAsia="Times New Roman" w:cstheme="minorHAnsi"/>
          <w:sz w:val="24"/>
          <w:szCs w:val="24"/>
          <w:lang w:eastAsia="en-GB"/>
        </w:rPr>
      </w:pPr>
      <w:r w:rsidRPr="00C01815">
        <w:rPr>
          <w:rFonts w:ascii="Calibri" w:eastAsia="Times New Roman" w:hAnsi="Calibri" w:cstheme="minorHAnsi"/>
          <w:sz w:val="24"/>
          <w:szCs w:val="24"/>
          <w:lang w:eastAsia="en-GB"/>
        </w:rPr>
        <w:t>The National Health Services Blood and Transplant (NHS BT) Tissue and Eye Services (TES) Bank in Speke, Liverpool, which supplies most but not all eyes for surgical purposes in the UK, aims to achieve a weekly stock of 350 eyes so that they can provide 70 eyes every working day for use in surgery or research. From April 2021 – March 2022 donation of eyes from all sources (solid organ donation, tissue donation) generated 4555 from 2286 donors</w:t>
      </w:r>
      <w:r w:rsidR="00D65CEB">
        <w:rPr>
          <w:rFonts w:ascii="Calibri" w:eastAsia="Times New Roman" w:hAnsi="Calibri" w:cstheme="minorHAnsi"/>
          <w:sz w:val="24"/>
          <w:szCs w:val="24"/>
          <w:lang w:eastAsia="en-GB"/>
        </w:rPr>
        <w:t xml:space="preserve"> </w:t>
      </w:r>
      <w:r w:rsidR="006133D2">
        <w:rPr>
          <w:rFonts w:ascii="Calibri" w:eastAsia="Times New Roman" w:hAnsi="Calibri" w:cstheme="minorHAnsi"/>
          <w:sz w:val="24"/>
          <w:szCs w:val="24"/>
          <w:lang w:eastAsia="en-GB"/>
        </w:rPr>
        <w:fldChar w:fldCharType="begin" w:fldLock="1"/>
      </w:r>
      <w:r w:rsidR="00F8450B">
        <w:rPr>
          <w:rFonts w:ascii="Calibri" w:eastAsia="Times New Roman" w:hAnsi="Calibri" w:cstheme="minorHAnsi"/>
          <w:sz w:val="24"/>
          <w:szCs w:val="24"/>
          <w:lang w:eastAsia="en-GB"/>
        </w:rPr>
        <w:instrText>ADDIN CSL_CITATION {"citationItems":[{"id":"ITEM-1","itemData":{"abstract":"Key messages • 3,478 corneas were supplied to NHSBT Eye Banks • Corneas were retrieved from 1,467 cornea-only donors and from 332 solid organ donors after brainstem death (64%) or after circulatory death (36%) • The number of transplants decreased to 2,412 due to COVID-19 • 9%, 32% and 16% of corneal transplants were for keratoconus, Fuchs endothelial dystrophy and pseudophakic bullous keratopathy patients, respectively • The proportion of descemet membrane endothelial keratoplasty transplants have increased to 29% • 833 eyes (corneas or globes) were supplied to support research or training","author":[{"dropping-particle":"","family":"National health Service Blood and Transplants","given":"","non-dropping-particle":"","parse-names":false,"suffix":""}],"id":"ITEM-1","issued":{"date-parts":[["2021"]]},"page":"97-104","title":"Cornea Activity","type":"article-journal","volume":"650"},"uris":["http://www.mendeley.com/documents/?uuid=0f3ab23d-b1b5-43e0-92f6-21b4b40f684a"]}],"mendeley":{"formattedCitation":"(National health Service Blood and Transplants 2021)","plainTextFormattedCitation":"(National health Service Blood and Transplants 2021)","previouslyFormattedCitation":"(National health Service Blood and Transplants 2021)"},"properties":{"noteIndex":0},"schema":"https://github.com/citation-style-language/schema/raw/master/csl-citation.json"}</w:instrText>
      </w:r>
      <w:r w:rsidR="006133D2">
        <w:rPr>
          <w:rFonts w:ascii="Calibri" w:eastAsia="Times New Roman" w:hAnsi="Calibri" w:cstheme="minorHAnsi"/>
          <w:sz w:val="24"/>
          <w:szCs w:val="24"/>
          <w:lang w:eastAsia="en-GB"/>
        </w:rPr>
        <w:fldChar w:fldCharType="separate"/>
      </w:r>
      <w:r w:rsidR="00A9352D" w:rsidRPr="00A9352D">
        <w:rPr>
          <w:rFonts w:ascii="Calibri" w:eastAsia="Times New Roman" w:hAnsi="Calibri" w:cstheme="minorHAnsi"/>
          <w:noProof/>
          <w:sz w:val="24"/>
          <w:szCs w:val="24"/>
          <w:lang w:eastAsia="en-GB"/>
        </w:rPr>
        <w:t>(National health Service Blood and Transplants 2021)</w:t>
      </w:r>
      <w:r w:rsidR="006133D2">
        <w:rPr>
          <w:rFonts w:ascii="Calibri" w:eastAsia="Times New Roman" w:hAnsi="Calibri" w:cstheme="minorHAnsi"/>
          <w:sz w:val="24"/>
          <w:szCs w:val="24"/>
          <w:lang w:eastAsia="en-GB"/>
        </w:rPr>
        <w:fldChar w:fldCharType="end"/>
      </w:r>
      <w:r w:rsidRPr="00C01815">
        <w:rPr>
          <w:rFonts w:ascii="Calibri" w:eastAsia="Times New Roman" w:hAnsi="Calibri" w:cstheme="minorHAnsi"/>
          <w:sz w:val="24"/>
          <w:szCs w:val="24"/>
          <w:lang w:eastAsia="en-GB"/>
        </w:rPr>
        <w:t xml:space="preserve"> equating to only 13 eyes per day and 88 eyes available per week.  These levels are not</w:t>
      </w:r>
      <w:r w:rsidRPr="00C01815" w:rsidDel="00D86F0A">
        <w:rPr>
          <w:rFonts w:ascii="Calibri" w:eastAsia="Times New Roman" w:hAnsi="Calibri" w:cstheme="minorHAnsi"/>
          <w:sz w:val="24"/>
          <w:szCs w:val="24"/>
          <w:lang w:eastAsia="en-GB"/>
        </w:rPr>
        <w:t xml:space="preserve"> </w:t>
      </w:r>
      <w:r w:rsidRPr="00C01815">
        <w:rPr>
          <w:rFonts w:ascii="Calibri" w:eastAsia="Times New Roman" w:hAnsi="Calibri" w:cstheme="minorHAnsi"/>
          <w:sz w:val="24"/>
          <w:szCs w:val="24"/>
          <w:lang w:eastAsia="en-GB"/>
        </w:rPr>
        <w:t>supplying sufficient tissue necessary for the 5000 corneal transplants required each year for conditions such as Keratoconus, Fuchs’ Corneal Dystrophy and endothelial failure post cataract surgery</w:t>
      </w:r>
      <w:r w:rsidR="00F56780">
        <w:rPr>
          <w:rFonts w:ascii="Calibri" w:eastAsia="Times New Roman" w:hAnsi="Calibri" w:cstheme="minorHAnsi"/>
          <w:sz w:val="24"/>
          <w:szCs w:val="24"/>
          <w:lang w:eastAsia="en-GB"/>
        </w:rPr>
        <w:t xml:space="preserve"> </w:t>
      </w:r>
      <w:r w:rsidRPr="00C01815">
        <w:rPr>
          <w:rFonts w:ascii="Calibri" w:eastAsia="Times New Roman" w:hAnsi="Calibri" w:cstheme="minorHAnsi"/>
          <w:sz w:val="24"/>
          <w:szCs w:val="24"/>
          <w:lang w:eastAsia="en-GB"/>
        </w:rPr>
        <w:fldChar w:fldCharType="begin" w:fldLock="1"/>
      </w:r>
      <w:r w:rsidR="00F8450B">
        <w:rPr>
          <w:rFonts w:ascii="Calibri" w:eastAsia="Times New Roman" w:hAnsi="Calibri" w:cstheme="minorHAnsi"/>
          <w:sz w:val="24"/>
          <w:szCs w:val="24"/>
          <w:lang w:eastAsia="en-GB"/>
        </w:rPr>
        <w:instrText xml:space="preserve">ADDIN CSL_CITATION {"citationItems":[{"id":"ITEM-1","itemData":{"DOI":"10.1093/bja/aer398","ISSN":"14716771","abstract":"NHS Blood and Transplant (NHSBT) was established in 2005 as a Special Health Authority when the National Blood Authority and UK Transplant merged. This helped to bring tissue banking and organ transplantation services under one umbrella organization. This merger means that </w:instrText>
      </w:r>
      <w:r w:rsidR="00F8450B">
        <w:rPr>
          <w:rFonts w:ascii="Cambria Math" w:eastAsia="Times New Roman" w:hAnsi="Cambria Math" w:cs="Cambria Math"/>
          <w:sz w:val="24"/>
          <w:szCs w:val="24"/>
          <w:lang w:eastAsia="en-GB"/>
        </w:rPr>
        <w:instrText>∼</w:instrText>
      </w:r>
      <w:r w:rsidR="00F8450B">
        <w:rPr>
          <w:rFonts w:ascii="Calibri" w:eastAsia="Times New Roman" w:hAnsi="Calibri" w:cstheme="minorHAnsi"/>
          <w:sz w:val="24"/>
          <w:szCs w:val="24"/>
          <w:lang w:eastAsia="en-GB"/>
        </w:rPr>
        <w:instrText xml:space="preserve">95 of all deceased donors (whether tissue, organ or both) are now facilitated by one organization. NHSBT Tissue Services is the largest tissue establishment in the UK, and is a multi-tissue bank that specializes in the consent, retrieval, processing, storage, and dispatch of donated tissue coordinated from a purpose built, state-of-the-art tissue bank in Liverpool. Tissue donations can come from either tissue-only donors or solid organ donors who also donate tissue. Annually there are </w:instrText>
      </w:r>
      <w:r w:rsidR="00F8450B">
        <w:rPr>
          <w:rFonts w:ascii="Cambria Math" w:eastAsia="Times New Roman" w:hAnsi="Cambria Math" w:cs="Cambria Math"/>
          <w:sz w:val="24"/>
          <w:szCs w:val="24"/>
          <w:lang w:eastAsia="en-GB"/>
        </w:rPr>
        <w:instrText>∼</w:instrText>
      </w:r>
      <w:r w:rsidR="00F8450B">
        <w:rPr>
          <w:rFonts w:ascii="Calibri" w:eastAsia="Times New Roman" w:hAnsi="Calibri" w:cstheme="minorHAnsi"/>
          <w:sz w:val="24"/>
          <w:szCs w:val="24"/>
          <w:lang w:eastAsia="en-GB"/>
        </w:rPr>
        <w:instrText>450 multi-tissue donors and 2500 eye donors in the UK, resulting in many thousands of transplants, including 3564 cornea transplants in 20102011. The separation of tissue- and organ-specific donors is largely artificial, and while organ transplantation can be life-saving, tissue transplantation can also have a dramatic effect on a patients quality of life. It is hoped that all donors, both organ and tissue, will be recognized for the gift they make to society after their death. ©2012 The Author.","author":[{"dropping-particle":"","family":"Gaum","given":"L","non-dropping-particle":"","parse-names":false,"suffix":""},{"dropping-particle":"","family":"Reynolds","given":"I","non-dropping-particle":"","parse-names":false,"suffix":""},{"dropping-particle":"","family":"Jones","given":"M N A A","non-dropping-particle":"","parse-names":false,"suffix":""},{"dropping-particle":"","family":"Clarkson","given":"A J","non-dropping-particle":"","parse-names":false,"suffix":""},{"dropping-particle":"","family":"Gillan","given":"H L","non-dropping-particle":"","parse-names":false,"suffix":""},{"dropping-particle":"","family":"Kaye","given":"S B","non-dropping-particle":"","parse-names":false,"suffix":""}],"container-title":"British Journal of Anaesthesia","id":"ITEM-1","issue":"SUPPL. 1","issued":{"date-parts":[["2012"]]},"page":"i43--i47","publisher":"British Journal of Anaesthesia. Published by Elsevier Ltd.","title":"Tissue and corneal donation and transplantation in the UK","type":"article-journal","volume":"108"},"uris":["http://www.mendeley.com/documents/?uuid=b0177c2e-b233-42d1-afa6-0f6b606df14c"]}],"mendeley":{"formattedCitation":"(Gaum et al. 2012)","plainTextFormattedCitation":"(Gaum et al. 2012)","previouslyFormattedCitation":"(Gaum et al. 2012)"},"properties":{"noteIndex":0},"schema":"https://github.com/citation-style-language/schema/raw/master/csl-citation.json"}</w:instrText>
      </w:r>
      <w:r w:rsidRPr="00C01815">
        <w:rPr>
          <w:rFonts w:ascii="Calibri" w:eastAsia="Times New Roman" w:hAnsi="Calibri" w:cstheme="minorHAnsi"/>
          <w:sz w:val="24"/>
          <w:szCs w:val="24"/>
          <w:lang w:eastAsia="en-GB"/>
        </w:rPr>
        <w:fldChar w:fldCharType="separate"/>
      </w:r>
      <w:r w:rsidR="00A9352D" w:rsidRPr="00A9352D">
        <w:rPr>
          <w:rFonts w:ascii="Calibri" w:eastAsia="Times New Roman" w:hAnsi="Calibri" w:cstheme="minorHAnsi"/>
          <w:noProof/>
          <w:sz w:val="24"/>
          <w:szCs w:val="24"/>
          <w:lang w:eastAsia="en-GB"/>
        </w:rPr>
        <w:t>(Gaum et al. 2012)</w:t>
      </w:r>
      <w:r w:rsidRPr="00C01815">
        <w:rPr>
          <w:rFonts w:ascii="Calibri" w:eastAsia="Times New Roman" w:hAnsi="Calibri" w:cstheme="minorHAnsi"/>
          <w:sz w:val="24"/>
          <w:szCs w:val="24"/>
          <w:lang w:eastAsia="en-GB"/>
        </w:rPr>
        <w:fldChar w:fldCharType="end"/>
      </w:r>
      <w:r w:rsidR="00F56780">
        <w:rPr>
          <w:rFonts w:ascii="Calibri" w:eastAsia="Times New Roman" w:hAnsi="Calibri" w:cstheme="minorHAnsi"/>
          <w:sz w:val="24"/>
          <w:szCs w:val="24"/>
          <w:lang w:eastAsia="en-GB"/>
        </w:rPr>
        <w:t>.</w:t>
      </w:r>
      <w:r w:rsidRPr="00C01815">
        <w:rPr>
          <w:rFonts w:ascii="Calibri" w:eastAsia="Times New Roman" w:hAnsi="Calibri" w:cstheme="minorHAnsi"/>
          <w:sz w:val="24"/>
          <w:szCs w:val="24"/>
          <w:lang w:eastAsia="en-GB"/>
        </w:rPr>
        <w:t xml:space="preserve"> </w:t>
      </w:r>
      <w:r w:rsidRPr="00C01815">
        <w:rPr>
          <w:rFonts w:eastAsia="Times New Roman" w:cstheme="minorHAnsi"/>
          <w:sz w:val="24"/>
          <w:szCs w:val="24"/>
          <w:lang w:eastAsia="en-GB"/>
        </w:rPr>
        <w:t xml:space="preserve"> The actual number of people waiting for a corneal transplant is difficult to confirm as there is no centralised waiting list for patients who need a corneal transplant (unlike in solid organ donation where there is a centralised waiting list, and the actual need may therefore be greater. A further pressure on the nationally reported donation rate of 4555 eyes is that approximately 30% of donated eyes will be discarded due to infection/viruses, with supply further compromised by a </w:t>
      </w:r>
      <w:r w:rsidR="000A6167" w:rsidRPr="00C01815">
        <w:rPr>
          <w:rFonts w:eastAsia="Times New Roman" w:cstheme="minorHAnsi"/>
          <w:sz w:val="24"/>
          <w:szCs w:val="24"/>
          <w:lang w:eastAsia="en-GB"/>
        </w:rPr>
        <w:t>28-day</w:t>
      </w:r>
      <w:r w:rsidRPr="00C01815">
        <w:rPr>
          <w:rFonts w:eastAsia="Times New Roman" w:cstheme="minorHAnsi"/>
          <w:sz w:val="24"/>
          <w:szCs w:val="24"/>
          <w:lang w:eastAsia="en-GB"/>
        </w:rPr>
        <w:t xml:space="preserve"> limit to storage requiring disposal of tissue thereafter</w:t>
      </w:r>
      <w:bookmarkStart w:id="6" w:name="_Toc108020630"/>
    </w:p>
    <w:p w14:paraId="26CF4BD6" w14:textId="56984BE2" w:rsidR="00C01815" w:rsidRPr="00C01815" w:rsidRDefault="00C01815"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r w:rsidRPr="00C01815">
        <w:rPr>
          <w:rFonts w:eastAsiaTheme="majorEastAsia" w:cstheme="minorHAnsi"/>
          <w:b/>
          <w:bCs/>
          <w:noProof/>
          <w:color w:val="1F3864" w:themeColor="accent1" w:themeShade="80"/>
          <w:sz w:val="24"/>
          <w:szCs w:val="24"/>
        </w:rPr>
        <w:t>Current UK routes of ophthalmic tissue supply</w:t>
      </w:r>
      <w:bookmarkEnd w:id="6"/>
      <w:r w:rsidRPr="00C01815">
        <w:rPr>
          <w:rFonts w:eastAsiaTheme="majorEastAsia" w:cstheme="minorHAnsi"/>
          <w:b/>
          <w:bCs/>
          <w:noProof/>
          <w:color w:val="1F3864" w:themeColor="accent1" w:themeShade="80"/>
          <w:sz w:val="24"/>
          <w:szCs w:val="24"/>
        </w:rPr>
        <w:t xml:space="preserve"> </w:t>
      </w:r>
    </w:p>
    <w:p w14:paraId="799D0E8E" w14:textId="77777777"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There are currently two potential routes of supply for eye tissue in the UK:</w:t>
      </w:r>
    </w:p>
    <w:p w14:paraId="1944582C" w14:textId="7C71ADE2"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b/>
          <w:bCs/>
          <w:i/>
          <w:iCs/>
          <w:color w:val="1F3864" w:themeColor="accent1" w:themeShade="80"/>
          <w:sz w:val="24"/>
          <w:szCs w:val="24"/>
          <w:lang w:eastAsia="en-GB"/>
        </w:rPr>
        <w:t xml:space="preserve">Route 1: Eye donation from solid organ donors </w:t>
      </w:r>
      <w:r w:rsidRPr="00C01815">
        <w:rPr>
          <w:rFonts w:eastAsia="Times New Roman" w:cstheme="minorHAnsi"/>
          <w:b/>
          <w:bCs/>
          <w:i/>
          <w:iCs/>
          <w:sz w:val="24"/>
          <w:szCs w:val="24"/>
          <w:lang w:eastAsia="en-GB"/>
        </w:rPr>
        <w:t xml:space="preserve">- </w:t>
      </w:r>
      <w:r w:rsidRPr="00C01815">
        <w:rPr>
          <w:rFonts w:eastAsia="Times New Roman" w:cstheme="minorHAnsi"/>
          <w:sz w:val="24"/>
          <w:szCs w:val="24"/>
          <w:lang w:eastAsia="en-GB"/>
        </w:rPr>
        <w:t>Eye donation from solid organ donors (EPSOD) continues to prove problematic, with slow progress in increasing supply from this specific cohort of donors. For example, EPSOD generated 446 eyes between 1 April 2019 and 31 March 2020</w:t>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{"citationItems":[{"id":"ITEM-1","itemData":{"author":[{"dropping-particle":"","family":"NHSBT","given":"","non-dropping-particle":"","parse-names":false,"suffix":""}],"id":"ITEM-1","issued":{"date-parts":[["2020"]]},"publisher-place":"Liverpool, UK","title":"Organ Donation and Transplantation - Activity Report 2019/20","type":"report"},"uris":["http://www.mendeley.com/documents/?uuid=033d0daa-af63-44ca-a1ac-b5c35abdc86a","http://www.mendeley.com/documents/?uuid=327d0540-4b9f-490f-a05e-93f209c1e1fb"]}],"mendeley":{"formattedCitation":"(NHSBT 2020)","plainTextFormattedCitation":"(NHSBT 2020)","previouslyFormattedCitation":"(NHSBT 2020)"},"properties":{"noteIndex":0},"schema":"https://github.com/citation-style-language/schema/raw/master/csl-citation.json"}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(NHSBT 2020)</w:t>
      </w:r>
      <w:r w:rsidRPr="00C01815">
        <w:rPr>
          <w:rFonts w:eastAsia="Times New Roman" w:cstheme="minorHAnsi"/>
          <w:sz w:val="24"/>
          <w:szCs w:val="24"/>
          <w:lang w:eastAsia="en-GB"/>
        </w:rPr>
        <w:fldChar w:fldCharType="end"/>
      </w:r>
      <w:r w:rsidR="00F56780">
        <w:rPr>
          <w:rFonts w:eastAsia="Times New Roman" w:cstheme="minorHAnsi"/>
          <w:sz w:val="24"/>
          <w:szCs w:val="24"/>
          <w:lang w:eastAsia="en-GB"/>
        </w:rPr>
        <w:t>.</w:t>
      </w:r>
      <w:r w:rsidRPr="00C01815">
        <w:rPr>
          <w:rFonts w:eastAsia="Times New Roman" w:cstheme="minorHAnsi"/>
          <w:sz w:val="24"/>
          <w:szCs w:val="24"/>
          <w:lang w:eastAsia="en-GB"/>
        </w:rPr>
        <w:t xml:space="preserve">  </w:t>
      </w:r>
    </w:p>
    <w:p w14:paraId="76F2B53D" w14:textId="48FD3F23" w:rsidR="00C01815" w:rsidRDefault="00C01815" w:rsidP="006646DF">
      <w:pPr>
        <w:spacing w:before="100" w:beforeAutospacing="1" w:after="100" w:afterAutospacing="1" w:line="360" w:lineRule="auto"/>
        <w:rPr>
          <w:rFonts w:eastAsiaTheme="majorEastAsia" w:cstheme="minorHAnsi"/>
          <w:b/>
          <w:bCs/>
          <w:noProof/>
          <w:color w:val="1F3864" w:themeColor="accent1" w:themeShade="80"/>
          <w:sz w:val="24"/>
          <w:szCs w:val="24"/>
        </w:rPr>
      </w:pPr>
      <w:r w:rsidRPr="00C01815">
        <w:rPr>
          <w:rFonts w:eastAsia="Times New Roman" w:cstheme="minorHAnsi"/>
          <w:b/>
          <w:bCs/>
          <w:i/>
          <w:iCs/>
          <w:color w:val="1F3864" w:themeColor="accent1" w:themeShade="80"/>
          <w:sz w:val="24"/>
          <w:szCs w:val="24"/>
          <w:lang w:eastAsia="en-GB"/>
        </w:rPr>
        <w:t xml:space="preserve">Route 2: Eye donation from deaths outside of ICU/ED environments </w:t>
      </w:r>
      <w:r w:rsidRPr="00C01815">
        <w:rPr>
          <w:rFonts w:eastAsia="Times New Roman" w:cstheme="minorHAnsi"/>
          <w:b/>
          <w:bCs/>
          <w:i/>
          <w:iCs/>
          <w:color w:val="333333"/>
          <w:sz w:val="24"/>
          <w:szCs w:val="24"/>
          <w:lang w:eastAsia="en-GB"/>
        </w:rPr>
        <w:t xml:space="preserve">- </w:t>
      </w:r>
      <w:r w:rsidRPr="00C01815">
        <w:rPr>
          <w:rFonts w:eastAsia="Times New Roman" w:cstheme="minorHAnsi"/>
          <w:sz w:val="24"/>
          <w:szCs w:val="24"/>
          <w:lang w:eastAsia="en-GB"/>
        </w:rPr>
        <w:t>Unlike tissues such as heart valves, bone, tendons, and skin (where a cancer diagnosis is a contraindication) eye tissue can be considered for donation due to the avascular status of the cornea and sclera. Current data indicates that approx. 258,900 deaths in hospital</w:t>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URL":"https://www.ons.gov.uk/peoplepopulationandcommunity/birthsdeathsandmarriages/deaths/articles/deathsathomeincreasedbyathirdin2020whiledeathsinhospitalsfellexceptforcovid19/2021-05-07","author":[{"dropping-particle":"","family":"Office for National Statistics","given":"","non-dropping-particle":"","parse-names":false,"suffix":""}],"id":"ITEM-1","issued":{"date-parts":[["2021"]]},"title":"Deaths at home increased by a third in 2020, while deaths in hospitals fell except for COVID 19","type":"webpage"},"uris":["http://www.mendeley.com/documents/?uuid=c6460e33-ddac-429e-b73d-d14e6602cdde"]}],"mendeley":{"formattedCitation":"(Office for National Statistics 2021)","plainTextFormattedCitation":"(Office for National Statistics 2021)","previouslyFormattedCitation":"(Office for National Statistics 2021)"},"properties":{"noteIndex":0},"schema":"https://github.com/citation-style-language/schema/raw/master/csl-citation.json"}</w:instrText>
      </w:r>
      <w:r w:rsidRPr="00C01815">
        <w:rPr>
          <w:rFonts w:eastAsia="Times New Roman" w:cstheme="minorHAnsi"/>
          <w:sz w:val="24"/>
          <w:szCs w:val="24"/>
          <w:lang w:eastAsia="en-GB"/>
        </w:rPr>
        <w:fldChar w:fldCharType="separate"/>
      </w:r>
      <w:r w:rsidR="00A9352D" w:rsidRPr="00A9352D">
        <w:rPr>
          <w:rFonts w:eastAsia="Times New Roman" w:cstheme="minorHAnsi"/>
          <w:noProof/>
          <w:sz w:val="24"/>
          <w:szCs w:val="24"/>
          <w:lang w:eastAsia="en-GB"/>
        </w:rPr>
        <w:t>(Office for National Statistics 2021)</w:t>
      </w:r>
      <w:r w:rsidRPr="00C01815">
        <w:rPr>
          <w:rFonts w:eastAsia="Times New Roman" w:cstheme="minorHAnsi"/>
          <w:sz w:val="24"/>
          <w:szCs w:val="24"/>
          <w:lang w:eastAsia="en-GB"/>
        </w:rPr>
        <w:fldChar w:fldCharType="end"/>
      </w:r>
      <w:r w:rsidRPr="00C01815">
        <w:rPr>
          <w:rFonts w:eastAsia="Times New Roman" w:cstheme="minorHAnsi"/>
          <w:sz w:val="24"/>
          <w:szCs w:val="24"/>
          <w:lang w:eastAsia="en-GB"/>
        </w:rPr>
        <w:t xml:space="preserve"> and 25,498 annual deaths in hospices</w:t>
      </w:r>
      <w:r w:rsidR="00F56780">
        <w:rPr>
          <w:rFonts w:eastAsia="Times New Roman" w:cstheme="minorHAnsi"/>
          <w:sz w:val="24"/>
          <w:szCs w:val="24"/>
          <w:lang w:eastAsia="en-GB"/>
        </w:rPr>
        <w:t xml:space="preserve"> </w:t>
      </w:r>
      <w:r w:rsidRPr="00C01815">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{"citationItems":[{"id":"ITEM-1","itemData":{"URL":"https://fingertips.phe.org.uk/profile/end-of-life/data","author":[{"dropping-particle":"","family":"Office ofr Health Improvement and Disparities","given":"","non-dropping-particle":"","parse-names":false,"suffix":""}],"id":"ITEM-1","issued":{"date-parts":[["2020"]]},"title":"Palliative and End of Life Care Profiles","type":"webpage"},"uris":["http://www.mendeley.com/documents/?uuid=43e0ef2f-8a1d-43a8-a234-8c59bdca98a9"]}],"mendeley":{"formattedCitation":"(Office ofr Health Improvement and Disparities 2020)","manualFormatting":"(Office for Health Improvement and Disparities, 2020)","plainTextFormattedCitation":"(Office ofr Health Improvement and Disparities 2020)","previouslyFormattedCitation":"(Office ofr Health Improvement and Disparities 2020)"},"properties":{"noteIndex":0},"schema":"https://github.com/citation-style-language/schema/raw/master/csl-citation.json"}</w:instrText>
      </w:r>
      <w:r w:rsidRPr="00C01815">
        <w:rPr>
          <w:rFonts w:eastAsia="Times New Roman" w:cstheme="minorHAnsi"/>
          <w:sz w:val="24"/>
          <w:szCs w:val="24"/>
          <w:lang w:eastAsia="en-GB"/>
        </w:rPr>
        <w:fldChar w:fldCharType="separate"/>
      </w:r>
      <w:r w:rsidR="000C2724" w:rsidRPr="000C2724">
        <w:rPr>
          <w:rFonts w:eastAsia="Times New Roman" w:cstheme="minorHAnsi"/>
          <w:noProof/>
          <w:sz w:val="24"/>
          <w:szCs w:val="24"/>
          <w:lang w:eastAsia="en-GB"/>
        </w:rPr>
        <w:t xml:space="preserve">(Office </w:t>
      </w:r>
      <w:r w:rsidR="00F56780">
        <w:rPr>
          <w:rFonts w:eastAsia="Times New Roman" w:cstheme="minorHAnsi"/>
          <w:noProof/>
          <w:sz w:val="24"/>
          <w:szCs w:val="24"/>
          <w:lang w:eastAsia="en-GB"/>
        </w:rPr>
        <w:t>for</w:t>
      </w:r>
      <w:r w:rsidR="000C2724" w:rsidRPr="000C2724">
        <w:rPr>
          <w:rFonts w:eastAsia="Times New Roman" w:cstheme="minorHAnsi"/>
          <w:noProof/>
          <w:sz w:val="24"/>
          <w:szCs w:val="24"/>
          <w:lang w:eastAsia="en-GB"/>
        </w:rPr>
        <w:t xml:space="preserve"> Health Improvement and Disparities, 2020)</w:t>
      </w:r>
      <w:r w:rsidRPr="00C01815">
        <w:rPr>
          <w:rFonts w:eastAsia="Times New Roman" w:cstheme="minorHAnsi"/>
          <w:sz w:val="24"/>
          <w:szCs w:val="24"/>
          <w:lang w:eastAsia="en-GB"/>
        </w:rPr>
        <w:fldChar w:fldCharType="end"/>
      </w:r>
      <w:r w:rsidR="006646DF">
        <w:rPr>
          <w:rFonts w:eastAsia="Times New Roman" w:cstheme="minorHAnsi"/>
          <w:sz w:val="24"/>
          <w:szCs w:val="24"/>
          <w:lang w:eastAsia="en-GB"/>
        </w:rPr>
        <w:t>,</w:t>
      </w:r>
      <w:r w:rsidRPr="00C01815">
        <w:rPr>
          <w:rFonts w:eastAsia="Times New Roman" w:cstheme="minorHAnsi"/>
          <w:sz w:val="24"/>
          <w:szCs w:val="24"/>
          <w:lang w:eastAsia="en-GB"/>
        </w:rPr>
        <w:t xml:space="preserve"> could potentially supply eye tissue. </w:t>
      </w:r>
      <w:r w:rsidRPr="00C01815" w:rsidDel="00FB20A5">
        <w:rPr>
          <w:rFonts w:eastAsia="Times New Roman" w:cstheme="minorHAnsi"/>
          <w:sz w:val="24"/>
          <w:szCs w:val="24"/>
          <w:lang w:eastAsia="en-GB"/>
        </w:rPr>
        <w:t xml:space="preserve">However, </w:t>
      </w:r>
      <w:r w:rsidRPr="00C01815">
        <w:rPr>
          <w:rFonts w:eastAsia="Times New Roman" w:cstheme="minorHAnsi"/>
          <w:sz w:val="24"/>
          <w:szCs w:val="24"/>
          <w:lang w:eastAsia="en-GB"/>
        </w:rPr>
        <w:t xml:space="preserve">from April 2021 to March 2022 NHSBT TES only received 443 referrals from 63 hospice locations with 293 of those referrals generating eyes. Therefore, on average, these 63 hospices referred </w:t>
      </w:r>
      <w:r w:rsidR="002354DE">
        <w:rPr>
          <w:rFonts w:eastAsia="Times New Roman" w:cstheme="minorHAnsi"/>
          <w:sz w:val="24"/>
          <w:szCs w:val="24"/>
          <w:lang w:eastAsia="en-GB"/>
        </w:rPr>
        <w:t>seven</w:t>
      </w:r>
      <w:r w:rsidRPr="00C01815">
        <w:rPr>
          <w:rFonts w:eastAsia="Times New Roman" w:cstheme="minorHAnsi"/>
          <w:sz w:val="24"/>
          <w:szCs w:val="24"/>
          <w:lang w:eastAsia="en-GB"/>
        </w:rPr>
        <w:t xml:space="preserve"> donors to NHSBT TES. As there are 208 hospices across the UK, there is great room for improvement. </w:t>
      </w:r>
      <w:r w:rsidRPr="00C01815">
        <w:rPr>
          <w:rFonts w:eastAsia="Times New Roman" w:cstheme="minorHAnsi"/>
          <w:color w:val="000000" w:themeColor="text1"/>
          <w:sz w:val="24"/>
          <w:szCs w:val="24"/>
          <w:lang w:eastAsia="en-GB"/>
        </w:rPr>
        <w:t>Increasing supply is a key strategic aim for NHSBT TES with other professional bodies including the Royal College of Ophthalmology</w:t>
      </w:r>
      <w:r w:rsidR="006646DF">
        <w:rPr>
          <w:rFonts w:eastAsia="Times New Roman" w:cstheme="minorHAnsi"/>
          <w:color w:val="000000" w:themeColor="text1"/>
          <w:sz w:val="24"/>
          <w:szCs w:val="24"/>
          <w:lang w:eastAsia="en-GB"/>
        </w:rPr>
        <w:t xml:space="preserve"> </w:t>
      </w:r>
      <w:r w:rsidRPr="00C01815">
        <w:rPr>
          <w:rFonts w:eastAsia="Times New Roman" w:cstheme="minorHAnsi"/>
          <w:color w:val="000000" w:themeColor="text1"/>
          <w:sz w:val="24"/>
          <w:szCs w:val="24"/>
          <w:lang w:eastAsia="en-GB"/>
        </w:rPr>
        <w:fldChar w:fldCharType="begin" w:fldLock="1"/>
      </w:r>
      <w:r w:rsidR="00F8450B">
        <w:rPr>
          <w:rFonts w:eastAsia="Times New Roman" w:cstheme="minorHAnsi"/>
          <w:color w:val="000000" w:themeColor="text1"/>
          <w:sz w:val="24"/>
          <w:szCs w:val="24"/>
          <w:lang w:eastAsia="en-GB"/>
        </w:rPr>
        <w:instrText>ADDIN CSL_CITATION {"citationItems":[{"id":"ITEM-1","itemData":{"author":[{"dropping-particle":"","family":"Royal College of Ophthalmologists","given":"","non-dropping-particle":"","parse-names":false,"suffix":""}],"id":"ITEM-1","issued":{"date-parts":[["2013"]]},"publisher-place":"London, UK","title":"Standards for the retrieval of human ocular tissue used in transplantation, research and training","type":"report"},"uris":["http://www.mendeley.com/documents/?uuid=d8defc92-26f2-4e2b-b091-e0342512b5f5"]}],"mendeley":{"formattedCitation":"(Royal College of Ophthalmologists 2013)","plainTextFormattedCitation":"(Royal College of Ophthalmologists 2013)","previouslyFormattedCitation":"(Royal College of Ophthalmologists 2013)"},"properties":{"noteIndex":0},"schema":"https://github.com/citation-style-language/schema/raw/master/csl-citation.json"}</w:instrText>
      </w:r>
      <w:r w:rsidRPr="00C01815">
        <w:rPr>
          <w:rFonts w:eastAsia="Times New Roman" w:cstheme="minorHAnsi"/>
          <w:color w:val="000000" w:themeColor="text1"/>
          <w:sz w:val="24"/>
          <w:szCs w:val="24"/>
          <w:lang w:eastAsia="en-GB"/>
        </w:rPr>
        <w:fldChar w:fldCharType="separate"/>
      </w:r>
      <w:r w:rsidR="00A9352D" w:rsidRPr="00A9352D">
        <w:rPr>
          <w:rFonts w:eastAsia="Times New Roman" w:cstheme="minorHAnsi"/>
          <w:noProof/>
          <w:color w:val="000000" w:themeColor="text1"/>
          <w:sz w:val="24"/>
          <w:szCs w:val="24"/>
          <w:lang w:eastAsia="en-GB"/>
        </w:rPr>
        <w:t>(Royal College of Ophthalmologists 2013)</w:t>
      </w:r>
      <w:r w:rsidRPr="00C01815">
        <w:rPr>
          <w:rFonts w:eastAsia="Times New Roman" w:cstheme="minorHAnsi"/>
          <w:color w:val="000000" w:themeColor="text1"/>
          <w:sz w:val="24"/>
          <w:szCs w:val="24"/>
          <w:lang w:eastAsia="en-GB"/>
        </w:rPr>
        <w:fldChar w:fldCharType="end"/>
      </w:r>
      <w:r w:rsidR="006646DF">
        <w:rPr>
          <w:rFonts w:eastAsia="Times New Roman" w:cstheme="minorHAnsi"/>
          <w:color w:val="000000" w:themeColor="text1"/>
          <w:sz w:val="24"/>
          <w:szCs w:val="24"/>
          <w:lang w:eastAsia="en-GB"/>
        </w:rPr>
        <w:t xml:space="preserve">, </w:t>
      </w:r>
      <w:r w:rsidRPr="00C01815">
        <w:rPr>
          <w:rFonts w:eastAsia="Times New Roman" w:cstheme="minorHAnsi"/>
          <w:color w:val="000000" w:themeColor="text1"/>
          <w:sz w:val="24"/>
          <w:szCs w:val="24"/>
          <w:lang w:eastAsia="en-GB"/>
        </w:rPr>
        <w:t xml:space="preserve"> NHSBT TES OtAG</w:t>
      </w:r>
      <w:r w:rsidR="006646DF">
        <w:rPr>
          <w:rFonts w:eastAsia="Times New Roman" w:cstheme="minorHAnsi"/>
          <w:color w:val="000000" w:themeColor="text1"/>
          <w:sz w:val="24"/>
          <w:szCs w:val="24"/>
          <w:lang w:eastAsia="en-GB"/>
        </w:rPr>
        <w:t xml:space="preserve"> </w:t>
      </w:r>
      <w:r w:rsidRPr="00C01815">
        <w:rPr>
          <w:rFonts w:eastAsia="Times New Roman" w:cstheme="minorHAnsi"/>
          <w:color w:val="000000" w:themeColor="text1"/>
          <w:sz w:val="24"/>
          <w:szCs w:val="24"/>
          <w:lang w:eastAsia="en-GB"/>
        </w:rPr>
        <w:fldChar w:fldCharType="begin" w:fldLock="1"/>
      </w:r>
      <w:r w:rsidR="00F8450B">
        <w:rPr>
          <w:rFonts w:eastAsia="Times New Roman" w:cstheme="minorHAnsi"/>
          <w:color w:val="000000" w:themeColor="text1"/>
          <w:sz w:val="24"/>
          <w:szCs w:val="24"/>
          <w:lang w:eastAsia="en-GB"/>
        </w:rPr>
        <w:instrText>ADDIN CSL_CITATION {"citationItems":[{"id":"ITEM-1","itemData":{"author":[{"dropping-particle":"","family":"NHSBT","given":"","non-dropping-particle":"","parse-names":false,"suffix":""},{"dropping-particle":"","family":"NHS-BT Organ and Tissue Advisory Group (OTAG)","given":"","non-dropping-particle":"","parse-names":false,"suffix":""},{"dropping-particle":"","family":"NHSBT","given":"","non-dropping-particle":"","parse-names":false,"suffix":""}],"id":"ITEM-1","issued":{"date-parts":[["2016"]]},"publisher-place":"Bristol, UK","title":"NHSBT OCULAR TISSUE ADVISORY GROUP MEETING HELD AT 12.30 PM ON WEDNESDAY 29TH JUNE 2016 AT ODT, BRISTOL","type":"report"},"uris":["http://www.mendeley.com/documents/?uuid=a21dfc97-03b7-4987-8a20-4c78186bf7e4"]}],"mendeley":{"formattedCitation":"(NHSBT et al. 2016)","manualFormatting":"(NHS-BT Organ and Tissue Advisory Group (OTAG), ","plainTextFormattedCitation":"(NHSBT et al. 2016)","previouslyFormattedCitation":"(NHSBT et al. 2016)"},"properties":{"noteIndex":0},"schema":"https://github.com/citation-style-language/schema/raw/master/csl-citation.json"}</w:instrText>
      </w:r>
      <w:r w:rsidRPr="00C01815">
        <w:rPr>
          <w:rFonts w:eastAsia="Times New Roman" w:cstheme="minorHAnsi"/>
          <w:color w:val="000000" w:themeColor="text1"/>
          <w:sz w:val="24"/>
          <w:szCs w:val="24"/>
          <w:lang w:eastAsia="en-GB"/>
        </w:rPr>
        <w:fldChar w:fldCharType="separate"/>
      </w:r>
      <w:r w:rsidR="000C2724" w:rsidRPr="000C2724">
        <w:rPr>
          <w:rFonts w:eastAsia="Times New Roman" w:cstheme="minorHAnsi"/>
          <w:noProof/>
          <w:color w:val="000000" w:themeColor="text1"/>
          <w:sz w:val="24"/>
          <w:szCs w:val="24"/>
          <w:lang w:eastAsia="en-GB"/>
        </w:rPr>
        <w:t>(NHS-BT Organ and Tissue Advisory Group (OTAG)</w:t>
      </w:r>
      <w:r w:rsidR="006646DF">
        <w:rPr>
          <w:rFonts w:eastAsia="Times New Roman" w:cstheme="minorHAnsi"/>
          <w:noProof/>
          <w:color w:val="000000" w:themeColor="text1"/>
          <w:sz w:val="24"/>
          <w:szCs w:val="24"/>
          <w:lang w:eastAsia="en-GB"/>
        </w:rPr>
        <w:t>,</w:t>
      </w:r>
      <w:r w:rsidR="000C2724" w:rsidRPr="000C2724">
        <w:rPr>
          <w:rFonts w:eastAsia="Times New Roman" w:cstheme="minorHAnsi"/>
          <w:noProof/>
          <w:color w:val="000000" w:themeColor="text1"/>
          <w:sz w:val="24"/>
          <w:szCs w:val="24"/>
          <w:lang w:eastAsia="en-GB"/>
        </w:rPr>
        <w:t xml:space="preserve"> </w:t>
      </w:r>
      <w:r w:rsidRPr="00C01815">
        <w:rPr>
          <w:rFonts w:eastAsia="Times New Roman" w:cstheme="minorHAnsi"/>
          <w:color w:val="000000" w:themeColor="text1"/>
          <w:sz w:val="24"/>
          <w:szCs w:val="24"/>
          <w:lang w:eastAsia="en-GB"/>
        </w:rPr>
        <w:fldChar w:fldCharType="end"/>
      </w:r>
      <w:r w:rsidRPr="00C01815">
        <w:rPr>
          <w:rFonts w:eastAsia="Times New Roman" w:cstheme="minorHAnsi"/>
          <w:color w:val="000000" w:themeColor="text1"/>
          <w:sz w:val="24"/>
          <w:szCs w:val="24"/>
          <w:lang w:eastAsia="en-GB"/>
        </w:rPr>
        <w:t>expressing the need for research into the barriers to eye donation and new supply routes.</w:t>
      </w:r>
    </w:p>
    <w:p w14:paraId="461B4626" w14:textId="581FD95F" w:rsidR="00C01815" w:rsidRPr="00C01815" w:rsidRDefault="00C01815"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r w:rsidRPr="00C01815">
        <w:rPr>
          <w:rFonts w:eastAsiaTheme="majorEastAsia" w:cstheme="minorHAnsi"/>
          <w:b/>
          <w:bCs/>
          <w:noProof/>
          <w:color w:val="1F3864" w:themeColor="accent1" w:themeShade="80"/>
          <w:sz w:val="24"/>
          <w:szCs w:val="24"/>
        </w:rPr>
        <w:t>Methods</w:t>
      </w:r>
      <w:bookmarkEnd w:id="1"/>
    </w:p>
    <w:p w14:paraId="1F5F03FC" w14:textId="77777777" w:rsidR="00C01815" w:rsidRPr="00C01815" w:rsidRDefault="00C01815"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r w:rsidRPr="00C01815">
        <w:rPr>
          <w:rFonts w:eastAsiaTheme="majorEastAsia" w:cstheme="minorHAnsi"/>
          <w:b/>
          <w:bCs/>
          <w:noProof/>
          <w:color w:val="1F3864" w:themeColor="accent1" w:themeShade="80"/>
          <w:sz w:val="24"/>
          <w:szCs w:val="24"/>
        </w:rPr>
        <w:t xml:space="preserve">Data collection </w:t>
      </w:r>
    </w:p>
    <w:p w14:paraId="6C333FCD" w14:textId="48E23DBE"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Eligibility for eye donation was assessed against criteria specified by NHSBT-TES (see </w:t>
      </w:r>
      <w:r w:rsidR="00EB320B">
        <w:rPr>
          <w:rFonts w:eastAsia="Times New Roman" w:cstheme="minorHAnsi"/>
          <w:sz w:val="24"/>
          <w:szCs w:val="24"/>
          <w:lang w:eastAsia="en-GB"/>
        </w:rPr>
        <w:t>Table 1</w:t>
      </w:r>
      <w:r w:rsidRPr="00C01815">
        <w:rPr>
          <w:rFonts w:eastAsia="Times New Roman" w:cstheme="minorHAnsi"/>
          <w:sz w:val="24"/>
          <w:szCs w:val="24"/>
          <w:lang w:eastAsia="en-GB"/>
        </w:rPr>
        <w:t xml:space="preserve">) that constitute a list of contraindications barring the use of eye tissue in transplant operations. </w:t>
      </w:r>
      <w:r w:rsidR="00D006D4">
        <w:rPr>
          <w:rFonts w:eastAsia="Times New Roman" w:cstheme="minorHAnsi"/>
          <w:sz w:val="24"/>
          <w:szCs w:val="24"/>
          <w:lang w:eastAsia="en-GB"/>
        </w:rPr>
        <w:t>Our intention was for reviewers (clinical co-</w:t>
      </w:r>
      <w:r w:rsidR="006B72C9">
        <w:rPr>
          <w:rFonts w:eastAsia="Times New Roman" w:cstheme="minorHAnsi"/>
          <w:sz w:val="24"/>
          <w:szCs w:val="24"/>
          <w:lang w:eastAsia="en-GB"/>
        </w:rPr>
        <w:t>applicants</w:t>
      </w:r>
      <w:r w:rsidR="00E51F4E">
        <w:rPr>
          <w:rFonts w:eastAsia="Times New Roman" w:cstheme="minorHAnsi"/>
          <w:sz w:val="24"/>
          <w:szCs w:val="24"/>
          <w:lang w:eastAsia="en-GB"/>
        </w:rPr>
        <w:t>)</w:t>
      </w:r>
      <w:r w:rsidR="00D006D4">
        <w:rPr>
          <w:rFonts w:eastAsia="Times New Roman" w:cstheme="minorHAnsi"/>
          <w:sz w:val="24"/>
          <w:szCs w:val="24"/>
          <w:lang w:eastAsia="en-GB"/>
        </w:rPr>
        <w:t xml:space="preserve"> </w:t>
      </w:r>
      <w:r w:rsidR="006B72C9">
        <w:rPr>
          <w:rFonts w:eastAsia="Times New Roman" w:cstheme="minorHAnsi"/>
          <w:sz w:val="24"/>
          <w:szCs w:val="24"/>
          <w:lang w:eastAsia="en-GB"/>
        </w:rPr>
        <w:t>to assess patients</w:t>
      </w:r>
      <w:r w:rsidR="00416649">
        <w:rPr>
          <w:rFonts w:eastAsia="Times New Roman" w:cstheme="minorHAnsi"/>
          <w:sz w:val="24"/>
          <w:szCs w:val="24"/>
          <w:lang w:eastAsia="en-GB"/>
        </w:rPr>
        <w:t xml:space="preserve"> against the criteria</w:t>
      </w:r>
      <w:r w:rsidR="00B74994">
        <w:rPr>
          <w:rFonts w:eastAsia="Times New Roman" w:cstheme="minorHAnsi"/>
          <w:sz w:val="24"/>
          <w:szCs w:val="24"/>
          <w:lang w:eastAsia="en-GB"/>
        </w:rPr>
        <w:t>,</w:t>
      </w:r>
      <w:r w:rsidR="006B72C9">
        <w:rPr>
          <w:rFonts w:eastAsia="Times New Roman" w:cstheme="minorHAnsi"/>
          <w:sz w:val="24"/>
          <w:szCs w:val="24"/>
          <w:lang w:eastAsia="en-GB"/>
        </w:rPr>
        <w:t xml:space="preserve"> and for members of the clinical support team at NHSBT TES to evaluate th</w:t>
      </w:r>
      <w:r w:rsidR="0045199B">
        <w:rPr>
          <w:rFonts w:eastAsia="Times New Roman" w:cstheme="minorHAnsi"/>
          <w:sz w:val="24"/>
          <w:szCs w:val="24"/>
          <w:lang w:eastAsia="en-GB"/>
        </w:rPr>
        <w:t xml:space="preserve">e assessments and confirm </w:t>
      </w:r>
      <w:r w:rsidR="007A1138">
        <w:rPr>
          <w:rFonts w:eastAsia="Times New Roman" w:cstheme="minorHAnsi"/>
          <w:sz w:val="24"/>
          <w:szCs w:val="24"/>
          <w:lang w:eastAsia="en-GB"/>
        </w:rPr>
        <w:t xml:space="preserve">whether the </w:t>
      </w:r>
      <w:r w:rsidR="0045199B">
        <w:rPr>
          <w:rFonts w:eastAsia="Times New Roman" w:cstheme="minorHAnsi"/>
          <w:sz w:val="24"/>
          <w:szCs w:val="24"/>
          <w:lang w:eastAsia="en-GB"/>
        </w:rPr>
        <w:t>patient</w:t>
      </w:r>
      <w:r w:rsidR="007A1138">
        <w:rPr>
          <w:rFonts w:eastAsia="Times New Roman" w:cstheme="minorHAnsi"/>
          <w:sz w:val="24"/>
          <w:szCs w:val="24"/>
          <w:lang w:eastAsia="en-GB"/>
        </w:rPr>
        <w:t xml:space="preserve"> was</w:t>
      </w:r>
      <w:r w:rsidR="0045199B">
        <w:rPr>
          <w:rFonts w:eastAsia="Times New Roman" w:cstheme="minorHAnsi"/>
          <w:sz w:val="24"/>
          <w:szCs w:val="24"/>
          <w:lang w:eastAsia="en-GB"/>
        </w:rPr>
        <w:t xml:space="preserve"> </w:t>
      </w:r>
      <w:r w:rsidR="0045199B" w:rsidRPr="004C6202">
        <w:rPr>
          <w:rFonts w:eastAsia="Times New Roman" w:cstheme="minorHAnsi"/>
          <w:i/>
          <w:iCs/>
          <w:sz w:val="24"/>
          <w:szCs w:val="24"/>
          <w:lang w:eastAsia="en-GB"/>
        </w:rPr>
        <w:t>‘eligible’</w:t>
      </w:r>
      <w:r w:rsidR="0045199B">
        <w:rPr>
          <w:rFonts w:eastAsia="Times New Roman" w:cstheme="minorHAnsi"/>
          <w:sz w:val="24"/>
          <w:szCs w:val="24"/>
          <w:lang w:eastAsia="en-GB"/>
        </w:rPr>
        <w:t xml:space="preserve">, </w:t>
      </w:r>
      <w:r w:rsidR="0045199B" w:rsidRPr="004C6202">
        <w:rPr>
          <w:rFonts w:eastAsia="Times New Roman" w:cstheme="minorHAnsi"/>
          <w:i/>
          <w:iCs/>
          <w:sz w:val="24"/>
          <w:szCs w:val="24"/>
          <w:lang w:eastAsia="en-GB"/>
        </w:rPr>
        <w:t>‘</w:t>
      </w:r>
      <w:r w:rsidR="00B74994" w:rsidRPr="004C6202">
        <w:rPr>
          <w:rFonts w:eastAsia="Times New Roman" w:cstheme="minorHAnsi"/>
          <w:i/>
          <w:iCs/>
          <w:sz w:val="24"/>
          <w:szCs w:val="24"/>
          <w:lang w:eastAsia="en-GB"/>
        </w:rPr>
        <w:t>ineligible</w:t>
      </w:r>
      <w:r w:rsidR="00717CB5" w:rsidRPr="004C6202">
        <w:rPr>
          <w:rFonts w:eastAsia="Times New Roman" w:cstheme="minorHAnsi"/>
          <w:i/>
          <w:iCs/>
          <w:sz w:val="24"/>
          <w:szCs w:val="24"/>
          <w:lang w:eastAsia="en-GB"/>
        </w:rPr>
        <w:t>’</w:t>
      </w:r>
      <w:r w:rsidR="00717CB5">
        <w:rPr>
          <w:rFonts w:eastAsia="Times New Roman" w:cstheme="minorHAnsi"/>
          <w:sz w:val="24"/>
          <w:szCs w:val="24"/>
          <w:lang w:eastAsia="en-GB"/>
        </w:rPr>
        <w:t>, or ‘</w:t>
      </w:r>
      <w:r w:rsidR="00717CB5" w:rsidRPr="004C6202">
        <w:rPr>
          <w:rFonts w:eastAsia="Times New Roman" w:cstheme="minorHAnsi"/>
          <w:i/>
          <w:iCs/>
          <w:sz w:val="24"/>
          <w:szCs w:val="24"/>
          <w:lang w:eastAsia="en-GB"/>
        </w:rPr>
        <w:t>uncertain’</w:t>
      </w:r>
      <w:r w:rsidR="00717CB5">
        <w:rPr>
          <w:rFonts w:eastAsia="Times New Roman" w:cstheme="minorHAnsi"/>
          <w:sz w:val="24"/>
          <w:szCs w:val="24"/>
          <w:lang w:eastAsia="en-GB"/>
        </w:rPr>
        <w:t xml:space="preserve">, </w:t>
      </w:r>
      <w:r w:rsidR="007A1138">
        <w:rPr>
          <w:rFonts w:eastAsia="Times New Roman" w:cstheme="minorHAnsi"/>
          <w:sz w:val="24"/>
          <w:szCs w:val="24"/>
          <w:lang w:eastAsia="en-GB"/>
        </w:rPr>
        <w:t xml:space="preserve">for </w:t>
      </w:r>
      <w:r w:rsidR="0025738D">
        <w:rPr>
          <w:rFonts w:eastAsia="Times New Roman" w:cstheme="minorHAnsi"/>
          <w:sz w:val="24"/>
          <w:szCs w:val="24"/>
          <w:lang w:eastAsia="en-GB"/>
        </w:rPr>
        <w:t>ED</w:t>
      </w:r>
      <w:r w:rsidR="002A74E0">
        <w:rPr>
          <w:rFonts w:eastAsia="Times New Roman" w:cstheme="minorHAnsi"/>
          <w:sz w:val="24"/>
          <w:szCs w:val="24"/>
          <w:lang w:eastAsia="en-GB"/>
        </w:rPr>
        <w:t xml:space="preserve">. </w:t>
      </w:r>
      <w:r w:rsidR="00B74994">
        <w:rPr>
          <w:rFonts w:eastAsia="Times New Roman" w:cstheme="minorHAnsi"/>
          <w:sz w:val="24"/>
          <w:szCs w:val="24"/>
          <w:lang w:eastAsia="en-GB"/>
        </w:rPr>
        <w:t xml:space="preserve"> </w:t>
      </w:r>
      <w:r w:rsidR="00DB44D5">
        <w:rPr>
          <w:rFonts w:eastAsia="Times New Roman" w:cstheme="minorHAnsi"/>
          <w:sz w:val="24"/>
          <w:szCs w:val="24"/>
          <w:lang w:eastAsia="en-GB"/>
        </w:rPr>
        <w:t xml:space="preserve">Using this </w:t>
      </w:r>
      <w:r w:rsidR="00DE43C7">
        <w:rPr>
          <w:rFonts w:eastAsia="Times New Roman" w:cstheme="minorHAnsi"/>
          <w:sz w:val="24"/>
          <w:szCs w:val="24"/>
          <w:lang w:eastAsia="en-GB"/>
        </w:rPr>
        <w:t>methodology,</w:t>
      </w:r>
      <w:r w:rsidR="00DB44D5">
        <w:rPr>
          <w:rFonts w:eastAsia="Times New Roman" w:cstheme="minorHAnsi"/>
          <w:sz w:val="24"/>
          <w:szCs w:val="24"/>
          <w:lang w:eastAsia="en-GB"/>
        </w:rPr>
        <w:t xml:space="preserve"> we could illustrate the ‘actual’ potential </w:t>
      </w:r>
      <w:r w:rsidR="002A3A4E">
        <w:rPr>
          <w:rFonts w:eastAsia="Times New Roman" w:cstheme="minorHAnsi"/>
          <w:sz w:val="24"/>
          <w:szCs w:val="24"/>
          <w:lang w:eastAsia="en-GB"/>
        </w:rPr>
        <w:t xml:space="preserve">for ED at each research site. </w:t>
      </w:r>
      <w:r w:rsidRPr="00C01815">
        <w:rPr>
          <w:rFonts w:eastAsia="Times New Roman" w:cstheme="minorHAnsi"/>
          <w:sz w:val="24"/>
          <w:szCs w:val="24"/>
          <w:lang w:eastAsia="en-GB"/>
        </w:rPr>
        <w:t>Each clinical principal investigator</w:t>
      </w:r>
      <w:r w:rsidR="007F6028">
        <w:rPr>
          <w:rFonts w:eastAsia="Times New Roman" w:cstheme="minorHAnsi"/>
          <w:sz w:val="24"/>
          <w:szCs w:val="24"/>
          <w:lang w:eastAsia="en-GB"/>
        </w:rPr>
        <w:t xml:space="preserve"> (CPI)</w:t>
      </w:r>
      <w:r w:rsidRPr="00C01815">
        <w:rPr>
          <w:rFonts w:eastAsia="Times New Roman" w:cstheme="minorHAnsi"/>
          <w:sz w:val="24"/>
          <w:szCs w:val="24"/>
          <w:lang w:eastAsia="en-GB"/>
        </w:rPr>
        <w:t xml:space="preserve"> (JS, CF, CR, SM, AH, JW) was asked to assess 200 deceased patient notes from</w:t>
      </w:r>
      <w:r w:rsidR="007B145C">
        <w:rPr>
          <w:rFonts w:eastAsia="Times New Roman" w:cstheme="minorHAnsi"/>
          <w:sz w:val="24"/>
          <w:szCs w:val="24"/>
          <w:lang w:eastAsia="en-GB"/>
        </w:rPr>
        <w:t xml:space="preserve"> their sites, f</w:t>
      </w:r>
      <w:r w:rsidR="00B701E1">
        <w:rPr>
          <w:rFonts w:eastAsia="Times New Roman" w:cstheme="minorHAnsi"/>
          <w:sz w:val="24"/>
          <w:szCs w:val="24"/>
          <w:lang w:eastAsia="en-GB"/>
        </w:rPr>
        <w:t xml:space="preserve">rom </w:t>
      </w:r>
      <w:r w:rsidRPr="00C01815">
        <w:rPr>
          <w:rFonts w:eastAsia="Times New Roman" w:cstheme="minorHAnsi"/>
          <w:sz w:val="24"/>
          <w:szCs w:val="24"/>
          <w:lang w:eastAsia="en-GB"/>
        </w:rPr>
        <w:t xml:space="preserve">the previous two years against these </w:t>
      </w:r>
      <w:r w:rsidR="00D96CC7" w:rsidRPr="00C01815">
        <w:rPr>
          <w:rFonts w:eastAsia="Times New Roman" w:cstheme="minorHAnsi"/>
          <w:sz w:val="24"/>
          <w:szCs w:val="24"/>
          <w:lang w:eastAsia="en-GB"/>
        </w:rPr>
        <w:t>criteria.</w:t>
      </w:r>
      <w:r w:rsidR="00EC3CC2">
        <w:rPr>
          <w:rFonts w:eastAsia="Times New Roman" w:cstheme="minorHAnsi"/>
          <w:sz w:val="24"/>
          <w:szCs w:val="24"/>
          <w:lang w:eastAsia="en-GB"/>
        </w:rPr>
        <w:t xml:space="preserve"> </w:t>
      </w:r>
      <w:r w:rsidR="00706E44">
        <w:rPr>
          <w:rFonts w:eastAsia="Times New Roman" w:cstheme="minorHAnsi"/>
          <w:sz w:val="24"/>
          <w:szCs w:val="24"/>
          <w:lang w:eastAsia="en-GB"/>
        </w:rPr>
        <w:t xml:space="preserve">Clinical principal investigators </w:t>
      </w:r>
      <w:r w:rsidRPr="00C01815">
        <w:rPr>
          <w:rFonts w:eastAsia="Times New Roman" w:cstheme="minorHAnsi"/>
          <w:sz w:val="24"/>
          <w:szCs w:val="24"/>
          <w:lang w:eastAsia="en-GB"/>
        </w:rPr>
        <w:t>completed a data collection proforma in Microsoft Excel</w:t>
      </w:r>
      <w:r w:rsidR="00A30264">
        <w:rPr>
          <w:rFonts w:eastAsia="Times New Roman" w:cstheme="minorHAnsi"/>
          <w:sz w:val="24"/>
          <w:szCs w:val="24"/>
          <w:lang w:eastAsia="en-GB"/>
        </w:rPr>
        <w:t xml:space="preserve">. </w:t>
      </w:r>
      <w:r w:rsidRPr="00C01815">
        <w:rPr>
          <w:rFonts w:eastAsia="Times New Roman" w:cstheme="minorHAnsi"/>
          <w:sz w:val="24"/>
          <w:szCs w:val="24"/>
          <w:lang w:eastAsia="en-GB"/>
        </w:rPr>
        <w:t>Proformas incorporated both closed responses and free-text (written) options</w:t>
      </w:r>
      <w:r w:rsidR="00A72247">
        <w:rPr>
          <w:rFonts w:eastAsia="Times New Roman" w:cstheme="minorHAnsi"/>
          <w:sz w:val="24"/>
          <w:szCs w:val="24"/>
          <w:lang w:eastAsia="en-GB"/>
        </w:rPr>
        <w:t xml:space="preserve">. </w:t>
      </w:r>
      <w:r w:rsidRPr="00171A05">
        <w:rPr>
          <w:rFonts w:eastAsia="Times New Roman" w:cstheme="minorHAnsi"/>
          <w:sz w:val="24"/>
          <w:szCs w:val="24"/>
          <w:lang w:eastAsia="en-GB"/>
        </w:rPr>
        <w:t>Free</w:t>
      </w:r>
      <w:r w:rsidRPr="00C01815">
        <w:rPr>
          <w:rFonts w:eastAsia="Times New Roman" w:cstheme="minorHAnsi"/>
          <w:sz w:val="24"/>
          <w:szCs w:val="24"/>
          <w:lang w:eastAsia="en-GB"/>
        </w:rPr>
        <w:t xml:space="preserve">-text options </w:t>
      </w:r>
      <w:r w:rsidR="00087B2C" w:rsidRPr="00C01815">
        <w:rPr>
          <w:rFonts w:eastAsia="Times New Roman" w:cstheme="minorHAnsi"/>
          <w:sz w:val="24"/>
          <w:szCs w:val="24"/>
          <w:lang w:eastAsia="en-GB"/>
        </w:rPr>
        <w:t>aim</w:t>
      </w:r>
      <w:r w:rsidR="00087B2C">
        <w:rPr>
          <w:rFonts w:eastAsia="Times New Roman" w:cstheme="minorHAnsi"/>
          <w:sz w:val="24"/>
          <w:szCs w:val="24"/>
          <w:lang w:eastAsia="en-GB"/>
        </w:rPr>
        <w:t xml:space="preserve">ed </w:t>
      </w:r>
      <w:r w:rsidR="00087B2C" w:rsidRPr="00C01815">
        <w:rPr>
          <w:rFonts w:eastAsia="Times New Roman" w:cstheme="minorHAnsi"/>
          <w:sz w:val="24"/>
          <w:szCs w:val="24"/>
          <w:lang w:eastAsia="en-GB"/>
        </w:rPr>
        <w:t>to</w:t>
      </w:r>
      <w:r w:rsidRPr="00C01815">
        <w:rPr>
          <w:rFonts w:eastAsia="Times New Roman" w:cstheme="minorHAnsi"/>
          <w:sz w:val="24"/>
          <w:szCs w:val="24"/>
          <w:lang w:eastAsia="en-GB"/>
        </w:rPr>
        <w:t xml:space="preserve"> identify contraindications that were particularly challenging for </w:t>
      </w:r>
      <w:r w:rsidR="00087B2C">
        <w:rPr>
          <w:rFonts w:eastAsia="Times New Roman" w:cstheme="minorHAnsi"/>
          <w:sz w:val="24"/>
          <w:szCs w:val="24"/>
          <w:lang w:eastAsia="en-GB"/>
        </w:rPr>
        <w:t>CPIs</w:t>
      </w:r>
      <w:r w:rsidRPr="00C01815">
        <w:rPr>
          <w:rFonts w:eastAsia="Times New Roman" w:cstheme="minorHAnsi"/>
          <w:sz w:val="24"/>
          <w:szCs w:val="24"/>
          <w:lang w:eastAsia="en-GB"/>
        </w:rPr>
        <w:t xml:space="preserve"> to assess with respect to ED eligibility (and thereby identify areas potential information and/or training needs).</w:t>
      </w:r>
      <w:r w:rsidR="0077177B">
        <w:rPr>
          <w:rFonts w:eastAsia="Times New Roman" w:cstheme="minorHAnsi"/>
          <w:sz w:val="24"/>
          <w:szCs w:val="24"/>
          <w:lang w:eastAsia="en-GB"/>
        </w:rPr>
        <w:t xml:space="preserve"> </w:t>
      </w:r>
      <w:r w:rsidR="00762163">
        <w:rPr>
          <w:rFonts w:eastAsia="Times New Roman" w:cstheme="minorHAnsi"/>
          <w:sz w:val="24"/>
          <w:szCs w:val="24"/>
          <w:lang w:eastAsia="en-GB"/>
        </w:rPr>
        <w:t xml:space="preserve">Clinical </w:t>
      </w:r>
      <w:r w:rsidR="0067085F">
        <w:rPr>
          <w:rFonts w:eastAsia="Times New Roman" w:cstheme="minorHAnsi"/>
          <w:sz w:val="24"/>
          <w:szCs w:val="24"/>
          <w:lang w:eastAsia="en-GB"/>
        </w:rPr>
        <w:t>principal</w:t>
      </w:r>
      <w:r w:rsidR="00762163">
        <w:rPr>
          <w:rFonts w:eastAsia="Times New Roman" w:cstheme="minorHAnsi"/>
          <w:sz w:val="24"/>
          <w:szCs w:val="24"/>
          <w:lang w:eastAsia="en-GB"/>
        </w:rPr>
        <w:t xml:space="preserve"> investigators t</w:t>
      </w:r>
      <w:r w:rsidRPr="00C01815">
        <w:rPr>
          <w:rFonts w:eastAsia="Times New Roman" w:cstheme="minorHAnsi"/>
          <w:sz w:val="24"/>
          <w:szCs w:val="24"/>
          <w:lang w:eastAsia="en-GB"/>
        </w:rPr>
        <w:t>hen returned completed proformas to the study team</w:t>
      </w:r>
      <w:r w:rsidR="00FC0882">
        <w:rPr>
          <w:rFonts w:eastAsia="Times New Roman" w:cstheme="minorHAnsi"/>
          <w:sz w:val="24"/>
          <w:szCs w:val="24"/>
          <w:lang w:eastAsia="en-GB"/>
        </w:rPr>
        <w:t xml:space="preserve"> </w:t>
      </w:r>
      <w:r w:rsidR="00FC0882" w:rsidRPr="00C01815">
        <w:rPr>
          <w:rFonts w:eastAsia="Times New Roman" w:cstheme="minorHAnsi"/>
          <w:sz w:val="24"/>
          <w:szCs w:val="24"/>
          <w:lang w:eastAsia="en-GB"/>
        </w:rPr>
        <w:t>(MJB)</w:t>
      </w:r>
      <w:r w:rsidRPr="00C01815">
        <w:rPr>
          <w:rFonts w:eastAsia="Times New Roman" w:cstheme="minorHAnsi"/>
          <w:sz w:val="24"/>
          <w:szCs w:val="24"/>
          <w:lang w:eastAsia="en-GB"/>
        </w:rPr>
        <w:t xml:space="preserve"> for missing data checks</w:t>
      </w:r>
      <w:r w:rsidR="00FC0882">
        <w:rPr>
          <w:rFonts w:eastAsia="Times New Roman" w:cstheme="minorHAnsi"/>
          <w:sz w:val="24"/>
          <w:szCs w:val="24"/>
          <w:lang w:eastAsia="en-GB"/>
        </w:rPr>
        <w:t>.</w:t>
      </w:r>
      <w:r w:rsidRPr="00C01815">
        <w:rPr>
          <w:rFonts w:eastAsia="Times New Roman" w:cstheme="minorHAnsi"/>
          <w:sz w:val="24"/>
          <w:szCs w:val="24"/>
          <w:lang w:eastAsia="en-GB"/>
        </w:rPr>
        <w:t xml:space="preserve"> </w:t>
      </w:r>
    </w:p>
    <w:p w14:paraId="05239A55" w14:textId="77777777" w:rsidR="00C01815" w:rsidRPr="00C01815" w:rsidRDefault="00C01815" w:rsidP="00C01815">
      <w:pPr>
        <w:keepNext/>
        <w:keepLines/>
        <w:spacing w:before="100" w:beforeAutospacing="1" w:after="100" w:afterAutospacing="1" w:line="360" w:lineRule="auto"/>
        <w:outlineLvl w:val="1"/>
        <w:rPr>
          <w:rFonts w:eastAsiaTheme="majorEastAsia" w:cstheme="minorHAnsi"/>
          <w:b/>
          <w:bCs/>
          <w:noProof/>
          <w:color w:val="1F3864" w:themeColor="accent1" w:themeShade="80"/>
          <w:sz w:val="24"/>
          <w:szCs w:val="24"/>
        </w:rPr>
      </w:pPr>
      <w:r w:rsidRPr="00C01815">
        <w:rPr>
          <w:rFonts w:eastAsiaTheme="majorEastAsia" w:cstheme="minorHAnsi"/>
          <w:b/>
          <w:bCs/>
          <w:noProof/>
          <w:color w:val="1F3864" w:themeColor="accent1" w:themeShade="80"/>
          <w:sz w:val="24"/>
          <w:szCs w:val="24"/>
        </w:rPr>
        <w:t>Data analysis</w:t>
      </w:r>
    </w:p>
    <w:p w14:paraId="724A86F8" w14:textId="50F4D93F"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Proformas submitted to the study team (MJB) were then circulated for evaluation by specialist colleagues NHSBT Tissue Services (MB and JJ), using an evaluation proforma developed by the team (also completed using Microsoft Excel</w:t>
      </w:r>
      <w:r w:rsidR="00B90CB9">
        <w:rPr>
          <w:rFonts w:eastAsia="Times New Roman" w:cstheme="minorHAnsi"/>
          <w:sz w:val="24"/>
          <w:szCs w:val="24"/>
          <w:lang w:eastAsia="en-GB"/>
        </w:rPr>
        <w:t>)</w:t>
      </w:r>
      <w:r w:rsidR="00CD528C">
        <w:rPr>
          <w:rFonts w:eastAsia="Times New Roman" w:cstheme="minorHAnsi"/>
          <w:sz w:val="24"/>
          <w:szCs w:val="24"/>
          <w:lang w:eastAsia="en-GB"/>
        </w:rPr>
        <w:t xml:space="preserve">. </w:t>
      </w:r>
      <w:r w:rsidRPr="00C01815">
        <w:rPr>
          <w:rFonts w:eastAsia="Times New Roman" w:cstheme="minorHAnsi"/>
          <w:sz w:val="24"/>
          <w:szCs w:val="24"/>
          <w:lang w:eastAsia="en-GB"/>
        </w:rPr>
        <w:t xml:space="preserve">Numerical data underwent descriptive statistical analysis to identify numbers and proportions of cases deemed eligible/ineligible. Data were also interrogated with respect to differences in assessment, with free-text comment boxes offering the option to comment on the decision made.  All percentage figures have been rounded up or down to full numbers following the usual convention in reporting. </w:t>
      </w:r>
    </w:p>
    <w:p w14:paraId="3028C6C4" w14:textId="447B177D" w:rsidR="00C01815" w:rsidRPr="00C01815" w:rsidRDefault="0052186C" w:rsidP="00C01815">
      <w:pPr>
        <w:keepNext/>
        <w:keepLines/>
        <w:spacing w:before="40" w:beforeAutospacing="1" w:after="0" w:afterAutospacing="1" w:line="360" w:lineRule="auto"/>
        <w:outlineLvl w:val="3"/>
        <w:rPr>
          <w:rFonts w:ascii="Calibri" w:eastAsiaTheme="majorEastAsia" w:hAnsi="Calibri" w:cs="Calibri"/>
          <w:b/>
          <w:bCs/>
          <w:color w:val="1F3864" w:themeColor="accent1" w:themeShade="80"/>
          <w:sz w:val="28"/>
          <w:szCs w:val="24"/>
          <w:lang w:eastAsia="en-GB"/>
        </w:rPr>
      </w:pPr>
      <w:r>
        <w:rPr>
          <w:rFonts w:ascii="Calibri" w:eastAsiaTheme="majorEastAsia" w:hAnsi="Calibri" w:cs="Calibri"/>
          <w:b/>
          <w:bCs/>
          <w:color w:val="1F3864" w:themeColor="accent1" w:themeShade="80"/>
          <w:sz w:val="28"/>
          <w:szCs w:val="24"/>
          <w:lang w:eastAsia="en-GB"/>
        </w:rPr>
        <w:t>Results</w:t>
      </w:r>
    </w:p>
    <w:p w14:paraId="275E0B9F"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asciiTheme="majorHAnsi" w:eastAsiaTheme="majorEastAsia" w:hAnsiTheme="majorHAnsi" w:cstheme="majorHAnsi"/>
          <w:b/>
          <w:i/>
          <w:iCs/>
          <w:color w:val="1F3864" w:themeColor="accent1" w:themeShade="80"/>
          <w:sz w:val="20"/>
          <w:szCs w:val="20"/>
          <w:lang w:eastAsia="en-GB"/>
        </w:rPr>
        <w:t xml:space="preserve"> </w:t>
      </w:r>
      <w:r w:rsidRPr="00C01815">
        <w:rPr>
          <w:rFonts w:eastAsiaTheme="majorEastAsia" w:cstheme="minorHAnsi"/>
          <w:bCs/>
          <w:i/>
          <w:iCs/>
          <w:color w:val="1F3864" w:themeColor="accent1" w:themeShade="80"/>
          <w:sz w:val="24"/>
          <w:szCs w:val="24"/>
          <w:lang w:eastAsia="en-GB"/>
        </w:rPr>
        <w:t>Site population and review completion characteristics</w:t>
      </w:r>
    </w:p>
    <w:p w14:paraId="5DF09200" w14:textId="18C9F1EC"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Clinical</w:t>
      </w:r>
      <w:r w:rsidR="00DC059E">
        <w:rPr>
          <w:rFonts w:eastAsia="Times New Roman" w:cstheme="minorHAnsi"/>
          <w:sz w:val="24"/>
          <w:szCs w:val="24"/>
          <w:lang w:eastAsia="en-GB"/>
        </w:rPr>
        <w:t xml:space="preserve"> </w:t>
      </w:r>
      <w:r w:rsidR="004B6D6D">
        <w:rPr>
          <w:rFonts w:eastAsia="Times New Roman" w:cstheme="minorHAnsi"/>
          <w:sz w:val="24"/>
          <w:szCs w:val="24"/>
          <w:lang w:eastAsia="en-GB"/>
        </w:rPr>
        <w:t>principal</w:t>
      </w:r>
      <w:r w:rsidR="00DC059E">
        <w:rPr>
          <w:rFonts w:eastAsia="Times New Roman" w:cstheme="minorHAnsi"/>
          <w:sz w:val="24"/>
          <w:szCs w:val="24"/>
          <w:lang w:eastAsia="en-GB"/>
        </w:rPr>
        <w:t xml:space="preserve"> investigators </w:t>
      </w:r>
      <w:r w:rsidRPr="00C01815">
        <w:rPr>
          <w:rFonts w:eastAsia="Times New Roman" w:cstheme="minorHAnsi"/>
          <w:sz w:val="24"/>
          <w:szCs w:val="24"/>
          <w:lang w:eastAsia="en-GB"/>
        </w:rPr>
        <w:t xml:space="preserve">at the six </w:t>
      </w:r>
      <w:r w:rsidR="00C66061">
        <w:rPr>
          <w:rFonts w:eastAsia="Times New Roman" w:cstheme="minorHAnsi"/>
          <w:sz w:val="24"/>
          <w:szCs w:val="24"/>
          <w:lang w:eastAsia="en-GB"/>
        </w:rPr>
        <w:t xml:space="preserve">clinical sites (three </w:t>
      </w:r>
      <w:r w:rsidR="00346A84">
        <w:rPr>
          <w:rFonts w:eastAsia="Times New Roman" w:cstheme="minorHAnsi"/>
          <w:sz w:val="24"/>
          <w:szCs w:val="24"/>
          <w:lang w:eastAsia="en-GB"/>
        </w:rPr>
        <w:t xml:space="preserve">Hospice Care (HC) and three </w:t>
      </w:r>
      <w:r w:rsidR="00CE228A">
        <w:rPr>
          <w:rFonts w:eastAsia="Times New Roman" w:cstheme="minorHAnsi"/>
          <w:sz w:val="24"/>
          <w:szCs w:val="24"/>
          <w:lang w:eastAsia="en-GB"/>
        </w:rPr>
        <w:t xml:space="preserve">Hospital </w:t>
      </w:r>
      <w:r w:rsidR="00F92B73">
        <w:rPr>
          <w:rFonts w:eastAsia="Times New Roman" w:cstheme="minorHAnsi"/>
          <w:sz w:val="24"/>
          <w:szCs w:val="24"/>
          <w:lang w:eastAsia="en-GB"/>
        </w:rPr>
        <w:t>Palliative</w:t>
      </w:r>
      <w:r w:rsidR="00CE228A">
        <w:rPr>
          <w:rFonts w:eastAsia="Times New Roman" w:cstheme="minorHAnsi"/>
          <w:sz w:val="24"/>
          <w:szCs w:val="24"/>
          <w:lang w:eastAsia="en-GB"/>
        </w:rPr>
        <w:t xml:space="preserve"> Care (</w:t>
      </w:r>
      <w:r w:rsidR="00F92B73">
        <w:rPr>
          <w:rFonts w:eastAsia="Times New Roman" w:cstheme="minorHAnsi"/>
          <w:sz w:val="24"/>
          <w:szCs w:val="24"/>
          <w:lang w:eastAsia="en-GB"/>
        </w:rPr>
        <w:t xml:space="preserve">HPC) </w:t>
      </w:r>
      <w:r w:rsidRPr="00C01815">
        <w:rPr>
          <w:rFonts w:eastAsia="Times New Roman" w:cstheme="minorHAnsi"/>
          <w:sz w:val="24"/>
          <w:szCs w:val="24"/>
          <w:lang w:eastAsia="en-GB"/>
        </w:rPr>
        <w:t>sites completed retrospective note review of 1199</w:t>
      </w:r>
      <w:r w:rsidR="00F92B73">
        <w:rPr>
          <w:rFonts w:eastAsia="Times New Roman" w:cstheme="minorHAnsi"/>
          <w:sz w:val="24"/>
          <w:szCs w:val="24"/>
          <w:lang w:eastAsia="en-GB"/>
        </w:rPr>
        <w:t xml:space="preserve"> </w:t>
      </w:r>
      <w:r w:rsidRPr="00C01815">
        <w:rPr>
          <w:rFonts w:eastAsia="Times New Roman" w:cstheme="minorHAnsi"/>
          <w:sz w:val="24"/>
          <w:szCs w:val="24"/>
          <w:lang w:eastAsia="en-GB"/>
        </w:rPr>
        <w:t xml:space="preserve">deceased patients’ notes for patients who had died between February 2019-March 2021. Median deaths per year for all sites for this period was 429 (range = 120-1984 deaths per year). For HC settings, the median number of deaths per year was 250 (range = 120-386), </w:t>
      </w:r>
      <w:r w:rsidR="008C12B0">
        <w:rPr>
          <w:rFonts w:eastAsia="Times New Roman" w:cstheme="minorHAnsi"/>
          <w:sz w:val="24"/>
          <w:szCs w:val="24"/>
          <w:lang w:eastAsia="en-GB"/>
        </w:rPr>
        <w:t>and</w:t>
      </w:r>
      <w:r w:rsidRPr="00C01815">
        <w:rPr>
          <w:rFonts w:eastAsia="Times New Roman" w:cstheme="minorHAnsi"/>
          <w:sz w:val="24"/>
          <w:szCs w:val="24"/>
          <w:lang w:eastAsia="en-GB"/>
        </w:rPr>
        <w:t xml:space="preserve"> HPC median deaths per year was 513 (range = 250-1984). Notes review</w:t>
      </w:r>
      <w:r w:rsidR="00984FA6">
        <w:rPr>
          <w:rFonts w:eastAsia="Times New Roman" w:cstheme="minorHAnsi"/>
          <w:sz w:val="24"/>
          <w:szCs w:val="24"/>
          <w:lang w:eastAsia="en-GB"/>
        </w:rPr>
        <w:t xml:space="preserve"> assessment</w:t>
      </w:r>
      <w:r w:rsidRPr="00C01815">
        <w:rPr>
          <w:rFonts w:eastAsia="Times New Roman" w:cstheme="minorHAnsi"/>
          <w:sz w:val="24"/>
          <w:szCs w:val="24"/>
          <w:lang w:eastAsia="en-GB"/>
        </w:rPr>
        <w:t xml:space="preserve"> was completed between January 2020-March 2021, with evaluation taking place between March 2020-August 2021. The mean time required for review was 21.3 minutes per case (SD = 45.4</w:t>
      </w:r>
      <w:r w:rsidR="0094673F">
        <w:rPr>
          <w:rFonts w:eastAsia="Times New Roman" w:cstheme="minorHAnsi"/>
          <w:sz w:val="24"/>
          <w:szCs w:val="24"/>
          <w:lang w:eastAsia="en-GB"/>
        </w:rPr>
        <w:t>,</w:t>
      </w:r>
      <w:r w:rsidRPr="00C01815">
        <w:rPr>
          <w:rFonts w:eastAsia="Times New Roman" w:cstheme="minorHAnsi"/>
          <w:sz w:val="24"/>
          <w:szCs w:val="24"/>
          <w:lang w:eastAsia="en-GB"/>
        </w:rPr>
        <w:t xml:space="preserve"> range = 12.5-27).</w:t>
      </w:r>
    </w:p>
    <w:p w14:paraId="711DEF86"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Sample demographics</w:t>
      </w:r>
    </w:p>
    <w:p w14:paraId="247AEC9B" w14:textId="5EAE563F"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For all cases (n=1199), mean age at death was 73.4 years (SD=13.8; Range = 21-105</w:t>
      </w:r>
      <w:r w:rsidR="00B26758">
        <w:rPr>
          <w:rFonts w:eastAsia="Times New Roman" w:cstheme="minorHAnsi"/>
          <w:sz w:val="24"/>
          <w:szCs w:val="24"/>
          <w:lang w:eastAsia="en-GB"/>
        </w:rPr>
        <w:t>) (</w:t>
      </w:r>
      <w:r w:rsidRPr="00C01815">
        <w:rPr>
          <w:rFonts w:eastAsia="Times New Roman" w:cstheme="minorHAnsi"/>
          <w:sz w:val="24"/>
          <w:szCs w:val="24"/>
          <w:lang w:eastAsia="en-GB"/>
        </w:rPr>
        <w:t xml:space="preserve">see Figure </w:t>
      </w:r>
      <w:r w:rsidR="00AE3B91">
        <w:rPr>
          <w:rFonts w:eastAsia="Times New Roman" w:cstheme="minorHAnsi"/>
          <w:sz w:val="24"/>
          <w:szCs w:val="24"/>
          <w:lang w:eastAsia="en-GB"/>
        </w:rPr>
        <w:t>1</w:t>
      </w:r>
      <w:r w:rsidRPr="00C01815">
        <w:rPr>
          <w:rFonts w:eastAsia="Times New Roman" w:cstheme="minorHAnsi"/>
          <w:sz w:val="24"/>
          <w:szCs w:val="24"/>
          <w:lang w:eastAsia="en-GB"/>
        </w:rPr>
        <w:t>). For HC settings, mean age at death was 68.9 years (SD=12.6; Range = 21-98), while for HPC this was 77.9 years (SD=13.5; Range = 21-150). Female cases represented 4</w:t>
      </w:r>
      <w:r w:rsidR="00955C4D">
        <w:rPr>
          <w:rFonts w:eastAsia="Times New Roman" w:cstheme="minorHAnsi"/>
          <w:sz w:val="24"/>
          <w:szCs w:val="24"/>
          <w:lang w:eastAsia="en-GB"/>
        </w:rPr>
        <w:t>8</w:t>
      </w:r>
      <w:r w:rsidRPr="00C01815">
        <w:rPr>
          <w:rFonts w:eastAsia="Times New Roman" w:cstheme="minorHAnsi"/>
          <w:sz w:val="24"/>
          <w:szCs w:val="24"/>
          <w:lang w:eastAsia="en-GB"/>
        </w:rPr>
        <w:t>% of the total (HC = 48%; HPC = 48%). ‘White British’ was the recorded ethnicity in 82% of total cases. Ethnicity diversity was slightly higher in HC settings compared with HPC (HC = 74.0% ‘White British’ vs. HPC = 88% White British</w:t>
      </w:r>
      <w:r w:rsidR="00877426">
        <w:rPr>
          <w:rFonts w:eastAsia="Times New Roman" w:cstheme="minorHAnsi"/>
          <w:sz w:val="24"/>
          <w:szCs w:val="24"/>
          <w:lang w:eastAsia="en-GB"/>
        </w:rPr>
        <w:t>)</w:t>
      </w:r>
      <w:r w:rsidRPr="00C01815">
        <w:rPr>
          <w:rFonts w:eastAsia="Times New Roman" w:cstheme="minorHAnsi"/>
          <w:sz w:val="24"/>
          <w:szCs w:val="24"/>
          <w:lang w:eastAsia="en-GB"/>
        </w:rPr>
        <w:t xml:space="preserve">. </w:t>
      </w:r>
    </w:p>
    <w:p w14:paraId="7556E391" w14:textId="77777777" w:rsidR="00C01815" w:rsidRPr="00C01815" w:rsidRDefault="00C01815" w:rsidP="00C01815">
      <w:pPr>
        <w:keepNext/>
        <w:keepLines/>
        <w:spacing w:before="40" w:beforeAutospacing="1" w:after="0" w:afterAutospacing="1" w:line="360" w:lineRule="auto"/>
        <w:outlineLvl w:val="3"/>
        <w:rPr>
          <w:rFonts w:ascii="Calibri" w:eastAsiaTheme="majorEastAsia" w:hAnsi="Calibri" w:cs="Calibri"/>
          <w:b/>
          <w:bCs/>
          <w:color w:val="1F3864" w:themeColor="accent1" w:themeShade="80"/>
          <w:sz w:val="24"/>
          <w:szCs w:val="24"/>
          <w:lang w:eastAsia="en-GB"/>
        </w:rPr>
      </w:pPr>
      <w:r w:rsidRPr="00C01815">
        <w:rPr>
          <w:rFonts w:ascii="Calibri" w:eastAsiaTheme="majorEastAsia" w:hAnsi="Calibri" w:cs="Calibri"/>
          <w:b/>
          <w:bCs/>
          <w:color w:val="1F3864" w:themeColor="accent1" w:themeShade="80"/>
          <w:sz w:val="24"/>
          <w:szCs w:val="24"/>
          <w:lang w:eastAsia="en-GB"/>
        </w:rPr>
        <w:t>Results deceased patient note review</w:t>
      </w:r>
    </w:p>
    <w:p w14:paraId="21652CDC"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 xml:space="preserve">Agreement rate on eligibility for referral to NHSBT-TES </w:t>
      </w:r>
    </w:p>
    <w:p w14:paraId="4176BF13" w14:textId="03085F87"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The total agreement rate (</w:t>
      </w:r>
      <w:r w:rsidR="00936465">
        <w:rPr>
          <w:rFonts w:eastAsia="Times New Roman" w:cstheme="minorHAnsi"/>
          <w:sz w:val="24"/>
          <w:szCs w:val="24"/>
          <w:lang w:eastAsia="en-GB"/>
        </w:rPr>
        <w:t>where assessor and evaluator made the same decision)</w:t>
      </w:r>
      <w:r w:rsidRPr="00C01815">
        <w:rPr>
          <w:rFonts w:eastAsia="Times New Roman" w:cstheme="minorHAnsi"/>
          <w:sz w:val="24"/>
          <w:szCs w:val="24"/>
          <w:lang w:eastAsia="en-GB"/>
        </w:rPr>
        <w:t xml:space="preserve">, whether </w:t>
      </w:r>
      <w:r w:rsidRPr="00852835">
        <w:rPr>
          <w:rFonts w:eastAsia="Times New Roman" w:cstheme="minorHAnsi"/>
          <w:i/>
          <w:iCs/>
          <w:sz w:val="24"/>
          <w:szCs w:val="24"/>
          <w:lang w:eastAsia="en-GB"/>
        </w:rPr>
        <w:t>eligible</w:t>
      </w:r>
      <w:r w:rsidRPr="00C01815">
        <w:rPr>
          <w:rFonts w:eastAsia="Times New Roman" w:cstheme="minorHAnsi"/>
          <w:sz w:val="24"/>
          <w:szCs w:val="24"/>
          <w:lang w:eastAsia="en-GB"/>
        </w:rPr>
        <w:t xml:space="preserve">, </w:t>
      </w:r>
      <w:r w:rsidRPr="00852835">
        <w:rPr>
          <w:rFonts w:eastAsia="Times New Roman" w:cstheme="minorHAnsi"/>
          <w:i/>
          <w:iCs/>
          <w:sz w:val="24"/>
          <w:szCs w:val="24"/>
          <w:lang w:eastAsia="en-GB"/>
        </w:rPr>
        <w:t>ineligible</w:t>
      </w:r>
      <w:r w:rsidRPr="00C01815">
        <w:rPr>
          <w:rFonts w:eastAsia="Times New Roman" w:cstheme="minorHAnsi"/>
          <w:sz w:val="24"/>
          <w:szCs w:val="24"/>
          <w:lang w:eastAsia="en-GB"/>
        </w:rPr>
        <w:t xml:space="preserve">, or </w:t>
      </w:r>
      <w:r w:rsidRPr="00852835">
        <w:rPr>
          <w:rFonts w:eastAsia="Times New Roman" w:cstheme="minorHAnsi"/>
          <w:i/>
          <w:iCs/>
          <w:sz w:val="24"/>
          <w:szCs w:val="24"/>
          <w:lang w:eastAsia="en-GB"/>
        </w:rPr>
        <w:t xml:space="preserve">uncertain </w:t>
      </w:r>
      <w:r w:rsidRPr="00C01815">
        <w:rPr>
          <w:rFonts w:eastAsia="Times New Roman" w:cstheme="minorHAnsi"/>
          <w:sz w:val="24"/>
          <w:szCs w:val="24"/>
          <w:lang w:eastAsia="en-GB"/>
        </w:rPr>
        <w:t xml:space="preserve">re eligibility for potential eye donation was 81% (n = 972 of 1199 total case. Differences in outcome of eligibility assessments between </w:t>
      </w:r>
      <w:r w:rsidR="0048372A">
        <w:rPr>
          <w:rFonts w:eastAsia="Times New Roman" w:cstheme="minorHAnsi"/>
          <w:sz w:val="24"/>
          <w:szCs w:val="24"/>
          <w:lang w:eastAsia="en-GB"/>
        </w:rPr>
        <w:t xml:space="preserve">assessors </w:t>
      </w:r>
      <w:r w:rsidRPr="00C01815">
        <w:rPr>
          <w:rFonts w:eastAsia="Times New Roman" w:cstheme="minorHAnsi"/>
          <w:sz w:val="24"/>
          <w:szCs w:val="24"/>
          <w:lang w:eastAsia="en-GB"/>
        </w:rPr>
        <w:t>and evaluators occurred in 19% (n=227 of 1199 total cases).</w:t>
      </w:r>
    </w:p>
    <w:p w14:paraId="038D1CDD"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 xml:space="preserve">Agreement rate on eligibility for referral to NHSBT-TES by site </w:t>
      </w:r>
    </w:p>
    <w:p w14:paraId="5798FF69" w14:textId="1806D83E"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Of the 601 deceased patients note reviewed in HC</w:t>
      </w:r>
      <w:r w:rsidR="0048372A">
        <w:rPr>
          <w:rFonts w:eastAsia="Times New Roman" w:cstheme="minorHAnsi"/>
          <w:sz w:val="24"/>
          <w:szCs w:val="24"/>
          <w:lang w:eastAsia="en-GB"/>
        </w:rPr>
        <w:t xml:space="preserve"> settings</w:t>
      </w:r>
      <w:r w:rsidRPr="00C01815">
        <w:rPr>
          <w:rFonts w:eastAsia="Times New Roman" w:cstheme="minorHAnsi"/>
          <w:sz w:val="24"/>
          <w:szCs w:val="24"/>
          <w:lang w:eastAsia="en-GB"/>
        </w:rPr>
        <w:t xml:space="preserve"> the agreement rate was 79%, </w:t>
      </w:r>
      <w:r w:rsidR="00677A9A">
        <w:rPr>
          <w:rFonts w:eastAsia="Times New Roman" w:cstheme="minorHAnsi"/>
          <w:sz w:val="24"/>
          <w:szCs w:val="24"/>
          <w:lang w:eastAsia="en-GB"/>
        </w:rPr>
        <w:t>(</w:t>
      </w:r>
      <w:r w:rsidRPr="00C01815">
        <w:rPr>
          <w:rFonts w:eastAsia="Times New Roman" w:cstheme="minorHAnsi"/>
          <w:sz w:val="24"/>
          <w:szCs w:val="24"/>
          <w:lang w:eastAsia="en-GB"/>
        </w:rPr>
        <w:t>n = 475 cases</w:t>
      </w:r>
      <w:r w:rsidR="00677A9A">
        <w:rPr>
          <w:rFonts w:eastAsia="Times New Roman" w:cstheme="minorHAnsi"/>
          <w:sz w:val="24"/>
          <w:szCs w:val="24"/>
          <w:lang w:eastAsia="en-GB"/>
        </w:rPr>
        <w:t>)</w:t>
      </w:r>
      <w:r w:rsidRPr="00C01815">
        <w:rPr>
          <w:rFonts w:eastAsia="Times New Roman" w:cstheme="minorHAnsi"/>
          <w:sz w:val="24"/>
          <w:szCs w:val="24"/>
          <w:lang w:eastAsia="en-GB"/>
        </w:rPr>
        <w:t xml:space="preserve"> and of the 598 deceased patients’ notes reviewed in HPC</w:t>
      </w:r>
      <w:r w:rsidR="004F678E">
        <w:rPr>
          <w:rFonts w:eastAsia="Times New Roman" w:cstheme="minorHAnsi"/>
          <w:sz w:val="24"/>
          <w:szCs w:val="24"/>
          <w:lang w:eastAsia="en-GB"/>
        </w:rPr>
        <w:t xml:space="preserve"> settings</w:t>
      </w:r>
      <w:r w:rsidRPr="00C01815">
        <w:rPr>
          <w:rFonts w:eastAsia="Times New Roman" w:cstheme="minorHAnsi"/>
          <w:sz w:val="24"/>
          <w:szCs w:val="24"/>
          <w:lang w:eastAsia="en-GB"/>
        </w:rPr>
        <w:t xml:space="preserve"> the agreement rate was 83%, </w:t>
      </w:r>
      <w:r w:rsidR="00B11C10">
        <w:rPr>
          <w:rFonts w:eastAsia="Times New Roman" w:cstheme="minorHAnsi"/>
          <w:sz w:val="24"/>
          <w:szCs w:val="24"/>
          <w:lang w:eastAsia="en-GB"/>
        </w:rPr>
        <w:t>(</w:t>
      </w:r>
      <w:r w:rsidRPr="00C01815">
        <w:rPr>
          <w:rFonts w:eastAsia="Times New Roman" w:cstheme="minorHAnsi"/>
          <w:sz w:val="24"/>
          <w:szCs w:val="24"/>
          <w:lang w:eastAsia="en-GB"/>
        </w:rPr>
        <w:t>n = 497</w:t>
      </w:r>
      <w:r w:rsidR="00B11C10">
        <w:rPr>
          <w:rFonts w:eastAsia="Times New Roman" w:cstheme="minorHAnsi"/>
          <w:sz w:val="24"/>
          <w:szCs w:val="24"/>
          <w:lang w:eastAsia="en-GB"/>
        </w:rPr>
        <w:t>)</w:t>
      </w:r>
      <w:r w:rsidRPr="00C01815">
        <w:rPr>
          <w:rFonts w:eastAsia="Times New Roman" w:cstheme="minorHAnsi"/>
          <w:sz w:val="24"/>
          <w:szCs w:val="24"/>
          <w:lang w:eastAsia="en-GB"/>
        </w:rPr>
        <w:t xml:space="preserve">. </w:t>
      </w:r>
    </w:p>
    <w:p w14:paraId="238B30AB"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Potential for ED</w:t>
      </w:r>
    </w:p>
    <w:p w14:paraId="2DD6DB93" w14:textId="4A162792"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Forty six percent (n=553) </w:t>
      </w:r>
      <w:r w:rsidR="00CC6EF3" w:rsidRPr="00C01815">
        <w:rPr>
          <w:rFonts w:eastAsia="Times New Roman" w:cstheme="minorHAnsi"/>
          <w:sz w:val="24"/>
          <w:szCs w:val="24"/>
          <w:lang w:eastAsia="en-GB"/>
        </w:rPr>
        <w:t xml:space="preserve">of </w:t>
      </w:r>
      <w:r w:rsidRPr="00C01815">
        <w:rPr>
          <w:rFonts w:eastAsia="Times New Roman" w:cstheme="minorHAnsi"/>
          <w:sz w:val="24"/>
          <w:szCs w:val="24"/>
          <w:lang w:eastAsia="en-GB"/>
        </w:rPr>
        <w:t xml:space="preserve">deceased patients’ notes were agreed by </w:t>
      </w:r>
      <w:r w:rsidR="00D57B4C">
        <w:rPr>
          <w:rFonts w:eastAsia="Times New Roman" w:cstheme="minorHAnsi"/>
          <w:sz w:val="24"/>
          <w:szCs w:val="24"/>
          <w:lang w:eastAsia="en-GB"/>
        </w:rPr>
        <w:t>assesso</w:t>
      </w:r>
      <w:r w:rsidR="00400BF8">
        <w:rPr>
          <w:rFonts w:eastAsia="Times New Roman" w:cstheme="minorHAnsi"/>
          <w:sz w:val="24"/>
          <w:szCs w:val="24"/>
          <w:lang w:eastAsia="en-GB"/>
        </w:rPr>
        <w:t>r</w:t>
      </w:r>
      <w:r w:rsidRPr="00C01815">
        <w:rPr>
          <w:rFonts w:eastAsia="Times New Roman" w:cstheme="minorHAnsi"/>
          <w:sz w:val="24"/>
          <w:szCs w:val="24"/>
          <w:lang w:eastAsia="en-GB"/>
        </w:rPr>
        <w:t xml:space="preserve"> and evaluator as </w:t>
      </w:r>
      <w:r w:rsidRPr="00C01815">
        <w:rPr>
          <w:rFonts w:eastAsia="Times New Roman" w:cstheme="minorHAnsi"/>
          <w:i/>
          <w:iCs/>
          <w:sz w:val="24"/>
          <w:szCs w:val="24"/>
          <w:lang w:eastAsia="en-GB"/>
        </w:rPr>
        <w:t>eligible</w:t>
      </w:r>
      <w:r w:rsidRPr="00C01815">
        <w:rPr>
          <w:rFonts w:eastAsia="Times New Roman" w:cstheme="minorHAnsi"/>
          <w:sz w:val="24"/>
          <w:szCs w:val="24"/>
          <w:lang w:eastAsia="en-GB"/>
        </w:rPr>
        <w:t xml:space="preserve"> </w:t>
      </w:r>
      <w:r w:rsidR="00400BF8">
        <w:rPr>
          <w:rFonts w:eastAsia="Times New Roman" w:cstheme="minorHAnsi"/>
          <w:sz w:val="24"/>
          <w:szCs w:val="24"/>
          <w:lang w:eastAsia="en-GB"/>
        </w:rPr>
        <w:t xml:space="preserve">for ED. </w:t>
      </w:r>
      <w:r w:rsidRPr="00C01815">
        <w:rPr>
          <w:rFonts w:eastAsia="Times New Roman" w:cstheme="minorHAnsi"/>
          <w:sz w:val="24"/>
          <w:szCs w:val="24"/>
          <w:lang w:eastAsia="en-GB"/>
        </w:rPr>
        <w:t xml:space="preserve">Twenty-four percent (n=289) of patients’ notes were agreed as </w:t>
      </w:r>
      <w:r w:rsidRPr="00C01815">
        <w:rPr>
          <w:rFonts w:eastAsia="Times New Roman" w:cstheme="minorHAnsi"/>
          <w:i/>
          <w:iCs/>
          <w:sz w:val="24"/>
          <w:szCs w:val="24"/>
          <w:lang w:eastAsia="en-GB"/>
        </w:rPr>
        <w:t xml:space="preserve">ineligible </w:t>
      </w:r>
      <w:r w:rsidRPr="00C01815">
        <w:rPr>
          <w:rFonts w:eastAsia="Times New Roman" w:cstheme="minorHAnsi"/>
          <w:sz w:val="24"/>
          <w:szCs w:val="24"/>
          <w:lang w:eastAsia="en-GB"/>
        </w:rPr>
        <w:t xml:space="preserve">and 11% (n=130) were logged as </w:t>
      </w:r>
      <w:r w:rsidRPr="00C01815">
        <w:rPr>
          <w:rFonts w:eastAsia="Times New Roman" w:cstheme="minorHAnsi"/>
          <w:i/>
          <w:iCs/>
          <w:sz w:val="24"/>
          <w:szCs w:val="24"/>
          <w:lang w:eastAsia="en-GB"/>
        </w:rPr>
        <w:t>uncertain</w:t>
      </w:r>
      <w:r w:rsidRPr="00C01815">
        <w:rPr>
          <w:rFonts w:eastAsia="Times New Roman" w:cstheme="minorHAnsi"/>
          <w:sz w:val="24"/>
          <w:szCs w:val="24"/>
          <w:lang w:eastAsia="en-GB"/>
        </w:rPr>
        <w:t xml:space="preserve"> (</w:t>
      </w:r>
      <w:r w:rsidR="00FD0EFB">
        <w:rPr>
          <w:rFonts w:eastAsia="Times New Roman" w:cstheme="minorHAnsi"/>
          <w:sz w:val="24"/>
          <w:szCs w:val="24"/>
          <w:lang w:eastAsia="en-GB"/>
        </w:rPr>
        <w:t xml:space="preserve">assessor and evaluator agreed that </w:t>
      </w:r>
      <w:r w:rsidRPr="00C01815">
        <w:rPr>
          <w:rFonts w:eastAsia="Times New Roman" w:cstheme="minorHAnsi"/>
          <w:sz w:val="24"/>
          <w:szCs w:val="24"/>
          <w:lang w:eastAsia="en-GB"/>
        </w:rPr>
        <w:t>further information would be needed to determine eligibility).</w:t>
      </w:r>
    </w:p>
    <w:p w14:paraId="26B26CDF"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Potential for ED by site</w:t>
      </w:r>
    </w:p>
    <w:p w14:paraId="26077204" w14:textId="46C734AE"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Of the</w:t>
      </w:r>
      <w:r w:rsidR="000C0C9C">
        <w:rPr>
          <w:rFonts w:eastAsia="Times New Roman" w:cstheme="minorHAnsi"/>
          <w:sz w:val="24"/>
          <w:szCs w:val="24"/>
          <w:lang w:eastAsia="en-GB"/>
        </w:rPr>
        <w:t xml:space="preserve"> </w:t>
      </w:r>
      <w:r w:rsidRPr="00C01815">
        <w:rPr>
          <w:rFonts w:eastAsia="Times New Roman" w:cstheme="minorHAnsi"/>
          <w:sz w:val="24"/>
          <w:szCs w:val="24"/>
          <w:lang w:eastAsia="en-GB"/>
        </w:rPr>
        <w:t>601 deceased patients’ notes reviewed from HC settings</w:t>
      </w:r>
      <w:r w:rsidR="00B359D7">
        <w:rPr>
          <w:rFonts w:eastAsia="Times New Roman" w:cstheme="minorHAnsi"/>
          <w:sz w:val="24"/>
          <w:szCs w:val="24"/>
          <w:lang w:eastAsia="en-GB"/>
        </w:rPr>
        <w:t>,</w:t>
      </w:r>
      <w:r w:rsidRPr="00C01815">
        <w:rPr>
          <w:rFonts w:eastAsia="Times New Roman" w:cstheme="minorHAnsi"/>
          <w:sz w:val="24"/>
          <w:szCs w:val="24"/>
          <w:lang w:eastAsia="en-GB"/>
        </w:rPr>
        <w:t xml:space="preserve"> 56% (n=337) were agreed as </w:t>
      </w:r>
      <w:r w:rsidRPr="00C01815">
        <w:rPr>
          <w:rFonts w:eastAsia="Times New Roman" w:cstheme="minorHAnsi"/>
          <w:i/>
          <w:iCs/>
          <w:sz w:val="24"/>
          <w:szCs w:val="24"/>
          <w:lang w:eastAsia="en-GB"/>
        </w:rPr>
        <w:t>eligible</w:t>
      </w:r>
      <w:r w:rsidRPr="00C01815">
        <w:rPr>
          <w:rFonts w:eastAsia="Times New Roman" w:cstheme="minorHAnsi"/>
          <w:sz w:val="24"/>
          <w:szCs w:val="24"/>
          <w:lang w:eastAsia="en-GB"/>
        </w:rPr>
        <w:t xml:space="preserve">, 13% (n=77) </w:t>
      </w:r>
      <w:r w:rsidRPr="00C01815">
        <w:rPr>
          <w:rFonts w:eastAsia="Times New Roman" w:cstheme="minorHAnsi"/>
          <w:i/>
          <w:iCs/>
          <w:sz w:val="24"/>
          <w:szCs w:val="24"/>
          <w:lang w:eastAsia="en-GB"/>
        </w:rPr>
        <w:t>ineligible</w:t>
      </w:r>
      <w:r w:rsidRPr="00C01815">
        <w:rPr>
          <w:rFonts w:eastAsia="Times New Roman" w:cstheme="minorHAnsi"/>
          <w:sz w:val="24"/>
          <w:szCs w:val="24"/>
          <w:lang w:eastAsia="en-GB"/>
        </w:rPr>
        <w:t xml:space="preserve">, with 10% (n=62) </w:t>
      </w:r>
      <w:r w:rsidR="00C84A85" w:rsidRPr="00C84A85">
        <w:rPr>
          <w:rFonts w:eastAsia="Times New Roman" w:cstheme="minorHAnsi"/>
          <w:i/>
          <w:iCs/>
          <w:sz w:val="24"/>
          <w:szCs w:val="24"/>
          <w:lang w:eastAsia="en-GB"/>
        </w:rPr>
        <w:t>uncertain</w:t>
      </w:r>
      <w:r w:rsidR="00C84A85">
        <w:rPr>
          <w:rFonts w:eastAsia="Times New Roman" w:cstheme="minorHAnsi"/>
          <w:sz w:val="24"/>
          <w:szCs w:val="24"/>
          <w:lang w:eastAsia="en-GB"/>
        </w:rPr>
        <w:t xml:space="preserve">. </w:t>
      </w:r>
      <w:r w:rsidRPr="00C01815">
        <w:rPr>
          <w:rFonts w:eastAsia="Times New Roman" w:cstheme="minorHAnsi"/>
          <w:sz w:val="24"/>
          <w:szCs w:val="24"/>
          <w:lang w:eastAsia="en-GB"/>
        </w:rPr>
        <w:t xml:space="preserve"> Of the 598 deceased patients’ notes reviewed from HPC settings</w:t>
      </w:r>
      <w:r w:rsidR="00D00E08">
        <w:rPr>
          <w:rFonts w:eastAsia="Times New Roman" w:cstheme="minorHAnsi"/>
          <w:sz w:val="24"/>
          <w:szCs w:val="24"/>
          <w:lang w:eastAsia="en-GB"/>
        </w:rPr>
        <w:t>,</w:t>
      </w:r>
      <w:r w:rsidRPr="00C01815">
        <w:rPr>
          <w:rFonts w:eastAsia="Times New Roman" w:cstheme="minorHAnsi"/>
          <w:sz w:val="24"/>
          <w:szCs w:val="24"/>
          <w:lang w:eastAsia="en-GB"/>
        </w:rPr>
        <w:t xml:space="preserve"> 36% (n=216) were agreed as </w:t>
      </w:r>
      <w:r w:rsidRPr="00D00E08">
        <w:rPr>
          <w:rFonts w:eastAsia="Times New Roman" w:cstheme="minorHAnsi"/>
          <w:i/>
          <w:iCs/>
          <w:sz w:val="24"/>
          <w:szCs w:val="24"/>
          <w:lang w:eastAsia="en-GB"/>
        </w:rPr>
        <w:t>eligible</w:t>
      </w:r>
      <w:r w:rsidRPr="00C01815">
        <w:rPr>
          <w:rFonts w:eastAsia="Times New Roman" w:cstheme="minorHAnsi"/>
          <w:sz w:val="24"/>
          <w:szCs w:val="24"/>
          <w:lang w:eastAsia="en-GB"/>
        </w:rPr>
        <w:t xml:space="preserve">, 35% (n=212) of cases </w:t>
      </w:r>
      <w:r w:rsidRPr="00D00E08">
        <w:rPr>
          <w:rFonts w:eastAsia="Times New Roman" w:cstheme="minorHAnsi"/>
          <w:i/>
          <w:iCs/>
          <w:sz w:val="24"/>
          <w:szCs w:val="24"/>
          <w:lang w:eastAsia="en-GB"/>
        </w:rPr>
        <w:t>ineligible</w:t>
      </w:r>
      <w:r w:rsidRPr="00C01815">
        <w:rPr>
          <w:rFonts w:eastAsia="Times New Roman" w:cstheme="minorHAnsi"/>
          <w:sz w:val="24"/>
          <w:szCs w:val="24"/>
          <w:lang w:eastAsia="en-GB"/>
        </w:rPr>
        <w:t xml:space="preserve">, and 12%, (n=68) </w:t>
      </w:r>
      <w:r w:rsidR="00A90089" w:rsidRPr="00D00E08">
        <w:rPr>
          <w:rFonts w:eastAsia="Times New Roman" w:cstheme="minorHAnsi"/>
          <w:i/>
          <w:iCs/>
          <w:sz w:val="24"/>
          <w:szCs w:val="24"/>
          <w:lang w:eastAsia="en-GB"/>
        </w:rPr>
        <w:t>uncertain</w:t>
      </w:r>
      <w:r w:rsidRPr="00C01815">
        <w:rPr>
          <w:rFonts w:eastAsia="Times New Roman" w:cstheme="minorHAnsi"/>
          <w:sz w:val="24"/>
          <w:szCs w:val="24"/>
          <w:lang w:eastAsia="en-GB"/>
        </w:rPr>
        <w:t xml:space="preserve">. </w:t>
      </w:r>
    </w:p>
    <w:p w14:paraId="06ADD67A" w14:textId="77777777" w:rsidR="00C01815" w:rsidRPr="00C01815" w:rsidRDefault="00C01815" w:rsidP="00C01815">
      <w:pPr>
        <w:keepNext/>
        <w:keepLines/>
        <w:spacing w:after="100" w:afterAutospacing="1" w:line="360" w:lineRule="auto"/>
        <w:outlineLvl w:val="2"/>
        <w:rPr>
          <w:rFonts w:eastAsiaTheme="majorEastAsia" w:cstheme="minorHAnsi"/>
          <w:bCs/>
          <w:i/>
          <w:iCs/>
          <w:color w:val="000000"/>
          <w:sz w:val="24"/>
          <w:szCs w:val="24"/>
          <w:lang w:eastAsia="en-GB"/>
          <w14:textFill>
            <w14:solidFill>
              <w14:srgbClr w14:val="000000">
                <w14:lumMod w14:val="50000"/>
              </w14:srgbClr>
            </w14:solidFill>
          </w14:textFill>
        </w:rPr>
      </w:pPr>
      <w:r w:rsidRPr="00C01815">
        <w:rPr>
          <w:rFonts w:eastAsiaTheme="majorEastAsia" w:cstheme="minorHAnsi"/>
          <w:bCs/>
          <w:i/>
          <w:iCs/>
          <w:color w:val="1F3864" w:themeColor="accent1" w:themeShade="80"/>
          <w:sz w:val="24"/>
          <w:szCs w:val="24"/>
          <w:lang w:eastAsia="en-GB"/>
        </w:rPr>
        <w:t xml:space="preserve">Record of request for ED, family approach, and referral to NHSBT from deceased patients’ notes </w:t>
      </w:r>
    </w:p>
    <w:p w14:paraId="5609C3B0" w14:textId="18952639"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For all eligible cases (n=553) the option of ED was recorded as being raised in only 14 cases (3%). Approaches to family members to discuss ED was recorded in only 13 cases (2%). Referral to NHSBT – TES for ED was recorded in 14 cases (3% of all cases) with 11 cases recorded for HC (3%) and three cases (1%) for HPC</w:t>
      </w:r>
      <w:r w:rsidR="007D1100">
        <w:rPr>
          <w:rFonts w:eastAsia="Times New Roman" w:cstheme="minorHAnsi"/>
          <w:sz w:val="24"/>
          <w:szCs w:val="24"/>
          <w:lang w:eastAsia="en-GB"/>
        </w:rPr>
        <w:t xml:space="preserve"> settings</w:t>
      </w:r>
      <w:r w:rsidRPr="00C01815">
        <w:rPr>
          <w:rFonts w:eastAsia="Times New Roman" w:cstheme="minorHAnsi"/>
          <w:sz w:val="24"/>
          <w:szCs w:val="24"/>
          <w:lang w:eastAsia="en-GB"/>
        </w:rPr>
        <w:t xml:space="preserve">. </w:t>
      </w:r>
    </w:p>
    <w:p w14:paraId="4FA507B6"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Contraindications for ED</w:t>
      </w:r>
    </w:p>
    <w:p w14:paraId="0402975B" w14:textId="048B3B91"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For all cases, ‘Intrinsic Eye Disease’ was the most frequent contraindication reported (33%, n=391 total cases), followed by ‘Neurodegenerative disorders’ (19%, n=229), ‘Malignancies’ (8%, n=99), ‘Other’ contraindications (7%, n=86), and ‘Infections’ (8%, n=10)</w:t>
      </w:r>
      <w:r w:rsidR="001875C0">
        <w:rPr>
          <w:rFonts w:eastAsia="Times New Roman" w:cstheme="minorHAnsi"/>
          <w:sz w:val="24"/>
          <w:szCs w:val="24"/>
          <w:lang w:eastAsia="en-GB"/>
        </w:rPr>
        <w:t xml:space="preserve">. </w:t>
      </w:r>
      <w:r w:rsidRPr="00C01815">
        <w:rPr>
          <w:rFonts w:eastAsia="Times New Roman" w:cstheme="minorHAnsi"/>
          <w:sz w:val="24"/>
          <w:szCs w:val="24"/>
          <w:lang w:eastAsia="en-GB"/>
        </w:rPr>
        <w:t>Frequencies for occurrence of contraindication types across HC and HPC sites were comparable (i.e., within a &lt;5% range of the other), except in the case of ‘Neurodegenerative Disorders’ where the proportion of excluded cases was 17% higher in HPC settings compared with HC (11%)</w:t>
      </w:r>
      <w:r w:rsidR="001875C0" w:rsidRPr="001875C0">
        <w:rPr>
          <w:rFonts w:eastAsia="Times New Roman" w:cstheme="minorHAnsi"/>
          <w:sz w:val="24"/>
          <w:szCs w:val="24"/>
          <w:lang w:eastAsia="en-GB"/>
        </w:rPr>
        <w:t>(see Table 1 for full reporting of contraindications</w:t>
      </w:r>
      <w:r w:rsidR="007D44BA">
        <w:rPr>
          <w:rFonts w:eastAsia="Times New Roman" w:cstheme="minorHAnsi"/>
          <w:sz w:val="24"/>
          <w:szCs w:val="24"/>
          <w:lang w:eastAsia="en-GB"/>
        </w:rPr>
        <w:t xml:space="preserve">. See Figure 2 for contraindications by </w:t>
      </w:r>
      <w:r w:rsidR="001875C0" w:rsidRPr="001875C0">
        <w:rPr>
          <w:rFonts w:eastAsia="Times New Roman" w:cstheme="minorHAnsi"/>
          <w:sz w:val="24"/>
          <w:szCs w:val="24"/>
          <w:lang w:eastAsia="en-GB"/>
        </w:rPr>
        <w:t>site type).</w:t>
      </w:r>
    </w:p>
    <w:p w14:paraId="2F2D48BC" w14:textId="33B459BC" w:rsidR="00C01815" w:rsidRPr="00C01815" w:rsidRDefault="00C01815" w:rsidP="00C01815">
      <w:pPr>
        <w:keepNext/>
        <w:keepLines/>
        <w:spacing w:before="100" w:beforeAutospacing="1" w:after="100" w:afterAutospacing="1" w:line="360" w:lineRule="auto"/>
        <w:outlineLvl w:val="1"/>
        <w:rPr>
          <w:rFonts w:eastAsiaTheme="majorEastAsia" w:cstheme="minorHAnsi"/>
          <w:b/>
          <w:bCs/>
          <w:i/>
          <w:iCs/>
          <w:noProof/>
          <w:color w:val="1F3864" w:themeColor="accent1" w:themeShade="80"/>
          <w:sz w:val="24"/>
          <w:szCs w:val="24"/>
        </w:rPr>
      </w:pPr>
      <w:r w:rsidRPr="00C01815">
        <w:rPr>
          <w:rFonts w:eastAsiaTheme="majorEastAsia" w:cstheme="minorHAnsi"/>
          <w:b/>
          <w:bCs/>
          <w:noProof/>
          <w:color w:val="1F3864" w:themeColor="accent1" w:themeShade="80"/>
          <w:sz w:val="24"/>
          <w:szCs w:val="24"/>
        </w:rPr>
        <w:t>D</w:t>
      </w:r>
      <w:r w:rsidR="00FF6FF2">
        <w:rPr>
          <w:rFonts w:eastAsiaTheme="majorEastAsia" w:cstheme="minorHAnsi"/>
          <w:b/>
          <w:bCs/>
          <w:noProof/>
          <w:color w:val="1F3864" w:themeColor="accent1" w:themeShade="80"/>
          <w:sz w:val="24"/>
          <w:szCs w:val="24"/>
        </w:rPr>
        <w:t xml:space="preserve">ifferences in assessemnt </w:t>
      </w:r>
      <w:r w:rsidR="00F5459C">
        <w:rPr>
          <w:rFonts w:eastAsiaTheme="majorEastAsia" w:cstheme="minorHAnsi"/>
          <w:b/>
          <w:bCs/>
          <w:noProof/>
          <w:color w:val="1F3864" w:themeColor="accent1" w:themeShade="80"/>
          <w:sz w:val="24"/>
          <w:szCs w:val="24"/>
        </w:rPr>
        <w:t>for</w:t>
      </w:r>
      <w:r w:rsidR="00FF6FF2">
        <w:rPr>
          <w:rFonts w:eastAsiaTheme="majorEastAsia" w:cstheme="minorHAnsi"/>
          <w:b/>
          <w:bCs/>
          <w:noProof/>
          <w:color w:val="1F3864" w:themeColor="accent1" w:themeShade="80"/>
          <w:sz w:val="24"/>
          <w:szCs w:val="24"/>
        </w:rPr>
        <w:t xml:space="preserve"> potential eye donors from HC and HPC settings </w:t>
      </w:r>
      <w:r w:rsidRPr="00C01815">
        <w:rPr>
          <w:rFonts w:eastAsiaTheme="majorEastAsia" w:cstheme="minorHAnsi"/>
          <w:b/>
          <w:bCs/>
          <w:noProof/>
          <w:color w:val="1F3864" w:themeColor="accent1" w:themeShade="80"/>
          <w:sz w:val="24"/>
          <w:szCs w:val="24"/>
        </w:rPr>
        <w:t xml:space="preserve">from retrospective note review  </w:t>
      </w:r>
    </w:p>
    <w:p w14:paraId="774C0ED0" w14:textId="3046D5D9" w:rsidR="00C01815" w:rsidRPr="00C01815" w:rsidRDefault="00C01815" w:rsidP="00C01815">
      <w:pPr>
        <w:keepNext/>
        <w:spacing w:after="200"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This section describes numbers and types of differing assessments between </w:t>
      </w:r>
      <w:r w:rsidR="0039348F">
        <w:rPr>
          <w:rFonts w:eastAsia="Times New Roman" w:cstheme="minorHAnsi"/>
          <w:sz w:val="24"/>
          <w:szCs w:val="24"/>
          <w:lang w:eastAsia="en-GB"/>
        </w:rPr>
        <w:t>clinical assessors</w:t>
      </w:r>
      <w:r w:rsidRPr="00C01815">
        <w:rPr>
          <w:rFonts w:eastAsia="Times New Roman" w:cstheme="minorHAnsi"/>
          <w:sz w:val="24"/>
          <w:szCs w:val="24"/>
          <w:lang w:eastAsia="en-GB"/>
        </w:rPr>
        <w:t xml:space="preserve"> and evaluators as a basis for identifying and clarifying the information support needs of HC and HPC staff, in assessing eligibility for ED </w:t>
      </w:r>
      <w:r w:rsidR="00885E30">
        <w:rPr>
          <w:rFonts w:eastAsia="Times New Roman" w:cstheme="minorHAnsi"/>
          <w:sz w:val="24"/>
          <w:szCs w:val="24"/>
          <w:lang w:eastAsia="en-GB"/>
        </w:rPr>
        <w:t>via</w:t>
      </w:r>
      <w:r w:rsidRPr="00C01815">
        <w:rPr>
          <w:rFonts w:eastAsia="Times New Roman" w:cstheme="minorHAnsi"/>
          <w:sz w:val="24"/>
          <w:szCs w:val="24"/>
          <w:lang w:eastAsia="en-GB"/>
        </w:rPr>
        <w:t xml:space="preserve"> clinical records. Differences in outcome of eligibility assessments between </w:t>
      </w:r>
      <w:r w:rsidR="00885E30">
        <w:rPr>
          <w:rFonts w:eastAsia="Times New Roman" w:cstheme="minorHAnsi"/>
          <w:sz w:val="24"/>
          <w:szCs w:val="24"/>
          <w:lang w:eastAsia="en-GB"/>
        </w:rPr>
        <w:t>assessors</w:t>
      </w:r>
      <w:r w:rsidRPr="00C01815">
        <w:rPr>
          <w:rFonts w:eastAsia="Times New Roman" w:cstheme="minorHAnsi"/>
          <w:sz w:val="24"/>
          <w:szCs w:val="24"/>
          <w:lang w:eastAsia="en-GB"/>
        </w:rPr>
        <w:t xml:space="preserve"> and evaluators occurred in 19% (n=227/1199) of cases.</w:t>
      </w:r>
    </w:p>
    <w:p w14:paraId="3BE13C72" w14:textId="37A21B9B" w:rsidR="00C01815" w:rsidRPr="00C01815" w:rsidRDefault="00CE77CF" w:rsidP="00C01815">
      <w:pPr>
        <w:keepNext/>
        <w:keepLines/>
        <w:spacing w:after="100" w:afterAutospacing="1" w:line="360" w:lineRule="auto"/>
        <w:outlineLvl w:val="2"/>
        <w:rPr>
          <w:rFonts w:ascii="Calibri" w:eastAsiaTheme="majorEastAsia" w:hAnsi="Calibri" w:cs="Calibri"/>
          <w:b/>
          <w:color w:val="1F3864" w:themeColor="accent1" w:themeShade="80"/>
          <w:sz w:val="24"/>
          <w:szCs w:val="24"/>
          <w:lang w:eastAsia="en-GB"/>
        </w:rPr>
      </w:pPr>
      <w:r w:rsidRPr="00CE77CF">
        <w:rPr>
          <w:rFonts w:ascii="Calibri" w:eastAsiaTheme="majorEastAsia" w:hAnsi="Calibri" w:cs="Calibri"/>
          <w:b/>
          <w:color w:val="1F3864" w:themeColor="accent1" w:themeShade="80"/>
          <w:sz w:val="24"/>
          <w:szCs w:val="24"/>
          <w:lang w:eastAsia="en-GB"/>
        </w:rPr>
        <w:t xml:space="preserve">Differences in assessment </w:t>
      </w:r>
      <w:r w:rsidR="00C01815" w:rsidRPr="00C01815">
        <w:rPr>
          <w:rFonts w:ascii="Calibri" w:eastAsiaTheme="majorEastAsia" w:hAnsi="Calibri" w:cs="Calibri"/>
          <w:b/>
          <w:color w:val="1F3864" w:themeColor="accent1" w:themeShade="80"/>
          <w:sz w:val="24"/>
          <w:szCs w:val="24"/>
          <w:lang w:eastAsia="en-GB"/>
        </w:rPr>
        <w:t xml:space="preserve">on eligibility for </w:t>
      </w:r>
      <w:r w:rsidR="00C01815" w:rsidRPr="00C01815">
        <w:rPr>
          <w:rFonts w:ascii="Calibri" w:eastAsiaTheme="majorEastAsia" w:hAnsi="Calibri" w:cs="Calibri"/>
          <w:bCs/>
          <w:i/>
          <w:iCs/>
          <w:noProof/>
          <w:color w:val="1F3864" w:themeColor="accent1" w:themeShade="80"/>
          <w:sz w:val="24"/>
          <w:szCs w:val="24"/>
          <w:lang w:eastAsia="en-GB"/>
        </w:rPr>
        <w:t>referral to</w:t>
      </w:r>
      <w:r w:rsidR="00C01815" w:rsidRPr="00C01815">
        <w:rPr>
          <w:rFonts w:ascii="Calibri" w:eastAsiaTheme="majorEastAsia" w:hAnsi="Calibri" w:cs="Calibri"/>
          <w:b/>
          <w:color w:val="1F3864" w:themeColor="accent1" w:themeShade="80"/>
          <w:sz w:val="24"/>
          <w:szCs w:val="24"/>
          <w:lang w:eastAsia="en-GB"/>
        </w:rPr>
        <w:t xml:space="preserve"> NHSBT-TES by site </w:t>
      </w:r>
    </w:p>
    <w:p w14:paraId="4AD8B70F" w14:textId="381305EA" w:rsidR="00C01815" w:rsidRPr="00C01815" w:rsidRDefault="00C01815" w:rsidP="00C01815">
      <w:pPr>
        <w:keepNext/>
        <w:spacing w:after="200"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Of the 601 notes reviewed and evaluated for HC settings there was a disagreement rate of 21% (n = 125 cases), and of the 598 notes reviewed and evaluated for HPC a disagreement rate of 17% (n = 102 cases). The following sub-sections describe types of difference in assessment outcome. </w:t>
      </w:r>
    </w:p>
    <w:p w14:paraId="76F38586"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 xml:space="preserve">Differences in assessment outcome where the reviewer determined eligibility for referral </w:t>
      </w:r>
    </w:p>
    <w:p w14:paraId="77566607" w14:textId="7F4784DC"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Of all cases, 34 (15% of total differences in assessment) involved </w:t>
      </w:r>
      <w:r w:rsidR="00E54215">
        <w:rPr>
          <w:rFonts w:eastAsia="Times New Roman" w:cstheme="minorHAnsi"/>
          <w:sz w:val="24"/>
          <w:szCs w:val="24"/>
          <w:lang w:eastAsia="en-GB"/>
        </w:rPr>
        <w:t xml:space="preserve">clinical assessors </w:t>
      </w:r>
      <w:r w:rsidR="009F09CF">
        <w:rPr>
          <w:rFonts w:eastAsia="Times New Roman" w:cstheme="minorHAnsi"/>
          <w:sz w:val="24"/>
          <w:szCs w:val="24"/>
          <w:lang w:eastAsia="en-GB"/>
        </w:rPr>
        <w:t xml:space="preserve">determining </w:t>
      </w:r>
      <w:r w:rsidR="009F09CF" w:rsidRPr="009F09CF">
        <w:rPr>
          <w:rFonts w:eastAsia="Times New Roman" w:cstheme="minorHAnsi"/>
          <w:i/>
          <w:iCs/>
          <w:sz w:val="24"/>
          <w:szCs w:val="24"/>
          <w:lang w:eastAsia="en-GB"/>
        </w:rPr>
        <w:t>eligibility</w:t>
      </w:r>
      <w:r w:rsidRPr="00C01815">
        <w:rPr>
          <w:rFonts w:eastAsia="Times New Roman" w:cstheme="minorHAnsi"/>
          <w:sz w:val="24"/>
          <w:szCs w:val="24"/>
          <w:lang w:eastAsia="en-GB"/>
        </w:rPr>
        <w:t xml:space="preserve">, while the evaluator determined </w:t>
      </w:r>
      <w:r w:rsidRPr="00C01815">
        <w:rPr>
          <w:rFonts w:eastAsia="Times New Roman" w:cstheme="minorHAnsi"/>
          <w:i/>
          <w:iCs/>
          <w:sz w:val="24"/>
          <w:szCs w:val="24"/>
          <w:lang w:eastAsia="en-GB"/>
        </w:rPr>
        <w:t xml:space="preserve">ineligibility or </w:t>
      </w:r>
      <w:r w:rsidR="003C1D01" w:rsidRPr="00C01815">
        <w:rPr>
          <w:rFonts w:eastAsia="Times New Roman" w:cstheme="minorHAnsi"/>
          <w:i/>
          <w:iCs/>
          <w:sz w:val="24"/>
          <w:szCs w:val="24"/>
          <w:lang w:eastAsia="en-GB"/>
        </w:rPr>
        <w:t>uncertainty</w:t>
      </w:r>
      <w:r w:rsidR="003C1D01">
        <w:rPr>
          <w:rFonts w:eastAsia="Times New Roman" w:cstheme="minorHAnsi"/>
          <w:i/>
          <w:iCs/>
          <w:sz w:val="24"/>
          <w:szCs w:val="24"/>
          <w:lang w:eastAsia="en-GB"/>
        </w:rPr>
        <w:t xml:space="preserve">. </w:t>
      </w:r>
      <w:r w:rsidRPr="00C01815">
        <w:rPr>
          <w:rFonts w:eastAsia="Times New Roman" w:cstheme="minorHAnsi"/>
          <w:sz w:val="24"/>
          <w:szCs w:val="24"/>
          <w:lang w:eastAsia="en-GB"/>
        </w:rPr>
        <w:t xml:space="preserve"> Of these cases, the majority (n=28) involved miscellaneous reasons (e.g., ‘active ocular infection’, ‘Raynauds Syndrome’) assessed as not being contraindications for ED by the </w:t>
      </w:r>
      <w:r w:rsidR="00CF437D">
        <w:rPr>
          <w:rFonts w:eastAsia="Times New Roman" w:cstheme="minorHAnsi"/>
          <w:sz w:val="24"/>
          <w:szCs w:val="24"/>
          <w:lang w:eastAsia="en-GB"/>
        </w:rPr>
        <w:t>clinical assessor</w:t>
      </w:r>
      <w:r w:rsidRPr="00C01815">
        <w:rPr>
          <w:rFonts w:eastAsia="Times New Roman" w:cstheme="minorHAnsi"/>
          <w:sz w:val="24"/>
          <w:szCs w:val="24"/>
          <w:lang w:eastAsia="en-GB"/>
        </w:rPr>
        <w:t xml:space="preserve"> but assessed as such by the evaluator. </w:t>
      </w:r>
    </w:p>
    <w:p w14:paraId="48952097"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Differences in assessment outcome where the reviewer determined ineligibility for referral</w:t>
      </w:r>
    </w:p>
    <w:p w14:paraId="1C10190C" w14:textId="3C13D52A"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Forty-three percent (n=97) of differences in assessment outcome for all cases involved </w:t>
      </w:r>
      <w:r w:rsidR="00D50AF9">
        <w:rPr>
          <w:rFonts w:eastAsia="Times New Roman" w:cstheme="minorHAnsi"/>
          <w:sz w:val="24"/>
          <w:szCs w:val="24"/>
          <w:lang w:eastAsia="en-GB"/>
        </w:rPr>
        <w:t xml:space="preserve">clinical assessors </w:t>
      </w:r>
      <w:r w:rsidR="008B7D04">
        <w:rPr>
          <w:rFonts w:eastAsia="Times New Roman" w:cstheme="minorHAnsi"/>
          <w:sz w:val="24"/>
          <w:szCs w:val="24"/>
          <w:lang w:eastAsia="en-GB"/>
        </w:rPr>
        <w:t xml:space="preserve">determining </w:t>
      </w:r>
      <w:r w:rsidR="008B7D04" w:rsidRPr="0055113A">
        <w:rPr>
          <w:rFonts w:eastAsia="Times New Roman" w:cstheme="minorHAnsi"/>
          <w:i/>
          <w:iCs/>
          <w:sz w:val="24"/>
          <w:szCs w:val="24"/>
          <w:lang w:eastAsia="en-GB"/>
        </w:rPr>
        <w:t>ineligibility</w:t>
      </w:r>
      <w:r w:rsidRPr="00C01815">
        <w:rPr>
          <w:rFonts w:eastAsia="Times New Roman" w:cstheme="minorHAnsi"/>
          <w:sz w:val="24"/>
          <w:szCs w:val="24"/>
          <w:lang w:eastAsia="en-GB"/>
        </w:rPr>
        <w:t xml:space="preserve"> for ED (HC, n=32; HPC, n=65). Of these, 67% (n=65) involved evaluator assessment that there were no contraindications to exclude ED referral</w:t>
      </w:r>
      <w:r w:rsidR="00AF6190">
        <w:rPr>
          <w:rFonts w:eastAsia="Times New Roman" w:cstheme="minorHAnsi"/>
          <w:sz w:val="24"/>
          <w:szCs w:val="24"/>
          <w:lang w:eastAsia="en-GB"/>
        </w:rPr>
        <w:t xml:space="preserve">. </w:t>
      </w:r>
      <w:r w:rsidRPr="00C01815">
        <w:rPr>
          <w:rFonts w:eastAsia="Times New Roman" w:cstheme="minorHAnsi"/>
          <w:sz w:val="24"/>
          <w:szCs w:val="24"/>
          <w:lang w:eastAsia="en-GB"/>
        </w:rPr>
        <w:t xml:space="preserve"> For example, in 31% (n=30) of cases in this category, reviewers had excluded a patient on the basis of ocular or vision related factors (i.e., cataracts, </w:t>
      </w:r>
      <w:r w:rsidR="004020F8">
        <w:rPr>
          <w:rFonts w:eastAsia="Times New Roman" w:cstheme="minorHAnsi"/>
          <w:sz w:val="24"/>
          <w:szCs w:val="24"/>
          <w:lang w:eastAsia="en-GB"/>
        </w:rPr>
        <w:t>r</w:t>
      </w:r>
      <w:r w:rsidRPr="00C01815">
        <w:rPr>
          <w:rFonts w:eastAsia="Times New Roman" w:cstheme="minorHAnsi"/>
          <w:sz w:val="24"/>
          <w:szCs w:val="24"/>
          <w:lang w:eastAsia="en-GB"/>
        </w:rPr>
        <w:t xml:space="preserve">etinopathy, ‘vision impairment due to stroke’), none of which were assessed as contraindications by the evaluator. </w:t>
      </w:r>
    </w:p>
    <w:p w14:paraId="309DB32F" w14:textId="191BFBF1"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In 27% </w:t>
      </w:r>
      <w:r w:rsidR="00676653" w:rsidRPr="00C01815">
        <w:rPr>
          <w:rFonts w:eastAsia="Times New Roman" w:cstheme="minorHAnsi"/>
          <w:sz w:val="24"/>
          <w:szCs w:val="24"/>
          <w:lang w:eastAsia="en-GB"/>
        </w:rPr>
        <w:t xml:space="preserve">(n=26) </w:t>
      </w:r>
      <w:r w:rsidRPr="00C01815">
        <w:rPr>
          <w:rFonts w:eastAsia="Times New Roman" w:cstheme="minorHAnsi"/>
          <w:sz w:val="24"/>
          <w:szCs w:val="24"/>
          <w:lang w:eastAsia="en-GB"/>
        </w:rPr>
        <w:t xml:space="preserve">of further cases in this category the </w:t>
      </w:r>
      <w:r w:rsidR="00C4221A">
        <w:rPr>
          <w:rFonts w:eastAsia="Times New Roman" w:cstheme="minorHAnsi"/>
          <w:sz w:val="24"/>
          <w:szCs w:val="24"/>
          <w:lang w:eastAsia="en-GB"/>
        </w:rPr>
        <w:t xml:space="preserve">clinical assessor </w:t>
      </w:r>
      <w:r w:rsidRPr="00C01815">
        <w:rPr>
          <w:rFonts w:eastAsia="Times New Roman" w:cstheme="minorHAnsi"/>
          <w:sz w:val="24"/>
          <w:szCs w:val="24"/>
          <w:lang w:eastAsia="en-GB"/>
        </w:rPr>
        <w:t>had assessed the patients age as exceeding the upper age cut-off for ED; however, evaluators indicated that absence of excluding ocular history or other contraindications meant the patient would be eligible for referral to NHSBT. The remaining 10% of cases in this category (n=10) involved miscellaneous reasons for ineligibility (e.g., ‘renal transplant’, ‘confusion’) assessed by the evaluator as insufficient grounds for determining ineligibility.</w:t>
      </w:r>
    </w:p>
    <w:p w14:paraId="2CEFD30A" w14:textId="77777777" w:rsidR="00C01815" w:rsidRPr="00C01815" w:rsidRDefault="00C01815" w:rsidP="00C01815">
      <w:pPr>
        <w:keepNext/>
        <w:keepLines/>
        <w:spacing w:after="100" w:afterAutospacing="1" w:line="360" w:lineRule="auto"/>
        <w:outlineLvl w:val="2"/>
        <w:rPr>
          <w:rFonts w:eastAsiaTheme="majorEastAsia" w:cstheme="minorHAnsi"/>
          <w:bCs/>
          <w:i/>
          <w:iCs/>
          <w:color w:val="1F3864" w:themeColor="accent1" w:themeShade="80"/>
          <w:sz w:val="24"/>
          <w:szCs w:val="24"/>
          <w:lang w:eastAsia="en-GB"/>
        </w:rPr>
      </w:pPr>
      <w:r w:rsidRPr="00C01815">
        <w:rPr>
          <w:rFonts w:eastAsiaTheme="majorEastAsia" w:cstheme="minorHAnsi"/>
          <w:bCs/>
          <w:i/>
          <w:iCs/>
          <w:color w:val="1F3864" w:themeColor="accent1" w:themeShade="80"/>
          <w:sz w:val="24"/>
          <w:szCs w:val="24"/>
          <w:lang w:eastAsia="en-GB"/>
        </w:rPr>
        <w:t>Differences in assessment outcome where the reviewer indicated uncertainty regarding eligibility for referral</w:t>
      </w:r>
    </w:p>
    <w:p w14:paraId="077FEC9F" w14:textId="52DE37F7"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Additional differences were found in 96 cases (HC = 67; HPC = 29) with differences in assessment where </w:t>
      </w:r>
      <w:r w:rsidR="009E5FA4">
        <w:rPr>
          <w:rFonts w:eastAsia="Times New Roman" w:cstheme="minorHAnsi"/>
          <w:sz w:val="24"/>
          <w:szCs w:val="24"/>
          <w:lang w:eastAsia="en-GB"/>
        </w:rPr>
        <w:t xml:space="preserve">clinicians indicating </w:t>
      </w:r>
      <w:r w:rsidRPr="00C01815">
        <w:rPr>
          <w:rFonts w:eastAsia="Times New Roman" w:cstheme="minorHAnsi"/>
          <w:i/>
          <w:iCs/>
          <w:sz w:val="24"/>
          <w:szCs w:val="24"/>
          <w:lang w:eastAsia="en-GB"/>
        </w:rPr>
        <w:t>uncertainty</w:t>
      </w:r>
      <w:r w:rsidRPr="00C01815">
        <w:rPr>
          <w:rFonts w:eastAsia="Times New Roman" w:cstheme="minorHAnsi"/>
          <w:sz w:val="24"/>
          <w:szCs w:val="24"/>
          <w:lang w:eastAsia="en-GB"/>
        </w:rPr>
        <w:t xml:space="preserve"> regarding eligibility for referral (e.g., ‘unsure if myelodysplasia is a contraindication’), while evaluators indicated either </w:t>
      </w:r>
      <w:r w:rsidRPr="00C01815">
        <w:rPr>
          <w:rFonts w:eastAsia="Times New Roman" w:cstheme="minorHAnsi"/>
          <w:i/>
          <w:iCs/>
          <w:sz w:val="24"/>
          <w:szCs w:val="24"/>
          <w:lang w:eastAsia="en-GB"/>
        </w:rPr>
        <w:t>eligibility</w:t>
      </w:r>
      <w:r w:rsidRPr="00C01815">
        <w:rPr>
          <w:rFonts w:eastAsia="Times New Roman" w:cstheme="minorHAnsi"/>
          <w:sz w:val="24"/>
          <w:szCs w:val="24"/>
          <w:lang w:eastAsia="en-GB"/>
        </w:rPr>
        <w:t xml:space="preserve"> (n=51 cases all sites; HC = 34; HPC = 17) or </w:t>
      </w:r>
      <w:r w:rsidRPr="00C01815">
        <w:rPr>
          <w:rFonts w:eastAsia="Times New Roman" w:cstheme="minorHAnsi"/>
          <w:i/>
          <w:iCs/>
          <w:sz w:val="24"/>
          <w:szCs w:val="24"/>
          <w:lang w:eastAsia="en-GB"/>
        </w:rPr>
        <w:t>ineligibility</w:t>
      </w:r>
      <w:r w:rsidRPr="00C01815">
        <w:rPr>
          <w:rFonts w:eastAsia="Times New Roman" w:cstheme="minorHAnsi"/>
          <w:sz w:val="24"/>
          <w:szCs w:val="24"/>
          <w:lang w:eastAsia="en-GB"/>
        </w:rPr>
        <w:t xml:space="preserve"> (n=45 cases all sites; HC = 33; HPC = 12).</w:t>
      </w:r>
    </w:p>
    <w:p w14:paraId="51A535E6" w14:textId="39504371"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In 16 cases (HC, n=13; HPC, n=3) evaluators determined </w:t>
      </w:r>
      <w:r w:rsidRPr="00C01815">
        <w:rPr>
          <w:rFonts w:eastAsia="Times New Roman" w:cstheme="minorHAnsi"/>
          <w:i/>
          <w:iCs/>
          <w:sz w:val="24"/>
          <w:szCs w:val="24"/>
          <w:lang w:eastAsia="en-GB"/>
        </w:rPr>
        <w:t>eligibility</w:t>
      </w:r>
      <w:r w:rsidRPr="00C01815">
        <w:rPr>
          <w:rFonts w:eastAsia="Times New Roman" w:cstheme="minorHAnsi"/>
          <w:sz w:val="24"/>
          <w:szCs w:val="24"/>
          <w:lang w:eastAsia="en-GB"/>
        </w:rPr>
        <w:t xml:space="preserve"> while </w:t>
      </w:r>
      <w:r w:rsidR="004B3C3F">
        <w:rPr>
          <w:rFonts w:eastAsia="Times New Roman" w:cstheme="minorHAnsi"/>
          <w:sz w:val="24"/>
          <w:szCs w:val="24"/>
          <w:lang w:eastAsia="en-GB"/>
        </w:rPr>
        <w:t>clinical assessors</w:t>
      </w:r>
      <w:r w:rsidRPr="00C01815">
        <w:rPr>
          <w:rFonts w:eastAsia="Times New Roman" w:cstheme="minorHAnsi"/>
          <w:sz w:val="24"/>
          <w:szCs w:val="24"/>
          <w:lang w:eastAsia="en-GB"/>
        </w:rPr>
        <w:t xml:space="preserve"> indicated </w:t>
      </w:r>
      <w:r w:rsidRPr="00C01815">
        <w:rPr>
          <w:rFonts w:eastAsia="Times New Roman" w:cstheme="minorHAnsi"/>
          <w:i/>
          <w:iCs/>
          <w:sz w:val="24"/>
          <w:szCs w:val="24"/>
          <w:lang w:eastAsia="en-GB"/>
        </w:rPr>
        <w:t xml:space="preserve">uncertainty </w:t>
      </w:r>
      <w:r w:rsidRPr="00C01815">
        <w:rPr>
          <w:rFonts w:eastAsia="Times New Roman" w:cstheme="minorHAnsi"/>
          <w:sz w:val="24"/>
          <w:szCs w:val="24"/>
          <w:lang w:eastAsia="en-GB"/>
        </w:rPr>
        <w:t xml:space="preserve">based on </w:t>
      </w:r>
      <w:r w:rsidR="00EC2E48">
        <w:rPr>
          <w:rFonts w:eastAsia="Times New Roman" w:cstheme="minorHAnsi"/>
          <w:sz w:val="24"/>
          <w:szCs w:val="24"/>
          <w:lang w:eastAsia="en-GB"/>
        </w:rPr>
        <w:t xml:space="preserve">concerns about the </w:t>
      </w:r>
      <w:r w:rsidRPr="00C01815">
        <w:rPr>
          <w:rFonts w:eastAsia="Times New Roman" w:cstheme="minorHAnsi"/>
          <w:sz w:val="24"/>
          <w:szCs w:val="24"/>
          <w:lang w:eastAsia="en-GB"/>
        </w:rPr>
        <w:t xml:space="preserve">eye tissue (e.g., ‘cataract surgery’, ‘ocular issues in posterior chamber of the eye’). Thirty-five further cases (HC = 21; HPC = 14) involved evaluator determination of eligibility where reviewers had indicated uncertainty for miscellaneous reasons (e.g., ‘history of asbestos exposure’, ‘Autism’). </w:t>
      </w:r>
    </w:p>
    <w:p w14:paraId="4A11A3DA" w14:textId="77777777" w:rsidR="00C01815" w:rsidRPr="00C01815" w:rsidRDefault="00C01815" w:rsidP="00C01815">
      <w:pPr>
        <w:keepNext/>
        <w:keepLines/>
        <w:spacing w:after="100" w:afterAutospacing="1" w:line="360" w:lineRule="auto"/>
        <w:outlineLvl w:val="2"/>
        <w:rPr>
          <w:rFonts w:eastAsiaTheme="majorEastAsia" w:cstheme="minorHAnsi"/>
          <w:b/>
          <w:color w:val="1F3864" w:themeColor="accent1" w:themeShade="80"/>
          <w:sz w:val="24"/>
          <w:szCs w:val="24"/>
          <w:lang w:eastAsia="en-GB"/>
        </w:rPr>
      </w:pPr>
      <w:r w:rsidRPr="00C01815">
        <w:rPr>
          <w:rFonts w:eastAsiaTheme="majorEastAsia" w:cstheme="minorHAnsi"/>
          <w:b/>
          <w:color w:val="1F3864" w:themeColor="accent1" w:themeShade="80"/>
          <w:sz w:val="24"/>
          <w:szCs w:val="24"/>
          <w:lang w:eastAsia="en-GB"/>
        </w:rPr>
        <w:t>Cases in which no cause of death was available</w:t>
      </w:r>
    </w:p>
    <w:p w14:paraId="21C7C03C" w14:textId="3C200C5E" w:rsidR="00C01815" w:rsidRPr="00C01815" w:rsidRDefault="00C01815" w:rsidP="00C01815">
      <w:pPr>
        <w:spacing w:before="100" w:beforeAutospacing="1" w:after="100" w:afterAutospacing="1" w:line="360" w:lineRule="auto"/>
        <w:rPr>
          <w:rFonts w:eastAsia="Times New Roman" w:cstheme="minorHAnsi"/>
          <w:sz w:val="24"/>
          <w:szCs w:val="24"/>
          <w:lang w:eastAsia="en-GB"/>
        </w:rPr>
      </w:pPr>
      <w:r w:rsidRPr="00C01815">
        <w:rPr>
          <w:rFonts w:eastAsia="Times New Roman" w:cstheme="minorHAnsi"/>
          <w:sz w:val="24"/>
          <w:szCs w:val="24"/>
          <w:lang w:eastAsia="en-GB"/>
        </w:rPr>
        <w:t xml:space="preserve">In 18 cases, no cause of death was logged </w:t>
      </w:r>
      <w:r w:rsidR="007020F1">
        <w:rPr>
          <w:rFonts w:eastAsia="Times New Roman" w:cstheme="minorHAnsi"/>
          <w:sz w:val="24"/>
          <w:szCs w:val="24"/>
          <w:lang w:eastAsia="en-GB"/>
        </w:rPr>
        <w:t>by the assessor</w:t>
      </w:r>
      <w:r w:rsidR="005D0710">
        <w:rPr>
          <w:rFonts w:eastAsia="Times New Roman" w:cstheme="minorHAnsi"/>
          <w:sz w:val="24"/>
          <w:szCs w:val="24"/>
          <w:lang w:eastAsia="en-GB"/>
        </w:rPr>
        <w:t xml:space="preserve"> (as not recorded in the patients notes)</w:t>
      </w:r>
      <w:r w:rsidR="00ED2A63">
        <w:rPr>
          <w:rFonts w:eastAsia="Times New Roman" w:cstheme="minorHAnsi"/>
          <w:sz w:val="24"/>
          <w:szCs w:val="24"/>
          <w:lang w:eastAsia="en-GB"/>
        </w:rPr>
        <w:t>.</w:t>
      </w:r>
    </w:p>
    <w:p w14:paraId="61DB8DB5" w14:textId="5F5F44A5" w:rsidR="00C01815" w:rsidRPr="00C01815" w:rsidRDefault="00CE3F41" w:rsidP="00C01815">
      <w:pPr>
        <w:keepNext/>
        <w:keepLines/>
        <w:spacing w:before="100" w:beforeAutospacing="1" w:after="100" w:afterAutospacing="1" w:line="360" w:lineRule="auto"/>
        <w:outlineLvl w:val="1"/>
        <w:rPr>
          <w:rFonts w:eastAsiaTheme="majorEastAsia" w:cstheme="minorHAnsi"/>
          <w:b/>
          <w:bCs/>
          <w:i/>
          <w:iCs/>
          <w:noProof/>
          <w:color w:val="1F3864" w:themeColor="accent1" w:themeShade="80"/>
          <w:sz w:val="24"/>
          <w:szCs w:val="24"/>
        </w:rPr>
      </w:pPr>
      <w:r>
        <w:rPr>
          <w:rFonts w:eastAsiaTheme="majorEastAsia" w:cstheme="minorHAnsi"/>
          <w:b/>
          <w:bCs/>
          <w:noProof/>
          <w:color w:val="1F3864" w:themeColor="accent1" w:themeShade="80"/>
          <w:sz w:val="24"/>
          <w:szCs w:val="24"/>
        </w:rPr>
        <w:t>Discussion</w:t>
      </w:r>
    </w:p>
    <w:p w14:paraId="31C827FF" w14:textId="0A2DEECF" w:rsidR="00FF522B" w:rsidRDefault="00AD2E9E" w:rsidP="00C01815">
      <w:pPr>
        <w:spacing w:before="100" w:beforeAutospacing="1" w:after="100" w:afterAutospacing="1" w:line="360" w:lineRule="auto"/>
        <w:rPr>
          <w:rFonts w:eastAsia="Times New Roman" w:cstheme="minorHAnsi"/>
          <w:sz w:val="24"/>
          <w:szCs w:val="24"/>
          <w:lang w:eastAsia="en-GB"/>
        </w:rPr>
      </w:pPr>
      <w:r w:rsidRPr="00AD2E9E">
        <w:rPr>
          <w:rFonts w:eastAsia="Times New Roman" w:cstheme="minorHAnsi"/>
          <w:sz w:val="24"/>
          <w:szCs w:val="24"/>
          <w:lang w:eastAsia="en-GB"/>
        </w:rPr>
        <w:t>The retrospective note review reported here demonstrates significant potential for eye donation across HC and HPC settings, which is currently unrealised. Across 1199 cases, 553 (46%) deceased patients notes were agreed as being eligible for ED. However, less than 4% of all cases agreed as eligible recorded an approach or referral to the relevant organisation (e.g., NHSBT – TES)</w:t>
      </w:r>
      <w:r w:rsidR="009D47B2">
        <w:rPr>
          <w:rFonts w:eastAsia="Times New Roman" w:cstheme="minorHAnsi"/>
          <w:sz w:val="24"/>
          <w:szCs w:val="24"/>
          <w:lang w:eastAsia="en-GB"/>
        </w:rPr>
        <w:t xml:space="preserve">, therefore this </w:t>
      </w:r>
      <w:r w:rsidR="00FF522B">
        <w:rPr>
          <w:rFonts w:eastAsia="Times New Roman" w:cstheme="minorHAnsi"/>
          <w:sz w:val="24"/>
          <w:szCs w:val="24"/>
          <w:lang w:eastAsia="en-GB"/>
        </w:rPr>
        <w:t>ophthalmic tissue is lost from the supply chain</w:t>
      </w:r>
      <w:r w:rsidRPr="00AD2E9E">
        <w:rPr>
          <w:rFonts w:eastAsia="Times New Roman" w:cstheme="minorHAnsi"/>
          <w:sz w:val="24"/>
          <w:szCs w:val="24"/>
          <w:lang w:eastAsia="en-GB"/>
        </w:rPr>
        <w:t>.</w:t>
      </w:r>
      <w:r w:rsidR="00E7540F" w:rsidRPr="00E7540F">
        <w:t xml:space="preserve"> </w:t>
      </w:r>
      <w:r w:rsidR="00E7540F" w:rsidRPr="00E7540F">
        <w:rPr>
          <w:rFonts w:eastAsia="Times New Roman" w:cstheme="minorHAnsi"/>
          <w:sz w:val="24"/>
          <w:szCs w:val="24"/>
          <w:lang w:eastAsia="en-GB"/>
        </w:rPr>
        <w:t xml:space="preserve">Our findings regarding potential are supported in the literature where authors undertaking note reviews </w:t>
      </w:r>
      <w:r w:rsidR="00493F49">
        <w:rPr>
          <w:rFonts w:eastAsia="Times New Roman" w:cstheme="minorHAnsi"/>
          <w:sz w:val="24"/>
          <w:szCs w:val="24"/>
          <w:lang w:eastAsia="en-GB"/>
        </w:rPr>
        <w:t xml:space="preserve">in the UK </w:t>
      </w:r>
      <w:r w:rsidR="00E7540F" w:rsidRPr="00E7540F">
        <w:rPr>
          <w:rFonts w:eastAsia="Times New Roman" w:cstheme="minorHAnsi"/>
          <w:sz w:val="24"/>
          <w:szCs w:val="24"/>
          <w:lang w:eastAsia="en-GB"/>
        </w:rPr>
        <w:t>have all identified high potential from hospice care settings (ranging from 52% and 87%, (Gillon et al., 2010; Tredgett and Ward-Davies, 2019)</w:t>
      </w:r>
      <w:r w:rsidR="001267E4">
        <w:rPr>
          <w:rFonts w:eastAsia="Times New Roman" w:cstheme="minorHAnsi"/>
          <w:sz w:val="24"/>
          <w:szCs w:val="24"/>
          <w:lang w:eastAsia="en-GB"/>
        </w:rPr>
        <w:t xml:space="preserve">. </w:t>
      </w:r>
    </w:p>
    <w:p w14:paraId="311DE3F1" w14:textId="77777777" w:rsidR="00220C4C" w:rsidRDefault="00AD2E9E" w:rsidP="00C01815">
      <w:pPr>
        <w:spacing w:before="100" w:beforeAutospacing="1" w:after="100" w:afterAutospacing="1" w:line="360" w:lineRule="auto"/>
        <w:rPr>
          <w:rFonts w:eastAsia="Times New Roman" w:cstheme="minorHAnsi"/>
          <w:sz w:val="24"/>
          <w:szCs w:val="24"/>
          <w:lang w:eastAsia="en-GB"/>
        </w:rPr>
      </w:pPr>
      <w:r w:rsidRPr="00AD2E9E">
        <w:rPr>
          <w:rFonts w:eastAsia="Times New Roman" w:cstheme="minorHAnsi"/>
          <w:sz w:val="24"/>
          <w:szCs w:val="24"/>
          <w:lang w:eastAsia="en-GB"/>
        </w:rPr>
        <w:t>Potential for donation is evidenced as higher in HC (56%) than HPC (36%) potentially influenced by patients with greater complexity and co-morbidities dying in hospital care settings</w:t>
      </w:r>
      <w:r w:rsidR="00A6702D">
        <w:rPr>
          <w:rFonts w:eastAsia="Times New Roman" w:cstheme="minorHAnsi"/>
          <w:sz w:val="24"/>
          <w:szCs w:val="24"/>
          <w:lang w:eastAsia="en-GB"/>
        </w:rPr>
        <w:t xml:space="preserve">. </w:t>
      </w:r>
      <w:r w:rsidR="00133FAE" w:rsidRPr="00133FAE">
        <w:rPr>
          <w:rFonts w:eastAsia="Times New Roman" w:cstheme="minorHAnsi"/>
          <w:sz w:val="24"/>
          <w:szCs w:val="24"/>
          <w:lang w:eastAsia="en-GB"/>
        </w:rPr>
        <w:t xml:space="preserve">If the reported potential in HC sites (56%, n = 337) was realised this would equate to potentially 674 eyes (two eyes per donor) entering the supply chain (dependent on screening of donated tissue), and this is from just three HC sites across England.  </w:t>
      </w:r>
    </w:p>
    <w:p w14:paraId="3B1738E4" w14:textId="5A4F4100" w:rsidR="0021674E" w:rsidRDefault="00133FAE" w:rsidP="0021674E">
      <w:pPr>
        <w:spacing w:before="100" w:beforeAutospacing="1" w:after="100" w:afterAutospacing="1" w:line="360" w:lineRule="auto"/>
        <w:rPr>
          <w:rFonts w:eastAsia="Times New Roman" w:cstheme="minorHAnsi"/>
          <w:sz w:val="24"/>
          <w:szCs w:val="24"/>
          <w:lang w:eastAsia="en-GB"/>
        </w:rPr>
      </w:pPr>
      <w:r w:rsidRPr="00133FAE">
        <w:rPr>
          <w:rFonts w:eastAsia="Times New Roman" w:cstheme="minorHAnsi"/>
          <w:sz w:val="24"/>
          <w:szCs w:val="24"/>
          <w:lang w:eastAsia="en-GB"/>
        </w:rPr>
        <w:t>Figures from 2020 report that there were 25,498 death</w:t>
      </w:r>
      <w:r w:rsidR="00F1292A">
        <w:rPr>
          <w:rFonts w:eastAsia="Times New Roman" w:cstheme="minorHAnsi"/>
          <w:sz w:val="24"/>
          <w:szCs w:val="24"/>
          <w:lang w:eastAsia="en-GB"/>
        </w:rPr>
        <w:t xml:space="preserve">s </w:t>
      </w:r>
      <w:r w:rsidRPr="00133FAE">
        <w:rPr>
          <w:rFonts w:eastAsia="Times New Roman" w:cstheme="minorHAnsi"/>
          <w:sz w:val="24"/>
          <w:szCs w:val="24"/>
          <w:lang w:eastAsia="en-GB"/>
        </w:rPr>
        <w:t>in</w:t>
      </w:r>
      <w:r w:rsidR="00F1292A">
        <w:rPr>
          <w:rFonts w:eastAsia="Times New Roman" w:cstheme="minorHAnsi"/>
          <w:sz w:val="24"/>
          <w:szCs w:val="24"/>
          <w:lang w:eastAsia="en-GB"/>
        </w:rPr>
        <w:t xml:space="preserve"> the 208 </w:t>
      </w:r>
      <w:r w:rsidRPr="00133FAE">
        <w:rPr>
          <w:rFonts w:eastAsia="Times New Roman" w:cstheme="minorHAnsi"/>
          <w:sz w:val="24"/>
          <w:szCs w:val="24"/>
          <w:lang w:eastAsia="en-GB"/>
        </w:rPr>
        <w:t xml:space="preserve">HC settings in the UK (no significant change in this figure reported since previous figures 2019) equating to 4.5% of all deaths in </w:t>
      </w:r>
      <w:r w:rsidR="008B30E8">
        <w:rPr>
          <w:rFonts w:eastAsia="Times New Roman" w:cstheme="minorHAnsi"/>
          <w:sz w:val="24"/>
          <w:szCs w:val="24"/>
          <w:lang w:eastAsia="en-GB"/>
        </w:rPr>
        <w:t xml:space="preserve">the </w:t>
      </w:r>
      <w:r w:rsidRPr="00133FAE">
        <w:rPr>
          <w:rFonts w:eastAsia="Times New Roman" w:cstheme="minorHAnsi"/>
          <w:sz w:val="24"/>
          <w:szCs w:val="24"/>
          <w:lang w:eastAsia="en-GB"/>
        </w:rPr>
        <w:t>UK</w:t>
      </w:r>
      <w:r w:rsidR="001E74AD">
        <w:rPr>
          <w:rFonts w:eastAsia="Times New Roman" w:cstheme="minorHAnsi"/>
          <w:sz w:val="24"/>
          <w:szCs w:val="24"/>
          <w:lang w:eastAsia="en-GB"/>
        </w:rPr>
        <w:t xml:space="preserve"> </w:t>
      </w:r>
      <w:r w:rsidR="000A6497">
        <w:rPr>
          <w:rFonts w:eastAsia="Times New Roman" w:cstheme="minorHAnsi"/>
          <w:sz w:val="24"/>
          <w:szCs w:val="24"/>
          <w:lang w:eastAsia="en-GB"/>
        </w:rPr>
        <w:fldChar w:fldCharType="begin" w:fldLock="1"/>
      </w:r>
      <w:r w:rsidR="00F8450B">
        <w:rPr>
          <w:rFonts w:eastAsia="Times New Roman" w:cstheme="minorHAnsi"/>
          <w:sz w:val="24"/>
          <w:szCs w:val="24"/>
          <w:lang w:eastAsia="en-GB"/>
        </w:rPr>
        <w:instrText>ADDIN CSL_CITATION {"citationItems":[{"id":"ITEM-1","itemData":{"URL":"https://fingertips.phe.org.uk/profile/end-of-life/data","author":[{"dropping-particle":"","family":"Office ofr Health Improvement and Disparities","given":"","non-dropping-particle":"","parse-names":false,"suffix":""}],"id":"ITEM-1","issued":{"date-parts":[["2020"]]},"title":"Palliative and End of Life Care Profiles","type":"webpage"},"uris":["http://www.mendeley.com/documents/?uuid=43e0ef2f-8a1d-43a8-a234-8c59bdca98a9"]}],"mendeley":{"formattedCitation":"(Office ofr Health Improvement and Disparities 2020)","manualFormatting":"(Office for Health Improvement and Disparities, 2020)","plainTextFormattedCitation":"(Office ofr Health Improvement and Disparities 2020)","previouslyFormattedCitation":"(Office ofr Health Improvement and Disparities 2020)"},"properties":{"noteIndex":0},"schema":"https://github.com/citation-style-language/schema/raw/master/csl-citation.json"}</w:instrText>
      </w:r>
      <w:r w:rsidR="000A6497">
        <w:rPr>
          <w:rFonts w:eastAsia="Times New Roman" w:cstheme="minorHAnsi"/>
          <w:sz w:val="24"/>
          <w:szCs w:val="24"/>
          <w:lang w:eastAsia="en-GB"/>
        </w:rPr>
        <w:fldChar w:fldCharType="separate"/>
      </w:r>
      <w:r w:rsidR="001E74AD" w:rsidRPr="001E74AD">
        <w:rPr>
          <w:rFonts w:eastAsia="Times New Roman" w:cstheme="minorHAnsi"/>
          <w:noProof/>
          <w:sz w:val="24"/>
          <w:szCs w:val="24"/>
          <w:lang w:eastAsia="en-GB"/>
        </w:rPr>
        <w:t xml:space="preserve">(Office </w:t>
      </w:r>
      <w:r w:rsidR="00EC5F77">
        <w:rPr>
          <w:rFonts w:eastAsia="Times New Roman" w:cstheme="minorHAnsi"/>
          <w:noProof/>
          <w:sz w:val="24"/>
          <w:szCs w:val="24"/>
          <w:lang w:eastAsia="en-GB"/>
        </w:rPr>
        <w:t xml:space="preserve">for </w:t>
      </w:r>
      <w:r w:rsidR="001E74AD" w:rsidRPr="001E74AD">
        <w:rPr>
          <w:rFonts w:eastAsia="Times New Roman" w:cstheme="minorHAnsi"/>
          <w:noProof/>
          <w:sz w:val="24"/>
          <w:szCs w:val="24"/>
          <w:lang w:eastAsia="en-GB"/>
        </w:rPr>
        <w:t>Health Improvement and Disparities, 2020)</w:t>
      </w:r>
      <w:r w:rsidR="000A6497">
        <w:rPr>
          <w:rFonts w:eastAsia="Times New Roman" w:cstheme="minorHAnsi"/>
          <w:sz w:val="24"/>
          <w:szCs w:val="24"/>
          <w:lang w:eastAsia="en-GB"/>
        </w:rPr>
        <w:fldChar w:fldCharType="end"/>
      </w:r>
      <w:r w:rsidRPr="00133FAE">
        <w:rPr>
          <w:rFonts w:eastAsia="Times New Roman" w:cstheme="minorHAnsi"/>
          <w:sz w:val="24"/>
          <w:szCs w:val="24"/>
          <w:lang w:eastAsia="en-GB"/>
        </w:rPr>
        <w:t xml:space="preserve">. However, from April 2021 to March 2022 NHSBT TES only received 443 referrals from 63 hospice locations with 293 of those referrals generating eyes. If the potential from HC sites was accessed this supply could potentially end the shortage, but not without engagement with, and investment (time, resources, finance) in </w:t>
      </w:r>
      <w:r w:rsidR="009E18E9">
        <w:rPr>
          <w:rFonts w:eastAsia="Times New Roman" w:cstheme="minorHAnsi"/>
          <w:sz w:val="24"/>
          <w:szCs w:val="24"/>
          <w:lang w:eastAsia="en-GB"/>
        </w:rPr>
        <w:t>Hospice Care</w:t>
      </w:r>
      <w:r w:rsidR="00AE3879">
        <w:rPr>
          <w:rFonts w:eastAsia="Times New Roman" w:cstheme="minorHAnsi"/>
          <w:sz w:val="24"/>
          <w:szCs w:val="24"/>
          <w:lang w:eastAsia="en-GB"/>
        </w:rPr>
        <w:t xml:space="preserve"> settings</w:t>
      </w:r>
      <w:r w:rsidR="00C14098">
        <w:rPr>
          <w:rFonts w:eastAsia="Times New Roman" w:cstheme="minorHAnsi"/>
          <w:sz w:val="24"/>
          <w:szCs w:val="24"/>
          <w:lang w:eastAsia="en-GB"/>
        </w:rPr>
        <w:t xml:space="preserve"> identifying the key barriers that are context </w:t>
      </w:r>
      <w:r w:rsidR="00D21310">
        <w:rPr>
          <w:rFonts w:eastAsia="Times New Roman" w:cstheme="minorHAnsi"/>
          <w:sz w:val="24"/>
          <w:szCs w:val="24"/>
          <w:lang w:eastAsia="en-GB"/>
        </w:rPr>
        <w:t>specific.  Wider findings from the EDiPPPP</w:t>
      </w:r>
      <w:r w:rsidR="007568FE">
        <w:rPr>
          <w:rFonts w:eastAsia="Times New Roman" w:cstheme="minorHAnsi"/>
          <w:sz w:val="24"/>
          <w:szCs w:val="24"/>
          <w:lang w:eastAsia="en-GB"/>
        </w:rPr>
        <w:t xml:space="preserve"> </w:t>
      </w:r>
      <w:r w:rsidR="000946C4">
        <w:rPr>
          <w:rFonts w:eastAsia="Times New Roman" w:cstheme="minorHAnsi"/>
          <w:sz w:val="24"/>
          <w:szCs w:val="24"/>
          <w:lang w:eastAsia="en-GB"/>
        </w:rPr>
        <w:t xml:space="preserve">have identified </w:t>
      </w:r>
      <w:r w:rsidR="00C46CBB">
        <w:rPr>
          <w:rFonts w:eastAsia="Times New Roman" w:cstheme="minorHAnsi"/>
          <w:sz w:val="24"/>
          <w:szCs w:val="24"/>
          <w:lang w:eastAsia="en-GB"/>
        </w:rPr>
        <w:t xml:space="preserve">barriers </w:t>
      </w:r>
      <w:r w:rsidR="0010206D">
        <w:rPr>
          <w:rFonts w:eastAsia="Times New Roman" w:cstheme="minorHAnsi"/>
          <w:sz w:val="24"/>
          <w:szCs w:val="24"/>
          <w:lang w:eastAsia="en-GB"/>
        </w:rPr>
        <w:t>to ED</w:t>
      </w:r>
      <w:r w:rsidR="00985555">
        <w:rPr>
          <w:rFonts w:eastAsia="Times New Roman" w:cstheme="minorHAnsi"/>
          <w:sz w:val="24"/>
          <w:szCs w:val="24"/>
          <w:lang w:eastAsia="en-GB"/>
        </w:rPr>
        <w:t xml:space="preserve"> </w:t>
      </w:r>
      <w:r w:rsidR="000030D0">
        <w:rPr>
          <w:rFonts w:eastAsia="Times New Roman" w:cstheme="minorHAnsi"/>
          <w:sz w:val="24"/>
          <w:szCs w:val="24"/>
          <w:lang w:eastAsia="en-GB"/>
        </w:rPr>
        <w:t>in palliative care settings</w:t>
      </w:r>
      <w:r w:rsidR="005E1667">
        <w:rPr>
          <w:rFonts w:eastAsia="Times New Roman" w:cstheme="minorHAnsi"/>
          <w:sz w:val="24"/>
          <w:szCs w:val="24"/>
          <w:lang w:eastAsia="en-GB"/>
        </w:rPr>
        <w:t xml:space="preserve"> </w:t>
      </w:r>
      <w:r w:rsidR="0034526A">
        <w:rPr>
          <w:rFonts w:eastAsia="Times New Roman" w:cstheme="minorHAnsi"/>
          <w:sz w:val="24"/>
          <w:szCs w:val="24"/>
          <w:lang w:eastAsia="en-GB"/>
        </w:rPr>
        <w:t>and have</w:t>
      </w:r>
      <w:r w:rsidR="00AB32B1">
        <w:rPr>
          <w:rFonts w:eastAsia="Times New Roman" w:cstheme="minorHAnsi"/>
          <w:sz w:val="24"/>
          <w:szCs w:val="24"/>
          <w:lang w:eastAsia="en-GB"/>
        </w:rPr>
        <w:t xml:space="preserve"> developed an intervention </w:t>
      </w:r>
      <w:r w:rsidR="00541EBA" w:rsidRPr="0034526A">
        <w:rPr>
          <w:rFonts w:eastAsia="Times New Roman" w:cstheme="minorHAnsi"/>
          <w:i/>
          <w:iCs/>
          <w:sz w:val="24"/>
          <w:szCs w:val="24"/>
          <w:lang w:eastAsia="en-GB"/>
        </w:rPr>
        <w:t>STEPS – Support Toolkit for Eye donation in Palliative care Settings</w:t>
      </w:r>
      <w:r w:rsidR="00D2703B">
        <w:rPr>
          <w:rFonts w:eastAsia="Times New Roman" w:cstheme="minorHAnsi"/>
          <w:sz w:val="24"/>
          <w:szCs w:val="24"/>
          <w:lang w:eastAsia="en-GB"/>
        </w:rPr>
        <w:t xml:space="preserve"> which is aimed at </w:t>
      </w:r>
      <w:r w:rsidR="00D707EF">
        <w:rPr>
          <w:rFonts w:eastAsia="Times New Roman" w:cstheme="minorHAnsi"/>
          <w:sz w:val="24"/>
          <w:szCs w:val="24"/>
          <w:lang w:eastAsia="en-GB"/>
        </w:rPr>
        <w:t xml:space="preserve">ensuring that the </w:t>
      </w:r>
      <w:r w:rsidR="00D83602">
        <w:rPr>
          <w:rFonts w:eastAsia="Times New Roman" w:cstheme="minorHAnsi"/>
          <w:sz w:val="24"/>
          <w:szCs w:val="24"/>
          <w:lang w:eastAsia="en-GB"/>
        </w:rPr>
        <w:t xml:space="preserve">evidenced </w:t>
      </w:r>
      <w:r w:rsidR="00A863E1">
        <w:rPr>
          <w:rFonts w:eastAsia="Times New Roman" w:cstheme="minorHAnsi"/>
          <w:sz w:val="24"/>
          <w:szCs w:val="24"/>
          <w:lang w:eastAsia="en-GB"/>
        </w:rPr>
        <w:t xml:space="preserve">potential for </w:t>
      </w:r>
      <w:r w:rsidR="00D707EF">
        <w:rPr>
          <w:rFonts w:eastAsia="Times New Roman" w:cstheme="minorHAnsi"/>
          <w:sz w:val="24"/>
          <w:szCs w:val="24"/>
          <w:lang w:eastAsia="en-GB"/>
        </w:rPr>
        <w:t xml:space="preserve">eye donation from Hospice Care settings is realised </w:t>
      </w:r>
      <w:r w:rsidR="00932EA9">
        <w:rPr>
          <w:rFonts w:eastAsia="Times New Roman" w:cstheme="minorHAnsi"/>
          <w:sz w:val="24"/>
          <w:szCs w:val="24"/>
          <w:lang w:eastAsia="en-GB"/>
        </w:rPr>
        <w:t xml:space="preserve">and used for sigh-saving </w:t>
      </w:r>
      <w:r w:rsidR="00927B3E" w:rsidRPr="00927B3E">
        <w:rPr>
          <w:rFonts w:eastAsia="Times New Roman" w:cstheme="minorHAnsi"/>
          <w:sz w:val="24"/>
          <w:szCs w:val="24"/>
          <w:lang w:eastAsia="en-GB"/>
        </w:rPr>
        <w:t xml:space="preserve">and sight-restoring transplantation and medical research.    </w:t>
      </w:r>
    </w:p>
    <w:p w14:paraId="282E0EF7" w14:textId="77777777" w:rsidR="0021674E" w:rsidRDefault="0021674E" w:rsidP="0021674E">
      <w:pPr>
        <w:spacing w:before="100" w:beforeAutospacing="1" w:after="100" w:afterAutospacing="1" w:line="360" w:lineRule="auto"/>
        <w:rPr>
          <w:rFonts w:eastAsia="Times New Roman" w:cstheme="minorHAnsi"/>
          <w:sz w:val="24"/>
          <w:szCs w:val="24"/>
          <w:lang w:eastAsia="en-GB"/>
        </w:rPr>
      </w:pPr>
    </w:p>
    <w:p w14:paraId="450FEED1" w14:textId="77777777" w:rsidR="00CE1E73" w:rsidRDefault="00CE1E73" w:rsidP="0021674E">
      <w:pPr>
        <w:spacing w:before="100" w:beforeAutospacing="1" w:after="100" w:afterAutospacing="1" w:line="360" w:lineRule="auto"/>
        <w:rPr>
          <w:rFonts w:eastAsia="Times New Roman" w:cstheme="minorHAnsi"/>
          <w:sz w:val="24"/>
          <w:szCs w:val="24"/>
          <w:lang w:eastAsia="en-GB"/>
        </w:rPr>
      </w:pPr>
    </w:p>
    <w:p w14:paraId="01F1FF5B" w14:textId="77777777" w:rsidR="00CE1E73" w:rsidRDefault="00CE1E73" w:rsidP="0021674E">
      <w:pPr>
        <w:spacing w:before="100" w:beforeAutospacing="1" w:after="100" w:afterAutospacing="1" w:line="360" w:lineRule="auto"/>
        <w:rPr>
          <w:rFonts w:eastAsia="Times New Roman" w:cstheme="minorHAnsi"/>
          <w:sz w:val="24"/>
          <w:szCs w:val="24"/>
          <w:lang w:eastAsia="en-GB"/>
        </w:rPr>
      </w:pPr>
    </w:p>
    <w:p w14:paraId="65989554" w14:textId="77777777" w:rsidR="00CE1E73" w:rsidRDefault="00CE1E73" w:rsidP="0021674E">
      <w:pPr>
        <w:spacing w:before="100" w:beforeAutospacing="1" w:after="100" w:afterAutospacing="1" w:line="360" w:lineRule="auto"/>
        <w:rPr>
          <w:rFonts w:eastAsia="Times New Roman" w:cstheme="minorHAnsi"/>
          <w:sz w:val="24"/>
          <w:szCs w:val="24"/>
          <w:lang w:eastAsia="en-GB"/>
        </w:rPr>
      </w:pPr>
    </w:p>
    <w:p w14:paraId="7177A611" w14:textId="77777777" w:rsidR="0021674E" w:rsidRDefault="0021674E" w:rsidP="0021674E">
      <w:pPr>
        <w:spacing w:before="100" w:beforeAutospacing="1" w:after="100" w:afterAutospacing="1" w:line="360" w:lineRule="auto"/>
        <w:rPr>
          <w:rFonts w:eastAsia="Times New Roman" w:cstheme="minorHAnsi"/>
          <w:sz w:val="24"/>
          <w:szCs w:val="24"/>
          <w:lang w:eastAsia="en-GB"/>
        </w:rPr>
      </w:pPr>
      <w:r>
        <w:rPr>
          <w:rFonts w:eastAsia="Times New Roman" w:cstheme="minorHAnsi"/>
          <w:sz w:val="24"/>
          <w:szCs w:val="24"/>
          <w:lang w:eastAsia="en-GB"/>
        </w:rPr>
        <w:t xml:space="preserve">References: </w:t>
      </w:r>
    </w:p>
    <w:p w14:paraId="7A4F44AF" w14:textId="68E40899" w:rsidR="00F8450B" w:rsidRPr="008B53E7" w:rsidRDefault="005801B7" w:rsidP="00CC08C9">
      <w:pPr>
        <w:widowControl w:val="0"/>
        <w:autoSpaceDE w:val="0"/>
        <w:autoSpaceDN w:val="0"/>
        <w:adjustRightInd w:val="0"/>
        <w:spacing w:before="100" w:after="0" w:line="240" w:lineRule="auto"/>
        <w:jc w:val="both"/>
        <w:rPr>
          <w:rFonts w:ascii="Calibri" w:hAnsi="Calibri" w:cs="Calibri"/>
          <w:noProof/>
        </w:rPr>
      </w:pPr>
      <w:r w:rsidRPr="008B53E7">
        <w:rPr>
          <w:rFonts w:eastAsia="Times New Roman" w:cstheme="minorHAnsi"/>
          <w:lang w:eastAsia="en-GB"/>
        </w:rPr>
        <w:fldChar w:fldCharType="begin" w:fldLock="1"/>
      </w:r>
      <w:r w:rsidRPr="008B53E7">
        <w:rPr>
          <w:rFonts w:eastAsia="Times New Roman" w:cstheme="minorHAnsi"/>
          <w:lang w:eastAsia="en-GB"/>
        </w:rPr>
        <w:instrText xml:space="preserve">ADDIN Mendeley Bibliography CSL_BIBLIOGRAPHY </w:instrText>
      </w:r>
      <w:r w:rsidRPr="008B53E7">
        <w:rPr>
          <w:rFonts w:eastAsia="Times New Roman" w:cstheme="minorHAnsi"/>
          <w:lang w:eastAsia="en-GB"/>
        </w:rPr>
        <w:fldChar w:fldCharType="separate"/>
      </w:r>
      <w:r w:rsidR="00F8450B" w:rsidRPr="008B53E7">
        <w:rPr>
          <w:rFonts w:ascii="Calibri" w:hAnsi="Calibri" w:cs="Calibri"/>
          <w:noProof/>
        </w:rPr>
        <w:t>Bracher M, Madi-Segwagwe BC, Winstanley E, et al (2021) Family refusal of eye tissue donation from potential solid organ donors: a retrospective analysis of summary and free-text data from the UK National Health Service Blood and Transplant Services (NHS-BT) National Referral Centre (1 April 2014 to 31 March 2. BMJ Open 11:e045250. https://doi.org/10.1136/bmjopen-2020-045250</w:t>
      </w:r>
    </w:p>
    <w:p w14:paraId="4E0ADE1E" w14:textId="77777777" w:rsidR="00F8450B" w:rsidRPr="008B53E7" w:rsidRDefault="00F8450B" w:rsidP="00CC08C9">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Gain P, Jullienne R, He Z, et al (2016) Global survey of corneal transplantation and eye banking. JAMA Ophthalmol 134:167–173. https://doi.org/10.1001/jamaophthalmol.2015.4776</w:t>
      </w:r>
    </w:p>
    <w:p w14:paraId="11F7F826" w14:textId="77777777" w:rsidR="00F8450B" w:rsidRPr="008B53E7" w:rsidRDefault="00F8450B" w:rsidP="00F749D3">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Gaum L, Reynolds I, Jones MNAA, et al (2012) Tissue and corneal donation and transplantation in the UK. Br J Anaesth 108:i43--i47. https://doi.org/10.1093/bja/aer398</w:t>
      </w:r>
    </w:p>
    <w:p w14:paraId="70F775B6" w14:textId="77777777" w:rsidR="00F8450B" w:rsidRPr="008B53E7" w:rsidRDefault="00F8450B" w:rsidP="00F749D3">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Lawlor M, Kerridge I (2011) Anything but the eyes: Culture, identity, and the selective refusal of corneal donation. Transplantation 92:1188–1190</w:t>
      </w:r>
    </w:p>
    <w:p w14:paraId="606BB1E3" w14:textId="77777777" w:rsidR="00F8450B" w:rsidRPr="008B53E7" w:rsidRDefault="00F8450B" w:rsidP="00F749D3">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Lawlor M, Kerridge I (2014) Understanding Selective Refusal of Eye Donation: Identity, Beauty, and Interpersonal Relationships. J Bioeth Inq 11:57–64. https://doi.org/10.1007/s11673-013-9497-9</w:t>
      </w:r>
    </w:p>
    <w:p w14:paraId="1E944B87" w14:textId="77777777" w:rsidR="00F8450B" w:rsidRPr="008B53E7" w:rsidRDefault="00F8450B" w:rsidP="00CC08C9">
      <w:pPr>
        <w:widowControl w:val="0"/>
        <w:autoSpaceDE w:val="0"/>
        <w:autoSpaceDN w:val="0"/>
        <w:adjustRightInd w:val="0"/>
        <w:spacing w:before="100" w:after="0" w:line="240" w:lineRule="auto"/>
        <w:ind w:left="480" w:hanging="480"/>
        <w:jc w:val="both"/>
        <w:rPr>
          <w:rFonts w:ascii="Calibri" w:hAnsi="Calibri" w:cs="Calibri"/>
          <w:noProof/>
        </w:rPr>
      </w:pPr>
      <w:r w:rsidRPr="008B53E7">
        <w:rPr>
          <w:rFonts w:ascii="Calibri" w:hAnsi="Calibri" w:cs="Calibri"/>
          <w:noProof/>
        </w:rPr>
        <w:t>National health Service Blood and Transplants (2021) Cornea Activity. 650:97–104</w:t>
      </w:r>
    </w:p>
    <w:p w14:paraId="3A222966" w14:textId="77777777" w:rsidR="00F8450B" w:rsidRPr="008B53E7" w:rsidRDefault="00F8450B" w:rsidP="00CC08C9">
      <w:pPr>
        <w:widowControl w:val="0"/>
        <w:autoSpaceDE w:val="0"/>
        <w:autoSpaceDN w:val="0"/>
        <w:adjustRightInd w:val="0"/>
        <w:spacing w:before="100" w:after="0" w:line="240" w:lineRule="auto"/>
        <w:ind w:left="480" w:hanging="480"/>
        <w:jc w:val="both"/>
        <w:rPr>
          <w:rFonts w:ascii="Calibri" w:hAnsi="Calibri" w:cs="Calibri"/>
          <w:noProof/>
        </w:rPr>
      </w:pPr>
      <w:r w:rsidRPr="008B53E7">
        <w:rPr>
          <w:rFonts w:ascii="Calibri" w:hAnsi="Calibri" w:cs="Calibri"/>
          <w:noProof/>
        </w:rPr>
        <w:t>NHSBT (2020) Organ Donation and Transplantation - Activity Report 2019/20. Liverpool, UK</w:t>
      </w:r>
    </w:p>
    <w:p w14:paraId="4B9B001A" w14:textId="6A55DEEB" w:rsidR="00F8450B" w:rsidRPr="008B53E7" w:rsidRDefault="00F8450B" w:rsidP="00CC08C9">
      <w:pPr>
        <w:widowControl w:val="0"/>
        <w:autoSpaceDE w:val="0"/>
        <w:autoSpaceDN w:val="0"/>
        <w:adjustRightInd w:val="0"/>
        <w:spacing w:before="100" w:after="0" w:line="240" w:lineRule="auto"/>
        <w:ind w:hanging="54"/>
        <w:jc w:val="both"/>
        <w:rPr>
          <w:rFonts w:ascii="Calibri" w:hAnsi="Calibri" w:cs="Calibri"/>
          <w:noProof/>
        </w:rPr>
      </w:pPr>
      <w:r w:rsidRPr="008B53E7">
        <w:rPr>
          <w:rFonts w:ascii="Calibri" w:hAnsi="Calibri" w:cs="Calibri"/>
          <w:noProof/>
        </w:rPr>
        <w:t>NHSBT, NHS-BT Organ and Tissue Advisory Group (OTAG), NHSBT (2016) NHSBT O</w:t>
      </w:r>
      <w:r w:rsidR="00BA455A" w:rsidRPr="008B53E7">
        <w:rPr>
          <w:rFonts w:ascii="Calibri" w:hAnsi="Calibri" w:cs="Calibri"/>
          <w:noProof/>
        </w:rPr>
        <w:t xml:space="preserve">cular </w:t>
      </w:r>
      <w:r w:rsidR="00D6655B" w:rsidRPr="008B53E7">
        <w:rPr>
          <w:rFonts w:ascii="Calibri" w:hAnsi="Calibri" w:cs="Calibri"/>
          <w:noProof/>
        </w:rPr>
        <w:t xml:space="preserve"> </w:t>
      </w:r>
      <w:r w:rsidRPr="008B53E7">
        <w:rPr>
          <w:rFonts w:ascii="Calibri" w:hAnsi="Calibri" w:cs="Calibri"/>
          <w:noProof/>
        </w:rPr>
        <w:t>T</w:t>
      </w:r>
      <w:r w:rsidR="000458D4" w:rsidRPr="008B53E7">
        <w:rPr>
          <w:rFonts w:ascii="Calibri" w:hAnsi="Calibri" w:cs="Calibri"/>
          <w:noProof/>
        </w:rPr>
        <w:t xml:space="preserve">issue </w:t>
      </w:r>
      <w:r w:rsidRPr="008B53E7">
        <w:rPr>
          <w:rFonts w:ascii="Calibri" w:hAnsi="Calibri" w:cs="Calibri"/>
          <w:noProof/>
        </w:rPr>
        <w:t>A</w:t>
      </w:r>
      <w:r w:rsidR="000458D4" w:rsidRPr="008B53E7">
        <w:rPr>
          <w:rFonts w:ascii="Calibri" w:hAnsi="Calibri" w:cs="Calibri"/>
          <w:noProof/>
        </w:rPr>
        <w:t xml:space="preserve">dvisory </w:t>
      </w:r>
      <w:r w:rsidRPr="008B53E7">
        <w:rPr>
          <w:rFonts w:ascii="Calibri" w:hAnsi="Calibri" w:cs="Calibri"/>
          <w:noProof/>
        </w:rPr>
        <w:t>G</w:t>
      </w:r>
      <w:r w:rsidR="000458D4" w:rsidRPr="008B53E7">
        <w:rPr>
          <w:rFonts w:ascii="Calibri" w:hAnsi="Calibri" w:cs="Calibri"/>
          <w:noProof/>
        </w:rPr>
        <w:t xml:space="preserve">roup meeting </w:t>
      </w:r>
      <w:r w:rsidR="00CE73F0" w:rsidRPr="008B53E7">
        <w:rPr>
          <w:rFonts w:ascii="Calibri" w:hAnsi="Calibri" w:cs="Calibri"/>
          <w:noProof/>
        </w:rPr>
        <w:t xml:space="preserve">( Wednesday </w:t>
      </w:r>
      <w:r w:rsidRPr="008B53E7">
        <w:rPr>
          <w:rFonts w:ascii="Calibri" w:hAnsi="Calibri" w:cs="Calibri"/>
          <w:noProof/>
        </w:rPr>
        <w:t>29TH JUNE 2016</w:t>
      </w:r>
      <w:r w:rsidR="00CE73F0" w:rsidRPr="008B53E7">
        <w:rPr>
          <w:rFonts w:ascii="Calibri" w:hAnsi="Calibri" w:cs="Calibri"/>
          <w:noProof/>
        </w:rPr>
        <w:t xml:space="preserve">) </w:t>
      </w:r>
    </w:p>
    <w:p w14:paraId="145FBB51" w14:textId="77777777" w:rsidR="00F8450B" w:rsidRPr="008B53E7" w:rsidRDefault="00F8450B" w:rsidP="00F749D3">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O’Carroll RE, Foster C, McGeechan G, et al (2011) The “ick” factor, anticipated regret, and willingness to become an organ donor. Heal. Psychol. 30:236–245</w:t>
      </w:r>
    </w:p>
    <w:p w14:paraId="37A1CC0C" w14:textId="77777777" w:rsidR="00F8450B" w:rsidRPr="008B53E7" w:rsidRDefault="00F8450B" w:rsidP="00F749D3">
      <w:pPr>
        <w:widowControl w:val="0"/>
        <w:autoSpaceDE w:val="0"/>
        <w:autoSpaceDN w:val="0"/>
        <w:adjustRightInd w:val="0"/>
        <w:spacing w:before="100" w:after="0" w:line="240" w:lineRule="auto"/>
        <w:rPr>
          <w:rFonts w:ascii="Calibri" w:hAnsi="Calibri" w:cs="Calibri"/>
          <w:noProof/>
        </w:rPr>
      </w:pPr>
      <w:r w:rsidRPr="008B53E7">
        <w:rPr>
          <w:rFonts w:ascii="Calibri" w:hAnsi="Calibri" w:cs="Calibri"/>
          <w:noProof/>
        </w:rPr>
        <w:t>Office for National Statistics (2021) Deaths at home increased by a third in 2020, while deaths in hospitals fell except for COVID 19. https://www.ons.gov.uk/peoplepopulationandcommunity/birthsdeathsandmarriages/deaths/articles/deathsathomeincreasedbyathirdin2020whiledeathsinhospitalsfellexceptforcovid19/2021-05-07</w:t>
      </w:r>
    </w:p>
    <w:p w14:paraId="551DB5FC" w14:textId="244947C9" w:rsidR="00F8450B" w:rsidRPr="008B53E7" w:rsidRDefault="00F8450B" w:rsidP="006E52CE">
      <w:pPr>
        <w:widowControl w:val="0"/>
        <w:autoSpaceDE w:val="0"/>
        <w:autoSpaceDN w:val="0"/>
        <w:adjustRightInd w:val="0"/>
        <w:spacing w:before="100" w:after="0" w:line="240" w:lineRule="auto"/>
        <w:rPr>
          <w:rFonts w:ascii="Calibri" w:hAnsi="Calibri" w:cs="Calibri"/>
          <w:noProof/>
        </w:rPr>
      </w:pPr>
      <w:r w:rsidRPr="008B53E7">
        <w:rPr>
          <w:rFonts w:ascii="Calibri" w:hAnsi="Calibri" w:cs="Calibri"/>
          <w:noProof/>
        </w:rPr>
        <w:t xml:space="preserve">Office </w:t>
      </w:r>
      <w:r w:rsidR="008B53E7" w:rsidRPr="008B53E7">
        <w:rPr>
          <w:rFonts w:ascii="Calibri" w:hAnsi="Calibri" w:cs="Calibri"/>
          <w:noProof/>
        </w:rPr>
        <w:t>for</w:t>
      </w:r>
      <w:r w:rsidRPr="008B53E7">
        <w:rPr>
          <w:rFonts w:ascii="Calibri" w:hAnsi="Calibri" w:cs="Calibri"/>
          <w:noProof/>
        </w:rPr>
        <w:t xml:space="preserve"> Health Improvement and Disparities (2020) Palliative and End of Life Care Profiles. https://fingertips.phe.org.uk/profile/end-of-life/data</w:t>
      </w:r>
    </w:p>
    <w:p w14:paraId="6FDB6547" w14:textId="77777777" w:rsidR="00F8450B" w:rsidRPr="008B53E7" w:rsidRDefault="00F8450B" w:rsidP="006E52CE">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Pascolini D, Mariotti SP (2012) Global estimates of visual impairment: 2010. Br J Ophthalmol 96:614–618. https://doi.org/10.1136/bjophthalmol-2011-300539</w:t>
      </w:r>
    </w:p>
    <w:p w14:paraId="4EC941BD" w14:textId="77777777" w:rsidR="00F8450B" w:rsidRPr="008B53E7" w:rsidRDefault="00F8450B" w:rsidP="00CC08C9">
      <w:pPr>
        <w:widowControl w:val="0"/>
        <w:autoSpaceDE w:val="0"/>
        <w:autoSpaceDN w:val="0"/>
        <w:adjustRightInd w:val="0"/>
        <w:spacing w:before="100" w:after="0" w:line="240" w:lineRule="auto"/>
        <w:ind w:left="480" w:hanging="480"/>
        <w:jc w:val="both"/>
        <w:rPr>
          <w:rFonts w:ascii="Calibri" w:hAnsi="Calibri" w:cs="Calibri"/>
          <w:noProof/>
        </w:rPr>
      </w:pPr>
      <w:r w:rsidRPr="008B53E7">
        <w:rPr>
          <w:rFonts w:ascii="Calibri" w:hAnsi="Calibri" w:cs="Calibri"/>
          <w:noProof/>
        </w:rPr>
        <w:t>RNIB &amp; Specsavers (2016) The State of the Nation Eye Health 2016. The State of the Nation 27</w:t>
      </w:r>
    </w:p>
    <w:p w14:paraId="19EBCDB3" w14:textId="77777777" w:rsidR="00F8450B" w:rsidRPr="008B53E7" w:rsidRDefault="00F8450B" w:rsidP="006E52CE">
      <w:pPr>
        <w:widowControl w:val="0"/>
        <w:autoSpaceDE w:val="0"/>
        <w:autoSpaceDN w:val="0"/>
        <w:adjustRightInd w:val="0"/>
        <w:spacing w:before="100" w:after="0" w:line="240" w:lineRule="auto"/>
        <w:jc w:val="both"/>
        <w:rPr>
          <w:rFonts w:ascii="Calibri" w:hAnsi="Calibri" w:cs="Calibri"/>
          <w:noProof/>
        </w:rPr>
      </w:pPr>
      <w:r w:rsidRPr="008B53E7">
        <w:rPr>
          <w:rFonts w:ascii="Calibri" w:hAnsi="Calibri" w:cs="Calibri"/>
          <w:noProof/>
        </w:rPr>
        <w:t>Royal College of Ophthalmologists (2013) Standards for the retrieval of human ocular tissue used in transplantation, research and training. London, UK</w:t>
      </w:r>
    </w:p>
    <w:p w14:paraId="0F06EB42" w14:textId="0680CCF5" w:rsidR="0021674E" w:rsidRDefault="005801B7" w:rsidP="00F749D3">
      <w:pPr>
        <w:tabs>
          <w:tab w:val="left" w:pos="5889"/>
        </w:tabs>
        <w:spacing w:before="100" w:after="0" w:line="240" w:lineRule="auto"/>
        <w:rPr>
          <w:rFonts w:eastAsia="Times New Roman" w:cstheme="minorHAnsi"/>
          <w:lang w:eastAsia="en-GB"/>
        </w:rPr>
      </w:pPr>
      <w:r w:rsidRPr="008B53E7">
        <w:rPr>
          <w:rFonts w:eastAsia="Times New Roman" w:cstheme="minorHAnsi"/>
          <w:lang w:eastAsia="en-GB"/>
        </w:rPr>
        <w:fldChar w:fldCharType="end"/>
      </w:r>
      <w:r w:rsidR="00F749D3">
        <w:rPr>
          <w:rFonts w:eastAsia="Times New Roman" w:cstheme="minorHAnsi"/>
          <w:lang w:eastAsia="en-GB"/>
        </w:rPr>
        <w:tab/>
      </w:r>
    </w:p>
    <w:p w14:paraId="2B0F4AB0" w14:textId="53D8A70E" w:rsidR="00F6032B" w:rsidRPr="00F6032B" w:rsidRDefault="006E52CE" w:rsidP="006E52CE">
      <w:pPr>
        <w:tabs>
          <w:tab w:val="left" w:pos="5352"/>
        </w:tabs>
        <w:rPr>
          <w:rFonts w:eastAsia="Times New Roman" w:cstheme="minorHAnsi"/>
          <w:lang w:eastAsia="en-GB"/>
        </w:rPr>
      </w:pPr>
      <w:r>
        <w:rPr>
          <w:rFonts w:eastAsia="Times New Roman" w:cstheme="minorHAnsi"/>
          <w:lang w:eastAsia="en-GB"/>
        </w:rPr>
        <w:tab/>
      </w:r>
    </w:p>
    <w:p w14:paraId="17AC082D" w14:textId="77777777" w:rsidR="00F6032B" w:rsidRDefault="00F6032B" w:rsidP="00F6032B">
      <w:pPr>
        <w:rPr>
          <w:rFonts w:eastAsia="Times New Roman" w:cstheme="minorHAnsi"/>
          <w:lang w:eastAsia="en-GB"/>
        </w:rPr>
      </w:pPr>
    </w:p>
    <w:p w14:paraId="4C77F394" w14:textId="6DA099E4" w:rsidR="00F6032B" w:rsidRDefault="00F6032B" w:rsidP="00F6032B">
      <w:pPr>
        <w:tabs>
          <w:tab w:val="left" w:pos="3858"/>
        </w:tabs>
        <w:rPr>
          <w:rFonts w:eastAsia="Times New Roman" w:cstheme="minorHAnsi"/>
          <w:lang w:eastAsia="en-GB"/>
        </w:rPr>
      </w:pPr>
      <w:r>
        <w:rPr>
          <w:rFonts w:eastAsia="Times New Roman" w:cstheme="minorHAnsi"/>
          <w:lang w:eastAsia="en-GB"/>
        </w:rPr>
        <w:tab/>
      </w:r>
    </w:p>
    <w:p w14:paraId="13603868" w14:textId="162A3E31" w:rsidR="00F6032B" w:rsidRPr="00F6032B" w:rsidRDefault="00F6032B" w:rsidP="00F6032B">
      <w:pPr>
        <w:tabs>
          <w:tab w:val="left" w:pos="3858"/>
        </w:tabs>
        <w:rPr>
          <w:rFonts w:eastAsia="Times New Roman" w:cstheme="minorHAnsi"/>
          <w:lang w:eastAsia="en-GB"/>
        </w:rPr>
        <w:sectPr w:rsidR="00F6032B" w:rsidRPr="00F6032B" w:rsidSect="00F6032B">
          <w:footerReference w:type="default" r:id="rId9"/>
          <w:pgSz w:w="11906" w:h="16838"/>
          <w:pgMar w:top="1440" w:right="1440" w:bottom="1440" w:left="1440" w:header="708" w:footer="708" w:gutter="0"/>
          <w:cols w:space="708"/>
          <w:docGrid w:linePitch="360"/>
        </w:sectPr>
      </w:pPr>
      <w:r>
        <w:rPr>
          <w:rFonts w:eastAsia="Times New Roman" w:cstheme="minorHAnsi"/>
          <w:lang w:eastAsia="en-GB"/>
        </w:rPr>
        <w:tab/>
      </w:r>
    </w:p>
    <w:p w14:paraId="557BD288" w14:textId="77777777" w:rsidR="006D55DD" w:rsidRDefault="006D55DD" w:rsidP="007D5E16"/>
    <w:p w14:paraId="35A52818" w14:textId="7C720FFE" w:rsidR="006B394A" w:rsidRDefault="00D00A56" w:rsidP="006B394A">
      <w:r>
        <w:t>Table 1: Contraindicatio</w:t>
      </w:r>
      <w:r w:rsidR="00BB6DE3">
        <w:t>ns to Eye Donation by site</w:t>
      </w:r>
    </w:p>
    <w:tbl>
      <w:tblPr>
        <w:tblW w:w="12898" w:type="dxa"/>
        <w:tblInd w:w="-3" w:type="dxa"/>
        <w:tblLook w:val="04A0" w:firstRow="1" w:lastRow="0" w:firstColumn="1" w:lastColumn="0" w:noHBand="0" w:noVBand="1"/>
      </w:tblPr>
      <w:tblGrid>
        <w:gridCol w:w="1841"/>
        <w:gridCol w:w="5245"/>
        <w:gridCol w:w="992"/>
        <w:gridCol w:w="992"/>
        <w:gridCol w:w="709"/>
        <w:gridCol w:w="1134"/>
        <w:gridCol w:w="709"/>
        <w:gridCol w:w="1276"/>
      </w:tblGrid>
      <w:tr w:rsidR="006B394A" w:rsidRPr="006D55DD" w14:paraId="4250E976" w14:textId="77777777" w:rsidTr="00720687">
        <w:trPr>
          <w:trHeight w:val="300"/>
        </w:trPr>
        <w:tc>
          <w:tcPr>
            <w:tcW w:w="1841"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BFFFDB5" w14:textId="77777777" w:rsidR="006B394A" w:rsidRPr="006D55DD" w:rsidRDefault="006B394A" w:rsidP="00720687">
            <w:pPr>
              <w:spacing w:after="0" w:line="240" w:lineRule="auto"/>
              <w:jc w:val="center"/>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Contraindication Type</w:t>
            </w:r>
          </w:p>
        </w:tc>
        <w:tc>
          <w:tcPr>
            <w:tcW w:w="5245" w:type="dxa"/>
            <w:vMerge w:val="restart"/>
            <w:tcBorders>
              <w:top w:val="single" w:sz="4" w:space="0" w:color="auto"/>
              <w:left w:val="single" w:sz="4" w:space="0" w:color="auto"/>
              <w:bottom w:val="single" w:sz="4" w:space="0" w:color="auto"/>
              <w:right w:val="dashed" w:sz="8" w:space="0" w:color="auto"/>
            </w:tcBorders>
            <w:shd w:val="clear" w:color="auto" w:fill="auto"/>
            <w:noWrap/>
            <w:vAlign w:val="center"/>
            <w:hideMark/>
          </w:tcPr>
          <w:p w14:paraId="46B4CC30" w14:textId="77777777" w:rsidR="006B394A" w:rsidRPr="006D55DD" w:rsidRDefault="006B394A" w:rsidP="00720687">
            <w:pPr>
              <w:spacing w:after="0" w:line="240" w:lineRule="auto"/>
              <w:jc w:val="center"/>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Contraindication</w:t>
            </w:r>
          </w:p>
        </w:tc>
        <w:tc>
          <w:tcPr>
            <w:tcW w:w="1984" w:type="dxa"/>
            <w:gridSpan w:val="2"/>
            <w:tcBorders>
              <w:top w:val="single" w:sz="4" w:space="0" w:color="auto"/>
              <w:left w:val="nil"/>
              <w:bottom w:val="single" w:sz="4" w:space="0" w:color="auto"/>
              <w:right w:val="dashed" w:sz="8" w:space="0" w:color="000000"/>
            </w:tcBorders>
            <w:shd w:val="clear" w:color="auto" w:fill="auto"/>
            <w:noWrap/>
            <w:vAlign w:val="bottom"/>
            <w:hideMark/>
          </w:tcPr>
          <w:p w14:paraId="210A3990" w14:textId="77777777" w:rsidR="006B394A" w:rsidRPr="006D55DD" w:rsidRDefault="006B394A" w:rsidP="00720687">
            <w:pPr>
              <w:spacing w:after="0" w:line="240" w:lineRule="auto"/>
              <w:jc w:val="center"/>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HC (n=</w:t>
            </w:r>
            <w:r>
              <w:rPr>
                <w:rFonts w:eastAsia="Times New Roman" w:cstheme="minorHAnsi"/>
                <w:b/>
                <w:bCs/>
                <w:i/>
                <w:iCs/>
                <w:color w:val="000000"/>
                <w:sz w:val="20"/>
                <w:szCs w:val="20"/>
                <w:lang w:eastAsia="en-GB"/>
              </w:rPr>
              <w:t>601</w:t>
            </w:r>
            <w:r w:rsidRPr="006D55DD">
              <w:rPr>
                <w:rFonts w:eastAsia="Times New Roman" w:cstheme="minorHAnsi"/>
                <w:b/>
                <w:bCs/>
                <w:i/>
                <w:iCs/>
                <w:color w:val="000000"/>
                <w:sz w:val="20"/>
                <w:szCs w:val="20"/>
                <w:lang w:eastAsia="en-GB"/>
              </w:rPr>
              <w:t>)</w:t>
            </w:r>
          </w:p>
        </w:tc>
        <w:tc>
          <w:tcPr>
            <w:tcW w:w="1843" w:type="dxa"/>
            <w:gridSpan w:val="2"/>
            <w:tcBorders>
              <w:top w:val="single" w:sz="4" w:space="0" w:color="auto"/>
              <w:left w:val="nil"/>
              <w:bottom w:val="single" w:sz="4" w:space="0" w:color="auto"/>
              <w:right w:val="dashed" w:sz="8" w:space="0" w:color="000000"/>
            </w:tcBorders>
            <w:shd w:val="clear" w:color="auto" w:fill="auto"/>
            <w:noWrap/>
            <w:vAlign w:val="bottom"/>
            <w:hideMark/>
          </w:tcPr>
          <w:p w14:paraId="204F00E9" w14:textId="77777777" w:rsidR="006B394A" w:rsidRPr="006D55DD" w:rsidRDefault="006B394A" w:rsidP="00720687">
            <w:pPr>
              <w:spacing w:after="0" w:line="240" w:lineRule="auto"/>
              <w:jc w:val="center"/>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HPC (n=</w:t>
            </w:r>
            <w:r>
              <w:rPr>
                <w:rFonts w:eastAsia="Times New Roman" w:cstheme="minorHAnsi"/>
                <w:b/>
                <w:bCs/>
                <w:i/>
                <w:iCs/>
                <w:color w:val="000000"/>
                <w:sz w:val="20"/>
                <w:szCs w:val="20"/>
                <w:lang w:eastAsia="en-GB"/>
              </w:rPr>
              <w:t>598</w:t>
            </w:r>
            <w:r w:rsidRPr="006D55DD">
              <w:rPr>
                <w:rFonts w:eastAsia="Times New Roman" w:cstheme="minorHAnsi"/>
                <w:b/>
                <w:bCs/>
                <w:i/>
                <w:iCs/>
                <w:color w:val="000000"/>
                <w:sz w:val="20"/>
                <w:szCs w:val="20"/>
                <w:lang w:eastAsia="en-GB"/>
              </w:rPr>
              <w:t>)</w:t>
            </w:r>
          </w:p>
        </w:tc>
        <w:tc>
          <w:tcPr>
            <w:tcW w:w="1985"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1E2BBF2" w14:textId="77777777" w:rsidR="006B394A" w:rsidRPr="006D55DD" w:rsidRDefault="006B394A" w:rsidP="00720687">
            <w:pPr>
              <w:spacing w:after="0" w:line="240" w:lineRule="auto"/>
              <w:jc w:val="center"/>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all (n=</w:t>
            </w:r>
            <w:r>
              <w:rPr>
                <w:rFonts w:eastAsia="Times New Roman" w:cstheme="minorHAnsi"/>
                <w:b/>
                <w:bCs/>
                <w:i/>
                <w:iCs/>
                <w:color w:val="000000"/>
                <w:sz w:val="20"/>
                <w:szCs w:val="20"/>
                <w:lang w:eastAsia="en-GB"/>
              </w:rPr>
              <w:t>1199</w:t>
            </w:r>
            <w:r w:rsidRPr="006D55DD">
              <w:rPr>
                <w:rFonts w:eastAsia="Times New Roman" w:cstheme="minorHAnsi"/>
                <w:b/>
                <w:bCs/>
                <w:i/>
                <w:iCs/>
                <w:color w:val="000000"/>
                <w:sz w:val="20"/>
                <w:szCs w:val="20"/>
                <w:lang w:eastAsia="en-GB"/>
              </w:rPr>
              <w:t>)</w:t>
            </w:r>
          </w:p>
        </w:tc>
      </w:tr>
      <w:tr w:rsidR="006B394A" w:rsidRPr="006D55DD" w14:paraId="4BECD2F1" w14:textId="77777777" w:rsidTr="00720687">
        <w:trPr>
          <w:trHeight w:val="315"/>
        </w:trPr>
        <w:tc>
          <w:tcPr>
            <w:tcW w:w="1841" w:type="dxa"/>
            <w:vMerge/>
            <w:tcBorders>
              <w:top w:val="single" w:sz="4" w:space="0" w:color="auto"/>
              <w:left w:val="single" w:sz="4" w:space="0" w:color="auto"/>
              <w:bottom w:val="single" w:sz="8" w:space="0" w:color="000000"/>
              <w:right w:val="single" w:sz="4" w:space="0" w:color="auto"/>
            </w:tcBorders>
            <w:vAlign w:val="center"/>
            <w:hideMark/>
          </w:tcPr>
          <w:p w14:paraId="351936B3" w14:textId="77777777" w:rsidR="006B394A" w:rsidRPr="006D55DD" w:rsidRDefault="006B394A" w:rsidP="00720687">
            <w:pPr>
              <w:spacing w:after="0" w:line="240" w:lineRule="auto"/>
              <w:rPr>
                <w:rFonts w:eastAsia="Times New Roman" w:cstheme="minorHAnsi"/>
                <w:b/>
                <w:bCs/>
                <w:i/>
                <w:iCs/>
                <w:color w:val="000000"/>
                <w:sz w:val="20"/>
                <w:szCs w:val="20"/>
                <w:lang w:eastAsia="en-GB"/>
              </w:rPr>
            </w:pPr>
          </w:p>
        </w:tc>
        <w:tc>
          <w:tcPr>
            <w:tcW w:w="5245" w:type="dxa"/>
            <w:vMerge/>
            <w:tcBorders>
              <w:top w:val="single" w:sz="4" w:space="0" w:color="auto"/>
              <w:left w:val="single" w:sz="4" w:space="0" w:color="auto"/>
              <w:bottom w:val="single" w:sz="4" w:space="0" w:color="auto"/>
              <w:right w:val="dashed" w:sz="8" w:space="0" w:color="auto"/>
            </w:tcBorders>
            <w:vAlign w:val="center"/>
            <w:hideMark/>
          </w:tcPr>
          <w:p w14:paraId="23543AE9" w14:textId="77777777" w:rsidR="006B394A" w:rsidRPr="006D55DD" w:rsidRDefault="006B394A" w:rsidP="00720687">
            <w:pPr>
              <w:spacing w:after="0" w:line="240" w:lineRule="auto"/>
              <w:rPr>
                <w:rFonts w:eastAsia="Times New Roman" w:cstheme="minorHAnsi"/>
                <w:b/>
                <w:bCs/>
                <w:i/>
                <w:iCs/>
                <w:color w:val="000000"/>
                <w:sz w:val="20"/>
                <w:szCs w:val="20"/>
                <w:lang w:eastAsia="en-GB"/>
              </w:rPr>
            </w:pPr>
          </w:p>
        </w:tc>
        <w:tc>
          <w:tcPr>
            <w:tcW w:w="992" w:type="dxa"/>
            <w:tcBorders>
              <w:top w:val="nil"/>
              <w:left w:val="nil"/>
              <w:bottom w:val="single" w:sz="8" w:space="0" w:color="auto"/>
              <w:right w:val="single" w:sz="4" w:space="0" w:color="auto"/>
            </w:tcBorders>
            <w:shd w:val="clear" w:color="auto" w:fill="auto"/>
            <w:noWrap/>
            <w:vAlign w:val="bottom"/>
            <w:hideMark/>
          </w:tcPr>
          <w:p w14:paraId="7164B3DD" w14:textId="77777777" w:rsidR="006B394A" w:rsidRPr="006D55DD" w:rsidRDefault="006B394A" w:rsidP="00720687">
            <w:pPr>
              <w:spacing w:after="0" w:line="240" w:lineRule="auto"/>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n</w:t>
            </w:r>
          </w:p>
        </w:tc>
        <w:tc>
          <w:tcPr>
            <w:tcW w:w="992" w:type="dxa"/>
            <w:tcBorders>
              <w:top w:val="nil"/>
              <w:left w:val="nil"/>
              <w:bottom w:val="single" w:sz="8" w:space="0" w:color="auto"/>
              <w:right w:val="dashed" w:sz="8" w:space="0" w:color="auto"/>
            </w:tcBorders>
            <w:shd w:val="clear" w:color="auto" w:fill="auto"/>
            <w:noWrap/>
            <w:vAlign w:val="bottom"/>
            <w:hideMark/>
          </w:tcPr>
          <w:p w14:paraId="3F552078" w14:textId="77777777" w:rsidR="006B394A" w:rsidRPr="006D55DD" w:rsidRDefault="006B394A" w:rsidP="00720687">
            <w:pPr>
              <w:spacing w:after="0" w:line="240" w:lineRule="auto"/>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 (cases)</w:t>
            </w:r>
          </w:p>
        </w:tc>
        <w:tc>
          <w:tcPr>
            <w:tcW w:w="709" w:type="dxa"/>
            <w:tcBorders>
              <w:top w:val="nil"/>
              <w:left w:val="nil"/>
              <w:bottom w:val="single" w:sz="8" w:space="0" w:color="auto"/>
              <w:right w:val="single" w:sz="4" w:space="0" w:color="auto"/>
            </w:tcBorders>
            <w:shd w:val="clear" w:color="auto" w:fill="auto"/>
            <w:noWrap/>
            <w:vAlign w:val="bottom"/>
            <w:hideMark/>
          </w:tcPr>
          <w:p w14:paraId="3FCB66BF" w14:textId="77777777" w:rsidR="006B394A" w:rsidRPr="006D55DD" w:rsidRDefault="006B394A" w:rsidP="00720687">
            <w:pPr>
              <w:spacing w:after="0" w:line="240" w:lineRule="auto"/>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n</w:t>
            </w:r>
          </w:p>
        </w:tc>
        <w:tc>
          <w:tcPr>
            <w:tcW w:w="1134" w:type="dxa"/>
            <w:tcBorders>
              <w:top w:val="nil"/>
              <w:left w:val="nil"/>
              <w:bottom w:val="single" w:sz="8" w:space="0" w:color="auto"/>
              <w:right w:val="dashed" w:sz="8" w:space="0" w:color="auto"/>
            </w:tcBorders>
            <w:shd w:val="clear" w:color="auto" w:fill="auto"/>
            <w:noWrap/>
            <w:vAlign w:val="bottom"/>
            <w:hideMark/>
          </w:tcPr>
          <w:p w14:paraId="79318E57" w14:textId="77777777" w:rsidR="006B394A" w:rsidRPr="006D55DD" w:rsidRDefault="006B394A" w:rsidP="00720687">
            <w:pPr>
              <w:spacing w:after="0" w:line="240" w:lineRule="auto"/>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 (cases)</w:t>
            </w:r>
          </w:p>
        </w:tc>
        <w:tc>
          <w:tcPr>
            <w:tcW w:w="709" w:type="dxa"/>
            <w:tcBorders>
              <w:top w:val="nil"/>
              <w:left w:val="nil"/>
              <w:bottom w:val="single" w:sz="8" w:space="0" w:color="auto"/>
              <w:right w:val="single" w:sz="4" w:space="0" w:color="auto"/>
            </w:tcBorders>
            <w:shd w:val="clear" w:color="auto" w:fill="auto"/>
            <w:noWrap/>
            <w:vAlign w:val="bottom"/>
            <w:hideMark/>
          </w:tcPr>
          <w:p w14:paraId="7D2EA174" w14:textId="77777777" w:rsidR="006B394A" w:rsidRPr="006D55DD" w:rsidRDefault="006B394A" w:rsidP="00720687">
            <w:pPr>
              <w:spacing w:after="0" w:line="240" w:lineRule="auto"/>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n</w:t>
            </w:r>
          </w:p>
        </w:tc>
        <w:tc>
          <w:tcPr>
            <w:tcW w:w="1276" w:type="dxa"/>
            <w:tcBorders>
              <w:top w:val="nil"/>
              <w:left w:val="nil"/>
              <w:bottom w:val="single" w:sz="8" w:space="0" w:color="auto"/>
              <w:right w:val="single" w:sz="8" w:space="0" w:color="auto"/>
            </w:tcBorders>
            <w:shd w:val="clear" w:color="auto" w:fill="auto"/>
            <w:noWrap/>
            <w:vAlign w:val="bottom"/>
            <w:hideMark/>
          </w:tcPr>
          <w:p w14:paraId="00F4D71B" w14:textId="77777777" w:rsidR="006B394A" w:rsidRPr="006D55DD" w:rsidRDefault="006B394A" w:rsidP="00720687">
            <w:pPr>
              <w:spacing w:after="0" w:line="240" w:lineRule="auto"/>
              <w:rPr>
                <w:rFonts w:eastAsia="Times New Roman" w:cstheme="minorHAnsi"/>
                <w:b/>
                <w:bCs/>
                <w:i/>
                <w:iCs/>
                <w:color w:val="000000"/>
                <w:sz w:val="20"/>
                <w:szCs w:val="20"/>
                <w:lang w:eastAsia="en-GB"/>
              </w:rPr>
            </w:pPr>
            <w:r w:rsidRPr="006D55DD">
              <w:rPr>
                <w:rFonts w:eastAsia="Times New Roman" w:cstheme="minorHAnsi"/>
                <w:b/>
                <w:bCs/>
                <w:i/>
                <w:iCs/>
                <w:color w:val="000000"/>
                <w:sz w:val="20"/>
                <w:szCs w:val="20"/>
                <w:lang w:eastAsia="en-GB"/>
              </w:rPr>
              <w:t>% (cases)</w:t>
            </w:r>
          </w:p>
        </w:tc>
      </w:tr>
      <w:tr w:rsidR="006B394A" w:rsidRPr="006D55DD" w14:paraId="6AC1E392" w14:textId="77777777" w:rsidTr="00720687">
        <w:trPr>
          <w:trHeight w:val="300"/>
        </w:trPr>
        <w:tc>
          <w:tcPr>
            <w:tcW w:w="1841" w:type="dxa"/>
            <w:vMerge w:val="restart"/>
            <w:tcBorders>
              <w:top w:val="nil"/>
              <w:left w:val="single" w:sz="4" w:space="0" w:color="auto"/>
              <w:bottom w:val="single" w:sz="8" w:space="0" w:color="000000"/>
              <w:right w:val="single" w:sz="4" w:space="0" w:color="auto"/>
            </w:tcBorders>
            <w:shd w:val="clear" w:color="auto" w:fill="auto"/>
            <w:vAlign w:val="center"/>
            <w:hideMark/>
          </w:tcPr>
          <w:p w14:paraId="576540DE"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Intrinsic Eye disease</w:t>
            </w:r>
          </w:p>
        </w:tc>
        <w:tc>
          <w:tcPr>
            <w:tcW w:w="5245" w:type="dxa"/>
            <w:tcBorders>
              <w:top w:val="single" w:sz="8" w:space="0" w:color="auto"/>
              <w:left w:val="nil"/>
              <w:bottom w:val="single" w:sz="4" w:space="0" w:color="auto"/>
              <w:right w:val="dashed" w:sz="8" w:space="0" w:color="auto"/>
            </w:tcBorders>
            <w:shd w:val="clear" w:color="auto" w:fill="auto"/>
            <w:noWrap/>
            <w:vAlign w:val="bottom"/>
            <w:hideMark/>
          </w:tcPr>
          <w:p w14:paraId="6276575E"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Acquired disorder of the eye </w:t>
            </w:r>
          </w:p>
        </w:tc>
        <w:tc>
          <w:tcPr>
            <w:tcW w:w="992" w:type="dxa"/>
            <w:tcBorders>
              <w:top w:val="nil"/>
              <w:left w:val="nil"/>
              <w:bottom w:val="single" w:sz="4" w:space="0" w:color="auto"/>
              <w:right w:val="single" w:sz="4" w:space="0" w:color="auto"/>
            </w:tcBorders>
            <w:shd w:val="clear" w:color="auto" w:fill="auto"/>
            <w:noWrap/>
            <w:vAlign w:val="bottom"/>
            <w:hideMark/>
          </w:tcPr>
          <w:p w14:paraId="71029F5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114</w:t>
            </w:r>
          </w:p>
        </w:tc>
        <w:tc>
          <w:tcPr>
            <w:tcW w:w="992" w:type="dxa"/>
            <w:tcBorders>
              <w:top w:val="nil"/>
              <w:left w:val="nil"/>
              <w:bottom w:val="single" w:sz="4" w:space="0" w:color="auto"/>
              <w:right w:val="dashed" w:sz="8" w:space="0" w:color="auto"/>
            </w:tcBorders>
            <w:shd w:val="clear" w:color="auto" w:fill="auto"/>
            <w:noWrap/>
            <w:vAlign w:val="bottom"/>
            <w:hideMark/>
          </w:tcPr>
          <w:p w14:paraId="0CA8BA6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19.0%</w:t>
            </w:r>
          </w:p>
        </w:tc>
        <w:tc>
          <w:tcPr>
            <w:tcW w:w="709" w:type="dxa"/>
            <w:tcBorders>
              <w:top w:val="nil"/>
              <w:left w:val="nil"/>
              <w:bottom w:val="single" w:sz="4" w:space="0" w:color="auto"/>
              <w:right w:val="single" w:sz="4" w:space="0" w:color="auto"/>
            </w:tcBorders>
            <w:shd w:val="clear" w:color="auto" w:fill="auto"/>
            <w:noWrap/>
            <w:vAlign w:val="bottom"/>
            <w:hideMark/>
          </w:tcPr>
          <w:p w14:paraId="4003F8E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124</w:t>
            </w:r>
          </w:p>
        </w:tc>
        <w:tc>
          <w:tcPr>
            <w:tcW w:w="1134" w:type="dxa"/>
            <w:tcBorders>
              <w:top w:val="nil"/>
              <w:left w:val="nil"/>
              <w:bottom w:val="single" w:sz="4" w:space="0" w:color="auto"/>
              <w:right w:val="dashed" w:sz="8" w:space="0" w:color="auto"/>
            </w:tcBorders>
            <w:shd w:val="clear" w:color="auto" w:fill="auto"/>
            <w:noWrap/>
            <w:vAlign w:val="bottom"/>
            <w:hideMark/>
          </w:tcPr>
          <w:p w14:paraId="7371916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20.7%</w:t>
            </w:r>
          </w:p>
        </w:tc>
        <w:tc>
          <w:tcPr>
            <w:tcW w:w="709" w:type="dxa"/>
            <w:tcBorders>
              <w:top w:val="nil"/>
              <w:left w:val="nil"/>
              <w:bottom w:val="single" w:sz="4" w:space="0" w:color="auto"/>
              <w:right w:val="single" w:sz="4" w:space="0" w:color="auto"/>
            </w:tcBorders>
            <w:shd w:val="clear" w:color="auto" w:fill="auto"/>
            <w:noWrap/>
            <w:vAlign w:val="bottom"/>
            <w:hideMark/>
          </w:tcPr>
          <w:p w14:paraId="66E53A6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238</w:t>
            </w:r>
          </w:p>
        </w:tc>
        <w:tc>
          <w:tcPr>
            <w:tcW w:w="1276" w:type="dxa"/>
            <w:tcBorders>
              <w:top w:val="nil"/>
              <w:left w:val="nil"/>
              <w:bottom w:val="single" w:sz="4" w:space="0" w:color="auto"/>
              <w:right w:val="single" w:sz="8" w:space="0" w:color="auto"/>
            </w:tcBorders>
            <w:shd w:val="clear" w:color="auto" w:fill="auto"/>
            <w:noWrap/>
            <w:vAlign w:val="bottom"/>
            <w:hideMark/>
          </w:tcPr>
          <w:p w14:paraId="02FE244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19.8%</w:t>
            </w:r>
          </w:p>
        </w:tc>
      </w:tr>
      <w:tr w:rsidR="006B394A" w:rsidRPr="006D55DD" w14:paraId="03598BCC"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2B4451F4"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7708B60F"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Any ocular surgery (not including corrective laser surgery) </w:t>
            </w:r>
          </w:p>
        </w:tc>
        <w:tc>
          <w:tcPr>
            <w:tcW w:w="992" w:type="dxa"/>
            <w:tcBorders>
              <w:top w:val="nil"/>
              <w:left w:val="nil"/>
              <w:bottom w:val="single" w:sz="4" w:space="0" w:color="auto"/>
              <w:right w:val="single" w:sz="4" w:space="0" w:color="auto"/>
            </w:tcBorders>
            <w:shd w:val="clear" w:color="auto" w:fill="auto"/>
            <w:noWrap/>
            <w:vAlign w:val="bottom"/>
            <w:hideMark/>
          </w:tcPr>
          <w:p w14:paraId="243D550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53</w:t>
            </w:r>
          </w:p>
        </w:tc>
        <w:tc>
          <w:tcPr>
            <w:tcW w:w="992" w:type="dxa"/>
            <w:tcBorders>
              <w:top w:val="nil"/>
              <w:left w:val="nil"/>
              <w:bottom w:val="single" w:sz="4" w:space="0" w:color="auto"/>
              <w:right w:val="dashed" w:sz="8" w:space="0" w:color="auto"/>
            </w:tcBorders>
            <w:shd w:val="clear" w:color="auto" w:fill="auto"/>
            <w:noWrap/>
            <w:vAlign w:val="bottom"/>
            <w:hideMark/>
          </w:tcPr>
          <w:p w14:paraId="5FF41036"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8.8%</w:t>
            </w:r>
          </w:p>
        </w:tc>
        <w:tc>
          <w:tcPr>
            <w:tcW w:w="709" w:type="dxa"/>
            <w:tcBorders>
              <w:top w:val="nil"/>
              <w:left w:val="nil"/>
              <w:bottom w:val="single" w:sz="4" w:space="0" w:color="auto"/>
              <w:right w:val="single" w:sz="4" w:space="0" w:color="auto"/>
            </w:tcBorders>
            <w:shd w:val="clear" w:color="auto" w:fill="auto"/>
            <w:noWrap/>
            <w:vAlign w:val="bottom"/>
            <w:hideMark/>
          </w:tcPr>
          <w:p w14:paraId="311ECE9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78</w:t>
            </w:r>
          </w:p>
        </w:tc>
        <w:tc>
          <w:tcPr>
            <w:tcW w:w="1134" w:type="dxa"/>
            <w:tcBorders>
              <w:top w:val="nil"/>
              <w:left w:val="nil"/>
              <w:bottom w:val="single" w:sz="4" w:space="0" w:color="auto"/>
              <w:right w:val="dashed" w:sz="8" w:space="0" w:color="auto"/>
            </w:tcBorders>
            <w:shd w:val="clear" w:color="auto" w:fill="auto"/>
            <w:noWrap/>
            <w:vAlign w:val="bottom"/>
            <w:hideMark/>
          </w:tcPr>
          <w:p w14:paraId="05E7808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13.0%</w:t>
            </w:r>
          </w:p>
        </w:tc>
        <w:tc>
          <w:tcPr>
            <w:tcW w:w="709" w:type="dxa"/>
            <w:tcBorders>
              <w:top w:val="nil"/>
              <w:left w:val="nil"/>
              <w:bottom w:val="single" w:sz="4" w:space="0" w:color="auto"/>
              <w:right w:val="single" w:sz="4" w:space="0" w:color="auto"/>
            </w:tcBorders>
            <w:shd w:val="clear" w:color="auto" w:fill="auto"/>
            <w:noWrap/>
            <w:vAlign w:val="bottom"/>
            <w:hideMark/>
          </w:tcPr>
          <w:p w14:paraId="1D3B359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131</w:t>
            </w:r>
          </w:p>
        </w:tc>
        <w:tc>
          <w:tcPr>
            <w:tcW w:w="1276" w:type="dxa"/>
            <w:tcBorders>
              <w:top w:val="nil"/>
              <w:left w:val="nil"/>
              <w:bottom w:val="single" w:sz="4" w:space="0" w:color="auto"/>
              <w:right w:val="single" w:sz="8" w:space="0" w:color="auto"/>
            </w:tcBorders>
            <w:shd w:val="clear" w:color="auto" w:fill="auto"/>
            <w:noWrap/>
            <w:vAlign w:val="bottom"/>
            <w:hideMark/>
          </w:tcPr>
          <w:p w14:paraId="03843E6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10.9%</w:t>
            </w:r>
          </w:p>
        </w:tc>
      </w:tr>
      <w:tr w:rsidR="006B394A" w:rsidRPr="006D55DD" w14:paraId="1653A30F"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1D54B6F3"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55FB57B3"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Ocular inflammation</w:t>
            </w:r>
          </w:p>
        </w:tc>
        <w:tc>
          <w:tcPr>
            <w:tcW w:w="992" w:type="dxa"/>
            <w:tcBorders>
              <w:top w:val="nil"/>
              <w:left w:val="nil"/>
              <w:bottom w:val="single" w:sz="4" w:space="0" w:color="auto"/>
              <w:right w:val="single" w:sz="4" w:space="0" w:color="auto"/>
            </w:tcBorders>
            <w:shd w:val="clear" w:color="auto" w:fill="auto"/>
            <w:noWrap/>
            <w:vAlign w:val="bottom"/>
            <w:hideMark/>
          </w:tcPr>
          <w:p w14:paraId="26605C8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w:t>
            </w:r>
          </w:p>
        </w:tc>
        <w:tc>
          <w:tcPr>
            <w:tcW w:w="992" w:type="dxa"/>
            <w:tcBorders>
              <w:top w:val="nil"/>
              <w:left w:val="nil"/>
              <w:bottom w:val="single" w:sz="4" w:space="0" w:color="auto"/>
              <w:right w:val="dashed" w:sz="8" w:space="0" w:color="auto"/>
            </w:tcBorders>
            <w:shd w:val="clear" w:color="auto" w:fill="auto"/>
            <w:noWrap/>
            <w:vAlign w:val="bottom"/>
            <w:hideMark/>
          </w:tcPr>
          <w:p w14:paraId="59CB3DA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14:paraId="65080A0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w:t>
            </w:r>
          </w:p>
        </w:tc>
        <w:tc>
          <w:tcPr>
            <w:tcW w:w="1134" w:type="dxa"/>
            <w:tcBorders>
              <w:top w:val="nil"/>
              <w:left w:val="nil"/>
              <w:bottom w:val="single" w:sz="4" w:space="0" w:color="auto"/>
              <w:right w:val="dashed" w:sz="8" w:space="0" w:color="auto"/>
            </w:tcBorders>
            <w:shd w:val="clear" w:color="auto" w:fill="auto"/>
            <w:noWrap/>
            <w:vAlign w:val="bottom"/>
            <w:hideMark/>
          </w:tcPr>
          <w:p w14:paraId="00748AE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0.3%</w:t>
            </w:r>
          </w:p>
        </w:tc>
        <w:tc>
          <w:tcPr>
            <w:tcW w:w="709" w:type="dxa"/>
            <w:tcBorders>
              <w:top w:val="nil"/>
              <w:left w:val="nil"/>
              <w:bottom w:val="single" w:sz="4" w:space="0" w:color="auto"/>
              <w:right w:val="single" w:sz="4" w:space="0" w:color="auto"/>
            </w:tcBorders>
            <w:shd w:val="clear" w:color="auto" w:fill="auto"/>
            <w:noWrap/>
            <w:vAlign w:val="bottom"/>
            <w:hideMark/>
          </w:tcPr>
          <w:p w14:paraId="12017EC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10</w:t>
            </w:r>
          </w:p>
        </w:tc>
        <w:tc>
          <w:tcPr>
            <w:tcW w:w="1276" w:type="dxa"/>
            <w:tcBorders>
              <w:top w:val="nil"/>
              <w:left w:val="nil"/>
              <w:bottom w:val="single" w:sz="4" w:space="0" w:color="auto"/>
              <w:right w:val="single" w:sz="8" w:space="0" w:color="auto"/>
            </w:tcBorders>
            <w:shd w:val="clear" w:color="auto" w:fill="auto"/>
            <w:noWrap/>
            <w:vAlign w:val="bottom"/>
            <w:hideMark/>
          </w:tcPr>
          <w:p w14:paraId="5E69A7B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0.8%</w:t>
            </w:r>
          </w:p>
        </w:tc>
      </w:tr>
      <w:tr w:rsidR="006B394A" w:rsidRPr="006D55DD" w14:paraId="084C860D"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21A33F95"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0ECAF566"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Congenital disease/disorder of the eye </w:t>
            </w:r>
          </w:p>
        </w:tc>
        <w:tc>
          <w:tcPr>
            <w:tcW w:w="992" w:type="dxa"/>
            <w:tcBorders>
              <w:top w:val="nil"/>
              <w:left w:val="nil"/>
              <w:bottom w:val="single" w:sz="4" w:space="0" w:color="auto"/>
              <w:right w:val="single" w:sz="4" w:space="0" w:color="auto"/>
            </w:tcBorders>
            <w:shd w:val="clear" w:color="auto" w:fill="auto"/>
            <w:noWrap/>
            <w:vAlign w:val="bottom"/>
            <w:hideMark/>
          </w:tcPr>
          <w:p w14:paraId="1B34FB5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w:t>
            </w:r>
          </w:p>
        </w:tc>
        <w:tc>
          <w:tcPr>
            <w:tcW w:w="992" w:type="dxa"/>
            <w:tcBorders>
              <w:top w:val="nil"/>
              <w:left w:val="nil"/>
              <w:bottom w:val="single" w:sz="4" w:space="0" w:color="auto"/>
              <w:right w:val="dashed" w:sz="8" w:space="0" w:color="auto"/>
            </w:tcBorders>
            <w:shd w:val="clear" w:color="auto" w:fill="auto"/>
            <w:noWrap/>
            <w:vAlign w:val="bottom"/>
            <w:hideMark/>
          </w:tcPr>
          <w:p w14:paraId="5A9BBFD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0.8%</w:t>
            </w:r>
          </w:p>
        </w:tc>
        <w:tc>
          <w:tcPr>
            <w:tcW w:w="709" w:type="dxa"/>
            <w:tcBorders>
              <w:top w:val="nil"/>
              <w:left w:val="nil"/>
              <w:bottom w:val="single" w:sz="4" w:space="0" w:color="auto"/>
              <w:right w:val="single" w:sz="4" w:space="0" w:color="auto"/>
            </w:tcBorders>
            <w:shd w:val="clear" w:color="auto" w:fill="auto"/>
            <w:noWrap/>
            <w:vAlign w:val="bottom"/>
            <w:hideMark/>
          </w:tcPr>
          <w:p w14:paraId="241B05D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w:t>
            </w:r>
          </w:p>
        </w:tc>
        <w:tc>
          <w:tcPr>
            <w:tcW w:w="1134" w:type="dxa"/>
            <w:tcBorders>
              <w:top w:val="nil"/>
              <w:left w:val="nil"/>
              <w:bottom w:val="single" w:sz="4" w:space="0" w:color="auto"/>
              <w:right w:val="dashed" w:sz="8" w:space="0" w:color="auto"/>
            </w:tcBorders>
            <w:shd w:val="clear" w:color="auto" w:fill="auto"/>
            <w:noWrap/>
            <w:vAlign w:val="bottom"/>
            <w:hideMark/>
          </w:tcPr>
          <w:p w14:paraId="3BBB596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0.3%</w:t>
            </w:r>
          </w:p>
        </w:tc>
        <w:tc>
          <w:tcPr>
            <w:tcW w:w="709" w:type="dxa"/>
            <w:tcBorders>
              <w:top w:val="nil"/>
              <w:left w:val="nil"/>
              <w:bottom w:val="single" w:sz="4" w:space="0" w:color="auto"/>
              <w:right w:val="single" w:sz="4" w:space="0" w:color="auto"/>
            </w:tcBorders>
            <w:shd w:val="clear" w:color="auto" w:fill="auto"/>
            <w:noWrap/>
            <w:vAlign w:val="bottom"/>
            <w:hideMark/>
          </w:tcPr>
          <w:p w14:paraId="1D609D0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7</w:t>
            </w:r>
          </w:p>
        </w:tc>
        <w:tc>
          <w:tcPr>
            <w:tcW w:w="1276" w:type="dxa"/>
            <w:tcBorders>
              <w:top w:val="nil"/>
              <w:left w:val="nil"/>
              <w:bottom w:val="single" w:sz="4" w:space="0" w:color="auto"/>
              <w:right w:val="single" w:sz="8" w:space="0" w:color="auto"/>
            </w:tcBorders>
            <w:shd w:val="clear" w:color="auto" w:fill="auto"/>
            <w:noWrap/>
            <w:vAlign w:val="bottom"/>
            <w:hideMark/>
          </w:tcPr>
          <w:p w14:paraId="1E74F7A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0.6%</w:t>
            </w:r>
          </w:p>
        </w:tc>
      </w:tr>
      <w:tr w:rsidR="006B394A" w:rsidRPr="006D55DD" w14:paraId="583D3F04"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7ABF5ACA"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dashed" w:sz="4" w:space="0" w:color="auto"/>
              <w:right w:val="dashed" w:sz="8" w:space="0" w:color="auto"/>
            </w:tcBorders>
            <w:shd w:val="clear" w:color="auto" w:fill="auto"/>
            <w:noWrap/>
            <w:vAlign w:val="bottom"/>
            <w:hideMark/>
          </w:tcPr>
          <w:p w14:paraId="1A0AEED2"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Corrective laser surgery </w:t>
            </w:r>
          </w:p>
        </w:tc>
        <w:tc>
          <w:tcPr>
            <w:tcW w:w="992" w:type="dxa"/>
            <w:tcBorders>
              <w:top w:val="nil"/>
              <w:left w:val="nil"/>
              <w:bottom w:val="dashed" w:sz="4" w:space="0" w:color="auto"/>
              <w:right w:val="single" w:sz="4" w:space="0" w:color="auto"/>
            </w:tcBorders>
            <w:shd w:val="clear" w:color="auto" w:fill="auto"/>
            <w:noWrap/>
            <w:vAlign w:val="bottom"/>
            <w:hideMark/>
          </w:tcPr>
          <w:p w14:paraId="3078B67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w:t>
            </w:r>
          </w:p>
        </w:tc>
        <w:tc>
          <w:tcPr>
            <w:tcW w:w="992" w:type="dxa"/>
            <w:tcBorders>
              <w:top w:val="nil"/>
              <w:left w:val="nil"/>
              <w:bottom w:val="dashed" w:sz="4" w:space="0" w:color="auto"/>
              <w:right w:val="dashed" w:sz="8" w:space="0" w:color="auto"/>
            </w:tcBorders>
            <w:shd w:val="clear" w:color="auto" w:fill="auto"/>
            <w:noWrap/>
            <w:vAlign w:val="bottom"/>
            <w:hideMark/>
          </w:tcPr>
          <w:p w14:paraId="21FC0A2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0.5%</w:t>
            </w:r>
          </w:p>
        </w:tc>
        <w:tc>
          <w:tcPr>
            <w:tcW w:w="709" w:type="dxa"/>
            <w:tcBorders>
              <w:top w:val="nil"/>
              <w:left w:val="nil"/>
              <w:bottom w:val="dashed" w:sz="4" w:space="0" w:color="auto"/>
              <w:right w:val="single" w:sz="4" w:space="0" w:color="auto"/>
            </w:tcBorders>
            <w:shd w:val="clear" w:color="auto" w:fill="auto"/>
            <w:noWrap/>
            <w:vAlign w:val="bottom"/>
            <w:hideMark/>
          </w:tcPr>
          <w:p w14:paraId="5D1F6D96"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w:t>
            </w:r>
          </w:p>
        </w:tc>
        <w:tc>
          <w:tcPr>
            <w:tcW w:w="1134" w:type="dxa"/>
            <w:tcBorders>
              <w:top w:val="nil"/>
              <w:left w:val="nil"/>
              <w:bottom w:val="dashed" w:sz="4" w:space="0" w:color="auto"/>
              <w:right w:val="dashed" w:sz="8" w:space="0" w:color="auto"/>
            </w:tcBorders>
            <w:shd w:val="clear" w:color="auto" w:fill="auto"/>
            <w:noWrap/>
            <w:vAlign w:val="bottom"/>
            <w:hideMark/>
          </w:tcPr>
          <w:p w14:paraId="19BBFC6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0.3%</w:t>
            </w:r>
          </w:p>
        </w:tc>
        <w:tc>
          <w:tcPr>
            <w:tcW w:w="709" w:type="dxa"/>
            <w:tcBorders>
              <w:top w:val="nil"/>
              <w:left w:val="nil"/>
              <w:bottom w:val="dashed" w:sz="4" w:space="0" w:color="auto"/>
              <w:right w:val="single" w:sz="4" w:space="0" w:color="auto"/>
            </w:tcBorders>
            <w:shd w:val="clear" w:color="auto" w:fill="auto"/>
            <w:noWrap/>
            <w:vAlign w:val="bottom"/>
            <w:hideMark/>
          </w:tcPr>
          <w:p w14:paraId="5BCE6D8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w:t>
            </w:r>
          </w:p>
        </w:tc>
        <w:tc>
          <w:tcPr>
            <w:tcW w:w="1276" w:type="dxa"/>
            <w:tcBorders>
              <w:top w:val="nil"/>
              <w:left w:val="nil"/>
              <w:bottom w:val="dashed" w:sz="4" w:space="0" w:color="auto"/>
              <w:right w:val="single" w:sz="8" w:space="0" w:color="auto"/>
            </w:tcBorders>
            <w:shd w:val="clear" w:color="auto" w:fill="auto"/>
            <w:noWrap/>
            <w:vAlign w:val="bottom"/>
            <w:hideMark/>
          </w:tcPr>
          <w:p w14:paraId="194DC9A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0.4%</w:t>
            </w:r>
          </w:p>
        </w:tc>
      </w:tr>
      <w:tr w:rsidR="006B394A" w:rsidRPr="006D55DD" w14:paraId="47B6529A" w14:textId="77777777" w:rsidTr="00720687">
        <w:trPr>
          <w:trHeight w:val="315"/>
        </w:trPr>
        <w:tc>
          <w:tcPr>
            <w:tcW w:w="1841" w:type="dxa"/>
            <w:vMerge/>
            <w:tcBorders>
              <w:top w:val="nil"/>
              <w:left w:val="single" w:sz="4" w:space="0" w:color="auto"/>
              <w:bottom w:val="single" w:sz="8" w:space="0" w:color="000000"/>
              <w:right w:val="single" w:sz="4" w:space="0" w:color="auto"/>
            </w:tcBorders>
            <w:vAlign w:val="center"/>
            <w:hideMark/>
          </w:tcPr>
          <w:p w14:paraId="40A75D43"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8" w:space="0" w:color="auto"/>
              <w:right w:val="dashed" w:sz="8" w:space="0" w:color="auto"/>
            </w:tcBorders>
            <w:shd w:val="clear" w:color="auto" w:fill="auto"/>
            <w:noWrap/>
            <w:vAlign w:val="bottom"/>
            <w:hideMark/>
          </w:tcPr>
          <w:p w14:paraId="6FB1A0E3"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Total Intrinsic Eye disease</w:t>
            </w:r>
          </w:p>
        </w:tc>
        <w:tc>
          <w:tcPr>
            <w:tcW w:w="992" w:type="dxa"/>
            <w:tcBorders>
              <w:top w:val="nil"/>
              <w:left w:val="nil"/>
              <w:bottom w:val="single" w:sz="8" w:space="0" w:color="auto"/>
              <w:right w:val="single" w:sz="4" w:space="0" w:color="auto"/>
            </w:tcBorders>
            <w:shd w:val="clear" w:color="auto" w:fill="auto"/>
            <w:noWrap/>
            <w:vAlign w:val="bottom"/>
            <w:hideMark/>
          </w:tcPr>
          <w:p w14:paraId="0C762499"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183</w:t>
            </w:r>
          </w:p>
        </w:tc>
        <w:tc>
          <w:tcPr>
            <w:tcW w:w="992" w:type="dxa"/>
            <w:tcBorders>
              <w:top w:val="nil"/>
              <w:left w:val="nil"/>
              <w:bottom w:val="single" w:sz="8" w:space="0" w:color="auto"/>
              <w:right w:val="dashed" w:sz="8" w:space="0" w:color="auto"/>
            </w:tcBorders>
            <w:shd w:val="clear" w:color="auto" w:fill="auto"/>
            <w:noWrap/>
            <w:vAlign w:val="bottom"/>
            <w:hideMark/>
          </w:tcPr>
          <w:p w14:paraId="2B66A613"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30.5%</w:t>
            </w:r>
          </w:p>
        </w:tc>
        <w:tc>
          <w:tcPr>
            <w:tcW w:w="709" w:type="dxa"/>
            <w:tcBorders>
              <w:top w:val="nil"/>
              <w:left w:val="nil"/>
              <w:bottom w:val="single" w:sz="8" w:space="0" w:color="auto"/>
              <w:right w:val="single" w:sz="4" w:space="0" w:color="auto"/>
            </w:tcBorders>
            <w:shd w:val="clear" w:color="auto" w:fill="auto"/>
            <w:noWrap/>
            <w:vAlign w:val="bottom"/>
            <w:hideMark/>
          </w:tcPr>
          <w:p w14:paraId="1BFDEBFD"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208</w:t>
            </w:r>
          </w:p>
        </w:tc>
        <w:tc>
          <w:tcPr>
            <w:tcW w:w="1134" w:type="dxa"/>
            <w:tcBorders>
              <w:top w:val="nil"/>
              <w:left w:val="nil"/>
              <w:bottom w:val="single" w:sz="8" w:space="0" w:color="auto"/>
              <w:right w:val="dashed" w:sz="8" w:space="0" w:color="auto"/>
            </w:tcBorders>
            <w:shd w:val="clear" w:color="auto" w:fill="auto"/>
            <w:noWrap/>
            <w:vAlign w:val="bottom"/>
            <w:hideMark/>
          </w:tcPr>
          <w:p w14:paraId="77530E84"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34.7%</w:t>
            </w:r>
          </w:p>
        </w:tc>
        <w:tc>
          <w:tcPr>
            <w:tcW w:w="709" w:type="dxa"/>
            <w:tcBorders>
              <w:top w:val="nil"/>
              <w:left w:val="nil"/>
              <w:bottom w:val="single" w:sz="8" w:space="0" w:color="auto"/>
              <w:right w:val="single" w:sz="4" w:space="0" w:color="auto"/>
            </w:tcBorders>
            <w:shd w:val="clear" w:color="auto" w:fill="auto"/>
            <w:noWrap/>
            <w:vAlign w:val="bottom"/>
            <w:hideMark/>
          </w:tcPr>
          <w:p w14:paraId="4860D457"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391</w:t>
            </w:r>
          </w:p>
        </w:tc>
        <w:tc>
          <w:tcPr>
            <w:tcW w:w="1276" w:type="dxa"/>
            <w:tcBorders>
              <w:top w:val="nil"/>
              <w:left w:val="nil"/>
              <w:bottom w:val="single" w:sz="8" w:space="0" w:color="auto"/>
              <w:right w:val="single" w:sz="8" w:space="0" w:color="auto"/>
            </w:tcBorders>
            <w:shd w:val="clear" w:color="auto" w:fill="auto"/>
            <w:noWrap/>
            <w:vAlign w:val="bottom"/>
            <w:hideMark/>
          </w:tcPr>
          <w:p w14:paraId="45BEE725"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32.6%</w:t>
            </w:r>
          </w:p>
        </w:tc>
      </w:tr>
      <w:tr w:rsidR="006B394A" w:rsidRPr="006D55DD" w14:paraId="7A840A91" w14:textId="77777777" w:rsidTr="00720687">
        <w:trPr>
          <w:trHeight w:val="300"/>
        </w:trPr>
        <w:tc>
          <w:tcPr>
            <w:tcW w:w="1841" w:type="dxa"/>
            <w:vMerge w:val="restart"/>
            <w:tcBorders>
              <w:top w:val="nil"/>
              <w:left w:val="single" w:sz="4" w:space="0" w:color="auto"/>
              <w:bottom w:val="single" w:sz="8" w:space="0" w:color="000000"/>
              <w:right w:val="single" w:sz="4" w:space="0" w:color="auto"/>
            </w:tcBorders>
            <w:shd w:val="clear" w:color="auto" w:fill="auto"/>
            <w:vAlign w:val="center"/>
            <w:hideMark/>
          </w:tcPr>
          <w:p w14:paraId="388BC7D2"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Neurodegenerative disorders</w:t>
            </w:r>
          </w:p>
        </w:tc>
        <w:tc>
          <w:tcPr>
            <w:tcW w:w="5245" w:type="dxa"/>
            <w:tcBorders>
              <w:top w:val="nil"/>
              <w:left w:val="nil"/>
              <w:bottom w:val="single" w:sz="4" w:space="0" w:color="auto"/>
              <w:right w:val="dashed" w:sz="8" w:space="0" w:color="auto"/>
            </w:tcBorders>
            <w:shd w:val="clear" w:color="auto" w:fill="auto"/>
            <w:noWrap/>
            <w:vAlign w:val="bottom"/>
            <w:hideMark/>
          </w:tcPr>
          <w:p w14:paraId="657D9004"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Diagnosed Dementia </w:t>
            </w:r>
          </w:p>
        </w:tc>
        <w:tc>
          <w:tcPr>
            <w:tcW w:w="992" w:type="dxa"/>
            <w:tcBorders>
              <w:top w:val="nil"/>
              <w:left w:val="nil"/>
              <w:bottom w:val="single" w:sz="4" w:space="0" w:color="auto"/>
              <w:right w:val="single" w:sz="4" w:space="0" w:color="auto"/>
            </w:tcBorders>
            <w:shd w:val="clear" w:color="auto" w:fill="auto"/>
            <w:noWrap/>
            <w:vAlign w:val="bottom"/>
            <w:hideMark/>
          </w:tcPr>
          <w:p w14:paraId="1D0AC34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w:t>
            </w:r>
          </w:p>
        </w:tc>
        <w:tc>
          <w:tcPr>
            <w:tcW w:w="992" w:type="dxa"/>
            <w:tcBorders>
              <w:top w:val="nil"/>
              <w:left w:val="nil"/>
              <w:bottom w:val="single" w:sz="4" w:space="0" w:color="auto"/>
              <w:right w:val="dashed" w:sz="8" w:space="0" w:color="auto"/>
            </w:tcBorders>
            <w:shd w:val="clear" w:color="auto" w:fill="auto"/>
            <w:noWrap/>
            <w:vAlign w:val="bottom"/>
            <w:hideMark/>
          </w:tcPr>
          <w:p w14:paraId="40F2E5E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2.2%</w:t>
            </w:r>
          </w:p>
        </w:tc>
        <w:tc>
          <w:tcPr>
            <w:tcW w:w="709" w:type="dxa"/>
            <w:tcBorders>
              <w:top w:val="nil"/>
              <w:left w:val="nil"/>
              <w:bottom w:val="single" w:sz="4" w:space="0" w:color="auto"/>
              <w:right w:val="single" w:sz="4" w:space="0" w:color="auto"/>
            </w:tcBorders>
            <w:shd w:val="clear" w:color="auto" w:fill="auto"/>
            <w:noWrap/>
            <w:vAlign w:val="bottom"/>
            <w:hideMark/>
          </w:tcPr>
          <w:p w14:paraId="416B41C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86</w:t>
            </w:r>
          </w:p>
        </w:tc>
        <w:tc>
          <w:tcPr>
            <w:tcW w:w="1134" w:type="dxa"/>
            <w:tcBorders>
              <w:top w:val="nil"/>
              <w:left w:val="nil"/>
              <w:bottom w:val="single" w:sz="4" w:space="0" w:color="auto"/>
              <w:right w:val="dashed" w:sz="8" w:space="0" w:color="auto"/>
            </w:tcBorders>
            <w:shd w:val="clear" w:color="auto" w:fill="auto"/>
            <w:noWrap/>
            <w:vAlign w:val="bottom"/>
            <w:hideMark/>
          </w:tcPr>
          <w:p w14:paraId="4AC6A41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14.3%</w:t>
            </w:r>
          </w:p>
        </w:tc>
        <w:tc>
          <w:tcPr>
            <w:tcW w:w="709" w:type="dxa"/>
            <w:tcBorders>
              <w:top w:val="nil"/>
              <w:left w:val="nil"/>
              <w:bottom w:val="single" w:sz="4" w:space="0" w:color="auto"/>
              <w:right w:val="single" w:sz="4" w:space="0" w:color="auto"/>
            </w:tcBorders>
            <w:shd w:val="clear" w:color="auto" w:fill="auto"/>
            <w:noWrap/>
            <w:vAlign w:val="bottom"/>
            <w:hideMark/>
          </w:tcPr>
          <w:p w14:paraId="4190EBE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99</w:t>
            </w:r>
          </w:p>
        </w:tc>
        <w:tc>
          <w:tcPr>
            <w:tcW w:w="1276" w:type="dxa"/>
            <w:tcBorders>
              <w:top w:val="nil"/>
              <w:left w:val="nil"/>
              <w:bottom w:val="single" w:sz="4" w:space="0" w:color="auto"/>
              <w:right w:val="single" w:sz="8" w:space="0" w:color="auto"/>
            </w:tcBorders>
            <w:shd w:val="clear" w:color="auto" w:fill="auto"/>
            <w:noWrap/>
            <w:vAlign w:val="bottom"/>
            <w:hideMark/>
          </w:tcPr>
          <w:p w14:paraId="6FB7D57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8.3%</w:t>
            </w:r>
          </w:p>
        </w:tc>
      </w:tr>
      <w:tr w:rsidR="006B394A" w:rsidRPr="006D55DD" w14:paraId="6B11EB48"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369657A2"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40ACBE8A"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Recent onset of memory loss</w:t>
            </w:r>
          </w:p>
        </w:tc>
        <w:tc>
          <w:tcPr>
            <w:tcW w:w="992" w:type="dxa"/>
            <w:tcBorders>
              <w:top w:val="nil"/>
              <w:left w:val="nil"/>
              <w:bottom w:val="single" w:sz="4" w:space="0" w:color="auto"/>
              <w:right w:val="single" w:sz="4" w:space="0" w:color="auto"/>
            </w:tcBorders>
            <w:shd w:val="clear" w:color="auto" w:fill="auto"/>
            <w:noWrap/>
            <w:vAlign w:val="bottom"/>
            <w:hideMark/>
          </w:tcPr>
          <w:p w14:paraId="3E16820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30</w:t>
            </w:r>
          </w:p>
        </w:tc>
        <w:tc>
          <w:tcPr>
            <w:tcW w:w="992" w:type="dxa"/>
            <w:tcBorders>
              <w:top w:val="nil"/>
              <w:left w:val="nil"/>
              <w:bottom w:val="single" w:sz="4" w:space="0" w:color="auto"/>
              <w:right w:val="dashed" w:sz="8" w:space="0" w:color="auto"/>
            </w:tcBorders>
            <w:shd w:val="clear" w:color="auto" w:fill="auto"/>
            <w:noWrap/>
            <w:vAlign w:val="bottom"/>
            <w:hideMark/>
          </w:tcPr>
          <w:p w14:paraId="00884FB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5.0%</w:t>
            </w:r>
          </w:p>
        </w:tc>
        <w:tc>
          <w:tcPr>
            <w:tcW w:w="709" w:type="dxa"/>
            <w:tcBorders>
              <w:top w:val="nil"/>
              <w:left w:val="nil"/>
              <w:bottom w:val="single" w:sz="4" w:space="0" w:color="auto"/>
              <w:right w:val="single" w:sz="4" w:space="0" w:color="auto"/>
            </w:tcBorders>
            <w:shd w:val="clear" w:color="auto" w:fill="auto"/>
            <w:noWrap/>
            <w:vAlign w:val="bottom"/>
            <w:hideMark/>
          </w:tcPr>
          <w:p w14:paraId="086615C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30</w:t>
            </w:r>
          </w:p>
        </w:tc>
        <w:tc>
          <w:tcPr>
            <w:tcW w:w="1134" w:type="dxa"/>
            <w:tcBorders>
              <w:top w:val="nil"/>
              <w:left w:val="nil"/>
              <w:bottom w:val="single" w:sz="4" w:space="0" w:color="auto"/>
              <w:right w:val="dashed" w:sz="8" w:space="0" w:color="auto"/>
            </w:tcBorders>
            <w:shd w:val="clear" w:color="auto" w:fill="auto"/>
            <w:noWrap/>
            <w:vAlign w:val="bottom"/>
            <w:hideMark/>
          </w:tcPr>
          <w:p w14:paraId="4F5DB93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5.0%</w:t>
            </w:r>
          </w:p>
        </w:tc>
        <w:tc>
          <w:tcPr>
            <w:tcW w:w="709" w:type="dxa"/>
            <w:tcBorders>
              <w:top w:val="nil"/>
              <w:left w:val="nil"/>
              <w:bottom w:val="single" w:sz="4" w:space="0" w:color="auto"/>
              <w:right w:val="single" w:sz="4" w:space="0" w:color="auto"/>
            </w:tcBorders>
            <w:shd w:val="clear" w:color="auto" w:fill="auto"/>
            <w:noWrap/>
            <w:vAlign w:val="bottom"/>
            <w:hideMark/>
          </w:tcPr>
          <w:p w14:paraId="5997ADD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60</w:t>
            </w:r>
          </w:p>
        </w:tc>
        <w:tc>
          <w:tcPr>
            <w:tcW w:w="1276" w:type="dxa"/>
            <w:tcBorders>
              <w:top w:val="nil"/>
              <w:left w:val="nil"/>
              <w:bottom w:val="single" w:sz="4" w:space="0" w:color="auto"/>
              <w:right w:val="single" w:sz="8" w:space="0" w:color="auto"/>
            </w:tcBorders>
            <w:shd w:val="clear" w:color="auto" w:fill="auto"/>
            <w:noWrap/>
            <w:vAlign w:val="bottom"/>
            <w:hideMark/>
          </w:tcPr>
          <w:p w14:paraId="2AF3EE8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5.0%</w:t>
            </w:r>
          </w:p>
        </w:tc>
      </w:tr>
      <w:tr w:rsidR="006B394A" w:rsidRPr="006D55DD" w14:paraId="1334EFA7"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297C253D"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1AAD6736"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Diagnosed Alzheimer Disease </w:t>
            </w:r>
          </w:p>
        </w:tc>
        <w:tc>
          <w:tcPr>
            <w:tcW w:w="992" w:type="dxa"/>
            <w:tcBorders>
              <w:top w:val="nil"/>
              <w:left w:val="nil"/>
              <w:bottom w:val="single" w:sz="4" w:space="0" w:color="auto"/>
              <w:right w:val="single" w:sz="4" w:space="0" w:color="auto"/>
            </w:tcBorders>
            <w:shd w:val="clear" w:color="auto" w:fill="auto"/>
            <w:noWrap/>
            <w:vAlign w:val="bottom"/>
            <w:hideMark/>
          </w:tcPr>
          <w:p w14:paraId="095D322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6</w:t>
            </w:r>
          </w:p>
        </w:tc>
        <w:tc>
          <w:tcPr>
            <w:tcW w:w="992" w:type="dxa"/>
            <w:tcBorders>
              <w:top w:val="nil"/>
              <w:left w:val="nil"/>
              <w:bottom w:val="single" w:sz="4" w:space="0" w:color="auto"/>
              <w:right w:val="dashed" w:sz="8" w:space="0" w:color="auto"/>
            </w:tcBorders>
            <w:shd w:val="clear" w:color="auto" w:fill="auto"/>
            <w:noWrap/>
            <w:vAlign w:val="bottom"/>
            <w:hideMark/>
          </w:tcPr>
          <w:p w14:paraId="5758AF3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14:paraId="0047D18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21</w:t>
            </w:r>
          </w:p>
        </w:tc>
        <w:tc>
          <w:tcPr>
            <w:tcW w:w="1134" w:type="dxa"/>
            <w:tcBorders>
              <w:top w:val="nil"/>
              <w:left w:val="nil"/>
              <w:bottom w:val="single" w:sz="4" w:space="0" w:color="auto"/>
              <w:right w:val="dashed" w:sz="8" w:space="0" w:color="auto"/>
            </w:tcBorders>
            <w:shd w:val="clear" w:color="auto" w:fill="auto"/>
            <w:noWrap/>
            <w:vAlign w:val="bottom"/>
            <w:hideMark/>
          </w:tcPr>
          <w:p w14:paraId="5E3D6F5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3.5%</w:t>
            </w:r>
          </w:p>
        </w:tc>
        <w:tc>
          <w:tcPr>
            <w:tcW w:w="709" w:type="dxa"/>
            <w:tcBorders>
              <w:top w:val="nil"/>
              <w:left w:val="nil"/>
              <w:bottom w:val="single" w:sz="4" w:space="0" w:color="auto"/>
              <w:right w:val="single" w:sz="4" w:space="0" w:color="auto"/>
            </w:tcBorders>
            <w:shd w:val="clear" w:color="auto" w:fill="auto"/>
            <w:noWrap/>
            <w:vAlign w:val="bottom"/>
            <w:hideMark/>
          </w:tcPr>
          <w:p w14:paraId="75E489B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27</w:t>
            </w:r>
          </w:p>
        </w:tc>
        <w:tc>
          <w:tcPr>
            <w:tcW w:w="1276" w:type="dxa"/>
            <w:tcBorders>
              <w:top w:val="nil"/>
              <w:left w:val="nil"/>
              <w:bottom w:val="single" w:sz="4" w:space="0" w:color="auto"/>
              <w:right w:val="single" w:sz="8" w:space="0" w:color="auto"/>
            </w:tcBorders>
            <w:shd w:val="clear" w:color="auto" w:fill="auto"/>
            <w:noWrap/>
            <w:vAlign w:val="bottom"/>
            <w:hideMark/>
          </w:tcPr>
          <w:p w14:paraId="5B84DD9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2.3%</w:t>
            </w:r>
          </w:p>
        </w:tc>
      </w:tr>
      <w:tr w:rsidR="006B394A" w:rsidRPr="006D55DD" w14:paraId="5EFCE955"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70DA8353"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09ED070F"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Disease of unknown aetiology</w:t>
            </w:r>
          </w:p>
        </w:tc>
        <w:tc>
          <w:tcPr>
            <w:tcW w:w="992" w:type="dxa"/>
            <w:tcBorders>
              <w:top w:val="nil"/>
              <w:left w:val="nil"/>
              <w:bottom w:val="single" w:sz="4" w:space="0" w:color="auto"/>
              <w:right w:val="single" w:sz="4" w:space="0" w:color="auto"/>
            </w:tcBorders>
            <w:shd w:val="clear" w:color="auto" w:fill="auto"/>
            <w:noWrap/>
            <w:vAlign w:val="bottom"/>
            <w:hideMark/>
          </w:tcPr>
          <w:p w14:paraId="6534805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w:t>
            </w:r>
          </w:p>
        </w:tc>
        <w:tc>
          <w:tcPr>
            <w:tcW w:w="992" w:type="dxa"/>
            <w:tcBorders>
              <w:top w:val="nil"/>
              <w:left w:val="nil"/>
              <w:bottom w:val="single" w:sz="4" w:space="0" w:color="auto"/>
              <w:right w:val="dashed" w:sz="8" w:space="0" w:color="auto"/>
            </w:tcBorders>
            <w:shd w:val="clear" w:color="auto" w:fill="auto"/>
            <w:noWrap/>
            <w:vAlign w:val="bottom"/>
            <w:hideMark/>
          </w:tcPr>
          <w:p w14:paraId="2A2BBAA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2.2%</w:t>
            </w:r>
          </w:p>
        </w:tc>
        <w:tc>
          <w:tcPr>
            <w:tcW w:w="709" w:type="dxa"/>
            <w:tcBorders>
              <w:top w:val="nil"/>
              <w:left w:val="nil"/>
              <w:bottom w:val="single" w:sz="4" w:space="0" w:color="auto"/>
              <w:right w:val="single" w:sz="4" w:space="0" w:color="auto"/>
            </w:tcBorders>
            <w:shd w:val="clear" w:color="auto" w:fill="auto"/>
            <w:noWrap/>
            <w:vAlign w:val="bottom"/>
            <w:hideMark/>
          </w:tcPr>
          <w:p w14:paraId="6AA3A17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1134" w:type="dxa"/>
            <w:tcBorders>
              <w:top w:val="nil"/>
              <w:left w:val="nil"/>
              <w:bottom w:val="single" w:sz="4" w:space="0" w:color="auto"/>
              <w:right w:val="dashed" w:sz="8" w:space="0" w:color="auto"/>
            </w:tcBorders>
            <w:shd w:val="clear" w:color="auto" w:fill="auto"/>
            <w:noWrap/>
            <w:vAlign w:val="bottom"/>
            <w:hideMark/>
          </w:tcPr>
          <w:p w14:paraId="2275DFB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2.0%</w:t>
            </w:r>
          </w:p>
        </w:tc>
        <w:tc>
          <w:tcPr>
            <w:tcW w:w="709" w:type="dxa"/>
            <w:tcBorders>
              <w:top w:val="nil"/>
              <w:left w:val="nil"/>
              <w:bottom w:val="single" w:sz="4" w:space="0" w:color="auto"/>
              <w:right w:val="single" w:sz="4" w:space="0" w:color="auto"/>
            </w:tcBorders>
            <w:shd w:val="clear" w:color="auto" w:fill="auto"/>
            <w:noWrap/>
            <w:vAlign w:val="bottom"/>
            <w:hideMark/>
          </w:tcPr>
          <w:p w14:paraId="1F1463F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25</w:t>
            </w:r>
          </w:p>
        </w:tc>
        <w:tc>
          <w:tcPr>
            <w:tcW w:w="1276" w:type="dxa"/>
            <w:tcBorders>
              <w:top w:val="nil"/>
              <w:left w:val="nil"/>
              <w:bottom w:val="single" w:sz="4" w:space="0" w:color="auto"/>
              <w:right w:val="single" w:sz="8" w:space="0" w:color="auto"/>
            </w:tcBorders>
            <w:shd w:val="clear" w:color="auto" w:fill="auto"/>
            <w:noWrap/>
            <w:vAlign w:val="bottom"/>
            <w:hideMark/>
          </w:tcPr>
          <w:p w14:paraId="6C4CF26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2.1%</w:t>
            </w:r>
          </w:p>
        </w:tc>
      </w:tr>
      <w:tr w:rsidR="006B394A" w:rsidRPr="006D55DD" w14:paraId="1DC45CF3"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27904277"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dashed" w:sz="4" w:space="0" w:color="auto"/>
              <w:right w:val="dashed" w:sz="8" w:space="0" w:color="auto"/>
            </w:tcBorders>
            <w:shd w:val="clear" w:color="auto" w:fill="auto"/>
            <w:noWrap/>
            <w:vAlign w:val="bottom"/>
            <w:hideMark/>
          </w:tcPr>
          <w:p w14:paraId="645287E0"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Diagnosed Parkinson Disease</w:t>
            </w:r>
          </w:p>
        </w:tc>
        <w:tc>
          <w:tcPr>
            <w:tcW w:w="992" w:type="dxa"/>
            <w:tcBorders>
              <w:top w:val="nil"/>
              <w:left w:val="nil"/>
              <w:bottom w:val="dashed" w:sz="4" w:space="0" w:color="auto"/>
              <w:right w:val="single" w:sz="4" w:space="0" w:color="auto"/>
            </w:tcBorders>
            <w:shd w:val="clear" w:color="auto" w:fill="auto"/>
            <w:noWrap/>
            <w:vAlign w:val="bottom"/>
            <w:hideMark/>
          </w:tcPr>
          <w:p w14:paraId="4D33828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w:t>
            </w:r>
          </w:p>
        </w:tc>
        <w:tc>
          <w:tcPr>
            <w:tcW w:w="992" w:type="dxa"/>
            <w:tcBorders>
              <w:top w:val="nil"/>
              <w:left w:val="nil"/>
              <w:bottom w:val="dashed" w:sz="4" w:space="0" w:color="auto"/>
              <w:right w:val="dashed" w:sz="8" w:space="0" w:color="auto"/>
            </w:tcBorders>
            <w:shd w:val="clear" w:color="auto" w:fill="auto"/>
            <w:noWrap/>
            <w:vAlign w:val="bottom"/>
            <w:hideMark/>
          </w:tcPr>
          <w:p w14:paraId="4C22587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0.2%</w:t>
            </w:r>
          </w:p>
        </w:tc>
        <w:tc>
          <w:tcPr>
            <w:tcW w:w="709" w:type="dxa"/>
            <w:tcBorders>
              <w:top w:val="nil"/>
              <w:left w:val="nil"/>
              <w:bottom w:val="dashed" w:sz="4" w:space="0" w:color="auto"/>
              <w:right w:val="single" w:sz="4" w:space="0" w:color="auto"/>
            </w:tcBorders>
            <w:shd w:val="clear" w:color="auto" w:fill="auto"/>
            <w:noWrap/>
            <w:vAlign w:val="bottom"/>
            <w:hideMark/>
          </w:tcPr>
          <w:p w14:paraId="5CA7CF2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17</w:t>
            </w:r>
          </w:p>
        </w:tc>
        <w:tc>
          <w:tcPr>
            <w:tcW w:w="1134" w:type="dxa"/>
            <w:tcBorders>
              <w:top w:val="nil"/>
              <w:left w:val="nil"/>
              <w:bottom w:val="dashed" w:sz="4" w:space="0" w:color="auto"/>
              <w:right w:val="dashed" w:sz="8" w:space="0" w:color="auto"/>
            </w:tcBorders>
            <w:shd w:val="clear" w:color="auto" w:fill="auto"/>
            <w:noWrap/>
            <w:vAlign w:val="bottom"/>
            <w:hideMark/>
          </w:tcPr>
          <w:p w14:paraId="2CC1E3E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2.8%</w:t>
            </w:r>
          </w:p>
        </w:tc>
        <w:tc>
          <w:tcPr>
            <w:tcW w:w="709" w:type="dxa"/>
            <w:tcBorders>
              <w:top w:val="nil"/>
              <w:left w:val="nil"/>
              <w:bottom w:val="dashed" w:sz="4" w:space="0" w:color="auto"/>
              <w:right w:val="single" w:sz="4" w:space="0" w:color="auto"/>
            </w:tcBorders>
            <w:shd w:val="clear" w:color="auto" w:fill="auto"/>
            <w:noWrap/>
            <w:vAlign w:val="bottom"/>
            <w:hideMark/>
          </w:tcPr>
          <w:p w14:paraId="2551EB1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18</w:t>
            </w:r>
          </w:p>
        </w:tc>
        <w:tc>
          <w:tcPr>
            <w:tcW w:w="1276" w:type="dxa"/>
            <w:tcBorders>
              <w:top w:val="nil"/>
              <w:left w:val="nil"/>
              <w:bottom w:val="dashed" w:sz="4" w:space="0" w:color="auto"/>
              <w:right w:val="single" w:sz="8" w:space="0" w:color="auto"/>
            </w:tcBorders>
            <w:shd w:val="clear" w:color="auto" w:fill="auto"/>
            <w:noWrap/>
            <w:vAlign w:val="bottom"/>
            <w:hideMark/>
          </w:tcPr>
          <w:p w14:paraId="52B5A69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1.5%</w:t>
            </w:r>
          </w:p>
        </w:tc>
      </w:tr>
      <w:tr w:rsidR="006B394A" w:rsidRPr="006D55DD" w14:paraId="68DD6FF3" w14:textId="77777777" w:rsidTr="00720687">
        <w:trPr>
          <w:trHeight w:val="315"/>
        </w:trPr>
        <w:tc>
          <w:tcPr>
            <w:tcW w:w="1841" w:type="dxa"/>
            <w:vMerge/>
            <w:tcBorders>
              <w:top w:val="nil"/>
              <w:left w:val="single" w:sz="4" w:space="0" w:color="auto"/>
              <w:bottom w:val="single" w:sz="8" w:space="0" w:color="000000"/>
              <w:right w:val="single" w:sz="4" w:space="0" w:color="auto"/>
            </w:tcBorders>
            <w:vAlign w:val="center"/>
            <w:hideMark/>
          </w:tcPr>
          <w:p w14:paraId="112EA04F"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8" w:space="0" w:color="auto"/>
              <w:right w:val="dashed" w:sz="8" w:space="0" w:color="auto"/>
            </w:tcBorders>
            <w:shd w:val="clear" w:color="auto" w:fill="auto"/>
            <w:noWrap/>
            <w:vAlign w:val="bottom"/>
            <w:hideMark/>
          </w:tcPr>
          <w:p w14:paraId="44C8BBDC"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Total Neurodegenerative disorders</w:t>
            </w:r>
          </w:p>
        </w:tc>
        <w:tc>
          <w:tcPr>
            <w:tcW w:w="992" w:type="dxa"/>
            <w:tcBorders>
              <w:top w:val="nil"/>
              <w:left w:val="nil"/>
              <w:bottom w:val="single" w:sz="8" w:space="0" w:color="auto"/>
              <w:right w:val="single" w:sz="4" w:space="0" w:color="auto"/>
            </w:tcBorders>
            <w:shd w:val="clear" w:color="auto" w:fill="auto"/>
            <w:noWrap/>
            <w:vAlign w:val="bottom"/>
            <w:hideMark/>
          </w:tcPr>
          <w:p w14:paraId="63DBB37F"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63</w:t>
            </w:r>
          </w:p>
        </w:tc>
        <w:tc>
          <w:tcPr>
            <w:tcW w:w="992" w:type="dxa"/>
            <w:tcBorders>
              <w:top w:val="nil"/>
              <w:left w:val="nil"/>
              <w:bottom w:val="single" w:sz="8" w:space="0" w:color="auto"/>
              <w:right w:val="dashed" w:sz="8" w:space="0" w:color="auto"/>
            </w:tcBorders>
            <w:shd w:val="clear" w:color="auto" w:fill="auto"/>
            <w:noWrap/>
            <w:vAlign w:val="bottom"/>
            <w:hideMark/>
          </w:tcPr>
          <w:p w14:paraId="7E820166"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10.5%</w:t>
            </w:r>
          </w:p>
        </w:tc>
        <w:tc>
          <w:tcPr>
            <w:tcW w:w="709" w:type="dxa"/>
            <w:tcBorders>
              <w:top w:val="nil"/>
              <w:left w:val="nil"/>
              <w:bottom w:val="single" w:sz="8" w:space="0" w:color="auto"/>
              <w:right w:val="single" w:sz="4" w:space="0" w:color="auto"/>
            </w:tcBorders>
            <w:shd w:val="clear" w:color="auto" w:fill="auto"/>
            <w:noWrap/>
            <w:vAlign w:val="bottom"/>
            <w:hideMark/>
          </w:tcPr>
          <w:p w14:paraId="5C7CA655"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166</w:t>
            </w:r>
          </w:p>
        </w:tc>
        <w:tc>
          <w:tcPr>
            <w:tcW w:w="1134" w:type="dxa"/>
            <w:tcBorders>
              <w:top w:val="nil"/>
              <w:left w:val="nil"/>
              <w:bottom w:val="single" w:sz="8" w:space="0" w:color="auto"/>
              <w:right w:val="dashed" w:sz="8" w:space="0" w:color="auto"/>
            </w:tcBorders>
            <w:shd w:val="clear" w:color="auto" w:fill="auto"/>
            <w:noWrap/>
            <w:vAlign w:val="bottom"/>
            <w:hideMark/>
          </w:tcPr>
          <w:p w14:paraId="3505E385"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27.7%</w:t>
            </w:r>
          </w:p>
        </w:tc>
        <w:tc>
          <w:tcPr>
            <w:tcW w:w="709" w:type="dxa"/>
            <w:tcBorders>
              <w:top w:val="nil"/>
              <w:left w:val="nil"/>
              <w:bottom w:val="single" w:sz="8" w:space="0" w:color="auto"/>
              <w:right w:val="single" w:sz="4" w:space="0" w:color="auto"/>
            </w:tcBorders>
            <w:shd w:val="clear" w:color="auto" w:fill="auto"/>
            <w:noWrap/>
            <w:vAlign w:val="bottom"/>
            <w:hideMark/>
          </w:tcPr>
          <w:p w14:paraId="3DF63A96"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229</w:t>
            </w:r>
          </w:p>
        </w:tc>
        <w:tc>
          <w:tcPr>
            <w:tcW w:w="1276" w:type="dxa"/>
            <w:tcBorders>
              <w:top w:val="nil"/>
              <w:left w:val="nil"/>
              <w:bottom w:val="single" w:sz="8" w:space="0" w:color="auto"/>
              <w:right w:val="single" w:sz="8" w:space="0" w:color="auto"/>
            </w:tcBorders>
            <w:shd w:val="clear" w:color="auto" w:fill="auto"/>
            <w:noWrap/>
            <w:vAlign w:val="bottom"/>
            <w:hideMark/>
          </w:tcPr>
          <w:p w14:paraId="2A325B18"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19.1%</w:t>
            </w:r>
          </w:p>
        </w:tc>
      </w:tr>
      <w:tr w:rsidR="006B394A" w:rsidRPr="006D55DD" w14:paraId="583A0EAF" w14:textId="77777777" w:rsidTr="00720687">
        <w:trPr>
          <w:trHeight w:val="300"/>
        </w:trPr>
        <w:tc>
          <w:tcPr>
            <w:tcW w:w="184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21C9B04"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Malignancies</w:t>
            </w:r>
          </w:p>
        </w:tc>
        <w:tc>
          <w:tcPr>
            <w:tcW w:w="5245" w:type="dxa"/>
            <w:tcBorders>
              <w:top w:val="nil"/>
              <w:left w:val="nil"/>
              <w:bottom w:val="single" w:sz="4" w:space="0" w:color="auto"/>
              <w:right w:val="dashed" w:sz="8" w:space="0" w:color="auto"/>
            </w:tcBorders>
            <w:shd w:val="clear" w:color="auto" w:fill="auto"/>
            <w:noWrap/>
            <w:vAlign w:val="bottom"/>
            <w:hideMark/>
          </w:tcPr>
          <w:p w14:paraId="6E73A4D8"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Lymphoma</w:t>
            </w:r>
          </w:p>
        </w:tc>
        <w:tc>
          <w:tcPr>
            <w:tcW w:w="992" w:type="dxa"/>
            <w:tcBorders>
              <w:top w:val="nil"/>
              <w:left w:val="nil"/>
              <w:bottom w:val="single" w:sz="4" w:space="0" w:color="auto"/>
              <w:right w:val="single" w:sz="4" w:space="0" w:color="auto"/>
            </w:tcBorders>
            <w:shd w:val="clear" w:color="auto" w:fill="auto"/>
            <w:noWrap/>
            <w:vAlign w:val="bottom"/>
            <w:hideMark/>
          </w:tcPr>
          <w:p w14:paraId="6587DBB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19</w:t>
            </w:r>
          </w:p>
        </w:tc>
        <w:tc>
          <w:tcPr>
            <w:tcW w:w="992" w:type="dxa"/>
            <w:tcBorders>
              <w:top w:val="nil"/>
              <w:left w:val="nil"/>
              <w:bottom w:val="single" w:sz="4" w:space="0" w:color="auto"/>
              <w:right w:val="dashed" w:sz="8" w:space="0" w:color="auto"/>
            </w:tcBorders>
            <w:shd w:val="clear" w:color="auto" w:fill="auto"/>
            <w:noWrap/>
            <w:vAlign w:val="bottom"/>
            <w:hideMark/>
          </w:tcPr>
          <w:p w14:paraId="2805E9C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3.2%</w:t>
            </w:r>
          </w:p>
        </w:tc>
        <w:tc>
          <w:tcPr>
            <w:tcW w:w="709" w:type="dxa"/>
            <w:tcBorders>
              <w:top w:val="nil"/>
              <w:left w:val="nil"/>
              <w:bottom w:val="single" w:sz="4" w:space="0" w:color="auto"/>
              <w:right w:val="single" w:sz="4" w:space="0" w:color="auto"/>
            </w:tcBorders>
            <w:shd w:val="clear" w:color="auto" w:fill="auto"/>
            <w:noWrap/>
            <w:vAlign w:val="bottom"/>
            <w:hideMark/>
          </w:tcPr>
          <w:p w14:paraId="05E75F4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22</w:t>
            </w:r>
          </w:p>
        </w:tc>
        <w:tc>
          <w:tcPr>
            <w:tcW w:w="1134" w:type="dxa"/>
            <w:tcBorders>
              <w:top w:val="nil"/>
              <w:left w:val="nil"/>
              <w:bottom w:val="single" w:sz="4" w:space="0" w:color="auto"/>
              <w:right w:val="dashed" w:sz="8" w:space="0" w:color="auto"/>
            </w:tcBorders>
            <w:shd w:val="clear" w:color="auto" w:fill="auto"/>
            <w:noWrap/>
            <w:vAlign w:val="bottom"/>
            <w:hideMark/>
          </w:tcPr>
          <w:p w14:paraId="183DE4C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3.7%</w:t>
            </w:r>
          </w:p>
        </w:tc>
        <w:tc>
          <w:tcPr>
            <w:tcW w:w="709" w:type="dxa"/>
            <w:tcBorders>
              <w:top w:val="nil"/>
              <w:left w:val="nil"/>
              <w:bottom w:val="single" w:sz="4" w:space="0" w:color="auto"/>
              <w:right w:val="single" w:sz="4" w:space="0" w:color="auto"/>
            </w:tcBorders>
            <w:shd w:val="clear" w:color="auto" w:fill="auto"/>
            <w:noWrap/>
            <w:vAlign w:val="bottom"/>
            <w:hideMark/>
          </w:tcPr>
          <w:p w14:paraId="197F826A"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41</w:t>
            </w:r>
          </w:p>
        </w:tc>
        <w:tc>
          <w:tcPr>
            <w:tcW w:w="1276" w:type="dxa"/>
            <w:tcBorders>
              <w:top w:val="nil"/>
              <w:left w:val="nil"/>
              <w:bottom w:val="single" w:sz="4" w:space="0" w:color="auto"/>
              <w:right w:val="single" w:sz="8" w:space="0" w:color="auto"/>
            </w:tcBorders>
            <w:shd w:val="clear" w:color="auto" w:fill="auto"/>
            <w:noWrap/>
            <w:vAlign w:val="bottom"/>
            <w:hideMark/>
          </w:tcPr>
          <w:p w14:paraId="4BBACC3D"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3.4%</w:t>
            </w:r>
          </w:p>
        </w:tc>
      </w:tr>
      <w:tr w:rsidR="006B394A" w:rsidRPr="006D55DD" w14:paraId="39476AE4"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46523733"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5B1C8162"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Leukaemia</w:t>
            </w:r>
          </w:p>
        </w:tc>
        <w:tc>
          <w:tcPr>
            <w:tcW w:w="992" w:type="dxa"/>
            <w:tcBorders>
              <w:top w:val="nil"/>
              <w:left w:val="nil"/>
              <w:bottom w:val="single" w:sz="4" w:space="0" w:color="auto"/>
              <w:right w:val="single" w:sz="4" w:space="0" w:color="auto"/>
            </w:tcBorders>
            <w:shd w:val="clear" w:color="auto" w:fill="auto"/>
            <w:noWrap/>
            <w:vAlign w:val="bottom"/>
            <w:hideMark/>
          </w:tcPr>
          <w:p w14:paraId="6F9C6EF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7</w:t>
            </w:r>
          </w:p>
        </w:tc>
        <w:tc>
          <w:tcPr>
            <w:tcW w:w="992" w:type="dxa"/>
            <w:tcBorders>
              <w:top w:val="nil"/>
              <w:left w:val="nil"/>
              <w:bottom w:val="single" w:sz="4" w:space="0" w:color="auto"/>
              <w:right w:val="dashed" w:sz="8" w:space="0" w:color="auto"/>
            </w:tcBorders>
            <w:shd w:val="clear" w:color="auto" w:fill="auto"/>
            <w:noWrap/>
            <w:vAlign w:val="bottom"/>
            <w:hideMark/>
          </w:tcPr>
          <w:p w14:paraId="5F5A7FFA"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14:paraId="2DEC902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w:t>
            </w:r>
          </w:p>
        </w:tc>
        <w:tc>
          <w:tcPr>
            <w:tcW w:w="1134" w:type="dxa"/>
            <w:tcBorders>
              <w:top w:val="nil"/>
              <w:left w:val="nil"/>
              <w:bottom w:val="single" w:sz="4" w:space="0" w:color="auto"/>
              <w:right w:val="dashed" w:sz="8" w:space="0" w:color="auto"/>
            </w:tcBorders>
            <w:shd w:val="clear" w:color="auto" w:fill="auto"/>
            <w:noWrap/>
            <w:vAlign w:val="bottom"/>
            <w:hideMark/>
          </w:tcPr>
          <w:p w14:paraId="67623AE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2.2%</w:t>
            </w:r>
          </w:p>
        </w:tc>
        <w:tc>
          <w:tcPr>
            <w:tcW w:w="709" w:type="dxa"/>
            <w:tcBorders>
              <w:top w:val="nil"/>
              <w:left w:val="nil"/>
              <w:bottom w:val="single" w:sz="4" w:space="0" w:color="auto"/>
              <w:right w:val="single" w:sz="4" w:space="0" w:color="auto"/>
            </w:tcBorders>
            <w:shd w:val="clear" w:color="auto" w:fill="auto"/>
            <w:noWrap/>
            <w:vAlign w:val="bottom"/>
            <w:hideMark/>
          </w:tcPr>
          <w:p w14:paraId="3E7B500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20</w:t>
            </w:r>
          </w:p>
        </w:tc>
        <w:tc>
          <w:tcPr>
            <w:tcW w:w="1276" w:type="dxa"/>
            <w:tcBorders>
              <w:top w:val="nil"/>
              <w:left w:val="nil"/>
              <w:bottom w:val="single" w:sz="4" w:space="0" w:color="auto"/>
              <w:right w:val="single" w:sz="8" w:space="0" w:color="auto"/>
            </w:tcBorders>
            <w:shd w:val="clear" w:color="auto" w:fill="auto"/>
            <w:noWrap/>
            <w:vAlign w:val="bottom"/>
            <w:hideMark/>
          </w:tcPr>
          <w:p w14:paraId="1BB992F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1.7%</w:t>
            </w:r>
          </w:p>
        </w:tc>
      </w:tr>
      <w:tr w:rsidR="006B394A" w:rsidRPr="006D55DD" w14:paraId="65CDFFE2"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03DC74EA"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3B7DDE72"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Myeloma</w:t>
            </w:r>
          </w:p>
        </w:tc>
        <w:tc>
          <w:tcPr>
            <w:tcW w:w="992" w:type="dxa"/>
            <w:tcBorders>
              <w:top w:val="nil"/>
              <w:left w:val="nil"/>
              <w:bottom w:val="single" w:sz="4" w:space="0" w:color="auto"/>
              <w:right w:val="single" w:sz="4" w:space="0" w:color="auto"/>
            </w:tcBorders>
            <w:shd w:val="clear" w:color="auto" w:fill="auto"/>
            <w:noWrap/>
            <w:vAlign w:val="bottom"/>
            <w:hideMark/>
          </w:tcPr>
          <w:p w14:paraId="66CB800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7</w:t>
            </w:r>
          </w:p>
        </w:tc>
        <w:tc>
          <w:tcPr>
            <w:tcW w:w="992" w:type="dxa"/>
            <w:tcBorders>
              <w:top w:val="nil"/>
              <w:left w:val="nil"/>
              <w:bottom w:val="single" w:sz="4" w:space="0" w:color="auto"/>
              <w:right w:val="dashed" w:sz="8" w:space="0" w:color="auto"/>
            </w:tcBorders>
            <w:shd w:val="clear" w:color="auto" w:fill="auto"/>
            <w:noWrap/>
            <w:vAlign w:val="bottom"/>
            <w:hideMark/>
          </w:tcPr>
          <w:p w14:paraId="27FC34E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14:paraId="1185AAD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11</w:t>
            </w:r>
          </w:p>
        </w:tc>
        <w:tc>
          <w:tcPr>
            <w:tcW w:w="1134" w:type="dxa"/>
            <w:tcBorders>
              <w:top w:val="nil"/>
              <w:left w:val="nil"/>
              <w:bottom w:val="single" w:sz="4" w:space="0" w:color="auto"/>
              <w:right w:val="dashed" w:sz="8" w:space="0" w:color="auto"/>
            </w:tcBorders>
            <w:shd w:val="clear" w:color="auto" w:fill="auto"/>
            <w:noWrap/>
            <w:vAlign w:val="bottom"/>
            <w:hideMark/>
          </w:tcPr>
          <w:p w14:paraId="4FF8447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1.8%</w:t>
            </w:r>
          </w:p>
        </w:tc>
        <w:tc>
          <w:tcPr>
            <w:tcW w:w="709" w:type="dxa"/>
            <w:tcBorders>
              <w:top w:val="nil"/>
              <w:left w:val="nil"/>
              <w:bottom w:val="single" w:sz="4" w:space="0" w:color="auto"/>
              <w:right w:val="single" w:sz="4" w:space="0" w:color="auto"/>
            </w:tcBorders>
            <w:shd w:val="clear" w:color="auto" w:fill="auto"/>
            <w:noWrap/>
            <w:vAlign w:val="bottom"/>
            <w:hideMark/>
          </w:tcPr>
          <w:p w14:paraId="02683A5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18</w:t>
            </w:r>
          </w:p>
        </w:tc>
        <w:tc>
          <w:tcPr>
            <w:tcW w:w="1276" w:type="dxa"/>
            <w:tcBorders>
              <w:top w:val="nil"/>
              <w:left w:val="nil"/>
              <w:bottom w:val="single" w:sz="4" w:space="0" w:color="auto"/>
              <w:right w:val="single" w:sz="8" w:space="0" w:color="auto"/>
            </w:tcBorders>
            <w:shd w:val="clear" w:color="auto" w:fill="auto"/>
            <w:noWrap/>
            <w:vAlign w:val="bottom"/>
            <w:hideMark/>
          </w:tcPr>
          <w:p w14:paraId="7392E7A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1.5%</w:t>
            </w:r>
          </w:p>
        </w:tc>
      </w:tr>
      <w:tr w:rsidR="006B394A" w:rsidRPr="006D55DD" w14:paraId="22BDFD67"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2ADE6894"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315EC9B0"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Brain Malignancy with ocular involvement</w:t>
            </w:r>
          </w:p>
        </w:tc>
        <w:tc>
          <w:tcPr>
            <w:tcW w:w="992" w:type="dxa"/>
            <w:tcBorders>
              <w:top w:val="nil"/>
              <w:left w:val="nil"/>
              <w:bottom w:val="single" w:sz="4" w:space="0" w:color="auto"/>
              <w:right w:val="single" w:sz="4" w:space="0" w:color="auto"/>
            </w:tcBorders>
            <w:shd w:val="clear" w:color="auto" w:fill="auto"/>
            <w:noWrap/>
            <w:vAlign w:val="bottom"/>
            <w:hideMark/>
          </w:tcPr>
          <w:p w14:paraId="1C6C293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992" w:type="dxa"/>
            <w:tcBorders>
              <w:top w:val="nil"/>
              <w:left w:val="nil"/>
              <w:bottom w:val="single" w:sz="4" w:space="0" w:color="auto"/>
              <w:right w:val="dashed" w:sz="8" w:space="0" w:color="auto"/>
            </w:tcBorders>
            <w:shd w:val="clear" w:color="auto" w:fill="auto"/>
            <w:noWrap/>
            <w:vAlign w:val="bottom"/>
            <w:hideMark/>
          </w:tcPr>
          <w:p w14:paraId="7C754F3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2.0%</w:t>
            </w:r>
          </w:p>
        </w:tc>
        <w:tc>
          <w:tcPr>
            <w:tcW w:w="709" w:type="dxa"/>
            <w:tcBorders>
              <w:top w:val="nil"/>
              <w:left w:val="nil"/>
              <w:bottom w:val="single" w:sz="4" w:space="0" w:color="auto"/>
              <w:right w:val="single" w:sz="4" w:space="0" w:color="auto"/>
            </w:tcBorders>
            <w:shd w:val="clear" w:color="auto" w:fill="auto"/>
            <w:noWrap/>
            <w:vAlign w:val="bottom"/>
            <w:hideMark/>
          </w:tcPr>
          <w:p w14:paraId="3B6CA19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w:t>
            </w:r>
          </w:p>
        </w:tc>
        <w:tc>
          <w:tcPr>
            <w:tcW w:w="1134" w:type="dxa"/>
            <w:tcBorders>
              <w:top w:val="nil"/>
              <w:left w:val="nil"/>
              <w:bottom w:val="single" w:sz="4" w:space="0" w:color="auto"/>
              <w:right w:val="dashed" w:sz="8" w:space="0" w:color="auto"/>
            </w:tcBorders>
            <w:shd w:val="clear" w:color="auto" w:fill="auto"/>
            <w:noWrap/>
            <w:vAlign w:val="bottom"/>
            <w:hideMark/>
          </w:tcPr>
          <w:p w14:paraId="5180B32A"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0.2%</w:t>
            </w:r>
          </w:p>
        </w:tc>
        <w:tc>
          <w:tcPr>
            <w:tcW w:w="709" w:type="dxa"/>
            <w:tcBorders>
              <w:top w:val="nil"/>
              <w:left w:val="nil"/>
              <w:bottom w:val="single" w:sz="4" w:space="0" w:color="auto"/>
              <w:right w:val="single" w:sz="4" w:space="0" w:color="auto"/>
            </w:tcBorders>
            <w:shd w:val="clear" w:color="auto" w:fill="auto"/>
            <w:noWrap/>
            <w:vAlign w:val="bottom"/>
            <w:hideMark/>
          </w:tcPr>
          <w:p w14:paraId="516635C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w:t>
            </w:r>
          </w:p>
        </w:tc>
        <w:tc>
          <w:tcPr>
            <w:tcW w:w="1276" w:type="dxa"/>
            <w:tcBorders>
              <w:top w:val="nil"/>
              <w:left w:val="nil"/>
              <w:bottom w:val="single" w:sz="4" w:space="0" w:color="auto"/>
              <w:right w:val="single" w:sz="8" w:space="0" w:color="auto"/>
            </w:tcBorders>
            <w:shd w:val="clear" w:color="auto" w:fill="auto"/>
            <w:noWrap/>
            <w:vAlign w:val="bottom"/>
            <w:hideMark/>
          </w:tcPr>
          <w:p w14:paraId="59295C1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1.1%</w:t>
            </w:r>
          </w:p>
        </w:tc>
      </w:tr>
      <w:tr w:rsidR="006B394A" w:rsidRPr="006D55DD" w14:paraId="1E110519"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6DAF0A3E"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6F28E4B5"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Malignant tumours of the anterior segment of the eye</w:t>
            </w:r>
          </w:p>
        </w:tc>
        <w:tc>
          <w:tcPr>
            <w:tcW w:w="992" w:type="dxa"/>
            <w:tcBorders>
              <w:top w:val="nil"/>
              <w:left w:val="nil"/>
              <w:bottom w:val="single" w:sz="4" w:space="0" w:color="auto"/>
              <w:right w:val="single" w:sz="4" w:space="0" w:color="auto"/>
            </w:tcBorders>
            <w:shd w:val="clear" w:color="auto" w:fill="auto"/>
            <w:noWrap/>
            <w:vAlign w:val="bottom"/>
            <w:hideMark/>
          </w:tcPr>
          <w:p w14:paraId="0EDADB1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6</w:t>
            </w:r>
          </w:p>
        </w:tc>
        <w:tc>
          <w:tcPr>
            <w:tcW w:w="992" w:type="dxa"/>
            <w:tcBorders>
              <w:top w:val="nil"/>
              <w:left w:val="nil"/>
              <w:bottom w:val="single" w:sz="4" w:space="0" w:color="auto"/>
              <w:right w:val="dashed" w:sz="8" w:space="0" w:color="auto"/>
            </w:tcBorders>
            <w:shd w:val="clear" w:color="auto" w:fill="auto"/>
            <w:noWrap/>
            <w:vAlign w:val="bottom"/>
            <w:hideMark/>
          </w:tcPr>
          <w:p w14:paraId="7D137AA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14:paraId="6F56856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w:t>
            </w:r>
          </w:p>
        </w:tc>
        <w:tc>
          <w:tcPr>
            <w:tcW w:w="1134" w:type="dxa"/>
            <w:tcBorders>
              <w:top w:val="nil"/>
              <w:left w:val="nil"/>
              <w:bottom w:val="single" w:sz="4" w:space="0" w:color="auto"/>
              <w:right w:val="dashed" w:sz="8" w:space="0" w:color="auto"/>
            </w:tcBorders>
            <w:shd w:val="clear" w:color="auto" w:fill="auto"/>
            <w:noWrap/>
            <w:vAlign w:val="bottom"/>
            <w:hideMark/>
          </w:tcPr>
          <w:p w14:paraId="6548CE1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0.2%</w:t>
            </w:r>
          </w:p>
        </w:tc>
        <w:tc>
          <w:tcPr>
            <w:tcW w:w="709" w:type="dxa"/>
            <w:tcBorders>
              <w:top w:val="nil"/>
              <w:left w:val="nil"/>
              <w:bottom w:val="single" w:sz="4" w:space="0" w:color="auto"/>
              <w:right w:val="single" w:sz="4" w:space="0" w:color="auto"/>
            </w:tcBorders>
            <w:shd w:val="clear" w:color="auto" w:fill="auto"/>
            <w:noWrap/>
            <w:vAlign w:val="bottom"/>
            <w:hideMark/>
          </w:tcPr>
          <w:p w14:paraId="3517CE3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7</w:t>
            </w:r>
          </w:p>
        </w:tc>
        <w:tc>
          <w:tcPr>
            <w:tcW w:w="1276" w:type="dxa"/>
            <w:tcBorders>
              <w:top w:val="nil"/>
              <w:left w:val="nil"/>
              <w:bottom w:val="single" w:sz="4" w:space="0" w:color="auto"/>
              <w:right w:val="single" w:sz="8" w:space="0" w:color="auto"/>
            </w:tcBorders>
            <w:shd w:val="clear" w:color="auto" w:fill="auto"/>
            <w:noWrap/>
            <w:vAlign w:val="bottom"/>
            <w:hideMark/>
          </w:tcPr>
          <w:p w14:paraId="6D4F80E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0.6%</w:t>
            </w:r>
          </w:p>
        </w:tc>
      </w:tr>
      <w:tr w:rsidR="006B394A" w:rsidRPr="006D55DD" w14:paraId="1F8990D3"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0DFD4835"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dashed" w:sz="4" w:space="0" w:color="auto"/>
              <w:right w:val="dashed" w:sz="8" w:space="0" w:color="auto"/>
            </w:tcBorders>
            <w:shd w:val="clear" w:color="auto" w:fill="auto"/>
            <w:noWrap/>
            <w:vAlign w:val="bottom"/>
            <w:hideMark/>
          </w:tcPr>
          <w:p w14:paraId="48C7CE9A"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Retinoblastoma</w:t>
            </w:r>
          </w:p>
        </w:tc>
        <w:tc>
          <w:tcPr>
            <w:tcW w:w="992" w:type="dxa"/>
            <w:tcBorders>
              <w:top w:val="nil"/>
              <w:left w:val="nil"/>
              <w:bottom w:val="dashed" w:sz="4" w:space="0" w:color="auto"/>
              <w:right w:val="single" w:sz="4" w:space="0" w:color="auto"/>
            </w:tcBorders>
            <w:shd w:val="clear" w:color="auto" w:fill="auto"/>
            <w:noWrap/>
            <w:vAlign w:val="bottom"/>
            <w:hideMark/>
          </w:tcPr>
          <w:p w14:paraId="344DD06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w:t>
            </w:r>
          </w:p>
        </w:tc>
        <w:tc>
          <w:tcPr>
            <w:tcW w:w="992" w:type="dxa"/>
            <w:tcBorders>
              <w:top w:val="nil"/>
              <w:left w:val="nil"/>
              <w:bottom w:val="dashed" w:sz="4" w:space="0" w:color="auto"/>
              <w:right w:val="dashed" w:sz="8" w:space="0" w:color="auto"/>
            </w:tcBorders>
            <w:shd w:val="clear" w:color="auto" w:fill="auto"/>
            <w:noWrap/>
            <w:vAlign w:val="bottom"/>
            <w:hideMark/>
          </w:tcPr>
          <w:p w14:paraId="283FB1F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0.0%</w:t>
            </w:r>
          </w:p>
        </w:tc>
        <w:tc>
          <w:tcPr>
            <w:tcW w:w="709" w:type="dxa"/>
            <w:tcBorders>
              <w:top w:val="nil"/>
              <w:left w:val="nil"/>
              <w:bottom w:val="dashed" w:sz="4" w:space="0" w:color="auto"/>
              <w:right w:val="single" w:sz="4" w:space="0" w:color="auto"/>
            </w:tcBorders>
            <w:shd w:val="clear" w:color="auto" w:fill="auto"/>
            <w:noWrap/>
            <w:vAlign w:val="bottom"/>
            <w:hideMark/>
          </w:tcPr>
          <w:p w14:paraId="2E9B285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w:t>
            </w:r>
          </w:p>
        </w:tc>
        <w:tc>
          <w:tcPr>
            <w:tcW w:w="1134" w:type="dxa"/>
            <w:tcBorders>
              <w:top w:val="nil"/>
              <w:left w:val="nil"/>
              <w:bottom w:val="dashed" w:sz="4" w:space="0" w:color="auto"/>
              <w:right w:val="dashed" w:sz="8" w:space="0" w:color="auto"/>
            </w:tcBorders>
            <w:shd w:val="clear" w:color="auto" w:fill="auto"/>
            <w:noWrap/>
            <w:vAlign w:val="bottom"/>
            <w:hideMark/>
          </w:tcPr>
          <w:p w14:paraId="1166B89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0.0%</w:t>
            </w:r>
          </w:p>
        </w:tc>
        <w:tc>
          <w:tcPr>
            <w:tcW w:w="709" w:type="dxa"/>
            <w:tcBorders>
              <w:top w:val="nil"/>
              <w:left w:val="nil"/>
              <w:bottom w:val="dashed" w:sz="4" w:space="0" w:color="auto"/>
              <w:right w:val="single" w:sz="4" w:space="0" w:color="auto"/>
            </w:tcBorders>
            <w:shd w:val="clear" w:color="auto" w:fill="auto"/>
            <w:noWrap/>
            <w:vAlign w:val="bottom"/>
            <w:hideMark/>
          </w:tcPr>
          <w:p w14:paraId="2CC45ACA"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w:t>
            </w:r>
          </w:p>
        </w:tc>
        <w:tc>
          <w:tcPr>
            <w:tcW w:w="1276" w:type="dxa"/>
            <w:tcBorders>
              <w:top w:val="nil"/>
              <w:left w:val="nil"/>
              <w:bottom w:val="dashed" w:sz="4" w:space="0" w:color="auto"/>
              <w:right w:val="single" w:sz="8" w:space="0" w:color="auto"/>
            </w:tcBorders>
            <w:shd w:val="clear" w:color="auto" w:fill="auto"/>
            <w:noWrap/>
            <w:vAlign w:val="bottom"/>
            <w:hideMark/>
          </w:tcPr>
          <w:p w14:paraId="03DBBA5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0.0%</w:t>
            </w:r>
          </w:p>
        </w:tc>
      </w:tr>
      <w:tr w:rsidR="006B394A" w:rsidRPr="006D55DD" w14:paraId="66669A3C" w14:textId="77777777" w:rsidTr="00720687">
        <w:trPr>
          <w:trHeight w:val="315"/>
        </w:trPr>
        <w:tc>
          <w:tcPr>
            <w:tcW w:w="1841" w:type="dxa"/>
            <w:vMerge/>
            <w:tcBorders>
              <w:top w:val="nil"/>
              <w:left w:val="single" w:sz="4" w:space="0" w:color="auto"/>
              <w:bottom w:val="single" w:sz="8" w:space="0" w:color="000000"/>
              <w:right w:val="single" w:sz="4" w:space="0" w:color="auto"/>
            </w:tcBorders>
            <w:vAlign w:val="center"/>
            <w:hideMark/>
          </w:tcPr>
          <w:p w14:paraId="7B85BEF9"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8" w:space="0" w:color="auto"/>
              <w:right w:val="dashed" w:sz="8" w:space="0" w:color="auto"/>
            </w:tcBorders>
            <w:shd w:val="clear" w:color="auto" w:fill="auto"/>
            <w:noWrap/>
            <w:vAlign w:val="bottom"/>
            <w:hideMark/>
          </w:tcPr>
          <w:p w14:paraId="54FC4BDE"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Total Malignancies</w:t>
            </w:r>
          </w:p>
        </w:tc>
        <w:tc>
          <w:tcPr>
            <w:tcW w:w="992" w:type="dxa"/>
            <w:tcBorders>
              <w:top w:val="nil"/>
              <w:left w:val="nil"/>
              <w:bottom w:val="single" w:sz="8" w:space="0" w:color="auto"/>
              <w:right w:val="single" w:sz="4" w:space="0" w:color="auto"/>
            </w:tcBorders>
            <w:shd w:val="clear" w:color="auto" w:fill="auto"/>
            <w:noWrap/>
            <w:vAlign w:val="bottom"/>
            <w:hideMark/>
          </w:tcPr>
          <w:p w14:paraId="6DF775C3"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51</w:t>
            </w:r>
          </w:p>
        </w:tc>
        <w:tc>
          <w:tcPr>
            <w:tcW w:w="992" w:type="dxa"/>
            <w:tcBorders>
              <w:top w:val="nil"/>
              <w:left w:val="nil"/>
              <w:bottom w:val="single" w:sz="8" w:space="0" w:color="auto"/>
              <w:right w:val="dashed" w:sz="8" w:space="0" w:color="auto"/>
            </w:tcBorders>
            <w:shd w:val="clear" w:color="auto" w:fill="auto"/>
            <w:noWrap/>
            <w:vAlign w:val="bottom"/>
            <w:hideMark/>
          </w:tcPr>
          <w:p w14:paraId="496DAC2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8.5%</w:t>
            </w:r>
          </w:p>
        </w:tc>
        <w:tc>
          <w:tcPr>
            <w:tcW w:w="709" w:type="dxa"/>
            <w:tcBorders>
              <w:top w:val="nil"/>
              <w:left w:val="nil"/>
              <w:bottom w:val="single" w:sz="8" w:space="0" w:color="auto"/>
              <w:right w:val="single" w:sz="4" w:space="0" w:color="auto"/>
            </w:tcBorders>
            <w:shd w:val="clear" w:color="auto" w:fill="auto"/>
            <w:noWrap/>
            <w:vAlign w:val="bottom"/>
            <w:hideMark/>
          </w:tcPr>
          <w:p w14:paraId="0F7341B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48</w:t>
            </w:r>
          </w:p>
        </w:tc>
        <w:tc>
          <w:tcPr>
            <w:tcW w:w="1134" w:type="dxa"/>
            <w:tcBorders>
              <w:top w:val="nil"/>
              <w:left w:val="nil"/>
              <w:bottom w:val="single" w:sz="8" w:space="0" w:color="auto"/>
              <w:right w:val="dashed" w:sz="8" w:space="0" w:color="auto"/>
            </w:tcBorders>
            <w:shd w:val="clear" w:color="auto" w:fill="auto"/>
            <w:noWrap/>
            <w:vAlign w:val="bottom"/>
            <w:hideMark/>
          </w:tcPr>
          <w:p w14:paraId="53ADF87A"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8.0%</w:t>
            </w:r>
          </w:p>
        </w:tc>
        <w:tc>
          <w:tcPr>
            <w:tcW w:w="709" w:type="dxa"/>
            <w:tcBorders>
              <w:top w:val="nil"/>
              <w:left w:val="nil"/>
              <w:bottom w:val="single" w:sz="8" w:space="0" w:color="auto"/>
              <w:right w:val="single" w:sz="4" w:space="0" w:color="auto"/>
            </w:tcBorders>
            <w:shd w:val="clear" w:color="auto" w:fill="auto"/>
            <w:noWrap/>
            <w:vAlign w:val="bottom"/>
            <w:hideMark/>
          </w:tcPr>
          <w:p w14:paraId="54225415"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99</w:t>
            </w:r>
          </w:p>
        </w:tc>
        <w:tc>
          <w:tcPr>
            <w:tcW w:w="1276" w:type="dxa"/>
            <w:tcBorders>
              <w:top w:val="nil"/>
              <w:left w:val="nil"/>
              <w:bottom w:val="single" w:sz="8" w:space="0" w:color="auto"/>
              <w:right w:val="single" w:sz="8" w:space="0" w:color="auto"/>
            </w:tcBorders>
            <w:shd w:val="clear" w:color="auto" w:fill="auto"/>
            <w:noWrap/>
            <w:vAlign w:val="bottom"/>
            <w:hideMark/>
          </w:tcPr>
          <w:p w14:paraId="44009BD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8.3%</w:t>
            </w:r>
          </w:p>
        </w:tc>
      </w:tr>
      <w:tr w:rsidR="006B394A" w:rsidRPr="006D55DD" w14:paraId="5FACBE75" w14:textId="77777777" w:rsidTr="00720687">
        <w:trPr>
          <w:trHeight w:val="300"/>
        </w:trPr>
        <w:tc>
          <w:tcPr>
            <w:tcW w:w="184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937CC90"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Other</w:t>
            </w:r>
          </w:p>
        </w:tc>
        <w:tc>
          <w:tcPr>
            <w:tcW w:w="5245" w:type="dxa"/>
            <w:tcBorders>
              <w:top w:val="nil"/>
              <w:left w:val="nil"/>
              <w:bottom w:val="single" w:sz="4" w:space="0" w:color="auto"/>
              <w:right w:val="dashed" w:sz="8" w:space="0" w:color="auto"/>
            </w:tcBorders>
            <w:shd w:val="clear" w:color="auto" w:fill="auto"/>
            <w:noWrap/>
            <w:vAlign w:val="bottom"/>
            <w:hideMark/>
          </w:tcPr>
          <w:p w14:paraId="3CAF5ED8"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Idiopathic Diseases</w:t>
            </w:r>
          </w:p>
        </w:tc>
        <w:tc>
          <w:tcPr>
            <w:tcW w:w="992" w:type="dxa"/>
            <w:tcBorders>
              <w:top w:val="nil"/>
              <w:left w:val="nil"/>
              <w:bottom w:val="single" w:sz="4" w:space="0" w:color="auto"/>
              <w:right w:val="single" w:sz="4" w:space="0" w:color="auto"/>
            </w:tcBorders>
            <w:shd w:val="clear" w:color="auto" w:fill="auto"/>
            <w:noWrap/>
            <w:vAlign w:val="bottom"/>
            <w:hideMark/>
          </w:tcPr>
          <w:p w14:paraId="2ED6569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35</w:t>
            </w:r>
          </w:p>
        </w:tc>
        <w:tc>
          <w:tcPr>
            <w:tcW w:w="992" w:type="dxa"/>
            <w:tcBorders>
              <w:top w:val="nil"/>
              <w:left w:val="nil"/>
              <w:bottom w:val="single" w:sz="4" w:space="0" w:color="auto"/>
              <w:right w:val="dashed" w:sz="8" w:space="0" w:color="auto"/>
            </w:tcBorders>
            <w:shd w:val="clear" w:color="auto" w:fill="auto"/>
            <w:noWrap/>
            <w:vAlign w:val="bottom"/>
            <w:hideMark/>
          </w:tcPr>
          <w:p w14:paraId="6FC4BBB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5.8%</w:t>
            </w:r>
          </w:p>
        </w:tc>
        <w:tc>
          <w:tcPr>
            <w:tcW w:w="709" w:type="dxa"/>
            <w:tcBorders>
              <w:top w:val="nil"/>
              <w:left w:val="nil"/>
              <w:bottom w:val="single" w:sz="4" w:space="0" w:color="auto"/>
              <w:right w:val="single" w:sz="4" w:space="0" w:color="auto"/>
            </w:tcBorders>
            <w:shd w:val="clear" w:color="auto" w:fill="auto"/>
            <w:noWrap/>
            <w:vAlign w:val="bottom"/>
            <w:hideMark/>
          </w:tcPr>
          <w:p w14:paraId="6961512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w:t>
            </w:r>
          </w:p>
        </w:tc>
        <w:tc>
          <w:tcPr>
            <w:tcW w:w="1134" w:type="dxa"/>
            <w:tcBorders>
              <w:top w:val="nil"/>
              <w:left w:val="nil"/>
              <w:bottom w:val="single" w:sz="4" w:space="0" w:color="auto"/>
              <w:right w:val="dashed" w:sz="8" w:space="0" w:color="auto"/>
            </w:tcBorders>
            <w:shd w:val="clear" w:color="auto" w:fill="auto"/>
            <w:noWrap/>
            <w:vAlign w:val="bottom"/>
            <w:hideMark/>
          </w:tcPr>
          <w:p w14:paraId="5573866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1.3%</w:t>
            </w:r>
          </w:p>
        </w:tc>
        <w:tc>
          <w:tcPr>
            <w:tcW w:w="709" w:type="dxa"/>
            <w:tcBorders>
              <w:top w:val="nil"/>
              <w:left w:val="nil"/>
              <w:bottom w:val="single" w:sz="4" w:space="0" w:color="auto"/>
              <w:right w:val="single" w:sz="4" w:space="0" w:color="auto"/>
            </w:tcBorders>
            <w:shd w:val="clear" w:color="auto" w:fill="auto"/>
            <w:noWrap/>
            <w:vAlign w:val="bottom"/>
            <w:hideMark/>
          </w:tcPr>
          <w:p w14:paraId="4BF82EEE"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43</w:t>
            </w:r>
          </w:p>
        </w:tc>
        <w:tc>
          <w:tcPr>
            <w:tcW w:w="1276" w:type="dxa"/>
            <w:tcBorders>
              <w:top w:val="nil"/>
              <w:left w:val="nil"/>
              <w:bottom w:val="single" w:sz="4" w:space="0" w:color="auto"/>
              <w:right w:val="single" w:sz="8" w:space="0" w:color="auto"/>
            </w:tcBorders>
            <w:shd w:val="clear" w:color="auto" w:fill="auto"/>
            <w:noWrap/>
            <w:vAlign w:val="bottom"/>
            <w:hideMark/>
          </w:tcPr>
          <w:p w14:paraId="0B2D309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3.6%</w:t>
            </w:r>
          </w:p>
        </w:tc>
      </w:tr>
      <w:tr w:rsidR="006B394A" w:rsidRPr="006D55DD" w14:paraId="664FD50B"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0113668C"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6051CCBE"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Previous organ or tissue transplant</w:t>
            </w:r>
          </w:p>
        </w:tc>
        <w:tc>
          <w:tcPr>
            <w:tcW w:w="992" w:type="dxa"/>
            <w:tcBorders>
              <w:top w:val="nil"/>
              <w:left w:val="nil"/>
              <w:bottom w:val="single" w:sz="4" w:space="0" w:color="auto"/>
              <w:right w:val="single" w:sz="4" w:space="0" w:color="auto"/>
            </w:tcBorders>
            <w:shd w:val="clear" w:color="auto" w:fill="auto"/>
            <w:noWrap/>
            <w:vAlign w:val="bottom"/>
            <w:hideMark/>
          </w:tcPr>
          <w:p w14:paraId="3D28849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992" w:type="dxa"/>
            <w:tcBorders>
              <w:top w:val="nil"/>
              <w:left w:val="nil"/>
              <w:bottom w:val="single" w:sz="4" w:space="0" w:color="auto"/>
              <w:right w:val="dashed" w:sz="8" w:space="0" w:color="auto"/>
            </w:tcBorders>
            <w:shd w:val="clear" w:color="auto" w:fill="auto"/>
            <w:noWrap/>
            <w:vAlign w:val="bottom"/>
            <w:hideMark/>
          </w:tcPr>
          <w:p w14:paraId="56738BEA"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2.0%</w:t>
            </w:r>
          </w:p>
        </w:tc>
        <w:tc>
          <w:tcPr>
            <w:tcW w:w="709" w:type="dxa"/>
            <w:tcBorders>
              <w:top w:val="nil"/>
              <w:left w:val="nil"/>
              <w:bottom w:val="single" w:sz="4" w:space="0" w:color="auto"/>
              <w:right w:val="single" w:sz="4" w:space="0" w:color="auto"/>
            </w:tcBorders>
            <w:shd w:val="clear" w:color="auto" w:fill="auto"/>
            <w:noWrap/>
            <w:vAlign w:val="bottom"/>
            <w:hideMark/>
          </w:tcPr>
          <w:p w14:paraId="29CB81E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7</w:t>
            </w:r>
          </w:p>
        </w:tc>
        <w:tc>
          <w:tcPr>
            <w:tcW w:w="1134" w:type="dxa"/>
            <w:tcBorders>
              <w:top w:val="nil"/>
              <w:left w:val="nil"/>
              <w:bottom w:val="single" w:sz="4" w:space="0" w:color="auto"/>
              <w:right w:val="dashed" w:sz="8" w:space="0" w:color="auto"/>
            </w:tcBorders>
            <w:shd w:val="clear" w:color="auto" w:fill="auto"/>
            <w:noWrap/>
            <w:vAlign w:val="bottom"/>
            <w:hideMark/>
          </w:tcPr>
          <w:p w14:paraId="7F4331FD"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709" w:type="dxa"/>
            <w:tcBorders>
              <w:top w:val="nil"/>
              <w:left w:val="nil"/>
              <w:bottom w:val="single" w:sz="4" w:space="0" w:color="auto"/>
              <w:right w:val="single" w:sz="4" w:space="0" w:color="auto"/>
            </w:tcBorders>
            <w:shd w:val="clear" w:color="auto" w:fill="auto"/>
            <w:noWrap/>
            <w:vAlign w:val="bottom"/>
            <w:hideMark/>
          </w:tcPr>
          <w:p w14:paraId="4FE1A42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19</w:t>
            </w:r>
          </w:p>
        </w:tc>
        <w:tc>
          <w:tcPr>
            <w:tcW w:w="1276" w:type="dxa"/>
            <w:tcBorders>
              <w:top w:val="nil"/>
              <w:left w:val="nil"/>
              <w:bottom w:val="single" w:sz="4" w:space="0" w:color="auto"/>
              <w:right w:val="single" w:sz="8" w:space="0" w:color="auto"/>
            </w:tcBorders>
            <w:shd w:val="clear" w:color="auto" w:fill="auto"/>
            <w:noWrap/>
            <w:vAlign w:val="bottom"/>
            <w:hideMark/>
          </w:tcPr>
          <w:p w14:paraId="1E63661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1.6%</w:t>
            </w:r>
          </w:p>
        </w:tc>
      </w:tr>
      <w:tr w:rsidR="006B394A" w:rsidRPr="006D55DD" w14:paraId="17D7B64A"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1FAD07A6" w14:textId="77777777" w:rsidR="006B394A" w:rsidRPr="006D55DD" w:rsidRDefault="006B394A" w:rsidP="00720687">
            <w:pPr>
              <w:spacing w:after="0"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4C0B406C"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Vasculitis</w:t>
            </w:r>
          </w:p>
        </w:tc>
        <w:tc>
          <w:tcPr>
            <w:tcW w:w="992" w:type="dxa"/>
            <w:tcBorders>
              <w:top w:val="nil"/>
              <w:left w:val="nil"/>
              <w:bottom w:val="single" w:sz="4" w:space="0" w:color="auto"/>
              <w:right w:val="single" w:sz="4" w:space="0" w:color="auto"/>
            </w:tcBorders>
            <w:shd w:val="clear" w:color="auto" w:fill="auto"/>
            <w:noWrap/>
            <w:vAlign w:val="bottom"/>
            <w:hideMark/>
          </w:tcPr>
          <w:p w14:paraId="66B3564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w:t>
            </w:r>
          </w:p>
        </w:tc>
        <w:tc>
          <w:tcPr>
            <w:tcW w:w="992" w:type="dxa"/>
            <w:tcBorders>
              <w:top w:val="nil"/>
              <w:left w:val="nil"/>
              <w:bottom w:val="single" w:sz="4" w:space="0" w:color="auto"/>
              <w:right w:val="dashed" w:sz="8" w:space="0" w:color="auto"/>
            </w:tcBorders>
            <w:shd w:val="clear" w:color="auto" w:fill="auto"/>
            <w:noWrap/>
            <w:vAlign w:val="bottom"/>
            <w:hideMark/>
          </w:tcPr>
          <w:p w14:paraId="090118D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0.3%</w:t>
            </w:r>
          </w:p>
        </w:tc>
        <w:tc>
          <w:tcPr>
            <w:tcW w:w="709" w:type="dxa"/>
            <w:tcBorders>
              <w:top w:val="nil"/>
              <w:left w:val="nil"/>
              <w:bottom w:val="single" w:sz="4" w:space="0" w:color="auto"/>
              <w:right w:val="single" w:sz="4" w:space="0" w:color="auto"/>
            </w:tcBorders>
            <w:shd w:val="clear" w:color="auto" w:fill="auto"/>
            <w:noWrap/>
            <w:vAlign w:val="bottom"/>
            <w:hideMark/>
          </w:tcPr>
          <w:p w14:paraId="0A21C08D"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c>
          <w:tcPr>
            <w:tcW w:w="1134" w:type="dxa"/>
            <w:tcBorders>
              <w:top w:val="nil"/>
              <w:left w:val="nil"/>
              <w:bottom w:val="single" w:sz="4" w:space="0" w:color="auto"/>
              <w:right w:val="dashed" w:sz="8" w:space="0" w:color="auto"/>
            </w:tcBorders>
            <w:shd w:val="clear" w:color="auto" w:fill="auto"/>
            <w:noWrap/>
            <w:vAlign w:val="bottom"/>
            <w:hideMark/>
          </w:tcPr>
          <w:p w14:paraId="4BE4A4A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2.0%</w:t>
            </w:r>
          </w:p>
        </w:tc>
        <w:tc>
          <w:tcPr>
            <w:tcW w:w="709" w:type="dxa"/>
            <w:tcBorders>
              <w:top w:val="nil"/>
              <w:left w:val="nil"/>
              <w:bottom w:val="single" w:sz="4" w:space="0" w:color="auto"/>
              <w:right w:val="single" w:sz="4" w:space="0" w:color="auto"/>
            </w:tcBorders>
            <w:shd w:val="clear" w:color="auto" w:fill="auto"/>
            <w:noWrap/>
            <w:vAlign w:val="bottom"/>
            <w:hideMark/>
          </w:tcPr>
          <w:p w14:paraId="1D8DAD2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14</w:t>
            </w:r>
          </w:p>
        </w:tc>
        <w:tc>
          <w:tcPr>
            <w:tcW w:w="1276" w:type="dxa"/>
            <w:tcBorders>
              <w:top w:val="nil"/>
              <w:left w:val="nil"/>
              <w:bottom w:val="single" w:sz="4" w:space="0" w:color="auto"/>
              <w:right w:val="single" w:sz="8" w:space="0" w:color="auto"/>
            </w:tcBorders>
            <w:shd w:val="clear" w:color="auto" w:fill="auto"/>
            <w:noWrap/>
            <w:vAlign w:val="bottom"/>
            <w:hideMark/>
          </w:tcPr>
          <w:p w14:paraId="5F388F2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1.2%</w:t>
            </w:r>
          </w:p>
        </w:tc>
      </w:tr>
      <w:tr w:rsidR="006B394A" w:rsidRPr="006D55DD" w14:paraId="79FF53FE"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4978EB6E" w14:textId="77777777" w:rsidR="006B394A" w:rsidRPr="006D55DD" w:rsidRDefault="006B394A" w:rsidP="00720687">
            <w:pPr>
              <w:spacing w:before="100" w:beforeAutospacing="1" w:after="0" w:afterAutospacing="1" w:line="240" w:lineRule="auto"/>
              <w:rPr>
                <w:rFonts w:eastAsia="Times New Roman" w:cstheme="minorHAnsi"/>
                <w:i/>
                <w:iCs/>
                <w:color w:val="000000"/>
                <w:sz w:val="20"/>
                <w:szCs w:val="20"/>
                <w:lang w:eastAsia="en-GB"/>
              </w:rPr>
            </w:pPr>
          </w:p>
        </w:tc>
        <w:tc>
          <w:tcPr>
            <w:tcW w:w="5245" w:type="dxa"/>
            <w:tcBorders>
              <w:top w:val="nil"/>
              <w:left w:val="nil"/>
              <w:bottom w:val="single" w:sz="4" w:space="0" w:color="auto"/>
              <w:right w:val="dashed" w:sz="8" w:space="0" w:color="auto"/>
            </w:tcBorders>
            <w:shd w:val="clear" w:color="auto" w:fill="auto"/>
            <w:noWrap/>
            <w:vAlign w:val="bottom"/>
            <w:hideMark/>
          </w:tcPr>
          <w:p w14:paraId="3EECBDCB"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Any recorded IV drug use </w:t>
            </w:r>
          </w:p>
        </w:tc>
        <w:tc>
          <w:tcPr>
            <w:tcW w:w="992" w:type="dxa"/>
            <w:tcBorders>
              <w:top w:val="nil"/>
              <w:left w:val="nil"/>
              <w:bottom w:val="single" w:sz="4" w:space="0" w:color="auto"/>
              <w:right w:val="single" w:sz="4" w:space="0" w:color="auto"/>
            </w:tcBorders>
            <w:shd w:val="clear" w:color="auto" w:fill="auto"/>
            <w:noWrap/>
            <w:vAlign w:val="bottom"/>
            <w:hideMark/>
          </w:tcPr>
          <w:p w14:paraId="1B39DEA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5</w:t>
            </w:r>
          </w:p>
        </w:tc>
        <w:tc>
          <w:tcPr>
            <w:tcW w:w="992" w:type="dxa"/>
            <w:tcBorders>
              <w:top w:val="nil"/>
              <w:left w:val="nil"/>
              <w:bottom w:val="single" w:sz="4" w:space="0" w:color="auto"/>
              <w:right w:val="dashed" w:sz="8" w:space="0" w:color="auto"/>
            </w:tcBorders>
            <w:shd w:val="clear" w:color="auto" w:fill="auto"/>
            <w:noWrap/>
            <w:vAlign w:val="bottom"/>
            <w:hideMark/>
          </w:tcPr>
          <w:p w14:paraId="161E7DB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0.8%</w:t>
            </w:r>
          </w:p>
        </w:tc>
        <w:tc>
          <w:tcPr>
            <w:tcW w:w="709" w:type="dxa"/>
            <w:tcBorders>
              <w:top w:val="nil"/>
              <w:left w:val="nil"/>
              <w:bottom w:val="single" w:sz="4" w:space="0" w:color="auto"/>
              <w:right w:val="single" w:sz="4" w:space="0" w:color="auto"/>
            </w:tcBorders>
            <w:shd w:val="clear" w:color="auto" w:fill="auto"/>
            <w:noWrap/>
            <w:vAlign w:val="bottom"/>
            <w:hideMark/>
          </w:tcPr>
          <w:p w14:paraId="2AC983F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w:t>
            </w:r>
          </w:p>
        </w:tc>
        <w:tc>
          <w:tcPr>
            <w:tcW w:w="1134" w:type="dxa"/>
            <w:tcBorders>
              <w:top w:val="nil"/>
              <w:left w:val="nil"/>
              <w:bottom w:val="single" w:sz="4" w:space="0" w:color="auto"/>
              <w:right w:val="dashed" w:sz="8" w:space="0" w:color="auto"/>
            </w:tcBorders>
            <w:shd w:val="clear" w:color="auto" w:fill="auto"/>
            <w:noWrap/>
            <w:vAlign w:val="bottom"/>
            <w:hideMark/>
          </w:tcPr>
          <w:p w14:paraId="0FD7595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0.5%</w:t>
            </w:r>
          </w:p>
        </w:tc>
        <w:tc>
          <w:tcPr>
            <w:tcW w:w="709" w:type="dxa"/>
            <w:tcBorders>
              <w:top w:val="nil"/>
              <w:left w:val="nil"/>
              <w:bottom w:val="single" w:sz="4" w:space="0" w:color="auto"/>
              <w:right w:val="single" w:sz="4" w:space="0" w:color="auto"/>
            </w:tcBorders>
            <w:shd w:val="clear" w:color="auto" w:fill="auto"/>
            <w:noWrap/>
            <w:vAlign w:val="bottom"/>
            <w:hideMark/>
          </w:tcPr>
          <w:p w14:paraId="538B3F90"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8</w:t>
            </w:r>
          </w:p>
        </w:tc>
        <w:tc>
          <w:tcPr>
            <w:tcW w:w="1276" w:type="dxa"/>
            <w:tcBorders>
              <w:top w:val="nil"/>
              <w:left w:val="nil"/>
              <w:bottom w:val="single" w:sz="4" w:space="0" w:color="auto"/>
              <w:right w:val="single" w:sz="8" w:space="0" w:color="auto"/>
            </w:tcBorders>
            <w:shd w:val="clear" w:color="auto" w:fill="auto"/>
            <w:noWrap/>
            <w:vAlign w:val="bottom"/>
            <w:hideMark/>
          </w:tcPr>
          <w:p w14:paraId="201252CD"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0.7%</w:t>
            </w:r>
          </w:p>
        </w:tc>
      </w:tr>
      <w:tr w:rsidR="006B394A" w:rsidRPr="006D55DD" w14:paraId="20D5ABA2"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53462917" w14:textId="77777777" w:rsidR="006B394A" w:rsidRPr="006D55DD" w:rsidRDefault="006B394A" w:rsidP="00720687">
            <w:pPr>
              <w:spacing w:before="100" w:beforeAutospacing="1" w:after="0" w:afterAutospacing="1" w:line="240" w:lineRule="auto"/>
              <w:rPr>
                <w:rFonts w:eastAsia="Times New Roman" w:cstheme="minorHAnsi"/>
                <w:i/>
                <w:iCs/>
                <w:color w:val="000000"/>
                <w:sz w:val="20"/>
                <w:szCs w:val="20"/>
                <w:lang w:eastAsia="en-GB"/>
              </w:rPr>
            </w:pPr>
          </w:p>
        </w:tc>
        <w:tc>
          <w:tcPr>
            <w:tcW w:w="5245" w:type="dxa"/>
            <w:tcBorders>
              <w:top w:val="nil"/>
              <w:left w:val="nil"/>
              <w:bottom w:val="dashed" w:sz="4" w:space="0" w:color="auto"/>
              <w:right w:val="dashed" w:sz="8" w:space="0" w:color="auto"/>
            </w:tcBorders>
            <w:shd w:val="clear" w:color="auto" w:fill="auto"/>
            <w:noWrap/>
            <w:vAlign w:val="bottom"/>
            <w:hideMark/>
          </w:tcPr>
          <w:p w14:paraId="45A32DE6"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 xml:space="preserve">Any recorded IVF treatment </w:t>
            </w:r>
          </w:p>
        </w:tc>
        <w:tc>
          <w:tcPr>
            <w:tcW w:w="992" w:type="dxa"/>
            <w:tcBorders>
              <w:top w:val="nil"/>
              <w:left w:val="nil"/>
              <w:bottom w:val="dashed" w:sz="4" w:space="0" w:color="auto"/>
              <w:right w:val="single" w:sz="4" w:space="0" w:color="auto"/>
            </w:tcBorders>
            <w:shd w:val="clear" w:color="auto" w:fill="auto"/>
            <w:noWrap/>
            <w:vAlign w:val="bottom"/>
            <w:hideMark/>
          </w:tcPr>
          <w:p w14:paraId="2024A287"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w:t>
            </w:r>
          </w:p>
        </w:tc>
        <w:tc>
          <w:tcPr>
            <w:tcW w:w="992" w:type="dxa"/>
            <w:tcBorders>
              <w:top w:val="nil"/>
              <w:left w:val="nil"/>
              <w:bottom w:val="dashed" w:sz="4" w:space="0" w:color="auto"/>
              <w:right w:val="dashed" w:sz="8" w:space="0" w:color="auto"/>
            </w:tcBorders>
            <w:shd w:val="clear" w:color="auto" w:fill="auto"/>
            <w:noWrap/>
            <w:vAlign w:val="bottom"/>
            <w:hideMark/>
          </w:tcPr>
          <w:p w14:paraId="387BE3F1"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0.3%</w:t>
            </w:r>
          </w:p>
        </w:tc>
        <w:tc>
          <w:tcPr>
            <w:tcW w:w="709" w:type="dxa"/>
            <w:tcBorders>
              <w:top w:val="nil"/>
              <w:left w:val="nil"/>
              <w:bottom w:val="dashed" w:sz="4" w:space="0" w:color="auto"/>
              <w:right w:val="single" w:sz="4" w:space="0" w:color="auto"/>
            </w:tcBorders>
            <w:shd w:val="clear" w:color="auto" w:fill="auto"/>
            <w:noWrap/>
            <w:vAlign w:val="bottom"/>
            <w:hideMark/>
          </w:tcPr>
          <w:p w14:paraId="03E478A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w:t>
            </w:r>
          </w:p>
        </w:tc>
        <w:tc>
          <w:tcPr>
            <w:tcW w:w="1134" w:type="dxa"/>
            <w:tcBorders>
              <w:top w:val="nil"/>
              <w:left w:val="nil"/>
              <w:bottom w:val="dashed" w:sz="4" w:space="0" w:color="auto"/>
              <w:right w:val="dashed" w:sz="8" w:space="0" w:color="auto"/>
            </w:tcBorders>
            <w:shd w:val="clear" w:color="auto" w:fill="auto"/>
            <w:noWrap/>
            <w:vAlign w:val="bottom"/>
            <w:hideMark/>
          </w:tcPr>
          <w:p w14:paraId="6EF5924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0.0%</w:t>
            </w:r>
          </w:p>
        </w:tc>
        <w:tc>
          <w:tcPr>
            <w:tcW w:w="709" w:type="dxa"/>
            <w:tcBorders>
              <w:top w:val="nil"/>
              <w:left w:val="nil"/>
              <w:bottom w:val="dashed" w:sz="4" w:space="0" w:color="auto"/>
              <w:right w:val="single" w:sz="4" w:space="0" w:color="auto"/>
            </w:tcBorders>
            <w:shd w:val="clear" w:color="auto" w:fill="auto"/>
            <w:noWrap/>
            <w:vAlign w:val="bottom"/>
            <w:hideMark/>
          </w:tcPr>
          <w:p w14:paraId="5DF9B869"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2</w:t>
            </w:r>
          </w:p>
        </w:tc>
        <w:tc>
          <w:tcPr>
            <w:tcW w:w="1276" w:type="dxa"/>
            <w:tcBorders>
              <w:top w:val="nil"/>
              <w:left w:val="nil"/>
              <w:bottom w:val="dashed" w:sz="4" w:space="0" w:color="auto"/>
              <w:right w:val="single" w:sz="8" w:space="0" w:color="auto"/>
            </w:tcBorders>
            <w:shd w:val="clear" w:color="auto" w:fill="auto"/>
            <w:noWrap/>
            <w:vAlign w:val="bottom"/>
            <w:hideMark/>
          </w:tcPr>
          <w:p w14:paraId="50246F7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0.2%</w:t>
            </w:r>
          </w:p>
        </w:tc>
      </w:tr>
      <w:tr w:rsidR="006B394A" w:rsidRPr="006D55DD" w14:paraId="519D8F51" w14:textId="77777777" w:rsidTr="00720687">
        <w:trPr>
          <w:trHeight w:val="315"/>
        </w:trPr>
        <w:tc>
          <w:tcPr>
            <w:tcW w:w="1841" w:type="dxa"/>
            <w:vMerge/>
            <w:tcBorders>
              <w:top w:val="nil"/>
              <w:left w:val="single" w:sz="4" w:space="0" w:color="auto"/>
              <w:bottom w:val="single" w:sz="8" w:space="0" w:color="000000"/>
              <w:right w:val="single" w:sz="4" w:space="0" w:color="auto"/>
            </w:tcBorders>
            <w:vAlign w:val="center"/>
            <w:hideMark/>
          </w:tcPr>
          <w:p w14:paraId="4026398C" w14:textId="77777777" w:rsidR="006B394A" w:rsidRPr="006D55DD" w:rsidRDefault="006B394A" w:rsidP="00720687">
            <w:pPr>
              <w:spacing w:before="100" w:beforeAutospacing="1" w:after="0" w:afterAutospacing="1" w:line="240" w:lineRule="auto"/>
              <w:rPr>
                <w:rFonts w:eastAsia="Times New Roman" w:cstheme="minorHAnsi"/>
                <w:i/>
                <w:iCs/>
                <w:color w:val="000000"/>
                <w:sz w:val="20"/>
                <w:szCs w:val="20"/>
                <w:lang w:eastAsia="en-GB"/>
              </w:rPr>
            </w:pPr>
          </w:p>
        </w:tc>
        <w:tc>
          <w:tcPr>
            <w:tcW w:w="5245" w:type="dxa"/>
            <w:tcBorders>
              <w:top w:val="nil"/>
              <w:left w:val="nil"/>
              <w:bottom w:val="single" w:sz="8" w:space="0" w:color="auto"/>
              <w:right w:val="dashed" w:sz="8" w:space="0" w:color="auto"/>
            </w:tcBorders>
            <w:shd w:val="clear" w:color="auto" w:fill="auto"/>
            <w:noWrap/>
            <w:vAlign w:val="bottom"/>
            <w:hideMark/>
          </w:tcPr>
          <w:p w14:paraId="157A8595"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Total Other</w:t>
            </w:r>
          </w:p>
        </w:tc>
        <w:tc>
          <w:tcPr>
            <w:tcW w:w="992" w:type="dxa"/>
            <w:tcBorders>
              <w:top w:val="nil"/>
              <w:left w:val="nil"/>
              <w:bottom w:val="single" w:sz="8" w:space="0" w:color="auto"/>
              <w:right w:val="single" w:sz="4" w:space="0" w:color="auto"/>
            </w:tcBorders>
            <w:shd w:val="clear" w:color="auto" w:fill="auto"/>
            <w:noWrap/>
            <w:vAlign w:val="bottom"/>
            <w:hideMark/>
          </w:tcPr>
          <w:p w14:paraId="186350D1"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56</w:t>
            </w:r>
          </w:p>
        </w:tc>
        <w:tc>
          <w:tcPr>
            <w:tcW w:w="992" w:type="dxa"/>
            <w:tcBorders>
              <w:top w:val="nil"/>
              <w:left w:val="nil"/>
              <w:bottom w:val="single" w:sz="8" w:space="0" w:color="auto"/>
              <w:right w:val="dashed" w:sz="8" w:space="0" w:color="auto"/>
            </w:tcBorders>
            <w:shd w:val="clear" w:color="auto" w:fill="auto"/>
            <w:noWrap/>
            <w:vAlign w:val="bottom"/>
            <w:hideMark/>
          </w:tcPr>
          <w:p w14:paraId="3520116E"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9.3%</w:t>
            </w:r>
          </w:p>
        </w:tc>
        <w:tc>
          <w:tcPr>
            <w:tcW w:w="709" w:type="dxa"/>
            <w:tcBorders>
              <w:top w:val="nil"/>
              <w:left w:val="nil"/>
              <w:bottom w:val="single" w:sz="8" w:space="0" w:color="auto"/>
              <w:right w:val="single" w:sz="4" w:space="0" w:color="auto"/>
            </w:tcBorders>
            <w:shd w:val="clear" w:color="auto" w:fill="auto"/>
            <w:noWrap/>
            <w:vAlign w:val="bottom"/>
            <w:hideMark/>
          </w:tcPr>
          <w:p w14:paraId="2A4988F2"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30</w:t>
            </w:r>
          </w:p>
        </w:tc>
        <w:tc>
          <w:tcPr>
            <w:tcW w:w="1134" w:type="dxa"/>
            <w:tcBorders>
              <w:top w:val="nil"/>
              <w:left w:val="nil"/>
              <w:bottom w:val="single" w:sz="8" w:space="0" w:color="auto"/>
              <w:right w:val="dashed" w:sz="8" w:space="0" w:color="auto"/>
            </w:tcBorders>
            <w:shd w:val="clear" w:color="auto" w:fill="auto"/>
            <w:noWrap/>
            <w:vAlign w:val="bottom"/>
            <w:hideMark/>
          </w:tcPr>
          <w:p w14:paraId="6217798A"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5.0%</w:t>
            </w:r>
          </w:p>
        </w:tc>
        <w:tc>
          <w:tcPr>
            <w:tcW w:w="709" w:type="dxa"/>
            <w:tcBorders>
              <w:top w:val="nil"/>
              <w:left w:val="nil"/>
              <w:bottom w:val="single" w:sz="8" w:space="0" w:color="auto"/>
              <w:right w:val="single" w:sz="4" w:space="0" w:color="auto"/>
            </w:tcBorders>
            <w:shd w:val="clear" w:color="auto" w:fill="auto"/>
            <w:noWrap/>
            <w:vAlign w:val="bottom"/>
            <w:hideMark/>
          </w:tcPr>
          <w:p w14:paraId="399E83DE"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86</w:t>
            </w:r>
          </w:p>
        </w:tc>
        <w:tc>
          <w:tcPr>
            <w:tcW w:w="1276" w:type="dxa"/>
            <w:tcBorders>
              <w:top w:val="nil"/>
              <w:left w:val="nil"/>
              <w:bottom w:val="single" w:sz="8" w:space="0" w:color="auto"/>
              <w:right w:val="single" w:sz="8" w:space="0" w:color="auto"/>
            </w:tcBorders>
            <w:shd w:val="clear" w:color="auto" w:fill="auto"/>
            <w:noWrap/>
            <w:vAlign w:val="bottom"/>
            <w:hideMark/>
          </w:tcPr>
          <w:p w14:paraId="1135A23C"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7.2%</w:t>
            </w:r>
          </w:p>
        </w:tc>
      </w:tr>
      <w:tr w:rsidR="006B394A" w:rsidRPr="006D55DD" w14:paraId="299C0788" w14:textId="77777777" w:rsidTr="00720687">
        <w:trPr>
          <w:trHeight w:val="300"/>
        </w:trPr>
        <w:tc>
          <w:tcPr>
            <w:tcW w:w="184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490071F" w14:textId="77777777" w:rsidR="006B394A" w:rsidRPr="006D55DD" w:rsidRDefault="006B394A" w:rsidP="00720687">
            <w:pPr>
              <w:spacing w:before="100" w:beforeAutospacing="1" w:after="0" w:afterAutospacing="1"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Infections</w:t>
            </w:r>
          </w:p>
        </w:tc>
        <w:tc>
          <w:tcPr>
            <w:tcW w:w="5245" w:type="dxa"/>
            <w:tcBorders>
              <w:top w:val="nil"/>
              <w:left w:val="nil"/>
              <w:bottom w:val="single" w:sz="4" w:space="0" w:color="auto"/>
              <w:right w:val="dashed" w:sz="8" w:space="0" w:color="auto"/>
            </w:tcBorders>
            <w:shd w:val="clear" w:color="auto" w:fill="auto"/>
            <w:noWrap/>
            <w:vAlign w:val="bottom"/>
            <w:hideMark/>
          </w:tcPr>
          <w:p w14:paraId="446DEAEE"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Chronic viral hepatitis</w:t>
            </w:r>
          </w:p>
        </w:tc>
        <w:tc>
          <w:tcPr>
            <w:tcW w:w="992" w:type="dxa"/>
            <w:tcBorders>
              <w:top w:val="nil"/>
              <w:left w:val="nil"/>
              <w:bottom w:val="single" w:sz="4" w:space="0" w:color="auto"/>
              <w:right w:val="single" w:sz="4" w:space="0" w:color="auto"/>
            </w:tcBorders>
            <w:shd w:val="clear" w:color="auto" w:fill="auto"/>
            <w:noWrap/>
            <w:vAlign w:val="bottom"/>
            <w:hideMark/>
          </w:tcPr>
          <w:p w14:paraId="47DA8EEB"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6</w:t>
            </w:r>
          </w:p>
        </w:tc>
        <w:tc>
          <w:tcPr>
            <w:tcW w:w="992" w:type="dxa"/>
            <w:tcBorders>
              <w:top w:val="nil"/>
              <w:left w:val="nil"/>
              <w:bottom w:val="single" w:sz="4" w:space="0" w:color="auto"/>
              <w:right w:val="dashed" w:sz="8" w:space="0" w:color="auto"/>
            </w:tcBorders>
            <w:shd w:val="clear" w:color="auto" w:fill="auto"/>
            <w:noWrap/>
            <w:vAlign w:val="bottom"/>
            <w:hideMark/>
          </w:tcPr>
          <w:p w14:paraId="26A99AC6"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1.0%</w:t>
            </w:r>
          </w:p>
        </w:tc>
        <w:tc>
          <w:tcPr>
            <w:tcW w:w="709" w:type="dxa"/>
            <w:tcBorders>
              <w:top w:val="nil"/>
              <w:left w:val="nil"/>
              <w:bottom w:val="single" w:sz="4" w:space="0" w:color="auto"/>
              <w:right w:val="single" w:sz="4" w:space="0" w:color="auto"/>
            </w:tcBorders>
            <w:shd w:val="clear" w:color="auto" w:fill="auto"/>
            <w:noWrap/>
            <w:vAlign w:val="bottom"/>
            <w:hideMark/>
          </w:tcPr>
          <w:p w14:paraId="53A369C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3</w:t>
            </w:r>
          </w:p>
        </w:tc>
        <w:tc>
          <w:tcPr>
            <w:tcW w:w="1134" w:type="dxa"/>
            <w:tcBorders>
              <w:top w:val="nil"/>
              <w:left w:val="nil"/>
              <w:bottom w:val="single" w:sz="4" w:space="0" w:color="auto"/>
              <w:right w:val="dashed" w:sz="8" w:space="0" w:color="auto"/>
            </w:tcBorders>
            <w:shd w:val="clear" w:color="auto" w:fill="auto"/>
            <w:noWrap/>
            <w:vAlign w:val="bottom"/>
            <w:hideMark/>
          </w:tcPr>
          <w:p w14:paraId="3F1D0A6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0.5%</w:t>
            </w:r>
          </w:p>
        </w:tc>
        <w:tc>
          <w:tcPr>
            <w:tcW w:w="709" w:type="dxa"/>
            <w:tcBorders>
              <w:top w:val="nil"/>
              <w:left w:val="nil"/>
              <w:bottom w:val="single" w:sz="4" w:space="0" w:color="auto"/>
              <w:right w:val="single" w:sz="4" w:space="0" w:color="auto"/>
            </w:tcBorders>
            <w:shd w:val="clear" w:color="auto" w:fill="auto"/>
            <w:noWrap/>
            <w:vAlign w:val="bottom"/>
            <w:hideMark/>
          </w:tcPr>
          <w:p w14:paraId="5825ADFF"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9</w:t>
            </w:r>
          </w:p>
        </w:tc>
        <w:tc>
          <w:tcPr>
            <w:tcW w:w="1276" w:type="dxa"/>
            <w:tcBorders>
              <w:top w:val="nil"/>
              <w:left w:val="nil"/>
              <w:bottom w:val="single" w:sz="4" w:space="0" w:color="auto"/>
              <w:right w:val="single" w:sz="8" w:space="0" w:color="auto"/>
            </w:tcBorders>
            <w:shd w:val="clear" w:color="auto" w:fill="auto"/>
            <w:noWrap/>
            <w:vAlign w:val="bottom"/>
            <w:hideMark/>
          </w:tcPr>
          <w:p w14:paraId="3890E488"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0.8%</w:t>
            </w:r>
          </w:p>
        </w:tc>
      </w:tr>
      <w:tr w:rsidR="006B394A" w:rsidRPr="006D55DD" w14:paraId="214B2C74" w14:textId="77777777" w:rsidTr="00720687">
        <w:trPr>
          <w:trHeight w:val="300"/>
        </w:trPr>
        <w:tc>
          <w:tcPr>
            <w:tcW w:w="1841" w:type="dxa"/>
            <w:vMerge/>
            <w:tcBorders>
              <w:top w:val="nil"/>
              <w:left w:val="single" w:sz="4" w:space="0" w:color="auto"/>
              <w:bottom w:val="single" w:sz="8" w:space="0" w:color="000000"/>
              <w:right w:val="single" w:sz="4" w:space="0" w:color="auto"/>
            </w:tcBorders>
            <w:vAlign w:val="center"/>
            <w:hideMark/>
          </w:tcPr>
          <w:p w14:paraId="61D9A2E1" w14:textId="77777777" w:rsidR="006B394A" w:rsidRPr="006D55DD" w:rsidRDefault="006B394A" w:rsidP="00720687">
            <w:pPr>
              <w:spacing w:before="100" w:beforeAutospacing="1" w:after="0" w:afterAutospacing="1" w:line="240" w:lineRule="auto"/>
              <w:rPr>
                <w:rFonts w:eastAsia="Times New Roman" w:cstheme="minorHAnsi"/>
                <w:i/>
                <w:iCs/>
                <w:color w:val="000000"/>
                <w:sz w:val="20"/>
                <w:szCs w:val="20"/>
                <w:lang w:eastAsia="en-GB"/>
              </w:rPr>
            </w:pPr>
          </w:p>
        </w:tc>
        <w:tc>
          <w:tcPr>
            <w:tcW w:w="5245" w:type="dxa"/>
            <w:tcBorders>
              <w:top w:val="nil"/>
              <w:left w:val="nil"/>
              <w:bottom w:val="dashed" w:sz="4" w:space="0" w:color="auto"/>
              <w:right w:val="dashed" w:sz="8" w:space="0" w:color="auto"/>
            </w:tcBorders>
            <w:shd w:val="clear" w:color="auto" w:fill="auto"/>
            <w:noWrap/>
            <w:vAlign w:val="bottom"/>
            <w:hideMark/>
          </w:tcPr>
          <w:p w14:paraId="754A6D99" w14:textId="77777777" w:rsidR="006B394A" w:rsidRPr="006D55DD" w:rsidRDefault="006B394A" w:rsidP="00720687">
            <w:pPr>
              <w:spacing w:after="0" w:line="240" w:lineRule="auto"/>
              <w:rPr>
                <w:rFonts w:eastAsia="Times New Roman" w:cstheme="minorHAnsi"/>
                <w:color w:val="000000"/>
                <w:sz w:val="20"/>
                <w:szCs w:val="20"/>
                <w:lang w:eastAsia="en-GB"/>
              </w:rPr>
            </w:pPr>
            <w:r w:rsidRPr="006D55DD">
              <w:rPr>
                <w:rFonts w:eastAsia="Times New Roman" w:cstheme="minorHAnsi"/>
                <w:color w:val="000000"/>
                <w:sz w:val="20"/>
                <w:szCs w:val="20"/>
                <w:lang w:eastAsia="en-GB"/>
              </w:rPr>
              <w:t>HIV infection</w:t>
            </w:r>
          </w:p>
        </w:tc>
        <w:tc>
          <w:tcPr>
            <w:tcW w:w="992" w:type="dxa"/>
            <w:tcBorders>
              <w:top w:val="nil"/>
              <w:left w:val="nil"/>
              <w:bottom w:val="dashed" w:sz="4" w:space="0" w:color="auto"/>
              <w:right w:val="single" w:sz="4" w:space="0" w:color="auto"/>
            </w:tcBorders>
            <w:shd w:val="clear" w:color="auto" w:fill="auto"/>
            <w:noWrap/>
            <w:vAlign w:val="bottom"/>
            <w:hideMark/>
          </w:tcPr>
          <w:p w14:paraId="435B7AF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w:t>
            </w:r>
          </w:p>
        </w:tc>
        <w:tc>
          <w:tcPr>
            <w:tcW w:w="992" w:type="dxa"/>
            <w:tcBorders>
              <w:top w:val="nil"/>
              <w:left w:val="nil"/>
              <w:bottom w:val="dashed" w:sz="4" w:space="0" w:color="auto"/>
              <w:right w:val="dashed" w:sz="8" w:space="0" w:color="auto"/>
            </w:tcBorders>
            <w:shd w:val="clear" w:color="auto" w:fill="auto"/>
            <w:noWrap/>
            <w:vAlign w:val="bottom"/>
            <w:hideMark/>
          </w:tcPr>
          <w:p w14:paraId="27887334"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0.2%</w:t>
            </w:r>
          </w:p>
        </w:tc>
        <w:tc>
          <w:tcPr>
            <w:tcW w:w="709" w:type="dxa"/>
            <w:tcBorders>
              <w:top w:val="nil"/>
              <w:left w:val="nil"/>
              <w:bottom w:val="dashed" w:sz="4" w:space="0" w:color="auto"/>
              <w:right w:val="single" w:sz="4" w:space="0" w:color="auto"/>
            </w:tcBorders>
            <w:shd w:val="clear" w:color="auto" w:fill="auto"/>
            <w:noWrap/>
            <w:vAlign w:val="bottom"/>
            <w:hideMark/>
          </w:tcPr>
          <w:p w14:paraId="38B84AD6"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w:t>
            </w:r>
          </w:p>
        </w:tc>
        <w:tc>
          <w:tcPr>
            <w:tcW w:w="1134" w:type="dxa"/>
            <w:tcBorders>
              <w:top w:val="nil"/>
              <w:left w:val="nil"/>
              <w:bottom w:val="dashed" w:sz="4" w:space="0" w:color="auto"/>
              <w:right w:val="dashed" w:sz="8" w:space="0" w:color="auto"/>
            </w:tcBorders>
            <w:shd w:val="clear" w:color="auto" w:fill="auto"/>
            <w:noWrap/>
            <w:vAlign w:val="bottom"/>
            <w:hideMark/>
          </w:tcPr>
          <w:p w14:paraId="111BCF6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0.0%</w:t>
            </w:r>
          </w:p>
        </w:tc>
        <w:tc>
          <w:tcPr>
            <w:tcW w:w="709" w:type="dxa"/>
            <w:tcBorders>
              <w:top w:val="nil"/>
              <w:left w:val="nil"/>
              <w:bottom w:val="dashed" w:sz="4" w:space="0" w:color="auto"/>
              <w:right w:val="single" w:sz="4" w:space="0" w:color="auto"/>
            </w:tcBorders>
            <w:shd w:val="clear" w:color="auto" w:fill="auto"/>
            <w:noWrap/>
            <w:vAlign w:val="bottom"/>
            <w:hideMark/>
          </w:tcPr>
          <w:p w14:paraId="72EF9BB2"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1</w:t>
            </w:r>
          </w:p>
        </w:tc>
        <w:tc>
          <w:tcPr>
            <w:tcW w:w="1276" w:type="dxa"/>
            <w:tcBorders>
              <w:top w:val="nil"/>
              <w:left w:val="nil"/>
              <w:bottom w:val="dashed" w:sz="4" w:space="0" w:color="auto"/>
              <w:right w:val="single" w:sz="8" w:space="0" w:color="auto"/>
            </w:tcBorders>
            <w:shd w:val="clear" w:color="auto" w:fill="auto"/>
            <w:noWrap/>
            <w:vAlign w:val="bottom"/>
            <w:hideMark/>
          </w:tcPr>
          <w:p w14:paraId="6D34E53C" w14:textId="77777777" w:rsidR="006B394A" w:rsidRPr="006D55DD" w:rsidRDefault="006B394A" w:rsidP="00720687">
            <w:pPr>
              <w:spacing w:after="0" w:line="240" w:lineRule="auto"/>
              <w:jc w:val="right"/>
              <w:rPr>
                <w:rFonts w:eastAsia="Times New Roman" w:cstheme="minorHAnsi"/>
                <w:color w:val="000000"/>
                <w:sz w:val="20"/>
                <w:szCs w:val="20"/>
                <w:lang w:eastAsia="en-GB"/>
              </w:rPr>
            </w:pPr>
            <w:r w:rsidRPr="006D55DD">
              <w:rPr>
                <w:rFonts w:eastAsia="Times New Roman" w:cstheme="minorHAnsi"/>
                <w:color w:val="000000"/>
                <w:sz w:val="20"/>
                <w:szCs w:val="20"/>
                <w:lang w:eastAsia="en-GB"/>
              </w:rPr>
              <w:t>0.1%</w:t>
            </w:r>
          </w:p>
        </w:tc>
      </w:tr>
      <w:tr w:rsidR="006B394A" w:rsidRPr="006D55DD" w14:paraId="3B29B40C" w14:textId="77777777" w:rsidTr="00720687">
        <w:trPr>
          <w:trHeight w:val="315"/>
        </w:trPr>
        <w:tc>
          <w:tcPr>
            <w:tcW w:w="1841" w:type="dxa"/>
            <w:vMerge/>
            <w:tcBorders>
              <w:top w:val="nil"/>
              <w:left w:val="single" w:sz="4" w:space="0" w:color="auto"/>
              <w:bottom w:val="single" w:sz="8" w:space="0" w:color="000000"/>
              <w:right w:val="single" w:sz="4" w:space="0" w:color="auto"/>
            </w:tcBorders>
            <w:vAlign w:val="center"/>
            <w:hideMark/>
          </w:tcPr>
          <w:p w14:paraId="5BF52924" w14:textId="77777777" w:rsidR="006B394A" w:rsidRPr="006D55DD" w:rsidRDefault="006B394A" w:rsidP="00720687">
            <w:pPr>
              <w:spacing w:before="100" w:beforeAutospacing="1" w:after="0" w:afterAutospacing="1" w:line="240" w:lineRule="auto"/>
              <w:rPr>
                <w:rFonts w:eastAsia="Times New Roman" w:cstheme="minorHAnsi"/>
                <w:i/>
                <w:iCs/>
                <w:color w:val="000000"/>
                <w:sz w:val="20"/>
                <w:szCs w:val="20"/>
                <w:lang w:eastAsia="en-GB"/>
              </w:rPr>
            </w:pPr>
          </w:p>
        </w:tc>
        <w:tc>
          <w:tcPr>
            <w:tcW w:w="5245" w:type="dxa"/>
            <w:tcBorders>
              <w:top w:val="nil"/>
              <w:left w:val="nil"/>
              <w:bottom w:val="single" w:sz="8" w:space="0" w:color="auto"/>
              <w:right w:val="dashed" w:sz="8" w:space="0" w:color="auto"/>
            </w:tcBorders>
            <w:shd w:val="clear" w:color="auto" w:fill="auto"/>
            <w:noWrap/>
            <w:vAlign w:val="bottom"/>
            <w:hideMark/>
          </w:tcPr>
          <w:p w14:paraId="67384376" w14:textId="77777777" w:rsidR="006B394A" w:rsidRPr="006D55DD" w:rsidRDefault="006B394A" w:rsidP="00720687">
            <w:pPr>
              <w:spacing w:after="0" w:line="240" w:lineRule="auto"/>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Total Infections</w:t>
            </w:r>
          </w:p>
        </w:tc>
        <w:tc>
          <w:tcPr>
            <w:tcW w:w="992" w:type="dxa"/>
            <w:tcBorders>
              <w:top w:val="nil"/>
              <w:left w:val="nil"/>
              <w:bottom w:val="single" w:sz="8" w:space="0" w:color="auto"/>
              <w:right w:val="single" w:sz="4" w:space="0" w:color="auto"/>
            </w:tcBorders>
            <w:shd w:val="clear" w:color="auto" w:fill="auto"/>
            <w:noWrap/>
            <w:vAlign w:val="bottom"/>
            <w:hideMark/>
          </w:tcPr>
          <w:p w14:paraId="7480E998"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7</w:t>
            </w:r>
          </w:p>
        </w:tc>
        <w:tc>
          <w:tcPr>
            <w:tcW w:w="992" w:type="dxa"/>
            <w:tcBorders>
              <w:top w:val="nil"/>
              <w:left w:val="nil"/>
              <w:bottom w:val="single" w:sz="8" w:space="0" w:color="auto"/>
              <w:right w:val="dashed" w:sz="8" w:space="0" w:color="auto"/>
            </w:tcBorders>
            <w:shd w:val="clear" w:color="auto" w:fill="auto"/>
            <w:noWrap/>
            <w:vAlign w:val="bottom"/>
            <w:hideMark/>
          </w:tcPr>
          <w:p w14:paraId="108E635C"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1.2%</w:t>
            </w:r>
          </w:p>
        </w:tc>
        <w:tc>
          <w:tcPr>
            <w:tcW w:w="709" w:type="dxa"/>
            <w:tcBorders>
              <w:top w:val="nil"/>
              <w:left w:val="nil"/>
              <w:bottom w:val="single" w:sz="8" w:space="0" w:color="auto"/>
              <w:right w:val="single" w:sz="4" w:space="0" w:color="auto"/>
            </w:tcBorders>
            <w:shd w:val="clear" w:color="auto" w:fill="auto"/>
            <w:noWrap/>
            <w:vAlign w:val="bottom"/>
            <w:hideMark/>
          </w:tcPr>
          <w:p w14:paraId="41866CB4"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3</w:t>
            </w:r>
          </w:p>
        </w:tc>
        <w:tc>
          <w:tcPr>
            <w:tcW w:w="1134" w:type="dxa"/>
            <w:tcBorders>
              <w:top w:val="nil"/>
              <w:left w:val="nil"/>
              <w:bottom w:val="single" w:sz="8" w:space="0" w:color="auto"/>
              <w:right w:val="dashed" w:sz="8" w:space="0" w:color="auto"/>
            </w:tcBorders>
            <w:shd w:val="clear" w:color="auto" w:fill="auto"/>
            <w:noWrap/>
            <w:vAlign w:val="bottom"/>
            <w:hideMark/>
          </w:tcPr>
          <w:p w14:paraId="5D051CA4"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0.5%</w:t>
            </w:r>
          </w:p>
        </w:tc>
        <w:tc>
          <w:tcPr>
            <w:tcW w:w="709" w:type="dxa"/>
            <w:tcBorders>
              <w:top w:val="nil"/>
              <w:left w:val="nil"/>
              <w:bottom w:val="single" w:sz="8" w:space="0" w:color="auto"/>
              <w:right w:val="single" w:sz="4" w:space="0" w:color="auto"/>
            </w:tcBorders>
            <w:shd w:val="clear" w:color="auto" w:fill="auto"/>
            <w:noWrap/>
            <w:vAlign w:val="bottom"/>
            <w:hideMark/>
          </w:tcPr>
          <w:p w14:paraId="2828A4F5"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10</w:t>
            </w:r>
          </w:p>
        </w:tc>
        <w:tc>
          <w:tcPr>
            <w:tcW w:w="1276" w:type="dxa"/>
            <w:tcBorders>
              <w:top w:val="nil"/>
              <w:left w:val="nil"/>
              <w:bottom w:val="single" w:sz="8" w:space="0" w:color="auto"/>
              <w:right w:val="single" w:sz="8" w:space="0" w:color="auto"/>
            </w:tcBorders>
            <w:shd w:val="clear" w:color="auto" w:fill="auto"/>
            <w:noWrap/>
            <w:vAlign w:val="bottom"/>
            <w:hideMark/>
          </w:tcPr>
          <w:p w14:paraId="3A4D1BA1" w14:textId="77777777" w:rsidR="006B394A" w:rsidRPr="006D55DD" w:rsidRDefault="006B394A" w:rsidP="00720687">
            <w:pPr>
              <w:spacing w:after="0" w:line="240" w:lineRule="auto"/>
              <w:jc w:val="right"/>
              <w:rPr>
                <w:rFonts w:eastAsia="Times New Roman" w:cstheme="minorHAnsi"/>
                <w:i/>
                <w:iCs/>
                <w:color w:val="000000"/>
                <w:sz w:val="20"/>
                <w:szCs w:val="20"/>
                <w:lang w:eastAsia="en-GB"/>
              </w:rPr>
            </w:pPr>
            <w:r w:rsidRPr="006D55DD">
              <w:rPr>
                <w:rFonts w:eastAsia="Times New Roman" w:cstheme="minorHAnsi"/>
                <w:i/>
                <w:iCs/>
                <w:color w:val="000000"/>
                <w:sz w:val="20"/>
                <w:szCs w:val="20"/>
                <w:lang w:eastAsia="en-GB"/>
              </w:rPr>
              <w:t>0.8%</w:t>
            </w:r>
          </w:p>
        </w:tc>
      </w:tr>
    </w:tbl>
    <w:p w14:paraId="49ED11EA" w14:textId="77777777" w:rsidR="006B394A" w:rsidRDefault="006B394A" w:rsidP="006B394A"/>
    <w:p w14:paraId="7A7EA074" w14:textId="77777777" w:rsidR="006B1399" w:rsidRDefault="006B1399" w:rsidP="006B394A"/>
    <w:p w14:paraId="092B98DD" w14:textId="77777777" w:rsidR="006B1399" w:rsidRDefault="006B1399" w:rsidP="006B394A"/>
    <w:p w14:paraId="47FDCEF0" w14:textId="77777777" w:rsidR="006B1399" w:rsidRDefault="006B1399" w:rsidP="006B394A"/>
    <w:p w14:paraId="4855049A" w14:textId="77777777" w:rsidR="006B1399" w:rsidRDefault="006B1399" w:rsidP="006B394A"/>
    <w:p w14:paraId="03D4065C" w14:textId="77777777" w:rsidR="006B1399" w:rsidRDefault="006B1399" w:rsidP="006B394A"/>
    <w:p w14:paraId="05B7FE73" w14:textId="77777777" w:rsidR="006B1399" w:rsidRDefault="006B1399" w:rsidP="006B394A"/>
    <w:p w14:paraId="769CDE95" w14:textId="77777777" w:rsidR="006B1399" w:rsidRDefault="006B1399" w:rsidP="006B394A"/>
    <w:p w14:paraId="6E7ACFF7" w14:textId="77777777" w:rsidR="006B1399" w:rsidRDefault="006B1399" w:rsidP="006B394A"/>
    <w:p w14:paraId="339DA7FE" w14:textId="77777777" w:rsidR="006B1399" w:rsidRDefault="006B1399" w:rsidP="006B394A"/>
    <w:p w14:paraId="028C80B7" w14:textId="77777777" w:rsidR="006B1399" w:rsidRDefault="006B1399" w:rsidP="006B394A"/>
    <w:p w14:paraId="0980D2A4" w14:textId="77777777" w:rsidR="006B1399" w:rsidRDefault="006B1399" w:rsidP="006B394A"/>
    <w:p w14:paraId="213543B6" w14:textId="77777777" w:rsidR="006B1399" w:rsidRDefault="006B1399" w:rsidP="006B394A"/>
    <w:p w14:paraId="0E589C0F" w14:textId="77777777" w:rsidR="006B1399" w:rsidRDefault="006B1399" w:rsidP="006B394A"/>
    <w:p w14:paraId="5DB4C87F" w14:textId="77777777" w:rsidR="006B1399" w:rsidRDefault="006B1399" w:rsidP="006B394A"/>
    <w:p w14:paraId="4B093622" w14:textId="77777777" w:rsidR="006B1399" w:rsidRDefault="006B1399" w:rsidP="006B394A"/>
    <w:p w14:paraId="66C62FF7" w14:textId="77777777" w:rsidR="006B1399" w:rsidRDefault="006B1399" w:rsidP="006B394A"/>
    <w:p w14:paraId="5056DF92" w14:textId="7E807D86" w:rsidR="004A1E68" w:rsidRDefault="004A1E68" w:rsidP="006B394A">
      <w:r>
        <w:t xml:space="preserve">Figure </w:t>
      </w:r>
      <w:r w:rsidR="00F45C91">
        <w:t>1: Age of death by site type</w:t>
      </w:r>
    </w:p>
    <w:p w14:paraId="40542BCE" w14:textId="1E6F2325" w:rsidR="006B394A" w:rsidRDefault="004A1E68" w:rsidP="007D5E16">
      <w:pPr>
        <w:rPr>
          <w:noProof/>
        </w:rPr>
      </w:pPr>
      <w:r>
        <w:rPr>
          <w:noProof/>
        </w:rPr>
        <w:drawing>
          <wp:inline distT="0" distB="0" distL="0" distR="0" wp14:anchorId="28A408E0" wp14:editId="37F54953">
            <wp:extent cx="4572000" cy="3148220"/>
            <wp:effectExtent l="0" t="0" r="0" b="14605"/>
            <wp:docPr id="1" name="Chart 1">
              <a:extLst xmlns:a="http://schemas.openxmlformats.org/drawingml/2006/main">
                <a:ext uri="{FF2B5EF4-FFF2-40B4-BE49-F238E27FC236}">
                  <a16:creationId xmlns:a16="http://schemas.microsoft.com/office/drawing/2014/main" id="{B0DD078C-448C-41EF-AFFE-B1AF8310DB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24D106F" w14:textId="77777777" w:rsidR="006B1399" w:rsidRPr="006B1399" w:rsidRDefault="006B1399" w:rsidP="006B1399"/>
    <w:p w14:paraId="38E47489" w14:textId="77777777" w:rsidR="006B1399" w:rsidRDefault="006B1399" w:rsidP="00257FAF">
      <w:pPr>
        <w:spacing w:after="0" w:line="240" w:lineRule="auto"/>
        <w:rPr>
          <w:noProof/>
        </w:rPr>
      </w:pPr>
    </w:p>
    <w:p w14:paraId="47DC2F50" w14:textId="77777777" w:rsidR="006B1399" w:rsidRDefault="006B1399" w:rsidP="00257FAF">
      <w:pPr>
        <w:spacing w:line="240" w:lineRule="auto"/>
      </w:pPr>
    </w:p>
    <w:p w14:paraId="51F7A035" w14:textId="77777777" w:rsidR="006B1399" w:rsidRDefault="006B1399" w:rsidP="00257FAF">
      <w:pPr>
        <w:spacing w:line="240" w:lineRule="auto"/>
      </w:pPr>
    </w:p>
    <w:p w14:paraId="51273A54" w14:textId="77777777" w:rsidR="00257FAF" w:rsidRDefault="00257FAF" w:rsidP="00257FAF">
      <w:pPr>
        <w:spacing w:line="240" w:lineRule="auto"/>
      </w:pPr>
    </w:p>
    <w:p w14:paraId="52F956F1" w14:textId="77777777" w:rsidR="006B1399" w:rsidRDefault="006B1399" w:rsidP="00257FAF">
      <w:pPr>
        <w:spacing w:line="240" w:lineRule="auto"/>
      </w:pPr>
    </w:p>
    <w:p w14:paraId="6C54B3E7" w14:textId="77777777" w:rsidR="006B1399" w:rsidRDefault="006B1399" w:rsidP="00257FAF">
      <w:pPr>
        <w:spacing w:line="240" w:lineRule="auto"/>
      </w:pPr>
    </w:p>
    <w:p w14:paraId="3F6C1E99" w14:textId="079E3981" w:rsidR="00445CB5" w:rsidRDefault="00445CB5" w:rsidP="00257FAF">
      <w:pPr>
        <w:spacing w:line="240" w:lineRule="auto"/>
      </w:pPr>
      <w:r>
        <w:t>Figure 2: Contraindications by site type</w:t>
      </w:r>
    </w:p>
    <w:p w14:paraId="755F05C0" w14:textId="5074E003" w:rsidR="006B1399" w:rsidRPr="006B1399" w:rsidRDefault="006B1399" w:rsidP="00257FAF">
      <w:pPr>
        <w:spacing w:after="0" w:line="240" w:lineRule="auto"/>
      </w:pPr>
      <w:r>
        <w:rPr>
          <w:noProof/>
        </w:rPr>
        <w:drawing>
          <wp:inline distT="0" distB="0" distL="0" distR="0" wp14:anchorId="2B5AD1F4" wp14:editId="7A7FFDF5">
            <wp:extent cx="4344670" cy="4776091"/>
            <wp:effectExtent l="0" t="0" r="17780" b="5715"/>
            <wp:docPr id="2" name="Chart 2">
              <a:extLst xmlns:a="http://schemas.openxmlformats.org/drawingml/2006/main">
                <a:ext uri="{FF2B5EF4-FFF2-40B4-BE49-F238E27FC236}">
                  <a16:creationId xmlns:a16="http://schemas.microsoft.com/office/drawing/2014/main" id="{DCE5607D-A2B1-4D39-B3D2-18A2363EF5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6B1399" w:rsidRPr="006B1399" w:rsidSect="00A0388C">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70EA" w14:textId="77777777" w:rsidR="000641C9" w:rsidRDefault="000641C9" w:rsidP="00154B25">
      <w:pPr>
        <w:spacing w:after="0" w:line="240" w:lineRule="auto"/>
      </w:pPr>
      <w:r>
        <w:separator/>
      </w:r>
    </w:p>
  </w:endnote>
  <w:endnote w:type="continuationSeparator" w:id="0">
    <w:p w14:paraId="775F0D79" w14:textId="77777777" w:rsidR="000641C9" w:rsidRDefault="000641C9" w:rsidP="0015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1625"/>
      <w:docPartObj>
        <w:docPartGallery w:val="Page Numbers (Bottom of Page)"/>
        <w:docPartUnique/>
      </w:docPartObj>
    </w:sdtPr>
    <w:sdtEndPr>
      <w:rPr>
        <w:noProof/>
      </w:rPr>
    </w:sdtEndPr>
    <w:sdtContent>
      <w:p w14:paraId="4A4CE60B" w14:textId="4D319423" w:rsidR="00154B25" w:rsidRDefault="00154B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8A2E4" w14:textId="77777777" w:rsidR="00154B25" w:rsidRDefault="0015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8101" w14:textId="77777777" w:rsidR="000641C9" w:rsidRDefault="000641C9" w:rsidP="00154B25">
      <w:pPr>
        <w:spacing w:after="0" w:line="240" w:lineRule="auto"/>
      </w:pPr>
      <w:r>
        <w:separator/>
      </w:r>
    </w:p>
  </w:footnote>
  <w:footnote w:type="continuationSeparator" w:id="0">
    <w:p w14:paraId="08A624D9" w14:textId="77777777" w:rsidR="000641C9" w:rsidRDefault="000641C9" w:rsidP="00154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D0207"/>
    <w:multiLevelType w:val="hybridMultilevel"/>
    <w:tmpl w:val="03AEA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254DB2"/>
    <w:multiLevelType w:val="hybridMultilevel"/>
    <w:tmpl w:val="675E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15"/>
    <w:rsid w:val="000003B8"/>
    <w:rsid w:val="00000409"/>
    <w:rsid w:val="000030D0"/>
    <w:rsid w:val="0002135E"/>
    <w:rsid w:val="000443CA"/>
    <w:rsid w:val="000458D4"/>
    <w:rsid w:val="00047D64"/>
    <w:rsid w:val="00056E32"/>
    <w:rsid w:val="000641C9"/>
    <w:rsid w:val="00087B2C"/>
    <w:rsid w:val="000946C4"/>
    <w:rsid w:val="000A6167"/>
    <w:rsid w:val="000A6497"/>
    <w:rsid w:val="000B1917"/>
    <w:rsid w:val="000B62E0"/>
    <w:rsid w:val="000C0C9C"/>
    <w:rsid w:val="000C0D3F"/>
    <w:rsid w:val="000C2724"/>
    <w:rsid w:val="000C2964"/>
    <w:rsid w:val="000C4899"/>
    <w:rsid w:val="000E0C0D"/>
    <w:rsid w:val="0010206D"/>
    <w:rsid w:val="00107AE8"/>
    <w:rsid w:val="00111E09"/>
    <w:rsid w:val="001267E4"/>
    <w:rsid w:val="00133FAE"/>
    <w:rsid w:val="00154B25"/>
    <w:rsid w:val="00163C3B"/>
    <w:rsid w:val="00171A05"/>
    <w:rsid w:val="001875C0"/>
    <w:rsid w:val="001B68D7"/>
    <w:rsid w:val="001C450B"/>
    <w:rsid w:val="001E74AD"/>
    <w:rsid w:val="001F28B5"/>
    <w:rsid w:val="001F5F20"/>
    <w:rsid w:val="0021674E"/>
    <w:rsid w:val="0021707D"/>
    <w:rsid w:val="00220C4C"/>
    <w:rsid w:val="00224534"/>
    <w:rsid w:val="00232DB9"/>
    <w:rsid w:val="002354DE"/>
    <w:rsid w:val="00251899"/>
    <w:rsid w:val="00256715"/>
    <w:rsid w:val="0025738D"/>
    <w:rsid w:val="00257D3E"/>
    <w:rsid w:val="00257FAF"/>
    <w:rsid w:val="002A3A4E"/>
    <w:rsid w:val="002A74E0"/>
    <w:rsid w:val="002C0074"/>
    <w:rsid w:val="002D2048"/>
    <w:rsid w:val="002D67BA"/>
    <w:rsid w:val="002F7F11"/>
    <w:rsid w:val="00324DE3"/>
    <w:rsid w:val="0034526A"/>
    <w:rsid w:val="00346A84"/>
    <w:rsid w:val="00356020"/>
    <w:rsid w:val="00372009"/>
    <w:rsid w:val="00372346"/>
    <w:rsid w:val="0039314E"/>
    <w:rsid w:val="0039348F"/>
    <w:rsid w:val="003B6D3A"/>
    <w:rsid w:val="003C1D01"/>
    <w:rsid w:val="00400BF8"/>
    <w:rsid w:val="004020F8"/>
    <w:rsid w:val="00416649"/>
    <w:rsid w:val="00443991"/>
    <w:rsid w:val="00445CB5"/>
    <w:rsid w:val="0045199B"/>
    <w:rsid w:val="00473A2F"/>
    <w:rsid w:val="0048372A"/>
    <w:rsid w:val="00493F49"/>
    <w:rsid w:val="004A1E68"/>
    <w:rsid w:val="004B3C3F"/>
    <w:rsid w:val="004B6D6D"/>
    <w:rsid w:val="004C6202"/>
    <w:rsid w:val="004D009F"/>
    <w:rsid w:val="004F678E"/>
    <w:rsid w:val="0052186C"/>
    <w:rsid w:val="00535841"/>
    <w:rsid w:val="00541EBA"/>
    <w:rsid w:val="00544FB6"/>
    <w:rsid w:val="0055113A"/>
    <w:rsid w:val="005801B7"/>
    <w:rsid w:val="005977E9"/>
    <w:rsid w:val="005D0710"/>
    <w:rsid w:val="005E1667"/>
    <w:rsid w:val="005E7215"/>
    <w:rsid w:val="006133D2"/>
    <w:rsid w:val="00631A1A"/>
    <w:rsid w:val="00637162"/>
    <w:rsid w:val="00641C44"/>
    <w:rsid w:val="00646275"/>
    <w:rsid w:val="00662952"/>
    <w:rsid w:val="006646DF"/>
    <w:rsid w:val="0067085F"/>
    <w:rsid w:val="00676653"/>
    <w:rsid w:val="00677A9A"/>
    <w:rsid w:val="006A17AC"/>
    <w:rsid w:val="006B1399"/>
    <w:rsid w:val="006B394A"/>
    <w:rsid w:val="006B7237"/>
    <w:rsid w:val="006B72C9"/>
    <w:rsid w:val="006D23A9"/>
    <w:rsid w:val="006D55DD"/>
    <w:rsid w:val="006E52CE"/>
    <w:rsid w:val="006F79A3"/>
    <w:rsid w:val="007020F1"/>
    <w:rsid w:val="00706E44"/>
    <w:rsid w:val="007114E9"/>
    <w:rsid w:val="0071193E"/>
    <w:rsid w:val="00715F9B"/>
    <w:rsid w:val="00717CB5"/>
    <w:rsid w:val="00741F8E"/>
    <w:rsid w:val="00750E34"/>
    <w:rsid w:val="007568FE"/>
    <w:rsid w:val="00762163"/>
    <w:rsid w:val="0077177B"/>
    <w:rsid w:val="00786B11"/>
    <w:rsid w:val="00796A90"/>
    <w:rsid w:val="007A1138"/>
    <w:rsid w:val="007B0E4A"/>
    <w:rsid w:val="007B145C"/>
    <w:rsid w:val="007B7D30"/>
    <w:rsid w:val="007D1100"/>
    <w:rsid w:val="007D44BA"/>
    <w:rsid w:val="007D5E16"/>
    <w:rsid w:val="007F6028"/>
    <w:rsid w:val="00801CC5"/>
    <w:rsid w:val="00813CA7"/>
    <w:rsid w:val="00852835"/>
    <w:rsid w:val="00877426"/>
    <w:rsid w:val="00882145"/>
    <w:rsid w:val="00885E30"/>
    <w:rsid w:val="008869A8"/>
    <w:rsid w:val="0089014B"/>
    <w:rsid w:val="008B30E8"/>
    <w:rsid w:val="008B53E7"/>
    <w:rsid w:val="008B7D04"/>
    <w:rsid w:val="008C12B0"/>
    <w:rsid w:val="008F781A"/>
    <w:rsid w:val="009002D4"/>
    <w:rsid w:val="00905C43"/>
    <w:rsid w:val="00927B3E"/>
    <w:rsid w:val="00932EA9"/>
    <w:rsid w:val="00936465"/>
    <w:rsid w:val="0094673F"/>
    <w:rsid w:val="00953294"/>
    <w:rsid w:val="00955C4D"/>
    <w:rsid w:val="009563E4"/>
    <w:rsid w:val="00984FA6"/>
    <w:rsid w:val="00985555"/>
    <w:rsid w:val="009C7B2D"/>
    <w:rsid w:val="009D47B2"/>
    <w:rsid w:val="009E18E9"/>
    <w:rsid w:val="009E5FA4"/>
    <w:rsid w:val="009F09CF"/>
    <w:rsid w:val="00A0388C"/>
    <w:rsid w:val="00A2479C"/>
    <w:rsid w:val="00A30264"/>
    <w:rsid w:val="00A6702D"/>
    <w:rsid w:val="00A72247"/>
    <w:rsid w:val="00A863E1"/>
    <w:rsid w:val="00A90089"/>
    <w:rsid w:val="00A9352D"/>
    <w:rsid w:val="00AA64D8"/>
    <w:rsid w:val="00AB32B1"/>
    <w:rsid w:val="00AC005B"/>
    <w:rsid w:val="00AC22B5"/>
    <w:rsid w:val="00AD09A5"/>
    <w:rsid w:val="00AD1586"/>
    <w:rsid w:val="00AD2E9E"/>
    <w:rsid w:val="00AD3AA8"/>
    <w:rsid w:val="00AE3879"/>
    <w:rsid w:val="00AE3B91"/>
    <w:rsid w:val="00AF6190"/>
    <w:rsid w:val="00B11C10"/>
    <w:rsid w:val="00B21CB8"/>
    <w:rsid w:val="00B26758"/>
    <w:rsid w:val="00B359D7"/>
    <w:rsid w:val="00B37C2B"/>
    <w:rsid w:val="00B6097B"/>
    <w:rsid w:val="00B60AFD"/>
    <w:rsid w:val="00B701E1"/>
    <w:rsid w:val="00B74994"/>
    <w:rsid w:val="00B77450"/>
    <w:rsid w:val="00B80527"/>
    <w:rsid w:val="00B90CB9"/>
    <w:rsid w:val="00BA12E4"/>
    <w:rsid w:val="00BA455A"/>
    <w:rsid w:val="00BB6DE3"/>
    <w:rsid w:val="00BF5FC0"/>
    <w:rsid w:val="00C01815"/>
    <w:rsid w:val="00C10AB7"/>
    <w:rsid w:val="00C11ED4"/>
    <w:rsid w:val="00C14098"/>
    <w:rsid w:val="00C4221A"/>
    <w:rsid w:val="00C46CBB"/>
    <w:rsid w:val="00C66061"/>
    <w:rsid w:val="00C70FBE"/>
    <w:rsid w:val="00C84A85"/>
    <w:rsid w:val="00CA1E8A"/>
    <w:rsid w:val="00CC08C9"/>
    <w:rsid w:val="00CC6EF3"/>
    <w:rsid w:val="00CD3106"/>
    <w:rsid w:val="00CD528C"/>
    <w:rsid w:val="00CE1E73"/>
    <w:rsid w:val="00CE228A"/>
    <w:rsid w:val="00CE3F41"/>
    <w:rsid w:val="00CE73F0"/>
    <w:rsid w:val="00CE77CF"/>
    <w:rsid w:val="00CF437D"/>
    <w:rsid w:val="00CF6BAF"/>
    <w:rsid w:val="00D006D4"/>
    <w:rsid w:val="00D0089F"/>
    <w:rsid w:val="00D00A56"/>
    <w:rsid w:val="00D00E08"/>
    <w:rsid w:val="00D11850"/>
    <w:rsid w:val="00D14774"/>
    <w:rsid w:val="00D20D0C"/>
    <w:rsid w:val="00D21310"/>
    <w:rsid w:val="00D2703B"/>
    <w:rsid w:val="00D454E0"/>
    <w:rsid w:val="00D50AF9"/>
    <w:rsid w:val="00D57B4C"/>
    <w:rsid w:val="00D65CEB"/>
    <w:rsid w:val="00D6655B"/>
    <w:rsid w:val="00D707EF"/>
    <w:rsid w:val="00D83602"/>
    <w:rsid w:val="00D96CC7"/>
    <w:rsid w:val="00DB0ECD"/>
    <w:rsid w:val="00DB44D5"/>
    <w:rsid w:val="00DC059E"/>
    <w:rsid w:val="00DE43C7"/>
    <w:rsid w:val="00E15659"/>
    <w:rsid w:val="00E30F43"/>
    <w:rsid w:val="00E51F4E"/>
    <w:rsid w:val="00E54215"/>
    <w:rsid w:val="00E57F52"/>
    <w:rsid w:val="00E613CC"/>
    <w:rsid w:val="00E617CF"/>
    <w:rsid w:val="00E7540F"/>
    <w:rsid w:val="00E8499D"/>
    <w:rsid w:val="00E84EE4"/>
    <w:rsid w:val="00E87A08"/>
    <w:rsid w:val="00EA5864"/>
    <w:rsid w:val="00EB320B"/>
    <w:rsid w:val="00EC2E48"/>
    <w:rsid w:val="00EC3CC2"/>
    <w:rsid w:val="00EC5F77"/>
    <w:rsid w:val="00ED2A63"/>
    <w:rsid w:val="00ED4D5B"/>
    <w:rsid w:val="00F1292A"/>
    <w:rsid w:val="00F21167"/>
    <w:rsid w:val="00F37B45"/>
    <w:rsid w:val="00F45C91"/>
    <w:rsid w:val="00F514F6"/>
    <w:rsid w:val="00F5459C"/>
    <w:rsid w:val="00F56780"/>
    <w:rsid w:val="00F6032B"/>
    <w:rsid w:val="00F60C3F"/>
    <w:rsid w:val="00F63AD4"/>
    <w:rsid w:val="00F749D3"/>
    <w:rsid w:val="00F8450B"/>
    <w:rsid w:val="00F92B73"/>
    <w:rsid w:val="00FA3EA8"/>
    <w:rsid w:val="00FB6F31"/>
    <w:rsid w:val="00FC0882"/>
    <w:rsid w:val="00FD0EFB"/>
    <w:rsid w:val="00FF522B"/>
    <w:rsid w:val="00FF6F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CEB01"/>
  <w15:chartTrackingRefBased/>
  <w15:docId w15:val="{52C5F96F-75B9-4713-B059-FB176058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1815"/>
    <w:rPr>
      <w:sz w:val="16"/>
      <w:szCs w:val="16"/>
    </w:rPr>
  </w:style>
  <w:style w:type="paragraph" w:styleId="CommentText">
    <w:name w:val="annotation text"/>
    <w:basedOn w:val="Normal"/>
    <w:link w:val="CommentTextChar"/>
    <w:uiPriority w:val="99"/>
    <w:semiHidden/>
    <w:unhideWhenUsed/>
    <w:rsid w:val="00C01815"/>
    <w:pPr>
      <w:spacing w:line="240" w:lineRule="auto"/>
    </w:pPr>
    <w:rPr>
      <w:sz w:val="20"/>
      <w:szCs w:val="20"/>
    </w:rPr>
  </w:style>
  <w:style w:type="character" w:customStyle="1" w:styleId="CommentTextChar">
    <w:name w:val="Comment Text Char"/>
    <w:basedOn w:val="DefaultParagraphFont"/>
    <w:link w:val="CommentText"/>
    <w:uiPriority w:val="99"/>
    <w:semiHidden/>
    <w:rsid w:val="00C01815"/>
    <w:rPr>
      <w:sz w:val="20"/>
      <w:szCs w:val="20"/>
    </w:rPr>
  </w:style>
  <w:style w:type="paragraph" w:styleId="CommentSubject">
    <w:name w:val="annotation subject"/>
    <w:basedOn w:val="CommentText"/>
    <w:next w:val="CommentText"/>
    <w:link w:val="CommentSubjectChar"/>
    <w:uiPriority w:val="99"/>
    <w:semiHidden/>
    <w:unhideWhenUsed/>
    <w:rsid w:val="00C01815"/>
    <w:rPr>
      <w:b/>
      <w:bCs/>
    </w:rPr>
  </w:style>
  <w:style w:type="character" w:customStyle="1" w:styleId="CommentSubjectChar">
    <w:name w:val="Comment Subject Char"/>
    <w:basedOn w:val="CommentTextChar"/>
    <w:link w:val="CommentSubject"/>
    <w:uiPriority w:val="99"/>
    <w:semiHidden/>
    <w:rsid w:val="00C01815"/>
    <w:rPr>
      <w:b/>
      <w:bCs/>
      <w:sz w:val="20"/>
      <w:szCs w:val="20"/>
    </w:rPr>
  </w:style>
  <w:style w:type="character" w:styleId="LineNumber">
    <w:name w:val="line number"/>
    <w:basedOn w:val="DefaultParagraphFont"/>
    <w:uiPriority w:val="99"/>
    <w:semiHidden/>
    <w:unhideWhenUsed/>
    <w:rsid w:val="00813CA7"/>
  </w:style>
  <w:style w:type="paragraph" w:styleId="Header">
    <w:name w:val="header"/>
    <w:basedOn w:val="Normal"/>
    <w:link w:val="HeaderChar"/>
    <w:uiPriority w:val="99"/>
    <w:unhideWhenUsed/>
    <w:rsid w:val="00154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B25"/>
  </w:style>
  <w:style w:type="paragraph" w:styleId="Footer">
    <w:name w:val="footer"/>
    <w:basedOn w:val="Normal"/>
    <w:link w:val="FooterChar"/>
    <w:uiPriority w:val="99"/>
    <w:unhideWhenUsed/>
    <w:rsid w:val="00154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B25"/>
  </w:style>
  <w:style w:type="character" w:styleId="Hyperlink">
    <w:name w:val="Hyperlink"/>
    <w:basedOn w:val="DefaultParagraphFont"/>
    <w:uiPriority w:val="99"/>
    <w:unhideWhenUsed/>
    <w:rsid w:val="00CA1E8A"/>
    <w:rPr>
      <w:color w:val="0563C1" w:themeColor="hyperlink"/>
      <w:u w:val="single"/>
    </w:rPr>
  </w:style>
  <w:style w:type="paragraph" w:styleId="ListParagraph">
    <w:name w:val="List Paragraph"/>
    <w:basedOn w:val="Normal"/>
    <w:uiPriority w:val="34"/>
    <w:qFormat/>
    <w:rsid w:val="00CA1E8A"/>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ong@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Age</a:t>
            </a:r>
            <a:r>
              <a:rPr lang="en-GB" b="1" baseline="0"/>
              <a:t> at death by site type</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Age!$B$1</c:f>
              <c:strCache>
                <c:ptCount val="1"/>
                <c:pt idx="0">
                  <c:v>HC (n=601)</c:v>
                </c:pt>
              </c:strCache>
            </c:strRef>
          </c:tx>
          <c:spPr>
            <a:solidFill>
              <a:schemeClr val="accent1"/>
            </a:solidFill>
            <a:ln>
              <a:noFill/>
            </a:ln>
            <a:effectLst/>
          </c:spPr>
          <c:invertIfNegative val="0"/>
          <c:cat>
            <c:strRef>
              <c:f>Age!$A$2:$A$9</c:f>
              <c:strCache>
                <c:ptCount val="8"/>
                <c:pt idx="0">
                  <c:v>21-30</c:v>
                </c:pt>
                <c:pt idx="1">
                  <c:v>31-40</c:v>
                </c:pt>
                <c:pt idx="2">
                  <c:v>41-50</c:v>
                </c:pt>
                <c:pt idx="3">
                  <c:v>51-60</c:v>
                </c:pt>
                <c:pt idx="4">
                  <c:v>61-70</c:v>
                </c:pt>
                <c:pt idx="5">
                  <c:v>71-80</c:v>
                </c:pt>
                <c:pt idx="6">
                  <c:v>81-90</c:v>
                </c:pt>
                <c:pt idx="7">
                  <c:v>&gt;90</c:v>
                </c:pt>
              </c:strCache>
            </c:strRef>
          </c:cat>
          <c:val>
            <c:numRef>
              <c:f>Age!$B$2:$B$9</c:f>
              <c:numCache>
                <c:formatCode>General</c:formatCode>
                <c:ptCount val="8"/>
                <c:pt idx="0">
                  <c:v>2</c:v>
                </c:pt>
                <c:pt idx="1">
                  <c:v>16</c:v>
                </c:pt>
                <c:pt idx="2">
                  <c:v>29</c:v>
                </c:pt>
                <c:pt idx="3">
                  <c:v>90</c:v>
                </c:pt>
                <c:pt idx="4">
                  <c:v>163</c:v>
                </c:pt>
                <c:pt idx="5">
                  <c:v>192</c:v>
                </c:pt>
                <c:pt idx="6">
                  <c:v>92</c:v>
                </c:pt>
                <c:pt idx="7">
                  <c:v>16</c:v>
                </c:pt>
              </c:numCache>
            </c:numRef>
          </c:val>
          <c:extLst>
            <c:ext xmlns:c16="http://schemas.microsoft.com/office/drawing/2014/chart" uri="{C3380CC4-5D6E-409C-BE32-E72D297353CC}">
              <c16:uniqueId val="{00000000-BE0A-44B2-8F9B-AD5B4AC4B7C1}"/>
            </c:ext>
          </c:extLst>
        </c:ser>
        <c:ser>
          <c:idx val="1"/>
          <c:order val="1"/>
          <c:tx>
            <c:strRef>
              <c:f>Age!$C$1</c:f>
              <c:strCache>
                <c:ptCount val="1"/>
                <c:pt idx="0">
                  <c:v>HPCS (n=598</c:v>
                </c:pt>
              </c:strCache>
            </c:strRef>
          </c:tx>
          <c:spPr>
            <a:solidFill>
              <a:schemeClr val="accent2"/>
            </a:solidFill>
            <a:ln>
              <a:noFill/>
            </a:ln>
            <a:effectLst/>
          </c:spPr>
          <c:invertIfNegative val="0"/>
          <c:cat>
            <c:strRef>
              <c:f>Age!$A$2:$A$9</c:f>
              <c:strCache>
                <c:ptCount val="8"/>
                <c:pt idx="0">
                  <c:v>21-30</c:v>
                </c:pt>
                <c:pt idx="1">
                  <c:v>31-40</c:v>
                </c:pt>
                <c:pt idx="2">
                  <c:v>41-50</c:v>
                </c:pt>
                <c:pt idx="3">
                  <c:v>51-60</c:v>
                </c:pt>
                <c:pt idx="4">
                  <c:v>61-70</c:v>
                </c:pt>
                <c:pt idx="5">
                  <c:v>71-80</c:v>
                </c:pt>
                <c:pt idx="6">
                  <c:v>81-90</c:v>
                </c:pt>
                <c:pt idx="7">
                  <c:v>&gt;90</c:v>
                </c:pt>
              </c:strCache>
            </c:strRef>
          </c:cat>
          <c:val>
            <c:numRef>
              <c:f>Age!$C$2:$C$9</c:f>
              <c:numCache>
                <c:formatCode>General</c:formatCode>
                <c:ptCount val="8"/>
                <c:pt idx="0">
                  <c:v>3</c:v>
                </c:pt>
                <c:pt idx="1">
                  <c:v>7</c:v>
                </c:pt>
                <c:pt idx="2">
                  <c:v>18</c:v>
                </c:pt>
                <c:pt idx="3">
                  <c:v>40</c:v>
                </c:pt>
                <c:pt idx="4">
                  <c:v>80</c:v>
                </c:pt>
                <c:pt idx="5">
                  <c:v>140</c:v>
                </c:pt>
                <c:pt idx="6">
                  <c:v>217</c:v>
                </c:pt>
                <c:pt idx="7">
                  <c:v>95</c:v>
                </c:pt>
              </c:numCache>
            </c:numRef>
          </c:val>
          <c:extLst>
            <c:ext xmlns:c16="http://schemas.microsoft.com/office/drawing/2014/chart" uri="{C3380CC4-5D6E-409C-BE32-E72D297353CC}">
              <c16:uniqueId val="{00000001-BE0A-44B2-8F9B-AD5B4AC4B7C1}"/>
            </c:ext>
          </c:extLst>
        </c:ser>
        <c:ser>
          <c:idx val="2"/>
          <c:order val="2"/>
          <c:tx>
            <c:strRef>
              <c:f>Age!$D$1</c:f>
              <c:strCache>
                <c:ptCount val="1"/>
                <c:pt idx="0">
                  <c:v>All Sites (n=1911)</c:v>
                </c:pt>
              </c:strCache>
            </c:strRef>
          </c:tx>
          <c:spPr>
            <a:solidFill>
              <a:schemeClr val="accent3"/>
            </a:solidFill>
            <a:ln>
              <a:noFill/>
            </a:ln>
            <a:effectLst/>
          </c:spPr>
          <c:invertIfNegative val="0"/>
          <c:cat>
            <c:strRef>
              <c:f>Age!$A$2:$A$9</c:f>
              <c:strCache>
                <c:ptCount val="8"/>
                <c:pt idx="0">
                  <c:v>21-30</c:v>
                </c:pt>
                <c:pt idx="1">
                  <c:v>31-40</c:v>
                </c:pt>
                <c:pt idx="2">
                  <c:v>41-50</c:v>
                </c:pt>
                <c:pt idx="3">
                  <c:v>51-60</c:v>
                </c:pt>
                <c:pt idx="4">
                  <c:v>61-70</c:v>
                </c:pt>
                <c:pt idx="5">
                  <c:v>71-80</c:v>
                </c:pt>
                <c:pt idx="6">
                  <c:v>81-90</c:v>
                </c:pt>
                <c:pt idx="7">
                  <c:v>&gt;90</c:v>
                </c:pt>
              </c:strCache>
            </c:strRef>
          </c:cat>
          <c:val>
            <c:numRef>
              <c:f>Age!$D$2:$D$9</c:f>
              <c:numCache>
                <c:formatCode>General</c:formatCode>
                <c:ptCount val="8"/>
                <c:pt idx="0">
                  <c:v>5</c:v>
                </c:pt>
                <c:pt idx="1">
                  <c:v>23</c:v>
                </c:pt>
                <c:pt idx="2">
                  <c:v>47</c:v>
                </c:pt>
                <c:pt idx="3">
                  <c:v>130</c:v>
                </c:pt>
                <c:pt idx="4">
                  <c:v>243</c:v>
                </c:pt>
                <c:pt idx="5">
                  <c:v>332</c:v>
                </c:pt>
                <c:pt idx="6">
                  <c:v>309</c:v>
                </c:pt>
                <c:pt idx="7">
                  <c:v>111</c:v>
                </c:pt>
              </c:numCache>
            </c:numRef>
          </c:val>
          <c:extLst>
            <c:ext xmlns:c16="http://schemas.microsoft.com/office/drawing/2014/chart" uri="{C3380CC4-5D6E-409C-BE32-E72D297353CC}">
              <c16:uniqueId val="{00000002-BE0A-44B2-8F9B-AD5B4AC4B7C1}"/>
            </c:ext>
          </c:extLst>
        </c:ser>
        <c:dLbls>
          <c:showLegendKey val="0"/>
          <c:showVal val="0"/>
          <c:showCatName val="0"/>
          <c:showSerName val="0"/>
          <c:showPercent val="0"/>
          <c:showBubbleSize val="0"/>
        </c:dLbls>
        <c:gapWidth val="182"/>
        <c:axId val="523503360"/>
        <c:axId val="523501280"/>
      </c:barChart>
      <c:catAx>
        <c:axId val="523503360"/>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Groups (years)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501280"/>
        <c:crosses val="autoZero"/>
        <c:auto val="0"/>
        <c:lblAlgn val="ctr"/>
        <c:lblOffset val="100"/>
        <c:noMultiLvlLbl val="0"/>
      </c:catAx>
      <c:valAx>
        <c:axId val="523501280"/>
        <c:scaling>
          <c:orientation val="minMax"/>
        </c:scaling>
        <c:delete val="0"/>
        <c:axPos val="t"/>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 (cases)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503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Contraindications by Site Type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Contraindications!$C$1</c:f>
              <c:strCache>
                <c:ptCount val="1"/>
                <c:pt idx="0">
                  <c:v>HC (n=601 total cases)</c:v>
                </c:pt>
              </c:strCache>
            </c:strRef>
          </c:tx>
          <c:spPr>
            <a:solidFill>
              <a:schemeClr val="accent1"/>
            </a:solidFill>
            <a:ln>
              <a:noFill/>
            </a:ln>
            <a:effectLst/>
          </c:spPr>
          <c:invertIfNegative val="0"/>
          <c:cat>
            <c:strRef>
              <c:f>Contraindications!$B$2:$B$29</c:f>
              <c:strCache>
                <c:ptCount val="28"/>
                <c:pt idx="0">
                  <c:v>Acquired disorder of the eye </c:v>
                </c:pt>
                <c:pt idx="1">
                  <c:v>Any ocular surgery (not including corrective laser surgery) </c:v>
                </c:pt>
                <c:pt idx="2">
                  <c:v>Ocular inflammation</c:v>
                </c:pt>
                <c:pt idx="3">
                  <c:v>Congenital disease/disorder of the eye </c:v>
                </c:pt>
                <c:pt idx="4">
                  <c:v>Corrective laser surgery </c:v>
                </c:pt>
                <c:pt idx="5">
                  <c:v>TOTAL INTRINSIC EYE DISEASE</c:v>
                </c:pt>
                <c:pt idx="6">
                  <c:v>Diagnosed Dementia </c:v>
                </c:pt>
                <c:pt idx="7">
                  <c:v>Recent onset of memory loss</c:v>
                </c:pt>
                <c:pt idx="8">
                  <c:v>Diagnosed Alzheimers Disease </c:v>
                </c:pt>
                <c:pt idx="9">
                  <c:v>Disease of unknown aetiology</c:v>
                </c:pt>
                <c:pt idx="10">
                  <c:v>Diagnosed Parkinsons Disease</c:v>
                </c:pt>
                <c:pt idx="11">
                  <c:v>TOTAL NEURODEGENERATIVE DISORDERS</c:v>
                </c:pt>
                <c:pt idx="12">
                  <c:v>Lymphoma</c:v>
                </c:pt>
                <c:pt idx="13">
                  <c:v>Leukaemia</c:v>
                </c:pt>
                <c:pt idx="14">
                  <c:v>Myeloma</c:v>
                </c:pt>
                <c:pt idx="15">
                  <c:v>Brain Malignancy with ocular involvement</c:v>
                </c:pt>
                <c:pt idx="16">
                  <c:v>Malignant tumours of the anterior segment of the eye</c:v>
                </c:pt>
                <c:pt idx="17">
                  <c:v>Retinoblastoma</c:v>
                </c:pt>
                <c:pt idx="18">
                  <c:v>TOTAL MALGNANCIES</c:v>
                </c:pt>
                <c:pt idx="19">
                  <c:v>Idiopathic Diseases</c:v>
                </c:pt>
                <c:pt idx="20">
                  <c:v>Previous organ or tissue transplant</c:v>
                </c:pt>
                <c:pt idx="21">
                  <c:v>Vasculitis</c:v>
                </c:pt>
                <c:pt idx="22">
                  <c:v>Any recorded IV drug use </c:v>
                </c:pt>
                <c:pt idx="23">
                  <c:v>Any recorded IVF treatment </c:v>
                </c:pt>
                <c:pt idx="24">
                  <c:v>TOTAL OTHER CONTRAINDICATIONS</c:v>
                </c:pt>
                <c:pt idx="25">
                  <c:v>Chronic viral hepatitis</c:v>
                </c:pt>
                <c:pt idx="26">
                  <c:v>HIV infection</c:v>
                </c:pt>
                <c:pt idx="27">
                  <c:v>TOTAL INFECTIONS</c:v>
                </c:pt>
              </c:strCache>
            </c:strRef>
          </c:cat>
          <c:val>
            <c:numRef>
              <c:f>Contraindications!$C$2:$C$29</c:f>
              <c:numCache>
                <c:formatCode>General</c:formatCode>
                <c:ptCount val="28"/>
                <c:pt idx="0">
                  <c:v>114</c:v>
                </c:pt>
                <c:pt idx="1">
                  <c:v>53</c:v>
                </c:pt>
                <c:pt idx="2">
                  <c:v>8</c:v>
                </c:pt>
                <c:pt idx="3">
                  <c:v>5</c:v>
                </c:pt>
                <c:pt idx="4">
                  <c:v>3</c:v>
                </c:pt>
                <c:pt idx="5">
                  <c:v>183</c:v>
                </c:pt>
                <c:pt idx="6">
                  <c:v>13</c:v>
                </c:pt>
                <c:pt idx="7">
                  <c:v>30</c:v>
                </c:pt>
                <c:pt idx="8">
                  <c:v>6</c:v>
                </c:pt>
                <c:pt idx="9">
                  <c:v>13</c:v>
                </c:pt>
                <c:pt idx="10">
                  <c:v>1</c:v>
                </c:pt>
                <c:pt idx="11">
                  <c:v>63</c:v>
                </c:pt>
                <c:pt idx="12">
                  <c:v>19</c:v>
                </c:pt>
                <c:pt idx="13">
                  <c:v>7</c:v>
                </c:pt>
                <c:pt idx="14">
                  <c:v>7</c:v>
                </c:pt>
                <c:pt idx="15">
                  <c:v>12</c:v>
                </c:pt>
                <c:pt idx="16">
                  <c:v>6</c:v>
                </c:pt>
                <c:pt idx="17">
                  <c:v>0</c:v>
                </c:pt>
                <c:pt idx="18">
                  <c:v>51</c:v>
                </c:pt>
                <c:pt idx="19">
                  <c:v>35</c:v>
                </c:pt>
                <c:pt idx="20">
                  <c:v>12</c:v>
                </c:pt>
                <c:pt idx="21">
                  <c:v>2</c:v>
                </c:pt>
                <c:pt idx="22">
                  <c:v>5</c:v>
                </c:pt>
                <c:pt idx="23">
                  <c:v>2</c:v>
                </c:pt>
                <c:pt idx="24">
                  <c:v>56</c:v>
                </c:pt>
                <c:pt idx="25">
                  <c:v>6</c:v>
                </c:pt>
                <c:pt idx="26">
                  <c:v>1</c:v>
                </c:pt>
                <c:pt idx="27">
                  <c:v>7</c:v>
                </c:pt>
              </c:numCache>
            </c:numRef>
          </c:val>
          <c:extLst>
            <c:ext xmlns:c16="http://schemas.microsoft.com/office/drawing/2014/chart" uri="{C3380CC4-5D6E-409C-BE32-E72D297353CC}">
              <c16:uniqueId val="{00000000-4E71-43A1-BF8D-3B39F92C0278}"/>
            </c:ext>
          </c:extLst>
        </c:ser>
        <c:ser>
          <c:idx val="1"/>
          <c:order val="1"/>
          <c:tx>
            <c:strRef>
              <c:f>Contraindications!$D$1</c:f>
              <c:strCache>
                <c:ptCount val="1"/>
                <c:pt idx="0">
                  <c:v>HPC (n=598 total cases)</c:v>
                </c:pt>
              </c:strCache>
            </c:strRef>
          </c:tx>
          <c:spPr>
            <a:solidFill>
              <a:schemeClr val="accent2"/>
            </a:solidFill>
            <a:ln>
              <a:noFill/>
            </a:ln>
            <a:effectLst/>
          </c:spPr>
          <c:invertIfNegative val="0"/>
          <c:cat>
            <c:strRef>
              <c:f>Contraindications!$B$2:$B$29</c:f>
              <c:strCache>
                <c:ptCount val="28"/>
                <c:pt idx="0">
                  <c:v>Acquired disorder of the eye </c:v>
                </c:pt>
                <c:pt idx="1">
                  <c:v>Any ocular surgery (not including corrective laser surgery) </c:v>
                </c:pt>
                <c:pt idx="2">
                  <c:v>Ocular inflammation</c:v>
                </c:pt>
                <c:pt idx="3">
                  <c:v>Congenital disease/disorder of the eye </c:v>
                </c:pt>
                <c:pt idx="4">
                  <c:v>Corrective laser surgery </c:v>
                </c:pt>
                <c:pt idx="5">
                  <c:v>TOTAL INTRINSIC EYE DISEASE</c:v>
                </c:pt>
                <c:pt idx="6">
                  <c:v>Diagnosed Dementia </c:v>
                </c:pt>
                <c:pt idx="7">
                  <c:v>Recent onset of memory loss</c:v>
                </c:pt>
                <c:pt idx="8">
                  <c:v>Diagnosed Alzheimers Disease </c:v>
                </c:pt>
                <c:pt idx="9">
                  <c:v>Disease of unknown aetiology</c:v>
                </c:pt>
                <c:pt idx="10">
                  <c:v>Diagnosed Parkinsons Disease</c:v>
                </c:pt>
                <c:pt idx="11">
                  <c:v>TOTAL NEURODEGENERATIVE DISORDERS</c:v>
                </c:pt>
                <c:pt idx="12">
                  <c:v>Lymphoma</c:v>
                </c:pt>
                <c:pt idx="13">
                  <c:v>Leukaemia</c:v>
                </c:pt>
                <c:pt idx="14">
                  <c:v>Myeloma</c:v>
                </c:pt>
                <c:pt idx="15">
                  <c:v>Brain Malignancy with ocular involvement</c:v>
                </c:pt>
                <c:pt idx="16">
                  <c:v>Malignant tumours of the anterior segment of the eye</c:v>
                </c:pt>
                <c:pt idx="17">
                  <c:v>Retinoblastoma</c:v>
                </c:pt>
                <c:pt idx="18">
                  <c:v>TOTAL MALGNANCIES</c:v>
                </c:pt>
                <c:pt idx="19">
                  <c:v>Idiopathic Diseases</c:v>
                </c:pt>
                <c:pt idx="20">
                  <c:v>Previous organ or tissue transplant</c:v>
                </c:pt>
                <c:pt idx="21">
                  <c:v>Vasculitis</c:v>
                </c:pt>
                <c:pt idx="22">
                  <c:v>Any recorded IV drug use </c:v>
                </c:pt>
                <c:pt idx="23">
                  <c:v>Any recorded IVF treatment </c:v>
                </c:pt>
                <c:pt idx="24">
                  <c:v>TOTAL OTHER CONTRAINDICATIONS</c:v>
                </c:pt>
                <c:pt idx="25">
                  <c:v>Chronic viral hepatitis</c:v>
                </c:pt>
                <c:pt idx="26">
                  <c:v>HIV infection</c:v>
                </c:pt>
                <c:pt idx="27">
                  <c:v>TOTAL INFECTIONS</c:v>
                </c:pt>
              </c:strCache>
            </c:strRef>
          </c:cat>
          <c:val>
            <c:numRef>
              <c:f>Contraindications!$D$2:$D$29</c:f>
              <c:numCache>
                <c:formatCode>General</c:formatCode>
                <c:ptCount val="28"/>
                <c:pt idx="0">
                  <c:v>124</c:v>
                </c:pt>
                <c:pt idx="1">
                  <c:v>78</c:v>
                </c:pt>
                <c:pt idx="2">
                  <c:v>2</c:v>
                </c:pt>
                <c:pt idx="3">
                  <c:v>2</c:v>
                </c:pt>
                <c:pt idx="4">
                  <c:v>2</c:v>
                </c:pt>
                <c:pt idx="5">
                  <c:v>208</c:v>
                </c:pt>
                <c:pt idx="6">
                  <c:v>86</c:v>
                </c:pt>
                <c:pt idx="7">
                  <c:v>30</c:v>
                </c:pt>
                <c:pt idx="8">
                  <c:v>21</c:v>
                </c:pt>
                <c:pt idx="9">
                  <c:v>12</c:v>
                </c:pt>
                <c:pt idx="10">
                  <c:v>17</c:v>
                </c:pt>
                <c:pt idx="11">
                  <c:v>166</c:v>
                </c:pt>
                <c:pt idx="12">
                  <c:v>22</c:v>
                </c:pt>
                <c:pt idx="13">
                  <c:v>13</c:v>
                </c:pt>
                <c:pt idx="14">
                  <c:v>11</c:v>
                </c:pt>
                <c:pt idx="15">
                  <c:v>1</c:v>
                </c:pt>
                <c:pt idx="16">
                  <c:v>1</c:v>
                </c:pt>
                <c:pt idx="17">
                  <c:v>0</c:v>
                </c:pt>
                <c:pt idx="18">
                  <c:v>48</c:v>
                </c:pt>
                <c:pt idx="19">
                  <c:v>8</c:v>
                </c:pt>
                <c:pt idx="20">
                  <c:v>7</c:v>
                </c:pt>
                <c:pt idx="21">
                  <c:v>12</c:v>
                </c:pt>
                <c:pt idx="22">
                  <c:v>3</c:v>
                </c:pt>
                <c:pt idx="23">
                  <c:v>0</c:v>
                </c:pt>
                <c:pt idx="24">
                  <c:v>30</c:v>
                </c:pt>
                <c:pt idx="25">
                  <c:v>3</c:v>
                </c:pt>
                <c:pt idx="26">
                  <c:v>0</c:v>
                </c:pt>
                <c:pt idx="27">
                  <c:v>3</c:v>
                </c:pt>
              </c:numCache>
            </c:numRef>
          </c:val>
          <c:extLst>
            <c:ext xmlns:c16="http://schemas.microsoft.com/office/drawing/2014/chart" uri="{C3380CC4-5D6E-409C-BE32-E72D297353CC}">
              <c16:uniqueId val="{00000001-4E71-43A1-BF8D-3B39F92C0278}"/>
            </c:ext>
          </c:extLst>
        </c:ser>
        <c:ser>
          <c:idx val="2"/>
          <c:order val="2"/>
          <c:tx>
            <c:strRef>
              <c:f>Contraindications!$E$1</c:f>
              <c:strCache>
                <c:ptCount val="1"/>
                <c:pt idx="0">
                  <c:v>all (n=1199 total cases)</c:v>
                </c:pt>
              </c:strCache>
            </c:strRef>
          </c:tx>
          <c:spPr>
            <a:solidFill>
              <a:schemeClr val="accent3"/>
            </a:solidFill>
            <a:ln>
              <a:noFill/>
            </a:ln>
            <a:effectLst/>
          </c:spPr>
          <c:invertIfNegative val="0"/>
          <c:cat>
            <c:strRef>
              <c:f>Contraindications!$B$2:$B$29</c:f>
              <c:strCache>
                <c:ptCount val="28"/>
                <c:pt idx="0">
                  <c:v>Acquired disorder of the eye </c:v>
                </c:pt>
                <c:pt idx="1">
                  <c:v>Any ocular surgery (not including corrective laser surgery) </c:v>
                </c:pt>
                <c:pt idx="2">
                  <c:v>Ocular inflammation</c:v>
                </c:pt>
                <c:pt idx="3">
                  <c:v>Congenital disease/disorder of the eye </c:v>
                </c:pt>
                <c:pt idx="4">
                  <c:v>Corrective laser surgery </c:v>
                </c:pt>
                <c:pt idx="5">
                  <c:v>TOTAL INTRINSIC EYE DISEASE</c:v>
                </c:pt>
                <c:pt idx="6">
                  <c:v>Diagnosed Dementia </c:v>
                </c:pt>
                <c:pt idx="7">
                  <c:v>Recent onset of memory loss</c:v>
                </c:pt>
                <c:pt idx="8">
                  <c:v>Diagnosed Alzheimers Disease </c:v>
                </c:pt>
                <c:pt idx="9">
                  <c:v>Disease of unknown aetiology</c:v>
                </c:pt>
                <c:pt idx="10">
                  <c:v>Diagnosed Parkinsons Disease</c:v>
                </c:pt>
                <c:pt idx="11">
                  <c:v>TOTAL NEURODEGENERATIVE DISORDERS</c:v>
                </c:pt>
                <c:pt idx="12">
                  <c:v>Lymphoma</c:v>
                </c:pt>
                <c:pt idx="13">
                  <c:v>Leukaemia</c:v>
                </c:pt>
                <c:pt idx="14">
                  <c:v>Myeloma</c:v>
                </c:pt>
                <c:pt idx="15">
                  <c:v>Brain Malignancy with ocular involvement</c:v>
                </c:pt>
                <c:pt idx="16">
                  <c:v>Malignant tumours of the anterior segment of the eye</c:v>
                </c:pt>
                <c:pt idx="17">
                  <c:v>Retinoblastoma</c:v>
                </c:pt>
                <c:pt idx="18">
                  <c:v>TOTAL MALGNANCIES</c:v>
                </c:pt>
                <c:pt idx="19">
                  <c:v>Idiopathic Diseases</c:v>
                </c:pt>
                <c:pt idx="20">
                  <c:v>Previous organ or tissue transplant</c:v>
                </c:pt>
                <c:pt idx="21">
                  <c:v>Vasculitis</c:v>
                </c:pt>
                <c:pt idx="22">
                  <c:v>Any recorded IV drug use </c:v>
                </c:pt>
                <c:pt idx="23">
                  <c:v>Any recorded IVF treatment </c:v>
                </c:pt>
                <c:pt idx="24">
                  <c:v>TOTAL OTHER CONTRAINDICATIONS</c:v>
                </c:pt>
                <c:pt idx="25">
                  <c:v>Chronic viral hepatitis</c:v>
                </c:pt>
                <c:pt idx="26">
                  <c:v>HIV infection</c:v>
                </c:pt>
                <c:pt idx="27">
                  <c:v>TOTAL INFECTIONS</c:v>
                </c:pt>
              </c:strCache>
            </c:strRef>
          </c:cat>
          <c:val>
            <c:numRef>
              <c:f>Contraindications!$E$2:$E$29</c:f>
              <c:numCache>
                <c:formatCode>General</c:formatCode>
                <c:ptCount val="28"/>
                <c:pt idx="0">
                  <c:v>238</c:v>
                </c:pt>
                <c:pt idx="1">
                  <c:v>131</c:v>
                </c:pt>
                <c:pt idx="2">
                  <c:v>10</c:v>
                </c:pt>
                <c:pt idx="3">
                  <c:v>7</c:v>
                </c:pt>
                <c:pt idx="4">
                  <c:v>5</c:v>
                </c:pt>
                <c:pt idx="5">
                  <c:v>391</c:v>
                </c:pt>
                <c:pt idx="6">
                  <c:v>99</c:v>
                </c:pt>
                <c:pt idx="7">
                  <c:v>60</c:v>
                </c:pt>
                <c:pt idx="8">
                  <c:v>27</c:v>
                </c:pt>
                <c:pt idx="9">
                  <c:v>25</c:v>
                </c:pt>
                <c:pt idx="10">
                  <c:v>18</c:v>
                </c:pt>
                <c:pt idx="11">
                  <c:v>229</c:v>
                </c:pt>
                <c:pt idx="12">
                  <c:v>41</c:v>
                </c:pt>
                <c:pt idx="13">
                  <c:v>20</c:v>
                </c:pt>
                <c:pt idx="14">
                  <c:v>18</c:v>
                </c:pt>
                <c:pt idx="15">
                  <c:v>13</c:v>
                </c:pt>
                <c:pt idx="16">
                  <c:v>7</c:v>
                </c:pt>
                <c:pt idx="17">
                  <c:v>0</c:v>
                </c:pt>
                <c:pt idx="18">
                  <c:v>99</c:v>
                </c:pt>
                <c:pt idx="19">
                  <c:v>43</c:v>
                </c:pt>
                <c:pt idx="20">
                  <c:v>19</c:v>
                </c:pt>
                <c:pt idx="21">
                  <c:v>14</c:v>
                </c:pt>
                <c:pt idx="22">
                  <c:v>8</c:v>
                </c:pt>
                <c:pt idx="23">
                  <c:v>2</c:v>
                </c:pt>
                <c:pt idx="24">
                  <c:v>86</c:v>
                </c:pt>
                <c:pt idx="25">
                  <c:v>9</c:v>
                </c:pt>
                <c:pt idx="26">
                  <c:v>1</c:v>
                </c:pt>
                <c:pt idx="27">
                  <c:v>10</c:v>
                </c:pt>
              </c:numCache>
            </c:numRef>
          </c:val>
          <c:extLst>
            <c:ext xmlns:c16="http://schemas.microsoft.com/office/drawing/2014/chart" uri="{C3380CC4-5D6E-409C-BE32-E72D297353CC}">
              <c16:uniqueId val="{00000002-4E71-43A1-BF8D-3B39F92C0278}"/>
            </c:ext>
          </c:extLst>
        </c:ser>
        <c:dLbls>
          <c:showLegendKey val="0"/>
          <c:showVal val="0"/>
          <c:showCatName val="0"/>
          <c:showSerName val="0"/>
          <c:showPercent val="0"/>
          <c:showBubbleSize val="0"/>
        </c:dLbls>
        <c:gapWidth val="182"/>
        <c:axId val="149410223"/>
        <c:axId val="149410639"/>
      </c:barChart>
      <c:catAx>
        <c:axId val="149410223"/>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Contraindications for eye donation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49410639"/>
        <c:crosses val="autoZero"/>
        <c:auto val="0"/>
        <c:lblAlgn val="ctr"/>
        <c:lblOffset val="100"/>
        <c:noMultiLvlLbl val="0"/>
      </c:catAx>
      <c:valAx>
        <c:axId val="149410639"/>
        <c:scaling>
          <c:orientation val="minMax"/>
          <c:max val="40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n (cases)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410223"/>
        <c:crossesAt val="1"/>
        <c:crossBetween val="between"/>
        <c:majorUnit val="50"/>
        <c:min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C54A65-2BDB-498A-87BF-40F52577B612}">
  <ds:schemaRefs>
    <ds:schemaRef ds:uri="http://schemas.openxmlformats.org/officeDocument/2006/bibliography"/>
  </ds:schemaRefs>
</ds:datastoreItem>
</file>

<file path=customXml/itemProps2.xml><?xml version="1.0" encoding="utf-8"?>
<ds:datastoreItem xmlns:ds="http://schemas.openxmlformats.org/officeDocument/2006/customXml" ds:itemID="{121989BE-0327-4AB5-9890-5DA57D389BB5}"/>
</file>

<file path=customXml/itemProps3.xml><?xml version="1.0" encoding="utf-8"?>
<ds:datastoreItem xmlns:ds="http://schemas.openxmlformats.org/officeDocument/2006/customXml" ds:itemID="{10B05F86-DE72-4FE8-B531-BD6900349D1B}"/>
</file>

<file path=customXml/itemProps4.xml><?xml version="1.0" encoding="utf-8"?>
<ds:datastoreItem xmlns:ds="http://schemas.openxmlformats.org/officeDocument/2006/customXml" ds:itemID="{E08C2BA3-2397-48E8-B000-D598CA431A34}"/>
</file>

<file path=docProps/app.xml><?xml version="1.0" encoding="utf-8"?>
<Properties xmlns="http://schemas.openxmlformats.org/officeDocument/2006/extended-properties" xmlns:vt="http://schemas.openxmlformats.org/officeDocument/2006/docPropsVTypes">
  <Template>Normal.dotm</Template>
  <TotalTime>167</TotalTime>
  <Pages>16</Pages>
  <Words>9279</Words>
  <Characters>52892</Characters>
  <Application>Microsoft Office Word</Application>
  <DocSecurity>0</DocSecurity>
  <Lines>440</Lines>
  <Paragraphs>124</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ABSTRACT </vt:lpstr>
      <vt:lpstr>    Introduction</vt:lpstr>
      <vt:lpstr>    The need for corneal tissue - Global and UK contexts</vt:lpstr>
      <vt:lpstr>    The unique and specific case of eye donation (ED) </vt:lpstr>
      <vt:lpstr>    Optimising the supply of ophthalmic tissue for use in sigh-saving and sight rest</vt:lpstr>
      <vt:lpstr>    Current UK routes of ophthalmic tissue supply </vt:lpstr>
      <vt:lpstr>    Increasing supply is a key strategic aim for NHSBT TES Division(NHSBT, 2016) wit</vt:lpstr>
      <vt:lpstr>    </vt:lpstr>
      <vt:lpstr>    Methods</vt:lpstr>
      <vt:lpstr>    Data collection </vt:lpstr>
      <vt:lpstr>    Data analysis</vt:lpstr>
      <vt:lpstr>        Site population and review completion characteristics</vt:lpstr>
      <vt:lpstr>        Sample demographics</vt:lpstr>
      <vt:lpstr>        Agreement rate on eligibility for referral to NHSBT-TES </vt:lpstr>
      <vt:lpstr>        Agreement rate on eligibility for referral to NHSBT-TES by site </vt:lpstr>
      <vt:lpstr>        Potential for ED</vt:lpstr>
      <vt:lpstr>        Potential for ED by site</vt:lpstr>
      <vt:lpstr>        Record of request for ED, family approach, and referral to NHSBT from deceased p</vt:lpstr>
      <vt:lpstr>        Contraindications for ED</vt:lpstr>
      <vt:lpstr>    </vt:lpstr>
      <vt:lpstr>    Disagreement rate from retrospective note review  </vt:lpstr>
      <vt:lpstr>        Disagreement rate on eligibility for referral to NHSBT-TES by site </vt:lpstr>
      <vt:lpstr>        Differences in assessment outcome where the reviewer determined eligibility for </vt:lpstr>
      <vt:lpstr>        Differences in assessment outcome where the reviewer determined ineligibility fo</vt:lpstr>
      <vt:lpstr>        Differences in assessment outcome where the reviewer indicated uncertainty regar</vt:lpstr>
      <vt:lpstr>        Cases in which no cause of death was available</vt:lpstr>
      <vt:lpstr>    Site-specific feedback</vt:lpstr>
      <vt:lpstr>    Commentary of findings</vt:lpstr>
      <vt:lpstr>    Recommendations for practice: </vt:lpstr>
    </vt:vector>
  </TitlesOfParts>
  <Company/>
  <LinksUpToDate>false</LinksUpToDate>
  <CharactersWithSpaces>62047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Long-Sutehall</dc:creator>
  <cp:keywords/>
  <dc:description/>
  <cp:lastModifiedBy>Tracy Long-Sutehall</cp:lastModifiedBy>
  <cp:revision>34</cp:revision>
  <dcterms:created xsi:type="dcterms:W3CDTF">2022-09-28T16:10:00Z</dcterms:created>
  <dcterms:modified xsi:type="dcterms:W3CDTF">2022-10-05T15:02:00Z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http://www.zotero.org/styles/cell-and-tissue-banking</vt:lpwstr>
  </property>
  <property fmtid="{D5CDD505-2E9C-101B-9397-08002B2CF9AE}" pid="4" name="Mendeley Unique User Id_1">
    <vt:lpwstr>3a46b5de-4286-35b4-90f3-fa10ea6e901e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http://www.zotero.org/styles/cell-and-tissue-banking</vt:lpwstr>
  </property>
  <property fmtid="{D5CDD505-2E9C-101B-9397-08002B2CF9AE}" pid="12" name="Mendeley Recent Style Name 3_1">
    <vt:lpwstr>Cell and Tissue Banking</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http://www.zotero.org/styles/national-institute-of-health-research</vt:lpwstr>
  </property>
  <property fmtid="{D5CDD505-2E9C-101B-9397-08002B2CF9AE}" pid="24" name="Mendeley Recent Style Name 9_1">
    <vt:lpwstr>National Institute of Health Research</vt:lpwstr>
  </property>
  <property fmtid="{D5CDD505-2E9C-101B-9397-08002B2CF9AE}" pid="25" name="ContentTypeId">
    <vt:lpwstr>0x0101009FB0911783C1D442BD1CF19F4570B3A4</vt:lpwstr>
  </property>
</Properties>
</file>